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26" w:rsidRPr="001D040C" w:rsidRDefault="000D7526" w:rsidP="00A64DC8">
      <w:pPr>
        <w:pStyle w:val="BodyText"/>
        <w:spacing w:line="360" w:lineRule="auto"/>
        <w:ind w:left="360"/>
        <w:jc w:val="center"/>
        <w:rPr>
          <w:sz w:val="28"/>
        </w:rPr>
      </w:pPr>
      <w:r w:rsidRPr="001D040C">
        <w:rPr>
          <w:sz w:val="28"/>
        </w:rPr>
        <w:t>Supporting Statement</w:t>
      </w:r>
      <w:r w:rsidR="00185A3B" w:rsidRPr="001D040C">
        <w:rPr>
          <w:sz w:val="28"/>
        </w:rPr>
        <w:t xml:space="preserve"> A</w:t>
      </w:r>
    </w:p>
    <w:p w:rsidR="006D061C" w:rsidRPr="001D040C" w:rsidRDefault="006D061C">
      <w:pPr>
        <w:pStyle w:val="BodyText"/>
        <w:spacing w:line="360" w:lineRule="auto"/>
        <w:jc w:val="center"/>
        <w:rPr>
          <w:i/>
          <w:sz w:val="28"/>
        </w:rPr>
      </w:pPr>
      <w:r w:rsidRPr="001D040C">
        <w:rPr>
          <w:i/>
          <w:sz w:val="28"/>
        </w:rPr>
        <w:t>The Sister Study</w:t>
      </w:r>
      <w:r w:rsidR="00185A3B" w:rsidRPr="001D040C">
        <w:rPr>
          <w:i/>
          <w:sz w:val="28"/>
        </w:rPr>
        <w:t xml:space="preserve"> PHASE </w:t>
      </w:r>
      <w:r w:rsidR="004C0771" w:rsidRPr="00306C72">
        <w:rPr>
          <w:i/>
          <w:sz w:val="28"/>
          <w:highlight w:val="yellow"/>
        </w:rPr>
        <w:t>3</w:t>
      </w:r>
      <w:r w:rsidRPr="001D040C">
        <w:rPr>
          <w:i/>
          <w:sz w:val="28"/>
        </w:rPr>
        <w:t xml:space="preserve">: </w:t>
      </w:r>
    </w:p>
    <w:p w:rsidR="006D061C" w:rsidRPr="001D040C" w:rsidRDefault="006D061C">
      <w:pPr>
        <w:pStyle w:val="BodyText"/>
        <w:spacing w:line="360" w:lineRule="auto"/>
        <w:jc w:val="center"/>
        <w:rPr>
          <w:i/>
          <w:sz w:val="28"/>
        </w:rPr>
      </w:pPr>
      <w:r w:rsidRPr="001D040C">
        <w:rPr>
          <w:i/>
          <w:sz w:val="28"/>
        </w:rPr>
        <w:t>Environmental and Genetic Risk Factors for Breast Cancer</w:t>
      </w:r>
    </w:p>
    <w:p w:rsidR="00A1221F" w:rsidRDefault="00A1221F">
      <w:pPr>
        <w:pStyle w:val="BodyText"/>
        <w:spacing w:line="360" w:lineRule="auto"/>
        <w:jc w:val="center"/>
        <w:rPr>
          <w:i/>
          <w:sz w:val="28"/>
        </w:rPr>
      </w:pPr>
      <w:r w:rsidRPr="001D040C">
        <w:rPr>
          <w:i/>
          <w:sz w:val="28"/>
        </w:rPr>
        <w:t>(NIH/NIEHS)</w:t>
      </w:r>
    </w:p>
    <w:p w:rsidR="009F3647" w:rsidRPr="000C621A" w:rsidRDefault="009F3647">
      <w:pPr>
        <w:pStyle w:val="BodyText"/>
        <w:spacing w:line="360" w:lineRule="auto"/>
        <w:jc w:val="center"/>
        <w:rPr>
          <w:smallCaps/>
          <w:color w:val="000000"/>
          <w:sz w:val="28"/>
          <w:szCs w:val="28"/>
        </w:rPr>
      </w:pPr>
      <w:r w:rsidRPr="000C621A">
        <w:rPr>
          <w:smallCaps/>
          <w:color w:val="000000"/>
          <w:sz w:val="28"/>
          <w:szCs w:val="28"/>
        </w:rPr>
        <w:t>Revision</w:t>
      </w:r>
    </w:p>
    <w:p w:rsidR="00AB0510" w:rsidRPr="00F0730C" w:rsidRDefault="009F3647" w:rsidP="009F3647">
      <w:pPr>
        <w:pStyle w:val="BodyText"/>
        <w:spacing w:line="360" w:lineRule="auto"/>
        <w:jc w:val="center"/>
        <w:rPr>
          <w:b w:val="0"/>
          <w:sz w:val="22"/>
          <w:szCs w:val="22"/>
        </w:rPr>
      </w:pPr>
      <w:r w:rsidRPr="00F0730C">
        <w:rPr>
          <w:color w:val="000000"/>
          <w:sz w:val="22"/>
          <w:szCs w:val="22"/>
        </w:rPr>
        <w:t xml:space="preserve">OMB </w:t>
      </w:r>
      <w:r w:rsidR="00F0730C" w:rsidRPr="00F0730C">
        <w:rPr>
          <w:color w:val="000000"/>
          <w:sz w:val="22"/>
          <w:szCs w:val="22"/>
        </w:rPr>
        <w:t xml:space="preserve">Control Number </w:t>
      </w:r>
      <w:r w:rsidRPr="00F0730C">
        <w:rPr>
          <w:color w:val="000000"/>
          <w:sz w:val="22"/>
          <w:szCs w:val="22"/>
        </w:rPr>
        <w:t>0925-0522, Expiration Date: 2/29/2016</w:t>
      </w:r>
    </w:p>
    <w:p w:rsidR="00A1221F" w:rsidRPr="008E0319" w:rsidRDefault="008E0319" w:rsidP="008E0319">
      <w:pPr>
        <w:pStyle w:val="BodyText"/>
        <w:spacing w:line="360" w:lineRule="auto"/>
        <w:jc w:val="center"/>
        <w:rPr>
          <w:sz w:val="22"/>
          <w:szCs w:val="22"/>
        </w:rPr>
      </w:pPr>
      <w:r>
        <w:rPr>
          <w:sz w:val="22"/>
          <w:szCs w:val="22"/>
        </w:rPr>
        <w:t xml:space="preserve">Submitted: </w:t>
      </w:r>
      <w:r w:rsidR="00C45FFF">
        <w:rPr>
          <w:sz w:val="22"/>
          <w:szCs w:val="22"/>
        </w:rPr>
        <w:t>02/1</w:t>
      </w:r>
      <w:r w:rsidR="003627B4">
        <w:rPr>
          <w:sz w:val="22"/>
          <w:szCs w:val="22"/>
        </w:rPr>
        <w:t>7</w:t>
      </w:r>
      <w:r w:rsidR="00C45FFF">
        <w:rPr>
          <w:sz w:val="22"/>
          <w:szCs w:val="22"/>
        </w:rPr>
        <w:t>/2016</w:t>
      </w:r>
    </w:p>
    <w:p w:rsidR="006D061C" w:rsidRPr="000C621A" w:rsidRDefault="00F0730C" w:rsidP="000C621A">
      <w:pPr>
        <w:pStyle w:val="BodyText"/>
        <w:spacing w:line="240" w:lineRule="auto"/>
        <w:jc w:val="center"/>
        <w:rPr>
          <w:b w:val="0"/>
          <w:sz w:val="20"/>
        </w:rPr>
      </w:pPr>
      <w:r w:rsidRPr="00D520C4">
        <w:rPr>
          <w:b w:val="0"/>
          <w:sz w:val="20"/>
          <w:highlight w:val="yellow"/>
        </w:rPr>
        <w:t>Yellow highlights indicate changes since the last submission in 2012</w:t>
      </w:r>
      <w:r w:rsidR="000C621A" w:rsidRPr="00D520C4">
        <w:rPr>
          <w:b w:val="0"/>
          <w:sz w:val="20"/>
          <w:highlight w:val="yellow"/>
        </w:rPr>
        <w:t>;</w:t>
      </w:r>
    </w:p>
    <w:p w:rsidR="008014DD" w:rsidRDefault="008014DD" w:rsidP="00061D71">
      <w:pPr>
        <w:pStyle w:val="BodyText"/>
        <w:spacing w:line="320" w:lineRule="exact"/>
        <w:rPr>
          <w:sz w:val="22"/>
        </w:rPr>
      </w:pPr>
    </w:p>
    <w:p w:rsidR="00F10148" w:rsidRPr="001D040C" w:rsidRDefault="006D061C" w:rsidP="00061D71">
      <w:pPr>
        <w:pStyle w:val="BodyText"/>
        <w:spacing w:line="320" w:lineRule="exact"/>
        <w:rPr>
          <w:sz w:val="22"/>
        </w:rPr>
      </w:pPr>
      <w:r w:rsidRPr="001D040C">
        <w:rPr>
          <w:sz w:val="22"/>
        </w:rPr>
        <w:t>P</w:t>
      </w:r>
      <w:r w:rsidR="00F10148" w:rsidRPr="001D040C">
        <w:rPr>
          <w:sz w:val="22"/>
        </w:rPr>
        <w:t>rincipal Investigator and Co-P</w:t>
      </w:r>
      <w:r w:rsidRPr="001D040C">
        <w:rPr>
          <w:sz w:val="22"/>
        </w:rPr>
        <w:t>roject Officer:</w:t>
      </w:r>
    </w:p>
    <w:p w:rsidR="00F10148" w:rsidRPr="001D040C" w:rsidRDefault="006D061C" w:rsidP="00061D71">
      <w:pPr>
        <w:pStyle w:val="BodyText"/>
        <w:tabs>
          <w:tab w:val="left" w:pos="1440"/>
        </w:tabs>
        <w:spacing w:line="320" w:lineRule="exact"/>
        <w:ind w:left="360"/>
        <w:rPr>
          <w:b w:val="0"/>
          <w:sz w:val="22"/>
        </w:rPr>
      </w:pPr>
      <w:r w:rsidRPr="001D040C">
        <w:rPr>
          <w:b w:val="0"/>
          <w:sz w:val="22"/>
        </w:rPr>
        <w:t xml:space="preserve">Dale </w:t>
      </w:r>
      <w:r w:rsidR="00F10148" w:rsidRPr="001D040C">
        <w:rPr>
          <w:b w:val="0"/>
          <w:sz w:val="22"/>
        </w:rPr>
        <w:t>P Sandle</w:t>
      </w:r>
      <w:r w:rsidR="003F68C1" w:rsidRPr="001D040C">
        <w:rPr>
          <w:b w:val="0"/>
          <w:sz w:val="22"/>
        </w:rPr>
        <w:t>r</w:t>
      </w:r>
      <w:r w:rsidRPr="001D040C">
        <w:rPr>
          <w:b w:val="0"/>
          <w:sz w:val="22"/>
        </w:rPr>
        <w:t xml:space="preserve"> Ph</w:t>
      </w:r>
      <w:r w:rsidR="00F10148" w:rsidRPr="001D040C">
        <w:rPr>
          <w:b w:val="0"/>
          <w:sz w:val="22"/>
        </w:rPr>
        <w:t>D</w:t>
      </w:r>
    </w:p>
    <w:p w:rsidR="006D061C" w:rsidRPr="001D040C" w:rsidRDefault="00F10148" w:rsidP="00061D71">
      <w:pPr>
        <w:pStyle w:val="BodyText"/>
        <w:tabs>
          <w:tab w:val="left" w:pos="1440"/>
        </w:tabs>
        <w:spacing w:line="320" w:lineRule="exact"/>
        <w:ind w:left="360"/>
        <w:rPr>
          <w:b w:val="0"/>
          <w:sz w:val="22"/>
        </w:rPr>
      </w:pPr>
      <w:r w:rsidRPr="001D040C">
        <w:rPr>
          <w:b w:val="0"/>
          <w:sz w:val="22"/>
        </w:rPr>
        <w:t xml:space="preserve">Chief, </w:t>
      </w:r>
      <w:r w:rsidR="006D061C" w:rsidRPr="001D040C">
        <w:rPr>
          <w:b w:val="0"/>
          <w:sz w:val="22"/>
        </w:rPr>
        <w:t>Epidemiology Branch</w:t>
      </w:r>
    </w:p>
    <w:p w:rsidR="006D061C" w:rsidRPr="001D040C" w:rsidRDefault="006D061C" w:rsidP="00061D71">
      <w:pPr>
        <w:pStyle w:val="BodyText"/>
        <w:tabs>
          <w:tab w:val="left" w:pos="1440"/>
        </w:tabs>
        <w:spacing w:line="320" w:lineRule="exact"/>
        <w:ind w:left="360"/>
        <w:rPr>
          <w:b w:val="0"/>
          <w:sz w:val="22"/>
        </w:rPr>
      </w:pPr>
      <w:r w:rsidRPr="001D040C">
        <w:rPr>
          <w:b w:val="0"/>
          <w:sz w:val="22"/>
        </w:rPr>
        <w:t>National Institute of Environmental Health Sciences</w:t>
      </w:r>
    </w:p>
    <w:p w:rsidR="006D061C" w:rsidRPr="001D040C" w:rsidRDefault="00F10148" w:rsidP="00061D71">
      <w:pPr>
        <w:pStyle w:val="BodyText"/>
        <w:tabs>
          <w:tab w:val="left" w:pos="1440"/>
        </w:tabs>
        <w:spacing w:line="320" w:lineRule="exact"/>
        <w:ind w:left="360"/>
        <w:rPr>
          <w:b w:val="0"/>
          <w:sz w:val="22"/>
        </w:rPr>
      </w:pPr>
      <w:r w:rsidRPr="001D040C">
        <w:rPr>
          <w:b w:val="0"/>
          <w:sz w:val="22"/>
        </w:rPr>
        <w:t>PO</w:t>
      </w:r>
      <w:r w:rsidR="006D061C" w:rsidRPr="001D040C">
        <w:rPr>
          <w:b w:val="0"/>
          <w:sz w:val="22"/>
        </w:rPr>
        <w:t xml:space="preserve"> Box 12233</w:t>
      </w:r>
    </w:p>
    <w:p w:rsidR="006D061C" w:rsidRPr="001D040C" w:rsidRDefault="006D061C" w:rsidP="00061D71">
      <w:pPr>
        <w:pStyle w:val="BodyText"/>
        <w:tabs>
          <w:tab w:val="left" w:pos="1440"/>
        </w:tabs>
        <w:spacing w:line="320" w:lineRule="exact"/>
        <w:ind w:left="360"/>
        <w:rPr>
          <w:b w:val="0"/>
          <w:sz w:val="22"/>
        </w:rPr>
      </w:pPr>
      <w:r w:rsidRPr="001D040C">
        <w:rPr>
          <w:b w:val="0"/>
          <w:sz w:val="22"/>
        </w:rPr>
        <w:t>Research Triangle Pa</w:t>
      </w:r>
      <w:r w:rsidR="00061D71" w:rsidRPr="001D040C">
        <w:rPr>
          <w:b w:val="0"/>
          <w:sz w:val="22"/>
        </w:rPr>
        <w:t>rk</w:t>
      </w:r>
      <w:r w:rsidRPr="001D040C">
        <w:rPr>
          <w:b w:val="0"/>
          <w:sz w:val="22"/>
        </w:rPr>
        <w:t xml:space="preserve"> NC 27709</w:t>
      </w:r>
    </w:p>
    <w:p w:rsidR="006D061C" w:rsidRPr="001D040C" w:rsidRDefault="00061D71" w:rsidP="00061D71">
      <w:pPr>
        <w:pStyle w:val="BodyText"/>
        <w:tabs>
          <w:tab w:val="left" w:pos="1440"/>
        </w:tabs>
        <w:spacing w:line="320" w:lineRule="exact"/>
        <w:ind w:left="360"/>
        <w:rPr>
          <w:b w:val="0"/>
          <w:sz w:val="22"/>
        </w:rPr>
      </w:pPr>
      <w:r w:rsidRPr="001D040C">
        <w:rPr>
          <w:b w:val="0"/>
          <w:sz w:val="22"/>
        </w:rPr>
        <w:t>P</w:t>
      </w:r>
      <w:r w:rsidR="006D061C" w:rsidRPr="001D040C">
        <w:rPr>
          <w:b w:val="0"/>
          <w:sz w:val="22"/>
        </w:rPr>
        <w:t>hone:</w:t>
      </w:r>
      <w:r w:rsidRPr="001D040C">
        <w:rPr>
          <w:b w:val="0"/>
          <w:sz w:val="22"/>
        </w:rPr>
        <w:tab/>
      </w:r>
      <w:r w:rsidR="006D061C" w:rsidRPr="001D040C">
        <w:rPr>
          <w:b w:val="0"/>
          <w:sz w:val="22"/>
        </w:rPr>
        <w:t>919-541-4668</w:t>
      </w:r>
    </w:p>
    <w:p w:rsidR="006D061C" w:rsidRPr="001D040C" w:rsidRDefault="006D061C" w:rsidP="00061D71">
      <w:pPr>
        <w:pStyle w:val="BodyText"/>
        <w:tabs>
          <w:tab w:val="left" w:pos="1440"/>
        </w:tabs>
        <w:spacing w:line="320" w:lineRule="exact"/>
        <w:ind w:left="360"/>
        <w:rPr>
          <w:b w:val="0"/>
          <w:sz w:val="22"/>
        </w:rPr>
      </w:pPr>
      <w:r w:rsidRPr="001D040C">
        <w:rPr>
          <w:b w:val="0"/>
          <w:sz w:val="22"/>
        </w:rPr>
        <w:t>Fax:</w:t>
      </w:r>
      <w:r w:rsidR="00061D71" w:rsidRPr="001D040C">
        <w:rPr>
          <w:b w:val="0"/>
          <w:sz w:val="22"/>
        </w:rPr>
        <w:tab/>
      </w:r>
      <w:r w:rsidRPr="001D040C">
        <w:rPr>
          <w:b w:val="0"/>
          <w:sz w:val="22"/>
        </w:rPr>
        <w:t>919-541-2511</w:t>
      </w:r>
    </w:p>
    <w:p w:rsidR="006D061C" w:rsidRPr="001D040C" w:rsidRDefault="006D061C" w:rsidP="00061D71">
      <w:pPr>
        <w:pStyle w:val="BodyText"/>
        <w:tabs>
          <w:tab w:val="left" w:pos="1440"/>
        </w:tabs>
        <w:spacing w:line="320" w:lineRule="exact"/>
        <w:ind w:left="360"/>
        <w:rPr>
          <w:b w:val="0"/>
          <w:sz w:val="22"/>
        </w:rPr>
      </w:pPr>
      <w:r w:rsidRPr="001D040C">
        <w:rPr>
          <w:b w:val="0"/>
          <w:sz w:val="22"/>
        </w:rPr>
        <w:t>Email:</w:t>
      </w:r>
      <w:r w:rsidR="00061D71" w:rsidRPr="001D040C">
        <w:rPr>
          <w:b w:val="0"/>
          <w:sz w:val="22"/>
        </w:rPr>
        <w:tab/>
      </w:r>
      <w:r w:rsidR="00C203E3" w:rsidRPr="001D040C">
        <w:rPr>
          <w:b w:val="0"/>
          <w:sz w:val="22"/>
        </w:rPr>
        <w:t>sandler@niehs.nih.gov</w:t>
      </w:r>
    </w:p>
    <w:p w:rsidR="00C203E3" w:rsidRPr="001D040C" w:rsidRDefault="00C203E3" w:rsidP="009A5EC2">
      <w:pPr>
        <w:pStyle w:val="BodyText"/>
        <w:tabs>
          <w:tab w:val="left" w:pos="1440"/>
        </w:tabs>
        <w:spacing w:line="320" w:lineRule="exact"/>
        <w:ind w:left="90"/>
        <w:rPr>
          <w:b w:val="0"/>
          <w:sz w:val="22"/>
        </w:rPr>
      </w:pPr>
    </w:p>
    <w:p w:rsidR="009E6560" w:rsidRPr="001D040C" w:rsidRDefault="009E6560" w:rsidP="009E6560">
      <w:pPr>
        <w:pStyle w:val="BodyText"/>
        <w:spacing w:line="320" w:lineRule="exact"/>
        <w:rPr>
          <w:sz w:val="22"/>
        </w:rPr>
      </w:pPr>
      <w:r w:rsidRPr="001D040C">
        <w:rPr>
          <w:sz w:val="22"/>
        </w:rPr>
        <w:t>Co-Principal Investigator:</w:t>
      </w:r>
    </w:p>
    <w:p w:rsidR="009E6560" w:rsidRPr="001D040C" w:rsidRDefault="009E6560" w:rsidP="009E6560">
      <w:pPr>
        <w:pStyle w:val="BodyText"/>
        <w:tabs>
          <w:tab w:val="left" w:pos="1440"/>
        </w:tabs>
        <w:spacing w:line="320" w:lineRule="exact"/>
        <w:ind w:left="360"/>
        <w:rPr>
          <w:b w:val="0"/>
          <w:sz w:val="22"/>
        </w:rPr>
      </w:pPr>
      <w:r w:rsidRPr="001D040C">
        <w:rPr>
          <w:b w:val="0"/>
          <w:sz w:val="22"/>
        </w:rPr>
        <w:t>Clarice Weinberg PhD</w:t>
      </w:r>
    </w:p>
    <w:p w:rsidR="009E6560" w:rsidRPr="001D040C" w:rsidRDefault="009E6560" w:rsidP="009E6560">
      <w:pPr>
        <w:pStyle w:val="BodyText"/>
        <w:tabs>
          <w:tab w:val="left" w:pos="1440"/>
        </w:tabs>
        <w:spacing w:line="320" w:lineRule="exact"/>
        <w:ind w:left="360"/>
        <w:rPr>
          <w:b w:val="0"/>
          <w:sz w:val="22"/>
        </w:rPr>
      </w:pPr>
      <w:r w:rsidRPr="001D040C">
        <w:rPr>
          <w:b w:val="0"/>
          <w:sz w:val="22"/>
        </w:rPr>
        <w:t>Chief, Biostatistics Branch</w:t>
      </w:r>
    </w:p>
    <w:p w:rsidR="009E6560" w:rsidRPr="001D040C" w:rsidRDefault="009E6560" w:rsidP="009E6560">
      <w:pPr>
        <w:pStyle w:val="BodyText"/>
        <w:tabs>
          <w:tab w:val="left" w:pos="1440"/>
        </w:tabs>
        <w:spacing w:line="320" w:lineRule="exact"/>
        <w:ind w:left="360"/>
        <w:rPr>
          <w:b w:val="0"/>
          <w:sz w:val="22"/>
        </w:rPr>
      </w:pPr>
      <w:r w:rsidRPr="001D040C">
        <w:rPr>
          <w:b w:val="0"/>
          <w:sz w:val="22"/>
        </w:rPr>
        <w:t>PO Box 12233</w:t>
      </w:r>
    </w:p>
    <w:p w:rsidR="009E6560" w:rsidRPr="001D040C" w:rsidRDefault="009E6560" w:rsidP="009E6560">
      <w:pPr>
        <w:pStyle w:val="BodyText"/>
        <w:tabs>
          <w:tab w:val="left" w:pos="1440"/>
        </w:tabs>
        <w:spacing w:line="320" w:lineRule="exact"/>
        <w:ind w:left="360"/>
        <w:rPr>
          <w:b w:val="0"/>
          <w:sz w:val="22"/>
        </w:rPr>
      </w:pPr>
      <w:r w:rsidRPr="001D040C">
        <w:rPr>
          <w:b w:val="0"/>
          <w:sz w:val="22"/>
        </w:rPr>
        <w:t>Research Triangle Park NC 27709</w:t>
      </w:r>
    </w:p>
    <w:p w:rsidR="009E6560" w:rsidRPr="001D040C" w:rsidRDefault="009E6560" w:rsidP="009E6560">
      <w:pPr>
        <w:pStyle w:val="BodyText"/>
        <w:tabs>
          <w:tab w:val="left" w:pos="1440"/>
        </w:tabs>
        <w:spacing w:line="320" w:lineRule="exact"/>
        <w:ind w:left="360"/>
        <w:rPr>
          <w:b w:val="0"/>
          <w:sz w:val="22"/>
        </w:rPr>
      </w:pPr>
      <w:r w:rsidRPr="001D040C">
        <w:rPr>
          <w:b w:val="0"/>
          <w:sz w:val="22"/>
        </w:rPr>
        <w:t>Phone:</w:t>
      </w:r>
      <w:r w:rsidRPr="001D040C">
        <w:rPr>
          <w:b w:val="0"/>
          <w:sz w:val="22"/>
        </w:rPr>
        <w:tab/>
        <w:t>919-541-4927</w:t>
      </w:r>
    </w:p>
    <w:p w:rsidR="009E6560" w:rsidRPr="001D040C" w:rsidRDefault="009E6560" w:rsidP="009E6560">
      <w:pPr>
        <w:pStyle w:val="BodyText"/>
        <w:tabs>
          <w:tab w:val="left" w:pos="1440"/>
        </w:tabs>
        <w:spacing w:line="320" w:lineRule="exact"/>
        <w:ind w:left="360"/>
        <w:rPr>
          <w:b w:val="0"/>
          <w:sz w:val="22"/>
        </w:rPr>
      </w:pPr>
      <w:r w:rsidRPr="001D040C">
        <w:rPr>
          <w:b w:val="0"/>
          <w:sz w:val="22"/>
        </w:rPr>
        <w:t>Fax:</w:t>
      </w:r>
      <w:r w:rsidRPr="001D040C">
        <w:rPr>
          <w:b w:val="0"/>
          <w:sz w:val="22"/>
        </w:rPr>
        <w:tab/>
        <w:t>919-541-4311</w:t>
      </w:r>
    </w:p>
    <w:p w:rsidR="009E6560" w:rsidRPr="001D040C" w:rsidRDefault="009E6560" w:rsidP="009E6560">
      <w:pPr>
        <w:pStyle w:val="BodyText"/>
        <w:tabs>
          <w:tab w:val="left" w:pos="1440"/>
        </w:tabs>
        <w:spacing w:line="320" w:lineRule="exact"/>
        <w:ind w:left="360"/>
        <w:rPr>
          <w:b w:val="0"/>
          <w:sz w:val="22"/>
        </w:rPr>
      </w:pPr>
      <w:r w:rsidRPr="001D040C">
        <w:rPr>
          <w:b w:val="0"/>
          <w:sz w:val="22"/>
        </w:rPr>
        <w:t>Email:</w:t>
      </w:r>
      <w:r w:rsidRPr="001D040C">
        <w:rPr>
          <w:b w:val="0"/>
          <w:sz w:val="22"/>
        </w:rPr>
        <w:tab/>
        <w:t>weinberg@niehs.nih.gov</w:t>
      </w:r>
    </w:p>
    <w:p w:rsidR="009E6560" w:rsidRPr="001D040C" w:rsidRDefault="009E6560" w:rsidP="009E6560">
      <w:pPr>
        <w:pStyle w:val="BodyText"/>
        <w:spacing w:line="320" w:lineRule="exact"/>
        <w:rPr>
          <w:b w:val="0"/>
          <w:sz w:val="22"/>
        </w:rPr>
      </w:pPr>
    </w:p>
    <w:p w:rsidR="00C203E3" w:rsidRPr="001D040C" w:rsidRDefault="00C203E3" w:rsidP="00C203E3">
      <w:pPr>
        <w:pStyle w:val="BodyText"/>
        <w:spacing w:line="320" w:lineRule="exact"/>
        <w:rPr>
          <w:sz w:val="22"/>
        </w:rPr>
      </w:pPr>
      <w:r w:rsidRPr="001D040C">
        <w:rPr>
          <w:sz w:val="22"/>
        </w:rPr>
        <w:t>Project Officer:</w:t>
      </w:r>
    </w:p>
    <w:p w:rsidR="00C203E3" w:rsidRPr="001D040C" w:rsidRDefault="00C203E3" w:rsidP="00C203E3">
      <w:pPr>
        <w:pStyle w:val="BodyText"/>
        <w:tabs>
          <w:tab w:val="left" w:pos="1440"/>
        </w:tabs>
        <w:spacing w:line="320" w:lineRule="exact"/>
        <w:ind w:left="360"/>
        <w:rPr>
          <w:b w:val="0"/>
          <w:sz w:val="22"/>
        </w:rPr>
      </w:pPr>
      <w:r w:rsidRPr="001D040C">
        <w:rPr>
          <w:b w:val="0"/>
          <w:sz w:val="22"/>
        </w:rPr>
        <w:t>Paula S Juras PhD</w:t>
      </w:r>
    </w:p>
    <w:p w:rsidR="00C203E3" w:rsidRPr="001D040C" w:rsidRDefault="00C203E3" w:rsidP="00C203E3">
      <w:pPr>
        <w:pStyle w:val="BodyText"/>
        <w:tabs>
          <w:tab w:val="left" w:pos="1440"/>
        </w:tabs>
        <w:spacing w:line="320" w:lineRule="exact"/>
        <w:ind w:left="360"/>
        <w:rPr>
          <w:b w:val="0"/>
          <w:sz w:val="22"/>
        </w:rPr>
      </w:pPr>
      <w:r w:rsidRPr="001D040C">
        <w:rPr>
          <w:b w:val="0"/>
          <w:sz w:val="22"/>
        </w:rPr>
        <w:t>Epidemiology Branch</w:t>
      </w:r>
    </w:p>
    <w:p w:rsidR="00C203E3" w:rsidRPr="001D040C" w:rsidRDefault="00C203E3" w:rsidP="00C203E3">
      <w:pPr>
        <w:pStyle w:val="BodyText"/>
        <w:tabs>
          <w:tab w:val="left" w:pos="1440"/>
        </w:tabs>
        <w:spacing w:line="320" w:lineRule="exact"/>
        <w:ind w:left="360"/>
        <w:rPr>
          <w:b w:val="0"/>
          <w:sz w:val="22"/>
        </w:rPr>
      </w:pPr>
      <w:r w:rsidRPr="001D040C">
        <w:rPr>
          <w:b w:val="0"/>
          <w:sz w:val="22"/>
        </w:rPr>
        <w:t>National Institute of Environmental Health Sciences</w:t>
      </w:r>
    </w:p>
    <w:p w:rsidR="00C203E3" w:rsidRPr="001D040C" w:rsidRDefault="00C203E3" w:rsidP="00C203E3">
      <w:pPr>
        <w:pStyle w:val="BodyText"/>
        <w:tabs>
          <w:tab w:val="left" w:pos="1440"/>
        </w:tabs>
        <w:spacing w:line="320" w:lineRule="exact"/>
        <w:ind w:left="360"/>
        <w:rPr>
          <w:b w:val="0"/>
          <w:sz w:val="22"/>
        </w:rPr>
      </w:pPr>
      <w:r w:rsidRPr="001D040C">
        <w:rPr>
          <w:b w:val="0"/>
          <w:sz w:val="22"/>
        </w:rPr>
        <w:t>PO Box 12233</w:t>
      </w:r>
    </w:p>
    <w:p w:rsidR="00C203E3" w:rsidRPr="001D040C" w:rsidRDefault="00C203E3" w:rsidP="00C203E3">
      <w:pPr>
        <w:pStyle w:val="BodyText"/>
        <w:tabs>
          <w:tab w:val="left" w:pos="1440"/>
        </w:tabs>
        <w:spacing w:line="320" w:lineRule="exact"/>
        <w:ind w:left="360"/>
        <w:rPr>
          <w:b w:val="0"/>
          <w:sz w:val="22"/>
        </w:rPr>
      </w:pPr>
      <w:r w:rsidRPr="001D040C">
        <w:rPr>
          <w:b w:val="0"/>
          <w:sz w:val="22"/>
        </w:rPr>
        <w:t>Research Triangle Park NC 27709</w:t>
      </w:r>
    </w:p>
    <w:p w:rsidR="00C203E3" w:rsidRPr="001D040C" w:rsidRDefault="00C203E3" w:rsidP="00C203E3">
      <w:pPr>
        <w:pStyle w:val="BodyText"/>
        <w:tabs>
          <w:tab w:val="left" w:pos="1440"/>
          <w:tab w:val="left" w:pos="3240"/>
        </w:tabs>
        <w:spacing w:line="320" w:lineRule="exact"/>
        <w:ind w:left="360"/>
        <w:rPr>
          <w:b w:val="0"/>
          <w:sz w:val="22"/>
        </w:rPr>
      </w:pPr>
      <w:r w:rsidRPr="001D040C">
        <w:rPr>
          <w:b w:val="0"/>
          <w:sz w:val="22"/>
        </w:rPr>
        <w:t>Phone:</w:t>
      </w:r>
      <w:r w:rsidRPr="001D040C">
        <w:rPr>
          <w:b w:val="0"/>
          <w:sz w:val="22"/>
        </w:rPr>
        <w:tab/>
        <w:t>919-541-4668</w:t>
      </w:r>
    </w:p>
    <w:p w:rsidR="00C203E3" w:rsidRPr="001D040C" w:rsidRDefault="00C203E3" w:rsidP="00C203E3">
      <w:pPr>
        <w:pStyle w:val="BodyText"/>
        <w:tabs>
          <w:tab w:val="left" w:pos="1440"/>
          <w:tab w:val="left" w:pos="3240"/>
        </w:tabs>
        <w:spacing w:line="320" w:lineRule="exact"/>
        <w:ind w:left="360"/>
        <w:rPr>
          <w:b w:val="0"/>
          <w:sz w:val="22"/>
        </w:rPr>
      </w:pPr>
      <w:r w:rsidRPr="001D040C">
        <w:rPr>
          <w:b w:val="0"/>
          <w:sz w:val="22"/>
        </w:rPr>
        <w:t>Fax:</w:t>
      </w:r>
      <w:r w:rsidRPr="001D040C">
        <w:rPr>
          <w:b w:val="0"/>
          <w:sz w:val="22"/>
        </w:rPr>
        <w:tab/>
        <w:t>919-541-2511</w:t>
      </w:r>
    </w:p>
    <w:p w:rsidR="00C203E3" w:rsidRPr="001D040C" w:rsidRDefault="00C203E3" w:rsidP="00C203E3">
      <w:pPr>
        <w:pStyle w:val="BodyText"/>
        <w:tabs>
          <w:tab w:val="left" w:pos="1440"/>
          <w:tab w:val="left" w:pos="3240"/>
        </w:tabs>
        <w:spacing w:line="320" w:lineRule="exact"/>
        <w:ind w:left="360"/>
        <w:rPr>
          <w:b w:val="0"/>
          <w:sz w:val="22"/>
        </w:rPr>
      </w:pPr>
      <w:r w:rsidRPr="001D040C">
        <w:rPr>
          <w:b w:val="0"/>
          <w:sz w:val="22"/>
        </w:rPr>
        <w:t>Email:</w:t>
      </w:r>
      <w:r w:rsidRPr="001D040C">
        <w:rPr>
          <w:b w:val="0"/>
          <w:sz w:val="22"/>
        </w:rPr>
        <w:tab/>
        <w:t>juras@niehs.nih.gov</w:t>
      </w:r>
    </w:p>
    <w:p w:rsidR="00810896" w:rsidRDefault="00810896" w:rsidP="00F0730C">
      <w:pPr>
        <w:tabs>
          <w:tab w:val="left" w:pos="3510"/>
        </w:tabs>
        <w:rPr>
          <w:b/>
        </w:rPr>
      </w:pPr>
      <w:bookmarkStart w:id="0" w:name="_Toc129590302"/>
      <w:bookmarkStart w:id="1" w:name="_Toc129668544"/>
    </w:p>
    <w:p w:rsidR="00AB07C3" w:rsidRDefault="00AB07C3" w:rsidP="00AB07C3">
      <w:pPr>
        <w:tabs>
          <w:tab w:val="left" w:pos="3510"/>
        </w:tabs>
        <w:jc w:val="center"/>
      </w:pPr>
    </w:p>
    <w:p w:rsidR="00AB07C3" w:rsidRPr="00EE164F" w:rsidRDefault="00AB07C3" w:rsidP="00AB07C3">
      <w:pPr>
        <w:tabs>
          <w:tab w:val="left" w:pos="3510"/>
        </w:tabs>
        <w:spacing w:line="480" w:lineRule="auto"/>
        <w:jc w:val="center"/>
        <w:rPr>
          <w:b/>
          <w:sz w:val="22"/>
          <w:szCs w:val="22"/>
        </w:rPr>
      </w:pPr>
      <w:r w:rsidRPr="00EE164F">
        <w:rPr>
          <w:b/>
          <w:sz w:val="22"/>
          <w:szCs w:val="22"/>
        </w:rPr>
        <w:t>TABLE OF CONTENTS</w:t>
      </w:r>
    </w:p>
    <w:p w:rsidR="00AB07C3" w:rsidRPr="00AB07C3" w:rsidRDefault="00AB07C3" w:rsidP="00AB07C3">
      <w:pPr>
        <w:tabs>
          <w:tab w:val="left" w:pos="3510"/>
        </w:tabs>
        <w:spacing w:line="480" w:lineRule="auto"/>
        <w:jc w:val="center"/>
        <w:rPr>
          <w:b/>
        </w:rPr>
      </w:pPr>
    </w:p>
    <w:p w:rsidR="00AB07C3" w:rsidRPr="00EE164F" w:rsidRDefault="00AB07C3" w:rsidP="004B203B">
      <w:pPr>
        <w:pStyle w:val="TOC1"/>
        <w:tabs>
          <w:tab w:val="right" w:leader="dot" w:pos="9360"/>
        </w:tabs>
        <w:spacing w:line="480" w:lineRule="auto"/>
        <w:rPr>
          <w:sz w:val="22"/>
          <w:szCs w:val="22"/>
        </w:rPr>
      </w:pPr>
      <w:r w:rsidRPr="00EE164F">
        <w:rPr>
          <w:sz w:val="22"/>
          <w:szCs w:val="22"/>
        </w:rPr>
        <w:t>Summary</w:t>
      </w:r>
      <w:r w:rsidRPr="00EE164F">
        <w:rPr>
          <w:b w:val="0"/>
          <w:sz w:val="22"/>
          <w:szCs w:val="22"/>
        </w:rPr>
        <w:tab/>
      </w:r>
      <w:r w:rsidR="004B203B" w:rsidRPr="00EE164F">
        <w:rPr>
          <w:b w:val="0"/>
          <w:sz w:val="22"/>
          <w:szCs w:val="22"/>
        </w:rPr>
        <w:t>4</w:t>
      </w:r>
    </w:p>
    <w:p w:rsidR="00AB07C3" w:rsidRPr="00EE164F" w:rsidRDefault="00AB07C3" w:rsidP="00AB07C3">
      <w:pPr>
        <w:pStyle w:val="TOC1"/>
        <w:spacing w:line="480" w:lineRule="auto"/>
        <w:rPr>
          <w:sz w:val="22"/>
          <w:szCs w:val="22"/>
        </w:rPr>
      </w:pPr>
      <w:r w:rsidRPr="00EE164F">
        <w:rPr>
          <w:sz w:val="22"/>
          <w:szCs w:val="22"/>
        </w:rPr>
        <w:fldChar w:fldCharType="begin"/>
      </w:r>
      <w:r w:rsidRPr="00EE164F">
        <w:rPr>
          <w:sz w:val="22"/>
          <w:szCs w:val="22"/>
        </w:rPr>
        <w:instrText xml:space="preserve"> TOC \o "1-2" \u </w:instrText>
      </w:r>
      <w:r w:rsidRPr="00EE164F">
        <w:rPr>
          <w:sz w:val="22"/>
          <w:szCs w:val="22"/>
        </w:rPr>
        <w:fldChar w:fldCharType="separate"/>
      </w:r>
      <w:r w:rsidRPr="00EE164F">
        <w:rPr>
          <w:sz w:val="22"/>
          <w:szCs w:val="22"/>
        </w:rPr>
        <w:t>A.</w:t>
      </w:r>
      <w:r w:rsidRPr="00EE164F">
        <w:rPr>
          <w:sz w:val="22"/>
          <w:szCs w:val="22"/>
        </w:rPr>
        <w:tab/>
        <w:t>JUSTIFICATION</w:t>
      </w:r>
    </w:p>
    <w:p w:rsidR="00AB07C3" w:rsidRPr="00EE164F" w:rsidRDefault="00AB07C3" w:rsidP="004B203B">
      <w:pPr>
        <w:pStyle w:val="TOC2"/>
        <w:rPr>
          <w:sz w:val="22"/>
          <w:szCs w:val="22"/>
        </w:rPr>
      </w:pPr>
      <w:r w:rsidRPr="00EE164F">
        <w:rPr>
          <w:sz w:val="22"/>
          <w:szCs w:val="22"/>
        </w:rPr>
        <w:t>A.1</w:t>
      </w:r>
      <w:r w:rsidRPr="00EE164F">
        <w:rPr>
          <w:sz w:val="22"/>
          <w:szCs w:val="22"/>
        </w:rPr>
        <w:tab/>
        <w:t>Circumstances Making the Collection of Information Necessary</w:t>
      </w:r>
      <w:r w:rsidRPr="00EE164F">
        <w:rPr>
          <w:sz w:val="22"/>
          <w:szCs w:val="22"/>
        </w:rPr>
        <w:tab/>
      </w:r>
      <w:r w:rsidR="004B203B" w:rsidRPr="00EE164F">
        <w:rPr>
          <w:sz w:val="22"/>
          <w:szCs w:val="22"/>
        </w:rPr>
        <w:t>6</w:t>
      </w:r>
    </w:p>
    <w:p w:rsidR="00AB07C3" w:rsidRPr="00EE164F" w:rsidRDefault="00AB07C3" w:rsidP="004B203B">
      <w:pPr>
        <w:pStyle w:val="TOC2"/>
        <w:rPr>
          <w:sz w:val="22"/>
          <w:szCs w:val="22"/>
        </w:rPr>
      </w:pPr>
      <w:r w:rsidRPr="00EE164F">
        <w:rPr>
          <w:sz w:val="22"/>
          <w:szCs w:val="22"/>
        </w:rPr>
        <w:t>A.2.</w:t>
      </w:r>
      <w:r w:rsidRPr="00EE164F">
        <w:rPr>
          <w:sz w:val="22"/>
          <w:szCs w:val="22"/>
        </w:rPr>
        <w:tab/>
        <w:t xml:space="preserve">Purpose and Use of the Information </w:t>
      </w:r>
      <w:r w:rsidR="00FE6862" w:rsidRPr="00EE164F">
        <w:rPr>
          <w:sz w:val="22"/>
          <w:szCs w:val="22"/>
        </w:rPr>
        <w:t>Collection</w:t>
      </w:r>
      <w:r w:rsidRPr="00EE164F">
        <w:rPr>
          <w:sz w:val="22"/>
          <w:szCs w:val="22"/>
        </w:rPr>
        <w:tab/>
      </w:r>
      <w:r w:rsidR="004B203B" w:rsidRPr="00EE164F">
        <w:rPr>
          <w:sz w:val="22"/>
          <w:szCs w:val="22"/>
        </w:rPr>
        <w:t>10</w:t>
      </w:r>
    </w:p>
    <w:p w:rsidR="00AB07C3" w:rsidRPr="00EE164F" w:rsidRDefault="00AB07C3" w:rsidP="004B203B">
      <w:pPr>
        <w:pStyle w:val="TOC2"/>
        <w:rPr>
          <w:sz w:val="22"/>
          <w:szCs w:val="22"/>
        </w:rPr>
      </w:pPr>
      <w:r w:rsidRPr="00EE164F">
        <w:rPr>
          <w:sz w:val="22"/>
          <w:szCs w:val="22"/>
        </w:rPr>
        <w:t>A.3</w:t>
      </w:r>
      <w:r w:rsidRPr="00EE164F">
        <w:rPr>
          <w:sz w:val="22"/>
          <w:szCs w:val="22"/>
        </w:rPr>
        <w:tab/>
        <w:t>Use of Information Technology and Burden Reduction</w:t>
      </w:r>
      <w:r w:rsidRPr="00EE164F">
        <w:rPr>
          <w:sz w:val="22"/>
          <w:szCs w:val="22"/>
        </w:rPr>
        <w:tab/>
      </w:r>
      <w:r w:rsidR="004B203B" w:rsidRPr="00EE164F">
        <w:rPr>
          <w:sz w:val="22"/>
          <w:szCs w:val="22"/>
        </w:rPr>
        <w:t>1</w:t>
      </w:r>
      <w:r w:rsidR="00C92F65" w:rsidRPr="00EE164F">
        <w:rPr>
          <w:sz w:val="22"/>
          <w:szCs w:val="22"/>
        </w:rPr>
        <w:t>3</w:t>
      </w:r>
    </w:p>
    <w:p w:rsidR="00AB07C3" w:rsidRPr="00EE164F" w:rsidRDefault="00AB07C3" w:rsidP="004B203B">
      <w:pPr>
        <w:pStyle w:val="TOC2"/>
        <w:rPr>
          <w:sz w:val="22"/>
          <w:szCs w:val="22"/>
        </w:rPr>
      </w:pPr>
      <w:r w:rsidRPr="00EE164F">
        <w:rPr>
          <w:sz w:val="22"/>
          <w:szCs w:val="22"/>
        </w:rPr>
        <w:t>A.4</w:t>
      </w:r>
      <w:r w:rsidRPr="00EE164F">
        <w:rPr>
          <w:sz w:val="22"/>
          <w:szCs w:val="22"/>
        </w:rPr>
        <w:tab/>
        <w:t>Efforts to Identify Duplication and Use of Similar Information</w:t>
      </w:r>
      <w:r w:rsidRPr="00EE164F">
        <w:rPr>
          <w:sz w:val="22"/>
          <w:szCs w:val="22"/>
        </w:rPr>
        <w:tab/>
      </w:r>
      <w:r w:rsidR="004B203B" w:rsidRPr="00EE164F">
        <w:rPr>
          <w:sz w:val="22"/>
          <w:szCs w:val="22"/>
        </w:rPr>
        <w:t>1</w:t>
      </w:r>
      <w:r w:rsidR="00C92F65" w:rsidRPr="00EE164F">
        <w:rPr>
          <w:sz w:val="22"/>
          <w:szCs w:val="22"/>
        </w:rPr>
        <w:t>4</w:t>
      </w:r>
    </w:p>
    <w:p w:rsidR="00AB07C3" w:rsidRPr="00EE164F" w:rsidRDefault="00AB07C3" w:rsidP="004B203B">
      <w:pPr>
        <w:pStyle w:val="TOC2"/>
        <w:rPr>
          <w:sz w:val="22"/>
          <w:szCs w:val="22"/>
        </w:rPr>
      </w:pPr>
      <w:r w:rsidRPr="00EE164F">
        <w:rPr>
          <w:sz w:val="22"/>
          <w:szCs w:val="22"/>
        </w:rPr>
        <w:t>A.5</w:t>
      </w:r>
      <w:r w:rsidRPr="00EE164F">
        <w:rPr>
          <w:sz w:val="22"/>
          <w:szCs w:val="22"/>
        </w:rPr>
        <w:tab/>
        <w:t>Impact on Small Businesses or Other Small Entities</w:t>
      </w:r>
      <w:r w:rsidRPr="00EE164F">
        <w:rPr>
          <w:sz w:val="22"/>
          <w:szCs w:val="22"/>
        </w:rPr>
        <w:tab/>
      </w:r>
      <w:r w:rsidR="004B203B" w:rsidRPr="00EE164F">
        <w:rPr>
          <w:sz w:val="22"/>
          <w:szCs w:val="22"/>
        </w:rPr>
        <w:t>1</w:t>
      </w:r>
      <w:r w:rsidR="00C92F65" w:rsidRPr="00EE164F">
        <w:rPr>
          <w:sz w:val="22"/>
          <w:szCs w:val="22"/>
        </w:rPr>
        <w:t>5</w:t>
      </w:r>
    </w:p>
    <w:p w:rsidR="00AB07C3" w:rsidRPr="00EE164F" w:rsidRDefault="00AB07C3" w:rsidP="004B203B">
      <w:pPr>
        <w:pStyle w:val="TOC2"/>
        <w:rPr>
          <w:sz w:val="22"/>
          <w:szCs w:val="22"/>
        </w:rPr>
      </w:pPr>
      <w:r w:rsidRPr="00EE164F">
        <w:rPr>
          <w:sz w:val="22"/>
          <w:szCs w:val="22"/>
        </w:rPr>
        <w:t>A.6</w:t>
      </w:r>
      <w:r w:rsidRPr="00EE164F">
        <w:rPr>
          <w:sz w:val="22"/>
          <w:szCs w:val="22"/>
        </w:rPr>
        <w:tab/>
        <w:t>Consequences of Collecting the Information Less Frequently</w:t>
      </w:r>
      <w:r w:rsidRPr="00EE164F">
        <w:rPr>
          <w:sz w:val="22"/>
          <w:szCs w:val="22"/>
        </w:rPr>
        <w:tab/>
      </w:r>
      <w:r w:rsidR="004B203B" w:rsidRPr="00EE164F">
        <w:rPr>
          <w:sz w:val="22"/>
          <w:szCs w:val="22"/>
        </w:rPr>
        <w:t>1</w:t>
      </w:r>
      <w:r w:rsidR="00C92F65" w:rsidRPr="00EE164F">
        <w:rPr>
          <w:sz w:val="22"/>
          <w:szCs w:val="22"/>
        </w:rPr>
        <w:t>5</w:t>
      </w:r>
    </w:p>
    <w:p w:rsidR="00AB07C3" w:rsidRPr="00EE164F" w:rsidRDefault="00AB07C3" w:rsidP="004B203B">
      <w:pPr>
        <w:pStyle w:val="TOC2"/>
        <w:rPr>
          <w:sz w:val="22"/>
          <w:szCs w:val="22"/>
        </w:rPr>
      </w:pPr>
      <w:r w:rsidRPr="00EE164F">
        <w:rPr>
          <w:sz w:val="22"/>
          <w:szCs w:val="22"/>
        </w:rPr>
        <w:t>A.7</w:t>
      </w:r>
      <w:r w:rsidRPr="00EE164F">
        <w:rPr>
          <w:sz w:val="22"/>
          <w:szCs w:val="22"/>
        </w:rPr>
        <w:tab/>
        <w:t>Special Circumstances Relating to the Guidelines of 5 CFR 1320.5</w:t>
      </w:r>
      <w:r w:rsidRPr="00EE164F">
        <w:rPr>
          <w:sz w:val="22"/>
          <w:szCs w:val="22"/>
        </w:rPr>
        <w:tab/>
      </w:r>
      <w:r w:rsidR="004B203B" w:rsidRPr="00EE164F">
        <w:rPr>
          <w:sz w:val="22"/>
          <w:szCs w:val="22"/>
        </w:rPr>
        <w:t>1</w:t>
      </w:r>
      <w:r w:rsidR="00C92F65" w:rsidRPr="00EE164F">
        <w:rPr>
          <w:sz w:val="22"/>
          <w:szCs w:val="22"/>
        </w:rPr>
        <w:t>5</w:t>
      </w:r>
    </w:p>
    <w:p w:rsidR="00AB07C3" w:rsidRPr="00EE164F" w:rsidRDefault="00AB07C3" w:rsidP="004B203B">
      <w:pPr>
        <w:pStyle w:val="TOC2"/>
        <w:rPr>
          <w:sz w:val="22"/>
          <w:szCs w:val="22"/>
        </w:rPr>
      </w:pPr>
      <w:r w:rsidRPr="00EE164F">
        <w:rPr>
          <w:sz w:val="22"/>
          <w:szCs w:val="22"/>
        </w:rPr>
        <w:t>A.8</w:t>
      </w:r>
      <w:r w:rsidRPr="00EE164F">
        <w:rPr>
          <w:sz w:val="22"/>
          <w:szCs w:val="22"/>
        </w:rPr>
        <w:tab/>
        <w:t>Comments in Response to the Federal Register Notice and Efforts to Consult Outside Agency</w:t>
      </w:r>
      <w:r w:rsidRPr="00EE164F">
        <w:rPr>
          <w:sz w:val="22"/>
          <w:szCs w:val="22"/>
        </w:rPr>
        <w:tab/>
      </w:r>
      <w:r w:rsidR="004B203B" w:rsidRPr="00EE164F">
        <w:rPr>
          <w:sz w:val="22"/>
          <w:szCs w:val="22"/>
        </w:rPr>
        <w:t>1</w:t>
      </w:r>
      <w:r w:rsidR="00C92F65" w:rsidRPr="00EE164F">
        <w:rPr>
          <w:sz w:val="22"/>
          <w:szCs w:val="22"/>
        </w:rPr>
        <w:t>5</w:t>
      </w:r>
    </w:p>
    <w:p w:rsidR="00AB07C3" w:rsidRPr="00EE164F" w:rsidRDefault="00AB07C3" w:rsidP="004B203B">
      <w:pPr>
        <w:pStyle w:val="TOC2"/>
        <w:rPr>
          <w:sz w:val="22"/>
          <w:szCs w:val="22"/>
        </w:rPr>
      </w:pPr>
      <w:r w:rsidRPr="00EE164F">
        <w:rPr>
          <w:sz w:val="22"/>
          <w:szCs w:val="22"/>
        </w:rPr>
        <w:t>A.9</w:t>
      </w:r>
      <w:r w:rsidRPr="00EE164F">
        <w:rPr>
          <w:sz w:val="22"/>
          <w:szCs w:val="22"/>
        </w:rPr>
        <w:tab/>
        <w:t>Explanation of Any Payment of Gift to Respondents</w:t>
      </w:r>
      <w:r w:rsidRPr="00EE164F">
        <w:rPr>
          <w:sz w:val="22"/>
          <w:szCs w:val="22"/>
        </w:rPr>
        <w:tab/>
      </w:r>
      <w:r w:rsidR="004B203B" w:rsidRPr="00EE164F">
        <w:rPr>
          <w:sz w:val="22"/>
          <w:szCs w:val="22"/>
        </w:rPr>
        <w:t>1</w:t>
      </w:r>
      <w:r w:rsidR="00C92F65" w:rsidRPr="00EE164F">
        <w:rPr>
          <w:sz w:val="22"/>
          <w:szCs w:val="22"/>
        </w:rPr>
        <w:t>6</w:t>
      </w:r>
    </w:p>
    <w:p w:rsidR="00AB07C3" w:rsidRPr="00EE164F" w:rsidRDefault="00AB07C3" w:rsidP="004B203B">
      <w:pPr>
        <w:pStyle w:val="TOC2"/>
        <w:rPr>
          <w:sz w:val="22"/>
          <w:szCs w:val="22"/>
        </w:rPr>
      </w:pPr>
      <w:r w:rsidRPr="00EE164F">
        <w:rPr>
          <w:sz w:val="22"/>
          <w:szCs w:val="22"/>
        </w:rPr>
        <w:t>A.10</w:t>
      </w:r>
      <w:r w:rsidRPr="00EE164F">
        <w:rPr>
          <w:sz w:val="22"/>
          <w:szCs w:val="22"/>
        </w:rPr>
        <w:tab/>
        <w:t>Assurance of Confidentiality Provided to Respondents</w:t>
      </w:r>
      <w:r w:rsidRPr="00EE164F">
        <w:rPr>
          <w:sz w:val="22"/>
          <w:szCs w:val="22"/>
        </w:rPr>
        <w:tab/>
      </w:r>
      <w:r w:rsidR="004B203B" w:rsidRPr="00EE164F">
        <w:rPr>
          <w:sz w:val="22"/>
          <w:szCs w:val="22"/>
        </w:rPr>
        <w:t>1</w:t>
      </w:r>
      <w:r w:rsidR="00C92F65" w:rsidRPr="00EE164F">
        <w:rPr>
          <w:sz w:val="22"/>
          <w:szCs w:val="22"/>
        </w:rPr>
        <w:t>7</w:t>
      </w:r>
    </w:p>
    <w:p w:rsidR="00AB07C3" w:rsidRPr="00EE164F" w:rsidRDefault="00AB07C3" w:rsidP="004B203B">
      <w:pPr>
        <w:pStyle w:val="TOC2"/>
        <w:rPr>
          <w:sz w:val="22"/>
          <w:szCs w:val="22"/>
        </w:rPr>
      </w:pPr>
      <w:r w:rsidRPr="00EE164F">
        <w:rPr>
          <w:sz w:val="22"/>
          <w:szCs w:val="22"/>
        </w:rPr>
        <w:t>A.11</w:t>
      </w:r>
      <w:r w:rsidRPr="00EE164F">
        <w:rPr>
          <w:sz w:val="22"/>
          <w:szCs w:val="22"/>
        </w:rPr>
        <w:tab/>
        <w:t>Justification for Sensitive Questions</w:t>
      </w:r>
      <w:r w:rsidRPr="00EE164F">
        <w:rPr>
          <w:sz w:val="22"/>
          <w:szCs w:val="22"/>
        </w:rPr>
        <w:tab/>
      </w:r>
      <w:r w:rsidR="004B203B" w:rsidRPr="00EE164F">
        <w:rPr>
          <w:sz w:val="22"/>
          <w:szCs w:val="22"/>
        </w:rPr>
        <w:t>1</w:t>
      </w:r>
      <w:r w:rsidR="00C92F65" w:rsidRPr="00EE164F">
        <w:rPr>
          <w:sz w:val="22"/>
          <w:szCs w:val="22"/>
        </w:rPr>
        <w:t>8</w:t>
      </w:r>
    </w:p>
    <w:p w:rsidR="00AB07C3" w:rsidRPr="00EE164F" w:rsidRDefault="00AB07C3" w:rsidP="004B203B">
      <w:pPr>
        <w:pStyle w:val="TOC2"/>
        <w:rPr>
          <w:sz w:val="22"/>
          <w:szCs w:val="22"/>
        </w:rPr>
      </w:pPr>
      <w:r w:rsidRPr="00EE164F">
        <w:rPr>
          <w:sz w:val="22"/>
          <w:szCs w:val="22"/>
        </w:rPr>
        <w:t>A.12</w:t>
      </w:r>
      <w:r w:rsidRPr="00EE164F">
        <w:rPr>
          <w:sz w:val="22"/>
          <w:szCs w:val="22"/>
        </w:rPr>
        <w:tab/>
        <w:t>Estimates of Hour Burden Including Annualized Hourly Costs</w:t>
      </w:r>
      <w:r w:rsidRPr="00EE164F">
        <w:rPr>
          <w:sz w:val="22"/>
          <w:szCs w:val="22"/>
        </w:rPr>
        <w:tab/>
      </w:r>
      <w:r w:rsidR="004B203B" w:rsidRPr="00EE164F">
        <w:rPr>
          <w:sz w:val="22"/>
          <w:szCs w:val="22"/>
        </w:rPr>
        <w:t>1</w:t>
      </w:r>
      <w:r w:rsidR="00C92F65" w:rsidRPr="00EE164F">
        <w:rPr>
          <w:sz w:val="22"/>
          <w:szCs w:val="22"/>
        </w:rPr>
        <w:t>9</w:t>
      </w:r>
    </w:p>
    <w:p w:rsidR="00AB07C3" w:rsidRPr="00EE164F" w:rsidRDefault="00AB07C3" w:rsidP="004B203B">
      <w:pPr>
        <w:pStyle w:val="TOC2"/>
        <w:rPr>
          <w:sz w:val="22"/>
          <w:szCs w:val="22"/>
        </w:rPr>
      </w:pPr>
      <w:r w:rsidRPr="00EE164F">
        <w:rPr>
          <w:sz w:val="22"/>
          <w:szCs w:val="22"/>
        </w:rPr>
        <w:t>A.13</w:t>
      </w:r>
      <w:r w:rsidRPr="00EE164F">
        <w:rPr>
          <w:sz w:val="22"/>
          <w:szCs w:val="22"/>
        </w:rPr>
        <w:tab/>
        <w:t>Estimate of Other Total Annual Cost Burden to Respondents or Record keepers</w:t>
      </w:r>
      <w:r w:rsidRPr="00EE164F">
        <w:rPr>
          <w:sz w:val="22"/>
          <w:szCs w:val="22"/>
        </w:rPr>
        <w:tab/>
      </w:r>
      <w:r w:rsidR="00C92F65" w:rsidRPr="00EE164F">
        <w:rPr>
          <w:sz w:val="22"/>
          <w:szCs w:val="22"/>
        </w:rPr>
        <w:t>20</w:t>
      </w:r>
    </w:p>
    <w:p w:rsidR="00AB07C3" w:rsidRPr="00EE164F" w:rsidRDefault="00AB07C3" w:rsidP="004B203B">
      <w:pPr>
        <w:pStyle w:val="TOC2"/>
        <w:rPr>
          <w:sz w:val="22"/>
          <w:szCs w:val="22"/>
        </w:rPr>
      </w:pPr>
      <w:r w:rsidRPr="00EE164F">
        <w:rPr>
          <w:sz w:val="22"/>
          <w:szCs w:val="22"/>
        </w:rPr>
        <w:t>A.14</w:t>
      </w:r>
      <w:r w:rsidRPr="00EE164F">
        <w:rPr>
          <w:sz w:val="22"/>
          <w:szCs w:val="22"/>
        </w:rPr>
        <w:tab/>
        <w:t>Annualized Cost to the Federal Government</w:t>
      </w:r>
      <w:r w:rsidRPr="00EE164F">
        <w:rPr>
          <w:sz w:val="22"/>
          <w:szCs w:val="22"/>
        </w:rPr>
        <w:tab/>
      </w:r>
      <w:r w:rsidR="00C92F65" w:rsidRPr="00EE164F">
        <w:rPr>
          <w:sz w:val="22"/>
          <w:szCs w:val="22"/>
        </w:rPr>
        <w:t>20</w:t>
      </w:r>
    </w:p>
    <w:p w:rsidR="00AB07C3" w:rsidRPr="00EE164F" w:rsidRDefault="00AB07C3" w:rsidP="004B203B">
      <w:pPr>
        <w:pStyle w:val="TOC2"/>
        <w:rPr>
          <w:sz w:val="22"/>
          <w:szCs w:val="22"/>
        </w:rPr>
      </w:pPr>
      <w:r w:rsidRPr="00EE164F">
        <w:rPr>
          <w:sz w:val="22"/>
          <w:szCs w:val="22"/>
        </w:rPr>
        <w:t>A.15</w:t>
      </w:r>
      <w:r w:rsidRPr="00EE164F">
        <w:rPr>
          <w:sz w:val="22"/>
          <w:szCs w:val="22"/>
        </w:rPr>
        <w:tab/>
        <w:t>Explanation for Program Changes or Adjustments</w:t>
      </w:r>
      <w:r w:rsidRPr="00EE164F">
        <w:rPr>
          <w:sz w:val="22"/>
          <w:szCs w:val="22"/>
        </w:rPr>
        <w:tab/>
      </w:r>
      <w:r w:rsidR="00F74AA3" w:rsidRPr="00EE164F">
        <w:rPr>
          <w:sz w:val="22"/>
          <w:szCs w:val="22"/>
        </w:rPr>
        <w:t>2</w:t>
      </w:r>
      <w:r w:rsidR="00C92F65" w:rsidRPr="00EE164F">
        <w:rPr>
          <w:sz w:val="22"/>
          <w:szCs w:val="22"/>
        </w:rPr>
        <w:t>1</w:t>
      </w:r>
    </w:p>
    <w:p w:rsidR="00AB07C3" w:rsidRPr="00EE164F" w:rsidRDefault="00AB07C3" w:rsidP="004B203B">
      <w:pPr>
        <w:pStyle w:val="TOC2"/>
        <w:rPr>
          <w:sz w:val="22"/>
          <w:szCs w:val="22"/>
        </w:rPr>
      </w:pPr>
      <w:r w:rsidRPr="00EE164F">
        <w:rPr>
          <w:sz w:val="22"/>
          <w:szCs w:val="22"/>
        </w:rPr>
        <w:t>A.16</w:t>
      </w:r>
      <w:r w:rsidRPr="00EE164F">
        <w:rPr>
          <w:sz w:val="22"/>
          <w:szCs w:val="22"/>
        </w:rPr>
        <w:tab/>
        <w:t>Plans for Tabulation and Publication and Project Time Schedule</w:t>
      </w:r>
      <w:r w:rsidRPr="00EE164F">
        <w:rPr>
          <w:sz w:val="22"/>
          <w:szCs w:val="22"/>
        </w:rPr>
        <w:tab/>
      </w:r>
      <w:r w:rsidR="004B203B" w:rsidRPr="00EE164F">
        <w:rPr>
          <w:sz w:val="22"/>
          <w:szCs w:val="22"/>
        </w:rPr>
        <w:t>2</w:t>
      </w:r>
      <w:r w:rsidR="00C92F65" w:rsidRPr="00EE164F">
        <w:rPr>
          <w:sz w:val="22"/>
          <w:szCs w:val="22"/>
        </w:rPr>
        <w:t>3</w:t>
      </w:r>
    </w:p>
    <w:p w:rsidR="00AB07C3" w:rsidRPr="00EE164F" w:rsidRDefault="00AB07C3" w:rsidP="004B203B">
      <w:pPr>
        <w:pStyle w:val="TOC2"/>
        <w:rPr>
          <w:sz w:val="22"/>
          <w:szCs w:val="22"/>
        </w:rPr>
      </w:pPr>
      <w:r w:rsidRPr="00EE164F">
        <w:rPr>
          <w:sz w:val="22"/>
          <w:szCs w:val="22"/>
        </w:rPr>
        <w:t>A.17</w:t>
      </w:r>
      <w:r w:rsidRPr="00EE164F">
        <w:rPr>
          <w:sz w:val="22"/>
          <w:szCs w:val="22"/>
        </w:rPr>
        <w:tab/>
        <w:t>Reason(s) Display of OMB Expiration Date is Inappropriate</w:t>
      </w:r>
      <w:r w:rsidRPr="00EE164F">
        <w:rPr>
          <w:sz w:val="22"/>
          <w:szCs w:val="22"/>
        </w:rPr>
        <w:tab/>
      </w:r>
      <w:r w:rsidR="004B203B" w:rsidRPr="00EE164F">
        <w:rPr>
          <w:sz w:val="22"/>
          <w:szCs w:val="22"/>
        </w:rPr>
        <w:t>2</w:t>
      </w:r>
      <w:r w:rsidR="00C92F65" w:rsidRPr="00EE164F">
        <w:rPr>
          <w:sz w:val="22"/>
          <w:szCs w:val="22"/>
        </w:rPr>
        <w:t>4</w:t>
      </w:r>
    </w:p>
    <w:p w:rsidR="00AB07C3" w:rsidRPr="00EE164F" w:rsidRDefault="00AB07C3" w:rsidP="004B203B">
      <w:pPr>
        <w:pStyle w:val="TOC2"/>
        <w:rPr>
          <w:sz w:val="22"/>
          <w:szCs w:val="22"/>
        </w:rPr>
      </w:pPr>
      <w:r w:rsidRPr="00EE164F">
        <w:rPr>
          <w:sz w:val="22"/>
          <w:szCs w:val="22"/>
        </w:rPr>
        <w:t>A.18</w:t>
      </w:r>
      <w:r w:rsidRPr="00EE164F">
        <w:rPr>
          <w:sz w:val="22"/>
          <w:szCs w:val="22"/>
        </w:rPr>
        <w:tab/>
        <w:t>Exceptions to Certification for Paperwork Reduction Act Submissions</w:t>
      </w:r>
      <w:r w:rsidRPr="00EE164F">
        <w:rPr>
          <w:sz w:val="22"/>
          <w:szCs w:val="22"/>
        </w:rPr>
        <w:tab/>
      </w:r>
      <w:r w:rsidR="003A7D36" w:rsidRPr="00EE164F">
        <w:rPr>
          <w:sz w:val="22"/>
          <w:szCs w:val="22"/>
        </w:rPr>
        <w:t>2</w:t>
      </w:r>
      <w:r w:rsidR="00C92F65" w:rsidRPr="00EE164F">
        <w:rPr>
          <w:sz w:val="22"/>
          <w:szCs w:val="22"/>
        </w:rPr>
        <w:t>4</w:t>
      </w:r>
    </w:p>
    <w:p w:rsidR="00D67C78" w:rsidRPr="00EE164F" w:rsidDel="00F0730C" w:rsidRDefault="00AB07C3" w:rsidP="00D67C78">
      <w:pPr>
        <w:tabs>
          <w:tab w:val="left" w:pos="720"/>
        </w:tabs>
        <w:spacing w:line="480" w:lineRule="auto"/>
        <w:rPr>
          <w:b/>
          <w:smallCaps/>
          <w:noProof/>
          <w:sz w:val="28"/>
          <w:szCs w:val="24"/>
        </w:rPr>
      </w:pPr>
      <w:r w:rsidRPr="00EE164F">
        <w:rPr>
          <w:smallCaps/>
          <w:noProof/>
          <w:sz w:val="22"/>
          <w:szCs w:val="22"/>
        </w:rPr>
        <w:fldChar w:fldCharType="end"/>
      </w:r>
    </w:p>
    <w:p w:rsidR="00746AB2" w:rsidRPr="000149AB" w:rsidRDefault="00746AB2" w:rsidP="00F0730C">
      <w:pPr>
        <w:tabs>
          <w:tab w:val="left" w:pos="720"/>
        </w:tabs>
        <w:spacing w:line="480" w:lineRule="auto"/>
        <w:rPr>
          <w:b/>
          <w:smallCaps/>
          <w:noProof/>
          <w:sz w:val="22"/>
          <w:szCs w:val="22"/>
        </w:rPr>
      </w:pPr>
      <w:r>
        <w:rPr>
          <w:smallCaps/>
          <w:noProof/>
        </w:rPr>
        <w:br w:type="page"/>
      </w:r>
      <w:r w:rsidRPr="000149AB">
        <w:rPr>
          <w:b/>
          <w:smallCaps/>
          <w:noProof/>
          <w:sz w:val="22"/>
          <w:szCs w:val="22"/>
        </w:rPr>
        <w:lastRenderedPageBreak/>
        <w:t>List of Attachments</w:t>
      </w:r>
    </w:p>
    <w:p w:rsidR="00746AB2" w:rsidRPr="000149AB" w:rsidRDefault="00746AB2" w:rsidP="00AB07C3">
      <w:pPr>
        <w:tabs>
          <w:tab w:val="left" w:pos="720"/>
        </w:tabs>
        <w:spacing w:line="480" w:lineRule="auto"/>
        <w:rPr>
          <w:smallCaps/>
          <w:noProof/>
          <w:sz w:val="22"/>
          <w:szCs w:val="22"/>
        </w:rPr>
      </w:pPr>
    </w:p>
    <w:p w:rsidR="00746AB2" w:rsidRDefault="00736807" w:rsidP="008E0319">
      <w:pPr>
        <w:tabs>
          <w:tab w:val="left" w:pos="1800"/>
        </w:tabs>
        <w:spacing w:line="480" w:lineRule="auto"/>
        <w:rPr>
          <w:smallCaps/>
          <w:noProof/>
          <w:sz w:val="22"/>
          <w:szCs w:val="22"/>
        </w:rPr>
      </w:pPr>
      <w:r w:rsidRPr="000149AB">
        <w:rPr>
          <w:b/>
          <w:smallCaps/>
          <w:noProof/>
          <w:sz w:val="22"/>
          <w:szCs w:val="22"/>
          <w:highlight w:val="yellow"/>
        </w:rPr>
        <w:t>Attachment 1</w:t>
      </w:r>
      <w:r w:rsidR="00F65681">
        <w:rPr>
          <w:b/>
          <w:smallCaps/>
          <w:noProof/>
          <w:sz w:val="22"/>
          <w:szCs w:val="22"/>
          <w:highlight w:val="yellow"/>
        </w:rPr>
        <w:t>A</w:t>
      </w:r>
      <w:r w:rsidRPr="000149AB">
        <w:rPr>
          <w:smallCaps/>
          <w:noProof/>
          <w:sz w:val="22"/>
          <w:szCs w:val="22"/>
          <w:highlight w:val="yellow"/>
        </w:rPr>
        <w:t>:</w:t>
      </w:r>
      <w:r w:rsidRPr="000149AB">
        <w:rPr>
          <w:smallCaps/>
          <w:noProof/>
          <w:sz w:val="22"/>
          <w:szCs w:val="22"/>
          <w:highlight w:val="yellow"/>
        </w:rPr>
        <w:tab/>
        <w:t>Annual Update</w:t>
      </w:r>
      <w:r w:rsidR="00230A54" w:rsidRPr="000149AB">
        <w:rPr>
          <w:smallCaps/>
          <w:noProof/>
          <w:sz w:val="22"/>
          <w:szCs w:val="22"/>
          <w:highlight w:val="yellow"/>
        </w:rPr>
        <w:t xml:space="preserve"> form</w:t>
      </w:r>
    </w:p>
    <w:p w:rsidR="00F65681" w:rsidRDefault="00F65681" w:rsidP="008E0319">
      <w:pPr>
        <w:tabs>
          <w:tab w:val="left" w:pos="1800"/>
        </w:tabs>
        <w:spacing w:line="480" w:lineRule="auto"/>
        <w:rPr>
          <w:smallCaps/>
          <w:noProof/>
          <w:sz w:val="22"/>
          <w:szCs w:val="22"/>
        </w:rPr>
      </w:pPr>
      <w:r w:rsidRPr="00F65681">
        <w:rPr>
          <w:b/>
          <w:smallCaps/>
          <w:noProof/>
          <w:sz w:val="22"/>
          <w:szCs w:val="22"/>
          <w:highlight w:val="yellow"/>
        </w:rPr>
        <w:t>Attachment 1B</w:t>
      </w:r>
      <w:r w:rsidRPr="00F65681">
        <w:rPr>
          <w:smallCaps/>
          <w:noProof/>
          <w:sz w:val="22"/>
          <w:szCs w:val="22"/>
          <w:highlight w:val="yellow"/>
        </w:rPr>
        <w:t>:</w:t>
      </w:r>
      <w:r w:rsidRPr="00F65681">
        <w:rPr>
          <w:smallCaps/>
          <w:noProof/>
          <w:sz w:val="22"/>
          <w:szCs w:val="22"/>
          <w:highlight w:val="yellow"/>
        </w:rPr>
        <w:tab/>
        <w:t>Annual Update Correspondence</w:t>
      </w:r>
    </w:p>
    <w:p w:rsidR="00CD0A09" w:rsidRDefault="00CD0A09" w:rsidP="008E0319">
      <w:pPr>
        <w:tabs>
          <w:tab w:val="left" w:pos="1800"/>
        </w:tabs>
        <w:spacing w:line="480" w:lineRule="auto"/>
        <w:rPr>
          <w:smallCaps/>
          <w:noProof/>
          <w:sz w:val="22"/>
          <w:szCs w:val="22"/>
        </w:rPr>
      </w:pPr>
      <w:r w:rsidRPr="00CD0A09">
        <w:rPr>
          <w:b/>
          <w:smallCaps/>
          <w:noProof/>
          <w:sz w:val="22"/>
          <w:szCs w:val="22"/>
          <w:highlight w:val="yellow"/>
        </w:rPr>
        <w:t>Attachment 1C</w:t>
      </w:r>
      <w:r w:rsidRPr="00CD0A09">
        <w:rPr>
          <w:smallCaps/>
          <w:noProof/>
          <w:sz w:val="22"/>
          <w:szCs w:val="22"/>
          <w:highlight w:val="yellow"/>
        </w:rPr>
        <w:t>:</w:t>
      </w:r>
      <w:r w:rsidRPr="00CD0A09">
        <w:rPr>
          <w:smallCaps/>
          <w:noProof/>
          <w:sz w:val="22"/>
          <w:szCs w:val="22"/>
          <w:highlight w:val="yellow"/>
        </w:rPr>
        <w:tab/>
        <w:t>Annual Update Web Screenshots</w:t>
      </w:r>
    </w:p>
    <w:p w:rsidR="00736807" w:rsidRPr="000149AB" w:rsidRDefault="00736807" w:rsidP="008E0319">
      <w:pPr>
        <w:tabs>
          <w:tab w:val="left" w:pos="1800"/>
        </w:tabs>
        <w:spacing w:line="480" w:lineRule="auto"/>
        <w:rPr>
          <w:smallCaps/>
          <w:noProof/>
          <w:sz w:val="22"/>
          <w:szCs w:val="22"/>
          <w:highlight w:val="yellow"/>
        </w:rPr>
      </w:pPr>
      <w:r w:rsidRPr="000149AB">
        <w:rPr>
          <w:b/>
          <w:smallCaps/>
          <w:noProof/>
          <w:sz w:val="22"/>
          <w:szCs w:val="22"/>
          <w:highlight w:val="yellow"/>
        </w:rPr>
        <w:t>Attachment 2</w:t>
      </w:r>
      <w:r w:rsidR="00230A54" w:rsidRPr="000149AB">
        <w:rPr>
          <w:b/>
          <w:smallCaps/>
          <w:noProof/>
          <w:sz w:val="22"/>
          <w:szCs w:val="22"/>
          <w:highlight w:val="yellow"/>
        </w:rPr>
        <w:t>A</w:t>
      </w:r>
      <w:r w:rsidR="00EC51B7" w:rsidRPr="000149AB">
        <w:rPr>
          <w:smallCaps/>
          <w:noProof/>
          <w:sz w:val="22"/>
          <w:szCs w:val="22"/>
          <w:highlight w:val="yellow"/>
        </w:rPr>
        <w:t>:</w:t>
      </w:r>
      <w:r w:rsidR="00EC51B7" w:rsidRPr="000149AB">
        <w:rPr>
          <w:smallCaps/>
          <w:noProof/>
          <w:sz w:val="22"/>
          <w:szCs w:val="22"/>
          <w:highlight w:val="yellow"/>
        </w:rPr>
        <w:tab/>
        <w:t>Follow-Up II</w:t>
      </w:r>
      <w:r w:rsidR="007D1372" w:rsidRPr="000149AB">
        <w:rPr>
          <w:smallCaps/>
          <w:noProof/>
          <w:sz w:val="22"/>
          <w:szCs w:val="22"/>
          <w:highlight w:val="yellow"/>
        </w:rPr>
        <w:t>I</w:t>
      </w:r>
      <w:r w:rsidR="00EC51B7" w:rsidRPr="000149AB">
        <w:rPr>
          <w:smallCaps/>
          <w:noProof/>
          <w:sz w:val="22"/>
          <w:szCs w:val="22"/>
          <w:highlight w:val="yellow"/>
        </w:rPr>
        <w:t xml:space="preserve"> (tr</w:t>
      </w:r>
      <w:r w:rsidRPr="000149AB">
        <w:rPr>
          <w:smallCaps/>
          <w:noProof/>
          <w:sz w:val="22"/>
          <w:szCs w:val="22"/>
          <w:highlight w:val="yellow"/>
        </w:rPr>
        <w:t>iennial)</w:t>
      </w:r>
      <w:r w:rsidR="00230A54" w:rsidRPr="000149AB">
        <w:rPr>
          <w:smallCaps/>
          <w:noProof/>
          <w:sz w:val="22"/>
          <w:szCs w:val="22"/>
          <w:highlight w:val="yellow"/>
        </w:rPr>
        <w:t xml:space="preserve"> forms</w:t>
      </w:r>
    </w:p>
    <w:p w:rsidR="002674D3" w:rsidRDefault="002674D3" w:rsidP="008E0319">
      <w:pPr>
        <w:tabs>
          <w:tab w:val="left" w:pos="1800"/>
        </w:tabs>
        <w:spacing w:line="480" w:lineRule="auto"/>
        <w:rPr>
          <w:smallCaps/>
          <w:noProof/>
          <w:sz w:val="22"/>
          <w:szCs w:val="22"/>
        </w:rPr>
      </w:pPr>
      <w:r w:rsidRPr="00F65681">
        <w:rPr>
          <w:b/>
          <w:smallCaps/>
          <w:noProof/>
          <w:sz w:val="22"/>
          <w:szCs w:val="22"/>
          <w:highlight w:val="yellow"/>
        </w:rPr>
        <w:t>Attachment 2</w:t>
      </w:r>
      <w:r w:rsidR="007D1372" w:rsidRPr="00F65681">
        <w:rPr>
          <w:b/>
          <w:smallCaps/>
          <w:noProof/>
          <w:sz w:val="22"/>
          <w:szCs w:val="22"/>
          <w:highlight w:val="yellow"/>
        </w:rPr>
        <w:t>B</w:t>
      </w:r>
      <w:r w:rsidRPr="00F65681">
        <w:rPr>
          <w:smallCaps/>
          <w:noProof/>
          <w:sz w:val="22"/>
          <w:szCs w:val="22"/>
          <w:highlight w:val="yellow"/>
        </w:rPr>
        <w:t>:</w:t>
      </w:r>
      <w:r w:rsidRPr="00F65681">
        <w:rPr>
          <w:smallCaps/>
          <w:noProof/>
          <w:sz w:val="22"/>
          <w:szCs w:val="22"/>
          <w:highlight w:val="yellow"/>
        </w:rPr>
        <w:tab/>
        <w:t xml:space="preserve">Follow-Up </w:t>
      </w:r>
      <w:r w:rsidR="007D1372" w:rsidRPr="00F65681">
        <w:rPr>
          <w:smallCaps/>
          <w:noProof/>
          <w:sz w:val="22"/>
          <w:szCs w:val="22"/>
          <w:highlight w:val="yellow"/>
        </w:rPr>
        <w:t>III</w:t>
      </w:r>
      <w:r w:rsidRPr="00F65681">
        <w:rPr>
          <w:smallCaps/>
          <w:noProof/>
          <w:sz w:val="22"/>
          <w:szCs w:val="22"/>
          <w:highlight w:val="yellow"/>
        </w:rPr>
        <w:t xml:space="preserve"> </w:t>
      </w:r>
      <w:r w:rsidR="00F65681" w:rsidRPr="00F65681">
        <w:rPr>
          <w:smallCaps/>
          <w:noProof/>
          <w:sz w:val="22"/>
          <w:szCs w:val="22"/>
          <w:highlight w:val="yellow"/>
        </w:rPr>
        <w:t>Correspondence</w:t>
      </w:r>
    </w:p>
    <w:p w:rsidR="00DB58F9" w:rsidRDefault="00DB58F9" w:rsidP="008E0319">
      <w:pPr>
        <w:tabs>
          <w:tab w:val="left" w:pos="1800"/>
        </w:tabs>
        <w:spacing w:line="480" w:lineRule="auto"/>
        <w:rPr>
          <w:smallCaps/>
          <w:noProof/>
          <w:sz w:val="22"/>
          <w:szCs w:val="22"/>
        </w:rPr>
      </w:pPr>
      <w:r w:rsidRPr="00DB58F9">
        <w:rPr>
          <w:b/>
          <w:smallCaps/>
          <w:noProof/>
          <w:sz w:val="22"/>
          <w:szCs w:val="22"/>
          <w:highlight w:val="yellow"/>
        </w:rPr>
        <w:t>Attachment 2C</w:t>
      </w:r>
      <w:r w:rsidRPr="00DB58F9">
        <w:rPr>
          <w:smallCaps/>
          <w:noProof/>
          <w:sz w:val="22"/>
          <w:szCs w:val="22"/>
          <w:highlight w:val="yellow"/>
        </w:rPr>
        <w:t>:</w:t>
      </w:r>
      <w:r w:rsidRPr="00DB58F9">
        <w:rPr>
          <w:smallCaps/>
          <w:noProof/>
          <w:sz w:val="22"/>
          <w:szCs w:val="22"/>
          <w:highlight w:val="yellow"/>
        </w:rPr>
        <w:tab/>
        <w:t>Follow-Up III Script</w:t>
      </w:r>
    </w:p>
    <w:p w:rsidR="00CD0A09" w:rsidRDefault="00CD0A09" w:rsidP="008E0319">
      <w:pPr>
        <w:tabs>
          <w:tab w:val="left" w:pos="1800"/>
        </w:tabs>
        <w:spacing w:line="480" w:lineRule="auto"/>
        <w:rPr>
          <w:smallCaps/>
          <w:noProof/>
          <w:sz w:val="22"/>
          <w:szCs w:val="22"/>
        </w:rPr>
      </w:pPr>
      <w:r w:rsidRPr="00CD0A09">
        <w:rPr>
          <w:b/>
          <w:smallCaps/>
          <w:noProof/>
          <w:sz w:val="22"/>
          <w:szCs w:val="22"/>
          <w:highlight w:val="yellow"/>
        </w:rPr>
        <w:t>Attachment 2D</w:t>
      </w:r>
      <w:r w:rsidRPr="00CD0A09">
        <w:rPr>
          <w:smallCaps/>
          <w:noProof/>
          <w:sz w:val="22"/>
          <w:szCs w:val="22"/>
          <w:highlight w:val="yellow"/>
        </w:rPr>
        <w:t>:</w:t>
      </w:r>
      <w:r w:rsidRPr="00CD0A09">
        <w:rPr>
          <w:smallCaps/>
          <w:noProof/>
          <w:sz w:val="22"/>
          <w:szCs w:val="22"/>
          <w:highlight w:val="yellow"/>
        </w:rPr>
        <w:tab/>
        <w:t>Follow-Up III Web Screenshots</w:t>
      </w:r>
    </w:p>
    <w:p w:rsidR="00736807" w:rsidRPr="000149AB" w:rsidRDefault="00736807" w:rsidP="008E0319">
      <w:pPr>
        <w:tabs>
          <w:tab w:val="left" w:pos="1800"/>
        </w:tabs>
        <w:spacing w:line="480" w:lineRule="auto"/>
        <w:rPr>
          <w:smallCaps/>
          <w:noProof/>
          <w:sz w:val="22"/>
          <w:szCs w:val="22"/>
        </w:rPr>
      </w:pPr>
      <w:r w:rsidRPr="000149AB">
        <w:rPr>
          <w:b/>
          <w:smallCaps/>
          <w:noProof/>
          <w:sz w:val="22"/>
          <w:szCs w:val="22"/>
        </w:rPr>
        <w:t>Attachment 3</w:t>
      </w:r>
      <w:r w:rsidRPr="000149AB">
        <w:rPr>
          <w:smallCaps/>
          <w:noProof/>
          <w:sz w:val="22"/>
          <w:szCs w:val="22"/>
        </w:rPr>
        <w:t>:</w:t>
      </w:r>
      <w:r w:rsidRPr="000149AB">
        <w:rPr>
          <w:smallCaps/>
          <w:noProof/>
          <w:sz w:val="22"/>
          <w:szCs w:val="22"/>
        </w:rPr>
        <w:tab/>
        <w:t>Consultation and Review Record</w:t>
      </w:r>
    </w:p>
    <w:p w:rsidR="00736807" w:rsidRPr="000149AB" w:rsidRDefault="00736807" w:rsidP="008E0319">
      <w:pPr>
        <w:tabs>
          <w:tab w:val="left" w:pos="1800"/>
        </w:tabs>
        <w:spacing w:line="480" w:lineRule="auto"/>
        <w:rPr>
          <w:smallCaps/>
          <w:noProof/>
          <w:sz w:val="22"/>
          <w:szCs w:val="22"/>
        </w:rPr>
      </w:pPr>
      <w:r w:rsidRPr="000149AB">
        <w:rPr>
          <w:b/>
          <w:smallCaps/>
          <w:noProof/>
          <w:sz w:val="22"/>
          <w:szCs w:val="22"/>
        </w:rPr>
        <w:t>Attachment 4</w:t>
      </w:r>
      <w:r w:rsidRPr="000149AB">
        <w:rPr>
          <w:smallCaps/>
          <w:noProof/>
          <w:sz w:val="22"/>
          <w:szCs w:val="22"/>
        </w:rPr>
        <w:t>:</w:t>
      </w:r>
      <w:r w:rsidRPr="000149AB">
        <w:rPr>
          <w:smallCaps/>
          <w:noProof/>
          <w:sz w:val="22"/>
          <w:szCs w:val="22"/>
        </w:rPr>
        <w:tab/>
        <w:t>Staff Confidentiality Agreement</w:t>
      </w:r>
    </w:p>
    <w:p w:rsidR="00736807" w:rsidRPr="000149AB" w:rsidRDefault="00736807" w:rsidP="008E0319">
      <w:pPr>
        <w:tabs>
          <w:tab w:val="left" w:pos="1800"/>
        </w:tabs>
        <w:spacing w:line="480" w:lineRule="auto"/>
        <w:rPr>
          <w:smallCaps/>
          <w:noProof/>
          <w:sz w:val="22"/>
          <w:szCs w:val="22"/>
        </w:rPr>
      </w:pPr>
      <w:r w:rsidRPr="000149AB">
        <w:rPr>
          <w:b/>
          <w:smallCaps/>
          <w:noProof/>
          <w:sz w:val="22"/>
          <w:szCs w:val="22"/>
        </w:rPr>
        <w:t>Attachment 5</w:t>
      </w:r>
      <w:r w:rsidRPr="000149AB">
        <w:rPr>
          <w:smallCaps/>
          <w:noProof/>
          <w:sz w:val="22"/>
          <w:szCs w:val="22"/>
        </w:rPr>
        <w:t>:</w:t>
      </w:r>
      <w:r w:rsidRPr="000149AB">
        <w:rPr>
          <w:smallCaps/>
          <w:noProof/>
          <w:sz w:val="22"/>
          <w:szCs w:val="22"/>
        </w:rPr>
        <w:tab/>
        <w:t>Certificate of Confidentiality</w:t>
      </w:r>
    </w:p>
    <w:p w:rsidR="00736807" w:rsidRPr="00F90A70" w:rsidRDefault="00736807" w:rsidP="008E0319">
      <w:pPr>
        <w:tabs>
          <w:tab w:val="left" w:pos="1800"/>
        </w:tabs>
        <w:spacing w:line="480" w:lineRule="auto"/>
        <w:rPr>
          <w:smallCaps/>
          <w:noProof/>
          <w:sz w:val="22"/>
          <w:szCs w:val="22"/>
          <w:highlight w:val="yellow"/>
        </w:rPr>
      </w:pPr>
      <w:r w:rsidRPr="00F90A70">
        <w:rPr>
          <w:b/>
          <w:smallCaps/>
          <w:noProof/>
          <w:sz w:val="22"/>
          <w:szCs w:val="22"/>
          <w:highlight w:val="yellow"/>
        </w:rPr>
        <w:t xml:space="preserve">Attachment </w:t>
      </w:r>
      <w:r w:rsidR="00CD0A09" w:rsidRPr="00F90A70">
        <w:rPr>
          <w:b/>
          <w:smallCaps/>
          <w:noProof/>
          <w:sz w:val="22"/>
          <w:szCs w:val="22"/>
          <w:highlight w:val="yellow"/>
        </w:rPr>
        <w:t>6</w:t>
      </w:r>
      <w:r w:rsidRPr="00F90A70">
        <w:rPr>
          <w:smallCaps/>
          <w:noProof/>
          <w:sz w:val="22"/>
          <w:szCs w:val="22"/>
          <w:highlight w:val="yellow"/>
        </w:rPr>
        <w:t>:</w:t>
      </w:r>
      <w:r w:rsidRPr="00F90A70">
        <w:rPr>
          <w:smallCaps/>
          <w:noProof/>
          <w:sz w:val="22"/>
          <w:szCs w:val="22"/>
          <w:highlight w:val="yellow"/>
        </w:rPr>
        <w:tab/>
        <w:t>NIEHS IRB Continuing Review</w:t>
      </w:r>
      <w:r w:rsidR="00230A54" w:rsidRPr="00F90A70">
        <w:rPr>
          <w:smallCaps/>
          <w:noProof/>
          <w:sz w:val="22"/>
          <w:szCs w:val="22"/>
          <w:highlight w:val="yellow"/>
        </w:rPr>
        <w:t xml:space="preserve"> (Current)</w:t>
      </w:r>
    </w:p>
    <w:p w:rsidR="00736807" w:rsidRPr="000149AB" w:rsidRDefault="00736807" w:rsidP="008E0319">
      <w:pPr>
        <w:tabs>
          <w:tab w:val="left" w:pos="1800"/>
        </w:tabs>
        <w:spacing w:line="480" w:lineRule="auto"/>
        <w:rPr>
          <w:smallCaps/>
          <w:noProof/>
          <w:sz w:val="22"/>
          <w:szCs w:val="22"/>
        </w:rPr>
      </w:pPr>
      <w:r w:rsidRPr="00F90A70">
        <w:rPr>
          <w:b/>
          <w:smallCaps/>
          <w:noProof/>
          <w:sz w:val="22"/>
          <w:szCs w:val="22"/>
          <w:highlight w:val="yellow"/>
        </w:rPr>
        <w:t xml:space="preserve">Attachment </w:t>
      </w:r>
      <w:r w:rsidR="00CD0A09" w:rsidRPr="00F90A70">
        <w:rPr>
          <w:b/>
          <w:smallCaps/>
          <w:noProof/>
          <w:sz w:val="22"/>
          <w:szCs w:val="22"/>
          <w:highlight w:val="yellow"/>
        </w:rPr>
        <w:t>7</w:t>
      </w:r>
      <w:r w:rsidRPr="00F90A70">
        <w:rPr>
          <w:smallCaps/>
          <w:noProof/>
          <w:sz w:val="22"/>
          <w:szCs w:val="22"/>
          <w:highlight w:val="yellow"/>
        </w:rPr>
        <w:t>:</w:t>
      </w:r>
      <w:r w:rsidRPr="00F90A70">
        <w:rPr>
          <w:smallCaps/>
          <w:noProof/>
          <w:sz w:val="22"/>
          <w:szCs w:val="22"/>
          <w:highlight w:val="yellow"/>
        </w:rPr>
        <w:tab/>
        <w:t>Copernicus Group IRB Continuing Review</w:t>
      </w:r>
      <w:r w:rsidR="00230A54" w:rsidRPr="00F90A70">
        <w:rPr>
          <w:smallCaps/>
          <w:noProof/>
          <w:sz w:val="22"/>
          <w:szCs w:val="22"/>
          <w:highlight w:val="yellow"/>
        </w:rPr>
        <w:t xml:space="preserve"> (Current)</w:t>
      </w:r>
    </w:p>
    <w:p w:rsidR="007D1372" w:rsidRPr="000149AB" w:rsidRDefault="00736807" w:rsidP="008E0319">
      <w:pPr>
        <w:tabs>
          <w:tab w:val="left" w:pos="1800"/>
        </w:tabs>
        <w:spacing w:line="480" w:lineRule="auto"/>
        <w:rPr>
          <w:smallCaps/>
          <w:noProof/>
          <w:sz w:val="22"/>
          <w:szCs w:val="22"/>
        </w:rPr>
      </w:pPr>
      <w:r w:rsidRPr="000149AB">
        <w:rPr>
          <w:b/>
          <w:smallCaps/>
          <w:noProof/>
          <w:sz w:val="22"/>
          <w:szCs w:val="22"/>
        </w:rPr>
        <w:t xml:space="preserve">Attachment </w:t>
      </w:r>
      <w:r w:rsidR="00CD0A09">
        <w:rPr>
          <w:b/>
          <w:smallCaps/>
          <w:noProof/>
          <w:sz w:val="22"/>
          <w:szCs w:val="22"/>
        </w:rPr>
        <w:t>8</w:t>
      </w:r>
      <w:r w:rsidRPr="000149AB">
        <w:rPr>
          <w:smallCaps/>
          <w:noProof/>
          <w:sz w:val="22"/>
          <w:szCs w:val="22"/>
        </w:rPr>
        <w:t>:</w:t>
      </w:r>
      <w:r w:rsidRPr="000149AB">
        <w:rPr>
          <w:smallCaps/>
          <w:noProof/>
          <w:sz w:val="22"/>
          <w:szCs w:val="22"/>
        </w:rPr>
        <w:tab/>
        <w:t>Measuring Stress in the Sister Study</w:t>
      </w:r>
    </w:p>
    <w:p w:rsidR="0076222C" w:rsidRPr="0076222C" w:rsidRDefault="0076222C" w:rsidP="008E0319">
      <w:pPr>
        <w:tabs>
          <w:tab w:val="left" w:pos="1800"/>
        </w:tabs>
        <w:spacing w:line="480" w:lineRule="auto"/>
        <w:rPr>
          <w:b/>
          <w:smallCaps/>
          <w:noProof/>
          <w:sz w:val="22"/>
          <w:szCs w:val="22"/>
        </w:rPr>
      </w:pPr>
      <w:r w:rsidRPr="00F90A70">
        <w:rPr>
          <w:b/>
          <w:smallCaps/>
          <w:sz w:val="22"/>
          <w:szCs w:val="22"/>
          <w:highlight w:val="yellow"/>
        </w:rPr>
        <w:t xml:space="preserve">Attachment </w:t>
      </w:r>
      <w:r w:rsidR="00CD0A09" w:rsidRPr="00F90A70">
        <w:rPr>
          <w:b/>
          <w:smallCaps/>
          <w:sz w:val="22"/>
          <w:szCs w:val="22"/>
          <w:highlight w:val="yellow"/>
        </w:rPr>
        <w:t>9</w:t>
      </w:r>
      <w:r w:rsidRPr="00F90A70">
        <w:rPr>
          <w:smallCaps/>
          <w:sz w:val="22"/>
          <w:szCs w:val="22"/>
          <w:highlight w:val="yellow"/>
        </w:rPr>
        <w:t>:</w:t>
      </w:r>
      <w:r w:rsidRPr="00F90A70">
        <w:rPr>
          <w:smallCaps/>
          <w:sz w:val="22"/>
          <w:szCs w:val="22"/>
          <w:highlight w:val="yellow"/>
        </w:rPr>
        <w:tab/>
        <w:t>Reports since last revision</w:t>
      </w:r>
    </w:p>
    <w:p w:rsidR="008A0433" w:rsidRPr="008A0433" w:rsidRDefault="008A0433" w:rsidP="008A0433"/>
    <w:p w:rsidR="006D061C" w:rsidRPr="001D040C" w:rsidRDefault="00AB07C3" w:rsidP="007D1372">
      <w:pPr>
        <w:pStyle w:val="Heading1"/>
      </w:pPr>
      <w:r>
        <w:br w:type="page"/>
      </w:r>
      <w:r w:rsidR="006D061C" w:rsidRPr="001D040C">
        <w:lastRenderedPageBreak/>
        <w:t>Summary</w:t>
      </w:r>
      <w:bookmarkEnd w:id="0"/>
      <w:bookmarkEnd w:id="1"/>
    </w:p>
    <w:p w:rsidR="00D729E2" w:rsidRPr="001D040C" w:rsidRDefault="00D729E2" w:rsidP="00D729E2">
      <w:pPr>
        <w:spacing w:line="480" w:lineRule="auto"/>
        <w:ind w:firstLine="270"/>
        <w:rPr>
          <w:sz w:val="22"/>
          <w:szCs w:val="22"/>
        </w:rPr>
      </w:pPr>
      <w:r w:rsidRPr="001D040C">
        <w:rPr>
          <w:sz w:val="22"/>
          <w:szCs w:val="22"/>
        </w:rPr>
        <w:t>The Sister Study is a prospective cohort study of the environmental and genetic risk factors for breast cancer and other diseases among 50,000 sisters of women who have had breast cancer.  The long-term design allows us to also study the impact of environmental and genetic factors on survival and outcomes following a breast cancer diagnosis.</w:t>
      </w:r>
    </w:p>
    <w:p w:rsidR="00D729E2" w:rsidRPr="001D040C" w:rsidRDefault="00D729E2" w:rsidP="00D729E2">
      <w:pPr>
        <w:spacing w:line="480" w:lineRule="auto"/>
        <w:ind w:firstLine="270"/>
        <w:rPr>
          <w:sz w:val="22"/>
          <w:szCs w:val="22"/>
        </w:rPr>
      </w:pPr>
      <w:r w:rsidRPr="001D040C">
        <w:rPr>
          <w:sz w:val="22"/>
          <w:szCs w:val="22"/>
        </w:rPr>
        <w:t xml:space="preserve">In the United States, </w:t>
      </w:r>
      <w:r w:rsidR="00DC3EA4">
        <w:rPr>
          <w:sz w:val="22"/>
          <w:szCs w:val="22"/>
        </w:rPr>
        <w:t>more than 200,000</w:t>
      </w:r>
      <w:r w:rsidRPr="001D040C">
        <w:rPr>
          <w:sz w:val="22"/>
          <w:szCs w:val="22"/>
        </w:rPr>
        <w:t xml:space="preserve"> new cases of breast cancer are diagnosed each year. Breast cancer accounts for </w:t>
      </w:r>
      <w:r w:rsidR="00B2062B">
        <w:rPr>
          <w:sz w:val="22"/>
          <w:szCs w:val="22"/>
        </w:rPr>
        <w:t>~</w:t>
      </w:r>
      <w:r w:rsidRPr="001D040C">
        <w:rPr>
          <w:sz w:val="22"/>
          <w:szCs w:val="22"/>
        </w:rPr>
        <w:t xml:space="preserve">30% of all new cancer cases among women and </w:t>
      </w:r>
      <w:r w:rsidR="00B2062B">
        <w:rPr>
          <w:sz w:val="22"/>
          <w:szCs w:val="22"/>
        </w:rPr>
        <w:t>~</w:t>
      </w:r>
      <w:r w:rsidRPr="001D040C">
        <w:rPr>
          <w:sz w:val="22"/>
          <w:szCs w:val="22"/>
        </w:rPr>
        <w:t xml:space="preserve">15% of cancer deaths. The etiology of breast cancer is complex, with both genetic and environmental factors playing a role. Currently established breast cancer risk factors account for less than half the variation in breast cancer risk across the </w:t>
      </w:r>
      <w:smartTag w:uri="urn:schemas-microsoft-com:office:smarttags" w:element="place">
        <w:smartTag w:uri="urn:schemas-microsoft-com:office:smarttags" w:element="country-region">
          <w:r w:rsidRPr="001D040C">
            <w:rPr>
              <w:sz w:val="22"/>
              <w:szCs w:val="22"/>
            </w:rPr>
            <w:t>United States</w:t>
          </w:r>
        </w:smartTag>
      </w:smartTag>
      <w:r w:rsidRPr="001D040C">
        <w:rPr>
          <w:sz w:val="22"/>
          <w:szCs w:val="22"/>
        </w:rPr>
        <w:t>, and known breast cancer genes are found in fewer than 10% of breast cancer patients.  Although the concordance rate for monozygotic twins is less than 20% (underscoring the importance of environmental contributors), sisters of women with breast cancer have, on average, a 2-fold increase in risk for breast cancer themselves. By focusing on a genetically susceptible group, more precise estimates of the contribution of environmental and other non-genetic factors to disease risk may be possible and the power to study gene by environment interactions will be greatly enhanced.</w:t>
      </w:r>
    </w:p>
    <w:p w:rsidR="00D729E2" w:rsidRPr="001D040C" w:rsidRDefault="00D729E2" w:rsidP="00D729E2">
      <w:pPr>
        <w:spacing w:line="480" w:lineRule="auto"/>
        <w:ind w:firstLine="270"/>
        <w:rPr>
          <w:sz w:val="22"/>
          <w:szCs w:val="22"/>
        </w:rPr>
      </w:pPr>
      <w:bookmarkStart w:id="2" w:name="OLE_LINK2"/>
      <w:bookmarkStart w:id="3" w:name="OLE_LINK3"/>
      <w:r w:rsidRPr="001D040C">
        <w:rPr>
          <w:sz w:val="22"/>
          <w:szCs w:val="22"/>
        </w:rPr>
        <w:t xml:space="preserve">Between August 2003 and August 2009, we enrolled just over 50,000 at-risk volunteers into a prospective cohort study known as the Sister Study.  Sister Study participants were recruited from across the </w:t>
      </w:r>
      <w:smartTag w:uri="urn:schemas-microsoft-com:office:smarttags" w:element="country-region">
        <w:r w:rsidRPr="001D040C">
          <w:rPr>
            <w:sz w:val="22"/>
            <w:szCs w:val="22"/>
          </w:rPr>
          <w:t>United States</w:t>
        </w:r>
      </w:smartTag>
      <w:r w:rsidRPr="001D040C">
        <w:rPr>
          <w:sz w:val="22"/>
          <w:szCs w:val="22"/>
        </w:rPr>
        <w:t xml:space="preserve"> and </w:t>
      </w:r>
      <w:smartTag w:uri="urn:schemas-microsoft-com:office:smarttags" w:element="place">
        <w:r w:rsidRPr="001D040C">
          <w:rPr>
            <w:sz w:val="22"/>
            <w:szCs w:val="22"/>
          </w:rPr>
          <w:t>Puerto Rico</w:t>
        </w:r>
      </w:smartTag>
      <w:r w:rsidRPr="001D040C">
        <w:rPr>
          <w:sz w:val="22"/>
          <w:szCs w:val="22"/>
        </w:rPr>
        <w:t xml:space="preserve">.  They were between ages 35 and 74 at enrollment and had at least one full or half sister who was diagnosed with breast cancer.  Participants were recruited through a variety of means including the media, breast cancer advocacy groups, medical practitioners, community partners, and Sister Study participants themselves.  Recruitment strategies were designed to enroll a cohort of sisters that is ethnically, geographically, and socioeconomically diverse.  At enrollment, participants provided complete histories of personal and family health, reproductive health, diet, and environmental and lifestyle exposures. They completed a home exam in which height, weight, waist circumference, and blood pressure were measured by an examiner who also collected a blood sample. Whole blood, serum, </w:t>
      </w:r>
      <w:r w:rsidRPr="001D040C">
        <w:rPr>
          <w:sz w:val="22"/>
          <w:szCs w:val="22"/>
        </w:rPr>
        <w:lastRenderedPageBreak/>
        <w:t xml:space="preserve">plasma, blood clots, blood spots, and cryopreserved lymphocytes were stored for future use.  Participants also provided a first morning urine sample, toenail clippings, and household dust wipe samples. </w:t>
      </w:r>
    </w:p>
    <w:p w:rsidR="00D729E2" w:rsidRPr="001D040C" w:rsidRDefault="00D729E2" w:rsidP="00D729E2">
      <w:pPr>
        <w:spacing w:line="480" w:lineRule="auto"/>
        <w:ind w:firstLine="270"/>
        <w:rPr>
          <w:sz w:val="22"/>
          <w:szCs w:val="22"/>
        </w:rPr>
      </w:pPr>
      <w:r w:rsidRPr="001D040C">
        <w:rPr>
          <w:sz w:val="22"/>
          <w:szCs w:val="22"/>
        </w:rPr>
        <w:t xml:space="preserve">Now in </w:t>
      </w:r>
      <w:r w:rsidR="007D1372">
        <w:rPr>
          <w:sz w:val="22"/>
          <w:szCs w:val="22"/>
        </w:rPr>
        <w:t>the long-term follow up phase</w:t>
      </w:r>
      <w:r w:rsidRPr="001D040C">
        <w:rPr>
          <w:sz w:val="22"/>
          <w:szCs w:val="22"/>
        </w:rPr>
        <w:t xml:space="preserve"> of the Sister Study, the enrolled high-risk cohort </w:t>
      </w:r>
      <w:r w:rsidR="00F66F44">
        <w:rPr>
          <w:sz w:val="22"/>
          <w:szCs w:val="22"/>
        </w:rPr>
        <w:t xml:space="preserve">is being </w:t>
      </w:r>
      <w:r w:rsidRPr="001D040C">
        <w:rPr>
          <w:sz w:val="22"/>
          <w:szCs w:val="22"/>
        </w:rPr>
        <w:t xml:space="preserve">followed actively for </w:t>
      </w:r>
      <w:r w:rsidR="001C786C">
        <w:rPr>
          <w:sz w:val="22"/>
          <w:szCs w:val="22"/>
        </w:rPr>
        <w:t xml:space="preserve">at least </w:t>
      </w:r>
      <w:r w:rsidRPr="001D040C">
        <w:rPr>
          <w:sz w:val="22"/>
          <w:szCs w:val="22"/>
        </w:rPr>
        <w:t xml:space="preserve">ten years for the development of breast cancer and other diseases. We anticipate, on average, 300 new cases of breast cancer to be diagnosed each year; thus after five years of follow-up we </w:t>
      </w:r>
      <w:r w:rsidR="001C786C">
        <w:rPr>
          <w:sz w:val="22"/>
          <w:szCs w:val="22"/>
        </w:rPr>
        <w:t>began to</w:t>
      </w:r>
      <w:r w:rsidR="001C786C" w:rsidRPr="001D040C">
        <w:rPr>
          <w:sz w:val="22"/>
          <w:szCs w:val="22"/>
        </w:rPr>
        <w:t xml:space="preserve"> </w:t>
      </w:r>
      <w:r w:rsidRPr="001D040C">
        <w:rPr>
          <w:sz w:val="22"/>
          <w:szCs w:val="22"/>
        </w:rPr>
        <w:t xml:space="preserve">have sufficient </w:t>
      </w:r>
      <w:r w:rsidR="007D1372">
        <w:rPr>
          <w:sz w:val="22"/>
          <w:szCs w:val="22"/>
        </w:rPr>
        <w:t xml:space="preserve">cases and </w:t>
      </w:r>
      <w:r w:rsidRPr="001D040C">
        <w:rPr>
          <w:sz w:val="22"/>
          <w:szCs w:val="22"/>
        </w:rPr>
        <w:t>power</w:t>
      </w:r>
      <w:r w:rsidR="007D1372">
        <w:rPr>
          <w:sz w:val="22"/>
          <w:szCs w:val="22"/>
        </w:rPr>
        <w:t xml:space="preserve"> </w:t>
      </w:r>
      <w:r w:rsidRPr="001D040C">
        <w:rPr>
          <w:sz w:val="22"/>
          <w:szCs w:val="22"/>
        </w:rPr>
        <w:t>to address hypotheses regarding gene-environment interactions</w:t>
      </w:r>
      <w:r w:rsidR="0023605F">
        <w:rPr>
          <w:sz w:val="22"/>
          <w:szCs w:val="22"/>
        </w:rPr>
        <w:t>,</w:t>
      </w:r>
      <w:r w:rsidR="00F66F44">
        <w:rPr>
          <w:sz w:val="22"/>
          <w:szCs w:val="22"/>
        </w:rPr>
        <w:t xml:space="preserve"> although for some hypotheses and for studies of gene-environment or gene-</w:t>
      </w:r>
      <w:r w:rsidR="00F66F44" w:rsidRPr="00F90A70">
        <w:rPr>
          <w:sz w:val="22"/>
          <w:szCs w:val="22"/>
        </w:rPr>
        <w:t xml:space="preserve">gene interactions, larger samples </w:t>
      </w:r>
      <w:r w:rsidR="001C786C" w:rsidRPr="00F90A70">
        <w:rPr>
          <w:sz w:val="22"/>
          <w:szCs w:val="22"/>
        </w:rPr>
        <w:t>are</w:t>
      </w:r>
      <w:r w:rsidR="00F66F44" w:rsidRPr="00F90A70">
        <w:rPr>
          <w:sz w:val="22"/>
          <w:szCs w:val="22"/>
        </w:rPr>
        <w:t xml:space="preserve"> required.  T</w:t>
      </w:r>
      <w:r w:rsidR="00B2062B" w:rsidRPr="00F90A70">
        <w:rPr>
          <w:sz w:val="22"/>
          <w:szCs w:val="22"/>
        </w:rPr>
        <w:t xml:space="preserve">hus far </w:t>
      </w:r>
      <w:r w:rsidR="00E246E4" w:rsidRPr="00F90A70">
        <w:rPr>
          <w:sz w:val="22"/>
          <w:szCs w:val="22"/>
        </w:rPr>
        <w:t>~2,900</w:t>
      </w:r>
      <w:r w:rsidR="00B2062B" w:rsidRPr="00F90A70">
        <w:rPr>
          <w:sz w:val="22"/>
          <w:szCs w:val="22"/>
        </w:rPr>
        <w:t xml:space="preserve"> incident cases of breast cancer have been</w:t>
      </w:r>
      <w:r w:rsidR="00B2062B">
        <w:rPr>
          <w:sz w:val="22"/>
          <w:szCs w:val="22"/>
        </w:rPr>
        <w:t xml:space="preserve"> reported by participants</w:t>
      </w:r>
      <w:r w:rsidRPr="001D040C">
        <w:rPr>
          <w:sz w:val="22"/>
          <w:szCs w:val="22"/>
        </w:rPr>
        <w:t>.  Baseline data, banked blood, urine, and toenail samples, as well as banked environmental samples provide a rich resource for testing current and future hypotheses regarding risks for breast cancer and a wide range of other medical conditions.</w:t>
      </w:r>
    </w:p>
    <w:p w:rsidR="00B70CD5" w:rsidRDefault="00D729E2" w:rsidP="00B70CD5">
      <w:pPr>
        <w:spacing w:line="480" w:lineRule="auto"/>
        <w:ind w:firstLine="360"/>
        <w:rPr>
          <w:sz w:val="22"/>
          <w:szCs w:val="22"/>
        </w:rPr>
      </w:pPr>
      <w:r w:rsidRPr="001D040C">
        <w:rPr>
          <w:sz w:val="22"/>
          <w:szCs w:val="22"/>
        </w:rPr>
        <w:t xml:space="preserve">Sister Study participants </w:t>
      </w:r>
      <w:r w:rsidR="00F66F44">
        <w:rPr>
          <w:sz w:val="22"/>
          <w:szCs w:val="22"/>
        </w:rPr>
        <w:t>are</w:t>
      </w:r>
      <w:r w:rsidRPr="001D040C">
        <w:rPr>
          <w:sz w:val="22"/>
          <w:szCs w:val="22"/>
        </w:rPr>
        <w:t xml:space="preserve"> contacted annually to track changes in their medical history.  Every two to three years, participants </w:t>
      </w:r>
      <w:r w:rsidR="00F66F44">
        <w:rPr>
          <w:sz w:val="22"/>
          <w:szCs w:val="22"/>
        </w:rPr>
        <w:t>are</w:t>
      </w:r>
      <w:r w:rsidRPr="001D040C">
        <w:rPr>
          <w:sz w:val="22"/>
          <w:szCs w:val="22"/>
        </w:rPr>
        <w:t xml:space="preserve"> asked to provide more comprehensive health and exposure updates and to provide additional information on other factors that may affect disease risk</w:t>
      </w:r>
      <w:r w:rsidR="00661223">
        <w:rPr>
          <w:sz w:val="22"/>
          <w:szCs w:val="22"/>
        </w:rPr>
        <w:t xml:space="preserve"> and </w:t>
      </w:r>
      <w:r w:rsidRPr="001D040C">
        <w:rPr>
          <w:sz w:val="22"/>
          <w:szCs w:val="22"/>
        </w:rPr>
        <w:t>survival such as stress phenotype or diet. Over time, participants may be asked to provide additional biological or environmental samples and will be invited to participate in more focused clinical studies of specific outcomes.</w:t>
      </w:r>
    </w:p>
    <w:p w:rsidR="00B70CD5" w:rsidRPr="00B70CD5" w:rsidRDefault="00B70CD5" w:rsidP="00B70CD5">
      <w:pPr>
        <w:spacing w:line="480" w:lineRule="auto"/>
        <w:ind w:firstLine="360"/>
        <w:rPr>
          <w:sz w:val="22"/>
          <w:szCs w:val="22"/>
        </w:rPr>
      </w:pPr>
      <w:r w:rsidRPr="00B70CD5">
        <w:rPr>
          <w:sz w:val="22"/>
          <w:szCs w:val="22"/>
        </w:rPr>
        <w:t>During the course of the follow</w:t>
      </w:r>
      <w:r w:rsidRPr="00B70CD5">
        <w:rPr>
          <w:rFonts w:ascii="Cambria Math" w:hAnsi="Cambria Math"/>
          <w:sz w:val="22"/>
          <w:szCs w:val="22"/>
        </w:rPr>
        <w:t>‐</w:t>
      </w:r>
      <w:r w:rsidRPr="00B70CD5">
        <w:rPr>
          <w:sz w:val="22"/>
          <w:szCs w:val="22"/>
        </w:rPr>
        <w:t>up</w:t>
      </w:r>
      <w:r w:rsidR="00661223">
        <w:rPr>
          <w:sz w:val="22"/>
          <w:szCs w:val="22"/>
        </w:rPr>
        <w:t xml:space="preserve"> years</w:t>
      </w:r>
      <w:r w:rsidRPr="00B70CD5">
        <w:rPr>
          <w:sz w:val="22"/>
          <w:szCs w:val="22"/>
        </w:rPr>
        <w:t>, some participants are reported as deceased or permanently incapacitated due to physical or cognitive impairments. These women are likely to have experienced significant, unreported health changes prior to death and prior or subsequent to incapacitation. When a death or incapacitating event</w:t>
      </w:r>
      <w:r>
        <w:rPr>
          <w:sz w:val="22"/>
          <w:szCs w:val="22"/>
        </w:rPr>
        <w:t xml:space="preserve"> is reported, the Sister Study</w:t>
      </w:r>
      <w:r w:rsidRPr="00B70CD5">
        <w:rPr>
          <w:sz w:val="22"/>
          <w:szCs w:val="22"/>
        </w:rPr>
        <w:t xml:space="preserve"> attempt</w:t>
      </w:r>
      <w:r w:rsidR="007D1372">
        <w:rPr>
          <w:sz w:val="22"/>
          <w:szCs w:val="22"/>
        </w:rPr>
        <w:t>s</w:t>
      </w:r>
      <w:r w:rsidRPr="00B70CD5">
        <w:rPr>
          <w:sz w:val="22"/>
          <w:szCs w:val="22"/>
        </w:rPr>
        <w:t xml:space="preserve"> to retrieve </w:t>
      </w:r>
      <w:r>
        <w:rPr>
          <w:sz w:val="22"/>
          <w:szCs w:val="22"/>
        </w:rPr>
        <w:t xml:space="preserve">this missing health information, in the form of an Annual Update, </w:t>
      </w:r>
      <w:r w:rsidRPr="00B70CD5">
        <w:rPr>
          <w:sz w:val="22"/>
          <w:szCs w:val="22"/>
        </w:rPr>
        <w:t xml:space="preserve">in a timely manner through participants’ </w:t>
      </w:r>
      <w:r>
        <w:rPr>
          <w:sz w:val="22"/>
          <w:szCs w:val="22"/>
        </w:rPr>
        <w:t>next-of-</w:t>
      </w:r>
      <w:r w:rsidRPr="00B70CD5">
        <w:rPr>
          <w:sz w:val="22"/>
          <w:szCs w:val="22"/>
        </w:rPr>
        <w:t>kin</w:t>
      </w:r>
      <w:r>
        <w:rPr>
          <w:sz w:val="22"/>
          <w:szCs w:val="22"/>
        </w:rPr>
        <w:t xml:space="preserve"> or proxy.</w:t>
      </w:r>
    </w:p>
    <w:p w:rsidR="00BF6618" w:rsidRDefault="00BF6618" w:rsidP="00BF6618">
      <w:pPr>
        <w:spacing w:line="480" w:lineRule="auto"/>
        <w:ind w:firstLine="360"/>
        <w:rPr>
          <w:sz w:val="22"/>
          <w:szCs w:val="22"/>
        </w:rPr>
      </w:pPr>
      <w:r w:rsidRPr="0023605F">
        <w:rPr>
          <w:sz w:val="22"/>
          <w:szCs w:val="22"/>
        </w:rPr>
        <w:t>[Conducted under Clinical Exemption CE 2009-09-004]</w:t>
      </w:r>
      <w:r>
        <w:rPr>
          <w:sz w:val="22"/>
          <w:szCs w:val="22"/>
        </w:rPr>
        <w:t xml:space="preserve"> </w:t>
      </w:r>
      <w:r w:rsidR="00D729E2" w:rsidRPr="001D040C">
        <w:rPr>
          <w:sz w:val="22"/>
          <w:szCs w:val="22"/>
        </w:rPr>
        <w:t xml:space="preserve">Participants who develop breast cancer </w:t>
      </w:r>
      <w:r w:rsidR="000177EC">
        <w:rPr>
          <w:sz w:val="22"/>
          <w:szCs w:val="22"/>
        </w:rPr>
        <w:t>a</w:t>
      </w:r>
      <w:r w:rsidR="00F66F44">
        <w:rPr>
          <w:sz w:val="22"/>
          <w:szCs w:val="22"/>
        </w:rPr>
        <w:t>re</w:t>
      </w:r>
      <w:r w:rsidR="00F66F44" w:rsidRPr="001D040C">
        <w:rPr>
          <w:sz w:val="22"/>
          <w:szCs w:val="22"/>
        </w:rPr>
        <w:t xml:space="preserve"> </w:t>
      </w:r>
      <w:r w:rsidR="00D729E2" w:rsidRPr="001D040C">
        <w:rPr>
          <w:sz w:val="22"/>
          <w:szCs w:val="22"/>
        </w:rPr>
        <w:t xml:space="preserve">asked to provide information about their diagnosis and treatment and asked to sign medical release forms allowing us to request medical records, additional details about diagnosis and treatment, and tumor tissue and/or diagnostic H&amp;E slides from their health care providers. </w:t>
      </w:r>
      <w:r w:rsidR="00F66F44">
        <w:rPr>
          <w:sz w:val="22"/>
          <w:szCs w:val="22"/>
        </w:rPr>
        <w:t xml:space="preserve">Pathology reports (only) are sought from </w:t>
      </w:r>
      <w:r w:rsidR="00F66F44">
        <w:rPr>
          <w:sz w:val="22"/>
          <w:szCs w:val="22"/>
        </w:rPr>
        <w:lastRenderedPageBreak/>
        <w:t xml:space="preserve">participants reporting other incident cancer (except non-melanoma skin cancer).  Additional records may be sought to support specific future clinical studies.  </w:t>
      </w:r>
      <w:r w:rsidR="00D729E2" w:rsidRPr="001D040C">
        <w:rPr>
          <w:sz w:val="22"/>
          <w:szCs w:val="22"/>
        </w:rPr>
        <w:t xml:space="preserve">Similarly, additional information to allow disease confirmation or validation of self-reported diagnoses will be sought from participants who report other diseases of interest such as asthma, uterine fibroids, diabetes, thyroid disease, osteoporosis, rheumatoid arthritis and other autoimmune diseases, </w:t>
      </w:r>
      <w:r w:rsidR="00F66F44">
        <w:rPr>
          <w:sz w:val="22"/>
          <w:szCs w:val="22"/>
        </w:rPr>
        <w:t xml:space="preserve">and </w:t>
      </w:r>
      <w:r w:rsidR="00D729E2" w:rsidRPr="001D040C">
        <w:rPr>
          <w:sz w:val="22"/>
          <w:szCs w:val="22"/>
        </w:rPr>
        <w:t>neurodegenerative diseases</w:t>
      </w:r>
      <w:r w:rsidR="00F66F44">
        <w:rPr>
          <w:sz w:val="22"/>
          <w:szCs w:val="22"/>
        </w:rPr>
        <w:t xml:space="preserve">. </w:t>
      </w:r>
    </w:p>
    <w:p w:rsidR="00D729E2" w:rsidRPr="001D040C" w:rsidRDefault="00D729E2" w:rsidP="00BF6618">
      <w:pPr>
        <w:spacing w:line="480" w:lineRule="auto"/>
        <w:ind w:firstLine="360"/>
        <w:rPr>
          <w:sz w:val="22"/>
          <w:szCs w:val="22"/>
        </w:rPr>
      </w:pPr>
      <w:r w:rsidRPr="001D040C">
        <w:rPr>
          <w:sz w:val="22"/>
          <w:szCs w:val="22"/>
        </w:rPr>
        <w:t xml:space="preserve">Nested case-control or case-cohort studies will be carried out among sisters who develop cancer or other clinical outcomes of interest and a sample of those who do not, to assess specific gene-environment interactions or other hypotheses.  Patients who develop breast cancer during the follow-up period for the Sister Study </w:t>
      </w:r>
      <w:r w:rsidR="007D1372">
        <w:rPr>
          <w:sz w:val="22"/>
          <w:szCs w:val="22"/>
        </w:rPr>
        <w:t>are</w:t>
      </w:r>
      <w:r w:rsidRPr="001D040C">
        <w:rPr>
          <w:sz w:val="22"/>
          <w:szCs w:val="22"/>
        </w:rPr>
        <w:t xml:space="preserve"> followed to study the role of environment and genes in survival following breast cancer diagnosis. Add-on studies may collect serial biological samples from informative subgroups to evaluate preclinical biomarkers and assess changes in biomarkers over time. </w:t>
      </w:r>
    </w:p>
    <w:bookmarkEnd w:id="2"/>
    <w:bookmarkEnd w:id="3"/>
    <w:p w:rsidR="002D2087" w:rsidRPr="007D1372" w:rsidRDefault="001A3374" w:rsidP="00FE79F9">
      <w:pPr>
        <w:spacing w:line="480" w:lineRule="auto"/>
        <w:ind w:firstLine="360"/>
        <w:rPr>
          <w:sz w:val="22"/>
        </w:rPr>
      </w:pPr>
      <w:r w:rsidRPr="007D1372">
        <w:rPr>
          <w:sz w:val="22"/>
        </w:rPr>
        <w:t xml:space="preserve">The Sister Study </w:t>
      </w:r>
      <w:r w:rsidR="007D1372">
        <w:rPr>
          <w:sz w:val="22"/>
        </w:rPr>
        <w:t xml:space="preserve">completed </w:t>
      </w:r>
      <w:r w:rsidR="00185A3B" w:rsidRPr="007D1372">
        <w:rPr>
          <w:sz w:val="22"/>
        </w:rPr>
        <w:t xml:space="preserve">enrollment in </w:t>
      </w:r>
      <w:r w:rsidR="002D2087" w:rsidRPr="007D1372">
        <w:rPr>
          <w:sz w:val="22"/>
        </w:rPr>
        <w:t>August</w:t>
      </w:r>
      <w:r w:rsidR="00185A3B" w:rsidRPr="007D1372">
        <w:rPr>
          <w:sz w:val="22"/>
        </w:rPr>
        <w:t xml:space="preserve"> 2009</w:t>
      </w:r>
      <w:r w:rsidR="002D2087" w:rsidRPr="007D1372">
        <w:rPr>
          <w:color w:val="000000"/>
          <w:sz w:val="22"/>
          <w:szCs w:val="22"/>
        </w:rPr>
        <w:t>, concluding contact with the public at large, and discontinue</w:t>
      </w:r>
      <w:r w:rsidR="00BF6618" w:rsidRPr="007D1372">
        <w:rPr>
          <w:color w:val="000000"/>
          <w:sz w:val="22"/>
          <w:szCs w:val="22"/>
        </w:rPr>
        <w:t>d</w:t>
      </w:r>
      <w:r w:rsidR="002D2087" w:rsidRPr="007D1372">
        <w:rPr>
          <w:color w:val="000000"/>
          <w:sz w:val="22"/>
          <w:szCs w:val="22"/>
        </w:rPr>
        <w:t xml:space="preserve"> the data collection using Sister Study enrollment questionnaires and materials previously approved by OMB</w:t>
      </w:r>
      <w:r w:rsidRPr="007D1372">
        <w:rPr>
          <w:sz w:val="22"/>
        </w:rPr>
        <w:t>.</w:t>
      </w:r>
      <w:r w:rsidR="0087106D" w:rsidRPr="007D1372">
        <w:rPr>
          <w:sz w:val="22"/>
        </w:rPr>
        <w:t xml:space="preserve">  Follow-Up I (</w:t>
      </w:r>
      <w:r w:rsidR="009215AB" w:rsidRPr="007D1372">
        <w:rPr>
          <w:sz w:val="22"/>
        </w:rPr>
        <w:t>b</w:t>
      </w:r>
      <w:r w:rsidR="0087106D" w:rsidRPr="007D1372">
        <w:rPr>
          <w:sz w:val="22"/>
        </w:rPr>
        <w:t>iennial) was completed in 2012</w:t>
      </w:r>
      <w:r w:rsidR="007D1372">
        <w:rPr>
          <w:sz w:val="22"/>
        </w:rPr>
        <w:t xml:space="preserve">; </w:t>
      </w:r>
      <w:r w:rsidR="007D1372" w:rsidRPr="007D1372">
        <w:rPr>
          <w:sz w:val="22"/>
          <w:highlight w:val="yellow"/>
        </w:rPr>
        <w:t>Follow-Up II (triennial) was completed in 2014</w:t>
      </w:r>
      <w:r w:rsidR="007D1372">
        <w:rPr>
          <w:sz w:val="22"/>
        </w:rPr>
        <w:t>.</w:t>
      </w:r>
    </w:p>
    <w:p w:rsidR="00FE79F9" w:rsidRPr="00F90A70" w:rsidRDefault="001A3374" w:rsidP="00FE79F9">
      <w:pPr>
        <w:spacing w:line="480" w:lineRule="auto"/>
        <w:ind w:firstLine="360"/>
        <w:rPr>
          <w:b/>
          <w:color w:val="000000"/>
          <w:sz w:val="22"/>
          <w:szCs w:val="22"/>
        </w:rPr>
      </w:pPr>
      <w:r w:rsidRPr="00F90A70">
        <w:rPr>
          <w:b/>
          <w:sz w:val="22"/>
          <w:szCs w:val="22"/>
          <w:highlight w:val="yellow"/>
        </w:rPr>
        <w:t>This application is to request</w:t>
      </w:r>
      <w:r w:rsidR="000E1D9D" w:rsidRPr="00F90A70">
        <w:rPr>
          <w:b/>
          <w:sz w:val="22"/>
          <w:szCs w:val="22"/>
          <w:highlight w:val="yellow"/>
        </w:rPr>
        <w:t xml:space="preserve"> a</w:t>
      </w:r>
      <w:r w:rsidRPr="00F90A70">
        <w:rPr>
          <w:b/>
          <w:sz w:val="22"/>
          <w:szCs w:val="22"/>
          <w:highlight w:val="yellow"/>
        </w:rPr>
        <w:t xml:space="preserve"> </w:t>
      </w:r>
      <w:r w:rsidR="00D62E5B" w:rsidRPr="00F90A70">
        <w:rPr>
          <w:b/>
          <w:smallCaps/>
          <w:sz w:val="22"/>
          <w:szCs w:val="22"/>
          <w:highlight w:val="yellow"/>
          <w:u w:val="single"/>
        </w:rPr>
        <w:t>R</w:t>
      </w:r>
      <w:r w:rsidR="000E1D9D" w:rsidRPr="00F90A70">
        <w:rPr>
          <w:b/>
          <w:smallCaps/>
          <w:sz w:val="22"/>
          <w:szCs w:val="22"/>
          <w:highlight w:val="yellow"/>
          <w:u w:val="single"/>
        </w:rPr>
        <w:t>evision</w:t>
      </w:r>
      <w:r w:rsidRPr="00F90A70">
        <w:rPr>
          <w:b/>
          <w:sz w:val="22"/>
          <w:szCs w:val="22"/>
          <w:highlight w:val="yellow"/>
          <w:u w:val="single"/>
        </w:rPr>
        <w:t xml:space="preserve"> </w:t>
      </w:r>
      <w:r w:rsidRPr="00F90A70">
        <w:rPr>
          <w:b/>
          <w:sz w:val="22"/>
          <w:szCs w:val="22"/>
          <w:highlight w:val="yellow"/>
        </w:rPr>
        <w:t xml:space="preserve">for </w:t>
      </w:r>
      <w:r w:rsidR="00661223" w:rsidRPr="00F90A70">
        <w:rPr>
          <w:b/>
          <w:sz w:val="22"/>
          <w:szCs w:val="22"/>
          <w:highlight w:val="yellow"/>
        </w:rPr>
        <w:t xml:space="preserve">the ongoing </w:t>
      </w:r>
      <w:r w:rsidR="00185A3B" w:rsidRPr="00F90A70">
        <w:rPr>
          <w:b/>
          <w:sz w:val="22"/>
          <w:szCs w:val="22"/>
          <w:highlight w:val="yellow"/>
        </w:rPr>
        <w:t>long-term follow-up of the enrolled cohort</w:t>
      </w:r>
      <w:r w:rsidRPr="00F90A70">
        <w:rPr>
          <w:b/>
          <w:sz w:val="22"/>
          <w:szCs w:val="22"/>
          <w:highlight w:val="yellow"/>
        </w:rPr>
        <w:t>.</w:t>
      </w:r>
      <w:r w:rsidR="00011DEF" w:rsidRPr="00F90A70">
        <w:rPr>
          <w:b/>
          <w:color w:val="000000"/>
          <w:sz w:val="22"/>
          <w:szCs w:val="22"/>
          <w:highlight w:val="yellow"/>
        </w:rPr>
        <w:t xml:space="preserve">  </w:t>
      </w:r>
      <w:r w:rsidR="009F3647" w:rsidRPr="00F90A70">
        <w:rPr>
          <w:b/>
          <w:color w:val="000000"/>
          <w:sz w:val="22"/>
          <w:szCs w:val="22"/>
          <w:highlight w:val="yellow"/>
        </w:rPr>
        <w:t xml:space="preserve">Approval is requested for 3 years. </w:t>
      </w:r>
      <w:r w:rsidR="00A239CA" w:rsidRPr="00F90A70">
        <w:rPr>
          <w:b/>
          <w:color w:val="000000"/>
          <w:sz w:val="22"/>
          <w:szCs w:val="22"/>
          <w:highlight w:val="yellow"/>
        </w:rPr>
        <w:t xml:space="preserve">Annual Update form </w:t>
      </w:r>
      <w:r w:rsidR="00F37B62" w:rsidRPr="00F90A70">
        <w:rPr>
          <w:b/>
          <w:smallCaps/>
          <w:color w:val="000000"/>
          <w:sz w:val="22"/>
          <w:szCs w:val="22"/>
          <w:highlight w:val="yellow"/>
        </w:rPr>
        <w:t>(Attachment 1</w:t>
      </w:r>
      <w:r w:rsidR="00F65681" w:rsidRPr="00F90A70">
        <w:rPr>
          <w:b/>
          <w:smallCaps/>
          <w:color w:val="000000"/>
          <w:sz w:val="22"/>
          <w:szCs w:val="22"/>
          <w:highlight w:val="yellow"/>
        </w:rPr>
        <w:t>A</w:t>
      </w:r>
      <w:r w:rsidR="00F37B62" w:rsidRPr="00F90A70">
        <w:rPr>
          <w:b/>
          <w:smallCaps/>
          <w:color w:val="000000"/>
          <w:sz w:val="22"/>
          <w:szCs w:val="22"/>
          <w:highlight w:val="yellow"/>
        </w:rPr>
        <w:t>)</w:t>
      </w:r>
      <w:r w:rsidR="00F37B62" w:rsidRPr="00F90A70">
        <w:rPr>
          <w:b/>
          <w:color w:val="000000"/>
          <w:sz w:val="22"/>
          <w:szCs w:val="22"/>
          <w:highlight w:val="yellow"/>
        </w:rPr>
        <w:t xml:space="preserve"> </w:t>
      </w:r>
      <w:r w:rsidR="00A239CA" w:rsidRPr="00F90A70">
        <w:rPr>
          <w:b/>
          <w:color w:val="000000"/>
          <w:sz w:val="22"/>
          <w:szCs w:val="22"/>
          <w:highlight w:val="yellow"/>
        </w:rPr>
        <w:t xml:space="preserve">used yearly </w:t>
      </w:r>
      <w:r w:rsidR="00661223" w:rsidRPr="00F90A70">
        <w:rPr>
          <w:b/>
          <w:color w:val="000000"/>
          <w:sz w:val="22"/>
          <w:szCs w:val="22"/>
          <w:highlight w:val="yellow"/>
        </w:rPr>
        <w:t>is</w:t>
      </w:r>
      <w:r w:rsidR="00A239CA" w:rsidRPr="00F90A70">
        <w:rPr>
          <w:b/>
          <w:color w:val="000000"/>
          <w:sz w:val="22"/>
          <w:szCs w:val="22"/>
          <w:highlight w:val="yellow"/>
        </w:rPr>
        <w:t xml:space="preserve"> submitted here </w:t>
      </w:r>
      <w:r w:rsidR="007D1372" w:rsidRPr="00F90A70">
        <w:rPr>
          <w:b/>
          <w:color w:val="000000"/>
          <w:sz w:val="22"/>
          <w:szCs w:val="22"/>
          <w:highlight w:val="yellow"/>
        </w:rPr>
        <w:t xml:space="preserve">with minor changes </w:t>
      </w:r>
      <w:r w:rsidR="00A239CA" w:rsidRPr="00F90A70">
        <w:rPr>
          <w:b/>
          <w:color w:val="000000"/>
          <w:sz w:val="22"/>
          <w:szCs w:val="22"/>
          <w:highlight w:val="yellow"/>
        </w:rPr>
        <w:t xml:space="preserve">for continued approval.  </w:t>
      </w:r>
      <w:r w:rsidR="007D1372" w:rsidRPr="00F90A70">
        <w:rPr>
          <w:b/>
          <w:color w:val="000000"/>
          <w:sz w:val="22"/>
          <w:szCs w:val="22"/>
          <w:highlight w:val="yellow"/>
        </w:rPr>
        <w:t>Detailed F</w:t>
      </w:r>
      <w:r w:rsidR="00A239CA" w:rsidRPr="00F90A70">
        <w:rPr>
          <w:b/>
          <w:color w:val="000000"/>
          <w:sz w:val="22"/>
          <w:szCs w:val="22"/>
          <w:highlight w:val="yellow"/>
        </w:rPr>
        <w:t>ollow-</w:t>
      </w:r>
      <w:r w:rsidR="007D1372" w:rsidRPr="00F90A70">
        <w:rPr>
          <w:b/>
          <w:color w:val="000000"/>
          <w:sz w:val="22"/>
          <w:szCs w:val="22"/>
          <w:highlight w:val="yellow"/>
        </w:rPr>
        <w:t>U</w:t>
      </w:r>
      <w:r w:rsidR="00A239CA" w:rsidRPr="00F90A70">
        <w:rPr>
          <w:b/>
          <w:color w:val="000000"/>
          <w:sz w:val="22"/>
          <w:szCs w:val="22"/>
          <w:highlight w:val="yellow"/>
        </w:rPr>
        <w:t xml:space="preserve">p </w:t>
      </w:r>
      <w:r w:rsidR="007D1372" w:rsidRPr="00F90A70">
        <w:rPr>
          <w:b/>
          <w:color w:val="000000"/>
          <w:sz w:val="22"/>
          <w:szCs w:val="22"/>
          <w:highlight w:val="yellow"/>
        </w:rPr>
        <w:t xml:space="preserve">II </w:t>
      </w:r>
      <w:r w:rsidR="00295CF9" w:rsidRPr="00F90A70">
        <w:rPr>
          <w:b/>
          <w:color w:val="000000"/>
          <w:sz w:val="22"/>
          <w:szCs w:val="22"/>
          <w:highlight w:val="yellow"/>
        </w:rPr>
        <w:t>f</w:t>
      </w:r>
      <w:r w:rsidR="00357F85" w:rsidRPr="00F90A70">
        <w:rPr>
          <w:b/>
          <w:color w:val="000000"/>
          <w:sz w:val="22"/>
          <w:szCs w:val="22"/>
          <w:highlight w:val="yellow"/>
        </w:rPr>
        <w:t xml:space="preserve">orms have been modified and are submitted here for </w:t>
      </w:r>
      <w:r w:rsidR="00E246E4" w:rsidRPr="00F90A70">
        <w:rPr>
          <w:b/>
          <w:color w:val="000000"/>
          <w:sz w:val="22"/>
          <w:szCs w:val="22"/>
          <w:highlight w:val="yellow"/>
        </w:rPr>
        <w:t>continued</w:t>
      </w:r>
      <w:r w:rsidR="00E546E5" w:rsidRPr="00F90A70">
        <w:rPr>
          <w:b/>
          <w:color w:val="000000"/>
          <w:sz w:val="22"/>
          <w:szCs w:val="22"/>
          <w:highlight w:val="yellow"/>
        </w:rPr>
        <w:t xml:space="preserve"> use in </w:t>
      </w:r>
      <w:r w:rsidR="00661223" w:rsidRPr="00F90A70">
        <w:rPr>
          <w:b/>
          <w:color w:val="000000"/>
          <w:sz w:val="22"/>
          <w:szCs w:val="22"/>
          <w:highlight w:val="yellow"/>
        </w:rPr>
        <w:t>Follow-</w:t>
      </w:r>
      <w:r w:rsidR="007D1372" w:rsidRPr="00F90A70">
        <w:rPr>
          <w:b/>
          <w:color w:val="000000"/>
          <w:sz w:val="22"/>
          <w:szCs w:val="22"/>
          <w:highlight w:val="yellow"/>
        </w:rPr>
        <w:t>U</w:t>
      </w:r>
      <w:r w:rsidR="00661223" w:rsidRPr="00F90A70">
        <w:rPr>
          <w:b/>
          <w:color w:val="000000"/>
          <w:sz w:val="22"/>
          <w:szCs w:val="22"/>
          <w:highlight w:val="yellow"/>
        </w:rPr>
        <w:t xml:space="preserve">p </w:t>
      </w:r>
      <w:r w:rsidR="007D1372" w:rsidRPr="00F90A70">
        <w:rPr>
          <w:b/>
          <w:i/>
          <w:color w:val="000000"/>
          <w:sz w:val="22"/>
          <w:szCs w:val="22"/>
          <w:highlight w:val="yellow"/>
        </w:rPr>
        <w:t>III</w:t>
      </w:r>
      <w:r w:rsidR="007D1372" w:rsidRPr="00F90A70">
        <w:rPr>
          <w:b/>
          <w:color w:val="000000"/>
          <w:sz w:val="22"/>
          <w:szCs w:val="22"/>
          <w:highlight w:val="yellow"/>
        </w:rPr>
        <w:t xml:space="preserve"> </w:t>
      </w:r>
      <w:r w:rsidR="00F37B62" w:rsidRPr="00F90A70">
        <w:rPr>
          <w:b/>
          <w:color w:val="000000"/>
          <w:sz w:val="22"/>
          <w:szCs w:val="22"/>
          <w:highlight w:val="yellow"/>
        </w:rPr>
        <w:t xml:space="preserve">(triennial; </w:t>
      </w:r>
      <w:r w:rsidR="00F37B62" w:rsidRPr="00F90A70">
        <w:rPr>
          <w:b/>
          <w:smallCaps/>
          <w:color w:val="000000"/>
          <w:sz w:val="22"/>
          <w:szCs w:val="22"/>
          <w:highlight w:val="yellow"/>
        </w:rPr>
        <w:t>Attachment 2</w:t>
      </w:r>
      <w:r w:rsidR="000C1160" w:rsidRPr="00F90A70">
        <w:rPr>
          <w:b/>
          <w:smallCaps/>
          <w:color w:val="000000"/>
          <w:sz w:val="22"/>
          <w:szCs w:val="22"/>
          <w:highlight w:val="yellow"/>
        </w:rPr>
        <w:t>A</w:t>
      </w:r>
      <w:r w:rsidR="00F37B62" w:rsidRPr="00F90A70">
        <w:rPr>
          <w:b/>
          <w:smallCaps/>
          <w:color w:val="000000"/>
          <w:sz w:val="22"/>
          <w:szCs w:val="22"/>
          <w:highlight w:val="yellow"/>
        </w:rPr>
        <w:t>)</w:t>
      </w:r>
      <w:r w:rsidR="00357F85" w:rsidRPr="00F90A70">
        <w:rPr>
          <w:b/>
          <w:color w:val="000000"/>
          <w:sz w:val="22"/>
          <w:szCs w:val="22"/>
          <w:highlight w:val="yellow"/>
        </w:rPr>
        <w:t>.</w:t>
      </w:r>
    </w:p>
    <w:p w:rsidR="006D061C" w:rsidRPr="007D1372" w:rsidRDefault="006D061C" w:rsidP="007D1372">
      <w:pPr>
        <w:pStyle w:val="Heading1"/>
      </w:pPr>
      <w:bookmarkStart w:id="4" w:name="_Toc129590303"/>
      <w:bookmarkStart w:id="5" w:name="_Toc129668545"/>
      <w:r w:rsidRPr="007D1372">
        <w:t xml:space="preserve">A. </w:t>
      </w:r>
      <w:r w:rsidR="000606CA" w:rsidRPr="007D1372">
        <w:t xml:space="preserve"> </w:t>
      </w:r>
      <w:r w:rsidRPr="007D1372">
        <w:t>Justification</w:t>
      </w:r>
      <w:bookmarkEnd w:id="4"/>
      <w:bookmarkEnd w:id="5"/>
    </w:p>
    <w:p w:rsidR="006D061C" w:rsidRPr="001D040C" w:rsidRDefault="000606CA" w:rsidP="00B64409">
      <w:pPr>
        <w:pStyle w:val="Heading2"/>
      </w:pPr>
      <w:bookmarkStart w:id="6" w:name="_Toc129590304"/>
      <w:bookmarkStart w:id="7" w:name="_Toc129668546"/>
      <w:r w:rsidRPr="001D040C">
        <w:t xml:space="preserve">A.1.  </w:t>
      </w:r>
      <w:r w:rsidR="006D061C" w:rsidRPr="001D040C">
        <w:t>Circumstances Making the Collection of Information Necessary</w:t>
      </w:r>
      <w:bookmarkEnd w:id="6"/>
      <w:bookmarkEnd w:id="7"/>
    </w:p>
    <w:p w:rsidR="006D061C" w:rsidRPr="001D040C" w:rsidRDefault="006D061C" w:rsidP="00E4547D">
      <w:pPr>
        <w:pStyle w:val="HTMLPreformatted"/>
        <w:spacing w:line="480" w:lineRule="auto"/>
        <w:rPr>
          <w:rFonts w:ascii="Times New Roman" w:hAnsi="Times New Roman" w:cs="Times New Roman"/>
          <w:b/>
          <w:sz w:val="22"/>
          <w:szCs w:val="22"/>
        </w:rPr>
      </w:pPr>
      <w:r w:rsidRPr="001D040C">
        <w:rPr>
          <w:rFonts w:ascii="Times New Roman" w:hAnsi="Times New Roman" w:cs="Times New Roman"/>
          <w:sz w:val="22"/>
          <w:szCs w:val="22"/>
        </w:rPr>
        <w:t>The National Institute of Environmental Health Sciences (NIEHS) is responsible for conducting research on chemical, physical, and biological factors in the environment that affect human health. The</w:t>
      </w:r>
      <w:r w:rsidRPr="001D040C">
        <w:rPr>
          <w:rFonts w:ascii="Times New Roman" w:hAnsi="Times New Roman" w:cs="Times New Roman"/>
          <w:b/>
          <w:sz w:val="22"/>
          <w:szCs w:val="22"/>
        </w:rPr>
        <w:t xml:space="preserve"> Sister Study</w:t>
      </w:r>
      <w:r w:rsidRPr="001D040C">
        <w:rPr>
          <w:rFonts w:ascii="Times New Roman" w:hAnsi="Times New Roman" w:cs="Times New Roman"/>
          <w:sz w:val="22"/>
          <w:szCs w:val="22"/>
        </w:rPr>
        <w:t xml:space="preserve">, with its focus on potential environmental causes of breast cancer, </w:t>
      </w:r>
      <w:r w:rsidR="00F145BB" w:rsidRPr="001D040C">
        <w:rPr>
          <w:rFonts w:ascii="Times New Roman" w:hAnsi="Times New Roman" w:cs="Times New Roman"/>
          <w:sz w:val="22"/>
          <w:szCs w:val="22"/>
        </w:rPr>
        <w:t>is supported by</w:t>
      </w:r>
      <w:r w:rsidRPr="001D040C">
        <w:rPr>
          <w:rFonts w:ascii="Times New Roman" w:hAnsi="Times New Roman" w:cs="Times New Roman"/>
          <w:sz w:val="22"/>
          <w:szCs w:val="22"/>
        </w:rPr>
        <w:t xml:space="preserve"> the mandate of NIEHS as defined by US Code </w:t>
      </w:r>
      <w:r w:rsidR="00E4547D" w:rsidRPr="001D040C">
        <w:rPr>
          <w:rFonts w:ascii="Times New Roman" w:hAnsi="Times New Roman" w:cs="Times New Roman"/>
          <w:sz w:val="22"/>
          <w:szCs w:val="22"/>
        </w:rPr>
        <w:t>Title 42, Chapter 6A, Subchapter III, Part A, Section 281</w:t>
      </w:r>
      <w:r w:rsidRPr="001D040C">
        <w:rPr>
          <w:rFonts w:ascii="Times New Roman" w:hAnsi="Times New Roman" w:cs="Times New Roman"/>
          <w:sz w:val="22"/>
          <w:szCs w:val="22"/>
        </w:rPr>
        <w:t xml:space="preserve">, as amended by the Health Research Extension Act of 1985, which is “the conduct and support of research, training, </w:t>
      </w:r>
      <w:r w:rsidRPr="001D040C">
        <w:rPr>
          <w:rFonts w:ascii="Times New Roman" w:hAnsi="Times New Roman" w:cs="Times New Roman"/>
          <w:sz w:val="22"/>
          <w:szCs w:val="22"/>
        </w:rPr>
        <w:lastRenderedPageBreak/>
        <w:t>health information dissemination, and other programs with respect to factors in the environment that affect human health, directly or indirectly.”</w:t>
      </w:r>
    </w:p>
    <w:p w:rsidR="006D061C" w:rsidRPr="001D040C" w:rsidRDefault="006D061C" w:rsidP="00F26B3F">
      <w:pPr>
        <w:spacing w:line="480" w:lineRule="auto"/>
        <w:ind w:firstLine="360"/>
        <w:rPr>
          <w:sz w:val="22"/>
        </w:rPr>
      </w:pPr>
      <w:r w:rsidRPr="001D040C">
        <w:rPr>
          <w:sz w:val="22"/>
        </w:rPr>
        <w:t xml:space="preserve">Breast cancer is the most common cancer among women in developed countries. In the United States, </w:t>
      </w:r>
      <w:r w:rsidR="00627E38" w:rsidRPr="00F90A70">
        <w:rPr>
          <w:sz w:val="22"/>
        </w:rPr>
        <w:t xml:space="preserve">more than </w:t>
      </w:r>
      <w:r w:rsidR="000A7479" w:rsidRPr="00F90A70">
        <w:rPr>
          <w:sz w:val="22"/>
        </w:rPr>
        <w:t>230,000</w:t>
      </w:r>
      <w:r w:rsidR="000468E5" w:rsidRPr="00F90A70">
        <w:rPr>
          <w:sz w:val="22"/>
        </w:rPr>
        <w:t xml:space="preserve"> new cases of invasive breast cancer are anticipated </w:t>
      </w:r>
      <w:r w:rsidR="00627E38" w:rsidRPr="00F90A70">
        <w:rPr>
          <w:sz w:val="22"/>
        </w:rPr>
        <w:t xml:space="preserve">in </w:t>
      </w:r>
      <w:r w:rsidR="000A7479" w:rsidRPr="00F90A70">
        <w:rPr>
          <w:sz w:val="22"/>
        </w:rPr>
        <w:t>2015</w:t>
      </w:r>
      <w:r w:rsidRPr="00F90A70">
        <w:rPr>
          <w:sz w:val="22"/>
        </w:rPr>
        <w:t>. Many of the best-</w:t>
      </w:r>
      <w:r w:rsidRPr="001D040C">
        <w:rPr>
          <w:sz w:val="22"/>
        </w:rPr>
        <w:t xml:space="preserve">understood </w:t>
      </w:r>
      <w:r w:rsidR="00F145BB" w:rsidRPr="001D040C">
        <w:rPr>
          <w:sz w:val="22"/>
        </w:rPr>
        <w:t xml:space="preserve">risk </w:t>
      </w:r>
      <w:r w:rsidRPr="001D040C">
        <w:rPr>
          <w:sz w:val="22"/>
        </w:rPr>
        <w:t xml:space="preserve">factors are endogenous or are related to lifestyle choices that are not easily modified. Family history of breast cancer is one of the most well established risk factors for the disease with an approximate 2-fold increase in risk in first-degree relatives. No known genetic or environmental breast cancer risk factor or combination of risk factors has high enough relative risks to account for the observed association with family history. </w:t>
      </w:r>
    </w:p>
    <w:p w:rsidR="006D061C" w:rsidRPr="001D040C" w:rsidRDefault="006D061C" w:rsidP="00F26B3F">
      <w:pPr>
        <w:spacing w:line="480" w:lineRule="auto"/>
        <w:ind w:firstLine="360"/>
        <w:rPr>
          <w:sz w:val="22"/>
        </w:rPr>
      </w:pPr>
      <w:r w:rsidRPr="001D040C">
        <w:rPr>
          <w:sz w:val="22"/>
        </w:rPr>
        <w:t>The etiology of breast cancer is complex, with genetic and environmental factors likely playing a combined role. Identifying gene-environment or gene-gene interactions will be important in understanding breast cancer etiology and identifying prevention strategies. A number of genes already have been identified as candidates for study. Large-scale studies are needed to confirm reported gene-environment interactions and to test new biologically based hypotheses as both technology and our understanding of mechanisms improve over time. The Sister Study offers a unique opportunity to gather important epidemiological data that will make a difference in understanding the multi-factorial etiology of breast cancer.</w:t>
      </w:r>
    </w:p>
    <w:p w:rsidR="006D061C" w:rsidRPr="001D040C" w:rsidRDefault="006D061C" w:rsidP="00F26B3F">
      <w:pPr>
        <w:spacing w:line="480" w:lineRule="auto"/>
        <w:ind w:firstLine="360"/>
        <w:rPr>
          <w:sz w:val="22"/>
        </w:rPr>
      </w:pPr>
      <w:r w:rsidRPr="001D040C">
        <w:rPr>
          <w:sz w:val="22"/>
        </w:rPr>
        <w:t xml:space="preserve">There is suggestive evidence, including studies of disease patterns in migrants, to support a role of the environment in breast cancer risk, although specific environmental factors have not been clearly elucidated. With the exception of </w:t>
      </w:r>
      <w:r w:rsidR="00E52DD8">
        <w:rPr>
          <w:sz w:val="22"/>
        </w:rPr>
        <w:t>earlier</w:t>
      </w:r>
      <w:r w:rsidR="00E52DD8" w:rsidRPr="001D040C">
        <w:rPr>
          <w:sz w:val="22"/>
        </w:rPr>
        <w:t xml:space="preserve"> </w:t>
      </w:r>
      <w:r w:rsidRPr="001D040C">
        <w:rPr>
          <w:sz w:val="22"/>
        </w:rPr>
        <w:t>studies of organochlorine pesticides</w:t>
      </w:r>
      <w:r w:rsidR="00E52DD8">
        <w:rPr>
          <w:sz w:val="22"/>
        </w:rPr>
        <w:t>, recent provocative studies of other endocrine disrupting chemicals,</w:t>
      </w:r>
      <w:r w:rsidRPr="001D040C">
        <w:rPr>
          <w:sz w:val="22"/>
        </w:rPr>
        <w:t xml:space="preserve"> and earlier studies of irradiated populations, little work has been done in the area of non-lifestyle environmental factors. In part, this may be due to the difficulty of retrospectively measuring most environmental exposures. Few studies have examined occupational exposures among women, although there is evidence that some may play a role in breast cancer etiology. The National Toxicology Program has identified at least 35 mammary carcinogens, many of which have not been evaluated in human studies. Agents on this list include pesticides and fumigants, chemicals used </w:t>
      </w:r>
      <w:r w:rsidRPr="001D040C">
        <w:rPr>
          <w:sz w:val="22"/>
        </w:rPr>
        <w:lastRenderedPageBreak/>
        <w:t xml:space="preserve">in manufacturing rubber, vinyl, polyurethane foams, benzene-based dyes, and some pharmaceuticals, as well as solvents. </w:t>
      </w:r>
    </w:p>
    <w:p w:rsidR="006D061C" w:rsidRPr="001D040C" w:rsidRDefault="006D061C" w:rsidP="00F26B3F">
      <w:pPr>
        <w:spacing w:line="480" w:lineRule="auto"/>
        <w:ind w:firstLine="360"/>
        <w:rPr>
          <w:sz w:val="22"/>
        </w:rPr>
      </w:pPr>
      <w:r w:rsidRPr="001D040C">
        <w:rPr>
          <w:sz w:val="22"/>
        </w:rPr>
        <w:t xml:space="preserve">The Sister Study </w:t>
      </w:r>
      <w:r w:rsidR="007D1372">
        <w:rPr>
          <w:sz w:val="22"/>
        </w:rPr>
        <w:t>was</w:t>
      </w:r>
      <w:r w:rsidRPr="001D040C">
        <w:rPr>
          <w:sz w:val="22"/>
        </w:rPr>
        <w:t xml:space="preserve"> designed to investigate the independent and joint effects of genetic susceptibility and environmental, biological and lifestyle factors on the risk of breast cancer and other diseases in a cohort of sisters of women with breast cancer.  In addition, we have the opportunity to efficiently assess risks for other diseases with similar risk factor profiles or which are otherwise important causes of morbidity in women, such as cardiovascular disease, autoimmune disease, osteoporosis, and diabetes. </w:t>
      </w:r>
    </w:p>
    <w:p w:rsidR="006D061C" w:rsidRPr="001D040C" w:rsidRDefault="006D061C" w:rsidP="00F26B3F">
      <w:pPr>
        <w:spacing w:line="480" w:lineRule="auto"/>
        <w:ind w:firstLine="360"/>
        <w:rPr>
          <w:sz w:val="22"/>
        </w:rPr>
      </w:pPr>
      <w:r w:rsidRPr="001D040C">
        <w:rPr>
          <w:sz w:val="22"/>
        </w:rPr>
        <w:t>By focusing on sisters, the study has several unique advantages.  Not only are the sisters of women with breast cancer at greater risk for breast cancer themselves (</w:t>
      </w:r>
      <w:r w:rsidR="00E52DD8">
        <w:rPr>
          <w:sz w:val="22"/>
        </w:rPr>
        <w:t>about</w:t>
      </w:r>
      <w:r w:rsidR="00E52DD8" w:rsidRPr="001D040C">
        <w:rPr>
          <w:sz w:val="22"/>
        </w:rPr>
        <w:t xml:space="preserve"> </w:t>
      </w:r>
      <w:r w:rsidRPr="001D040C">
        <w:rPr>
          <w:sz w:val="22"/>
        </w:rPr>
        <w:t>a two-fold risk based on other studies</w:t>
      </w:r>
      <w:r w:rsidR="00E52DD8">
        <w:rPr>
          <w:sz w:val="22"/>
        </w:rPr>
        <w:t xml:space="preserve"> and borne out in preliminary analysis of incidence in the Sister Study</w:t>
      </w:r>
      <w:r w:rsidRPr="001D040C">
        <w:rPr>
          <w:sz w:val="22"/>
        </w:rPr>
        <w:t>), they will have a higher prevalence of any genes that prove to be related to breast cancer risk and they should have a higher frequency of some risk factors due to behaviors and experiences they share with their sisters who have already developed breast cancer. The study is especially well suited to address hypotheses related to shared childhood and prenatal exposures, in addition to factors later in life. Our study will have greater statistical power than a similarly sized general population cohort</w:t>
      </w:r>
      <w:r w:rsidR="0081479E" w:rsidRPr="001D040C">
        <w:rPr>
          <w:sz w:val="22"/>
        </w:rPr>
        <w:t xml:space="preserve"> (see </w:t>
      </w:r>
      <w:r w:rsidR="0081479E" w:rsidRPr="001D040C">
        <w:rPr>
          <w:b/>
          <w:sz w:val="22"/>
        </w:rPr>
        <w:t>Sections B</w:t>
      </w:r>
      <w:r w:rsidR="0081479E" w:rsidRPr="001D040C">
        <w:rPr>
          <w:sz w:val="22"/>
        </w:rPr>
        <w:t>)</w:t>
      </w:r>
      <w:r w:rsidRPr="001D040C">
        <w:rPr>
          <w:sz w:val="22"/>
        </w:rPr>
        <w:t xml:space="preserve">. Furthermore, based on </w:t>
      </w:r>
      <w:r w:rsidR="00F82987" w:rsidRPr="001D040C">
        <w:rPr>
          <w:sz w:val="22"/>
        </w:rPr>
        <w:t>current experience,</w:t>
      </w:r>
      <w:r w:rsidRPr="001D040C">
        <w:rPr>
          <w:sz w:val="22"/>
        </w:rPr>
        <w:t xml:space="preserve"> sisters of women with breast cancer </w:t>
      </w:r>
      <w:r w:rsidR="007D1372">
        <w:rPr>
          <w:sz w:val="22"/>
        </w:rPr>
        <w:t>continue to be</w:t>
      </w:r>
      <w:r w:rsidRPr="001D040C">
        <w:rPr>
          <w:sz w:val="22"/>
        </w:rPr>
        <w:t xml:space="preserve"> highly motivated to participate in breast cancer research.  </w:t>
      </w:r>
      <w:r w:rsidR="00F82987" w:rsidRPr="001D040C">
        <w:rPr>
          <w:sz w:val="22"/>
        </w:rPr>
        <w:t>P</w:t>
      </w:r>
      <w:r w:rsidRPr="001D040C">
        <w:rPr>
          <w:sz w:val="22"/>
        </w:rPr>
        <w:t xml:space="preserve">articipation and retention rates </w:t>
      </w:r>
      <w:r w:rsidR="00F82987" w:rsidRPr="001D040C">
        <w:rPr>
          <w:sz w:val="22"/>
        </w:rPr>
        <w:t xml:space="preserve">are </w:t>
      </w:r>
      <w:r w:rsidRPr="001D040C">
        <w:rPr>
          <w:sz w:val="22"/>
        </w:rPr>
        <w:t xml:space="preserve">higher than in other studies and the quality of data is high.  </w:t>
      </w:r>
      <w:r w:rsidR="000A7479">
        <w:rPr>
          <w:sz w:val="22"/>
        </w:rPr>
        <w:t xml:space="preserve">For example, </w:t>
      </w:r>
      <w:r w:rsidR="00685EA8">
        <w:rPr>
          <w:sz w:val="22"/>
        </w:rPr>
        <w:t xml:space="preserve">ten years after study inception, </w:t>
      </w:r>
      <w:r w:rsidR="000A7479">
        <w:rPr>
          <w:sz w:val="22"/>
        </w:rPr>
        <w:t xml:space="preserve">the response rate to annual questionnaires </w:t>
      </w:r>
      <w:r w:rsidR="000A7479" w:rsidRPr="00F90A70">
        <w:rPr>
          <w:sz w:val="22"/>
        </w:rPr>
        <w:t>remains over</w:t>
      </w:r>
      <w:r w:rsidR="00421F05" w:rsidRPr="00F90A70">
        <w:rPr>
          <w:sz w:val="22"/>
        </w:rPr>
        <w:t xml:space="preserve"> 91</w:t>
      </w:r>
      <w:r w:rsidR="00685EA8" w:rsidRPr="00F90A70">
        <w:rPr>
          <w:sz w:val="22"/>
        </w:rPr>
        <w:t>%</w:t>
      </w:r>
      <w:r w:rsidR="007D1372" w:rsidRPr="00F90A70">
        <w:rPr>
          <w:sz w:val="22"/>
        </w:rPr>
        <w:t>.</w:t>
      </w:r>
      <w:r w:rsidR="00685EA8" w:rsidRPr="00F90A70">
        <w:rPr>
          <w:sz w:val="22"/>
        </w:rPr>
        <w:t xml:space="preserve"> </w:t>
      </w:r>
      <w:r w:rsidRPr="00F90A70">
        <w:rPr>
          <w:sz w:val="22"/>
        </w:rPr>
        <w:t>These features will enhance both validity and statistical power to detect associations.</w:t>
      </w:r>
      <w:r w:rsidRPr="001D040C">
        <w:rPr>
          <w:sz w:val="22"/>
        </w:rPr>
        <w:t xml:space="preserve"> The study is large enough to</w:t>
      </w:r>
      <w:r w:rsidR="000A7479">
        <w:rPr>
          <w:sz w:val="22"/>
        </w:rPr>
        <w:t xml:space="preserve"> have begun investigating</w:t>
      </w:r>
      <w:r w:rsidRPr="001D040C">
        <w:rPr>
          <w:sz w:val="22"/>
        </w:rPr>
        <w:t xml:space="preserve"> gene-environment interactions. Less common genes and rare exposures can be studied with continued follow-up of the cohort. </w:t>
      </w:r>
    </w:p>
    <w:p w:rsidR="006D061C" w:rsidRPr="001D040C" w:rsidRDefault="006D061C" w:rsidP="00F26B3F">
      <w:pPr>
        <w:spacing w:line="480" w:lineRule="auto"/>
        <w:ind w:firstLine="360"/>
        <w:rPr>
          <w:sz w:val="22"/>
        </w:rPr>
      </w:pPr>
      <w:r w:rsidRPr="001D040C">
        <w:rPr>
          <w:sz w:val="22"/>
        </w:rPr>
        <w:t xml:space="preserve">The prospective design offers several advantages over the retrospective case-control studies that have been most widely used to assess gene-environment interactions. The most often cited advantage of the case-control design is efficiency; in order to accrue the same number of cases in a population-based cohort, a substantially larger number of women must be studied. However, in retrospective studies, </w:t>
      </w:r>
      <w:r w:rsidRPr="001D040C">
        <w:rPr>
          <w:sz w:val="22"/>
        </w:rPr>
        <w:lastRenderedPageBreak/>
        <w:t>exposures must be ascertained after the occurrence of disease. Although certain exposures can be studied retrospectively using questionnaires or, occasionally, using occupational or medical records, numerous potential biases can limit the ability to make causal inferences. In the Sister Study, we ascertain exposures and collect</w:t>
      </w:r>
      <w:r w:rsidR="000468E5" w:rsidRPr="001D040C">
        <w:rPr>
          <w:sz w:val="22"/>
        </w:rPr>
        <w:t>ed</w:t>
      </w:r>
      <w:r w:rsidRPr="001D040C">
        <w:rPr>
          <w:sz w:val="22"/>
        </w:rPr>
        <w:t xml:space="preserve"> biological and environmental samples prior to the onset of disease.  By banking samples for later analysis, we minimize the costs of measuring exposure, since only new cases and a sub-sample of non-cases will be analyzed.</w:t>
      </w:r>
    </w:p>
    <w:p w:rsidR="006D061C" w:rsidRPr="001D040C" w:rsidRDefault="006D061C" w:rsidP="00F26B3F">
      <w:pPr>
        <w:spacing w:line="480" w:lineRule="auto"/>
        <w:ind w:firstLine="360"/>
        <w:rPr>
          <w:sz w:val="22"/>
        </w:rPr>
      </w:pPr>
      <w:r w:rsidRPr="001D040C">
        <w:rPr>
          <w:sz w:val="22"/>
        </w:rPr>
        <w:t xml:space="preserve">We </w:t>
      </w:r>
      <w:r w:rsidR="00C76834" w:rsidRPr="001D040C">
        <w:rPr>
          <w:sz w:val="22"/>
        </w:rPr>
        <w:t>enrolled a</w:t>
      </w:r>
      <w:r w:rsidRPr="001D040C">
        <w:rPr>
          <w:sz w:val="22"/>
        </w:rPr>
        <w:t xml:space="preserve"> cohort of </w:t>
      </w:r>
      <w:r w:rsidR="00E63DA7">
        <w:rPr>
          <w:sz w:val="22"/>
        </w:rPr>
        <w:t xml:space="preserve">just over </w:t>
      </w:r>
      <w:r w:rsidRPr="001D040C">
        <w:rPr>
          <w:sz w:val="22"/>
        </w:rPr>
        <w:t xml:space="preserve">50,000 </w:t>
      </w:r>
      <w:r w:rsidR="00C76834" w:rsidRPr="001D040C">
        <w:rPr>
          <w:sz w:val="22"/>
        </w:rPr>
        <w:t xml:space="preserve">high-risk </w:t>
      </w:r>
      <w:r w:rsidRPr="001D040C">
        <w:rPr>
          <w:sz w:val="22"/>
        </w:rPr>
        <w:t xml:space="preserve">women (ages 35 to 74) who </w:t>
      </w:r>
      <w:r w:rsidR="009C3B78">
        <w:rPr>
          <w:sz w:val="22"/>
        </w:rPr>
        <w:t>were</w:t>
      </w:r>
      <w:r w:rsidR="009C3B78" w:rsidRPr="001D040C">
        <w:rPr>
          <w:sz w:val="22"/>
        </w:rPr>
        <w:t xml:space="preserve"> </w:t>
      </w:r>
      <w:r w:rsidRPr="001D040C">
        <w:rPr>
          <w:sz w:val="22"/>
        </w:rPr>
        <w:t xml:space="preserve">the cancer-free sisters of women who had breast cancer. This cohort </w:t>
      </w:r>
      <w:r w:rsidR="00847A16">
        <w:rPr>
          <w:sz w:val="22"/>
        </w:rPr>
        <w:t>is being</w:t>
      </w:r>
      <w:r w:rsidRPr="001D040C">
        <w:rPr>
          <w:sz w:val="22"/>
        </w:rPr>
        <w:t xml:space="preserve"> followed annually for at least ten years. Comprehensive baseline questionnaire data, fasting blood, first morning urine, household dust and toenail samples </w:t>
      </w:r>
      <w:r w:rsidR="00C76834" w:rsidRPr="001D040C">
        <w:rPr>
          <w:sz w:val="22"/>
        </w:rPr>
        <w:t>were</w:t>
      </w:r>
      <w:r w:rsidR="000C73DF" w:rsidRPr="001D040C">
        <w:rPr>
          <w:sz w:val="22"/>
        </w:rPr>
        <w:t xml:space="preserve"> </w:t>
      </w:r>
      <w:r w:rsidRPr="001D040C">
        <w:rPr>
          <w:sz w:val="22"/>
        </w:rPr>
        <w:t xml:space="preserve">collected. Study questionnaires </w:t>
      </w:r>
      <w:r w:rsidR="00C76834" w:rsidRPr="001D040C">
        <w:rPr>
          <w:sz w:val="22"/>
        </w:rPr>
        <w:t>were</w:t>
      </w:r>
      <w:r w:rsidRPr="001D040C">
        <w:rPr>
          <w:sz w:val="22"/>
        </w:rPr>
        <w:t xml:space="preserve"> designed to collect information on known, suspected, and speculative risk factors in order to maximize the chance of detecting environmental risk factors of concern to women. In order to address new hypotheses, it </w:t>
      </w:r>
      <w:r w:rsidR="00C76834" w:rsidRPr="001D040C">
        <w:rPr>
          <w:sz w:val="22"/>
        </w:rPr>
        <w:t>was</w:t>
      </w:r>
      <w:r w:rsidRPr="001D040C">
        <w:rPr>
          <w:sz w:val="22"/>
        </w:rPr>
        <w:t xml:space="preserve"> necessary to also collect comprehensive data on currently </w:t>
      </w:r>
      <w:r w:rsidR="008A2A5E">
        <w:rPr>
          <w:sz w:val="22"/>
        </w:rPr>
        <w:t>–</w:t>
      </w:r>
      <w:r w:rsidRPr="001D040C">
        <w:rPr>
          <w:sz w:val="22"/>
        </w:rPr>
        <w:t>known</w:t>
      </w:r>
      <w:r w:rsidR="008A2A5E">
        <w:rPr>
          <w:sz w:val="22"/>
        </w:rPr>
        <w:t xml:space="preserve"> risk factors</w:t>
      </w:r>
      <w:r w:rsidRPr="001D040C">
        <w:rPr>
          <w:sz w:val="22"/>
        </w:rPr>
        <w:t xml:space="preserve">, to be able to account for these factors in other analyses. In contrast to previous </w:t>
      </w:r>
      <w:r w:rsidR="00F82987" w:rsidRPr="001D040C">
        <w:rPr>
          <w:sz w:val="22"/>
        </w:rPr>
        <w:t xml:space="preserve">cohort </w:t>
      </w:r>
      <w:r w:rsidRPr="001D040C">
        <w:rPr>
          <w:sz w:val="22"/>
        </w:rPr>
        <w:t>studies where environmental exposures are either ignored or addressed superficially, we aim</w:t>
      </w:r>
      <w:r w:rsidR="00C76834" w:rsidRPr="001D040C">
        <w:rPr>
          <w:sz w:val="22"/>
        </w:rPr>
        <w:t>ed</w:t>
      </w:r>
      <w:r w:rsidRPr="001D040C">
        <w:rPr>
          <w:sz w:val="22"/>
        </w:rPr>
        <w:t xml:space="preserve"> to collect sufficient data so that</w:t>
      </w:r>
      <w:r w:rsidR="00812FCB" w:rsidRPr="001D040C">
        <w:rPr>
          <w:sz w:val="22"/>
        </w:rPr>
        <w:t xml:space="preserve"> environmental risks can be conclusively identified</w:t>
      </w:r>
      <w:r w:rsidRPr="001D040C">
        <w:rPr>
          <w:sz w:val="22"/>
        </w:rPr>
        <w:t>,</w:t>
      </w:r>
      <w:r w:rsidR="00812FCB" w:rsidRPr="001D040C">
        <w:rPr>
          <w:sz w:val="22"/>
        </w:rPr>
        <w:t xml:space="preserve"> or</w:t>
      </w:r>
      <w:r w:rsidRPr="001D040C">
        <w:rPr>
          <w:sz w:val="22"/>
        </w:rPr>
        <w:t xml:space="preserve"> in the event that risks are not confirmed, we can say that we have thoroughly investigated the possibility. Brief </w:t>
      </w:r>
      <w:r w:rsidR="008A2A5E" w:rsidRPr="008A2A5E">
        <w:rPr>
          <w:b/>
          <w:sz w:val="22"/>
        </w:rPr>
        <w:t>Annual Updates</w:t>
      </w:r>
      <w:r w:rsidRPr="001D040C">
        <w:rPr>
          <w:sz w:val="22"/>
        </w:rPr>
        <w:t xml:space="preserve"> </w:t>
      </w:r>
      <w:r w:rsidR="0020142C" w:rsidRPr="001D040C">
        <w:rPr>
          <w:sz w:val="22"/>
        </w:rPr>
        <w:t>record changes in contact information</w:t>
      </w:r>
      <w:r w:rsidR="00DF6692" w:rsidRPr="001D040C">
        <w:rPr>
          <w:sz w:val="22"/>
        </w:rPr>
        <w:t>,</w:t>
      </w:r>
      <w:r w:rsidR="00847A16">
        <w:rPr>
          <w:sz w:val="22"/>
        </w:rPr>
        <w:t xml:space="preserve"> residence location</w:t>
      </w:r>
      <w:r w:rsidR="0020142C" w:rsidRPr="001D040C">
        <w:rPr>
          <w:sz w:val="22"/>
        </w:rPr>
        <w:t xml:space="preserve"> and health.  </w:t>
      </w:r>
      <w:r w:rsidR="008A2A5E">
        <w:rPr>
          <w:sz w:val="22"/>
        </w:rPr>
        <w:t xml:space="preserve">Less frequent, more detailed </w:t>
      </w:r>
      <w:r w:rsidR="00E546E5" w:rsidRPr="008A2A5E">
        <w:rPr>
          <w:b/>
          <w:sz w:val="22"/>
        </w:rPr>
        <w:t>Follow-Up</w:t>
      </w:r>
      <w:r w:rsidR="0020142C" w:rsidRPr="001D040C">
        <w:rPr>
          <w:sz w:val="22"/>
        </w:rPr>
        <w:t xml:space="preserve"> questionnaires </w:t>
      </w:r>
      <w:r w:rsidRPr="001D040C">
        <w:rPr>
          <w:sz w:val="22"/>
        </w:rPr>
        <w:t>address new hypotheses that arise</w:t>
      </w:r>
      <w:r w:rsidR="00847A16">
        <w:rPr>
          <w:sz w:val="22"/>
        </w:rPr>
        <w:t xml:space="preserve"> and collect details on changes in health and exposures</w:t>
      </w:r>
      <w:r w:rsidRPr="001D040C">
        <w:rPr>
          <w:sz w:val="22"/>
        </w:rPr>
        <w:t>. Our study assess</w:t>
      </w:r>
      <w:r w:rsidR="009C3B78">
        <w:rPr>
          <w:sz w:val="22"/>
        </w:rPr>
        <w:t>es</w:t>
      </w:r>
      <w:r w:rsidRPr="001D040C">
        <w:rPr>
          <w:sz w:val="22"/>
        </w:rPr>
        <w:t xml:space="preserve"> hypotheses that derive from the scientific literature, but we also collect data on poorly studied exposures of concern to women.</w:t>
      </w:r>
      <w:r w:rsidR="004228A1" w:rsidRPr="001D040C">
        <w:rPr>
          <w:sz w:val="22"/>
        </w:rPr>
        <w:t xml:space="preserve">  </w:t>
      </w:r>
      <w:r w:rsidRPr="001D040C">
        <w:rPr>
          <w:sz w:val="22"/>
        </w:rPr>
        <w:t>The incident cases</w:t>
      </w:r>
      <w:r w:rsidR="004228A1" w:rsidRPr="001D040C">
        <w:rPr>
          <w:sz w:val="22"/>
        </w:rPr>
        <w:t xml:space="preserve"> </w:t>
      </w:r>
      <w:r w:rsidRPr="001D040C">
        <w:rPr>
          <w:sz w:val="22"/>
        </w:rPr>
        <w:t xml:space="preserve">that develop over time </w:t>
      </w:r>
      <w:r w:rsidR="008A2A5E">
        <w:rPr>
          <w:sz w:val="22"/>
        </w:rPr>
        <w:t>are</w:t>
      </w:r>
      <w:r w:rsidRPr="001D040C">
        <w:rPr>
          <w:sz w:val="22"/>
        </w:rPr>
        <w:t xml:space="preserve"> followed for the duration of the study, allowing us to also study the role of lifestyle, environmental exposures, and genes in prognosis</w:t>
      </w:r>
      <w:r w:rsidR="00C76834" w:rsidRPr="001D040C">
        <w:rPr>
          <w:sz w:val="22"/>
        </w:rPr>
        <w:t xml:space="preserve"> and survival</w:t>
      </w:r>
      <w:r w:rsidRPr="001D040C">
        <w:rPr>
          <w:sz w:val="22"/>
        </w:rPr>
        <w:t xml:space="preserve"> among women with cancer.</w:t>
      </w:r>
    </w:p>
    <w:p w:rsidR="006D061C" w:rsidRPr="001D040C" w:rsidRDefault="006D061C" w:rsidP="00F26B3F">
      <w:pPr>
        <w:spacing w:line="480" w:lineRule="auto"/>
        <w:ind w:firstLine="360"/>
        <w:rPr>
          <w:sz w:val="22"/>
        </w:rPr>
      </w:pPr>
      <w:r w:rsidRPr="001D040C">
        <w:rPr>
          <w:sz w:val="22"/>
        </w:rPr>
        <w:t>The Sister Study</w:t>
      </w:r>
      <w:r w:rsidR="001B3A37" w:rsidRPr="001D040C">
        <w:rPr>
          <w:sz w:val="22"/>
        </w:rPr>
        <w:t xml:space="preserve"> is </w:t>
      </w:r>
      <w:r w:rsidRPr="001D040C">
        <w:rPr>
          <w:sz w:val="22"/>
        </w:rPr>
        <w:t>an NIEHS intramural study designed to allow for trans-NIH and extramural collaboration. The study was developed in response to the heightened concern expressed by numerous women’s and environmental groups about the possibility of increased breast cancer risk due to environmental causes, and the perceived la</w:t>
      </w:r>
      <w:r w:rsidR="00C40754" w:rsidRPr="001D040C">
        <w:rPr>
          <w:sz w:val="22"/>
        </w:rPr>
        <w:t>ck of serious attention paid to such concerns</w:t>
      </w:r>
      <w:r w:rsidRPr="001D040C">
        <w:rPr>
          <w:sz w:val="22"/>
        </w:rPr>
        <w:t xml:space="preserve">.  In addition to </w:t>
      </w:r>
      <w:r w:rsidRPr="001D040C">
        <w:rPr>
          <w:sz w:val="22"/>
        </w:rPr>
        <w:lastRenderedPageBreak/>
        <w:t xml:space="preserve">consulting with scientific colleagues both within the government and at universities, we solicited the input of groups such as the National Breast Cancer Coalition and other advocacy and interest groups and consumers as we planned the Sister Study and assessed its feasibility. </w:t>
      </w:r>
      <w:r w:rsidR="00BA0F8A" w:rsidRPr="001D040C">
        <w:rPr>
          <w:sz w:val="22"/>
        </w:rPr>
        <w:t xml:space="preserve"> Our</w:t>
      </w:r>
      <w:r w:rsidR="003C6465" w:rsidRPr="001D040C">
        <w:rPr>
          <w:sz w:val="22"/>
        </w:rPr>
        <w:t xml:space="preserve"> Steering Committee</w:t>
      </w:r>
      <w:r w:rsidR="00BA0F8A" w:rsidRPr="001D040C">
        <w:rPr>
          <w:sz w:val="22"/>
        </w:rPr>
        <w:t xml:space="preserve"> </w:t>
      </w:r>
      <w:r w:rsidR="000177EC">
        <w:rPr>
          <w:sz w:val="22"/>
        </w:rPr>
        <w:t xml:space="preserve">and </w:t>
      </w:r>
      <w:r w:rsidR="00BA0F8A" w:rsidRPr="001D040C">
        <w:rPr>
          <w:sz w:val="22"/>
        </w:rPr>
        <w:t>Scientific Advisory</w:t>
      </w:r>
      <w:r w:rsidR="003C6465" w:rsidRPr="001D040C">
        <w:rPr>
          <w:sz w:val="22"/>
        </w:rPr>
        <w:t xml:space="preserve"> Board</w:t>
      </w:r>
      <w:r w:rsidR="005B67AF">
        <w:rPr>
          <w:sz w:val="22"/>
        </w:rPr>
        <w:t xml:space="preserve"> </w:t>
      </w:r>
      <w:r w:rsidR="00A55E4D" w:rsidRPr="001D040C">
        <w:rPr>
          <w:sz w:val="22"/>
        </w:rPr>
        <w:t xml:space="preserve">are diverse groups of professionals in the various areas of this complex effort.  They include experts in epidemiology, </w:t>
      </w:r>
      <w:r w:rsidR="000177EC">
        <w:rPr>
          <w:sz w:val="22"/>
        </w:rPr>
        <w:t xml:space="preserve">long-term cohort retention, </w:t>
      </w:r>
      <w:r w:rsidR="00A55E4D" w:rsidRPr="001D040C">
        <w:rPr>
          <w:sz w:val="22"/>
        </w:rPr>
        <w:t xml:space="preserve">breast cancer, biological specimen management, laboratory science, as well as representatives from various organizations focused on minorities, breast cancer support, </w:t>
      </w:r>
      <w:r w:rsidR="00B41E27" w:rsidRPr="001D040C">
        <w:rPr>
          <w:sz w:val="22"/>
        </w:rPr>
        <w:t>and women.</w:t>
      </w:r>
    </w:p>
    <w:p w:rsidR="006D061C" w:rsidRPr="001D040C" w:rsidRDefault="006D061C" w:rsidP="00B64409">
      <w:pPr>
        <w:pStyle w:val="Heading2"/>
      </w:pPr>
      <w:bookmarkStart w:id="8" w:name="_Toc129590305"/>
      <w:bookmarkStart w:id="9" w:name="_Toc129668547"/>
      <w:r w:rsidRPr="001D040C">
        <w:t>A.2. Purpose and Use of the Information</w:t>
      </w:r>
      <w:bookmarkEnd w:id="8"/>
      <w:bookmarkEnd w:id="9"/>
      <w:r w:rsidR="007550F9">
        <w:t xml:space="preserve"> Collection</w:t>
      </w:r>
    </w:p>
    <w:p w:rsidR="006D061C" w:rsidRPr="001D040C" w:rsidRDefault="006D061C" w:rsidP="00F26B3F">
      <w:pPr>
        <w:spacing w:line="480" w:lineRule="auto"/>
        <w:ind w:firstLine="360"/>
        <w:rPr>
          <w:sz w:val="22"/>
        </w:rPr>
      </w:pPr>
      <w:r w:rsidRPr="001D040C">
        <w:rPr>
          <w:sz w:val="22"/>
        </w:rPr>
        <w:t xml:space="preserve">Information collected in this study </w:t>
      </w:r>
      <w:r w:rsidR="008A2A5E">
        <w:rPr>
          <w:sz w:val="22"/>
        </w:rPr>
        <w:t>is</w:t>
      </w:r>
      <w:r w:rsidRPr="001D040C">
        <w:rPr>
          <w:sz w:val="22"/>
        </w:rPr>
        <w:t xml:space="preserve"> used to further scientific understanding of the effects of environmental exposures </w:t>
      </w:r>
      <w:r w:rsidR="00847A16">
        <w:rPr>
          <w:sz w:val="22"/>
        </w:rPr>
        <w:t xml:space="preserve">by studying </w:t>
      </w:r>
      <w:r w:rsidRPr="001D040C">
        <w:rPr>
          <w:sz w:val="22"/>
        </w:rPr>
        <w:t xml:space="preserve">women </w:t>
      </w:r>
      <w:r w:rsidR="00847A16">
        <w:rPr>
          <w:sz w:val="22"/>
        </w:rPr>
        <w:t>with enhanced susceptibility</w:t>
      </w:r>
      <w:r w:rsidR="000177EC">
        <w:rPr>
          <w:sz w:val="22"/>
        </w:rPr>
        <w:t xml:space="preserve"> to</w:t>
      </w:r>
      <w:r w:rsidRPr="001D040C">
        <w:rPr>
          <w:sz w:val="22"/>
        </w:rPr>
        <w:t xml:space="preserve"> breast cancer and to address questions of concern to </w:t>
      </w:r>
      <w:r w:rsidR="00847A16">
        <w:rPr>
          <w:sz w:val="22"/>
        </w:rPr>
        <w:t xml:space="preserve">all </w:t>
      </w:r>
      <w:r w:rsidRPr="001D040C">
        <w:rPr>
          <w:sz w:val="22"/>
        </w:rPr>
        <w:t xml:space="preserve">women at risk for breast cancer. Epidemiologists and biostatisticians at NIEHS and their collaborators at other institutions </w:t>
      </w:r>
      <w:r w:rsidR="008A2A5E">
        <w:rPr>
          <w:sz w:val="22"/>
        </w:rPr>
        <w:t>are</w:t>
      </w:r>
      <w:r w:rsidRPr="001D040C">
        <w:rPr>
          <w:sz w:val="22"/>
        </w:rPr>
        <w:t xml:space="preserve"> responsible for testing the hypotheses of interest and disseminating results through the scientific literature.  Results </w:t>
      </w:r>
      <w:r w:rsidR="00AB0510">
        <w:rPr>
          <w:sz w:val="22"/>
        </w:rPr>
        <w:t>are</w:t>
      </w:r>
      <w:r w:rsidRPr="001D040C">
        <w:rPr>
          <w:sz w:val="22"/>
        </w:rPr>
        <w:t xml:space="preserve"> published in medical and epidemiologic journals as well as basic science journals when appropriate.  Results </w:t>
      </w:r>
      <w:r w:rsidR="00AB0510">
        <w:rPr>
          <w:sz w:val="22"/>
        </w:rPr>
        <w:t>are</w:t>
      </w:r>
      <w:r w:rsidRPr="001D040C">
        <w:rPr>
          <w:sz w:val="22"/>
        </w:rPr>
        <w:t xml:space="preserve"> presented at scientific meeting</w:t>
      </w:r>
      <w:r w:rsidR="001E5A3D" w:rsidRPr="001D040C">
        <w:rPr>
          <w:sz w:val="22"/>
        </w:rPr>
        <w:t>s</w:t>
      </w:r>
      <w:r w:rsidRPr="001D040C">
        <w:rPr>
          <w:sz w:val="22"/>
        </w:rPr>
        <w:t xml:space="preserve"> and at meetings of breast cancer advocates and other interested groups.  Data </w:t>
      </w:r>
      <w:r w:rsidR="00AB0510">
        <w:rPr>
          <w:sz w:val="22"/>
        </w:rPr>
        <w:t>are</w:t>
      </w:r>
      <w:r w:rsidRPr="001D040C">
        <w:rPr>
          <w:sz w:val="22"/>
        </w:rPr>
        <w:t xml:space="preserve"> used to assess current hypotheses regarding risk factors for breast cancer, to generate new hypotheses for subsequent analyses in the Sister Study, and specifically to identify preventable risk factors or combinations of risk factors.  In addition to scientists and clinicians who use this information in developing prevention strategies and to advise their patients, </w:t>
      </w:r>
      <w:r w:rsidR="00C32BDB">
        <w:rPr>
          <w:sz w:val="22"/>
        </w:rPr>
        <w:t xml:space="preserve">analysis </w:t>
      </w:r>
      <w:r w:rsidRPr="001D040C">
        <w:rPr>
          <w:sz w:val="22"/>
        </w:rPr>
        <w:t xml:space="preserve">results </w:t>
      </w:r>
      <w:r w:rsidR="00C32BDB">
        <w:rPr>
          <w:sz w:val="22"/>
        </w:rPr>
        <w:t>are</w:t>
      </w:r>
      <w:r w:rsidRPr="001D040C">
        <w:rPr>
          <w:sz w:val="22"/>
        </w:rPr>
        <w:t xml:space="preserve"> reported to the women who participate in the study and to other women through the media, our website, and other </w:t>
      </w:r>
      <w:r w:rsidR="00CA6186" w:rsidRPr="001D040C">
        <w:rPr>
          <w:sz w:val="22"/>
        </w:rPr>
        <w:t>Sister Study</w:t>
      </w:r>
      <w:r w:rsidRPr="001D040C">
        <w:rPr>
          <w:sz w:val="22"/>
        </w:rPr>
        <w:t xml:space="preserve"> publications and newsletters.  Results of the study may figure in future risk assessments and evaluations of the carcinogenicity of specific environmental agents and could be used in the development of exposure guidelines or standards</w:t>
      </w:r>
      <w:r w:rsidR="00F92D2C" w:rsidRPr="001D040C">
        <w:rPr>
          <w:sz w:val="22"/>
        </w:rPr>
        <w:t>,</w:t>
      </w:r>
      <w:r w:rsidRPr="001D040C">
        <w:rPr>
          <w:sz w:val="22"/>
        </w:rPr>
        <w:t xml:space="preserve"> should important environmental risks be uncovered.  Thus the results </w:t>
      </w:r>
      <w:r w:rsidR="00C32BDB">
        <w:rPr>
          <w:sz w:val="22"/>
        </w:rPr>
        <w:t xml:space="preserve">are and </w:t>
      </w:r>
      <w:r w:rsidRPr="001D040C">
        <w:rPr>
          <w:sz w:val="22"/>
        </w:rPr>
        <w:t xml:space="preserve">will be of use to Public Health officials, other scientists, physicians, elected and appointed officials, and women and their families.  </w:t>
      </w:r>
    </w:p>
    <w:p w:rsidR="00AD6C9E" w:rsidRPr="001D040C" w:rsidRDefault="006D061C" w:rsidP="00AD6C9E">
      <w:pPr>
        <w:spacing w:line="480" w:lineRule="auto"/>
        <w:ind w:firstLine="360"/>
        <w:rPr>
          <w:sz w:val="22"/>
        </w:rPr>
      </w:pPr>
      <w:r w:rsidRPr="001D040C">
        <w:rPr>
          <w:sz w:val="22"/>
        </w:rPr>
        <w:t xml:space="preserve">The type and amount of information we </w:t>
      </w:r>
      <w:r w:rsidR="00394E69" w:rsidRPr="001D040C">
        <w:rPr>
          <w:sz w:val="22"/>
        </w:rPr>
        <w:t>collected</w:t>
      </w:r>
      <w:r w:rsidRPr="001D040C">
        <w:rPr>
          <w:sz w:val="22"/>
        </w:rPr>
        <w:t xml:space="preserve"> at baseline </w:t>
      </w:r>
      <w:r w:rsidR="00F92D2C" w:rsidRPr="00C32BDB">
        <w:rPr>
          <w:sz w:val="22"/>
        </w:rPr>
        <w:t xml:space="preserve">before </w:t>
      </w:r>
      <w:r w:rsidR="00F92D2C" w:rsidRPr="001D040C">
        <w:rPr>
          <w:sz w:val="22"/>
        </w:rPr>
        <w:t xml:space="preserve">women develop breast cancer, </w:t>
      </w:r>
      <w:r w:rsidRPr="001D040C">
        <w:rPr>
          <w:sz w:val="22"/>
        </w:rPr>
        <w:t xml:space="preserve">and at </w:t>
      </w:r>
      <w:r w:rsidR="00F92D2C" w:rsidRPr="001D040C">
        <w:rPr>
          <w:sz w:val="22"/>
        </w:rPr>
        <w:t xml:space="preserve">subsequent </w:t>
      </w:r>
      <w:r w:rsidR="00C32BDB">
        <w:rPr>
          <w:sz w:val="22"/>
        </w:rPr>
        <w:t>follow-up</w:t>
      </w:r>
      <w:r w:rsidR="008A2A5E">
        <w:rPr>
          <w:sz w:val="22"/>
        </w:rPr>
        <w:t xml:space="preserve"> collections,</w:t>
      </w:r>
      <w:r w:rsidRPr="001D040C">
        <w:rPr>
          <w:sz w:val="22"/>
        </w:rPr>
        <w:t xml:space="preserve"> </w:t>
      </w:r>
      <w:r w:rsidR="00F92D2C" w:rsidRPr="001D040C">
        <w:rPr>
          <w:sz w:val="22"/>
        </w:rPr>
        <w:t>fulfill</w:t>
      </w:r>
      <w:r w:rsidRPr="001D040C">
        <w:rPr>
          <w:sz w:val="22"/>
        </w:rPr>
        <w:t xml:space="preserve"> many scientific and clinical needs. For breast cancer, </w:t>
      </w:r>
      <w:r w:rsidRPr="001D040C">
        <w:rPr>
          <w:sz w:val="22"/>
        </w:rPr>
        <w:lastRenderedPageBreak/>
        <w:t>many of the exposures of interest, including endogenous hormone levels, micronutrients, and even some environmental exposures, are measured most accurately in biological samples collected before the onset of disease or treatment and their associated symptoms and biological and lifestyle changes. The cohort design allow</w:t>
      </w:r>
      <w:r w:rsidR="00394E69" w:rsidRPr="001D040C">
        <w:rPr>
          <w:sz w:val="22"/>
        </w:rPr>
        <w:t>s</w:t>
      </w:r>
      <w:r w:rsidRPr="001D040C">
        <w:rPr>
          <w:sz w:val="22"/>
        </w:rPr>
        <w:t xml:space="preserve"> us to collect data on exposures, including biological exposure measures, diet and lifestyle, </w:t>
      </w:r>
      <w:r w:rsidRPr="00C32BDB">
        <w:rPr>
          <w:sz w:val="22"/>
        </w:rPr>
        <w:t xml:space="preserve">before </w:t>
      </w:r>
      <w:r w:rsidRPr="001D040C">
        <w:rPr>
          <w:sz w:val="22"/>
        </w:rPr>
        <w:t>the onset of disease.</w:t>
      </w:r>
      <w:r w:rsidR="003C6465" w:rsidRPr="001D040C">
        <w:rPr>
          <w:sz w:val="22"/>
        </w:rPr>
        <w:t xml:space="preserve"> </w:t>
      </w:r>
    </w:p>
    <w:p w:rsidR="008035AC" w:rsidRPr="004129AB" w:rsidRDefault="008F76DF" w:rsidP="00E63DA7">
      <w:pPr>
        <w:spacing w:line="480" w:lineRule="auto"/>
        <w:ind w:firstLine="360"/>
        <w:rPr>
          <w:sz w:val="22"/>
          <w:szCs w:val="22"/>
        </w:rPr>
      </w:pPr>
      <w:r w:rsidRPr="00CD0A09">
        <w:rPr>
          <w:sz w:val="22"/>
        </w:rPr>
        <w:t>B</w:t>
      </w:r>
      <w:r w:rsidR="006D061C" w:rsidRPr="00CD0A09">
        <w:rPr>
          <w:sz w:val="22"/>
        </w:rPr>
        <w:t xml:space="preserve">rief </w:t>
      </w:r>
      <w:r w:rsidR="00F65681" w:rsidRPr="00CD0A09">
        <w:rPr>
          <w:sz w:val="22"/>
        </w:rPr>
        <w:t xml:space="preserve">Annual Update </w:t>
      </w:r>
      <w:r w:rsidR="003F7DF7" w:rsidRPr="00CD0A09">
        <w:rPr>
          <w:sz w:val="22"/>
        </w:rPr>
        <w:t>forms</w:t>
      </w:r>
      <w:r w:rsidR="00F65681" w:rsidRPr="00CD0A09">
        <w:rPr>
          <w:sz w:val="22"/>
        </w:rPr>
        <w:t xml:space="preserve"> </w:t>
      </w:r>
      <w:r w:rsidR="00F65681" w:rsidRPr="00CD0A09">
        <w:rPr>
          <w:b/>
          <w:sz w:val="22"/>
          <w:highlight w:val="yellow"/>
        </w:rPr>
        <w:t>(</w:t>
      </w:r>
      <w:r w:rsidR="00F65681" w:rsidRPr="00CD0A09">
        <w:rPr>
          <w:b/>
          <w:smallCaps/>
          <w:sz w:val="22"/>
          <w:highlight w:val="yellow"/>
        </w:rPr>
        <w:t>Attachment</w:t>
      </w:r>
      <w:r w:rsidR="00F65681" w:rsidRPr="00CD0A09">
        <w:rPr>
          <w:b/>
          <w:sz w:val="22"/>
          <w:highlight w:val="yellow"/>
        </w:rPr>
        <w:t xml:space="preserve"> 1A</w:t>
      </w:r>
      <w:r w:rsidR="004D602E" w:rsidRPr="00CD0A09">
        <w:rPr>
          <w:b/>
          <w:sz w:val="22"/>
          <w:highlight w:val="yellow"/>
        </w:rPr>
        <w:t xml:space="preserve">; </w:t>
      </w:r>
      <w:r w:rsidR="004D602E" w:rsidRPr="00CD0A09">
        <w:rPr>
          <w:b/>
          <w:color w:val="000000"/>
          <w:sz w:val="21"/>
          <w:szCs w:val="21"/>
          <w:highlight w:val="yellow"/>
        </w:rPr>
        <w:t>correspondence in</w:t>
      </w:r>
      <w:r w:rsidR="004D602E" w:rsidRPr="00CD0A09">
        <w:rPr>
          <w:b/>
          <w:smallCaps/>
          <w:sz w:val="22"/>
          <w:highlight w:val="yellow"/>
        </w:rPr>
        <w:t xml:space="preserve"> Attachment</w:t>
      </w:r>
      <w:r w:rsidR="004D602E" w:rsidRPr="00CD0A09">
        <w:rPr>
          <w:b/>
          <w:sz w:val="22"/>
          <w:highlight w:val="yellow"/>
        </w:rPr>
        <w:t xml:space="preserve"> 1B</w:t>
      </w:r>
      <w:r w:rsidR="00CD0A09" w:rsidRPr="00CD0A09">
        <w:rPr>
          <w:b/>
          <w:sz w:val="22"/>
          <w:highlight w:val="yellow"/>
        </w:rPr>
        <w:t xml:space="preserve">; web screenshots in </w:t>
      </w:r>
      <w:r w:rsidR="00CD0A09" w:rsidRPr="00CD0A09">
        <w:rPr>
          <w:b/>
          <w:smallCaps/>
          <w:sz w:val="22"/>
          <w:highlight w:val="yellow"/>
        </w:rPr>
        <w:t>Attachment 1C</w:t>
      </w:r>
      <w:r w:rsidR="00F65681" w:rsidRPr="00CD0A09">
        <w:rPr>
          <w:b/>
          <w:sz w:val="22"/>
          <w:highlight w:val="yellow"/>
        </w:rPr>
        <w:t>)</w:t>
      </w:r>
      <w:r w:rsidR="003F7DF7" w:rsidRPr="00CD0A09">
        <w:rPr>
          <w:sz w:val="22"/>
        </w:rPr>
        <w:t xml:space="preserve"> are</w:t>
      </w:r>
      <w:r w:rsidR="006D061C" w:rsidRPr="00CD0A09">
        <w:rPr>
          <w:sz w:val="22"/>
        </w:rPr>
        <w:t xml:space="preserve"> used </w:t>
      </w:r>
      <w:r w:rsidR="003F7DF7" w:rsidRPr="00CD0A09">
        <w:rPr>
          <w:sz w:val="22"/>
        </w:rPr>
        <w:t>annually</w:t>
      </w:r>
      <w:r w:rsidR="0024068F" w:rsidRPr="00CD0A09">
        <w:rPr>
          <w:sz w:val="22"/>
        </w:rPr>
        <w:t xml:space="preserve"> </w:t>
      </w:r>
      <w:r w:rsidR="006D061C" w:rsidRPr="00CD0A09">
        <w:rPr>
          <w:sz w:val="22"/>
        </w:rPr>
        <w:t xml:space="preserve">to update </w:t>
      </w:r>
      <w:r w:rsidR="003F7DF7" w:rsidRPr="00CD0A09">
        <w:rPr>
          <w:sz w:val="22"/>
        </w:rPr>
        <w:t>changes in contact information</w:t>
      </w:r>
      <w:r w:rsidR="00201D1E" w:rsidRPr="00CD0A09">
        <w:rPr>
          <w:sz w:val="22"/>
        </w:rPr>
        <w:t xml:space="preserve"> and</w:t>
      </w:r>
      <w:r w:rsidR="003F7DF7" w:rsidRPr="00CD0A09">
        <w:rPr>
          <w:sz w:val="22"/>
        </w:rPr>
        <w:t xml:space="preserve"> health</w:t>
      </w:r>
      <w:r w:rsidR="00201D1E" w:rsidRPr="001D040C">
        <w:rPr>
          <w:sz w:val="22"/>
        </w:rPr>
        <w:t xml:space="preserve"> status.  </w:t>
      </w:r>
      <w:r w:rsidR="00E546E5">
        <w:rPr>
          <w:sz w:val="22"/>
        </w:rPr>
        <w:t xml:space="preserve">Follow-Up </w:t>
      </w:r>
      <w:r w:rsidR="00E546E5" w:rsidRPr="009A5EC2">
        <w:rPr>
          <w:sz w:val="22"/>
          <w:highlight w:val="yellow"/>
        </w:rPr>
        <w:t>II</w:t>
      </w:r>
      <w:r w:rsidR="008A2A5E" w:rsidRPr="009A5EC2">
        <w:rPr>
          <w:sz w:val="22"/>
          <w:highlight w:val="yellow"/>
        </w:rPr>
        <w:t>I</w:t>
      </w:r>
      <w:r w:rsidR="00E546E5">
        <w:rPr>
          <w:sz w:val="22"/>
        </w:rPr>
        <w:t xml:space="preserve"> (triennial)</w:t>
      </w:r>
      <w:r w:rsidR="00201D1E" w:rsidRPr="001D040C">
        <w:rPr>
          <w:sz w:val="22"/>
        </w:rPr>
        <w:t xml:space="preserve"> </w:t>
      </w:r>
      <w:r w:rsidR="00E546E5">
        <w:rPr>
          <w:sz w:val="22"/>
        </w:rPr>
        <w:t>form</w:t>
      </w:r>
      <w:r w:rsidR="00DF69C6" w:rsidRPr="001D040C">
        <w:rPr>
          <w:sz w:val="22"/>
        </w:rPr>
        <w:t xml:space="preserve">s </w:t>
      </w:r>
      <w:r w:rsidR="0024068F" w:rsidRPr="00CD0A09">
        <w:rPr>
          <w:b/>
          <w:sz w:val="22"/>
          <w:highlight w:val="yellow"/>
        </w:rPr>
        <w:t>(</w:t>
      </w:r>
      <w:r w:rsidR="009B3602" w:rsidRPr="00CD0A09">
        <w:rPr>
          <w:b/>
          <w:smallCaps/>
          <w:sz w:val="22"/>
          <w:highlight w:val="yellow"/>
        </w:rPr>
        <w:t>Attachment</w:t>
      </w:r>
      <w:r w:rsidR="009B3602" w:rsidRPr="00CD0A09">
        <w:rPr>
          <w:b/>
          <w:sz w:val="22"/>
          <w:highlight w:val="yellow"/>
        </w:rPr>
        <w:t xml:space="preserve"> 2</w:t>
      </w:r>
      <w:r w:rsidR="00F65681" w:rsidRPr="00CD0A09">
        <w:rPr>
          <w:b/>
          <w:sz w:val="22"/>
          <w:highlight w:val="yellow"/>
        </w:rPr>
        <w:t>A</w:t>
      </w:r>
      <w:r w:rsidR="004D602E" w:rsidRPr="00CD0A09">
        <w:rPr>
          <w:b/>
          <w:sz w:val="22"/>
          <w:highlight w:val="yellow"/>
        </w:rPr>
        <w:t xml:space="preserve">; </w:t>
      </w:r>
      <w:r w:rsidR="004D602E" w:rsidRPr="00CD0A09">
        <w:rPr>
          <w:b/>
          <w:color w:val="000000"/>
          <w:sz w:val="21"/>
          <w:szCs w:val="21"/>
          <w:highlight w:val="yellow"/>
        </w:rPr>
        <w:t>correspondence in</w:t>
      </w:r>
      <w:r w:rsidR="004D602E" w:rsidRPr="00CD0A09">
        <w:rPr>
          <w:b/>
          <w:smallCaps/>
          <w:sz w:val="22"/>
          <w:highlight w:val="yellow"/>
        </w:rPr>
        <w:t xml:space="preserve"> Attachment</w:t>
      </w:r>
      <w:r w:rsidR="004D602E" w:rsidRPr="00CD0A09">
        <w:rPr>
          <w:b/>
          <w:sz w:val="22"/>
          <w:highlight w:val="yellow"/>
        </w:rPr>
        <w:t xml:space="preserve"> 2B; telephone script in </w:t>
      </w:r>
      <w:r w:rsidR="004D602E" w:rsidRPr="00CD0A09">
        <w:rPr>
          <w:b/>
          <w:smallCaps/>
          <w:sz w:val="22"/>
          <w:highlight w:val="yellow"/>
        </w:rPr>
        <w:t>Attachment</w:t>
      </w:r>
      <w:r w:rsidR="004D602E" w:rsidRPr="00CD0A09">
        <w:rPr>
          <w:b/>
          <w:sz w:val="22"/>
          <w:highlight w:val="yellow"/>
        </w:rPr>
        <w:t xml:space="preserve"> 2C</w:t>
      </w:r>
      <w:r w:rsidR="00CD0A09" w:rsidRPr="00CD0A09">
        <w:rPr>
          <w:b/>
          <w:sz w:val="22"/>
          <w:highlight w:val="yellow"/>
        </w:rPr>
        <w:t xml:space="preserve">; web screenshots in </w:t>
      </w:r>
      <w:r w:rsidR="00CD0A09" w:rsidRPr="00CD0A09">
        <w:rPr>
          <w:b/>
          <w:smallCaps/>
          <w:sz w:val="22"/>
          <w:highlight w:val="yellow"/>
        </w:rPr>
        <w:t>Attachment 2D</w:t>
      </w:r>
      <w:r w:rsidR="0024068F" w:rsidRPr="00CD0A09">
        <w:rPr>
          <w:b/>
          <w:sz w:val="22"/>
          <w:highlight w:val="yellow"/>
        </w:rPr>
        <w:t>)</w:t>
      </w:r>
      <w:r w:rsidR="0024068F" w:rsidRPr="00CD0A09">
        <w:rPr>
          <w:sz w:val="22"/>
        </w:rPr>
        <w:t xml:space="preserve"> </w:t>
      </w:r>
      <w:r w:rsidR="00DF69C6" w:rsidRPr="001D040C">
        <w:rPr>
          <w:sz w:val="22"/>
        </w:rPr>
        <w:t>record</w:t>
      </w:r>
      <w:r w:rsidR="00201D1E" w:rsidRPr="001D040C">
        <w:rPr>
          <w:sz w:val="22"/>
        </w:rPr>
        <w:t xml:space="preserve"> changes in health, lifestyle, occupation</w:t>
      </w:r>
      <w:r w:rsidR="00A60D9B" w:rsidRPr="001D040C">
        <w:rPr>
          <w:sz w:val="22"/>
        </w:rPr>
        <w:t>al and environmental exposures a</w:t>
      </w:r>
      <w:r w:rsidR="00201D1E" w:rsidRPr="001D040C">
        <w:rPr>
          <w:sz w:val="22"/>
        </w:rPr>
        <w:t xml:space="preserve">nd address </w:t>
      </w:r>
      <w:r w:rsidR="003F7DF7" w:rsidRPr="001D040C">
        <w:rPr>
          <w:sz w:val="22"/>
        </w:rPr>
        <w:t>new hypotheses</w:t>
      </w:r>
      <w:r w:rsidR="006D061C" w:rsidRPr="001D040C">
        <w:rPr>
          <w:sz w:val="22"/>
        </w:rPr>
        <w:t xml:space="preserve">. As technology for self-collected environmental samples improves, women may be asked to provide such </w:t>
      </w:r>
      <w:r w:rsidR="003F7DF7" w:rsidRPr="001D040C">
        <w:rPr>
          <w:sz w:val="22"/>
        </w:rPr>
        <w:t xml:space="preserve">samples </w:t>
      </w:r>
      <w:r w:rsidR="006D061C" w:rsidRPr="001D040C">
        <w:rPr>
          <w:sz w:val="22"/>
        </w:rPr>
        <w:t xml:space="preserve">(for example, using in-home water test kits) as part of </w:t>
      </w:r>
      <w:r w:rsidR="008A2A5E">
        <w:rPr>
          <w:sz w:val="22"/>
        </w:rPr>
        <w:t xml:space="preserve">cohort </w:t>
      </w:r>
      <w:r w:rsidR="006D061C" w:rsidRPr="001D040C">
        <w:rPr>
          <w:sz w:val="22"/>
        </w:rPr>
        <w:t>follow-up.</w:t>
      </w:r>
    </w:p>
    <w:p w:rsidR="00DF69C6" w:rsidRPr="001D040C" w:rsidRDefault="006D061C" w:rsidP="00CB032F">
      <w:pPr>
        <w:spacing w:line="480" w:lineRule="auto"/>
        <w:ind w:firstLine="360"/>
        <w:rPr>
          <w:sz w:val="22"/>
        </w:rPr>
      </w:pPr>
      <w:r w:rsidRPr="001D040C">
        <w:rPr>
          <w:sz w:val="22"/>
        </w:rPr>
        <w:t xml:space="preserve">Women who develop breast cancer or other conditions of interest during the course of follow-up </w:t>
      </w:r>
      <w:r w:rsidR="00DF69C6" w:rsidRPr="001D040C">
        <w:rPr>
          <w:sz w:val="22"/>
        </w:rPr>
        <w:t>are</w:t>
      </w:r>
      <w:r w:rsidRPr="001D040C">
        <w:rPr>
          <w:sz w:val="22"/>
        </w:rPr>
        <w:t xml:space="preserve"> asked to allow us to obtain medical records and</w:t>
      </w:r>
      <w:r w:rsidR="00DF69C6" w:rsidRPr="001D040C">
        <w:rPr>
          <w:sz w:val="22"/>
        </w:rPr>
        <w:t xml:space="preserve"> tissue samples from their</w:t>
      </w:r>
      <w:r w:rsidRPr="001D040C">
        <w:rPr>
          <w:sz w:val="22"/>
        </w:rPr>
        <w:t xml:space="preserve"> </w:t>
      </w:r>
      <w:r w:rsidR="00DF69C6" w:rsidRPr="001D040C">
        <w:rPr>
          <w:sz w:val="22"/>
        </w:rPr>
        <w:t>health care providers</w:t>
      </w:r>
      <w:r w:rsidR="00E95AB9">
        <w:rPr>
          <w:sz w:val="22"/>
        </w:rPr>
        <w:t xml:space="preserve">. </w:t>
      </w:r>
      <w:r w:rsidR="0024068F">
        <w:rPr>
          <w:sz w:val="22"/>
        </w:rPr>
        <w:t>[Conducted under Clinical Exemption CE 2009-09-004]</w:t>
      </w:r>
    </w:p>
    <w:p w:rsidR="00732F55" w:rsidRPr="0076222C" w:rsidRDefault="001431E4" w:rsidP="00F26B3F">
      <w:pPr>
        <w:spacing w:line="480" w:lineRule="auto"/>
        <w:ind w:firstLine="360"/>
        <w:rPr>
          <w:smallCaps/>
          <w:sz w:val="22"/>
        </w:rPr>
      </w:pPr>
      <w:r>
        <w:rPr>
          <w:sz w:val="22"/>
        </w:rPr>
        <w:t xml:space="preserve">Since the last </w:t>
      </w:r>
      <w:r w:rsidR="008A2A5E">
        <w:rPr>
          <w:sz w:val="22"/>
        </w:rPr>
        <w:t>Revision</w:t>
      </w:r>
      <w:r>
        <w:rPr>
          <w:sz w:val="22"/>
        </w:rPr>
        <w:t>, p</w:t>
      </w:r>
      <w:r w:rsidR="00732F55" w:rsidRPr="001D040C">
        <w:rPr>
          <w:sz w:val="22"/>
        </w:rPr>
        <w:t xml:space="preserve">articipants have completed </w:t>
      </w:r>
      <w:r w:rsidR="008A2A5E">
        <w:rPr>
          <w:sz w:val="22"/>
        </w:rPr>
        <w:t>A</w:t>
      </w:r>
      <w:r w:rsidR="008A2A5E" w:rsidRPr="001D040C">
        <w:rPr>
          <w:sz w:val="22"/>
        </w:rPr>
        <w:t xml:space="preserve">nnual </w:t>
      </w:r>
      <w:r w:rsidR="00732F55" w:rsidRPr="001D040C">
        <w:rPr>
          <w:sz w:val="22"/>
        </w:rPr>
        <w:t xml:space="preserve">and </w:t>
      </w:r>
      <w:r w:rsidR="008A2A5E">
        <w:rPr>
          <w:sz w:val="22"/>
        </w:rPr>
        <w:t>Follow-Up II</w:t>
      </w:r>
      <w:r w:rsidR="00E00A7E" w:rsidRPr="001D040C">
        <w:rPr>
          <w:sz w:val="22"/>
        </w:rPr>
        <w:t xml:space="preserve"> </w:t>
      </w:r>
      <w:r w:rsidR="00B40FBD">
        <w:rPr>
          <w:sz w:val="22"/>
        </w:rPr>
        <w:t>u</w:t>
      </w:r>
      <w:r w:rsidR="00732F55" w:rsidRPr="001D040C">
        <w:rPr>
          <w:sz w:val="22"/>
        </w:rPr>
        <w:t>pdates according to schedule</w:t>
      </w:r>
      <w:r w:rsidR="00833B8C">
        <w:rPr>
          <w:sz w:val="22"/>
        </w:rPr>
        <w:t xml:space="preserve"> with a</w:t>
      </w:r>
      <w:r w:rsidR="005A30C3" w:rsidRPr="001D040C">
        <w:rPr>
          <w:sz w:val="22"/>
        </w:rPr>
        <w:t>verage r</w:t>
      </w:r>
      <w:r w:rsidR="00732F55" w:rsidRPr="001D040C">
        <w:rPr>
          <w:sz w:val="22"/>
        </w:rPr>
        <w:t>esponse rates remain</w:t>
      </w:r>
      <w:r w:rsidR="00833B8C">
        <w:rPr>
          <w:sz w:val="22"/>
        </w:rPr>
        <w:t>ing</w:t>
      </w:r>
      <w:r w:rsidR="00732F55" w:rsidRPr="001D040C">
        <w:rPr>
          <w:sz w:val="22"/>
        </w:rPr>
        <w:t xml:space="preserve"> </w:t>
      </w:r>
      <w:r w:rsidR="00E00A7E">
        <w:rPr>
          <w:sz w:val="22"/>
        </w:rPr>
        <w:t xml:space="preserve">over </w:t>
      </w:r>
      <w:r w:rsidR="00732F55" w:rsidRPr="001D040C">
        <w:rPr>
          <w:sz w:val="22"/>
        </w:rPr>
        <w:t>90%.  In addition, several reports have been published, describing factors under investigation</w:t>
      </w:r>
      <w:r w:rsidR="0076222C">
        <w:rPr>
          <w:sz w:val="22"/>
        </w:rPr>
        <w:t xml:space="preserve"> </w:t>
      </w:r>
      <w:r w:rsidR="0076222C" w:rsidRPr="009A5EC2">
        <w:rPr>
          <w:b/>
          <w:sz w:val="22"/>
          <w:highlight w:val="yellow"/>
        </w:rPr>
        <w:t>(A</w:t>
      </w:r>
      <w:r w:rsidR="0076222C" w:rsidRPr="009A5EC2">
        <w:rPr>
          <w:b/>
          <w:smallCaps/>
          <w:sz w:val="22"/>
          <w:highlight w:val="yellow"/>
        </w:rPr>
        <w:t xml:space="preserve">ttachment </w:t>
      </w:r>
      <w:r w:rsidR="00CD0A09">
        <w:rPr>
          <w:b/>
          <w:smallCaps/>
          <w:sz w:val="22"/>
          <w:highlight w:val="yellow"/>
        </w:rPr>
        <w:t>9</w:t>
      </w:r>
      <w:r w:rsidR="0076222C" w:rsidRPr="009A5EC2">
        <w:rPr>
          <w:b/>
          <w:smallCaps/>
          <w:sz w:val="22"/>
          <w:highlight w:val="yellow"/>
        </w:rPr>
        <w:t>)</w:t>
      </w:r>
      <w:r w:rsidR="0076222C">
        <w:rPr>
          <w:smallCaps/>
          <w:sz w:val="22"/>
        </w:rPr>
        <w:t>.</w:t>
      </w:r>
    </w:p>
    <w:p w:rsidR="006D061C" w:rsidRPr="001D040C" w:rsidRDefault="006D061C" w:rsidP="00B64409">
      <w:pPr>
        <w:pStyle w:val="Heading2"/>
      </w:pPr>
      <w:bookmarkStart w:id="10" w:name="_Toc129590306"/>
      <w:bookmarkStart w:id="11" w:name="_Toc129668548"/>
      <w:r w:rsidRPr="001D040C">
        <w:t xml:space="preserve">A.3. </w:t>
      </w:r>
      <w:r w:rsidR="000606CA" w:rsidRPr="001D040C">
        <w:t xml:space="preserve"> </w:t>
      </w:r>
      <w:r w:rsidRPr="001D040C">
        <w:t>Use of Information Technology and Burden Reduction</w:t>
      </w:r>
      <w:bookmarkEnd w:id="10"/>
      <w:bookmarkEnd w:id="11"/>
    </w:p>
    <w:p w:rsidR="0070321F" w:rsidRDefault="00DF69C6" w:rsidP="005935C3">
      <w:pPr>
        <w:spacing w:line="480" w:lineRule="auto"/>
        <w:ind w:firstLine="360"/>
        <w:rPr>
          <w:sz w:val="22"/>
        </w:rPr>
      </w:pPr>
      <w:r w:rsidRPr="001D040C">
        <w:rPr>
          <w:sz w:val="22"/>
        </w:rPr>
        <w:t>Web-based</w:t>
      </w:r>
      <w:r w:rsidR="0070321F">
        <w:rPr>
          <w:sz w:val="22"/>
        </w:rPr>
        <w:t xml:space="preserve"> and Computer Assisted Telephone Interviews</w:t>
      </w:r>
      <w:r w:rsidR="0070321F" w:rsidRPr="00E109AE">
        <w:rPr>
          <w:sz w:val="22"/>
        </w:rPr>
        <w:t xml:space="preserve"> </w:t>
      </w:r>
      <w:r w:rsidR="0070321F">
        <w:rPr>
          <w:sz w:val="22"/>
        </w:rPr>
        <w:t xml:space="preserve">(CATI) </w:t>
      </w:r>
      <w:r w:rsidRPr="001D040C">
        <w:rPr>
          <w:sz w:val="22"/>
        </w:rPr>
        <w:t xml:space="preserve">completion of </w:t>
      </w:r>
      <w:r w:rsidR="005935C3" w:rsidRPr="001D040C">
        <w:rPr>
          <w:sz w:val="22"/>
        </w:rPr>
        <w:t>Annual Updates</w:t>
      </w:r>
      <w:r w:rsidRPr="001D040C">
        <w:rPr>
          <w:sz w:val="22"/>
        </w:rPr>
        <w:t xml:space="preserve"> </w:t>
      </w:r>
      <w:r w:rsidR="00322AB3">
        <w:rPr>
          <w:sz w:val="22"/>
        </w:rPr>
        <w:t xml:space="preserve">and Follow-Up forms </w:t>
      </w:r>
      <w:r w:rsidR="00976DD4">
        <w:rPr>
          <w:sz w:val="22"/>
        </w:rPr>
        <w:t>are</w:t>
      </w:r>
      <w:r w:rsidRPr="001D040C">
        <w:rPr>
          <w:sz w:val="22"/>
        </w:rPr>
        <w:t xml:space="preserve"> available</w:t>
      </w:r>
      <w:r w:rsidR="0070321F">
        <w:rPr>
          <w:sz w:val="22"/>
        </w:rPr>
        <w:t xml:space="preserve"> along with the option for self-administered hardcopy forms</w:t>
      </w:r>
      <w:r w:rsidRPr="001D040C">
        <w:rPr>
          <w:sz w:val="22"/>
        </w:rPr>
        <w:t xml:space="preserve">. </w:t>
      </w:r>
      <w:r w:rsidR="0070321F">
        <w:rPr>
          <w:sz w:val="22"/>
        </w:rPr>
        <w:t xml:space="preserve">The three modes </w:t>
      </w:r>
      <w:r w:rsidR="00E109AE">
        <w:rPr>
          <w:sz w:val="22"/>
        </w:rPr>
        <w:t xml:space="preserve">are integrated </w:t>
      </w:r>
      <w:r w:rsidR="0070321F">
        <w:rPr>
          <w:sz w:val="22"/>
        </w:rPr>
        <w:t xml:space="preserve">in </w:t>
      </w:r>
      <w:r w:rsidR="00E109AE">
        <w:rPr>
          <w:sz w:val="22"/>
        </w:rPr>
        <w:t>the data system</w:t>
      </w:r>
      <w:r w:rsidR="00163272">
        <w:rPr>
          <w:sz w:val="22"/>
        </w:rPr>
        <w:t xml:space="preserve"> so that data collected through multiple means can be seamlessly combined. </w:t>
      </w:r>
      <w:r w:rsidR="005B4DEA">
        <w:rPr>
          <w:sz w:val="22"/>
        </w:rPr>
        <w:t xml:space="preserve">The Web-based and CATI </w:t>
      </w:r>
      <w:r w:rsidR="006D061C" w:rsidRPr="001D040C">
        <w:rPr>
          <w:sz w:val="22"/>
        </w:rPr>
        <w:t>technolog</w:t>
      </w:r>
      <w:r w:rsidR="00E109AE">
        <w:rPr>
          <w:sz w:val="22"/>
        </w:rPr>
        <w:t>ies</w:t>
      </w:r>
      <w:r w:rsidR="006D061C" w:rsidRPr="001D040C">
        <w:rPr>
          <w:sz w:val="22"/>
        </w:rPr>
        <w:t xml:space="preserve"> </w:t>
      </w:r>
      <w:r w:rsidR="0070321F">
        <w:rPr>
          <w:sz w:val="22"/>
        </w:rPr>
        <w:t>offer</w:t>
      </w:r>
      <w:r w:rsidR="006D061C" w:rsidRPr="001D040C">
        <w:rPr>
          <w:sz w:val="22"/>
        </w:rPr>
        <w:t xml:space="preserve"> advantages over the traditional pencil and paper method</w:t>
      </w:r>
      <w:r w:rsidR="0070321F">
        <w:rPr>
          <w:sz w:val="22"/>
        </w:rPr>
        <w:t>:</w:t>
      </w:r>
    </w:p>
    <w:p w:rsidR="0070321F" w:rsidRPr="0070321F" w:rsidRDefault="0070321F" w:rsidP="0029792E">
      <w:pPr>
        <w:pStyle w:val="ListParagraph"/>
        <w:numPr>
          <w:ilvl w:val="0"/>
          <w:numId w:val="25"/>
        </w:numPr>
        <w:spacing w:line="480" w:lineRule="auto"/>
        <w:ind w:left="461" w:hanging="274"/>
        <w:contextualSpacing w:val="0"/>
        <w:rPr>
          <w:sz w:val="22"/>
        </w:rPr>
      </w:pPr>
      <w:r w:rsidRPr="0070321F">
        <w:rPr>
          <w:sz w:val="22"/>
        </w:rPr>
        <w:t>L</w:t>
      </w:r>
      <w:r w:rsidR="006D061C" w:rsidRPr="0070321F">
        <w:rPr>
          <w:sz w:val="22"/>
        </w:rPr>
        <w:t>ess paper</w:t>
      </w:r>
      <w:r w:rsidR="00E109AE" w:rsidRPr="0070321F">
        <w:rPr>
          <w:sz w:val="22"/>
        </w:rPr>
        <w:t xml:space="preserve"> is required</w:t>
      </w:r>
      <w:r w:rsidR="006D061C" w:rsidRPr="0070321F">
        <w:rPr>
          <w:sz w:val="22"/>
        </w:rPr>
        <w:t xml:space="preserve">. </w:t>
      </w:r>
    </w:p>
    <w:p w:rsidR="005B4DEA" w:rsidRDefault="0070321F" w:rsidP="0029792E">
      <w:pPr>
        <w:pStyle w:val="ListParagraph"/>
        <w:numPr>
          <w:ilvl w:val="0"/>
          <w:numId w:val="25"/>
        </w:numPr>
        <w:spacing w:line="480" w:lineRule="auto"/>
        <w:ind w:left="461" w:hanging="274"/>
        <w:contextualSpacing w:val="0"/>
        <w:rPr>
          <w:sz w:val="22"/>
        </w:rPr>
      </w:pPr>
      <w:r w:rsidRPr="0070321F">
        <w:rPr>
          <w:sz w:val="22"/>
        </w:rPr>
        <w:t>T</w:t>
      </w:r>
      <w:r w:rsidR="006D061C" w:rsidRPr="0070321F">
        <w:rPr>
          <w:sz w:val="22"/>
        </w:rPr>
        <w:t xml:space="preserve">here is no “mail wait” </w:t>
      </w:r>
      <w:r w:rsidR="005B4DEA">
        <w:rPr>
          <w:sz w:val="22"/>
        </w:rPr>
        <w:t xml:space="preserve">when offering forms to or retrieving data from </w:t>
      </w:r>
      <w:r w:rsidR="006D061C" w:rsidRPr="0070321F">
        <w:rPr>
          <w:sz w:val="22"/>
        </w:rPr>
        <w:t xml:space="preserve">participants. </w:t>
      </w:r>
    </w:p>
    <w:p w:rsidR="0070321F" w:rsidRPr="0070321F" w:rsidRDefault="005B4DEA" w:rsidP="0029792E">
      <w:pPr>
        <w:pStyle w:val="ListParagraph"/>
        <w:numPr>
          <w:ilvl w:val="0"/>
          <w:numId w:val="25"/>
        </w:numPr>
        <w:spacing w:line="480" w:lineRule="auto"/>
        <w:ind w:left="461" w:hanging="274"/>
        <w:contextualSpacing w:val="0"/>
        <w:rPr>
          <w:sz w:val="22"/>
        </w:rPr>
      </w:pPr>
      <w:r>
        <w:rPr>
          <w:sz w:val="22"/>
        </w:rPr>
        <w:lastRenderedPageBreak/>
        <w:t>The Web-based approach offers more convenience to partic</w:t>
      </w:r>
      <w:r w:rsidR="0073506F">
        <w:rPr>
          <w:sz w:val="22"/>
        </w:rPr>
        <w:t>i</w:t>
      </w:r>
      <w:r>
        <w:rPr>
          <w:sz w:val="22"/>
        </w:rPr>
        <w:t xml:space="preserve">pants </w:t>
      </w:r>
      <w:r w:rsidR="0073506F">
        <w:rPr>
          <w:sz w:val="22"/>
        </w:rPr>
        <w:t>who prefer</w:t>
      </w:r>
      <w:r>
        <w:rPr>
          <w:sz w:val="22"/>
        </w:rPr>
        <w:t xml:space="preserve"> to work on mobile or PC devices.</w:t>
      </w:r>
    </w:p>
    <w:p w:rsidR="0070321F" w:rsidRPr="0070321F" w:rsidRDefault="0070321F" w:rsidP="0029792E">
      <w:pPr>
        <w:pStyle w:val="ListParagraph"/>
        <w:numPr>
          <w:ilvl w:val="0"/>
          <w:numId w:val="25"/>
        </w:numPr>
        <w:spacing w:line="480" w:lineRule="auto"/>
        <w:ind w:left="461" w:hanging="274"/>
        <w:contextualSpacing w:val="0"/>
        <w:rPr>
          <w:sz w:val="22"/>
        </w:rPr>
      </w:pPr>
      <w:r w:rsidRPr="0070321F">
        <w:rPr>
          <w:sz w:val="22"/>
        </w:rPr>
        <w:t>T</w:t>
      </w:r>
      <w:r w:rsidR="006D061C" w:rsidRPr="0070321F">
        <w:rPr>
          <w:sz w:val="22"/>
        </w:rPr>
        <w:t xml:space="preserve">he telephone interview requires </w:t>
      </w:r>
      <w:r w:rsidR="005B18AE" w:rsidRPr="0070321F">
        <w:rPr>
          <w:sz w:val="22"/>
        </w:rPr>
        <w:t>little</w:t>
      </w:r>
      <w:r w:rsidR="006D061C" w:rsidRPr="0070321F">
        <w:rPr>
          <w:sz w:val="22"/>
        </w:rPr>
        <w:t xml:space="preserve"> reading for the participant, an important factor </w:t>
      </w:r>
      <w:r w:rsidR="005B4DEA">
        <w:rPr>
          <w:sz w:val="22"/>
        </w:rPr>
        <w:t xml:space="preserve">for individuals with </w:t>
      </w:r>
      <w:r w:rsidR="006D061C" w:rsidRPr="0070321F">
        <w:rPr>
          <w:sz w:val="22"/>
        </w:rPr>
        <w:t xml:space="preserve">low </w:t>
      </w:r>
      <w:r w:rsidR="005B4DEA">
        <w:rPr>
          <w:sz w:val="22"/>
        </w:rPr>
        <w:t xml:space="preserve">reading comprehension </w:t>
      </w:r>
      <w:r w:rsidR="006D061C" w:rsidRPr="0070321F">
        <w:rPr>
          <w:sz w:val="22"/>
        </w:rPr>
        <w:t xml:space="preserve">or poor eyesight. </w:t>
      </w:r>
    </w:p>
    <w:p w:rsidR="006D061C" w:rsidRDefault="0070321F" w:rsidP="0029792E">
      <w:pPr>
        <w:pStyle w:val="ListParagraph"/>
        <w:numPr>
          <w:ilvl w:val="0"/>
          <w:numId w:val="25"/>
        </w:numPr>
        <w:spacing w:line="480" w:lineRule="auto"/>
        <w:ind w:left="461" w:hanging="274"/>
        <w:contextualSpacing w:val="0"/>
        <w:rPr>
          <w:sz w:val="22"/>
        </w:rPr>
      </w:pPr>
      <w:r w:rsidRPr="0070321F">
        <w:rPr>
          <w:sz w:val="22"/>
        </w:rPr>
        <w:t>D</w:t>
      </w:r>
      <w:r w:rsidR="006D061C" w:rsidRPr="0070321F">
        <w:rPr>
          <w:sz w:val="22"/>
        </w:rPr>
        <w:t>ata extraction is more efficient because skip patterns are automated and response inconsistencies can be querie</w:t>
      </w:r>
      <w:r w:rsidR="005B18AE" w:rsidRPr="0070321F">
        <w:rPr>
          <w:sz w:val="22"/>
        </w:rPr>
        <w:t>d at the time of the interview.</w:t>
      </w:r>
    </w:p>
    <w:p w:rsidR="00AB1A60" w:rsidRPr="001D040C" w:rsidRDefault="00AB1A60" w:rsidP="00F26B3F">
      <w:pPr>
        <w:spacing w:line="480" w:lineRule="auto"/>
        <w:ind w:firstLine="360"/>
        <w:rPr>
          <w:sz w:val="22"/>
        </w:rPr>
      </w:pPr>
      <w:r w:rsidRPr="001D040C">
        <w:rPr>
          <w:sz w:val="22"/>
        </w:rPr>
        <w:t>At enrollment (</w:t>
      </w:r>
      <w:r w:rsidRPr="00645FE1">
        <w:rPr>
          <w:i/>
          <w:sz w:val="22"/>
        </w:rPr>
        <w:t>now completed</w:t>
      </w:r>
      <w:r w:rsidRPr="001D040C">
        <w:rPr>
          <w:sz w:val="22"/>
        </w:rPr>
        <w:t>)</w:t>
      </w:r>
      <w:r w:rsidR="0073506F">
        <w:rPr>
          <w:sz w:val="22"/>
        </w:rPr>
        <w:t>,</w:t>
      </w:r>
      <w:r w:rsidRPr="001D040C">
        <w:rPr>
          <w:sz w:val="22"/>
        </w:rPr>
        <w:t xml:space="preserve"> name, address, </w:t>
      </w:r>
      <w:r w:rsidR="005B4DEA">
        <w:rPr>
          <w:sz w:val="22"/>
        </w:rPr>
        <w:t xml:space="preserve">phone numbers, email address, </w:t>
      </w:r>
      <w:r w:rsidR="00CC0D97">
        <w:rPr>
          <w:sz w:val="22"/>
        </w:rPr>
        <w:t>Social Security number</w:t>
      </w:r>
      <w:r w:rsidRPr="001D040C">
        <w:rPr>
          <w:sz w:val="22"/>
        </w:rPr>
        <w:t xml:space="preserve">, date of birth, and medical information </w:t>
      </w:r>
      <w:r w:rsidR="00F76F2A" w:rsidRPr="001D040C">
        <w:rPr>
          <w:sz w:val="22"/>
        </w:rPr>
        <w:t>were</w:t>
      </w:r>
      <w:r w:rsidRPr="001D040C">
        <w:rPr>
          <w:sz w:val="22"/>
        </w:rPr>
        <w:t xml:space="preserve"> collected.  </w:t>
      </w:r>
      <w:r w:rsidR="005B4DEA">
        <w:rPr>
          <w:sz w:val="22"/>
        </w:rPr>
        <w:t>Personally identifiable information (PII) is</w:t>
      </w:r>
      <w:r w:rsidRPr="001D040C">
        <w:rPr>
          <w:sz w:val="22"/>
        </w:rPr>
        <w:t xml:space="preserve"> stored encrypted and separate</w:t>
      </w:r>
      <w:r w:rsidR="0073506F">
        <w:rPr>
          <w:sz w:val="22"/>
        </w:rPr>
        <w:t xml:space="preserve"> from all other data. </w:t>
      </w:r>
      <w:r w:rsidRPr="001D040C">
        <w:rPr>
          <w:sz w:val="22"/>
        </w:rPr>
        <w:t xml:space="preserve"> </w:t>
      </w:r>
      <w:r w:rsidR="0073506F">
        <w:rPr>
          <w:sz w:val="22"/>
        </w:rPr>
        <w:t>Contact information</w:t>
      </w:r>
      <w:r w:rsidRPr="001D040C">
        <w:rPr>
          <w:sz w:val="22"/>
        </w:rPr>
        <w:t xml:space="preserve"> </w:t>
      </w:r>
      <w:r w:rsidR="005B4DEA">
        <w:rPr>
          <w:sz w:val="22"/>
        </w:rPr>
        <w:t>is</w:t>
      </w:r>
      <w:r w:rsidRPr="001D040C">
        <w:rPr>
          <w:sz w:val="22"/>
        </w:rPr>
        <w:t xml:space="preserve"> used to </w:t>
      </w:r>
      <w:r w:rsidR="0073506F">
        <w:rPr>
          <w:sz w:val="22"/>
        </w:rPr>
        <w:t>deliver</w:t>
      </w:r>
      <w:r w:rsidRPr="001D040C">
        <w:rPr>
          <w:sz w:val="22"/>
        </w:rPr>
        <w:t xml:space="preserve"> </w:t>
      </w:r>
      <w:r w:rsidR="0073506F">
        <w:rPr>
          <w:sz w:val="22"/>
        </w:rPr>
        <w:t xml:space="preserve">Annual </w:t>
      </w:r>
      <w:r w:rsidRPr="001D040C">
        <w:rPr>
          <w:sz w:val="22"/>
        </w:rPr>
        <w:t xml:space="preserve">Update </w:t>
      </w:r>
      <w:r w:rsidR="00322AB3">
        <w:rPr>
          <w:sz w:val="22"/>
        </w:rPr>
        <w:t xml:space="preserve">and Follow-Up </w:t>
      </w:r>
      <w:r w:rsidRPr="001D040C">
        <w:rPr>
          <w:sz w:val="22"/>
        </w:rPr>
        <w:t>materials</w:t>
      </w:r>
      <w:r w:rsidR="00322AB3">
        <w:rPr>
          <w:sz w:val="22"/>
        </w:rPr>
        <w:t>.</w:t>
      </w:r>
      <w:r w:rsidR="00F76F2A" w:rsidRPr="001D040C">
        <w:rPr>
          <w:sz w:val="22"/>
        </w:rPr>
        <w:t xml:space="preserve">  A Privacy Impact Assessment was completed for the Sister Study information management system.</w:t>
      </w:r>
    </w:p>
    <w:p w:rsidR="006D061C" w:rsidRPr="001D040C" w:rsidRDefault="006D061C" w:rsidP="00B64409">
      <w:pPr>
        <w:pStyle w:val="Heading2"/>
      </w:pPr>
      <w:bookmarkStart w:id="12" w:name="_Toc129590307"/>
      <w:bookmarkStart w:id="13" w:name="_Toc129668549"/>
      <w:r w:rsidRPr="001D040C">
        <w:t>A.4</w:t>
      </w:r>
      <w:r w:rsidR="000606CA" w:rsidRPr="001D040C">
        <w:t>.</w:t>
      </w:r>
      <w:r w:rsidRPr="001D040C">
        <w:t xml:space="preserve">  Efforts to Identify Duplication and Use of Similar Information</w:t>
      </w:r>
      <w:bookmarkEnd w:id="12"/>
      <w:bookmarkEnd w:id="13"/>
    </w:p>
    <w:p w:rsidR="006D061C" w:rsidRPr="001D040C" w:rsidRDefault="006D061C" w:rsidP="00F26B3F">
      <w:pPr>
        <w:spacing w:line="480" w:lineRule="auto"/>
        <w:ind w:firstLine="360"/>
        <w:rPr>
          <w:sz w:val="22"/>
        </w:rPr>
      </w:pPr>
      <w:r w:rsidRPr="001D040C">
        <w:rPr>
          <w:sz w:val="22"/>
        </w:rPr>
        <w:t>The information we collect is not available from other sources. There is little consensus in the scientific community on how environment impacts breast cancer. While some studies have addressed environmental factors</w:t>
      </w:r>
      <w:r w:rsidR="00F92528">
        <w:rPr>
          <w:sz w:val="22"/>
        </w:rPr>
        <w:t xml:space="preserve"> such as</w:t>
      </w:r>
      <w:r w:rsidRPr="001D040C">
        <w:rPr>
          <w:sz w:val="22"/>
        </w:rPr>
        <w:t xml:space="preserve"> diet, pesticides, and electromagnetic fields, no conclusive evidence exists because of limits in sample size and/or study design. Although there are cohort studies, such as Harvard’s Nurses Health Study, that do address risk factors for breast cancer, none of these cohorts has collected substantial information on environmental and occupational exposures</w:t>
      </w:r>
      <w:r w:rsidR="006D6390" w:rsidRPr="001D040C">
        <w:rPr>
          <w:sz w:val="22"/>
        </w:rPr>
        <w:t>,</w:t>
      </w:r>
      <w:r w:rsidRPr="001D040C">
        <w:rPr>
          <w:sz w:val="22"/>
        </w:rPr>
        <w:t xml:space="preserve"> and none includes biological and environmental samples for all participants. All of the existing cohorts focus on diet and other lifestyle factors. Large-scale prospective studies such as the </w:t>
      </w:r>
      <w:r w:rsidR="00141BA6" w:rsidRPr="001D040C">
        <w:rPr>
          <w:sz w:val="22"/>
        </w:rPr>
        <w:t>Sister Study</w:t>
      </w:r>
      <w:r w:rsidRPr="001D040C">
        <w:rPr>
          <w:sz w:val="22"/>
        </w:rPr>
        <w:t xml:space="preserve"> are needed to validate some of the already reported gene-environment interactions and to test new biologically-based hypotheses as both the technology and our understanding of synergistic mechanisms improve over time. </w:t>
      </w:r>
    </w:p>
    <w:p w:rsidR="006D061C" w:rsidRPr="001D040C" w:rsidRDefault="006D061C" w:rsidP="00F26B3F">
      <w:pPr>
        <w:spacing w:line="480" w:lineRule="auto"/>
        <w:ind w:firstLine="360"/>
        <w:rPr>
          <w:sz w:val="22"/>
        </w:rPr>
      </w:pPr>
      <w:r w:rsidRPr="001D040C">
        <w:rPr>
          <w:sz w:val="22"/>
        </w:rPr>
        <w:t xml:space="preserve">As noted above, there </w:t>
      </w:r>
      <w:r w:rsidR="005607C3" w:rsidRPr="001D040C">
        <w:rPr>
          <w:sz w:val="22"/>
        </w:rPr>
        <w:t xml:space="preserve">are </w:t>
      </w:r>
      <w:r w:rsidRPr="001D040C">
        <w:rPr>
          <w:sz w:val="22"/>
        </w:rPr>
        <w:t xml:space="preserve">important advantages </w:t>
      </w:r>
      <w:r w:rsidR="005607C3" w:rsidRPr="001D040C">
        <w:rPr>
          <w:sz w:val="22"/>
        </w:rPr>
        <w:t xml:space="preserve">to </w:t>
      </w:r>
      <w:r w:rsidRPr="001D040C">
        <w:rPr>
          <w:sz w:val="22"/>
        </w:rPr>
        <w:t xml:space="preserve">the Sister Study design. First, these sisters are at increased risk of breast cancer, </w:t>
      </w:r>
      <w:r w:rsidR="006D6390" w:rsidRPr="001D040C">
        <w:rPr>
          <w:sz w:val="22"/>
        </w:rPr>
        <w:t xml:space="preserve">likely </w:t>
      </w:r>
      <w:r w:rsidRPr="001D040C">
        <w:rPr>
          <w:sz w:val="22"/>
        </w:rPr>
        <w:t xml:space="preserve">due to shared genetic and environmental factors. Their family history increases the expected number of new cancers, the frequency of relevant gene polymorphisms, and the frequency of relevant exposures, making the study efficient compared to unenriched cohort </w:t>
      </w:r>
      <w:r w:rsidRPr="001D040C">
        <w:rPr>
          <w:sz w:val="22"/>
        </w:rPr>
        <w:lastRenderedPageBreak/>
        <w:t xml:space="preserve">designs. Second, because the study is prospective, blood samples and risk factor information </w:t>
      </w:r>
      <w:r w:rsidR="00A576F6" w:rsidRPr="001D040C">
        <w:rPr>
          <w:sz w:val="22"/>
        </w:rPr>
        <w:t>were</w:t>
      </w:r>
      <w:r w:rsidRPr="001D040C">
        <w:rPr>
          <w:sz w:val="22"/>
        </w:rPr>
        <w:t xml:space="preserve"> collected prior to diagnosis. A third advantage is that sisters </w:t>
      </w:r>
      <w:r w:rsidR="00201D1E" w:rsidRPr="001D040C">
        <w:rPr>
          <w:sz w:val="22"/>
        </w:rPr>
        <w:t>are</w:t>
      </w:r>
      <w:r w:rsidRPr="001D040C">
        <w:rPr>
          <w:sz w:val="22"/>
        </w:rPr>
        <w:t xml:space="preserve"> highly motivated, which </w:t>
      </w:r>
      <w:r w:rsidR="009E6F34">
        <w:rPr>
          <w:sz w:val="22"/>
        </w:rPr>
        <w:t>has proven to benefit</w:t>
      </w:r>
      <w:r w:rsidRPr="001D040C">
        <w:rPr>
          <w:sz w:val="22"/>
        </w:rPr>
        <w:t xml:space="preserve"> data quality and completeness and reduce loss to follow-up. </w:t>
      </w:r>
    </w:p>
    <w:p w:rsidR="006D061C" w:rsidRPr="001D040C" w:rsidRDefault="006D061C" w:rsidP="00F26B3F">
      <w:pPr>
        <w:spacing w:line="480" w:lineRule="auto"/>
        <w:ind w:firstLine="360"/>
        <w:rPr>
          <w:b/>
          <w:sz w:val="22"/>
        </w:rPr>
      </w:pPr>
      <w:r w:rsidRPr="001D040C">
        <w:rPr>
          <w:sz w:val="22"/>
        </w:rPr>
        <w:t>We are unaware of any duplication of this project with any other project now underway at other organizations. Several prospective cohort studies</w:t>
      </w:r>
      <w:r w:rsidR="000C613F">
        <w:rPr>
          <w:sz w:val="22"/>
        </w:rPr>
        <w:t>—</w:t>
      </w:r>
      <w:r w:rsidRPr="001D040C">
        <w:rPr>
          <w:sz w:val="22"/>
        </w:rPr>
        <w:t>for example, The Nurses’ Health Study, Canadian National Breast Screening Study, New York University Women’s Health Study, Iowa Women’s Health Study</w:t>
      </w:r>
      <w:r w:rsidR="000C613F">
        <w:rPr>
          <w:sz w:val="22"/>
        </w:rPr>
        <w:t>—</w:t>
      </w:r>
      <w:r w:rsidRPr="001D040C">
        <w:rPr>
          <w:sz w:val="22"/>
        </w:rPr>
        <w:t xml:space="preserve">have investigated breast cancer in women, but none have focused primarily on the gene-environment link, especially in terms of the broader external environment.  </w:t>
      </w:r>
    </w:p>
    <w:p w:rsidR="006D061C" w:rsidRPr="001D040C" w:rsidRDefault="006D061C" w:rsidP="00B64409">
      <w:pPr>
        <w:pStyle w:val="Heading2"/>
      </w:pPr>
      <w:bookmarkStart w:id="14" w:name="_Toc129590308"/>
      <w:bookmarkStart w:id="15" w:name="_Toc129668550"/>
      <w:r w:rsidRPr="001D040C">
        <w:t>A.5.</w:t>
      </w:r>
      <w:r w:rsidR="000606CA" w:rsidRPr="001D040C">
        <w:t xml:space="preserve">  </w:t>
      </w:r>
      <w:r w:rsidRPr="001D040C">
        <w:t>Impact on Small Businesses or Other Small Entities</w:t>
      </w:r>
      <w:bookmarkEnd w:id="14"/>
      <w:bookmarkEnd w:id="15"/>
      <w:r w:rsidRPr="001D040C">
        <w:t xml:space="preserve"> </w:t>
      </w:r>
    </w:p>
    <w:p w:rsidR="00DB4B17" w:rsidRDefault="00624506" w:rsidP="00E1752B">
      <w:pPr>
        <w:spacing w:line="480" w:lineRule="auto"/>
        <w:ind w:firstLine="360"/>
      </w:pPr>
      <w:r>
        <w:t>None.</w:t>
      </w:r>
      <w:bookmarkStart w:id="16" w:name="_Toc129590309"/>
      <w:bookmarkStart w:id="17" w:name="_Toc129668551"/>
    </w:p>
    <w:p w:rsidR="006D061C" w:rsidRPr="001D040C" w:rsidRDefault="006D061C" w:rsidP="00B64409">
      <w:pPr>
        <w:pStyle w:val="Heading2"/>
      </w:pPr>
      <w:r w:rsidRPr="001D040C">
        <w:t xml:space="preserve">A.6. </w:t>
      </w:r>
      <w:r w:rsidR="000606CA" w:rsidRPr="001D040C">
        <w:t xml:space="preserve"> </w:t>
      </w:r>
      <w:r w:rsidRPr="001D040C">
        <w:t>Consequences of Collecting the Information Less Frequently</w:t>
      </w:r>
      <w:bookmarkEnd w:id="16"/>
      <w:bookmarkEnd w:id="17"/>
    </w:p>
    <w:p w:rsidR="006D061C" w:rsidRPr="001D040C" w:rsidRDefault="00A576F6" w:rsidP="00F26B3F">
      <w:pPr>
        <w:spacing w:line="480" w:lineRule="auto"/>
        <w:ind w:firstLine="360"/>
        <w:rPr>
          <w:b/>
          <w:sz w:val="22"/>
        </w:rPr>
      </w:pPr>
      <w:r w:rsidRPr="001D040C">
        <w:rPr>
          <w:sz w:val="22"/>
        </w:rPr>
        <w:t>A</w:t>
      </w:r>
      <w:r w:rsidR="00FE3A0D" w:rsidRPr="001D040C">
        <w:rPr>
          <w:sz w:val="22"/>
        </w:rPr>
        <w:t xml:space="preserve">nnual updates take </w:t>
      </w:r>
      <w:r w:rsidR="000C613F">
        <w:rPr>
          <w:sz w:val="22"/>
        </w:rPr>
        <w:t xml:space="preserve">approximately </w:t>
      </w:r>
      <w:r w:rsidR="00FE3A0D" w:rsidRPr="001D040C">
        <w:rPr>
          <w:sz w:val="22"/>
        </w:rPr>
        <w:t xml:space="preserve">10 minutes, and </w:t>
      </w:r>
      <w:r w:rsidR="00E546E5">
        <w:rPr>
          <w:sz w:val="22"/>
        </w:rPr>
        <w:t>Follow-Up</w:t>
      </w:r>
      <w:r w:rsidR="00FE3A0D" w:rsidRPr="001D040C">
        <w:rPr>
          <w:sz w:val="22"/>
        </w:rPr>
        <w:t xml:space="preserve"> </w:t>
      </w:r>
      <w:r w:rsidR="006D061C" w:rsidRPr="001D040C">
        <w:rPr>
          <w:sz w:val="22"/>
        </w:rPr>
        <w:t xml:space="preserve">self-administered questionnaires </w:t>
      </w:r>
      <w:r w:rsidRPr="001D040C">
        <w:rPr>
          <w:sz w:val="22"/>
        </w:rPr>
        <w:t xml:space="preserve">are </w:t>
      </w:r>
      <w:r w:rsidR="00FE3A0D" w:rsidRPr="009E6F34">
        <w:rPr>
          <w:sz w:val="22"/>
          <w:highlight w:val="yellow"/>
        </w:rPr>
        <w:t xml:space="preserve"> </w:t>
      </w:r>
      <w:r w:rsidR="001C78EE" w:rsidRPr="009E6F34">
        <w:rPr>
          <w:sz w:val="22"/>
          <w:highlight w:val="yellow"/>
        </w:rPr>
        <w:t>40</w:t>
      </w:r>
      <w:r w:rsidR="001C78EE" w:rsidRPr="001D040C">
        <w:rPr>
          <w:sz w:val="22"/>
        </w:rPr>
        <w:t xml:space="preserve"> </w:t>
      </w:r>
      <w:r w:rsidR="00FE3A0D" w:rsidRPr="001D040C">
        <w:rPr>
          <w:sz w:val="22"/>
        </w:rPr>
        <w:t>minutes or less</w:t>
      </w:r>
      <w:r w:rsidR="006D061C" w:rsidRPr="001D040C">
        <w:rPr>
          <w:sz w:val="22"/>
        </w:rPr>
        <w:t xml:space="preserve">. </w:t>
      </w:r>
      <w:r w:rsidR="00FE3A0D" w:rsidRPr="001D040C">
        <w:rPr>
          <w:sz w:val="22"/>
        </w:rPr>
        <w:t>A</w:t>
      </w:r>
      <w:r w:rsidR="006D061C" w:rsidRPr="001D040C">
        <w:rPr>
          <w:sz w:val="22"/>
        </w:rPr>
        <w:t xml:space="preserve">nnual contact cannot be done less frequently because the analysis relies on exposure and health-status changes over time, and ascertaining cases close to the time of diagnosis is important. A participant’s recall diminishes greatly with time, and death may occur. Annual contact is necessary to preserve reliability and completeness and will facilitate maintenance of the cohort and tracing of those few who are lost to follow-up. </w:t>
      </w:r>
    </w:p>
    <w:p w:rsidR="006D061C" w:rsidRPr="001D040C" w:rsidRDefault="006D061C" w:rsidP="00B64409">
      <w:pPr>
        <w:pStyle w:val="Heading2"/>
      </w:pPr>
      <w:bookmarkStart w:id="18" w:name="_Toc129590310"/>
      <w:bookmarkStart w:id="19" w:name="_Toc129668552"/>
      <w:r w:rsidRPr="001D040C">
        <w:t xml:space="preserve">A.7. </w:t>
      </w:r>
      <w:r w:rsidR="000606CA" w:rsidRPr="001D040C">
        <w:t xml:space="preserve"> </w:t>
      </w:r>
      <w:r w:rsidRPr="001D040C">
        <w:t>Special Circumstances Relating to the Guidelines of 5 CFR 1320.5</w:t>
      </w:r>
      <w:bookmarkEnd w:id="18"/>
      <w:bookmarkEnd w:id="19"/>
    </w:p>
    <w:p w:rsidR="006D061C" w:rsidRPr="001D040C" w:rsidRDefault="006D061C" w:rsidP="00F26B3F">
      <w:pPr>
        <w:spacing w:line="480" w:lineRule="auto"/>
        <w:ind w:firstLine="360"/>
        <w:rPr>
          <w:sz w:val="22"/>
        </w:rPr>
      </w:pPr>
      <w:r w:rsidRPr="001D040C">
        <w:rPr>
          <w:sz w:val="22"/>
        </w:rPr>
        <w:t>There are no special circumstances relating to the guidelines of 5 CFR 1320.5 and the project fully complies.</w:t>
      </w:r>
    </w:p>
    <w:p w:rsidR="006D061C" w:rsidRPr="00F278A7" w:rsidRDefault="006D061C" w:rsidP="00B64409">
      <w:pPr>
        <w:pStyle w:val="Heading2"/>
      </w:pPr>
      <w:bookmarkStart w:id="20" w:name="_Toc129590311"/>
      <w:bookmarkStart w:id="21" w:name="_Toc129668553"/>
      <w:r w:rsidRPr="00F278A7">
        <w:t>A.8</w:t>
      </w:r>
      <w:r w:rsidR="000606CA" w:rsidRPr="00F278A7">
        <w:t>.</w:t>
      </w:r>
      <w:r w:rsidRPr="00F278A7">
        <w:t xml:space="preserve">  Comments in Response to the Federal Register Notice and Efforts to Consult Outside Agency</w:t>
      </w:r>
      <w:bookmarkEnd w:id="20"/>
      <w:bookmarkEnd w:id="21"/>
    </w:p>
    <w:p w:rsidR="00481BC6" w:rsidRDefault="00D0042F" w:rsidP="00481BC6">
      <w:pPr>
        <w:spacing w:line="480" w:lineRule="auto"/>
        <w:ind w:firstLine="360"/>
        <w:rPr>
          <w:sz w:val="22"/>
        </w:rPr>
      </w:pPr>
      <w:r w:rsidRPr="00F90A70">
        <w:rPr>
          <w:sz w:val="22"/>
        </w:rPr>
        <w:t>The proposed information collection was published in the Federal Register on 02 December 2015, Vol. 80, page 75465 and allowed 60-days for public comment.  No public comments were received.</w:t>
      </w:r>
      <w:r w:rsidR="00481BC6" w:rsidRPr="00F90A70">
        <w:rPr>
          <w:sz w:val="22"/>
        </w:rPr>
        <w:t xml:space="preserve"> </w:t>
      </w:r>
    </w:p>
    <w:p w:rsidR="006D061C" w:rsidRPr="001D040C" w:rsidRDefault="00C21E73" w:rsidP="00481BC6">
      <w:pPr>
        <w:spacing w:line="480" w:lineRule="auto"/>
        <w:ind w:firstLine="360"/>
        <w:rPr>
          <w:sz w:val="22"/>
        </w:rPr>
      </w:pPr>
      <w:r w:rsidRPr="00F278A7">
        <w:rPr>
          <w:sz w:val="22"/>
        </w:rPr>
        <w:t>E</w:t>
      </w:r>
      <w:r w:rsidR="00C33BF5" w:rsidRPr="00F278A7">
        <w:rPr>
          <w:sz w:val="22"/>
        </w:rPr>
        <w:t>arly d</w:t>
      </w:r>
      <w:r w:rsidR="006D061C" w:rsidRPr="00F278A7">
        <w:rPr>
          <w:sz w:val="22"/>
        </w:rPr>
        <w:t>iscussions were held with special interest groups to gain information on to what extent women</w:t>
      </w:r>
      <w:r w:rsidR="006D061C" w:rsidRPr="001D040C">
        <w:rPr>
          <w:sz w:val="22"/>
        </w:rPr>
        <w:t xml:space="preserve"> who are at higher risk of developing breast cancer were willing to participate in a new longitudinal study requiring a long-term commitment and intense initial data collection. These meetings involved advocacy </w:t>
      </w:r>
      <w:r w:rsidR="006D061C" w:rsidRPr="001D040C">
        <w:rPr>
          <w:sz w:val="22"/>
        </w:rPr>
        <w:lastRenderedPageBreak/>
        <w:t xml:space="preserve">groups including </w:t>
      </w:r>
      <w:r w:rsidR="00AB6AC5" w:rsidRPr="001D040C">
        <w:rPr>
          <w:sz w:val="22"/>
        </w:rPr>
        <w:t xml:space="preserve">cancer-free </w:t>
      </w:r>
      <w:r w:rsidR="006D061C" w:rsidRPr="001D040C">
        <w:rPr>
          <w:sz w:val="22"/>
        </w:rPr>
        <w:t>sisters, breast cancer survivors, Latina women, African-American women, lesbian women</w:t>
      </w:r>
      <w:r w:rsidR="00AB6AC5" w:rsidRPr="001D040C">
        <w:rPr>
          <w:sz w:val="22"/>
        </w:rPr>
        <w:t xml:space="preserve">, and other </w:t>
      </w:r>
      <w:r w:rsidR="00C3157E" w:rsidRPr="001D040C">
        <w:rPr>
          <w:sz w:val="22"/>
        </w:rPr>
        <w:t>minorities</w:t>
      </w:r>
      <w:r w:rsidR="006D061C" w:rsidRPr="001D040C">
        <w:rPr>
          <w:sz w:val="22"/>
        </w:rPr>
        <w:t xml:space="preserve">.  Support for this study was overwhelmingly enthusiastic and the majority of comments were favorable. These discussions gave us specific and valuable feedback that was incorporated into our study protocol. </w:t>
      </w:r>
    </w:p>
    <w:p w:rsidR="006D061C" w:rsidRPr="008C337D" w:rsidRDefault="00E74CA1" w:rsidP="008C337D">
      <w:pPr>
        <w:spacing w:line="480" w:lineRule="auto"/>
        <w:ind w:firstLine="360"/>
        <w:rPr>
          <w:b/>
          <w:sz w:val="22"/>
        </w:rPr>
      </w:pPr>
      <w:r w:rsidRPr="001D040C">
        <w:rPr>
          <w:sz w:val="22"/>
        </w:rPr>
        <w:t xml:space="preserve">Efforts to consult both within and outside NIEHS </w:t>
      </w:r>
      <w:r w:rsidR="00B3402F">
        <w:rPr>
          <w:sz w:val="22"/>
        </w:rPr>
        <w:t xml:space="preserve">at the time the Study was first </w:t>
      </w:r>
      <w:r w:rsidR="00645FE1">
        <w:rPr>
          <w:sz w:val="22"/>
        </w:rPr>
        <w:t>developed</w:t>
      </w:r>
      <w:r w:rsidR="00B3402F">
        <w:rPr>
          <w:sz w:val="22"/>
        </w:rPr>
        <w:t xml:space="preserve"> </w:t>
      </w:r>
      <w:r w:rsidRPr="001D040C">
        <w:rPr>
          <w:sz w:val="22"/>
        </w:rPr>
        <w:t xml:space="preserve">are summarized in </w:t>
      </w:r>
      <w:r w:rsidR="009B3602" w:rsidRPr="009B3602">
        <w:rPr>
          <w:b/>
          <w:smallCaps/>
          <w:sz w:val="22"/>
        </w:rPr>
        <w:t>Attachment</w:t>
      </w:r>
      <w:r w:rsidR="009B3602" w:rsidRPr="0024068F">
        <w:rPr>
          <w:b/>
          <w:sz w:val="22"/>
        </w:rPr>
        <w:t xml:space="preserve"> </w:t>
      </w:r>
      <w:r w:rsidR="003E45A7" w:rsidRPr="001D040C">
        <w:rPr>
          <w:b/>
          <w:sz w:val="22"/>
        </w:rPr>
        <w:t>3</w:t>
      </w:r>
      <w:r w:rsidRPr="001D040C">
        <w:rPr>
          <w:sz w:val="22"/>
        </w:rPr>
        <w:t xml:space="preserve">. </w:t>
      </w:r>
      <w:r w:rsidR="00C33BF5" w:rsidRPr="001D040C">
        <w:rPr>
          <w:sz w:val="22"/>
        </w:rPr>
        <w:t>Numerous researchers both within the NIH and in the extramural community were consulted during the planning of this study.</w:t>
      </w:r>
    </w:p>
    <w:p w:rsidR="008F76DF" w:rsidRPr="001D040C" w:rsidRDefault="00E92638" w:rsidP="00360FB5">
      <w:pPr>
        <w:spacing w:line="480" w:lineRule="auto"/>
        <w:ind w:firstLine="360"/>
        <w:rPr>
          <w:sz w:val="22"/>
        </w:rPr>
      </w:pPr>
      <w:r w:rsidRPr="001D040C">
        <w:rPr>
          <w:sz w:val="22"/>
        </w:rPr>
        <w:t>Our study was</w:t>
      </w:r>
      <w:r w:rsidR="0032764C">
        <w:rPr>
          <w:sz w:val="22"/>
        </w:rPr>
        <w:t xml:space="preserve"> and continues to be</w:t>
      </w:r>
      <w:r w:rsidRPr="001D040C">
        <w:rPr>
          <w:sz w:val="22"/>
        </w:rPr>
        <w:t xml:space="preserve"> </w:t>
      </w:r>
      <w:r w:rsidR="00C33BF5" w:rsidRPr="001D040C">
        <w:rPr>
          <w:sz w:val="22"/>
        </w:rPr>
        <w:t xml:space="preserve">formally </w:t>
      </w:r>
      <w:r w:rsidRPr="001D040C">
        <w:rPr>
          <w:sz w:val="22"/>
        </w:rPr>
        <w:t xml:space="preserve">reviewed within the NIEHS intramural </w:t>
      </w:r>
      <w:r w:rsidR="00F1367B">
        <w:rPr>
          <w:sz w:val="22"/>
        </w:rPr>
        <w:t>community</w:t>
      </w:r>
      <w:r w:rsidRPr="001D040C">
        <w:rPr>
          <w:sz w:val="22"/>
        </w:rPr>
        <w:t xml:space="preserve">, </w:t>
      </w:r>
      <w:r w:rsidR="00360FB5">
        <w:rPr>
          <w:sz w:val="22"/>
        </w:rPr>
        <w:t xml:space="preserve">NIEHS Board of Scientific Counselors, </w:t>
      </w:r>
      <w:r w:rsidRPr="001D040C">
        <w:rPr>
          <w:sz w:val="22"/>
        </w:rPr>
        <w:t>and externally by federal and academic experts</w:t>
      </w:r>
      <w:r w:rsidR="00F1367B" w:rsidRPr="001D040C">
        <w:rPr>
          <w:sz w:val="22"/>
        </w:rPr>
        <w:t xml:space="preserve"> </w:t>
      </w:r>
      <w:r w:rsidR="00F1367B">
        <w:rPr>
          <w:sz w:val="22"/>
        </w:rPr>
        <w:t>(see</w:t>
      </w:r>
      <w:r w:rsidR="00F1367B" w:rsidRPr="001D040C">
        <w:rPr>
          <w:sz w:val="22"/>
        </w:rPr>
        <w:t xml:space="preserve"> </w:t>
      </w:r>
      <w:r w:rsidR="00F1367B" w:rsidRPr="009B3602">
        <w:rPr>
          <w:b/>
          <w:smallCaps/>
          <w:sz w:val="22"/>
        </w:rPr>
        <w:t>Attachment</w:t>
      </w:r>
      <w:r w:rsidR="00F1367B" w:rsidRPr="0024068F">
        <w:rPr>
          <w:b/>
          <w:sz w:val="22"/>
        </w:rPr>
        <w:t xml:space="preserve"> </w:t>
      </w:r>
      <w:r w:rsidR="00F1367B" w:rsidRPr="001D040C">
        <w:rPr>
          <w:b/>
          <w:sz w:val="22"/>
        </w:rPr>
        <w:t>3</w:t>
      </w:r>
      <w:r w:rsidR="00F1367B">
        <w:rPr>
          <w:sz w:val="22"/>
        </w:rPr>
        <w:t>)</w:t>
      </w:r>
      <w:r w:rsidRPr="001D040C">
        <w:rPr>
          <w:sz w:val="22"/>
        </w:rPr>
        <w:t xml:space="preserve">. Many continue to </w:t>
      </w:r>
      <w:r w:rsidR="00C33BF5" w:rsidRPr="001D040C">
        <w:rPr>
          <w:sz w:val="22"/>
        </w:rPr>
        <w:t xml:space="preserve">serve the Sister Study </w:t>
      </w:r>
      <w:r w:rsidR="00F1367B">
        <w:rPr>
          <w:sz w:val="22"/>
        </w:rPr>
        <w:t>in an a</w:t>
      </w:r>
      <w:r w:rsidR="00C33BF5" w:rsidRPr="001D040C">
        <w:rPr>
          <w:sz w:val="22"/>
        </w:rPr>
        <w:t>dvisory</w:t>
      </w:r>
      <w:r w:rsidR="00F1367B">
        <w:rPr>
          <w:sz w:val="22"/>
        </w:rPr>
        <w:t xml:space="preserve"> capacity</w:t>
      </w:r>
      <w:r w:rsidR="00360FB5">
        <w:rPr>
          <w:sz w:val="22"/>
        </w:rPr>
        <w:t>.</w:t>
      </w:r>
      <w:r w:rsidRPr="001D040C">
        <w:rPr>
          <w:sz w:val="22"/>
        </w:rPr>
        <w:t xml:space="preserve"> </w:t>
      </w:r>
      <w:r w:rsidR="001D6818">
        <w:rPr>
          <w:sz w:val="22"/>
        </w:rPr>
        <w:t>T</w:t>
      </w:r>
      <w:r w:rsidRPr="001D040C">
        <w:rPr>
          <w:sz w:val="22"/>
        </w:rPr>
        <w:t xml:space="preserve">he archived data and samples facilitate collaborations both within the NIH and in the extramural community. </w:t>
      </w:r>
    </w:p>
    <w:p w:rsidR="006D061C" w:rsidRPr="001D040C" w:rsidRDefault="008F76DF" w:rsidP="008F76DF">
      <w:pPr>
        <w:spacing w:line="480" w:lineRule="auto"/>
        <w:ind w:firstLine="360"/>
        <w:rPr>
          <w:sz w:val="22"/>
        </w:rPr>
      </w:pPr>
      <w:r w:rsidRPr="00F90A70">
        <w:rPr>
          <w:sz w:val="22"/>
        </w:rPr>
        <w:t xml:space="preserve">Advisory to the study investigators </w:t>
      </w:r>
      <w:r w:rsidR="000C0BC5" w:rsidRPr="00F90A70">
        <w:rPr>
          <w:sz w:val="22"/>
        </w:rPr>
        <w:t xml:space="preserve">in </w:t>
      </w:r>
      <w:r w:rsidR="00360FB5" w:rsidRPr="00F90A70">
        <w:rPr>
          <w:i/>
          <w:sz w:val="22"/>
        </w:rPr>
        <w:t>ad hoc</w:t>
      </w:r>
      <w:r w:rsidR="00360FB5" w:rsidRPr="00F90A70">
        <w:rPr>
          <w:sz w:val="22"/>
        </w:rPr>
        <w:t xml:space="preserve"> </w:t>
      </w:r>
      <w:r w:rsidR="000C0BC5" w:rsidRPr="00F90A70">
        <w:rPr>
          <w:sz w:val="22"/>
        </w:rPr>
        <w:t>meetings</w:t>
      </w:r>
      <w:r w:rsidR="00360FB5" w:rsidRPr="00F90A70">
        <w:rPr>
          <w:sz w:val="22"/>
        </w:rPr>
        <w:t xml:space="preserve"> </w:t>
      </w:r>
      <w:r w:rsidRPr="00F90A70">
        <w:rPr>
          <w:sz w:val="22"/>
        </w:rPr>
        <w:t>are the Sister Study Steering Committee</w:t>
      </w:r>
      <w:r w:rsidR="007D196D" w:rsidRPr="00F90A70">
        <w:rPr>
          <w:sz w:val="22"/>
        </w:rPr>
        <w:t xml:space="preserve">, composed of NIEHS </w:t>
      </w:r>
      <w:r w:rsidR="00AD08D4" w:rsidRPr="00F90A70">
        <w:rPr>
          <w:sz w:val="22"/>
        </w:rPr>
        <w:t>research</w:t>
      </w:r>
      <w:r w:rsidR="007D196D" w:rsidRPr="00F90A70">
        <w:rPr>
          <w:sz w:val="22"/>
        </w:rPr>
        <w:t xml:space="preserve"> staff</w:t>
      </w:r>
      <w:r w:rsidRPr="00F90A70">
        <w:rPr>
          <w:sz w:val="22"/>
        </w:rPr>
        <w:t xml:space="preserve"> </w:t>
      </w:r>
      <w:r w:rsidR="00AD08D4" w:rsidRPr="00F90A70">
        <w:rPr>
          <w:sz w:val="22"/>
        </w:rPr>
        <w:t>Honglei Chen PhD (919-541-</w:t>
      </w:r>
      <w:bookmarkStart w:id="22" w:name="OLE_LINK4"/>
      <w:bookmarkStart w:id="23" w:name="OLE_LINK5"/>
      <w:r w:rsidR="00AD08D4" w:rsidRPr="00F90A70">
        <w:rPr>
          <w:sz w:val="22"/>
        </w:rPr>
        <w:t>3782</w:t>
      </w:r>
      <w:bookmarkEnd w:id="22"/>
      <w:bookmarkEnd w:id="23"/>
      <w:r w:rsidR="00AD08D4" w:rsidRPr="00F90A70">
        <w:rPr>
          <w:sz w:val="22"/>
        </w:rPr>
        <w:t>),</w:t>
      </w:r>
      <w:r w:rsidR="00484843" w:rsidRPr="00F90A70">
        <w:rPr>
          <w:sz w:val="22"/>
        </w:rPr>
        <w:t xml:space="preserve"> Jack Taylor MD PhD (919-541-4631) and Christine Parks PhD (919-541-2577);</w:t>
      </w:r>
      <w:r w:rsidR="00AD08D4" w:rsidRPr="00F90A70">
        <w:rPr>
          <w:sz w:val="22"/>
        </w:rPr>
        <w:t xml:space="preserve"> </w:t>
      </w:r>
      <w:r w:rsidR="00E1752B" w:rsidRPr="00F90A70">
        <w:rPr>
          <w:sz w:val="22"/>
        </w:rPr>
        <w:t>UNC Assistant Professor Hazel Nichols</w:t>
      </w:r>
      <w:r w:rsidR="004A03EE" w:rsidRPr="00F90A70">
        <w:rPr>
          <w:sz w:val="22"/>
        </w:rPr>
        <w:t xml:space="preserve"> PhD</w:t>
      </w:r>
      <w:r w:rsidR="00E1752B" w:rsidRPr="00F90A70">
        <w:rPr>
          <w:sz w:val="22"/>
        </w:rPr>
        <w:t xml:space="preserve"> (</w:t>
      </w:r>
      <w:r w:rsidR="00E1752B" w:rsidRPr="00F90A70">
        <w:t xml:space="preserve">919-966-7456), </w:t>
      </w:r>
      <w:r w:rsidR="00E1752B" w:rsidRPr="00F90A70">
        <w:rPr>
          <w:sz w:val="22"/>
        </w:rPr>
        <w:t>with SSS Sister Study senior staff.</w:t>
      </w:r>
    </w:p>
    <w:p w:rsidR="006D061C" w:rsidRPr="001D040C" w:rsidRDefault="006D061C" w:rsidP="00B64409">
      <w:pPr>
        <w:pStyle w:val="Heading2"/>
      </w:pPr>
      <w:bookmarkStart w:id="24" w:name="_Toc129590312"/>
      <w:bookmarkStart w:id="25" w:name="_Toc129668554"/>
      <w:r w:rsidRPr="001D040C">
        <w:t>A.9</w:t>
      </w:r>
      <w:r w:rsidR="000606CA" w:rsidRPr="001D040C">
        <w:t>.</w:t>
      </w:r>
      <w:r w:rsidRPr="001D040C">
        <w:t xml:space="preserve">  Explanation of Any Payment or Gift to Respondents</w:t>
      </w:r>
      <w:bookmarkEnd w:id="24"/>
      <w:bookmarkEnd w:id="25"/>
    </w:p>
    <w:p w:rsidR="003E45A7" w:rsidRPr="001D040C" w:rsidRDefault="003E45A7" w:rsidP="00F26B3F">
      <w:pPr>
        <w:spacing w:line="480" w:lineRule="auto"/>
        <w:ind w:firstLine="360"/>
        <w:rPr>
          <w:sz w:val="22"/>
        </w:rPr>
      </w:pPr>
      <w:r w:rsidRPr="001D040C">
        <w:rPr>
          <w:sz w:val="22"/>
        </w:rPr>
        <w:t xml:space="preserve">During </w:t>
      </w:r>
      <w:r w:rsidR="007B6619">
        <w:rPr>
          <w:sz w:val="22"/>
        </w:rPr>
        <w:t>enrollment,</w:t>
      </w:r>
      <w:r w:rsidRPr="001D040C">
        <w:rPr>
          <w:sz w:val="22"/>
        </w:rPr>
        <w:t xml:space="preserve"> p</w:t>
      </w:r>
      <w:r w:rsidR="006D061C" w:rsidRPr="001D040C">
        <w:rPr>
          <w:sz w:val="22"/>
        </w:rPr>
        <w:t>articipants receive</w:t>
      </w:r>
      <w:r w:rsidR="00D26C4E" w:rsidRPr="001D040C">
        <w:rPr>
          <w:sz w:val="22"/>
        </w:rPr>
        <w:t>d</w:t>
      </w:r>
      <w:r w:rsidR="006D061C" w:rsidRPr="001D040C">
        <w:rPr>
          <w:sz w:val="22"/>
        </w:rPr>
        <w:t xml:space="preserve"> a prepaid </w:t>
      </w:r>
      <w:r w:rsidR="00552483" w:rsidRPr="001D040C">
        <w:rPr>
          <w:sz w:val="22"/>
        </w:rPr>
        <w:t xml:space="preserve">120-minute </w:t>
      </w:r>
      <w:r w:rsidR="006D061C" w:rsidRPr="001D040C">
        <w:rPr>
          <w:sz w:val="22"/>
        </w:rPr>
        <w:t>phone card valued at</w:t>
      </w:r>
      <w:r w:rsidR="00552483" w:rsidRPr="001D040C">
        <w:rPr>
          <w:sz w:val="22"/>
        </w:rPr>
        <w:t xml:space="preserve"> less than</w:t>
      </w:r>
      <w:r w:rsidR="006D061C" w:rsidRPr="001D040C">
        <w:rPr>
          <w:sz w:val="22"/>
        </w:rPr>
        <w:t xml:space="preserve"> </w:t>
      </w:r>
      <w:r w:rsidR="00FD5FFB">
        <w:rPr>
          <w:sz w:val="22"/>
        </w:rPr>
        <w:t>five dollars</w:t>
      </w:r>
      <w:r w:rsidR="006D061C" w:rsidRPr="001D040C">
        <w:rPr>
          <w:sz w:val="22"/>
        </w:rPr>
        <w:t xml:space="preserve"> as an incentive to complete the interviews and specimen collection</w:t>
      </w:r>
      <w:r w:rsidR="00D26C4E" w:rsidRPr="001D040C">
        <w:rPr>
          <w:sz w:val="22"/>
        </w:rPr>
        <w:t xml:space="preserve"> at enrollment</w:t>
      </w:r>
      <w:r w:rsidR="006D061C" w:rsidRPr="001D040C">
        <w:rPr>
          <w:sz w:val="22"/>
        </w:rPr>
        <w:t xml:space="preserve">. </w:t>
      </w:r>
      <w:r w:rsidRPr="001D040C">
        <w:rPr>
          <w:sz w:val="22"/>
        </w:rPr>
        <w:t>While th</w:t>
      </w:r>
      <w:r w:rsidR="00FD5FFB">
        <w:rPr>
          <w:sz w:val="22"/>
        </w:rPr>
        <w:t>is</w:t>
      </w:r>
      <w:r w:rsidR="007B6619">
        <w:rPr>
          <w:sz w:val="22"/>
        </w:rPr>
        <w:t xml:space="preserve"> </w:t>
      </w:r>
      <w:r w:rsidR="00FD5FFB">
        <w:rPr>
          <w:sz w:val="22"/>
        </w:rPr>
        <w:t>amount</w:t>
      </w:r>
      <w:r w:rsidRPr="001D040C">
        <w:rPr>
          <w:sz w:val="22"/>
        </w:rPr>
        <w:t xml:space="preserve"> was not equivalent to the value of the effort required of participants, it helped to convey our appreciation of that effort.</w:t>
      </w:r>
    </w:p>
    <w:p w:rsidR="006D061C" w:rsidRPr="001D040C" w:rsidRDefault="006D061C" w:rsidP="00F26B3F">
      <w:pPr>
        <w:spacing w:line="480" w:lineRule="auto"/>
        <w:ind w:firstLine="360"/>
        <w:rPr>
          <w:sz w:val="22"/>
        </w:rPr>
      </w:pPr>
      <w:r w:rsidRPr="00F90A70">
        <w:rPr>
          <w:sz w:val="22"/>
        </w:rPr>
        <w:t xml:space="preserve">Other tokens such as </w:t>
      </w:r>
      <w:r w:rsidR="003E45A7" w:rsidRPr="00F90A70">
        <w:rPr>
          <w:sz w:val="22"/>
        </w:rPr>
        <w:t>newsletters</w:t>
      </w:r>
      <w:r w:rsidR="007B6619" w:rsidRPr="00F90A70">
        <w:rPr>
          <w:sz w:val="22"/>
        </w:rPr>
        <w:t>,</w:t>
      </w:r>
      <w:r w:rsidR="004C005A" w:rsidRPr="00F90A70" w:rsidDel="004C005A">
        <w:rPr>
          <w:sz w:val="22"/>
        </w:rPr>
        <w:t xml:space="preserve"> </w:t>
      </w:r>
      <w:r w:rsidR="007B6619" w:rsidRPr="00F90A70">
        <w:rPr>
          <w:sz w:val="22"/>
        </w:rPr>
        <w:t xml:space="preserve">greeting cards, and health event diaries </w:t>
      </w:r>
      <w:r w:rsidRPr="00F90A70">
        <w:rPr>
          <w:sz w:val="22"/>
        </w:rPr>
        <w:t xml:space="preserve">with the study logo </w:t>
      </w:r>
      <w:r w:rsidR="00D455C9" w:rsidRPr="00F90A70">
        <w:rPr>
          <w:sz w:val="22"/>
        </w:rPr>
        <w:t>are</w:t>
      </w:r>
      <w:r w:rsidRPr="001D040C">
        <w:rPr>
          <w:sz w:val="22"/>
        </w:rPr>
        <w:t xml:space="preserve"> provided periodically to enhance participation</w:t>
      </w:r>
      <w:r w:rsidR="00D455C9" w:rsidRPr="001D040C">
        <w:rPr>
          <w:sz w:val="22"/>
        </w:rPr>
        <w:t xml:space="preserve"> and retention</w:t>
      </w:r>
      <w:r w:rsidRPr="001D040C">
        <w:rPr>
          <w:sz w:val="22"/>
        </w:rPr>
        <w:t xml:space="preserve">. Increasing response rates and retention improve the quality of the scientific data we are collecting by minimizing response bias. Monetary and other incentives have been </w:t>
      </w:r>
      <w:r w:rsidR="00CF0959" w:rsidRPr="001D040C">
        <w:rPr>
          <w:sz w:val="22"/>
        </w:rPr>
        <w:t>shown to significantly increase</w:t>
      </w:r>
      <w:r w:rsidRPr="001D040C">
        <w:rPr>
          <w:sz w:val="22"/>
        </w:rPr>
        <w:t xml:space="preserve"> response rate</w:t>
      </w:r>
      <w:r w:rsidR="00CF0959" w:rsidRPr="001D040C">
        <w:rPr>
          <w:sz w:val="22"/>
        </w:rPr>
        <w:t>s</w:t>
      </w:r>
      <w:r w:rsidR="00183E77" w:rsidRPr="00183E77">
        <w:rPr>
          <w:sz w:val="22"/>
        </w:rPr>
        <w:t xml:space="preserve"> </w:t>
      </w:r>
      <w:r w:rsidR="00183E77">
        <w:rPr>
          <w:sz w:val="22"/>
        </w:rPr>
        <w:t>and reduce the overall costs of follow-up</w:t>
      </w:r>
      <w:r w:rsidRPr="001D040C">
        <w:rPr>
          <w:sz w:val="22"/>
        </w:rPr>
        <w:t xml:space="preserve">. </w:t>
      </w:r>
    </w:p>
    <w:p w:rsidR="006D061C" w:rsidRPr="001D040C" w:rsidRDefault="006D061C" w:rsidP="00B64409">
      <w:pPr>
        <w:pStyle w:val="Heading2"/>
      </w:pPr>
      <w:bookmarkStart w:id="26" w:name="_Toc129590313"/>
      <w:bookmarkStart w:id="27" w:name="_Toc129668555"/>
      <w:r w:rsidRPr="001D040C">
        <w:lastRenderedPageBreak/>
        <w:t xml:space="preserve">A.10. </w:t>
      </w:r>
      <w:r w:rsidR="000606CA" w:rsidRPr="001D040C">
        <w:t xml:space="preserve"> </w:t>
      </w:r>
      <w:r w:rsidRPr="001D040C">
        <w:t>Assurance of Confidentiality Provided to Respondents</w:t>
      </w:r>
      <w:bookmarkEnd w:id="26"/>
      <w:bookmarkEnd w:id="27"/>
    </w:p>
    <w:p w:rsidR="006D061C" w:rsidRPr="007521F6" w:rsidRDefault="006D061C">
      <w:pPr>
        <w:spacing w:line="480" w:lineRule="auto"/>
        <w:ind w:firstLine="360"/>
        <w:rPr>
          <w:sz w:val="22"/>
          <w:szCs w:val="22"/>
        </w:rPr>
      </w:pPr>
      <w:r w:rsidRPr="007521F6">
        <w:rPr>
          <w:sz w:val="22"/>
          <w:szCs w:val="22"/>
        </w:rPr>
        <w:t xml:space="preserve">Procedures to protect the confidentiality of </w:t>
      </w:r>
      <w:r w:rsidR="002C6F96" w:rsidRPr="007521F6">
        <w:rPr>
          <w:sz w:val="22"/>
          <w:szCs w:val="22"/>
        </w:rPr>
        <w:t xml:space="preserve">respondents </w:t>
      </w:r>
      <w:r w:rsidRPr="007521F6">
        <w:rPr>
          <w:sz w:val="22"/>
          <w:szCs w:val="22"/>
        </w:rPr>
        <w:t>a</w:t>
      </w:r>
      <w:r w:rsidR="00D455C9" w:rsidRPr="007521F6">
        <w:rPr>
          <w:sz w:val="22"/>
          <w:szCs w:val="22"/>
        </w:rPr>
        <w:t>nd</w:t>
      </w:r>
      <w:r w:rsidRPr="007521F6">
        <w:rPr>
          <w:sz w:val="22"/>
          <w:szCs w:val="22"/>
        </w:rPr>
        <w:t xml:space="preserve"> the data collected include</w:t>
      </w:r>
      <w:r w:rsidR="00D455C9" w:rsidRPr="007521F6">
        <w:rPr>
          <w:sz w:val="22"/>
          <w:szCs w:val="22"/>
        </w:rPr>
        <w:t xml:space="preserve"> the following</w:t>
      </w:r>
      <w:r w:rsidRPr="007521F6">
        <w:rPr>
          <w:sz w:val="22"/>
          <w:szCs w:val="22"/>
        </w:rPr>
        <w:t xml:space="preserve">: </w:t>
      </w:r>
    </w:p>
    <w:p w:rsidR="007521F6" w:rsidRPr="00A64DC8" w:rsidRDefault="006D061C" w:rsidP="00C45FFF">
      <w:pPr>
        <w:pStyle w:val="ListParagraph"/>
        <w:numPr>
          <w:ilvl w:val="0"/>
          <w:numId w:val="30"/>
        </w:numPr>
        <w:spacing w:line="480" w:lineRule="auto"/>
        <w:rPr>
          <w:sz w:val="22"/>
          <w:szCs w:val="22"/>
        </w:rPr>
      </w:pPr>
      <w:r w:rsidRPr="00A64DC8">
        <w:rPr>
          <w:sz w:val="22"/>
          <w:szCs w:val="22"/>
        </w:rPr>
        <w:t xml:space="preserve">The data constitute a system of records under the </w:t>
      </w:r>
      <w:r w:rsidR="00FA2D05" w:rsidRPr="00A64DC8">
        <w:rPr>
          <w:sz w:val="22"/>
          <w:szCs w:val="22"/>
        </w:rPr>
        <w:t xml:space="preserve">NIH </w:t>
      </w:r>
      <w:r w:rsidR="00C45FFF">
        <w:rPr>
          <w:sz w:val="22"/>
          <w:szCs w:val="22"/>
        </w:rPr>
        <w:t xml:space="preserve">Privacy Act System </w:t>
      </w:r>
      <w:r w:rsidRPr="00A64DC8">
        <w:rPr>
          <w:sz w:val="22"/>
          <w:szCs w:val="22"/>
        </w:rPr>
        <w:t>#09-25-</w:t>
      </w:r>
      <w:r w:rsidR="00D62E5B" w:rsidRPr="00C45FFF">
        <w:rPr>
          <w:b/>
          <w:sz w:val="22"/>
          <w:szCs w:val="22"/>
        </w:rPr>
        <w:t>0200</w:t>
      </w:r>
      <w:r w:rsidR="00C45FFF">
        <w:rPr>
          <w:sz w:val="22"/>
          <w:szCs w:val="22"/>
        </w:rPr>
        <w:t>:</w:t>
      </w:r>
      <w:r w:rsidR="007521F6" w:rsidRPr="00A64DC8">
        <w:rPr>
          <w:sz w:val="22"/>
          <w:szCs w:val="22"/>
        </w:rPr>
        <w:t xml:space="preserve"> Clinical, Basic and Population-based Research Studies of the National Institutes of Health (NIH), HHS/NIH/OD. Published in the </w:t>
      </w:r>
      <w:r w:rsidRPr="00A64DC8">
        <w:rPr>
          <w:sz w:val="22"/>
          <w:szCs w:val="22"/>
        </w:rPr>
        <w:t xml:space="preserve">Federal Register </w:t>
      </w:r>
      <w:r w:rsidR="007521F6" w:rsidRPr="00A64DC8">
        <w:rPr>
          <w:sz w:val="22"/>
          <w:szCs w:val="22"/>
        </w:rPr>
        <w:t>September  26, 2002 (Vol. 67,  No. 187, Pages 60742 - 60784)</w:t>
      </w:r>
    </w:p>
    <w:p w:rsidR="006D061C" w:rsidRPr="00E1752B" w:rsidRDefault="006D061C" w:rsidP="00E1752B">
      <w:pPr>
        <w:pStyle w:val="ListParagraph"/>
        <w:numPr>
          <w:ilvl w:val="0"/>
          <w:numId w:val="28"/>
        </w:numPr>
        <w:spacing w:line="480" w:lineRule="auto"/>
        <w:ind w:left="634" w:right="720" w:hanging="274"/>
        <w:contextualSpacing w:val="0"/>
        <w:rPr>
          <w:sz w:val="22"/>
        </w:rPr>
      </w:pPr>
      <w:r w:rsidRPr="00E1752B">
        <w:rPr>
          <w:sz w:val="22"/>
        </w:rPr>
        <w:t xml:space="preserve">Each participant </w:t>
      </w:r>
      <w:r w:rsidR="003E45A7" w:rsidRPr="00E1752B">
        <w:rPr>
          <w:sz w:val="22"/>
        </w:rPr>
        <w:t>was</w:t>
      </w:r>
      <w:r w:rsidRPr="00E1752B">
        <w:rPr>
          <w:sz w:val="22"/>
        </w:rPr>
        <w:t xml:space="preserve"> assigned a study ID number. The ID alone </w:t>
      </w:r>
      <w:r w:rsidR="00D455C9" w:rsidRPr="00E1752B">
        <w:rPr>
          <w:sz w:val="22"/>
        </w:rPr>
        <w:t>is</w:t>
      </w:r>
      <w:r w:rsidRPr="00E1752B">
        <w:rPr>
          <w:sz w:val="22"/>
        </w:rPr>
        <w:t xml:space="preserve"> used to identify biological samples and all data forms. Only the ID number </w:t>
      </w:r>
      <w:r w:rsidR="00D455C9" w:rsidRPr="00E1752B">
        <w:rPr>
          <w:sz w:val="22"/>
        </w:rPr>
        <w:t>is</w:t>
      </w:r>
      <w:r w:rsidRPr="00E1752B">
        <w:rPr>
          <w:sz w:val="22"/>
        </w:rPr>
        <w:t xml:space="preserve"> entered into the database and used in the analysis of data. Subjects’ names and addresses </w:t>
      </w:r>
      <w:r w:rsidR="00D455C9" w:rsidRPr="00E1752B">
        <w:rPr>
          <w:sz w:val="22"/>
        </w:rPr>
        <w:t>are</w:t>
      </w:r>
      <w:r w:rsidRPr="00E1752B">
        <w:rPr>
          <w:sz w:val="22"/>
        </w:rPr>
        <w:t xml:space="preserve"> stored separately.</w:t>
      </w:r>
    </w:p>
    <w:p w:rsidR="006D061C" w:rsidRPr="00E1752B" w:rsidRDefault="002C6F96" w:rsidP="00E1752B">
      <w:pPr>
        <w:pStyle w:val="ListParagraph"/>
        <w:numPr>
          <w:ilvl w:val="0"/>
          <w:numId w:val="28"/>
        </w:numPr>
        <w:spacing w:line="480" w:lineRule="auto"/>
        <w:ind w:left="634" w:right="720" w:hanging="274"/>
        <w:contextualSpacing w:val="0"/>
        <w:rPr>
          <w:sz w:val="22"/>
        </w:rPr>
      </w:pPr>
      <w:r w:rsidRPr="00E1752B">
        <w:rPr>
          <w:sz w:val="22"/>
        </w:rPr>
        <w:t>I</w:t>
      </w:r>
      <w:r w:rsidR="006D061C" w:rsidRPr="00E1752B">
        <w:rPr>
          <w:sz w:val="22"/>
        </w:rPr>
        <w:t xml:space="preserve">nformation linking ID number to </w:t>
      </w:r>
      <w:r w:rsidRPr="00E1752B">
        <w:rPr>
          <w:sz w:val="22"/>
        </w:rPr>
        <w:t xml:space="preserve">participant </w:t>
      </w:r>
      <w:r w:rsidR="006D061C" w:rsidRPr="00E1752B">
        <w:rPr>
          <w:sz w:val="22"/>
        </w:rPr>
        <w:t xml:space="preserve">name </w:t>
      </w:r>
      <w:r w:rsidRPr="00E1752B">
        <w:rPr>
          <w:sz w:val="22"/>
        </w:rPr>
        <w:t xml:space="preserve">is </w:t>
      </w:r>
      <w:r w:rsidR="006D061C" w:rsidRPr="00E1752B">
        <w:rPr>
          <w:sz w:val="22"/>
        </w:rPr>
        <w:t>kept in locked physical files or password-protected, restricted access electronic files at the North Carolina office of the NIEHS Epidemiology Branch Support Services Contractor.</w:t>
      </w:r>
    </w:p>
    <w:p w:rsidR="006D061C" w:rsidRPr="00E1752B" w:rsidRDefault="007B6619" w:rsidP="00E1752B">
      <w:pPr>
        <w:pStyle w:val="ListParagraph"/>
        <w:numPr>
          <w:ilvl w:val="0"/>
          <w:numId w:val="28"/>
        </w:numPr>
        <w:spacing w:line="480" w:lineRule="auto"/>
        <w:ind w:left="634" w:right="720" w:hanging="274"/>
        <w:contextualSpacing w:val="0"/>
        <w:rPr>
          <w:sz w:val="22"/>
        </w:rPr>
      </w:pPr>
      <w:r w:rsidRPr="00E1752B">
        <w:rPr>
          <w:sz w:val="22"/>
        </w:rPr>
        <w:t>Contractor e</w:t>
      </w:r>
      <w:r w:rsidR="006D061C" w:rsidRPr="00E1752B">
        <w:rPr>
          <w:sz w:val="22"/>
        </w:rPr>
        <w:t xml:space="preserve">mployees </w:t>
      </w:r>
      <w:r w:rsidR="00D455C9" w:rsidRPr="00E1752B">
        <w:rPr>
          <w:sz w:val="22"/>
        </w:rPr>
        <w:t xml:space="preserve">undergo </w:t>
      </w:r>
      <w:r w:rsidR="00932633" w:rsidRPr="00E1752B">
        <w:rPr>
          <w:sz w:val="22"/>
        </w:rPr>
        <w:t xml:space="preserve">background checks, </w:t>
      </w:r>
      <w:r w:rsidR="00D455C9" w:rsidRPr="00E1752B">
        <w:rPr>
          <w:sz w:val="22"/>
        </w:rPr>
        <w:t xml:space="preserve">ethics training and </w:t>
      </w:r>
      <w:r w:rsidR="006D061C" w:rsidRPr="00E1752B">
        <w:rPr>
          <w:sz w:val="22"/>
        </w:rPr>
        <w:t xml:space="preserve">sign a Pledge of Confidentiality </w:t>
      </w:r>
      <w:r w:rsidR="006D061C" w:rsidRPr="00E1752B">
        <w:rPr>
          <w:b/>
          <w:sz w:val="22"/>
        </w:rPr>
        <w:t>(</w:t>
      </w:r>
      <w:r w:rsidR="009B3602" w:rsidRPr="00E1752B">
        <w:rPr>
          <w:b/>
          <w:smallCaps/>
          <w:sz w:val="22"/>
        </w:rPr>
        <w:t>Attachment</w:t>
      </w:r>
      <w:r w:rsidR="009B3602" w:rsidRPr="00E1752B">
        <w:rPr>
          <w:b/>
          <w:sz w:val="22"/>
        </w:rPr>
        <w:t xml:space="preserve"> 4</w:t>
      </w:r>
      <w:r w:rsidR="006D061C" w:rsidRPr="00E1752B">
        <w:rPr>
          <w:b/>
          <w:sz w:val="22"/>
        </w:rPr>
        <w:t>)</w:t>
      </w:r>
      <w:r w:rsidR="006D061C" w:rsidRPr="00E1752B">
        <w:rPr>
          <w:sz w:val="22"/>
        </w:rPr>
        <w:t>.</w:t>
      </w:r>
    </w:p>
    <w:p w:rsidR="006D061C" w:rsidRPr="00E1752B" w:rsidRDefault="006D061C" w:rsidP="00E1752B">
      <w:pPr>
        <w:pStyle w:val="ListParagraph"/>
        <w:numPr>
          <w:ilvl w:val="0"/>
          <w:numId w:val="28"/>
        </w:numPr>
        <w:spacing w:line="480" w:lineRule="auto"/>
        <w:ind w:left="634" w:right="720" w:hanging="274"/>
        <w:contextualSpacing w:val="0"/>
        <w:rPr>
          <w:sz w:val="22"/>
        </w:rPr>
      </w:pPr>
      <w:r w:rsidRPr="00E1752B">
        <w:rPr>
          <w:sz w:val="22"/>
        </w:rPr>
        <w:t xml:space="preserve">Only </w:t>
      </w:r>
      <w:r w:rsidR="00D455C9" w:rsidRPr="00E1752B">
        <w:rPr>
          <w:sz w:val="22"/>
        </w:rPr>
        <w:t xml:space="preserve">Sister Study </w:t>
      </w:r>
      <w:r w:rsidRPr="00E1752B">
        <w:rPr>
          <w:sz w:val="22"/>
        </w:rPr>
        <w:t>research personnel have access to study data.</w:t>
      </w:r>
    </w:p>
    <w:p w:rsidR="00E1752B" w:rsidRDefault="006D061C" w:rsidP="00E1752B">
      <w:pPr>
        <w:pStyle w:val="ListParagraph"/>
        <w:numPr>
          <w:ilvl w:val="0"/>
          <w:numId w:val="28"/>
        </w:numPr>
        <w:spacing w:line="480" w:lineRule="auto"/>
        <w:ind w:left="634" w:right="720" w:hanging="274"/>
        <w:contextualSpacing w:val="0"/>
        <w:rPr>
          <w:sz w:val="22"/>
        </w:rPr>
      </w:pPr>
      <w:r w:rsidRPr="00E1752B">
        <w:rPr>
          <w:sz w:val="22"/>
        </w:rPr>
        <w:t xml:space="preserve">Study results </w:t>
      </w:r>
      <w:r w:rsidR="002C6F96" w:rsidRPr="00E1752B">
        <w:rPr>
          <w:sz w:val="22"/>
        </w:rPr>
        <w:t>are</w:t>
      </w:r>
      <w:r w:rsidRPr="00E1752B">
        <w:rPr>
          <w:sz w:val="22"/>
        </w:rPr>
        <w:t xml:space="preserve"> published in summary form only</w:t>
      </w:r>
      <w:r w:rsidR="00D455C9" w:rsidRPr="00E1752B">
        <w:rPr>
          <w:sz w:val="22"/>
        </w:rPr>
        <w:t xml:space="preserve"> — </w:t>
      </w:r>
      <w:r w:rsidRPr="00E1752B">
        <w:rPr>
          <w:sz w:val="22"/>
        </w:rPr>
        <w:t xml:space="preserve">no individual results </w:t>
      </w:r>
      <w:r w:rsidR="002C6F96" w:rsidRPr="00E1752B">
        <w:rPr>
          <w:sz w:val="22"/>
        </w:rPr>
        <w:t xml:space="preserve">are </w:t>
      </w:r>
      <w:r w:rsidRPr="00E1752B">
        <w:rPr>
          <w:sz w:val="22"/>
        </w:rPr>
        <w:t>published or shared.</w:t>
      </w:r>
    </w:p>
    <w:p w:rsidR="006D061C" w:rsidRPr="00E1752B" w:rsidRDefault="006D061C" w:rsidP="00E1752B">
      <w:pPr>
        <w:pStyle w:val="ListParagraph"/>
        <w:numPr>
          <w:ilvl w:val="0"/>
          <w:numId w:val="28"/>
        </w:numPr>
        <w:spacing w:line="480" w:lineRule="auto"/>
        <w:ind w:left="634" w:right="720" w:hanging="274"/>
        <w:contextualSpacing w:val="0"/>
        <w:rPr>
          <w:sz w:val="22"/>
        </w:rPr>
      </w:pPr>
      <w:r w:rsidRPr="00E1752B">
        <w:rPr>
          <w:sz w:val="22"/>
        </w:rPr>
        <w:t xml:space="preserve">Shared samples and data </w:t>
      </w:r>
      <w:r w:rsidR="002C6F96" w:rsidRPr="00E1752B">
        <w:rPr>
          <w:sz w:val="22"/>
        </w:rPr>
        <w:t>are</w:t>
      </w:r>
      <w:r w:rsidRPr="00E1752B">
        <w:rPr>
          <w:sz w:val="22"/>
        </w:rPr>
        <w:t xml:space="preserve"> provided without identifiers and study ID numbers will be scrambled to prevent accidental identification of participants.</w:t>
      </w:r>
    </w:p>
    <w:p w:rsidR="006D061C" w:rsidRPr="00E1752B" w:rsidRDefault="006D061C" w:rsidP="00E1752B">
      <w:pPr>
        <w:pStyle w:val="ListParagraph"/>
        <w:numPr>
          <w:ilvl w:val="0"/>
          <w:numId w:val="28"/>
        </w:numPr>
        <w:spacing w:line="480" w:lineRule="auto"/>
        <w:ind w:left="634" w:right="720" w:hanging="274"/>
        <w:contextualSpacing w:val="0"/>
        <w:rPr>
          <w:sz w:val="22"/>
        </w:rPr>
      </w:pPr>
      <w:r w:rsidRPr="00E1752B">
        <w:rPr>
          <w:sz w:val="22"/>
        </w:rPr>
        <w:t xml:space="preserve">A </w:t>
      </w:r>
      <w:r w:rsidRPr="00E1752B">
        <w:rPr>
          <w:b/>
          <w:sz w:val="22"/>
        </w:rPr>
        <w:t>Certificate of Confidentiality</w:t>
      </w:r>
      <w:r w:rsidRPr="00E1752B">
        <w:rPr>
          <w:sz w:val="22"/>
        </w:rPr>
        <w:t xml:space="preserve"> </w:t>
      </w:r>
      <w:r w:rsidR="001029C3" w:rsidRPr="00E1752B">
        <w:rPr>
          <w:sz w:val="22"/>
        </w:rPr>
        <w:t>has been secured</w:t>
      </w:r>
      <w:r w:rsidRPr="00E1752B">
        <w:rPr>
          <w:sz w:val="22"/>
        </w:rPr>
        <w:t xml:space="preserve"> for this study</w:t>
      </w:r>
      <w:r w:rsidR="0051257E" w:rsidRPr="00E1752B">
        <w:rPr>
          <w:sz w:val="22"/>
        </w:rPr>
        <w:t xml:space="preserve"> </w:t>
      </w:r>
      <w:r w:rsidR="0051257E" w:rsidRPr="00E1752B">
        <w:rPr>
          <w:b/>
          <w:sz w:val="22"/>
        </w:rPr>
        <w:t>(</w:t>
      </w:r>
      <w:r w:rsidR="009B3602" w:rsidRPr="00E1752B">
        <w:rPr>
          <w:b/>
          <w:smallCaps/>
          <w:sz w:val="22"/>
        </w:rPr>
        <w:t>Attachment</w:t>
      </w:r>
      <w:r w:rsidR="009B3602" w:rsidRPr="00E1752B">
        <w:rPr>
          <w:b/>
          <w:sz w:val="22"/>
        </w:rPr>
        <w:t xml:space="preserve"> 5</w:t>
      </w:r>
      <w:r w:rsidR="0051257E" w:rsidRPr="00E1752B">
        <w:rPr>
          <w:b/>
          <w:sz w:val="22"/>
        </w:rPr>
        <w:t>)</w:t>
      </w:r>
      <w:r w:rsidRPr="00E1752B">
        <w:rPr>
          <w:sz w:val="22"/>
        </w:rPr>
        <w:t xml:space="preserve">. </w:t>
      </w:r>
    </w:p>
    <w:p w:rsidR="002C6F96" w:rsidRPr="003A24DF" w:rsidRDefault="006D061C" w:rsidP="003A24DF">
      <w:pPr>
        <w:spacing w:line="480" w:lineRule="auto"/>
        <w:ind w:right="720" w:firstLine="360"/>
        <w:rPr>
          <w:color w:val="000000"/>
          <w:sz w:val="22"/>
        </w:rPr>
      </w:pPr>
      <w:r w:rsidRPr="003A24DF">
        <w:rPr>
          <w:color w:val="000000"/>
          <w:sz w:val="22"/>
        </w:rPr>
        <w:t xml:space="preserve">The proposal was </w:t>
      </w:r>
      <w:r w:rsidR="001029C3" w:rsidRPr="003A24DF">
        <w:rPr>
          <w:color w:val="000000"/>
          <w:sz w:val="22"/>
        </w:rPr>
        <w:t xml:space="preserve">initially </w:t>
      </w:r>
      <w:r w:rsidRPr="003A24DF">
        <w:rPr>
          <w:color w:val="000000"/>
          <w:sz w:val="22"/>
        </w:rPr>
        <w:t xml:space="preserve">reviewed by the </w:t>
      </w:r>
      <w:r w:rsidR="009B3602" w:rsidRPr="003A24DF">
        <w:rPr>
          <w:color w:val="000000"/>
          <w:sz w:val="22"/>
        </w:rPr>
        <w:t xml:space="preserve">NIEHS </w:t>
      </w:r>
      <w:r w:rsidRPr="003A24DF">
        <w:rPr>
          <w:color w:val="000000"/>
          <w:sz w:val="22"/>
        </w:rPr>
        <w:t>Ins</w:t>
      </w:r>
      <w:r w:rsidR="009B3602" w:rsidRPr="003A24DF">
        <w:rPr>
          <w:color w:val="000000"/>
          <w:sz w:val="22"/>
        </w:rPr>
        <w:t>titutional Review Board</w:t>
      </w:r>
      <w:r w:rsidR="00505AFF" w:rsidRPr="003A24DF">
        <w:rPr>
          <w:color w:val="000000"/>
          <w:sz w:val="22"/>
        </w:rPr>
        <w:t xml:space="preserve"> on 3/14/</w:t>
      </w:r>
      <w:r w:rsidRPr="003A24DF">
        <w:rPr>
          <w:color w:val="000000"/>
          <w:sz w:val="22"/>
        </w:rPr>
        <w:t xml:space="preserve">2002 </w:t>
      </w:r>
      <w:r w:rsidR="009B3602" w:rsidRPr="003A24DF">
        <w:rPr>
          <w:color w:val="000000"/>
          <w:sz w:val="22"/>
        </w:rPr>
        <w:t xml:space="preserve">and Copernicus Group IRB on </w:t>
      </w:r>
      <w:r w:rsidR="009A39E1" w:rsidRPr="003A24DF">
        <w:rPr>
          <w:color w:val="000000"/>
          <w:sz w:val="22"/>
        </w:rPr>
        <w:t>12/12/2006</w:t>
      </w:r>
      <w:r w:rsidRPr="00B37177">
        <w:rPr>
          <w:color w:val="000000"/>
          <w:sz w:val="22"/>
        </w:rPr>
        <w:t>.</w:t>
      </w:r>
      <w:r w:rsidRPr="003A24DF">
        <w:rPr>
          <w:b/>
          <w:color w:val="000000"/>
          <w:sz w:val="22"/>
        </w:rPr>
        <w:t xml:space="preserve">  </w:t>
      </w:r>
      <w:r w:rsidR="001029C3" w:rsidRPr="003A24DF">
        <w:rPr>
          <w:color w:val="000000"/>
          <w:sz w:val="22"/>
        </w:rPr>
        <w:t xml:space="preserve">Attached is </w:t>
      </w:r>
      <w:r w:rsidR="009B3602" w:rsidRPr="003A24DF">
        <w:rPr>
          <w:color w:val="000000"/>
          <w:sz w:val="22"/>
        </w:rPr>
        <w:t>documentation from</w:t>
      </w:r>
      <w:r w:rsidR="00AF2C8F" w:rsidRPr="003A24DF">
        <w:rPr>
          <w:color w:val="000000"/>
          <w:sz w:val="22"/>
        </w:rPr>
        <w:t xml:space="preserve"> </w:t>
      </w:r>
      <w:r w:rsidR="001029C3" w:rsidRPr="003A24DF">
        <w:rPr>
          <w:color w:val="000000"/>
          <w:sz w:val="22"/>
        </w:rPr>
        <w:t xml:space="preserve">the most </w:t>
      </w:r>
      <w:r w:rsidR="009B3602" w:rsidRPr="003A24DF">
        <w:rPr>
          <w:color w:val="000000"/>
          <w:sz w:val="22"/>
        </w:rPr>
        <w:t>recent</w:t>
      </w:r>
      <w:r w:rsidR="00AF2C8F" w:rsidRPr="003A24DF">
        <w:rPr>
          <w:color w:val="000000"/>
          <w:sz w:val="22"/>
        </w:rPr>
        <w:t xml:space="preserve"> </w:t>
      </w:r>
      <w:r w:rsidR="001029C3" w:rsidRPr="003A24DF">
        <w:rPr>
          <w:color w:val="000000"/>
          <w:sz w:val="22"/>
        </w:rPr>
        <w:t>Continuing Review</w:t>
      </w:r>
      <w:r w:rsidR="009B3602" w:rsidRPr="003A24DF">
        <w:rPr>
          <w:color w:val="000000"/>
          <w:sz w:val="22"/>
        </w:rPr>
        <w:t>s</w:t>
      </w:r>
      <w:r w:rsidR="001029C3" w:rsidRPr="003A24DF">
        <w:rPr>
          <w:b/>
          <w:color w:val="000000"/>
          <w:sz w:val="22"/>
        </w:rPr>
        <w:t xml:space="preserve"> </w:t>
      </w:r>
      <w:r w:rsidR="003E45A7" w:rsidRPr="003A24DF">
        <w:rPr>
          <w:b/>
          <w:color w:val="000000"/>
          <w:sz w:val="22"/>
        </w:rPr>
        <w:t>(</w:t>
      </w:r>
      <w:r w:rsidR="007B6619" w:rsidRPr="003A24DF">
        <w:rPr>
          <w:b/>
          <w:sz w:val="22"/>
          <w:szCs w:val="22"/>
        </w:rPr>
        <w:t>2015</w:t>
      </w:r>
      <w:r w:rsidR="003E45A7" w:rsidRPr="003A24DF">
        <w:rPr>
          <w:b/>
          <w:color w:val="000000"/>
          <w:sz w:val="22"/>
        </w:rPr>
        <w:t xml:space="preserve">; </w:t>
      </w:r>
      <w:r w:rsidR="009B3602" w:rsidRPr="003A24DF">
        <w:rPr>
          <w:b/>
          <w:smallCaps/>
          <w:sz w:val="22"/>
        </w:rPr>
        <w:t>Attachments</w:t>
      </w:r>
      <w:r w:rsidR="009B3602" w:rsidRPr="003A24DF">
        <w:rPr>
          <w:b/>
          <w:sz w:val="22"/>
        </w:rPr>
        <w:t xml:space="preserve"> </w:t>
      </w:r>
      <w:r w:rsidR="00F90A70">
        <w:rPr>
          <w:b/>
          <w:color w:val="000000"/>
          <w:sz w:val="22"/>
        </w:rPr>
        <w:t>6</w:t>
      </w:r>
      <w:r w:rsidR="009B3602" w:rsidRPr="003A24DF">
        <w:rPr>
          <w:b/>
          <w:color w:val="000000"/>
          <w:sz w:val="22"/>
        </w:rPr>
        <w:t xml:space="preserve"> &amp; </w:t>
      </w:r>
      <w:r w:rsidR="00F90A70">
        <w:rPr>
          <w:b/>
          <w:color w:val="000000"/>
          <w:sz w:val="22"/>
        </w:rPr>
        <w:t>7</w:t>
      </w:r>
      <w:r w:rsidR="003E45A7" w:rsidRPr="003A24DF">
        <w:rPr>
          <w:b/>
          <w:color w:val="000000"/>
          <w:sz w:val="22"/>
        </w:rPr>
        <w:t>)</w:t>
      </w:r>
      <w:r w:rsidR="001029C3" w:rsidRPr="003A24DF">
        <w:rPr>
          <w:color w:val="000000"/>
          <w:sz w:val="22"/>
        </w:rPr>
        <w:t>.</w:t>
      </w:r>
      <w:r w:rsidR="003A24DF">
        <w:rPr>
          <w:color w:val="000000"/>
          <w:sz w:val="22"/>
        </w:rPr>
        <w:t xml:space="preserve"> </w:t>
      </w:r>
      <w:r w:rsidRPr="003A24DF">
        <w:rPr>
          <w:sz w:val="22"/>
        </w:rPr>
        <w:t>Informed consent</w:t>
      </w:r>
      <w:r w:rsidR="00853E69" w:rsidRPr="003A24DF">
        <w:rPr>
          <w:color w:val="000000"/>
          <w:sz w:val="22"/>
        </w:rPr>
        <w:t xml:space="preserve"> </w:t>
      </w:r>
      <w:r w:rsidR="00B37177">
        <w:rPr>
          <w:sz w:val="22"/>
        </w:rPr>
        <w:t>was obtained</w:t>
      </w:r>
      <w:r w:rsidR="00590156" w:rsidRPr="00B37177">
        <w:rPr>
          <w:color w:val="000000"/>
          <w:sz w:val="22"/>
        </w:rPr>
        <w:t xml:space="preserve"> </w:t>
      </w:r>
      <w:r w:rsidR="007B6619" w:rsidRPr="00B37177">
        <w:rPr>
          <w:color w:val="000000"/>
          <w:sz w:val="22"/>
        </w:rPr>
        <w:t>at enrollment</w:t>
      </w:r>
      <w:r w:rsidR="00590156" w:rsidRPr="00B37177">
        <w:rPr>
          <w:color w:val="000000"/>
          <w:sz w:val="22"/>
        </w:rPr>
        <w:t xml:space="preserve"> </w:t>
      </w:r>
      <w:r w:rsidR="00B37177">
        <w:rPr>
          <w:color w:val="000000"/>
          <w:sz w:val="22"/>
        </w:rPr>
        <w:t>(</w:t>
      </w:r>
      <w:r w:rsidR="00B37177" w:rsidRPr="00B37177">
        <w:rPr>
          <w:b/>
          <w:i/>
          <w:color w:val="000000"/>
          <w:sz w:val="22"/>
        </w:rPr>
        <w:t>Phase</w:t>
      </w:r>
      <w:r w:rsidR="00B37177">
        <w:rPr>
          <w:color w:val="000000"/>
          <w:sz w:val="22"/>
        </w:rPr>
        <w:t xml:space="preserve"> </w:t>
      </w:r>
      <w:r w:rsidR="00B37177" w:rsidRPr="00B37177">
        <w:rPr>
          <w:b/>
          <w:i/>
          <w:color w:val="000000"/>
          <w:sz w:val="22"/>
        </w:rPr>
        <w:t>1</w:t>
      </w:r>
      <w:r w:rsidR="00B37177">
        <w:rPr>
          <w:color w:val="000000"/>
          <w:sz w:val="22"/>
        </w:rPr>
        <w:t xml:space="preserve">) </w:t>
      </w:r>
      <w:r w:rsidRPr="003A24DF">
        <w:rPr>
          <w:sz w:val="22"/>
        </w:rPr>
        <w:t>spell</w:t>
      </w:r>
      <w:r w:rsidR="00AF76BF" w:rsidRPr="003A24DF">
        <w:rPr>
          <w:sz w:val="22"/>
        </w:rPr>
        <w:t>ed</w:t>
      </w:r>
      <w:r w:rsidRPr="003A24DF">
        <w:rPr>
          <w:sz w:val="22"/>
        </w:rPr>
        <w:t xml:space="preserve"> out the </w:t>
      </w:r>
      <w:r w:rsidR="00B37177">
        <w:rPr>
          <w:sz w:val="22"/>
        </w:rPr>
        <w:t>steps taken to protect privacy.</w:t>
      </w:r>
    </w:p>
    <w:p w:rsidR="006D061C" w:rsidRPr="001D040C" w:rsidRDefault="006D061C" w:rsidP="00F26B3F">
      <w:pPr>
        <w:spacing w:line="480" w:lineRule="auto"/>
        <w:ind w:firstLine="360"/>
        <w:rPr>
          <w:sz w:val="22"/>
        </w:rPr>
      </w:pPr>
      <w:r w:rsidRPr="001D040C">
        <w:rPr>
          <w:sz w:val="22"/>
        </w:rPr>
        <w:lastRenderedPageBreak/>
        <w:t xml:space="preserve">The biological and environmental samples collected will be stored indefinitely in a secure building for future testing and may be disposed of at any time at the </w:t>
      </w:r>
      <w:r w:rsidR="00CC0D97">
        <w:rPr>
          <w:sz w:val="22"/>
        </w:rPr>
        <w:t xml:space="preserve">Principal </w:t>
      </w:r>
      <w:r w:rsidRPr="001D040C">
        <w:rPr>
          <w:sz w:val="22"/>
        </w:rPr>
        <w:t xml:space="preserve">Investigator’s discretion.  Specimens </w:t>
      </w:r>
      <w:r w:rsidR="001029C3" w:rsidRPr="001D040C">
        <w:rPr>
          <w:sz w:val="22"/>
        </w:rPr>
        <w:t>are</w:t>
      </w:r>
      <w:r w:rsidRPr="001D040C">
        <w:rPr>
          <w:sz w:val="22"/>
        </w:rPr>
        <w:t xml:space="preserve"> labeled with ID number only. These and related issues </w:t>
      </w:r>
      <w:r w:rsidR="00D3772B" w:rsidRPr="001D040C">
        <w:rPr>
          <w:sz w:val="22"/>
        </w:rPr>
        <w:t>were</w:t>
      </w:r>
      <w:r w:rsidRPr="001D040C">
        <w:rPr>
          <w:sz w:val="22"/>
        </w:rPr>
        <w:t xml:space="preserve"> explained in the Informed Consent documents.  Specimens shared with outside researchers </w:t>
      </w:r>
      <w:r w:rsidR="001D5C75">
        <w:rPr>
          <w:sz w:val="22"/>
        </w:rPr>
        <w:t>are</w:t>
      </w:r>
      <w:r w:rsidRPr="001D040C">
        <w:rPr>
          <w:sz w:val="22"/>
        </w:rPr>
        <w:t xml:space="preserve"> assigned a new identification number; the code linking the new and the old identification number </w:t>
      </w:r>
      <w:r w:rsidR="001D5C75">
        <w:rPr>
          <w:sz w:val="22"/>
        </w:rPr>
        <w:t>is</w:t>
      </w:r>
      <w:r w:rsidRPr="001D040C">
        <w:rPr>
          <w:sz w:val="22"/>
        </w:rPr>
        <w:t xml:space="preserve"> known only to the NIEHS contractor responsible for the Sister Study field work.  This new identification number </w:t>
      </w:r>
      <w:r w:rsidR="001D5C75">
        <w:rPr>
          <w:sz w:val="22"/>
        </w:rPr>
        <w:t>is not</w:t>
      </w:r>
      <w:r w:rsidRPr="001D040C">
        <w:rPr>
          <w:sz w:val="22"/>
        </w:rPr>
        <w:t xml:space="preserve"> linked to any identifying information.  Identifying information, such as name, </w:t>
      </w:r>
      <w:r w:rsidR="00CC0D97">
        <w:rPr>
          <w:sz w:val="22"/>
        </w:rPr>
        <w:t>S</w:t>
      </w:r>
      <w:r w:rsidR="00CC0D97" w:rsidRPr="001D040C">
        <w:rPr>
          <w:sz w:val="22"/>
        </w:rPr>
        <w:t xml:space="preserve">ocial </w:t>
      </w:r>
      <w:r w:rsidR="00CC0D97">
        <w:rPr>
          <w:sz w:val="22"/>
        </w:rPr>
        <w:t>S</w:t>
      </w:r>
      <w:r w:rsidR="00CC0D97" w:rsidRPr="001D040C">
        <w:rPr>
          <w:sz w:val="22"/>
        </w:rPr>
        <w:t xml:space="preserve">ecurity </w:t>
      </w:r>
      <w:r w:rsidRPr="001D040C">
        <w:rPr>
          <w:sz w:val="22"/>
        </w:rPr>
        <w:t xml:space="preserve">number, or address will </w:t>
      </w:r>
      <w:r w:rsidRPr="00F90A70">
        <w:rPr>
          <w:sz w:val="22"/>
        </w:rPr>
        <w:t>not be shared with researchers</w:t>
      </w:r>
      <w:r w:rsidR="001D5C75" w:rsidRPr="00F90A70">
        <w:rPr>
          <w:sz w:val="22"/>
        </w:rPr>
        <w:t xml:space="preserve"> outside of the Sister Study protocol</w:t>
      </w:r>
      <w:r w:rsidRPr="00F90A70">
        <w:rPr>
          <w:sz w:val="22"/>
        </w:rPr>
        <w:t>.  Samples will only be shared for</w:t>
      </w:r>
      <w:r w:rsidRPr="001D040C">
        <w:rPr>
          <w:sz w:val="22"/>
        </w:rPr>
        <w:t xml:space="preserve"> scientifically valid studies that meet approved scientific and ethical standards. Samples and data that are shared can be used only for the specific research described in an approved research proposal and may not be used for other purposes without approval from the Sister Study investigators.</w:t>
      </w:r>
    </w:p>
    <w:p w:rsidR="006D061C" w:rsidRPr="001D040C" w:rsidRDefault="006D061C" w:rsidP="00F26B3F">
      <w:pPr>
        <w:spacing w:line="480" w:lineRule="auto"/>
        <w:ind w:firstLine="360"/>
        <w:rPr>
          <w:sz w:val="22"/>
        </w:rPr>
      </w:pPr>
      <w:r w:rsidRPr="001D040C">
        <w:rPr>
          <w:sz w:val="22"/>
        </w:rPr>
        <w:t>Participants may elect to leave the study at any time.  As exp</w:t>
      </w:r>
      <w:r w:rsidR="00932633" w:rsidRPr="001D040C">
        <w:rPr>
          <w:sz w:val="22"/>
        </w:rPr>
        <w:t>lained in the Informed Consent d</w:t>
      </w:r>
      <w:r w:rsidRPr="001D040C">
        <w:rPr>
          <w:sz w:val="22"/>
        </w:rPr>
        <w:t xml:space="preserve">ocuments, no new data will be collected from patients who elect to drop out, but the data already </w:t>
      </w:r>
      <w:r w:rsidRPr="00F90A70">
        <w:rPr>
          <w:sz w:val="22"/>
        </w:rPr>
        <w:t xml:space="preserve">provided will continue to be used in some analyses unless a written request to destroy </w:t>
      </w:r>
      <w:r w:rsidR="001D5C75" w:rsidRPr="00F90A70">
        <w:rPr>
          <w:sz w:val="22"/>
        </w:rPr>
        <w:t>remaining/unused</w:t>
      </w:r>
      <w:r w:rsidR="001D5C75">
        <w:rPr>
          <w:sz w:val="22"/>
        </w:rPr>
        <w:t xml:space="preserve"> </w:t>
      </w:r>
      <w:r w:rsidRPr="001D040C">
        <w:rPr>
          <w:sz w:val="22"/>
        </w:rPr>
        <w:t xml:space="preserve">data and specimens is received.  Screening data on women who are found to be ineligible </w:t>
      </w:r>
      <w:r w:rsidR="00D3772B" w:rsidRPr="001D040C">
        <w:rPr>
          <w:sz w:val="22"/>
        </w:rPr>
        <w:t>were</w:t>
      </w:r>
      <w:r w:rsidRPr="001D040C">
        <w:rPr>
          <w:sz w:val="22"/>
        </w:rPr>
        <w:t xml:space="preserve"> not retained by the Sister Study.</w:t>
      </w:r>
    </w:p>
    <w:p w:rsidR="006D061C" w:rsidRPr="001D040C" w:rsidRDefault="006D061C" w:rsidP="00B64409">
      <w:pPr>
        <w:pStyle w:val="Heading2"/>
      </w:pPr>
      <w:bookmarkStart w:id="28" w:name="_Toc129590314"/>
      <w:bookmarkStart w:id="29" w:name="_Toc129668556"/>
      <w:r w:rsidRPr="001D040C">
        <w:t xml:space="preserve">A.11. </w:t>
      </w:r>
      <w:r w:rsidR="000606CA" w:rsidRPr="001D040C">
        <w:t xml:space="preserve"> </w:t>
      </w:r>
      <w:r w:rsidRPr="001D040C">
        <w:t>Justification for Sensitive Questions</w:t>
      </w:r>
      <w:bookmarkEnd w:id="28"/>
      <w:bookmarkEnd w:id="29"/>
    </w:p>
    <w:p w:rsidR="00CC207B" w:rsidRPr="001D040C" w:rsidRDefault="00D3772B" w:rsidP="00F26B3F">
      <w:pPr>
        <w:spacing w:line="480" w:lineRule="auto"/>
        <w:ind w:firstLine="360"/>
        <w:rPr>
          <w:sz w:val="22"/>
        </w:rPr>
      </w:pPr>
      <w:r w:rsidRPr="001D040C">
        <w:rPr>
          <w:sz w:val="22"/>
        </w:rPr>
        <w:t xml:space="preserve">Breast cancer is a complex disease likely caused by many factors. </w:t>
      </w:r>
      <w:r w:rsidR="00011DEF" w:rsidRPr="001D040C">
        <w:rPr>
          <w:sz w:val="22"/>
        </w:rPr>
        <w:t xml:space="preserve"> </w:t>
      </w:r>
      <w:r w:rsidR="00257143" w:rsidRPr="00270D9C">
        <w:rPr>
          <w:sz w:val="22"/>
          <w:highlight w:val="yellow"/>
        </w:rPr>
        <w:t xml:space="preserve">Follow-Up </w:t>
      </w:r>
      <w:r w:rsidR="00257143" w:rsidRPr="00270D9C">
        <w:rPr>
          <w:i/>
          <w:sz w:val="22"/>
          <w:highlight w:val="yellow"/>
        </w:rPr>
        <w:t>II</w:t>
      </w:r>
      <w:r w:rsidR="00257143" w:rsidRPr="00270D9C">
        <w:rPr>
          <w:sz w:val="22"/>
          <w:highlight w:val="yellow"/>
        </w:rPr>
        <w:t xml:space="preserve"> (triennial)</w:t>
      </w:r>
      <w:r w:rsidR="001D5C75" w:rsidRPr="00270D9C">
        <w:rPr>
          <w:sz w:val="22"/>
          <w:highlight w:val="yellow"/>
        </w:rPr>
        <w:t xml:space="preserve"> q</w:t>
      </w:r>
      <w:r w:rsidR="00CC207B" w:rsidRPr="00270D9C">
        <w:rPr>
          <w:sz w:val="22"/>
          <w:highlight w:val="yellow"/>
        </w:rPr>
        <w:t>uestions address</w:t>
      </w:r>
      <w:r w:rsidR="00FF20D3" w:rsidRPr="00270D9C">
        <w:rPr>
          <w:sz w:val="22"/>
          <w:highlight w:val="yellow"/>
        </w:rPr>
        <w:t>ing</w:t>
      </w:r>
      <w:r w:rsidR="00CC207B" w:rsidRPr="00270D9C">
        <w:rPr>
          <w:sz w:val="22"/>
          <w:highlight w:val="yellow"/>
        </w:rPr>
        <w:t xml:space="preserve"> sensitive and personal issues such as personal experience with violence, physical and psychological abuse, discrimination, and stress related to the sister’s </w:t>
      </w:r>
      <w:r w:rsidR="00A24579" w:rsidRPr="00270D9C">
        <w:rPr>
          <w:sz w:val="22"/>
          <w:highlight w:val="yellow"/>
        </w:rPr>
        <w:t>breast cancer diagnosis</w:t>
      </w:r>
      <w:r w:rsidR="00FF20D3" w:rsidRPr="00270D9C">
        <w:rPr>
          <w:sz w:val="22"/>
          <w:highlight w:val="yellow"/>
        </w:rPr>
        <w:t xml:space="preserve"> are not </w:t>
      </w:r>
      <w:r w:rsidR="006E7242" w:rsidRPr="00270D9C">
        <w:rPr>
          <w:sz w:val="22"/>
          <w:highlight w:val="yellow"/>
        </w:rPr>
        <w:t>being readministered</w:t>
      </w:r>
      <w:r w:rsidR="00FF20D3" w:rsidRPr="00270D9C">
        <w:rPr>
          <w:sz w:val="22"/>
          <w:highlight w:val="yellow"/>
        </w:rPr>
        <w:t xml:space="preserve"> in Follow-Up </w:t>
      </w:r>
      <w:r w:rsidR="00FF20D3" w:rsidRPr="00270D9C">
        <w:rPr>
          <w:i/>
          <w:sz w:val="22"/>
          <w:highlight w:val="yellow"/>
        </w:rPr>
        <w:t>II</w:t>
      </w:r>
      <w:r w:rsidR="001D5C75" w:rsidRPr="00270D9C">
        <w:rPr>
          <w:i/>
          <w:sz w:val="22"/>
          <w:highlight w:val="yellow"/>
        </w:rPr>
        <w:t>I</w:t>
      </w:r>
      <w:r w:rsidR="00A24579" w:rsidRPr="00270D9C">
        <w:rPr>
          <w:sz w:val="22"/>
          <w:highlight w:val="yellow"/>
        </w:rPr>
        <w:t>.  In or</w:t>
      </w:r>
      <w:r w:rsidR="00CC207B" w:rsidRPr="00270D9C">
        <w:rPr>
          <w:sz w:val="22"/>
          <w:highlight w:val="yellow"/>
        </w:rPr>
        <w:t xml:space="preserve">der to carry out a comprehensive analysis of stress, </w:t>
      </w:r>
      <w:r w:rsidR="006B5DC6" w:rsidRPr="00270D9C">
        <w:rPr>
          <w:sz w:val="22"/>
          <w:highlight w:val="yellow"/>
        </w:rPr>
        <w:t>some questions</w:t>
      </w:r>
      <w:r w:rsidR="00FF20D3" w:rsidRPr="00270D9C">
        <w:rPr>
          <w:sz w:val="22"/>
          <w:highlight w:val="yellow"/>
        </w:rPr>
        <w:t xml:space="preserve"> </w:t>
      </w:r>
      <w:r w:rsidR="00CC207B" w:rsidRPr="00270D9C">
        <w:rPr>
          <w:sz w:val="22"/>
          <w:highlight w:val="yellow"/>
        </w:rPr>
        <w:t>on social support, personality traits</w:t>
      </w:r>
      <w:r w:rsidR="006E7242" w:rsidRPr="00270D9C">
        <w:rPr>
          <w:sz w:val="22"/>
          <w:highlight w:val="yellow"/>
        </w:rPr>
        <w:t>,</w:t>
      </w:r>
      <w:r w:rsidR="00CC207B" w:rsidRPr="00270D9C">
        <w:rPr>
          <w:sz w:val="22"/>
          <w:highlight w:val="yellow"/>
        </w:rPr>
        <w:t xml:space="preserve"> and depression</w:t>
      </w:r>
      <w:r w:rsidR="006E7242" w:rsidRPr="00270D9C">
        <w:rPr>
          <w:sz w:val="22"/>
          <w:highlight w:val="yellow"/>
        </w:rPr>
        <w:t xml:space="preserve"> </w:t>
      </w:r>
      <w:r w:rsidR="006E7242" w:rsidRPr="00270D9C">
        <w:rPr>
          <w:i/>
          <w:sz w:val="22"/>
          <w:highlight w:val="yellow"/>
        </w:rPr>
        <w:t>are</w:t>
      </w:r>
      <w:r w:rsidR="001F03A2" w:rsidRPr="00270D9C">
        <w:rPr>
          <w:sz w:val="22"/>
          <w:highlight w:val="yellow"/>
        </w:rPr>
        <w:t xml:space="preserve"> repeated in </w:t>
      </w:r>
      <w:r w:rsidR="001D5C75" w:rsidRPr="00270D9C">
        <w:rPr>
          <w:sz w:val="22"/>
          <w:highlight w:val="yellow"/>
        </w:rPr>
        <w:t>F</w:t>
      </w:r>
      <w:r w:rsidR="006E7242" w:rsidRPr="00270D9C">
        <w:rPr>
          <w:sz w:val="22"/>
          <w:highlight w:val="yellow"/>
        </w:rPr>
        <w:t>ollow-</w:t>
      </w:r>
      <w:r w:rsidR="001D5C75" w:rsidRPr="00270D9C">
        <w:rPr>
          <w:sz w:val="22"/>
          <w:highlight w:val="yellow"/>
        </w:rPr>
        <w:t>U</w:t>
      </w:r>
      <w:r w:rsidR="006E7242" w:rsidRPr="00270D9C">
        <w:rPr>
          <w:sz w:val="22"/>
          <w:highlight w:val="yellow"/>
        </w:rPr>
        <w:t>p</w:t>
      </w:r>
      <w:r w:rsidR="001F03A2" w:rsidRPr="00270D9C">
        <w:rPr>
          <w:sz w:val="22"/>
          <w:highlight w:val="yellow"/>
        </w:rPr>
        <w:t xml:space="preserve"> </w:t>
      </w:r>
      <w:r w:rsidR="001F03A2" w:rsidRPr="00270D9C">
        <w:rPr>
          <w:i/>
          <w:sz w:val="22"/>
          <w:highlight w:val="yellow"/>
        </w:rPr>
        <w:t>III</w:t>
      </w:r>
      <w:r w:rsidR="00CC207B" w:rsidRPr="00270D9C">
        <w:rPr>
          <w:sz w:val="22"/>
          <w:highlight w:val="yellow"/>
        </w:rPr>
        <w:t>.</w:t>
      </w:r>
      <w:r w:rsidR="00CC207B" w:rsidRPr="00421F05">
        <w:rPr>
          <w:sz w:val="22"/>
        </w:rPr>
        <w:t xml:space="preserve"> The justification for each of these scales and their source and derivation is fully described in </w:t>
      </w:r>
      <w:r w:rsidR="00B95442" w:rsidRPr="00421F05">
        <w:rPr>
          <w:b/>
          <w:smallCaps/>
          <w:sz w:val="22"/>
        </w:rPr>
        <w:t>Attachment</w:t>
      </w:r>
      <w:r w:rsidR="00B95442" w:rsidRPr="00421F05">
        <w:rPr>
          <w:b/>
          <w:sz w:val="22"/>
        </w:rPr>
        <w:t xml:space="preserve"> </w:t>
      </w:r>
      <w:r w:rsidR="00F90A70">
        <w:rPr>
          <w:b/>
          <w:sz w:val="22"/>
        </w:rPr>
        <w:t>8</w:t>
      </w:r>
      <w:r w:rsidR="00CC207B" w:rsidRPr="00421F05">
        <w:rPr>
          <w:sz w:val="22"/>
        </w:rPr>
        <w:t xml:space="preserve">.  </w:t>
      </w:r>
      <w:r w:rsidR="00A24579" w:rsidRPr="00421F05">
        <w:rPr>
          <w:sz w:val="22"/>
        </w:rPr>
        <w:t xml:space="preserve">As described in </w:t>
      </w:r>
      <w:r w:rsidR="00B95442" w:rsidRPr="00421F05">
        <w:rPr>
          <w:b/>
          <w:smallCaps/>
          <w:sz w:val="22"/>
        </w:rPr>
        <w:t>Attachment</w:t>
      </w:r>
      <w:r w:rsidR="00B95442" w:rsidRPr="00421F05">
        <w:rPr>
          <w:b/>
          <w:sz w:val="22"/>
        </w:rPr>
        <w:t xml:space="preserve"> </w:t>
      </w:r>
      <w:r w:rsidR="00F90A70">
        <w:rPr>
          <w:b/>
          <w:sz w:val="22"/>
        </w:rPr>
        <w:t>8</w:t>
      </w:r>
      <w:r w:rsidR="00A24579" w:rsidRPr="00421F05">
        <w:rPr>
          <w:sz w:val="22"/>
        </w:rPr>
        <w:t>, stress may play an important direct or indirect role in risk for breast cancer and other health outcomes.  It is likely that the relationship is complex and a comprehensive approach, including assessing acute and chronic stress</w:t>
      </w:r>
      <w:r w:rsidR="00A24579" w:rsidRPr="001D040C">
        <w:rPr>
          <w:sz w:val="22"/>
        </w:rPr>
        <w:t xml:space="preserve"> at different time periods and accounting for factors that modify </w:t>
      </w:r>
      <w:r w:rsidR="00A24579" w:rsidRPr="001D040C">
        <w:rPr>
          <w:sz w:val="22"/>
        </w:rPr>
        <w:lastRenderedPageBreak/>
        <w:t xml:space="preserve">response to stress, is required. </w:t>
      </w:r>
      <w:r w:rsidR="00126AF1" w:rsidRPr="001D040C">
        <w:rPr>
          <w:sz w:val="22"/>
        </w:rPr>
        <w:t>In addition to compelling scientific evidence, w</w:t>
      </w:r>
      <w:r w:rsidR="00A24579" w:rsidRPr="001D040C">
        <w:rPr>
          <w:sz w:val="22"/>
        </w:rPr>
        <w:t>e learned through our early focus groups that many women believe that stress plays a role in risk for breast cancer and other diseases</w:t>
      </w:r>
      <w:r w:rsidR="00126AF1" w:rsidRPr="001D040C">
        <w:rPr>
          <w:sz w:val="22"/>
        </w:rPr>
        <w:t>,</w:t>
      </w:r>
      <w:r w:rsidR="00A24579" w:rsidRPr="001D040C">
        <w:rPr>
          <w:sz w:val="22"/>
        </w:rPr>
        <w:t xml:space="preserve"> and</w:t>
      </w:r>
      <w:r w:rsidR="00EB65F2" w:rsidRPr="001D040C">
        <w:rPr>
          <w:sz w:val="22"/>
        </w:rPr>
        <w:t xml:space="preserve"> </w:t>
      </w:r>
      <w:r w:rsidR="00A24579" w:rsidRPr="001D040C">
        <w:rPr>
          <w:sz w:val="22"/>
        </w:rPr>
        <w:t xml:space="preserve">we have been </w:t>
      </w:r>
      <w:r w:rsidR="00126AF1" w:rsidRPr="001D040C">
        <w:rPr>
          <w:sz w:val="22"/>
        </w:rPr>
        <w:t>urged, by the various constituencies that have endorsed the Sister Study,</w:t>
      </w:r>
      <w:r w:rsidR="00A24579" w:rsidRPr="001D040C">
        <w:rPr>
          <w:sz w:val="22"/>
        </w:rPr>
        <w:t xml:space="preserve"> to study this </w:t>
      </w:r>
      <w:r w:rsidR="00126AF1" w:rsidRPr="001D040C">
        <w:rPr>
          <w:sz w:val="22"/>
        </w:rPr>
        <w:t>topic of high interest to women</w:t>
      </w:r>
      <w:r w:rsidR="00EB65F2" w:rsidRPr="001D040C">
        <w:rPr>
          <w:sz w:val="22"/>
        </w:rPr>
        <w:t>.</w:t>
      </w:r>
    </w:p>
    <w:p w:rsidR="00E1752B" w:rsidRDefault="006D061C" w:rsidP="00F26B3F">
      <w:pPr>
        <w:spacing w:line="480" w:lineRule="auto"/>
        <w:ind w:firstLine="360"/>
        <w:rPr>
          <w:b/>
          <w:sz w:val="22"/>
        </w:rPr>
      </w:pPr>
      <w:r w:rsidRPr="001D040C">
        <w:rPr>
          <w:sz w:val="22"/>
        </w:rPr>
        <w:t xml:space="preserve">Information </w:t>
      </w:r>
      <w:r w:rsidR="002D782E" w:rsidRPr="001D040C">
        <w:rPr>
          <w:sz w:val="22"/>
        </w:rPr>
        <w:t>is</w:t>
      </w:r>
      <w:r w:rsidRPr="001D040C">
        <w:rPr>
          <w:sz w:val="22"/>
        </w:rPr>
        <w:t xml:space="preserve"> collected directly from participants.  Participation is voluntary, and respondents can withdraw from the study at any time. Participants may refuse to answer specific individual questions, including those they find to be too sensitive or personal. All information </w:t>
      </w:r>
      <w:r w:rsidR="002D782E" w:rsidRPr="001D040C">
        <w:rPr>
          <w:sz w:val="22"/>
        </w:rPr>
        <w:t>is</w:t>
      </w:r>
      <w:r w:rsidRPr="001D040C">
        <w:rPr>
          <w:sz w:val="22"/>
        </w:rPr>
        <w:t xml:space="preserve"> kept confidential to the extent provided by law. At no time will any individualized geneti</w:t>
      </w:r>
      <w:r w:rsidR="004C4F7D" w:rsidRPr="001D040C">
        <w:rPr>
          <w:sz w:val="22"/>
        </w:rPr>
        <w:t>c results be given out. We have</w:t>
      </w:r>
      <w:r w:rsidRPr="001D040C">
        <w:rPr>
          <w:sz w:val="22"/>
        </w:rPr>
        <w:t xml:space="preserve"> a Certificate of Confidentiality </w:t>
      </w:r>
      <w:r w:rsidR="002D782E" w:rsidRPr="001D040C">
        <w:rPr>
          <w:sz w:val="22"/>
        </w:rPr>
        <w:t xml:space="preserve">in place </w:t>
      </w:r>
      <w:r w:rsidR="00F90A70">
        <w:rPr>
          <w:sz w:val="22"/>
        </w:rPr>
        <w:t>for this study.</w:t>
      </w:r>
    </w:p>
    <w:p w:rsidR="006D061C" w:rsidRPr="001D040C" w:rsidRDefault="006D061C" w:rsidP="00B64409">
      <w:pPr>
        <w:pStyle w:val="Heading2"/>
      </w:pPr>
      <w:bookmarkStart w:id="30" w:name="_Toc129590315"/>
      <w:bookmarkStart w:id="31" w:name="_Toc129668557"/>
      <w:r w:rsidRPr="001D040C">
        <w:t>A.12.</w:t>
      </w:r>
      <w:r w:rsidR="00F0730C">
        <w:t>1</w:t>
      </w:r>
      <w:r w:rsidRPr="001D040C">
        <w:t xml:space="preserve"> </w:t>
      </w:r>
      <w:r w:rsidR="000606CA" w:rsidRPr="001D040C">
        <w:t xml:space="preserve"> </w:t>
      </w:r>
      <w:r w:rsidR="00F0730C" w:rsidRPr="00E35DD1">
        <w:rPr>
          <w:b w:val="0"/>
        </w:rPr>
        <w:t>Est</w:t>
      </w:r>
      <w:r w:rsidR="00F0730C">
        <w:rPr>
          <w:b w:val="0"/>
        </w:rPr>
        <w:t>imated Annualized Burden Hours</w:t>
      </w:r>
      <w:bookmarkEnd w:id="30"/>
      <w:bookmarkEnd w:id="31"/>
    </w:p>
    <w:p w:rsidR="009647B9" w:rsidRDefault="00D3772B" w:rsidP="007A6A08">
      <w:pPr>
        <w:shd w:val="clear" w:color="auto" w:fill="FFFFFF"/>
        <w:spacing w:line="480" w:lineRule="auto"/>
        <w:ind w:firstLine="360"/>
        <w:rPr>
          <w:sz w:val="22"/>
          <w:szCs w:val="22"/>
        </w:rPr>
      </w:pPr>
      <w:r w:rsidRPr="001D040C">
        <w:rPr>
          <w:sz w:val="22"/>
        </w:rPr>
        <w:t>For the remainder of the study, women will be contacted once each year to update contact information and health status (</w:t>
      </w:r>
      <w:r w:rsidR="001D5C75">
        <w:rPr>
          <w:sz w:val="22"/>
        </w:rPr>
        <w:t>~</w:t>
      </w:r>
      <w:r w:rsidRPr="001D040C">
        <w:rPr>
          <w:sz w:val="22"/>
        </w:rPr>
        <w:t xml:space="preserve">10 minutes per response); and asked to complete </w:t>
      </w:r>
      <w:r w:rsidR="00893E3C" w:rsidRPr="00F90A70">
        <w:rPr>
          <w:sz w:val="22"/>
        </w:rPr>
        <w:t>more comprehensive</w:t>
      </w:r>
      <w:r w:rsidR="00893E3C">
        <w:rPr>
          <w:sz w:val="22"/>
        </w:rPr>
        <w:t xml:space="preserve"> updates</w:t>
      </w:r>
      <w:r w:rsidR="00893E3C" w:rsidRPr="001D040C">
        <w:rPr>
          <w:sz w:val="22"/>
        </w:rPr>
        <w:t xml:space="preserve"> </w:t>
      </w:r>
      <w:r w:rsidRPr="001D040C">
        <w:rPr>
          <w:sz w:val="22"/>
        </w:rPr>
        <w:t>(</w:t>
      </w:r>
      <w:r w:rsidR="001D5C75" w:rsidRPr="001D5C75">
        <w:rPr>
          <w:sz w:val="22"/>
          <w:highlight w:val="yellow"/>
        </w:rPr>
        <w:t>~</w:t>
      </w:r>
      <w:r w:rsidR="00484FF3" w:rsidRPr="001D5C75">
        <w:rPr>
          <w:sz w:val="22"/>
          <w:highlight w:val="yellow"/>
        </w:rPr>
        <w:t>40</w:t>
      </w:r>
      <w:r w:rsidR="00484FF3" w:rsidRPr="001D040C">
        <w:rPr>
          <w:sz w:val="22"/>
        </w:rPr>
        <w:t xml:space="preserve"> </w:t>
      </w:r>
      <w:r w:rsidRPr="001D040C">
        <w:rPr>
          <w:sz w:val="22"/>
        </w:rPr>
        <w:t>minutes total) every three years.</w:t>
      </w:r>
      <w:r w:rsidR="00E21A9D">
        <w:rPr>
          <w:sz w:val="22"/>
        </w:rPr>
        <w:t xml:space="preserve">  Contact </w:t>
      </w:r>
      <w:r w:rsidR="00A86B43">
        <w:rPr>
          <w:sz w:val="22"/>
        </w:rPr>
        <w:t>of next-of-kin/proxies for deceased or incapacitated participants</w:t>
      </w:r>
      <w:r w:rsidR="00E21A9D">
        <w:rPr>
          <w:sz w:val="22"/>
        </w:rPr>
        <w:t xml:space="preserve"> is included in the burden budget for Annual Update</w:t>
      </w:r>
      <w:r w:rsidR="00A86B43">
        <w:rPr>
          <w:sz w:val="22"/>
        </w:rPr>
        <w:t>.</w:t>
      </w:r>
      <w:r w:rsidRPr="00E72110">
        <w:rPr>
          <w:sz w:val="22"/>
        </w:rPr>
        <w:t xml:space="preserve">  The annual reporting burden is as follows:  </w:t>
      </w:r>
      <w:r w:rsidRPr="00E72110">
        <w:rPr>
          <w:i/>
          <w:sz w:val="22"/>
        </w:rPr>
        <w:t xml:space="preserve">Estimated Number of Respondents: </w:t>
      </w:r>
      <w:r w:rsidRPr="00E72110">
        <w:rPr>
          <w:sz w:val="22"/>
        </w:rPr>
        <w:t xml:space="preserve"> </w:t>
      </w:r>
      <w:r w:rsidR="00552A53">
        <w:rPr>
          <w:sz w:val="22"/>
        </w:rPr>
        <w:t>50,884</w:t>
      </w:r>
      <w:r w:rsidR="00CE5ABC">
        <w:rPr>
          <w:sz w:val="22"/>
        </w:rPr>
        <w:t xml:space="preserve"> </w:t>
      </w:r>
      <w:r w:rsidR="001C12CB">
        <w:rPr>
          <w:sz w:val="22"/>
          <w:highlight w:val="yellow"/>
        </w:rPr>
        <w:t>–</w:t>
      </w:r>
      <w:r w:rsidR="00CE5ABC" w:rsidRPr="00CE5ABC">
        <w:rPr>
          <w:sz w:val="22"/>
          <w:highlight w:val="yellow"/>
        </w:rPr>
        <w:t xml:space="preserve"> </w:t>
      </w:r>
      <w:r w:rsidR="001C12CB">
        <w:rPr>
          <w:sz w:val="22"/>
          <w:highlight w:val="yellow"/>
        </w:rPr>
        <w:t>2,561</w:t>
      </w:r>
      <w:r w:rsidR="00CE5ABC" w:rsidRPr="00CE5ABC">
        <w:rPr>
          <w:sz w:val="22"/>
          <w:highlight w:val="yellow"/>
        </w:rPr>
        <w:t xml:space="preserve"> deceased</w:t>
      </w:r>
      <w:r w:rsidR="001C12CB">
        <w:rPr>
          <w:sz w:val="22"/>
          <w:highlight w:val="yellow"/>
        </w:rPr>
        <w:t>/</w:t>
      </w:r>
      <w:r w:rsidR="00B07F23">
        <w:rPr>
          <w:sz w:val="22"/>
          <w:highlight w:val="yellow"/>
        </w:rPr>
        <w:t>incapacitated/</w:t>
      </w:r>
      <w:r w:rsidR="001C12CB">
        <w:rPr>
          <w:sz w:val="22"/>
          <w:highlight w:val="yellow"/>
        </w:rPr>
        <w:t>dropped</w:t>
      </w:r>
      <w:r w:rsidR="00CE5ABC" w:rsidRPr="00CE5ABC">
        <w:rPr>
          <w:sz w:val="22"/>
          <w:highlight w:val="yellow"/>
        </w:rPr>
        <w:t xml:space="preserve"> =</w:t>
      </w:r>
      <w:r w:rsidR="00CE5ABC" w:rsidRPr="001C12CB">
        <w:rPr>
          <w:sz w:val="22"/>
          <w:highlight w:val="yellow"/>
        </w:rPr>
        <w:t xml:space="preserve"> </w:t>
      </w:r>
      <w:r w:rsidR="001C12CB" w:rsidRPr="001C12CB">
        <w:rPr>
          <w:sz w:val="22"/>
          <w:highlight w:val="yellow"/>
        </w:rPr>
        <w:t>48,323</w:t>
      </w:r>
      <w:r w:rsidR="00CE5ABC">
        <w:rPr>
          <w:sz w:val="22"/>
        </w:rPr>
        <w:t xml:space="preserve"> </w:t>
      </w:r>
      <w:r w:rsidRPr="00E72110">
        <w:rPr>
          <w:sz w:val="22"/>
        </w:rPr>
        <w:t xml:space="preserve">study participants </w:t>
      </w:r>
      <w:r w:rsidR="00E21A9D" w:rsidRPr="00E72110">
        <w:rPr>
          <w:sz w:val="22"/>
        </w:rPr>
        <w:t>or next-of-kin/proxies</w:t>
      </w:r>
      <w:r w:rsidRPr="00E72110">
        <w:rPr>
          <w:sz w:val="22"/>
        </w:rPr>
        <w:t xml:space="preserve">.  </w:t>
      </w:r>
      <w:bookmarkStart w:id="32" w:name="_Toc129590316"/>
      <w:bookmarkStart w:id="33" w:name="_Toc129668558"/>
      <w:r w:rsidR="003454DA" w:rsidRPr="000C219C">
        <w:rPr>
          <w:i/>
          <w:sz w:val="22"/>
          <w:szCs w:val="22"/>
        </w:rPr>
        <w:t xml:space="preserve">Estimated Number of Responses per Respondent:  </w:t>
      </w:r>
      <w:r w:rsidR="003454DA" w:rsidRPr="000C219C">
        <w:rPr>
          <w:sz w:val="22"/>
          <w:szCs w:val="22"/>
        </w:rPr>
        <w:t>See</w:t>
      </w:r>
      <w:r w:rsidR="003454DA">
        <w:rPr>
          <w:sz w:val="22"/>
          <w:szCs w:val="22"/>
        </w:rPr>
        <w:t xml:space="preserve"> annualized</w:t>
      </w:r>
      <w:r w:rsidR="003454DA" w:rsidRPr="000C219C">
        <w:rPr>
          <w:sz w:val="22"/>
          <w:szCs w:val="22"/>
        </w:rPr>
        <w:t xml:space="preserve"> table below:</w:t>
      </w:r>
    </w:p>
    <w:p w:rsidR="009647B9" w:rsidRDefault="009647B9">
      <w:pPr>
        <w:rPr>
          <w:sz w:val="22"/>
          <w:szCs w:val="22"/>
        </w:rPr>
      </w:pPr>
      <w:r>
        <w:rPr>
          <w:sz w:val="22"/>
          <w:szCs w:val="22"/>
        </w:rPr>
        <w:br w:type="page"/>
      </w:r>
    </w:p>
    <w:p w:rsidR="00AC2F2F" w:rsidRPr="00F74C5E" w:rsidRDefault="00F0730C" w:rsidP="00AC2F2F">
      <w:pPr>
        <w:shd w:val="clear" w:color="auto" w:fill="FFFFFF"/>
        <w:spacing w:line="480" w:lineRule="auto"/>
        <w:rPr>
          <w:i/>
          <w:sz w:val="22"/>
        </w:rPr>
      </w:pPr>
      <w:r w:rsidRPr="00F74C5E">
        <w:rPr>
          <w:b/>
          <w:sz w:val="22"/>
        </w:rPr>
        <w:lastRenderedPageBreak/>
        <w:t>Estimated Annualized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619"/>
        <w:gridCol w:w="1619"/>
        <w:gridCol w:w="1779"/>
        <w:gridCol w:w="1619"/>
      </w:tblGrid>
      <w:tr w:rsidR="00AC2F2F" w:rsidRPr="009A5EC2" w:rsidTr="009A5EC2">
        <w:tc>
          <w:tcPr>
            <w:tcW w:w="2520" w:type="dxa"/>
            <w:shd w:val="clear" w:color="auto" w:fill="auto"/>
            <w:vAlign w:val="center"/>
          </w:tcPr>
          <w:p w:rsidR="00AC2F2F" w:rsidRPr="009A5EC2" w:rsidRDefault="00AC2F2F" w:rsidP="009A5EC2">
            <w:pPr>
              <w:rPr>
                <w:rFonts w:eastAsia="Calibri"/>
                <w:b/>
              </w:rPr>
            </w:pPr>
            <w:r w:rsidRPr="009A5EC2">
              <w:rPr>
                <w:rFonts w:eastAsia="Calibri"/>
                <w:b/>
                <w:color w:val="000000"/>
              </w:rPr>
              <w:t>Activity</w:t>
            </w:r>
          </w:p>
        </w:tc>
        <w:tc>
          <w:tcPr>
            <w:tcW w:w="1440" w:type="dxa"/>
            <w:shd w:val="clear" w:color="auto" w:fill="auto"/>
            <w:vAlign w:val="center"/>
          </w:tcPr>
          <w:p w:rsidR="00AC2F2F" w:rsidRPr="009A5EC2" w:rsidRDefault="00AC2F2F" w:rsidP="009A5EC2">
            <w:pPr>
              <w:jc w:val="right"/>
              <w:rPr>
                <w:rFonts w:eastAsia="Calibri"/>
                <w:b/>
              </w:rPr>
            </w:pPr>
            <w:r w:rsidRPr="009A5EC2">
              <w:rPr>
                <w:rFonts w:eastAsia="Calibri"/>
                <w:b/>
              </w:rPr>
              <w:t>Annual Number of Respondents</w:t>
            </w:r>
          </w:p>
        </w:tc>
        <w:tc>
          <w:tcPr>
            <w:tcW w:w="1440" w:type="dxa"/>
            <w:shd w:val="clear" w:color="auto" w:fill="auto"/>
            <w:vAlign w:val="center"/>
          </w:tcPr>
          <w:p w:rsidR="00AC2F2F" w:rsidRPr="009A5EC2" w:rsidRDefault="00AC2F2F" w:rsidP="009A5EC2">
            <w:pPr>
              <w:jc w:val="right"/>
              <w:rPr>
                <w:rFonts w:eastAsia="Calibri"/>
                <w:b/>
              </w:rPr>
            </w:pPr>
            <w:r w:rsidRPr="009A5EC2">
              <w:rPr>
                <w:rFonts w:eastAsia="Calibri"/>
                <w:b/>
              </w:rPr>
              <w:t>Number of Reponses per Respondent</w:t>
            </w:r>
          </w:p>
        </w:tc>
        <w:tc>
          <w:tcPr>
            <w:tcW w:w="1440" w:type="dxa"/>
            <w:shd w:val="clear" w:color="auto" w:fill="auto"/>
            <w:vAlign w:val="center"/>
          </w:tcPr>
          <w:p w:rsidR="00AC2F2F" w:rsidRPr="009A5EC2" w:rsidRDefault="00F74C5E" w:rsidP="009A5EC2">
            <w:pPr>
              <w:jc w:val="right"/>
              <w:rPr>
                <w:rFonts w:eastAsia="Calibri"/>
                <w:b/>
              </w:rPr>
            </w:pPr>
            <w:r w:rsidRPr="009A5EC2">
              <w:rPr>
                <w:rFonts w:eastAsia="Calibri"/>
                <w:b/>
              </w:rPr>
              <w:t>Average Burden per response(hours</w:t>
            </w:r>
            <w:r w:rsidR="00AC2F2F" w:rsidRPr="009A5EC2">
              <w:rPr>
                <w:rFonts w:eastAsia="Calibri"/>
                <w:b/>
              </w:rPr>
              <w:t>)</w:t>
            </w:r>
          </w:p>
        </w:tc>
        <w:tc>
          <w:tcPr>
            <w:tcW w:w="1440" w:type="dxa"/>
            <w:shd w:val="clear" w:color="auto" w:fill="auto"/>
            <w:vAlign w:val="center"/>
          </w:tcPr>
          <w:p w:rsidR="00AC2F2F" w:rsidRPr="009A5EC2" w:rsidRDefault="00AC2F2F" w:rsidP="009A5EC2">
            <w:pPr>
              <w:jc w:val="right"/>
              <w:rPr>
                <w:rFonts w:eastAsia="Calibri"/>
                <w:b/>
              </w:rPr>
            </w:pPr>
            <w:r w:rsidRPr="009A5EC2">
              <w:rPr>
                <w:rFonts w:eastAsia="Calibri"/>
                <w:b/>
              </w:rPr>
              <w:t>Total</w:t>
            </w:r>
          </w:p>
          <w:p w:rsidR="00AC2F2F" w:rsidRPr="009A5EC2" w:rsidRDefault="00AC2F2F" w:rsidP="009A5EC2">
            <w:pPr>
              <w:jc w:val="right"/>
              <w:rPr>
                <w:rFonts w:eastAsia="Calibri"/>
                <w:b/>
              </w:rPr>
            </w:pPr>
            <w:r w:rsidRPr="009A5EC2">
              <w:rPr>
                <w:rFonts w:eastAsia="Calibri"/>
                <w:b/>
              </w:rPr>
              <w:t>Burden Hours per year</w:t>
            </w:r>
          </w:p>
        </w:tc>
      </w:tr>
      <w:tr w:rsidR="00AC2F2F" w:rsidRPr="00F74C5E" w:rsidTr="009A5EC2">
        <w:trPr>
          <w:trHeight w:val="576"/>
        </w:trPr>
        <w:tc>
          <w:tcPr>
            <w:tcW w:w="2520" w:type="dxa"/>
            <w:shd w:val="clear" w:color="auto" w:fill="auto"/>
            <w:vAlign w:val="center"/>
          </w:tcPr>
          <w:p w:rsidR="00AC2F2F" w:rsidRPr="00F74C5E" w:rsidRDefault="00AC2F2F" w:rsidP="009A5EC2">
            <w:pPr>
              <w:rPr>
                <w:rFonts w:eastAsia="Calibri"/>
              </w:rPr>
            </w:pPr>
            <w:r w:rsidRPr="00F74C5E">
              <w:rPr>
                <w:rFonts w:eastAsia="Calibri"/>
                <w:color w:val="000000"/>
              </w:rPr>
              <w:t>Annual Update</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color w:val="000000"/>
                <w:highlight w:val="yellow"/>
              </w:rPr>
              <w:t>32,215</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rPr>
              <w:t>1</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rPr>
              <w:t>10/60</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color w:val="000000"/>
                <w:highlight w:val="yellow"/>
              </w:rPr>
              <w:t>5,369</w:t>
            </w:r>
          </w:p>
        </w:tc>
      </w:tr>
      <w:tr w:rsidR="00AC2F2F" w:rsidRPr="00F74C5E" w:rsidTr="009A5EC2">
        <w:trPr>
          <w:trHeight w:val="576"/>
        </w:trPr>
        <w:tc>
          <w:tcPr>
            <w:tcW w:w="2520" w:type="dxa"/>
            <w:shd w:val="clear" w:color="auto" w:fill="auto"/>
            <w:vAlign w:val="center"/>
          </w:tcPr>
          <w:p w:rsidR="00AC2F2F" w:rsidRPr="00F74C5E" w:rsidRDefault="003C444B" w:rsidP="009A5EC2">
            <w:pPr>
              <w:rPr>
                <w:rFonts w:eastAsia="Calibri"/>
              </w:rPr>
            </w:pPr>
            <w:r>
              <w:rPr>
                <w:rFonts w:eastAsia="Calibri"/>
                <w:color w:val="000000"/>
              </w:rPr>
              <w:t xml:space="preserve">Follow-Up </w:t>
            </w:r>
            <w:r w:rsidR="00AC2F2F" w:rsidRPr="00F74C5E">
              <w:rPr>
                <w:rFonts w:eastAsia="Calibri"/>
                <w:color w:val="000000"/>
              </w:rPr>
              <w:t>III (triennial)</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color w:val="000000"/>
                <w:highlight w:val="yellow"/>
              </w:rPr>
              <w:t>16,108</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rPr>
              <w:t>1</w:t>
            </w:r>
          </w:p>
        </w:tc>
        <w:tc>
          <w:tcPr>
            <w:tcW w:w="1440" w:type="dxa"/>
            <w:shd w:val="clear" w:color="auto" w:fill="auto"/>
            <w:vAlign w:val="center"/>
          </w:tcPr>
          <w:p w:rsidR="00AC2F2F" w:rsidRPr="00F74C5E" w:rsidRDefault="00AC2F2F" w:rsidP="009A5EC2">
            <w:pPr>
              <w:jc w:val="right"/>
              <w:rPr>
                <w:rFonts w:eastAsia="Calibri"/>
              </w:rPr>
            </w:pPr>
            <w:r w:rsidRPr="00F74C5E">
              <w:rPr>
                <w:rFonts w:eastAsia="Calibri"/>
                <w:highlight w:val="yellow"/>
              </w:rPr>
              <w:t>40/60</w:t>
            </w:r>
          </w:p>
        </w:tc>
        <w:tc>
          <w:tcPr>
            <w:tcW w:w="1440" w:type="dxa"/>
            <w:shd w:val="clear" w:color="auto" w:fill="auto"/>
            <w:vAlign w:val="center"/>
          </w:tcPr>
          <w:p w:rsidR="00AC2F2F" w:rsidRPr="00F74C5E" w:rsidRDefault="00AC2F2F" w:rsidP="009A5EC2">
            <w:pPr>
              <w:jc w:val="right"/>
              <w:rPr>
                <w:rFonts w:eastAsia="Calibri"/>
                <w:highlight w:val="yellow"/>
              </w:rPr>
            </w:pPr>
            <w:r w:rsidRPr="00F74C5E">
              <w:rPr>
                <w:rFonts w:eastAsia="Calibri"/>
                <w:color w:val="000000"/>
                <w:highlight w:val="yellow"/>
              </w:rPr>
              <w:t>10,739</w:t>
            </w:r>
          </w:p>
        </w:tc>
      </w:tr>
      <w:tr w:rsidR="00A64DC8" w:rsidRPr="003C444B" w:rsidTr="009A5EC2">
        <w:trPr>
          <w:trHeight w:val="576"/>
        </w:trPr>
        <w:tc>
          <w:tcPr>
            <w:tcW w:w="2520" w:type="dxa"/>
            <w:shd w:val="clear" w:color="auto" w:fill="auto"/>
            <w:vAlign w:val="center"/>
          </w:tcPr>
          <w:p w:rsidR="00A64DC8" w:rsidRPr="005D7A7B" w:rsidRDefault="003C444B" w:rsidP="003C444B">
            <w:pPr>
              <w:autoSpaceDE w:val="0"/>
              <w:autoSpaceDN w:val="0"/>
              <w:adjustRightInd w:val="0"/>
              <w:rPr>
                <w:rFonts w:eastAsia="Calibri"/>
                <w:color w:val="000000"/>
                <w:highlight w:val="yellow"/>
              </w:rPr>
            </w:pPr>
            <w:r w:rsidRPr="005D7A7B">
              <w:rPr>
                <w:bCs/>
                <w:highlight w:val="yellow"/>
              </w:rPr>
              <w:t xml:space="preserve">Follow-Up III </w:t>
            </w:r>
            <w:r w:rsidR="00A64DC8" w:rsidRPr="005D7A7B">
              <w:rPr>
                <w:bCs/>
                <w:highlight w:val="yellow"/>
              </w:rPr>
              <w:t>Telephone Prompting Script</w:t>
            </w:r>
          </w:p>
        </w:tc>
        <w:tc>
          <w:tcPr>
            <w:tcW w:w="1440" w:type="dxa"/>
            <w:shd w:val="clear" w:color="auto" w:fill="auto"/>
            <w:vAlign w:val="center"/>
          </w:tcPr>
          <w:p w:rsidR="00A64DC8" w:rsidRPr="005D7A7B" w:rsidRDefault="003C444B" w:rsidP="009A5EC2">
            <w:pPr>
              <w:jc w:val="right"/>
              <w:rPr>
                <w:rFonts w:eastAsia="Calibri"/>
                <w:highlight w:val="yellow"/>
              </w:rPr>
            </w:pPr>
            <w:r w:rsidRPr="005D7A7B">
              <w:rPr>
                <w:rFonts w:eastAsia="Calibri"/>
                <w:i/>
                <w:highlight w:val="yellow"/>
              </w:rPr>
              <w:t>4,832</w:t>
            </w:r>
            <w:r w:rsidR="005D7A7B">
              <w:rPr>
                <w:rFonts w:eastAsia="Calibri"/>
                <w:highlight w:val="yellow"/>
              </w:rPr>
              <w:t>*</w:t>
            </w:r>
          </w:p>
        </w:tc>
        <w:tc>
          <w:tcPr>
            <w:tcW w:w="1440" w:type="dxa"/>
            <w:shd w:val="clear" w:color="auto" w:fill="auto"/>
            <w:vAlign w:val="center"/>
          </w:tcPr>
          <w:p w:rsidR="00A64DC8" w:rsidRPr="005D7A7B" w:rsidRDefault="005D7A7B" w:rsidP="009A5EC2">
            <w:pPr>
              <w:jc w:val="right"/>
              <w:rPr>
                <w:highlight w:val="yellow"/>
              </w:rPr>
            </w:pPr>
            <w:r w:rsidRPr="00F90A70">
              <w:t>1</w:t>
            </w:r>
          </w:p>
        </w:tc>
        <w:tc>
          <w:tcPr>
            <w:tcW w:w="1440" w:type="dxa"/>
            <w:shd w:val="clear" w:color="auto" w:fill="auto"/>
            <w:vAlign w:val="center"/>
          </w:tcPr>
          <w:p w:rsidR="00A64DC8" w:rsidRPr="005D7A7B" w:rsidRDefault="003C444B" w:rsidP="009A5EC2">
            <w:pPr>
              <w:jc w:val="right"/>
              <w:rPr>
                <w:rFonts w:eastAsia="Calibri"/>
                <w:highlight w:val="yellow"/>
              </w:rPr>
            </w:pPr>
            <w:r w:rsidRPr="005D7A7B">
              <w:rPr>
                <w:rFonts w:eastAsia="Calibri"/>
                <w:highlight w:val="yellow"/>
              </w:rPr>
              <w:t>3</w:t>
            </w:r>
            <w:r w:rsidR="00A64DC8" w:rsidRPr="005D7A7B">
              <w:rPr>
                <w:rFonts w:eastAsia="Calibri"/>
                <w:highlight w:val="yellow"/>
              </w:rPr>
              <w:t>/60</w:t>
            </w:r>
          </w:p>
        </w:tc>
        <w:tc>
          <w:tcPr>
            <w:tcW w:w="1440" w:type="dxa"/>
            <w:shd w:val="clear" w:color="auto" w:fill="auto"/>
            <w:vAlign w:val="center"/>
          </w:tcPr>
          <w:p w:rsidR="005D7A7B" w:rsidRPr="005D7A7B" w:rsidRDefault="005D7A7B" w:rsidP="005D7A7B">
            <w:pPr>
              <w:jc w:val="right"/>
              <w:rPr>
                <w:rFonts w:eastAsia="Calibri"/>
                <w:color w:val="000000"/>
                <w:highlight w:val="yellow"/>
              </w:rPr>
            </w:pPr>
            <w:r w:rsidRPr="005D7A7B">
              <w:rPr>
                <w:rFonts w:eastAsia="Calibri"/>
                <w:color w:val="000000"/>
                <w:highlight w:val="yellow"/>
              </w:rPr>
              <w:t>242</w:t>
            </w:r>
          </w:p>
        </w:tc>
      </w:tr>
      <w:tr w:rsidR="00AC2F2F" w:rsidRPr="00D62E5B" w:rsidTr="009A5EC2">
        <w:trPr>
          <w:trHeight w:val="576"/>
        </w:trPr>
        <w:tc>
          <w:tcPr>
            <w:tcW w:w="2520" w:type="dxa"/>
            <w:shd w:val="clear" w:color="auto" w:fill="auto"/>
            <w:vAlign w:val="center"/>
          </w:tcPr>
          <w:p w:rsidR="00AC2F2F" w:rsidRPr="00D62E5B" w:rsidRDefault="00AC2F2F" w:rsidP="009A5EC2">
            <w:pPr>
              <w:rPr>
                <w:rFonts w:eastAsia="Calibri"/>
                <w:b/>
              </w:rPr>
            </w:pPr>
            <w:r w:rsidRPr="00D62E5B">
              <w:rPr>
                <w:rFonts w:eastAsia="Calibri"/>
                <w:b/>
                <w:color w:val="000000"/>
              </w:rPr>
              <w:t>TOTAL per year</w:t>
            </w:r>
          </w:p>
        </w:tc>
        <w:tc>
          <w:tcPr>
            <w:tcW w:w="1440" w:type="dxa"/>
            <w:shd w:val="clear" w:color="auto" w:fill="auto"/>
            <w:vAlign w:val="center"/>
          </w:tcPr>
          <w:p w:rsidR="00AC2F2F" w:rsidRPr="00D62E5B" w:rsidRDefault="004257DD" w:rsidP="009A5EC2">
            <w:pPr>
              <w:jc w:val="right"/>
              <w:rPr>
                <w:rFonts w:eastAsia="Calibri"/>
                <w:b/>
              </w:rPr>
            </w:pPr>
            <w:r w:rsidRPr="00232545">
              <w:rPr>
                <w:rFonts w:eastAsia="Calibri"/>
                <w:b/>
                <w:highlight w:val="yellow"/>
              </w:rPr>
              <w:t>48,323</w:t>
            </w:r>
          </w:p>
        </w:tc>
        <w:tc>
          <w:tcPr>
            <w:tcW w:w="1440" w:type="dxa"/>
            <w:shd w:val="clear" w:color="auto" w:fill="auto"/>
            <w:vAlign w:val="center"/>
          </w:tcPr>
          <w:p w:rsidR="00AC2F2F" w:rsidRPr="00D62E5B" w:rsidRDefault="00962914" w:rsidP="009A5EC2">
            <w:pPr>
              <w:jc w:val="right"/>
              <w:rPr>
                <w:rFonts w:eastAsia="Calibri"/>
                <w:b/>
              </w:rPr>
            </w:pPr>
            <w:r>
              <w:rPr>
                <w:rFonts w:eastAsia="Calibri"/>
                <w:b/>
              </w:rPr>
              <w:t xml:space="preserve">53, </w:t>
            </w:r>
            <w:bookmarkStart w:id="34" w:name="_GoBack"/>
            <w:bookmarkEnd w:id="34"/>
            <w:r>
              <w:rPr>
                <w:rFonts w:eastAsia="Calibri"/>
                <w:b/>
              </w:rPr>
              <w:t>155</w:t>
            </w:r>
          </w:p>
        </w:tc>
        <w:tc>
          <w:tcPr>
            <w:tcW w:w="1440" w:type="dxa"/>
            <w:shd w:val="clear" w:color="auto" w:fill="auto"/>
            <w:vAlign w:val="center"/>
          </w:tcPr>
          <w:p w:rsidR="00AC2F2F" w:rsidRPr="00D62E5B" w:rsidRDefault="00AC2F2F" w:rsidP="009A5EC2">
            <w:pPr>
              <w:jc w:val="right"/>
              <w:rPr>
                <w:rFonts w:eastAsia="Calibri"/>
                <w:b/>
              </w:rPr>
            </w:pPr>
          </w:p>
        </w:tc>
        <w:tc>
          <w:tcPr>
            <w:tcW w:w="1440" w:type="dxa"/>
            <w:shd w:val="clear" w:color="auto" w:fill="auto"/>
            <w:vAlign w:val="center"/>
          </w:tcPr>
          <w:p w:rsidR="00AC2F2F" w:rsidRPr="00D62E5B" w:rsidRDefault="00AC2F2F" w:rsidP="005D7A7B">
            <w:pPr>
              <w:jc w:val="right"/>
              <w:rPr>
                <w:rFonts w:eastAsia="Calibri"/>
                <w:b/>
                <w:highlight w:val="yellow"/>
              </w:rPr>
            </w:pPr>
            <w:r w:rsidRPr="00D62E5B">
              <w:rPr>
                <w:rFonts w:eastAsia="Calibri"/>
                <w:b/>
                <w:color w:val="000000"/>
                <w:highlight w:val="yellow"/>
              </w:rPr>
              <w:t>16,</w:t>
            </w:r>
            <w:r w:rsidR="005D7A7B">
              <w:rPr>
                <w:rFonts w:eastAsia="Calibri"/>
                <w:b/>
                <w:color w:val="000000"/>
                <w:highlight w:val="yellow"/>
              </w:rPr>
              <w:t>350</w:t>
            </w:r>
          </w:p>
        </w:tc>
      </w:tr>
    </w:tbl>
    <w:p w:rsidR="00AC2F2F" w:rsidRPr="005D7A7B" w:rsidRDefault="005D7A7B" w:rsidP="005D7A7B">
      <w:pPr>
        <w:shd w:val="clear" w:color="auto" w:fill="FFFFFF"/>
        <w:spacing w:line="480" w:lineRule="auto"/>
        <w:ind w:left="-90"/>
        <w:rPr>
          <w:i/>
          <w:sz w:val="18"/>
          <w:szCs w:val="24"/>
        </w:rPr>
      </w:pPr>
      <w:r w:rsidRPr="005D7A7B">
        <w:rPr>
          <w:i/>
          <w:sz w:val="18"/>
          <w:szCs w:val="24"/>
        </w:rPr>
        <w:t xml:space="preserve">*These Respondents are </w:t>
      </w:r>
      <w:r w:rsidRPr="00FA6875">
        <w:rPr>
          <w:sz w:val="18"/>
          <w:szCs w:val="24"/>
        </w:rPr>
        <w:t>included</w:t>
      </w:r>
      <w:r w:rsidRPr="005D7A7B">
        <w:rPr>
          <w:i/>
          <w:sz w:val="18"/>
          <w:szCs w:val="24"/>
        </w:rPr>
        <w:t xml:space="preserve"> in the </w:t>
      </w:r>
      <w:r w:rsidRPr="005D7A7B">
        <w:rPr>
          <w:sz w:val="18"/>
          <w:szCs w:val="24"/>
        </w:rPr>
        <w:t xml:space="preserve">16,108 </w:t>
      </w:r>
      <w:r w:rsidRPr="005D7A7B">
        <w:rPr>
          <w:i/>
          <w:sz w:val="18"/>
          <w:szCs w:val="24"/>
        </w:rPr>
        <w:t>for Follow-Up III, thus not added into TOTAL Respondents per year.</w:t>
      </w:r>
    </w:p>
    <w:p w:rsidR="00F0730C" w:rsidRDefault="003454DA" w:rsidP="003454DA">
      <w:pPr>
        <w:shd w:val="clear" w:color="auto" w:fill="FFFFFF"/>
        <w:spacing w:line="480" w:lineRule="auto"/>
        <w:rPr>
          <w:i/>
          <w:sz w:val="22"/>
          <w:szCs w:val="22"/>
        </w:rPr>
      </w:pPr>
      <w:r w:rsidRPr="003E6782">
        <w:rPr>
          <w:i/>
          <w:sz w:val="22"/>
          <w:szCs w:val="22"/>
        </w:rPr>
        <w:t xml:space="preserve">Average </w:t>
      </w:r>
      <w:r w:rsidR="00B07F23">
        <w:rPr>
          <w:i/>
          <w:sz w:val="22"/>
          <w:szCs w:val="22"/>
        </w:rPr>
        <w:t xml:space="preserve">Annual </w:t>
      </w:r>
      <w:r w:rsidRPr="003E6782">
        <w:rPr>
          <w:i/>
          <w:sz w:val="22"/>
          <w:szCs w:val="22"/>
        </w:rPr>
        <w:t>Burden Hours Per Response:</w:t>
      </w:r>
      <w:r w:rsidR="001D5C75" w:rsidRPr="003E6782">
        <w:rPr>
          <w:i/>
          <w:sz w:val="22"/>
          <w:szCs w:val="22"/>
        </w:rPr>
        <w:t xml:space="preserve"> </w:t>
      </w:r>
      <w:r w:rsidR="00643C31">
        <w:rPr>
          <w:sz w:val="22"/>
          <w:szCs w:val="22"/>
          <w:highlight w:val="yellow"/>
        </w:rPr>
        <w:t>~</w:t>
      </w:r>
      <w:r w:rsidR="001D5C75" w:rsidRPr="001D5C75">
        <w:rPr>
          <w:sz w:val="22"/>
          <w:szCs w:val="22"/>
          <w:highlight w:val="yellow"/>
        </w:rPr>
        <w:t>2</w:t>
      </w:r>
      <w:r w:rsidR="00B07F23" w:rsidRPr="00B07F23">
        <w:rPr>
          <w:sz w:val="22"/>
          <w:szCs w:val="22"/>
          <w:highlight w:val="yellow"/>
        </w:rPr>
        <w:t>0</w:t>
      </w:r>
      <w:r w:rsidR="001D5C75">
        <w:rPr>
          <w:sz w:val="22"/>
          <w:szCs w:val="22"/>
        </w:rPr>
        <w:t xml:space="preserve"> </w:t>
      </w:r>
      <w:r w:rsidRPr="003E6782">
        <w:rPr>
          <w:sz w:val="22"/>
          <w:szCs w:val="22"/>
        </w:rPr>
        <w:t xml:space="preserve">minutes; and </w:t>
      </w:r>
      <w:r w:rsidRPr="003E6782">
        <w:rPr>
          <w:i/>
          <w:sz w:val="22"/>
          <w:szCs w:val="22"/>
        </w:rPr>
        <w:t xml:space="preserve">Estimated Total Annual Burden Hours Requested: </w:t>
      </w:r>
      <w:r w:rsidRPr="003E6782">
        <w:rPr>
          <w:sz w:val="22"/>
          <w:szCs w:val="22"/>
        </w:rPr>
        <w:t xml:space="preserve"> </w:t>
      </w:r>
      <w:r w:rsidR="00B07F23" w:rsidRPr="00B07F23">
        <w:rPr>
          <w:b/>
          <w:sz w:val="22"/>
          <w:szCs w:val="22"/>
          <w:highlight w:val="yellow"/>
        </w:rPr>
        <w:t>16</w:t>
      </w:r>
      <w:r w:rsidR="00B07F23" w:rsidRPr="00AC2F2F">
        <w:rPr>
          <w:b/>
          <w:sz w:val="22"/>
          <w:szCs w:val="22"/>
          <w:highlight w:val="yellow"/>
        </w:rPr>
        <w:t>,</w:t>
      </w:r>
      <w:r w:rsidR="005D7A7B" w:rsidRPr="005D7A7B">
        <w:rPr>
          <w:b/>
          <w:sz w:val="22"/>
          <w:szCs w:val="22"/>
          <w:highlight w:val="yellow"/>
        </w:rPr>
        <w:t>350</w:t>
      </w:r>
      <w:r w:rsidRPr="003E6782">
        <w:rPr>
          <w:sz w:val="22"/>
          <w:szCs w:val="22"/>
        </w:rPr>
        <w:t>.</w:t>
      </w:r>
      <w:r w:rsidRPr="003E6782">
        <w:rPr>
          <w:i/>
          <w:sz w:val="22"/>
          <w:szCs w:val="22"/>
        </w:rPr>
        <w:t xml:space="preserve"> </w:t>
      </w:r>
    </w:p>
    <w:p w:rsidR="00F0730C" w:rsidRPr="008942E9" w:rsidRDefault="00F0730C" w:rsidP="003077A2">
      <w:pPr>
        <w:pStyle w:val="Heading2"/>
      </w:pPr>
      <w:r w:rsidRPr="008942E9">
        <w:t>A.12-2</w:t>
      </w:r>
      <w:r w:rsidRPr="008942E9">
        <w:tab/>
        <w:t>Annualized Cost to respondents</w:t>
      </w:r>
    </w:p>
    <w:p w:rsidR="0087567B" w:rsidRPr="003077A2" w:rsidRDefault="0087567B" w:rsidP="0087567B">
      <w:pPr>
        <w:spacing w:line="480" w:lineRule="auto"/>
        <w:rPr>
          <w:rFonts w:eastAsia="MS Mincho"/>
          <w:b/>
          <w:lang w:eastAsia="ja-JP"/>
        </w:rPr>
      </w:pPr>
      <w:r w:rsidRPr="003077A2">
        <w:rPr>
          <w:rFonts w:eastAsia="MS Mincho"/>
          <w:b/>
          <w:lang w:eastAsia="ja-JP"/>
        </w:rPr>
        <w:t>Table A12-2.  Annual Cost to Respondent</w:t>
      </w:r>
    </w:p>
    <w:tbl>
      <w:tblPr>
        <w:tblW w:w="4941" w:type="pct"/>
        <w:tblInd w:w="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35"/>
        <w:gridCol w:w="1611"/>
        <w:gridCol w:w="1629"/>
        <w:gridCol w:w="1773"/>
        <w:gridCol w:w="1629"/>
      </w:tblGrid>
      <w:tr w:rsidR="0087567B" w:rsidRPr="009A5EC2" w:rsidTr="009A5EC2">
        <w:trPr>
          <w:cantSplit/>
          <w:trHeight w:val="880"/>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9A5EC2" w:rsidRDefault="0087567B" w:rsidP="009A5EC2">
            <w:pPr>
              <w:rPr>
                <w:b/>
                <w:bCs/>
              </w:rPr>
            </w:pPr>
            <w:r w:rsidRPr="009A5EC2">
              <w:rPr>
                <w:b/>
                <w:bCs/>
              </w:rPr>
              <w:t>Type of Respondent</w:t>
            </w:r>
          </w:p>
        </w:tc>
        <w:tc>
          <w:tcPr>
            <w:tcW w:w="16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9A5EC2" w:rsidRDefault="0087567B" w:rsidP="009A5EC2">
            <w:pPr>
              <w:jc w:val="right"/>
              <w:rPr>
                <w:b/>
                <w:bCs/>
              </w:rPr>
            </w:pPr>
            <w:r w:rsidRPr="009A5EC2">
              <w:rPr>
                <w:b/>
                <w:bCs/>
              </w:rPr>
              <w:t>Number of Respondents</w:t>
            </w:r>
          </w:p>
        </w:tc>
        <w:tc>
          <w:tcPr>
            <w:tcW w:w="1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9A5EC2" w:rsidRDefault="0087567B" w:rsidP="009A5EC2">
            <w:pPr>
              <w:jc w:val="right"/>
              <w:rPr>
                <w:b/>
                <w:bCs/>
              </w:rPr>
            </w:pPr>
            <w:r w:rsidRPr="009A5EC2">
              <w:rPr>
                <w:b/>
                <w:bCs/>
              </w:rPr>
              <w:t>Total Annual Burden Hours</w:t>
            </w: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9A5EC2" w:rsidRDefault="0087567B" w:rsidP="009A5EC2">
            <w:pPr>
              <w:jc w:val="right"/>
              <w:rPr>
                <w:b/>
                <w:bCs/>
              </w:rPr>
            </w:pPr>
            <w:r w:rsidRPr="009A5EC2">
              <w:rPr>
                <w:b/>
                <w:bCs/>
              </w:rPr>
              <w:t>Wage Rate*</w:t>
            </w:r>
          </w:p>
        </w:tc>
        <w:tc>
          <w:tcPr>
            <w:tcW w:w="1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9A5EC2" w:rsidRDefault="0087567B" w:rsidP="009A5EC2">
            <w:pPr>
              <w:jc w:val="right"/>
              <w:rPr>
                <w:b/>
                <w:bCs/>
              </w:rPr>
            </w:pPr>
            <w:r w:rsidRPr="009A5EC2">
              <w:rPr>
                <w:b/>
                <w:bCs/>
              </w:rPr>
              <w:t>Respondent Cost</w:t>
            </w:r>
          </w:p>
        </w:tc>
      </w:tr>
      <w:tr w:rsidR="0087567B" w:rsidRPr="0087567B" w:rsidTr="009A5EC2">
        <w:trPr>
          <w:cantSplit/>
          <w:trHeight w:val="880"/>
        </w:trPr>
        <w:tc>
          <w:tcPr>
            <w:tcW w:w="2835" w:type="dxa"/>
            <w:tcBorders>
              <w:top w:val="single" w:sz="8" w:space="0" w:color="auto"/>
              <w:left w:val="single" w:sz="8" w:space="0" w:color="auto"/>
              <w:right w:val="single" w:sz="8" w:space="0" w:color="auto"/>
            </w:tcBorders>
            <w:shd w:val="clear" w:color="auto" w:fill="auto"/>
            <w:vAlign w:val="center"/>
            <w:hideMark/>
          </w:tcPr>
          <w:p w:rsidR="0087567B" w:rsidRPr="003077A2" w:rsidRDefault="0087567B" w:rsidP="009A5EC2">
            <w:pPr>
              <w:rPr>
                <w:bCs/>
                <w:highlight w:val="yellow"/>
              </w:rPr>
            </w:pPr>
            <w:r w:rsidRPr="003077A2">
              <w:rPr>
                <w:bCs/>
                <w:highlight w:val="yellow"/>
              </w:rPr>
              <w:t>Individual</w:t>
            </w:r>
          </w:p>
        </w:tc>
        <w:tc>
          <w:tcPr>
            <w:tcW w:w="16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3077A2" w:rsidRDefault="0087567B" w:rsidP="009A5EC2">
            <w:pPr>
              <w:jc w:val="right"/>
              <w:rPr>
                <w:bCs/>
                <w:highlight w:val="yellow"/>
              </w:rPr>
            </w:pPr>
            <w:r w:rsidRPr="003077A2">
              <w:rPr>
                <w:highlight w:val="yellow"/>
              </w:rPr>
              <w:t>48,323</w:t>
            </w:r>
          </w:p>
        </w:tc>
        <w:tc>
          <w:tcPr>
            <w:tcW w:w="1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3077A2" w:rsidRDefault="0087567B" w:rsidP="009A5EC2">
            <w:pPr>
              <w:jc w:val="right"/>
              <w:rPr>
                <w:bCs/>
                <w:highlight w:val="yellow"/>
              </w:rPr>
            </w:pPr>
            <w:r w:rsidRPr="003077A2">
              <w:rPr>
                <w:bCs/>
                <w:highlight w:val="yellow"/>
              </w:rPr>
              <w:t>20/60</w:t>
            </w:r>
          </w:p>
        </w:tc>
        <w:tc>
          <w:tcPr>
            <w:tcW w:w="17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3077A2" w:rsidRDefault="0087567B" w:rsidP="009A5EC2">
            <w:pPr>
              <w:jc w:val="right"/>
              <w:rPr>
                <w:bCs/>
                <w:highlight w:val="yellow"/>
              </w:rPr>
            </w:pPr>
            <w:r w:rsidRPr="003077A2">
              <w:rPr>
                <w:bCs/>
                <w:highlight w:val="yellow"/>
              </w:rPr>
              <w:t>$</w:t>
            </w:r>
            <w:r w:rsidR="003077A2" w:rsidRPr="003077A2">
              <w:rPr>
                <w:bCs/>
                <w:highlight w:val="yellow"/>
              </w:rPr>
              <w:t>25.24</w:t>
            </w:r>
          </w:p>
        </w:tc>
        <w:tc>
          <w:tcPr>
            <w:tcW w:w="162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67B" w:rsidRPr="0087567B" w:rsidRDefault="0087567B" w:rsidP="009A5EC2">
            <w:pPr>
              <w:jc w:val="right"/>
              <w:rPr>
                <w:bCs/>
              </w:rPr>
            </w:pPr>
            <w:r w:rsidRPr="003077A2">
              <w:rPr>
                <w:bCs/>
                <w:highlight w:val="yellow"/>
              </w:rPr>
              <w:t>$</w:t>
            </w:r>
            <w:r w:rsidR="003077A2" w:rsidRPr="003077A2">
              <w:rPr>
                <w:bCs/>
                <w:highlight w:val="yellow"/>
              </w:rPr>
              <w:t>406,565.92</w:t>
            </w:r>
          </w:p>
        </w:tc>
      </w:tr>
    </w:tbl>
    <w:p w:rsidR="0087567B" w:rsidRPr="00965C60" w:rsidRDefault="0087567B" w:rsidP="0087567B">
      <w:pPr>
        <w:ind w:left="-180" w:right="-450"/>
        <w:rPr>
          <w:rFonts w:eastAsia="MS Mincho"/>
          <w:sz w:val="18"/>
          <w:szCs w:val="24"/>
          <w:lang w:eastAsia="ja-JP"/>
        </w:rPr>
      </w:pPr>
      <w:r>
        <w:rPr>
          <w:rFonts w:eastAsia="MS Mincho"/>
          <w:lang w:eastAsia="ja-JP"/>
        </w:rPr>
        <w:t>*</w:t>
      </w:r>
      <w:r w:rsidR="009647B9">
        <w:rPr>
          <w:rFonts w:eastAsia="MS Mincho"/>
          <w:lang w:eastAsia="ja-JP"/>
        </w:rPr>
        <w:t>National average hourly wage rate</w:t>
      </w:r>
      <w:r w:rsidR="003077A2">
        <w:rPr>
          <w:rFonts w:eastAsia="MS Mincho"/>
          <w:lang w:eastAsia="ja-JP"/>
        </w:rPr>
        <w:t xml:space="preserve"> </w:t>
      </w:r>
      <w:hyperlink r:id="rId9" w:history="1">
        <w:r w:rsidR="003077A2" w:rsidRPr="009A5EC2">
          <w:rPr>
            <w:rStyle w:val="Hyperlink"/>
            <w:rFonts w:eastAsia="MS Mincho"/>
            <w:lang w:eastAsia="ja-JP"/>
          </w:rPr>
          <w:t>http://www.bls.gov/news.release/empsit.t19.htm</w:t>
        </w:r>
      </w:hyperlink>
      <w:r w:rsidR="003077A2">
        <w:rPr>
          <w:rFonts w:eastAsia="MS Mincho"/>
          <w:sz w:val="18"/>
          <w:szCs w:val="24"/>
          <w:lang w:eastAsia="ja-JP"/>
        </w:rPr>
        <w:t>.</w:t>
      </w:r>
    </w:p>
    <w:p w:rsidR="00F0730C" w:rsidRDefault="00F0730C" w:rsidP="003454DA">
      <w:pPr>
        <w:shd w:val="clear" w:color="auto" w:fill="FFFFFF"/>
        <w:spacing w:line="480" w:lineRule="auto"/>
        <w:rPr>
          <w:sz w:val="22"/>
          <w:szCs w:val="22"/>
        </w:rPr>
      </w:pPr>
    </w:p>
    <w:p w:rsidR="003454DA" w:rsidRPr="003E6782" w:rsidRDefault="003454DA" w:rsidP="003454DA">
      <w:pPr>
        <w:shd w:val="clear" w:color="auto" w:fill="FFFFFF"/>
        <w:spacing w:line="480" w:lineRule="auto"/>
        <w:rPr>
          <w:sz w:val="22"/>
          <w:szCs w:val="22"/>
        </w:rPr>
      </w:pPr>
      <w:r w:rsidRPr="003E6782">
        <w:rPr>
          <w:sz w:val="22"/>
          <w:szCs w:val="22"/>
        </w:rPr>
        <w:t>The estimated total annualized cost to respondents</w:t>
      </w:r>
      <w:r w:rsidR="00EF448E" w:rsidRPr="003E6782">
        <w:rPr>
          <w:sz w:val="22"/>
          <w:szCs w:val="22"/>
        </w:rPr>
        <w:t xml:space="preserve"> is</w:t>
      </w:r>
      <w:r w:rsidRPr="003E6782">
        <w:rPr>
          <w:sz w:val="22"/>
          <w:szCs w:val="22"/>
        </w:rPr>
        <w:t xml:space="preserve"> $</w:t>
      </w:r>
      <w:r w:rsidR="003077A2" w:rsidRPr="003077A2">
        <w:rPr>
          <w:sz w:val="22"/>
          <w:szCs w:val="22"/>
          <w:highlight w:val="yellow"/>
        </w:rPr>
        <w:t>406,565.92</w:t>
      </w:r>
      <w:r w:rsidRPr="003E6782">
        <w:rPr>
          <w:sz w:val="22"/>
          <w:szCs w:val="22"/>
        </w:rPr>
        <w:t xml:space="preserve"> (</w:t>
      </w:r>
      <w:r w:rsidR="003077A2">
        <w:rPr>
          <w:sz w:val="22"/>
          <w:szCs w:val="22"/>
        </w:rPr>
        <w:t>using</w:t>
      </w:r>
      <w:r w:rsidRPr="003E6782">
        <w:rPr>
          <w:sz w:val="22"/>
          <w:szCs w:val="22"/>
        </w:rPr>
        <w:t xml:space="preserve"> $</w:t>
      </w:r>
      <w:r w:rsidR="003077A2">
        <w:rPr>
          <w:sz w:val="22"/>
          <w:szCs w:val="22"/>
        </w:rPr>
        <w:t>25.24</w:t>
      </w:r>
      <w:r w:rsidRPr="003E6782">
        <w:rPr>
          <w:sz w:val="22"/>
          <w:szCs w:val="22"/>
        </w:rPr>
        <w:t xml:space="preserve"> </w:t>
      </w:r>
      <w:r w:rsidR="003077A2">
        <w:rPr>
          <w:sz w:val="22"/>
          <w:szCs w:val="22"/>
        </w:rPr>
        <w:t xml:space="preserve">Bureau of Labor Statistics 12/2015 National average </w:t>
      </w:r>
      <w:r w:rsidRPr="003E6782">
        <w:rPr>
          <w:sz w:val="22"/>
          <w:szCs w:val="22"/>
        </w:rPr>
        <w:t xml:space="preserve">hourly wage X </w:t>
      </w:r>
      <w:r w:rsidR="00B07F23" w:rsidRPr="00B07F23">
        <w:rPr>
          <w:sz w:val="22"/>
          <w:szCs w:val="22"/>
          <w:highlight w:val="yellow"/>
        </w:rPr>
        <w:t>16,</w:t>
      </w:r>
      <w:r w:rsidR="005D7A7B">
        <w:rPr>
          <w:sz w:val="22"/>
          <w:szCs w:val="22"/>
          <w:highlight w:val="yellow"/>
        </w:rPr>
        <w:t>350</w:t>
      </w:r>
      <w:r w:rsidR="00EF448E" w:rsidRPr="00976DD4">
        <w:rPr>
          <w:sz w:val="22"/>
          <w:szCs w:val="22"/>
          <w:highlight w:val="yellow"/>
        </w:rPr>
        <w:t xml:space="preserve"> hours</w:t>
      </w:r>
      <w:r w:rsidRPr="00976DD4">
        <w:rPr>
          <w:sz w:val="22"/>
          <w:szCs w:val="22"/>
          <w:highlight w:val="yellow"/>
        </w:rPr>
        <w:t>).</w:t>
      </w:r>
      <w:r w:rsidRPr="003E6782">
        <w:rPr>
          <w:sz w:val="22"/>
          <w:szCs w:val="22"/>
        </w:rPr>
        <w:t xml:space="preserve"> There are no capital, operating, or maintenance costs. </w:t>
      </w:r>
    </w:p>
    <w:p w:rsidR="006D061C" w:rsidRPr="003E6782" w:rsidRDefault="006D061C" w:rsidP="00B64409">
      <w:pPr>
        <w:pStyle w:val="Heading2"/>
      </w:pPr>
      <w:r w:rsidRPr="003E6782">
        <w:t xml:space="preserve">A.13. </w:t>
      </w:r>
      <w:r w:rsidR="000606CA" w:rsidRPr="003E6782">
        <w:t xml:space="preserve"> </w:t>
      </w:r>
      <w:r w:rsidRPr="003E6782">
        <w:t>Estimate of Other Total Annual Cost Burden to Respondents or Recordkeepers</w:t>
      </w:r>
      <w:bookmarkEnd w:id="32"/>
      <w:bookmarkEnd w:id="33"/>
    </w:p>
    <w:p w:rsidR="006D061C" w:rsidRPr="003E6782" w:rsidRDefault="006D061C" w:rsidP="00F26B3F">
      <w:pPr>
        <w:spacing w:line="480" w:lineRule="auto"/>
        <w:ind w:firstLine="360"/>
        <w:rPr>
          <w:sz w:val="22"/>
        </w:rPr>
      </w:pPr>
      <w:r w:rsidRPr="003E6782">
        <w:rPr>
          <w:sz w:val="22"/>
        </w:rPr>
        <w:t>There is no other total annual cost burden to respondents or recordkeepers.</w:t>
      </w:r>
    </w:p>
    <w:p w:rsidR="006D061C" w:rsidRPr="003E6782" w:rsidRDefault="006D061C" w:rsidP="00B64409">
      <w:pPr>
        <w:pStyle w:val="Heading2"/>
      </w:pPr>
      <w:bookmarkStart w:id="35" w:name="_Toc129590317"/>
      <w:bookmarkStart w:id="36" w:name="_Toc129668559"/>
      <w:r w:rsidRPr="003E6782">
        <w:t xml:space="preserve">A.14. </w:t>
      </w:r>
      <w:r w:rsidR="000606CA" w:rsidRPr="003E6782">
        <w:t xml:space="preserve"> </w:t>
      </w:r>
      <w:r w:rsidRPr="003E6782">
        <w:t>Annualized Cost to the Federal Government</w:t>
      </w:r>
      <w:bookmarkEnd w:id="35"/>
      <w:bookmarkEnd w:id="36"/>
    </w:p>
    <w:p w:rsidR="000C621A" w:rsidRDefault="0072452E" w:rsidP="000C621A">
      <w:pPr>
        <w:spacing w:line="480" w:lineRule="auto"/>
        <w:ind w:firstLine="360"/>
        <w:rPr>
          <w:color w:val="000000"/>
          <w:sz w:val="22"/>
          <w:szCs w:val="22"/>
        </w:rPr>
      </w:pPr>
      <w:r w:rsidRPr="002969D8">
        <w:rPr>
          <w:color w:val="000000"/>
          <w:sz w:val="22"/>
        </w:rPr>
        <w:t>Over the next 3 years, the</w:t>
      </w:r>
      <w:r w:rsidR="008C1864" w:rsidRPr="002969D8">
        <w:rPr>
          <w:b/>
          <w:color w:val="000000"/>
          <w:sz w:val="22"/>
        </w:rPr>
        <w:t xml:space="preserve"> </w:t>
      </w:r>
      <w:r w:rsidR="008C1864" w:rsidRPr="002969D8">
        <w:rPr>
          <w:color w:val="000000"/>
          <w:sz w:val="22"/>
        </w:rPr>
        <w:t xml:space="preserve">annualized cost to the </w:t>
      </w:r>
      <w:r w:rsidRPr="002969D8">
        <w:rPr>
          <w:color w:val="000000"/>
          <w:sz w:val="22"/>
        </w:rPr>
        <w:t xml:space="preserve">Federal Government </w:t>
      </w:r>
      <w:r w:rsidRPr="002969D8">
        <w:rPr>
          <w:color w:val="000000"/>
          <w:sz w:val="22"/>
          <w:szCs w:val="22"/>
        </w:rPr>
        <w:t>is expected to be</w:t>
      </w:r>
      <w:r w:rsidR="00F65378">
        <w:rPr>
          <w:dstrike/>
          <w:color w:val="000000"/>
          <w:sz w:val="22"/>
          <w:szCs w:val="22"/>
        </w:rPr>
        <w:t xml:space="preserve"> </w:t>
      </w:r>
      <w:r w:rsidR="002969D8" w:rsidRPr="002969D8">
        <w:rPr>
          <w:bCs/>
          <w:color w:val="000000"/>
          <w:sz w:val="22"/>
          <w:szCs w:val="22"/>
          <w:highlight w:val="yellow"/>
        </w:rPr>
        <w:t>$4,156,725</w:t>
      </w:r>
      <w:r w:rsidR="002969D8" w:rsidRPr="002969D8">
        <w:rPr>
          <w:bCs/>
          <w:color w:val="000000"/>
          <w:sz w:val="22"/>
          <w:szCs w:val="22"/>
        </w:rPr>
        <w:t xml:space="preserve"> </w:t>
      </w:r>
      <w:r w:rsidRPr="002969D8">
        <w:rPr>
          <w:color w:val="000000"/>
          <w:sz w:val="22"/>
          <w:szCs w:val="22"/>
        </w:rPr>
        <w:t xml:space="preserve">per year, totaling </w:t>
      </w:r>
      <w:r w:rsidR="002969D8" w:rsidRPr="002969D8">
        <w:rPr>
          <w:bCs/>
          <w:color w:val="000000"/>
          <w:sz w:val="22"/>
          <w:szCs w:val="22"/>
          <w:highlight w:val="yellow"/>
        </w:rPr>
        <w:t>$12,470,175</w:t>
      </w:r>
      <w:r w:rsidR="002969D8" w:rsidRPr="002969D8">
        <w:rPr>
          <w:bCs/>
          <w:color w:val="000000"/>
          <w:sz w:val="22"/>
          <w:szCs w:val="22"/>
        </w:rPr>
        <w:t xml:space="preserve"> </w:t>
      </w:r>
      <w:r w:rsidRPr="002969D8">
        <w:rPr>
          <w:color w:val="000000"/>
          <w:sz w:val="22"/>
          <w:szCs w:val="22"/>
        </w:rPr>
        <w:t>over 3 years</w:t>
      </w:r>
      <w:r w:rsidR="008C1864" w:rsidRPr="002969D8">
        <w:rPr>
          <w:color w:val="000000"/>
          <w:sz w:val="22"/>
          <w:szCs w:val="22"/>
        </w:rPr>
        <w:t>.</w:t>
      </w:r>
    </w:p>
    <w:p w:rsidR="000C621A" w:rsidRDefault="000C621A">
      <w:pPr>
        <w:rPr>
          <w:color w:val="000000"/>
          <w:sz w:val="22"/>
          <w:szCs w:val="22"/>
        </w:rPr>
      </w:pPr>
      <w:r>
        <w:rPr>
          <w:color w:val="000000"/>
          <w:sz w:val="22"/>
          <w:szCs w:val="22"/>
        </w:rPr>
        <w:br w:type="page"/>
      </w:r>
    </w:p>
    <w:p w:rsidR="00E1752B" w:rsidRPr="000C621A" w:rsidRDefault="000C621A" w:rsidP="000C621A">
      <w:pPr>
        <w:spacing w:line="480" w:lineRule="auto"/>
        <w:rPr>
          <w:b/>
          <w:color w:val="000000"/>
          <w:sz w:val="22"/>
          <w:szCs w:val="22"/>
        </w:rPr>
      </w:pPr>
      <w:r w:rsidRPr="000C621A">
        <w:rPr>
          <w:b/>
          <w:highlight w:val="yellow"/>
        </w:rPr>
        <w:lastRenderedPageBreak/>
        <w:t>Annualized</w:t>
      </w:r>
      <w:r w:rsidR="006753E6">
        <w:rPr>
          <w:b/>
          <w:highlight w:val="yellow"/>
        </w:rPr>
        <w:t xml:space="preserve"> Cost to the Federal Government</w:t>
      </w:r>
    </w:p>
    <w:tbl>
      <w:tblPr>
        <w:tblW w:w="8406" w:type="dxa"/>
        <w:tblInd w:w="-18" w:type="dxa"/>
        <w:tblLayout w:type="fixed"/>
        <w:tblCellMar>
          <w:left w:w="0" w:type="dxa"/>
          <w:right w:w="0" w:type="dxa"/>
        </w:tblCellMar>
        <w:tblLook w:val="04A0" w:firstRow="1" w:lastRow="0" w:firstColumn="1" w:lastColumn="0" w:noHBand="0" w:noVBand="1"/>
      </w:tblPr>
      <w:tblGrid>
        <w:gridCol w:w="3976"/>
        <w:gridCol w:w="1085"/>
        <w:gridCol w:w="1085"/>
        <w:gridCol w:w="1000"/>
        <w:gridCol w:w="1260"/>
      </w:tblGrid>
      <w:tr w:rsidR="000C621A" w:rsidRPr="006753E6" w:rsidTr="006753E6">
        <w:trPr>
          <w:trHeight w:val="315"/>
        </w:trPr>
        <w:tc>
          <w:tcPr>
            <w:tcW w:w="3976" w:type="dxa"/>
            <w:tcBorders>
              <w:top w:val="single" w:sz="8" w:space="0" w:color="auto"/>
              <w:left w:val="single" w:sz="8" w:space="0" w:color="auto"/>
              <w:bottom w:val="nil"/>
              <w:right w:val="nil"/>
            </w:tcBorders>
            <w:noWrap/>
            <w:tcMar>
              <w:top w:w="0" w:type="dxa"/>
              <w:left w:w="108" w:type="dxa"/>
              <w:bottom w:w="0" w:type="dxa"/>
              <w:right w:w="108" w:type="dxa"/>
            </w:tcMar>
            <w:vAlign w:val="center"/>
            <w:hideMark/>
          </w:tcPr>
          <w:p w:rsidR="000C621A" w:rsidRPr="006753E6" w:rsidRDefault="000C621A" w:rsidP="006753E6">
            <w:pPr>
              <w:rPr>
                <w:rFonts w:eastAsiaTheme="minorHAnsi"/>
                <w:b/>
                <w:highlight w:val="yellow"/>
              </w:rPr>
            </w:pPr>
            <w:r w:rsidRPr="006753E6">
              <w:rPr>
                <w:b/>
                <w:highlight w:val="yellow"/>
              </w:rPr>
              <w:t>Contractor Costs</w:t>
            </w:r>
          </w:p>
        </w:tc>
        <w:tc>
          <w:tcPr>
            <w:tcW w:w="10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C621A" w:rsidRPr="006753E6" w:rsidRDefault="000C621A" w:rsidP="006753E6">
            <w:pPr>
              <w:jc w:val="right"/>
              <w:rPr>
                <w:rFonts w:eastAsiaTheme="minorHAnsi"/>
                <w:b/>
                <w:bCs/>
                <w:highlight w:val="yellow"/>
              </w:rPr>
            </w:pPr>
            <w:r w:rsidRPr="006753E6">
              <w:rPr>
                <w:b/>
                <w:bCs/>
                <w:highlight w:val="yellow"/>
              </w:rPr>
              <w:t>Salary</w:t>
            </w:r>
          </w:p>
        </w:tc>
        <w:tc>
          <w:tcPr>
            <w:tcW w:w="10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C621A" w:rsidRPr="006753E6" w:rsidRDefault="000C621A" w:rsidP="006753E6">
            <w:pPr>
              <w:jc w:val="right"/>
              <w:rPr>
                <w:rFonts w:eastAsiaTheme="minorHAnsi"/>
                <w:b/>
                <w:bCs/>
                <w:highlight w:val="yellow"/>
              </w:rPr>
            </w:pPr>
            <w:r w:rsidRPr="006753E6">
              <w:rPr>
                <w:b/>
                <w:bCs/>
                <w:highlight w:val="yellow"/>
              </w:rPr>
              <w:t>Fringe Rate</w:t>
            </w:r>
          </w:p>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C621A" w:rsidRPr="006753E6" w:rsidRDefault="000C621A" w:rsidP="006753E6">
            <w:pPr>
              <w:jc w:val="right"/>
              <w:rPr>
                <w:rFonts w:eastAsiaTheme="minorHAnsi"/>
                <w:b/>
                <w:bCs/>
                <w:highlight w:val="yellow"/>
              </w:rPr>
            </w:pPr>
            <w:r w:rsidRPr="006753E6">
              <w:rPr>
                <w:b/>
                <w:bCs/>
                <w:highlight w:val="yellow"/>
              </w:rPr>
              <w:t>% Effort</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C621A" w:rsidRPr="006753E6" w:rsidRDefault="000C621A" w:rsidP="006753E6">
            <w:pPr>
              <w:jc w:val="right"/>
              <w:rPr>
                <w:rFonts w:eastAsiaTheme="minorHAnsi"/>
                <w:b/>
                <w:bCs/>
                <w:highlight w:val="yellow"/>
              </w:rPr>
            </w:pPr>
            <w:r w:rsidRPr="006753E6">
              <w:rPr>
                <w:b/>
                <w:bCs/>
                <w:highlight w:val="yellow"/>
              </w:rPr>
              <w:t>Annualized Cost</w:t>
            </w:r>
          </w:p>
        </w:tc>
      </w:tr>
      <w:tr w:rsidR="006753E6" w:rsidRPr="006753E6" w:rsidTr="006753E6">
        <w:trPr>
          <w:trHeight w:val="270"/>
        </w:trPr>
        <w:tc>
          <w:tcPr>
            <w:tcW w:w="3976" w:type="dxa"/>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Cs/>
                <w:highlight w:val="yellow"/>
              </w:rPr>
            </w:pPr>
            <w:r w:rsidRPr="006753E6">
              <w:rPr>
                <w:bCs/>
                <w:highlight w:val="yellow"/>
              </w:rPr>
              <w:t>18 Subcontracted Staff for Data Collection</w:t>
            </w:r>
          </w:p>
        </w:tc>
        <w:tc>
          <w:tcPr>
            <w:tcW w:w="108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 xml:space="preserve">$57,486 </w:t>
            </w:r>
          </w:p>
        </w:tc>
        <w:tc>
          <w:tcPr>
            <w:tcW w:w="10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39%</w:t>
            </w:r>
          </w:p>
        </w:tc>
        <w:tc>
          <w:tcPr>
            <w:tcW w:w="10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1800%</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 xml:space="preserve">$1,438,292 </w:t>
            </w:r>
          </w:p>
        </w:tc>
      </w:tr>
      <w:tr w:rsidR="006753E6" w:rsidRPr="006753E6" w:rsidTr="006753E6">
        <w:trPr>
          <w:trHeight w:val="270"/>
        </w:trPr>
        <w:tc>
          <w:tcPr>
            <w:tcW w:w="3976" w:type="dxa"/>
            <w:tcBorders>
              <w:top w:val="nil"/>
              <w:left w:val="single" w:sz="8" w:space="0" w:color="auto"/>
              <w:bottom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Cs/>
                <w:highlight w:val="yellow"/>
              </w:rPr>
            </w:pPr>
            <w:r w:rsidRPr="006753E6">
              <w:rPr>
                <w:bCs/>
                <w:highlight w:val="yellow"/>
              </w:rPr>
              <w:t>Operational Costs for Data Collection (Non-labor)</w:t>
            </w: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highlight w:val="yellow"/>
              </w:rPr>
            </w:pP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000" w:type="dxa"/>
            <w:tcBorders>
              <w:top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 xml:space="preserve">$908,091 </w:t>
            </w:r>
          </w:p>
        </w:tc>
      </w:tr>
      <w:tr w:rsidR="006753E6" w:rsidRPr="006753E6" w:rsidTr="006753E6">
        <w:trPr>
          <w:trHeight w:val="270"/>
        </w:trPr>
        <w:tc>
          <w:tcPr>
            <w:tcW w:w="397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Cs/>
                <w:highlight w:val="yellow"/>
              </w:rPr>
            </w:pPr>
            <w:r w:rsidRPr="006753E6">
              <w:rPr>
                <w:bCs/>
                <w:highlight w:val="yellow"/>
              </w:rPr>
              <w:t>Other Contractual Costs for Data Collection (Non-labor)</w:t>
            </w:r>
          </w:p>
        </w:tc>
        <w:tc>
          <w:tcPr>
            <w:tcW w:w="1085" w:type="dxa"/>
            <w:tcBorders>
              <w:top w:val="single" w:sz="8" w:space="0" w:color="auto"/>
              <w:left w:val="nil"/>
              <w:bottom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highlight w:val="yellow"/>
              </w:rPr>
            </w:pP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000" w:type="dxa"/>
            <w:tcBorders>
              <w:top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 xml:space="preserve">$1,013,520 </w:t>
            </w:r>
          </w:p>
        </w:tc>
      </w:tr>
      <w:tr w:rsidR="006753E6" w:rsidRPr="006753E6" w:rsidTr="006753E6">
        <w:trPr>
          <w:trHeight w:val="315"/>
        </w:trPr>
        <w:tc>
          <w:tcPr>
            <w:tcW w:w="3976" w:type="dxa"/>
            <w:tcBorders>
              <w:top w:val="nil"/>
              <w:left w:val="single" w:sz="8" w:space="0" w:color="auto"/>
              <w:bottom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Cs/>
                <w:highlight w:val="yellow"/>
              </w:rPr>
            </w:pPr>
            <w:r w:rsidRPr="006753E6">
              <w:rPr>
                <w:bCs/>
                <w:highlight w:val="yellow"/>
              </w:rPr>
              <w:t>Travel Costs Associated with Data Collection</w:t>
            </w: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000" w:type="dxa"/>
            <w:tcBorders>
              <w:top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$0</w:t>
            </w:r>
          </w:p>
        </w:tc>
      </w:tr>
      <w:tr w:rsidR="006753E6" w:rsidRPr="006753E6" w:rsidTr="006753E6">
        <w:trPr>
          <w:trHeight w:val="315"/>
        </w:trPr>
        <w:tc>
          <w:tcPr>
            <w:tcW w:w="397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Cs/>
                <w:highlight w:val="yellow"/>
              </w:rPr>
            </w:pPr>
            <w:r w:rsidRPr="006753E6">
              <w:rPr>
                <w:bCs/>
                <w:highlight w:val="yellow"/>
              </w:rPr>
              <w:t>Other Costs (Non-labor)</w:t>
            </w:r>
          </w:p>
        </w:tc>
        <w:tc>
          <w:tcPr>
            <w:tcW w:w="1085" w:type="dxa"/>
            <w:tcBorders>
              <w:top w:val="single" w:sz="8" w:space="0" w:color="auto"/>
              <w:left w:val="nil"/>
              <w:bottom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highlight w:val="yellow"/>
              </w:rPr>
            </w:pP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000" w:type="dxa"/>
            <w:tcBorders>
              <w:top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Cs/>
                <w:highlight w:val="yellow"/>
              </w:rPr>
            </w:pP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Cs/>
                <w:highlight w:val="yellow"/>
              </w:rPr>
            </w:pPr>
            <w:r w:rsidRPr="006753E6">
              <w:rPr>
                <w:bCs/>
                <w:highlight w:val="yellow"/>
              </w:rPr>
              <w:t xml:space="preserve">$796,822 </w:t>
            </w:r>
          </w:p>
        </w:tc>
      </w:tr>
      <w:tr w:rsidR="006753E6" w:rsidRPr="006753E6" w:rsidTr="006753E6">
        <w:trPr>
          <w:trHeight w:val="345"/>
        </w:trPr>
        <w:tc>
          <w:tcPr>
            <w:tcW w:w="3976" w:type="dxa"/>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C621A" w:rsidRPr="006753E6" w:rsidRDefault="000C621A" w:rsidP="006753E6">
            <w:pPr>
              <w:rPr>
                <w:rFonts w:eastAsiaTheme="minorHAnsi"/>
                <w:b/>
                <w:bCs/>
                <w:highlight w:val="yellow"/>
              </w:rPr>
            </w:pPr>
            <w:r w:rsidRPr="006753E6">
              <w:rPr>
                <w:b/>
                <w:bCs/>
                <w:highlight w:val="yellow"/>
              </w:rPr>
              <w:t>Total</w:t>
            </w:r>
            <w:r w:rsidR="004D6B92" w:rsidRPr="006753E6">
              <w:rPr>
                <w:b/>
                <w:highlight w:val="yellow"/>
              </w:rPr>
              <w:t xml:space="preserve"> Contractor Costs</w:t>
            </w:r>
          </w:p>
        </w:tc>
        <w:tc>
          <w:tcPr>
            <w:tcW w:w="1085" w:type="dxa"/>
            <w:tcBorders>
              <w:top w:val="single" w:sz="8" w:space="0" w:color="auto"/>
              <w:left w:val="nil"/>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
                <w:bCs/>
                <w:highlight w:val="yellow"/>
              </w:rPr>
            </w:pPr>
          </w:p>
        </w:tc>
        <w:tc>
          <w:tcPr>
            <w:tcW w:w="1085" w:type="dxa"/>
            <w:tcBorders>
              <w:top w:val="single" w:sz="8" w:space="0" w:color="auto"/>
              <w:bottom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
                <w:bCs/>
                <w:highlight w:val="yellow"/>
              </w:rPr>
            </w:pPr>
          </w:p>
        </w:tc>
        <w:tc>
          <w:tcPr>
            <w:tcW w:w="1000" w:type="dxa"/>
            <w:tcBorders>
              <w:top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rsidR="000C621A" w:rsidRPr="006753E6" w:rsidRDefault="000C621A" w:rsidP="006753E6">
            <w:pPr>
              <w:jc w:val="right"/>
              <w:rPr>
                <w:rFonts w:eastAsiaTheme="minorHAnsi"/>
                <w:b/>
                <w:bCs/>
                <w:highlight w:val="yellow"/>
              </w:rPr>
            </w:pPr>
          </w:p>
        </w:tc>
        <w:tc>
          <w:tcPr>
            <w:tcW w:w="12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C621A" w:rsidRPr="006753E6" w:rsidRDefault="000C621A" w:rsidP="006753E6">
            <w:pPr>
              <w:jc w:val="right"/>
              <w:rPr>
                <w:rFonts w:eastAsiaTheme="minorHAnsi"/>
                <w:b/>
                <w:bCs/>
              </w:rPr>
            </w:pPr>
            <w:r w:rsidRPr="006753E6">
              <w:rPr>
                <w:b/>
                <w:bCs/>
                <w:highlight w:val="yellow"/>
              </w:rPr>
              <w:t>$4,156,725</w:t>
            </w:r>
          </w:p>
        </w:tc>
      </w:tr>
    </w:tbl>
    <w:p w:rsidR="00067CCC" w:rsidRDefault="00067CCC" w:rsidP="00067CCC"/>
    <w:tbl>
      <w:tblPr>
        <w:tblW w:w="8307" w:type="dxa"/>
        <w:tblInd w:w="-18" w:type="dxa"/>
        <w:tblCellMar>
          <w:left w:w="0" w:type="dxa"/>
          <w:right w:w="0" w:type="dxa"/>
        </w:tblCellMar>
        <w:tblLook w:val="04A0" w:firstRow="1" w:lastRow="0" w:firstColumn="1" w:lastColumn="0" w:noHBand="0" w:noVBand="1"/>
      </w:tblPr>
      <w:tblGrid>
        <w:gridCol w:w="3996"/>
        <w:gridCol w:w="1176"/>
        <w:gridCol w:w="3235"/>
      </w:tblGrid>
      <w:tr w:rsidR="006753E6" w:rsidRPr="006753E6" w:rsidTr="006753E6">
        <w:trPr>
          <w:trHeight w:val="970"/>
        </w:trPr>
        <w:tc>
          <w:tcPr>
            <w:tcW w:w="3996"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rsidR="000C621A" w:rsidRPr="006753E6" w:rsidRDefault="000C621A" w:rsidP="006753E6">
            <w:pPr>
              <w:rPr>
                <w:rFonts w:eastAsia="Calibri"/>
                <w:b/>
                <w:bCs/>
                <w:color w:val="000000"/>
                <w:highlight w:val="yellow"/>
              </w:rPr>
            </w:pPr>
            <w:r w:rsidRPr="006753E6">
              <w:rPr>
                <w:b/>
                <w:bCs/>
                <w:color w:val="000000"/>
                <w:highlight w:val="yellow"/>
              </w:rPr>
              <w:t>Federal Staff</w:t>
            </w:r>
          </w:p>
        </w:tc>
        <w:tc>
          <w:tcPr>
            <w:tcW w:w="1076" w:type="dxa"/>
            <w:tcBorders>
              <w:top w:val="single" w:sz="8" w:space="0" w:color="auto"/>
              <w:left w:val="nil"/>
              <w:bottom w:val="single" w:sz="8" w:space="0" w:color="auto"/>
              <w:right w:val="single" w:sz="8" w:space="0" w:color="auto"/>
            </w:tcBorders>
            <w:shd w:val="clear" w:color="auto" w:fill="BFBFBF"/>
            <w:vAlign w:val="center"/>
          </w:tcPr>
          <w:p w:rsidR="000C621A" w:rsidRPr="006753E6" w:rsidRDefault="000C621A" w:rsidP="006753E6">
            <w:pPr>
              <w:jc w:val="right"/>
              <w:rPr>
                <w:b/>
                <w:bCs/>
                <w:color w:val="000000"/>
                <w:highlight w:val="yellow"/>
              </w:rPr>
            </w:pPr>
            <w:r w:rsidRPr="006753E6">
              <w:rPr>
                <w:b/>
                <w:bCs/>
                <w:color w:val="000000"/>
                <w:highlight w:val="yellow"/>
              </w:rPr>
              <w:t xml:space="preserve">Grade/Salary </w:t>
            </w:r>
          </w:p>
          <w:p w:rsidR="000C621A" w:rsidRPr="006753E6" w:rsidRDefault="000C621A" w:rsidP="006753E6">
            <w:pPr>
              <w:jc w:val="right"/>
              <w:rPr>
                <w:rFonts w:eastAsia="Calibri"/>
                <w:b/>
                <w:bCs/>
                <w:color w:val="000000"/>
                <w:highlight w:val="yellow"/>
              </w:rPr>
            </w:pPr>
            <w:r w:rsidRPr="006753E6">
              <w:rPr>
                <w:b/>
                <w:bCs/>
                <w:color w:val="000000"/>
                <w:highlight w:val="yellow"/>
              </w:rPr>
              <w:t>(Percent FTE or effort)</w:t>
            </w:r>
          </w:p>
        </w:tc>
        <w:tc>
          <w:tcPr>
            <w:tcW w:w="323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0C621A" w:rsidRPr="006753E6" w:rsidRDefault="000C621A" w:rsidP="006753E6">
            <w:pPr>
              <w:jc w:val="right"/>
              <w:rPr>
                <w:rFonts w:eastAsia="Calibri"/>
                <w:b/>
                <w:bCs/>
                <w:highlight w:val="yellow"/>
              </w:rPr>
            </w:pPr>
            <w:r w:rsidRPr="006753E6">
              <w:rPr>
                <w:b/>
                <w:bCs/>
                <w:highlight w:val="yellow"/>
              </w:rPr>
              <w:t>Federal Staff Costs</w:t>
            </w:r>
          </w:p>
        </w:tc>
      </w:tr>
      <w:tr w:rsidR="000C621A" w:rsidRPr="000C621A" w:rsidTr="006753E6">
        <w:trPr>
          <w:trHeight w:val="300"/>
        </w:trPr>
        <w:tc>
          <w:tcPr>
            <w:tcW w:w="3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C621A" w:rsidRPr="000C621A" w:rsidRDefault="000C621A" w:rsidP="006753E6">
            <w:pPr>
              <w:rPr>
                <w:rFonts w:eastAsia="Calibri"/>
                <w:color w:val="000000" w:themeColor="text1"/>
                <w:highlight w:val="yellow"/>
              </w:rPr>
            </w:pPr>
            <w:r w:rsidRPr="000C621A">
              <w:rPr>
                <w:rFonts w:eastAsia="Calibri"/>
                <w:color w:val="000000" w:themeColor="text1"/>
                <w:highlight w:val="yellow"/>
              </w:rPr>
              <w:t>NIH Senior Investigators</w:t>
            </w:r>
          </w:p>
        </w:tc>
        <w:tc>
          <w:tcPr>
            <w:tcW w:w="1076" w:type="dxa"/>
            <w:tcBorders>
              <w:top w:val="nil"/>
              <w:left w:val="nil"/>
              <w:bottom w:val="single" w:sz="8" w:space="0" w:color="auto"/>
              <w:right w:val="single" w:sz="8" w:space="0" w:color="auto"/>
            </w:tcBorders>
            <w:vAlign w:val="center"/>
          </w:tcPr>
          <w:p w:rsidR="000C621A" w:rsidRPr="000C621A" w:rsidRDefault="000C621A" w:rsidP="006753E6">
            <w:pPr>
              <w:jc w:val="right"/>
              <w:rPr>
                <w:rFonts w:eastAsia="Calibri"/>
                <w:color w:val="000000" w:themeColor="text1"/>
                <w:highlight w:val="yellow"/>
              </w:rPr>
            </w:pPr>
            <w:r w:rsidRPr="000C621A">
              <w:rPr>
                <w:rFonts w:eastAsia="Calibri"/>
                <w:color w:val="000000" w:themeColor="text1"/>
                <w:highlight w:val="yellow"/>
              </w:rPr>
              <w:t>$233,241 (10%)</w:t>
            </w:r>
          </w:p>
        </w:tc>
        <w:tc>
          <w:tcPr>
            <w:tcW w:w="3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621A" w:rsidRPr="000C621A" w:rsidRDefault="000C621A" w:rsidP="006753E6">
            <w:pPr>
              <w:jc w:val="right"/>
              <w:rPr>
                <w:color w:val="000000" w:themeColor="text1"/>
                <w:highlight w:val="yellow"/>
              </w:rPr>
            </w:pPr>
            <w:r w:rsidRPr="000C621A">
              <w:rPr>
                <w:rFonts w:eastAsia="Calibri"/>
                <w:color w:val="000000" w:themeColor="text1"/>
                <w:highlight w:val="yellow"/>
              </w:rPr>
              <w:t>$23,324</w:t>
            </w:r>
          </w:p>
        </w:tc>
      </w:tr>
      <w:tr w:rsidR="000C621A" w:rsidRPr="000C621A" w:rsidTr="006753E6">
        <w:trPr>
          <w:trHeight w:val="300"/>
        </w:trPr>
        <w:tc>
          <w:tcPr>
            <w:tcW w:w="3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C621A" w:rsidRPr="000C621A" w:rsidRDefault="000C621A" w:rsidP="006753E6">
            <w:pPr>
              <w:rPr>
                <w:rFonts w:eastAsia="Calibri"/>
                <w:color w:val="000000" w:themeColor="text1"/>
                <w:highlight w:val="yellow"/>
              </w:rPr>
            </w:pPr>
            <w:r w:rsidRPr="000C621A">
              <w:rPr>
                <w:rFonts w:eastAsia="Calibri"/>
                <w:color w:val="000000" w:themeColor="text1"/>
                <w:highlight w:val="yellow"/>
              </w:rPr>
              <w:t>NIH Technical Information Specialist</w:t>
            </w:r>
          </w:p>
        </w:tc>
        <w:tc>
          <w:tcPr>
            <w:tcW w:w="1076" w:type="dxa"/>
            <w:tcBorders>
              <w:top w:val="nil"/>
              <w:left w:val="nil"/>
              <w:bottom w:val="single" w:sz="8" w:space="0" w:color="auto"/>
              <w:right w:val="single" w:sz="8" w:space="0" w:color="auto"/>
            </w:tcBorders>
            <w:vAlign w:val="center"/>
            <w:hideMark/>
          </w:tcPr>
          <w:p w:rsidR="000C621A" w:rsidRPr="000C621A" w:rsidRDefault="000C621A" w:rsidP="006753E6">
            <w:pPr>
              <w:jc w:val="right"/>
              <w:rPr>
                <w:rFonts w:eastAsia="Calibri"/>
                <w:color w:val="000000" w:themeColor="text1"/>
                <w:highlight w:val="yellow"/>
              </w:rPr>
            </w:pPr>
            <w:r w:rsidRPr="000C621A">
              <w:rPr>
                <w:rFonts w:eastAsia="Calibri"/>
                <w:color w:val="000000" w:themeColor="text1"/>
                <w:highlight w:val="yellow"/>
              </w:rPr>
              <w:t>$111,814 (5%)</w:t>
            </w:r>
          </w:p>
        </w:tc>
        <w:tc>
          <w:tcPr>
            <w:tcW w:w="3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621A" w:rsidRPr="000C621A" w:rsidRDefault="000C621A" w:rsidP="006753E6">
            <w:pPr>
              <w:jc w:val="right"/>
              <w:rPr>
                <w:rFonts w:eastAsia="Calibri"/>
                <w:color w:val="000000" w:themeColor="text1"/>
                <w:highlight w:val="yellow"/>
              </w:rPr>
            </w:pPr>
            <w:r w:rsidRPr="000C621A">
              <w:rPr>
                <w:rFonts w:eastAsia="Calibri"/>
                <w:color w:val="000000" w:themeColor="text1"/>
                <w:highlight w:val="yellow"/>
              </w:rPr>
              <w:t>$5,591</w:t>
            </w:r>
          </w:p>
        </w:tc>
      </w:tr>
      <w:tr w:rsidR="000C621A" w:rsidRPr="004D6B92" w:rsidTr="006753E6">
        <w:trPr>
          <w:trHeight w:val="300"/>
        </w:trPr>
        <w:tc>
          <w:tcPr>
            <w:tcW w:w="39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C621A" w:rsidRPr="004D6B92" w:rsidRDefault="000C621A" w:rsidP="006753E6">
            <w:pPr>
              <w:rPr>
                <w:rFonts w:eastAsia="Calibri"/>
                <w:b/>
                <w:highlight w:val="yellow"/>
              </w:rPr>
            </w:pPr>
            <w:r w:rsidRPr="004D6B92">
              <w:rPr>
                <w:b/>
                <w:bCs/>
                <w:color w:val="000000"/>
                <w:highlight w:val="yellow"/>
              </w:rPr>
              <w:t xml:space="preserve">Total  </w:t>
            </w:r>
            <w:r w:rsidR="004D6B92" w:rsidRPr="006753E6">
              <w:rPr>
                <w:b/>
                <w:bCs/>
                <w:color w:val="000000"/>
                <w:highlight w:val="yellow"/>
              </w:rPr>
              <w:t>Federal Staff</w:t>
            </w:r>
            <w:r w:rsidR="004D6B92" w:rsidRPr="004D6B92">
              <w:rPr>
                <w:b/>
                <w:bCs/>
                <w:color w:val="000000"/>
                <w:highlight w:val="yellow"/>
              </w:rPr>
              <w:t xml:space="preserve"> </w:t>
            </w:r>
            <w:r w:rsidRPr="004D6B92">
              <w:rPr>
                <w:b/>
                <w:bCs/>
                <w:color w:val="000000"/>
                <w:highlight w:val="yellow"/>
              </w:rPr>
              <w:t>Cost</w:t>
            </w:r>
          </w:p>
        </w:tc>
        <w:tc>
          <w:tcPr>
            <w:tcW w:w="1076" w:type="dxa"/>
            <w:tcBorders>
              <w:top w:val="nil"/>
              <w:left w:val="nil"/>
              <w:bottom w:val="single" w:sz="8" w:space="0" w:color="auto"/>
              <w:right w:val="single" w:sz="8" w:space="0" w:color="auto"/>
            </w:tcBorders>
            <w:vAlign w:val="center"/>
            <w:hideMark/>
          </w:tcPr>
          <w:p w:rsidR="000C621A" w:rsidRPr="004D6B92" w:rsidRDefault="000C621A" w:rsidP="006753E6">
            <w:pPr>
              <w:jc w:val="right"/>
              <w:rPr>
                <w:rFonts w:eastAsia="Calibri"/>
                <w:b/>
                <w:highlight w:val="yellow"/>
              </w:rPr>
            </w:pPr>
          </w:p>
        </w:tc>
        <w:tc>
          <w:tcPr>
            <w:tcW w:w="32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C621A" w:rsidRPr="004D6B92" w:rsidRDefault="000C621A" w:rsidP="006753E6">
            <w:pPr>
              <w:jc w:val="right"/>
              <w:rPr>
                <w:b/>
              </w:rPr>
            </w:pPr>
            <w:r w:rsidRPr="004D6B92">
              <w:rPr>
                <w:b/>
                <w:highlight w:val="yellow"/>
              </w:rPr>
              <w:t>$ 28,915</w:t>
            </w:r>
          </w:p>
        </w:tc>
      </w:tr>
    </w:tbl>
    <w:p w:rsidR="000C621A" w:rsidRDefault="000C621A" w:rsidP="00067CCC"/>
    <w:p w:rsidR="006D061C" w:rsidRPr="001D040C" w:rsidRDefault="006D061C" w:rsidP="00B64409">
      <w:pPr>
        <w:pStyle w:val="Heading2"/>
      </w:pPr>
      <w:bookmarkStart w:id="37" w:name="_Toc129590318"/>
      <w:bookmarkStart w:id="38" w:name="_Toc129668560"/>
      <w:r w:rsidRPr="001D040C">
        <w:t xml:space="preserve">A.15. </w:t>
      </w:r>
      <w:r w:rsidR="00B64409" w:rsidRPr="001D040C">
        <w:t xml:space="preserve"> </w:t>
      </w:r>
      <w:r w:rsidRPr="001D040C">
        <w:t>Explanation for Program Changes or Adjustments</w:t>
      </w:r>
      <w:bookmarkEnd w:id="37"/>
      <w:bookmarkEnd w:id="38"/>
    </w:p>
    <w:p w:rsidR="004419EE" w:rsidRDefault="00E915F7" w:rsidP="00DF2A0E">
      <w:pPr>
        <w:spacing w:line="480" w:lineRule="auto"/>
        <w:ind w:firstLine="360"/>
        <w:rPr>
          <w:color w:val="000000"/>
          <w:sz w:val="22"/>
          <w:szCs w:val="22"/>
        </w:rPr>
      </w:pPr>
      <w:r w:rsidRPr="001D040C">
        <w:rPr>
          <w:sz w:val="22"/>
        </w:rPr>
        <w:t>C</w:t>
      </w:r>
      <w:r w:rsidR="007B0336" w:rsidRPr="001D040C">
        <w:rPr>
          <w:sz w:val="22"/>
        </w:rPr>
        <w:t>hanges in burden and annualized cost merely reflect the anticipated progress and the next scheduled phases of the longitudinal study.</w:t>
      </w:r>
      <w:r w:rsidRPr="001D040C">
        <w:rPr>
          <w:sz w:val="22"/>
        </w:rPr>
        <w:t xml:space="preserve">  </w:t>
      </w:r>
      <w:r w:rsidR="008C337D">
        <w:rPr>
          <w:sz w:val="22"/>
        </w:rPr>
        <w:t>T</w:t>
      </w:r>
      <w:r w:rsidRPr="001D040C">
        <w:rPr>
          <w:sz w:val="22"/>
        </w:rPr>
        <w:t xml:space="preserve">otal burden request </w:t>
      </w:r>
      <w:r w:rsidR="008C337D">
        <w:rPr>
          <w:sz w:val="22"/>
        </w:rPr>
        <w:t>changes</w:t>
      </w:r>
      <w:r w:rsidR="008C337D" w:rsidRPr="001D040C">
        <w:rPr>
          <w:sz w:val="22"/>
        </w:rPr>
        <w:t xml:space="preserve"> </w:t>
      </w:r>
      <w:r w:rsidRPr="001D040C">
        <w:rPr>
          <w:sz w:val="22"/>
        </w:rPr>
        <w:t xml:space="preserve">from </w:t>
      </w:r>
      <w:r w:rsidR="001D5C75" w:rsidRPr="001D5C75">
        <w:rPr>
          <w:color w:val="000000"/>
          <w:sz w:val="22"/>
          <w:szCs w:val="22"/>
          <w:highlight w:val="yellow"/>
        </w:rPr>
        <w:t>26,856</w:t>
      </w:r>
      <w:r w:rsidRPr="001D040C">
        <w:rPr>
          <w:color w:val="000000"/>
          <w:sz w:val="22"/>
          <w:szCs w:val="22"/>
        </w:rPr>
        <w:t xml:space="preserve"> hours </w:t>
      </w:r>
      <w:r w:rsidR="00B07F23">
        <w:rPr>
          <w:color w:val="000000"/>
          <w:sz w:val="22"/>
          <w:szCs w:val="22"/>
        </w:rPr>
        <w:t>per year for</w:t>
      </w:r>
      <w:r w:rsidRPr="001D040C">
        <w:rPr>
          <w:color w:val="000000"/>
          <w:sz w:val="22"/>
          <w:szCs w:val="22"/>
        </w:rPr>
        <w:t xml:space="preserve"> 3 years (for </w:t>
      </w:r>
      <w:r w:rsidRPr="001D5C75">
        <w:rPr>
          <w:color w:val="000000"/>
          <w:sz w:val="22"/>
          <w:szCs w:val="22"/>
          <w:highlight w:val="yellow"/>
        </w:rPr>
        <w:t>20</w:t>
      </w:r>
      <w:r w:rsidR="001C78EE" w:rsidRPr="001D5C75">
        <w:rPr>
          <w:color w:val="000000"/>
          <w:sz w:val="22"/>
          <w:szCs w:val="22"/>
          <w:highlight w:val="yellow"/>
        </w:rPr>
        <w:t>12</w:t>
      </w:r>
      <w:r w:rsidRPr="001D040C">
        <w:rPr>
          <w:color w:val="000000"/>
          <w:sz w:val="22"/>
          <w:szCs w:val="22"/>
        </w:rPr>
        <w:t xml:space="preserve"> revision)</w:t>
      </w:r>
      <w:r w:rsidR="008C337D">
        <w:rPr>
          <w:color w:val="000000"/>
          <w:sz w:val="22"/>
          <w:szCs w:val="22"/>
        </w:rPr>
        <w:t xml:space="preserve"> to </w:t>
      </w:r>
      <w:r w:rsidR="00B07F23" w:rsidRPr="00B07F23">
        <w:rPr>
          <w:sz w:val="22"/>
          <w:szCs w:val="22"/>
          <w:highlight w:val="yellow"/>
        </w:rPr>
        <w:t>16,</w:t>
      </w:r>
      <w:r w:rsidR="00864B4C" w:rsidRPr="00864B4C">
        <w:rPr>
          <w:sz w:val="22"/>
          <w:szCs w:val="22"/>
          <w:highlight w:val="yellow"/>
        </w:rPr>
        <w:t>350</w:t>
      </w:r>
      <w:r w:rsidR="001D5C75">
        <w:rPr>
          <w:sz w:val="22"/>
          <w:szCs w:val="22"/>
        </w:rPr>
        <w:t xml:space="preserve"> </w:t>
      </w:r>
      <w:r w:rsidR="00B07F23">
        <w:rPr>
          <w:sz w:val="22"/>
          <w:szCs w:val="22"/>
        </w:rPr>
        <w:t>hours per year for</w:t>
      </w:r>
      <w:r w:rsidR="00BD3AEE">
        <w:rPr>
          <w:color w:val="000000"/>
          <w:sz w:val="22"/>
          <w:szCs w:val="22"/>
        </w:rPr>
        <w:t xml:space="preserve"> the next 3 years</w:t>
      </w:r>
      <w:r w:rsidRPr="001D040C">
        <w:rPr>
          <w:color w:val="000000"/>
          <w:sz w:val="22"/>
          <w:szCs w:val="22"/>
        </w:rPr>
        <w:t xml:space="preserve">.  This </w:t>
      </w:r>
      <w:r w:rsidR="001C78EE">
        <w:rPr>
          <w:color w:val="000000"/>
          <w:sz w:val="22"/>
          <w:szCs w:val="22"/>
        </w:rPr>
        <w:t>reflect</w:t>
      </w:r>
      <w:r w:rsidR="003E6782">
        <w:rPr>
          <w:color w:val="000000"/>
          <w:sz w:val="22"/>
          <w:szCs w:val="22"/>
        </w:rPr>
        <w:t>s</w:t>
      </w:r>
      <w:r w:rsidR="001C78EE">
        <w:rPr>
          <w:color w:val="000000"/>
          <w:sz w:val="22"/>
          <w:szCs w:val="22"/>
        </w:rPr>
        <w:t xml:space="preserve"> a </w:t>
      </w:r>
      <w:r w:rsidR="001C78EE" w:rsidRPr="001D5C75">
        <w:rPr>
          <w:color w:val="000000"/>
          <w:sz w:val="22"/>
          <w:szCs w:val="22"/>
          <w:highlight w:val="yellow"/>
        </w:rPr>
        <w:t xml:space="preserve">reduction of the number of questions in the </w:t>
      </w:r>
      <w:r w:rsidR="001D5C75" w:rsidRPr="001D5C75">
        <w:rPr>
          <w:color w:val="000000"/>
          <w:sz w:val="22"/>
          <w:szCs w:val="22"/>
          <w:highlight w:val="yellow"/>
        </w:rPr>
        <w:t>detailed F</w:t>
      </w:r>
      <w:r w:rsidR="001C78EE" w:rsidRPr="001D5C75">
        <w:rPr>
          <w:color w:val="000000"/>
          <w:sz w:val="22"/>
          <w:szCs w:val="22"/>
          <w:highlight w:val="yellow"/>
        </w:rPr>
        <w:t>ollow-</w:t>
      </w:r>
      <w:r w:rsidR="001D5C75" w:rsidRPr="001D5C75">
        <w:rPr>
          <w:color w:val="000000"/>
          <w:sz w:val="22"/>
          <w:szCs w:val="22"/>
          <w:highlight w:val="yellow"/>
        </w:rPr>
        <w:t>U</w:t>
      </w:r>
      <w:r w:rsidR="001C78EE" w:rsidRPr="001D5C75">
        <w:rPr>
          <w:color w:val="000000"/>
          <w:sz w:val="22"/>
          <w:szCs w:val="22"/>
          <w:highlight w:val="yellow"/>
        </w:rPr>
        <w:t>p to reduce participant burden</w:t>
      </w:r>
      <w:r w:rsidR="00B07F23" w:rsidRPr="00B07F23">
        <w:rPr>
          <w:color w:val="000000"/>
          <w:sz w:val="22"/>
          <w:szCs w:val="22"/>
          <w:highlight w:val="yellow"/>
        </w:rPr>
        <w:t>, and the expected attrition in the cohort due to death, incapacitation or refusal to continue</w:t>
      </w:r>
      <w:r w:rsidR="001D5C75">
        <w:rPr>
          <w:color w:val="000000"/>
          <w:sz w:val="22"/>
          <w:szCs w:val="22"/>
        </w:rPr>
        <w:t xml:space="preserve">; it </w:t>
      </w:r>
      <w:r w:rsidRPr="001D040C">
        <w:rPr>
          <w:b/>
          <w:color w:val="000000"/>
          <w:sz w:val="22"/>
          <w:szCs w:val="22"/>
        </w:rPr>
        <w:t>does not</w:t>
      </w:r>
      <w:r w:rsidRPr="001D040C">
        <w:rPr>
          <w:color w:val="000000"/>
          <w:sz w:val="22"/>
          <w:szCs w:val="22"/>
        </w:rPr>
        <w:t xml:space="preserve"> however represent a change in Protocol.</w:t>
      </w:r>
      <w:r w:rsidR="00DF2A0E">
        <w:rPr>
          <w:color w:val="000000"/>
          <w:sz w:val="22"/>
          <w:szCs w:val="22"/>
        </w:rPr>
        <w:t xml:space="preserve">  </w:t>
      </w:r>
      <w:r w:rsidR="00DF2A0E" w:rsidRPr="005E5D18">
        <w:rPr>
          <w:i/>
          <w:color w:val="000000"/>
          <w:sz w:val="22"/>
          <w:szCs w:val="22"/>
        </w:rPr>
        <w:t>Changes</w:t>
      </w:r>
      <w:r w:rsidR="00DF2A0E">
        <w:rPr>
          <w:color w:val="000000"/>
          <w:sz w:val="22"/>
          <w:szCs w:val="22"/>
        </w:rPr>
        <w:t xml:space="preserve"> to the Annual Update and Follow-Up forms are summarized here</w:t>
      </w:r>
      <w:r w:rsidR="005E5D18">
        <w:rPr>
          <w:color w:val="000000"/>
          <w:sz w:val="22"/>
          <w:szCs w:val="22"/>
        </w:rPr>
        <w:t xml:space="preserve">; </w:t>
      </w:r>
      <w:r w:rsidR="005E5D18" w:rsidRPr="005E5D18">
        <w:rPr>
          <w:i/>
          <w:color w:val="000000" w:themeColor="text1"/>
          <w:sz w:val="22"/>
          <w:szCs w:val="22"/>
          <w:bdr w:val="single" w:sz="24" w:space="0" w:color="548DD4" w:themeColor="text2" w:themeTint="99"/>
        </w:rPr>
        <w:t>additions</w:t>
      </w:r>
      <w:r w:rsidR="005E5D18" w:rsidRPr="005E5D18">
        <w:rPr>
          <w:color w:val="000000" w:themeColor="text1"/>
          <w:sz w:val="22"/>
          <w:szCs w:val="22"/>
          <w:bdr w:val="single" w:sz="24" w:space="0" w:color="548DD4" w:themeColor="text2" w:themeTint="99"/>
        </w:rPr>
        <w:t xml:space="preserve"> are highlighted in blue on the </w:t>
      </w:r>
      <w:r w:rsidR="005E5D18" w:rsidRPr="005E5D18">
        <w:rPr>
          <w:i/>
          <w:color w:val="000000" w:themeColor="text1"/>
          <w:sz w:val="22"/>
          <w:szCs w:val="22"/>
          <w:bdr w:val="single" w:sz="24" w:space="0" w:color="548DD4" w:themeColor="text2" w:themeTint="99"/>
        </w:rPr>
        <w:t>attached</w:t>
      </w:r>
      <w:r w:rsidR="005E5D18" w:rsidRPr="005E5D18">
        <w:rPr>
          <w:color w:val="000000" w:themeColor="text1"/>
          <w:sz w:val="22"/>
          <w:szCs w:val="22"/>
          <w:bdr w:val="single" w:sz="24" w:space="0" w:color="548DD4" w:themeColor="text2" w:themeTint="99"/>
        </w:rPr>
        <w:t xml:space="preserve"> forms</w:t>
      </w:r>
      <w:r w:rsidR="00334350">
        <w:rPr>
          <w:color w:val="000000" w:themeColor="text1"/>
          <w:sz w:val="22"/>
          <w:szCs w:val="22"/>
          <w:bdr w:val="single" w:sz="24" w:space="0" w:color="548DD4" w:themeColor="text2" w:themeTint="99"/>
        </w:rPr>
        <w:t xml:space="preserve"> (</w:t>
      </w:r>
      <w:r w:rsidR="00334350" w:rsidRPr="00334350">
        <w:rPr>
          <w:b/>
          <w:smallCaps/>
          <w:color w:val="000000" w:themeColor="text1"/>
          <w:sz w:val="22"/>
          <w:szCs w:val="22"/>
          <w:bdr w:val="single" w:sz="24" w:space="0" w:color="548DD4" w:themeColor="text2" w:themeTint="99"/>
        </w:rPr>
        <w:t>Attachments 1</w:t>
      </w:r>
      <w:r w:rsidR="00F65681">
        <w:rPr>
          <w:b/>
          <w:smallCaps/>
          <w:color w:val="000000" w:themeColor="text1"/>
          <w:sz w:val="22"/>
          <w:szCs w:val="22"/>
          <w:bdr w:val="single" w:sz="24" w:space="0" w:color="548DD4" w:themeColor="text2" w:themeTint="99"/>
        </w:rPr>
        <w:t>a</w:t>
      </w:r>
      <w:r w:rsidR="00334350" w:rsidRPr="00334350">
        <w:rPr>
          <w:b/>
          <w:smallCaps/>
          <w:color w:val="000000" w:themeColor="text1"/>
          <w:sz w:val="22"/>
          <w:szCs w:val="22"/>
          <w:bdr w:val="single" w:sz="24" w:space="0" w:color="548DD4" w:themeColor="text2" w:themeTint="99"/>
        </w:rPr>
        <w:t xml:space="preserve"> and 2a</w:t>
      </w:r>
      <w:r w:rsidR="00334350">
        <w:rPr>
          <w:color w:val="000000" w:themeColor="text1"/>
          <w:sz w:val="22"/>
          <w:szCs w:val="22"/>
          <w:bdr w:val="single" w:sz="24" w:space="0" w:color="548DD4" w:themeColor="text2" w:themeTint="99"/>
        </w:rPr>
        <w:t>)</w:t>
      </w:r>
      <w:r w:rsidR="00DF2A0E">
        <w:rPr>
          <w:color w:val="000000"/>
          <w:sz w:val="22"/>
          <w:szCs w:val="22"/>
        </w:rPr>
        <w:t>:</w:t>
      </w:r>
    </w:p>
    <w:p w:rsidR="004419EE" w:rsidRDefault="004419EE">
      <w:pPr>
        <w:rPr>
          <w:color w:val="000000"/>
          <w:sz w:val="22"/>
          <w:szCs w:val="22"/>
        </w:rPr>
      </w:pPr>
      <w:r>
        <w:rPr>
          <w:color w:val="000000"/>
          <w:sz w:val="22"/>
          <w:szCs w:val="22"/>
        </w:rPr>
        <w:br w:type="page"/>
      </w:r>
    </w:p>
    <w:p w:rsidR="004419EE" w:rsidRPr="004419EE" w:rsidRDefault="004419EE">
      <w:pPr>
        <w:rPr>
          <w:b/>
          <w:color w:val="000000"/>
          <w:sz w:val="22"/>
          <w:szCs w:val="22"/>
        </w:rPr>
      </w:pPr>
      <w:r w:rsidRPr="0084412B">
        <w:rPr>
          <w:b/>
          <w:color w:val="000000"/>
          <w:sz w:val="22"/>
          <w:szCs w:val="22"/>
          <w:highlight w:val="yellow"/>
        </w:rPr>
        <w:lastRenderedPageBreak/>
        <w:t>Summary of Changes to Forms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8"/>
        <w:gridCol w:w="7668"/>
      </w:tblGrid>
      <w:tr w:rsidR="009F6184" w:rsidRPr="009F6184" w:rsidTr="00B07F23">
        <w:tc>
          <w:tcPr>
            <w:tcW w:w="1908" w:type="dxa"/>
            <w:tcBorders>
              <w:top w:val="thinThickSmallGap" w:sz="24" w:space="0" w:color="FFFF00"/>
              <w:left w:val="thinThickSmallGap" w:sz="24" w:space="0" w:color="FFFF00"/>
              <w:bottom w:val="single" w:sz="12" w:space="0" w:color="auto"/>
            </w:tcBorders>
            <w:shd w:val="clear" w:color="auto" w:fill="D9D9D9" w:themeFill="background1" w:themeFillShade="D9"/>
          </w:tcPr>
          <w:p w:rsidR="00DF2A0E" w:rsidRPr="009F6184" w:rsidRDefault="00DF2A0E" w:rsidP="00B07F23">
            <w:pPr>
              <w:rPr>
                <w:rFonts w:ascii="Times New Roman" w:hAnsi="Times New Roman" w:cs="Times New Roman"/>
                <w:b/>
              </w:rPr>
            </w:pPr>
          </w:p>
        </w:tc>
        <w:tc>
          <w:tcPr>
            <w:tcW w:w="7668" w:type="dxa"/>
            <w:tcBorders>
              <w:top w:val="thinThickSmallGap" w:sz="24" w:space="0" w:color="FFFF00"/>
              <w:bottom w:val="single" w:sz="12" w:space="0" w:color="auto"/>
              <w:right w:val="thinThickSmallGap" w:sz="24" w:space="0" w:color="FFFF00"/>
            </w:tcBorders>
            <w:shd w:val="clear" w:color="auto" w:fill="D9D9D9" w:themeFill="background1" w:themeFillShade="D9"/>
          </w:tcPr>
          <w:p w:rsidR="00DF2A0E" w:rsidRPr="009F6184" w:rsidRDefault="005E5D18" w:rsidP="005E5D18">
            <w:pPr>
              <w:ind w:left="162"/>
              <w:jc w:val="center"/>
              <w:rPr>
                <w:rFonts w:ascii="Times New Roman" w:hAnsi="Times New Roman" w:cs="Times New Roman"/>
                <w:b/>
              </w:rPr>
            </w:pPr>
            <w:r w:rsidRPr="009F6184">
              <w:rPr>
                <w:rFonts w:ascii="Times New Roman" w:hAnsi="Times New Roman" w:cs="Times New Roman"/>
                <w:b/>
              </w:rPr>
              <w:t>Annual Health Update</w:t>
            </w:r>
          </w:p>
        </w:tc>
      </w:tr>
      <w:tr w:rsidR="00DF2A0E" w:rsidRPr="009F6184" w:rsidTr="00B07F23">
        <w:tc>
          <w:tcPr>
            <w:tcW w:w="1908" w:type="dxa"/>
            <w:tcBorders>
              <w:top w:val="single" w:sz="12" w:space="0" w:color="auto"/>
              <w:left w:val="thinThickSmallGap" w:sz="24" w:space="0" w:color="FFFF00"/>
              <w:bottom w:val="single" w:sz="12" w:space="0" w:color="auto"/>
            </w:tcBorders>
          </w:tcPr>
          <w:p w:rsidR="00DF2A0E" w:rsidRPr="009F6184" w:rsidRDefault="00DF2A0E" w:rsidP="00B07F23">
            <w:pPr>
              <w:rPr>
                <w:rFonts w:ascii="Times New Roman" w:hAnsi="Times New Roman" w:cs="Times New Roman"/>
              </w:rPr>
            </w:pPr>
          </w:p>
        </w:tc>
        <w:tc>
          <w:tcPr>
            <w:tcW w:w="7668" w:type="dxa"/>
            <w:tcBorders>
              <w:top w:val="single" w:sz="12" w:space="0" w:color="auto"/>
              <w:bottom w:val="single" w:sz="12" w:space="0" w:color="auto"/>
              <w:right w:val="thinThickSmallGap" w:sz="24" w:space="0" w:color="FFFF00"/>
            </w:tcBorders>
          </w:tcPr>
          <w:p w:rsidR="00DF2A0E" w:rsidRPr="009F6184" w:rsidRDefault="00DF2A0E" w:rsidP="00DF2A0E">
            <w:pPr>
              <w:pStyle w:val="ListParagraph"/>
              <w:numPr>
                <w:ilvl w:val="0"/>
                <w:numId w:val="27"/>
              </w:numPr>
              <w:ind w:left="162" w:hanging="180"/>
              <w:rPr>
                <w:rFonts w:ascii="Times New Roman" w:hAnsi="Times New Roman" w:cs="Times New Roman"/>
              </w:rPr>
            </w:pPr>
            <w:r w:rsidRPr="009F6184">
              <w:rPr>
                <w:rFonts w:ascii="Times New Roman" w:hAnsi="Times New Roman" w:cs="Times New Roman"/>
              </w:rPr>
              <w:t xml:space="preserve">#2-7: Added questions to update menstrual/menopause, smoking, and hormone replacement status. </w:t>
            </w:r>
          </w:p>
        </w:tc>
      </w:tr>
      <w:tr w:rsidR="00DF2A0E" w:rsidRPr="009F6184" w:rsidTr="00B07F23">
        <w:tc>
          <w:tcPr>
            <w:tcW w:w="1908" w:type="dxa"/>
            <w:tcBorders>
              <w:top w:val="single" w:sz="12" w:space="0" w:color="auto"/>
              <w:left w:val="thinThickSmallGap" w:sz="24" w:space="0" w:color="FFFF00"/>
              <w:bottom w:val="single" w:sz="12" w:space="0" w:color="auto"/>
            </w:tcBorders>
            <w:shd w:val="clear" w:color="auto" w:fill="D9D9D9" w:themeFill="background1" w:themeFillShade="D9"/>
          </w:tcPr>
          <w:p w:rsidR="00DF2A0E" w:rsidRPr="009F6184" w:rsidRDefault="00DF2A0E" w:rsidP="00B07F23">
            <w:pPr>
              <w:rPr>
                <w:rFonts w:ascii="Times New Roman" w:hAnsi="Times New Roman" w:cs="Times New Roman"/>
                <w:b/>
              </w:rPr>
            </w:pPr>
          </w:p>
        </w:tc>
        <w:tc>
          <w:tcPr>
            <w:tcW w:w="7668" w:type="dxa"/>
            <w:tcBorders>
              <w:top w:val="single" w:sz="12" w:space="0" w:color="auto"/>
              <w:bottom w:val="single" w:sz="12" w:space="0" w:color="auto"/>
              <w:right w:val="thinThickSmallGap" w:sz="24" w:space="0" w:color="FFFF00"/>
            </w:tcBorders>
            <w:shd w:val="clear" w:color="auto" w:fill="D9D9D9" w:themeFill="background1" w:themeFillShade="D9"/>
          </w:tcPr>
          <w:p w:rsidR="00DF2A0E" w:rsidRPr="009F6184" w:rsidRDefault="005E5D18" w:rsidP="005E5D18">
            <w:pPr>
              <w:ind w:left="162" w:right="-108"/>
              <w:jc w:val="center"/>
              <w:rPr>
                <w:rFonts w:ascii="Times New Roman" w:hAnsi="Times New Roman" w:cs="Times New Roman"/>
                <w:b/>
              </w:rPr>
            </w:pPr>
            <w:r w:rsidRPr="009F6184">
              <w:rPr>
                <w:rFonts w:ascii="Times New Roman" w:hAnsi="Times New Roman" w:cs="Times New Roman"/>
                <w:b/>
              </w:rPr>
              <w:t xml:space="preserve">Follow-Up </w:t>
            </w:r>
            <w:r w:rsidRPr="009F6184">
              <w:rPr>
                <w:rFonts w:ascii="Times New Roman" w:hAnsi="Times New Roman" w:cs="Times New Roman"/>
                <w:b/>
                <w:i/>
              </w:rPr>
              <w:t>III</w:t>
            </w:r>
            <w:r w:rsidRPr="009F6184">
              <w:rPr>
                <w:rFonts w:ascii="Times New Roman" w:hAnsi="Times New Roman" w:cs="Times New Roman"/>
                <w:b/>
              </w:rPr>
              <w:t xml:space="preserve"> Health &amp; Medical History</w:t>
            </w:r>
          </w:p>
        </w:tc>
      </w:tr>
      <w:tr w:rsidR="00DF2A0E" w:rsidRPr="009F6184" w:rsidTr="00B07F23">
        <w:tc>
          <w:tcPr>
            <w:tcW w:w="1908" w:type="dxa"/>
            <w:tcBorders>
              <w:top w:val="single" w:sz="12" w:space="0" w:color="auto"/>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General Health</w:t>
            </w:r>
          </w:p>
        </w:tc>
        <w:tc>
          <w:tcPr>
            <w:tcW w:w="7668" w:type="dxa"/>
            <w:tcBorders>
              <w:top w:val="single" w:sz="12" w:space="0" w:color="auto"/>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#2:  Added question about ultrasound of ovaries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#7:  Re-worded to round height to nearest inch</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on cold sores, colds, and flu</w:t>
            </w:r>
          </w:p>
        </w:tc>
      </w:tr>
      <w:tr w:rsidR="00DF2A0E" w:rsidRPr="009F6184" w:rsidTr="00B07F23">
        <w:tc>
          <w:tcPr>
            <w:tcW w:w="1908" w:type="dxa"/>
            <w:tcBorders>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Family Medical History</w:t>
            </w:r>
          </w:p>
        </w:tc>
        <w:tc>
          <w:tcPr>
            <w:tcW w:w="7668" w:type="dxa"/>
            <w:tcBorders>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#9:  Added question about total number of full or half sisters ever diagnosed with breast cancer</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#12-17:  Added questions about which grandparent(s) have been diagnosed with cancer and at what age</w:t>
            </w:r>
          </w:p>
        </w:tc>
      </w:tr>
      <w:tr w:rsidR="00DF2A0E" w:rsidRPr="009F6184" w:rsidTr="00B07F23">
        <w:tc>
          <w:tcPr>
            <w:tcW w:w="1908" w:type="dxa"/>
            <w:tcBorders>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Personal Medical History</w:t>
            </w:r>
          </w:p>
        </w:tc>
        <w:tc>
          <w:tcPr>
            <w:tcW w:w="7668" w:type="dxa"/>
            <w:tcBorders>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#33-34:  Changed question to specify type of cancer for older cancers as well as more recent</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#45-46:  Added questions about spine and rib fractures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any other broken bones, other major injuries requiring hospitalization</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#48e:  Added question about other medications for diabetes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#52:  Added question about tooth loss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#86:  Added question about detached retina</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chronic bronchitis, migraine headaches, endometriosis, other kidney disease, and hearing loss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#91-95:  Added detailed questions added about endometriosis, incontinence, pelvic prolapse</w:t>
            </w:r>
          </w:p>
        </w:tc>
      </w:tr>
      <w:tr w:rsidR="00DF2A0E" w:rsidRPr="009F6184" w:rsidTr="00B07F23">
        <w:tc>
          <w:tcPr>
            <w:tcW w:w="1908" w:type="dxa"/>
            <w:tcBorders>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Surgeries</w:t>
            </w:r>
          </w:p>
        </w:tc>
        <w:tc>
          <w:tcPr>
            <w:tcW w:w="7668" w:type="dxa"/>
            <w:tcBorders>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#99:  Added questions about sneezing or runny nose; dizzy, or weak; getting up regularly at night to pass urine; unexplained pains; dribbling of saliva</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heartburn and acid regurgitation/reflux</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doctor’s recommendation following an abnormal screening; cyst drained or removed; needle, surgical or excisional biopsy</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#114:  Added question about benign breast disease</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i/>
              </w:rPr>
              <w:t>Deleted a question about mastitis; any other major health conditions</w:t>
            </w:r>
          </w:p>
        </w:tc>
      </w:tr>
      <w:tr w:rsidR="00DF2A0E" w:rsidRPr="009F6184" w:rsidTr="00B07F23">
        <w:tc>
          <w:tcPr>
            <w:tcW w:w="1908" w:type="dxa"/>
            <w:tcBorders>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Reproductive History and Hormones</w:t>
            </w:r>
          </w:p>
        </w:tc>
        <w:tc>
          <w:tcPr>
            <w:tcW w:w="7668" w:type="dxa"/>
            <w:tcBorders>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related to inability to become pregnant, fertility medications, and mastitis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#137-140:  Added part C question to specify the reason for taking certain medications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#138:  Added question about ospemifene or osphena</w:t>
            </w:r>
          </w:p>
        </w:tc>
      </w:tr>
      <w:tr w:rsidR="00DF2A0E" w:rsidRPr="009F6184" w:rsidTr="00B07F23">
        <w:tc>
          <w:tcPr>
            <w:tcW w:w="1908" w:type="dxa"/>
            <w:tcBorders>
              <w:left w:val="thinThickSmallGap" w:sz="24" w:space="0" w:color="FFFF00"/>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Symptoms of Menopause or Pre-Menopause</w:t>
            </w:r>
          </w:p>
        </w:tc>
        <w:tc>
          <w:tcPr>
            <w:tcW w:w="7668" w:type="dxa"/>
            <w:tcBorders>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on other excessive sweating; pain with intercourse; irregular menstrual bleeding; bladder problems; depression, anxiety, or emotional distress; and insomnia</w:t>
            </w:r>
          </w:p>
        </w:tc>
      </w:tr>
      <w:tr w:rsidR="00DF2A0E" w:rsidRPr="009F6184" w:rsidTr="00B07F23">
        <w:tc>
          <w:tcPr>
            <w:tcW w:w="1908" w:type="dxa"/>
            <w:tcBorders>
              <w:left w:val="thinThickSmallGap" w:sz="24" w:space="0" w:color="FFFF00"/>
              <w:bottom w:val="single" w:sz="12" w:space="0" w:color="auto"/>
            </w:tcBorders>
          </w:tcPr>
          <w:p w:rsidR="00DF2A0E" w:rsidRPr="009F6184" w:rsidRDefault="00DF2A0E" w:rsidP="00B07F23">
            <w:pPr>
              <w:ind w:left="180"/>
              <w:rPr>
                <w:rFonts w:ascii="Times New Roman" w:hAnsi="Times New Roman" w:cs="Times New Roman"/>
              </w:rPr>
            </w:pPr>
            <w:r w:rsidRPr="009F6184">
              <w:rPr>
                <w:rFonts w:ascii="Times New Roman" w:hAnsi="Times New Roman" w:cs="Times New Roman"/>
              </w:rPr>
              <w:t>Medications</w:t>
            </w:r>
          </w:p>
        </w:tc>
        <w:tc>
          <w:tcPr>
            <w:tcW w:w="7668" w:type="dxa"/>
            <w:tcBorders>
              <w:bottom w:val="single" w:sz="12" w:space="0" w:color="auto"/>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#155a:  Added question about angina medications</w:t>
            </w:r>
          </w:p>
        </w:tc>
      </w:tr>
    </w:tbl>
    <w:p w:rsidR="002525BC" w:rsidRDefault="002525BC">
      <w:r>
        <w:br w:type="page"/>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8"/>
        <w:gridCol w:w="7668"/>
      </w:tblGrid>
      <w:tr w:rsidR="00DF2A0E" w:rsidRPr="009F6184" w:rsidTr="00B07F23">
        <w:tc>
          <w:tcPr>
            <w:tcW w:w="1908" w:type="dxa"/>
            <w:tcBorders>
              <w:top w:val="single" w:sz="12" w:space="0" w:color="auto"/>
              <w:left w:val="thinThickSmallGap" w:sz="24" w:space="0" w:color="FFFF00"/>
              <w:bottom w:val="single" w:sz="12" w:space="0" w:color="auto"/>
            </w:tcBorders>
            <w:shd w:val="clear" w:color="auto" w:fill="D9D9D9" w:themeFill="background1" w:themeFillShade="D9"/>
          </w:tcPr>
          <w:p w:rsidR="00DF2A0E" w:rsidRPr="009F6184" w:rsidRDefault="00DF2A0E" w:rsidP="00B07F23">
            <w:pPr>
              <w:rPr>
                <w:rFonts w:ascii="Times New Roman" w:hAnsi="Times New Roman" w:cs="Times New Roman"/>
                <w:b/>
              </w:rPr>
            </w:pPr>
          </w:p>
        </w:tc>
        <w:tc>
          <w:tcPr>
            <w:tcW w:w="7668" w:type="dxa"/>
            <w:tcBorders>
              <w:top w:val="single" w:sz="12" w:space="0" w:color="auto"/>
              <w:bottom w:val="single" w:sz="12" w:space="0" w:color="auto"/>
              <w:right w:val="thinThickSmallGap" w:sz="24" w:space="0" w:color="FFFF00"/>
            </w:tcBorders>
            <w:shd w:val="clear" w:color="auto" w:fill="D9D9D9" w:themeFill="background1" w:themeFillShade="D9"/>
          </w:tcPr>
          <w:p w:rsidR="00DF2A0E" w:rsidRPr="009F6184" w:rsidRDefault="005E5D18" w:rsidP="005E5D18">
            <w:pPr>
              <w:ind w:left="162"/>
              <w:jc w:val="center"/>
              <w:rPr>
                <w:rFonts w:ascii="Times New Roman" w:hAnsi="Times New Roman" w:cs="Times New Roman"/>
                <w:b/>
              </w:rPr>
            </w:pPr>
            <w:r w:rsidRPr="009F6184">
              <w:rPr>
                <w:rFonts w:ascii="Times New Roman" w:hAnsi="Times New Roman" w:cs="Times New Roman"/>
                <w:b/>
              </w:rPr>
              <w:t xml:space="preserve">Follow-Up </w:t>
            </w:r>
            <w:r w:rsidRPr="009F6184">
              <w:rPr>
                <w:rFonts w:ascii="Times New Roman" w:hAnsi="Times New Roman" w:cs="Times New Roman"/>
                <w:b/>
                <w:i/>
              </w:rPr>
              <w:t>III</w:t>
            </w:r>
            <w:r w:rsidRPr="009F6184">
              <w:rPr>
                <w:rFonts w:ascii="Times New Roman" w:hAnsi="Times New Roman" w:cs="Times New Roman"/>
                <w:b/>
              </w:rPr>
              <w:t xml:space="preserve"> Lifestyle &amp; Quality of Life</w:t>
            </w:r>
          </w:p>
        </w:tc>
      </w:tr>
      <w:tr w:rsidR="00DF2A0E" w:rsidRPr="009F6184" w:rsidTr="00B07F23">
        <w:tc>
          <w:tcPr>
            <w:tcW w:w="1908" w:type="dxa"/>
            <w:tcBorders>
              <w:top w:val="single" w:sz="12" w:space="0" w:color="auto"/>
              <w:left w:val="thinThickSmallGap" w:sz="24" w:space="0" w:color="FFFF00"/>
              <w:bottom w:val="thinThickSmallGap" w:sz="24" w:space="0" w:color="FFFF00"/>
            </w:tcBorders>
          </w:tcPr>
          <w:p w:rsidR="00DF2A0E" w:rsidRPr="009F6184" w:rsidRDefault="00DF2A0E" w:rsidP="00B07F23">
            <w:pPr>
              <w:rPr>
                <w:rFonts w:ascii="Times New Roman" w:hAnsi="Times New Roman" w:cs="Times New Roman"/>
              </w:rPr>
            </w:pPr>
          </w:p>
        </w:tc>
        <w:tc>
          <w:tcPr>
            <w:tcW w:w="7668" w:type="dxa"/>
            <w:tcBorders>
              <w:top w:val="single" w:sz="12" w:space="0" w:color="auto"/>
              <w:bottom w:val="thinThickSmallGap" w:sz="24" w:space="0" w:color="FFFF00"/>
              <w:right w:val="thinThickSmallGap" w:sz="24" w:space="0" w:color="FFFF00"/>
            </w:tcBorders>
          </w:tcPr>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#4a:  Added question on current smoking status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#4c:  Added question asking if at least 10 cigarettes had been smoked since Jan 1, 2012</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#6a-d:  Added questions on e-cigarette usage</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#13-20:  Added questions on drinking caffeinated or decaffeinated coffee, tea, or soft drinks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swimming in pools; hobbies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#27-27a:  Added questions about gray hair</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#31:  Added question about usage of chemical products for fleas or ticks on pets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#32:  Consolidated 4 questions about being outdoors in daylight to 1 question</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sunscreen and protective clothing; number of household pets; air fresheners; relatives or friends they feel close to; hours providing care for children, ill or disabled; behaviors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#63a-d:  Added questions about having little interest in doing things, feeling depressed, feeling nervous or anxious, and worrying</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i/>
              </w:rPr>
            </w:pPr>
            <w:r w:rsidRPr="009F6184">
              <w:rPr>
                <w:rFonts w:ascii="Times New Roman" w:hAnsi="Times New Roman" w:cs="Times New Roman"/>
                <w:i/>
              </w:rPr>
              <w:t>Deleted questions about employment; restless leg syndrome</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#82a-l:  Added questions about sleeping habits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Reworded:  The alternative practices of spirituality/meditation/prayer and deep breathing exercises changed to meditation/deep breathing exercises</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#112:  Added question about vegan diet</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rPr>
              <w:t>#114:  Added question about gluten-free diet</w:t>
            </w:r>
          </w:p>
          <w:p w:rsidR="00DF2A0E" w:rsidRPr="009F6184" w:rsidRDefault="00DF2A0E" w:rsidP="009F6184">
            <w:pPr>
              <w:pStyle w:val="ListParagraph"/>
              <w:numPr>
                <w:ilvl w:val="0"/>
                <w:numId w:val="26"/>
              </w:numPr>
              <w:spacing w:after="80"/>
              <w:ind w:left="158" w:right="-115" w:hanging="158"/>
              <w:contextualSpacing w:val="0"/>
              <w:rPr>
                <w:rFonts w:ascii="Times New Roman" w:hAnsi="Times New Roman" w:cs="Times New Roman"/>
              </w:rPr>
            </w:pPr>
            <w:r w:rsidRPr="009F6184">
              <w:rPr>
                <w:rFonts w:ascii="Times New Roman" w:hAnsi="Times New Roman" w:cs="Times New Roman"/>
                <w:i/>
              </w:rPr>
              <w:t>Deleted questions about some supplements; alternative practices; diets</w:t>
            </w:r>
            <w:r w:rsidRPr="009F6184">
              <w:rPr>
                <w:rFonts w:ascii="Times New Roman" w:hAnsi="Times New Roman" w:cs="Times New Roman"/>
              </w:rPr>
              <w:t xml:space="preserve"> ; </w:t>
            </w:r>
            <w:r w:rsidRPr="009F6184">
              <w:rPr>
                <w:rFonts w:ascii="Times New Roman" w:hAnsi="Times New Roman" w:cs="Times New Roman"/>
                <w:i/>
              </w:rPr>
              <w:t>food allergies, lactose intolerance, cereal, milk, and other various food intakes</w:t>
            </w:r>
          </w:p>
        </w:tc>
      </w:tr>
    </w:tbl>
    <w:p w:rsidR="003B611F" w:rsidRDefault="003B611F" w:rsidP="00B64409">
      <w:pPr>
        <w:pStyle w:val="Heading2"/>
      </w:pPr>
      <w:bookmarkStart w:id="39" w:name="_Toc129590319"/>
      <w:bookmarkStart w:id="40" w:name="_Toc129668561"/>
    </w:p>
    <w:p w:rsidR="006D061C" w:rsidRPr="001D040C" w:rsidRDefault="00B64409" w:rsidP="00B64409">
      <w:pPr>
        <w:pStyle w:val="Heading2"/>
      </w:pPr>
      <w:r w:rsidRPr="001D040C">
        <w:t>A.</w:t>
      </w:r>
      <w:r w:rsidR="006D061C" w:rsidRPr="001D040C">
        <w:t xml:space="preserve">16. </w:t>
      </w:r>
      <w:r w:rsidRPr="001D040C">
        <w:t xml:space="preserve"> </w:t>
      </w:r>
      <w:r w:rsidR="006D061C" w:rsidRPr="001D040C">
        <w:t>Plans for Tabulation and Publication and Project Time Schedule</w:t>
      </w:r>
      <w:bookmarkEnd w:id="39"/>
      <w:bookmarkEnd w:id="40"/>
    </w:p>
    <w:p w:rsidR="006D061C" w:rsidRDefault="006D061C">
      <w:pPr>
        <w:spacing w:line="480" w:lineRule="auto"/>
        <w:ind w:firstLine="360"/>
        <w:rPr>
          <w:sz w:val="22"/>
          <w:szCs w:val="22"/>
        </w:rPr>
      </w:pPr>
      <w:r w:rsidRPr="001D040C">
        <w:rPr>
          <w:sz w:val="22"/>
        </w:rPr>
        <w:t xml:space="preserve">The primary goal of the study is to identify environmental and familial risk factors for breast cancer and other diseases by studying a cohort of sisters of women who have had breast cancer. The Sister Study is not designed around one particular </w:t>
      </w:r>
      <w:r w:rsidRPr="001D040C">
        <w:rPr>
          <w:i/>
          <w:sz w:val="22"/>
        </w:rPr>
        <w:t>a priori</w:t>
      </w:r>
      <w:r w:rsidRPr="001D040C">
        <w:rPr>
          <w:sz w:val="22"/>
        </w:rPr>
        <w:t xml:space="preserve"> hypothesis, but is designed to allow us to address a number of hypotheses regarding gene-environment interactions and risk for breast cancer. Current hypotheses regarding environment-gene interactions will be addressed in the early years of the study. The reports generated from this study will include the risk factors that may be influenced by the action of genes with known polymorphisms</w:t>
      </w:r>
      <w:r w:rsidR="00704735">
        <w:rPr>
          <w:sz w:val="22"/>
        </w:rPr>
        <w:t xml:space="preserve"> (A.16-1 below).  </w:t>
      </w:r>
      <w:r w:rsidR="00704735" w:rsidRPr="00704735">
        <w:rPr>
          <w:sz w:val="22"/>
          <w:szCs w:val="22"/>
        </w:rPr>
        <w:t xml:space="preserve">Clearly, as enough cases accrue, scientific understanding of </w:t>
      </w:r>
      <w:r w:rsidR="00704735" w:rsidRPr="00704735">
        <w:rPr>
          <w:sz w:val="22"/>
          <w:szCs w:val="22"/>
        </w:rPr>
        <w:lastRenderedPageBreak/>
        <w:t>biologic mechanisms and genes will advance considerably. A prospective study such as the Sister Study is designed to respond to new hypotheses as they emerge.</w:t>
      </w:r>
    </w:p>
    <w:p w:rsidR="00704735" w:rsidRPr="001D040C" w:rsidRDefault="00704735">
      <w:pPr>
        <w:spacing w:line="480" w:lineRule="auto"/>
        <w:ind w:firstLine="360"/>
        <w:rPr>
          <w:sz w:val="22"/>
        </w:rPr>
      </w:pPr>
    </w:p>
    <w:p w:rsidR="006D061C" w:rsidRPr="001D040C" w:rsidRDefault="006D061C" w:rsidP="00704735">
      <w:pPr>
        <w:pStyle w:val="Heading4"/>
        <w:spacing w:line="240" w:lineRule="auto"/>
      </w:pPr>
      <w:r w:rsidRPr="001D040C">
        <w:t>A.16-1</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618"/>
        <w:gridCol w:w="5850"/>
      </w:tblGrid>
      <w:tr w:rsidR="006D061C" w:rsidRPr="001D040C" w:rsidTr="00704735">
        <w:tc>
          <w:tcPr>
            <w:tcW w:w="3618" w:type="dxa"/>
            <w:tcBorders>
              <w:top w:val="single" w:sz="8" w:space="0" w:color="000000" w:themeColor="text1"/>
              <w:bottom w:val="single" w:sz="8" w:space="0" w:color="000000" w:themeColor="text1"/>
            </w:tcBorders>
          </w:tcPr>
          <w:p w:rsidR="006D061C" w:rsidRPr="001D040C" w:rsidRDefault="006D061C">
            <w:pPr>
              <w:pStyle w:val="Heading3"/>
              <w:rPr>
                <w:b/>
                <w:sz w:val="22"/>
              </w:rPr>
            </w:pPr>
            <w:r w:rsidRPr="001D040C">
              <w:rPr>
                <w:b/>
                <w:sz w:val="22"/>
              </w:rPr>
              <w:t>Factor</w:t>
            </w:r>
          </w:p>
        </w:tc>
        <w:tc>
          <w:tcPr>
            <w:tcW w:w="5850" w:type="dxa"/>
            <w:tcBorders>
              <w:top w:val="single" w:sz="8" w:space="0" w:color="000000" w:themeColor="text1"/>
              <w:bottom w:val="single" w:sz="8" w:space="0" w:color="000000" w:themeColor="text1"/>
            </w:tcBorders>
          </w:tcPr>
          <w:p w:rsidR="006D061C" w:rsidRPr="001D040C" w:rsidRDefault="006D061C">
            <w:pPr>
              <w:pStyle w:val="Heading3"/>
              <w:rPr>
                <w:b/>
                <w:sz w:val="22"/>
              </w:rPr>
            </w:pPr>
            <w:r w:rsidRPr="001D040C">
              <w:rPr>
                <w:b/>
                <w:sz w:val="22"/>
              </w:rPr>
              <w:t>Genetic Marker of Interest</w:t>
            </w:r>
          </w:p>
        </w:tc>
      </w:tr>
      <w:tr w:rsidR="006D061C" w:rsidRPr="001D040C" w:rsidTr="00704735">
        <w:tc>
          <w:tcPr>
            <w:tcW w:w="3618" w:type="dxa"/>
            <w:tcBorders>
              <w:top w:val="single" w:sz="8" w:space="0" w:color="000000" w:themeColor="text1"/>
            </w:tcBorders>
          </w:tcPr>
          <w:p w:rsidR="006D061C" w:rsidRPr="001D040C" w:rsidRDefault="006D061C">
            <w:pPr>
              <w:pStyle w:val="Heading2"/>
              <w:spacing w:before="120"/>
              <w:rPr>
                <w:b w:val="0"/>
              </w:rPr>
            </w:pPr>
            <w:bookmarkStart w:id="41" w:name="_Toc129590320"/>
            <w:bookmarkStart w:id="42" w:name="_Toc129668562"/>
            <w:r w:rsidRPr="001D040C">
              <w:rPr>
                <w:b w:val="0"/>
              </w:rPr>
              <w:t>Cigarette smoke</w:t>
            </w:r>
            <w:bookmarkEnd w:id="41"/>
            <w:bookmarkEnd w:id="42"/>
          </w:p>
        </w:tc>
        <w:tc>
          <w:tcPr>
            <w:tcW w:w="5850" w:type="dxa"/>
            <w:tcBorders>
              <w:top w:val="single" w:sz="8" w:space="0" w:color="000000" w:themeColor="text1"/>
            </w:tcBorders>
          </w:tcPr>
          <w:p w:rsidR="006D061C" w:rsidRPr="001D040C" w:rsidRDefault="006D061C">
            <w:pPr>
              <w:spacing w:before="120"/>
            </w:pPr>
            <w:r w:rsidRPr="001D040C">
              <w:t>CYP1A2, NAT2, GSTM1, CYP1A1, DNA repair polymorphisms, CYP2A6, CYP2C9</w:t>
            </w:r>
          </w:p>
        </w:tc>
      </w:tr>
      <w:tr w:rsidR="006D061C" w:rsidRPr="001D040C" w:rsidTr="00704735">
        <w:tc>
          <w:tcPr>
            <w:tcW w:w="3618" w:type="dxa"/>
          </w:tcPr>
          <w:p w:rsidR="006D061C" w:rsidRPr="001D040C" w:rsidRDefault="006D061C">
            <w:pPr>
              <w:spacing w:before="120"/>
            </w:pPr>
            <w:r w:rsidRPr="001D040C">
              <w:t>Exogenous hormones</w:t>
            </w:r>
          </w:p>
        </w:tc>
        <w:tc>
          <w:tcPr>
            <w:tcW w:w="5850" w:type="dxa"/>
          </w:tcPr>
          <w:p w:rsidR="006D061C" w:rsidRPr="001D040C" w:rsidRDefault="006D061C">
            <w:pPr>
              <w:spacing w:before="120"/>
            </w:pPr>
            <w:r w:rsidRPr="001D040C">
              <w:t>CYP17, CYP1A2, CYP1A1, estrogen receptor polymorphisms</w:t>
            </w:r>
          </w:p>
        </w:tc>
      </w:tr>
      <w:tr w:rsidR="006D061C" w:rsidRPr="001D040C" w:rsidTr="00704735">
        <w:tc>
          <w:tcPr>
            <w:tcW w:w="3618" w:type="dxa"/>
          </w:tcPr>
          <w:p w:rsidR="006D061C" w:rsidRPr="001D040C" w:rsidRDefault="006D061C">
            <w:pPr>
              <w:spacing w:before="120"/>
            </w:pPr>
            <w:r w:rsidRPr="001D040C">
              <w:t>Hormonal risk factors</w:t>
            </w:r>
          </w:p>
        </w:tc>
        <w:tc>
          <w:tcPr>
            <w:tcW w:w="5850" w:type="dxa"/>
          </w:tcPr>
          <w:p w:rsidR="006D061C" w:rsidRPr="001D040C" w:rsidRDefault="006D061C">
            <w:pPr>
              <w:spacing w:before="120"/>
            </w:pPr>
            <w:r w:rsidRPr="001D040C">
              <w:t>CYP17, aromatase, hormone receptor polymorphisms</w:t>
            </w:r>
          </w:p>
        </w:tc>
      </w:tr>
      <w:tr w:rsidR="006D061C" w:rsidRPr="001D040C" w:rsidTr="00704735">
        <w:tc>
          <w:tcPr>
            <w:tcW w:w="3618" w:type="dxa"/>
          </w:tcPr>
          <w:p w:rsidR="006D061C" w:rsidRPr="001D040C" w:rsidRDefault="006D061C">
            <w:pPr>
              <w:spacing w:before="120"/>
            </w:pPr>
            <w:r w:rsidRPr="001D040C">
              <w:t>Oxidative stress</w:t>
            </w:r>
          </w:p>
        </w:tc>
        <w:tc>
          <w:tcPr>
            <w:tcW w:w="5850" w:type="dxa"/>
          </w:tcPr>
          <w:p w:rsidR="006D061C" w:rsidRPr="001D040C" w:rsidRDefault="006D061C">
            <w:pPr>
              <w:spacing w:before="120"/>
            </w:pPr>
            <w:r w:rsidRPr="001D040C">
              <w:t>Genes involved in oxidative stress</w:t>
            </w:r>
          </w:p>
        </w:tc>
      </w:tr>
      <w:tr w:rsidR="006D061C" w:rsidRPr="001D040C" w:rsidTr="00704735">
        <w:tc>
          <w:tcPr>
            <w:tcW w:w="3618" w:type="dxa"/>
          </w:tcPr>
          <w:p w:rsidR="006D061C" w:rsidRPr="001D040C" w:rsidRDefault="006D061C">
            <w:pPr>
              <w:spacing w:before="120"/>
            </w:pPr>
            <w:r w:rsidRPr="001D040C">
              <w:t>Melatonin</w:t>
            </w:r>
          </w:p>
        </w:tc>
        <w:tc>
          <w:tcPr>
            <w:tcW w:w="5850" w:type="dxa"/>
          </w:tcPr>
          <w:p w:rsidR="006D061C" w:rsidRPr="001D040C" w:rsidRDefault="006D061C">
            <w:pPr>
              <w:spacing w:before="120"/>
            </w:pPr>
            <w:r w:rsidRPr="001D040C">
              <w:t>Polymorphism screening</w:t>
            </w:r>
          </w:p>
        </w:tc>
      </w:tr>
      <w:tr w:rsidR="006D061C" w:rsidRPr="001D040C" w:rsidTr="00704735">
        <w:tc>
          <w:tcPr>
            <w:tcW w:w="3618" w:type="dxa"/>
          </w:tcPr>
          <w:p w:rsidR="006D061C" w:rsidRPr="001D040C" w:rsidRDefault="006D061C">
            <w:pPr>
              <w:spacing w:before="120"/>
            </w:pPr>
            <w:r w:rsidRPr="001D040C">
              <w:t>Nutritional and dietary factors</w:t>
            </w:r>
          </w:p>
        </w:tc>
        <w:tc>
          <w:tcPr>
            <w:tcW w:w="5850" w:type="dxa"/>
          </w:tcPr>
          <w:p w:rsidR="006D061C" w:rsidRPr="001D040C" w:rsidRDefault="006D061C">
            <w:pPr>
              <w:spacing w:before="120"/>
            </w:pPr>
            <w:r w:rsidRPr="001D040C">
              <w:t>Vitamin D metabolism and receptor polymorphisms, CYP1A2, NAT2</w:t>
            </w:r>
          </w:p>
        </w:tc>
      </w:tr>
      <w:tr w:rsidR="006D061C" w:rsidRPr="001D040C" w:rsidTr="00704735">
        <w:tc>
          <w:tcPr>
            <w:tcW w:w="3618" w:type="dxa"/>
          </w:tcPr>
          <w:p w:rsidR="006D061C" w:rsidRPr="001D040C" w:rsidRDefault="006D061C">
            <w:pPr>
              <w:spacing w:before="120"/>
            </w:pPr>
            <w:r w:rsidRPr="001D040C">
              <w:t>Grilled meat consumption</w:t>
            </w:r>
          </w:p>
        </w:tc>
        <w:tc>
          <w:tcPr>
            <w:tcW w:w="5850" w:type="dxa"/>
          </w:tcPr>
          <w:p w:rsidR="006D061C" w:rsidRPr="001D040C" w:rsidRDefault="006D061C">
            <w:pPr>
              <w:spacing w:before="120"/>
            </w:pPr>
            <w:r w:rsidRPr="001D040C">
              <w:t>GSTM1</w:t>
            </w:r>
          </w:p>
        </w:tc>
      </w:tr>
      <w:tr w:rsidR="006D061C" w:rsidRPr="001D040C" w:rsidTr="00704735">
        <w:tc>
          <w:tcPr>
            <w:tcW w:w="3618" w:type="dxa"/>
          </w:tcPr>
          <w:p w:rsidR="006D061C" w:rsidRPr="001D040C" w:rsidRDefault="006D061C">
            <w:pPr>
              <w:spacing w:before="120"/>
            </w:pPr>
            <w:r w:rsidRPr="001D040C">
              <w:t>Alcohol</w:t>
            </w:r>
          </w:p>
        </w:tc>
        <w:tc>
          <w:tcPr>
            <w:tcW w:w="5850" w:type="dxa"/>
          </w:tcPr>
          <w:p w:rsidR="006D061C" w:rsidRPr="001D040C" w:rsidRDefault="006D061C">
            <w:pPr>
              <w:spacing w:before="120"/>
            </w:pPr>
            <w:r w:rsidRPr="001D040C">
              <w:t>ADH, ALDH, CYP2E1</w:t>
            </w:r>
          </w:p>
        </w:tc>
      </w:tr>
      <w:tr w:rsidR="006D061C" w:rsidRPr="001D040C" w:rsidTr="00704735">
        <w:tc>
          <w:tcPr>
            <w:tcW w:w="3618" w:type="dxa"/>
          </w:tcPr>
          <w:p w:rsidR="006D061C" w:rsidRPr="001D040C" w:rsidRDefault="006D061C">
            <w:pPr>
              <w:spacing w:before="120"/>
            </w:pPr>
            <w:r w:rsidRPr="001D040C">
              <w:t>Sunlight exposure</w:t>
            </w:r>
          </w:p>
        </w:tc>
        <w:tc>
          <w:tcPr>
            <w:tcW w:w="5850" w:type="dxa"/>
          </w:tcPr>
          <w:p w:rsidR="006D061C" w:rsidRPr="001D040C" w:rsidRDefault="006D061C">
            <w:pPr>
              <w:spacing w:before="120"/>
            </w:pPr>
            <w:r w:rsidRPr="001D040C">
              <w:t>Vitamin D metabolism and polymorphisms</w:t>
            </w:r>
          </w:p>
        </w:tc>
      </w:tr>
      <w:tr w:rsidR="006D061C" w:rsidRPr="001D040C" w:rsidTr="00704735">
        <w:tc>
          <w:tcPr>
            <w:tcW w:w="3618" w:type="dxa"/>
            <w:tcBorders>
              <w:bottom w:val="single" w:sz="8" w:space="0" w:color="000000" w:themeColor="text1"/>
            </w:tcBorders>
          </w:tcPr>
          <w:p w:rsidR="006D061C" w:rsidRPr="001D040C" w:rsidRDefault="006D061C">
            <w:pPr>
              <w:pStyle w:val="Header"/>
              <w:tabs>
                <w:tab w:val="clear" w:pos="4320"/>
                <w:tab w:val="clear" w:pos="8640"/>
              </w:tabs>
              <w:spacing w:before="120"/>
            </w:pPr>
            <w:r w:rsidRPr="001D040C">
              <w:t>Calcium, calcium channel blockers</w:t>
            </w:r>
          </w:p>
        </w:tc>
        <w:tc>
          <w:tcPr>
            <w:tcW w:w="5850" w:type="dxa"/>
            <w:tcBorders>
              <w:bottom w:val="single" w:sz="8" w:space="0" w:color="000000" w:themeColor="text1"/>
            </w:tcBorders>
          </w:tcPr>
          <w:p w:rsidR="006D061C" w:rsidRPr="001D040C" w:rsidRDefault="006D061C">
            <w:pPr>
              <w:spacing w:before="120"/>
            </w:pPr>
            <w:r w:rsidRPr="001D040C">
              <w:t>Vitamin D metabolism receptor, estrogen metabolism and receptor polymorphisms</w:t>
            </w:r>
          </w:p>
        </w:tc>
      </w:tr>
    </w:tbl>
    <w:p w:rsidR="006D061C" w:rsidRPr="001D040C" w:rsidRDefault="006D061C">
      <w:pPr>
        <w:rPr>
          <w:sz w:val="22"/>
        </w:rPr>
      </w:pPr>
    </w:p>
    <w:p w:rsidR="006D061C" w:rsidRPr="001D040C" w:rsidRDefault="003B611F" w:rsidP="00704735">
      <w:pPr>
        <w:pStyle w:val="BodyText2"/>
        <w:rPr>
          <w:b/>
        </w:rPr>
      </w:pPr>
      <w:r>
        <w:rPr>
          <w:b/>
        </w:rPr>
        <w:t>A.16-</w:t>
      </w:r>
      <w:r w:rsidR="006D061C" w:rsidRPr="001D040C">
        <w:rPr>
          <w:b/>
        </w:rPr>
        <w:t>2</w:t>
      </w:r>
    </w:p>
    <w:tbl>
      <w:tblPr>
        <w:tblW w:w="955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708"/>
        <w:gridCol w:w="5850"/>
      </w:tblGrid>
      <w:tr w:rsidR="006D061C" w:rsidRPr="001D040C" w:rsidTr="00704735">
        <w:trPr>
          <w:cantSplit/>
        </w:trPr>
        <w:tc>
          <w:tcPr>
            <w:tcW w:w="9558" w:type="dxa"/>
            <w:gridSpan w:val="2"/>
            <w:tcBorders>
              <w:top w:val="single" w:sz="8" w:space="0" w:color="000000" w:themeColor="text1"/>
              <w:bottom w:val="single" w:sz="8" w:space="0" w:color="000000" w:themeColor="text1"/>
            </w:tcBorders>
          </w:tcPr>
          <w:p w:rsidR="006D061C" w:rsidRPr="001D040C" w:rsidRDefault="006D061C">
            <w:pPr>
              <w:pStyle w:val="Heading2"/>
              <w:spacing w:before="120" w:line="240" w:lineRule="auto"/>
              <w:rPr>
                <w:szCs w:val="22"/>
              </w:rPr>
            </w:pPr>
            <w:bookmarkStart w:id="43" w:name="_Toc129590321"/>
            <w:bookmarkStart w:id="44" w:name="_Toc129668563"/>
            <w:r w:rsidRPr="001D040C">
              <w:rPr>
                <w:szCs w:val="22"/>
              </w:rPr>
              <w:t>Project Time Schedule</w:t>
            </w:r>
            <w:bookmarkEnd w:id="43"/>
            <w:bookmarkEnd w:id="44"/>
          </w:p>
        </w:tc>
      </w:tr>
      <w:tr w:rsidR="006D061C" w:rsidRPr="001D040C" w:rsidTr="00704735">
        <w:tc>
          <w:tcPr>
            <w:tcW w:w="3708" w:type="dxa"/>
            <w:tcBorders>
              <w:top w:val="single" w:sz="8" w:space="0" w:color="000000" w:themeColor="text1"/>
            </w:tcBorders>
          </w:tcPr>
          <w:p w:rsidR="006D061C" w:rsidRPr="001D040C" w:rsidRDefault="006D061C" w:rsidP="00792CE6">
            <w:pPr>
              <w:spacing w:before="120"/>
              <w:rPr>
                <w:sz w:val="22"/>
                <w:szCs w:val="22"/>
              </w:rPr>
            </w:pPr>
            <w:r w:rsidRPr="001D040C">
              <w:rPr>
                <w:sz w:val="22"/>
                <w:szCs w:val="22"/>
              </w:rPr>
              <w:t>Activity</w:t>
            </w:r>
          </w:p>
        </w:tc>
        <w:tc>
          <w:tcPr>
            <w:tcW w:w="5850" w:type="dxa"/>
            <w:tcBorders>
              <w:top w:val="single" w:sz="8" w:space="0" w:color="000000" w:themeColor="text1"/>
            </w:tcBorders>
          </w:tcPr>
          <w:p w:rsidR="006D061C" w:rsidRPr="001D040C" w:rsidRDefault="006D061C" w:rsidP="00792CE6">
            <w:pPr>
              <w:spacing w:before="120"/>
              <w:rPr>
                <w:sz w:val="22"/>
                <w:szCs w:val="22"/>
              </w:rPr>
            </w:pPr>
            <w:r w:rsidRPr="001D040C">
              <w:rPr>
                <w:sz w:val="22"/>
                <w:szCs w:val="22"/>
              </w:rPr>
              <w:t>Time Schedule</w:t>
            </w:r>
          </w:p>
        </w:tc>
      </w:tr>
      <w:tr w:rsidR="006D061C" w:rsidRPr="001D040C" w:rsidTr="00704735">
        <w:tc>
          <w:tcPr>
            <w:tcW w:w="3708" w:type="dxa"/>
          </w:tcPr>
          <w:p w:rsidR="006D061C" w:rsidRPr="001D040C" w:rsidRDefault="009D2250" w:rsidP="00792CE6">
            <w:pPr>
              <w:spacing w:before="120"/>
            </w:pPr>
            <w:r w:rsidRPr="001D040C">
              <w:t>Bega</w:t>
            </w:r>
            <w:r w:rsidR="006D061C" w:rsidRPr="001D040C">
              <w:t xml:space="preserve">n </w:t>
            </w:r>
            <w:r w:rsidR="00864FC6" w:rsidRPr="001D040C">
              <w:t>vanguard phase of enrollment</w:t>
            </w:r>
          </w:p>
        </w:tc>
        <w:tc>
          <w:tcPr>
            <w:tcW w:w="5850" w:type="dxa"/>
          </w:tcPr>
          <w:p w:rsidR="006D061C" w:rsidRPr="001D040C" w:rsidRDefault="008C1864" w:rsidP="00792CE6">
            <w:pPr>
              <w:spacing w:before="120"/>
            </w:pPr>
            <w:r w:rsidRPr="001D040C">
              <w:t>Aug</w:t>
            </w:r>
            <w:r w:rsidR="00864FC6" w:rsidRPr="001D040C">
              <w:t>ust</w:t>
            </w:r>
            <w:r w:rsidRPr="001D040C">
              <w:t xml:space="preserve"> 2003</w:t>
            </w:r>
          </w:p>
        </w:tc>
      </w:tr>
      <w:tr w:rsidR="00864FC6" w:rsidRPr="001D040C" w:rsidTr="00704735">
        <w:tc>
          <w:tcPr>
            <w:tcW w:w="3708" w:type="dxa"/>
            <w:tcBorders>
              <w:bottom w:val="single" w:sz="8" w:space="0" w:color="000000" w:themeColor="text1"/>
            </w:tcBorders>
          </w:tcPr>
          <w:p w:rsidR="00864FC6" w:rsidRPr="001D040C" w:rsidRDefault="009D2250" w:rsidP="00792CE6">
            <w:pPr>
              <w:spacing w:before="120"/>
            </w:pPr>
            <w:r w:rsidRPr="001D040C">
              <w:t>Bega</w:t>
            </w:r>
            <w:r w:rsidR="00864FC6" w:rsidRPr="001D040C">
              <w:t xml:space="preserve">n nationwide enrollment </w:t>
            </w:r>
          </w:p>
        </w:tc>
        <w:tc>
          <w:tcPr>
            <w:tcW w:w="5850" w:type="dxa"/>
            <w:tcBorders>
              <w:bottom w:val="single" w:sz="8" w:space="0" w:color="000000" w:themeColor="text1"/>
            </w:tcBorders>
          </w:tcPr>
          <w:p w:rsidR="00864FC6" w:rsidRPr="001D040C" w:rsidRDefault="00864FC6" w:rsidP="00792CE6">
            <w:pPr>
              <w:spacing w:before="120"/>
            </w:pPr>
            <w:r w:rsidRPr="001D040C">
              <w:t>October 2004</w:t>
            </w:r>
          </w:p>
        </w:tc>
      </w:tr>
      <w:tr w:rsidR="006D061C" w:rsidRPr="001D040C" w:rsidTr="00704735">
        <w:tc>
          <w:tcPr>
            <w:tcW w:w="3708" w:type="dxa"/>
            <w:tcBorders>
              <w:top w:val="single" w:sz="8" w:space="0" w:color="000000" w:themeColor="text1"/>
            </w:tcBorders>
          </w:tcPr>
          <w:p w:rsidR="006D061C" w:rsidRPr="001D040C" w:rsidRDefault="006D061C" w:rsidP="00792CE6">
            <w:pPr>
              <w:spacing w:before="120"/>
            </w:pPr>
            <w:r w:rsidRPr="001D040C">
              <w:t>Complete</w:t>
            </w:r>
            <w:r w:rsidR="009D2250" w:rsidRPr="001D040C">
              <w:t>d</w:t>
            </w:r>
            <w:r w:rsidRPr="001D040C">
              <w:t xml:space="preserve"> </w:t>
            </w:r>
            <w:r w:rsidR="009D2250" w:rsidRPr="001D040C">
              <w:t xml:space="preserve">Enrollment </w:t>
            </w:r>
            <w:r w:rsidRPr="001D040C">
              <w:t>questionnaires and collect specimens</w:t>
            </w:r>
            <w:r w:rsidR="0047409D" w:rsidRPr="001D040C">
              <w:t xml:space="preserve"> on 50,0</w:t>
            </w:r>
            <w:r w:rsidRPr="001D040C">
              <w:t>00 women</w:t>
            </w:r>
          </w:p>
        </w:tc>
        <w:tc>
          <w:tcPr>
            <w:tcW w:w="5850" w:type="dxa"/>
            <w:tcBorders>
              <w:top w:val="single" w:sz="8" w:space="0" w:color="000000" w:themeColor="text1"/>
            </w:tcBorders>
          </w:tcPr>
          <w:p w:rsidR="006D061C" w:rsidRPr="001D040C" w:rsidRDefault="000A0AC3" w:rsidP="00792CE6">
            <w:pPr>
              <w:spacing w:before="120"/>
            </w:pPr>
            <w:r w:rsidRPr="001D040C">
              <w:t>August 2009</w:t>
            </w:r>
          </w:p>
        </w:tc>
      </w:tr>
      <w:tr w:rsidR="006D061C" w:rsidRPr="004C0466" w:rsidTr="00704735">
        <w:tc>
          <w:tcPr>
            <w:tcW w:w="3708" w:type="dxa"/>
          </w:tcPr>
          <w:p w:rsidR="006D061C" w:rsidRPr="004C0466" w:rsidRDefault="006D061C" w:rsidP="00792CE6">
            <w:pPr>
              <w:spacing w:before="120"/>
            </w:pPr>
            <w:r w:rsidRPr="004C0466">
              <w:t xml:space="preserve">Annual </w:t>
            </w:r>
            <w:r w:rsidR="001D5C75">
              <w:t>Update</w:t>
            </w:r>
          </w:p>
        </w:tc>
        <w:tc>
          <w:tcPr>
            <w:tcW w:w="5850" w:type="dxa"/>
          </w:tcPr>
          <w:p w:rsidR="006D061C" w:rsidRPr="004C0466" w:rsidRDefault="00C54C52" w:rsidP="00792CE6">
            <w:pPr>
              <w:spacing w:before="120"/>
            </w:pPr>
            <w:r>
              <w:t xml:space="preserve">Began </w:t>
            </w:r>
            <w:r w:rsidR="00864FC6" w:rsidRPr="004C0466">
              <w:t>June 2005</w:t>
            </w:r>
          </w:p>
        </w:tc>
      </w:tr>
      <w:tr w:rsidR="004C0466" w:rsidRPr="004C0466" w:rsidTr="00704735">
        <w:tc>
          <w:tcPr>
            <w:tcW w:w="3708" w:type="dxa"/>
          </w:tcPr>
          <w:p w:rsidR="004C0466" w:rsidRPr="004C0466" w:rsidRDefault="004C0466" w:rsidP="00792CE6">
            <w:pPr>
              <w:spacing w:before="120"/>
            </w:pPr>
            <w:r>
              <w:t>Follow-Up I (biennial)</w:t>
            </w:r>
          </w:p>
        </w:tc>
        <w:tc>
          <w:tcPr>
            <w:tcW w:w="5850" w:type="dxa"/>
          </w:tcPr>
          <w:p w:rsidR="004C0466" w:rsidRPr="004C0466" w:rsidRDefault="004C0466" w:rsidP="00792CE6">
            <w:pPr>
              <w:spacing w:before="120"/>
            </w:pPr>
            <w:r>
              <w:t>Began March 2008</w:t>
            </w:r>
          </w:p>
        </w:tc>
      </w:tr>
      <w:tr w:rsidR="001D5C75" w:rsidRPr="004C0466" w:rsidTr="00704735">
        <w:tc>
          <w:tcPr>
            <w:tcW w:w="3708" w:type="dxa"/>
          </w:tcPr>
          <w:p w:rsidR="001D5C75" w:rsidRDefault="001D5C75" w:rsidP="00792CE6">
            <w:pPr>
              <w:spacing w:before="120"/>
              <w:rPr>
                <w:highlight w:val="yellow"/>
              </w:rPr>
            </w:pPr>
            <w:r w:rsidRPr="00A531C5">
              <w:rPr>
                <w:highlight w:val="yellow"/>
              </w:rPr>
              <w:t>Follow-Up II (triennial)</w:t>
            </w:r>
          </w:p>
          <w:p w:rsidR="00704735" w:rsidRPr="00A531C5" w:rsidRDefault="00704735" w:rsidP="00704735">
            <w:pPr>
              <w:spacing w:before="120"/>
              <w:rPr>
                <w:highlight w:val="yellow"/>
              </w:rPr>
            </w:pPr>
            <w:r>
              <w:rPr>
                <w:highlight w:val="yellow"/>
              </w:rPr>
              <w:t>Follow-Up III (triennial)</w:t>
            </w:r>
          </w:p>
        </w:tc>
        <w:tc>
          <w:tcPr>
            <w:tcW w:w="5850" w:type="dxa"/>
          </w:tcPr>
          <w:p w:rsidR="001D5C75" w:rsidRDefault="001D5C75" w:rsidP="00792CE6">
            <w:pPr>
              <w:spacing w:before="120"/>
            </w:pPr>
            <w:r w:rsidRPr="00A531C5">
              <w:rPr>
                <w:highlight w:val="yellow"/>
              </w:rPr>
              <w:t xml:space="preserve">Began </w:t>
            </w:r>
            <w:r w:rsidR="00792CE6" w:rsidRPr="00A531C5">
              <w:rPr>
                <w:highlight w:val="yellow"/>
              </w:rPr>
              <w:t>January 2012</w:t>
            </w:r>
          </w:p>
          <w:p w:rsidR="00704735" w:rsidRPr="00704735" w:rsidRDefault="00704735" w:rsidP="00792CE6">
            <w:pPr>
              <w:spacing w:before="120"/>
              <w:rPr>
                <w:i/>
              </w:rPr>
            </w:pPr>
            <w:r w:rsidRPr="00675894">
              <w:rPr>
                <w:i/>
                <w:highlight w:val="yellow"/>
              </w:rPr>
              <w:t>current</w:t>
            </w:r>
          </w:p>
        </w:tc>
      </w:tr>
      <w:tr w:rsidR="006D061C" w:rsidRPr="004C0466" w:rsidTr="00704735">
        <w:tc>
          <w:tcPr>
            <w:tcW w:w="3708" w:type="dxa"/>
          </w:tcPr>
          <w:p w:rsidR="006D061C" w:rsidRPr="004C0466" w:rsidRDefault="006D061C" w:rsidP="00792CE6">
            <w:pPr>
              <w:spacing w:before="120"/>
            </w:pPr>
            <w:r w:rsidRPr="004C0466">
              <w:t>Analyses</w:t>
            </w:r>
          </w:p>
        </w:tc>
        <w:tc>
          <w:tcPr>
            <w:tcW w:w="5850" w:type="dxa"/>
          </w:tcPr>
          <w:p w:rsidR="006D061C" w:rsidRPr="004C0466" w:rsidRDefault="006D061C" w:rsidP="00792CE6">
            <w:pPr>
              <w:spacing w:before="120"/>
            </w:pPr>
            <w:r w:rsidRPr="004C0466">
              <w:t>Beg</w:t>
            </w:r>
            <w:r w:rsidR="009D2250" w:rsidRPr="004C0466">
              <w:t>an</w:t>
            </w:r>
            <w:r w:rsidRPr="004C0466">
              <w:t xml:space="preserve"> </w:t>
            </w:r>
            <w:r w:rsidR="009D2250" w:rsidRPr="004C0466">
              <w:t>mid-</w:t>
            </w:r>
            <w:r w:rsidR="00864FC6" w:rsidRPr="004C0466">
              <w:t>2007</w:t>
            </w:r>
          </w:p>
        </w:tc>
      </w:tr>
      <w:tr w:rsidR="006D061C" w:rsidRPr="001D040C" w:rsidTr="00704735">
        <w:tc>
          <w:tcPr>
            <w:tcW w:w="3708" w:type="dxa"/>
            <w:tcBorders>
              <w:bottom w:val="single" w:sz="8" w:space="0" w:color="000000" w:themeColor="text1"/>
            </w:tcBorders>
          </w:tcPr>
          <w:p w:rsidR="006D061C" w:rsidRPr="004C0466" w:rsidRDefault="006D061C" w:rsidP="00792CE6">
            <w:pPr>
              <w:spacing w:before="120"/>
            </w:pPr>
            <w:r w:rsidRPr="004C0466">
              <w:t>Publication</w:t>
            </w:r>
          </w:p>
        </w:tc>
        <w:tc>
          <w:tcPr>
            <w:tcW w:w="5850" w:type="dxa"/>
            <w:tcBorders>
              <w:bottom w:val="single" w:sz="8" w:space="0" w:color="000000" w:themeColor="text1"/>
            </w:tcBorders>
          </w:tcPr>
          <w:p w:rsidR="006D061C" w:rsidRPr="001D040C" w:rsidRDefault="009D2250" w:rsidP="00792CE6">
            <w:pPr>
              <w:spacing w:before="120"/>
            </w:pPr>
            <w:r w:rsidRPr="004C0466">
              <w:t>Began</w:t>
            </w:r>
            <w:r w:rsidR="006D061C" w:rsidRPr="004C0466">
              <w:t xml:space="preserve"> </w:t>
            </w:r>
            <w:r w:rsidRPr="004C0466">
              <w:t>2007</w:t>
            </w:r>
          </w:p>
        </w:tc>
      </w:tr>
    </w:tbl>
    <w:p w:rsidR="003B611F" w:rsidRDefault="003B611F" w:rsidP="00B64409">
      <w:pPr>
        <w:pStyle w:val="Heading2"/>
      </w:pPr>
      <w:bookmarkStart w:id="45" w:name="_Toc129590322"/>
      <w:bookmarkStart w:id="46" w:name="_Toc129668564"/>
    </w:p>
    <w:p w:rsidR="003B611F" w:rsidRDefault="003B611F">
      <w:pPr>
        <w:rPr>
          <w:b/>
          <w:sz w:val="22"/>
        </w:rPr>
      </w:pPr>
      <w:r>
        <w:br w:type="page"/>
      </w:r>
    </w:p>
    <w:p w:rsidR="006D061C" w:rsidRPr="001D040C" w:rsidRDefault="006D061C" w:rsidP="00B64409">
      <w:pPr>
        <w:pStyle w:val="Heading2"/>
      </w:pPr>
      <w:r w:rsidRPr="001D040C">
        <w:lastRenderedPageBreak/>
        <w:t xml:space="preserve">A.17. </w:t>
      </w:r>
      <w:r w:rsidR="000606CA" w:rsidRPr="001D040C">
        <w:t xml:space="preserve"> </w:t>
      </w:r>
      <w:r w:rsidRPr="001D040C">
        <w:t>Reason(s) Display of OMB Expiration Date is Inappropriate</w:t>
      </w:r>
      <w:bookmarkEnd w:id="45"/>
      <w:bookmarkEnd w:id="46"/>
    </w:p>
    <w:p w:rsidR="006D061C" w:rsidRPr="001D040C" w:rsidRDefault="00FA6412">
      <w:pPr>
        <w:spacing w:line="480" w:lineRule="auto"/>
        <w:ind w:firstLine="360"/>
        <w:rPr>
          <w:color w:val="000000"/>
          <w:sz w:val="22"/>
        </w:rPr>
      </w:pPr>
      <w:r w:rsidRPr="001D040C">
        <w:rPr>
          <w:color w:val="000000"/>
          <w:sz w:val="22"/>
        </w:rPr>
        <w:t>We</w:t>
      </w:r>
      <w:r w:rsidR="00215C2A">
        <w:rPr>
          <w:color w:val="000000"/>
          <w:sz w:val="22"/>
        </w:rPr>
        <w:t xml:space="preserve"> again</w:t>
      </w:r>
      <w:r w:rsidRPr="001D040C">
        <w:rPr>
          <w:color w:val="000000"/>
          <w:sz w:val="22"/>
        </w:rPr>
        <w:t xml:space="preserve"> request </w:t>
      </w:r>
      <w:r w:rsidR="009D2250" w:rsidRPr="001D040C">
        <w:rPr>
          <w:color w:val="000000"/>
          <w:sz w:val="22"/>
        </w:rPr>
        <w:t xml:space="preserve">continued </w:t>
      </w:r>
      <w:r w:rsidRPr="001D040C">
        <w:rPr>
          <w:color w:val="000000"/>
          <w:sz w:val="22"/>
        </w:rPr>
        <w:t xml:space="preserve">approval to display the OMB control number without the expiration date on printed </w:t>
      </w:r>
      <w:r w:rsidR="009D2250" w:rsidRPr="001D040C">
        <w:rPr>
          <w:color w:val="000000"/>
          <w:sz w:val="22"/>
        </w:rPr>
        <w:t>forms</w:t>
      </w:r>
      <w:r w:rsidRPr="001D040C">
        <w:rPr>
          <w:color w:val="000000"/>
          <w:sz w:val="22"/>
        </w:rPr>
        <w:t xml:space="preserve">.  This request is based on the </w:t>
      </w:r>
      <w:r w:rsidR="00187E90" w:rsidRPr="001D040C">
        <w:rPr>
          <w:color w:val="000000"/>
          <w:sz w:val="22"/>
        </w:rPr>
        <w:t>precedent</w:t>
      </w:r>
      <w:r w:rsidRPr="001D040C">
        <w:rPr>
          <w:color w:val="000000"/>
          <w:sz w:val="22"/>
        </w:rPr>
        <w:t xml:space="preserve"> </w:t>
      </w:r>
      <w:r w:rsidR="001077D5" w:rsidRPr="001D040C">
        <w:rPr>
          <w:color w:val="000000"/>
          <w:sz w:val="22"/>
        </w:rPr>
        <w:t xml:space="preserve">(see OMB No. 0935-0104: </w:t>
      </w:r>
      <w:r w:rsidR="0070466B" w:rsidRPr="001D040C">
        <w:rPr>
          <w:rFonts w:cs="Arial"/>
          <w:color w:val="000000"/>
          <w:sz w:val="22"/>
        </w:rPr>
        <w:t xml:space="preserve">Medical Expenditure Panel Survey: Survey About Your Diabetes Care) </w:t>
      </w:r>
      <w:r w:rsidRPr="001D040C">
        <w:rPr>
          <w:color w:val="000000"/>
          <w:sz w:val="22"/>
        </w:rPr>
        <w:t>that this is a longitudinal study scheduled to last for 14 or more years, and for which individual</w:t>
      </w:r>
      <w:r w:rsidR="006B2A5D" w:rsidRPr="001D040C">
        <w:rPr>
          <w:color w:val="000000"/>
          <w:sz w:val="22"/>
        </w:rPr>
        <w:t xml:space="preserve"> </w:t>
      </w:r>
      <w:r w:rsidRPr="001D040C">
        <w:rPr>
          <w:color w:val="000000"/>
          <w:sz w:val="22"/>
        </w:rPr>
        <w:t>follow-up activities span across a number of years, thu</w:t>
      </w:r>
      <w:r w:rsidR="00704735">
        <w:rPr>
          <w:color w:val="000000"/>
          <w:sz w:val="22"/>
        </w:rPr>
        <w:t xml:space="preserve">s across OMB expiration dates. </w:t>
      </w:r>
      <w:r w:rsidR="00410125" w:rsidRPr="001D040C">
        <w:rPr>
          <w:color w:val="000000"/>
          <w:sz w:val="22"/>
        </w:rPr>
        <w:t xml:space="preserve">Annual </w:t>
      </w:r>
      <w:r w:rsidR="00215C2A">
        <w:rPr>
          <w:color w:val="000000"/>
          <w:sz w:val="22"/>
        </w:rPr>
        <w:t>U</w:t>
      </w:r>
      <w:r w:rsidR="00410125" w:rsidRPr="001D040C">
        <w:rPr>
          <w:color w:val="000000"/>
          <w:sz w:val="22"/>
        </w:rPr>
        <w:t xml:space="preserve">pdate </w:t>
      </w:r>
      <w:r w:rsidR="00AD1F96" w:rsidRPr="001D040C">
        <w:rPr>
          <w:color w:val="000000"/>
          <w:sz w:val="22"/>
        </w:rPr>
        <w:t>forms</w:t>
      </w:r>
      <w:r w:rsidR="00AD1F96">
        <w:rPr>
          <w:color w:val="000000"/>
          <w:sz w:val="22"/>
        </w:rPr>
        <w:t>,</w:t>
      </w:r>
      <w:r w:rsidR="00215C2A">
        <w:rPr>
          <w:color w:val="000000"/>
          <w:sz w:val="22"/>
        </w:rPr>
        <w:t xml:space="preserve"> </w:t>
      </w:r>
      <w:r w:rsidR="00410125" w:rsidRPr="001D040C">
        <w:rPr>
          <w:color w:val="000000"/>
          <w:sz w:val="22"/>
        </w:rPr>
        <w:t xml:space="preserve">as well as two of the </w:t>
      </w:r>
      <w:r w:rsidR="00215C2A">
        <w:rPr>
          <w:color w:val="000000"/>
          <w:sz w:val="22"/>
        </w:rPr>
        <w:t>three</w:t>
      </w:r>
      <w:r w:rsidR="00410125" w:rsidRPr="001D040C">
        <w:rPr>
          <w:color w:val="000000"/>
          <w:sz w:val="22"/>
        </w:rPr>
        <w:t xml:space="preserve"> </w:t>
      </w:r>
      <w:r w:rsidR="00075C61">
        <w:rPr>
          <w:color w:val="000000"/>
          <w:sz w:val="22"/>
        </w:rPr>
        <w:t xml:space="preserve">Follow-Up </w:t>
      </w:r>
      <w:r w:rsidR="00215C2A">
        <w:rPr>
          <w:color w:val="000000"/>
          <w:sz w:val="22"/>
        </w:rPr>
        <w:t>forms</w:t>
      </w:r>
      <w:r w:rsidR="00AD1F96">
        <w:rPr>
          <w:color w:val="000000"/>
          <w:sz w:val="22"/>
        </w:rPr>
        <w:t xml:space="preserve">, </w:t>
      </w:r>
      <w:r w:rsidR="00410125" w:rsidRPr="001D040C">
        <w:rPr>
          <w:color w:val="000000"/>
          <w:sz w:val="22"/>
        </w:rPr>
        <w:t xml:space="preserve">will be used throughout the length of the study. </w:t>
      </w:r>
      <w:r w:rsidRPr="001D040C">
        <w:rPr>
          <w:color w:val="000000"/>
          <w:sz w:val="22"/>
        </w:rPr>
        <w:t xml:space="preserve">Therefore, the cost of multiple </w:t>
      </w:r>
      <w:r w:rsidR="00187E90" w:rsidRPr="001D040C">
        <w:rPr>
          <w:color w:val="000000"/>
          <w:sz w:val="22"/>
        </w:rPr>
        <w:t>printing cycles</w:t>
      </w:r>
      <w:r w:rsidR="00D4564E" w:rsidRPr="001D040C">
        <w:rPr>
          <w:color w:val="000000"/>
          <w:sz w:val="22"/>
        </w:rPr>
        <w:t>, merely to change OMB date,</w:t>
      </w:r>
      <w:r w:rsidR="00187E90" w:rsidRPr="001D040C">
        <w:rPr>
          <w:color w:val="000000"/>
          <w:sz w:val="22"/>
        </w:rPr>
        <w:t xml:space="preserve"> </w:t>
      </w:r>
      <w:r w:rsidR="00410125" w:rsidRPr="001D040C">
        <w:rPr>
          <w:color w:val="000000"/>
          <w:sz w:val="22"/>
        </w:rPr>
        <w:t xml:space="preserve">rather than taking advantage of cost savings </w:t>
      </w:r>
      <w:r w:rsidR="00DA02E4" w:rsidRPr="001D040C">
        <w:rPr>
          <w:color w:val="000000"/>
          <w:sz w:val="22"/>
        </w:rPr>
        <w:t>realized</w:t>
      </w:r>
      <w:r w:rsidR="00410125" w:rsidRPr="001D040C">
        <w:rPr>
          <w:color w:val="000000"/>
          <w:sz w:val="22"/>
        </w:rPr>
        <w:t xml:space="preserve"> with larger batch printing </w:t>
      </w:r>
      <w:r w:rsidR="00187E90" w:rsidRPr="001D040C">
        <w:rPr>
          <w:color w:val="000000"/>
          <w:sz w:val="22"/>
        </w:rPr>
        <w:t>of</w:t>
      </w:r>
      <w:r w:rsidRPr="001D040C">
        <w:rPr>
          <w:color w:val="000000"/>
          <w:sz w:val="22"/>
        </w:rPr>
        <w:t xml:space="preserve"> approved materials</w:t>
      </w:r>
      <w:r w:rsidR="00215C2A">
        <w:rPr>
          <w:color w:val="000000"/>
          <w:sz w:val="22"/>
        </w:rPr>
        <w:t>, totaling</w:t>
      </w:r>
      <w:r w:rsidRPr="001D040C">
        <w:rPr>
          <w:color w:val="000000"/>
          <w:sz w:val="22"/>
        </w:rPr>
        <w:t xml:space="preserve"> hundreds of thousands of pages</w:t>
      </w:r>
      <w:r w:rsidR="00215C2A">
        <w:rPr>
          <w:color w:val="000000"/>
          <w:sz w:val="22"/>
        </w:rPr>
        <w:t>,</w:t>
      </w:r>
      <w:r w:rsidRPr="001D040C">
        <w:rPr>
          <w:color w:val="000000"/>
          <w:sz w:val="22"/>
        </w:rPr>
        <w:t xml:space="preserve"> </w:t>
      </w:r>
      <w:r w:rsidR="009D2250" w:rsidRPr="001D040C">
        <w:rPr>
          <w:color w:val="000000"/>
          <w:sz w:val="22"/>
        </w:rPr>
        <w:t>that undergo little or</w:t>
      </w:r>
      <w:r w:rsidR="00572078" w:rsidRPr="001D040C">
        <w:rPr>
          <w:color w:val="000000"/>
          <w:sz w:val="22"/>
        </w:rPr>
        <w:t xml:space="preserve"> </w:t>
      </w:r>
      <w:r w:rsidR="00187E90" w:rsidRPr="001D040C">
        <w:rPr>
          <w:color w:val="000000"/>
          <w:sz w:val="22"/>
        </w:rPr>
        <w:t xml:space="preserve">no </w:t>
      </w:r>
      <w:r w:rsidR="00D4564E" w:rsidRPr="001D040C">
        <w:rPr>
          <w:color w:val="000000"/>
          <w:sz w:val="22"/>
        </w:rPr>
        <w:t xml:space="preserve">contextual </w:t>
      </w:r>
      <w:r w:rsidR="00187E90" w:rsidRPr="001D040C">
        <w:rPr>
          <w:color w:val="000000"/>
          <w:sz w:val="22"/>
        </w:rPr>
        <w:t xml:space="preserve">change </w:t>
      </w:r>
      <w:r w:rsidRPr="001D040C">
        <w:rPr>
          <w:color w:val="000000"/>
          <w:sz w:val="22"/>
        </w:rPr>
        <w:t xml:space="preserve">is inordinately costly to the government.  </w:t>
      </w:r>
      <w:r w:rsidR="00187E90" w:rsidRPr="001D040C">
        <w:rPr>
          <w:color w:val="000000"/>
          <w:sz w:val="22"/>
        </w:rPr>
        <w:t xml:space="preserve">Nonetheless, these items continue to be included in each 3-year revision package sent to OMB for </w:t>
      </w:r>
      <w:r w:rsidR="00DA02E4" w:rsidRPr="001D040C">
        <w:rPr>
          <w:color w:val="000000"/>
          <w:sz w:val="22"/>
        </w:rPr>
        <w:t xml:space="preserve">continuation of </w:t>
      </w:r>
      <w:r w:rsidR="00187E90" w:rsidRPr="001D040C">
        <w:rPr>
          <w:color w:val="000000"/>
          <w:sz w:val="22"/>
        </w:rPr>
        <w:t>approval.</w:t>
      </w:r>
    </w:p>
    <w:p w:rsidR="006D061C" w:rsidRPr="001D040C" w:rsidRDefault="00B64409" w:rsidP="00B64409">
      <w:pPr>
        <w:pStyle w:val="Heading2"/>
      </w:pPr>
      <w:bookmarkStart w:id="47" w:name="_Toc129590323"/>
      <w:bookmarkStart w:id="48" w:name="_Toc129668565"/>
      <w:r w:rsidRPr="001D040C">
        <w:t>A.</w:t>
      </w:r>
      <w:r w:rsidR="006D061C" w:rsidRPr="001D040C">
        <w:t xml:space="preserve">18. </w:t>
      </w:r>
      <w:r w:rsidRPr="001D040C">
        <w:t xml:space="preserve"> </w:t>
      </w:r>
      <w:r w:rsidR="006D061C" w:rsidRPr="001D040C">
        <w:t>Exceptions to Certification for Paperwork Reduction Act Submissions</w:t>
      </w:r>
      <w:bookmarkEnd w:id="47"/>
      <w:bookmarkEnd w:id="48"/>
    </w:p>
    <w:p w:rsidR="006D061C" w:rsidRDefault="006D061C">
      <w:pPr>
        <w:spacing w:line="480" w:lineRule="auto"/>
        <w:ind w:firstLine="360"/>
        <w:rPr>
          <w:sz w:val="22"/>
        </w:rPr>
      </w:pPr>
      <w:r w:rsidRPr="001D040C">
        <w:rPr>
          <w:sz w:val="22"/>
        </w:rPr>
        <w:t>There are no exceptions to certification for this submission.</w:t>
      </w:r>
    </w:p>
    <w:sectPr w:rsidR="006D061C" w:rsidSect="006337AC">
      <w:footerReference w:type="default" r:id="rId10"/>
      <w:footerReference w:type="first" r:id="rId11"/>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80D" w:rsidRDefault="0072280D">
      <w:r>
        <w:separator/>
      </w:r>
    </w:p>
  </w:endnote>
  <w:endnote w:type="continuationSeparator" w:id="0">
    <w:p w:rsidR="0072280D" w:rsidRDefault="007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9D" w:rsidRPr="00C57D52" w:rsidRDefault="000E1D9D" w:rsidP="00C57D52">
    <w:pPr>
      <w:pStyle w:val="Footer"/>
      <w:tabs>
        <w:tab w:val="clear" w:pos="8640"/>
        <w:tab w:val="right" w:pos="9360"/>
      </w:tabs>
      <w:rPr>
        <w:i/>
        <w:sz w:val="18"/>
        <w:szCs w:val="18"/>
      </w:rPr>
    </w:pPr>
    <w:r w:rsidRPr="00C57D52">
      <w:rPr>
        <w:i/>
        <w:sz w:val="18"/>
        <w:szCs w:val="18"/>
      </w:rPr>
      <w:t>Sister Study</w:t>
    </w:r>
    <w:r>
      <w:rPr>
        <w:i/>
        <w:sz w:val="18"/>
        <w:szCs w:val="18"/>
      </w:rPr>
      <w:t>—OMB 201</w:t>
    </w:r>
    <w:r w:rsidR="009A5EC2">
      <w:rPr>
        <w:i/>
        <w:sz w:val="18"/>
        <w:szCs w:val="18"/>
      </w:rPr>
      <w:t>6</w:t>
    </w:r>
    <w:r w:rsidRPr="00C57D52">
      <w:rPr>
        <w:i/>
        <w:sz w:val="18"/>
        <w:szCs w:val="18"/>
      </w:rPr>
      <w:t>: Supporting Statement A</w:t>
    </w:r>
    <w:r w:rsidRPr="00C57D52">
      <w:rPr>
        <w:i/>
        <w:sz w:val="18"/>
        <w:szCs w:val="18"/>
      </w:rPr>
      <w:tab/>
    </w:r>
    <w:r w:rsidRPr="00C57D52">
      <w:rPr>
        <w:i/>
        <w:sz w:val="18"/>
        <w:szCs w:val="18"/>
      </w:rPr>
      <w:tab/>
      <w:t xml:space="preserve">page </w:t>
    </w:r>
    <w:r w:rsidRPr="00C57D52">
      <w:rPr>
        <w:rStyle w:val="PageNumber"/>
        <w:i/>
        <w:sz w:val="18"/>
        <w:szCs w:val="18"/>
      </w:rPr>
      <w:fldChar w:fldCharType="begin"/>
    </w:r>
    <w:r w:rsidRPr="00C57D52">
      <w:rPr>
        <w:rStyle w:val="PageNumber"/>
        <w:i/>
        <w:sz w:val="18"/>
        <w:szCs w:val="18"/>
      </w:rPr>
      <w:instrText xml:space="preserve"> PAGE </w:instrText>
    </w:r>
    <w:r w:rsidRPr="00C57D52">
      <w:rPr>
        <w:rStyle w:val="PageNumber"/>
        <w:i/>
        <w:sz w:val="18"/>
        <w:szCs w:val="18"/>
      </w:rPr>
      <w:fldChar w:fldCharType="separate"/>
    </w:r>
    <w:r w:rsidR="00962914">
      <w:rPr>
        <w:rStyle w:val="PageNumber"/>
        <w:i/>
        <w:noProof/>
        <w:sz w:val="18"/>
        <w:szCs w:val="18"/>
      </w:rPr>
      <w:t>18</w:t>
    </w:r>
    <w:r w:rsidRPr="00C57D52">
      <w:rPr>
        <w:rStyle w:val="PageNumber"/>
        <w:i/>
        <w:sz w:val="18"/>
        <w:szCs w:val="18"/>
      </w:rPr>
      <w:fldChar w:fldCharType="end"/>
    </w:r>
    <w:r w:rsidRPr="00C57D52">
      <w:rPr>
        <w:rStyle w:val="PageNumber"/>
        <w:i/>
        <w:sz w:val="18"/>
        <w:szCs w:val="18"/>
      </w:rPr>
      <w:t xml:space="preserve"> of </w:t>
    </w:r>
    <w:r w:rsidRPr="00C57D52">
      <w:rPr>
        <w:rStyle w:val="PageNumber"/>
        <w:i/>
        <w:sz w:val="18"/>
        <w:szCs w:val="18"/>
      </w:rPr>
      <w:fldChar w:fldCharType="begin"/>
    </w:r>
    <w:r w:rsidRPr="00C57D52">
      <w:rPr>
        <w:rStyle w:val="PageNumber"/>
        <w:i/>
        <w:sz w:val="18"/>
        <w:szCs w:val="18"/>
      </w:rPr>
      <w:instrText xml:space="preserve"> NUMPAGES </w:instrText>
    </w:r>
    <w:r w:rsidRPr="00C57D52">
      <w:rPr>
        <w:rStyle w:val="PageNumber"/>
        <w:i/>
        <w:sz w:val="18"/>
        <w:szCs w:val="18"/>
      </w:rPr>
      <w:fldChar w:fldCharType="separate"/>
    </w:r>
    <w:r w:rsidR="00962914">
      <w:rPr>
        <w:rStyle w:val="PageNumber"/>
        <w:i/>
        <w:noProof/>
        <w:sz w:val="18"/>
        <w:szCs w:val="18"/>
      </w:rPr>
      <w:t>23</w:t>
    </w:r>
    <w:r w:rsidRPr="00C57D52">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9D" w:rsidRPr="00D51D6C" w:rsidRDefault="000E1D9D" w:rsidP="00D51D6C">
    <w:pPr>
      <w:pStyle w:val="Footer"/>
      <w:tabs>
        <w:tab w:val="clear" w:pos="4320"/>
        <w:tab w:val="clear" w:pos="8640"/>
        <w:tab w:val="center" w:pos="5040"/>
        <w:tab w:val="right" w:pos="9360"/>
      </w:tabs>
      <w:rPr>
        <w:i/>
        <w:sz w:val="18"/>
        <w:szCs w:val="18"/>
      </w:rPr>
    </w:pPr>
    <w:r w:rsidRPr="00D51D6C">
      <w:rPr>
        <w:i/>
        <w:snapToGrid w:val="0"/>
        <w:sz w:val="18"/>
        <w:szCs w:val="18"/>
      </w:rPr>
      <w:t>Sister Study OMB Supporting Statement</w:t>
    </w:r>
    <w:r w:rsidRPr="00D51D6C">
      <w:rPr>
        <w:i/>
        <w:snapToGrid w:val="0"/>
        <w:sz w:val="18"/>
        <w:szCs w:val="18"/>
      </w:rPr>
      <w:tab/>
      <w:t>08 March 2006</w:t>
    </w:r>
    <w:r w:rsidRPr="00D51D6C">
      <w:rPr>
        <w:i/>
        <w:snapToGrid w:val="0"/>
        <w:sz w:val="18"/>
        <w:szCs w:val="18"/>
      </w:rPr>
      <w:tab/>
      <w:t xml:space="preserve">page </w:t>
    </w:r>
    <w:r w:rsidRPr="00D51D6C">
      <w:rPr>
        <w:rStyle w:val="PageNumber"/>
        <w:i/>
        <w:sz w:val="18"/>
        <w:szCs w:val="18"/>
      </w:rPr>
      <w:fldChar w:fldCharType="begin"/>
    </w:r>
    <w:r w:rsidRPr="00D51D6C">
      <w:rPr>
        <w:rStyle w:val="PageNumber"/>
        <w:i/>
        <w:sz w:val="18"/>
        <w:szCs w:val="18"/>
      </w:rPr>
      <w:instrText xml:space="preserve"> PAGE </w:instrText>
    </w:r>
    <w:r w:rsidRPr="00D51D6C">
      <w:rPr>
        <w:rStyle w:val="PageNumber"/>
        <w:i/>
        <w:sz w:val="18"/>
        <w:szCs w:val="18"/>
      </w:rPr>
      <w:fldChar w:fldCharType="separate"/>
    </w:r>
    <w:r>
      <w:rPr>
        <w:rStyle w:val="PageNumber"/>
        <w:i/>
        <w:noProof/>
        <w:sz w:val="18"/>
        <w:szCs w:val="18"/>
      </w:rPr>
      <w:t>2</w:t>
    </w:r>
    <w:r w:rsidRPr="00D51D6C">
      <w:rPr>
        <w:rStyle w:val="PageNumber"/>
        <w:i/>
        <w:sz w:val="18"/>
        <w:szCs w:val="18"/>
      </w:rPr>
      <w:fldChar w:fldCharType="end"/>
    </w:r>
    <w:r w:rsidRPr="00D51D6C">
      <w:rPr>
        <w:rStyle w:val="PageNumber"/>
        <w:i/>
        <w:sz w:val="18"/>
        <w:szCs w:val="18"/>
      </w:rPr>
      <w:t xml:space="preserve"> of </w:t>
    </w:r>
    <w:r w:rsidRPr="00D51D6C">
      <w:rPr>
        <w:rStyle w:val="PageNumber"/>
        <w:i/>
        <w:sz w:val="18"/>
        <w:szCs w:val="18"/>
      </w:rPr>
      <w:fldChar w:fldCharType="begin"/>
    </w:r>
    <w:r w:rsidRPr="00D51D6C">
      <w:rPr>
        <w:rStyle w:val="PageNumber"/>
        <w:i/>
        <w:sz w:val="18"/>
        <w:szCs w:val="18"/>
      </w:rPr>
      <w:instrText xml:space="preserve"> NUMPAGES </w:instrText>
    </w:r>
    <w:r w:rsidRPr="00D51D6C">
      <w:rPr>
        <w:rStyle w:val="PageNumber"/>
        <w:i/>
        <w:sz w:val="18"/>
        <w:szCs w:val="18"/>
      </w:rPr>
      <w:fldChar w:fldCharType="separate"/>
    </w:r>
    <w:r w:rsidR="00CD0A09">
      <w:rPr>
        <w:rStyle w:val="PageNumber"/>
        <w:i/>
        <w:noProof/>
        <w:sz w:val="18"/>
        <w:szCs w:val="18"/>
      </w:rPr>
      <w:t>23</w:t>
    </w:r>
    <w:r w:rsidRPr="00D51D6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80D" w:rsidRDefault="0072280D">
      <w:r>
        <w:separator/>
      </w:r>
    </w:p>
  </w:footnote>
  <w:footnote w:type="continuationSeparator" w:id="0">
    <w:p w:rsidR="0072280D" w:rsidRDefault="00722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1309E6"/>
    <w:multiLevelType w:val="hybridMultilevel"/>
    <w:tmpl w:val="D31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24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FC0E1B"/>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4">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784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A647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CF207E"/>
    <w:multiLevelType w:val="hybridMultilevel"/>
    <w:tmpl w:val="559E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F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1300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2914FD"/>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1">
    <w:nsid w:val="4B6E79E9"/>
    <w:multiLevelType w:val="hybridMultilevel"/>
    <w:tmpl w:val="B3E611C4"/>
    <w:lvl w:ilvl="0" w:tplc="F5882276">
      <w:start w:val="1"/>
      <w:numFmt w:val="decimal"/>
      <w:lvlText w:val="%1."/>
      <w:lvlJc w:val="left"/>
      <w:pPr>
        <w:tabs>
          <w:tab w:val="num" w:pos="756"/>
        </w:tabs>
        <w:ind w:left="756" w:hanging="576"/>
      </w:pPr>
      <w:rPr>
        <w:rFonts w:hint="default"/>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6C645D"/>
    <w:multiLevelType w:val="hybridMultilevel"/>
    <w:tmpl w:val="17FC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B5A99"/>
    <w:multiLevelType w:val="hybridMultilevel"/>
    <w:tmpl w:val="BC58209E"/>
    <w:lvl w:ilvl="0" w:tplc="F33A9FD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E8634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5">
    <w:nsid w:val="54B3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620BF4"/>
    <w:multiLevelType w:val="hybridMultilevel"/>
    <w:tmpl w:val="6596B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00265"/>
    <w:multiLevelType w:val="hybridMultilevel"/>
    <w:tmpl w:val="0BB0C33C"/>
    <w:lvl w:ilvl="0" w:tplc="C756E3AE">
      <w:start w:val="1"/>
      <w:numFmt w:val="bullet"/>
      <w:lvlText w:val=""/>
      <w:lvlJc w:val="left"/>
      <w:pPr>
        <w:tabs>
          <w:tab w:val="num" w:pos="1560"/>
        </w:tabs>
        <w:ind w:left="1560" w:hanging="360"/>
      </w:pPr>
      <w:rPr>
        <w:rFonts w:ascii="Symbol" w:hAnsi="Symbol" w:hint="default"/>
      </w:rPr>
    </w:lvl>
    <w:lvl w:ilvl="1" w:tplc="2E2252AE" w:tentative="1">
      <w:start w:val="1"/>
      <w:numFmt w:val="bullet"/>
      <w:lvlText w:val="o"/>
      <w:lvlJc w:val="left"/>
      <w:pPr>
        <w:tabs>
          <w:tab w:val="num" w:pos="2280"/>
        </w:tabs>
        <w:ind w:left="2280" w:hanging="360"/>
      </w:pPr>
      <w:rPr>
        <w:rFonts w:ascii="Courier New" w:hAnsi="Courier New" w:hint="default"/>
      </w:rPr>
    </w:lvl>
    <w:lvl w:ilvl="2" w:tplc="3C8653BE" w:tentative="1">
      <w:start w:val="1"/>
      <w:numFmt w:val="bullet"/>
      <w:lvlText w:val=""/>
      <w:lvlJc w:val="left"/>
      <w:pPr>
        <w:tabs>
          <w:tab w:val="num" w:pos="3000"/>
        </w:tabs>
        <w:ind w:left="3000" w:hanging="360"/>
      </w:pPr>
      <w:rPr>
        <w:rFonts w:ascii="Wingdings" w:hAnsi="Wingdings" w:hint="default"/>
      </w:rPr>
    </w:lvl>
    <w:lvl w:ilvl="3" w:tplc="0EFC40EC" w:tentative="1">
      <w:start w:val="1"/>
      <w:numFmt w:val="bullet"/>
      <w:lvlText w:val=""/>
      <w:lvlJc w:val="left"/>
      <w:pPr>
        <w:tabs>
          <w:tab w:val="num" w:pos="3720"/>
        </w:tabs>
        <w:ind w:left="3720" w:hanging="360"/>
      </w:pPr>
      <w:rPr>
        <w:rFonts w:ascii="Symbol" w:hAnsi="Symbol" w:hint="default"/>
      </w:rPr>
    </w:lvl>
    <w:lvl w:ilvl="4" w:tplc="00C03562" w:tentative="1">
      <w:start w:val="1"/>
      <w:numFmt w:val="bullet"/>
      <w:lvlText w:val="o"/>
      <w:lvlJc w:val="left"/>
      <w:pPr>
        <w:tabs>
          <w:tab w:val="num" w:pos="4440"/>
        </w:tabs>
        <w:ind w:left="4440" w:hanging="360"/>
      </w:pPr>
      <w:rPr>
        <w:rFonts w:ascii="Courier New" w:hAnsi="Courier New" w:hint="default"/>
      </w:rPr>
    </w:lvl>
    <w:lvl w:ilvl="5" w:tplc="827EA3D6" w:tentative="1">
      <w:start w:val="1"/>
      <w:numFmt w:val="bullet"/>
      <w:lvlText w:val=""/>
      <w:lvlJc w:val="left"/>
      <w:pPr>
        <w:tabs>
          <w:tab w:val="num" w:pos="5160"/>
        </w:tabs>
        <w:ind w:left="5160" w:hanging="360"/>
      </w:pPr>
      <w:rPr>
        <w:rFonts w:ascii="Wingdings" w:hAnsi="Wingdings" w:hint="default"/>
      </w:rPr>
    </w:lvl>
    <w:lvl w:ilvl="6" w:tplc="F07A05DC" w:tentative="1">
      <w:start w:val="1"/>
      <w:numFmt w:val="bullet"/>
      <w:lvlText w:val=""/>
      <w:lvlJc w:val="left"/>
      <w:pPr>
        <w:tabs>
          <w:tab w:val="num" w:pos="5880"/>
        </w:tabs>
        <w:ind w:left="5880" w:hanging="360"/>
      </w:pPr>
      <w:rPr>
        <w:rFonts w:ascii="Symbol" w:hAnsi="Symbol" w:hint="default"/>
      </w:rPr>
    </w:lvl>
    <w:lvl w:ilvl="7" w:tplc="0BFE5728" w:tentative="1">
      <w:start w:val="1"/>
      <w:numFmt w:val="bullet"/>
      <w:lvlText w:val="o"/>
      <w:lvlJc w:val="left"/>
      <w:pPr>
        <w:tabs>
          <w:tab w:val="num" w:pos="6600"/>
        </w:tabs>
        <w:ind w:left="6600" w:hanging="360"/>
      </w:pPr>
      <w:rPr>
        <w:rFonts w:ascii="Courier New" w:hAnsi="Courier New" w:hint="default"/>
      </w:rPr>
    </w:lvl>
    <w:lvl w:ilvl="8" w:tplc="0DD27F6E" w:tentative="1">
      <w:start w:val="1"/>
      <w:numFmt w:val="bullet"/>
      <w:lvlText w:val=""/>
      <w:lvlJc w:val="left"/>
      <w:pPr>
        <w:tabs>
          <w:tab w:val="num" w:pos="7320"/>
        </w:tabs>
        <w:ind w:left="7320" w:hanging="360"/>
      </w:pPr>
      <w:rPr>
        <w:rFonts w:ascii="Wingdings" w:hAnsi="Wingdings" w:hint="default"/>
      </w:rPr>
    </w:lvl>
  </w:abstractNum>
  <w:abstractNum w:abstractNumId="18">
    <w:nsid w:val="5A5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DFC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EB04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F875B9"/>
    <w:multiLevelType w:val="singleLevel"/>
    <w:tmpl w:val="0409000F"/>
    <w:lvl w:ilvl="0">
      <w:start w:val="19"/>
      <w:numFmt w:val="decimal"/>
      <w:lvlText w:val="%1."/>
      <w:lvlJc w:val="left"/>
      <w:pPr>
        <w:tabs>
          <w:tab w:val="num" w:pos="360"/>
        </w:tabs>
        <w:ind w:left="360" w:hanging="360"/>
      </w:pPr>
      <w:rPr>
        <w:rFonts w:hint="default"/>
      </w:rPr>
    </w:lvl>
  </w:abstractNum>
  <w:abstractNum w:abstractNumId="22">
    <w:nsid w:val="65343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7625A95"/>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4">
    <w:nsid w:val="6A22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DD3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5D82E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nsid w:val="79EA498F"/>
    <w:multiLevelType w:val="hybridMultilevel"/>
    <w:tmpl w:val="7D825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601186"/>
    <w:multiLevelType w:val="singleLevel"/>
    <w:tmpl w:val="FC480D8E"/>
    <w:lvl w:ilvl="0">
      <w:start w:val="1"/>
      <w:numFmt w:val="upperLetter"/>
      <w:lvlText w:val="%1."/>
      <w:lvlJc w:val="left"/>
      <w:pPr>
        <w:tabs>
          <w:tab w:val="num" w:pos="720"/>
        </w:tabs>
        <w:ind w:left="720" w:hanging="720"/>
      </w:pPr>
      <w:rPr>
        <w:rFonts w:hint="default"/>
      </w:rPr>
    </w:lvl>
  </w:abstractNum>
  <w:num w:numId="1">
    <w:abstractNumId w:val="28"/>
  </w:num>
  <w:num w:numId="2">
    <w:abstractNumId w:val="24"/>
  </w:num>
  <w:num w:numId="3">
    <w:abstractNumId w:val="14"/>
  </w:num>
  <w:num w:numId="4">
    <w:abstractNumId w:val="2"/>
  </w:num>
  <w:num w:numId="5">
    <w:abstractNumId w:val="25"/>
  </w:num>
  <w:num w:numId="6">
    <w:abstractNumId w:val="3"/>
  </w:num>
  <w:num w:numId="7">
    <w:abstractNumId w:val="23"/>
  </w:num>
  <w:num w:numId="8">
    <w:abstractNumId w:val="10"/>
  </w:num>
  <w:num w:numId="9">
    <w:abstractNumId w:val="21"/>
  </w:num>
  <w:num w:numId="10">
    <w:abstractNumId w:val="6"/>
  </w:num>
  <w:num w:numId="11">
    <w:abstractNumId w:val="15"/>
  </w:num>
  <w:num w:numId="12">
    <w:abstractNumId w:val="5"/>
  </w:num>
  <w:num w:numId="13">
    <w:abstractNumId w:val="18"/>
  </w:num>
  <w:num w:numId="14">
    <w:abstractNumId w:val="20"/>
  </w:num>
  <w:num w:numId="15">
    <w:abstractNumId w:val="26"/>
  </w:num>
  <w:num w:numId="16">
    <w:abstractNumId w:val="22"/>
  </w:num>
  <w:num w:numId="17">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18">
    <w:abstractNumId w:val="9"/>
  </w:num>
  <w:num w:numId="19">
    <w:abstractNumId w:val="8"/>
  </w:num>
  <w:num w:numId="20">
    <w:abstractNumId w:val="19"/>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1"/>
  </w:num>
  <w:num w:numId="24">
    <w:abstractNumId w:val="13"/>
  </w:num>
  <w:num w:numId="25">
    <w:abstractNumId w:val="27"/>
  </w:num>
  <w:num w:numId="26">
    <w:abstractNumId w:val="12"/>
  </w:num>
  <w:num w:numId="27">
    <w:abstractNumId w:val="7"/>
  </w:num>
  <w:num w:numId="28">
    <w:abstractNumId w:val="16"/>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48"/>
    <w:rsid w:val="000032CF"/>
    <w:rsid w:val="00006BEE"/>
    <w:rsid w:val="00011BF8"/>
    <w:rsid w:val="00011DEF"/>
    <w:rsid w:val="000149AB"/>
    <w:rsid w:val="000177EC"/>
    <w:rsid w:val="00027D20"/>
    <w:rsid w:val="0003311A"/>
    <w:rsid w:val="00041B20"/>
    <w:rsid w:val="000468E5"/>
    <w:rsid w:val="00051C2F"/>
    <w:rsid w:val="0005549C"/>
    <w:rsid w:val="00057294"/>
    <w:rsid w:val="000606CA"/>
    <w:rsid w:val="00061D71"/>
    <w:rsid w:val="00067CCC"/>
    <w:rsid w:val="000702EA"/>
    <w:rsid w:val="00075C61"/>
    <w:rsid w:val="000801A3"/>
    <w:rsid w:val="00082300"/>
    <w:rsid w:val="000917D5"/>
    <w:rsid w:val="00093284"/>
    <w:rsid w:val="00095636"/>
    <w:rsid w:val="00095B90"/>
    <w:rsid w:val="000979CD"/>
    <w:rsid w:val="000A0AC3"/>
    <w:rsid w:val="000A4927"/>
    <w:rsid w:val="000A7479"/>
    <w:rsid w:val="000B5A29"/>
    <w:rsid w:val="000B74E2"/>
    <w:rsid w:val="000C070E"/>
    <w:rsid w:val="000C088E"/>
    <w:rsid w:val="000C0BC5"/>
    <w:rsid w:val="000C1160"/>
    <w:rsid w:val="000C613F"/>
    <w:rsid w:val="000C621A"/>
    <w:rsid w:val="000C73DF"/>
    <w:rsid w:val="000D7526"/>
    <w:rsid w:val="000E1D9D"/>
    <w:rsid w:val="000E5843"/>
    <w:rsid w:val="000E6F72"/>
    <w:rsid w:val="000F7703"/>
    <w:rsid w:val="001010E1"/>
    <w:rsid w:val="00102002"/>
    <w:rsid w:val="001029C3"/>
    <w:rsid w:val="001077D5"/>
    <w:rsid w:val="0011485D"/>
    <w:rsid w:val="00121061"/>
    <w:rsid w:val="0012350F"/>
    <w:rsid w:val="00126AF1"/>
    <w:rsid w:val="001305B9"/>
    <w:rsid w:val="0013477D"/>
    <w:rsid w:val="00141BA6"/>
    <w:rsid w:val="001431E4"/>
    <w:rsid w:val="00150158"/>
    <w:rsid w:val="00163157"/>
    <w:rsid w:val="00163272"/>
    <w:rsid w:val="0016660F"/>
    <w:rsid w:val="00175D56"/>
    <w:rsid w:val="00183E77"/>
    <w:rsid w:val="00184F98"/>
    <w:rsid w:val="00185A3B"/>
    <w:rsid w:val="001865C5"/>
    <w:rsid w:val="00186AF6"/>
    <w:rsid w:val="00187E90"/>
    <w:rsid w:val="001A3374"/>
    <w:rsid w:val="001A4C67"/>
    <w:rsid w:val="001B31ED"/>
    <w:rsid w:val="001B3A37"/>
    <w:rsid w:val="001B47BA"/>
    <w:rsid w:val="001B6144"/>
    <w:rsid w:val="001C12CB"/>
    <w:rsid w:val="001C38A4"/>
    <w:rsid w:val="001C786C"/>
    <w:rsid w:val="001C78EE"/>
    <w:rsid w:val="001D040C"/>
    <w:rsid w:val="001D5C75"/>
    <w:rsid w:val="001D6818"/>
    <w:rsid w:val="001D79E2"/>
    <w:rsid w:val="001E5A3D"/>
    <w:rsid w:val="001E6A31"/>
    <w:rsid w:val="001F03A2"/>
    <w:rsid w:val="001F74EF"/>
    <w:rsid w:val="0020142C"/>
    <w:rsid w:val="00201D1E"/>
    <w:rsid w:val="00202DE2"/>
    <w:rsid w:val="002042E2"/>
    <w:rsid w:val="00204BE5"/>
    <w:rsid w:val="00210393"/>
    <w:rsid w:val="00215A1F"/>
    <w:rsid w:val="00215C2A"/>
    <w:rsid w:val="00225FC3"/>
    <w:rsid w:val="00230A54"/>
    <w:rsid w:val="00232545"/>
    <w:rsid w:val="00232CA9"/>
    <w:rsid w:val="00234231"/>
    <w:rsid w:val="002343F5"/>
    <w:rsid w:val="0023605F"/>
    <w:rsid w:val="0024065E"/>
    <w:rsid w:val="0024068F"/>
    <w:rsid w:val="00244552"/>
    <w:rsid w:val="00251279"/>
    <w:rsid w:val="0025129D"/>
    <w:rsid w:val="002525BC"/>
    <w:rsid w:val="00253CC8"/>
    <w:rsid w:val="00257143"/>
    <w:rsid w:val="00261EC8"/>
    <w:rsid w:val="0026407E"/>
    <w:rsid w:val="002674D3"/>
    <w:rsid w:val="00270D7E"/>
    <w:rsid w:val="00270D9C"/>
    <w:rsid w:val="002751F4"/>
    <w:rsid w:val="002825C1"/>
    <w:rsid w:val="00290F8E"/>
    <w:rsid w:val="002936C9"/>
    <w:rsid w:val="00295CF9"/>
    <w:rsid w:val="002966AA"/>
    <w:rsid w:val="002969D8"/>
    <w:rsid w:val="0029792E"/>
    <w:rsid w:val="002A1C7C"/>
    <w:rsid w:val="002A226A"/>
    <w:rsid w:val="002A4FCE"/>
    <w:rsid w:val="002A601C"/>
    <w:rsid w:val="002C6F96"/>
    <w:rsid w:val="002D2087"/>
    <w:rsid w:val="002D782E"/>
    <w:rsid w:val="002E232B"/>
    <w:rsid w:val="002E60F5"/>
    <w:rsid w:val="002F054D"/>
    <w:rsid w:val="002F50F2"/>
    <w:rsid w:val="002F7C4A"/>
    <w:rsid w:val="0030525B"/>
    <w:rsid w:val="00306C72"/>
    <w:rsid w:val="003077A2"/>
    <w:rsid w:val="00311396"/>
    <w:rsid w:val="00321AB1"/>
    <w:rsid w:val="00322AB3"/>
    <w:rsid w:val="00324688"/>
    <w:rsid w:val="00325102"/>
    <w:rsid w:val="00325352"/>
    <w:rsid w:val="0032764C"/>
    <w:rsid w:val="0033159D"/>
    <w:rsid w:val="00334350"/>
    <w:rsid w:val="00337ACC"/>
    <w:rsid w:val="003443AA"/>
    <w:rsid w:val="003454DA"/>
    <w:rsid w:val="00345C5E"/>
    <w:rsid w:val="00350EAC"/>
    <w:rsid w:val="00354F38"/>
    <w:rsid w:val="00357F85"/>
    <w:rsid w:val="00360FB5"/>
    <w:rsid w:val="003627B4"/>
    <w:rsid w:val="00364449"/>
    <w:rsid w:val="00365306"/>
    <w:rsid w:val="0036689F"/>
    <w:rsid w:val="00387FE1"/>
    <w:rsid w:val="003941F2"/>
    <w:rsid w:val="00394E69"/>
    <w:rsid w:val="003A06B4"/>
    <w:rsid w:val="003A24DF"/>
    <w:rsid w:val="003A7D36"/>
    <w:rsid w:val="003B5AB4"/>
    <w:rsid w:val="003B611F"/>
    <w:rsid w:val="003C36B5"/>
    <w:rsid w:val="003C444B"/>
    <w:rsid w:val="003C6465"/>
    <w:rsid w:val="003C7950"/>
    <w:rsid w:val="003E45A7"/>
    <w:rsid w:val="003E5608"/>
    <w:rsid w:val="003E6782"/>
    <w:rsid w:val="003F07A5"/>
    <w:rsid w:val="003F0C59"/>
    <w:rsid w:val="003F203F"/>
    <w:rsid w:val="003F68C1"/>
    <w:rsid w:val="003F7004"/>
    <w:rsid w:val="003F7DF7"/>
    <w:rsid w:val="00407664"/>
    <w:rsid w:val="00410125"/>
    <w:rsid w:val="004129AB"/>
    <w:rsid w:val="004131AD"/>
    <w:rsid w:val="00421F05"/>
    <w:rsid w:val="004228A1"/>
    <w:rsid w:val="004240BE"/>
    <w:rsid w:val="004257DD"/>
    <w:rsid w:val="004271A6"/>
    <w:rsid w:val="00427549"/>
    <w:rsid w:val="00430617"/>
    <w:rsid w:val="0044182B"/>
    <w:rsid w:val="004419EE"/>
    <w:rsid w:val="004453E4"/>
    <w:rsid w:val="0044574D"/>
    <w:rsid w:val="00450BF4"/>
    <w:rsid w:val="0046784E"/>
    <w:rsid w:val="00471FE8"/>
    <w:rsid w:val="0047409D"/>
    <w:rsid w:val="00475653"/>
    <w:rsid w:val="00477957"/>
    <w:rsid w:val="00481BC6"/>
    <w:rsid w:val="004841AF"/>
    <w:rsid w:val="00484843"/>
    <w:rsid w:val="00484FF3"/>
    <w:rsid w:val="0049418E"/>
    <w:rsid w:val="0049595E"/>
    <w:rsid w:val="004A03EE"/>
    <w:rsid w:val="004A21E6"/>
    <w:rsid w:val="004A2793"/>
    <w:rsid w:val="004B08F7"/>
    <w:rsid w:val="004B1234"/>
    <w:rsid w:val="004B203B"/>
    <w:rsid w:val="004B3A3E"/>
    <w:rsid w:val="004B7F3F"/>
    <w:rsid w:val="004C005A"/>
    <w:rsid w:val="004C0466"/>
    <w:rsid w:val="004C0771"/>
    <w:rsid w:val="004C4F7D"/>
    <w:rsid w:val="004C5D32"/>
    <w:rsid w:val="004D12B6"/>
    <w:rsid w:val="004D58F4"/>
    <w:rsid w:val="004D602E"/>
    <w:rsid w:val="004D6B92"/>
    <w:rsid w:val="004E4D5A"/>
    <w:rsid w:val="004F04DB"/>
    <w:rsid w:val="004F19ED"/>
    <w:rsid w:val="0050274A"/>
    <w:rsid w:val="00505AFF"/>
    <w:rsid w:val="00511C2D"/>
    <w:rsid w:val="0051257E"/>
    <w:rsid w:val="005137A6"/>
    <w:rsid w:val="00523397"/>
    <w:rsid w:val="00527A67"/>
    <w:rsid w:val="00547943"/>
    <w:rsid w:val="00552483"/>
    <w:rsid w:val="00552A53"/>
    <w:rsid w:val="005607C3"/>
    <w:rsid w:val="00572078"/>
    <w:rsid w:val="00572D4A"/>
    <w:rsid w:val="005742DD"/>
    <w:rsid w:val="00590156"/>
    <w:rsid w:val="005935C3"/>
    <w:rsid w:val="005A30C3"/>
    <w:rsid w:val="005A382E"/>
    <w:rsid w:val="005B18AE"/>
    <w:rsid w:val="005B4DEA"/>
    <w:rsid w:val="005B67AF"/>
    <w:rsid w:val="005C5BFE"/>
    <w:rsid w:val="005C5E19"/>
    <w:rsid w:val="005D26B3"/>
    <w:rsid w:val="005D5D3C"/>
    <w:rsid w:val="005D7A7B"/>
    <w:rsid w:val="005E45CC"/>
    <w:rsid w:val="005E5D18"/>
    <w:rsid w:val="005E6066"/>
    <w:rsid w:val="005F2033"/>
    <w:rsid w:val="006058DA"/>
    <w:rsid w:val="00612FC5"/>
    <w:rsid w:val="0061466B"/>
    <w:rsid w:val="00624506"/>
    <w:rsid w:val="006252AF"/>
    <w:rsid w:val="0062789C"/>
    <w:rsid w:val="00627E38"/>
    <w:rsid w:val="006337AC"/>
    <w:rsid w:val="00636D16"/>
    <w:rsid w:val="00643C31"/>
    <w:rsid w:val="00645FE1"/>
    <w:rsid w:val="00661223"/>
    <w:rsid w:val="00672451"/>
    <w:rsid w:val="006753E6"/>
    <w:rsid w:val="00675894"/>
    <w:rsid w:val="00676939"/>
    <w:rsid w:val="00677D18"/>
    <w:rsid w:val="00685EA8"/>
    <w:rsid w:val="00686A93"/>
    <w:rsid w:val="00686EF2"/>
    <w:rsid w:val="00690990"/>
    <w:rsid w:val="00691387"/>
    <w:rsid w:val="006918CD"/>
    <w:rsid w:val="00692A3F"/>
    <w:rsid w:val="00694A6D"/>
    <w:rsid w:val="00695FDB"/>
    <w:rsid w:val="006A4A4E"/>
    <w:rsid w:val="006B22B3"/>
    <w:rsid w:val="006B2A5D"/>
    <w:rsid w:val="006B5DC6"/>
    <w:rsid w:val="006C238C"/>
    <w:rsid w:val="006D061C"/>
    <w:rsid w:val="006D6390"/>
    <w:rsid w:val="006E7242"/>
    <w:rsid w:val="006F2D99"/>
    <w:rsid w:val="006F7B8F"/>
    <w:rsid w:val="0070321F"/>
    <w:rsid w:val="007037D8"/>
    <w:rsid w:val="0070466B"/>
    <w:rsid w:val="00704735"/>
    <w:rsid w:val="0070600B"/>
    <w:rsid w:val="00706887"/>
    <w:rsid w:val="00707A3D"/>
    <w:rsid w:val="007128AA"/>
    <w:rsid w:val="00715800"/>
    <w:rsid w:val="00717365"/>
    <w:rsid w:val="0072280D"/>
    <w:rsid w:val="0072452E"/>
    <w:rsid w:val="00732F55"/>
    <w:rsid w:val="0073506F"/>
    <w:rsid w:val="007352C6"/>
    <w:rsid w:val="00736807"/>
    <w:rsid w:val="00744116"/>
    <w:rsid w:val="00746AB2"/>
    <w:rsid w:val="0075048A"/>
    <w:rsid w:val="007521F6"/>
    <w:rsid w:val="007550F9"/>
    <w:rsid w:val="0076222C"/>
    <w:rsid w:val="007658B9"/>
    <w:rsid w:val="00766A0B"/>
    <w:rsid w:val="00767F00"/>
    <w:rsid w:val="00792CE6"/>
    <w:rsid w:val="007A3E2D"/>
    <w:rsid w:val="007A6A08"/>
    <w:rsid w:val="007B0336"/>
    <w:rsid w:val="007B29B3"/>
    <w:rsid w:val="007B3F26"/>
    <w:rsid w:val="007B6452"/>
    <w:rsid w:val="007B6619"/>
    <w:rsid w:val="007B781D"/>
    <w:rsid w:val="007C4651"/>
    <w:rsid w:val="007D1372"/>
    <w:rsid w:val="007D196D"/>
    <w:rsid w:val="007D620E"/>
    <w:rsid w:val="007E6510"/>
    <w:rsid w:val="007F1D79"/>
    <w:rsid w:val="007F4C84"/>
    <w:rsid w:val="007F6978"/>
    <w:rsid w:val="0080057B"/>
    <w:rsid w:val="008014DD"/>
    <w:rsid w:val="008035AC"/>
    <w:rsid w:val="00810896"/>
    <w:rsid w:val="0081173E"/>
    <w:rsid w:val="00812FCB"/>
    <w:rsid w:val="0081479E"/>
    <w:rsid w:val="00833B8C"/>
    <w:rsid w:val="00837F68"/>
    <w:rsid w:val="0084412B"/>
    <w:rsid w:val="00847A16"/>
    <w:rsid w:val="00853E69"/>
    <w:rsid w:val="00864B4C"/>
    <w:rsid w:val="00864FC6"/>
    <w:rsid w:val="0086687E"/>
    <w:rsid w:val="0087106D"/>
    <w:rsid w:val="00872366"/>
    <w:rsid w:val="0087567B"/>
    <w:rsid w:val="008819D1"/>
    <w:rsid w:val="00883494"/>
    <w:rsid w:val="00884220"/>
    <w:rsid w:val="00893A33"/>
    <w:rsid w:val="00893E3C"/>
    <w:rsid w:val="00895106"/>
    <w:rsid w:val="008A0433"/>
    <w:rsid w:val="008A17DF"/>
    <w:rsid w:val="008A2A5E"/>
    <w:rsid w:val="008A4F11"/>
    <w:rsid w:val="008B5AFD"/>
    <w:rsid w:val="008C1864"/>
    <w:rsid w:val="008C337D"/>
    <w:rsid w:val="008D0737"/>
    <w:rsid w:val="008D2915"/>
    <w:rsid w:val="008D42AE"/>
    <w:rsid w:val="008D5008"/>
    <w:rsid w:val="008E0319"/>
    <w:rsid w:val="008E74FA"/>
    <w:rsid w:val="008F76DF"/>
    <w:rsid w:val="009215AB"/>
    <w:rsid w:val="00926EEF"/>
    <w:rsid w:val="00932633"/>
    <w:rsid w:val="00942D9F"/>
    <w:rsid w:val="00952BC6"/>
    <w:rsid w:val="009606FA"/>
    <w:rsid w:val="00962914"/>
    <w:rsid w:val="009647B9"/>
    <w:rsid w:val="00970C49"/>
    <w:rsid w:val="00972E25"/>
    <w:rsid w:val="00976DD4"/>
    <w:rsid w:val="0099082E"/>
    <w:rsid w:val="009909FA"/>
    <w:rsid w:val="009A39E1"/>
    <w:rsid w:val="009A5EC2"/>
    <w:rsid w:val="009A6E17"/>
    <w:rsid w:val="009B3602"/>
    <w:rsid w:val="009B6016"/>
    <w:rsid w:val="009C2385"/>
    <w:rsid w:val="009C3B78"/>
    <w:rsid w:val="009D2250"/>
    <w:rsid w:val="009D7FA5"/>
    <w:rsid w:val="009E105B"/>
    <w:rsid w:val="009E1FE4"/>
    <w:rsid w:val="009E4E7E"/>
    <w:rsid w:val="009E6560"/>
    <w:rsid w:val="009E6F34"/>
    <w:rsid w:val="009F3647"/>
    <w:rsid w:val="009F6184"/>
    <w:rsid w:val="009F7EBC"/>
    <w:rsid w:val="00A119F9"/>
    <w:rsid w:val="00A1221F"/>
    <w:rsid w:val="00A239CA"/>
    <w:rsid w:val="00A24579"/>
    <w:rsid w:val="00A271E2"/>
    <w:rsid w:val="00A31043"/>
    <w:rsid w:val="00A41A74"/>
    <w:rsid w:val="00A41B4E"/>
    <w:rsid w:val="00A462F3"/>
    <w:rsid w:val="00A46A9A"/>
    <w:rsid w:val="00A53115"/>
    <w:rsid w:val="00A531C5"/>
    <w:rsid w:val="00A55E4D"/>
    <w:rsid w:val="00A576F6"/>
    <w:rsid w:val="00A60D9B"/>
    <w:rsid w:val="00A6107F"/>
    <w:rsid w:val="00A634CE"/>
    <w:rsid w:val="00A64DC8"/>
    <w:rsid w:val="00A75986"/>
    <w:rsid w:val="00A86B43"/>
    <w:rsid w:val="00A96E92"/>
    <w:rsid w:val="00AB0510"/>
    <w:rsid w:val="00AB07C3"/>
    <w:rsid w:val="00AB1338"/>
    <w:rsid w:val="00AB1A60"/>
    <w:rsid w:val="00AB6AC5"/>
    <w:rsid w:val="00AC2F2F"/>
    <w:rsid w:val="00AD08D4"/>
    <w:rsid w:val="00AD1F96"/>
    <w:rsid w:val="00AD6C9E"/>
    <w:rsid w:val="00AD712A"/>
    <w:rsid w:val="00AF2992"/>
    <w:rsid w:val="00AF2C8F"/>
    <w:rsid w:val="00AF76BF"/>
    <w:rsid w:val="00AF7AC3"/>
    <w:rsid w:val="00B07F23"/>
    <w:rsid w:val="00B11A2C"/>
    <w:rsid w:val="00B12981"/>
    <w:rsid w:val="00B2062B"/>
    <w:rsid w:val="00B25744"/>
    <w:rsid w:val="00B30AA6"/>
    <w:rsid w:val="00B3349C"/>
    <w:rsid w:val="00B3402F"/>
    <w:rsid w:val="00B35EB0"/>
    <w:rsid w:val="00B35F76"/>
    <w:rsid w:val="00B37177"/>
    <w:rsid w:val="00B37E97"/>
    <w:rsid w:val="00B40FBD"/>
    <w:rsid w:val="00B41E27"/>
    <w:rsid w:val="00B45D8B"/>
    <w:rsid w:val="00B5469F"/>
    <w:rsid w:val="00B563A3"/>
    <w:rsid w:val="00B64409"/>
    <w:rsid w:val="00B70CD5"/>
    <w:rsid w:val="00B77074"/>
    <w:rsid w:val="00B77793"/>
    <w:rsid w:val="00B86934"/>
    <w:rsid w:val="00B91BE2"/>
    <w:rsid w:val="00B94EE1"/>
    <w:rsid w:val="00B95442"/>
    <w:rsid w:val="00BA0F8A"/>
    <w:rsid w:val="00BA2320"/>
    <w:rsid w:val="00BA3150"/>
    <w:rsid w:val="00BA4BB6"/>
    <w:rsid w:val="00BA745A"/>
    <w:rsid w:val="00BB0D0B"/>
    <w:rsid w:val="00BB16A8"/>
    <w:rsid w:val="00BC6248"/>
    <w:rsid w:val="00BD3AEE"/>
    <w:rsid w:val="00BE0E53"/>
    <w:rsid w:val="00BE475E"/>
    <w:rsid w:val="00BF6618"/>
    <w:rsid w:val="00BF78B1"/>
    <w:rsid w:val="00C203E3"/>
    <w:rsid w:val="00C216A8"/>
    <w:rsid w:val="00C21E73"/>
    <w:rsid w:val="00C3157E"/>
    <w:rsid w:val="00C32BDB"/>
    <w:rsid w:val="00C339F3"/>
    <w:rsid w:val="00C33BF5"/>
    <w:rsid w:val="00C40754"/>
    <w:rsid w:val="00C40B8A"/>
    <w:rsid w:val="00C44F7C"/>
    <w:rsid w:val="00C45FFF"/>
    <w:rsid w:val="00C50F3A"/>
    <w:rsid w:val="00C5293E"/>
    <w:rsid w:val="00C5314A"/>
    <w:rsid w:val="00C54C52"/>
    <w:rsid w:val="00C55A30"/>
    <w:rsid w:val="00C57D52"/>
    <w:rsid w:val="00C634D6"/>
    <w:rsid w:val="00C702EE"/>
    <w:rsid w:val="00C74131"/>
    <w:rsid w:val="00C76834"/>
    <w:rsid w:val="00C771D0"/>
    <w:rsid w:val="00C81F14"/>
    <w:rsid w:val="00C822C6"/>
    <w:rsid w:val="00C86BFB"/>
    <w:rsid w:val="00C907CE"/>
    <w:rsid w:val="00C92F65"/>
    <w:rsid w:val="00C9409E"/>
    <w:rsid w:val="00C96BA1"/>
    <w:rsid w:val="00CA2A56"/>
    <w:rsid w:val="00CA6186"/>
    <w:rsid w:val="00CB032F"/>
    <w:rsid w:val="00CB0A31"/>
    <w:rsid w:val="00CB2F18"/>
    <w:rsid w:val="00CC0D97"/>
    <w:rsid w:val="00CC207B"/>
    <w:rsid w:val="00CD0A09"/>
    <w:rsid w:val="00CD137F"/>
    <w:rsid w:val="00CD386A"/>
    <w:rsid w:val="00CE5ABC"/>
    <w:rsid w:val="00CF07C1"/>
    <w:rsid w:val="00CF0959"/>
    <w:rsid w:val="00CF2D76"/>
    <w:rsid w:val="00CF4B1F"/>
    <w:rsid w:val="00CF5EA6"/>
    <w:rsid w:val="00CF67BE"/>
    <w:rsid w:val="00D0042F"/>
    <w:rsid w:val="00D12C5D"/>
    <w:rsid w:val="00D15883"/>
    <w:rsid w:val="00D26C4E"/>
    <w:rsid w:val="00D3772B"/>
    <w:rsid w:val="00D42DD4"/>
    <w:rsid w:val="00D455C9"/>
    <w:rsid w:val="00D4564E"/>
    <w:rsid w:val="00D51D6C"/>
    <w:rsid w:val="00D520C4"/>
    <w:rsid w:val="00D60B4E"/>
    <w:rsid w:val="00D62E5B"/>
    <w:rsid w:val="00D67C78"/>
    <w:rsid w:val="00D67CD8"/>
    <w:rsid w:val="00D729E2"/>
    <w:rsid w:val="00D732F8"/>
    <w:rsid w:val="00D75944"/>
    <w:rsid w:val="00D81793"/>
    <w:rsid w:val="00D82D92"/>
    <w:rsid w:val="00D837F4"/>
    <w:rsid w:val="00D8485A"/>
    <w:rsid w:val="00D85C79"/>
    <w:rsid w:val="00D86A9E"/>
    <w:rsid w:val="00D87D6A"/>
    <w:rsid w:val="00DA02E4"/>
    <w:rsid w:val="00DB1B9B"/>
    <w:rsid w:val="00DB4B17"/>
    <w:rsid w:val="00DB58E8"/>
    <w:rsid w:val="00DB58F9"/>
    <w:rsid w:val="00DB718D"/>
    <w:rsid w:val="00DC0029"/>
    <w:rsid w:val="00DC0117"/>
    <w:rsid w:val="00DC3EA4"/>
    <w:rsid w:val="00DD4340"/>
    <w:rsid w:val="00DE057B"/>
    <w:rsid w:val="00DF1D59"/>
    <w:rsid w:val="00DF2A0E"/>
    <w:rsid w:val="00DF6692"/>
    <w:rsid w:val="00DF69C6"/>
    <w:rsid w:val="00E00A7E"/>
    <w:rsid w:val="00E0116D"/>
    <w:rsid w:val="00E0279A"/>
    <w:rsid w:val="00E109AE"/>
    <w:rsid w:val="00E1752B"/>
    <w:rsid w:val="00E20461"/>
    <w:rsid w:val="00E21520"/>
    <w:rsid w:val="00E21A9D"/>
    <w:rsid w:val="00E221FB"/>
    <w:rsid w:val="00E246E4"/>
    <w:rsid w:val="00E34C33"/>
    <w:rsid w:val="00E35A62"/>
    <w:rsid w:val="00E4547D"/>
    <w:rsid w:val="00E52DD8"/>
    <w:rsid w:val="00E546E5"/>
    <w:rsid w:val="00E56C48"/>
    <w:rsid w:val="00E60E3E"/>
    <w:rsid w:val="00E61D91"/>
    <w:rsid w:val="00E61E34"/>
    <w:rsid w:val="00E63DA7"/>
    <w:rsid w:val="00E642A9"/>
    <w:rsid w:val="00E65E3E"/>
    <w:rsid w:val="00E67C9B"/>
    <w:rsid w:val="00E72110"/>
    <w:rsid w:val="00E74CA1"/>
    <w:rsid w:val="00E74E95"/>
    <w:rsid w:val="00E754A7"/>
    <w:rsid w:val="00E85183"/>
    <w:rsid w:val="00E915F7"/>
    <w:rsid w:val="00E92638"/>
    <w:rsid w:val="00E95AB9"/>
    <w:rsid w:val="00E95F32"/>
    <w:rsid w:val="00EA0A56"/>
    <w:rsid w:val="00EA1478"/>
    <w:rsid w:val="00EA489C"/>
    <w:rsid w:val="00EA7D64"/>
    <w:rsid w:val="00EB0E82"/>
    <w:rsid w:val="00EB3238"/>
    <w:rsid w:val="00EB5A34"/>
    <w:rsid w:val="00EB6005"/>
    <w:rsid w:val="00EB65F2"/>
    <w:rsid w:val="00EC4D45"/>
    <w:rsid w:val="00EC51B7"/>
    <w:rsid w:val="00ED1B14"/>
    <w:rsid w:val="00EE164F"/>
    <w:rsid w:val="00EE71A3"/>
    <w:rsid w:val="00EF2C01"/>
    <w:rsid w:val="00EF448E"/>
    <w:rsid w:val="00F0730C"/>
    <w:rsid w:val="00F10148"/>
    <w:rsid w:val="00F1367B"/>
    <w:rsid w:val="00F145BB"/>
    <w:rsid w:val="00F155C8"/>
    <w:rsid w:val="00F25C8E"/>
    <w:rsid w:val="00F26B3F"/>
    <w:rsid w:val="00F278A7"/>
    <w:rsid w:val="00F37B62"/>
    <w:rsid w:val="00F50931"/>
    <w:rsid w:val="00F61895"/>
    <w:rsid w:val="00F61E02"/>
    <w:rsid w:val="00F62654"/>
    <w:rsid w:val="00F65378"/>
    <w:rsid w:val="00F65681"/>
    <w:rsid w:val="00F66F44"/>
    <w:rsid w:val="00F714E5"/>
    <w:rsid w:val="00F71899"/>
    <w:rsid w:val="00F73AFB"/>
    <w:rsid w:val="00F74AA3"/>
    <w:rsid w:val="00F74C5E"/>
    <w:rsid w:val="00F76F2A"/>
    <w:rsid w:val="00F77004"/>
    <w:rsid w:val="00F82987"/>
    <w:rsid w:val="00F83D0F"/>
    <w:rsid w:val="00F84D54"/>
    <w:rsid w:val="00F85BEA"/>
    <w:rsid w:val="00F87B1B"/>
    <w:rsid w:val="00F90A70"/>
    <w:rsid w:val="00F92528"/>
    <w:rsid w:val="00F925C8"/>
    <w:rsid w:val="00F92D2C"/>
    <w:rsid w:val="00FA2D05"/>
    <w:rsid w:val="00FA614E"/>
    <w:rsid w:val="00FA6412"/>
    <w:rsid w:val="00FA6685"/>
    <w:rsid w:val="00FA6875"/>
    <w:rsid w:val="00FA69C5"/>
    <w:rsid w:val="00FB1622"/>
    <w:rsid w:val="00FB548F"/>
    <w:rsid w:val="00FC1BA1"/>
    <w:rsid w:val="00FC5484"/>
    <w:rsid w:val="00FC7E5A"/>
    <w:rsid w:val="00FD0BE1"/>
    <w:rsid w:val="00FD1967"/>
    <w:rsid w:val="00FD53E9"/>
    <w:rsid w:val="00FD5FFB"/>
    <w:rsid w:val="00FE3A0D"/>
    <w:rsid w:val="00FE6862"/>
    <w:rsid w:val="00FE79F9"/>
    <w:rsid w:val="00FF1013"/>
    <w:rsid w:val="00FF20D3"/>
    <w:rsid w:val="00FF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autoRedefine/>
    <w:qFormat/>
    <w:rsid w:val="007D1372"/>
    <w:pPr>
      <w:keepNext/>
      <w:tabs>
        <w:tab w:val="left" w:pos="1800"/>
      </w:tabs>
      <w:spacing w:line="480" w:lineRule="auto"/>
      <w:outlineLvl w:val="0"/>
    </w:pPr>
    <w:rPr>
      <w:b/>
      <w:noProof/>
      <w:sz w:val="22"/>
      <w:szCs w:val="22"/>
    </w:rPr>
  </w:style>
  <w:style w:type="paragraph" w:styleId="Heading2">
    <w:name w:val="heading 2"/>
    <w:basedOn w:val="Normal"/>
    <w:next w:val="Normal"/>
    <w:autoRedefine/>
    <w:qFormat/>
    <w:rsid w:val="00B64409"/>
    <w:pPr>
      <w:keepNext/>
      <w:spacing w:line="480" w:lineRule="auto"/>
      <w:outlineLvl w:val="1"/>
    </w:pPr>
    <w:rPr>
      <w:b/>
      <w:sz w:val="22"/>
    </w:rPr>
  </w:style>
  <w:style w:type="paragraph" w:styleId="Heading3">
    <w:name w:val="heading 3"/>
    <w:basedOn w:val="Normal"/>
    <w:next w:val="Normal"/>
    <w:qFormat/>
    <w:pPr>
      <w:keepNext/>
      <w:spacing w:before="120"/>
      <w:jc w:val="center"/>
      <w:outlineLvl w:val="2"/>
    </w:pPr>
    <w:rPr>
      <w:sz w:val="24"/>
    </w:rPr>
  </w:style>
  <w:style w:type="paragraph" w:styleId="Heading4">
    <w:name w:val="heading 4"/>
    <w:basedOn w:val="Normal"/>
    <w:next w:val="Normal"/>
    <w:qFormat/>
    <w:pPr>
      <w:keepNext/>
      <w:spacing w:line="480" w:lineRule="auto"/>
      <w:outlineLvl w:val="3"/>
    </w:pPr>
    <w:rPr>
      <w:b/>
      <w:sz w:val="22"/>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rPr>
  </w:style>
  <w:style w:type="paragraph" w:styleId="BodyTextIndent">
    <w:name w:val="Body Text Indent"/>
    <w:basedOn w:val="Normal"/>
    <w:pPr>
      <w:spacing w:line="480" w:lineRule="auto"/>
      <w:ind w:firstLine="360"/>
    </w:pPr>
    <w:rPr>
      <w:sz w:val="22"/>
    </w:rPr>
  </w:style>
  <w:style w:type="paragraph" w:styleId="BodyTextIndent2">
    <w:name w:val="Body Text Indent 2"/>
    <w:basedOn w:val="Normal"/>
    <w:pPr>
      <w:ind w:left="7200" w:hanging="2880"/>
    </w:pPr>
    <w:rPr>
      <w:sz w:val="22"/>
    </w:r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spacing w:line="480" w:lineRule="auto"/>
      <w:ind w:left="450" w:firstLine="270"/>
    </w:pPr>
    <w:rPr>
      <w:sz w:val="22"/>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semiHidden/>
    <w:rsid w:val="00F82987"/>
    <w:rPr>
      <w:sz w:val="16"/>
      <w:szCs w:val="16"/>
    </w:rPr>
  </w:style>
  <w:style w:type="paragraph" w:styleId="CommentText">
    <w:name w:val="annotation text"/>
    <w:basedOn w:val="Normal"/>
    <w:semiHidden/>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rsid w:val="00B35F76"/>
    <w:pPr>
      <w:spacing w:before="100" w:beforeAutospacing="1" w:after="100" w:afterAutospacing="1"/>
    </w:pPr>
    <w:rPr>
      <w:sz w:val="24"/>
      <w:szCs w:val="24"/>
    </w:rPr>
  </w:style>
  <w:style w:type="paragraph" w:styleId="TOC1">
    <w:name w:val="toc 1"/>
    <w:basedOn w:val="Normal"/>
    <w:next w:val="Normal"/>
    <w:autoRedefine/>
    <w:semiHidden/>
    <w:rsid w:val="00AB07C3"/>
    <w:pPr>
      <w:tabs>
        <w:tab w:val="left" w:pos="720"/>
        <w:tab w:val="right" w:pos="9360"/>
      </w:tabs>
    </w:pPr>
    <w:rPr>
      <w:b/>
      <w:smallCaps/>
    </w:rPr>
  </w:style>
  <w:style w:type="paragraph" w:styleId="TOC3">
    <w:name w:val="toc 3"/>
    <w:basedOn w:val="Normal"/>
    <w:next w:val="Normal"/>
    <w:autoRedefine/>
    <w:semiHidden/>
    <w:rsid w:val="00B77074"/>
    <w:pPr>
      <w:ind w:left="400"/>
    </w:pPr>
  </w:style>
  <w:style w:type="paragraph" w:styleId="TOC2">
    <w:name w:val="toc 2"/>
    <w:basedOn w:val="Normal"/>
    <w:next w:val="Normal"/>
    <w:autoRedefine/>
    <w:semiHidden/>
    <w:rsid w:val="004B203B"/>
    <w:pPr>
      <w:tabs>
        <w:tab w:val="left" w:pos="540"/>
        <w:tab w:val="right" w:leader="dot" w:pos="9350"/>
      </w:tabs>
      <w:spacing w:line="480" w:lineRule="auto"/>
    </w:pPr>
    <w:rPr>
      <w:noProof/>
      <w:color w:val="000000"/>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70321F"/>
    <w:pPr>
      <w:ind w:left="720"/>
      <w:contextualSpacing/>
    </w:pPr>
  </w:style>
  <w:style w:type="table" w:styleId="TableGrid">
    <w:name w:val="Table Grid"/>
    <w:basedOn w:val="TableNormal"/>
    <w:uiPriority w:val="59"/>
    <w:rsid w:val="00DF2A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1234"/>
    <w:rPr>
      <w:i/>
      <w:iCs/>
    </w:rPr>
  </w:style>
  <w:style w:type="paragraph" w:customStyle="1" w:styleId="P1-StandPara">
    <w:name w:val="P1-Stand Para"/>
    <w:rsid w:val="00810896"/>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autoRedefine/>
    <w:qFormat/>
    <w:rsid w:val="007D1372"/>
    <w:pPr>
      <w:keepNext/>
      <w:tabs>
        <w:tab w:val="left" w:pos="1800"/>
      </w:tabs>
      <w:spacing w:line="480" w:lineRule="auto"/>
      <w:outlineLvl w:val="0"/>
    </w:pPr>
    <w:rPr>
      <w:b/>
      <w:noProof/>
      <w:sz w:val="22"/>
      <w:szCs w:val="22"/>
    </w:rPr>
  </w:style>
  <w:style w:type="paragraph" w:styleId="Heading2">
    <w:name w:val="heading 2"/>
    <w:basedOn w:val="Normal"/>
    <w:next w:val="Normal"/>
    <w:autoRedefine/>
    <w:qFormat/>
    <w:rsid w:val="00B64409"/>
    <w:pPr>
      <w:keepNext/>
      <w:spacing w:line="480" w:lineRule="auto"/>
      <w:outlineLvl w:val="1"/>
    </w:pPr>
    <w:rPr>
      <w:b/>
      <w:sz w:val="22"/>
    </w:rPr>
  </w:style>
  <w:style w:type="paragraph" w:styleId="Heading3">
    <w:name w:val="heading 3"/>
    <w:basedOn w:val="Normal"/>
    <w:next w:val="Normal"/>
    <w:qFormat/>
    <w:pPr>
      <w:keepNext/>
      <w:spacing w:before="120"/>
      <w:jc w:val="center"/>
      <w:outlineLvl w:val="2"/>
    </w:pPr>
    <w:rPr>
      <w:sz w:val="24"/>
    </w:rPr>
  </w:style>
  <w:style w:type="paragraph" w:styleId="Heading4">
    <w:name w:val="heading 4"/>
    <w:basedOn w:val="Normal"/>
    <w:next w:val="Normal"/>
    <w:qFormat/>
    <w:pPr>
      <w:keepNext/>
      <w:spacing w:line="480" w:lineRule="auto"/>
      <w:outlineLvl w:val="3"/>
    </w:pPr>
    <w:rPr>
      <w:b/>
      <w:sz w:val="22"/>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rPr>
  </w:style>
  <w:style w:type="paragraph" w:styleId="BodyTextIndent">
    <w:name w:val="Body Text Indent"/>
    <w:basedOn w:val="Normal"/>
    <w:pPr>
      <w:spacing w:line="480" w:lineRule="auto"/>
      <w:ind w:firstLine="360"/>
    </w:pPr>
    <w:rPr>
      <w:sz w:val="22"/>
    </w:rPr>
  </w:style>
  <w:style w:type="paragraph" w:styleId="BodyTextIndent2">
    <w:name w:val="Body Text Indent 2"/>
    <w:basedOn w:val="Normal"/>
    <w:pPr>
      <w:ind w:left="7200" w:hanging="2880"/>
    </w:pPr>
    <w:rPr>
      <w:sz w:val="22"/>
    </w:r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spacing w:line="480" w:lineRule="auto"/>
      <w:ind w:left="450" w:firstLine="270"/>
    </w:pPr>
    <w:rPr>
      <w:sz w:val="22"/>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semiHidden/>
    <w:rsid w:val="00F82987"/>
    <w:rPr>
      <w:sz w:val="16"/>
      <w:szCs w:val="16"/>
    </w:rPr>
  </w:style>
  <w:style w:type="paragraph" w:styleId="CommentText">
    <w:name w:val="annotation text"/>
    <w:basedOn w:val="Normal"/>
    <w:semiHidden/>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rsid w:val="00B35F76"/>
    <w:pPr>
      <w:spacing w:before="100" w:beforeAutospacing="1" w:after="100" w:afterAutospacing="1"/>
    </w:pPr>
    <w:rPr>
      <w:sz w:val="24"/>
      <w:szCs w:val="24"/>
    </w:rPr>
  </w:style>
  <w:style w:type="paragraph" w:styleId="TOC1">
    <w:name w:val="toc 1"/>
    <w:basedOn w:val="Normal"/>
    <w:next w:val="Normal"/>
    <w:autoRedefine/>
    <w:semiHidden/>
    <w:rsid w:val="00AB07C3"/>
    <w:pPr>
      <w:tabs>
        <w:tab w:val="left" w:pos="720"/>
        <w:tab w:val="right" w:pos="9360"/>
      </w:tabs>
    </w:pPr>
    <w:rPr>
      <w:b/>
      <w:smallCaps/>
    </w:rPr>
  </w:style>
  <w:style w:type="paragraph" w:styleId="TOC3">
    <w:name w:val="toc 3"/>
    <w:basedOn w:val="Normal"/>
    <w:next w:val="Normal"/>
    <w:autoRedefine/>
    <w:semiHidden/>
    <w:rsid w:val="00B77074"/>
    <w:pPr>
      <w:ind w:left="400"/>
    </w:pPr>
  </w:style>
  <w:style w:type="paragraph" w:styleId="TOC2">
    <w:name w:val="toc 2"/>
    <w:basedOn w:val="Normal"/>
    <w:next w:val="Normal"/>
    <w:autoRedefine/>
    <w:semiHidden/>
    <w:rsid w:val="004B203B"/>
    <w:pPr>
      <w:tabs>
        <w:tab w:val="left" w:pos="540"/>
        <w:tab w:val="right" w:leader="dot" w:pos="9350"/>
      </w:tabs>
      <w:spacing w:line="480" w:lineRule="auto"/>
    </w:pPr>
    <w:rPr>
      <w:noProof/>
      <w:color w:val="000000"/>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70321F"/>
    <w:pPr>
      <w:ind w:left="720"/>
      <w:contextualSpacing/>
    </w:pPr>
  </w:style>
  <w:style w:type="table" w:styleId="TableGrid">
    <w:name w:val="Table Grid"/>
    <w:basedOn w:val="TableNormal"/>
    <w:uiPriority w:val="59"/>
    <w:rsid w:val="00DF2A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1234"/>
    <w:rPr>
      <w:i/>
      <w:iCs/>
    </w:rPr>
  </w:style>
  <w:style w:type="paragraph" w:customStyle="1" w:styleId="P1-StandPara">
    <w:name w:val="P1-Stand Para"/>
    <w:rsid w:val="00810896"/>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8650">
      <w:bodyDiv w:val="1"/>
      <w:marLeft w:val="0"/>
      <w:marRight w:val="0"/>
      <w:marTop w:val="0"/>
      <w:marBottom w:val="0"/>
      <w:divBdr>
        <w:top w:val="none" w:sz="0" w:space="0" w:color="auto"/>
        <w:left w:val="none" w:sz="0" w:space="0" w:color="auto"/>
        <w:bottom w:val="none" w:sz="0" w:space="0" w:color="auto"/>
        <w:right w:val="none" w:sz="0" w:space="0" w:color="auto"/>
      </w:divBdr>
    </w:div>
    <w:div w:id="215512295">
      <w:bodyDiv w:val="1"/>
      <w:marLeft w:val="0"/>
      <w:marRight w:val="0"/>
      <w:marTop w:val="0"/>
      <w:marBottom w:val="0"/>
      <w:divBdr>
        <w:top w:val="none" w:sz="0" w:space="0" w:color="auto"/>
        <w:left w:val="none" w:sz="0" w:space="0" w:color="auto"/>
        <w:bottom w:val="none" w:sz="0" w:space="0" w:color="auto"/>
        <w:right w:val="none" w:sz="0" w:space="0" w:color="auto"/>
      </w:divBdr>
    </w:div>
    <w:div w:id="345326488">
      <w:bodyDiv w:val="1"/>
      <w:marLeft w:val="0"/>
      <w:marRight w:val="0"/>
      <w:marTop w:val="0"/>
      <w:marBottom w:val="0"/>
      <w:divBdr>
        <w:top w:val="none" w:sz="0" w:space="0" w:color="auto"/>
        <w:left w:val="none" w:sz="0" w:space="0" w:color="auto"/>
        <w:bottom w:val="none" w:sz="0" w:space="0" w:color="auto"/>
        <w:right w:val="none" w:sz="0" w:space="0" w:color="auto"/>
      </w:divBdr>
    </w:div>
    <w:div w:id="440077748">
      <w:bodyDiv w:val="1"/>
      <w:marLeft w:val="0"/>
      <w:marRight w:val="0"/>
      <w:marTop w:val="0"/>
      <w:marBottom w:val="0"/>
      <w:divBdr>
        <w:top w:val="none" w:sz="0" w:space="0" w:color="auto"/>
        <w:left w:val="none" w:sz="0" w:space="0" w:color="auto"/>
        <w:bottom w:val="none" w:sz="0" w:space="0" w:color="auto"/>
        <w:right w:val="none" w:sz="0" w:space="0" w:color="auto"/>
      </w:divBdr>
    </w:div>
    <w:div w:id="545607661">
      <w:bodyDiv w:val="1"/>
      <w:marLeft w:val="0"/>
      <w:marRight w:val="0"/>
      <w:marTop w:val="0"/>
      <w:marBottom w:val="0"/>
      <w:divBdr>
        <w:top w:val="none" w:sz="0" w:space="0" w:color="auto"/>
        <w:left w:val="none" w:sz="0" w:space="0" w:color="auto"/>
        <w:bottom w:val="none" w:sz="0" w:space="0" w:color="auto"/>
        <w:right w:val="none" w:sz="0" w:space="0" w:color="auto"/>
      </w:divBdr>
      <w:divsChild>
        <w:div w:id="509758946">
          <w:marLeft w:val="0"/>
          <w:marRight w:val="0"/>
          <w:marTop w:val="0"/>
          <w:marBottom w:val="0"/>
          <w:divBdr>
            <w:top w:val="none" w:sz="0" w:space="0" w:color="auto"/>
            <w:left w:val="none" w:sz="0" w:space="0" w:color="auto"/>
            <w:bottom w:val="none" w:sz="0" w:space="0" w:color="auto"/>
            <w:right w:val="none" w:sz="0" w:space="0" w:color="auto"/>
          </w:divBdr>
        </w:div>
        <w:div w:id="1675112239">
          <w:marLeft w:val="0"/>
          <w:marRight w:val="0"/>
          <w:marTop w:val="0"/>
          <w:marBottom w:val="0"/>
          <w:divBdr>
            <w:top w:val="none" w:sz="0" w:space="0" w:color="auto"/>
            <w:left w:val="none" w:sz="0" w:space="0" w:color="auto"/>
            <w:bottom w:val="none" w:sz="0" w:space="0" w:color="auto"/>
            <w:right w:val="none" w:sz="0" w:space="0" w:color="auto"/>
          </w:divBdr>
        </w:div>
        <w:div w:id="790703928">
          <w:marLeft w:val="0"/>
          <w:marRight w:val="0"/>
          <w:marTop w:val="0"/>
          <w:marBottom w:val="0"/>
          <w:divBdr>
            <w:top w:val="none" w:sz="0" w:space="0" w:color="auto"/>
            <w:left w:val="none" w:sz="0" w:space="0" w:color="auto"/>
            <w:bottom w:val="none" w:sz="0" w:space="0" w:color="auto"/>
            <w:right w:val="none" w:sz="0" w:space="0" w:color="auto"/>
          </w:divBdr>
        </w:div>
        <w:div w:id="390273619">
          <w:marLeft w:val="0"/>
          <w:marRight w:val="0"/>
          <w:marTop w:val="0"/>
          <w:marBottom w:val="0"/>
          <w:divBdr>
            <w:top w:val="none" w:sz="0" w:space="0" w:color="auto"/>
            <w:left w:val="none" w:sz="0" w:space="0" w:color="auto"/>
            <w:bottom w:val="none" w:sz="0" w:space="0" w:color="auto"/>
            <w:right w:val="none" w:sz="0" w:space="0" w:color="auto"/>
          </w:divBdr>
        </w:div>
        <w:div w:id="2088257920">
          <w:marLeft w:val="0"/>
          <w:marRight w:val="0"/>
          <w:marTop w:val="0"/>
          <w:marBottom w:val="0"/>
          <w:divBdr>
            <w:top w:val="none" w:sz="0" w:space="0" w:color="auto"/>
            <w:left w:val="none" w:sz="0" w:space="0" w:color="auto"/>
            <w:bottom w:val="none" w:sz="0" w:space="0" w:color="auto"/>
            <w:right w:val="none" w:sz="0" w:space="0" w:color="auto"/>
          </w:divBdr>
        </w:div>
        <w:div w:id="1463839214">
          <w:marLeft w:val="0"/>
          <w:marRight w:val="0"/>
          <w:marTop w:val="0"/>
          <w:marBottom w:val="0"/>
          <w:divBdr>
            <w:top w:val="none" w:sz="0" w:space="0" w:color="auto"/>
            <w:left w:val="none" w:sz="0" w:space="0" w:color="auto"/>
            <w:bottom w:val="none" w:sz="0" w:space="0" w:color="auto"/>
            <w:right w:val="none" w:sz="0" w:space="0" w:color="auto"/>
          </w:divBdr>
        </w:div>
        <w:div w:id="1808349720">
          <w:marLeft w:val="0"/>
          <w:marRight w:val="0"/>
          <w:marTop w:val="0"/>
          <w:marBottom w:val="0"/>
          <w:divBdr>
            <w:top w:val="none" w:sz="0" w:space="0" w:color="auto"/>
            <w:left w:val="none" w:sz="0" w:space="0" w:color="auto"/>
            <w:bottom w:val="none" w:sz="0" w:space="0" w:color="auto"/>
            <w:right w:val="none" w:sz="0" w:space="0" w:color="auto"/>
          </w:divBdr>
        </w:div>
        <w:div w:id="979119510">
          <w:marLeft w:val="0"/>
          <w:marRight w:val="0"/>
          <w:marTop w:val="0"/>
          <w:marBottom w:val="0"/>
          <w:divBdr>
            <w:top w:val="none" w:sz="0" w:space="0" w:color="auto"/>
            <w:left w:val="none" w:sz="0" w:space="0" w:color="auto"/>
            <w:bottom w:val="none" w:sz="0" w:space="0" w:color="auto"/>
            <w:right w:val="none" w:sz="0" w:space="0" w:color="auto"/>
          </w:divBdr>
        </w:div>
        <w:div w:id="1703674704">
          <w:marLeft w:val="0"/>
          <w:marRight w:val="0"/>
          <w:marTop w:val="0"/>
          <w:marBottom w:val="0"/>
          <w:divBdr>
            <w:top w:val="none" w:sz="0" w:space="0" w:color="auto"/>
            <w:left w:val="none" w:sz="0" w:space="0" w:color="auto"/>
            <w:bottom w:val="none" w:sz="0" w:space="0" w:color="auto"/>
            <w:right w:val="none" w:sz="0" w:space="0" w:color="auto"/>
          </w:divBdr>
        </w:div>
        <w:div w:id="541092088">
          <w:marLeft w:val="0"/>
          <w:marRight w:val="0"/>
          <w:marTop w:val="0"/>
          <w:marBottom w:val="0"/>
          <w:divBdr>
            <w:top w:val="none" w:sz="0" w:space="0" w:color="auto"/>
            <w:left w:val="none" w:sz="0" w:space="0" w:color="auto"/>
            <w:bottom w:val="none" w:sz="0" w:space="0" w:color="auto"/>
            <w:right w:val="none" w:sz="0" w:space="0" w:color="auto"/>
          </w:divBdr>
        </w:div>
      </w:divsChild>
    </w:div>
    <w:div w:id="550850388">
      <w:bodyDiv w:val="1"/>
      <w:marLeft w:val="0"/>
      <w:marRight w:val="0"/>
      <w:marTop w:val="0"/>
      <w:marBottom w:val="0"/>
      <w:divBdr>
        <w:top w:val="none" w:sz="0" w:space="0" w:color="auto"/>
        <w:left w:val="none" w:sz="0" w:space="0" w:color="auto"/>
        <w:bottom w:val="none" w:sz="0" w:space="0" w:color="auto"/>
        <w:right w:val="none" w:sz="0" w:space="0" w:color="auto"/>
      </w:divBdr>
    </w:div>
    <w:div w:id="683291901">
      <w:bodyDiv w:val="1"/>
      <w:marLeft w:val="0"/>
      <w:marRight w:val="0"/>
      <w:marTop w:val="0"/>
      <w:marBottom w:val="0"/>
      <w:divBdr>
        <w:top w:val="none" w:sz="0" w:space="0" w:color="auto"/>
        <w:left w:val="none" w:sz="0" w:space="0" w:color="auto"/>
        <w:bottom w:val="none" w:sz="0" w:space="0" w:color="auto"/>
        <w:right w:val="none" w:sz="0" w:space="0" w:color="auto"/>
      </w:divBdr>
      <w:divsChild>
        <w:div w:id="626813173">
          <w:marLeft w:val="0"/>
          <w:marRight w:val="0"/>
          <w:marTop w:val="0"/>
          <w:marBottom w:val="0"/>
          <w:divBdr>
            <w:top w:val="none" w:sz="0" w:space="0" w:color="auto"/>
            <w:left w:val="none" w:sz="0" w:space="0" w:color="auto"/>
            <w:bottom w:val="none" w:sz="0" w:space="0" w:color="auto"/>
            <w:right w:val="none" w:sz="0" w:space="0" w:color="auto"/>
          </w:divBdr>
        </w:div>
      </w:divsChild>
    </w:div>
    <w:div w:id="836266489">
      <w:bodyDiv w:val="1"/>
      <w:marLeft w:val="0"/>
      <w:marRight w:val="0"/>
      <w:marTop w:val="0"/>
      <w:marBottom w:val="0"/>
      <w:divBdr>
        <w:top w:val="none" w:sz="0" w:space="0" w:color="auto"/>
        <w:left w:val="none" w:sz="0" w:space="0" w:color="auto"/>
        <w:bottom w:val="none" w:sz="0" w:space="0" w:color="auto"/>
        <w:right w:val="none" w:sz="0" w:space="0" w:color="auto"/>
      </w:divBdr>
    </w:div>
    <w:div w:id="15672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CD4F9-F242-472A-A9FA-C74F6883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6643</Words>
  <Characters>37866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44421</CharactersWithSpaces>
  <SharedDoc>false</SharedDoc>
  <HLinks>
    <vt:vector size="12" baseType="variant">
      <vt:variant>
        <vt:i4>3342376</vt:i4>
      </vt:variant>
      <vt:variant>
        <vt:i4>6</vt:i4>
      </vt:variant>
      <vt:variant>
        <vt:i4>0</vt:i4>
      </vt:variant>
      <vt:variant>
        <vt:i4>5</vt:i4>
      </vt:variant>
      <vt:variant>
        <vt:lpwstr>http://www.ncbi.nlm.nih.gov/pubmed/22152926</vt:lpwstr>
      </vt:variant>
      <vt:variant>
        <vt:lpwstr/>
      </vt:variant>
      <vt:variant>
        <vt:i4>3342371</vt:i4>
      </vt:variant>
      <vt:variant>
        <vt:i4>3</vt:i4>
      </vt:variant>
      <vt:variant>
        <vt:i4>0</vt:i4>
      </vt:variant>
      <vt:variant>
        <vt:i4>5</vt:i4>
      </vt:variant>
      <vt:variant>
        <vt:lpwstr>http://www.ncbi.nlm.nih.gov/pubmed/22049383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NIEHS</dc:creator>
  <cp:lastModifiedBy>Abdelmouti, Tawanda (NIH/NCI) [E]</cp:lastModifiedBy>
  <cp:revision>3</cp:revision>
  <cp:lastPrinted>2016-02-19T18:03:00Z</cp:lastPrinted>
  <dcterms:created xsi:type="dcterms:W3CDTF">2016-02-22T16:27:00Z</dcterms:created>
  <dcterms:modified xsi:type="dcterms:W3CDTF">2016-02-22T17:50:00Z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1314812410</vt:i4>
  </property>
</Properties>
</file>