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0D959" w14:textId="77777777" w:rsidR="00DC582B" w:rsidRPr="003E1139" w:rsidRDefault="00DC582B"/>
    <w:p w14:paraId="440F1641" w14:textId="77777777" w:rsidR="00DC582B" w:rsidRPr="00853027" w:rsidRDefault="00DC582B">
      <w:pPr>
        <w:rPr>
          <w:rFonts w:asciiTheme="minorHAnsi" w:hAnsiTheme="minorHAnsi" w:cstheme="minorHAnsi"/>
        </w:rPr>
      </w:pPr>
    </w:p>
    <w:p w14:paraId="11D59D2C" w14:textId="77777777" w:rsidR="005C3DC2" w:rsidRPr="00853027" w:rsidRDefault="00D70D0F" w:rsidP="00853027">
      <w:pPr>
        <w:ind w:left="2160" w:firstLine="720"/>
        <w:rPr>
          <w:rFonts w:asciiTheme="minorHAnsi" w:hAnsiTheme="minorHAnsi" w:cstheme="minorHAnsi"/>
          <w:color w:val="000000"/>
        </w:rPr>
      </w:pPr>
      <w:r w:rsidRPr="00853027">
        <w:rPr>
          <w:rFonts w:asciiTheme="minorHAnsi" w:hAnsiTheme="minorHAnsi" w:cstheme="minorHAnsi"/>
          <w:color w:val="000000"/>
        </w:rPr>
        <w:t xml:space="preserve">Supporting Statement </w:t>
      </w:r>
      <w:r w:rsidRPr="00853027">
        <w:rPr>
          <w:rFonts w:asciiTheme="minorHAnsi" w:hAnsiTheme="minorHAnsi" w:cstheme="minorHAnsi"/>
          <w:b/>
          <w:color w:val="000000"/>
        </w:rPr>
        <w:t>B</w:t>
      </w:r>
      <w:r w:rsidR="005C3DC2" w:rsidRPr="00853027">
        <w:rPr>
          <w:rFonts w:asciiTheme="minorHAnsi" w:hAnsiTheme="minorHAnsi" w:cstheme="minorHAnsi"/>
          <w:color w:val="000000"/>
        </w:rPr>
        <w:t xml:space="preserve"> for</w:t>
      </w:r>
    </w:p>
    <w:p w14:paraId="4AFB677E" w14:textId="77777777" w:rsidR="005C3DC2" w:rsidRPr="00853027" w:rsidRDefault="005C3DC2" w:rsidP="005C3DC2">
      <w:pPr>
        <w:ind w:left="1440" w:firstLine="720"/>
        <w:rPr>
          <w:rFonts w:asciiTheme="minorHAnsi" w:hAnsiTheme="minorHAnsi" w:cstheme="minorHAnsi"/>
          <w:color w:val="000000"/>
        </w:rPr>
      </w:pPr>
    </w:p>
    <w:p w14:paraId="29BE23B1" w14:textId="77777777" w:rsidR="00680E77" w:rsidRPr="00853027" w:rsidRDefault="005C3DC2" w:rsidP="005C3DC2">
      <w:pPr>
        <w:ind w:left="1440" w:firstLine="720"/>
        <w:rPr>
          <w:rFonts w:asciiTheme="minorHAnsi" w:hAnsiTheme="minorHAnsi" w:cstheme="minorHAnsi"/>
          <w:color w:val="000000"/>
        </w:rPr>
      </w:pPr>
      <w:r w:rsidRPr="00853027">
        <w:rPr>
          <w:rFonts w:asciiTheme="minorHAnsi" w:hAnsiTheme="minorHAnsi" w:cstheme="minorHAnsi"/>
          <w:color w:val="000000"/>
        </w:rPr>
        <w:t xml:space="preserve">         </w:t>
      </w:r>
    </w:p>
    <w:p w14:paraId="7E6C0BBF" w14:textId="77777777" w:rsidR="00CA02BF" w:rsidRPr="00853027" w:rsidRDefault="00680E77" w:rsidP="005C3DC2">
      <w:pPr>
        <w:ind w:left="1440" w:firstLine="720"/>
        <w:rPr>
          <w:rFonts w:asciiTheme="minorHAnsi" w:hAnsiTheme="minorHAnsi" w:cstheme="minorHAnsi"/>
          <w:color w:val="000000"/>
        </w:rPr>
      </w:pPr>
      <w:r w:rsidRPr="00853027">
        <w:rPr>
          <w:rFonts w:asciiTheme="minorHAnsi" w:hAnsiTheme="minorHAnsi" w:cstheme="minorHAnsi"/>
          <w:color w:val="000000"/>
        </w:rPr>
        <w:t xml:space="preserve">          </w:t>
      </w:r>
      <w:r w:rsidR="005974BD" w:rsidRPr="00853027">
        <w:rPr>
          <w:rFonts w:asciiTheme="minorHAnsi" w:hAnsiTheme="minorHAnsi" w:cstheme="minorHAnsi"/>
          <w:color w:val="000000"/>
        </w:rPr>
        <w:t xml:space="preserve">    </w:t>
      </w:r>
    </w:p>
    <w:p w14:paraId="120BA569" w14:textId="77777777" w:rsidR="00CA02BF" w:rsidRPr="00853027" w:rsidRDefault="00CA02BF" w:rsidP="005C3DC2">
      <w:pPr>
        <w:ind w:left="1440" w:firstLine="720"/>
        <w:rPr>
          <w:rFonts w:asciiTheme="minorHAnsi" w:hAnsiTheme="minorHAnsi" w:cstheme="minorHAnsi"/>
          <w:color w:val="000000"/>
        </w:rPr>
      </w:pPr>
    </w:p>
    <w:p w14:paraId="63D56CE8" w14:textId="77777777" w:rsidR="00CA02BF" w:rsidRPr="00853027" w:rsidRDefault="00CA02BF" w:rsidP="005C3DC2">
      <w:pPr>
        <w:ind w:left="1440" w:firstLine="720"/>
        <w:rPr>
          <w:rFonts w:asciiTheme="minorHAnsi" w:hAnsiTheme="minorHAnsi" w:cstheme="minorHAnsi"/>
          <w:color w:val="000000"/>
        </w:rPr>
      </w:pPr>
    </w:p>
    <w:p w14:paraId="0DBFF03A" w14:textId="34564612" w:rsidR="005C3DC2" w:rsidRPr="00853027" w:rsidRDefault="00CA02BF" w:rsidP="005C3DC2">
      <w:pPr>
        <w:ind w:left="1440" w:firstLine="720"/>
        <w:rPr>
          <w:rFonts w:asciiTheme="minorHAnsi" w:hAnsiTheme="minorHAnsi" w:cstheme="minorHAnsi"/>
          <w:color w:val="000000"/>
        </w:rPr>
      </w:pPr>
      <w:r w:rsidRPr="00853027">
        <w:rPr>
          <w:rFonts w:asciiTheme="minorHAnsi" w:hAnsiTheme="minorHAnsi" w:cstheme="minorHAnsi"/>
          <w:color w:val="000000"/>
        </w:rPr>
        <w:t xml:space="preserve">               </w:t>
      </w:r>
      <w:r w:rsidR="005974BD" w:rsidRPr="00853027">
        <w:rPr>
          <w:rFonts w:asciiTheme="minorHAnsi" w:hAnsiTheme="minorHAnsi" w:cstheme="minorHAnsi"/>
          <w:color w:val="000000"/>
        </w:rPr>
        <w:t xml:space="preserve">  </w:t>
      </w:r>
      <w:r w:rsidR="00680E77" w:rsidRPr="00853027">
        <w:rPr>
          <w:rFonts w:asciiTheme="minorHAnsi" w:hAnsiTheme="minorHAnsi" w:cstheme="minorHAnsi"/>
          <w:color w:val="000000"/>
        </w:rPr>
        <w:t xml:space="preserve"> </w:t>
      </w:r>
      <w:r w:rsidR="004C6026">
        <w:rPr>
          <w:rFonts w:asciiTheme="minorHAnsi" w:hAnsiTheme="minorHAnsi" w:cstheme="minorHAnsi"/>
          <w:color w:val="000000"/>
        </w:rPr>
        <w:t xml:space="preserve">        </w:t>
      </w:r>
      <w:r w:rsidR="005C3DC2" w:rsidRPr="00853027">
        <w:rPr>
          <w:rFonts w:asciiTheme="minorHAnsi" w:hAnsiTheme="minorHAnsi" w:cstheme="minorHAnsi"/>
          <w:color w:val="000000"/>
        </w:rPr>
        <w:t>Title of Study</w:t>
      </w:r>
    </w:p>
    <w:p w14:paraId="697008DC" w14:textId="77777777" w:rsidR="00CA02BF" w:rsidRPr="00853027" w:rsidRDefault="00CA02BF" w:rsidP="005C3DC2">
      <w:pPr>
        <w:rPr>
          <w:rFonts w:asciiTheme="minorHAnsi" w:hAnsiTheme="minorHAnsi" w:cstheme="minorHAnsi"/>
          <w:color w:val="000000"/>
        </w:rPr>
      </w:pPr>
    </w:p>
    <w:p w14:paraId="3FCCF2D7" w14:textId="6CCB00D2" w:rsidR="005518F0" w:rsidRPr="00573969" w:rsidRDefault="004C6026" w:rsidP="00573969">
      <w:pPr>
        <w:ind w:firstLine="720"/>
        <w:rPr>
          <w:rFonts w:asciiTheme="minorHAnsi" w:hAnsiTheme="minorHAnsi" w:cstheme="minorHAnsi"/>
          <w:b/>
          <w:sz w:val="22"/>
          <w:szCs w:val="22"/>
        </w:rPr>
      </w:pPr>
      <w:r>
        <w:rPr>
          <w:rFonts w:asciiTheme="minorHAnsi" w:hAnsiTheme="minorHAnsi" w:cstheme="minorHAnsi"/>
          <w:b/>
          <w:sz w:val="22"/>
          <w:szCs w:val="22"/>
        </w:rPr>
        <w:t xml:space="preserve">   </w:t>
      </w:r>
      <w:r w:rsidR="005518F0" w:rsidRPr="00573969">
        <w:rPr>
          <w:rFonts w:asciiTheme="minorHAnsi" w:hAnsiTheme="minorHAnsi" w:cstheme="minorHAnsi"/>
          <w:b/>
          <w:sz w:val="22"/>
          <w:szCs w:val="22"/>
        </w:rPr>
        <w:t>Consumer Health Information in Public Libraries User Needs Survey</w:t>
      </w:r>
      <w:r w:rsidR="00573969" w:rsidRPr="00573969">
        <w:rPr>
          <w:rFonts w:asciiTheme="minorHAnsi" w:hAnsiTheme="minorHAnsi" w:cstheme="minorHAnsi"/>
          <w:b/>
          <w:sz w:val="22"/>
          <w:szCs w:val="22"/>
        </w:rPr>
        <w:t xml:space="preserve"> (NLM)</w:t>
      </w:r>
    </w:p>
    <w:p w14:paraId="348CE744" w14:textId="77777777" w:rsidR="005C3DC2" w:rsidRPr="00573969" w:rsidRDefault="005C3DC2" w:rsidP="005C3DC2">
      <w:pPr>
        <w:rPr>
          <w:rFonts w:asciiTheme="minorHAnsi" w:hAnsiTheme="minorHAnsi" w:cstheme="minorHAnsi"/>
          <w:b/>
          <w:color w:val="000000"/>
          <w:sz w:val="22"/>
          <w:szCs w:val="22"/>
        </w:rPr>
      </w:pPr>
    </w:p>
    <w:p w14:paraId="1C90E848" w14:textId="77777777" w:rsidR="005C3DC2" w:rsidRPr="00853027" w:rsidRDefault="005C3DC2" w:rsidP="005C3DC2">
      <w:pPr>
        <w:rPr>
          <w:rFonts w:asciiTheme="minorHAnsi" w:hAnsiTheme="minorHAnsi" w:cstheme="minorHAnsi"/>
          <w:color w:val="000000"/>
        </w:rPr>
      </w:pPr>
    </w:p>
    <w:p w14:paraId="7E2BDE0E" w14:textId="77777777" w:rsidR="005C3DC2" w:rsidRPr="00853027" w:rsidRDefault="005C3DC2" w:rsidP="005C3DC2">
      <w:pPr>
        <w:rPr>
          <w:rFonts w:asciiTheme="minorHAnsi" w:hAnsiTheme="minorHAnsi" w:cstheme="minorHAnsi"/>
          <w:color w:val="0000FF"/>
        </w:rPr>
      </w:pPr>
    </w:p>
    <w:p w14:paraId="73F2BF5C" w14:textId="77777777" w:rsidR="005C3DC2" w:rsidRPr="00853027" w:rsidRDefault="005C3DC2" w:rsidP="005C3DC2">
      <w:pPr>
        <w:rPr>
          <w:rFonts w:asciiTheme="minorHAnsi" w:hAnsiTheme="minorHAnsi" w:cstheme="minorHAnsi"/>
          <w:color w:val="0000FF"/>
        </w:rPr>
      </w:pPr>
    </w:p>
    <w:p w14:paraId="42A42B6D" w14:textId="77777777" w:rsidR="005C3DC2" w:rsidRPr="00853027" w:rsidRDefault="005C3DC2" w:rsidP="005C3DC2">
      <w:pPr>
        <w:rPr>
          <w:rFonts w:asciiTheme="minorHAnsi" w:hAnsiTheme="minorHAnsi" w:cstheme="minorHAnsi"/>
          <w:color w:val="0000FF"/>
        </w:rPr>
      </w:pPr>
    </w:p>
    <w:p w14:paraId="2F26F466" w14:textId="77777777" w:rsidR="00541BD9" w:rsidRPr="00541BD9" w:rsidRDefault="00DF1BC4" w:rsidP="00541BD9">
      <w:pPr>
        <w:pStyle w:val="P1-StandPara"/>
        <w:tabs>
          <w:tab w:val="left" w:pos="720"/>
          <w:tab w:val="right" w:leader="dot" w:pos="9504"/>
        </w:tabs>
        <w:spacing w:before="120" w:after="120"/>
        <w:rPr>
          <w:rFonts w:asciiTheme="minorHAnsi" w:hAnsiTheme="minorHAnsi" w:cstheme="minorHAnsi"/>
          <w:szCs w:val="22"/>
        </w:rPr>
      </w:pPr>
      <w:r w:rsidRPr="00853027">
        <w:rPr>
          <w:rFonts w:asciiTheme="minorHAnsi" w:hAnsiTheme="minorHAnsi" w:cstheme="minorHAnsi"/>
          <w:szCs w:val="22"/>
        </w:rPr>
        <w:t xml:space="preserve">            </w:t>
      </w:r>
    </w:p>
    <w:p w14:paraId="047AB13E" w14:textId="27199CDD" w:rsidR="00541BD9" w:rsidRPr="00541BD9" w:rsidRDefault="00541BD9" w:rsidP="00541BD9">
      <w:pPr>
        <w:pStyle w:val="P1-StandPara"/>
        <w:tabs>
          <w:tab w:val="left" w:pos="720"/>
          <w:tab w:val="right" w:leader="dot" w:pos="9504"/>
        </w:tabs>
        <w:spacing w:before="120" w:after="120"/>
        <w:rPr>
          <w:rFonts w:asciiTheme="minorHAnsi" w:hAnsiTheme="minorHAnsi" w:cstheme="minorHAnsi"/>
          <w:szCs w:val="22"/>
        </w:rPr>
      </w:pPr>
      <w:r w:rsidRPr="00541BD9">
        <w:rPr>
          <w:rFonts w:asciiTheme="minorHAnsi" w:hAnsiTheme="minorHAnsi" w:cstheme="minorHAnsi"/>
          <w:szCs w:val="22"/>
        </w:rPr>
        <w:t xml:space="preserve">   </w:t>
      </w:r>
      <w:r>
        <w:rPr>
          <w:rFonts w:asciiTheme="minorHAnsi" w:hAnsiTheme="minorHAnsi" w:cstheme="minorHAnsi"/>
          <w:szCs w:val="22"/>
        </w:rPr>
        <w:t xml:space="preserve">                         </w:t>
      </w:r>
      <w:r w:rsidRPr="00541BD9">
        <w:rPr>
          <w:rFonts w:asciiTheme="minorHAnsi" w:hAnsiTheme="minorHAnsi" w:cstheme="minorHAnsi"/>
          <w:szCs w:val="22"/>
        </w:rPr>
        <w:t xml:space="preserve">  </w:t>
      </w:r>
      <w:r>
        <w:rPr>
          <w:rFonts w:asciiTheme="minorHAnsi" w:hAnsiTheme="minorHAnsi" w:cstheme="minorHAnsi"/>
          <w:szCs w:val="22"/>
        </w:rPr>
        <w:t xml:space="preserve">      </w:t>
      </w:r>
      <w:r w:rsidR="004C6026">
        <w:rPr>
          <w:rFonts w:asciiTheme="minorHAnsi" w:hAnsiTheme="minorHAnsi" w:cstheme="minorHAnsi"/>
          <w:szCs w:val="22"/>
        </w:rPr>
        <w:t xml:space="preserve">         </w:t>
      </w:r>
      <w:r w:rsidR="007841C4">
        <w:rPr>
          <w:rFonts w:asciiTheme="minorHAnsi" w:hAnsiTheme="minorHAnsi" w:cstheme="minorHAnsi"/>
          <w:szCs w:val="22"/>
        </w:rPr>
        <w:t>Date:  January 2</w:t>
      </w:r>
      <w:r w:rsidR="000659B4">
        <w:rPr>
          <w:rFonts w:asciiTheme="minorHAnsi" w:hAnsiTheme="minorHAnsi" w:cstheme="minorHAnsi"/>
          <w:szCs w:val="22"/>
        </w:rPr>
        <w:t>5</w:t>
      </w:r>
      <w:r w:rsidR="007841C4">
        <w:rPr>
          <w:rFonts w:asciiTheme="minorHAnsi" w:hAnsiTheme="minorHAnsi" w:cstheme="minorHAnsi"/>
          <w:szCs w:val="22"/>
        </w:rPr>
        <w:t>, 2016</w:t>
      </w:r>
      <w:r w:rsidRPr="00541BD9">
        <w:rPr>
          <w:rFonts w:asciiTheme="minorHAnsi" w:hAnsiTheme="minorHAnsi" w:cstheme="minorHAnsi"/>
          <w:szCs w:val="22"/>
        </w:rPr>
        <w:t>,</w:t>
      </w:r>
      <w:bookmarkStart w:id="0" w:name="_GoBack"/>
      <w:bookmarkEnd w:id="0"/>
    </w:p>
    <w:p w14:paraId="64A9F81E" w14:textId="5B1352A1" w:rsidR="00DF1BC4" w:rsidRPr="00853027" w:rsidRDefault="00541BD9" w:rsidP="00541BD9">
      <w:pPr>
        <w:pStyle w:val="P1-StandPara"/>
        <w:tabs>
          <w:tab w:val="left" w:pos="720"/>
          <w:tab w:val="right" w:leader="dot" w:pos="9504"/>
        </w:tabs>
        <w:spacing w:before="120" w:after="120"/>
        <w:rPr>
          <w:rFonts w:asciiTheme="minorHAnsi" w:hAnsiTheme="minorHAnsi" w:cstheme="minorHAnsi"/>
          <w:szCs w:val="22"/>
        </w:rPr>
      </w:pPr>
      <w:r w:rsidRPr="00541BD9">
        <w:rPr>
          <w:rFonts w:asciiTheme="minorHAnsi" w:hAnsiTheme="minorHAnsi" w:cstheme="minorHAnsi"/>
          <w:szCs w:val="22"/>
        </w:rPr>
        <w:t xml:space="preserve">    </w:t>
      </w:r>
      <w:r>
        <w:rPr>
          <w:rFonts w:asciiTheme="minorHAnsi" w:hAnsiTheme="minorHAnsi" w:cstheme="minorHAnsi"/>
          <w:szCs w:val="22"/>
        </w:rPr>
        <w:t xml:space="preserve">                         </w:t>
      </w:r>
      <w:r w:rsidRPr="00541BD9">
        <w:rPr>
          <w:rFonts w:asciiTheme="minorHAnsi" w:hAnsiTheme="minorHAnsi" w:cstheme="minorHAnsi"/>
          <w:szCs w:val="22"/>
        </w:rPr>
        <w:t xml:space="preserve"> </w:t>
      </w:r>
      <w:r>
        <w:rPr>
          <w:rFonts w:asciiTheme="minorHAnsi" w:hAnsiTheme="minorHAnsi" w:cstheme="minorHAnsi"/>
          <w:szCs w:val="22"/>
        </w:rPr>
        <w:t xml:space="preserve">  </w:t>
      </w:r>
      <w:r w:rsidR="004C6026">
        <w:rPr>
          <w:rFonts w:asciiTheme="minorHAnsi" w:hAnsiTheme="minorHAnsi" w:cstheme="minorHAnsi"/>
          <w:szCs w:val="22"/>
        </w:rPr>
        <w:t xml:space="preserve">      </w:t>
      </w:r>
      <w:r>
        <w:rPr>
          <w:rFonts w:asciiTheme="minorHAnsi" w:hAnsiTheme="minorHAnsi" w:cstheme="minorHAnsi"/>
          <w:szCs w:val="22"/>
        </w:rPr>
        <w:t xml:space="preserve">   </w:t>
      </w:r>
      <w:r w:rsidRPr="00541BD9">
        <w:rPr>
          <w:rFonts w:asciiTheme="minorHAnsi" w:hAnsiTheme="minorHAnsi" w:cstheme="minorHAnsi"/>
          <w:szCs w:val="22"/>
        </w:rPr>
        <w:t xml:space="preserve"> OMB Control #: </w:t>
      </w:r>
      <w:r w:rsidRPr="00541BD9">
        <w:rPr>
          <w:rFonts w:asciiTheme="minorHAnsi" w:hAnsiTheme="minorHAnsi" w:cstheme="minorHAnsi"/>
          <w:szCs w:val="22"/>
          <w:highlight w:val="yellow"/>
        </w:rPr>
        <w:t>TBA</w:t>
      </w:r>
      <w:r w:rsidR="00DF1BC4" w:rsidRPr="00853027">
        <w:rPr>
          <w:rFonts w:asciiTheme="minorHAnsi" w:hAnsiTheme="minorHAnsi" w:cstheme="minorHAnsi"/>
          <w:szCs w:val="22"/>
        </w:rPr>
        <w:t xml:space="preserve">            </w:t>
      </w:r>
    </w:p>
    <w:p w14:paraId="1A66D342" w14:textId="77777777" w:rsidR="00853027" w:rsidRPr="00853027" w:rsidRDefault="00853027" w:rsidP="005518F0">
      <w:pPr>
        <w:pStyle w:val="P1-StandPara"/>
        <w:tabs>
          <w:tab w:val="left" w:pos="720"/>
          <w:tab w:val="right" w:leader="dot" w:pos="9504"/>
        </w:tabs>
        <w:spacing w:before="120" w:line="240" w:lineRule="auto"/>
        <w:ind w:firstLine="0"/>
        <w:rPr>
          <w:rFonts w:asciiTheme="minorHAnsi" w:hAnsiTheme="minorHAnsi" w:cstheme="minorHAnsi"/>
          <w:szCs w:val="22"/>
        </w:rPr>
      </w:pPr>
    </w:p>
    <w:p w14:paraId="75C33ED3" w14:textId="77777777" w:rsidR="00853027" w:rsidRPr="00853027" w:rsidRDefault="00853027" w:rsidP="005518F0">
      <w:pPr>
        <w:pStyle w:val="P1-StandPara"/>
        <w:tabs>
          <w:tab w:val="left" w:pos="720"/>
          <w:tab w:val="right" w:leader="dot" w:pos="9504"/>
        </w:tabs>
        <w:spacing w:before="120" w:line="240" w:lineRule="auto"/>
        <w:ind w:firstLine="0"/>
        <w:rPr>
          <w:rFonts w:asciiTheme="minorHAnsi" w:hAnsiTheme="minorHAnsi" w:cstheme="minorHAnsi"/>
          <w:szCs w:val="22"/>
        </w:rPr>
      </w:pPr>
    </w:p>
    <w:p w14:paraId="5E4E192A" w14:textId="77777777" w:rsidR="00853027" w:rsidRPr="00853027" w:rsidRDefault="00853027" w:rsidP="005518F0">
      <w:pPr>
        <w:pStyle w:val="P1-StandPara"/>
        <w:tabs>
          <w:tab w:val="left" w:pos="720"/>
          <w:tab w:val="right" w:leader="dot" w:pos="9504"/>
        </w:tabs>
        <w:spacing w:before="120" w:line="240" w:lineRule="auto"/>
        <w:ind w:firstLine="0"/>
        <w:rPr>
          <w:rFonts w:asciiTheme="minorHAnsi" w:hAnsiTheme="minorHAnsi" w:cstheme="minorHAnsi"/>
          <w:szCs w:val="22"/>
        </w:rPr>
      </w:pPr>
    </w:p>
    <w:p w14:paraId="75284B7A" w14:textId="77777777" w:rsidR="00853027" w:rsidRPr="00853027" w:rsidRDefault="00853027" w:rsidP="005518F0">
      <w:pPr>
        <w:pStyle w:val="P1-StandPara"/>
        <w:tabs>
          <w:tab w:val="left" w:pos="720"/>
          <w:tab w:val="right" w:leader="dot" w:pos="9504"/>
        </w:tabs>
        <w:spacing w:before="120" w:line="240" w:lineRule="auto"/>
        <w:ind w:firstLine="0"/>
        <w:rPr>
          <w:rFonts w:asciiTheme="minorHAnsi" w:hAnsiTheme="minorHAnsi" w:cstheme="minorHAnsi"/>
          <w:szCs w:val="22"/>
        </w:rPr>
      </w:pPr>
    </w:p>
    <w:p w14:paraId="138FF7A0" w14:textId="77777777" w:rsidR="005518F0" w:rsidRPr="00853027" w:rsidRDefault="005518F0" w:rsidP="005518F0">
      <w:pPr>
        <w:pStyle w:val="P1-StandPara"/>
        <w:tabs>
          <w:tab w:val="left" w:pos="720"/>
          <w:tab w:val="right" w:leader="dot" w:pos="9504"/>
        </w:tabs>
        <w:spacing w:before="120" w:line="240" w:lineRule="auto"/>
        <w:ind w:firstLine="0"/>
        <w:rPr>
          <w:rFonts w:asciiTheme="minorHAnsi" w:hAnsiTheme="minorHAnsi" w:cstheme="minorHAnsi"/>
          <w:szCs w:val="22"/>
        </w:rPr>
      </w:pPr>
      <w:r w:rsidRPr="00853027">
        <w:rPr>
          <w:rFonts w:asciiTheme="minorHAnsi" w:hAnsiTheme="minorHAnsi" w:cstheme="minorHAnsi"/>
          <w:szCs w:val="22"/>
        </w:rPr>
        <w:t>Name: Alla Keselman</w:t>
      </w:r>
    </w:p>
    <w:p w14:paraId="151B6E00" w14:textId="77777777" w:rsidR="005518F0" w:rsidRPr="00853027" w:rsidRDefault="005518F0" w:rsidP="005518F0">
      <w:pPr>
        <w:pStyle w:val="P1-StandPara"/>
        <w:tabs>
          <w:tab w:val="left" w:pos="720"/>
          <w:tab w:val="right" w:leader="dot" w:pos="9504"/>
        </w:tabs>
        <w:spacing w:before="120" w:line="240" w:lineRule="auto"/>
        <w:ind w:firstLine="0"/>
        <w:rPr>
          <w:rFonts w:asciiTheme="minorHAnsi" w:hAnsiTheme="minorHAnsi" w:cstheme="minorHAnsi"/>
          <w:szCs w:val="22"/>
        </w:rPr>
      </w:pPr>
      <w:r w:rsidRPr="00853027">
        <w:rPr>
          <w:rFonts w:asciiTheme="minorHAnsi" w:hAnsiTheme="minorHAnsi" w:cstheme="minorHAnsi"/>
          <w:szCs w:val="22"/>
        </w:rPr>
        <w:t xml:space="preserve">Address: </w:t>
      </w:r>
      <w:r w:rsidRPr="00853027">
        <w:rPr>
          <w:rFonts w:asciiTheme="minorHAnsi" w:hAnsiTheme="minorHAnsi" w:cstheme="minorHAnsi"/>
        </w:rPr>
        <w:t>6707 Democracy Blvd., MSC 5467</w:t>
      </w:r>
    </w:p>
    <w:p w14:paraId="5857A44E" w14:textId="77777777" w:rsidR="005518F0" w:rsidRPr="00853027" w:rsidRDefault="005518F0" w:rsidP="005518F0">
      <w:pPr>
        <w:pStyle w:val="P1-StandPara"/>
        <w:tabs>
          <w:tab w:val="left" w:pos="720"/>
          <w:tab w:val="right" w:leader="dot" w:pos="9504"/>
        </w:tabs>
        <w:spacing w:before="120" w:line="240" w:lineRule="auto"/>
        <w:ind w:firstLine="0"/>
        <w:rPr>
          <w:rFonts w:asciiTheme="minorHAnsi" w:hAnsiTheme="minorHAnsi" w:cstheme="minorHAnsi"/>
          <w:szCs w:val="22"/>
        </w:rPr>
      </w:pPr>
      <w:r w:rsidRPr="00853027">
        <w:rPr>
          <w:rFonts w:asciiTheme="minorHAnsi" w:hAnsiTheme="minorHAnsi" w:cstheme="minorHAnsi"/>
          <w:szCs w:val="22"/>
        </w:rPr>
        <w:t>Telephone: 301-496-3420</w:t>
      </w:r>
    </w:p>
    <w:p w14:paraId="354727EB" w14:textId="77777777" w:rsidR="005518F0" w:rsidRPr="00853027" w:rsidRDefault="005518F0" w:rsidP="005518F0">
      <w:pPr>
        <w:pStyle w:val="P1-StandPara"/>
        <w:tabs>
          <w:tab w:val="left" w:pos="720"/>
          <w:tab w:val="right" w:leader="dot" w:pos="9504"/>
        </w:tabs>
        <w:spacing w:before="120" w:line="240" w:lineRule="auto"/>
        <w:ind w:firstLine="0"/>
        <w:rPr>
          <w:rFonts w:asciiTheme="minorHAnsi" w:hAnsiTheme="minorHAnsi" w:cstheme="minorHAnsi"/>
          <w:szCs w:val="22"/>
        </w:rPr>
      </w:pPr>
      <w:r w:rsidRPr="00853027">
        <w:rPr>
          <w:rFonts w:asciiTheme="minorHAnsi" w:hAnsiTheme="minorHAnsi" w:cstheme="minorHAnsi"/>
          <w:szCs w:val="22"/>
        </w:rPr>
        <w:t xml:space="preserve">Fax: </w:t>
      </w:r>
      <w:r w:rsidRPr="00853027">
        <w:rPr>
          <w:rFonts w:asciiTheme="minorHAnsi" w:hAnsiTheme="minorHAnsi" w:cstheme="minorHAnsi"/>
        </w:rPr>
        <w:t>301-480-3537</w:t>
      </w:r>
    </w:p>
    <w:p w14:paraId="05D32536" w14:textId="77777777" w:rsidR="00DF1BC4" w:rsidRPr="00853027" w:rsidRDefault="005518F0" w:rsidP="00DF1BC4">
      <w:pPr>
        <w:pStyle w:val="P1-StandPara"/>
        <w:tabs>
          <w:tab w:val="left" w:pos="720"/>
          <w:tab w:val="right" w:leader="dot" w:pos="9504"/>
        </w:tabs>
        <w:spacing w:before="120" w:line="240" w:lineRule="auto"/>
        <w:ind w:firstLine="0"/>
        <w:rPr>
          <w:rFonts w:asciiTheme="minorHAnsi" w:hAnsiTheme="minorHAnsi" w:cstheme="minorHAnsi"/>
          <w:szCs w:val="22"/>
        </w:rPr>
      </w:pPr>
      <w:r w:rsidRPr="00853027">
        <w:rPr>
          <w:rFonts w:asciiTheme="minorHAnsi" w:hAnsiTheme="minorHAnsi" w:cstheme="minorHAnsi"/>
          <w:szCs w:val="22"/>
        </w:rPr>
        <w:t>Email: keselmana@mail.nih.gov</w:t>
      </w:r>
    </w:p>
    <w:p w14:paraId="10473CFF" w14:textId="77777777" w:rsidR="005C3DC2" w:rsidRPr="003E1139" w:rsidRDefault="005C3DC2" w:rsidP="005C3DC2"/>
    <w:p w14:paraId="17FBB4D7" w14:textId="77777777" w:rsidR="003E1139" w:rsidRPr="003E1139" w:rsidRDefault="003E1139" w:rsidP="003E1139">
      <w:pPr>
        <w:pStyle w:val="P1-StandPara"/>
        <w:tabs>
          <w:tab w:val="left" w:pos="720"/>
          <w:tab w:val="right" w:leader="dot" w:pos="9504"/>
        </w:tabs>
        <w:spacing w:before="120" w:line="240" w:lineRule="auto"/>
        <w:rPr>
          <w:rFonts w:ascii="Calibri" w:hAnsi="Calibri"/>
          <w:szCs w:val="22"/>
        </w:rPr>
      </w:pPr>
    </w:p>
    <w:p w14:paraId="2E556A68" w14:textId="77777777" w:rsidR="005C3DC2" w:rsidRDefault="005C3DC2" w:rsidP="005C3DC2">
      <w:pPr>
        <w:rPr>
          <w:sz w:val="32"/>
          <w:szCs w:val="32"/>
        </w:rPr>
      </w:pPr>
    </w:p>
    <w:p w14:paraId="1DDFEA81" w14:textId="77777777" w:rsidR="005C3DC2" w:rsidRDefault="005C3DC2" w:rsidP="005C3DC2">
      <w:pPr>
        <w:rPr>
          <w:sz w:val="32"/>
          <w:szCs w:val="32"/>
        </w:rPr>
      </w:pPr>
    </w:p>
    <w:p w14:paraId="32341EB8" w14:textId="77777777" w:rsidR="005518F0" w:rsidRDefault="005518F0" w:rsidP="005C3DC2">
      <w:pPr>
        <w:rPr>
          <w:sz w:val="32"/>
          <w:szCs w:val="32"/>
        </w:rPr>
      </w:pPr>
    </w:p>
    <w:p w14:paraId="148B5A1B" w14:textId="77777777" w:rsidR="003E1139" w:rsidRDefault="003E1139" w:rsidP="005C3DC2">
      <w:pPr>
        <w:rPr>
          <w:sz w:val="32"/>
          <w:szCs w:val="32"/>
        </w:rPr>
      </w:pPr>
    </w:p>
    <w:p w14:paraId="410C6871" w14:textId="77777777" w:rsidR="00E77C27" w:rsidRDefault="00E77C27" w:rsidP="005C3DC2">
      <w:pPr>
        <w:rPr>
          <w:sz w:val="32"/>
          <w:szCs w:val="32"/>
        </w:rPr>
      </w:pPr>
    </w:p>
    <w:p w14:paraId="140F9E74" w14:textId="77777777" w:rsidR="005C3DC2" w:rsidRDefault="005C3DC2" w:rsidP="005C3DC2">
      <w:pPr>
        <w:rPr>
          <w:sz w:val="32"/>
          <w:szCs w:val="32"/>
        </w:rPr>
      </w:pPr>
    </w:p>
    <w:p w14:paraId="2D85BE3A" w14:textId="77777777" w:rsidR="00573969" w:rsidRDefault="00573969" w:rsidP="005C3DC2">
      <w:pPr>
        <w:rPr>
          <w:sz w:val="32"/>
          <w:szCs w:val="32"/>
        </w:rPr>
      </w:pPr>
    </w:p>
    <w:p w14:paraId="57875CD9" w14:textId="77777777" w:rsidR="00853027" w:rsidRDefault="00853027" w:rsidP="00D70D0F">
      <w:pPr>
        <w:pStyle w:val="P1-StandPara"/>
        <w:tabs>
          <w:tab w:val="left" w:pos="720"/>
          <w:tab w:val="right" w:leader="dot" w:pos="9504"/>
        </w:tabs>
        <w:spacing w:before="120" w:after="120" w:line="240" w:lineRule="atLeast"/>
        <w:ind w:firstLine="0"/>
        <w:jc w:val="center"/>
        <w:rPr>
          <w:b/>
          <w:szCs w:val="22"/>
        </w:rPr>
      </w:pPr>
    </w:p>
    <w:p w14:paraId="6AFE60AA" w14:textId="77777777" w:rsidR="009E16E2" w:rsidRPr="00E41609" w:rsidRDefault="009E16E2" w:rsidP="009E16E2">
      <w:pPr>
        <w:pStyle w:val="P1-StandPara"/>
        <w:tabs>
          <w:tab w:val="left" w:pos="720"/>
          <w:tab w:val="right" w:leader="dot" w:pos="9504"/>
        </w:tabs>
        <w:spacing w:before="120" w:after="120" w:line="240" w:lineRule="atLeast"/>
        <w:ind w:firstLine="0"/>
        <w:jc w:val="center"/>
        <w:rPr>
          <w:b/>
          <w:sz w:val="24"/>
          <w:szCs w:val="24"/>
        </w:rPr>
      </w:pPr>
      <w:r>
        <w:rPr>
          <w:b/>
          <w:sz w:val="24"/>
          <w:szCs w:val="24"/>
        </w:rPr>
        <w:t>TABLE OF CONTENTS</w:t>
      </w:r>
    </w:p>
    <w:p w14:paraId="3BCF4235" w14:textId="77777777" w:rsidR="009E16E2" w:rsidRPr="00E24A6A" w:rsidRDefault="009E16E2" w:rsidP="009E16E2">
      <w:pPr>
        <w:pStyle w:val="TOC1"/>
      </w:pPr>
      <w:r>
        <w:t xml:space="preserve">  </w:t>
      </w:r>
      <w:r>
        <w:tab/>
      </w:r>
    </w:p>
    <w:p w14:paraId="192BCD0A" w14:textId="34E53104" w:rsidR="009E16E2" w:rsidRPr="00A607A2" w:rsidRDefault="009E16E2" w:rsidP="009E16E2">
      <w:pPr>
        <w:pStyle w:val="TOC1"/>
        <w:rPr>
          <w:b/>
        </w:rPr>
      </w:pPr>
      <w:r w:rsidRPr="002118D2">
        <w:t>B.</w:t>
      </w:r>
      <w:r>
        <w:t xml:space="preserve">        </w:t>
      </w:r>
      <w:r w:rsidRPr="00A607A2">
        <w:rPr>
          <w:b/>
        </w:rPr>
        <w:t>COLLECTIONS OF INFORMATION EMPLOYING STATISTICAL METHODS</w:t>
      </w:r>
      <w:r w:rsidRPr="00A607A2">
        <w:rPr>
          <w:b/>
        </w:rPr>
        <w:tab/>
      </w:r>
      <w:r w:rsidR="00456947">
        <w:rPr>
          <w:b/>
        </w:rPr>
        <w:t>2</w:t>
      </w:r>
    </w:p>
    <w:p w14:paraId="4065ADAF" w14:textId="3A9D69E0" w:rsidR="009E16E2" w:rsidRPr="00E24A6A" w:rsidRDefault="009E16E2" w:rsidP="009E16E2">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 xml:space="preserve">Respondent Universe </w:t>
      </w:r>
      <w:smartTag w:uri="urn:schemas-microsoft-com:office:smarttags" w:element="stockticker">
        <w:r w:rsidRPr="00E24A6A">
          <w:rPr>
            <w:noProof/>
            <w:sz w:val="24"/>
            <w:szCs w:val="24"/>
          </w:rPr>
          <w:t>and</w:t>
        </w:r>
      </w:smartTag>
      <w:r w:rsidRPr="00E24A6A">
        <w:rPr>
          <w:noProof/>
          <w:sz w:val="24"/>
          <w:szCs w:val="24"/>
        </w:rPr>
        <w:t xml:space="preserve"> Sampling Methods</w:t>
      </w:r>
      <w:r w:rsidRPr="00E24A6A">
        <w:rPr>
          <w:noProof/>
          <w:sz w:val="24"/>
          <w:szCs w:val="24"/>
        </w:rPr>
        <w:tab/>
      </w:r>
      <w:r w:rsidR="00456947">
        <w:rPr>
          <w:noProof/>
          <w:sz w:val="24"/>
          <w:szCs w:val="24"/>
        </w:rPr>
        <w:t>2</w:t>
      </w:r>
    </w:p>
    <w:p w14:paraId="17C4DD21" w14:textId="77777777" w:rsidR="009E16E2" w:rsidRPr="00E24A6A" w:rsidRDefault="009E16E2" w:rsidP="009E16E2">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r>
        <w:rPr>
          <w:noProof/>
          <w:sz w:val="24"/>
          <w:szCs w:val="24"/>
        </w:rPr>
        <w:t>3</w:t>
      </w:r>
    </w:p>
    <w:p w14:paraId="76640A8F" w14:textId="26DD0270" w:rsidR="009E16E2" w:rsidRPr="00E24A6A" w:rsidRDefault="009E16E2" w:rsidP="009E16E2">
      <w:pPr>
        <w:pStyle w:val="TOC2"/>
        <w:spacing w:line="480" w:lineRule="auto"/>
        <w:rPr>
          <w:noProof/>
          <w:sz w:val="24"/>
          <w:szCs w:val="24"/>
        </w:rPr>
      </w:pPr>
      <w:r>
        <w:rPr>
          <w:noProof/>
          <w:sz w:val="24"/>
          <w:szCs w:val="24"/>
        </w:rPr>
        <w:t>B.3</w:t>
      </w:r>
      <w:r w:rsidRPr="00E24A6A">
        <w:rPr>
          <w:noProof/>
          <w:sz w:val="24"/>
          <w:szCs w:val="24"/>
        </w:rPr>
        <w:tab/>
        <w:t xml:space="preserve">Methods to Maximize Response Rates </w:t>
      </w:r>
      <w:smartTag w:uri="urn:schemas-microsoft-com:office:smarttags" w:element="stockticker">
        <w:r w:rsidRPr="00E24A6A">
          <w:rPr>
            <w:noProof/>
            <w:sz w:val="24"/>
            <w:szCs w:val="24"/>
          </w:rPr>
          <w:t>and</w:t>
        </w:r>
      </w:smartTag>
      <w:r w:rsidRPr="00E24A6A">
        <w:rPr>
          <w:noProof/>
          <w:sz w:val="24"/>
          <w:szCs w:val="24"/>
        </w:rPr>
        <w:t xml:space="preserve"> Deal with Non-response</w:t>
      </w:r>
      <w:r w:rsidRPr="00E24A6A">
        <w:rPr>
          <w:noProof/>
          <w:sz w:val="24"/>
          <w:szCs w:val="24"/>
        </w:rPr>
        <w:tab/>
      </w:r>
      <w:r w:rsidR="00014D9C">
        <w:rPr>
          <w:noProof/>
          <w:sz w:val="24"/>
          <w:szCs w:val="24"/>
        </w:rPr>
        <w:t>3</w:t>
      </w:r>
    </w:p>
    <w:p w14:paraId="76F60C67" w14:textId="02C428D4" w:rsidR="009E16E2" w:rsidRPr="00E24A6A" w:rsidRDefault="009E16E2" w:rsidP="009E16E2">
      <w:pPr>
        <w:pStyle w:val="TOC2"/>
        <w:spacing w:line="480" w:lineRule="auto"/>
        <w:rPr>
          <w:noProof/>
          <w:sz w:val="24"/>
          <w:szCs w:val="24"/>
        </w:rPr>
      </w:pPr>
      <w:r>
        <w:rPr>
          <w:noProof/>
          <w:sz w:val="24"/>
          <w:szCs w:val="24"/>
        </w:rPr>
        <w:t>B.4</w:t>
      </w:r>
      <w:r w:rsidRPr="00E24A6A">
        <w:rPr>
          <w:noProof/>
          <w:sz w:val="24"/>
          <w:szCs w:val="24"/>
        </w:rPr>
        <w:tab/>
        <w:t>Test of Procedures or Methods to be Undertaken</w:t>
      </w:r>
      <w:r w:rsidRPr="00E24A6A">
        <w:rPr>
          <w:noProof/>
          <w:sz w:val="24"/>
          <w:szCs w:val="24"/>
        </w:rPr>
        <w:tab/>
      </w:r>
      <w:r w:rsidR="00014D9C">
        <w:rPr>
          <w:noProof/>
          <w:sz w:val="24"/>
          <w:szCs w:val="24"/>
        </w:rPr>
        <w:t>3</w:t>
      </w:r>
    </w:p>
    <w:p w14:paraId="760A160D" w14:textId="77777777" w:rsidR="009E16E2" w:rsidRDefault="009E16E2" w:rsidP="009E16E2">
      <w:pPr>
        <w:pStyle w:val="P1-StandPara"/>
        <w:tabs>
          <w:tab w:val="left" w:pos="720"/>
        </w:tabs>
        <w:spacing w:line="240" w:lineRule="auto"/>
        <w:ind w:left="720" w:right="-216" w:hanging="720"/>
        <w:rPr>
          <w:smallCaps/>
          <w:noProof/>
          <w:sz w:val="24"/>
          <w:szCs w:val="24"/>
        </w:rPr>
      </w:pPr>
      <w:r>
        <w:rPr>
          <w:noProof/>
          <w:sz w:val="24"/>
          <w:szCs w:val="24"/>
        </w:rPr>
        <w:t xml:space="preserve">B.5        </w:t>
      </w:r>
      <w:r w:rsidRPr="00C92CC1">
        <w:rPr>
          <w:smallCaps/>
          <w:noProof/>
          <w:sz w:val="24"/>
          <w:szCs w:val="24"/>
        </w:rPr>
        <w:t xml:space="preserve">Individuals Consulted on Statistical Aspects </w:t>
      </w:r>
      <w:smartTag w:uri="urn:schemas-microsoft-com:office:smarttags" w:element="stockticker">
        <w:r w:rsidRPr="00C92CC1">
          <w:rPr>
            <w:smallCaps/>
            <w:noProof/>
            <w:sz w:val="24"/>
            <w:szCs w:val="24"/>
          </w:rPr>
          <w:t>and</w:t>
        </w:r>
      </w:smartTag>
      <w:r w:rsidRPr="00C92CC1">
        <w:rPr>
          <w:smallCaps/>
          <w:noProof/>
          <w:sz w:val="24"/>
          <w:szCs w:val="24"/>
        </w:rPr>
        <w:t xml:space="preserve"> Individuals Collecting </w:t>
      </w:r>
    </w:p>
    <w:p w14:paraId="42909F8E" w14:textId="7BFCECBA" w:rsidR="009E16E2" w:rsidRPr="00E24A6A" w:rsidRDefault="009E16E2" w:rsidP="009E16E2">
      <w:pPr>
        <w:pStyle w:val="TOC2"/>
        <w:spacing w:line="480" w:lineRule="auto"/>
        <w:rPr>
          <w:noProof/>
          <w:sz w:val="24"/>
          <w:szCs w:val="24"/>
        </w:rPr>
      </w:pPr>
      <w:r>
        <w:rPr>
          <w:noProof/>
          <w:sz w:val="24"/>
          <w:szCs w:val="24"/>
        </w:rPr>
        <w:tab/>
      </w:r>
      <w:smartTag w:uri="urn:schemas-microsoft-com:office:smarttags" w:element="stockticker">
        <w:r w:rsidRPr="00C92CC1">
          <w:rPr>
            <w:noProof/>
            <w:sz w:val="24"/>
            <w:szCs w:val="24"/>
          </w:rPr>
          <w:t>and</w:t>
        </w:r>
      </w:smartTag>
      <w:r w:rsidRPr="00C92CC1">
        <w:rPr>
          <w:noProof/>
          <w:sz w:val="24"/>
          <w:szCs w:val="24"/>
        </w:rPr>
        <w:t>/or Analyzing Data</w:t>
      </w:r>
      <w:r w:rsidRPr="00E24A6A">
        <w:rPr>
          <w:noProof/>
          <w:sz w:val="24"/>
          <w:szCs w:val="24"/>
        </w:rPr>
        <w:tab/>
      </w:r>
      <w:r>
        <w:rPr>
          <w:noProof/>
          <w:sz w:val="24"/>
          <w:szCs w:val="24"/>
        </w:rPr>
        <w:t>4</w:t>
      </w:r>
    </w:p>
    <w:p w14:paraId="60DEDD77" w14:textId="1E9DB326" w:rsidR="00AB5537" w:rsidRPr="00853027" w:rsidRDefault="00AB5537" w:rsidP="009E16E2">
      <w:pPr>
        <w:pStyle w:val="P1-StandPara"/>
        <w:tabs>
          <w:tab w:val="left" w:pos="720"/>
        </w:tabs>
        <w:spacing w:line="240" w:lineRule="auto"/>
        <w:ind w:left="720" w:right="-216" w:hanging="720"/>
        <w:rPr>
          <w:rFonts w:asciiTheme="minorHAnsi" w:hAnsiTheme="minorHAnsi" w:cstheme="minorHAnsi"/>
          <w:b/>
          <w:caps/>
          <w:noProof/>
          <w:color w:val="FF0000"/>
          <w:sz w:val="16"/>
          <w:szCs w:val="16"/>
        </w:rPr>
      </w:pPr>
    </w:p>
    <w:p w14:paraId="60E310DE" w14:textId="77777777" w:rsidR="00AB5537" w:rsidRPr="00853027" w:rsidRDefault="00AB5537" w:rsidP="004A70E1">
      <w:pPr>
        <w:pStyle w:val="P1-StandPara"/>
        <w:ind w:right="-216" w:firstLine="0"/>
        <w:jc w:val="center"/>
        <w:rPr>
          <w:rFonts w:asciiTheme="minorHAnsi" w:hAnsiTheme="minorHAnsi" w:cstheme="minorHAnsi"/>
          <w:b/>
          <w:caps/>
          <w:noProof/>
          <w:color w:val="FF0000"/>
          <w:sz w:val="16"/>
          <w:szCs w:val="16"/>
        </w:rPr>
      </w:pPr>
    </w:p>
    <w:p w14:paraId="020B1168" w14:textId="77777777" w:rsidR="00AB5537" w:rsidRPr="00853027" w:rsidRDefault="00AB5537" w:rsidP="004A70E1">
      <w:pPr>
        <w:pStyle w:val="P1-StandPara"/>
        <w:ind w:right="-216" w:firstLine="0"/>
        <w:jc w:val="center"/>
        <w:rPr>
          <w:rFonts w:asciiTheme="minorHAnsi" w:hAnsiTheme="minorHAnsi" w:cstheme="minorHAnsi"/>
          <w:b/>
          <w:caps/>
          <w:noProof/>
          <w:color w:val="FF0000"/>
          <w:sz w:val="16"/>
          <w:szCs w:val="16"/>
        </w:rPr>
      </w:pPr>
    </w:p>
    <w:p w14:paraId="7DA786D0" w14:textId="77777777" w:rsidR="00AB5537" w:rsidRPr="00853027" w:rsidRDefault="00AB5537" w:rsidP="004A70E1">
      <w:pPr>
        <w:pStyle w:val="P1-StandPara"/>
        <w:ind w:right="-216" w:firstLine="0"/>
        <w:jc w:val="center"/>
        <w:rPr>
          <w:rFonts w:asciiTheme="minorHAnsi" w:hAnsiTheme="minorHAnsi" w:cstheme="minorHAnsi"/>
          <w:b/>
          <w:caps/>
          <w:noProof/>
          <w:color w:val="FF0000"/>
          <w:sz w:val="16"/>
          <w:szCs w:val="16"/>
        </w:rPr>
      </w:pPr>
    </w:p>
    <w:p w14:paraId="1EEBD712" w14:textId="77777777" w:rsidR="00AB5537" w:rsidRPr="00853027" w:rsidRDefault="00AB5537" w:rsidP="004A70E1">
      <w:pPr>
        <w:pStyle w:val="P1-StandPara"/>
        <w:ind w:right="-216" w:firstLine="0"/>
        <w:jc w:val="center"/>
        <w:rPr>
          <w:rFonts w:asciiTheme="minorHAnsi" w:hAnsiTheme="minorHAnsi" w:cstheme="minorHAnsi"/>
          <w:b/>
          <w:caps/>
          <w:noProof/>
          <w:color w:val="FF0000"/>
          <w:sz w:val="16"/>
          <w:szCs w:val="16"/>
        </w:rPr>
      </w:pPr>
    </w:p>
    <w:p w14:paraId="58A6A188" w14:textId="77777777" w:rsidR="00AB5537" w:rsidRPr="00853027" w:rsidRDefault="00AB5537" w:rsidP="004A70E1">
      <w:pPr>
        <w:pStyle w:val="P1-StandPara"/>
        <w:ind w:right="-216" w:firstLine="0"/>
        <w:jc w:val="center"/>
        <w:rPr>
          <w:rFonts w:asciiTheme="minorHAnsi" w:hAnsiTheme="minorHAnsi" w:cstheme="minorHAnsi"/>
          <w:b/>
          <w:caps/>
          <w:noProof/>
          <w:color w:val="FF0000"/>
          <w:sz w:val="16"/>
          <w:szCs w:val="16"/>
        </w:rPr>
      </w:pPr>
    </w:p>
    <w:p w14:paraId="0B8FD000" w14:textId="77777777" w:rsidR="00AB5537" w:rsidRDefault="00AB5537" w:rsidP="004A70E1">
      <w:pPr>
        <w:pStyle w:val="P1-StandPara"/>
        <w:ind w:right="-216" w:firstLine="0"/>
        <w:jc w:val="center"/>
        <w:rPr>
          <w:b/>
          <w:caps/>
          <w:noProof/>
          <w:color w:val="FF0000"/>
          <w:sz w:val="16"/>
          <w:szCs w:val="16"/>
        </w:rPr>
      </w:pPr>
    </w:p>
    <w:p w14:paraId="272B5190" w14:textId="77777777" w:rsidR="00AB5537" w:rsidRDefault="00AB5537" w:rsidP="004A70E1">
      <w:pPr>
        <w:pStyle w:val="P1-StandPara"/>
        <w:ind w:right="-216" w:firstLine="0"/>
        <w:jc w:val="center"/>
        <w:rPr>
          <w:b/>
          <w:caps/>
          <w:noProof/>
          <w:color w:val="FF0000"/>
          <w:sz w:val="16"/>
          <w:szCs w:val="16"/>
        </w:rPr>
      </w:pPr>
    </w:p>
    <w:p w14:paraId="43E4D8AE" w14:textId="77777777" w:rsidR="00AB5537" w:rsidRDefault="00AB5537" w:rsidP="004A70E1">
      <w:pPr>
        <w:pStyle w:val="P1-StandPara"/>
        <w:ind w:right="-216" w:firstLine="0"/>
        <w:jc w:val="center"/>
        <w:rPr>
          <w:b/>
          <w:caps/>
          <w:noProof/>
          <w:color w:val="FF0000"/>
          <w:sz w:val="16"/>
          <w:szCs w:val="16"/>
        </w:rPr>
      </w:pPr>
    </w:p>
    <w:p w14:paraId="3D595D1C" w14:textId="77777777" w:rsidR="00AB5537" w:rsidRDefault="00AB5537" w:rsidP="004A70E1">
      <w:pPr>
        <w:pStyle w:val="P1-StandPara"/>
        <w:ind w:right="-216" w:firstLine="0"/>
        <w:jc w:val="center"/>
        <w:rPr>
          <w:b/>
          <w:caps/>
          <w:noProof/>
          <w:color w:val="FF0000"/>
          <w:sz w:val="16"/>
          <w:szCs w:val="16"/>
        </w:rPr>
      </w:pPr>
    </w:p>
    <w:p w14:paraId="2855C31B" w14:textId="77777777" w:rsidR="00AB5537" w:rsidRDefault="00AB5537" w:rsidP="004A70E1">
      <w:pPr>
        <w:pStyle w:val="P1-StandPara"/>
        <w:ind w:right="-216" w:firstLine="0"/>
        <w:jc w:val="center"/>
        <w:rPr>
          <w:b/>
          <w:caps/>
          <w:noProof/>
          <w:color w:val="FF0000"/>
          <w:sz w:val="16"/>
          <w:szCs w:val="16"/>
        </w:rPr>
      </w:pPr>
    </w:p>
    <w:p w14:paraId="7D2AA4AB" w14:textId="77777777" w:rsidR="00AB5537" w:rsidRDefault="00AB5537" w:rsidP="004A70E1">
      <w:pPr>
        <w:pStyle w:val="P1-StandPara"/>
        <w:ind w:right="-216" w:firstLine="0"/>
        <w:jc w:val="center"/>
        <w:rPr>
          <w:b/>
          <w:caps/>
          <w:noProof/>
          <w:color w:val="FF0000"/>
          <w:sz w:val="16"/>
          <w:szCs w:val="16"/>
        </w:rPr>
      </w:pPr>
    </w:p>
    <w:p w14:paraId="67FC275C" w14:textId="77777777" w:rsidR="00AB5537" w:rsidRDefault="00AB5537" w:rsidP="004A70E1">
      <w:pPr>
        <w:pStyle w:val="P1-StandPara"/>
        <w:ind w:right="-216" w:firstLine="0"/>
        <w:jc w:val="center"/>
        <w:rPr>
          <w:b/>
          <w:caps/>
          <w:noProof/>
          <w:color w:val="FF0000"/>
          <w:sz w:val="16"/>
          <w:szCs w:val="16"/>
        </w:rPr>
      </w:pPr>
    </w:p>
    <w:p w14:paraId="4F7EDC59" w14:textId="77777777" w:rsidR="003E1139" w:rsidRDefault="003E1139" w:rsidP="004A70E1">
      <w:pPr>
        <w:pStyle w:val="P1-StandPara"/>
        <w:ind w:right="-216" w:firstLine="0"/>
        <w:jc w:val="center"/>
        <w:rPr>
          <w:b/>
          <w:caps/>
          <w:noProof/>
          <w:color w:val="FF0000"/>
          <w:sz w:val="16"/>
          <w:szCs w:val="16"/>
        </w:rPr>
      </w:pPr>
    </w:p>
    <w:p w14:paraId="50D819B3" w14:textId="77777777" w:rsidR="003E1139" w:rsidRDefault="003E1139" w:rsidP="004A70E1">
      <w:pPr>
        <w:pStyle w:val="P1-StandPara"/>
        <w:ind w:right="-216" w:firstLine="0"/>
        <w:jc w:val="center"/>
        <w:rPr>
          <w:b/>
          <w:caps/>
          <w:noProof/>
          <w:color w:val="FF0000"/>
          <w:sz w:val="16"/>
          <w:szCs w:val="16"/>
        </w:rPr>
      </w:pPr>
    </w:p>
    <w:p w14:paraId="0D5EB9ED" w14:textId="77777777" w:rsidR="003E1139" w:rsidRDefault="003E1139" w:rsidP="004A70E1">
      <w:pPr>
        <w:pStyle w:val="P1-StandPara"/>
        <w:ind w:right="-216" w:firstLine="0"/>
        <w:jc w:val="center"/>
        <w:rPr>
          <w:b/>
          <w:caps/>
          <w:noProof/>
          <w:color w:val="FF0000"/>
          <w:sz w:val="16"/>
          <w:szCs w:val="16"/>
        </w:rPr>
      </w:pPr>
    </w:p>
    <w:p w14:paraId="060F8108" w14:textId="77777777" w:rsidR="003E1139" w:rsidRDefault="003E1139" w:rsidP="004A70E1">
      <w:pPr>
        <w:pStyle w:val="P1-StandPara"/>
        <w:ind w:right="-216" w:firstLine="0"/>
        <w:jc w:val="center"/>
        <w:rPr>
          <w:b/>
          <w:caps/>
          <w:noProof/>
          <w:color w:val="FF0000"/>
          <w:sz w:val="16"/>
          <w:szCs w:val="16"/>
        </w:rPr>
      </w:pPr>
    </w:p>
    <w:p w14:paraId="1BD5D1C5" w14:textId="77777777" w:rsidR="000A516F" w:rsidRDefault="000A516F" w:rsidP="004A70E1">
      <w:pPr>
        <w:pStyle w:val="P1-StandPara"/>
        <w:ind w:right="-216" w:firstLine="0"/>
        <w:jc w:val="center"/>
        <w:rPr>
          <w:b/>
          <w:caps/>
          <w:noProof/>
          <w:color w:val="FF0000"/>
          <w:sz w:val="16"/>
          <w:szCs w:val="16"/>
        </w:rPr>
      </w:pPr>
    </w:p>
    <w:p w14:paraId="66D7B9D3" w14:textId="77777777" w:rsidR="003E1139" w:rsidRPr="00E05389" w:rsidRDefault="003E1139" w:rsidP="00754DCD">
      <w:pPr>
        <w:pStyle w:val="Heading2"/>
        <w:tabs>
          <w:tab w:val="clear" w:pos="1152"/>
          <w:tab w:val="left" w:pos="720"/>
        </w:tabs>
        <w:spacing w:after="0" w:line="480" w:lineRule="auto"/>
        <w:ind w:left="0" w:firstLine="0"/>
        <w:rPr>
          <w:rFonts w:asciiTheme="minorHAnsi" w:hAnsiTheme="minorHAnsi" w:cstheme="minorHAnsi"/>
          <w:szCs w:val="22"/>
        </w:rPr>
      </w:pPr>
      <w:bookmarkStart w:id="1" w:name="_Toc443881763"/>
      <w:bookmarkStart w:id="2" w:name="_Toc451592250"/>
      <w:bookmarkStart w:id="3" w:name="_Toc5610291"/>
      <w:bookmarkStart w:id="4" w:name="_Toc99178797"/>
      <w:r w:rsidRPr="00E05389">
        <w:rPr>
          <w:rFonts w:asciiTheme="minorHAnsi" w:hAnsiTheme="minorHAnsi" w:cstheme="minorHAnsi"/>
          <w:szCs w:val="22"/>
        </w:rPr>
        <w:t>B. Collection of Information Employing Statistical Methods</w:t>
      </w:r>
    </w:p>
    <w:p w14:paraId="5227E6D5" w14:textId="77777777" w:rsidR="00754DCD" w:rsidRPr="00E05389" w:rsidRDefault="00754DCD" w:rsidP="00754DCD">
      <w:pPr>
        <w:pStyle w:val="Heading2"/>
        <w:tabs>
          <w:tab w:val="clear" w:pos="1152"/>
          <w:tab w:val="left" w:pos="720"/>
        </w:tabs>
        <w:spacing w:after="0" w:line="480" w:lineRule="auto"/>
        <w:ind w:left="0" w:firstLine="0"/>
        <w:rPr>
          <w:rFonts w:asciiTheme="minorHAnsi" w:hAnsiTheme="minorHAnsi" w:cstheme="minorHAnsi"/>
          <w:szCs w:val="22"/>
        </w:rPr>
      </w:pPr>
      <w:r w:rsidRPr="00E05389">
        <w:rPr>
          <w:rFonts w:asciiTheme="minorHAnsi" w:hAnsiTheme="minorHAnsi" w:cstheme="minorHAnsi"/>
          <w:szCs w:val="22"/>
        </w:rPr>
        <w:t>B.1</w:t>
      </w:r>
      <w:r w:rsidRPr="00E05389">
        <w:rPr>
          <w:rFonts w:asciiTheme="minorHAnsi" w:hAnsiTheme="minorHAnsi" w:cstheme="minorHAnsi"/>
          <w:szCs w:val="22"/>
        </w:rPr>
        <w:tab/>
        <w:t>Respondent Universe and Sampling Methods</w:t>
      </w:r>
      <w:bookmarkEnd w:id="1"/>
      <w:bookmarkEnd w:id="2"/>
      <w:bookmarkEnd w:id="3"/>
      <w:bookmarkEnd w:id="4"/>
    </w:p>
    <w:p w14:paraId="5FCF4C06" w14:textId="05B2DB8C" w:rsidR="00B56EE0" w:rsidRPr="00E05389" w:rsidRDefault="00B56EE0" w:rsidP="00B56EE0">
      <w:pPr>
        <w:rPr>
          <w:rFonts w:asciiTheme="minorHAnsi" w:hAnsiTheme="minorHAnsi" w:cstheme="minorHAnsi"/>
          <w:sz w:val="22"/>
          <w:szCs w:val="22"/>
        </w:rPr>
      </w:pPr>
      <w:r w:rsidRPr="00E05389">
        <w:rPr>
          <w:rFonts w:asciiTheme="minorHAnsi" w:hAnsiTheme="minorHAnsi" w:cstheme="minorHAnsi"/>
          <w:sz w:val="22"/>
          <w:szCs w:val="22"/>
        </w:rPr>
        <w:t>Federal Institute of Museum and Library Services (IMLS) publicly available data files (</w:t>
      </w:r>
      <w:r w:rsidR="00CD6C46" w:rsidRPr="00E05389">
        <w:rPr>
          <w:rFonts w:asciiTheme="minorHAnsi" w:hAnsiTheme="minorHAnsi" w:cstheme="minorHAnsi"/>
          <w:sz w:val="22"/>
          <w:szCs w:val="22"/>
        </w:rPr>
        <w:t>2012 edition,</w:t>
      </w:r>
      <w:r w:rsidRPr="00E05389">
        <w:rPr>
          <w:rFonts w:asciiTheme="minorHAnsi" w:hAnsiTheme="minorHAnsi" w:cstheme="minorHAnsi"/>
          <w:sz w:val="22"/>
          <w:szCs w:val="22"/>
        </w:rPr>
        <w:t xml:space="preserve"> most recently collected at the time this study was designed) were reviewed to establish central public libraries per capita in each of the 50 United States.  The rationale was to identify states in which each central public library has high impact because there are </w:t>
      </w:r>
      <w:r w:rsidR="0019150E" w:rsidRPr="00E05389">
        <w:rPr>
          <w:rFonts w:asciiTheme="minorHAnsi" w:hAnsiTheme="minorHAnsi" w:cstheme="minorHAnsi"/>
          <w:sz w:val="22"/>
          <w:szCs w:val="22"/>
        </w:rPr>
        <w:t>fewer</w:t>
      </w:r>
      <w:r w:rsidRPr="00E05389">
        <w:rPr>
          <w:rFonts w:asciiTheme="minorHAnsi" w:hAnsiTheme="minorHAnsi" w:cstheme="minorHAnsi"/>
          <w:sz w:val="22"/>
          <w:szCs w:val="22"/>
        </w:rPr>
        <w:t xml:space="preserve"> libraries available for use per citizen. This list of high-impact libraries was then sorted to create two more lists:</w:t>
      </w:r>
    </w:p>
    <w:p w14:paraId="2EA4696F" w14:textId="77777777" w:rsidR="00B56EE0" w:rsidRPr="00E05389" w:rsidRDefault="00B56EE0" w:rsidP="00B56EE0">
      <w:pPr>
        <w:rPr>
          <w:rFonts w:asciiTheme="minorHAnsi" w:hAnsiTheme="minorHAnsi" w:cstheme="minorHAnsi"/>
          <w:sz w:val="22"/>
          <w:szCs w:val="22"/>
        </w:rPr>
      </w:pPr>
    </w:p>
    <w:p w14:paraId="746D8656" w14:textId="11823E3B" w:rsidR="00B56EE0" w:rsidRPr="00E05389" w:rsidRDefault="00B56EE0" w:rsidP="00B56EE0">
      <w:pPr>
        <w:rPr>
          <w:rFonts w:asciiTheme="minorHAnsi" w:hAnsiTheme="minorHAnsi" w:cstheme="minorHAnsi"/>
          <w:sz w:val="22"/>
          <w:szCs w:val="22"/>
        </w:rPr>
      </w:pPr>
      <w:r w:rsidRPr="00E05389">
        <w:rPr>
          <w:rFonts w:asciiTheme="minorHAnsi" w:hAnsiTheme="minorHAnsi" w:cstheme="minorHAnsi"/>
          <w:sz w:val="22"/>
          <w:szCs w:val="22"/>
        </w:rPr>
        <w:t>•</w:t>
      </w:r>
      <w:r w:rsidRPr="00E05389">
        <w:rPr>
          <w:rFonts w:asciiTheme="minorHAnsi" w:hAnsiTheme="minorHAnsi" w:cstheme="minorHAnsi"/>
          <w:sz w:val="22"/>
          <w:szCs w:val="22"/>
        </w:rPr>
        <w:tab/>
        <w:t xml:space="preserve">10 highest-impact libraries in states with federal health insurance exchanges (In descending order: Florida, Georgia, North Carolina, South Carolina, Virginia, Arizona, Louisiana, Mississippi, Ohio and Utah). The average percentage of </w:t>
      </w:r>
      <w:r w:rsidR="00BB6964" w:rsidRPr="00E05389">
        <w:rPr>
          <w:rFonts w:asciiTheme="minorHAnsi" w:hAnsiTheme="minorHAnsi" w:cstheme="minorHAnsi"/>
          <w:sz w:val="22"/>
          <w:szCs w:val="22"/>
        </w:rPr>
        <w:t>citizen’s</w:t>
      </w:r>
      <w:r w:rsidRPr="00E05389">
        <w:rPr>
          <w:rFonts w:asciiTheme="minorHAnsi" w:hAnsiTheme="minorHAnsi" w:cstheme="minorHAnsi"/>
          <w:sz w:val="22"/>
          <w:szCs w:val="22"/>
        </w:rPr>
        <w:t xml:space="preserve"> uninsured in these 10 states was 17% in 2012. </w:t>
      </w:r>
    </w:p>
    <w:p w14:paraId="28C7883B" w14:textId="4273738E" w:rsidR="00B56EE0" w:rsidRPr="00E05389" w:rsidRDefault="00B56EE0" w:rsidP="00B56EE0">
      <w:pPr>
        <w:rPr>
          <w:rFonts w:asciiTheme="minorHAnsi" w:hAnsiTheme="minorHAnsi" w:cstheme="minorHAnsi"/>
          <w:sz w:val="22"/>
          <w:szCs w:val="22"/>
        </w:rPr>
      </w:pPr>
      <w:r w:rsidRPr="00E05389">
        <w:rPr>
          <w:rFonts w:asciiTheme="minorHAnsi" w:hAnsiTheme="minorHAnsi" w:cstheme="minorHAnsi"/>
          <w:sz w:val="22"/>
          <w:szCs w:val="22"/>
        </w:rPr>
        <w:t>•</w:t>
      </w:r>
      <w:r w:rsidRPr="00E05389">
        <w:rPr>
          <w:rFonts w:asciiTheme="minorHAnsi" w:hAnsiTheme="minorHAnsi" w:cstheme="minorHAnsi"/>
          <w:sz w:val="22"/>
          <w:szCs w:val="22"/>
        </w:rPr>
        <w:tab/>
        <w:t xml:space="preserve">10 highest-impact libraries in states with state-run health insurance exchanges (In descending order: Hawaii, District of Columbia, Maryland, California, Washington, Colorado, Minnesota, Kentucky, Rhode Island and Oregon). The average percentage of </w:t>
      </w:r>
      <w:r w:rsidR="00BB6964" w:rsidRPr="00E05389">
        <w:rPr>
          <w:rFonts w:asciiTheme="minorHAnsi" w:hAnsiTheme="minorHAnsi" w:cstheme="minorHAnsi"/>
          <w:sz w:val="22"/>
          <w:szCs w:val="22"/>
        </w:rPr>
        <w:t>citizen’s</w:t>
      </w:r>
      <w:r w:rsidRPr="00E05389">
        <w:rPr>
          <w:rFonts w:asciiTheme="minorHAnsi" w:hAnsiTheme="minorHAnsi" w:cstheme="minorHAnsi"/>
          <w:sz w:val="22"/>
          <w:szCs w:val="22"/>
        </w:rPr>
        <w:t xml:space="preserve"> uninsured in these 10 states was 13% in 2012.1</w:t>
      </w:r>
    </w:p>
    <w:p w14:paraId="09C203FF" w14:textId="77777777" w:rsidR="00B56EE0" w:rsidRPr="00E05389" w:rsidRDefault="00B56EE0" w:rsidP="00B56EE0">
      <w:pPr>
        <w:rPr>
          <w:rFonts w:asciiTheme="minorHAnsi" w:hAnsiTheme="minorHAnsi" w:cstheme="minorHAnsi"/>
          <w:sz w:val="22"/>
          <w:szCs w:val="22"/>
        </w:rPr>
      </w:pPr>
    </w:p>
    <w:p w14:paraId="732008D4" w14:textId="77777777" w:rsidR="00B56EE0" w:rsidRPr="00E05389" w:rsidRDefault="00B56EE0" w:rsidP="00B56EE0">
      <w:pPr>
        <w:rPr>
          <w:rFonts w:asciiTheme="minorHAnsi" w:hAnsiTheme="minorHAnsi" w:cstheme="minorHAnsi"/>
          <w:sz w:val="22"/>
          <w:szCs w:val="22"/>
        </w:rPr>
      </w:pPr>
      <w:r w:rsidRPr="00E05389">
        <w:rPr>
          <w:rFonts w:asciiTheme="minorHAnsi" w:hAnsiTheme="minorHAnsi" w:cstheme="minorHAnsi"/>
          <w:sz w:val="22"/>
          <w:szCs w:val="22"/>
        </w:rPr>
        <w:t>There are 809 central public libraries in the 10 states using federal health insurance exchanges, and 749 in the 10 states running their own health insurance changes, for a total of 1558.</w:t>
      </w:r>
      <w:r w:rsidR="00A50652" w:rsidRPr="00E05389">
        <w:rPr>
          <w:rFonts w:asciiTheme="minorHAnsi" w:hAnsiTheme="minorHAnsi" w:cstheme="minorHAnsi"/>
          <w:sz w:val="22"/>
          <w:szCs w:val="22"/>
        </w:rPr>
        <w:t xml:space="preserve"> A 50% response rate is assumed for the whole dataset.</w:t>
      </w:r>
    </w:p>
    <w:p w14:paraId="2EFF99E3" w14:textId="77777777" w:rsidR="00B56EE0" w:rsidRPr="00E05389" w:rsidRDefault="00B56EE0" w:rsidP="00B56EE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758"/>
        <w:gridCol w:w="1515"/>
        <w:gridCol w:w="1845"/>
        <w:gridCol w:w="1948"/>
      </w:tblGrid>
      <w:tr w:rsidR="00CD6C46" w:rsidRPr="00E05389" w14:paraId="26E5DB5C" w14:textId="77777777" w:rsidTr="00CD6C46">
        <w:tc>
          <w:tcPr>
            <w:tcW w:w="1758" w:type="dxa"/>
          </w:tcPr>
          <w:p w14:paraId="1EBF7075" w14:textId="77777777" w:rsidR="00CD6C46" w:rsidRPr="00E05389" w:rsidDel="00B56EE0" w:rsidRDefault="00CD6C46" w:rsidP="00B56EE0">
            <w:pPr>
              <w:rPr>
                <w:rFonts w:asciiTheme="minorHAnsi" w:hAnsiTheme="minorHAnsi" w:cstheme="minorHAnsi"/>
                <w:b/>
                <w:sz w:val="22"/>
                <w:szCs w:val="22"/>
              </w:rPr>
            </w:pPr>
            <w:r w:rsidRPr="00E05389">
              <w:rPr>
                <w:rFonts w:asciiTheme="minorHAnsi" w:hAnsiTheme="minorHAnsi" w:cstheme="minorHAnsi"/>
                <w:b/>
                <w:sz w:val="22"/>
                <w:szCs w:val="22"/>
              </w:rPr>
              <w:t>State</w:t>
            </w:r>
          </w:p>
        </w:tc>
        <w:tc>
          <w:tcPr>
            <w:tcW w:w="1515" w:type="dxa"/>
          </w:tcPr>
          <w:p w14:paraId="314A0DEC" w14:textId="77777777" w:rsidR="00CD6C46" w:rsidRPr="00E05389" w:rsidRDefault="00CD6C46" w:rsidP="00B56EE0">
            <w:pPr>
              <w:rPr>
                <w:rFonts w:asciiTheme="minorHAnsi" w:hAnsiTheme="minorHAnsi" w:cstheme="minorHAnsi"/>
                <w:b/>
                <w:sz w:val="22"/>
                <w:szCs w:val="22"/>
              </w:rPr>
            </w:pPr>
            <w:r w:rsidRPr="00E05389">
              <w:rPr>
                <w:rFonts w:asciiTheme="minorHAnsi" w:hAnsiTheme="minorHAnsi" w:cstheme="minorHAnsi"/>
                <w:b/>
                <w:sz w:val="22"/>
                <w:szCs w:val="22"/>
              </w:rPr>
              <w:t>Library Service Area Population</w:t>
            </w:r>
            <w:r w:rsidRPr="00E05389">
              <w:rPr>
                <w:rStyle w:val="FootnoteReference"/>
                <w:rFonts w:asciiTheme="minorHAnsi" w:hAnsiTheme="minorHAnsi" w:cstheme="minorHAnsi"/>
                <w:b/>
                <w:sz w:val="22"/>
                <w:szCs w:val="22"/>
              </w:rPr>
              <w:footnoteReference w:id="1"/>
            </w:r>
          </w:p>
        </w:tc>
        <w:tc>
          <w:tcPr>
            <w:tcW w:w="1845" w:type="dxa"/>
          </w:tcPr>
          <w:p w14:paraId="0104F346" w14:textId="77777777" w:rsidR="00CD6C46" w:rsidRPr="00E05389" w:rsidRDefault="00CD6C46" w:rsidP="00B56EE0">
            <w:pPr>
              <w:rPr>
                <w:rFonts w:asciiTheme="minorHAnsi" w:hAnsiTheme="minorHAnsi" w:cstheme="minorHAnsi"/>
                <w:b/>
                <w:sz w:val="22"/>
                <w:szCs w:val="22"/>
              </w:rPr>
            </w:pPr>
            <w:r w:rsidRPr="00E05389">
              <w:rPr>
                <w:rFonts w:asciiTheme="minorHAnsi" w:hAnsiTheme="minorHAnsi" w:cstheme="minorHAnsi"/>
                <w:b/>
                <w:sz w:val="22"/>
                <w:szCs w:val="22"/>
              </w:rPr>
              <w:t>Total central public libraries</w:t>
            </w:r>
          </w:p>
        </w:tc>
        <w:tc>
          <w:tcPr>
            <w:tcW w:w="1948" w:type="dxa"/>
          </w:tcPr>
          <w:p w14:paraId="35F5846B" w14:textId="77777777" w:rsidR="00CD6C46" w:rsidRPr="00E05389" w:rsidRDefault="00CD6C46" w:rsidP="00B56EE0">
            <w:pPr>
              <w:rPr>
                <w:rFonts w:asciiTheme="minorHAnsi" w:hAnsiTheme="minorHAnsi" w:cstheme="minorHAnsi"/>
                <w:b/>
                <w:sz w:val="22"/>
                <w:szCs w:val="22"/>
              </w:rPr>
            </w:pPr>
            <w:r w:rsidRPr="00E05389">
              <w:rPr>
                <w:rFonts w:asciiTheme="minorHAnsi" w:hAnsiTheme="minorHAnsi" w:cstheme="minorHAnsi"/>
                <w:b/>
                <w:sz w:val="22"/>
                <w:szCs w:val="22"/>
              </w:rPr>
              <w:t>Type of health insurance exchange (F=federal; S = state)</w:t>
            </w:r>
          </w:p>
        </w:tc>
      </w:tr>
      <w:tr w:rsidR="00CD6C46" w:rsidRPr="00E05389" w14:paraId="5F6B6647" w14:textId="77777777" w:rsidTr="00CD6C46">
        <w:tc>
          <w:tcPr>
            <w:tcW w:w="1758" w:type="dxa"/>
          </w:tcPr>
          <w:p w14:paraId="5B1D193C"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Arizona</w:t>
            </w:r>
          </w:p>
        </w:tc>
        <w:tc>
          <w:tcPr>
            <w:tcW w:w="1515" w:type="dxa"/>
          </w:tcPr>
          <w:p w14:paraId="065DF136"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2791492</w:t>
            </w:r>
          </w:p>
          <w:p w14:paraId="5CFB52FF" w14:textId="77777777" w:rsidR="00CD6C46" w:rsidRPr="00E05389" w:rsidRDefault="00CD6C46" w:rsidP="00B56EE0">
            <w:pPr>
              <w:rPr>
                <w:rFonts w:asciiTheme="minorHAnsi" w:hAnsiTheme="minorHAnsi" w:cstheme="minorHAnsi"/>
                <w:sz w:val="22"/>
                <w:szCs w:val="22"/>
              </w:rPr>
            </w:pPr>
          </w:p>
        </w:tc>
        <w:tc>
          <w:tcPr>
            <w:tcW w:w="1845" w:type="dxa"/>
          </w:tcPr>
          <w:p w14:paraId="30ABEB30"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53</w:t>
            </w:r>
          </w:p>
        </w:tc>
        <w:tc>
          <w:tcPr>
            <w:tcW w:w="1948" w:type="dxa"/>
          </w:tcPr>
          <w:p w14:paraId="4E6A4F27"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7DCC4823" w14:textId="77777777" w:rsidTr="00CD6C46">
        <w:tc>
          <w:tcPr>
            <w:tcW w:w="1758" w:type="dxa"/>
          </w:tcPr>
          <w:p w14:paraId="363FAD33"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California</w:t>
            </w:r>
          </w:p>
        </w:tc>
        <w:tc>
          <w:tcPr>
            <w:tcW w:w="1515" w:type="dxa"/>
          </w:tcPr>
          <w:p w14:paraId="43E45D96"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37678127</w:t>
            </w:r>
          </w:p>
          <w:p w14:paraId="2AE71816" w14:textId="77777777" w:rsidR="00CD6C46" w:rsidRPr="00E05389" w:rsidRDefault="00CD6C46" w:rsidP="00B56EE0">
            <w:pPr>
              <w:rPr>
                <w:rFonts w:asciiTheme="minorHAnsi" w:hAnsiTheme="minorHAnsi" w:cstheme="minorHAnsi"/>
                <w:sz w:val="22"/>
                <w:szCs w:val="22"/>
              </w:rPr>
            </w:pPr>
          </w:p>
        </w:tc>
        <w:tc>
          <w:tcPr>
            <w:tcW w:w="1845" w:type="dxa"/>
          </w:tcPr>
          <w:p w14:paraId="7E93E09A"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165</w:t>
            </w:r>
          </w:p>
        </w:tc>
        <w:tc>
          <w:tcPr>
            <w:tcW w:w="1948" w:type="dxa"/>
          </w:tcPr>
          <w:p w14:paraId="0A1C614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20955873" w14:textId="77777777" w:rsidTr="00CD6C46">
        <w:tc>
          <w:tcPr>
            <w:tcW w:w="1758" w:type="dxa"/>
          </w:tcPr>
          <w:p w14:paraId="20F87023"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Colorado</w:t>
            </w:r>
          </w:p>
        </w:tc>
        <w:tc>
          <w:tcPr>
            <w:tcW w:w="1515" w:type="dxa"/>
          </w:tcPr>
          <w:p w14:paraId="75F2A748"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5094369</w:t>
            </w:r>
          </w:p>
          <w:p w14:paraId="79087AAD" w14:textId="77777777" w:rsidR="00CD6C46" w:rsidRPr="00E05389" w:rsidRDefault="00CD6C46" w:rsidP="00B56EE0">
            <w:pPr>
              <w:rPr>
                <w:rFonts w:asciiTheme="minorHAnsi" w:hAnsiTheme="minorHAnsi" w:cstheme="minorHAnsi"/>
                <w:sz w:val="22"/>
                <w:szCs w:val="22"/>
              </w:rPr>
            </w:pPr>
          </w:p>
        </w:tc>
        <w:tc>
          <w:tcPr>
            <w:tcW w:w="1845" w:type="dxa"/>
          </w:tcPr>
          <w:p w14:paraId="5557330F"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98</w:t>
            </w:r>
          </w:p>
        </w:tc>
        <w:tc>
          <w:tcPr>
            <w:tcW w:w="1948" w:type="dxa"/>
          </w:tcPr>
          <w:p w14:paraId="0D4EBC2A"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46A170DF" w14:textId="77777777" w:rsidTr="00CD6C46">
        <w:tc>
          <w:tcPr>
            <w:tcW w:w="1758" w:type="dxa"/>
          </w:tcPr>
          <w:p w14:paraId="1C6EE84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D.C.</w:t>
            </w:r>
          </w:p>
        </w:tc>
        <w:tc>
          <w:tcPr>
            <w:tcW w:w="1515" w:type="dxa"/>
          </w:tcPr>
          <w:p w14:paraId="65D2B879"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632323</w:t>
            </w:r>
          </w:p>
          <w:p w14:paraId="5FFBE660" w14:textId="77777777" w:rsidR="00CD6C46" w:rsidRPr="00E05389" w:rsidRDefault="00CD6C46" w:rsidP="00B56EE0">
            <w:pPr>
              <w:rPr>
                <w:rFonts w:asciiTheme="minorHAnsi" w:hAnsiTheme="minorHAnsi" w:cstheme="minorHAnsi"/>
                <w:sz w:val="22"/>
                <w:szCs w:val="22"/>
              </w:rPr>
            </w:pPr>
          </w:p>
        </w:tc>
        <w:tc>
          <w:tcPr>
            <w:tcW w:w="1845" w:type="dxa"/>
          </w:tcPr>
          <w:p w14:paraId="5DC1EAB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1</w:t>
            </w:r>
          </w:p>
        </w:tc>
        <w:tc>
          <w:tcPr>
            <w:tcW w:w="1948" w:type="dxa"/>
          </w:tcPr>
          <w:p w14:paraId="735608ED"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2D87F530" w14:textId="77777777" w:rsidTr="00CD6C46">
        <w:tc>
          <w:tcPr>
            <w:tcW w:w="1758" w:type="dxa"/>
          </w:tcPr>
          <w:p w14:paraId="3A73EFC2"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Florida</w:t>
            </w:r>
          </w:p>
        </w:tc>
        <w:tc>
          <w:tcPr>
            <w:tcW w:w="1515" w:type="dxa"/>
          </w:tcPr>
          <w:p w14:paraId="0CC1A9AA"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19337915</w:t>
            </w:r>
          </w:p>
          <w:p w14:paraId="7C969D78" w14:textId="77777777" w:rsidR="00CD6C46" w:rsidRPr="00E05389" w:rsidRDefault="00CD6C46" w:rsidP="00B56EE0">
            <w:pPr>
              <w:rPr>
                <w:rFonts w:asciiTheme="minorHAnsi" w:hAnsiTheme="minorHAnsi" w:cstheme="minorHAnsi"/>
                <w:sz w:val="22"/>
                <w:szCs w:val="22"/>
              </w:rPr>
            </w:pPr>
          </w:p>
        </w:tc>
        <w:tc>
          <w:tcPr>
            <w:tcW w:w="1845" w:type="dxa"/>
          </w:tcPr>
          <w:p w14:paraId="39240612"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57</w:t>
            </w:r>
          </w:p>
        </w:tc>
        <w:tc>
          <w:tcPr>
            <w:tcW w:w="1948" w:type="dxa"/>
          </w:tcPr>
          <w:p w14:paraId="3609B59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3ED52B49" w14:textId="77777777" w:rsidTr="00CD6C46">
        <w:tc>
          <w:tcPr>
            <w:tcW w:w="1758" w:type="dxa"/>
          </w:tcPr>
          <w:p w14:paraId="53D60708"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Georgia</w:t>
            </w:r>
          </w:p>
        </w:tc>
        <w:tc>
          <w:tcPr>
            <w:tcW w:w="1515" w:type="dxa"/>
          </w:tcPr>
          <w:p w14:paraId="54D89A84"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10459546</w:t>
            </w:r>
          </w:p>
          <w:p w14:paraId="14ACA747" w14:textId="77777777" w:rsidR="00CD6C46" w:rsidRPr="00E05389" w:rsidRDefault="00CD6C46" w:rsidP="00B56EE0">
            <w:pPr>
              <w:rPr>
                <w:rFonts w:asciiTheme="minorHAnsi" w:hAnsiTheme="minorHAnsi" w:cstheme="minorHAnsi"/>
                <w:sz w:val="22"/>
                <w:szCs w:val="22"/>
              </w:rPr>
            </w:pPr>
          </w:p>
        </w:tc>
        <w:tc>
          <w:tcPr>
            <w:tcW w:w="1845" w:type="dxa"/>
          </w:tcPr>
          <w:p w14:paraId="3E9A02CB"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61</w:t>
            </w:r>
          </w:p>
        </w:tc>
        <w:tc>
          <w:tcPr>
            <w:tcW w:w="1948" w:type="dxa"/>
          </w:tcPr>
          <w:p w14:paraId="356A01D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0E57B27B" w14:textId="77777777" w:rsidTr="00CD6C46">
        <w:tc>
          <w:tcPr>
            <w:tcW w:w="1758" w:type="dxa"/>
          </w:tcPr>
          <w:p w14:paraId="12EA605F"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Hawaii</w:t>
            </w:r>
          </w:p>
        </w:tc>
        <w:tc>
          <w:tcPr>
            <w:tcW w:w="1515" w:type="dxa"/>
          </w:tcPr>
          <w:p w14:paraId="447FCF9D"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1374810</w:t>
            </w:r>
          </w:p>
          <w:p w14:paraId="764C8F3A" w14:textId="77777777" w:rsidR="00CD6C46" w:rsidRPr="00E05389" w:rsidRDefault="00CD6C46" w:rsidP="00B56EE0">
            <w:pPr>
              <w:rPr>
                <w:rFonts w:asciiTheme="minorHAnsi" w:hAnsiTheme="minorHAnsi" w:cstheme="minorHAnsi"/>
                <w:sz w:val="22"/>
                <w:szCs w:val="22"/>
              </w:rPr>
            </w:pPr>
          </w:p>
        </w:tc>
        <w:tc>
          <w:tcPr>
            <w:tcW w:w="1845" w:type="dxa"/>
          </w:tcPr>
          <w:p w14:paraId="721F9210"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1</w:t>
            </w:r>
          </w:p>
        </w:tc>
        <w:tc>
          <w:tcPr>
            <w:tcW w:w="1948" w:type="dxa"/>
          </w:tcPr>
          <w:p w14:paraId="40336287"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57CBA399" w14:textId="77777777" w:rsidTr="00CD6C46">
        <w:tc>
          <w:tcPr>
            <w:tcW w:w="1758" w:type="dxa"/>
          </w:tcPr>
          <w:p w14:paraId="5566DF91"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Kentucky</w:t>
            </w:r>
          </w:p>
        </w:tc>
        <w:tc>
          <w:tcPr>
            <w:tcW w:w="1515" w:type="dxa"/>
          </w:tcPr>
          <w:p w14:paraId="669B9112"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4369356</w:t>
            </w:r>
          </w:p>
          <w:p w14:paraId="79193FBE" w14:textId="77777777" w:rsidR="00CD6C46" w:rsidRPr="00E05389" w:rsidRDefault="00CD6C46" w:rsidP="00B56EE0">
            <w:pPr>
              <w:rPr>
                <w:rFonts w:asciiTheme="minorHAnsi" w:hAnsiTheme="minorHAnsi" w:cstheme="minorHAnsi"/>
                <w:sz w:val="22"/>
                <w:szCs w:val="22"/>
              </w:rPr>
            </w:pPr>
          </w:p>
        </w:tc>
        <w:tc>
          <w:tcPr>
            <w:tcW w:w="1845" w:type="dxa"/>
          </w:tcPr>
          <w:p w14:paraId="58AF64EB"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lastRenderedPageBreak/>
              <w:t>119</w:t>
            </w:r>
          </w:p>
        </w:tc>
        <w:tc>
          <w:tcPr>
            <w:tcW w:w="1948" w:type="dxa"/>
          </w:tcPr>
          <w:p w14:paraId="5BBF5FD0"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157C4231" w14:textId="77777777" w:rsidTr="00CD6C46">
        <w:tc>
          <w:tcPr>
            <w:tcW w:w="1758" w:type="dxa"/>
          </w:tcPr>
          <w:p w14:paraId="3A501A2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lastRenderedPageBreak/>
              <w:t>Louisiana</w:t>
            </w:r>
          </w:p>
        </w:tc>
        <w:tc>
          <w:tcPr>
            <w:tcW w:w="1515" w:type="dxa"/>
          </w:tcPr>
          <w:p w14:paraId="2E07D70F"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4624437</w:t>
            </w:r>
          </w:p>
          <w:p w14:paraId="7DD21736" w14:textId="77777777" w:rsidR="00CD6C46" w:rsidRPr="00E05389" w:rsidRDefault="00CD6C46" w:rsidP="00B56EE0">
            <w:pPr>
              <w:rPr>
                <w:rFonts w:asciiTheme="minorHAnsi" w:hAnsiTheme="minorHAnsi" w:cstheme="minorHAnsi"/>
                <w:sz w:val="22"/>
                <w:szCs w:val="22"/>
              </w:rPr>
            </w:pPr>
          </w:p>
        </w:tc>
        <w:tc>
          <w:tcPr>
            <w:tcW w:w="1845" w:type="dxa"/>
          </w:tcPr>
          <w:p w14:paraId="7FD17EBB"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68</w:t>
            </w:r>
          </w:p>
        </w:tc>
        <w:tc>
          <w:tcPr>
            <w:tcW w:w="1948" w:type="dxa"/>
          </w:tcPr>
          <w:p w14:paraId="22F7BF8D"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158DFE5A" w14:textId="77777777" w:rsidTr="00CD6C46">
        <w:tc>
          <w:tcPr>
            <w:tcW w:w="1758" w:type="dxa"/>
          </w:tcPr>
          <w:p w14:paraId="5B040D98"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Maryland</w:t>
            </w:r>
          </w:p>
        </w:tc>
        <w:tc>
          <w:tcPr>
            <w:tcW w:w="1515" w:type="dxa"/>
          </w:tcPr>
          <w:p w14:paraId="458A581C"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6584601</w:t>
            </w:r>
          </w:p>
          <w:p w14:paraId="6763067B" w14:textId="77777777" w:rsidR="00CD6C46" w:rsidRPr="00E05389" w:rsidRDefault="00CD6C46" w:rsidP="00B56EE0">
            <w:pPr>
              <w:rPr>
                <w:rFonts w:asciiTheme="minorHAnsi" w:hAnsiTheme="minorHAnsi" w:cstheme="minorHAnsi"/>
                <w:sz w:val="22"/>
                <w:szCs w:val="22"/>
              </w:rPr>
            </w:pPr>
          </w:p>
        </w:tc>
        <w:tc>
          <w:tcPr>
            <w:tcW w:w="1845" w:type="dxa"/>
          </w:tcPr>
          <w:p w14:paraId="5CFC947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370</w:t>
            </w:r>
          </w:p>
        </w:tc>
        <w:tc>
          <w:tcPr>
            <w:tcW w:w="1948" w:type="dxa"/>
          </w:tcPr>
          <w:p w14:paraId="60D9909F"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6C8F6DD4" w14:textId="77777777" w:rsidTr="00CD6C46">
        <w:tc>
          <w:tcPr>
            <w:tcW w:w="1758" w:type="dxa"/>
          </w:tcPr>
          <w:p w14:paraId="03638D54"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Minnesota</w:t>
            </w:r>
          </w:p>
        </w:tc>
        <w:tc>
          <w:tcPr>
            <w:tcW w:w="1515" w:type="dxa"/>
          </w:tcPr>
          <w:p w14:paraId="1D317FB2"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5796131</w:t>
            </w:r>
          </w:p>
          <w:p w14:paraId="0EFCA1A4" w14:textId="77777777" w:rsidR="00CD6C46" w:rsidRPr="00E05389" w:rsidRDefault="00CD6C46" w:rsidP="00B56EE0">
            <w:pPr>
              <w:rPr>
                <w:rFonts w:asciiTheme="minorHAnsi" w:hAnsiTheme="minorHAnsi" w:cstheme="minorHAnsi"/>
                <w:sz w:val="22"/>
                <w:szCs w:val="22"/>
              </w:rPr>
            </w:pPr>
          </w:p>
        </w:tc>
        <w:tc>
          <w:tcPr>
            <w:tcW w:w="1845" w:type="dxa"/>
          </w:tcPr>
          <w:p w14:paraId="0CD1B91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128</w:t>
            </w:r>
          </w:p>
        </w:tc>
        <w:tc>
          <w:tcPr>
            <w:tcW w:w="1948" w:type="dxa"/>
          </w:tcPr>
          <w:p w14:paraId="64B771A3"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7E87817B" w14:textId="77777777" w:rsidTr="00CD6C46">
        <w:tc>
          <w:tcPr>
            <w:tcW w:w="1758" w:type="dxa"/>
          </w:tcPr>
          <w:p w14:paraId="5575424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Mississippi</w:t>
            </w:r>
          </w:p>
        </w:tc>
        <w:tc>
          <w:tcPr>
            <w:tcW w:w="1515" w:type="dxa"/>
          </w:tcPr>
          <w:p w14:paraId="0E7C2C68"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3003396</w:t>
            </w:r>
          </w:p>
          <w:p w14:paraId="4CC0555E" w14:textId="77777777" w:rsidR="00CD6C46" w:rsidRPr="00E05389" w:rsidRDefault="00CD6C46" w:rsidP="00B56EE0">
            <w:pPr>
              <w:rPr>
                <w:rFonts w:asciiTheme="minorHAnsi" w:hAnsiTheme="minorHAnsi" w:cstheme="minorHAnsi"/>
                <w:sz w:val="22"/>
                <w:szCs w:val="22"/>
              </w:rPr>
            </w:pPr>
          </w:p>
        </w:tc>
        <w:tc>
          <w:tcPr>
            <w:tcW w:w="1845" w:type="dxa"/>
          </w:tcPr>
          <w:p w14:paraId="0997CAD9"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48</w:t>
            </w:r>
          </w:p>
        </w:tc>
        <w:tc>
          <w:tcPr>
            <w:tcW w:w="1948" w:type="dxa"/>
          </w:tcPr>
          <w:p w14:paraId="1F4D9630"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194FBEDB" w14:textId="77777777" w:rsidTr="00CD6C46">
        <w:tc>
          <w:tcPr>
            <w:tcW w:w="1758" w:type="dxa"/>
          </w:tcPr>
          <w:p w14:paraId="2F7F47EB"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North Carolina</w:t>
            </w:r>
          </w:p>
        </w:tc>
        <w:tc>
          <w:tcPr>
            <w:tcW w:w="1515" w:type="dxa"/>
          </w:tcPr>
          <w:p w14:paraId="40F6BC24"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9669244</w:t>
            </w:r>
          </w:p>
          <w:p w14:paraId="549C8CA4" w14:textId="77777777" w:rsidR="00CD6C46" w:rsidRPr="00E05389" w:rsidRDefault="00CD6C46" w:rsidP="00B56EE0">
            <w:pPr>
              <w:rPr>
                <w:rFonts w:asciiTheme="minorHAnsi" w:hAnsiTheme="minorHAnsi" w:cstheme="minorHAnsi"/>
                <w:sz w:val="22"/>
                <w:szCs w:val="22"/>
              </w:rPr>
            </w:pPr>
          </w:p>
        </w:tc>
        <w:tc>
          <w:tcPr>
            <w:tcW w:w="1845" w:type="dxa"/>
          </w:tcPr>
          <w:p w14:paraId="14CC4812"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66</w:t>
            </w:r>
          </w:p>
        </w:tc>
        <w:tc>
          <w:tcPr>
            <w:tcW w:w="1948" w:type="dxa"/>
          </w:tcPr>
          <w:p w14:paraId="7BF5A1D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6D885356" w14:textId="77777777" w:rsidTr="00CD6C46">
        <w:tc>
          <w:tcPr>
            <w:tcW w:w="1758" w:type="dxa"/>
          </w:tcPr>
          <w:p w14:paraId="23599F1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Ohio</w:t>
            </w:r>
          </w:p>
        </w:tc>
        <w:tc>
          <w:tcPr>
            <w:tcW w:w="1515" w:type="dxa"/>
          </w:tcPr>
          <w:p w14:paraId="403A0748"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11547241</w:t>
            </w:r>
          </w:p>
          <w:p w14:paraId="0D3636A4" w14:textId="77777777" w:rsidR="00CD6C46" w:rsidRPr="00E05389" w:rsidRDefault="00CD6C46" w:rsidP="00B56EE0">
            <w:pPr>
              <w:rPr>
                <w:rFonts w:asciiTheme="minorHAnsi" w:hAnsiTheme="minorHAnsi" w:cstheme="minorHAnsi"/>
                <w:sz w:val="22"/>
                <w:szCs w:val="22"/>
              </w:rPr>
            </w:pPr>
          </w:p>
        </w:tc>
        <w:tc>
          <w:tcPr>
            <w:tcW w:w="1845" w:type="dxa"/>
          </w:tcPr>
          <w:p w14:paraId="73DAF11D"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239</w:t>
            </w:r>
          </w:p>
        </w:tc>
        <w:tc>
          <w:tcPr>
            <w:tcW w:w="1948" w:type="dxa"/>
          </w:tcPr>
          <w:p w14:paraId="3160E6F0"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2A999693" w14:textId="77777777" w:rsidTr="00CD6C46">
        <w:tc>
          <w:tcPr>
            <w:tcW w:w="1758" w:type="dxa"/>
          </w:tcPr>
          <w:p w14:paraId="21F1F564"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Oregon</w:t>
            </w:r>
          </w:p>
        </w:tc>
        <w:tc>
          <w:tcPr>
            <w:tcW w:w="1515" w:type="dxa"/>
          </w:tcPr>
          <w:p w14:paraId="5A5FCD93"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3695088</w:t>
            </w:r>
          </w:p>
          <w:p w14:paraId="285E6ED9" w14:textId="77777777" w:rsidR="00CD6C46" w:rsidRPr="00E05389" w:rsidRDefault="00CD6C46" w:rsidP="00B56EE0">
            <w:pPr>
              <w:rPr>
                <w:rFonts w:asciiTheme="minorHAnsi" w:hAnsiTheme="minorHAnsi" w:cstheme="minorHAnsi"/>
                <w:sz w:val="22"/>
                <w:szCs w:val="22"/>
              </w:rPr>
            </w:pPr>
          </w:p>
        </w:tc>
        <w:tc>
          <w:tcPr>
            <w:tcW w:w="1845" w:type="dxa"/>
          </w:tcPr>
          <w:p w14:paraId="49CF4AA1"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124</w:t>
            </w:r>
          </w:p>
        </w:tc>
        <w:tc>
          <w:tcPr>
            <w:tcW w:w="1948" w:type="dxa"/>
          </w:tcPr>
          <w:p w14:paraId="306EED7D"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4C0BDBD6" w14:textId="77777777" w:rsidTr="00CD6C46">
        <w:tc>
          <w:tcPr>
            <w:tcW w:w="1758" w:type="dxa"/>
          </w:tcPr>
          <w:p w14:paraId="613247CA"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Rhode Island</w:t>
            </w:r>
          </w:p>
        </w:tc>
        <w:tc>
          <w:tcPr>
            <w:tcW w:w="1515" w:type="dxa"/>
          </w:tcPr>
          <w:p w14:paraId="60F8E7AC"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1431901</w:t>
            </w:r>
          </w:p>
          <w:p w14:paraId="47DCA2C7" w14:textId="77777777" w:rsidR="00CD6C46" w:rsidRPr="00E05389" w:rsidRDefault="00CD6C46" w:rsidP="00B56EE0">
            <w:pPr>
              <w:rPr>
                <w:rFonts w:asciiTheme="minorHAnsi" w:hAnsiTheme="minorHAnsi" w:cstheme="minorHAnsi"/>
                <w:sz w:val="22"/>
                <w:szCs w:val="22"/>
              </w:rPr>
            </w:pPr>
          </w:p>
        </w:tc>
        <w:tc>
          <w:tcPr>
            <w:tcW w:w="1845" w:type="dxa"/>
          </w:tcPr>
          <w:p w14:paraId="765D7858"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47</w:t>
            </w:r>
          </w:p>
        </w:tc>
        <w:tc>
          <w:tcPr>
            <w:tcW w:w="1948" w:type="dxa"/>
          </w:tcPr>
          <w:p w14:paraId="7ADEAFD1"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r w:rsidR="00CD6C46" w:rsidRPr="00E05389" w14:paraId="4DB080ED" w14:textId="77777777" w:rsidTr="00CD6C46">
        <w:tc>
          <w:tcPr>
            <w:tcW w:w="1758" w:type="dxa"/>
          </w:tcPr>
          <w:p w14:paraId="7DFD84C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South Carolina</w:t>
            </w:r>
          </w:p>
        </w:tc>
        <w:tc>
          <w:tcPr>
            <w:tcW w:w="1515" w:type="dxa"/>
          </w:tcPr>
          <w:p w14:paraId="01DB6637"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4652360</w:t>
            </w:r>
          </w:p>
          <w:p w14:paraId="58ED0E24" w14:textId="77777777" w:rsidR="00CD6C46" w:rsidRPr="00E05389" w:rsidRDefault="00CD6C46" w:rsidP="00B56EE0">
            <w:pPr>
              <w:rPr>
                <w:rFonts w:asciiTheme="minorHAnsi" w:hAnsiTheme="minorHAnsi" w:cstheme="minorHAnsi"/>
                <w:sz w:val="22"/>
                <w:szCs w:val="22"/>
              </w:rPr>
            </w:pPr>
          </w:p>
        </w:tc>
        <w:tc>
          <w:tcPr>
            <w:tcW w:w="1845" w:type="dxa"/>
          </w:tcPr>
          <w:p w14:paraId="194463D5"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40</w:t>
            </w:r>
          </w:p>
        </w:tc>
        <w:tc>
          <w:tcPr>
            <w:tcW w:w="1948" w:type="dxa"/>
          </w:tcPr>
          <w:p w14:paraId="6FB6AA4F"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1F10020C" w14:textId="77777777" w:rsidTr="00CD6C46">
        <w:tc>
          <w:tcPr>
            <w:tcW w:w="1758" w:type="dxa"/>
          </w:tcPr>
          <w:p w14:paraId="074ED10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Utah</w:t>
            </w:r>
          </w:p>
        </w:tc>
        <w:tc>
          <w:tcPr>
            <w:tcW w:w="1515" w:type="dxa"/>
          </w:tcPr>
          <w:p w14:paraId="75B6A81A"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2814871</w:t>
            </w:r>
          </w:p>
          <w:p w14:paraId="7B5BD91D" w14:textId="77777777" w:rsidR="00CD6C46" w:rsidRPr="00E05389" w:rsidRDefault="00CD6C46" w:rsidP="00B56EE0">
            <w:pPr>
              <w:rPr>
                <w:rFonts w:asciiTheme="minorHAnsi" w:hAnsiTheme="minorHAnsi" w:cstheme="minorHAnsi"/>
                <w:sz w:val="22"/>
                <w:szCs w:val="22"/>
              </w:rPr>
            </w:pPr>
          </w:p>
        </w:tc>
        <w:tc>
          <w:tcPr>
            <w:tcW w:w="1845" w:type="dxa"/>
          </w:tcPr>
          <w:p w14:paraId="0DA52E7D"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63</w:t>
            </w:r>
          </w:p>
        </w:tc>
        <w:tc>
          <w:tcPr>
            <w:tcW w:w="1948" w:type="dxa"/>
          </w:tcPr>
          <w:p w14:paraId="14F53C1E"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69E9A730" w14:textId="77777777" w:rsidTr="00CD6C46">
        <w:tc>
          <w:tcPr>
            <w:tcW w:w="1758" w:type="dxa"/>
          </w:tcPr>
          <w:p w14:paraId="442B5436"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Virginia</w:t>
            </w:r>
          </w:p>
        </w:tc>
        <w:tc>
          <w:tcPr>
            <w:tcW w:w="1515" w:type="dxa"/>
          </w:tcPr>
          <w:p w14:paraId="4D4A6AE4"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7875242</w:t>
            </w:r>
          </w:p>
          <w:p w14:paraId="3AF38D69" w14:textId="77777777" w:rsidR="00CD6C46" w:rsidRPr="00E05389" w:rsidRDefault="00CD6C46" w:rsidP="00B56EE0">
            <w:pPr>
              <w:rPr>
                <w:rFonts w:asciiTheme="minorHAnsi" w:hAnsiTheme="minorHAnsi" w:cstheme="minorHAnsi"/>
                <w:sz w:val="22"/>
                <w:szCs w:val="22"/>
              </w:rPr>
            </w:pPr>
          </w:p>
        </w:tc>
        <w:tc>
          <w:tcPr>
            <w:tcW w:w="1845" w:type="dxa"/>
          </w:tcPr>
          <w:p w14:paraId="2C84D428"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81</w:t>
            </w:r>
          </w:p>
        </w:tc>
        <w:tc>
          <w:tcPr>
            <w:tcW w:w="1948" w:type="dxa"/>
          </w:tcPr>
          <w:p w14:paraId="7ECBC24B"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F</w:t>
            </w:r>
          </w:p>
        </w:tc>
      </w:tr>
      <w:tr w:rsidR="00CD6C46" w:rsidRPr="00E05389" w14:paraId="17A806D9" w14:textId="77777777" w:rsidTr="00CD6C46">
        <w:tc>
          <w:tcPr>
            <w:tcW w:w="1758" w:type="dxa"/>
          </w:tcPr>
          <w:p w14:paraId="43BFC4AA"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Washington</w:t>
            </w:r>
          </w:p>
        </w:tc>
        <w:tc>
          <w:tcPr>
            <w:tcW w:w="1515" w:type="dxa"/>
          </w:tcPr>
          <w:p w14:paraId="2EE87AA3" w14:textId="77777777" w:rsidR="00CD6C46" w:rsidRPr="00E05389" w:rsidRDefault="00CD6C46" w:rsidP="00CD6C46">
            <w:pPr>
              <w:rPr>
                <w:rFonts w:asciiTheme="minorHAnsi" w:hAnsiTheme="minorHAnsi" w:cstheme="minorHAnsi"/>
                <w:color w:val="000000"/>
                <w:sz w:val="22"/>
                <w:szCs w:val="22"/>
              </w:rPr>
            </w:pPr>
            <w:r w:rsidRPr="00E05389">
              <w:rPr>
                <w:rFonts w:asciiTheme="minorHAnsi" w:hAnsiTheme="minorHAnsi" w:cstheme="minorHAnsi"/>
                <w:color w:val="000000"/>
                <w:sz w:val="22"/>
                <w:szCs w:val="22"/>
              </w:rPr>
              <w:t>6697131</w:t>
            </w:r>
          </w:p>
          <w:p w14:paraId="27B580A1" w14:textId="77777777" w:rsidR="00CD6C46" w:rsidRPr="00E05389" w:rsidRDefault="00CD6C46" w:rsidP="00B56EE0">
            <w:pPr>
              <w:rPr>
                <w:rFonts w:asciiTheme="minorHAnsi" w:hAnsiTheme="minorHAnsi" w:cstheme="minorHAnsi"/>
                <w:sz w:val="22"/>
                <w:szCs w:val="22"/>
              </w:rPr>
            </w:pPr>
          </w:p>
        </w:tc>
        <w:tc>
          <w:tcPr>
            <w:tcW w:w="1845" w:type="dxa"/>
          </w:tcPr>
          <w:p w14:paraId="791469EA"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52</w:t>
            </w:r>
          </w:p>
        </w:tc>
        <w:tc>
          <w:tcPr>
            <w:tcW w:w="1948" w:type="dxa"/>
          </w:tcPr>
          <w:p w14:paraId="1F303683" w14:textId="77777777" w:rsidR="00CD6C46" w:rsidRPr="00E05389" w:rsidRDefault="00CD6C46" w:rsidP="00B56EE0">
            <w:pPr>
              <w:rPr>
                <w:rFonts w:asciiTheme="minorHAnsi" w:hAnsiTheme="minorHAnsi" w:cstheme="minorHAnsi"/>
                <w:sz w:val="22"/>
                <w:szCs w:val="22"/>
              </w:rPr>
            </w:pPr>
            <w:r w:rsidRPr="00E05389">
              <w:rPr>
                <w:rFonts w:asciiTheme="minorHAnsi" w:hAnsiTheme="minorHAnsi" w:cstheme="minorHAnsi"/>
                <w:sz w:val="22"/>
                <w:szCs w:val="22"/>
              </w:rPr>
              <w:t>S</w:t>
            </w:r>
          </w:p>
        </w:tc>
      </w:tr>
    </w:tbl>
    <w:p w14:paraId="241B82B5" w14:textId="77777777" w:rsidR="00B56EE0" w:rsidRPr="00E05389" w:rsidRDefault="00B56EE0" w:rsidP="00B56EE0">
      <w:pPr>
        <w:rPr>
          <w:rFonts w:asciiTheme="minorHAnsi" w:hAnsiTheme="minorHAnsi" w:cstheme="minorHAnsi"/>
          <w:sz w:val="22"/>
          <w:szCs w:val="22"/>
        </w:rPr>
      </w:pPr>
    </w:p>
    <w:p w14:paraId="5BBBAFFD" w14:textId="77777777" w:rsidR="00957F14" w:rsidRPr="00E05389" w:rsidRDefault="00957F14" w:rsidP="00957F14">
      <w:pPr>
        <w:pStyle w:val="Heading2"/>
        <w:tabs>
          <w:tab w:val="left" w:pos="720"/>
        </w:tabs>
        <w:spacing w:after="0" w:line="480" w:lineRule="auto"/>
        <w:ind w:left="0" w:firstLine="0"/>
        <w:rPr>
          <w:rFonts w:asciiTheme="minorHAnsi" w:hAnsiTheme="minorHAnsi" w:cstheme="minorHAnsi"/>
          <w:szCs w:val="22"/>
        </w:rPr>
      </w:pPr>
      <w:r w:rsidRPr="00E05389">
        <w:rPr>
          <w:rFonts w:asciiTheme="minorHAnsi" w:hAnsiTheme="minorHAnsi" w:cstheme="minorHAnsi"/>
          <w:szCs w:val="22"/>
        </w:rPr>
        <w:t>B.2</w:t>
      </w:r>
      <w:r w:rsidRPr="00E05389">
        <w:rPr>
          <w:rFonts w:asciiTheme="minorHAnsi" w:hAnsiTheme="minorHAnsi" w:cstheme="minorHAnsi"/>
          <w:szCs w:val="22"/>
        </w:rPr>
        <w:tab/>
        <w:t>Procedures for the Collection of Information</w:t>
      </w:r>
    </w:p>
    <w:p w14:paraId="0EC7E038" w14:textId="070F254E" w:rsidR="0019150E" w:rsidRPr="00E05389" w:rsidRDefault="0019150E" w:rsidP="0019150E">
      <w:pPr>
        <w:rPr>
          <w:rFonts w:asciiTheme="minorHAnsi" w:hAnsiTheme="minorHAnsi" w:cstheme="minorHAnsi"/>
          <w:sz w:val="22"/>
          <w:szCs w:val="22"/>
        </w:rPr>
      </w:pPr>
      <w:r w:rsidRPr="00E05389">
        <w:rPr>
          <w:rFonts w:asciiTheme="minorHAnsi" w:hAnsiTheme="minorHAnsi" w:cstheme="minorHAnsi"/>
          <w:sz w:val="22"/>
          <w:szCs w:val="22"/>
        </w:rPr>
        <w:t>No statistical methodology / estimation procedures will be used in sample selection. As described in the previous section, we will contact the complete population of 10 highest-impact libraries in states with federal health insurance exchanges and 10 highest-impact libraries in states with state-run health insurance exchanges. Fifty percent response rate is expected, based on prior experience with similar studies.</w:t>
      </w:r>
    </w:p>
    <w:p w14:paraId="6EEA03A4" w14:textId="77777777" w:rsidR="00957F14" w:rsidRPr="00E05389" w:rsidRDefault="00957F14" w:rsidP="00AB5537">
      <w:pPr>
        <w:rPr>
          <w:rFonts w:asciiTheme="minorHAnsi" w:hAnsiTheme="minorHAnsi" w:cstheme="minorHAnsi"/>
          <w:sz w:val="22"/>
          <w:szCs w:val="22"/>
        </w:rPr>
      </w:pPr>
    </w:p>
    <w:p w14:paraId="229A8CE3" w14:textId="77777777" w:rsidR="00957F14" w:rsidRPr="00E05389" w:rsidRDefault="00957F14" w:rsidP="00957F14">
      <w:pPr>
        <w:pStyle w:val="Heading2"/>
        <w:tabs>
          <w:tab w:val="clear" w:pos="1152"/>
          <w:tab w:val="left" w:pos="720"/>
        </w:tabs>
        <w:spacing w:after="0" w:line="480" w:lineRule="auto"/>
        <w:ind w:left="0" w:firstLine="0"/>
        <w:rPr>
          <w:rFonts w:asciiTheme="minorHAnsi" w:hAnsiTheme="minorHAnsi" w:cstheme="minorHAnsi"/>
          <w:szCs w:val="22"/>
        </w:rPr>
      </w:pPr>
      <w:bookmarkStart w:id="5" w:name="_Toc443881765"/>
      <w:bookmarkStart w:id="6" w:name="_Toc451592252"/>
      <w:bookmarkStart w:id="7" w:name="_Toc5610293"/>
      <w:bookmarkStart w:id="8" w:name="_Toc99178799"/>
      <w:r w:rsidRPr="00E05389">
        <w:rPr>
          <w:rFonts w:asciiTheme="minorHAnsi" w:hAnsiTheme="minorHAnsi" w:cstheme="minorHAnsi"/>
          <w:szCs w:val="22"/>
        </w:rPr>
        <w:t>B.3</w:t>
      </w:r>
      <w:r w:rsidRPr="00E05389">
        <w:rPr>
          <w:rFonts w:asciiTheme="minorHAnsi" w:hAnsiTheme="minorHAnsi" w:cstheme="minorHAnsi"/>
          <w:szCs w:val="22"/>
        </w:rPr>
        <w:tab/>
        <w:t>Methods to Maximize Response Rates and Deal with Nonresponse</w:t>
      </w:r>
      <w:bookmarkEnd w:id="5"/>
      <w:bookmarkEnd w:id="6"/>
      <w:bookmarkEnd w:id="7"/>
      <w:bookmarkEnd w:id="8"/>
    </w:p>
    <w:p w14:paraId="43A087C0" w14:textId="0A1F30CA" w:rsidR="00AB5537" w:rsidRPr="00E05389" w:rsidRDefault="002B0D99" w:rsidP="009D7DAF">
      <w:pPr>
        <w:rPr>
          <w:rFonts w:asciiTheme="minorHAnsi" w:hAnsiTheme="minorHAnsi" w:cstheme="minorHAnsi"/>
          <w:sz w:val="22"/>
          <w:szCs w:val="22"/>
        </w:rPr>
      </w:pPr>
      <w:r w:rsidRPr="00E05389">
        <w:rPr>
          <w:rFonts w:asciiTheme="minorHAnsi" w:hAnsiTheme="minorHAnsi" w:cstheme="minorHAnsi"/>
          <w:sz w:val="22"/>
          <w:szCs w:val="22"/>
        </w:rPr>
        <w:t xml:space="preserve">The University of Wisconsin Survey Center recommends using an </w:t>
      </w:r>
      <w:r w:rsidR="009D7DAF" w:rsidRPr="00E05389">
        <w:rPr>
          <w:rFonts w:asciiTheme="minorHAnsi" w:hAnsiTheme="minorHAnsi" w:cstheme="minorHAnsi"/>
          <w:sz w:val="22"/>
          <w:szCs w:val="22"/>
        </w:rPr>
        <w:t>i</w:t>
      </w:r>
      <w:r w:rsidRPr="00E05389">
        <w:rPr>
          <w:rFonts w:asciiTheme="minorHAnsi" w:hAnsiTheme="minorHAnsi" w:cstheme="minorHAnsi"/>
          <w:sz w:val="22"/>
          <w:szCs w:val="22"/>
        </w:rPr>
        <w:t xml:space="preserve">Pad </w:t>
      </w:r>
      <w:r w:rsidR="009D7DAF" w:rsidRPr="00E05389">
        <w:rPr>
          <w:rFonts w:asciiTheme="minorHAnsi" w:hAnsiTheme="minorHAnsi" w:cstheme="minorHAnsi"/>
          <w:sz w:val="22"/>
          <w:szCs w:val="22"/>
        </w:rPr>
        <w:t xml:space="preserve">ruffle </w:t>
      </w:r>
      <w:r w:rsidRPr="00E05389">
        <w:rPr>
          <w:rFonts w:asciiTheme="minorHAnsi" w:hAnsiTheme="minorHAnsi" w:cstheme="minorHAnsi"/>
          <w:sz w:val="22"/>
          <w:szCs w:val="22"/>
        </w:rPr>
        <w:t xml:space="preserve">to incentivize response. </w:t>
      </w:r>
      <w:bookmarkStart w:id="9" w:name="_Toc443881766"/>
      <w:bookmarkStart w:id="10" w:name="_Toc451592253"/>
      <w:bookmarkStart w:id="11" w:name="_Toc5610294"/>
      <w:bookmarkStart w:id="12" w:name="_Toc99178800"/>
    </w:p>
    <w:p w14:paraId="699F6A48" w14:textId="77777777" w:rsidR="009D7DAF" w:rsidRPr="00E05389" w:rsidRDefault="009D7DAF" w:rsidP="009D7DAF">
      <w:pPr>
        <w:rPr>
          <w:rFonts w:asciiTheme="minorHAnsi" w:hAnsiTheme="minorHAnsi" w:cstheme="minorHAnsi"/>
          <w:sz w:val="22"/>
          <w:szCs w:val="22"/>
        </w:rPr>
      </w:pPr>
    </w:p>
    <w:p w14:paraId="0084A87F" w14:textId="77777777" w:rsidR="00957F14" w:rsidRPr="00456947" w:rsidRDefault="00957F14" w:rsidP="00957F14">
      <w:pPr>
        <w:pStyle w:val="Heading2"/>
        <w:tabs>
          <w:tab w:val="clear" w:pos="1152"/>
          <w:tab w:val="left" w:pos="720"/>
        </w:tabs>
        <w:spacing w:after="0" w:line="480" w:lineRule="auto"/>
        <w:ind w:left="0" w:firstLine="0"/>
        <w:rPr>
          <w:rFonts w:asciiTheme="minorHAnsi" w:hAnsiTheme="minorHAnsi" w:cstheme="minorHAnsi"/>
          <w:szCs w:val="22"/>
        </w:rPr>
      </w:pPr>
      <w:r w:rsidRPr="00456947">
        <w:rPr>
          <w:rFonts w:asciiTheme="minorHAnsi" w:hAnsiTheme="minorHAnsi" w:cstheme="minorHAnsi"/>
          <w:szCs w:val="22"/>
        </w:rPr>
        <w:t>B.4</w:t>
      </w:r>
      <w:r w:rsidRPr="00456947">
        <w:rPr>
          <w:rFonts w:asciiTheme="minorHAnsi" w:hAnsiTheme="minorHAnsi" w:cstheme="minorHAnsi"/>
          <w:szCs w:val="22"/>
        </w:rPr>
        <w:tab/>
        <w:t>Test of Procedures or Methods to be Undertaken</w:t>
      </w:r>
      <w:bookmarkEnd w:id="9"/>
      <w:bookmarkEnd w:id="10"/>
      <w:bookmarkEnd w:id="11"/>
      <w:bookmarkEnd w:id="12"/>
    </w:p>
    <w:p w14:paraId="206DEBF2" w14:textId="10655D2F" w:rsidR="00A72403" w:rsidRPr="00E05389" w:rsidRDefault="003224B7" w:rsidP="00957F14">
      <w:pPr>
        <w:rPr>
          <w:rFonts w:asciiTheme="minorHAnsi" w:hAnsiTheme="minorHAnsi" w:cstheme="minorHAnsi"/>
        </w:rPr>
      </w:pPr>
      <w:r w:rsidRPr="00E05389">
        <w:rPr>
          <w:rFonts w:asciiTheme="minorHAnsi" w:hAnsiTheme="minorHAnsi" w:cstheme="minorHAnsi"/>
        </w:rPr>
        <w:t xml:space="preserve">A </w:t>
      </w:r>
      <w:r w:rsidR="00A72403" w:rsidRPr="00E05389">
        <w:rPr>
          <w:rFonts w:asciiTheme="minorHAnsi" w:hAnsiTheme="minorHAnsi" w:cstheme="minorHAnsi"/>
        </w:rPr>
        <w:t>group</w:t>
      </w:r>
      <w:r w:rsidRPr="00E05389">
        <w:rPr>
          <w:rFonts w:asciiTheme="minorHAnsi" w:hAnsiTheme="minorHAnsi" w:cstheme="minorHAnsi"/>
        </w:rPr>
        <w:t xml:space="preserve"> of experts </w:t>
      </w:r>
      <w:r w:rsidR="00A72403" w:rsidRPr="00E05389">
        <w:rPr>
          <w:rFonts w:asciiTheme="minorHAnsi" w:hAnsiTheme="minorHAnsi" w:cstheme="minorHAnsi"/>
        </w:rPr>
        <w:t xml:space="preserve">in library / information science, social science, and survey design </w:t>
      </w:r>
      <w:r w:rsidRPr="00E05389">
        <w:rPr>
          <w:rFonts w:asciiTheme="minorHAnsi" w:hAnsiTheme="minorHAnsi" w:cstheme="minorHAnsi"/>
        </w:rPr>
        <w:t xml:space="preserve">reviewed the </w:t>
      </w:r>
      <w:r w:rsidR="00A72403" w:rsidRPr="00E05389">
        <w:rPr>
          <w:rFonts w:asciiTheme="minorHAnsi" w:hAnsiTheme="minorHAnsi" w:cstheme="minorHAnsi"/>
        </w:rPr>
        <w:t>survey instrument</w:t>
      </w:r>
      <w:r w:rsidRPr="00E05389">
        <w:rPr>
          <w:rFonts w:asciiTheme="minorHAnsi" w:hAnsiTheme="minorHAnsi" w:cstheme="minorHAnsi"/>
        </w:rPr>
        <w:t xml:space="preserve"> and confirmed </w:t>
      </w:r>
      <w:r w:rsidR="00A72403" w:rsidRPr="00E05389">
        <w:rPr>
          <w:rFonts w:asciiTheme="minorHAnsi" w:hAnsiTheme="minorHAnsi" w:cstheme="minorHAnsi"/>
        </w:rPr>
        <w:t xml:space="preserve">its </w:t>
      </w:r>
      <w:r w:rsidRPr="00E05389">
        <w:rPr>
          <w:rFonts w:asciiTheme="minorHAnsi" w:hAnsiTheme="minorHAnsi" w:cstheme="minorHAnsi"/>
        </w:rPr>
        <w:t xml:space="preserve">face and content validity. </w:t>
      </w:r>
      <w:r w:rsidR="00A72403" w:rsidRPr="00E05389">
        <w:rPr>
          <w:rFonts w:asciiTheme="minorHAnsi" w:hAnsiTheme="minorHAnsi" w:cstheme="minorHAnsi"/>
        </w:rPr>
        <w:t xml:space="preserve">University of Wisconsin-Madison Survey Center reviewed survey questions’ wording, ensuring adherence to best practices for clarity, absence of bias, and non-leading question. As the survey tests participants’ experience with a specific process, rather than a </w:t>
      </w:r>
      <w:r w:rsidR="00A72403" w:rsidRPr="00E05389">
        <w:rPr>
          <w:rFonts w:asciiTheme="minorHAnsi" w:hAnsiTheme="minorHAnsi" w:cstheme="minorHAnsi"/>
        </w:rPr>
        <w:lastRenderedPageBreak/>
        <w:t>psychological / social construct, a statistical test of construct validity was deemed non-applicable.</w:t>
      </w:r>
    </w:p>
    <w:p w14:paraId="59E5637E" w14:textId="77777777" w:rsidR="00957F14" w:rsidRPr="00E05389" w:rsidRDefault="00957F14" w:rsidP="00957F14">
      <w:pPr>
        <w:rPr>
          <w:rFonts w:asciiTheme="minorHAnsi" w:hAnsiTheme="minorHAnsi" w:cstheme="minorHAnsi"/>
          <w:b/>
        </w:rPr>
      </w:pPr>
    </w:p>
    <w:p w14:paraId="7BCC5298" w14:textId="77777777" w:rsidR="00957F14" w:rsidRPr="008A79FD" w:rsidRDefault="00957F14" w:rsidP="00957F14">
      <w:pPr>
        <w:pStyle w:val="Heading2"/>
        <w:tabs>
          <w:tab w:val="left" w:pos="720"/>
        </w:tabs>
        <w:spacing w:after="0" w:line="240" w:lineRule="auto"/>
        <w:ind w:left="720" w:hanging="720"/>
        <w:rPr>
          <w:rFonts w:asciiTheme="minorHAnsi" w:hAnsiTheme="minorHAnsi" w:cstheme="minorHAnsi"/>
          <w:color w:val="000000"/>
          <w:szCs w:val="22"/>
        </w:rPr>
      </w:pPr>
      <w:bookmarkStart w:id="13" w:name="_Toc443881767"/>
      <w:bookmarkStart w:id="14" w:name="_Toc451592254"/>
      <w:bookmarkStart w:id="15" w:name="_Toc5610295"/>
      <w:bookmarkStart w:id="16" w:name="_Toc99178801"/>
      <w:r w:rsidRPr="008A79FD">
        <w:rPr>
          <w:rFonts w:asciiTheme="minorHAnsi" w:hAnsiTheme="minorHAnsi" w:cstheme="minorHAnsi"/>
          <w:color w:val="000000"/>
          <w:szCs w:val="22"/>
        </w:rPr>
        <w:t>B.5</w:t>
      </w:r>
      <w:r w:rsidRPr="008A79FD">
        <w:rPr>
          <w:rFonts w:asciiTheme="minorHAnsi" w:hAnsiTheme="minorHAnsi" w:cstheme="minorHAnsi"/>
          <w:color w:val="000000"/>
          <w:szCs w:val="22"/>
        </w:rPr>
        <w:tab/>
        <w:t>Individuals Consulted on Statistical Aspects and Individuals Collecting and/or Analyzing Data</w:t>
      </w:r>
      <w:bookmarkEnd w:id="13"/>
      <w:bookmarkEnd w:id="14"/>
      <w:bookmarkEnd w:id="15"/>
      <w:bookmarkEnd w:id="16"/>
    </w:p>
    <w:p w14:paraId="68899278" w14:textId="77777777" w:rsidR="009D3721" w:rsidRPr="008A79FD" w:rsidRDefault="009D3721" w:rsidP="00957F14">
      <w:pPr>
        <w:rPr>
          <w:rFonts w:asciiTheme="minorHAnsi" w:hAnsiTheme="minorHAnsi" w:cstheme="minorHAnsi"/>
          <w:sz w:val="22"/>
          <w:szCs w:val="22"/>
        </w:rPr>
      </w:pPr>
    </w:p>
    <w:p w14:paraId="62F03F70" w14:textId="52F3ECAC" w:rsidR="00957F14" w:rsidRDefault="008B6E0D" w:rsidP="008B6E0D">
      <w:pPr>
        <w:rPr>
          <w:rFonts w:asciiTheme="minorHAnsi" w:hAnsiTheme="minorHAnsi" w:cstheme="minorHAnsi"/>
          <w:sz w:val="22"/>
          <w:szCs w:val="22"/>
        </w:rPr>
      </w:pPr>
      <w:r w:rsidRPr="008A79FD">
        <w:rPr>
          <w:rFonts w:asciiTheme="minorHAnsi" w:hAnsiTheme="minorHAnsi" w:cstheme="minorHAnsi"/>
          <w:sz w:val="22"/>
          <w:szCs w:val="22"/>
        </w:rPr>
        <w:t xml:space="preserve">The University of Wisconsin Survey Center, directed by Dr. Nora Cate Schaeffer, and Mr. John Stevenson has been hired to provide design and statistical consultation, and to collect survey data using their state of the art web survey platform.  Ms. Griselle Sanchez-Diettert will act as study director at the UW Survey Center, and oversee the UWSC’s data collection efforts.   The UWSC can be contacted at: 475 North Charter St, 4th Floor Sterling Hall, Madison, WI 53706, 608-262-8403, </w:t>
      </w:r>
      <w:hyperlink r:id="rId9" w:history="1">
        <w:r w:rsidRPr="008A79FD">
          <w:rPr>
            <w:rFonts w:asciiTheme="minorHAnsi" w:hAnsiTheme="minorHAnsi" w:cstheme="minorHAnsi"/>
            <w:sz w:val="22"/>
            <w:szCs w:val="22"/>
          </w:rPr>
          <w:t>http://uwsc.wisc.edu/</w:t>
        </w:r>
      </w:hyperlink>
    </w:p>
    <w:p w14:paraId="72CB605E" w14:textId="77777777" w:rsidR="00227B4F" w:rsidRPr="008A79FD" w:rsidRDefault="00227B4F" w:rsidP="008B6E0D">
      <w:pPr>
        <w:rPr>
          <w:rFonts w:asciiTheme="minorHAnsi" w:hAnsiTheme="minorHAnsi" w:cstheme="minorHAnsi"/>
          <w:sz w:val="22"/>
          <w:szCs w:val="22"/>
        </w:rPr>
      </w:pPr>
    </w:p>
    <w:p w14:paraId="35BE9EBE" w14:textId="77777777" w:rsidR="00957F14" w:rsidRPr="008A79FD" w:rsidRDefault="00957F14" w:rsidP="00957F14">
      <w:pPr>
        <w:rPr>
          <w:rFonts w:asciiTheme="minorHAnsi" w:hAnsiTheme="minorHAnsi" w:cstheme="minorHAnsi"/>
          <w:color w:val="FF0000"/>
          <w:sz w:val="22"/>
          <w:szCs w:val="22"/>
        </w:rPr>
      </w:pPr>
    </w:p>
    <w:p w14:paraId="6CDCA228" w14:textId="77777777" w:rsidR="00844DD4" w:rsidRPr="008A79FD" w:rsidRDefault="00844DD4" w:rsidP="00844DD4">
      <w:pPr>
        <w:rPr>
          <w:color w:val="000000"/>
          <w:sz w:val="22"/>
          <w:szCs w:val="22"/>
        </w:rPr>
      </w:pPr>
      <w:r w:rsidRPr="008A79FD">
        <w:rPr>
          <w:color w:val="FF0000"/>
          <w:sz w:val="22"/>
          <w:szCs w:val="22"/>
        </w:rPr>
        <w:t xml:space="preserve">                                                                    </w:t>
      </w:r>
      <w:r w:rsidR="00657165" w:rsidRPr="008A79FD">
        <w:rPr>
          <w:color w:val="FF0000"/>
          <w:sz w:val="22"/>
          <w:szCs w:val="22"/>
        </w:rPr>
        <w:tab/>
      </w:r>
    </w:p>
    <w:sectPr w:rsidR="00844DD4" w:rsidRPr="008A79FD" w:rsidSect="00DC582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BADB1" w14:textId="77777777" w:rsidR="0021424C" w:rsidRDefault="0021424C">
      <w:r>
        <w:separator/>
      </w:r>
    </w:p>
  </w:endnote>
  <w:endnote w:type="continuationSeparator" w:id="0">
    <w:p w14:paraId="70DCAAA4" w14:textId="77777777" w:rsidR="0021424C" w:rsidRDefault="0021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E0F9"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08CB1" w14:textId="77777777" w:rsidR="009D3721" w:rsidRDefault="009D3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C7B32"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9B4">
      <w:rPr>
        <w:rStyle w:val="PageNumber"/>
        <w:noProof/>
      </w:rPr>
      <w:t>4</w:t>
    </w:r>
    <w:r>
      <w:rPr>
        <w:rStyle w:val="PageNumber"/>
      </w:rPr>
      <w:fldChar w:fldCharType="end"/>
    </w:r>
  </w:p>
  <w:p w14:paraId="7D0F1550" w14:textId="77777777" w:rsidR="009D3721" w:rsidRDefault="009D3721"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FD46" w14:textId="77777777" w:rsidR="00031838" w:rsidRDefault="00031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1BFF3" w14:textId="77777777" w:rsidR="0021424C" w:rsidRDefault="0021424C">
      <w:r>
        <w:separator/>
      </w:r>
    </w:p>
  </w:footnote>
  <w:footnote w:type="continuationSeparator" w:id="0">
    <w:p w14:paraId="7CC6E6D1" w14:textId="77777777" w:rsidR="0021424C" w:rsidRDefault="0021424C">
      <w:r>
        <w:continuationSeparator/>
      </w:r>
    </w:p>
  </w:footnote>
  <w:footnote w:id="1">
    <w:p w14:paraId="2943B100" w14:textId="77777777" w:rsidR="00CD6C46" w:rsidRDefault="00CD6C46">
      <w:pPr>
        <w:pStyle w:val="FootnoteText"/>
      </w:pPr>
      <w:r>
        <w:rPr>
          <w:rStyle w:val="FootnoteReference"/>
        </w:rPr>
        <w:footnoteRef/>
      </w:r>
      <w:r>
        <w:t xml:space="preserve"> </w:t>
      </w:r>
      <w:r w:rsidRPr="00CD6C46">
        <w:t>IMLS 2012 file Pusum12a.xls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A0228" w14:textId="77777777" w:rsidR="00031838" w:rsidRDefault="00031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45B9B" w14:textId="3E5CBB59" w:rsidR="00031838" w:rsidRDefault="00031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D8C45" w14:textId="77777777" w:rsidR="00031838" w:rsidRDefault="00031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14D9C"/>
    <w:rsid w:val="000267ED"/>
    <w:rsid w:val="000311E5"/>
    <w:rsid w:val="00031838"/>
    <w:rsid w:val="00033A4E"/>
    <w:rsid w:val="0005035B"/>
    <w:rsid w:val="000659B4"/>
    <w:rsid w:val="000A516F"/>
    <w:rsid w:val="0019150E"/>
    <w:rsid w:val="00197085"/>
    <w:rsid w:val="001A35DF"/>
    <w:rsid w:val="001C414D"/>
    <w:rsid w:val="001E2C04"/>
    <w:rsid w:val="001E33AC"/>
    <w:rsid w:val="001F602A"/>
    <w:rsid w:val="0021424C"/>
    <w:rsid w:val="00227B4F"/>
    <w:rsid w:val="0024029C"/>
    <w:rsid w:val="00253C78"/>
    <w:rsid w:val="00282C7C"/>
    <w:rsid w:val="002B0D99"/>
    <w:rsid w:val="002D2CA0"/>
    <w:rsid w:val="002D2EE5"/>
    <w:rsid w:val="003224B7"/>
    <w:rsid w:val="0037556F"/>
    <w:rsid w:val="003C7F21"/>
    <w:rsid w:val="003E1139"/>
    <w:rsid w:val="003E5D3E"/>
    <w:rsid w:val="00456947"/>
    <w:rsid w:val="00474D02"/>
    <w:rsid w:val="004A70E1"/>
    <w:rsid w:val="004C6026"/>
    <w:rsid w:val="00541BD9"/>
    <w:rsid w:val="005518F0"/>
    <w:rsid w:val="00573969"/>
    <w:rsid w:val="005974BD"/>
    <w:rsid w:val="005A7F7D"/>
    <w:rsid w:val="005C3DC2"/>
    <w:rsid w:val="005D3103"/>
    <w:rsid w:val="005E3002"/>
    <w:rsid w:val="005E60B6"/>
    <w:rsid w:val="00654981"/>
    <w:rsid w:val="00657165"/>
    <w:rsid w:val="0065740A"/>
    <w:rsid w:val="00680E77"/>
    <w:rsid w:val="006E557B"/>
    <w:rsid w:val="00741EE3"/>
    <w:rsid w:val="00754DCD"/>
    <w:rsid w:val="0077506C"/>
    <w:rsid w:val="007841C4"/>
    <w:rsid w:val="007C0A89"/>
    <w:rsid w:val="007C16BD"/>
    <w:rsid w:val="007D20FA"/>
    <w:rsid w:val="008033B1"/>
    <w:rsid w:val="00807E31"/>
    <w:rsid w:val="00844DD4"/>
    <w:rsid w:val="00853027"/>
    <w:rsid w:val="0085671F"/>
    <w:rsid w:val="008A79FD"/>
    <w:rsid w:val="008B6E0D"/>
    <w:rsid w:val="008C310E"/>
    <w:rsid w:val="008F048F"/>
    <w:rsid w:val="0093431F"/>
    <w:rsid w:val="00957F14"/>
    <w:rsid w:val="009947DE"/>
    <w:rsid w:val="00995E0A"/>
    <w:rsid w:val="009965F7"/>
    <w:rsid w:val="009D3721"/>
    <w:rsid w:val="009D7DAF"/>
    <w:rsid w:val="009E16E2"/>
    <w:rsid w:val="00A01159"/>
    <w:rsid w:val="00A10AC6"/>
    <w:rsid w:val="00A32FF6"/>
    <w:rsid w:val="00A357BC"/>
    <w:rsid w:val="00A50652"/>
    <w:rsid w:val="00A64698"/>
    <w:rsid w:val="00A71760"/>
    <w:rsid w:val="00A72403"/>
    <w:rsid w:val="00A749C6"/>
    <w:rsid w:val="00AA0A3B"/>
    <w:rsid w:val="00AB5537"/>
    <w:rsid w:val="00AC36EF"/>
    <w:rsid w:val="00AF034C"/>
    <w:rsid w:val="00B41EC6"/>
    <w:rsid w:val="00B56EE0"/>
    <w:rsid w:val="00BB6964"/>
    <w:rsid w:val="00BB7EBB"/>
    <w:rsid w:val="00BC4E67"/>
    <w:rsid w:val="00C94EE3"/>
    <w:rsid w:val="00CA02BF"/>
    <w:rsid w:val="00CB7E71"/>
    <w:rsid w:val="00CD679B"/>
    <w:rsid w:val="00CD6C46"/>
    <w:rsid w:val="00D4233E"/>
    <w:rsid w:val="00D54962"/>
    <w:rsid w:val="00D70D0F"/>
    <w:rsid w:val="00D90C27"/>
    <w:rsid w:val="00DC582B"/>
    <w:rsid w:val="00DF1BC4"/>
    <w:rsid w:val="00E05389"/>
    <w:rsid w:val="00E31EAB"/>
    <w:rsid w:val="00E36A07"/>
    <w:rsid w:val="00E77C27"/>
    <w:rsid w:val="00EA6E4F"/>
    <w:rsid w:val="00EB4F01"/>
    <w:rsid w:val="00EB76C7"/>
    <w:rsid w:val="00ED0B44"/>
    <w:rsid w:val="00F4506A"/>
    <w:rsid w:val="00F460A8"/>
    <w:rsid w:val="00F82654"/>
    <w:rsid w:val="00FC5FC1"/>
    <w:rsid w:val="00F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0D77C37"/>
  <w15:docId w15:val="{789A883E-094C-46C7-B7BC-E69214A7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table" w:styleId="TableGrid">
    <w:name w:val="Table Grid"/>
    <w:basedOn w:val="TableNormal"/>
    <w:rsid w:val="00B5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6C46"/>
    <w:rPr>
      <w:sz w:val="20"/>
      <w:szCs w:val="20"/>
    </w:rPr>
  </w:style>
  <w:style w:type="character" w:customStyle="1" w:styleId="FootnoteTextChar">
    <w:name w:val="Footnote Text Char"/>
    <w:basedOn w:val="DefaultParagraphFont"/>
    <w:link w:val="FootnoteText"/>
    <w:rsid w:val="00CD6C46"/>
  </w:style>
  <w:style w:type="character" w:styleId="FootnoteReference">
    <w:name w:val="footnote reference"/>
    <w:basedOn w:val="DefaultParagraphFont"/>
    <w:rsid w:val="00CD6C46"/>
    <w:rPr>
      <w:vertAlign w:val="superscript"/>
    </w:rPr>
  </w:style>
  <w:style w:type="character" w:styleId="CommentReference">
    <w:name w:val="annotation reference"/>
    <w:basedOn w:val="DefaultParagraphFont"/>
    <w:rsid w:val="00AC36EF"/>
    <w:rPr>
      <w:sz w:val="16"/>
      <w:szCs w:val="16"/>
    </w:rPr>
  </w:style>
  <w:style w:type="paragraph" w:styleId="CommentText">
    <w:name w:val="annotation text"/>
    <w:basedOn w:val="Normal"/>
    <w:link w:val="CommentTextChar"/>
    <w:rsid w:val="00AC36EF"/>
    <w:rPr>
      <w:sz w:val="20"/>
      <w:szCs w:val="20"/>
    </w:rPr>
  </w:style>
  <w:style w:type="character" w:customStyle="1" w:styleId="CommentTextChar">
    <w:name w:val="Comment Text Char"/>
    <w:basedOn w:val="DefaultParagraphFont"/>
    <w:link w:val="CommentText"/>
    <w:rsid w:val="00AC36EF"/>
  </w:style>
  <w:style w:type="paragraph" w:styleId="CommentSubject">
    <w:name w:val="annotation subject"/>
    <w:basedOn w:val="CommentText"/>
    <w:next w:val="CommentText"/>
    <w:link w:val="CommentSubjectChar"/>
    <w:rsid w:val="00AC36EF"/>
    <w:rPr>
      <w:b/>
      <w:bCs/>
    </w:rPr>
  </w:style>
  <w:style w:type="character" w:customStyle="1" w:styleId="CommentSubjectChar">
    <w:name w:val="Comment Subject Char"/>
    <w:basedOn w:val="CommentTextChar"/>
    <w:link w:val="CommentSubject"/>
    <w:rsid w:val="00AC36EF"/>
    <w:rPr>
      <w:b/>
      <w:bCs/>
    </w:rPr>
  </w:style>
  <w:style w:type="character" w:styleId="Hyperlink">
    <w:name w:val="Hyperlink"/>
    <w:basedOn w:val="DefaultParagraphFont"/>
    <w:uiPriority w:val="99"/>
    <w:unhideWhenUsed/>
    <w:rsid w:val="008B6E0D"/>
    <w:rPr>
      <w:color w:val="0000FF"/>
      <w:u w:val="single"/>
    </w:rPr>
  </w:style>
  <w:style w:type="paragraph" w:styleId="Header">
    <w:name w:val="header"/>
    <w:basedOn w:val="Normal"/>
    <w:link w:val="HeaderChar"/>
    <w:rsid w:val="00031838"/>
    <w:pPr>
      <w:tabs>
        <w:tab w:val="center" w:pos="4680"/>
        <w:tab w:val="right" w:pos="9360"/>
      </w:tabs>
    </w:pPr>
  </w:style>
  <w:style w:type="character" w:customStyle="1" w:styleId="HeaderChar">
    <w:name w:val="Header Char"/>
    <w:basedOn w:val="DefaultParagraphFont"/>
    <w:link w:val="Header"/>
    <w:rsid w:val="000318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3367">
      <w:bodyDiv w:val="1"/>
      <w:marLeft w:val="0"/>
      <w:marRight w:val="0"/>
      <w:marTop w:val="0"/>
      <w:marBottom w:val="0"/>
      <w:divBdr>
        <w:top w:val="none" w:sz="0" w:space="0" w:color="auto"/>
        <w:left w:val="none" w:sz="0" w:space="0" w:color="auto"/>
        <w:bottom w:val="none" w:sz="0" w:space="0" w:color="auto"/>
        <w:right w:val="none" w:sz="0" w:space="0" w:color="auto"/>
      </w:divBdr>
    </w:div>
    <w:div w:id="143131281">
      <w:bodyDiv w:val="1"/>
      <w:marLeft w:val="0"/>
      <w:marRight w:val="0"/>
      <w:marTop w:val="0"/>
      <w:marBottom w:val="0"/>
      <w:divBdr>
        <w:top w:val="none" w:sz="0" w:space="0" w:color="auto"/>
        <w:left w:val="none" w:sz="0" w:space="0" w:color="auto"/>
        <w:bottom w:val="none" w:sz="0" w:space="0" w:color="auto"/>
        <w:right w:val="none" w:sz="0" w:space="0" w:color="auto"/>
      </w:divBdr>
    </w:div>
    <w:div w:id="604466159">
      <w:bodyDiv w:val="1"/>
      <w:marLeft w:val="0"/>
      <w:marRight w:val="0"/>
      <w:marTop w:val="0"/>
      <w:marBottom w:val="0"/>
      <w:divBdr>
        <w:top w:val="none" w:sz="0" w:space="0" w:color="auto"/>
        <w:left w:val="none" w:sz="0" w:space="0" w:color="auto"/>
        <w:bottom w:val="none" w:sz="0" w:space="0" w:color="auto"/>
        <w:right w:val="none" w:sz="0" w:space="0" w:color="auto"/>
      </w:divBdr>
    </w:div>
    <w:div w:id="647056982">
      <w:bodyDiv w:val="1"/>
      <w:marLeft w:val="0"/>
      <w:marRight w:val="0"/>
      <w:marTop w:val="0"/>
      <w:marBottom w:val="0"/>
      <w:divBdr>
        <w:top w:val="none" w:sz="0" w:space="0" w:color="auto"/>
        <w:left w:val="none" w:sz="0" w:space="0" w:color="auto"/>
        <w:bottom w:val="none" w:sz="0" w:space="0" w:color="auto"/>
        <w:right w:val="none" w:sz="0" w:space="0" w:color="auto"/>
      </w:divBdr>
    </w:div>
    <w:div w:id="657223534">
      <w:bodyDiv w:val="1"/>
      <w:marLeft w:val="0"/>
      <w:marRight w:val="0"/>
      <w:marTop w:val="0"/>
      <w:marBottom w:val="0"/>
      <w:divBdr>
        <w:top w:val="none" w:sz="0" w:space="0" w:color="auto"/>
        <w:left w:val="none" w:sz="0" w:space="0" w:color="auto"/>
        <w:bottom w:val="none" w:sz="0" w:space="0" w:color="auto"/>
        <w:right w:val="none" w:sz="0" w:space="0" w:color="auto"/>
      </w:divBdr>
    </w:div>
    <w:div w:id="859977831">
      <w:bodyDiv w:val="1"/>
      <w:marLeft w:val="0"/>
      <w:marRight w:val="0"/>
      <w:marTop w:val="0"/>
      <w:marBottom w:val="0"/>
      <w:divBdr>
        <w:top w:val="none" w:sz="0" w:space="0" w:color="auto"/>
        <w:left w:val="none" w:sz="0" w:space="0" w:color="auto"/>
        <w:bottom w:val="none" w:sz="0" w:space="0" w:color="auto"/>
        <w:right w:val="none" w:sz="0" w:space="0" w:color="auto"/>
      </w:divBdr>
    </w:div>
    <w:div w:id="863322154">
      <w:bodyDiv w:val="1"/>
      <w:marLeft w:val="0"/>
      <w:marRight w:val="0"/>
      <w:marTop w:val="0"/>
      <w:marBottom w:val="0"/>
      <w:divBdr>
        <w:top w:val="none" w:sz="0" w:space="0" w:color="auto"/>
        <w:left w:val="none" w:sz="0" w:space="0" w:color="auto"/>
        <w:bottom w:val="none" w:sz="0" w:space="0" w:color="auto"/>
        <w:right w:val="none" w:sz="0" w:space="0" w:color="auto"/>
      </w:divBdr>
    </w:div>
    <w:div w:id="952057199">
      <w:bodyDiv w:val="1"/>
      <w:marLeft w:val="0"/>
      <w:marRight w:val="0"/>
      <w:marTop w:val="0"/>
      <w:marBottom w:val="0"/>
      <w:divBdr>
        <w:top w:val="none" w:sz="0" w:space="0" w:color="auto"/>
        <w:left w:val="none" w:sz="0" w:space="0" w:color="auto"/>
        <w:bottom w:val="none" w:sz="0" w:space="0" w:color="auto"/>
        <w:right w:val="none" w:sz="0" w:space="0" w:color="auto"/>
      </w:divBdr>
    </w:div>
    <w:div w:id="1237713410">
      <w:bodyDiv w:val="1"/>
      <w:marLeft w:val="0"/>
      <w:marRight w:val="0"/>
      <w:marTop w:val="0"/>
      <w:marBottom w:val="0"/>
      <w:divBdr>
        <w:top w:val="none" w:sz="0" w:space="0" w:color="auto"/>
        <w:left w:val="none" w:sz="0" w:space="0" w:color="auto"/>
        <w:bottom w:val="none" w:sz="0" w:space="0" w:color="auto"/>
        <w:right w:val="none" w:sz="0" w:space="0" w:color="auto"/>
      </w:divBdr>
    </w:div>
    <w:div w:id="1306473023">
      <w:bodyDiv w:val="1"/>
      <w:marLeft w:val="0"/>
      <w:marRight w:val="0"/>
      <w:marTop w:val="0"/>
      <w:marBottom w:val="0"/>
      <w:divBdr>
        <w:top w:val="none" w:sz="0" w:space="0" w:color="auto"/>
        <w:left w:val="none" w:sz="0" w:space="0" w:color="auto"/>
        <w:bottom w:val="none" w:sz="0" w:space="0" w:color="auto"/>
        <w:right w:val="none" w:sz="0" w:space="0" w:color="auto"/>
      </w:divBdr>
    </w:div>
    <w:div w:id="1334526912">
      <w:bodyDiv w:val="1"/>
      <w:marLeft w:val="0"/>
      <w:marRight w:val="0"/>
      <w:marTop w:val="0"/>
      <w:marBottom w:val="0"/>
      <w:divBdr>
        <w:top w:val="none" w:sz="0" w:space="0" w:color="auto"/>
        <w:left w:val="none" w:sz="0" w:space="0" w:color="auto"/>
        <w:bottom w:val="none" w:sz="0" w:space="0" w:color="auto"/>
        <w:right w:val="none" w:sz="0" w:space="0" w:color="auto"/>
      </w:divBdr>
    </w:div>
    <w:div w:id="1399745156">
      <w:bodyDiv w:val="1"/>
      <w:marLeft w:val="0"/>
      <w:marRight w:val="0"/>
      <w:marTop w:val="0"/>
      <w:marBottom w:val="0"/>
      <w:divBdr>
        <w:top w:val="none" w:sz="0" w:space="0" w:color="auto"/>
        <w:left w:val="none" w:sz="0" w:space="0" w:color="auto"/>
        <w:bottom w:val="none" w:sz="0" w:space="0" w:color="auto"/>
        <w:right w:val="none" w:sz="0" w:space="0" w:color="auto"/>
      </w:divBdr>
    </w:div>
    <w:div w:id="1410418986">
      <w:bodyDiv w:val="1"/>
      <w:marLeft w:val="0"/>
      <w:marRight w:val="0"/>
      <w:marTop w:val="0"/>
      <w:marBottom w:val="0"/>
      <w:divBdr>
        <w:top w:val="none" w:sz="0" w:space="0" w:color="auto"/>
        <w:left w:val="none" w:sz="0" w:space="0" w:color="auto"/>
        <w:bottom w:val="none" w:sz="0" w:space="0" w:color="auto"/>
        <w:right w:val="none" w:sz="0" w:space="0" w:color="auto"/>
      </w:divBdr>
    </w:div>
    <w:div w:id="1508904421">
      <w:bodyDiv w:val="1"/>
      <w:marLeft w:val="0"/>
      <w:marRight w:val="0"/>
      <w:marTop w:val="0"/>
      <w:marBottom w:val="0"/>
      <w:divBdr>
        <w:top w:val="none" w:sz="0" w:space="0" w:color="auto"/>
        <w:left w:val="none" w:sz="0" w:space="0" w:color="auto"/>
        <w:bottom w:val="none" w:sz="0" w:space="0" w:color="auto"/>
        <w:right w:val="none" w:sz="0" w:space="0" w:color="auto"/>
      </w:divBdr>
    </w:div>
    <w:div w:id="1763061459">
      <w:bodyDiv w:val="1"/>
      <w:marLeft w:val="0"/>
      <w:marRight w:val="0"/>
      <w:marTop w:val="0"/>
      <w:marBottom w:val="0"/>
      <w:divBdr>
        <w:top w:val="none" w:sz="0" w:space="0" w:color="auto"/>
        <w:left w:val="none" w:sz="0" w:space="0" w:color="auto"/>
        <w:bottom w:val="none" w:sz="0" w:space="0" w:color="auto"/>
        <w:right w:val="none" w:sz="0" w:space="0" w:color="auto"/>
      </w:divBdr>
    </w:div>
    <w:div w:id="1831554287">
      <w:bodyDiv w:val="1"/>
      <w:marLeft w:val="0"/>
      <w:marRight w:val="0"/>
      <w:marTop w:val="0"/>
      <w:marBottom w:val="0"/>
      <w:divBdr>
        <w:top w:val="none" w:sz="0" w:space="0" w:color="auto"/>
        <w:left w:val="none" w:sz="0" w:space="0" w:color="auto"/>
        <w:bottom w:val="none" w:sz="0" w:space="0" w:color="auto"/>
        <w:right w:val="none" w:sz="0" w:space="0" w:color="auto"/>
      </w:divBdr>
    </w:div>
    <w:div w:id="1834907860">
      <w:bodyDiv w:val="1"/>
      <w:marLeft w:val="0"/>
      <w:marRight w:val="0"/>
      <w:marTop w:val="0"/>
      <w:marBottom w:val="0"/>
      <w:divBdr>
        <w:top w:val="none" w:sz="0" w:space="0" w:color="auto"/>
        <w:left w:val="none" w:sz="0" w:space="0" w:color="auto"/>
        <w:bottom w:val="none" w:sz="0" w:space="0" w:color="auto"/>
        <w:right w:val="none" w:sz="0" w:space="0" w:color="auto"/>
      </w:divBdr>
    </w:div>
    <w:div w:id="1855992026">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1279351">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 w:id="2080057709">
      <w:bodyDiv w:val="1"/>
      <w:marLeft w:val="0"/>
      <w:marRight w:val="0"/>
      <w:marTop w:val="0"/>
      <w:marBottom w:val="0"/>
      <w:divBdr>
        <w:top w:val="none" w:sz="0" w:space="0" w:color="auto"/>
        <w:left w:val="none" w:sz="0" w:space="0" w:color="auto"/>
        <w:bottom w:val="none" w:sz="0" w:space="0" w:color="auto"/>
        <w:right w:val="none" w:sz="0" w:space="0" w:color="auto"/>
      </w:divBdr>
    </w:div>
    <w:div w:id="21232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wsc.wis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684E67-490F-45E1-BFA8-C6005D99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30619104</Template>
  <TotalTime>1</TotalTime>
  <Pages>5</Pages>
  <Words>677</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Sharlip, David (NIH/NLM) [E]</cp:lastModifiedBy>
  <cp:revision>3</cp:revision>
  <dcterms:created xsi:type="dcterms:W3CDTF">2016-01-20T16:47:00Z</dcterms:created>
  <dcterms:modified xsi:type="dcterms:W3CDTF">2016-01-25T11:44:00Z</dcterms:modified>
</cp:coreProperties>
</file>