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D77B8" w14:textId="77777777" w:rsidR="00E35DD1" w:rsidRPr="005865E7" w:rsidRDefault="00E35DD1" w:rsidP="00B06022">
      <w:pPr>
        <w:jc w:val="center"/>
        <w:rPr>
          <w:rFonts w:asciiTheme="minorHAnsi" w:eastAsia="Times New Roman" w:hAnsiTheme="minorHAnsi" w:cstheme="minorHAnsi"/>
        </w:rPr>
      </w:pPr>
      <w:r w:rsidRPr="005865E7">
        <w:rPr>
          <w:rFonts w:asciiTheme="minorHAnsi" w:hAnsiTheme="minorHAnsi" w:cstheme="minorHAnsi"/>
        </w:rPr>
        <w:t xml:space="preserve">Supporting Statement </w:t>
      </w:r>
      <w:r w:rsidRPr="005865E7">
        <w:rPr>
          <w:rFonts w:asciiTheme="minorHAnsi" w:hAnsiTheme="minorHAnsi" w:cstheme="minorHAnsi"/>
          <w:b/>
        </w:rPr>
        <w:t>A</w:t>
      </w:r>
      <w:r w:rsidRPr="005865E7">
        <w:rPr>
          <w:rFonts w:asciiTheme="minorHAnsi" w:hAnsiTheme="minorHAnsi" w:cstheme="minorHAnsi"/>
        </w:rPr>
        <w:t xml:space="preserve"> for</w:t>
      </w:r>
    </w:p>
    <w:p w14:paraId="0E1690D5" w14:textId="77777777" w:rsidR="00E35DD1" w:rsidRPr="005865E7" w:rsidRDefault="00E35DD1" w:rsidP="00E35DD1">
      <w:pPr>
        <w:pStyle w:val="P1-StandPara"/>
        <w:tabs>
          <w:tab w:val="left" w:pos="720"/>
          <w:tab w:val="right" w:leader="dot" w:pos="9504"/>
        </w:tabs>
        <w:spacing w:before="120" w:after="120"/>
        <w:ind w:firstLine="0"/>
        <w:rPr>
          <w:rFonts w:asciiTheme="minorHAnsi" w:hAnsiTheme="minorHAnsi" w:cstheme="minorHAnsi"/>
          <w:szCs w:val="22"/>
        </w:rPr>
      </w:pPr>
      <w:r w:rsidRPr="005865E7">
        <w:rPr>
          <w:rFonts w:asciiTheme="minorHAnsi" w:hAnsiTheme="minorHAnsi" w:cstheme="minorHAnsi"/>
          <w:szCs w:val="22"/>
        </w:rPr>
        <w:t xml:space="preserve">                    </w:t>
      </w:r>
    </w:p>
    <w:p w14:paraId="12BEFDB2" w14:textId="77777777" w:rsidR="00E35DD1" w:rsidRPr="005865E7" w:rsidRDefault="00E35DD1" w:rsidP="00767C53">
      <w:pPr>
        <w:pStyle w:val="P1-StandPara"/>
        <w:tabs>
          <w:tab w:val="left" w:pos="720"/>
          <w:tab w:val="right" w:leader="dot" w:pos="9504"/>
        </w:tabs>
        <w:spacing w:before="120" w:after="120"/>
        <w:ind w:firstLine="0"/>
        <w:jc w:val="center"/>
        <w:rPr>
          <w:rFonts w:asciiTheme="minorHAnsi" w:hAnsiTheme="minorHAnsi" w:cstheme="minorHAnsi"/>
          <w:szCs w:val="22"/>
        </w:rPr>
      </w:pPr>
      <w:r w:rsidRPr="005865E7">
        <w:rPr>
          <w:rFonts w:asciiTheme="minorHAnsi" w:hAnsiTheme="minorHAnsi" w:cstheme="minorHAnsi"/>
          <w:szCs w:val="22"/>
        </w:rPr>
        <w:t>Title of Study</w:t>
      </w:r>
    </w:p>
    <w:p w14:paraId="4E632479" w14:textId="69FDDF28" w:rsidR="00B06022" w:rsidRPr="005865E7" w:rsidRDefault="00B06022" w:rsidP="00712278">
      <w:pPr>
        <w:ind w:left="720" w:firstLine="720"/>
        <w:rPr>
          <w:rFonts w:asciiTheme="minorHAnsi" w:hAnsiTheme="minorHAnsi" w:cstheme="minorHAnsi"/>
          <w:b/>
        </w:rPr>
      </w:pPr>
      <w:r w:rsidRPr="005865E7">
        <w:rPr>
          <w:rFonts w:asciiTheme="minorHAnsi" w:hAnsiTheme="minorHAnsi" w:cstheme="minorHAnsi"/>
          <w:b/>
        </w:rPr>
        <w:t>Consumer Health Information in Public Libraries User Needs Survey</w:t>
      </w:r>
      <w:r w:rsidR="00712278">
        <w:rPr>
          <w:rFonts w:asciiTheme="minorHAnsi" w:hAnsiTheme="minorHAnsi" w:cstheme="minorHAnsi"/>
          <w:b/>
        </w:rPr>
        <w:t xml:space="preserve"> (NLM)</w:t>
      </w:r>
    </w:p>
    <w:p w14:paraId="4C7B0275" w14:textId="68F43174" w:rsidR="00024899" w:rsidRPr="005865E7" w:rsidRDefault="00E35DD1" w:rsidP="00E35DD1">
      <w:pPr>
        <w:pStyle w:val="P1-StandPara"/>
        <w:tabs>
          <w:tab w:val="left" w:pos="720"/>
          <w:tab w:val="right" w:leader="dot" w:pos="9504"/>
        </w:tabs>
        <w:spacing w:before="120" w:after="120"/>
        <w:ind w:firstLine="0"/>
        <w:rPr>
          <w:rFonts w:asciiTheme="minorHAnsi" w:hAnsiTheme="minorHAnsi" w:cstheme="minorHAnsi"/>
          <w:szCs w:val="22"/>
        </w:rPr>
      </w:pPr>
      <w:r w:rsidRPr="005865E7">
        <w:rPr>
          <w:rFonts w:asciiTheme="minorHAnsi" w:hAnsiTheme="minorHAnsi" w:cstheme="minorHAnsi"/>
          <w:szCs w:val="22"/>
        </w:rPr>
        <w:t xml:space="preserve">                    </w:t>
      </w:r>
      <w:r w:rsidR="00AB71A9" w:rsidRPr="005865E7">
        <w:rPr>
          <w:rFonts w:asciiTheme="minorHAnsi" w:hAnsiTheme="minorHAnsi" w:cstheme="minorHAnsi"/>
          <w:szCs w:val="22"/>
        </w:rPr>
        <w:t xml:space="preserve">   </w:t>
      </w:r>
    </w:p>
    <w:p w14:paraId="05618527" w14:textId="77777777" w:rsidR="009D4693" w:rsidRPr="005865E7" w:rsidRDefault="009D4693" w:rsidP="00E35DD1">
      <w:pPr>
        <w:pStyle w:val="P1-StandPara"/>
        <w:tabs>
          <w:tab w:val="left" w:pos="720"/>
          <w:tab w:val="right" w:leader="dot" w:pos="9504"/>
        </w:tabs>
        <w:spacing w:before="120" w:after="120"/>
        <w:ind w:firstLine="0"/>
        <w:rPr>
          <w:rFonts w:asciiTheme="minorHAnsi" w:hAnsiTheme="minorHAnsi" w:cstheme="minorHAnsi"/>
          <w:szCs w:val="22"/>
        </w:rPr>
      </w:pPr>
    </w:p>
    <w:p w14:paraId="732F6E38" w14:textId="38517C5C" w:rsidR="00F511F7" w:rsidRPr="005D121B" w:rsidRDefault="00F511F7" w:rsidP="00E35DD1">
      <w:pPr>
        <w:pStyle w:val="P1-StandPara"/>
        <w:tabs>
          <w:tab w:val="left" w:pos="720"/>
          <w:tab w:val="right" w:leader="dot" w:pos="9504"/>
        </w:tabs>
        <w:spacing w:before="120" w:after="120"/>
        <w:ind w:firstLine="0"/>
        <w:rPr>
          <w:rFonts w:asciiTheme="minorHAnsi" w:hAnsiTheme="minorHAnsi" w:cstheme="minorHAnsi"/>
          <w:szCs w:val="22"/>
        </w:rPr>
      </w:pPr>
      <w:r w:rsidRPr="005D121B">
        <w:rPr>
          <w:rFonts w:asciiTheme="minorHAnsi" w:hAnsiTheme="minorHAnsi" w:cstheme="minorHAnsi"/>
          <w:szCs w:val="22"/>
        </w:rPr>
        <w:t xml:space="preserve">                                              </w:t>
      </w:r>
      <w:r w:rsidR="009D4693" w:rsidRPr="005D121B">
        <w:rPr>
          <w:rFonts w:asciiTheme="minorHAnsi" w:hAnsiTheme="minorHAnsi" w:cstheme="minorHAnsi"/>
          <w:szCs w:val="22"/>
        </w:rPr>
        <w:t xml:space="preserve">                      </w:t>
      </w:r>
      <w:r w:rsidRPr="005D121B">
        <w:rPr>
          <w:rFonts w:asciiTheme="minorHAnsi" w:hAnsiTheme="minorHAnsi" w:cstheme="minorHAnsi"/>
          <w:szCs w:val="22"/>
        </w:rPr>
        <w:t xml:space="preserve"> Date:  </w:t>
      </w:r>
      <w:r w:rsidR="00E92704">
        <w:rPr>
          <w:rFonts w:asciiTheme="minorHAnsi" w:hAnsiTheme="minorHAnsi" w:cstheme="minorHAnsi"/>
          <w:szCs w:val="22"/>
        </w:rPr>
        <w:t xml:space="preserve">January </w:t>
      </w:r>
      <w:r w:rsidR="00277E0C">
        <w:rPr>
          <w:rFonts w:asciiTheme="minorHAnsi" w:hAnsiTheme="minorHAnsi" w:cstheme="minorHAnsi"/>
          <w:szCs w:val="22"/>
        </w:rPr>
        <w:t>2</w:t>
      </w:r>
      <w:r w:rsidR="006761E7">
        <w:rPr>
          <w:rFonts w:asciiTheme="minorHAnsi" w:hAnsiTheme="minorHAnsi" w:cstheme="minorHAnsi"/>
          <w:szCs w:val="22"/>
        </w:rPr>
        <w:t>7</w:t>
      </w:r>
      <w:bookmarkStart w:id="0" w:name="_GoBack"/>
      <w:bookmarkEnd w:id="0"/>
      <w:r w:rsidR="00E92704">
        <w:rPr>
          <w:rFonts w:asciiTheme="minorHAnsi" w:hAnsiTheme="minorHAnsi" w:cstheme="minorHAnsi"/>
          <w:szCs w:val="22"/>
        </w:rPr>
        <w:t>, 2016</w:t>
      </w:r>
    </w:p>
    <w:p w14:paraId="2B65517F" w14:textId="2D931D55" w:rsidR="00AB71A9" w:rsidRPr="005D121B" w:rsidRDefault="00AB71A9" w:rsidP="00E35DD1">
      <w:pPr>
        <w:pStyle w:val="P1-StandPara"/>
        <w:tabs>
          <w:tab w:val="left" w:pos="720"/>
          <w:tab w:val="right" w:leader="dot" w:pos="9504"/>
        </w:tabs>
        <w:spacing w:before="120" w:after="120"/>
        <w:ind w:firstLine="0"/>
        <w:rPr>
          <w:rFonts w:asciiTheme="minorHAnsi" w:hAnsiTheme="minorHAnsi" w:cstheme="minorHAnsi"/>
          <w:szCs w:val="22"/>
        </w:rPr>
      </w:pPr>
      <w:r w:rsidRPr="005D121B">
        <w:rPr>
          <w:rFonts w:asciiTheme="minorHAnsi" w:hAnsiTheme="minorHAnsi" w:cstheme="minorHAnsi"/>
          <w:szCs w:val="22"/>
        </w:rPr>
        <w:t xml:space="preserve">                                                </w:t>
      </w:r>
      <w:r w:rsidR="009D4693" w:rsidRPr="005D121B">
        <w:rPr>
          <w:rFonts w:asciiTheme="minorHAnsi" w:hAnsiTheme="minorHAnsi" w:cstheme="minorHAnsi"/>
          <w:szCs w:val="22"/>
        </w:rPr>
        <w:t xml:space="preserve">                     </w:t>
      </w:r>
      <w:r w:rsidRPr="005D121B">
        <w:rPr>
          <w:rFonts w:asciiTheme="minorHAnsi" w:hAnsiTheme="minorHAnsi" w:cstheme="minorHAnsi"/>
          <w:szCs w:val="22"/>
        </w:rPr>
        <w:t xml:space="preserve"> OMB Control </w:t>
      </w:r>
      <w:r w:rsidR="00D509BB" w:rsidRPr="005D121B">
        <w:rPr>
          <w:rFonts w:asciiTheme="minorHAnsi" w:hAnsiTheme="minorHAnsi" w:cstheme="minorHAnsi"/>
          <w:szCs w:val="22"/>
        </w:rPr>
        <w:t>#:</w:t>
      </w:r>
      <w:r w:rsidRPr="005D121B">
        <w:rPr>
          <w:rFonts w:asciiTheme="minorHAnsi" w:hAnsiTheme="minorHAnsi" w:cstheme="minorHAnsi"/>
          <w:szCs w:val="22"/>
        </w:rPr>
        <w:t xml:space="preserve"> </w:t>
      </w:r>
      <w:r w:rsidRPr="00E25A9B">
        <w:rPr>
          <w:rFonts w:asciiTheme="minorHAnsi" w:hAnsiTheme="minorHAnsi" w:cstheme="minorHAnsi"/>
          <w:szCs w:val="22"/>
          <w:highlight w:val="yellow"/>
        </w:rPr>
        <w:t>TBA</w:t>
      </w:r>
    </w:p>
    <w:p w14:paraId="555BEF82" w14:textId="00ED51BC" w:rsidR="00E35DD1" w:rsidRPr="005D121B" w:rsidRDefault="00AB71A9" w:rsidP="00E35DD1">
      <w:pPr>
        <w:pStyle w:val="P1-StandPara"/>
        <w:tabs>
          <w:tab w:val="left" w:pos="720"/>
          <w:tab w:val="right" w:leader="dot" w:pos="9504"/>
        </w:tabs>
        <w:spacing w:before="120" w:after="120"/>
        <w:rPr>
          <w:rFonts w:asciiTheme="minorHAnsi" w:hAnsiTheme="minorHAnsi" w:cstheme="minorHAnsi"/>
          <w:szCs w:val="22"/>
        </w:rPr>
      </w:pPr>
      <w:r w:rsidRPr="005D121B">
        <w:rPr>
          <w:rFonts w:asciiTheme="minorHAnsi" w:hAnsiTheme="minorHAnsi" w:cstheme="minorHAnsi"/>
          <w:szCs w:val="22"/>
        </w:rPr>
        <w:tab/>
      </w:r>
      <w:r w:rsidRPr="005D121B">
        <w:rPr>
          <w:rFonts w:asciiTheme="minorHAnsi" w:hAnsiTheme="minorHAnsi" w:cstheme="minorHAnsi"/>
          <w:szCs w:val="22"/>
        </w:rPr>
        <w:tab/>
      </w:r>
      <w:r w:rsidR="00E35DD1" w:rsidRPr="005D121B">
        <w:rPr>
          <w:rFonts w:asciiTheme="minorHAnsi" w:hAnsiTheme="minorHAnsi" w:cstheme="minorHAnsi"/>
          <w:szCs w:val="22"/>
        </w:rPr>
        <w:t xml:space="preserve">                        </w:t>
      </w:r>
    </w:p>
    <w:p w14:paraId="4300267E" w14:textId="77777777" w:rsidR="00E35DD1" w:rsidRPr="005D121B" w:rsidRDefault="00E35DD1" w:rsidP="00E35DD1">
      <w:pPr>
        <w:pStyle w:val="P1-StandPara"/>
        <w:tabs>
          <w:tab w:val="left" w:pos="720"/>
          <w:tab w:val="right" w:leader="dot" w:pos="9504"/>
        </w:tabs>
        <w:spacing w:before="120" w:after="120"/>
        <w:rPr>
          <w:rFonts w:asciiTheme="minorHAnsi" w:hAnsiTheme="minorHAnsi" w:cstheme="minorHAnsi"/>
          <w:szCs w:val="22"/>
        </w:rPr>
      </w:pPr>
    </w:p>
    <w:p w14:paraId="77D1888F" w14:textId="77777777" w:rsidR="00E35DD1" w:rsidRPr="005D121B" w:rsidRDefault="00E35DD1" w:rsidP="00E35DD1">
      <w:pPr>
        <w:pStyle w:val="P1-StandPara"/>
        <w:tabs>
          <w:tab w:val="left" w:pos="720"/>
          <w:tab w:val="right" w:leader="dot" w:pos="9504"/>
        </w:tabs>
        <w:spacing w:before="120" w:after="120"/>
        <w:rPr>
          <w:rFonts w:asciiTheme="minorHAnsi" w:hAnsiTheme="minorHAnsi" w:cstheme="minorHAnsi"/>
          <w:szCs w:val="22"/>
        </w:rPr>
      </w:pPr>
    </w:p>
    <w:p w14:paraId="3456F213" w14:textId="77777777" w:rsidR="00AB71A9" w:rsidRPr="005D121B" w:rsidRDefault="00AB71A9" w:rsidP="00E35DD1">
      <w:pPr>
        <w:pStyle w:val="P1-StandPara"/>
        <w:tabs>
          <w:tab w:val="left" w:pos="720"/>
          <w:tab w:val="right" w:leader="dot" w:pos="9504"/>
        </w:tabs>
        <w:spacing w:before="120" w:after="120"/>
        <w:rPr>
          <w:rFonts w:asciiTheme="minorHAnsi" w:hAnsiTheme="minorHAnsi" w:cstheme="minorHAnsi"/>
          <w:szCs w:val="22"/>
        </w:rPr>
      </w:pPr>
    </w:p>
    <w:p w14:paraId="06918DE9" w14:textId="77777777" w:rsidR="00AB71A9" w:rsidRPr="005D121B" w:rsidRDefault="00AB71A9" w:rsidP="00E35DD1">
      <w:pPr>
        <w:pStyle w:val="P1-StandPara"/>
        <w:tabs>
          <w:tab w:val="left" w:pos="720"/>
          <w:tab w:val="right" w:leader="dot" w:pos="9504"/>
        </w:tabs>
        <w:spacing w:before="120" w:after="120"/>
        <w:rPr>
          <w:rFonts w:asciiTheme="minorHAnsi" w:hAnsiTheme="minorHAnsi" w:cstheme="minorHAnsi"/>
          <w:szCs w:val="22"/>
        </w:rPr>
      </w:pPr>
    </w:p>
    <w:p w14:paraId="513BB7AC" w14:textId="77777777" w:rsidR="00E35DD1" w:rsidRPr="005D121B" w:rsidRDefault="00E35DD1" w:rsidP="00BE76A7">
      <w:pPr>
        <w:pStyle w:val="P1-StandPara"/>
        <w:tabs>
          <w:tab w:val="left" w:pos="720"/>
          <w:tab w:val="right" w:leader="dot" w:pos="9504"/>
        </w:tabs>
        <w:spacing w:before="120" w:line="240" w:lineRule="auto"/>
        <w:ind w:firstLine="0"/>
        <w:rPr>
          <w:rFonts w:asciiTheme="minorHAnsi" w:hAnsiTheme="minorHAnsi" w:cstheme="minorHAnsi"/>
          <w:szCs w:val="22"/>
        </w:rPr>
      </w:pPr>
      <w:r w:rsidRPr="005D121B">
        <w:rPr>
          <w:rFonts w:asciiTheme="minorHAnsi" w:hAnsiTheme="minorHAnsi" w:cstheme="minorHAnsi"/>
          <w:szCs w:val="22"/>
        </w:rPr>
        <w:t>Name:</w:t>
      </w:r>
      <w:r w:rsidR="00B06022" w:rsidRPr="005D121B">
        <w:rPr>
          <w:rFonts w:asciiTheme="minorHAnsi" w:hAnsiTheme="minorHAnsi" w:cstheme="minorHAnsi"/>
          <w:szCs w:val="22"/>
        </w:rPr>
        <w:t xml:space="preserve"> Alla Keselman</w:t>
      </w:r>
    </w:p>
    <w:p w14:paraId="7B0230D3" w14:textId="77777777" w:rsidR="00E35DD1" w:rsidRPr="005D121B" w:rsidRDefault="00E35DD1" w:rsidP="00BE76A7">
      <w:pPr>
        <w:pStyle w:val="P1-StandPara"/>
        <w:tabs>
          <w:tab w:val="left" w:pos="720"/>
          <w:tab w:val="right" w:leader="dot" w:pos="9504"/>
        </w:tabs>
        <w:spacing w:before="120" w:line="240" w:lineRule="auto"/>
        <w:ind w:firstLine="0"/>
        <w:rPr>
          <w:rFonts w:asciiTheme="minorHAnsi" w:hAnsiTheme="minorHAnsi" w:cstheme="minorHAnsi"/>
          <w:szCs w:val="22"/>
        </w:rPr>
      </w:pPr>
      <w:r w:rsidRPr="005D121B">
        <w:rPr>
          <w:rFonts w:asciiTheme="minorHAnsi" w:hAnsiTheme="minorHAnsi" w:cstheme="minorHAnsi"/>
          <w:szCs w:val="22"/>
        </w:rPr>
        <w:t>Address:</w:t>
      </w:r>
      <w:r w:rsidR="00B06022" w:rsidRPr="005D121B">
        <w:rPr>
          <w:rFonts w:asciiTheme="minorHAnsi" w:hAnsiTheme="minorHAnsi" w:cstheme="minorHAnsi"/>
          <w:szCs w:val="22"/>
        </w:rPr>
        <w:t xml:space="preserve"> </w:t>
      </w:r>
      <w:r w:rsidR="00B06022" w:rsidRPr="005D121B">
        <w:rPr>
          <w:rFonts w:asciiTheme="minorHAnsi" w:hAnsiTheme="minorHAnsi" w:cstheme="minorHAnsi"/>
        </w:rPr>
        <w:t>6707 Democracy Blvd., MSC 5467</w:t>
      </w:r>
    </w:p>
    <w:p w14:paraId="1E180BB6" w14:textId="77777777" w:rsidR="00E35DD1" w:rsidRPr="005D121B" w:rsidRDefault="00E35DD1" w:rsidP="00BE76A7">
      <w:pPr>
        <w:pStyle w:val="P1-StandPara"/>
        <w:tabs>
          <w:tab w:val="left" w:pos="720"/>
          <w:tab w:val="right" w:leader="dot" w:pos="9504"/>
        </w:tabs>
        <w:spacing w:before="120" w:line="240" w:lineRule="auto"/>
        <w:ind w:firstLine="0"/>
        <w:rPr>
          <w:rFonts w:asciiTheme="minorHAnsi" w:hAnsiTheme="minorHAnsi" w:cstheme="minorHAnsi"/>
          <w:szCs w:val="22"/>
        </w:rPr>
      </w:pPr>
      <w:r w:rsidRPr="005D121B">
        <w:rPr>
          <w:rFonts w:asciiTheme="minorHAnsi" w:hAnsiTheme="minorHAnsi" w:cstheme="minorHAnsi"/>
          <w:szCs w:val="22"/>
        </w:rPr>
        <w:t>Telephone:</w:t>
      </w:r>
      <w:r w:rsidR="00B06022" w:rsidRPr="005D121B">
        <w:rPr>
          <w:rFonts w:asciiTheme="minorHAnsi" w:hAnsiTheme="minorHAnsi" w:cstheme="minorHAnsi"/>
          <w:szCs w:val="22"/>
        </w:rPr>
        <w:t xml:space="preserve"> 301-496-3420</w:t>
      </w:r>
    </w:p>
    <w:p w14:paraId="1B85FEBD" w14:textId="77777777" w:rsidR="00E35DD1" w:rsidRPr="005D121B" w:rsidRDefault="00E35DD1" w:rsidP="00BE76A7">
      <w:pPr>
        <w:pStyle w:val="P1-StandPara"/>
        <w:tabs>
          <w:tab w:val="left" w:pos="720"/>
          <w:tab w:val="right" w:leader="dot" w:pos="9504"/>
        </w:tabs>
        <w:spacing w:before="120" w:line="240" w:lineRule="auto"/>
        <w:ind w:firstLine="0"/>
        <w:rPr>
          <w:rFonts w:asciiTheme="minorHAnsi" w:hAnsiTheme="minorHAnsi" w:cstheme="minorHAnsi"/>
          <w:szCs w:val="22"/>
        </w:rPr>
      </w:pPr>
      <w:r w:rsidRPr="005D121B">
        <w:rPr>
          <w:rFonts w:asciiTheme="minorHAnsi" w:hAnsiTheme="minorHAnsi" w:cstheme="minorHAnsi"/>
          <w:szCs w:val="22"/>
        </w:rPr>
        <w:t>Fax:</w:t>
      </w:r>
      <w:r w:rsidR="00C60B43" w:rsidRPr="005D121B">
        <w:rPr>
          <w:rFonts w:asciiTheme="minorHAnsi" w:hAnsiTheme="minorHAnsi" w:cstheme="minorHAnsi"/>
          <w:szCs w:val="22"/>
        </w:rPr>
        <w:t xml:space="preserve"> </w:t>
      </w:r>
      <w:r w:rsidR="00C60B43" w:rsidRPr="005D121B">
        <w:rPr>
          <w:rFonts w:asciiTheme="minorHAnsi" w:hAnsiTheme="minorHAnsi" w:cstheme="minorHAnsi"/>
        </w:rPr>
        <w:t>301-480-3537</w:t>
      </w:r>
    </w:p>
    <w:p w14:paraId="7E8A6648" w14:textId="4412435C" w:rsidR="00E35DD1" w:rsidRDefault="00E35DD1" w:rsidP="00BE76A7">
      <w:pPr>
        <w:pStyle w:val="P1-StandPara"/>
        <w:tabs>
          <w:tab w:val="left" w:pos="720"/>
          <w:tab w:val="right" w:leader="dot" w:pos="9504"/>
        </w:tabs>
        <w:spacing w:before="120" w:line="240" w:lineRule="auto"/>
        <w:ind w:firstLine="0"/>
        <w:rPr>
          <w:rFonts w:asciiTheme="minorHAnsi" w:hAnsiTheme="minorHAnsi" w:cstheme="minorHAnsi"/>
          <w:szCs w:val="22"/>
        </w:rPr>
      </w:pPr>
      <w:r w:rsidRPr="005D121B">
        <w:rPr>
          <w:rFonts w:asciiTheme="minorHAnsi" w:hAnsiTheme="minorHAnsi" w:cstheme="minorHAnsi"/>
          <w:szCs w:val="22"/>
        </w:rPr>
        <w:t>Email:</w:t>
      </w:r>
      <w:r w:rsidR="00C60B43" w:rsidRPr="005D121B">
        <w:rPr>
          <w:rFonts w:asciiTheme="minorHAnsi" w:hAnsiTheme="minorHAnsi" w:cstheme="minorHAnsi"/>
          <w:szCs w:val="22"/>
        </w:rPr>
        <w:t xml:space="preserve"> </w:t>
      </w:r>
      <w:hyperlink r:id="rId9" w:history="1">
        <w:r w:rsidR="00C12CC1" w:rsidRPr="00C4713C">
          <w:rPr>
            <w:rStyle w:val="Hyperlink"/>
            <w:rFonts w:asciiTheme="minorHAnsi" w:hAnsiTheme="minorHAnsi" w:cstheme="minorHAnsi"/>
            <w:szCs w:val="22"/>
          </w:rPr>
          <w:t>keselmana@mail.nih.gov</w:t>
        </w:r>
      </w:hyperlink>
    </w:p>
    <w:p w14:paraId="2CA84752" w14:textId="77777777" w:rsidR="00C12CC1" w:rsidRPr="005D121B" w:rsidRDefault="00C12CC1" w:rsidP="00BE76A7">
      <w:pPr>
        <w:pStyle w:val="P1-StandPara"/>
        <w:tabs>
          <w:tab w:val="left" w:pos="720"/>
          <w:tab w:val="right" w:leader="dot" w:pos="9504"/>
        </w:tabs>
        <w:spacing w:before="120" w:line="240" w:lineRule="auto"/>
        <w:ind w:firstLine="0"/>
        <w:rPr>
          <w:rFonts w:asciiTheme="minorHAnsi" w:hAnsiTheme="minorHAnsi" w:cstheme="minorHAnsi"/>
          <w:szCs w:val="22"/>
        </w:rPr>
      </w:pPr>
    </w:p>
    <w:p w14:paraId="1E82DF41" w14:textId="77777777" w:rsidR="006A45F9" w:rsidRPr="005D121B" w:rsidRDefault="006A45F9" w:rsidP="00BE76A7">
      <w:pPr>
        <w:pStyle w:val="P1-StandPara"/>
        <w:tabs>
          <w:tab w:val="left" w:pos="720"/>
          <w:tab w:val="right" w:leader="dot" w:pos="9504"/>
        </w:tabs>
        <w:spacing w:before="120" w:line="240" w:lineRule="auto"/>
        <w:ind w:firstLine="0"/>
        <w:rPr>
          <w:rFonts w:asciiTheme="minorHAnsi" w:hAnsiTheme="minorHAnsi" w:cstheme="minorHAnsi"/>
          <w:szCs w:val="22"/>
        </w:rPr>
      </w:pPr>
    </w:p>
    <w:p w14:paraId="50134B56" w14:textId="77777777" w:rsidR="00BE76A7" w:rsidRDefault="00BE76A7" w:rsidP="00BE76A7">
      <w:pPr>
        <w:pStyle w:val="P1-StandPara"/>
        <w:tabs>
          <w:tab w:val="left" w:pos="720"/>
          <w:tab w:val="right" w:leader="dot" w:pos="9504"/>
        </w:tabs>
        <w:spacing w:before="120" w:line="240" w:lineRule="auto"/>
        <w:rPr>
          <w:rFonts w:ascii="Calibri" w:hAnsi="Calibri"/>
          <w:szCs w:val="22"/>
        </w:rPr>
      </w:pPr>
    </w:p>
    <w:p w14:paraId="42981540" w14:textId="77777777" w:rsidR="00AB71A9" w:rsidRDefault="00AB71A9" w:rsidP="00BE76A7">
      <w:pPr>
        <w:pStyle w:val="P1-StandPara"/>
        <w:tabs>
          <w:tab w:val="left" w:pos="720"/>
          <w:tab w:val="right" w:leader="dot" w:pos="9504"/>
        </w:tabs>
        <w:spacing w:before="120" w:line="240" w:lineRule="auto"/>
        <w:rPr>
          <w:rFonts w:ascii="Calibri" w:hAnsi="Calibri"/>
          <w:szCs w:val="22"/>
        </w:rPr>
      </w:pPr>
    </w:p>
    <w:p w14:paraId="5F7402E1" w14:textId="77777777" w:rsidR="00AB71A9" w:rsidRDefault="00AB71A9" w:rsidP="00BE76A7">
      <w:pPr>
        <w:pStyle w:val="P1-StandPara"/>
        <w:tabs>
          <w:tab w:val="left" w:pos="720"/>
          <w:tab w:val="right" w:leader="dot" w:pos="9504"/>
        </w:tabs>
        <w:spacing w:before="120" w:line="240" w:lineRule="auto"/>
        <w:rPr>
          <w:rFonts w:ascii="Calibri" w:hAnsi="Calibri"/>
          <w:szCs w:val="22"/>
        </w:rPr>
      </w:pPr>
    </w:p>
    <w:p w14:paraId="009F4849" w14:textId="77777777" w:rsidR="00AB71A9" w:rsidRDefault="00AB71A9" w:rsidP="00BE76A7">
      <w:pPr>
        <w:pStyle w:val="P1-StandPara"/>
        <w:tabs>
          <w:tab w:val="left" w:pos="720"/>
          <w:tab w:val="right" w:leader="dot" w:pos="9504"/>
        </w:tabs>
        <w:spacing w:before="120" w:line="240" w:lineRule="auto"/>
        <w:rPr>
          <w:rFonts w:ascii="Calibri" w:hAnsi="Calibri"/>
          <w:szCs w:val="22"/>
        </w:rPr>
      </w:pPr>
    </w:p>
    <w:p w14:paraId="79A4C420" w14:textId="77777777" w:rsidR="00AB71A9" w:rsidRDefault="00AB71A9" w:rsidP="00BE76A7">
      <w:pPr>
        <w:pStyle w:val="P1-StandPara"/>
        <w:tabs>
          <w:tab w:val="left" w:pos="720"/>
          <w:tab w:val="right" w:leader="dot" w:pos="9504"/>
        </w:tabs>
        <w:spacing w:before="120" w:line="240" w:lineRule="auto"/>
        <w:rPr>
          <w:rFonts w:ascii="Calibri" w:hAnsi="Calibri"/>
          <w:szCs w:val="22"/>
        </w:rPr>
      </w:pPr>
    </w:p>
    <w:p w14:paraId="56628AA9" w14:textId="14B5FEA1" w:rsidR="00CC21CA" w:rsidRPr="00CC21CA" w:rsidRDefault="00CC21CA" w:rsidP="00CC21CA">
      <w:pPr>
        <w:tabs>
          <w:tab w:val="left" w:pos="3510"/>
        </w:tabs>
        <w:rPr>
          <w:rFonts w:asciiTheme="minorHAnsi" w:eastAsia="Times New Roman" w:hAnsiTheme="minorHAnsi"/>
          <w:b/>
          <w:sz w:val="32"/>
          <w:szCs w:val="32"/>
        </w:rPr>
      </w:pPr>
      <w:r>
        <w:rPr>
          <w:b/>
          <w:sz w:val="44"/>
          <w:szCs w:val="44"/>
        </w:rPr>
        <w:t xml:space="preserve">             </w:t>
      </w:r>
      <w:r w:rsidR="00880A9F">
        <w:rPr>
          <w:b/>
          <w:sz w:val="44"/>
          <w:szCs w:val="44"/>
        </w:rPr>
        <w:t xml:space="preserve">            </w:t>
      </w:r>
      <w:r w:rsidR="00880A9F" w:rsidRPr="00CC21CA">
        <w:rPr>
          <w:rFonts w:asciiTheme="minorHAnsi" w:hAnsiTheme="minorHAnsi"/>
          <w:b/>
          <w:sz w:val="28"/>
          <w:szCs w:val="28"/>
        </w:rPr>
        <w:t xml:space="preserve">    </w:t>
      </w:r>
      <w:r>
        <w:rPr>
          <w:rFonts w:asciiTheme="minorHAnsi" w:hAnsiTheme="minorHAnsi"/>
          <w:b/>
          <w:sz w:val="28"/>
          <w:szCs w:val="28"/>
        </w:rPr>
        <w:t xml:space="preserve">       </w:t>
      </w:r>
      <w:r w:rsidR="00880A9F" w:rsidRPr="00CC21CA">
        <w:rPr>
          <w:rFonts w:asciiTheme="minorHAnsi" w:hAnsiTheme="minorHAnsi"/>
          <w:b/>
          <w:sz w:val="28"/>
          <w:szCs w:val="28"/>
        </w:rPr>
        <w:t xml:space="preserve"> </w:t>
      </w:r>
      <w:r>
        <w:rPr>
          <w:rFonts w:asciiTheme="minorHAnsi" w:hAnsiTheme="minorHAnsi"/>
          <w:b/>
          <w:sz w:val="28"/>
          <w:szCs w:val="28"/>
        </w:rPr>
        <w:t xml:space="preserve">   </w:t>
      </w:r>
      <w:r w:rsidRPr="00CC21CA">
        <w:rPr>
          <w:rFonts w:asciiTheme="minorHAnsi" w:eastAsia="Times New Roman" w:hAnsiTheme="minorHAnsi"/>
          <w:b/>
          <w:sz w:val="32"/>
          <w:szCs w:val="32"/>
        </w:rPr>
        <w:t xml:space="preserve">Table of </w:t>
      </w:r>
      <w:r>
        <w:rPr>
          <w:rFonts w:asciiTheme="minorHAnsi" w:eastAsia="Times New Roman" w:hAnsiTheme="minorHAnsi"/>
          <w:b/>
          <w:sz w:val="32"/>
          <w:szCs w:val="32"/>
        </w:rPr>
        <w:t>C</w:t>
      </w:r>
      <w:r w:rsidRPr="00CC21CA">
        <w:rPr>
          <w:rFonts w:asciiTheme="minorHAnsi" w:eastAsia="Times New Roman" w:hAnsiTheme="minorHAnsi"/>
          <w:b/>
          <w:sz w:val="32"/>
          <w:szCs w:val="32"/>
        </w:rPr>
        <w:t xml:space="preserve">ontents </w:t>
      </w:r>
    </w:p>
    <w:p w14:paraId="1D6E5CB9" w14:textId="77777777" w:rsidR="00CC21CA" w:rsidRPr="00CC21CA" w:rsidRDefault="00CC21CA" w:rsidP="00CC21CA">
      <w:pPr>
        <w:tabs>
          <w:tab w:val="left" w:pos="3510"/>
        </w:tabs>
        <w:spacing w:after="0" w:line="240" w:lineRule="auto"/>
        <w:jc w:val="center"/>
        <w:rPr>
          <w:rFonts w:ascii="Times New Roman" w:eastAsia="Times New Roman" w:hAnsi="Times New Roman"/>
          <w:b/>
          <w:sz w:val="36"/>
          <w:szCs w:val="36"/>
        </w:rPr>
      </w:pPr>
    </w:p>
    <w:p w14:paraId="2DE7EB31" w14:textId="59B7FE3D" w:rsidR="00CC21CA" w:rsidRPr="00CC21CA" w:rsidRDefault="00CC21CA" w:rsidP="00CC21CA">
      <w:pPr>
        <w:tabs>
          <w:tab w:val="left" w:pos="0"/>
          <w:tab w:val="left" w:pos="720"/>
          <w:tab w:val="right" w:leader="dot" w:pos="9494"/>
        </w:tabs>
        <w:spacing w:before="120" w:after="120" w:line="480" w:lineRule="auto"/>
        <w:jc w:val="both"/>
        <w:rPr>
          <w:rFonts w:asciiTheme="minorHAnsi" w:eastAsia="Times New Roman" w:hAnsiTheme="minorHAnsi"/>
          <w:b/>
          <w:caps/>
          <w:noProof/>
        </w:rPr>
      </w:pPr>
      <w:r w:rsidRPr="00CC21CA">
        <w:rPr>
          <w:rFonts w:asciiTheme="minorHAnsi" w:eastAsia="Times New Roman" w:hAnsiTheme="minorHAnsi"/>
          <w:b/>
          <w:caps/>
          <w:noProof/>
        </w:rPr>
        <w:fldChar w:fldCharType="begin"/>
      </w:r>
      <w:r w:rsidRPr="00CC21CA">
        <w:rPr>
          <w:rFonts w:asciiTheme="minorHAnsi" w:eastAsia="Times New Roman" w:hAnsiTheme="minorHAnsi"/>
          <w:b/>
          <w:caps/>
          <w:noProof/>
        </w:rPr>
        <w:instrText xml:space="preserve"> TOC \o "1-2" \u </w:instrText>
      </w:r>
      <w:r w:rsidRPr="00CC21CA">
        <w:rPr>
          <w:rFonts w:asciiTheme="minorHAnsi" w:eastAsia="Times New Roman" w:hAnsiTheme="minorHAnsi"/>
          <w:b/>
          <w:caps/>
          <w:noProof/>
        </w:rPr>
        <w:fldChar w:fldCharType="separate"/>
      </w:r>
      <w:r w:rsidRPr="00CC21CA">
        <w:rPr>
          <w:rFonts w:asciiTheme="minorHAnsi" w:eastAsia="Times New Roman" w:hAnsiTheme="minorHAnsi"/>
          <w:b/>
          <w:caps/>
          <w:noProof/>
        </w:rPr>
        <w:t>A.</w:t>
      </w:r>
      <w:r w:rsidRPr="00CC21CA">
        <w:rPr>
          <w:rFonts w:asciiTheme="minorHAnsi" w:eastAsia="Times New Roman" w:hAnsiTheme="minorHAnsi"/>
          <w:b/>
          <w:caps/>
          <w:noProof/>
        </w:rPr>
        <w:tab/>
        <w:t>JUSTIFICATION</w:t>
      </w:r>
      <w:r w:rsidRPr="00CC21CA">
        <w:rPr>
          <w:rFonts w:asciiTheme="minorHAnsi" w:eastAsia="Times New Roman" w:hAnsiTheme="minorHAnsi"/>
          <w:b/>
          <w:caps/>
          <w:noProof/>
        </w:rPr>
        <w:tab/>
      </w:r>
      <w:r w:rsidR="001A7E2C">
        <w:rPr>
          <w:rFonts w:asciiTheme="minorHAnsi" w:eastAsia="Times New Roman" w:hAnsiTheme="minorHAnsi"/>
          <w:b/>
          <w:caps/>
          <w:noProof/>
        </w:rPr>
        <w:t>2</w:t>
      </w:r>
    </w:p>
    <w:p w14:paraId="3536834E" w14:textId="7EE8AF1C"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A.1</w:t>
      </w:r>
      <w:r w:rsidRPr="00CC21CA">
        <w:rPr>
          <w:rFonts w:asciiTheme="minorHAnsi" w:eastAsia="Times New Roman" w:hAnsiTheme="minorHAnsi"/>
          <w:smallCaps/>
          <w:noProof/>
        </w:rPr>
        <w:tab/>
        <w:t>Circumstances Making the Collection of Information Necessary</w:t>
      </w:r>
      <w:r w:rsidRPr="00CC21CA">
        <w:rPr>
          <w:rFonts w:asciiTheme="minorHAnsi" w:eastAsia="Times New Roman" w:hAnsiTheme="minorHAnsi"/>
          <w:smallCaps/>
          <w:noProof/>
        </w:rPr>
        <w:tab/>
      </w:r>
      <w:r w:rsidR="001A7E2C">
        <w:rPr>
          <w:rFonts w:asciiTheme="minorHAnsi" w:eastAsia="Times New Roman" w:hAnsiTheme="minorHAnsi"/>
          <w:smallCaps/>
          <w:noProof/>
        </w:rPr>
        <w:t>2</w:t>
      </w:r>
    </w:p>
    <w:p w14:paraId="07580C46" w14:textId="5583D37E"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A.2.</w:t>
      </w:r>
      <w:r w:rsidRPr="00CC21CA">
        <w:rPr>
          <w:rFonts w:asciiTheme="minorHAnsi" w:eastAsia="Times New Roman" w:hAnsiTheme="minorHAnsi"/>
          <w:smallCaps/>
          <w:noProof/>
        </w:rPr>
        <w:tab/>
        <w:t>Purpose and Use of the Information collection</w:t>
      </w:r>
      <w:r w:rsidRPr="00CC21CA">
        <w:rPr>
          <w:rFonts w:asciiTheme="minorHAnsi" w:eastAsia="Times New Roman" w:hAnsiTheme="minorHAnsi"/>
          <w:smallCaps/>
          <w:noProof/>
        </w:rPr>
        <w:tab/>
      </w:r>
      <w:r w:rsidR="00D37796">
        <w:rPr>
          <w:rFonts w:asciiTheme="minorHAnsi" w:eastAsia="Times New Roman" w:hAnsiTheme="minorHAnsi"/>
          <w:smallCaps/>
          <w:noProof/>
        </w:rPr>
        <w:t>3</w:t>
      </w:r>
    </w:p>
    <w:p w14:paraId="57DB911A" w14:textId="1D996761"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A.3</w:t>
      </w:r>
      <w:r w:rsidRPr="00CC21CA">
        <w:rPr>
          <w:rFonts w:asciiTheme="minorHAnsi" w:eastAsia="Times New Roman" w:hAnsiTheme="minorHAnsi"/>
          <w:smallCaps/>
          <w:noProof/>
        </w:rPr>
        <w:tab/>
        <w:t>Use of Information Technology and Burden Reduction</w:t>
      </w:r>
      <w:r w:rsidRPr="00CC21CA">
        <w:rPr>
          <w:rFonts w:asciiTheme="minorHAnsi" w:eastAsia="Times New Roman" w:hAnsiTheme="minorHAnsi"/>
          <w:smallCaps/>
          <w:noProof/>
        </w:rPr>
        <w:tab/>
      </w:r>
      <w:r w:rsidR="001A7E2C">
        <w:rPr>
          <w:rFonts w:asciiTheme="minorHAnsi" w:eastAsia="Times New Roman" w:hAnsiTheme="minorHAnsi"/>
          <w:smallCaps/>
          <w:noProof/>
        </w:rPr>
        <w:t>3</w:t>
      </w:r>
    </w:p>
    <w:p w14:paraId="1D5A6AB7" w14:textId="59EFE0EE"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A.4</w:t>
      </w:r>
      <w:r w:rsidRPr="00CC21CA">
        <w:rPr>
          <w:rFonts w:asciiTheme="minorHAnsi" w:eastAsia="Times New Roman" w:hAnsiTheme="minorHAnsi"/>
          <w:smallCaps/>
          <w:noProof/>
        </w:rPr>
        <w:tab/>
        <w:t>Efforts to Identify Duplication and Use of Similar Information</w:t>
      </w:r>
      <w:r w:rsidRPr="00CC21CA">
        <w:rPr>
          <w:rFonts w:asciiTheme="minorHAnsi" w:eastAsia="Times New Roman" w:hAnsiTheme="minorHAnsi"/>
          <w:smallCaps/>
          <w:noProof/>
        </w:rPr>
        <w:tab/>
      </w:r>
      <w:r w:rsidR="001A7E2C">
        <w:rPr>
          <w:rFonts w:asciiTheme="minorHAnsi" w:eastAsia="Times New Roman" w:hAnsiTheme="minorHAnsi"/>
          <w:smallCaps/>
          <w:noProof/>
        </w:rPr>
        <w:t>3</w:t>
      </w:r>
    </w:p>
    <w:p w14:paraId="30BCA0E9" w14:textId="085CE93D"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A.5</w:t>
      </w:r>
      <w:r w:rsidRPr="00CC21CA">
        <w:rPr>
          <w:rFonts w:asciiTheme="minorHAnsi" w:eastAsia="Times New Roman" w:hAnsiTheme="minorHAnsi"/>
          <w:smallCaps/>
          <w:noProof/>
        </w:rPr>
        <w:tab/>
        <w:t>Impact on Small Businesses or Other Small Entities</w:t>
      </w:r>
      <w:r w:rsidRPr="00CC21CA">
        <w:rPr>
          <w:rFonts w:asciiTheme="minorHAnsi" w:eastAsia="Times New Roman" w:hAnsiTheme="minorHAnsi"/>
          <w:smallCaps/>
          <w:noProof/>
        </w:rPr>
        <w:tab/>
      </w:r>
      <w:r w:rsidR="001A7E2C">
        <w:rPr>
          <w:rFonts w:asciiTheme="minorHAnsi" w:eastAsia="Times New Roman" w:hAnsiTheme="minorHAnsi"/>
          <w:smallCaps/>
          <w:noProof/>
        </w:rPr>
        <w:t>3</w:t>
      </w:r>
    </w:p>
    <w:p w14:paraId="4F75C77C" w14:textId="32655288"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A.6</w:t>
      </w:r>
      <w:r w:rsidRPr="00CC21CA">
        <w:rPr>
          <w:rFonts w:asciiTheme="minorHAnsi" w:eastAsia="Times New Roman" w:hAnsiTheme="minorHAnsi"/>
          <w:smallCaps/>
          <w:noProof/>
        </w:rPr>
        <w:tab/>
        <w:t>Consequences of Collecting the Information Less Frequently</w:t>
      </w:r>
      <w:r w:rsidRPr="00CC21CA">
        <w:rPr>
          <w:rFonts w:asciiTheme="minorHAnsi" w:eastAsia="Times New Roman" w:hAnsiTheme="minorHAnsi"/>
          <w:smallCaps/>
          <w:noProof/>
        </w:rPr>
        <w:tab/>
      </w:r>
      <w:r w:rsidR="001A7D17">
        <w:rPr>
          <w:rFonts w:asciiTheme="minorHAnsi" w:eastAsia="Times New Roman" w:hAnsiTheme="minorHAnsi"/>
          <w:smallCaps/>
          <w:noProof/>
        </w:rPr>
        <w:t>3</w:t>
      </w:r>
    </w:p>
    <w:p w14:paraId="7472CCC4" w14:textId="583CB753"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A.7</w:t>
      </w:r>
      <w:r w:rsidRPr="00CC21CA">
        <w:rPr>
          <w:rFonts w:asciiTheme="minorHAnsi" w:eastAsia="Times New Roman" w:hAnsiTheme="minorHAnsi"/>
          <w:smallCaps/>
          <w:noProof/>
        </w:rPr>
        <w:tab/>
        <w:t>Special Circumstances Relating to the Guidelines of 5 CFR 1320.5</w:t>
      </w:r>
      <w:r w:rsidRPr="00CC21CA">
        <w:rPr>
          <w:rFonts w:asciiTheme="minorHAnsi" w:eastAsia="Times New Roman" w:hAnsiTheme="minorHAnsi"/>
          <w:smallCaps/>
          <w:noProof/>
        </w:rPr>
        <w:tab/>
      </w:r>
      <w:r w:rsidR="00F43D22">
        <w:rPr>
          <w:rFonts w:asciiTheme="minorHAnsi" w:eastAsia="Times New Roman" w:hAnsiTheme="minorHAnsi"/>
          <w:smallCaps/>
          <w:noProof/>
        </w:rPr>
        <w:t>4</w:t>
      </w:r>
    </w:p>
    <w:p w14:paraId="73266A8B" w14:textId="5B6BCE80"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A.8</w:t>
      </w:r>
      <w:r w:rsidRPr="00CC21CA">
        <w:rPr>
          <w:rFonts w:asciiTheme="minorHAnsi" w:eastAsia="Times New Roman" w:hAnsiTheme="minorHAnsi"/>
          <w:smallCaps/>
          <w:noProof/>
        </w:rPr>
        <w:tab/>
        <w:t>Comments in Response to the Federal Register Notice and Efforts to Consult Outside Agency</w:t>
      </w:r>
      <w:r w:rsidRPr="00CC21CA">
        <w:rPr>
          <w:rFonts w:asciiTheme="minorHAnsi" w:eastAsia="Times New Roman" w:hAnsiTheme="minorHAnsi"/>
          <w:smallCaps/>
          <w:noProof/>
        </w:rPr>
        <w:tab/>
      </w:r>
      <w:r w:rsidR="00F43D22">
        <w:rPr>
          <w:rFonts w:asciiTheme="minorHAnsi" w:eastAsia="Times New Roman" w:hAnsiTheme="minorHAnsi"/>
          <w:smallCaps/>
          <w:noProof/>
        </w:rPr>
        <w:t>4</w:t>
      </w:r>
    </w:p>
    <w:p w14:paraId="23D2538E" w14:textId="48F21268"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A.9</w:t>
      </w:r>
      <w:r w:rsidRPr="00CC21CA">
        <w:rPr>
          <w:rFonts w:asciiTheme="minorHAnsi" w:eastAsia="Times New Roman" w:hAnsiTheme="minorHAnsi"/>
          <w:smallCaps/>
          <w:noProof/>
        </w:rPr>
        <w:tab/>
        <w:t>Explanation of Any Payment of Gift to Respondents</w:t>
      </w:r>
      <w:r w:rsidRPr="00CC21CA">
        <w:rPr>
          <w:rFonts w:asciiTheme="minorHAnsi" w:eastAsia="Times New Roman" w:hAnsiTheme="minorHAnsi"/>
          <w:smallCaps/>
          <w:noProof/>
        </w:rPr>
        <w:tab/>
      </w:r>
      <w:r w:rsidR="00F43D22">
        <w:rPr>
          <w:rFonts w:asciiTheme="minorHAnsi" w:eastAsia="Times New Roman" w:hAnsiTheme="minorHAnsi"/>
          <w:smallCaps/>
          <w:noProof/>
        </w:rPr>
        <w:t>4</w:t>
      </w:r>
    </w:p>
    <w:p w14:paraId="56DC2834" w14:textId="1633929F"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A.10</w:t>
      </w:r>
      <w:r w:rsidRPr="00CC21CA">
        <w:rPr>
          <w:rFonts w:asciiTheme="minorHAnsi" w:eastAsia="Times New Roman" w:hAnsiTheme="minorHAnsi"/>
          <w:smallCaps/>
          <w:noProof/>
        </w:rPr>
        <w:tab/>
        <w:t>Assurance of Confidentiality Provided to Respondents</w:t>
      </w:r>
      <w:r w:rsidRPr="00CC21CA">
        <w:rPr>
          <w:rFonts w:asciiTheme="minorHAnsi" w:eastAsia="Times New Roman" w:hAnsiTheme="minorHAnsi"/>
          <w:smallCaps/>
          <w:noProof/>
        </w:rPr>
        <w:tab/>
      </w:r>
      <w:r w:rsidR="00F43D22">
        <w:rPr>
          <w:rFonts w:asciiTheme="minorHAnsi" w:eastAsia="Times New Roman" w:hAnsiTheme="minorHAnsi"/>
          <w:smallCaps/>
          <w:noProof/>
        </w:rPr>
        <w:t>4</w:t>
      </w:r>
    </w:p>
    <w:p w14:paraId="56FF46E1" w14:textId="3EA8CC66"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A.11</w:t>
      </w:r>
      <w:r w:rsidRPr="00CC21CA">
        <w:rPr>
          <w:rFonts w:asciiTheme="minorHAnsi" w:eastAsia="Times New Roman" w:hAnsiTheme="minorHAnsi"/>
          <w:smallCaps/>
          <w:noProof/>
        </w:rPr>
        <w:tab/>
        <w:t>Justification for Sensitive Questions</w:t>
      </w:r>
      <w:r w:rsidRPr="00CC21CA">
        <w:rPr>
          <w:rFonts w:asciiTheme="minorHAnsi" w:eastAsia="Times New Roman" w:hAnsiTheme="minorHAnsi"/>
          <w:smallCaps/>
          <w:noProof/>
        </w:rPr>
        <w:tab/>
      </w:r>
      <w:r w:rsidR="001A7E2C">
        <w:rPr>
          <w:rFonts w:asciiTheme="minorHAnsi" w:eastAsia="Times New Roman" w:hAnsiTheme="minorHAnsi"/>
          <w:smallCaps/>
          <w:noProof/>
        </w:rPr>
        <w:t>4</w:t>
      </w:r>
    </w:p>
    <w:p w14:paraId="1A4F0679" w14:textId="23532E80"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A.12</w:t>
      </w:r>
      <w:r w:rsidRPr="00CC21CA">
        <w:rPr>
          <w:rFonts w:asciiTheme="minorHAnsi" w:eastAsia="Times New Roman" w:hAnsiTheme="minorHAnsi"/>
          <w:smallCaps/>
          <w:noProof/>
        </w:rPr>
        <w:tab/>
        <w:t>Estimates of Hour Burden Including Annualized Hourly Costs</w:t>
      </w:r>
      <w:r w:rsidRPr="00CC21CA">
        <w:rPr>
          <w:rFonts w:asciiTheme="minorHAnsi" w:eastAsia="Times New Roman" w:hAnsiTheme="minorHAnsi"/>
          <w:smallCaps/>
          <w:noProof/>
        </w:rPr>
        <w:tab/>
      </w:r>
      <w:r w:rsidR="001A7E2C">
        <w:rPr>
          <w:rFonts w:asciiTheme="minorHAnsi" w:eastAsia="Times New Roman" w:hAnsiTheme="minorHAnsi"/>
          <w:smallCaps/>
          <w:noProof/>
        </w:rPr>
        <w:t>4</w:t>
      </w:r>
    </w:p>
    <w:p w14:paraId="64B8168A" w14:textId="77777777"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A.13</w:t>
      </w:r>
      <w:r w:rsidRPr="00CC21CA">
        <w:rPr>
          <w:rFonts w:asciiTheme="minorHAnsi" w:eastAsia="Times New Roman" w:hAnsiTheme="minorHAnsi"/>
          <w:smallCaps/>
          <w:noProof/>
        </w:rPr>
        <w:tab/>
        <w:t>Estimate of Other Total Annual Cost Burden to Respondents or Record</w:t>
      </w:r>
    </w:p>
    <w:p w14:paraId="05458A06" w14:textId="29E212F1"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b/>
        <w:t xml:space="preserve"> keepers</w:t>
      </w:r>
      <w:r w:rsidRPr="00CC21CA">
        <w:rPr>
          <w:rFonts w:asciiTheme="minorHAnsi" w:eastAsia="Times New Roman" w:hAnsiTheme="minorHAnsi"/>
          <w:smallCaps/>
          <w:noProof/>
        </w:rPr>
        <w:tab/>
      </w:r>
      <w:r w:rsidR="001A7E2C">
        <w:rPr>
          <w:rFonts w:asciiTheme="minorHAnsi" w:eastAsia="Times New Roman" w:hAnsiTheme="minorHAnsi"/>
          <w:smallCaps/>
          <w:noProof/>
        </w:rPr>
        <w:t>5</w:t>
      </w:r>
    </w:p>
    <w:p w14:paraId="57CCAC25" w14:textId="73F89D6F"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A.14</w:t>
      </w:r>
      <w:r w:rsidRPr="00CC21CA">
        <w:rPr>
          <w:rFonts w:asciiTheme="minorHAnsi" w:eastAsia="Times New Roman" w:hAnsiTheme="minorHAnsi"/>
          <w:smallCaps/>
          <w:noProof/>
        </w:rPr>
        <w:tab/>
        <w:t>Annualized Cost to the Federal Government</w:t>
      </w:r>
      <w:r w:rsidRPr="00CC21CA">
        <w:rPr>
          <w:rFonts w:asciiTheme="minorHAnsi" w:eastAsia="Times New Roman" w:hAnsiTheme="minorHAnsi"/>
          <w:smallCaps/>
          <w:noProof/>
        </w:rPr>
        <w:tab/>
      </w:r>
      <w:r w:rsidR="001A7E2C">
        <w:rPr>
          <w:rFonts w:asciiTheme="minorHAnsi" w:eastAsia="Times New Roman" w:hAnsiTheme="minorHAnsi"/>
          <w:smallCaps/>
          <w:noProof/>
        </w:rPr>
        <w:t>5</w:t>
      </w:r>
    </w:p>
    <w:p w14:paraId="61F4E879" w14:textId="531CBDCA"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A.15</w:t>
      </w:r>
      <w:r w:rsidRPr="00CC21CA">
        <w:rPr>
          <w:rFonts w:asciiTheme="minorHAnsi" w:eastAsia="Times New Roman" w:hAnsiTheme="minorHAnsi"/>
          <w:smallCaps/>
          <w:noProof/>
        </w:rPr>
        <w:tab/>
        <w:t>Explanation for Program Changes or Adjustments</w:t>
      </w:r>
      <w:r w:rsidRPr="00CC21CA">
        <w:rPr>
          <w:rFonts w:asciiTheme="minorHAnsi" w:eastAsia="Times New Roman" w:hAnsiTheme="minorHAnsi"/>
          <w:smallCaps/>
          <w:noProof/>
        </w:rPr>
        <w:tab/>
      </w:r>
      <w:r w:rsidR="00F43D22">
        <w:rPr>
          <w:rFonts w:asciiTheme="minorHAnsi" w:eastAsia="Times New Roman" w:hAnsiTheme="minorHAnsi"/>
          <w:smallCaps/>
          <w:noProof/>
        </w:rPr>
        <w:t>6</w:t>
      </w:r>
    </w:p>
    <w:p w14:paraId="0B874C6B" w14:textId="5B4AF1B3"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A.16</w:t>
      </w:r>
      <w:r w:rsidRPr="00CC21CA">
        <w:rPr>
          <w:rFonts w:asciiTheme="minorHAnsi" w:eastAsia="Times New Roman" w:hAnsiTheme="minorHAnsi"/>
          <w:smallCaps/>
          <w:noProof/>
        </w:rPr>
        <w:tab/>
        <w:t>Plans for Tabulation and Publication and Project Time Schedule</w:t>
      </w:r>
      <w:r w:rsidRPr="00CC21CA">
        <w:rPr>
          <w:rFonts w:asciiTheme="minorHAnsi" w:eastAsia="Times New Roman" w:hAnsiTheme="minorHAnsi"/>
          <w:smallCaps/>
          <w:noProof/>
        </w:rPr>
        <w:tab/>
      </w:r>
      <w:r w:rsidR="00F43D22">
        <w:rPr>
          <w:rFonts w:asciiTheme="minorHAnsi" w:eastAsia="Times New Roman" w:hAnsiTheme="minorHAnsi"/>
          <w:smallCaps/>
          <w:noProof/>
        </w:rPr>
        <w:t>6</w:t>
      </w:r>
    </w:p>
    <w:p w14:paraId="608B4BE8" w14:textId="3B521707"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A.17</w:t>
      </w:r>
      <w:r w:rsidRPr="00CC21CA">
        <w:rPr>
          <w:rFonts w:asciiTheme="minorHAnsi" w:eastAsia="Times New Roman" w:hAnsiTheme="minorHAnsi"/>
          <w:smallCaps/>
          <w:noProof/>
        </w:rPr>
        <w:tab/>
        <w:t>Reason(s) Display of OMB Expiration Date is Inappropriate</w:t>
      </w:r>
      <w:r w:rsidRPr="00CC21CA">
        <w:rPr>
          <w:rFonts w:asciiTheme="minorHAnsi" w:eastAsia="Times New Roman" w:hAnsiTheme="minorHAnsi"/>
          <w:smallCaps/>
          <w:noProof/>
        </w:rPr>
        <w:tab/>
      </w:r>
      <w:r w:rsidR="00A260C4">
        <w:rPr>
          <w:rFonts w:asciiTheme="minorHAnsi" w:eastAsia="Times New Roman" w:hAnsiTheme="minorHAnsi"/>
          <w:smallCaps/>
          <w:noProof/>
        </w:rPr>
        <w:t>6</w:t>
      </w:r>
    </w:p>
    <w:p w14:paraId="5AEBF578" w14:textId="5342E63C" w:rsidR="00CC21CA" w:rsidRPr="00CC21CA" w:rsidRDefault="00CC21CA" w:rsidP="00CC21CA">
      <w:pPr>
        <w:tabs>
          <w:tab w:val="left" w:pos="720"/>
          <w:tab w:val="right" w:leader="dot" w:pos="9494"/>
        </w:tabs>
        <w:spacing w:before="120" w:after="120" w:line="240" w:lineRule="atLeast"/>
        <w:ind w:left="720" w:hanging="720"/>
        <w:rPr>
          <w:rFonts w:asciiTheme="minorHAnsi" w:eastAsia="Times New Roman" w:hAnsiTheme="minorHAnsi"/>
          <w:smallCaps/>
          <w:noProof/>
        </w:rPr>
      </w:pPr>
      <w:r w:rsidRPr="00CC21CA">
        <w:rPr>
          <w:rFonts w:asciiTheme="minorHAnsi" w:eastAsia="Times New Roman" w:hAnsiTheme="minorHAnsi"/>
          <w:smallCaps/>
          <w:noProof/>
        </w:rPr>
        <w:t>A.18</w:t>
      </w:r>
      <w:r w:rsidRPr="00CC21CA">
        <w:rPr>
          <w:rFonts w:asciiTheme="minorHAnsi" w:eastAsia="Times New Roman" w:hAnsiTheme="minorHAnsi"/>
          <w:smallCaps/>
          <w:noProof/>
        </w:rPr>
        <w:tab/>
        <w:t>Exceptions to Certification for Paperwork Reduction Act Submissions</w:t>
      </w:r>
      <w:r w:rsidRPr="00CC21CA">
        <w:rPr>
          <w:rFonts w:asciiTheme="minorHAnsi" w:eastAsia="Times New Roman" w:hAnsiTheme="minorHAnsi"/>
          <w:smallCaps/>
          <w:noProof/>
        </w:rPr>
        <w:tab/>
      </w:r>
      <w:r w:rsidR="00A260C4">
        <w:rPr>
          <w:rFonts w:asciiTheme="minorHAnsi" w:eastAsia="Times New Roman" w:hAnsiTheme="minorHAnsi"/>
          <w:smallCaps/>
          <w:noProof/>
        </w:rPr>
        <w:t>6</w:t>
      </w:r>
    </w:p>
    <w:p w14:paraId="2934F5E8" w14:textId="4E901C0D" w:rsidR="00CC21CA" w:rsidRPr="00CC21CA" w:rsidRDefault="00CC21CA" w:rsidP="00CC21CA">
      <w:pPr>
        <w:spacing w:after="0" w:line="240" w:lineRule="auto"/>
        <w:rPr>
          <w:rFonts w:asciiTheme="minorHAnsi" w:eastAsia="Times New Roman" w:hAnsiTheme="minorHAnsi"/>
          <w:caps/>
          <w:noProof/>
        </w:rPr>
      </w:pPr>
      <w:r w:rsidRPr="00CC21CA">
        <w:rPr>
          <w:rFonts w:asciiTheme="minorHAnsi" w:eastAsia="Times New Roman" w:hAnsiTheme="minorHAnsi"/>
        </w:rPr>
        <w:fldChar w:fldCharType="end"/>
      </w:r>
      <w:r w:rsidR="00312295">
        <w:rPr>
          <w:rFonts w:asciiTheme="minorHAnsi" w:eastAsia="Times New Roman" w:hAnsiTheme="minorHAnsi"/>
        </w:rPr>
        <w:t xml:space="preserve"> </w:t>
      </w:r>
    </w:p>
    <w:p w14:paraId="6FCA7BAD" w14:textId="77777777" w:rsidR="00CC21CA" w:rsidRPr="00CC21CA" w:rsidRDefault="00CC21CA" w:rsidP="00CC21CA">
      <w:pPr>
        <w:spacing w:after="0" w:line="240" w:lineRule="auto"/>
        <w:rPr>
          <w:rFonts w:asciiTheme="minorHAnsi" w:eastAsia="Times New Roman" w:hAnsiTheme="minorHAnsi"/>
          <w:b/>
          <w:caps/>
          <w:noProof/>
        </w:rPr>
      </w:pPr>
      <w:r w:rsidRPr="00CC21CA">
        <w:rPr>
          <w:rFonts w:asciiTheme="minorHAnsi" w:eastAsia="Times New Roman" w:hAnsiTheme="minorHAnsi"/>
          <w:b/>
          <w:caps/>
          <w:noProof/>
        </w:rPr>
        <w:t xml:space="preserve">List of Attachments: </w:t>
      </w:r>
    </w:p>
    <w:p w14:paraId="45F7971B" w14:textId="77777777" w:rsidR="00CC21CA" w:rsidRPr="00CC21CA" w:rsidRDefault="00CC21CA" w:rsidP="00CC21CA">
      <w:pPr>
        <w:spacing w:after="0" w:line="240" w:lineRule="auto"/>
        <w:rPr>
          <w:rFonts w:asciiTheme="minorHAnsi" w:eastAsia="Times New Roman" w:hAnsiTheme="minorHAnsi"/>
        </w:rPr>
      </w:pPr>
    </w:p>
    <w:p w14:paraId="753E2C5C" w14:textId="0F11E5F7" w:rsidR="00CC21CA" w:rsidRDefault="00115E7E" w:rsidP="00CC21CA">
      <w:pPr>
        <w:spacing w:after="0" w:line="240" w:lineRule="auto"/>
        <w:rPr>
          <w:rFonts w:asciiTheme="minorHAnsi" w:eastAsia="Times New Roman" w:hAnsiTheme="minorHAnsi"/>
        </w:rPr>
      </w:pPr>
      <w:r w:rsidRPr="00115E7E">
        <w:rPr>
          <w:rFonts w:asciiTheme="minorHAnsi" w:eastAsia="Times New Roman" w:hAnsiTheme="minorHAnsi"/>
        </w:rPr>
        <w:t xml:space="preserve">Attachment </w:t>
      </w:r>
      <w:r w:rsidR="007E1C6C">
        <w:rPr>
          <w:rFonts w:asciiTheme="minorHAnsi" w:eastAsia="Times New Roman" w:hAnsiTheme="minorHAnsi"/>
        </w:rPr>
        <w:t>1</w:t>
      </w:r>
      <w:r w:rsidR="00DE2957">
        <w:rPr>
          <w:rFonts w:asciiTheme="minorHAnsi" w:eastAsia="Times New Roman" w:hAnsiTheme="minorHAnsi"/>
        </w:rPr>
        <w:t>-</w:t>
      </w:r>
      <w:r w:rsidR="007E1C6C">
        <w:rPr>
          <w:rFonts w:asciiTheme="minorHAnsi" w:eastAsia="Times New Roman" w:hAnsiTheme="minorHAnsi"/>
        </w:rPr>
        <w:t xml:space="preserve"> </w:t>
      </w:r>
      <w:r w:rsidRPr="00115E7E">
        <w:rPr>
          <w:rFonts w:asciiTheme="minorHAnsi" w:eastAsia="Times New Roman" w:hAnsiTheme="minorHAnsi"/>
        </w:rPr>
        <w:t xml:space="preserve">NLM ACA Survey Instrument </w:t>
      </w:r>
    </w:p>
    <w:p w14:paraId="547B47D4" w14:textId="3FF012A9" w:rsidR="006C68D7" w:rsidRPr="00EB720C" w:rsidRDefault="006C68D7" w:rsidP="00CC21CA">
      <w:pPr>
        <w:spacing w:after="0" w:line="240" w:lineRule="auto"/>
        <w:rPr>
          <w:rFonts w:asciiTheme="minorHAnsi" w:eastAsia="Times New Roman" w:hAnsiTheme="minorHAnsi"/>
        </w:rPr>
      </w:pPr>
      <w:r w:rsidRPr="00EB720C">
        <w:rPr>
          <w:rFonts w:asciiTheme="minorHAnsi" w:eastAsia="Times New Roman" w:hAnsiTheme="minorHAnsi"/>
        </w:rPr>
        <w:t xml:space="preserve">Attachment </w:t>
      </w:r>
      <w:r w:rsidR="007E1C6C">
        <w:rPr>
          <w:rFonts w:asciiTheme="minorHAnsi" w:eastAsia="Times New Roman" w:hAnsiTheme="minorHAnsi"/>
        </w:rPr>
        <w:t>2</w:t>
      </w:r>
      <w:r w:rsidRPr="00EB720C">
        <w:rPr>
          <w:rFonts w:asciiTheme="minorHAnsi" w:eastAsia="Times New Roman" w:hAnsiTheme="minorHAnsi"/>
        </w:rPr>
        <w:t xml:space="preserve">- </w:t>
      </w:r>
      <w:r w:rsidR="007E1C6C">
        <w:rPr>
          <w:rFonts w:asciiTheme="minorHAnsi" w:eastAsia="Times New Roman" w:hAnsiTheme="minorHAnsi"/>
        </w:rPr>
        <w:t xml:space="preserve">NLM ACA </w:t>
      </w:r>
      <w:r w:rsidRPr="00EB720C">
        <w:rPr>
          <w:rFonts w:asciiTheme="minorHAnsi" w:eastAsia="Times New Roman" w:hAnsiTheme="minorHAnsi"/>
        </w:rPr>
        <w:t xml:space="preserve">60-day Comment Tracking Log </w:t>
      </w:r>
    </w:p>
    <w:p w14:paraId="55607766" w14:textId="3F5D195E" w:rsidR="006C68D7" w:rsidRPr="00EB720C" w:rsidRDefault="006C68D7" w:rsidP="006C68D7">
      <w:pPr>
        <w:spacing w:after="0" w:line="240" w:lineRule="auto"/>
        <w:rPr>
          <w:rFonts w:asciiTheme="minorHAnsi" w:eastAsia="Times New Roman" w:hAnsiTheme="minorHAnsi"/>
        </w:rPr>
      </w:pPr>
      <w:r w:rsidRPr="00EB720C">
        <w:rPr>
          <w:rFonts w:asciiTheme="minorHAnsi" w:eastAsia="Times New Roman" w:hAnsiTheme="minorHAnsi"/>
        </w:rPr>
        <w:t xml:space="preserve">Attachment </w:t>
      </w:r>
      <w:r w:rsidR="007E1C6C">
        <w:rPr>
          <w:rFonts w:asciiTheme="minorHAnsi" w:eastAsia="Times New Roman" w:hAnsiTheme="minorHAnsi"/>
        </w:rPr>
        <w:t>3</w:t>
      </w:r>
      <w:r w:rsidRPr="00EB720C">
        <w:rPr>
          <w:rFonts w:asciiTheme="minorHAnsi" w:eastAsia="Times New Roman" w:hAnsiTheme="minorHAnsi"/>
        </w:rPr>
        <w:t xml:space="preserve">- </w:t>
      </w:r>
      <w:r w:rsidR="003C5C48" w:rsidRPr="003C5C48">
        <w:rPr>
          <w:rFonts w:asciiTheme="minorHAnsi" w:eastAsia="Times New Roman" w:hAnsiTheme="minorHAnsi"/>
        </w:rPr>
        <w:t>60-day comment submission from ALA</w:t>
      </w:r>
    </w:p>
    <w:p w14:paraId="7B619444" w14:textId="7808BE46" w:rsidR="0022547A" w:rsidRPr="00EB720C" w:rsidRDefault="0022547A" w:rsidP="006C68D7">
      <w:pPr>
        <w:spacing w:after="0" w:line="240" w:lineRule="auto"/>
        <w:rPr>
          <w:rFonts w:asciiTheme="minorHAnsi" w:eastAsia="Times New Roman" w:hAnsiTheme="minorHAnsi"/>
        </w:rPr>
      </w:pPr>
      <w:r w:rsidRPr="00EB720C">
        <w:rPr>
          <w:rFonts w:asciiTheme="minorHAnsi" w:eastAsia="Times New Roman" w:hAnsiTheme="minorHAnsi"/>
        </w:rPr>
        <w:t xml:space="preserve">Attachment </w:t>
      </w:r>
      <w:r w:rsidR="007E1C6C">
        <w:rPr>
          <w:rFonts w:asciiTheme="minorHAnsi" w:eastAsia="Times New Roman" w:hAnsiTheme="minorHAnsi"/>
        </w:rPr>
        <w:t>4</w:t>
      </w:r>
      <w:r w:rsidRPr="00EB720C">
        <w:rPr>
          <w:rFonts w:asciiTheme="minorHAnsi" w:eastAsia="Times New Roman" w:hAnsiTheme="minorHAnsi"/>
        </w:rPr>
        <w:t xml:space="preserve">- </w:t>
      </w:r>
      <w:r w:rsidR="007E1C6C">
        <w:rPr>
          <w:rFonts w:asciiTheme="minorHAnsi" w:eastAsia="Times New Roman" w:hAnsiTheme="minorHAnsi"/>
        </w:rPr>
        <w:t xml:space="preserve">NLM ACA </w:t>
      </w:r>
      <w:r w:rsidR="003C5C48" w:rsidRPr="003C5C48">
        <w:rPr>
          <w:rFonts w:asciiTheme="minorHAnsi" w:eastAsia="Times New Roman" w:hAnsiTheme="minorHAnsi"/>
        </w:rPr>
        <w:t>30-day Federal Register Notice</w:t>
      </w:r>
    </w:p>
    <w:p w14:paraId="187F65BD" w14:textId="4A9F1E76" w:rsidR="006C68D7" w:rsidRPr="00CC21CA" w:rsidRDefault="006C68D7" w:rsidP="00CC21CA">
      <w:pPr>
        <w:spacing w:after="0" w:line="240" w:lineRule="auto"/>
        <w:rPr>
          <w:rFonts w:ascii="Times New Roman" w:eastAsia="Times New Roman" w:hAnsi="Times New Roman"/>
          <w:sz w:val="20"/>
          <w:szCs w:val="20"/>
        </w:rPr>
      </w:pPr>
    </w:p>
    <w:p w14:paraId="4C6186FE" w14:textId="739280C2" w:rsidR="00E35DD1" w:rsidRDefault="00E35DD1" w:rsidP="00CC21CA">
      <w:pPr>
        <w:pStyle w:val="P1-StandPara"/>
        <w:tabs>
          <w:tab w:val="left" w:pos="720"/>
          <w:tab w:val="right" w:leader="dot" w:pos="9504"/>
        </w:tabs>
        <w:spacing w:before="120" w:after="120"/>
        <w:ind w:firstLine="0"/>
        <w:rPr>
          <w:rFonts w:ascii="Calibri" w:hAnsi="Calibri"/>
          <w:szCs w:val="22"/>
        </w:rPr>
      </w:pPr>
    </w:p>
    <w:p w14:paraId="1B14AA3C" w14:textId="77777777" w:rsidR="00115E7E" w:rsidRDefault="00115E7E" w:rsidP="00E35DD1">
      <w:pPr>
        <w:pStyle w:val="P1-StandPara"/>
        <w:tabs>
          <w:tab w:val="left" w:pos="720"/>
          <w:tab w:val="right" w:leader="dot" w:pos="9504"/>
        </w:tabs>
        <w:spacing w:before="120" w:after="120"/>
        <w:rPr>
          <w:rFonts w:ascii="Calibri" w:hAnsi="Calibri"/>
          <w:szCs w:val="22"/>
        </w:rPr>
      </w:pPr>
    </w:p>
    <w:p w14:paraId="37E158D4" w14:textId="77777777" w:rsidR="0011709C" w:rsidRPr="008942E9" w:rsidRDefault="0011709C" w:rsidP="00E35DD1">
      <w:pPr>
        <w:pStyle w:val="P1-StandPara"/>
        <w:tabs>
          <w:tab w:val="left" w:pos="720"/>
          <w:tab w:val="right" w:leader="dot" w:pos="9504"/>
        </w:tabs>
        <w:spacing w:before="120" w:after="120"/>
        <w:rPr>
          <w:rFonts w:ascii="Calibri" w:hAnsi="Calibri"/>
          <w:szCs w:val="22"/>
        </w:rPr>
      </w:pPr>
    </w:p>
    <w:p w14:paraId="24830D53" w14:textId="77777777" w:rsidR="006A45F9" w:rsidRDefault="006A45F9" w:rsidP="00BE76A7">
      <w:pPr>
        <w:pStyle w:val="P1-StandPara"/>
        <w:tabs>
          <w:tab w:val="left" w:pos="720"/>
          <w:tab w:val="right" w:leader="dot" w:pos="9504"/>
        </w:tabs>
        <w:spacing w:before="120" w:after="120" w:line="240" w:lineRule="auto"/>
        <w:ind w:firstLine="0"/>
        <w:rPr>
          <w:rFonts w:ascii="Calibri" w:hAnsi="Calibri"/>
          <w:b/>
          <w:szCs w:val="22"/>
        </w:rPr>
      </w:pPr>
      <w:r w:rsidRPr="00722859">
        <w:rPr>
          <w:rFonts w:ascii="Calibri" w:hAnsi="Calibri"/>
          <w:b/>
          <w:szCs w:val="22"/>
        </w:rPr>
        <w:t xml:space="preserve">A. </w:t>
      </w:r>
      <w:r w:rsidR="00BE76A7" w:rsidRPr="00722859">
        <w:rPr>
          <w:rFonts w:ascii="Calibri" w:hAnsi="Calibri"/>
          <w:b/>
          <w:szCs w:val="22"/>
        </w:rPr>
        <w:t>Justification</w:t>
      </w:r>
    </w:p>
    <w:p w14:paraId="410F2D33" w14:textId="77777777" w:rsidR="00361E3C" w:rsidRPr="008942E9" w:rsidRDefault="00361E3C" w:rsidP="00BE76A7">
      <w:pPr>
        <w:pStyle w:val="P1-StandPara"/>
        <w:tabs>
          <w:tab w:val="left" w:pos="720"/>
          <w:tab w:val="right" w:leader="dot" w:pos="9504"/>
        </w:tabs>
        <w:spacing w:before="120" w:after="120" w:line="240" w:lineRule="auto"/>
        <w:ind w:firstLine="0"/>
        <w:rPr>
          <w:rFonts w:ascii="Calibri" w:hAnsi="Calibri"/>
          <w:szCs w:val="22"/>
        </w:rPr>
      </w:pPr>
    </w:p>
    <w:p w14:paraId="506C3654" w14:textId="77777777" w:rsidR="000F3043" w:rsidRPr="00722859" w:rsidRDefault="000F3043" w:rsidP="000F3043">
      <w:pPr>
        <w:pStyle w:val="P1-StandPara"/>
        <w:tabs>
          <w:tab w:val="left" w:pos="720"/>
          <w:tab w:val="right" w:leader="dot" w:pos="9504"/>
        </w:tabs>
        <w:spacing w:before="120" w:after="120"/>
        <w:ind w:firstLine="0"/>
        <w:rPr>
          <w:rFonts w:ascii="Calibri" w:hAnsi="Calibri"/>
          <w:b/>
          <w:szCs w:val="22"/>
        </w:rPr>
      </w:pPr>
      <w:r w:rsidRPr="00722859">
        <w:rPr>
          <w:rFonts w:ascii="Calibri" w:hAnsi="Calibri"/>
          <w:b/>
          <w:szCs w:val="22"/>
        </w:rPr>
        <w:t>A.1</w:t>
      </w:r>
      <w:r w:rsidRPr="00722859">
        <w:rPr>
          <w:rFonts w:ascii="Calibri" w:hAnsi="Calibri"/>
          <w:b/>
          <w:szCs w:val="22"/>
        </w:rPr>
        <w:tab/>
        <w:t>Circumstances Making the Collection of Information Necessary</w:t>
      </w:r>
    </w:p>
    <w:p w14:paraId="4AB43E0A" w14:textId="77777777" w:rsidR="00A82734" w:rsidRDefault="00A82734" w:rsidP="00A82734">
      <w:bookmarkStart w:id="1" w:name="_Toc443881743"/>
      <w:bookmarkStart w:id="2" w:name="_Toc451592232"/>
      <w:bookmarkStart w:id="3" w:name="_Toc5610273"/>
      <w:bookmarkStart w:id="4" w:name="_Toc99178779"/>
      <w:r>
        <w:t>NLM is legislatively mandated by 42 USC 286 to assist the advancement of medical and related sciences and to aid the dissemination and exchange of scientific and other information important to the progress of medicine and to the public health. This mandate specifically directs the NLM to promote the use of computers and telecommunications by health professionals (including health professionals in rural areas) for the purpose of improving access to biomedical information for health care delivery and medical research.</w:t>
      </w:r>
    </w:p>
    <w:p w14:paraId="7FBCD85A" w14:textId="77777777" w:rsidR="00A82734" w:rsidRDefault="00A82734" w:rsidP="00A82734">
      <w:r>
        <w:t>In 1994, the NLM was designated a "Federal Reinvention Laboratory" with a major objective of improving its methods of delivering information to the public.  At a minimum, necessary elements in improving the delivery of information include; (1) development of easy-to-use access and delivery mechanisms that promote the public's understanding of health information, drawing on research in lay terminology, graphical and multimedia presentations;   (2) assisting those providing health information to the public to make effective use of electronic services through Internet connections, training, and other means, with an emphasis on those serving low income populations and seniors;  (3) promoting integrations of NLM services with other electronic services covering regional, state, or local health information; and  (4) conducting and supporting research, development, and evaluation of the public's health information needs, information seeking behavior and learning styles, information systems that meet the public's needs, and the impact of access to information.</w:t>
      </w:r>
    </w:p>
    <w:p w14:paraId="68146D5D" w14:textId="0210D227" w:rsidR="00B0581C" w:rsidRDefault="00361E3C" w:rsidP="00361E3C">
      <w:r w:rsidRPr="00D85136">
        <w:t xml:space="preserve">The purpose of the proposed data collection is to conduct an online </w:t>
      </w:r>
      <w:r>
        <w:t xml:space="preserve">national anonymous </w:t>
      </w:r>
      <w:r w:rsidRPr="00D85136">
        <w:t xml:space="preserve">survey </w:t>
      </w:r>
      <w:r>
        <w:t xml:space="preserve">of library staff </w:t>
      </w:r>
      <w:r w:rsidRPr="00D85136">
        <w:t>to better understand</w:t>
      </w:r>
      <w:r>
        <w:t xml:space="preserve"> </w:t>
      </w:r>
      <w:r w:rsidRPr="00D85136">
        <w:t xml:space="preserve">challenges and successes </w:t>
      </w:r>
      <w:r>
        <w:t xml:space="preserve">of </w:t>
      </w:r>
      <w:r w:rsidRPr="009A619D">
        <w:t>Patient Protection and Affordable Care Act (PPACA)</w:t>
      </w:r>
      <w:r>
        <w:t xml:space="preserve"> </w:t>
      </w:r>
      <w:r w:rsidR="003B748E">
        <w:t>[</w:t>
      </w:r>
      <w:r w:rsidR="003B748E" w:rsidRPr="00E45133">
        <w:t>Pub. L. No. 111-148, 124 Stat. 119, as amended by the Health Care and Education Reconciliation Act of 2010, H.R. 4872, 111th Cong. § 1106, Pub. L. No. 111-152, 124 Stat. 1029</w:t>
      </w:r>
      <w:r w:rsidR="003B748E">
        <w:t>]</w:t>
      </w:r>
      <w:r w:rsidR="003B748E" w:rsidRPr="00E45133">
        <w:t xml:space="preserve"> </w:t>
      </w:r>
      <w:r>
        <w:t xml:space="preserve">information provision in public libraries. </w:t>
      </w:r>
      <w:r w:rsidRPr="009A619D">
        <w:t>Public libraries have been identified as a key resource for public in</w:t>
      </w:r>
      <w:r>
        <w:t>formation about the PPACA</w:t>
      </w:r>
      <w:r w:rsidRPr="009A619D">
        <w:t xml:space="preserve">, which </w:t>
      </w:r>
      <w:r>
        <w:t xml:space="preserve">took </w:t>
      </w:r>
      <w:r w:rsidRPr="009A619D">
        <w:t>full effect on October 1, 2013.</w:t>
      </w:r>
      <w:r>
        <w:t xml:space="preserve"> Public library staff received limited training about PPACA-related resources, and, at the present, r</w:t>
      </w:r>
      <w:r w:rsidRPr="009A619D">
        <w:t xml:space="preserve">esearch and funding into the challenges </w:t>
      </w:r>
      <w:r>
        <w:t>of such information provision are almost nonexistent. This survey will be sent to a national sample of 1,558 library workers</w:t>
      </w:r>
      <w:r>
        <w:rPr>
          <w:sz w:val="24"/>
          <w:szCs w:val="24"/>
        </w:rPr>
        <w:t xml:space="preserve"> in </w:t>
      </w:r>
      <w:r>
        <w:t xml:space="preserve">10 highest-impact libraries in states with federal health insurance exchanges and 10 highest-impact libraries in states with state-run health insurance exchanges. Fifty percent response rate is expected. The study is </w:t>
      </w:r>
      <w:r w:rsidR="009C5562">
        <w:t xml:space="preserve">a </w:t>
      </w:r>
      <w:r>
        <w:t xml:space="preserve">collaboration between the Division of Specialized Services, National Library of Medicine and Dr. Catherine Arnott Smith at the University of Wisconsin, Madison. Data collection and analysis will be conducted by </w:t>
      </w:r>
      <w:r w:rsidRPr="00D85136">
        <w:t>the University of Wisconsin-Madison Survey Center</w:t>
      </w:r>
      <w:r>
        <w:t xml:space="preserve"> that has extensive expertise in such survey research</w:t>
      </w:r>
      <w:r w:rsidRPr="00D85136">
        <w:t>.</w:t>
      </w:r>
      <w:r>
        <w:t xml:space="preserve"> Questions will focus on library staff training in PPACA information provision, experience with PPACA information provision, resources used, challenges, successes, and information needs. </w:t>
      </w:r>
    </w:p>
    <w:p w14:paraId="37E0AB0F" w14:textId="72B48158" w:rsidR="00361E3C" w:rsidRPr="00D85136" w:rsidRDefault="00361E3C" w:rsidP="00361E3C">
      <w:r w:rsidRPr="009A619D">
        <w:t xml:space="preserve">The results of this study </w:t>
      </w:r>
      <w:r>
        <w:t xml:space="preserve">will be used by the University of Wisconsin-Madison, an institution of higher education preparing future library workers, and the National Library of Medicine to inform preparation of </w:t>
      </w:r>
      <w:r>
        <w:lastRenderedPageBreak/>
        <w:t>outreach and training materials as well as advising other organizations and institutions providing PPACA information provision assistance to public.</w:t>
      </w:r>
    </w:p>
    <w:p w14:paraId="143252CB" w14:textId="5340F161" w:rsidR="000F3043" w:rsidRPr="00722859" w:rsidRDefault="000F3043" w:rsidP="000F3043">
      <w:pPr>
        <w:pStyle w:val="Heading2"/>
        <w:spacing w:after="0" w:line="480" w:lineRule="auto"/>
        <w:ind w:left="0" w:firstLine="0"/>
        <w:rPr>
          <w:rFonts w:ascii="Calibri" w:hAnsi="Calibri"/>
          <w:szCs w:val="22"/>
        </w:rPr>
      </w:pPr>
      <w:r w:rsidRPr="00722859">
        <w:rPr>
          <w:rFonts w:ascii="Calibri" w:hAnsi="Calibri"/>
          <w:szCs w:val="22"/>
        </w:rPr>
        <w:t xml:space="preserve">A.2   </w:t>
      </w:r>
      <w:r w:rsidR="00D06869">
        <w:rPr>
          <w:rFonts w:ascii="Calibri" w:hAnsi="Calibri"/>
          <w:szCs w:val="22"/>
        </w:rPr>
        <w:t xml:space="preserve">   </w:t>
      </w:r>
      <w:r w:rsidRPr="00722859">
        <w:rPr>
          <w:rFonts w:ascii="Calibri" w:hAnsi="Calibri"/>
          <w:szCs w:val="22"/>
        </w:rPr>
        <w:t xml:space="preserve"> Purpose and Use of the Information</w:t>
      </w:r>
      <w:bookmarkEnd w:id="1"/>
      <w:bookmarkEnd w:id="2"/>
      <w:bookmarkEnd w:id="3"/>
      <w:bookmarkEnd w:id="4"/>
      <w:r w:rsidRPr="00722859">
        <w:rPr>
          <w:rFonts w:ascii="Calibri" w:hAnsi="Calibri"/>
          <w:szCs w:val="22"/>
        </w:rPr>
        <w:t xml:space="preserve"> Collection</w:t>
      </w:r>
    </w:p>
    <w:p w14:paraId="1D9BA0FB" w14:textId="31464201" w:rsidR="00431DF9" w:rsidRDefault="009A619D" w:rsidP="00A00CF8">
      <w:r w:rsidRPr="00722859">
        <w:t>Public libraries have been identified as a key resource for public information about the Patient Protection</w:t>
      </w:r>
      <w:r w:rsidRPr="009A619D">
        <w:t xml:space="preserve"> and Affordable Care Act (PPACA), which </w:t>
      </w:r>
      <w:r>
        <w:t xml:space="preserve">took </w:t>
      </w:r>
      <w:r w:rsidRPr="009A619D">
        <w:t xml:space="preserve">full effect on October 1, 2013. </w:t>
      </w:r>
      <w:r>
        <w:t>A national anonymous survey of library staff will help</w:t>
      </w:r>
      <w:r w:rsidRPr="009A619D">
        <w:t xml:space="preserve"> us better understand the challenges and successes of information provision in this critical area of high information need.  Research and funding into the challenges of health information in public libraries is, at present, almost nonexistent. In the present environment of health insurance reform and presumption of informed consumer choice, this is a critical knowledge gap. </w:t>
      </w:r>
      <w:r>
        <w:t xml:space="preserve">Information collection from library workers will supply much-needed feedback on the specific areas of challenge for information provision by public libraries. </w:t>
      </w:r>
      <w:r w:rsidRPr="009A619D">
        <w:t xml:space="preserve">The results of this study </w:t>
      </w:r>
      <w:r>
        <w:t>will be used by the Principal Investigators’ home institutions – the University of Wisconsin-Madison, an institution of higher education preparing future library workers, and the Specialized Information Services division of the National Library of Medicine</w:t>
      </w:r>
      <w:r w:rsidR="00C20712">
        <w:t xml:space="preserve"> – to inform preparation of outreach and training materials as well as advising other organizations  and institutions providing PPACA information provision assistance to public libraries (e.g., American Library Association).</w:t>
      </w:r>
      <w:r>
        <w:t xml:space="preserve"> To </w:t>
      </w:r>
      <w:r w:rsidRPr="009A619D">
        <w:t xml:space="preserve">improve our understanding of </w:t>
      </w:r>
      <w:r>
        <w:t xml:space="preserve">the challenges and gaps in </w:t>
      </w:r>
      <w:r w:rsidRPr="009A619D">
        <w:t>information provision and awareness around PPACA</w:t>
      </w:r>
      <w:r w:rsidR="0029780F">
        <w:t>,</w:t>
      </w:r>
      <w:r>
        <w:t xml:space="preserve"> </w:t>
      </w:r>
      <w:r w:rsidR="0029780F">
        <w:t>t</w:t>
      </w:r>
      <w:r w:rsidR="006E69EC">
        <w:t>he information we get from this survey will be used to inform and improve NLM’s services to public libraries, as well as increase our understanding of the resource and education needs of public library workers.</w:t>
      </w:r>
    </w:p>
    <w:p w14:paraId="193BB1C4" w14:textId="767B742E" w:rsidR="00A00CF8" w:rsidRPr="00722859" w:rsidRDefault="00A00CF8" w:rsidP="00A00CF8">
      <w:pPr>
        <w:rPr>
          <w:b/>
          <w:color w:val="000000"/>
        </w:rPr>
      </w:pPr>
      <w:r w:rsidRPr="00722859">
        <w:rPr>
          <w:b/>
          <w:color w:val="000000"/>
        </w:rPr>
        <w:t>A.3     Use of Information Technology and Burden Reduction</w:t>
      </w:r>
    </w:p>
    <w:p w14:paraId="39418461" w14:textId="3D8B7A88" w:rsidR="000F3043" w:rsidRPr="00722859" w:rsidRDefault="009A619D" w:rsidP="00A00CF8">
      <w:r w:rsidRPr="00722859">
        <w:t>This collection of information is being done through a Web-based survey coordinated by the University of Wisconsin-Madison’s Survey Center. Initial invitations will be done by U.S. mail; these letters will describe the purpose of the study and give a link for access to an online survey.</w:t>
      </w:r>
      <w:r w:rsidR="00D85136" w:rsidRPr="00722859">
        <w:t xml:space="preserve"> No personally identifiable information will be collected about the participants, thus obviating the need for the </w:t>
      </w:r>
      <w:r w:rsidR="00A00CF8" w:rsidRPr="00722859">
        <w:t>Privacy Impact Assessment (PIA).</w:t>
      </w:r>
    </w:p>
    <w:p w14:paraId="218041E0" w14:textId="78D5BF20" w:rsidR="00685B30" w:rsidRPr="008942E9" w:rsidRDefault="006957A2" w:rsidP="00685B30">
      <w:pPr>
        <w:pStyle w:val="Heading2"/>
        <w:spacing w:after="0" w:line="480" w:lineRule="auto"/>
        <w:ind w:left="720" w:hanging="720"/>
        <w:rPr>
          <w:rFonts w:ascii="Calibri" w:hAnsi="Calibri"/>
          <w:szCs w:val="22"/>
        </w:rPr>
      </w:pPr>
      <w:bookmarkStart w:id="5" w:name="_Toc443881745"/>
      <w:bookmarkStart w:id="6" w:name="_Toc451592234"/>
      <w:bookmarkStart w:id="7" w:name="_Toc5610275"/>
      <w:bookmarkStart w:id="8" w:name="_Toc99178781"/>
      <w:r>
        <w:rPr>
          <w:rFonts w:ascii="Calibri" w:hAnsi="Calibri"/>
          <w:szCs w:val="22"/>
        </w:rPr>
        <w:t xml:space="preserve">A.4     </w:t>
      </w:r>
      <w:r w:rsidR="00685B30" w:rsidRPr="00722859">
        <w:rPr>
          <w:rFonts w:ascii="Calibri" w:hAnsi="Calibri"/>
          <w:szCs w:val="22"/>
        </w:rPr>
        <w:t>Efforts to Identify Duplication and Use of Similar Information</w:t>
      </w:r>
      <w:bookmarkEnd w:id="5"/>
      <w:bookmarkEnd w:id="6"/>
      <w:bookmarkEnd w:id="7"/>
      <w:bookmarkEnd w:id="8"/>
    </w:p>
    <w:p w14:paraId="506BF089" w14:textId="7AAAC5B0" w:rsidR="009A619D" w:rsidRDefault="001F01B8" w:rsidP="00685B30">
      <w:r>
        <w:t>Based on the investigators’ literature review and extensive familiarity with the field of library science and library science education, t</w:t>
      </w:r>
      <w:r w:rsidR="009A619D">
        <w:t>here is no similar information already available in any form; this is the first survey of its kind.</w:t>
      </w:r>
      <w:r>
        <w:t xml:space="preserve"> </w:t>
      </w:r>
    </w:p>
    <w:p w14:paraId="5BAB4BFF" w14:textId="239A7DB8" w:rsidR="00685B30" w:rsidRPr="008942E9" w:rsidRDefault="006957A2" w:rsidP="00685B30">
      <w:pPr>
        <w:pStyle w:val="Heading2"/>
        <w:spacing w:after="0" w:line="480" w:lineRule="auto"/>
        <w:ind w:left="720" w:hanging="720"/>
        <w:rPr>
          <w:rFonts w:ascii="Calibri" w:hAnsi="Calibri"/>
          <w:szCs w:val="22"/>
        </w:rPr>
      </w:pPr>
      <w:bookmarkStart w:id="9" w:name="_Toc443881746"/>
      <w:bookmarkStart w:id="10" w:name="_Toc451592235"/>
      <w:bookmarkStart w:id="11" w:name="_Toc5610276"/>
      <w:bookmarkStart w:id="12" w:name="_Toc99178782"/>
      <w:r>
        <w:rPr>
          <w:rFonts w:ascii="Calibri" w:hAnsi="Calibri"/>
          <w:szCs w:val="22"/>
        </w:rPr>
        <w:t xml:space="preserve">A.5      </w:t>
      </w:r>
      <w:r w:rsidR="00685B30" w:rsidRPr="008942E9">
        <w:rPr>
          <w:rFonts w:ascii="Calibri" w:hAnsi="Calibri"/>
          <w:szCs w:val="22"/>
        </w:rPr>
        <w:t>Impact on Small Businesses or Other Small Entities</w:t>
      </w:r>
      <w:bookmarkEnd w:id="9"/>
      <w:bookmarkEnd w:id="10"/>
      <w:bookmarkEnd w:id="11"/>
      <w:bookmarkEnd w:id="12"/>
    </w:p>
    <w:p w14:paraId="558F5D7D" w14:textId="06A1E863" w:rsidR="004716CF" w:rsidRDefault="0074014E" w:rsidP="004716CF">
      <w:pPr>
        <w:pStyle w:val="P1-StandPara"/>
        <w:spacing w:line="240" w:lineRule="auto"/>
        <w:ind w:firstLine="0"/>
      </w:pPr>
      <w:r>
        <w:t>This information collection does not impact small businesses</w:t>
      </w:r>
      <w:r w:rsidR="00EB3C18">
        <w:t xml:space="preserve"> or other small </w:t>
      </w:r>
      <w:r w:rsidR="00660A2E">
        <w:t>entities</w:t>
      </w:r>
      <w:r w:rsidR="00EB3C18">
        <w:t>.</w:t>
      </w:r>
    </w:p>
    <w:p w14:paraId="780254CE" w14:textId="77777777" w:rsidR="0074014E" w:rsidRPr="004716CF" w:rsidRDefault="0074014E" w:rsidP="004716CF">
      <w:pPr>
        <w:pStyle w:val="P1-StandPara"/>
        <w:spacing w:line="240" w:lineRule="auto"/>
        <w:ind w:firstLine="0"/>
      </w:pPr>
    </w:p>
    <w:p w14:paraId="0C7C5F38" w14:textId="1253601A" w:rsidR="00685B30" w:rsidRPr="008942E9" w:rsidRDefault="006957A2" w:rsidP="00685B30">
      <w:pPr>
        <w:pStyle w:val="Heading2"/>
        <w:spacing w:after="0" w:line="480" w:lineRule="auto"/>
        <w:ind w:left="720" w:hanging="720"/>
        <w:rPr>
          <w:rFonts w:ascii="Calibri" w:hAnsi="Calibri"/>
          <w:szCs w:val="22"/>
        </w:rPr>
      </w:pPr>
      <w:bookmarkStart w:id="13" w:name="_Toc443881747"/>
      <w:bookmarkStart w:id="14" w:name="_Toc451592236"/>
      <w:bookmarkStart w:id="15" w:name="_Toc5610277"/>
      <w:bookmarkStart w:id="16" w:name="_Toc99178783"/>
      <w:r>
        <w:rPr>
          <w:rFonts w:ascii="Calibri" w:hAnsi="Calibri"/>
          <w:szCs w:val="22"/>
        </w:rPr>
        <w:t xml:space="preserve">A.6      </w:t>
      </w:r>
      <w:r w:rsidR="00685B30" w:rsidRPr="00722859">
        <w:rPr>
          <w:rFonts w:ascii="Calibri" w:hAnsi="Calibri"/>
          <w:szCs w:val="22"/>
        </w:rPr>
        <w:t>Consequences of Collecting the Information Less Frequently</w:t>
      </w:r>
      <w:bookmarkEnd w:id="13"/>
      <w:bookmarkEnd w:id="14"/>
      <w:bookmarkEnd w:id="15"/>
      <w:bookmarkEnd w:id="16"/>
    </w:p>
    <w:p w14:paraId="1A5DAEE7" w14:textId="147CBCD3" w:rsidR="009A619D" w:rsidRDefault="009A619D" w:rsidP="00685B30">
      <w:r>
        <w:t xml:space="preserve">If this information collection is </w:t>
      </w:r>
      <w:r w:rsidR="00D721E9">
        <w:t xml:space="preserve">not </w:t>
      </w:r>
      <w:r>
        <w:t>conducted, there will be no information collected in a standardized, anonymous, scientific manner to help inform Federal program activities about the resource needs of public libraries re</w:t>
      </w:r>
      <w:r w:rsidR="00486C80">
        <w:t>garding</w:t>
      </w:r>
      <w:r>
        <w:t xml:space="preserve"> the Patient Protection and Affordable Care Act</w:t>
      </w:r>
      <w:r w:rsidR="00D721E9">
        <w:t xml:space="preserve"> information support</w:t>
      </w:r>
      <w:r>
        <w:t>.</w:t>
      </w:r>
    </w:p>
    <w:p w14:paraId="61EF480B" w14:textId="31BF48AA" w:rsidR="00685B30" w:rsidRPr="008942E9" w:rsidRDefault="005C0342" w:rsidP="00685B30">
      <w:pPr>
        <w:pStyle w:val="Heading2"/>
        <w:spacing w:after="0" w:line="480" w:lineRule="auto"/>
        <w:ind w:left="0" w:firstLine="0"/>
        <w:rPr>
          <w:rFonts w:ascii="Calibri" w:hAnsi="Calibri"/>
          <w:szCs w:val="22"/>
        </w:rPr>
      </w:pPr>
      <w:bookmarkStart w:id="17" w:name="_Toc443881748"/>
      <w:bookmarkStart w:id="18" w:name="_Toc451592237"/>
      <w:bookmarkStart w:id="19" w:name="_Toc5610278"/>
      <w:bookmarkStart w:id="20" w:name="_Toc99178784"/>
      <w:r>
        <w:rPr>
          <w:rFonts w:ascii="Calibri" w:hAnsi="Calibri"/>
          <w:szCs w:val="22"/>
        </w:rPr>
        <w:lastRenderedPageBreak/>
        <w:t>A.7</w:t>
      </w:r>
      <w:r w:rsidR="006957A2">
        <w:rPr>
          <w:rFonts w:ascii="Calibri" w:hAnsi="Calibri"/>
          <w:szCs w:val="22"/>
        </w:rPr>
        <w:t xml:space="preserve">        </w:t>
      </w:r>
      <w:r w:rsidR="00685B30" w:rsidRPr="008942E9">
        <w:rPr>
          <w:rFonts w:ascii="Calibri" w:hAnsi="Calibri"/>
          <w:szCs w:val="22"/>
        </w:rPr>
        <w:t xml:space="preserve">Special Circumstances Relating to the Guidelines of 5 </w:t>
      </w:r>
      <w:smartTag w:uri="urn:schemas-microsoft-com:office:smarttags" w:element="stockticker">
        <w:r w:rsidR="00685B30" w:rsidRPr="008942E9">
          <w:rPr>
            <w:rFonts w:ascii="Calibri" w:hAnsi="Calibri"/>
            <w:szCs w:val="22"/>
          </w:rPr>
          <w:t>CFR</w:t>
        </w:r>
      </w:smartTag>
      <w:r w:rsidR="00685B30" w:rsidRPr="008942E9">
        <w:rPr>
          <w:rFonts w:ascii="Calibri" w:hAnsi="Calibri"/>
          <w:szCs w:val="22"/>
        </w:rPr>
        <w:t xml:space="preserve"> 1320.5</w:t>
      </w:r>
      <w:bookmarkEnd w:id="17"/>
      <w:bookmarkEnd w:id="18"/>
      <w:bookmarkEnd w:id="19"/>
      <w:bookmarkEnd w:id="20"/>
    </w:p>
    <w:p w14:paraId="12A3B395" w14:textId="060C8A8C" w:rsidR="00685B30" w:rsidRDefault="00202849" w:rsidP="00E35DD1">
      <w:pPr>
        <w:pStyle w:val="P1-StandPara"/>
        <w:spacing w:line="240" w:lineRule="auto"/>
        <w:ind w:firstLine="0"/>
        <w:rPr>
          <w:rFonts w:ascii="Calibri" w:eastAsia="Calibri" w:hAnsi="Calibri"/>
          <w:szCs w:val="22"/>
        </w:rPr>
      </w:pPr>
      <w:r>
        <w:rPr>
          <w:rFonts w:ascii="Calibri" w:eastAsia="Calibri" w:hAnsi="Calibri"/>
          <w:szCs w:val="22"/>
        </w:rPr>
        <w:t>This information collection</w:t>
      </w:r>
      <w:r w:rsidRPr="00202849">
        <w:rPr>
          <w:rFonts w:ascii="Calibri" w:eastAsia="Calibri" w:hAnsi="Calibri"/>
          <w:szCs w:val="22"/>
        </w:rPr>
        <w:t xml:space="preserve"> will be implemented in a manner that fully complies with 5 CFR 1320.5</w:t>
      </w:r>
    </w:p>
    <w:p w14:paraId="2E12617E" w14:textId="77777777" w:rsidR="00202849" w:rsidRPr="008942E9" w:rsidRDefault="00202849" w:rsidP="00E35DD1">
      <w:pPr>
        <w:pStyle w:val="P1-StandPara"/>
        <w:spacing w:line="240" w:lineRule="auto"/>
        <w:ind w:firstLine="0"/>
        <w:rPr>
          <w:rFonts w:ascii="Calibri" w:hAnsi="Calibri"/>
          <w:szCs w:val="22"/>
        </w:rPr>
      </w:pPr>
    </w:p>
    <w:p w14:paraId="09A09150" w14:textId="56ACD1F3" w:rsidR="0036208F" w:rsidRDefault="0036208F" w:rsidP="00CE3795">
      <w:pPr>
        <w:pStyle w:val="Heading2"/>
        <w:spacing w:after="0" w:line="240" w:lineRule="auto"/>
        <w:ind w:left="720" w:hanging="720"/>
        <w:rPr>
          <w:rFonts w:ascii="Calibri" w:hAnsi="Calibri"/>
          <w:szCs w:val="22"/>
        </w:rPr>
      </w:pPr>
      <w:r w:rsidRPr="00722859">
        <w:rPr>
          <w:rFonts w:ascii="Calibri" w:hAnsi="Calibri"/>
          <w:szCs w:val="22"/>
        </w:rPr>
        <w:t>A.8.</w:t>
      </w:r>
      <w:r w:rsidRPr="00722859">
        <w:rPr>
          <w:rFonts w:ascii="Calibri" w:hAnsi="Calibri"/>
          <w:szCs w:val="22"/>
        </w:rPr>
        <w:tab/>
      </w:r>
      <w:r w:rsidR="00B90112" w:rsidRPr="00B90112">
        <w:rPr>
          <w:rFonts w:ascii="Calibri" w:hAnsi="Calibri"/>
          <w:szCs w:val="22"/>
        </w:rPr>
        <w:t>Comments in Response to the Federal Register Notice and Efforts to Consult</w:t>
      </w:r>
      <w:r w:rsidR="00B90112">
        <w:rPr>
          <w:rFonts w:ascii="Calibri" w:hAnsi="Calibri"/>
          <w:szCs w:val="22"/>
        </w:rPr>
        <w:t xml:space="preserve"> </w:t>
      </w:r>
      <w:r w:rsidR="00B90112" w:rsidRPr="00B90112">
        <w:rPr>
          <w:rFonts w:ascii="Calibri" w:hAnsi="Calibri"/>
          <w:szCs w:val="22"/>
        </w:rPr>
        <w:t>Outside the Agency</w:t>
      </w:r>
    </w:p>
    <w:p w14:paraId="1643E891" w14:textId="77777777" w:rsidR="00CE3795" w:rsidRPr="00CE3795" w:rsidRDefault="00CE3795" w:rsidP="00CE3795">
      <w:pPr>
        <w:pStyle w:val="P1-StandPara"/>
        <w:spacing w:line="240" w:lineRule="auto"/>
      </w:pPr>
    </w:p>
    <w:p w14:paraId="5368CDCD" w14:textId="60A5EF26" w:rsidR="00717158" w:rsidRPr="00D0716B" w:rsidRDefault="003C2BFA" w:rsidP="00294283">
      <w:pPr>
        <w:autoSpaceDE w:val="0"/>
        <w:autoSpaceDN w:val="0"/>
        <w:rPr>
          <w:rFonts w:asciiTheme="minorHAnsi" w:hAnsiTheme="minorHAnsi"/>
        </w:rPr>
      </w:pPr>
      <w:r w:rsidRPr="00294283">
        <w:rPr>
          <w:rFonts w:ascii="Melior" w:hAnsi="Melior"/>
        </w:rPr>
        <w:t>T</w:t>
      </w:r>
      <w:r w:rsidRPr="00D0716B">
        <w:rPr>
          <w:rFonts w:asciiTheme="minorHAnsi" w:hAnsiTheme="minorHAnsi"/>
        </w:rPr>
        <w:t xml:space="preserve">his proposed information collection was previously published in the </w:t>
      </w:r>
      <w:r w:rsidRPr="00D0716B">
        <w:rPr>
          <w:rFonts w:asciiTheme="minorHAnsi" w:hAnsiTheme="minorHAnsi"/>
          <w:bCs/>
        </w:rPr>
        <w:t>Federal Register</w:t>
      </w:r>
      <w:r w:rsidRPr="00D0716B">
        <w:rPr>
          <w:rFonts w:asciiTheme="minorHAnsi" w:hAnsiTheme="minorHAnsi"/>
          <w:b/>
          <w:bCs/>
        </w:rPr>
        <w:t xml:space="preserve"> </w:t>
      </w:r>
      <w:r w:rsidRPr="00D0716B">
        <w:rPr>
          <w:rFonts w:asciiTheme="minorHAnsi" w:hAnsiTheme="minorHAnsi"/>
        </w:rPr>
        <w:t xml:space="preserve">on </w:t>
      </w:r>
      <w:r w:rsidR="00294283" w:rsidRPr="00D0716B">
        <w:rPr>
          <w:rFonts w:asciiTheme="minorHAnsi" w:hAnsiTheme="minorHAnsi"/>
        </w:rPr>
        <w:t>October 30, 2015</w:t>
      </w:r>
      <w:r w:rsidRPr="00D0716B">
        <w:rPr>
          <w:rFonts w:asciiTheme="minorHAnsi" w:hAnsiTheme="minorHAnsi"/>
        </w:rPr>
        <w:t xml:space="preserve">, </w:t>
      </w:r>
      <w:r w:rsidR="00C73EA2" w:rsidRPr="006D5A9F">
        <w:t xml:space="preserve">(Vol. 80, No. </w:t>
      </w:r>
      <w:r w:rsidR="00C73EA2">
        <w:t>210</w:t>
      </w:r>
      <w:r w:rsidR="00C73EA2" w:rsidRPr="006D5A9F">
        <w:t xml:space="preserve">, Pg. </w:t>
      </w:r>
      <w:r w:rsidR="00C73EA2">
        <w:t>66914</w:t>
      </w:r>
      <w:r w:rsidR="00C73EA2" w:rsidRPr="006D5A9F">
        <w:t>)</w:t>
      </w:r>
      <w:r w:rsidR="001A3A23">
        <w:rPr>
          <w:rFonts w:asciiTheme="minorHAnsi" w:hAnsiTheme="minorHAnsi"/>
        </w:rPr>
        <w:t>,</w:t>
      </w:r>
      <w:r w:rsidR="00294283" w:rsidRPr="00D0716B">
        <w:rPr>
          <w:rFonts w:asciiTheme="minorHAnsi" w:hAnsiTheme="minorHAnsi"/>
        </w:rPr>
        <w:t xml:space="preserve"> a</w:t>
      </w:r>
      <w:r w:rsidRPr="00D0716B">
        <w:rPr>
          <w:rFonts w:asciiTheme="minorHAnsi" w:hAnsiTheme="minorHAnsi"/>
        </w:rPr>
        <w:t xml:space="preserve">nd allowed 60-days for public comment. </w:t>
      </w:r>
      <w:r w:rsidRPr="00D0716B">
        <w:rPr>
          <w:rFonts w:asciiTheme="minorHAnsi" w:hAnsiTheme="minorHAnsi"/>
          <w:bCs/>
        </w:rPr>
        <w:t>A single comment submission was received which is currently under review for further consideration.</w:t>
      </w:r>
      <w:r w:rsidR="00294283" w:rsidRPr="00D0716B">
        <w:rPr>
          <w:rFonts w:asciiTheme="minorHAnsi" w:hAnsiTheme="minorHAnsi"/>
          <w:bCs/>
        </w:rPr>
        <w:t xml:space="preserve"> </w:t>
      </w:r>
      <w:r w:rsidR="006E69EC" w:rsidRPr="00D0716B">
        <w:rPr>
          <w:rFonts w:asciiTheme="minorHAnsi" w:hAnsiTheme="minorHAnsi"/>
        </w:rPr>
        <w:t>Consultation of an outside agency is not possible in this instance. There is no single representative organization for every library worker who might theoretically be contributing information in this study. It is not mandatory that library staff (whether paraprofessional or professional) join the American Library Association, and there is no other national organization that would represent every potential taker of the survey. Each state has its own library agency, but membership in the state-level association is not mandatory either.</w:t>
      </w:r>
    </w:p>
    <w:p w14:paraId="76AC1D11" w14:textId="77777777" w:rsidR="00685B30" w:rsidRPr="00722859" w:rsidRDefault="00685B30" w:rsidP="00685B30">
      <w:pPr>
        <w:pStyle w:val="P1-StandPara"/>
        <w:ind w:firstLine="0"/>
        <w:rPr>
          <w:rFonts w:ascii="Calibri" w:hAnsi="Calibri"/>
          <w:b/>
          <w:szCs w:val="22"/>
        </w:rPr>
      </w:pPr>
      <w:r w:rsidRPr="00722859">
        <w:rPr>
          <w:rFonts w:ascii="Calibri" w:hAnsi="Calibri"/>
          <w:b/>
          <w:szCs w:val="22"/>
        </w:rPr>
        <w:t>A.9</w:t>
      </w:r>
      <w:r w:rsidRPr="00722859">
        <w:rPr>
          <w:rFonts w:ascii="Calibri" w:hAnsi="Calibri"/>
          <w:b/>
          <w:szCs w:val="22"/>
        </w:rPr>
        <w:tab/>
        <w:t>Explanation of Any Payment of Gift to Respondents</w:t>
      </w:r>
    </w:p>
    <w:p w14:paraId="43E40F16" w14:textId="1A138A7F" w:rsidR="006E69EC" w:rsidRPr="00722859" w:rsidRDefault="006E69EC" w:rsidP="00685B30">
      <w:r w:rsidRPr="00722859">
        <w:t xml:space="preserve">A raffle prize </w:t>
      </w:r>
      <w:r w:rsidR="00D0294C">
        <w:t xml:space="preserve">of an </w:t>
      </w:r>
      <w:r w:rsidR="00D94DB3">
        <w:t xml:space="preserve">Apple </w:t>
      </w:r>
      <w:proofErr w:type="spellStart"/>
      <w:r w:rsidR="00D0294C">
        <w:t>Ipad</w:t>
      </w:r>
      <w:proofErr w:type="spellEnd"/>
      <w:r w:rsidR="00D0294C">
        <w:t xml:space="preserve"> device </w:t>
      </w:r>
      <w:r w:rsidR="003B20AC">
        <w:t xml:space="preserve">(cost below $500) </w:t>
      </w:r>
      <w:r w:rsidRPr="00722859">
        <w:t xml:space="preserve">is being awarded to one respondent based on the advice of the University of Wisconsin Survey Center, which has found that raffles greatly increase response. </w:t>
      </w:r>
    </w:p>
    <w:p w14:paraId="5E84875A" w14:textId="77777777" w:rsidR="00685B30" w:rsidRPr="008942E9" w:rsidRDefault="00685B30" w:rsidP="00685B30">
      <w:pPr>
        <w:pStyle w:val="P1-StandPara"/>
        <w:ind w:firstLine="0"/>
        <w:rPr>
          <w:rFonts w:ascii="Calibri" w:hAnsi="Calibri"/>
          <w:b/>
          <w:szCs w:val="22"/>
        </w:rPr>
      </w:pPr>
      <w:r w:rsidRPr="00722859">
        <w:rPr>
          <w:rFonts w:ascii="Calibri" w:hAnsi="Calibri"/>
          <w:b/>
          <w:szCs w:val="22"/>
        </w:rPr>
        <w:t>A.10</w:t>
      </w:r>
      <w:r w:rsidRPr="00722859">
        <w:rPr>
          <w:rFonts w:ascii="Calibri" w:hAnsi="Calibri"/>
          <w:b/>
          <w:szCs w:val="22"/>
        </w:rPr>
        <w:tab/>
        <w:t>Assurance of Confidentiality Provided to Respondents</w:t>
      </w:r>
    </w:p>
    <w:p w14:paraId="203C41D5" w14:textId="6AA419F8" w:rsidR="00673B2A" w:rsidRPr="00077BA3" w:rsidRDefault="00673B2A" w:rsidP="00077BA3">
      <w:r>
        <w:t xml:space="preserve">This is a Web-based </w:t>
      </w:r>
      <w:r w:rsidRPr="00673B2A">
        <w:t>survey. Subjects are able to take the survey at a location of their choosing; the survey</w:t>
      </w:r>
      <w:r>
        <w:t xml:space="preserve"> </w:t>
      </w:r>
      <w:r w:rsidRPr="00673B2A">
        <w:t xml:space="preserve">asks no sensitive or personal questions; no </w:t>
      </w:r>
      <w:r w:rsidR="00077BA3">
        <w:t>personally identifiable information is collected about the</w:t>
      </w:r>
      <w:r w:rsidRPr="00673B2A">
        <w:t xml:space="preserve"> </w:t>
      </w:r>
      <w:r w:rsidR="00077BA3">
        <w:t>participants</w:t>
      </w:r>
      <w:r w:rsidRPr="00673B2A">
        <w:t xml:space="preserve"> and none is necessary</w:t>
      </w:r>
      <w:r>
        <w:t xml:space="preserve"> </w:t>
      </w:r>
      <w:r w:rsidRPr="00673B2A">
        <w:t>to achieve the aims of the research; only information identifying public libraries at which the subjects are</w:t>
      </w:r>
      <w:r>
        <w:t xml:space="preserve"> </w:t>
      </w:r>
      <w:r w:rsidRPr="00673B2A">
        <w:t>employed is collected.</w:t>
      </w:r>
      <w:r w:rsidR="00180B93">
        <w:t xml:space="preserve"> </w:t>
      </w:r>
      <w:r w:rsidR="00180B93" w:rsidRPr="00180B93">
        <w:t>Data is stored through the services of the UW Survey Center, which is conducti</w:t>
      </w:r>
      <w:r w:rsidR="00180B93">
        <w:t xml:space="preserve">ng the survey. Electronic files </w:t>
      </w:r>
      <w:r w:rsidR="00180B93" w:rsidRPr="00180B93">
        <w:t>and data are stored on secure servers hosted at the University of Wisconsin</w:t>
      </w:r>
      <w:r w:rsidR="00077BA3">
        <w:t xml:space="preserve"> </w:t>
      </w:r>
      <w:r w:rsidR="00180B93" w:rsidRPr="00180B93">
        <w:t>Madison.</w:t>
      </w:r>
      <w:r w:rsidR="00180B93">
        <w:t xml:space="preserve"> </w:t>
      </w:r>
      <w:r w:rsidR="00180B93" w:rsidRPr="00180B93">
        <w:t>These servers are housed</w:t>
      </w:r>
      <w:r w:rsidR="00180B93">
        <w:t xml:space="preserve"> </w:t>
      </w:r>
      <w:r w:rsidR="00180B93" w:rsidRPr="00180B93">
        <w:t>in locked, climate</w:t>
      </w:r>
      <w:r w:rsidR="00180B93">
        <w:t>-</w:t>
      </w:r>
      <w:r w:rsidR="00180B93" w:rsidRPr="00180B93">
        <w:t>controlled</w:t>
      </w:r>
      <w:r w:rsidR="00180B93">
        <w:t xml:space="preserve"> </w:t>
      </w:r>
      <w:r w:rsidR="00180B93" w:rsidRPr="00180B93">
        <w:t>rooms. Access to these servers is restricted by firewall. Any connections to the</w:t>
      </w:r>
      <w:r w:rsidR="00180B93">
        <w:t xml:space="preserve"> </w:t>
      </w:r>
      <w:r w:rsidR="00180B93" w:rsidRPr="00180B93">
        <w:t>servers from outside the network must travel over the UW Madison’s virtual private network. Survey data are</w:t>
      </w:r>
      <w:r w:rsidR="00180B93">
        <w:t xml:space="preserve"> </w:t>
      </w:r>
      <w:r w:rsidR="00180B93" w:rsidRPr="00180B93">
        <w:t>stored in a MySQL database. Connections to this database are limited to on</w:t>
      </w:r>
      <w:r w:rsidR="00180B93">
        <w:t>-</w:t>
      </w:r>
      <w:r w:rsidR="00180B93" w:rsidRPr="00180B93">
        <w:t>campus</w:t>
      </w:r>
      <w:r w:rsidR="00180B93">
        <w:t xml:space="preserve"> </w:t>
      </w:r>
      <w:r w:rsidR="00180B93" w:rsidRPr="00180B93">
        <w:t xml:space="preserve">IP space and </w:t>
      </w:r>
      <w:proofErr w:type="spellStart"/>
      <w:r w:rsidR="00180B93" w:rsidRPr="00180B93">
        <w:t>WiscVPN</w:t>
      </w:r>
      <w:proofErr w:type="spellEnd"/>
      <w:r w:rsidR="00180B93">
        <w:t xml:space="preserve"> </w:t>
      </w:r>
      <w:r w:rsidR="00180B93" w:rsidRPr="00180B93">
        <w:t>connections.</w:t>
      </w:r>
    </w:p>
    <w:p w14:paraId="30F007EE" w14:textId="77777777" w:rsidR="00685B30" w:rsidRPr="008942E9" w:rsidRDefault="00685B30" w:rsidP="00685B30">
      <w:pPr>
        <w:pStyle w:val="P1-StandPara"/>
        <w:ind w:firstLine="0"/>
        <w:rPr>
          <w:rFonts w:ascii="Calibri" w:hAnsi="Calibri"/>
          <w:b/>
          <w:szCs w:val="22"/>
        </w:rPr>
      </w:pPr>
      <w:r w:rsidRPr="008942E9">
        <w:rPr>
          <w:rFonts w:ascii="Calibri" w:hAnsi="Calibri"/>
          <w:b/>
          <w:szCs w:val="22"/>
        </w:rPr>
        <w:t>A.11</w:t>
      </w:r>
      <w:r w:rsidRPr="008942E9">
        <w:rPr>
          <w:rFonts w:ascii="Calibri" w:hAnsi="Calibri"/>
          <w:b/>
          <w:szCs w:val="22"/>
        </w:rPr>
        <w:tab/>
        <w:t>Justification for Sensitive Questions</w:t>
      </w:r>
    </w:p>
    <w:p w14:paraId="5B2CA26D" w14:textId="19DEBA33" w:rsidR="00685B30" w:rsidRDefault="00020878" w:rsidP="00685B30">
      <w:pPr>
        <w:pStyle w:val="P1-StandPara"/>
        <w:spacing w:line="240" w:lineRule="auto"/>
        <w:ind w:firstLine="0"/>
        <w:rPr>
          <w:rFonts w:ascii="Calibri" w:hAnsi="Calibri"/>
          <w:szCs w:val="22"/>
        </w:rPr>
      </w:pPr>
      <w:r w:rsidRPr="00020878">
        <w:rPr>
          <w:rFonts w:ascii="Calibri" w:hAnsi="Calibri"/>
          <w:szCs w:val="22"/>
        </w:rPr>
        <w:t>No questions will be asked of a personal or sensitive nature.</w:t>
      </w:r>
    </w:p>
    <w:p w14:paraId="1099F060" w14:textId="77777777" w:rsidR="00020878" w:rsidRPr="008942E9" w:rsidRDefault="00020878" w:rsidP="00685B30">
      <w:pPr>
        <w:pStyle w:val="P1-StandPara"/>
        <w:spacing w:line="240" w:lineRule="auto"/>
        <w:ind w:firstLine="0"/>
        <w:rPr>
          <w:rFonts w:ascii="Calibri" w:hAnsi="Calibri"/>
          <w:szCs w:val="22"/>
        </w:rPr>
      </w:pPr>
    </w:p>
    <w:p w14:paraId="5A6008D6" w14:textId="3E80F6A0" w:rsidR="00685B30" w:rsidRPr="00E35DD1" w:rsidRDefault="00685B30" w:rsidP="00685B30">
      <w:pPr>
        <w:rPr>
          <w:b/>
        </w:rPr>
      </w:pPr>
      <w:r w:rsidRPr="00722859">
        <w:rPr>
          <w:b/>
        </w:rPr>
        <w:t>A.12</w:t>
      </w:r>
      <w:r w:rsidRPr="00722859">
        <w:rPr>
          <w:b/>
        </w:rPr>
        <w:tab/>
        <w:t>Est</w:t>
      </w:r>
      <w:r w:rsidR="009A69D6" w:rsidRPr="00722859">
        <w:rPr>
          <w:b/>
        </w:rPr>
        <w:t>imated Annualized Burden Hours</w:t>
      </w:r>
    </w:p>
    <w:p w14:paraId="218F0C90" w14:textId="31D7F17E" w:rsidR="009810A0" w:rsidRDefault="00180B93" w:rsidP="00685B30">
      <w:r>
        <w:t>The maximum number of possible respondents to this survey is 1558 library workers.  The University of Wisconsin Survey Center, which is providing consultation on this project, estimates that the Web-based survey will take no more than 30 minutes to complete, and that a typical response rate for a survey for this size is 50%</w:t>
      </w:r>
      <w:r w:rsidR="00DC7BD5">
        <w:t xml:space="preserve"> (779 of expected respondents)</w:t>
      </w:r>
      <w:r>
        <w:t>.</w:t>
      </w:r>
    </w:p>
    <w:p w14:paraId="6D0E34AD" w14:textId="77777777" w:rsidR="00601DA6" w:rsidRDefault="00601DA6" w:rsidP="00685B30"/>
    <w:p w14:paraId="5507C67C" w14:textId="77777777" w:rsidR="00601DA6" w:rsidRDefault="00601DA6" w:rsidP="00685B30"/>
    <w:p w14:paraId="7C7D5D5C" w14:textId="6890CDAB" w:rsidR="009B1270" w:rsidRDefault="009810A0" w:rsidP="009810A0">
      <w:pPr>
        <w:spacing w:after="20"/>
        <w:rPr>
          <w:b/>
        </w:rPr>
      </w:pPr>
      <w:r>
        <w:rPr>
          <w:b/>
        </w:rPr>
        <w:lastRenderedPageBreak/>
        <w:t xml:space="preserve">                                              </w:t>
      </w:r>
      <w:r w:rsidRPr="00CD03B3">
        <w:t>A.12-1 Estimated Annualized Burden Hours</w:t>
      </w:r>
    </w:p>
    <w:p w14:paraId="4A7E2841" w14:textId="77777777" w:rsidR="009B1270" w:rsidRDefault="00A96350" w:rsidP="009810A0">
      <w:pPr>
        <w:spacing w:after="20"/>
        <w:rPr>
          <w:b/>
        </w:rPr>
      </w:pPr>
      <w:r>
        <w:rPr>
          <w:b/>
        </w:rPr>
        <w:t xml:space="preserve"> </w:t>
      </w:r>
    </w:p>
    <w:tbl>
      <w:tblPr>
        <w:tblW w:w="9564" w:type="dxa"/>
        <w:tblInd w:w="-8" w:type="dxa"/>
        <w:tblLayout w:type="fixed"/>
        <w:tblCellMar>
          <w:left w:w="100" w:type="dxa"/>
          <w:right w:w="100" w:type="dxa"/>
        </w:tblCellMar>
        <w:tblLook w:val="0000" w:firstRow="0" w:lastRow="0" w:firstColumn="0" w:lastColumn="0" w:noHBand="0" w:noVBand="0"/>
      </w:tblPr>
      <w:tblGrid>
        <w:gridCol w:w="1930"/>
        <w:gridCol w:w="2264"/>
        <w:gridCol w:w="1871"/>
        <w:gridCol w:w="1997"/>
        <w:gridCol w:w="1502"/>
      </w:tblGrid>
      <w:tr w:rsidR="00641A64" w:rsidRPr="008942E9" w14:paraId="5275786C" w14:textId="77777777" w:rsidTr="005C3421">
        <w:trPr>
          <w:cantSplit/>
          <w:trHeight w:val="789"/>
        </w:trPr>
        <w:tc>
          <w:tcPr>
            <w:tcW w:w="1930" w:type="dxa"/>
            <w:tcBorders>
              <w:top w:val="single" w:sz="6" w:space="0" w:color="auto"/>
              <w:left w:val="single" w:sz="6" w:space="0" w:color="auto"/>
            </w:tcBorders>
          </w:tcPr>
          <w:p w14:paraId="4518F966" w14:textId="77777777" w:rsidR="00641A64" w:rsidRPr="009D177A" w:rsidRDefault="00641A64" w:rsidP="00856B8C">
            <w:pPr>
              <w:spacing w:after="0" w:line="240" w:lineRule="auto"/>
              <w:rPr>
                <w:sz w:val="20"/>
                <w:szCs w:val="20"/>
              </w:rPr>
            </w:pPr>
            <w:r w:rsidRPr="009D177A">
              <w:rPr>
                <w:sz w:val="20"/>
                <w:szCs w:val="20"/>
              </w:rPr>
              <w:t>Type of Respondent</w:t>
            </w:r>
            <w:r>
              <w:rPr>
                <w:sz w:val="20"/>
                <w:szCs w:val="20"/>
              </w:rPr>
              <w:t>s</w:t>
            </w:r>
          </w:p>
        </w:tc>
        <w:tc>
          <w:tcPr>
            <w:tcW w:w="2264" w:type="dxa"/>
            <w:tcBorders>
              <w:top w:val="single" w:sz="6" w:space="0" w:color="auto"/>
              <w:left w:val="single" w:sz="6" w:space="0" w:color="auto"/>
            </w:tcBorders>
          </w:tcPr>
          <w:p w14:paraId="6A249D23" w14:textId="77777777" w:rsidR="00641A64" w:rsidRPr="009D177A" w:rsidRDefault="00641A64" w:rsidP="00856B8C">
            <w:pPr>
              <w:spacing w:after="0" w:line="240" w:lineRule="auto"/>
              <w:rPr>
                <w:sz w:val="20"/>
                <w:szCs w:val="20"/>
              </w:rPr>
            </w:pPr>
            <w:r w:rsidRPr="009D177A">
              <w:rPr>
                <w:sz w:val="20"/>
                <w:szCs w:val="20"/>
              </w:rPr>
              <w:t>Number of Respondents</w:t>
            </w:r>
          </w:p>
        </w:tc>
        <w:tc>
          <w:tcPr>
            <w:tcW w:w="1871" w:type="dxa"/>
            <w:tcBorders>
              <w:top w:val="single" w:sz="6" w:space="0" w:color="auto"/>
              <w:left w:val="single" w:sz="6" w:space="0" w:color="auto"/>
              <w:right w:val="single" w:sz="6" w:space="0" w:color="auto"/>
            </w:tcBorders>
          </w:tcPr>
          <w:p w14:paraId="24CFD506" w14:textId="77777777" w:rsidR="00641A64" w:rsidRPr="009D177A" w:rsidRDefault="00641A64" w:rsidP="00856B8C">
            <w:pPr>
              <w:spacing w:after="0" w:line="240" w:lineRule="auto"/>
              <w:rPr>
                <w:sz w:val="20"/>
                <w:szCs w:val="20"/>
              </w:rPr>
            </w:pPr>
            <w:r>
              <w:rPr>
                <w:sz w:val="20"/>
                <w:szCs w:val="20"/>
              </w:rPr>
              <w:t>Number of Responses per Respondent</w:t>
            </w:r>
          </w:p>
        </w:tc>
        <w:tc>
          <w:tcPr>
            <w:tcW w:w="1997" w:type="dxa"/>
            <w:tcBorders>
              <w:top w:val="single" w:sz="6" w:space="0" w:color="auto"/>
              <w:left w:val="single" w:sz="6" w:space="0" w:color="auto"/>
            </w:tcBorders>
          </w:tcPr>
          <w:p w14:paraId="542C0944" w14:textId="77777777" w:rsidR="00641A64" w:rsidRPr="009D177A" w:rsidRDefault="00641A64" w:rsidP="00856B8C">
            <w:pPr>
              <w:spacing w:after="0" w:line="240" w:lineRule="auto"/>
              <w:rPr>
                <w:sz w:val="20"/>
                <w:szCs w:val="20"/>
              </w:rPr>
            </w:pPr>
            <w:r w:rsidRPr="009D177A">
              <w:rPr>
                <w:sz w:val="20"/>
                <w:szCs w:val="20"/>
              </w:rPr>
              <w:t>Average</w:t>
            </w:r>
            <w:r>
              <w:rPr>
                <w:sz w:val="20"/>
                <w:szCs w:val="20"/>
              </w:rPr>
              <w:t xml:space="preserve"> Time per</w:t>
            </w:r>
            <w:r w:rsidRPr="009D177A">
              <w:rPr>
                <w:sz w:val="20"/>
                <w:szCs w:val="20"/>
              </w:rPr>
              <w:t xml:space="preserve"> Response </w:t>
            </w:r>
          </w:p>
          <w:p w14:paraId="386C577C" w14:textId="77777777" w:rsidR="00641A64" w:rsidRPr="009D177A" w:rsidRDefault="00641A64" w:rsidP="00856B8C">
            <w:pPr>
              <w:spacing w:after="0" w:line="240" w:lineRule="auto"/>
              <w:rPr>
                <w:sz w:val="20"/>
                <w:szCs w:val="20"/>
              </w:rPr>
            </w:pPr>
            <w:r>
              <w:rPr>
                <w:sz w:val="20"/>
                <w:szCs w:val="20"/>
              </w:rPr>
              <w:t>(Minutes/H</w:t>
            </w:r>
            <w:r w:rsidRPr="009D177A">
              <w:rPr>
                <w:sz w:val="20"/>
                <w:szCs w:val="20"/>
              </w:rPr>
              <w:t xml:space="preserve">ours) </w:t>
            </w:r>
          </w:p>
        </w:tc>
        <w:tc>
          <w:tcPr>
            <w:tcW w:w="1502" w:type="dxa"/>
            <w:tcBorders>
              <w:top w:val="single" w:sz="6" w:space="0" w:color="auto"/>
              <w:left w:val="single" w:sz="6" w:space="0" w:color="auto"/>
              <w:right w:val="single" w:sz="6" w:space="0" w:color="auto"/>
            </w:tcBorders>
          </w:tcPr>
          <w:p w14:paraId="2F650B76" w14:textId="77777777" w:rsidR="00641A64" w:rsidRPr="009D177A" w:rsidRDefault="00641A64" w:rsidP="00856B8C">
            <w:pPr>
              <w:spacing w:after="0" w:line="240" w:lineRule="auto"/>
              <w:rPr>
                <w:sz w:val="20"/>
                <w:szCs w:val="20"/>
              </w:rPr>
            </w:pPr>
            <w:r w:rsidRPr="009D177A">
              <w:rPr>
                <w:sz w:val="20"/>
                <w:szCs w:val="20"/>
              </w:rPr>
              <w:t xml:space="preserve">Total Annual  Burden Hour </w:t>
            </w:r>
          </w:p>
        </w:tc>
      </w:tr>
      <w:tr w:rsidR="00641A64" w:rsidRPr="009D177A" w14:paraId="70183575" w14:textId="77777777" w:rsidTr="005C3421">
        <w:trPr>
          <w:cantSplit/>
          <w:trHeight w:val="522"/>
        </w:trPr>
        <w:tc>
          <w:tcPr>
            <w:tcW w:w="1930" w:type="dxa"/>
            <w:tcBorders>
              <w:top w:val="single" w:sz="6" w:space="0" w:color="auto"/>
              <w:left w:val="single" w:sz="6" w:space="0" w:color="auto"/>
              <w:bottom w:val="single" w:sz="6" w:space="0" w:color="auto"/>
            </w:tcBorders>
          </w:tcPr>
          <w:p w14:paraId="7F9996CE" w14:textId="77777777" w:rsidR="00641A64" w:rsidRPr="009D177A" w:rsidRDefault="00641A64" w:rsidP="00856B8C">
            <w:pPr>
              <w:rPr>
                <w:sz w:val="20"/>
                <w:szCs w:val="20"/>
              </w:rPr>
            </w:pPr>
            <w:r w:rsidRPr="009D177A">
              <w:rPr>
                <w:sz w:val="20"/>
                <w:szCs w:val="20"/>
              </w:rPr>
              <w:t>Library workers</w:t>
            </w:r>
          </w:p>
        </w:tc>
        <w:tc>
          <w:tcPr>
            <w:tcW w:w="2264" w:type="dxa"/>
            <w:tcBorders>
              <w:top w:val="single" w:sz="6" w:space="0" w:color="auto"/>
              <w:left w:val="single" w:sz="6" w:space="0" w:color="auto"/>
              <w:bottom w:val="single" w:sz="6" w:space="0" w:color="auto"/>
            </w:tcBorders>
          </w:tcPr>
          <w:p w14:paraId="423B594B" w14:textId="77777777" w:rsidR="00641A64" w:rsidRPr="009D177A" w:rsidRDefault="00641A64" w:rsidP="00856B8C">
            <w:pPr>
              <w:rPr>
                <w:sz w:val="20"/>
                <w:szCs w:val="20"/>
              </w:rPr>
            </w:pPr>
            <w:r w:rsidRPr="009D177A">
              <w:rPr>
                <w:sz w:val="20"/>
                <w:szCs w:val="20"/>
              </w:rPr>
              <w:t>779</w:t>
            </w:r>
          </w:p>
        </w:tc>
        <w:tc>
          <w:tcPr>
            <w:tcW w:w="1871" w:type="dxa"/>
            <w:tcBorders>
              <w:top w:val="single" w:sz="6" w:space="0" w:color="auto"/>
              <w:left w:val="single" w:sz="6" w:space="0" w:color="auto"/>
              <w:bottom w:val="single" w:sz="6" w:space="0" w:color="auto"/>
              <w:right w:val="single" w:sz="6" w:space="0" w:color="auto"/>
            </w:tcBorders>
          </w:tcPr>
          <w:p w14:paraId="3CD92D10" w14:textId="77777777" w:rsidR="00641A64" w:rsidRPr="009D177A" w:rsidRDefault="00641A64" w:rsidP="00856B8C">
            <w:pPr>
              <w:jc w:val="center"/>
              <w:rPr>
                <w:sz w:val="20"/>
                <w:szCs w:val="20"/>
              </w:rPr>
            </w:pPr>
            <w:r>
              <w:rPr>
                <w:sz w:val="20"/>
                <w:szCs w:val="20"/>
              </w:rPr>
              <w:t>1</w:t>
            </w:r>
          </w:p>
        </w:tc>
        <w:tc>
          <w:tcPr>
            <w:tcW w:w="1997" w:type="dxa"/>
            <w:tcBorders>
              <w:top w:val="single" w:sz="6" w:space="0" w:color="auto"/>
              <w:left w:val="single" w:sz="6" w:space="0" w:color="auto"/>
              <w:bottom w:val="single" w:sz="6" w:space="0" w:color="auto"/>
            </w:tcBorders>
          </w:tcPr>
          <w:p w14:paraId="72A29C8C" w14:textId="77777777" w:rsidR="00641A64" w:rsidRPr="009D177A" w:rsidRDefault="00641A64" w:rsidP="00856B8C">
            <w:pPr>
              <w:jc w:val="center"/>
              <w:rPr>
                <w:sz w:val="20"/>
                <w:szCs w:val="20"/>
              </w:rPr>
            </w:pPr>
            <w:r w:rsidRPr="009D177A">
              <w:rPr>
                <w:sz w:val="20"/>
                <w:szCs w:val="20"/>
              </w:rPr>
              <w:t>30/60</w:t>
            </w:r>
          </w:p>
        </w:tc>
        <w:tc>
          <w:tcPr>
            <w:tcW w:w="1502" w:type="dxa"/>
            <w:tcBorders>
              <w:top w:val="single" w:sz="6" w:space="0" w:color="auto"/>
              <w:left w:val="single" w:sz="6" w:space="0" w:color="auto"/>
              <w:bottom w:val="single" w:sz="6" w:space="0" w:color="auto"/>
              <w:right w:val="single" w:sz="6" w:space="0" w:color="auto"/>
            </w:tcBorders>
          </w:tcPr>
          <w:p w14:paraId="635C899D" w14:textId="77777777" w:rsidR="00641A64" w:rsidRPr="009D177A" w:rsidRDefault="00641A64" w:rsidP="00856B8C">
            <w:pPr>
              <w:jc w:val="center"/>
              <w:rPr>
                <w:sz w:val="20"/>
                <w:szCs w:val="20"/>
              </w:rPr>
            </w:pPr>
            <w:r w:rsidRPr="009D177A">
              <w:rPr>
                <w:sz w:val="20"/>
                <w:szCs w:val="20"/>
              </w:rPr>
              <w:t>390</w:t>
            </w:r>
          </w:p>
        </w:tc>
      </w:tr>
      <w:tr w:rsidR="00641A64" w:rsidRPr="009D177A" w14:paraId="63C545F7" w14:textId="77777777" w:rsidTr="005C3421">
        <w:trPr>
          <w:cantSplit/>
          <w:trHeight w:val="522"/>
        </w:trPr>
        <w:tc>
          <w:tcPr>
            <w:tcW w:w="1930" w:type="dxa"/>
            <w:tcBorders>
              <w:top w:val="single" w:sz="6" w:space="0" w:color="auto"/>
              <w:left w:val="single" w:sz="6" w:space="0" w:color="auto"/>
              <w:bottom w:val="single" w:sz="4" w:space="0" w:color="auto"/>
            </w:tcBorders>
          </w:tcPr>
          <w:p w14:paraId="6BC7B925" w14:textId="77777777" w:rsidR="00641A64" w:rsidRPr="009D177A" w:rsidRDefault="00641A64" w:rsidP="00856B8C">
            <w:pPr>
              <w:rPr>
                <w:sz w:val="20"/>
                <w:szCs w:val="20"/>
              </w:rPr>
            </w:pPr>
            <w:r>
              <w:rPr>
                <w:sz w:val="20"/>
                <w:szCs w:val="20"/>
              </w:rPr>
              <w:t>Total</w:t>
            </w:r>
          </w:p>
        </w:tc>
        <w:tc>
          <w:tcPr>
            <w:tcW w:w="2264" w:type="dxa"/>
            <w:tcBorders>
              <w:top w:val="single" w:sz="6" w:space="0" w:color="auto"/>
              <w:left w:val="single" w:sz="6" w:space="0" w:color="auto"/>
              <w:bottom w:val="single" w:sz="4" w:space="0" w:color="auto"/>
            </w:tcBorders>
          </w:tcPr>
          <w:p w14:paraId="6816B328" w14:textId="77777777" w:rsidR="00641A64" w:rsidRPr="009D177A" w:rsidRDefault="00641A64" w:rsidP="00856B8C">
            <w:pPr>
              <w:rPr>
                <w:sz w:val="20"/>
                <w:szCs w:val="20"/>
              </w:rPr>
            </w:pPr>
          </w:p>
        </w:tc>
        <w:tc>
          <w:tcPr>
            <w:tcW w:w="1871" w:type="dxa"/>
            <w:tcBorders>
              <w:top w:val="single" w:sz="6" w:space="0" w:color="auto"/>
              <w:left w:val="single" w:sz="6" w:space="0" w:color="auto"/>
              <w:bottom w:val="single" w:sz="4" w:space="0" w:color="auto"/>
              <w:right w:val="single" w:sz="6" w:space="0" w:color="auto"/>
            </w:tcBorders>
          </w:tcPr>
          <w:p w14:paraId="46870AFA" w14:textId="77777777" w:rsidR="00641A64" w:rsidRDefault="00641A64" w:rsidP="00856B8C">
            <w:pPr>
              <w:jc w:val="center"/>
              <w:rPr>
                <w:sz w:val="20"/>
                <w:szCs w:val="20"/>
              </w:rPr>
            </w:pPr>
            <w:r>
              <w:rPr>
                <w:sz w:val="20"/>
                <w:szCs w:val="20"/>
              </w:rPr>
              <w:t>779</w:t>
            </w:r>
          </w:p>
        </w:tc>
        <w:tc>
          <w:tcPr>
            <w:tcW w:w="1997" w:type="dxa"/>
            <w:tcBorders>
              <w:top w:val="single" w:sz="6" w:space="0" w:color="auto"/>
              <w:left w:val="single" w:sz="6" w:space="0" w:color="auto"/>
              <w:bottom w:val="single" w:sz="4" w:space="0" w:color="auto"/>
            </w:tcBorders>
          </w:tcPr>
          <w:p w14:paraId="45BCEC37" w14:textId="77777777" w:rsidR="00641A64" w:rsidRPr="009D177A" w:rsidRDefault="00641A64" w:rsidP="00856B8C">
            <w:pPr>
              <w:jc w:val="center"/>
              <w:rPr>
                <w:sz w:val="20"/>
                <w:szCs w:val="20"/>
              </w:rPr>
            </w:pPr>
          </w:p>
        </w:tc>
        <w:tc>
          <w:tcPr>
            <w:tcW w:w="1502" w:type="dxa"/>
            <w:tcBorders>
              <w:top w:val="single" w:sz="6" w:space="0" w:color="auto"/>
              <w:left w:val="single" w:sz="6" w:space="0" w:color="auto"/>
              <w:bottom w:val="single" w:sz="4" w:space="0" w:color="auto"/>
              <w:right w:val="single" w:sz="6" w:space="0" w:color="auto"/>
            </w:tcBorders>
          </w:tcPr>
          <w:p w14:paraId="7BBEDA2F" w14:textId="77777777" w:rsidR="00641A64" w:rsidRPr="009D177A" w:rsidRDefault="00641A64" w:rsidP="00856B8C">
            <w:pPr>
              <w:jc w:val="center"/>
              <w:rPr>
                <w:sz w:val="20"/>
                <w:szCs w:val="20"/>
              </w:rPr>
            </w:pPr>
            <w:r>
              <w:rPr>
                <w:sz w:val="20"/>
                <w:szCs w:val="20"/>
              </w:rPr>
              <w:t>390</w:t>
            </w:r>
          </w:p>
        </w:tc>
      </w:tr>
    </w:tbl>
    <w:p w14:paraId="2346A767" w14:textId="77777777" w:rsidR="009B1270" w:rsidRDefault="009B1270" w:rsidP="00CD03B3">
      <w:pPr>
        <w:spacing w:after="20"/>
        <w:ind w:left="1440" w:firstLine="720"/>
      </w:pPr>
    </w:p>
    <w:p w14:paraId="6B90EFE3" w14:textId="0608AC32" w:rsidR="009A69D6" w:rsidRPr="00535A66" w:rsidRDefault="00535A66" w:rsidP="00CD03B3">
      <w:pPr>
        <w:spacing w:after="20"/>
        <w:ind w:left="1440" w:firstLine="720"/>
      </w:pPr>
      <w:r>
        <w:t xml:space="preserve">  </w:t>
      </w:r>
      <w:r w:rsidR="009A69D6" w:rsidRPr="00535A66">
        <w:t>A.12-2 Annualized Cost to the Respondents</w:t>
      </w:r>
    </w:p>
    <w:p w14:paraId="324FBFEB" w14:textId="77777777" w:rsidR="009A69D6" w:rsidRPr="007920FA" w:rsidRDefault="009A69D6" w:rsidP="009A69D6">
      <w:pPr>
        <w:spacing w:after="20"/>
        <w:rPr>
          <w:sz w:val="24"/>
          <w:szCs w:val="24"/>
        </w:rPr>
      </w:pPr>
    </w:p>
    <w:tbl>
      <w:tblPr>
        <w:tblW w:w="9510" w:type="dxa"/>
        <w:tblInd w:w="-8" w:type="dxa"/>
        <w:tblLayout w:type="fixed"/>
        <w:tblCellMar>
          <w:left w:w="100" w:type="dxa"/>
          <w:right w:w="100" w:type="dxa"/>
        </w:tblCellMar>
        <w:tblLook w:val="0000" w:firstRow="0" w:lastRow="0" w:firstColumn="0" w:lastColumn="0" w:noHBand="0" w:noVBand="0"/>
      </w:tblPr>
      <w:tblGrid>
        <w:gridCol w:w="2875"/>
        <w:gridCol w:w="1728"/>
        <w:gridCol w:w="1781"/>
        <w:gridCol w:w="1484"/>
        <w:gridCol w:w="1642"/>
      </w:tblGrid>
      <w:tr w:rsidR="009A69D6" w:rsidRPr="009D177A" w14:paraId="11673225" w14:textId="77777777" w:rsidTr="00D41A70">
        <w:trPr>
          <w:cantSplit/>
          <w:trHeight w:val="220"/>
        </w:trPr>
        <w:tc>
          <w:tcPr>
            <w:tcW w:w="2875" w:type="dxa"/>
            <w:tcBorders>
              <w:top w:val="single" w:sz="6" w:space="0" w:color="auto"/>
              <w:left w:val="single" w:sz="6" w:space="0" w:color="auto"/>
            </w:tcBorders>
          </w:tcPr>
          <w:p w14:paraId="388255F1" w14:textId="36366540" w:rsidR="009A69D6" w:rsidRPr="009D177A" w:rsidRDefault="009A69D6" w:rsidP="00BF60B0">
            <w:pPr>
              <w:spacing w:line="240" w:lineRule="auto"/>
              <w:rPr>
                <w:sz w:val="20"/>
                <w:szCs w:val="20"/>
              </w:rPr>
            </w:pPr>
            <w:r w:rsidRPr="009D177A">
              <w:rPr>
                <w:sz w:val="20"/>
                <w:szCs w:val="20"/>
              </w:rPr>
              <w:t>Type of Respondent</w:t>
            </w:r>
            <w:r w:rsidR="00BF60B0">
              <w:rPr>
                <w:sz w:val="20"/>
                <w:szCs w:val="20"/>
              </w:rPr>
              <w:t>s</w:t>
            </w:r>
            <w:r w:rsidRPr="009D177A">
              <w:rPr>
                <w:sz w:val="20"/>
                <w:szCs w:val="20"/>
              </w:rPr>
              <w:t xml:space="preserve"> </w:t>
            </w:r>
          </w:p>
        </w:tc>
        <w:tc>
          <w:tcPr>
            <w:tcW w:w="1728" w:type="dxa"/>
            <w:tcBorders>
              <w:top w:val="single" w:sz="6" w:space="0" w:color="auto"/>
              <w:left w:val="single" w:sz="6" w:space="0" w:color="auto"/>
            </w:tcBorders>
          </w:tcPr>
          <w:p w14:paraId="3F388D72" w14:textId="26E67B1F" w:rsidR="009A69D6" w:rsidRPr="009D177A" w:rsidRDefault="00BF60B0" w:rsidP="009D177A">
            <w:pPr>
              <w:spacing w:line="240" w:lineRule="auto"/>
              <w:rPr>
                <w:sz w:val="20"/>
                <w:szCs w:val="20"/>
              </w:rPr>
            </w:pPr>
            <w:r>
              <w:rPr>
                <w:sz w:val="20"/>
                <w:szCs w:val="20"/>
              </w:rPr>
              <w:t>Total Burden Hours</w:t>
            </w:r>
          </w:p>
        </w:tc>
        <w:tc>
          <w:tcPr>
            <w:tcW w:w="1781" w:type="dxa"/>
            <w:tcBorders>
              <w:top w:val="single" w:sz="6" w:space="0" w:color="auto"/>
              <w:left w:val="single" w:sz="6" w:space="0" w:color="auto"/>
            </w:tcBorders>
          </w:tcPr>
          <w:p w14:paraId="7B85E794" w14:textId="05C24D13" w:rsidR="009A69D6" w:rsidRPr="009D177A" w:rsidRDefault="00BF60B0" w:rsidP="009D177A">
            <w:pPr>
              <w:spacing w:line="240" w:lineRule="auto"/>
              <w:rPr>
                <w:sz w:val="20"/>
                <w:szCs w:val="20"/>
              </w:rPr>
            </w:pPr>
            <w:r>
              <w:rPr>
                <w:sz w:val="20"/>
                <w:szCs w:val="20"/>
              </w:rPr>
              <w:t>Hourly Respondent Wage Rate</w:t>
            </w:r>
          </w:p>
        </w:tc>
        <w:tc>
          <w:tcPr>
            <w:tcW w:w="1484" w:type="dxa"/>
            <w:tcBorders>
              <w:top w:val="single" w:sz="6" w:space="0" w:color="auto"/>
              <w:left w:val="single" w:sz="6" w:space="0" w:color="auto"/>
            </w:tcBorders>
          </w:tcPr>
          <w:p w14:paraId="5B1206AF" w14:textId="1E29011E" w:rsidR="009A69D6" w:rsidRPr="009D177A" w:rsidRDefault="00BF60B0" w:rsidP="00C96974">
            <w:pPr>
              <w:spacing w:line="240" w:lineRule="auto"/>
              <w:rPr>
                <w:sz w:val="20"/>
                <w:szCs w:val="20"/>
              </w:rPr>
            </w:pPr>
            <w:r>
              <w:rPr>
                <w:sz w:val="20"/>
                <w:szCs w:val="20"/>
              </w:rPr>
              <w:t>Annual Cost</w:t>
            </w:r>
          </w:p>
        </w:tc>
        <w:tc>
          <w:tcPr>
            <w:tcW w:w="1642" w:type="dxa"/>
            <w:tcBorders>
              <w:top w:val="single" w:sz="6" w:space="0" w:color="auto"/>
              <w:left w:val="single" w:sz="6" w:space="0" w:color="auto"/>
              <w:right w:val="single" w:sz="6" w:space="0" w:color="auto"/>
            </w:tcBorders>
          </w:tcPr>
          <w:p w14:paraId="054EEB75" w14:textId="77777777" w:rsidR="009A69D6" w:rsidRDefault="00BF60B0" w:rsidP="00C96974">
            <w:pPr>
              <w:spacing w:line="240" w:lineRule="auto"/>
              <w:rPr>
                <w:sz w:val="20"/>
                <w:szCs w:val="20"/>
              </w:rPr>
            </w:pPr>
            <w:r>
              <w:rPr>
                <w:sz w:val="20"/>
                <w:szCs w:val="20"/>
              </w:rPr>
              <w:t>Three Year Cost</w:t>
            </w:r>
          </w:p>
          <w:p w14:paraId="5D975365" w14:textId="314D80B2" w:rsidR="00BF60B0" w:rsidRPr="009D177A" w:rsidRDefault="00BF60B0" w:rsidP="00C96974">
            <w:pPr>
              <w:spacing w:line="240" w:lineRule="auto"/>
              <w:rPr>
                <w:sz w:val="20"/>
                <w:szCs w:val="20"/>
              </w:rPr>
            </w:pPr>
          </w:p>
        </w:tc>
      </w:tr>
      <w:tr w:rsidR="009E3684" w:rsidRPr="009D177A" w14:paraId="689ED337" w14:textId="77777777" w:rsidTr="00D41A70">
        <w:trPr>
          <w:cantSplit/>
          <w:trHeight w:val="220"/>
        </w:trPr>
        <w:tc>
          <w:tcPr>
            <w:tcW w:w="2875" w:type="dxa"/>
            <w:tcBorders>
              <w:top w:val="single" w:sz="6" w:space="0" w:color="auto"/>
              <w:left w:val="single" w:sz="6" w:space="0" w:color="auto"/>
              <w:bottom w:val="single" w:sz="4" w:space="0" w:color="auto"/>
            </w:tcBorders>
          </w:tcPr>
          <w:p w14:paraId="314525CC" w14:textId="3FABA339" w:rsidR="009E3684" w:rsidRPr="009D177A" w:rsidRDefault="009E3684" w:rsidP="009667B2">
            <w:pPr>
              <w:rPr>
                <w:sz w:val="20"/>
                <w:szCs w:val="20"/>
              </w:rPr>
            </w:pPr>
            <w:r w:rsidRPr="009D177A">
              <w:rPr>
                <w:sz w:val="20"/>
                <w:szCs w:val="20"/>
              </w:rPr>
              <w:t>Library workers</w:t>
            </w:r>
          </w:p>
        </w:tc>
        <w:tc>
          <w:tcPr>
            <w:tcW w:w="1728" w:type="dxa"/>
            <w:tcBorders>
              <w:top w:val="single" w:sz="6" w:space="0" w:color="auto"/>
              <w:left w:val="single" w:sz="6" w:space="0" w:color="auto"/>
              <w:bottom w:val="single" w:sz="4" w:space="0" w:color="auto"/>
            </w:tcBorders>
          </w:tcPr>
          <w:p w14:paraId="44C7D3CF" w14:textId="1B76DDA0" w:rsidR="009E3684" w:rsidRPr="009D177A" w:rsidRDefault="00BF60B0" w:rsidP="009667B2">
            <w:pPr>
              <w:rPr>
                <w:sz w:val="20"/>
                <w:szCs w:val="20"/>
              </w:rPr>
            </w:pPr>
            <w:r>
              <w:rPr>
                <w:sz w:val="20"/>
                <w:szCs w:val="20"/>
              </w:rPr>
              <w:t>390</w:t>
            </w:r>
          </w:p>
        </w:tc>
        <w:tc>
          <w:tcPr>
            <w:tcW w:w="1781" w:type="dxa"/>
            <w:tcBorders>
              <w:top w:val="single" w:sz="6" w:space="0" w:color="auto"/>
              <w:left w:val="single" w:sz="6" w:space="0" w:color="auto"/>
              <w:bottom w:val="single" w:sz="4" w:space="0" w:color="auto"/>
            </w:tcBorders>
          </w:tcPr>
          <w:p w14:paraId="17A5F157" w14:textId="79AA79E6" w:rsidR="00BF60B0" w:rsidRPr="009D177A" w:rsidRDefault="00BF60B0" w:rsidP="00BF60B0">
            <w:pPr>
              <w:rPr>
                <w:sz w:val="20"/>
                <w:szCs w:val="20"/>
              </w:rPr>
            </w:pPr>
            <w:r w:rsidRPr="009D177A">
              <w:rPr>
                <w:sz w:val="20"/>
                <w:szCs w:val="20"/>
              </w:rPr>
              <w:t>$20.35</w:t>
            </w:r>
            <w:r w:rsidR="00EA01D4">
              <w:rPr>
                <w:rStyle w:val="FootnoteReference"/>
                <w:sz w:val="20"/>
                <w:szCs w:val="20"/>
              </w:rPr>
              <w:t>*</w:t>
            </w:r>
          </w:p>
          <w:p w14:paraId="411577BA" w14:textId="17CC675C" w:rsidR="009E3684" w:rsidRPr="009D177A" w:rsidRDefault="009E3684" w:rsidP="009667B2">
            <w:pPr>
              <w:jc w:val="center"/>
              <w:rPr>
                <w:sz w:val="20"/>
                <w:szCs w:val="20"/>
              </w:rPr>
            </w:pPr>
          </w:p>
        </w:tc>
        <w:tc>
          <w:tcPr>
            <w:tcW w:w="1484" w:type="dxa"/>
            <w:tcBorders>
              <w:top w:val="single" w:sz="6" w:space="0" w:color="auto"/>
              <w:left w:val="single" w:sz="6" w:space="0" w:color="auto"/>
              <w:bottom w:val="single" w:sz="4" w:space="0" w:color="auto"/>
            </w:tcBorders>
          </w:tcPr>
          <w:p w14:paraId="6F9EF801" w14:textId="7994E03E" w:rsidR="009E3684" w:rsidRPr="009D177A" w:rsidRDefault="00472A67" w:rsidP="009E3684">
            <w:pPr>
              <w:rPr>
                <w:sz w:val="20"/>
                <w:szCs w:val="20"/>
              </w:rPr>
            </w:pPr>
            <w:r>
              <w:rPr>
                <w:sz w:val="20"/>
                <w:szCs w:val="20"/>
              </w:rPr>
              <w:t>$7936.50</w:t>
            </w:r>
          </w:p>
        </w:tc>
        <w:tc>
          <w:tcPr>
            <w:tcW w:w="1642" w:type="dxa"/>
            <w:tcBorders>
              <w:top w:val="single" w:sz="6" w:space="0" w:color="auto"/>
              <w:left w:val="single" w:sz="6" w:space="0" w:color="auto"/>
              <w:bottom w:val="single" w:sz="4" w:space="0" w:color="auto"/>
              <w:right w:val="single" w:sz="6" w:space="0" w:color="auto"/>
            </w:tcBorders>
          </w:tcPr>
          <w:p w14:paraId="409D2B9C" w14:textId="5F6BB61D" w:rsidR="009E3684" w:rsidRPr="009D177A" w:rsidRDefault="00472A67" w:rsidP="00472A67">
            <w:pPr>
              <w:rPr>
                <w:sz w:val="20"/>
                <w:szCs w:val="20"/>
              </w:rPr>
            </w:pPr>
            <w:r>
              <w:rPr>
                <w:sz w:val="20"/>
                <w:szCs w:val="20"/>
              </w:rPr>
              <w:t>$23,809.50</w:t>
            </w:r>
          </w:p>
        </w:tc>
      </w:tr>
    </w:tbl>
    <w:p w14:paraId="7C015B6D" w14:textId="77777777" w:rsidR="00200769" w:rsidRDefault="00200769" w:rsidP="00FF72FC">
      <w:pPr>
        <w:rPr>
          <w:b/>
        </w:rPr>
      </w:pPr>
    </w:p>
    <w:p w14:paraId="3DF68975" w14:textId="64B280F6" w:rsidR="00EA01D4" w:rsidRDefault="00EA01D4" w:rsidP="00EA01D4">
      <w:pPr>
        <w:pStyle w:val="FootnoteText"/>
      </w:pPr>
      <w:r>
        <w:rPr>
          <w:rStyle w:val="FootnoteReference"/>
        </w:rPr>
        <w:t>*</w:t>
      </w:r>
      <w:r>
        <w:t xml:space="preserve"> Bureau of Labor Statistics. Occupational Employment and Wages, May 2014 25-9099 Education, Training, and </w:t>
      </w:r>
      <w:r w:rsidRPr="0079437E">
        <w:rPr>
          <w:b/>
        </w:rPr>
        <w:t>Library Worker</w:t>
      </w:r>
      <w:r>
        <w:t xml:space="preserve">s: </w:t>
      </w:r>
      <w:hyperlink r:id="rId10" w:history="1">
        <w:r w:rsidRPr="004371ED">
          <w:rPr>
            <w:rStyle w:val="Hyperlink"/>
          </w:rPr>
          <w:t>http://www.bls.gov/oes/current/oes259099.htm</w:t>
        </w:r>
      </w:hyperlink>
    </w:p>
    <w:p w14:paraId="36042C70" w14:textId="77777777" w:rsidR="00EA01D4" w:rsidRDefault="00EA01D4" w:rsidP="00EA01D4">
      <w:pPr>
        <w:pStyle w:val="FootnoteText"/>
      </w:pPr>
    </w:p>
    <w:p w14:paraId="06236C77" w14:textId="77777777" w:rsidR="00FF72FC" w:rsidRPr="00E35DD1" w:rsidRDefault="00FF72FC" w:rsidP="00FF72FC">
      <w:pPr>
        <w:rPr>
          <w:b/>
        </w:rPr>
      </w:pPr>
      <w:r w:rsidRPr="00722859">
        <w:rPr>
          <w:b/>
        </w:rPr>
        <w:t>A.13</w:t>
      </w:r>
      <w:r w:rsidRPr="00722859">
        <w:rPr>
          <w:b/>
        </w:rPr>
        <w:tab/>
        <w:t>Estimate of Other Total Annual Cost Burden to Respondents or Record Keepers</w:t>
      </w:r>
    </w:p>
    <w:p w14:paraId="42B50FDA" w14:textId="29A41F6D" w:rsidR="00D85136" w:rsidRDefault="00253CD5" w:rsidP="00FF72FC">
      <w:r>
        <w:t>This information collection involves no other cost burden to respondents beyond that already outlined in section A.12 above. No system and technology acquisitions are necessary. The University of Wisconsin Survey Center is an existing unit of the University of Wisconsin-Madison and no special equipment will be required to handle information collection for this survey.</w:t>
      </w:r>
    </w:p>
    <w:p w14:paraId="053AF87C" w14:textId="77777777" w:rsidR="00FF72FC" w:rsidRPr="008942E9" w:rsidRDefault="00FF72FC" w:rsidP="00FF72FC">
      <w:pPr>
        <w:pStyle w:val="Heading2"/>
        <w:tabs>
          <w:tab w:val="clear" w:pos="1152"/>
          <w:tab w:val="left" w:pos="720"/>
        </w:tabs>
        <w:spacing w:after="0" w:line="480" w:lineRule="auto"/>
        <w:ind w:left="0" w:firstLine="0"/>
        <w:rPr>
          <w:rFonts w:ascii="Calibri" w:hAnsi="Calibri"/>
          <w:szCs w:val="22"/>
        </w:rPr>
      </w:pPr>
      <w:r w:rsidRPr="008942E9">
        <w:rPr>
          <w:rFonts w:ascii="Calibri" w:hAnsi="Calibri"/>
          <w:szCs w:val="22"/>
        </w:rPr>
        <w:t>A.14</w:t>
      </w:r>
      <w:r w:rsidRPr="008942E9">
        <w:rPr>
          <w:rFonts w:ascii="Calibri" w:hAnsi="Calibri"/>
          <w:szCs w:val="22"/>
        </w:rPr>
        <w:tab/>
        <w:t xml:space="preserve">Annualized Cost to the Federal Government  </w:t>
      </w:r>
    </w:p>
    <w:p w14:paraId="1DF4F51B" w14:textId="77777777" w:rsidR="001D024D" w:rsidRDefault="001D024D" w:rsidP="001D024D">
      <w:r>
        <w:t>The estimated annualized cost to the federal government is approximately $</w:t>
      </w:r>
      <w:r w:rsidRPr="001D024D">
        <w:t>27,266.65,</w:t>
      </w:r>
      <w:r>
        <w:t xml:space="preserve"> which amounts to a total estimated cost of $</w:t>
      </w:r>
      <w:r w:rsidRPr="001D024D">
        <w:t>81,799.95</w:t>
      </w:r>
      <w:r>
        <w:t xml:space="preserve"> over the duration of three years.  Table A.14-1 contains estimated costs by category of cost.    </w:t>
      </w:r>
    </w:p>
    <w:p w14:paraId="19CA3382" w14:textId="77777777" w:rsidR="001D024D" w:rsidRDefault="001D024D" w:rsidP="001D024D">
      <w:r>
        <w:tab/>
      </w:r>
      <w:r>
        <w:tab/>
      </w:r>
      <w:r>
        <w:tab/>
      </w:r>
      <w:r>
        <w:rPr>
          <w:b/>
        </w:rPr>
        <w:t>Table A.14-1 Annualized Costs to the Federal Government</w:t>
      </w:r>
    </w:p>
    <w:tbl>
      <w:tblPr>
        <w:tblW w:w="10013" w:type="dxa"/>
        <w:tblCellMar>
          <w:left w:w="0" w:type="dxa"/>
          <w:right w:w="0" w:type="dxa"/>
        </w:tblCellMar>
        <w:tblLook w:val="04A0" w:firstRow="1" w:lastRow="0" w:firstColumn="1" w:lastColumn="0" w:noHBand="0" w:noVBand="1"/>
      </w:tblPr>
      <w:tblGrid>
        <w:gridCol w:w="2874"/>
        <w:gridCol w:w="1514"/>
        <w:gridCol w:w="1326"/>
        <w:gridCol w:w="1433"/>
        <w:gridCol w:w="1433"/>
        <w:gridCol w:w="1433"/>
      </w:tblGrid>
      <w:tr w:rsidR="001D024D" w14:paraId="66232AD9" w14:textId="77777777" w:rsidTr="001D024D">
        <w:trPr>
          <w:trHeight w:val="856"/>
        </w:trPr>
        <w:tc>
          <w:tcPr>
            <w:tcW w:w="287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26BDB7" w14:textId="77777777" w:rsidR="001D024D" w:rsidRDefault="001D024D">
            <w:pPr>
              <w:jc w:val="center"/>
              <w:rPr>
                <w:b/>
                <w:bCs/>
                <w:i/>
                <w:color w:val="000000"/>
                <w:sz w:val="16"/>
                <w:szCs w:val="16"/>
              </w:rPr>
            </w:pPr>
            <w:r>
              <w:rPr>
                <w:b/>
                <w:bCs/>
                <w:i/>
                <w:color w:val="000000"/>
                <w:sz w:val="16"/>
                <w:szCs w:val="16"/>
              </w:rPr>
              <w:t>Staff</w:t>
            </w:r>
          </w:p>
        </w:tc>
        <w:tc>
          <w:tcPr>
            <w:tcW w:w="1514" w:type="dxa"/>
            <w:tcBorders>
              <w:top w:val="single" w:sz="8" w:space="0" w:color="auto"/>
              <w:left w:val="nil"/>
              <w:bottom w:val="single" w:sz="8" w:space="0" w:color="auto"/>
              <w:right w:val="single" w:sz="8" w:space="0" w:color="auto"/>
            </w:tcBorders>
            <w:vAlign w:val="bottom"/>
          </w:tcPr>
          <w:p w14:paraId="52491E39" w14:textId="77777777" w:rsidR="001D024D" w:rsidRDefault="001D024D">
            <w:pPr>
              <w:jc w:val="center"/>
              <w:rPr>
                <w:b/>
                <w:bCs/>
                <w:color w:val="1F497D"/>
                <w:sz w:val="16"/>
                <w:szCs w:val="16"/>
              </w:rPr>
            </w:pPr>
          </w:p>
          <w:p w14:paraId="5A195D94" w14:textId="77777777" w:rsidR="001D024D" w:rsidRDefault="001D024D">
            <w:pPr>
              <w:jc w:val="center"/>
              <w:rPr>
                <w:b/>
                <w:bCs/>
                <w:color w:val="000000"/>
                <w:sz w:val="16"/>
                <w:szCs w:val="16"/>
              </w:rPr>
            </w:pPr>
            <w:r>
              <w:rPr>
                <w:b/>
                <w:bCs/>
                <w:color w:val="000000"/>
                <w:sz w:val="16"/>
                <w:szCs w:val="16"/>
              </w:rPr>
              <w:t>Grade/Step</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A27CDAF" w14:textId="77777777" w:rsidR="001D024D" w:rsidRDefault="001D024D">
            <w:pPr>
              <w:jc w:val="center"/>
              <w:rPr>
                <w:b/>
                <w:bCs/>
                <w:sz w:val="16"/>
                <w:szCs w:val="16"/>
              </w:rPr>
            </w:pPr>
            <w:r>
              <w:rPr>
                <w:b/>
                <w:bCs/>
                <w:sz w:val="16"/>
                <w:szCs w:val="16"/>
              </w:rPr>
              <w:t>Salary</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40A8107" w14:textId="77777777" w:rsidR="001D024D" w:rsidRDefault="001D024D">
            <w:pPr>
              <w:jc w:val="center"/>
              <w:rPr>
                <w:b/>
                <w:bCs/>
                <w:sz w:val="16"/>
                <w:szCs w:val="16"/>
              </w:rPr>
            </w:pPr>
            <w:r>
              <w:rPr>
                <w:b/>
                <w:bCs/>
                <w:sz w:val="16"/>
                <w:szCs w:val="16"/>
              </w:rPr>
              <w:t>% of Effort</w:t>
            </w:r>
          </w:p>
        </w:tc>
        <w:tc>
          <w:tcPr>
            <w:tcW w:w="1433" w:type="dxa"/>
            <w:tcBorders>
              <w:top w:val="single" w:sz="8" w:space="0" w:color="auto"/>
              <w:left w:val="nil"/>
              <w:bottom w:val="single" w:sz="8" w:space="0" w:color="auto"/>
              <w:right w:val="single" w:sz="8" w:space="0" w:color="auto"/>
            </w:tcBorders>
            <w:hideMark/>
          </w:tcPr>
          <w:p w14:paraId="2204A3D7" w14:textId="77777777" w:rsidR="001D024D" w:rsidRDefault="001D024D">
            <w:pPr>
              <w:jc w:val="center"/>
              <w:rPr>
                <w:b/>
                <w:bCs/>
                <w:sz w:val="16"/>
                <w:szCs w:val="16"/>
              </w:rPr>
            </w:pPr>
            <w:r>
              <w:rPr>
                <w:b/>
                <w:bCs/>
                <w:sz w:val="16"/>
                <w:szCs w:val="16"/>
              </w:rPr>
              <w:t>Fringe (if applicable)</w:t>
            </w:r>
          </w:p>
        </w:tc>
        <w:tc>
          <w:tcPr>
            <w:tcW w:w="1433" w:type="dxa"/>
            <w:tcBorders>
              <w:top w:val="single" w:sz="8" w:space="0" w:color="auto"/>
              <w:left w:val="nil"/>
              <w:bottom w:val="single" w:sz="8" w:space="0" w:color="auto"/>
              <w:right w:val="single" w:sz="8" w:space="0" w:color="auto"/>
            </w:tcBorders>
            <w:hideMark/>
          </w:tcPr>
          <w:p w14:paraId="270E2EB9" w14:textId="77777777" w:rsidR="001D024D" w:rsidRDefault="001D024D">
            <w:pPr>
              <w:jc w:val="center"/>
              <w:rPr>
                <w:b/>
                <w:bCs/>
                <w:sz w:val="16"/>
                <w:szCs w:val="16"/>
              </w:rPr>
            </w:pPr>
            <w:r>
              <w:rPr>
                <w:b/>
                <w:bCs/>
                <w:sz w:val="16"/>
                <w:szCs w:val="16"/>
              </w:rPr>
              <w:t>Total Cost to Gov’t</w:t>
            </w:r>
          </w:p>
        </w:tc>
      </w:tr>
      <w:tr w:rsidR="001D024D" w14:paraId="50812A0C" w14:textId="77777777" w:rsidTr="001D024D">
        <w:trPr>
          <w:trHeight w:val="285"/>
        </w:trPr>
        <w:tc>
          <w:tcPr>
            <w:tcW w:w="28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2FB726" w14:textId="77777777" w:rsidR="001D024D" w:rsidRDefault="001D024D">
            <w:pPr>
              <w:rPr>
                <w:b/>
                <w:i/>
                <w:color w:val="000000"/>
                <w:sz w:val="16"/>
                <w:szCs w:val="16"/>
                <w:highlight w:val="yellow"/>
              </w:rPr>
            </w:pPr>
            <w:r>
              <w:rPr>
                <w:b/>
                <w:i/>
                <w:color w:val="000000"/>
                <w:sz w:val="16"/>
                <w:szCs w:val="16"/>
              </w:rPr>
              <w:t>Federal Oversight</w:t>
            </w:r>
          </w:p>
        </w:tc>
        <w:tc>
          <w:tcPr>
            <w:tcW w:w="1514" w:type="dxa"/>
            <w:tcBorders>
              <w:top w:val="nil"/>
              <w:left w:val="nil"/>
              <w:bottom w:val="single" w:sz="8" w:space="0" w:color="auto"/>
              <w:right w:val="single" w:sz="8" w:space="0" w:color="auto"/>
            </w:tcBorders>
          </w:tcPr>
          <w:p w14:paraId="3792115C" w14:textId="77777777" w:rsidR="001D024D" w:rsidRDefault="001D024D">
            <w:pPr>
              <w:jc w:val="right"/>
              <w:rPr>
                <w:color w:val="000000"/>
                <w:sz w:val="16"/>
                <w:szCs w:val="16"/>
                <w:highlight w:val="yellow"/>
              </w:rPr>
            </w:pPr>
          </w:p>
        </w:tc>
        <w:tc>
          <w:tcPr>
            <w:tcW w:w="132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B0C744" w14:textId="77777777" w:rsidR="001D024D" w:rsidRDefault="001D024D">
            <w:pPr>
              <w:rPr>
                <w:sz w:val="16"/>
                <w:szCs w:val="16"/>
              </w:rPr>
            </w:pPr>
          </w:p>
        </w:tc>
        <w:tc>
          <w:tcPr>
            <w:tcW w:w="14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D97B89" w14:textId="77777777" w:rsidR="001D024D" w:rsidRDefault="001D024D">
            <w:pPr>
              <w:rPr>
                <w:sz w:val="16"/>
                <w:szCs w:val="16"/>
              </w:rPr>
            </w:pPr>
          </w:p>
        </w:tc>
        <w:tc>
          <w:tcPr>
            <w:tcW w:w="1433" w:type="dxa"/>
            <w:tcBorders>
              <w:top w:val="nil"/>
              <w:left w:val="nil"/>
              <w:bottom w:val="single" w:sz="8" w:space="0" w:color="auto"/>
              <w:right w:val="single" w:sz="8" w:space="0" w:color="auto"/>
            </w:tcBorders>
            <w:shd w:val="clear" w:color="auto" w:fill="BFBFBF"/>
          </w:tcPr>
          <w:p w14:paraId="6B64E5BF" w14:textId="77777777" w:rsidR="001D024D" w:rsidRDefault="001D024D">
            <w:pPr>
              <w:rPr>
                <w:sz w:val="16"/>
                <w:szCs w:val="16"/>
              </w:rPr>
            </w:pPr>
          </w:p>
        </w:tc>
        <w:tc>
          <w:tcPr>
            <w:tcW w:w="1433" w:type="dxa"/>
            <w:tcBorders>
              <w:top w:val="nil"/>
              <w:left w:val="nil"/>
              <w:bottom w:val="single" w:sz="8" w:space="0" w:color="auto"/>
              <w:right w:val="single" w:sz="8" w:space="0" w:color="auto"/>
            </w:tcBorders>
          </w:tcPr>
          <w:p w14:paraId="18CECC52" w14:textId="77777777" w:rsidR="001D024D" w:rsidRDefault="001D024D">
            <w:pPr>
              <w:rPr>
                <w:sz w:val="16"/>
                <w:szCs w:val="16"/>
              </w:rPr>
            </w:pPr>
          </w:p>
        </w:tc>
      </w:tr>
      <w:tr w:rsidR="001D024D" w14:paraId="7F0A8AD5" w14:textId="77777777" w:rsidTr="001D024D">
        <w:trPr>
          <w:trHeight w:val="285"/>
        </w:trPr>
        <w:tc>
          <w:tcPr>
            <w:tcW w:w="28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36FA69" w14:textId="77777777" w:rsidR="001D024D" w:rsidRDefault="001D024D">
            <w:pPr>
              <w:rPr>
                <w:i/>
                <w:sz w:val="16"/>
                <w:szCs w:val="16"/>
              </w:rPr>
            </w:pPr>
            <w:r>
              <w:rPr>
                <w:i/>
                <w:sz w:val="16"/>
                <w:szCs w:val="16"/>
              </w:rPr>
              <w:t>NIH Project Oversight Officer</w:t>
            </w:r>
          </w:p>
        </w:tc>
        <w:tc>
          <w:tcPr>
            <w:tcW w:w="1514" w:type="dxa"/>
            <w:tcBorders>
              <w:top w:val="nil"/>
              <w:left w:val="nil"/>
              <w:bottom w:val="single" w:sz="8" w:space="0" w:color="auto"/>
              <w:right w:val="single" w:sz="8" w:space="0" w:color="auto"/>
            </w:tcBorders>
            <w:hideMark/>
          </w:tcPr>
          <w:p w14:paraId="06313EC7" w14:textId="76882BB8" w:rsidR="001D024D" w:rsidRDefault="0089677A">
            <w:pPr>
              <w:rPr>
                <w:sz w:val="16"/>
                <w:szCs w:val="16"/>
              </w:rPr>
            </w:pPr>
            <w:r>
              <w:rPr>
                <w:sz w:val="16"/>
                <w:szCs w:val="16"/>
              </w:rPr>
              <w:t xml:space="preserve">            </w:t>
            </w:r>
            <w:r w:rsidR="001D024D">
              <w:rPr>
                <w:sz w:val="16"/>
                <w:szCs w:val="16"/>
              </w:rPr>
              <w:t>GS14-7</w:t>
            </w:r>
          </w:p>
        </w:tc>
        <w:tc>
          <w:tcPr>
            <w:tcW w:w="13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420759" w14:textId="61023C3C" w:rsidR="001D024D" w:rsidRDefault="0089677A">
            <w:pPr>
              <w:rPr>
                <w:sz w:val="16"/>
                <w:szCs w:val="16"/>
              </w:rPr>
            </w:pPr>
            <w:r>
              <w:rPr>
                <w:sz w:val="16"/>
                <w:szCs w:val="16"/>
              </w:rPr>
              <w:t xml:space="preserve">      </w:t>
            </w:r>
            <w:r w:rsidR="001D024D">
              <w:rPr>
                <w:sz w:val="16"/>
                <w:szCs w:val="16"/>
              </w:rPr>
              <w:t>$</w:t>
            </w:r>
            <w:r w:rsidR="001D024D" w:rsidRPr="001D024D">
              <w:rPr>
                <w:sz w:val="16"/>
                <w:szCs w:val="16"/>
              </w:rPr>
              <w:t>130,666</w:t>
            </w:r>
          </w:p>
        </w:tc>
        <w:tc>
          <w:tcPr>
            <w:tcW w:w="14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20BDDE" w14:textId="2DCDB685" w:rsidR="001D024D" w:rsidRDefault="0089677A">
            <w:pPr>
              <w:rPr>
                <w:sz w:val="16"/>
                <w:szCs w:val="16"/>
              </w:rPr>
            </w:pPr>
            <w:r>
              <w:rPr>
                <w:sz w:val="16"/>
                <w:szCs w:val="16"/>
              </w:rPr>
              <w:t xml:space="preserve">        </w:t>
            </w:r>
            <w:r w:rsidR="001D024D">
              <w:rPr>
                <w:sz w:val="16"/>
                <w:szCs w:val="16"/>
              </w:rPr>
              <w:t>2.5%</w:t>
            </w:r>
          </w:p>
        </w:tc>
        <w:tc>
          <w:tcPr>
            <w:tcW w:w="1433" w:type="dxa"/>
            <w:tcBorders>
              <w:top w:val="nil"/>
              <w:left w:val="nil"/>
              <w:bottom w:val="single" w:sz="8" w:space="0" w:color="auto"/>
              <w:right w:val="single" w:sz="8" w:space="0" w:color="auto"/>
            </w:tcBorders>
            <w:shd w:val="clear" w:color="auto" w:fill="BFBFBF"/>
          </w:tcPr>
          <w:p w14:paraId="7D20D3FF" w14:textId="77777777" w:rsidR="001D024D" w:rsidRDefault="001D024D">
            <w:pPr>
              <w:rPr>
                <w:sz w:val="16"/>
                <w:szCs w:val="16"/>
              </w:rPr>
            </w:pPr>
          </w:p>
        </w:tc>
        <w:tc>
          <w:tcPr>
            <w:tcW w:w="1433" w:type="dxa"/>
            <w:tcBorders>
              <w:top w:val="nil"/>
              <w:left w:val="nil"/>
              <w:bottom w:val="single" w:sz="8" w:space="0" w:color="auto"/>
              <w:right w:val="single" w:sz="8" w:space="0" w:color="auto"/>
            </w:tcBorders>
            <w:hideMark/>
          </w:tcPr>
          <w:p w14:paraId="6F71E27B" w14:textId="47DFD54C" w:rsidR="001D024D" w:rsidRDefault="0089677A">
            <w:pPr>
              <w:rPr>
                <w:sz w:val="16"/>
                <w:szCs w:val="16"/>
              </w:rPr>
            </w:pPr>
            <w:r>
              <w:rPr>
                <w:sz w:val="16"/>
                <w:szCs w:val="16"/>
              </w:rPr>
              <w:t xml:space="preserve">     </w:t>
            </w:r>
            <w:r w:rsidR="001D024D" w:rsidRPr="001D024D">
              <w:rPr>
                <w:sz w:val="16"/>
                <w:szCs w:val="16"/>
              </w:rPr>
              <w:t>$3,266.65</w:t>
            </w:r>
          </w:p>
        </w:tc>
      </w:tr>
      <w:tr w:rsidR="001D024D" w14:paraId="2597C433" w14:textId="77777777" w:rsidTr="001D024D">
        <w:trPr>
          <w:trHeight w:val="285"/>
        </w:trPr>
        <w:tc>
          <w:tcPr>
            <w:tcW w:w="28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26010A" w14:textId="77777777" w:rsidR="001D024D" w:rsidRDefault="001D024D">
            <w:pPr>
              <w:rPr>
                <w:b/>
                <w:i/>
                <w:sz w:val="16"/>
                <w:szCs w:val="16"/>
              </w:rPr>
            </w:pPr>
            <w:r>
              <w:rPr>
                <w:b/>
                <w:i/>
                <w:sz w:val="16"/>
                <w:szCs w:val="16"/>
              </w:rPr>
              <w:t>Contractor Cost</w:t>
            </w:r>
          </w:p>
        </w:tc>
        <w:tc>
          <w:tcPr>
            <w:tcW w:w="1514" w:type="dxa"/>
            <w:tcBorders>
              <w:top w:val="nil"/>
              <w:left w:val="nil"/>
              <w:bottom w:val="single" w:sz="8" w:space="0" w:color="auto"/>
              <w:right w:val="single" w:sz="8" w:space="0" w:color="auto"/>
            </w:tcBorders>
            <w:shd w:val="clear" w:color="auto" w:fill="BFBFBF"/>
          </w:tcPr>
          <w:p w14:paraId="5A02CB73" w14:textId="77777777" w:rsidR="001D024D" w:rsidRDefault="001D024D">
            <w:pPr>
              <w:rPr>
                <w:sz w:val="16"/>
                <w:szCs w:val="16"/>
              </w:rPr>
            </w:pPr>
          </w:p>
        </w:tc>
        <w:tc>
          <w:tcPr>
            <w:tcW w:w="132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43ED7E" w14:textId="77777777" w:rsidR="001D024D" w:rsidRDefault="001D024D">
            <w:pPr>
              <w:rPr>
                <w:sz w:val="16"/>
                <w:szCs w:val="16"/>
              </w:rPr>
            </w:pPr>
          </w:p>
        </w:tc>
        <w:tc>
          <w:tcPr>
            <w:tcW w:w="14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FAD823" w14:textId="77777777" w:rsidR="001D024D" w:rsidRDefault="001D024D">
            <w:pPr>
              <w:rPr>
                <w:sz w:val="16"/>
                <w:szCs w:val="16"/>
              </w:rPr>
            </w:pPr>
          </w:p>
        </w:tc>
        <w:tc>
          <w:tcPr>
            <w:tcW w:w="1433" w:type="dxa"/>
            <w:tcBorders>
              <w:top w:val="nil"/>
              <w:left w:val="nil"/>
              <w:bottom w:val="single" w:sz="8" w:space="0" w:color="auto"/>
              <w:right w:val="single" w:sz="8" w:space="0" w:color="auto"/>
            </w:tcBorders>
          </w:tcPr>
          <w:p w14:paraId="524276A1" w14:textId="77777777" w:rsidR="001D024D" w:rsidRDefault="001D024D">
            <w:pPr>
              <w:rPr>
                <w:sz w:val="16"/>
                <w:szCs w:val="16"/>
              </w:rPr>
            </w:pPr>
          </w:p>
        </w:tc>
        <w:tc>
          <w:tcPr>
            <w:tcW w:w="1433" w:type="dxa"/>
            <w:tcBorders>
              <w:top w:val="nil"/>
              <w:left w:val="nil"/>
              <w:bottom w:val="single" w:sz="8" w:space="0" w:color="auto"/>
              <w:right w:val="single" w:sz="8" w:space="0" w:color="auto"/>
            </w:tcBorders>
          </w:tcPr>
          <w:p w14:paraId="5ACDD601" w14:textId="77777777" w:rsidR="001D024D" w:rsidRDefault="001D024D">
            <w:pPr>
              <w:rPr>
                <w:sz w:val="16"/>
                <w:szCs w:val="16"/>
              </w:rPr>
            </w:pPr>
          </w:p>
        </w:tc>
      </w:tr>
      <w:tr w:rsidR="001D024D" w14:paraId="25FADD86" w14:textId="77777777" w:rsidTr="001D024D">
        <w:trPr>
          <w:trHeight w:val="285"/>
        </w:trPr>
        <w:tc>
          <w:tcPr>
            <w:tcW w:w="28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4E9837" w14:textId="77777777" w:rsidR="001D024D" w:rsidRDefault="001D024D">
            <w:pPr>
              <w:rPr>
                <w:i/>
                <w:sz w:val="16"/>
                <w:szCs w:val="16"/>
              </w:rPr>
            </w:pPr>
            <w:r>
              <w:rPr>
                <w:i/>
                <w:sz w:val="16"/>
                <w:szCs w:val="16"/>
              </w:rPr>
              <w:lastRenderedPageBreak/>
              <w:t>U of W Survey Center</w:t>
            </w:r>
          </w:p>
        </w:tc>
        <w:tc>
          <w:tcPr>
            <w:tcW w:w="1514" w:type="dxa"/>
            <w:tcBorders>
              <w:top w:val="nil"/>
              <w:left w:val="nil"/>
              <w:bottom w:val="single" w:sz="8" w:space="0" w:color="auto"/>
              <w:right w:val="single" w:sz="8" w:space="0" w:color="auto"/>
            </w:tcBorders>
          </w:tcPr>
          <w:p w14:paraId="44325EF4" w14:textId="77777777" w:rsidR="001D024D" w:rsidRDefault="001D024D">
            <w:pPr>
              <w:rPr>
                <w:sz w:val="16"/>
                <w:szCs w:val="16"/>
              </w:rPr>
            </w:pPr>
          </w:p>
        </w:tc>
        <w:tc>
          <w:tcPr>
            <w:tcW w:w="132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71A2D6" w14:textId="77777777" w:rsidR="001D024D" w:rsidRDefault="001D024D">
            <w:pPr>
              <w:rPr>
                <w:sz w:val="16"/>
                <w:szCs w:val="16"/>
              </w:rPr>
            </w:pPr>
          </w:p>
        </w:tc>
        <w:tc>
          <w:tcPr>
            <w:tcW w:w="14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80D0AC" w14:textId="77777777" w:rsidR="001D024D" w:rsidRDefault="001D024D">
            <w:pPr>
              <w:rPr>
                <w:sz w:val="16"/>
                <w:szCs w:val="16"/>
              </w:rPr>
            </w:pPr>
          </w:p>
        </w:tc>
        <w:tc>
          <w:tcPr>
            <w:tcW w:w="1433" w:type="dxa"/>
            <w:tcBorders>
              <w:top w:val="nil"/>
              <w:left w:val="nil"/>
              <w:bottom w:val="single" w:sz="8" w:space="0" w:color="auto"/>
              <w:right w:val="single" w:sz="8" w:space="0" w:color="auto"/>
            </w:tcBorders>
          </w:tcPr>
          <w:p w14:paraId="35D223A9" w14:textId="77777777" w:rsidR="001D024D" w:rsidRDefault="001D024D">
            <w:pPr>
              <w:rPr>
                <w:sz w:val="16"/>
                <w:szCs w:val="16"/>
              </w:rPr>
            </w:pPr>
          </w:p>
        </w:tc>
        <w:tc>
          <w:tcPr>
            <w:tcW w:w="1433" w:type="dxa"/>
            <w:tcBorders>
              <w:top w:val="nil"/>
              <w:left w:val="nil"/>
              <w:bottom w:val="single" w:sz="8" w:space="0" w:color="auto"/>
              <w:right w:val="single" w:sz="8" w:space="0" w:color="auto"/>
            </w:tcBorders>
            <w:hideMark/>
          </w:tcPr>
          <w:p w14:paraId="59AEE7AE" w14:textId="71069B4C" w:rsidR="001D024D" w:rsidRDefault="0089677A">
            <w:pPr>
              <w:rPr>
                <w:sz w:val="16"/>
                <w:szCs w:val="16"/>
              </w:rPr>
            </w:pPr>
            <w:r>
              <w:rPr>
                <w:sz w:val="16"/>
                <w:szCs w:val="16"/>
              </w:rPr>
              <w:t xml:space="preserve">    </w:t>
            </w:r>
            <w:r w:rsidR="001D024D">
              <w:rPr>
                <w:sz w:val="16"/>
                <w:szCs w:val="16"/>
              </w:rPr>
              <w:t>$24,000.00</w:t>
            </w:r>
          </w:p>
        </w:tc>
      </w:tr>
      <w:tr w:rsidR="001D024D" w14:paraId="632838DB" w14:textId="77777777" w:rsidTr="001D024D">
        <w:trPr>
          <w:trHeight w:val="285"/>
        </w:trPr>
        <w:tc>
          <w:tcPr>
            <w:tcW w:w="28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1112F5" w14:textId="77777777" w:rsidR="001D024D" w:rsidRDefault="001D024D">
            <w:pPr>
              <w:rPr>
                <w:i/>
                <w:sz w:val="16"/>
                <w:szCs w:val="16"/>
              </w:rPr>
            </w:pPr>
            <w:r>
              <w:rPr>
                <w:i/>
                <w:sz w:val="16"/>
                <w:szCs w:val="16"/>
              </w:rPr>
              <w:t>Travel</w:t>
            </w:r>
          </w:p>
        </w:tc>
        <w:tc>
          <w:tcPr>
            <w:tcW w:w="1514" w:type="dxa"/>
            <w:tcBorders>
              <w:top w:val="nil"/>
              <w:left w:val="nil"/>
              <w:bottom w:val="single" w:sz="8" w:space="0" w:color="auto"/>
              <w:right w:val="single" w:sz="8" w:space="0" w:color="auto"/>
            </w:tcBorders>
            <w:shd w:val="clear" w:color="auto" w:fill="BFBFBF"/>
          </w:tcPr>
          <w:p w14:paraId="3E10FA1A" w14:textId="77777777" w:rsidR="001D024D" w:rsidRDefault="001D024D">
            <w:pPr>
              <w:rPr>
                <w:sz w:val="16"/>
                <w:szCs w:val="16"/>
              </w:rPr>
            </w:pPr>
          </w:p>
        </w:tc>
        <w:tc>
          <w:tcPr>
            <w:tcW w:w="132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C577AA8" w14:textId="77777777" w:rsidR="001D024D" w:rsidRDefault="001D024D">
            <w:pPr>
              <w:rPr>
                <w:sz w:val="16"/>
                <w:szCs w:val="16"/>
              </w:rPr>
            </w:pPr>
          </w:p>
        </w:tc>
        <w:tc>
          <w:tcPr>
            <w:tcW w:w="143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3095640" w14:textId="77777777" w:rsidR="001D024D" w:rsidRDefault="001D024D">
            <w:pPr>
              <w:rPr>
                <w:sz w:val="16"/>
                <w:szCs w:val="16"/>
              </w:rPr>
            </w:pPr>
          </w:p>
        </w:tc>
        <w:tc>
          <w:tcPr>
            <w:tcW w:w="1433" w:type="dxa"/>
            <w:tcBorders>
              <w:top w:val="nil"/>
              <w:left w:val="nil"/>
              <w:bottom w:val="single" w:sz="8" w:space="0" w:color="auto"/>
              <w:right w:val="single" w:sz="8" w:space="0" w:color="auto"/>
            </w:tcBorders>
            <w:shd w:val="clear" w:color="auto" w:fill="BFBFBF"/>
          </w:tcPr>
          <w:p w14:paraId="083E9937" w14:textId="77777777" w:rsidR="001D024D" w:rsidRDefault="001D024D">
            <w:pPr>
              <w:rPr>
                <w:sz w:val="16"/>
                <w:szCs w:val="16"/>
              </w:rPr>
            </w:pPr>
          </w:p>
        </w:tc>
        <w:tc>
          <w:tcPr>
            <w:tcW w:w="1433" w:type="dxa"/>
            <w:tcBorders>
              <w:top w:val="nil"/>
              <w:left w:val="nil"/>
              <w:bottom w:val="single" w:sz="8" w:space="0" w:color="auto"/>
              <w:right w:val="single" w:sz="8" w:space="0" w:color="auto"/>
            </w:tcBorders>
            <w:hideMark/>
          </w:tcPr>
          <w:p w14:paraId="64887CCA" w14:textId="49F89A16" w:rsidR="001D024D" w:rsidRDefault="0089677A">
            <w:pPr>
              <w:rPr>
                <w:sz w:val="16"/>
                <w:szCs w:val="16"/>
              </w:rPr>
            </w:pPr>
            <w:r>
              <w:rPr>
                <w:sz w:val="16"/>
                <w:szCs w:val="16"/>
              </w:rPr>
              <w:t xml:space="preserve">           </w:t>
            </w:r>
            <w:r w:rsidR="001D024D">
              <w:rPr>
                <w:sz w:val="16"/>
                <w:szCs w:val="16"/>
              </w:rPr>
              <w:t>NA</w:t>
            </w:r>
          </w:p>
        </w:tc>
      </w:tr>
      <w:tr w:rsidR="001D024D" w14:paraId="7C374028" w14:textId="77777777" w:rsidTr="001D024D">
        <w:trPr>
          <w:trHeight w:val="285"/>
        </w:trPr>
        <w:tc>
          <w:tcPr>
            <w:tcW w:w="28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1A23D8" w14:textId="77777777" w:rsidR="001D024D" w:rsidRDefault="001D024D">
            <w:pPr>
              <w:rPr>
                <w:i/>
                <w:color w:val="1F497D"/>
                <w:sz w:val="16"/>
                <w:szCs w:val="16"/>
                <w:highlight w:val="yellow"/>
              </w:rPr>
            </w:pPr>
            <w:r>
              <w:rPr>
                <w:i/>
                <w:sz w:val="16"/>
                <w:szCs w:val="16"/>
              </w:rPr>
              <w:t xml:space="preserve">Other Cost </w:t>
            </w:r>
          </w:p>
        </w:tc>
        <w:tc>
          <w:tcPr>
            <w:tcW w:w="1514" w:type="dxa"/>
            <w:tcBorders>
              <w:top w:val="nil"/>
              <w:left w:val="nil"/>
              <w:bottom w:val="single" w:sz="8" w:space="0" w:color="auto"/>
              <w:right w:val="single" w:sz="8" w:space="0" w:color="auto"/>
            </w:tcBorders>
            <w:shd w:val="clear" w:color="auto" w:fill="BFBFBF"/>
          </w:tcPr>
          <w:p w14:paraId="1ADDD9BB" w14:textId="77777777" w:rsidR="001D024D" w:rsidRDefault="001D024D">
            <w:pPr>
              <w:rPr>
                <w:color w:val="000000"/>
                <w:sz w:val="16"/>
                <w:szCs w:val="16"/>
              </w:rPr>
            </w:pPr>
          </w:p>
        </w:tc>
        <w:tc>
          <w:tcPr>
            <w:tcW w:w="132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BF6A09E" w14:textId="77777777" w:rsidR="001D024D" w:rsidRDefault="001D024D">
            <w:pPr>
              <w:rPr>
                <w:sz w:val="16"/>
                <w:szCs w:val="16"/>
              </w:rPr>
            </w:pPr>
          </w:p>
        </w:tc>
        <w:tc>
          <w:tcPr>
            <w:tcW w:w="143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F7CA464" w14:textId="77777777" w:rsidR="001D024D" w:rsidRDefault="001D024D">
            <w:pPr>
              <w:rPr>
                <w:sz w:val="16"/>
                <w:szCs w:val="16"/>
              </w:rPr>
            </w:pPr>
          </w:p>
        </w:tc>
        <w:tc>
          <w:tcPr>
            <w:tcW w:w="1433" w:type="dxa"/>
            <w:tcBorders>
              <w:top w:val="nil"/>
              <w:left w:val="nil"/>
              <w:bottom w:val="single" w:sz="8" w:space="0" w:color="auto"/>
              <w:right w:val="single" w:sz="8" w:space="0" w:color="auto"/>
            </w:tcBorders>
            <w:shd w:val="clear" w:color="auto" w:fill="BFBFBF"/>
          </w:tcPr>
          <w:p w14:paraId="7BBB65BE" w14:textId="77777777" w:rsidR="001D024D" w:rsidRDefault="001D024D">
            <w:pPr>
              <w:rPr>
                <w:sz w:val="16"/>
                <w:szCs w:val="16"/>
              </w:rPr>
            </w:pPr>
          </w:p>
        </w:tc>
        <w:tc>
          <w:tcPr>
            <w:tcW w:w="1433" w:type="dxa"/>
            <w:tcBorders>
              <w:top w:val="nil"/>
              <w:left w:val="nil"/>
              <w:bottom w:val="single" w:sz="8" w:space="0" w:color="auto"/>
              <w:right w:val="single" w:sz="8" w:space="0" w:color="auto"/>
            </w:tcBorders>
            <w:hideMark/>
          </w:tcPr>
          <w:p w14:paraId="5F3B2CEC" w14:textId="613C1F66" w:rsidR="001D024D" w:rsidRDefault="0089677A">
            <w:pPr>
              <w:rPr>
                <w:sz w:val="16"/>
                <w:szCs w:val="16"/>
              </w:rPr>
            </w:pPr>
            <w:r>
              <w:rPr>
                <w:sz w:val="16"/>
                <w:szCs w:val="16"/>
              </w:rPr>
              <w:t xml:space="preserve">           </w:t>
            </w:r>
            <w:r w:rsidR="001D024D">
              <w:rPr>
                <w:sz w:val="16"/>
                <w:szCs w:val="16"/>
              </w:rPr>
              <w:t>NA</w:t>
            </w:r>
          </w:p>
        </w:tc>
      </w:tr>
      <w:tr w:rsidR="001D024D" w14:paraId="1E285162" w14:textId="77777777" w:rsidTr="001D024D">
        <w:trPr>
          <w:trHeight w:val="285"/>
        </w:trPr>
        <w:tc>
          <w:tcPr>
            <w:tcW w:w="28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A54A58" w14:textId="77777777" w:rsidR="001D024D" w:rsidRDefault="001D024D">
            <w:pPr>
              <w:rPr>
                <w:sz w:val="16"/>
                <w:szCs w:val="16"/>
              </w:rPr>
            </w:pPr>
          </w:p>
        </w:tc>
        <w:tc>
          <w:tcPr>
            <w:tcW w:w="1514" w:type="dxa"/>
            <w:tcBorders>
              <w:top w:val="nil"/>
              <w:left w:val="nil"/>
              <w:bottom w:val="single" w:sz="8" w:space="0" w:color="auto"/>
              <w:right w:val="single" w:sz="8" w:space="0" w:color="auto"/>
            </w:tcBorders>
            <w:shd w:val="clear" w:color="auto" w:fill="BFBFBF"/>
          </w:tcPr>
          <w:p w14:paraId="56221012" w14:textId="77777777" w:rsidR="001D024D" w:rsidRDefault="001D024D">
            <w:pPr>
              <w:rPr>
                <w:sz w:val="16"/>
                <w:szCs w:val="16"/>
              </w:rPr>
            </w:pPr>
          </w:p>
        </w:tc>
        <w:tc>
          <w:tcPr>
            <w:tcW w:w="132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73CF7759" w14:textId="77777777" w:rsidR="001D024D" w:rsidRDefault="001D024D">
            <w:pPr>
              <w:rPr>
                <w:sz w:val="16"/>
                <w:szCs w:val="16"/>
              </w:rPr>
            </w:pPr>
          </w:p>
        </w:tc>
        <w:tc>
          <w:tcPr>
            <w:tcW w:w="143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922985A" w14:textId="77777777" w:rsidR="001D024D" w:rsidRDefault="001D024D">
            <w:pPr>
              <w:rPr>
                <w:b/>
                <w:sz w:val="16"/>
                <w:szCs w:val="16"/>
              </w:rPr>
            </w:pPr>
          </w:p>
        </w:tc>
        <w:tc>
          <w:tcPr>
            <w:tcW w:w="1433" w:type="dxa"/>
            <w:tcBorders>
              <w:top w:val="nil"/>
              <w:left w:val="nil"/>
              <w:bottom w:val="single" w:sz="8" w:space="0" w:color="auto"/>
              <w:right w:val="single" w:sz="8" w:space="0" w:color="auto"/>
            </w:tcBorders>
            <w:shd w:val="clear" w:color="auto" w:fill="BFBFBF"/>
          </w:tcPr>
          <w:p w14:paraId="3F3B9AD3" w14:textId="77777777" w:rsidR="001D024D" w:rsidRDefault="001D024D">
            <w:pPr>
              <w:rPr>
                <w:b/>
                <w:sz w:val="16"/>
                <w:szCs w:val="16"/>
              </w:rPr>
            </w:pPr>
          </w:p>
        </w:tc>
        <w:tc>
          <w:tcPr>
            <w:tcW w:w="1433" w:type="dxa"/>
            <w:tcBorders>
              <w:top w:val="nil"/>
              <w:left w:val="nil"/>
              <w:bottom w:val="single" w:sz="8" w:space="0" w:color="auto"/>
              <w:right w:val="single" w:sz="8" w:space="0" w:color="auto"/>
            </w:tcBorders>
          </w:tcPr>
          <w:p w14:paraId="6CAF5A4E" w14:textId="77777777" w:rsidR="001D024D" w:rsidRDefault="001D024D">
            <w:pPr>
              <w:rPr>
                <w:b/>
                <w:sz w:val="16"/>
                <w:szCs w:val="16"/>
              </w:rPr>
            </w:pPr>
          </w:p>
        </w:tc>
      </w:tr>
      <w:tr w:rsidR="001D024D" w14:paraId="79CCA9A4" w14:textId="77777777" w:rsidTr="001D024D">
        <w:trPr>
          <w:trHeight w:val="285"/>
        </w:trPr>
        <w:tc>
          <w:tcPr>
            <w:tcW w:w="28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C6D793" w14:textId="77777777" w:rsidR="001D024D" w:rsidRDefault="001D024D">
            <w:pPr>
              <w:rPr>
                <w:i/>
                <w:sz w:val="16"/>
                <w:szCs w:val="16"/>
              </w:rPr>
            </w:pPr>
            <w:r>
              <w:rPr>
                <w:i/>
                <w:sz w:val="16"/>
                <w:szCs w:val="16"/>
              </w:rPr>
              <w:t>Total cost</w:t>
            </w:r>
          </w:p>
        </w:tc>
        <w:tc>
          <w:tcPr>
            <w:tcW w:w="1514" w:type="dxa"/>
            <w:tcBorders>
              <w:top w:val="nil"/>
              <w:left w:val="nil"/>
              <w:bottom w:val="single" w:sz="8" w:space="0" w:color="auto"/>
              <w:right w:val="single" w:sz="8" w:space="0" w:color="auto"/>
            </w:tcBorders>
          </w:tcPr>
          <w:p w14:paraId="6648D401" w14:textId="77777777" w:rsidR="001D024D" w:rsidRDefault="001D024D">
            <w:pPr>
              <w:rPr>
                <w:sz w:val="16"/>
                <w:szCs w:val="16"/>
              </w:rPr>
            </w:pPr>
          </w:p>
        </w:tc>
        <w:tc>
          <w:tcPr>
            <w:tcW w:w="13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FA0DA5" w14:textId="77777777" w:rsidR="001D024D" w:rsidRDefault="001D024D">
            <w:pPr>
              <w:rPr>
                <w:sz w:val="16"/>
                <w:szCs w:val="16"/>
              </w:rPr>
            </w:pPr>
          </w:p>
        </w:tc>
        <w:tc>
          <w:tcPr>
            <w:tcW w:w="14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EA4045" w14:textId="77777777" w:rsidR="001D024D" w:rsidRDefault="001D024D">
            <w:pPr>
              <w:rPr>
                <w:sz w:val="20"/>
                <w:szCs w:val="20"/>
              </w:rPr>
            </w:pPr>
          </w:p>
        </w:tc>
        <w:tc>
          <w:tcPr>
            <w:tcW w:w="1433" w:type="dxa"/>
            <w:tcBorders>
              <w:top w:val="nil"/>
              <w:left w:val="nil"/>
              <w:bottom w:val="single" w:sz="8" w:space="0" w:color="auto"/>
              <w:right w:val="single" w:sz="8" w:space="0" w:color="auto"/>
            </w:tcBorders>
          </w:tcPr>
          <w:p w14:paraId="3EB05BED" w14:textId="77777777" w:rsidR="001D024D" w:rsidRDefault="001D024D">
            <w:pPr>
              <w:rPr>
                <w:sz w:val="16"/>
                <w:szCs w:val="16"/>
              </w:rPr>
            </w:pPr>
          </w:p>
        </w:tc>
        <w:tc>
          <w:tcPr>
            <w:tcW w:w="1433" w:type="dxa"/>
            <w:tcBorders>
              <w:top w:val="nil"/>
              <w:left w:val="nil"/>
              <w:bottom w:val="single" w:sz="8" w:space="0" w:color="auto"/>
              <w:right w:val="single" w:sz="8" w:space="0" w:color="auto"/>
            </w:tcBorders>
            <w:hideMark/>
          </w:tcPr>
          <w:p w14:paraId="0EC36A2B" w14:textId="295C0355" w:rsidR="001D024D" w:rsidRDefault="0089677A">
            <w:pPr>
              <w:rPr>
                <w:sz w:val="16"/>
                <w:szCs w:val="16"/>
              </w:rPr>
            </w:pPr>
            <w:r>
              <w:rPr>
                <w:sz w:val="16"/>
                <w:szCs w:val="16"/>
              </w:rPr>
              <w:t xml:space="preserve">     </w:t>
            </w:r>
            <w:r w:rsidR="001D024D">
              <w:rPr>
                <w:sz w:val="16"/>
                <w:szCs w:val="16"/>
              </w:rPr>
              <w:t>$</w:t>
            </w:r>
            <w:r w:rsidR="001D024D" w:rsidRPr="001D024D">
              <w:rPr>
                <w:sz w:val="16"/>
                <w:szCs w:val="16"/>
              </w:rPr>
              <w:t>27,266.65</w:t>
            </w:r>
          </w:p>
        </w:tc>
      </w:tr>
    </w:tbl>
    <w:p w14:paraId="3B94F75B" w14:textId="77777777" w:rsidR="001D024D" w:rsidRDefault="001D024D" w:rsidP="001D024D">
      <w:pPr>
        <w:rPr>
          <w:rFonts w:cstheme="minorBidi"/>
        </w:rPr>
      </w:pPr>
    </w:p>
    <w:p w14:paraId="31BBFFD5" w14:textId="6F75ADFB" w:rsidR="00FF72FC" w:rsidRPr="00E35DD1" w:rsidRDefault="001D024D" w:rsidP="001D024D">
      <w:pPr>
        <w:rPr>
          <w:b/>
        </w:rPr>
      </w:pPr>
      <w:r w:rsidRPr="00E35DD1">
        <w:rPr>
          <w:b/>
        </w:rPr>
        <w:t xml:space="preserve"> </w:t>
      </w:r>
      <w:r w:rsidR="00FF72FC" w:rsidRPr="00E35DD1">
        <w:rPr>
          <w:b/>
        </w:rPr>
        <w:t>A.15</w:t>
      </w:r>
      <w:r w:rsidR="00FF72FC" w:rsidRPr="00E35DD1">
        <w:rPr>
          <w:b/>
        </w:rPr>
        <w:tab/>
        <w:t>Explanation for Program Changes or Adjustments</w:t>
      </w:r>
    </w:p>
    <w:p w14:paraId="14524F1F" w14:textId="77777777" w:rsidR="00A86220" w:rsidRPr="008942E9" w:rsidRDefault="009A69D6" w:rsidP="007069A0">
      <w:pPr>
        <w:rPr>
          <w:color w:val="000000"/>
        </w:rPr>
      </w:pPr>
      <w:r w:rsidRPr="008942E9">
        <w:rPr>
          <w:color w:val="000000"/>
        </w:rPr>
        <w:t>This is a new collection of information</w:t>
      </w:r>
      <w:r w:rsidR="00A86220" w:rsidRPr="008942E9">
        <w:rPr>
          <w:color w:val="000000"/>
        </w:rPr>
        <w:t xml:space="preserve"> </w:t>
      </w:r>
    </w:p>
    <w:p w14:paraId="2D1D2779" w14:textId="77777777" w:rsidR="00FF72FC" w:rsidRPr="008942E9" w:rsidRDefault="00FF72FC" w:rsidP="00FF72FC">
      <w:pPr>
        <w:pStyle w:val="Heading2"/>
        <w:tabs>
          <w:tab w:val="clear" w:pos="1152"/>
          <w:tab w:val="left" w:pos="720"/>
        </w:tabs>
        <w:spacing w:after="0" w:line="480" w:lineRule="auto"/>
        <w:ind w:left="0" w:firstLine="0"/>
        <w:rPr>
          <w:rFonts w:ascii="Calibri" w:hAnsi="Calibri"/>
          <w:szCs w:val="22"/>
        </w:rPr>
      </w:pPr>
      <w:bookmarkStart w:id="21" w:name="_Toc443881759"/>
      <w:bookmarkStart w:id="22" w:name="_Toc451592246"/>
      <w:bookmarkStart w:id="23" w:name="_Toc5610287"/>
      <w:bookmarkStart w:id="24" w:name="_Toc99178793"/>
      <w:r w:rsidRPr="00722859">
        <w:rPr>
          <w:rFonts w:ascii="Calibri" w:hAnsi="Calibri"/>
          <w:szCs w:val="22"/>
        </w:rPr>
        <w:t>A.16</w:t>
      </w:r>
      <w:r w:rsidRPr="00722859">
        <w:rPr>
          <w:rFonts w:ascii="Calibri" w:hAnsi="Calibri"/>
          <w:szCs w:val="22"/>
        </w:rPr>
        <w:tab/>
        <w:t>Plans for Tabulation and Publication and Project Time Schedule</w:t>
      </w:r>
      <w:bookmarkEnd w:id="21"/>
      <w:bookmarkEnd w:id="22"/>
      <w:bookmarkEnd w:id="23"/>
      <w:bookmarkEnd w:id="24"/>
    </w:p>
    <w:p w14:paraId="528010C4" w14:textId="74BEC6AF" w:rsidR="00FF72FC" w:rsidRDefault="00ED7102" w:rsidP="00FF72FC">
      <w:r>
        <w:t xml:space="preserve">The following time schedule is projected </w:t>
      </w:r>
      <w:r w:rsidR="00FF72FC" w:rsidRPr="00E35DD1">
        <w:t>for the entire project, including beginning and ending dates of the collection of information, completion of report, publication dates, and other actions.</w:t>
      </w:r>
    </w:p>
    <w:p w14:paraId="55D914AB" w14:textId="77777777" w:rsidR="00ED7102" w:rsidRDefault="00ED7102" w:rsidP="00FF72FC"/>
    <w:tbl>
      <w:tblPr>
        <w:tblW w:w="5000" w:type="pct"/>
        <w:jc w:val="center"/>
        <w:tblCellMar>
          <w:left w:w="120" w:type="dxa"/>
          <w:right w:w="120" w:type="dxa"/>
        </w:tblCellMar>
        <w:tblLook w:val="0000" w:firstRow="0" w:lastRow="0" w:firstColumn="0" w:lastColumn="0" w:noHBand="0" w:noVBand="0"/>
      </w:tblPr>
      <w:tblGrid>
        <w:gridCol w:w="4131"/>
        <w:gridCol w:w="5507"/>
      </w:tblGrid>
      <w:tr w:rsidR="00FF72FC" w:rsidRPr="0034327D" w14:paraId="517D41F8" w14:textId="77777777" w:rsidTr="00767C53">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161017CE" w14:textId="77777777" w:rsidR="00FF72FC" w:rsidRPr="0034327D" w:rsidRDefault="00FF72FC" w:rsidP="00FF72FC">
            <w:pPr>
              <w:spacing w:after="0" w:line="240" w:lineRule="auto"/>
              <w:jc w:val="center"/>
              <w:rPr>
                <w:rFonts w:eastAsia="Times New Roman"/>
                <w:color w:val="000000"/>
                <w:sz w:val="20"/>
                <w:szCs w:val="20"/>
              </w:rPr>
            </w:pPr>
          </w:p>
          <w:p w14:paraId="026E0332" w14:textId="77777777" w:rsidR="00FF72FC" w:rsidRPr="007E7FC7" w:rsidRDefault="00FF72FC" w:rsidP="00767C53">
            <w:pPr>
              <w:spacing w:after="0" w:line="240" w:lineRule="auto"/>
              <w:jc w:val="center"/>
              <w:rPr>
                <w:rFonts w:eastAsia="Times New Roman"/>
                <w:b/>
                <w:color w:val="000000"/>
                <w:sz w:val="20"/>
                <w:szCs w:val="20"/>
              </w:rPr>
            </w:pPr>
            <w:r w:rsidRPr="007E7FC7">
              <w:rPr>
                <w:rFonts w:eastAsia="Times New Roman"/>
                <w:b/>
                <w:color w:val="000000"/>
                <w:sz w:val="20"/>
                <w:szCs w:val="20"/>
              </w:rPr>
              <w:t>A.16 - 1  Project Time Schedule</w:t>
            </w:r>
          </w:p>
        </w:tc>
      </w:tr>
      <w:tr w:rsidR="00FF72FC" w:rsidRPr="0034327D" w14:paraId="3B765D0E" w14:textId="77777777" w:rsidTr="00767C53">
        <w:trPr>
          <w:cantSplit/>
          <w:trHeight w:val="403"/>
          <w:jc w:val="center"/>
        </w:trPr>
        <w:tc>
          <w:tcPr>
            <w:tcW w:w="2143" w:type="pct"/>
            <w:tcBorders>
              <w:top w:val="single" w:sz="6" w:space="0" w:color="auto"/>
              <w:left w:val="single" w:sz="4" w:space="0" w:color="auto"/>
            </w:tcBorders>
            <w:shd w:val="pct5" w:color="auto" w:fill="FFFFFF"/>
          </w:tcPr>
          <w:p w14:paraId="4D58B8C3" w14:textId="77777777" w:rsidR="00FF72FC" w:rsidRPr="0034327D" w:rsidRDefault="00FF72FC" w:rsidP="00FF72FC">
            <w:pPr>
              <w:spacing w:after="0" w:line="240" w:lineRule="auto"/>
              <w:rPr>
                <w:rFonts w:eastAsia="Times New Roman"/>
                <w:color w:val="000000"/>
                <w:sz w:val="20"/>
                <w:szCs w:val="20"/>
              </w:rPr>
            </w:pPr>
            <w:r w:rsidRPr="0034327D">
              <w:rPr>
                <w:rFonts w:eastAsia="Times New Roman"/>
                <w:color w:val="000000"/>
                <w:sz w:val="20"/>
                <w:szCs w:val="20"/>
              </w:rPr>
              <w:tab/>
              <w:t>Activity</w:t>
            </w:r>
          </w:p>
        </w:tc>
        <w:tc>
          <w:tcPr>
            <w:tcW w:w="2857" w:type="pct"/>
            <w:tcBorders>
              <w:top w:val="single" w:sz="6" w:space="0" w:color="auto"/>
              <w:left w:val="single" w:sz="6" w:space="0" w:color="auto"/>
              <w:right w:val="single" w:sz="4" w:space="0" w:color="auto"/>
            </w:tcBorders>
            <w:shd w:val="pct5" w:color="auto" w:fill="FFFFFF"/>
          </w:tcPr>
          <w:p w14:paraId="5FB4F05F" w14:textId="77777777" w:rsidR="00FF72FC" w:rsidRPr="0034327D" w:rsidRDefault="00FF72FC" w:rsidP="00FF72FC">
            <w:pPr>
              <w:spacing w:after="0" w:line="240" w:lineRule="auto"/>
              <w:rPr>
                <w:rFonts w:eastAsia="Times New Roman"/>
                <w:color w:val="000000"/>
                <w:sz w:val="20"/>
                <w:szCs w:val="20"/>
              </w:rPr>
            </w:pPr>
            <w:r w:rsidRPr="0034327D">
              <w:rPr>
                <w:rFonts w:eastAsia="Times New Roman"/>
                <w:color w:val="000000"/>
                <w:sz w:val="20"/>
                <w:szCs w:val="20"/>
              </w:rPr>
              <w:tab/>
              <w:t>Time Schedule</w:t>
            </w:r>
          </w:p>
        </w:tc>
      </w:tr>
      <w:tr w:rsidR="00FF72FC" w:rsidRPr="0034327D" w14:paraId="01F3D8CD"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46DCB52E" w14:textId="77777777" w:rsidR="00FF72FC" w:rsidRPr="0034327D" w:rsidRDefault="00FF72FC" w:rsidP="00FF72FC">
            <w:pPr>
              <w:spacing w:after="0" w:line="240" w:lineRule="auto"/>
              <w:rPr>
                <w:rFonts w:eastAsia="Times New Roman"/>
                <w:color w:val="000000"/>
                <w:sz w:val="20"/>
                <w:szCs w:val="20"/>
              </w:rPr>
            </w:pPr>
            <w:r w:rsidRPr="0034327D">
              <w:rPr>
                <w:rFonts w:eastAsia="Times New Roman"/>
                <w:color w:val="000000"/>
                <w:sz w:val="20"/>
                <w:szCs w:val="20"/>
              </w:rPr>
              <w:t>Letters sent to respondents</w:t>
            </w:r>
          </w:p>
        </w:tc>
        <w:tc>
          <w:tcPr>
            <w:tcW w:w="2857" w:type="pct"/>
            <w:tcBorders>
              <w:top w:val="single" w:sz="6" w:space="0" w:color="auto"/>
              <w:left w:val="single" w:sz="6" w:space="0" w:color="auto"/>
              <w:right w:val="single" w:sz="4" w:space="0" w:color="auto"/>
            </w:tcBorders>
            <w:shd w:val="clear" w:color="auto" w:fill="FFFFFF"/>
          </w:tcPr>
          <w:p w14:paraId="1C1F9069" w14:textId="77777777" w:rsidR="00FF72FC" w:rsidRPr="0034327D" w:rsidRDefault="00FF72FC" w:rsidP="00FF72FC">
            <w:pPr>
              <w:spacing w:after="0" w:line="240" w:lineRule="auto"/>
              <w:rPr>
                <w:rFonts w:eastAsia="Times New Roman"/>
                <w:color w:val="000000"/>
                <w:sz w:val="20"/>
                <w:szCs w:val="20"/>
              </w:rPr>
            </w:pPr>
            <w:r w:rsidRPr="0034327D">
              <w:rPr>
                <w:rFonts w:eastAsia="Times New Roman"/>
                <w:color w:val="000000"/>
                <w:sz w:val="20"/>
                <w:szCs w:val="20"/>
              </w:rPr>
              <w:t>1 - 2 months after OMB approval</w:t>
            </w:r>
          </w:p>
        </w:tc>
      </w:tr>
      <w:tr w:rsidR="00FF72FC" w:rsidRPr="0034327D" w14:paraId="05DA8CD6"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02D0DCFC" w14:textId="0C2C1985" w:rsidR="00FF72FC" w:rsidRPr="0034327D" w:rsidRDefault="00371BF2" w:rsidP="00FF72FC">
            <w:pPr>
              <w:spacing w:after="0" w:line="240" w:lineRule="auto"/>
              <w:rPr>
                <w:rFonts w:eastAsia="Times New Roman"/>
                <w:color w:val="000000"/>
                <w:sz w:val="20"/>
                <w:szCs w:val="20"/>
              </w:rPr>
            </w:pPr>
            <w:r w:rsidRPr="0034327D">
              <w:rPr>
                <w:rFonts w:eastAsia="Times New Roman"/>
                <w:color w:val="000000"/>
                <w:sz w:val="20"/>
                <w:szCs w:val="20"/>
              </w:rPr>
              <w:t>Survey online</w:t>
            </w:r>
          </w:p>
        </w:tc>
        <w:tc>
          <w:tcPr>
            <w:tcW w:w="2857" w:type="pct"/>
            <w:tcBorders>
              <w:top w:val="single" w:sz="6" w:space="0" w:color="auto"/>
              <w:left w:val="single" w:sz="6" w:space="0" w:color="auto"/>
              <w:right w:val="single" w:sz="4" w:space="0" w:color="auto"/>
            </w:tcBorders>
            <w:shd w:val="clear" w:color="auto" w:fill="FFFFFF"/>
          </w:tcPr>
          <w:p w14:paraId="21BA5EFB" w14:textId="12DBBC44" w:rsidR="00FF72FC" w:rsidRPr="0034327D" w:rsidRDefault="00371BF2" w:rsidP="00FF72FC">
            <w:pPr>
              <w:spacing w:after="0" w:line="240" w:lineRule="auto"/>
              <w:rPr>
                <w:rFonts w:eastAsia="Times New Roman"/>
                <w:color w:val="000000"/>
                <w:sz w:val="20"/>
                <w:szCs w:val="20"/>
              </w:rPr>
            </w:pPr>
            <w:r w:rsidRPr="0034327D">
              <w:rPr>
                <w:rFonts w:eastAsia="Times New Roman"/>
                <w:color w:val="000000"/>
                <w:sz w:val="20"/>
                <w:szCs w:val="20"/>
              </w:rPr>
              <w:t>1 month after OMB approval</w:t>
            </w:r>
          </w:p>
        </w:tc>
      </w:tr>
      <w:tr w:rsidR="00FF72FC" w:rsidRPr="0034327D" w14:paraId="2CCB580E"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2C59AEC8" w14:textId="12D231FB" w:rsidR="00FF72FC" w:rsidRPr="0034327D" w:rsidRDefault="00371BF2" w:rsidP="00FF72FC">
            <w:pPr>
              <w:spacing w:after="0" w:line="240" w:lineRule="auto"/>
              <w:rPr>
                <w:rFonts w:eastAsia="Times New Roman"/>
                <w:color w:val="000000"/>
                <w:sz w:val="20"/>
                <w:szCs w:val="20"/>
              </w:rPr>
            </w:pPr>
            <w:r w:rsidRPr="0034327D">
              <w:rPr>
                <w:rFonts w:eastAsia="Times New Roman"/>
                <w:color w:val="000000"/>
                <w:sz w:val="20"/>
                <w:szCs w:val="20"/>
              </w:rPr>
              <w:t>Survey taken offline</w:t>
            </w:r>
          </w:p>
        </w:tc>
        <w:tc>
          <w:tcPr>
            <w:tcW w:w="2857" w:type="pct"/>
            <w:tcBorders>
              <w:top w:val="single" w:sz="6" w:space="0" w:color="auto"/>
              <w:left w:val="single" w:sz="6" w:space="0" w:color="auto"/>
              <w:right w:val="single" w:sz="4" w:space="0" w:color="auto"/>
            </w:tcBorders>
            <w:shd w:val="clear" w:color="auto" w:fill="FFFFFF"/>
          </w:tcPr>
          <w:p w14:paraId="0792FB9D" w14:textId="24D42348" w:rsidR="00FF72FC" w:rsidRPr="0034327D" w:rsidRDefault="00371BF2" w:rsidP="00FF72FC">
            <w:pPr>
              <w:spacing w:after="0" w:line="240" w:lineRule="auto"/>
              <w:rPr>
                <w:rFonts w:eastAsia="Times New Roman"/>
                <w:color w:val="000000"/>
                <w:sz w:val="20"/>
                <w:szCs w:val="20"/>
              </w:rPr>
            </w:pPr>
            <w:r w:rsidRPr="0034327D">
              <w:rPr>
                <w:rFonts w:eastAsia="Times New Roman"/>
                <w:color w:val="000000"/>
                <w:sz w:val="20"/>
                <w:szCs w:val="20"/>
              </w:rPr>
              <w:t>4</w:t>
            </w:r>
            <w:r w:rsidR="00FF72FC" w:rsidRPr="0034327D">
              <w:rPr>
                <w:rFonts w:eastAsia="Times New Roman"/>
                <w:color w:val="000000"/>
                <w:sz w:val="20"/>
                <w:szCs w:val="20"/>
              </w:rPr>
              <w:t xml:space="preserve"> months after OMB approval</w:t>
            </w:r>
          </w:p>
        </w:tc>
      </w:tr>
      <w:tr w:rsidR="00FF72FC" w:rsidRPr="0034327D" w14:paraId="0096E20E"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3B5522AC" w14:textId="77777777" w:rsidR="00FF72FC" w:rsidRPr="0034327D" w:rsidRDefault="00FF72FC" w:rsidP="00FF72FC">
            <w:pPr>
              <w:spacing w:after="0" w:line="240" w:lineRule="auto"/>
              <w:rPr>
                <w:rFonts w:eastAsia="Times New Roman"/>
                <w:color w:val="000000"/>
                <w:sz w:val="20"/>
                <w:szCs w:val="20"/>
              </w:rPr>
            </w:pPr>
            <w:r w:rsidRPr="0034327D">
              <w:rPr>
                <w:rFonts w:eastAsia="Times New Roman"/>
                <w:color w:val="000000"/>
                <w:sz w:val="20"/>
                <w:szCs w:val="20"/>
              </w:rPr>
              <w:t>Analyses</w:t>
            </w:r>
          </w:p>
        </w:tc>
        <w:tc>
          <w:tcPr>
            <w:tcW w:w="2857" w:type="pct"/>
            <w:tcBorders>
              <w:top w:val="single" w:sz="6" w:space="0" w:color="auto"/>
              <w:left w:val="single" w:sz="6" w:space="0" w:color="auto"/>
              <w:right w:val="single" w:sz="4" w:space="0" w:color="auto"/>
            </w:tcBorders>
            <w:shd w:val="clear" w:color="auto" w:fill="FFFFFF"/>
          </w:tcPr>
          <w:p w14:paraId="4C1FF215" w14:textId="795A445D" w:rsidR="00FF72FC" w:rsidRPr="0034327D" w:rsidRDefault="00371BF2" w:rsidP="00FF72FC">
            <w:pPr>
              <w:spacing w:after="0" w:line="240" w:lineRule="auto"/>
              <w:rPr>
                <w:rFonts w:eastAsia="Times New Roman"/>
                <w:color w:val="000000"/>
                <w:sz w:val="20"/>
                <w:szCs w:val="20"/>
              </w:rPr>
            </w:pPr>
            <w:r w:rsidRPr="0034327D">
              <w:rPr>
                <w:rFonts w:eastAsia="Times New Roman"/>
                <w:color w:val="000000"/>
                <w:sz w:val="20"/>
                <w:szCs w:val="20"/>
              </w:rPr>
              <w:t>2</w:t>
            </w:r>
            <w:r w:rsidR="00FF72FC" w:rsidRPr="0034327D">
              <w:rPr>
                <w:rFonts w:eastAsia="Times New Roman"/>
                <w:color w:val="000000"/>
                <w:sz w:val="20"/>
                <w:szCs w:val="20"/>
              </w:rPr>
              <w:t xml:space="preserve"> months after OMB approval</w:t>
            </w:r>
            <w:r w:rsidRPr="0034327D">
              <w:rPr>
                <w:rFonts w:eastAsia="Times New Roman"/>
                <w:color w:val="000000"/>
                <w:sz w:val="20"/>
                <w:szCs w:val="20"/>
              </w:rPr>
              <w:t xml:space="preserve"> (ongoing for life of project)</w:t>
            </w:r>
          </w:p>
        </w:tc>
      </w:tr>
      <w:tr w:rsidR="00FF72FC" w:rsidRPr="0034327D" w14:paraId="06EA9256" w14:textId="77777777" w:rsidTr="00767C53">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376ADF12" w14:textId="77777777" w:rsidR="00FF72FC" w:rsidRPr="0034327D" w:rsidRDefault="00FF72FC" w:rsidP="00FF72FC">
            <w:pPr>
              <w:spacing w:after="0" w:line="240" w:lineRule="auto"/>
              <w:rPr>
                <w:rFonts w:eastAsia="Times New Roman"/>
                <w:color w:val="000000"/>
                <w:sz w:val="20"/>
                <w:szCs w:val="20"/>
              </w:rPr>
            </w:pPr>
            <w:r w:rsidRPr="0034327D">
              <w:rPr>
                <w:rFonts w:eastAsia="Times New Roman"/>
                <w:color w:val="000000"/>
                <w:sz w:val="20"/>
                <w:szCs w:val="20"/>
              </w:rPr>
              <w:t>Publication</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19FC80EC" w14:textId="16FDA15E" w:rsidR="00FF72FC" w:rsidRPr="0034327D" w:rsidRDefault="00FF72FC" w:rsidP="00767C53">
            <w:pPr>
              <w:spacing w:after="0" w:line="240" w:lineRule="auto"/>
              <w:rPr>
                <w:rFonts w:eastAsia="Times New Roman"/>
                <w:color w:val="000000"/>
                <w:sz w:val="20"/>
                <w:szCs w:val="20"/>
              </w:rPr>
            </w:pPr>
            <w:r w:rsidRPr="0034327D">
              <w:rPr>
                <w:rFonts w:eastAsia="Times New Roman"/>
                <w:color w:val="000000"/>
                <w:sz w:val="20"/>
                <w:szCs w:val="20"/>
              </w:rPr>
              <w:t>1</w:t>
            </w:r>
            <w:r w:rsidR="00371BF2" w:rsidRPr="0034327D">
              <w:rPr>
                <w:rFonts w:eastAsia="Times New Roman"/>
                <w:color w:val="000000"/>
                <w:sz w:val="20"/>
                <w:szCs w:val="20"/>
              </w:rPr>
              <w:t>2</w:t>
            </w:r>
            <w:r w:rsidRPr="0034327D">
              <w:rPr>
                <w:rFonts w:eastAsia="Times New Roman"/>
                <w:color w:val="000000"/>
                <w:sz w:val="20"/>
                <w:szCs w:val="20"/>
              </w:rPr>
              <w:t xml:space="preserve"> months after OMB approval</w:t>
            </w:r>
          </w:p>
        </w:tc>
      </w:tr>
    </w:tbl>
    <w:p w14:paraId="5B9FB69E" w14:textId="77777777" w:rsidR="00A22A8F" w:rsidRDefault="00A22A8F" w:rsidP="00FF72FC">
      <w:pPr>
        <w:rPr>
          <w:b/>
        </w:rPr>
      </w:pPr>
    </w:p>
    <w:p w14:paraId="4C9FA2A2" w14:textId="77777777" w:rsidR="00FF72FC" w:rsidRPr="00E35DD1" w:rsidRDefault="00FF72FC" w:rsidP="00FF72FC">
      <w:r w:rsidRPr="0089777B">
        <w:rPr>
          <w:b/>
        </w:rPr>
        <w:t>A.17</w:t>
      </w:r>
      <w:r w:rsidRPr="0089777B">
        <w:rPr>
          <w:b/>
        </w:rPr>
        <w:tab/>
      </w:r>
      <w:r w:rsidRPr="00E35DD1">
        <w:t>Reason(s) Display of OMB Expiration Date is Inappropriate</w:t>
      </w:r>
    </w:p>
    <w:p w14:paraId="44325B88" w14:textId="0E68ED4E" w:rsidR="003C0D0E" w:rsidRDefault="00CD6A3B" w:rsidP="00FF72FC">
      <w:r>
        <w:t>A</w:t>
      </w:r>
      <w:r w:rsidR="003C0D0E" w:rsidRPr="003C0D0E">
        <w:t>n exemption to the display of the OMB Expiration date</w:t>
      </w:r>
      <w:r>
        <w:t xml:space="preserve"> is not being requested for this clearance</w:t>
      </w:r>
      <w:r w:rsidR="003C0D0E" w:rsidRPr="003C0D0E">
        <w:t>.</w:t>
      </w:r>
    </w:p>
    <w:p w14:paraId="0D33D7EF" w14:textId="5AEE5855" w:rsidR="0089777B" w:rsidRDefault="00FF72FC" w:rsidP="00FF72FC">
      <w:r w:rsidRPr="0089777B">
        <w:rPr>
          <w:b/>
        </w:rPr>
        <w:t>A.18</w:t>
      </w:r>
      <w:r w:rsidRPr="00024899">
        <w:tab/>
        <w:t>Exceptions to Certification for Paperwork Reduction Act Submissions</w:t>
      </w:r>
    </w:p>
    <w:p w14:paraId="2DD9F798" w14:textId="4A12AA7E" w:rsidR="009A69D6" w:rsidRDefault="00982DBA" w:rsidP="00767C53">
      <w:pPr>
        <w:rPr>
          <w:color w:val="000000"/>
        </w:rPr>
      </w:pPr>
      <w:r w:rsidRPr="00982DBA">
        <w:t>This collection of information involves no exceptions to the Certification for Paperwork Reduction Act Submissions.</w:t>
      </w:r>
    </w:p>
    <w:sectPr w:rsidR="009A69D6" w:rsidSect="00FE6EA5">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76021" w14:textId="77777777" w:rsidR="00175C13" w:rsidRDefault="00175C13">
      <w:pPr>
        <w:spacing w:after="0" w:line="240" w:lineRule="auto"/>
      </w:pPr>
      <w:r>
        <w:separator/>
      </w:r>
    </w:p>
  </w:endnote>
  <w:endnote w:type="continuationSeparator" w:id="0">
    <w:p w14:paraId="7BDBA552" w14:textId="77777777" w:rsidR="00175C13" w:rsidRDefault="0017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02F21" w14:textId="77777777" w:rsidR="00E47DB4" w:rsidRDefault="00E47DB4"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3CC700" w14:textId="77777777" w:rsidR="00E47DB4" w:rsidRDefault="00E47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67C19" w14:textId="77777777" w:rsidR="00E47DB4" w:rsidRDefault="00E47DB4"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61E7">
      <w:rPr>
        <w:rStyle w:val="PageNumber"/>
        <w:noProof/>
      </w:rPr>
      <w:t>6</w:t>
    </w:r>
    <w:r>
      <w:rPr>
        <w:rStyle w:val="PageNumber"/>
      </w:rPr>
      <w:fldChar w:fldCharType="end"/>
    </w:r>
  </w:p>
  <w:p w14:paraId="1B639543" w14:textId="77777777" w:rsidR="00E47DB4" w:rsidRDefault="00E47DB4" w:rsidP="009667B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5640" w14:textId="77777777" w:rsidR="00A519CC" w:rsidRDefault="00A51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C5CDF" w14:textId="77777777" w:rsidR="00175C13" w:rsidRDefault="00175C13">
      <w:pPr>
        <w:spacing w:after="0" w:line="240" w:lineRule="auto"/>
      </w:pPr>
      <w:r>
        <w:separator/>
      </w:r>
    </w:p>
  </w:footnote>
  <w:footnote w:type="continuationSeparator" w:id="0">
    <w:p w14:paraId="03949421" w14:textId="77777777" w:rsidR="00175C13" w:rsidRDefault="00175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CD57" w14:textId="77777777" w:rsidR="00A519CC" w:rsidRDefault="00A519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212E1" w14:textId="77777777" w:rsidR="00A519CC" w:rsidRDefault="00A519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F1C51" w14:textId="3BF88739" w:rsidR="00A519CC" w:rsidRDefault="00A51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4"/>
  </w:num>
  <w:num w:numId="6">
    <w:abstractNumId w:val="3"/>
  </w:num>
  <w:num w:numId="7">
    <w:abstractNumId w:val="5"/>
  </w:num>
  <w:num w:numId="8">
    <w:abstractNumId w:val="7"/>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43"/>
    <w:rsid w:val="00020878"/>
    <w:rsid w:val="00024899"/>
    <w:rsid w:val="000402D4"/>
    <w:rsid w:val="00051406"/>
    <w:rsid w:val="0007686C"/>
    <w:rsid w:val="00077BA3"/>
    <w:rsid w:val="00090D9E"/>
    <w:rsid w:val="00095E2D"/>
    <w:rsid w:val="000F3043"/>
    <w:rsid w:val="000F5C8F"/>
    <w:rsid w:val="00115E7E"/>
    <w:rsid w:val="0011709C"/>
    <w:rsid w:val="00170EC9"/>
    <w:rsid w:val="00175C13"/>
    <w:rsid w:val="00180B93"/>
    <w:rsid w:val="001A3A23"/>
    <w:rsid w:val="001A7D17"/>
    <w:rsid w:val="001A7E2C"/>
    <w:rsid w:val="001B6A08"/>
    <w:rsid w:val="001D024D"/>
    <w:rsid w:val="001F01B8"/>
    <w:rsid w:val="001F06BA"/>
    <w:rsid w:val="00200769"/>
    <w:rsid w:val="00202849"/>
    <w:rsid w:val="0022547A"/>
    <w:rsid w:val="00245089"/>
    <w:rsid w:val="00253CD5"/>
    <w:rsid w:val="00255F7C"/>
    <w:rsid w:val="002670CD"/>
    <w:rsid w:val="00277E0C"/>
    <w:rsid w:val="00282729"/>
    <w:rsid w:val="00294283"/>
    <w:rsid w:val="0029780F"/>
    <w:rsid w:val="002A044E"/>
    <w:rsid w:val="002B7A79"/>
    <w:rsid w:val="002E607D"/>
    <w:rsid w:val="002F4317"/>
    <w:rsid w:val="00312295"/>
    <w:rsid w:val="00312856"/>
    <w:rsid w:val="00341F98"/>
    <w:rsid w:val="0034327D"/>
    <w:rsid w:val="00361E3C"/>
    <w:rsid w:val="0036208F"/>
    <w:rsid w:val="00371165"/>
    <w:rsid w:val="00371BF2"/>
    <w:rsid w:val="003B20AC"/>
    <w:rsid w:val="003B748E"/>
    <w:rsid w:val="003C0D0E"/>
    <w:rsid w:val="003C2BFA"/>
    <w:rsid w:val="003C5C48"/>
    <w:rsid w:val="003E5C04"/>
    <w:rsid w:val="00431DF9"/>
    <w:rsid w:val="004517A1"/>
    <w:rsid w:val="004716CF"/>
    <w:rsid w:val="00472A67"/>
    <w:rsid w:val="00476A62"/>
    <w:rsid w:val="00486C80"/>
    <w:rsid w:val="00494022"/>
    <w:rsid w:val="004954B1"/>
    <w:rsid w:val="00497B81"/>
    <w:rsid w:val="004F1A59"/>
    <w:rsid w:val="005150E7"/>
    <w:rsid w:val="00535A66"/>
    <w:rsid w:val="00536DCB"/>
    <w:rsid w:val="005410EA"/>
    <w:rsid w:val="005865E7"/>
    <w:rsid w:val="005C0342"/>
    <w:rsid w:val="005C3421"/>
    <w:rsid w:val="005D121B"/>
    <w:rsid w:val="005D244B"/>
    <w:rsid w:val="005F4A54"/>
    <w:rsid w:val="00601DA6"/>
    <w:rsid w:val="00635D70"/>
    <w:rsid w:val="00641A64"/>
    <w:rsid w:val="00645E5C"/>
    <w:rsid w:val="00660A2E"/>
    <w:rsid w:val="00673B2A"/>
    <w:rsid w:val="006760FD"/>
    <w:rsid w:val="006761E7"/>
    <w:rsid w:val="00685B30"/>
    <w:rsid w:val="006953AA"/>
    <w:rsid w:val="006957A2"/>
    <w:rsid w:val="006A45F9"/>
    <w:rsid w:val="006C3ADE"/>
    <w:rsid w:val="006C68D7"/>
    <w:rsid w:val="006D69D9"/>
    <w:rsid w:val="006E69EC"/>
    <w:rsid w:val="007063F8"/>
    <w:rsid w:val="007069A0"/>
    <w:rsid w:val="007071F9"/>
    <w:rsid w:val="00712278"/>
    <w:rsid w:val="00717158"/>
    <w:rsid w:val="00722859"/>
    <w:rsid w:val="00737D89"/>
    <w:rsid w:val="0074014E"/>
    <w:rsid w:val="00767C53"/>
    <w:rsid w:val="0077367F"/>
    <w:rsid w:val="007920FA"/>
    <w:rsid w:val="0079437E"/>
    <w:rsid w:val="007960FB"/>
    <w:rsid w:val="007A04B7"/>
    <w:rsid w:val="007A245C"/>
    <w:rsid w:val="007B451B"/>
    <w:rsid w:val="007D11BF"/>
    <w:rsid w:val="007D2850"/>
    <w:rsid w:val="007E0F97"/>
    <w:rsid w:val="007E1C6C"/>
    <w:rsid w:val="007E7FC7"/>
    <w:rsid w:val="007F700F"/>
    <w:rsid w:val="00824D7E"/>
    <w:rsid w:val="00832FCC"/>
    <w:rsid w:val="008359FA"/>
    <w:rsid w:val="008405CF"/>
    <w:rsid w:val="0086248B"/>
    <w:rsid w:val="00880A9F"/>
    <w:rsid w:val="008942E9"/>
    <w:rsid w:val="00894FF4"/>
    <w:rsid w:val="0089677A"/>
    <w:rsid w:val="0089777B"/>
    <w:rsid w:val="008C648D"/>
    <w:rsid w:val="008C6FF6"/>
    <w:rsid w:val="008D455F"/>
    <w:rsid w:val="008F21E7"/>
    <w:rsid w:val="00925F0A"/>
    <w:rsid w:val="00941822"/>
    <w:rsid w:val="0094184E"/>
    <w:rsid w:val="009667B2"/>
    <w:rsid w:val="00971FF7"/>
    <w:rsid w:val="009810A0"/>
    <w:rsid w:val="00982DBA"/>
    <w:rsid w:val="009A619D"/>
    <w:rsid w:val="009A69D6"/>
    <w:rsid w:val="009B1270"/>
    <w:rsid w:val="009C212C"/>
    <w:rsid w:val="009C3E9D"/>
    <w:rsid w:val="009C5562"/>
    <w:rsid w:val="009D177A"/>
    <w:rsid w:val="009D1987"/>
    <w:rsid w:val="009D4693"/>
    <w:rsid w:val="009D4AD7"/>
    <w:rsid w:val="009D672E"/>
    <w:rsid w:val="009E3684"/>
    <w:rsid w:val="00A00CF8"/>
    <w:rsid w:val="00A02879"/>
    <w:rsid w:val="00A22A8F"/>
    <w:rsid w:val="00A260C4"/>
    <w:rsid w:val="00A519CC"/>
    <w:rsid w:val="00A615EB"/>
    <w:rsid w:val="00A81E3B"/>
    <w:rsid w:val="00A82734"/>
    <w:rsid w:val="00A86220"/>
    <w:rsid w:val="00A96350"/>
    <w:rsid w:val="00AA36F0"/>
    <w:rsid w:val="00AB5D88"/>
    <w:rsid w:val="00AB71A9"/>
    <w:rsid w:val="00AC0692"/>
    <w:rsid w:val="00AC36C3"/>
    <w:rsid w:val="00AC5E11"/>
    <w:rsid w:val="00B00EB3"/>
    <w:rsid w:val="00B03736"/>
    <w:rsid w:val="00B0581C"/>
    <w:rsid w:val="00B06022"/>
    <w:rsid w:val="00B129CE"/>
    <w:rsid w:val="00B50AA5"/>
    <w:rsid w:val="00B60EC4"/>
    <w:rsid w:val="00B61623"/>
    <w:rsid w:val="00B8046F"/>
    <w:rsid w:val="00B90112"/>
    <w:rsid w:val="00BE1EB2"/>
    <w:rsid w:val="00BE5EFA"/>
    <w:rsid w:val="00BE76A7"/>
    <w:rsid w:val="00BF0C39"/>
    <w:rsid w:val="00BF491C"/>
    <w:rsid w:val="00BF60B0"/>
    <w:rsid w:val="00C12CC1"/>
    <w:rsid w:val="00C20712"/>
    <w:rsid w:val="00C37E21"/>
    <w:rsid w:val="00C4709E"/>
    <w:rsid w:val="00C60B43"/>
    <w:rsid w:val="00C73EA2"/>
    <w:rsid w:val="00C84BF5"/>
    <w:rsid w:val="00C96974"/>
    <w:rsid w:val="00CA2EA4"/>
    <w:rsid w:val="00CB7C1A"/>
    <w:rsid w:val="00CC21CA"/>
    <w:rsid w:val="00CD03B3"/>
    <w:rsid w:val="00CD43FC"/>
    <w:rsid w:val="00CD6A3B"/>
    <w:rsid w:val="00CE3795"/>
    <w:rsid w:val="00D0294C"/>
    <w:rsid w:val="00D0388A"/>
    <w:rsid w:val="00D06869"/>
    <w:rsid w:val="00D0716B"/>
    <w:rsid w:val="00D233BF"/>
    <w:rsid w:val="00D34BE5"/>
    <w:rsid w:val="00D37796"/>
    <w:rsid w:val="00D414D1"/>
    <w:rsid w:val="00D41A70"/>
    <w:rsid w:val="00D509BB"/>
    <w:rsid w:val="00D721E9"/>
    <w:rsid w:val="00D7280E"/>
    <w:rsid w:val="00D8469A"/>
    <w:rsid w:val="00D85136"/>
    <w:rsid w:val="00D91C16"/>
    <w:rsid w:val="00D94DB3"/>
    <w:rsid w:val="00DB1217"/>
    <w:rsid w:val="00DC7BD5"/>
    <w:rsid w:val="00DE2957"/>
    <w:rsid w:val="00DE5570"/>
    <w:rsid w:val="00DE5D31"/>
    <w:rsid w:val="00DF1CB3"/>
    <w:rsid w:val="00E03967"/>
    <w:rsid w:val="00E05CF4"/>
    <w:rsid w:val="00E25A9B"/>
    <w:rsid w:val="00E26338"/>
    <w:rsid w:val="00E35DD1"/>
    <w:rsid w:val="00E47DB4"/>
    <w:rsid w:val="00E56374"/>
    <w:rsid w:val="00E67B10"/>
    <w:rsid w:val="00E72390"/>
    <w:rsid w:val="00E8687F"/>
    <w:rsid w:val="00E92704"/>
    <w:rsid w:val="00EA01D4"/>
    <w:rsid w:val="00EB3C18"/>
    <w:rsid w:val="00EB720C"/>
    <w:rsid w:val="00ED7102"/>
    <w:rsid w:val="00EE245F"/>
    <w:rsid w:val="00EF7F62"/>
    <w:rsid w:val="00F22C65"/>
    <w:rsid w:val="00F33485"/>
    <w:rsid w:val="00F363E2"/>
    <w:rsid w:val="00F43D22"/>
    <w:rsid w:val="00F45FFC"/>
    <w:rsid w:val="00F511F7"/>
    <w:rsid w:val="00F52557"/>
    <w:rsid w:val="00F54180"/>
    <w:rsid w:val="00F56BAB"/>
    <w:rsid w:val="00F57ACC"/>
    <w:rsid w:val="00F90E01"/>
    <w:rsid w:val="00FB346E"/>
    <w:rsid w:val="00FE6EA5"/>
    <w:rsid w:val="00FF06A6"/>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5E391340"/>
  <w15:docId w15:val="{31CB4ADA-E6B2-4D98-980F-43662CA3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069A0"/>
    <w:rPr>
      <w:sz w:val="16"/>
      <w:szCs w:val="16"/>
    </w:rPr>
  </w:style>
  <w:style w:type="paragraph" w:styleId="CommentText">
    <w:name w:val="annotation text"/>
    <w:basedOn w:val="Normal"/>
    <w:link w:val="CommentTextChar"/>
    <w:uiPriority w:val="99"/>
    <w:semiHidden/>
    <w:unhideWhenUsed/>
    <w:rsid w:val="007069A0"/>
    <w:rPr>
      <w:sz w:val="20"/>
      <w:szCs w:val="20"/>
    </w:rPr>
  </w:style>
  <w:style w:type="character" w:customStyle="1" w:styleId="CommentTextChar">
    <w:name w:val="Comment Text Char"/>
    <w:basedOn w:val="DefaultParagraphFont"/>
    <w:link w:val="CommentText"/>
    <w:uiPriority w:val="99"/>
    <w:semiHidden/>
    <w:rsid w:val="007069A0"/>
  </w:style>
  <w:style w:type="paragraph" w:styleId="CommentSubject">
    <w:name w:val="annotation subject"/>
    <w:basedOn w:val="CommentText"/>
    <w:next w:val="CommentText"/>
    <w:link w:val="CommentSubjectChar"/>
    <w:uiPriority w:val="99"/>
    <w:semiHidden/>
    <w:unhideWhenUsed/>
    <w:rsid w:val="007069A0"/>
    <w:rPr>
      <w:b/>
      <w:bCs/>
    </w:rPr>
  </w:style>
  <w:style w:type="character" w:customStyle="1" w:styleId="CommentSubjectChar">
    <w:name w:val="Comment Subject Char"/>
    <w:link w:val="CommentSubject"/>
    <w:uiPriority w:val="99"/>
    <w:semiHidden/>
    <w:rsid w:val="007069A0"/>
    <w:rPr>
      <w:b/>
      <w:bCs/>
    </w:rPr>
  </w:style>
  <w:style w:type="character" w:styleId="FollowedHyperlink">
    <w:name w:val="FollowedHyperlink"/>
    <w:basedOn w:val="DefaultParagraphFont"/>
    <w:uiPriority w:val="99"/>
    <w:semiHidden/>
    <w:unhideWhenUsed/>
    <w:rsid w:val="00673B2A"/>
    <w:rPr>
      <w:color w:val="954F72" w:themeColor="followedHyperlink"/>
      <w:u w:val="single"/>
    </w:rPr>
  </w:style>
  <w:style w:type="paragraph" w:styleId="FootnoteText">
    <w:name w:val="footnote text"/>
    <w:basedOn w:val="Normal"/>
    <w:link w:val="FootnoteTextChar"/>
    <w:uiPriority w:val="99"/>
    <w:semiHidden/>
    <w:unhideWhenUsed/>
    <w:rsid w:val="009E36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684"/>
  </w:style>
  <w:style w:type="character" w:styleId="FootnoteReference">
    <w:name w:val="footnote reference"/>
    <w:basedOn w:val="DefaultParagraphFont"/>
    <w:uiPriority w:val="99"/>
    <w:semiHidden/>
    <w:unhideWhenUsed/>
    <w:rsid w:val="009E3684"/>
    <w:rPr>
      <w:vertAlign w:val="superscript"/>
    </w:rPr>
  </w:style>
  <w:style w:type="paragraph" w:styleId="Header">
    <w:name w:val="header"/>
    <w:basedOn w:val="Normal"/>
    <w:link w:val="HeaderChar"/>
    <w:uiPriority w:val="99"/>
    <w:unhideWhenUsed/>
    <w:rsid w:val="00A51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9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797665">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 w:id="17244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oes/current/oes259099.htm" TargetMode="External"/><Relationship Id="rId4" Type="http://schemas.openxmlformats.org/officeDocument/2006/relationships/styles" Target="styles.xml"/><Relationship Id="rId9" Type="http://schemas.openxmlformats.org/officeDocument/2006/relationships/hyperlink" Target="mailto:keselmana@mail.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DADF5C-B2BD-4769-96B3-52AEFC69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58BB2734</Template>
  <TotalTime>1</TotalTime>
  <Pages>7</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14341</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NLM</dc:creator>
  <cp:lastModifiedBy>Sharlip, David (NIH/NLM) [E]</cp:lastModifiedBy>
  <cp:revision>4</cp:revision>
  <cp:lastPrinted>2016-01-13T15:44:00Z</cp:lastPrinted>
  <dcterms:created xsi:type="dcterms:W3CDTF">2016-01-27T18:25:00Z</dcterms:created>
  <dcterms:modified xsi:type="dcterms:W3CDTF">2016-01-27T18:31:00Z</dcterms:modified>
</cp:coreProperties>
</file>