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C0772" w14:textId="77777777" w:rsidR="00A33FC5" w:rsidRPr="001F4A91" w:rsidRDefault="00A33FC5" w:rsidP="00A33FC5">
      <w:pPr>
        <w:widowControl/>
        <w:tabs>
          <w:tab w:val="left" w:pos="5490"/>
        </w:tabs>
        <w:rPr>
          <w:rFonts w:ascii="Arial" w:hAnsi="Arial" w:cs="Arial"/>
          <w:sz w:val="20"/>
          <w:szCs w:val="20"/>
        </w:rPr>
      </w:pPr>
    </w:p>
    <w:p w14:paraId="77BC0773" w14:textId="77777777" w:rsidR="00A33FC5" w:rsidRPr="001F4A91" w:rsidRDefault="00A33FC5" w:rsidP="00A33FC5">
      <w:pPr>
        <w:widowControl/>
        <w:tabs>
          <w:tab w:val="left" w:pos="5490"/>
        </w:tabs>
        <w:rPr>
          <w:rFonts w:ascii="Arial" w:hAnsi="Arial" w:cs="Arial"/>
          <w:sz w:val="20"/>
          <w:szCs w:val="20"/>
        </w:rPr>
      </w:pPr>
    </w:p>
    <w:p w14:paraId="77BC0774" w14:textId="77777777" w:rsidR="00A33FC5" w:rsidRPr="001F4A91" w:rsidRDefault="00A33FC5" w:rsidP="00A33FC5">
      <w:pPr>
        <w:framePr w:w="1087" w:h="1020" w:hRule="exact" w:hSpace="240" w:vSpace="240" w:wrap="auto" w:vAnchor="text" w:hAnchor="margin" w:x="1" w:y="1"/>
        <w:pBdr>
          <w:top w:val="single" w:sz="6" w:space="0" w:color="FFFFFF"/>
          <w:left w:val="single" w:sz="6" w:space="0" w:color="FFFFFF"/>
          <w:bottom w:val="single" w:sz="6" w:space="0" w:color="FFFFFF"/>
          <w:right w:val="single" w:sz="6" w:space="0" w:color="FFFFFF"/>
        </w:pBdr>
        <w:shd w:val="solid" w:color="FFFFFF" w:fill="FFFFFF"/>
        <w:tabs>
          <w:tab w:val="left" w:pos="5490"/>
        </w:tabs>
        <w:rPr>
          <w:rFonts w:ascii="Arial" w:hAnsi="Arial" w:cs="Arial"/>
        </w:rPr>
      </w:pPr>
      <w:r>
        <w:rPr>
          <w:rFonts w:ascii="Arial" w:hAnsi="Arial" w:cs="Arial"/>
          <w:noProof/>
        </w:rPr>
        <w:drawing>
          <wp:anchor distT="0" distB="0" distL="114300" distR="114300" simplePos="0" relativeHeight="251659264" behindDoc="0" locked="0" layoutInCell="1" allowOverlap="1" wp14:anchorId="77BC0798" wp14:editId="77BC0799">
            <wp:simplePos x="0" y="0"/>
            <wp:positionH relativeFrom="column">
              <wp:posOffset>-9525</wp:posOffset>
            </wp:positionH>
            <wp:positionV relativeFrom="paragraph">
              <wp:posOffset>-10160</wp:posOffset>
            </wp:positionV>
            <wp:extent cx="726440" cy="744220"/>
            <wp:effectExtent l="0" t="0" r="0" b="0"/>
            <wp:wrapSquare wrapText="bothSides"/>
            <wp:docPr id="3" name="Picture 3" descr="HHSjpg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Sjpg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6440" cy="7442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w:drawing>
          <wp:inline distT="0" distB="0" distL="0" distR="0" wp14:anchorId="77BC079A" wp14:editId="77BC079B">
            <wp:extent cx="6858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85" t="-696" r="-185" b="-696"/>
                    <a:stretch>
                      <a:fillRect/>
                    </a:stretch>
                  </pic:blipFill>
                  <pic:spPr bwMode="auto">
                    <a:xfrm>
                      <a:off x="0" y="0"/>
                      <a:ext cx="685800" cy="647700"/>
                    </a:xfrm>
                    <a:prstGeom prst="rect">
                      <a:avLst/>
                    </a:prstGeom>
                    <a:noFill/>
                    <a:ln>
                      <a:noFill/>
                    </a:ln>
                  </pic:spPr>
                </pic:pic>
              </a:graphicData>
            </a:graphic>
          </wp:inline>
        </w:drawing>
      </w:r>
    </w:p>
    <w:p w14:paraId="77BC0775" w14:textId="77777777" w:rsidR="00A33FC5" w:rsidRPr="001F4A91" w:rsidRDefault="00A33FC5" w:rsidP="00A33FC5">
      <w:pPr>
        <w:widowControl/>
        <w:tabs>
          <w:tab w:val="left" w:pos="5490"/>
        </w:tabs>
        <w:rPr>
          <w:rFonts w:ascii="Arial" w:hAnsi="Arial" w:cs="Arial"/>
          <w:sz w:val="20"/>
          <w:szCs w:val="20"/>
        </w:rPr>
      </w:pPr>
      <w:r w:rsidRPr="001F4A91">
        <w:rPr>
          <w:rFonts w:ascii="Arial" w:hAnsi="Arial" w:cs="Arial"/>
          <w:sz w:val="20"/>
          <w:szCs w:val="20"/>
        </w:rPr>
        <w:t xml:space="preserve">     </w:t>
      </w:r>
    </w:p>
    <w:p w14:paraId="77BC0776" w14:textId="77777777" w:rsidR="00A33FC5" w:rsidRPr="001F4A91" w:rsidRDefault="00A33FC5" w:rsidP="00A33FC5">
      <w:pPr>
        <w:widowControl/>
        <w:tabs>
          <w:tab w:val="left" w:pos="5490"/>
        </w:tabs>
        <w:rPr>
          <w:rFonts w:ascii="Arial" w:hAnsi="Arial" w:cs="Arial"/>
          <w:sz w:val="20"/>
          <w:szCs w:val="20"/>
        </w:rPr>
      </w:pPr>
    </w:p>
    <w:p w14:paraId="77BC0777" w14:textId="77777777" w:rsidR="00A33FC5" w:rsidRPr="001F4A91" w:rsidRDefault="00A33FC5" w:rsidP="00A33FC5">
      <w:pPr>
        <w:tabs>
          <w:tab w:val="left" w:pos="-1440"/>
          <w:tab w:val="left" w:pos="-720"/>
          <w:tab w:val="left" w:pos="6210"/>
          <w:tab w:val="left" w:pos="7020"/>
        </w:tabs>
        <w:rPr>
          <w:rFonts w:ascii="Arial" w:hAnsi="Arial" w:cs="Arial"/>
          <w:color w:val="000080"/>
          <w:sz w:val="18"/>
          <w:szCs w:val="18"/>
        </w:rPr>
      </w:pPr>
      <w:r w:rsidRPr="001F4A91">
        <w:rPr>
          <w:rFonts w:ascii="Arial" w:hAnsi="Arial" w:cs="Arial"/>
          <w:sz w:val="20"/>
          <w:szCs w:val="20"/>
        </w:rPr>
        <w:t xml:space="preserve">  </w:t>
      </w:r>
      <w:r w:rsidRPr="001F4A91">
        <w:rPr>
          <w:rFonts w:ascii="Arial" w:hAnsi="Arial" w:cs="Arial"/>
          <w:b/>
          <w:bCs/>
          <w:color w:val="000080"/>
          <w:sz w:val="18"/>
          <w:szCs w:val="18"/>
        </w:rPr>
        <w:t xml:space="preserve">DEPARTMENT OF HEALTH &amp; HUMAN SERVICES                        </w:t>
      </w:r>
    </w:p>
    <w:p w14:paraId="77BC0778" w14:textId="77777777" w:rsidR="00A33FC5" w:rsidRPr="001F4A91" w:rsidRDefault="00A33FC5" w:rsidP="00A33FC5">
      <w:pPr>
        <w:tabs>
          <w:tab w:val="left" w:pos="-1440"/>
          <w:tab w:val="left" w:pos="-720"/>
          <w:tab w:val="left" w:pos="5490"/>
        </w:tabs>
        <w:rPr>
          <w:rFonts w:ascii="Arial" w:hAnsi="Arial" w:cs="Arial"/>
          <w:sz w:val="18"/>
          <w:szCs w:val="18"/>
        </w:rPr>
      </w:pPr>
      <w:r w:rsidRPr="001F4A91">
        <w:rPr>
          <w:rFonts w:ascii="Arial" w:hAnsi="Arial" w:cs="Arial"/>
          <w:sz w:val="18"/>
          <w:szCs w:val="18"/>
        </w:rPr>
        <w:tab/>
      </w:r>
      <w:r w:rsidRPr="001F4A91">
        <w:rPr>
          <w:rFonts w:ascii="Arial" w:hAnsi="Arial" w:cs="Arial"/>
          <w:sz w:val="18"/>
          <w:szCs w:val="18"/>
        </w:rPr>
        <w:tab/>
        <w:t xml:space="preserve">       </w:t>
      </w:r>
      <w:bookmarkStart w:id="0" w:name="_GoBack"/>
      <w:bookmarkEnd w:id="0"/>
    </w:p>
    <w:p w14:paraId="77BC0779" w14:textId="77777777" w:rsidR="00A33FC5" w:rsidRDefault="00655B8B" w:rsidP="00A33FC5">
      <w:pPr>
        <w:tabs>
          <w:tab w:val="left" w:pos="-1440"/>
          <w:tab w:val="left" w:pos="-720"/>
          <w:tab w:val="left" w:pos="5490"/>
          <w:tab w:val="left" w:pos="5580"/>
          <w:tab w:val="left" w:pos="7380"/>
        </w:tabs>
        <w:rPr>
          <w:rFonts w:ascii="Arial" w:hAnsi="Arial" w:cs="Arial"/>
          <w:sz w:val="22"/>
          <w:szCs w:val="22"/>
          <w:lang w:val="fr-FR"/>
        </w:rPr>
      </w:pPr>
      <w:r>
        <w:rPr>
          <w:rFonts w:ascii="Arial" w:hAnsi="Arial" w:cs="Arial"/>
          <w:sz w:val="22"/>
          <w:szCs w:val="22"/>
          <w:lang w:val="fr-FR"/>
        </w:rPr>
        <w:pict w14:anchorId="77BC079C">
          <v:rect id="_x0000_i1025" style="width:53.3pt;height:1pt" o:hrpct="981" o:hralign="center" o:hrstd="t" o:hrnoshade="t" o:hr="t" fillcolor="navy" stroked="f"/>
        </w:pict>
      </w:r>
    </w:p>
    <w:p w14:paraId="77BC077A" w14:textId="77777777" w:rsidR="00A33FC5" w:rsidRPr="001F4A91" w:rsidRDefault="00A33FC5" w:rsidP="00A33FC5">
      <w:pPr>
        <w:rPr>
          <w:rFonts w:ascii="Arial" w:hAnsi="Arial" w:cs="Arial"/>
          <w:sz w:val="22"/>
          <w:szCs w:val="22"/>
          <w:lang w:val="fr-FR"/>
        </w:rPr>
      </w:pPr>
      <w:r>
        <w:rPr>
          <w:noProof/>
        </w:rPr>
        <mc:AlternateContent>
          <mc:Choice Requires="wps">
            <w:drawing>
              <wp:anchor distT="45720" distB="45720" distL="114300" distR="114300" simplePos="0" relativeHeight="251660288" behindDoc="0" locked="0" layoutInCell="1" allowOverlap="1" wp14:anchorId="77BC079D" wp14:editId="0E14EA30">
                <wp:simplePos x="0" y="0"/>
                <wp:positionH relativeFrom="column">
                  <wp:posOffset>2362835</wp:posOffset>
                </wp:positionH>
                <wp:positionV relativeFrom="paragraph">
                  <wp:posOffset>57785</wp:posOffset>
                </wp:positionV>
                <wp:extent cx="3117215" cy="593090"/>
                <wp:effectExtent l="3810" t="0" r="317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215" cy="59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C079F" w14:textId="77777777" w:rsidR="00A33FC5" w:rsidRPr="001F4A91" w:rsidRDefault="00A33FC5" w:rsidP="00A33FC5">
                            <w:pPr>
                              <w:tabs>
                                <w:tab w:val="left" w:pos="5490"/>
                              </w:tabs>
                              <w:ind w:left="-450"/>
                              <w:jc w:val="right"/>
                              <w:rPr>
                                <w:color w:val="000080"/>
                                <w:sz w:val="16"/>
                                <w:szCs w:val="16"/>
                              </w:rPr>
                            </w:pPr>
                            <w:r w:rsidRPr="001F4A91">
                              <w:rPr>
                                <w:color w:val="000080"/>
                                <w:sz w:val="16"/>
                                <w:szCs w:val="16"/>
                              </w:rPr>
                              <w:t>Centers for Disease Control and Prevention (CDC)</w:t>
                            </w:r>
                          </w:p>
                          <w:p w14:paraId="77BC07A0" w14:textId="77777777" w:rsidR="00A33FC5" w:rsidRPr="001F4A91" w:rsidRDefault="00A33FC5" w:rsidP="00A33FC5">
                            <w:pPr>
                              <w:tabs>
                                <w:tab w:val="left" w:pos="5490"/>
                              </w:tabs>
                              <w:ind w:left="-450"/>
                              <w:jc w:val="right"/>
                              <w:rPr>
                                <w:color w:val="000080"/>
                                <w:sz w:val="16"/>
                                <w:szCs w:val="16"/>
                              </w:rPr>
                            </w:pPr>
                            <w:r w:rsidRPr="001F4A91">
                              <w:rPr>
                                <w:color w:val="000080"/>
                                <w:sz w:val="16"/>
                                <w:szCs w:val="16"/>
                              </w:rPr>
                              <w:t>National Center for Emerging and Zoonotic Infectious Diseases</w:t>
                            </w:r>
                          </w:p>
                          <w:p w14:paraId="77BC07A1" w14:textId="77777777" w:rsidR="00A33FC5" w:rsidRDefault="00A33FC5" w:rsidP="00A33FC5">
                            <w:pPr>
                              <w:tabs>
                                <w:tab w:val="left" w:pos="5490"/>
                              </w:tabs>
                              <w:ind w:left="-450"/>
                              <w:jc w:val="right"/>
                              <w:rPr>
                                <w:color w:val="000080"/>
                                <w:sz w:val="16"/>
                                <w:szCs w:val="16"/>
                              </w:rPr>
                            </w:pPr>
                            <w:r w:rsidRPr="00CC1521">
                              <w:rPr>
                                <w:color w:val="000080"/>
                                <w:sz w:val="16"/>
                                <w:szCs w:val="16"/>
                              </w:rPr>
                              <w:t xml:space="preserve">National Center for Chronic Disease </w:t>
                            </w:r>
                            <w:r>
                              <w:rPr>
                                <w:color w:val="000080"/>
                                <w:sz w:val="16"/>
                                <w:szCs w:val="16"/>
                              </w:rPr>
                              <w:t>Prevention and Health Promotion</w:t>
                            </w:r>
                          </w:p>
                          <w:p w14:paraId="77BC07A2" w14:textId="77777777" w:rsidR="00A33FC5" w:rsidRPr="001F4A91" w:rsidRDefault="00A33FC5" w:rsidP="00A33FC5">
                            <w:pPr>
                              <w:tabs>
                                <w:tab w:val="left" w:pos="5490"/>
                              </w:tabs>
                              <w:ind w:left="-450"/>
                              <w:jc w:val="right"/>
                              <w:rPr>
                                <w:color w:val="000080"/>
                                <w:sz w:val="16"/>
                                <w:szCs w:val="16"/>
                              </w:rPr>
                            </w:pPr>
                            <w:r w:rsidRPr="00CC1521">
                              <w:rPr>
                                <w:color w:val="000080"/>
                                <w:sz w:val="16"/>
                                <w:szCs w:val="16"/>
                              </w:rPr>
                              <w:t>National Center for Birth Defects and Developmental Disabilities</w:t>
                            </w:r>
                          </w:p>
                          <w:p w14:paraId="77BC07A3" w14:textId="77777777" w:rsidR="00A33FC5" w:rsidRDefault="00A33FC5" w:rsidP="00A33F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BC079D" id="_x0000_t202" coordsize="21600,21600" o:spt="202" path="m,l,21600r21600,l21600,xe">
                <v:stroke joinstyle="miter"/>
                <v:path gradientshapeok="t" o:connecttype="rect"/>
              </v:shapetype>
              <v:shape id="Text Box 2" o:spid="_x0000_s1026" type="#_x0000_t202" style="position:absolute;margin-left:186.05pt;margin-top:4.55pt;width:245.45pt;height:46.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Bs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" stroked="f">
                <v:textbox>
                  <w:txbxContent>
                    <w:p w14:paraId="77BC079F" w14:textId="77777777" w:rsidR="00A33FC5" w:rsidRPr="001F4A91" w:rsidRDefault="00A33FC5" w:rsidP="00A33FC5">
                      <w:pPr>
                        <w:tabs>
                          <w:tab w:val="left" w:pos="5490"/>
                        </w:tabs>
                        <w:ind w:left="-450"/>
                        <w:jc w:val="right"/>
                        <w:rPr>
                          <w:color w:val="000080"/>
                          <w:sz w:val="16"/>
                          <w:szCs w:val="16"/>
                        </w:rPr>
                      </w:pPr>
                      <w:r w:rsidRPr="001F4A91">
                        <w:rPr>
                          <w:color w:val="000080"/>
                          <w:sz w:val="16"/>
                          <w:szCs w:val="16"/>
                        </w:rPr>
                        <w:t>Centers for Disease Control and Prevention (CDC)</w:t>
                      </w:r>
                    </w:p>
                    <w:p w14:paraId="77BC07A0" w14:textId="77777777" w:rsidR="00A33FC5" w:rsidRPr="001F4A91" w:rsidRDefault="00A33FC5" w:rsidP="00A33FC5">
                      <w:pPr>
                        <w:tabs>
                          <w:tab w:val="left" w:pos="5490"/>
                        </w:tabs>
                        <w:ind w:left="-450"/>
                        <w:jc w:val="right"/>
                        <w:rPr>
                          <w:color w:val="000080"/>
                          <w:sz w:val="16"/>
                          <w:szCs w:val="16"/>
                        </w:rPr>
                      </w:pPr>
                      <w:r w:rsidRPr="001F4A91">
                        <w:rPr>
                          <w:color w:val="000080"/>
                          <w:sz w:val="16"/>
                          <w:szCs w:val="16"/>
                        </w:rPr>
                        <w:t>National Center for Emerging and Zoonotic Infectious Diseases</w:t>
                      </w:r>
                    </w:p>
                    <w:p w14:paraId="77BC07A1" w14:textId="77777777" w:rsidR="00A33FC5" w:rsidRDefault="00A33FC5" w:rsidP="00A33FC5">
                      <w:pPr>
                        <w:tabs>
                          <w:tab w:val="left" w:pos="5490"/>
                        </w:tabs>
                        <w:ind w:left="-450"/>
                        <w:jc w:val="right"/>
                        <w:rPr>
                          <w:color w:val="000080"/>
                          <w:sz w:val="16"/>
                          <w:szCs w:val="16"/>
                        </w:rPr>
                      </w:pPr>
                      <w:r w:rsidRPr="00CC1521">
                        <w:rPr>
                          <w:color w:val="000080"/>
                          <w:sz w:val="16"/>
                          <w:szCs w:val="16"/>
                        </w:rPr>
                        <w:t xml:space="preserve">National Center for Chronic Disease </w:t>
                      </w:r>
                      <w:r>
                        <w:rPr>
                          <w:color w:val="000080"/>
                          <w:sz w:val="16"/>
                          <w:szCs w:val="16"/>
                        </w:rPr>
                        <w:t>Prevention and Health Promotion</w:t>
                      </w:r>
                    </w:p>
                    <w:p w14:paraId="77BC07A2" w14:textId="77777777" w:rsidR="00A33FC5" w:rsidRPr="001F4A91" w:rsidRDefault="00A33FC5" w:rsidP="00A33FC5">
                      <w:pPr>
                        <w:tabs>
                          <w:tab w:val="left" w:pos="5490"/>
                        </w:tabs>
                        <w:ind w:left="-450"/>
                        <w:jc w:val="right"/>
                        <w:rPr>
                          <w:color w:val="000080"/>
                          <w:sz w:val="16"/>
                          <w:szCs w:val="16"/>
                        </w:rPr>
                      </w:pPr>
                      <w:r w:rsidRPr="00CC1521">
                        <w:rPr>
                          <w:color w:val="000080"/>
                          <w:sz w:val="16"/>
                          <w:szCs w:val="16"/>
                        </w:rPr>
                        <w:t>National Center for Birth Defects and Developmental Disabilities</w:t>
                      </w:r>
                    </w:p>
                    <w:p w14:paraId="77BC07A3" w14:textId="77777777" w:rsidR="00A33FC5" w:rsidRDefault="00A33FC5" w:rsidP="00A33FC5"/>
                  </w:txbxContent>
                </v:textbox>
                <w10:wrap type="square"/>
              </v:shape>
            </w:pict>
          </mc:Fallback>
        </mc:AlternateContent>
      </w:r>
    </w:p>
    <w:p w14:paraId="77BC077B" w14:textId="77777777" w:rsidR="00A33FC5" w:rsidRPr="001F4A91" w:rsidRDefault="00A33FC5" w:rsidP="00A33FC5">
      <w:pPr>
        <w:rPr>
          <w:rFonts w:ascii="Arial" w:hAnsi="Arial" w:cs="Arial"/>
          <w:sz w:val="22"/>
          <w:szCs w:val="22"/>
          <w:lang w:val="fr-FR"/>
        </w:rPr>
      </w:pPr>
    </w:p>
    <w:p w14:paraId="77BC077C" w14:textId="77777777" w:rsidR="00A33FC5" w:rsidRPr="001F4A91" w:rsidRDefault="00A33FC5" w:rsidP="00A33FC5">
      <w:pPr>
        <w:rPr>
          <w:rFonts w:ascii="Arial" w:hAnsi="Arial" w:cs="Arial"/>
          <w:sz w:val="22"/>
          <w:szCs w:val="22"/>
          <w:lang w:val="fr-FR"/>
        </w:rPr>
      </w:pPr>
    </w:p>
    <w:p w14:paraId="77BC077D" w14:textId="6009AF60" w:rsidR="00A33FC5" w:rsidRPr="001F4A91" w:rsidRDefault="00A33FC5" w:rsidP="00A33FC5">
      <w:pPr>
        <w:rPr>
          <w:rFonts w:ascii="Tahoma" w:hAnsi="Tahoma" w:cs="Tahoma"/>
          <w:sz w:val="18"/>
          <w:szCs w:val="18"/>
        </w:rPr>
      </w:pPr>
      <w:r w:rsidRPr="001F4A91">
        <w:rPr>
          <w:rFonts w:ascii="Arial" w:hAnsi="Arial" w:cs="Arial"/>
          <w:sz w:val="18"/>
          <w:szCs w:val="18"/>
        </w:rPr>
        <w:fldChar w:fldCharType="begin"/>
      </w:r>
      <w:r w:rsidRPr="001F4A91">
        <w:rPr>
          <w:rFonts w:ascii="Arial" w:hAnsi="Arial" w:cs="Arial"/>
          <w:sz w:val="18"/>
          <w:szCs w:val="18"/>
        </w:rPr>
        <w:instrText xml:space="preserve"> TIME \@ "MMMM d, yyyy" </w:instrText>
      </w:r>
      <w:r w:rsidRPr="001F4A91">
        <w:rPr>
          <w:rFonts w:ascii="Arial" w:hAnsi="Arial" w:cs="Arial"/>
          <w:sz w:val="18"/>
          <w:szCs w:val="18"/>
        </w:rPr>
        <w:fldChar w:fldCharType="separate"/>
      </w:r>
      <w:r w:rsidR="00655B8B">
        <w:rPr>
          <w:rFonts w:ascii="Arial" w:hAnsi="Arial" w:cs="Arial"/>
          <w:noProof/>
          <w:sz w:val="18"/>
          <w:szCs w:val="18"/>
        </w:rPr>
        <w:t>February 18, 2016</w:t>
      </w:r>
      <w:r w:rsidRPr="001F4A91">
        <w:rPr>
          <w:rFonts w:ascii="Tahoma" w:hAnsi="Tahoma" w:cs="Tahoma"/>
          <w:sz w:val="18"/>
          <w:szCs w:val="18"/>
        </w:rPr>
        <w:fldChar w:fldCharType="end"/>
      </w:r>
    </w:p>
    <w:p w14:paraId="77BC077E" w14:textId="77777777" w:rsidR="00A33FC5" w:rsidRPr="001F4A91" w:rsidRDefault="00A33FC5" w:rsidP="00A33FC5">
      <w:pPr>
        <w:rPr>
          <w:rFonts w:ascii="Arial" w:hAnsi="Arial" w:cs="Arial"/>
          <w:sz w:val="18"/>
          <w:szCs w:val="18"/>
        </w:rPr>
      </w:pPr>
    </w:p>
    <w:p w14:paraId="77BC077F" w14:textId="77777777" w:rsidR="00A33FC5" w:rsidRPr="00A33FC5" w:rsidRDefault="00A33FC5" w:rsidP="00A33FC5">
      <w:pPr>
        <w:rPr>
          <w:rFonts w:ascii="Arial" w:hAnsi="Arial" w:cs="Arial"/>
          <w:sz w:val="18"/>
          <w:szCs w:val="18"/>
        </w:rPr>
      </w:pPr>
      <w:r w:rsidRPr="00A33FC5">
        <w:rPr>
          <w:rFonts w:ascii="Arial" w:hAnsi="Arial" w:cs="Arial"/>
          <w:sz w:val="18"/>
          <w:szCs w:val="18"/>
        </w:rPr>
        <w:t xml:space="preserve">Dear Colleagues, </w:t>
      </w:r>
    </w:p>
    <w:p w14:paraId="77BC0780" w14:textId="77777777" w:rsidR="00A33FC5" w:rsidRPr="00A33FC5" w:rsidRDefault="00A33FC5" w:rsidP="00A33FC5">
      <w:pPr>
        <w:rPr>
          <w:rFonts w:ascii="Arial" w:hAnsi="Arial" w:cs="Arial"/>
          <w:sz w:val="18"/>
          <w:szCs w:val="18"/>
        </w:rPr>
      </w:pPr>
    </w:p>
    <w:p w14:paraId="77BC0781" w14:textId="77777777" w:rsidR="00A33FC5" w:rsidRPr="00A33FC5" w:rsidRDefault="00A33FC5" w:rsidP="00A33FC5">
      <w:pPr>
        <w:rPr>
          <w:rFonts w:ascii="Arial" w:hAnsi="Arial" w:cs="Arial"/>
          <w:sz w:val="18"/>
          <w:szCs w:val="18"/>
        </w:rPr>
      </w:pPr>
      <w:r w:rsidRPr="00A33FC5">
        <w:rPr>
          <w:rFonts w:ascii="Arial" w:hAnsi="Arial" w:cs="Arial"/>
          <w:sz w:val="18"/>
          <w:szCs w:val="18"/>
        </w:rPr>
        <w:t xml:space="preserve">In May 2015, the World Health Organization reported the first local transmission of Zika virus in the Western Hemisphere, with cases identified in Brazil. In some of the Zika-affected areas, there has been an increase in cases of infants born with microcephaly. Zika virus infections have been confirmed in several infants with microcephaly and in fetal losses of women infected during pregnancy. Despite these observations, very little is known regarding the risks of Zika virus infection during pregnancy. </w:t>
      </w:r>
    </w:p>
    <w:p w14:paraId="77BC0782" w14:textId="77777777" w:rsidR="00A33FC5" w:rsidRPr="00A33FC5" w:rsidRDefault="00A33FC5" w:rsidP="00A33FC5">
      <w:pPr>
        <w:rPr>
          <w:rFonts w:ascii="Arial" w:hAnsi="Arial" w:cs="Arial"/>
          <w:sz w:val="18"/>
          <w:szCs w:val="18"/>
        </w:rPr>
      </w:pPr>
    </w:p>
    <w:p w14:paraId="77BC0783" w14:textId="77777777" w:rsidR="00A33FC5" w:rsidRPr="00A33FC5" w:rsidRDefault="00A33FC5" w:rsidP="00A33FC5">
      <w:pPr>
        <w:rPr>
          <w:rFonts w:ascii="Arial" w:hAnsi="Arial" w:cs="Arial"/>
          <w:color w:val="000000"/>
          <w:sz w:val="18"/>
          <w:szCs w:val="18"/>
        </w:rPr>
      </w:pPr>
      <w:r w:rsidRPr="00A33FC5">
        <w:rPr>
          <w:rFonts w:ascii="Arial" w:hAnsi="Arial" w:cs="Arial"/>
          <w:color w:val="000000"/>
          <w:sz w:val="18"/>
          <w:szCs w:val="18"/>
        </w:rPr>
        <w:t xml:space="preserve">CDC, in collaboration with State Health Departments, has created a voluntary registry to collect information on women having Zika virus infection during pregnancy, and their babies. We aim to collect clinical information for the mother during pregnancy, </w:t>
      </w:r>
      <w:r w:rsidR="007578AE">
        <w:rPr>
          <w:rFonts w:ascii="Arial" w:hAnsi="Arial" w:cs="Arial"/>
          <w:color w:val="000000"/>
          <w:sz w:val="18"/>
          <w:szCs w:val="18"/>
        </w:rPr>
        <w:t xml:space="preserve">results from testing conducted on </w:t>
      </w:r>
      <w:r w:rsidRPr="00A33FC5">
        <w:rPr>
          <w:rFonts w:ascii="Arial" w:hAnsi="Arial" w:cs="Arial"/>
          <w:color w:val="000000"/>
          <w:sz w:val="18"/>
          <w:szCs w:val="18"/>
        </w:rPr>
        <w:t xml:space="preserve">diagnostic samples at birth, and clinical information for the child through the first year of the child’s life. This will help us understand much more about Zika virus infection in pregnancy. Briefly, we have asked health department collaborators to notify, using ArboNET, a national surveillance system, women infected with Zika virus during pregnancy. Upon receiving case reports, we will be working, in collaboration with State Health Departments, to contact attending physician(s) to voluntarily enroll women into the registry. </w:t>
      </w:r>
    </w:p>
    <w:p w14:paraId="77BC0784" w14:textId="77777777" w:rsidR="00A33FC5" w:rsidRPr="00A33FC5" w:rsidRDefault="00A33FC5" w:rsidP="00A33FC5">
      <w:pPr>
        <w:rPr>
          <w:rFonts w:ascii="Arial" w:hAnsi="Arial" w:cs="Arial"/>
          <w:color w:val="000000"/>
          <w:sz w:val="18"/>
          <w:szCs w:val="18"/>
        </w:rPr>
      </w:pPr>
    </w:p>
    <w:p w14:paraId="77BC0785" w14:textId="1605E3F7" w:rsidR="00A33FC5" w:rsidRPr="00A33FC5" w:rsidRDefault="00A33FC5" w:rsidP="00A33FC5">
      <w:pPr>
        <w:rPr>
          <w:rFonts w:ascii="Arial" w:hAnsi="Arial" w:cs="Arial"/>
          <w:color w:val="000000"/>
          <w:sz w:val="18"/>
          <w:szCs w:val="18"/>
        </w:rPr>
      </w:pPr>
      <w:r w:rsidRPr="00A33FC5">
        <w:rPr>
          <w:rFonts w:ascii="Arial" w:hAnsi="Arial" w:cs="Arial"/>
          <w:color w:val="000000"/>
          <w:sz w:val="18"/>
          <w:szCs w:val="18"/>
        </w:rPr>
        <w:t xml:space="preserve">For the pregnant woman, participation </w:t>
      </w:r>
      <w:r w:rsidRPr="00A33FC5">
        <w:rPr>
          <w:rFonts w:ascii="Arial" w:hAnsi="Arial" w:cs="Arial"/>
          <w:sz w:val="18"/>
          <w:szCs w:val="18"/>
        </w:rPr>
        <w:t xml:space="preserve">involves agreeing to let their healthcare provider send specimens from delivery and health information to staff at State Health Departments and/or CDC. </w:t>
      </w:r>
      <w:r w:rsidRPr="00A33FC5">
        <w:rPr>
          <w:rFonts w:ascii="Arial" w:hAnsi="Arial" w:cs="Arial"/>
          <w:color w:val="000000"/>
          <w:sz w:val="18"/>
          <w:szCs w:val="18"/>
        </w:rPr>
        <w:t>We will honor patient confidentiality throughout this process.</w:t>
      </w:r>
      <w:r w:rsidR="008D786A">
        <w:rPr>
          <w:rFonts w:ascii="Arial" w:hAnsi="Arial" w:cs="Arial"/>
          <w:color w:val="000000"/>
          <w:sz w:val="18"/>
          <w:szCs w:val="18"/>
        </w:rPr>
        <w:t xml:space="preserve"> It is the responsibility of the healthcare provider to obtain consent from the patient to participate in the pregnancy registry.</w:t>
      </w:r>
    </w:p>
    <w:p w14:paraId="77BC0786" w14:textId="77777777" w:rsidR="00A33FC5" w:rsidRPr="00A33FC5" w:rsidRDefault="00A33FC5" w:rsidP="00A33FC5">
      <w:pPr>
        <w:rPr>
          <w:rFonts w:ascii="Arial" w:hAnsi="Arial" w:cs="Arial"/>
          <w:color w:val="000000"/>
          <w:sz w:val="18"/>
          <w:szCs w:val="18"/>
        </w:rPr>
      </w:pPr>
    </w:p>
    <w:p w14:paraId="77BC0787" w14:textId="6698577F" w:rsidR="00A33FC5" w:rsidRPr="00A33FC5" w:rsidRDefault="00A33FC5" w:rsidP="00A33FC5">
      <w:pPr>
        <w:rPr>
          <w:rFonts w:ascii="Arial" w:hAnsi="Arial" w:cs="Arial"/>
          <w:color w:val="000000"/>
          <w:sz w:val="18"/>
          <w:szCs w:val="18"/>
        </w:rPr>
      </w:pPr>
      <w:r w:rsidRPr="00A33FC5">
        <w:rPr>
          <w:rFonts w:ascii="Arial" w:hAnsi="Arial" w:cs="Arial"/>
          <w:color w:val="000000"/>
          <w:sz w:val="18"/>
          <w:szCs w:val="18"/>
        </w:rPr>
        <w:t xml:space="preserve">For the healthcare provider, participation involves the following: providing brief clinical information for mothers and/or their infants, and </w:t>
      </w:r>
      <w:r w:rsidR="007578AE">
        <w:rPr>
          <w:rFonts w:ascii="Arial" w:hAnsi="Arial" w:cs="Arial"/>
          <w:color w:val="000000"/>
          <w:sz w:val="18"/>
          <w:szCs w:val="18"/>
        </w:rPr>
        <w:t xml:space="preserve">arranging </w:t>
      </w:r>
      <w:r w:rsidRPr="00A33FC5">
        <w:rPr>
          <w:rFonts w:ascii="Arial" w:hAnsi="Arial" w:cs="Arial"/>
          <w:color w:val="000000"/>
          <w:sz w:val="18"/>
          <w:szCs w:val="18"/>
        </w:rPr>
        <w:t>collection of diagnostic specimens</w:t>
      </w:r>
      <w:r w:rsidR="007578AE">
        <w:rPr>
          <w:rFonts w:ascii="Arial" w:hAnsi="Arial" w:cs="Arial"/>
          <w:color w:val="000000"/>
          <w:sz w:val="18"/>
          <w:szCs w:val="18"/>
        </w:rPr>
        <w:t xml:space="preserve"> in line with CDC’s</w:t>
      </w:r>
      <w:r w:rsidR="007578AE" w:rsidRPr="007578AE">
        <w:t xml:space="preserve"> </w:t>
      </w:r>
      <w:r w:rsidR="007578AE">
        <w:rPr>
          <w:rFonts w:ascii="Arial" w:hAnsi="Arial" w:cs="Arial"/>
          <w:color w:val="000000"/>
          <w:sz w:val="18"/>
          <w:szCs w:val="18"/>
        </w:rPr>
        <w:t>g</w:t>
      </w:r>
      <w:r w:rsidR="007578AE" w:rsidRPr="007578AE">
        <w:rPr>
          <w:rFonts w:ascii="Arial" w:hAnsi="Arial" w:cs="Arial"/>
          <w:color w:val="000000"/>
          <w:sz w:val="18"/>
          <w:szCs w:val="18"/>
        </w:rPr>
        <w:t xml:space="preserve">uidelines for the </w:t>
      </w:r>
      <w:r w:rsidR="007578AE">
        <w:rPr>
          <w:rFonts w:ascii="Arial" w:hAnsi="Arial" w:cs="Arial"/>
          <w:color w:val="000000"/>
          <w:sz w:val="18"/>
          <w:szCs w:val="18"/>
        </w:rPr>
        <w:t>evaluation and t</w:t>
      </w:r>
      <w:r w:rsidR="007578AE" w:rsidRPr="007578AE">
        <w:rPr>
          <w:rFonts w:ascii="Arial" w:hAnsi="Arial" w:cs="Arial"/>
          <w:color w:val="000000"/>
          <w:sz w:val="18"/>
          <w:szCs w:val="18"/>
        </w:rPr>
        <w:t xml:space="preserve">esting of </w:t>
      </w:r>
      <w:r w:rsidR="007578AE">
        <w:rPr>
          <w:rFonts w:ascii="Arial" w:hAnsi="Arial" w:cs="Arial"/>
          <w:color w:val="000000"/>
          <w:sz w:val="18"/>
          <w:szCs w:val="18"/>
        </w:rPr>
        <w:t>infants with possible congenital Zika virus i</w:t>
      </w:r>
      <w:r w:rsidR="007578AE" w:rsidRPr="007578AE">
        <w:rPr>
          <w:rFonts w:ascii="Arial" w:hAnsi="Arial" w:cs="Arial"/>
          <w:color w:val="000000"/>
          <w:sz w:val="18"/>
          <w:szCs w:val="18"/>
        </w:rPr>
        <w:t>nfection (</w:t>
      </w:r>
      <w:r w:rsidR="007578AE">
        <w:rPr>
          <w:rFonts w:ascii="Arial" w:hAnsi="Arial" w:cs="Arial"/>
          <w:color w:val="000000"/>
          <w:sz w:val="18"/>
          <w:szCs w:val="18"/>
        </w:rPr>
        <w:t xml:space="preserve">current recommendations </w:t>
      </w:r>
      <w:r w:rsidR="007578AE" w:rsidRPr="007578AE">
        <w:rPr>
          <w:rFonts w:ascii="Arial" w:hAnsi="Arial" w:cs="Arial"/>
          <w:color w:val="000000"/>
          <w:sz w:val="18"/>
          <w:szCs w:val="18"/>
        </w:rPr>
        <w:t xml:space="preserve">available at </w:t>
      </w:r>
      <w:hyperlink r:id="rId10" w:history="1">
        <w:r w:rsidR="008D786A" w:rsidRPr="00B540B3">
          <w:rPr>
            <w:rStyle w:val="Hyperlink"/>
            <w:rFonts w:ascii="Arial" w:hAnsi="Arial" w:cs="Arial"/>
            <w:sz w:val="18"/>
            <w:szCs w:val="18"/>
          </w:rPr>
          <w:t>http://www.cdc.gov/mmwr/volumes/65/wr/mm6503e3.htm</w:t>
        </w:r>
      </w:hyperlink>
      <w:r w:rsidR="008D786A">
        <w:rPr>
          <w:rFonts w:ascii="Arial" w:hAnsi="Arial" w:cs="Arial"/>
          <w:color w:val="000000"/>
          <w:sz w:val="18"/>
          <w:szCs w:val="18"/>
        </w:rPr>
        <w:t xml:space="preserve">). </w:t>
      </w:r>
      <w:r w:rsidRPr="00A33FC5">
        <w:rPr>
          <w:rFonts w:ascii="Arial" w:hAnsi="Arial" w:cs="Arial"/>
          <w:color w:val="000000"/>
          <w:sz w:val="18"/>
          <w:szCs w:val="18"/>
        </w:rPr>
        <w:t>Our staff or State Health Department Staff will contact providers approximately one month prior to the woman’s estimated delivery date to further coordinate the collection of information and specimens at the time of delivery. The costs of Zika testing of diagnostic specimens will be covered at no charge to the patient.</w:t>
      </w:r>
    </w:p>
    <w:p w14:paraId="77BC0788" w14:textId="77777777" w:rsidR="00A33FC5" w:rsidRPr="00A33FC5" w:rsidRDefault="00A33FC5" w:rsidP="00A33FC5">
      <w:pPr>
        <w:rPr>
          <w:rFonts w:ascii="Arial" w:hAnsi="Arial" w:cs="Arial"/>
          <w:b/>
          <w:bCs/>
          <w:color w:val="0000FF"/>
          <w:sz w:val="18"/>
          <w:szCs w:val="18"/>
          <w:u w:val="single"/>
        </w:rPr>
      </w:pPr>
      <w:r w:rsidRPr="00A33FC5">
        <w:rPr>
          <w:rFonts w:ascii="Arial" w:hAnsi="Arial" w:cs="Arial"/>
          <w:color w:val="000000"/>
          <w:sz w:val="18"/>
          <w:szCs w:val="18"/>
        </w:rPr>
        <w:t xml:space="preserve"> </w:t>
      </w:r>
      <w:r w:rsidRPr="00A33FC5">
        <w:rPr>
          <w:rFonts w:ascii="Arial" w:hAnsi="Arial" w:cs="Arial"/>
          <w:b/>
          <w:bCs/>
          <w:color w:val="0000FF"/>
          <w:sz w:val="18"/>
          <w:szCs w:val="18"/>
          <w:u w:val="single"/>
        </w:rPr>
        <w:t xml:space="preserve"> </w:t>
      </w:r>
    </w:p>
    <w:p w14:paraId="77BC0789" w14:textId="77777777" w:rsidR="00A33FC5" w:rsidRPr="00A33FC5" w:rsidRDefault="00A33FC5" w:rsidP="00A33FC5">
      <w:pPr>
        <w:rPr>
          <w:rFonts w:ascii="Arial" w:hAnsi="Arial" w:cs="Arial"/>
          <w:bCs/>
          <w:color w:val="000000"/>
          <w:sz w:val="18"/>
          <w:szCs w:val="18"/>
        </w:rPr>
      </w:pPr>
      <w:r w:rsidRPr="00A33FC5">
        <w:rPr>
          <w:rFonts w:ascii="Arial" w:hAnsi="Arial" w:cs="Arial"/>
          <w:bCs/>
          <w:color w:val="000000"/>
          <w:sz w:val="18"/>
          <w:szCs w:val="18"/>
        </w:rPr>
        <w:t xml:space="preserve">The following are the diagnostic specimens that will be planned to be collected at time of delivery and planned tests: </w:t>
      </w:r>
    </w:p>
    <w:p w14:paraId="77BC078A" w14:textId="77777777" w:rsidR="00A33FC5" w:rsidRPr="00A33FC5" w:rsidRDefault="00A33FC5" w:rsidP="00A33FC5">
      <w:pPr>
        <w:rPr>
          <w:rFonts w:ascii="Arial" w:hAnsi="Arial" w:cs="Arial"/>
          <w:color w:val="000000"/>
          <w:sz w:val="18"/>
          <w:szCs w:val="18"/>
        </w:rPr>
      </w:pPr>
      <w:r w:rsidRPr="00A33FC5">
        <w:rPr>
          <w:rFonts w:ascii="Arial" w:hAnsi="Arial" w:cs="Arial"/>
          <w:color w:val="000000"/>
          <w:sz w:val="18"/>
          <w:szCs w:val="18"/>
        </w:rPr>
        <w:t xml:space="preserve">Infant serum from umbilical cord or infant      (1 ml or more) </w:t>
      </w:r>
      <w:r w:rsidRPr="00A33FC5">
        <w:rPr>
          <w:rFonts w:ascii="Arial" w:hAnsi="Arial" w:cs="Arial"/>
          <w:color w:val="000000"/>
          <w:sz w:val="18"/>
          <w:szCs w:val="18"/>
        </w:rPr>
        <w:tab/>
        <w:t xml:space="preserve">for serology and PCR </w:t>
      </w:r>
    </w:p>
    <w:p w14:paraId="77BC078B" w14:textId="77777777" w:rsidR="00A33FC5" w:rsidRPr="00A33FC5" w:rsidRDefault="00A33FC5" w:rsidP="00A33FC5">
      <w:pPr>
        <w:rPr>
          <w:rFonts w:ascii="Arial" w:hAnsi="Arial" w:cs="Arial"/>
          <w:color w:val="000000"/>
          <w:sz w:val="18"/>
          <w:szCs w:val="18"/>
        </w:rPr>
      </w:pPr>
      <w:r w:rsidRPr="00A33FC5">
        <w:rPr>
          <w:rFonts w:ascii="Arial" w:hAnsi="Arial" w:cs="Arial"/>
          <w:color w:val="000000"/>
          <w:sz w:val="18"/>
          <w:szCs w:val="18"/>
        </w:rPr>
        <w:t xml:space="preserve">Umbilical cord tissue </w:t>
      </w:r>
      <w:r w:rsidRPr="00A33FC5">
        <w:rPr>
          <w:rFonts w:ascii="Arial" w:hAnsi="Arial" w:cs="Arial"/>
          <w:color w:val="000000"/>
          <w:sz w:val="18"/>
          <w:szCs w:val="18"/>
        </w:rPr>
        <w:tab/>
      </w:r>
      <w:r w:rsidRPr="00A33FC5">
        <w:rPr>
          <w:rFonts w:ascii="Arial" w:hAnsi="Arial" w:cs="Arial"/>
          <w:color w:val="000000"/>
          <w:sz w:val="18"/>
          <w:szCs w:val="18"/>
        </w:rPr>
        <w:tab/>
      </w:r>
      <w:r w:rsidRPr="00A33FC5">
        <w:rPr>
          <w:rFonts w:ascii="Arial" w:hAnsi="Arial" w:cs="Arial"/>
          <w:color w:val="000000"/>
          <w:sz w:val="18"/>
          <w:szCs w:val="18"/>
        </w:rPr>
        <w:tab/>
        <w:t>(section)</w:t>
      </w:r>
      <w:r w:rsidRPr="00A33FC5">
        <w:rPr>
          <w:rFonts w:ascii="Arial" w:hAnsi="Arial" w:cs="Arial"/>
          <w:color w:val="000000"/>
          <w:sz w:val="18"/>
          <w:szCs w:val="18"/>
        </w:rPr>
        <w:tab/>
      </w:r>
      <w:r w:rsidRPr="00A33FC5">
        <w:rPr>
          <w:rFonts w:ascii="Arial" w:hAnsi="Arial" w:cs="Arial"/>
          <w:color w:val="000000"/>
          <w:sz w:val="18"/>
          <w:szCs w:val="18"/>
        </w:rPr>
        <w:tab/>
        <w:t>for histopathological examination, testing, and PCR</w:t>
      </w:r>
    </w:p>
    <w:p w14:paraId="77BC078C" w14:textId="77777777" w:rsidR="00A33FC5" w:rsidRPr="00A33FC5" w:rsidRDefault="00A33FC5" w:rsidP="00A33FC5">
      <w:pPr>
        <w:rPr>
          <w:rFonts w:ascii="Arial" w:hAnsi="Arial" w:cs="Arial"/>
          <w:color w:val="000000"/>
          <w:sz w:val="18"/>
          <w:szCs w:val="18"/>
        </w:rPr>
      </w:pPr>
      <w:r w:rsidRPr="00A33FC5">
        <w:rPr>
          <w:rFonts w:ascii="Arial" w:hAnsi="Arial" w:cs="Arial"/>
          <w:color w:val="000000"/>
          <w:sz w:val="18"/>
          <w:szCs w:val="18"/>
        </w:rPr>
        <w:t xml:space="preserve">Placental tissue </w:t>
      </w:r>
      <w:r w:rsidRPr="00A33FC5">
        <w:rPr>
          <w:rFonts w:ascii="Arial" w:hAnsi="Arial" w:cs="Arial"/>
          <w:color w:val="000000"/>
          <w:sz w:val="18"/>
          <w:szCs w:val="18"/>
        </w:rPr>
        <w:tab/>
      </w:r>
      <w:r w:rsidRPr="00A33FC5">
        <w:rPr>
          <w:rFonts w:ascii="Arial" w:hAnsi="Arial" w:cs="Arial"/>
          <w:color w:val="000000"/>
          <w:sz w:val="18"/>
          <w:szCs w:val="18"/>
        </w:rPr>
        <w:tab/>
      </w:r>
      <w:r w:rsidRPr="00A33FC5">
        <w:rPr>
          <w:rFonts w:ascii="Arial" w:hAnsi="Arial" w:cs="Arial"/>
          <w:color w:val="000000"/>
          <w:sz w:val="18"/>
          <w:szCs w:val="18"/>
        </w:rPr>
        <w:tab/>
      </w:r>
      <w:r w:rsidRPr="00A33FC5">
        <w:rPr>
          <w:rFonts w:ascii="Arial" w:hAnsi="Arial" w:cs="Arial"/>
          <w:color w:val="000000"/>
          <w:sz w:val="18"/>
          <w:szCs w:val="18"/>
        </w:rPr>
        <w:tab/>
        <w:t xml:space="preserve">(section)   </w:t>
      </w:r>
      <w:r w:rsidRPr="00A33FC5">
        <w:rPr>
          <w:rFonts w:ascii="Arial" w:hAnsi="Arial" w:cs="Arial"/>
          <w:color w:val="000000"/>
          <w:sz w:val="18"/>
          <w:szCs w:val="18"/>
        </w:rPr>
        <w:tab/>
        <w:t>for histopathological examination, testing, and PCR</w:t>
      </w:r>
    </w:p>
    <w:p w14:paraId="77BC078D" w14:textId="77777777" w:rsidR="00A33FC5" w:rsidRPr="00A33FC5" w:rsidRDefault="00A33FC5" w:rsidP="00A33FC5">
      <w:pPr>
        <w:rPr>
          <w:rFonts w:ascii="Arial" w:hAnsi="Arial" w:cs="Arial"/>
          <w:color w:val="000000"/>
          <w:sz w:val="18"/>
          <w:szCs w:val="18"/>
        </w:rPr>
      </w:pPr>
      <w:r w:rsidRPr="00A33FC5">
        <w:rPr>
          <w:rFonts w:ascii="Arial" w:hAnsi="Arial" w:cs="Arial"/>
          <w:color w:val="000000"/>
          <w:sz w:val="18"/>
          <w:szCs w:val="18"/>
        </w:rPr>
        <w:t>Maternal serum (if not collected previously)</w:t>
      </w:r>
      <w:r w:rsidRPr="00A33FC5">
        <w:rPr>
          <w:rFonts w:ascii="Arial" w:hAnsi="Arial" w:cs="Arial"/>
          <w:color w:val="000000"/>
          <w:sz w:val="18"/>
          <w:szCs w:val="18"/>
        </w:rPr>
        <w:tab/>
      </w:r>
      <w:r w:rsidRPr="00A33FC5">
        <w:rPr>
          <w:rFonts w:ascii="Arial" w:hAnsi="Arial" w:cs="Arial"/>
          <w:color w:val="000000"/>
          <w:sz w:val="18"/>
          <w:szCs w:val="18"/>
        </w:rPr>
        <w:tab/>
      </w:r>
      <w:r w:rsidRPr="00A33FC5">
        <w:rPr>
          <w:rFonts w:ascii="Arial" w:hAnsi="Arial" w:cs="Arial"/>
          <w:color w:val="000000"/>
          <w:sz w:val="18"/>
          <w:szCs w:val="18"/>
        </w:rPr>
        <w:tab/>
        <w:t>for serology</w:t>
      </w:r>
    </w:p>
    <w:p w14:paraId="77BC078E" w14:textId="77777777" w:rsidR="00A33FC5" w:rsidRPr="00A33FC5" w:rsidRDefault="00A33FC5" w:rsidP="00A33FC5">
      <w:pPr>
        <w:rPr>
          <w:rFonts w:ascii="Arial" w:hAnsi="Arial" w:cs="Arial"/>
          <w:color w:val="000000"/>
          <w:sz w:val="18"/>
          <w:szCs w:val="18"/>
        </w:rPr>
      </w:pPr>
      <w:r w:rsidRPr="00A33FC5">
        <w:rPr>
          <w:rFonts w:ascii="Arial" w:hAnsi="Arial" w:cs="Arial"/>
          <w:color w:val="000000"/>
          <w:sz w:val="18"/>
          <w:szCs w:val="18"/>
        </w:rPr>
        <w:t xml:space="preserve">  </w:t>
      </w:r>
    </w:p>
    <w:p w14:paraId="77BC078F" w14:textId="77777777" w:rsidR="00A33FC5" w:rsidRPr="00A33FC5" w:rsidRDefault="00A33FC5" w:rsidP="00A33FC5">
      <w:pPr>
        <w:rPr>
          <w:rFonts w:ascii="Arial" w:hAnsi="Arial" w:cs="Arial"/>
          <w:color w:val="000000"/>
          <w:sz w:val="18"/>
          <w:szCs w:val="18"/>
        </w:rPr>
      </w:pPr>
      <w:r w:rsidRPr="00A33FC5">
        <w:rPr>
          <w:rFonts w:ascii="Arial" w:hAnsi="Arial" w:cs="Arial"/>
          <w:color w:val="000000"/>
          <w:sz w:val="18"/>
          <w:szCs w:val="18"/>
        </w:rPr>
        <w:t xml:space="preserve">Following delivery, CDC or State Health Department staff will contact the infant’s primary health care provider to obtain follow-up clinical information from routine health exams at approximately two-, six- and 12-months of age. </w:t>
      </w:r>
    </w:p>
    <w:p w14:paraId="77BC0790" w14:textId="77777777" w:rsidR="00A33FC5" w:rsidRPr="00A33FC5" w:rsidRDefault="00A33FC5" w:rsidP="00A33FC5">
      <w:pPr>
        <w:rPr>
          <w:rFonts w:ascii="Arial" w:hAnsi="Arial" w:cs="Arial"/>
          <w:color w:val="000000"/>
          <w:sz w:val="18"/>
          <w:szCs w:val="18"/>
        </w:rPr>
      </w:pPr>
    </w:p>
    <w:p w14:paraId="77BC0791" w14:textId="77777777" w:rsidR="00A33FC5" w:rsidRPr="00A33FC5" w:rsidRDefault="00A33FC5" w:rsidP="00A33FC5">
      <w:pPr>
        <w:rPr>
          <w:rFonts w:ascii="Arial" w:hAnsi="Arial" w:cs="Arial"/>
          <w:color w:val="000000"/>
          <w:sz w:val="18"/>
          <w:szCs w:val="18"/>
        </w:rPr>
      </w:pPr>
      <w:r w:rsidRPr="00A33FC5">
        <w:rPr>
          <w:rFonts w:ascii="Arial" w:hAnsi="Arial" w:cs="Arial"/>
          <w:color w:val="000000"/>
          <w:sz w:val="18"/>
          <w:szCs w:val="18"/>
        </w:rPr>
        <w:t xml:space="preserve">We will relay results to State Health Departments so results can be provided to participating women, and to the submitting physician if samples are sent directly to CDC. </w:t>
      </w:r>
    </w:p>
    <w:p w14:paraId="77BC0792" w14:textId="77777777" w:rsidR="00A33FC5" w:rsidRPr="00A33FC5" w:rsidRDefault="00A33FC5" w:rsidP="00A33FC5">
      <w:pPr>
        <w:rPr>
          <w:rFonts w:ascii="Arial" w:hAnsi="Arial" w:cs="Arial"/>
          <w:color w:val="000000"/>
          <w:sz w:val="18"/>
          <w:szCs w:val="18"/>
        </w:rPr>
      </w:pPr>
    </w:p>
    <w:p w14:paraId="77BC0793" w14:textId="77777777" w:rsidR="00A33FC5" w:rsidRPr="00A33FC5" w:rsidRDefault="00A33FC5" w:rsidP="00A33FC5">
      <w:pPr>
        <w:rPr>
          <w:sz w:val="18"/>
          <w:szCs w:val="18"/>
        </w:rPr>
      </w:pPr>
      <w:r w:rsidRPr="00A33FC5">
        <w:rPr>
          <w:rFonts w:ascii="Arial" w:hAnsi="Arial" w:cs="Arial"/>
          <w:color w:val="000000"/>
          <w:sz w:val="18"/>
          <w:szCs w:val="18"/>
        </w:rPr>
        <w:t xml:space="preserve">Thank you for your willingness to participate, and please feel free to call us at 888-xxx-xxxx if you have any questions or concerns. For online information on this registry, please visit: </w:t>
      </w:r>
      <w:hyperlink r:id="rId11" w:history="1">
        <w:r w:rsidRPr="00A33FC5">
          <w:rPr>
            <w:rStyle w:val="Hyperlink"/>
            <w:sz w:val="18"/>
            <w:szCs w:val="18"/>
          </w:rPr>
          <w:t>http://www.cdc.gov/zika/hc-providers/pregnancy-registry</w:t>
        </w:r>
      </w:hyperlink>
      <w:r w:rsidRPr="00A33FC5">
        <w:rPr>
          <w:sz w:val="18"/>
          <w:szCs w:val="18"/>
        </w:rPr>
        <w:t>).</w:t>
      </w:r>
    </w:p>
    <w:p w14:paraId="77BC0794" w14:textId="77777777" w:rsidR="00A33FC5" w:rsidRPr="00A33FC5" w:rsidRDefault="00A33FC5" w:rsidP="00A33FC5">
      <w:pPr>
        <w:rPr>
          <w:rFonts w:ascii="Arial" w:hAnsi="Arial" w:cs="Arial"/>
          <w:color w:val="000000"/>
          <w:sz w:val="18"/>
          <w:szCs w:val="18"/>
        </w:rPr>
      </w:pPr>
    </w:p>
    <w:p w14:paraId="77BC0795" w14:textId="77777777" w:rsidR="00A33FC5" w:rsidRPr="00A33FC5" w:rsidRDefault="00A33FC5" w:rsidP="00A33FC5">
      <w:pPr>
        <w:rPr>
          <w:rFonts w:ascii="Arial" w:hAnsi="Arial" w:cs="Arial"/>
          <w:color w:val="000000"/>
          <w:sz w:val="18"/>
          <w:szCs w:val="18"/>
        </w:rPr>
      </w:pPr>
      <w:r w:rsidRPr="00A33FC5">
        <w:rPr>
          <w:rFonts w:ascii="Arial" w:hAnsi="Arial" w:cs="Arial"/>
          <w:color w:val="000000"/>
          <w:sz w:val="18"/>
          <w:szCs w:val="18"/>
        </w:rPr>
        <w:t xml:space="preserve">Sincerely, </w:t>
      </w:r>
    </w:p>
    <w:p w14:paraId="77BC0796" w14:textId="77777777" w:rsidR="00A33FC5" w:rsidRPr="00A33FC5" w:rsidRDefault="00A33FC5" w:rsidP="00A33FC5">
      <w:pPr>
        <w:rPr>
          <w:rFonts w:ascii="Arial" w:hAnsi="Arial" w:cs="Arial"/>
          <w:color w:val="000000"/>
          <w:sz w:val="18"/>
          <w:szCs w:val="18"/>
        </w:rPr>
      </w:pPr>
      <w:r w:rsidRPr="00A33FC5">
        <w:rPr>
          <w:rFonts w:ascii="Arial" w:hAnsi="Arial" w:cs="Arial"/>
          <w:color w:val="000000"/>
          <w:sz w:val="18"/>
          <w:szCs w:val="18"/>
        </w:rPr>
        <w:t>Dr. Susan Hills</w:t>
      </w:r>
    </w:p>
    <w:p w14:paraId="77BC0797" w14:textId="77777777" w:rsidR="00DC57CC" w:rsidRDefault="00DC57CC"/>
    <w:sectPr w:rsidR="00DC57CC"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FC5"/>
    <w:rsid w:val="004646EA"/>
    <w:rsid w:val="00655B8B"/>
    <w:rsid w:val="007578AE"/>
    <w:rsid w:val="008D786A"/>
    <w:rsid w:val="00A33FC5"/>
    <w:rsid w:val="00B5573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BC0772"/>
  <w15:docId w15:val="{4FE5F790-8793-4841-B814-8EF07587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FC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3FC5"/>
    <w:rPr>
      <w:color w:val="0000FF"/>
      <w:u w:val="single"/>
    </w:rPr>
  </w:style>
  <w:style w:type="paragraph" w:styleId="BalloonText">
    <w:name w:val="Balloon Text"/>
    <w:basedOn w:val="Normal"/>
    <w:link w:val="BalloonTextChar"/>
    <w:uiPriority w:val="99"/>
    <w:semiHidden/>
    <w:unhideWhenUsed/>
    <w:rsid w:val="00A33FC5"/>
    <w:rPr>
      <w:rFonts w:ascii="Tahoma" w:hAnsi="Tahoma" w:cs="Tahoma"/>
      <w:sz w:val="16"/>
      <w:szCs w:val="16"/>
    </w:rPr>
  </w:style>
  <w:style w:type="character" w:customStyle="1" w:styleId="BalloonTextChar">
    <w:name w:val="Balloon Text Char"/>
    <w:basedOn w:val="DefaultParagraphFont"/>
    <w:link w:val="BalloonText"/>
    <w:uiPriority w:val="99"/>
    <w:semiHidden/>
    <w:rsid w:val="00A33F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dc.gov/zika/hc-providers/pregnancy-registry" TargetMode="External"/><Relationship Id="rId5" Type="http://schemas.openxmlformats.org/officeDocument/2006/relationships/styles" Target="styles.xml"/><Relationship Id="rId10" Type="http://schemas.openxmlformats.org/officeDocument/2006/relationships/hyperlink" Target="http://www.cdc.gov/mmwr/volumes/65/wr/mm6503e3.htm" TargetMode="Externa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PFY6PPX2AYTS-2589-479</_dlc_DocId>
    <_dlc_DocIdUrl xmlns="81daf041-c113-401c-bf82-107f5d396711">
      <Url>https://esp.cdc.gov/sites/ncezid/OD/policy/PRA/_layouts/15/DocIdRedir.aspx?ID=PFY6PPX2AYTS-2589-479</Url>
      <Description>PFY6PPX2AYTS-2589-479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B444B-E2E1-40D7-9EA1-64ED88E16D5D}">
  <ds:schemaRefs>
    <ds:schemaRef ds:uri="http://schemas.microsoft.com/sharepoint/events"/>
  </ds:schemaRefs>
</ds:datastoreItem>
</file>

<file path=customXml/itemProps2.xml><?xml version="1.0" encoding="utf-8"?>
<ds:datastoreItem xmlns:ds="http://schemas.openxmlformats.org/officeDocument/2006/customXml" ds:itemID="{EBE7E208-2835-4086-B903-9F63E35E9DCF}">
  <ds:schemaRefs>
    <ds:schemaRef ds:uri="http://schemas.microsoft.com/sharepoint/v3/contenttype/forms"/>
  </ds:schemaRefs>
</ds:datastoreItem>
</file>

<file path=customXml/itemProps3.xml><?xml version="1.0" encoding="utf-8"?>
<ds:datastoreItem xmlns:ds="http://schemas.openxmlformats.org/officeDocument/2006/customXml" ds:itemID="{E57A604E-B0F5-4FEA-B90E-31AB34D9CA1A}">
  <ds:schemaRefs>
    <ds:schemaRef ds:uri="http://purl.org/dc/elements/1.1/"/>
    <ds:schemaRef ds:uri="http://purl.org/dc/terms/"/>
    <ds:schemaRef ds:uri="81daf041-c113-401c-bf82-107f5d396711"/>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d335559b-c20a-4874-978e-77d2be77e01f"/>
  </ds:schemaRefs>
</ds:datastoreItem>
</file>

<file path=customXml/itemProps4.xml><?xml version="1.0" encoding="utf-8"?>
<ds:datastoreItem xmlns:ds="http://schemas.openxmlformats.org/officeDocument/2006/customXml" ds:itemID="{4B1ACEDB-FD0E-471B-97FB-395F563C4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(CDC/OD/OADS)</cp:lastModifiedBy>
  <cp:revision>5</cp:revision>
  <dcterms:created xsi:type="dcterms:W3CDTF">2016-02-14T23:43:00Z</dcterms:created>
  <dcterms:modified xsi:type="dcterms:W3CDTF">2016-02-18T13:57:00Z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49ef3c68-d019-4cfd-86f5-6dd7e87f0de2</vt:lpwstr>
  </property>
</Properties>
</file>