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8C9" w:rsidRDefault="006768C9" w:rsidP="00FF6E39">
      <w:pPr>
        <w:tabs>
          <w:tab w:val="center" w:pos="4680"/>
        </w:tabs>
        <w:jc w:val="center"/>
        <w:rPr>
          <w:bCs/>
          <w:color w:val="000000"/>
          <w:sz w:val="32"/>
          <w:szCs w:val="32"/>
        </w:rPr>
      </w:pPr>
    </w:p>
    <w:p w:rsidR="006768C9" w:rsidRDefault="006768C9" w:rsidP="00FF6E39">
      <w:pPr>
        <w:tabs>
          <w:tab w:val="center" w:pos="4680"/>
        </w:tabs>
        <w:jc w:val="center"/>
        <w:rPr>
          <w:bCs/>
          <w:color w:val="000000"/>
          <w:sz w:val="32"/>
          <w:szCs w:val="32"/>
        </w:rPr>
      </w:pPr>
    </w:p>
    <w:p w:rsidR="00FF6E39" w:rsidRPr="005056EE" w:rsidRDefault="00E43E60" w:rsidP="00FF6E39">
      <w:pPr>
        <w:tabs>
          <w:tab w:val="center" w:pos="4680"/>
        </w:tabs>
        <w:jc w:val="center"/>
        <w:rPr>
          <w:bCs/>
          <w:color w:val="000000"/>
          <w:sz w:val="32"/>
          <w:szCs w:val="32"/>
        </w:rPr>
      </w:pPr>
      <w:r w:rsidRPr="00E43E60">
        <w:rPr>
          <w:bCs/>
          <w:color w:val="000000"/>
          <w:sz w:val="32"/>
          <w:szCs w:val="32"/>
        </w:rPr>
        <w:t>Request for Approval of a Non-Substantive Change:</w:t>
      </w:r>
    </w:p>
    <w:p w:rsidR="00FF6E39" w:rsidRDefault="00FF6E39" w:rsidP="00FF6E39">
      <w:pPr>
        <w:tabs>
          <w:tab w:val="center" w:pos="4680"/>
        </w:tabs>
        <w:spacing w:line="167" w:lineRule="auto"/>
        <w:jc w:val="center"/>
        <w:rPr>
          <w:sz w:val="32"/>
          <w:szCs w:val="32"/>
        </w:rPr>
      </w:pPr>
      <w:r>
        <w:rPr>
          <w:sz w:val="32"/>
          <w:szCs w:val="32"/>
        </w:rPr>
        <w:t>National Vital Statistics Report Forms</w:t>
      </w:r>
    </w:p>
    <w:p w:rsidR="00FF6E39" w:rsidRDefault="00FF6E39" w:rsidP="00FF6E39">
      <w:pPr>
        <w:jc w:val="center"/>
        <w:rPr>
          <w:bCs/>
          <w:color w:val="000000"/>
          <w:sz w:val="32"/>
          <w:szCs w:val="32"/>
        </w:rPr>
      </w:pPr>
    </w:p>
    <w:p w:rsidR="00FF6E39" w:rsidRPr="001D558C" w:rsidRDefault="00FF6E39" w:rsidP="00FF6E39">
      <w:pPr>
        <w:jc w:val="center"/>
        <w:rPr>
          <w:bCs/>
          <w:color w:val="000000"/>
          <w:sz w:val="28"/>
          <w:szCs w:val="28"/>
        </w:rPr>
      </w:pPr>
      <w:r w:rsidRPr="00C01AC2">
        <w:rPr>
          <w:bCs/>
          <w:color w:val="000000"/>
          <w:sz w:val="28"/>
          <w:szCs w:val="28"/>
        </w:rPr>
        <w:t>OMB No</w:t>
      </w:r>
      <w:r w:rsidRPr="001D558C">
        <w:rPr>
          <w:bCs/>
          <w:color w:val="000000"/>
          <w:sz w:val="28"/>
          <w:szCs w:val="28"/>
        </w:rPr>
        <w:t xml:space="preserve">. </w:t>
      </w:r>
      <w:r w:rsidRPr="001D558C">
        <w:rPr>
          <w:sz w:val="28"/>
          <w:szCs w:val="28"/>
        </w:rPr>
        <w:t>0920-0213</w:t>
      </w:r>
    </w:p>
    <w:p w:rsidR="00FF6E39" w:rsidRDefault="00300753" w:rsidP="00FF6E39">
      <w:pPr>
        <w:jc w:val="center"/>
        <w:rPr>
          <w:bCs/>
          <w:color w:val="000000"/>
          <w:sz w:val="28"/>
          <w:szCs w:val="28"/>
        </w:rPr>
      </w:pPr>
      <w:r>
        <w:rPr>
          <w:bCs/>
          <w:color w:val="000000"/>
          <w:sz w:val="28"/>
          <w:szCs w:val="28"/>
        </w:rPr>
        <w:t xml:space="preserve"> </w:t>
      </w:r>
    </w:p>
    <w:p w:rsidR="00300753" w:rsidRDefault="00F27C18" w:rsidP="00FF6E39">
      <w:pPr>
        <w:jc w:val="center"/>
        <w:rPr>
          <w:bCs/>
          <w:color w:val="000000"/>
          <w:sz w:val="28"/>
          <w:szCs w:val="28"/>
        </w:rPr>
      </w:pPr>
      <w:r>
        <w:rPr>
          <w:bCs/>
          <w:color w:val="000000"/>
          <w:sz w:val="28"/>
          <w:szCs w:val="28"/>
        </w:rPr>
        <w:t>OMB Exp. Date April 30, 2015</w:t>
      </w:r>
    </w:p>
    <w:p w:rsidR="00FF6E39" w:rsidRDefault="00FF6E39" w:rsidP="00FF6E39">
      <w:pPr>
        <w:jc w:val="center"/>
        <w:rPr>
          <w:bCs/>
          <w:color w:val="000000"/>
          <w:sz w:val="28"/>
          <w:szCs w:val="28"/>
        </w:rPr>
      </w:pPr>
    </w:p>
    <w:p w:rsidR="00FF6E39" w:rsidRDefault="00FF6E39" w:rsidP="00FF6E39">
      <w:pPr>
        <w:jc w:val="center"/>
        <w:rPr>
          <w:bCs/>
          <w:color w:val="000000"/>
          <w:sz w:val="28"/>
          <w:szCs w:val="28"/>
        </w:rPr>
      </w:pPr>
    </w:p>
    <w:p w:rsidR="00FF6E39" w:rsidRDefault="00FF6E39" w:rsidP="00FF6E39">
      <w:pPr>
        <w:jc w:val="center"/>
        <w:rPr>
          <w:bCs/>
          <w:color w:val="000000"/>
          <w:sz w:val="28"/>
          <w:szCs w:val="28"/>
        </w:rPr>
      </w:pPr>
    </w:p>
    <w:p w:rsidR="00FF6E39" w:rsidRPr="00C01AC2" w:rsidRDefault="00FF6E39" w:rsidP="00FF6E39">
      <w:pPr>
        <w:jc w:val="center"/>
        <w:rPr>
          <w:bCs/>
          <w:color w:val="000000"/>
          <w:sz w:val="28"/>
          <w:szCs w:val="28"/>
        </w:rPr>
      </w:pPr>
    </w:p>
    <w:p w:rsidR="00FF6E39" w:rsidRPr="00C01AC2" w:rsidRDefault="00FF6E39" w:rsidP="00FF6E39">
      <w:pPr>
        <w:jc w:val="center"/>
        <w:rPr>
          <w:bCs/>
          <w:color w:val="000000"/>
          <w:sz w:val="28"/>
          <w:szCs w:val="28"/>
        </w:rPr>
      </w:pPr>
      <w:bookmarkStart w:id="0" w:name="OLE_LINK1"/>
      <w:bookmarkStart w:id="1" w:name="OLE_LINK2"/>
    </w:p>
    <w:bookmarkEnd w:id="0"/>
    <w:bookmarkEnd w:id="1"/>
    <w:p w:rsidR="00731D26" w:rsidRPr="00C01AC2" w:rsidRDefault="00731D26" w:rsidP="00731D26">
      <w:pPr>
        <w:jc w:val="center"/>
        <w:rPr>
          <w:bCs/>
          <w:color w:val="000000"/>
          <w:sz w:val="28"/>
          <w:szCs w:val="28"/>
        </w:rPr>
      </w:pPr>
      <w:r w:rsidRPr="00C01AC2">
        <w:rPr>
          <w:bCs/>
          <w:color w:val="000000"/>
          <w:sz w:val="28"/>
          <w:szCs w:val="28"/>
        </w:rPr>
        <w:t>Contact Information:</w:t>
      </w:r>
    </w:p>
    <w:p w:rsidR="00731D26" w:rsidRPr="00C01AC2" w:rsidRDefault="00731D26" w:rsidP="00731D26">
      <w:pPr>
        <w:jc w:val="center"/>
        <w:rPr>
          <w:bCs/>
          <w:color w:val="000000"/>
          <w:sz w:val="28"/>
          <w:szCs w:val="28"/>
        </w:rPr>
      </w:pPr>
    </w:p>
    <w:p w:rsidR="00731D26" w:rsidRPr="00C01AC2" w:rsidRDefault="00731D26" w:rsidP="00731D26">
      <w:pPr>
        <w:jc w:val="center"/>
        <w:rPr>
          <w:bCs/>
          <w:color w:val="000000"/>
          <w:sz w:val="28"/>
          <w:szCs w:val="28"/>
        </w:rPr>
      </w:pPr>
      <w:r>
        <w:rPr>
          <w:bCs/>
          <w:color w:val="000000"/>
          <w:sz w:val="28"/>
          <w:szCs w:val="28"/>
        </w:rPr>
        <w:t>Delton Atkinson</w:t>
      </w:r>
      <w:r w:rsidRPr="00C01AC2">
        <w:rPr>
          <w:bCs/>
          <w:color w:val="000000"/>
          <w:sz w:val="28"/>
          <w:szCs w:val="28"/>
        </w:rPr>
        <w:t xml:space="preserve"> </w:t>
      </w:r>
    </w:p>
    <w:p w:rsidR="00731D26" w:rsidRPr="00C01AC2" w:rsidRDefault="007161A1" w:rsidP="00731D26">
      <w:pPr>
        <w:jc w:val="center"/>
        <w:rPr>
          <w:bCs/>
          <w:color w:val="000000"/>
          <w:sz w:val="28"/>
          <w:szCs w:val="28"/>
        </w:rPr>
      </w:pPr>
      <w:r>
        <w:rPr>
          <w:bCs/>
          <w:color w:val="000000"/>
          <w:sz w:val="28"/>
          <w:szCs w:val="28"/>
        </w:rPr>
        <w:t>Director,</w:t>
      </w:r>
      <w:r w:rsidR="00C35504">
        <w:rPr>
          <w:bCs/>
          <w:color w:val="000000"/>
          <w:sz w:val="28"/>
          <w:szCs w:val="28"/>
        </w:rPr>
        <w:t xml:space="preserve"> </w:t>
      </w:r>
      <w:r w:rsidR="00731D26">
        <w:rPr>
          <w:bCs/>
          <w:color w:val="000000"/>
          <w:sz w:val="28"/>
          <w:szCs w:val="28"/>
        </w:rPr>
        <w:t>Division of Vital Statistics</w:t>
      </w:r>
    </w:p>
    <w:p w:rsidR="00731D26" w:rsidRPr="00C01AC2" w:rsidRDefault="00731D26" w:rsidP="00731D26">
      <w:pPr>
        <w:jc w:val="center"/>
        <w:rPr>
          <w:bCs/>
          <w:color w:val="000000"/>
          <w:sz w:val="28"/>
          <w:szCs w:val="28"/>
        </w:rPr>
      </w:pPr>
      <w:r w:rsidRPr="00C01AC2">
        <w:rPr>
          <w:bCs/>
          <w:color w:val="000000"/>
          <w:sz w:val="28"/>
          <w:szCs w:val="28"/>
        </w:rPr>
        <w:t>National Center for Health Statistics/CDC</w:t>
      </w:r>
    </w:p>
    <w:p w:rsidR="00731D26" w:rsidRPr="00C01AC2" w:rsidRDefault="00731D26" w:rsidP="00731D26">
      <w:pPr>
        <w:jc w:val="center"/>
        <w:rPr>
          <w:bCs/>
          <w:color w:val="000000"/>
          <w:sz w:val="28"/>
          <w:szCs w:val="28"/>
        </w:rPr>
      </w:pPr>
      <w:r w:rsidRPr="00C01AC2">
        <w:rPr>
          <w:bCs/>
          <w:color w:val="000000"/>
          <w:sz w:val="28"/>
          <w:szCs w:val="28"/>
        </w:rPr>
        <w:t>3311 Toledo Road</w:t>
      </w:r>
      <w:r>
        <w:rPr>
          <w:bCs/>
          <w:color w:val="000000"/>
          <w:sz w:val="28"/>
          <w:szCs w:val="28"/>
        </w:rPr>
        <w:t>, Room 7313</w:t>
      </w:r>
    </w:p>
    <w:p w:rsidR="00731D26" w:rsidRPr="00C01AC2" w:rsidRDefault="00731D26" w:rsidP="00731D26">
      <w:pPr>
        <w:jc w:val="center"/>
        <w:rPr>
          <w:bCs/>
          <w:color w:val="000000"/>
          <w:sz w:val="28"/>
          <w:szCs w:val="28"/>
        </w:rPr>
      </w:pPr>
      <w:r w:rsidRPr="00C01AC2">
        <w:rPr>
          <w:bCs/>
          <w:color w:val="000000"/>
          <w:sz w:val="28"/>
          <w:szCs w:val="28"/>
        </w:rPr>
        <w:t>Hyattsville, MD. 20782</w:t>
      </w:r>
    </w:p>
    <w:p w:rsidR="00731D26" w:rsidRPr="00C01AC2" w:rsidRDefault="00731D26" w:rsidP="00731D26">
      <w:pPr>
        <w:jc w:val="center"/>
        <w:rPr>
          <w:bCs/>
          <w:color w:val="000000"/>
          <w:sz w:val="28"/>
          <w:szCs w:val="28"/>
        </w:rPr>
      </w:pPr>
      <w:r>
        <w:rPr>
          <w:bCs/>
          <w:color w:val="000000"/>
          <w:sz w:val="28"/>
          <w:szCs w:val="28"/>
        </w:rPr>
        <w:t>301-458-4467</w:t>
      </w:r>
    </w:p>
    <w:p w:rsidR="00731D26" w:rsidRPr="00C01AC2" w:rsidRDefault="00731D26" w:rsidP="00731D26">
      <w:pPr>
        <w:jc w:val="center"/>
        <w:rPr>
          <w:bCs/>
          <w:color w:val="000000"/>
          <w:sz w:val="28"/>
          <w:szCs w:val="28"/>
        </w:rPr>
      </w:pPr>
      <w:r>
        <w:rPr>
          <w:bCs/>
          <w:color w:val="000000"/>
          <w:sz w:val="28"/>
          <w:szCs w:val="28"/>
        </w:rPr>
        <w:t>301-458-4034</w:t>
      </w:r>
      <w:r w:rsidRPr="00C01AC2">
        <w:rPr>
          <w:bCs/>
          <w:color w:val="000000"/>
          <w:sz w:val="28"/>
          <w:szCs w:val="28"/>
        </w:rPr>
        <w:t xml:space="preserve"> (fax)</w:t>
      </w:r>
    </w:p>
    <w:p w:rsidR="00731D26" w:rsidRPr="00C01AC2" w:rsidRDefault="00F77D80" w:rsidP="00731D26">
      <w:pPr>
        <w:jc w:val="center"/>
        <w:rPr>
          <w:bCs/>
          <w:color w:val="000000"/>
          <w:sz w:val="28"/>
          <w:szCs w:val="28"/>
        </w:rPr>
      </w:pPr>
      <w:hyperlink r:id="rId7" w:history="1">
        <w:r w:rsidR="00731D26" w:rsidRPr="001D11FE">
          <w:rPr>
            <w:rStyle w:val="Hyperlink"/>
            <w:bCs/>
            <w:sz w:val="28"/>
            <w:szCs w:val="28"/>
          </w:rPr>
          <w:t>DAtkinson@cdc.gov</w:t>
        </w:r>
      </w:hyperlink>
    </w:p>
    <w:p w:rsidR="00FF6E39" w:rsidRPr="00C01AC2" w:rsidRDefault="00FF6E39" w:rsidP="00303040">
      <w:pPr>
        <w:jc w:val="center"/>
        <w:rPr>
          <w:bCs/>
          <w:color w:val="000000"/>
          <w:sz w:val="28"/>
          <w:szCs w:val="28"/>
        </w:rPr>
      </w:pPr>
    </w:p>
    <w:p w:rsidR="00FF6E39" w:rsidRDefault="00FF6E39" w:rsidP="00FF6E39">
      <w:pPr>
        <w:jc w:val="center"/>
        <w:rPr>
          <w:b/>
          <w:bCs/>
          <w:color w:val="000000"/>
          <w:sz w:val="28"/>
          <w:szCs w:val="28"/>
          <w:u w:val="single"/>
        </w:rPr>
      </w:pPr>
    </w:p>
    <w:p w:rsidR="00FF6E39" w:rsidRPr="00E43E60" w:rsidRDefault="0006584D" w:rsidP="00FF6E39">
      <w:pPr>
        <w:jc w:val="center"/>
        <w:rPr>
          <w:bCs/>
          <w:color w:val="000000"/>
          <w:sz w:val="28"/>
          <w:szCs w:val="28"/>
        </w:rPr>
      </w:pPr>
      <w:r>
        <w:rPr>
          <w:bCs/>
          <w:color w:val="000000"/>
          <w:sz w:val="28"/>
          <w:szCs w:val="28"/>
        </w:rPr>
        <w:t>February 9</w:t>
      </w:r>
      <w:r w:rsidR="00E43E60" w:rsidRPr="00E43E60">
        <w:rPr>
          <w:bCs/>
          <w:color w:val="000000"/>
          <w:sz w:val="28"/>
          <w:szCs w:val="28"/>
        </w:rPr>
        <w:t>, 2016</w:t>
      </w:r>
    </w:p>
    <w:p w:rsidR="00C35E12" w:rsidRPr="00F444AD" w:rsidRDefault="00B50AC5" w:rsidP="00D64612">
      <w:pPr>
        <w:tabs>
          <w:tab w:val="center" w:pos="4680"/>
        </w:tabs>
        <w:spacing w:line="167" w:lineRule="auto"/>
        <w:jc w:val="center"/>
      </w:pPr>
      <w:r>
        <w:rPr>
          <w:sz w:val="32"/>
          <w:szCs w:val="32"/>
        </w:rPr>
        <w:br w:type="page"/>
      </w:r>
    </w:p>
    <w:p w:rsidR="004E74EB" w:rsidRDefault="004E74EB" w:rsidP="004E74EB">
      <w:pPr>
        <w:jc w:val="center"/>
        <w:rPr>
          <w:b/>
          <w:bCs/>
          <w:color w:val="000000"/>
        </w:rPr>
      </w:pPr>
      <w:r w:rsidRPr="00C01AC2">
        <w:rPr>
          <w:b/>
          <w:bCs/>
          <w:color w:val="000000"/>
        </w:rPr>
        <w:lastRenderedPageBreak/>
        <w:t xml:space="preserve">NATIONAL </w:t>
      </w:r>
      <w:r>
        <w:rPr>
          <w:b/>
          <w:bCs/>
          <w:color w:val="000000"/>
        </w:rPr>
        <w:t>VITAL STATI</w:t>
      </w:r>
      <w:r w:rsidR="0051573A">
        <w:rPr>
          <w:b/>
          <w:bCs/>
          <w:color w:val="000000"/>
        </w:rPr>
        <w:t>STICS REPORT FORMS</w:t>
      </w:r>
    </w:p>
    <w:p w:rsidR="00512CA3" w:rsidRDefault="00512CA3" w:rsidP="004E74EB">
      <w:pPr>
        <w:jc w:val="center"/>
        <w:rPr>
          <w:b/>
          <w:bCs/>
          <w:color w:val="000000"/>
        </w:rPr>
      </w:pPr>
    </w:p>
    <w:p w:rsidR="004E74EB" w:rsidRDefault="004E74EB" w:rsidP="004E74EB">
      <w:pPr>
        <w:jc w:val="center"/>
        <w:rPr>
          <w:b/>
          <w:bCs/>
          <w:color w:val="000000"/>
        </w:rPr>
      </w:pPr>
    </w:p>
    <w:p w:rsidR="00822F37" w:rsidRPr="00564C19" w:rsidRDefault="00822F37">
      <w:pPr>
        <w:tabs>
          <w:tab w:val="left" w:pos="-1440"/>
        </w:tabs>
        <w:ind w:left="720" w:hanging="720"/>
        <w:rPr>
          <w:b/>
          <w:bCs/>
        </w:rPr>
      </w:pPr>
      <w:r w:rsidRPr="00564C19">
        <w:rPr>
          <w:b/>
          <w:bCs/>
        </w:rPr>
        <w:t>A</w:t>
      </w:r>
      <w:r w:rsidR="00E43E60" w:rsidRPr="00564C19">
        <w:rPr>
          <w:b/>
          <w:bCs/>
        </w:rPr>
        <w:t>1</w:t>
      </w:r>
      <w:r w:rsidRPr="00564C19">
        <w:rPr>
          <w:b/>
          <w:bCs/>
        </w:rPr>
        <w:t>.</w:t>
      </w:r>
      <w:r w:rsidRPr="00564C19">
        <w:rPr>
          <w:b/>
          <w:bCs/>
        </w:rPr>
        <w:tab/>
      </w:r>
      <w:r w:rsidR="00380DB8">
        <w:rPr>
          <w:b/>
          <w:bCs/>
        </w:rPr>
        <w:t>Circumstances Making the Collection of Information N</w:t>
      </w:r>
      <w:r w:rsidR="00E43E60" w:rsidRPr="00564C19">
        <w:rPr>
          <w:b/>
          <w:bCs/>
        </w:rPr>
        <w:t>ecessary</w:t>
      </w:r>
    </w:p>
    <w:p w:rsidR="00E43E60" w:rsidRPr="00564C19" w:rsidRDefault="00E43E60">
      <w:pPr>
        <w:tabs>
          <w:tab w:val="left" w:pos="-1440"/>
        </w:tabs>
        <w:ind w:left="720" w:hanging="720"/>
      </w:pPr>
    </w:p>
    <w:p w:rsidR="00A9476A" w:rsidRPr="00564C19" w:rsidRDefault="00E43E60" w:rsidP="00380DB8">
      <w:r w:rsidRPr="00564C19">
        <w:t>This request is for a nonsubstantive change to an approved data collection (OMB No. 0920-0213) (expires 0</w:t>
      </w:r>
      <w:r w:rsidR="00A9476A" w:rsidRPr="00564C19">
        <w:t>4</w:t>
      </w:r>
      <w:r w:rsidRPr="00564C19">
        <w:t>/</w:t>
      </w:r>
      <w:r w:rsidR="00A9476A" w:rsidRPr="00564C19">
        <w:t>30</w:t>
      </w:r>
      <w:r w:rsidRPr="00564C19">
        <w:t>/2018), the National Vital Statistics Report Forms</w:t>
      </w:r>
      <w:r w:rsidR="00A9476A" w:rsidRPr="00564C19">
        <w:t xml:space="preserve"> (NVSR)</w:t>
      </w:r>
      <w:r w:rsidRPr="00564C19">
        <w:t xml:space="preserve">.  On </w:t>
      </w:r>
      <w:r w:rsidR="00A9476A" w:rsidRPr="00564C19">
        <w:t>April 10</w:t>
      </w:r>
      <w:r w:rsidRPr="00564C19">
        <w:t>, 201</w:t>
      </w:r>
      <w:r w:rsidR="00A9476A" w:rsidRPr="00564C19">
        <w:t>5</w:t>
      </w:r>
      <w:r w:rsidRPr="00564C19">
        <w:t>, N</w:t>
      </w:r>
      <w:r w:rsidR="00A9476A" w:rsidRPr="00564C19">
        <w:t>V</w:t>
      </w:r>
      <w:r w:rsidRPr="00564C19">
        <w:t>S</w:t>
      </w:r>
      <w:r w:rsidR="00A9476A" w:rsidRPr="00564C19">
        <w:t>R</w:t>
      </w:r>
      <w:r w:rsidRPr="00564C19">
        <w:t xml:space="preserve"> was approved to continue to collect data for the three years</w:t>
      </w:r>
      <w:r w:rsidR="0051573A" w:rsidRPr="00564C19">
        <w:t xml:space="preserve">.  </w:t>
      </w:r>
      <w:r w:rsidR="00A9476A" w:rsidRPr="00564C19">
        <w:t>To date these</w:t>
      </w:r>
      <w:r w:rsidR="0051573A" w:rsidRPr="00564C19">
        <w:t xml:space="preserve"> </w:t>
      </w:r>
      <w:r w:rsidR="004E74EB" w:rsidRPr="00564C19">
        <w:t xml:space="preserve">data collection forms </w:t>
      </w:r>
      <w:r w:rsidR="00A9476A" w:rsidRPr="00564C19">
        <w:t xml:space="preserve">have been </w:t>
      </w:r>
      <w:r w:rsidR="004E74EB" w:rsidRPr="00564C19">
        <w:t xml:space="preserve">used by State and/or county vital registration offices to report to the Federal government (a) provisional counts of births, deaths, infant deaths, marriages, and divorces at the end of each month and (b) annual final counts of marriages and divorces/annulments in support of the National Vital Statistics System.  </w:t>
      </w:r>
    </w:p>
    <w:p w:rsidR="00A9476A" w:rsidRPr="00564C19" w:rsidRDefault="00A9476A" w:rsidP="004E74EB">
      <w:pPr>
        <w:ind w:left="720"/>
      </w:pPr>
    </w:p>
    <w:p w:rsidR="00A9476A" w:rsidRPr="00564C19" w:rsidRDefault="00A9476A" w:rsidP="00380DB8">
      <w:r w:rsidRPr="00564C19">
        <w:t>With this nonsubstantive change request the followings modifications are requested:</w:t>
      </w:r>
    </w:p>
    <w:p w:rsidR="00A9476A" w:rsidRPr="00564C19" w:rsidRDefault="00A9476A" w:rsidP="004E74EB">
      <w:pPr>
        <w:ind w:left="720"/>
      </w:pPr>
    </w:p>
    <w:p w:rsidR="00564C19" w:rsidRDefault="00A9476A" w:rsidP="00380DB8">
      <w:pPr>
        <w:pStyle w:val="ListParagraph"/>
        <w:numPr>
          <w:ilvl w:val="0"/>
          <w:numId w:val="13"/>
        </w:numPr>
        <w:ind w:left="360"/>
        <w:rPr>
          <w:rFonts w:ascii="Times New Roman" w:hAnsi="Times New Roman"/>
          <w:sz w:val="24"/>
          <w:szCs w:val="24"/>
        </w:rPr>
      </w:pPr>
      <w:r w:rsidRPr="00564C19">
        <w:rPr>
          <w:rFonts w:ascii="Times New Roman" w:hAnsi="Times New Roman"/>
          <w:sz w:val="24"/>
          <w:szCs w:val="24"/>
        </w:rPr>
        <w:t>Monthly reporting</w:t>
      </w:r>
      <w:r w:rsidR="001D12E4">
        <w:rPr>
          <w:rFonts w:ascii="Times New Roman" w:hAnsi="Times New Roman"/>
          <w:sz w:val="24"/>
          <w:szCs w:val="24"/>
        </w:rPr>
        <w:t xml:space="preserve"> of marriages and divorces</w:t>
      </w:r>
      <w:r w:rsidR="002C406E">
        <w:rPr>
          <w:rFonts w:ascii="Times New Roman" w:hAnsi="Times New Roman"/>
          <w:sz w:val="24"/>
          <w:szCs w:val="24"/>
        </w:rPr>
        <w:t>/annulments</w:t>
      </w:r>
      <w:r w:rsidR="001D12E4">
        <w:rPr>
          <w:rFonts w:ascii="Times New Roman" w:hAnsi="Times New Roman"/>
          <w:sz w:val="24"/>
          <w:szCs w:val="24"/>
        </w:rPr>
        <w:t xml:space="preserve"> </w:t>
      </w:r>
      <w:r w:rsidR="009F64CD">
        <w:rPr>
          <w:rFonts w:ascii="Times New Roman" w:hAnsi="Times New Roman"/>
          <w:sz w:val="24"/>
          <w:szCs w:val="24"/>
        </w:rPr>
        <w:t xml:space="preserve">counts </w:t>
      </w:r>
      <w:r w:rsidR="001D12E4">
        <w:rPr>
          <w:rFonts w:ascii="Times New Roman" w:hAnsi="Times New Roman"/>
          <w:sz w:val="24"/>
          <w:szCs w:val="24"/>
        </w:rPr>
        <w:t>will</w:t>
      </w:r>
      <w:r w:rsidRPr="00564C19">
        <w:rPr>
          <w:rFonts w:ascii="Times New Roman" w:hAnsi="Times New Roman"/>
          <w:sz w:val="24"/>
          <w:szCs w:val="24"/>
        </w:rPr>
        <w:t xml:space="preserve"> be </w:t>
      </w:r>
      <w:r w:rsidR="001D12E4">
        <w:rPr>
          <w:rFonts w:ascii="Times New Roman" w:hAnsi="Times New Roman"/>
          <w:sz w:val="24"/>
          <w:szCs w:val="24"/>
        </w:rPr>
        <w:t>deleted from the Monthly Vital Statistics Report</w:t>
      </w:r>
      <w:r w:rsidR="00861888">
        <w:rPr>
          <w:rFonts w:ascii="Times New Roman" w:hAnsi="Times New Roman"/>
          <w:sz w:val="24"/>
          <w:szCs w:val="24"/>
        </w:rPr>
        <w:t xml:space="preserve"> (Attachment A</w:t>
      </w:r>
      <w:r w:rsidR="008A5271">
        <w:rPr>
          <w:rFonts w:ascii="Times New Roman" w:hAnsi="Times New Roman"/>
          <w:sz w:val="24"/>
          <w:szCs w:val="24"/>
        </w:rPr>
        <w:t xml:space="preserve"> captures the newly proposed form and Attachment C represents the currently approved version</w:t>
      </w:r>
      <w:r w:rsidR="00861888">
        <w:rPr>
          <w:rFonts w:ascii="Times New Roman" w:hAnsi="Times New Roman"/>
          <w:sz w:val="24"/>
          <w:szCs w:val="24"/>
        </w:rPr>
        <w:t>)</w:t>
      </w:r>
      <w:r w:rsidRPr="00564C19">
        <w:rPr>
          <w:rFonts w:ascii="Times New Roman" w:hAnsi="Times New Roman"/>
          <w:sz w:val="24"/>
          <w:szCs w:val="24"/>
        </w:rPr>
        <w:t xml:space="preserve">; </w:t>
      </w:r>
      <w:r w:rsidR="001D12E4">
        <w:rPr>
          <w:rFonts w:ascii="Times New Roman" w:hAnsi="Times New Roman"/>
          <w:sz w:val="24"/>
          <w:szCs w:val="24"/>
        </w:rPr>
        <w:t xml:space="preserve">thereby reducing the average burden time for that form by 2 minutes. </w:t>
      </w:r>
      <w:r w:rsidR="009F64CD" w:rsidRPr="00DA0701">
        <w:rPr>
          <w:rFonts w:ascii="Times New Roman" w:hAnsi="Times New Roman"/>
          <w:bCs/>
          <w:sz w:val="24"/>
          <w:szCs w:val="24"/>
        </w:rPr>
        <w:t>Reporting of occurrence totals by month</w:t>
      </w:r>
      <w:r w:rsidR="009F64CD" w:rsidRPr="009F64CD">
        <w:rPr>
          <w:rFonts w:ascii="Times New Roman" w:hAnsi="Times New Roman"/>
          <w:sz w:val="24"/>
          <w:szCs w:val="24"/>
        </w:rPr>
        <w:t xml:space="preserve"> </w:t>
      </w:r>
      <w:r w:rsidR="00DA0701">
        <w:rPr>
          <w:rFonts w:ascii="Times New Roman" w:hAnsi="Times New Roman"/>
          <w:sz w:val="24"/>
          <w:szCs w:val="24"/>
        </w:rPr>
        <w:t>will</w:t>
      </w:r>
      <w:r w:rsidRPr="00564C19">
        <w:rPr>
          <w:rFonts w:ascii="Times New Roman" w:hAnsi="Times New Roman"/>
          <w:sz w:val="24"/>
          <w:szCs w:val="24"/>
        </w:rPr>
        <w:t xml:space="preserve"> c</w:t>
      </w:r>
      <w:r w:rsidR="001D12E4">
        <w:rPr>
          <w:rFonts w:ascii="Times New Roman" w:hAnsi="Times New Roman"/>
          <w:sz w:val="24"/>
          <w:szCs w:val="24"/>
        </w:rPr>
        <w:t xml:space="preserve">ontinue to be collected on the Annual </w:t>
      </w:r>
      <w:r w:rsidR="00861888" w:rsidRPr="00861888">
        <w:rPr>
          <w:rFonts w:ascii="Times New Roman" w:hAnsi="Times New Roman"/>
          <w:sz w:val="24"/>
          <w:szCs w:val="24"/>
        </w:rPr>
        <w:t xml:space="preserve">Vital Statistics </w:t>
      </w:r>
      <w:r w:rsidR="001D12E4">
        <w:rPr>
          <w:rFonts w:ascii="Times New Roman" w:hAnsi="Times New Roman"/>
          <w:sz w:val="24"/>
          <w:szCs w:val="24"/>
        </w:rPr>
        <w:t>R</w:t>
      </w:r>
      <w:r w:rsidRPr="00564C19">
        <w:rPr>
          <w:rFonts w:ascii="Times New Roman" w:hAnsi="Times New Roman"/>
          <w:sz w:val="24"/>
          <w:szCs w:val="24"/>
        </w:rPr>
        <w:t>eport</w:t>
      </w:r>
      <w:r w:rsidR="00861888">
        <w:rPr>
          <w:rFonts w:ascii="Times New Roman" w:hAnsi="Times New Roman"/>
          <w:sz w:val="24"/>
          <w:szCs w:val="24"/>
        </w:rPr>
        <w:t xml:space="preserve"> (Attachment B</w:t>
      </w:r>
      <w:r w:rsidR="008A5271">
        <w:rPr>
          <w:rFonts w:ascii="Times New Roman" w:hAnsi="Times New Roman"/>
          <w:sz w:val="24"/>
          <w:szCs w:val="24"/>
        </w:rPr>
        <w:t xml:space="preserve"> </w:t>
      </w:r>
      <w:r w:rsidR="00DF4263" w:rsidRPr="00DF4263">
        <w:rPr>
          <w:rFonts w:ascii="Times New Roman" w:hAnsi="Times New Roman"/>
          <w:sz w:val="24"/>
          <w:szCs w:val="24"/>
        </w:rPr>
        <w:t xml:space="preserve">captures the newly proposed form and Attachment </w:t>
      </w:r>
      <w:r w:rsidR="00DF4263">
        <w:rPr>
          <w:rFonts w:ascii="Times New Roman" w:hAnsi="Times New Roman"/>
          <w:sz w:val="24"/>
          <w:szCs w:val="24"/>
        </w:rPr>
        <w:t>D</w:t>
      </w:r>
      <w:r w:rsidR="00DF4263" w:rsidRPr="00DF4263">
        <w:rPr>
          <w:rFonts w:ascii="Times New Roman" w:hAnsi="Times New Roman"/>
          <w:sz w:val="24"/>
          <w:szCs w:val="24"/>
        </w:rPr>
        <w:t xml:space="preserve"> represent</w:t>
      </w:r>
      <w:r w:rsidR="00B97DC6">
        <w:rPr>
          <w:rFonts w:ascii="Times New Roman" w:hAnsi="Times New Roman"/>
          <w:sz w:val="24"/>
          <w:szCs w:val="24"/>
        </w:rPr>
        <w:t>s the currently approved version</w:t>
      </w:r>
      <w:bookmarkStart w:id="2" w:name="_GoBack"/>
      <w:bookmarkEnd w:id="2"/>
      <w:r w:rsidR="00861888">
        <w:rPr>
          <w:rFonts w:ascii="Times New Roman" w:hAnsi="Times New Roman"/>
          <w:sz w:val="24"/>
          <w:szCs w:val="24"/>
        </w:rPr>
        <w:t>)</w:t>
      </w:r>
      <w:r w:rsidR="00C30300">
        <w:rPr>
          <w:rFonts w:ascii="Times New Roman" w:hAnsi="Times New Roman"/>
          <w:sz w:val="24"/>
          <w:szCs w:val="24"/>
        </w:rPr>
        <w:t>.</w:t>
      </w:r>
    </w:p>
    <w:p w:rsidR="0079309D" w:rsidRDefault="001D12E4" w:rsidP="0079309D">
      <w:pPr>
        <w:pStyle w:val="ListParagraph"/>
        <w:numPr>
          <w:ilvl w:val="0"/>
          <w:numId w:val="13"/>
        </w:numPr>
        <w:ind w:left="360"/>
        <w:rPr>
          <w:rFonts w:ascii="Times New Roman" w:hAnsi="Times New Roman"/>
          <w:sz w:val="24"/>
          <w:szCs w:val="24"/>
        </w:rPr>
      </w:pPr>
      <w:r>
        <w:rPr>
          <w:rFonts w:ascii="Times New Roman" w:hAnsi="Times New Roman"/>
          <w:sz w:val="24"/>
          <w:szCs w:val="24"/>
        </w:rPr>
        <w:t xml:space="preserve">Instructions for the </w:t>
      </w:r>
      <w:r w:rsidRPr="001D12E4">
        <w:rPr>
          <w:rFonts w:ascii="Times New Roman" w:hAnsi="Times New Roman"/>
          <w:sz w:val="24"/>
          <w:szCs w:val="24"/>
        </w:rPr>
        <w:t>Monthly Vital Statistics Report</w:t>
      </w:r>
      <w:r>
        <w:rPr>
          <w:rFonts w:ascii="Times New Roman" w:hAnsi="Times New Roman"/>
          <w:sz w:val="24"/>
          <w:szCs w:val="24"/>
        </w:rPr>
        <w:t xml:space="preserve"> will be updated to reflect the deletion of the m</w:t>
      </w:r>
      <w:r w:rsidRPr="001D12E4">
        <w:rPr>
          <w:rFonts w:ascii="Times New Roman" w:hAnsi="Times New Roman"/>
          <w:sz w:val="24"/>
          <w:szCs w:val="24"/>
        </w:rPr>
        <w:t>on</w:t>
      </w:r>
      <w:r>
        <w:rPr>
          <w:rFonts w:ascii="Times New Roman" w:hAnsi="Times New Roman"/>
          <w:sz w:val="24"/>
          <w:szCs w:val="24"/>
        </w:rPr>
        <w:t xml:space="preserve">thly reporting of marriages, </w:t>
      </w:r>
      <w:r w:rsidRPr="001D12E4">
        <w:rPr>
          <w:rFonts w:ascii="Times New Roman" w:hAnsi="Times New Roman"/>
          <w:sz w:val="24"/>
          <w:szCs w:val="24"/>
        </w:rPr>
        <w:t>divorces</w:t>
      </w:r>
      <w:r>
        <w:rPr>
          <w:rFonts w:ascii="Times New Roman" w:hAnsi="Times New Roman"/>
          <w:sz w:val="24"/>
          <w:szCs w:val="24"/>
        </w:rPr>
        <w:t>, and annulments</w:t>
      </w:r>
      <w:r w:rsidR="00C30300">
        <w:rPr>
          <w:rFonts w:ascii="Times New Roman" w:hAnsi="Times New Roman"/>
          <w:sz w:val="24"/>
          <w:szCs w:val="24"/>
        </w:rPr>
        <w:t xml:space="preserve"> on that form</w:t>
      </w:r>
      <w:r>
        <w:rPr>
          <w:rFonts w:ascii="Times New Roman" w:hAnsi="Times New Roman"/>
          <w:sz w:val="24"/>
          <w:szCs w:val="24"/>
        </w:rPr>
        <w:t>.</w:t>
      </w:r>
    </w:p>
    <w:p w:rsidR="001D12E4" w:rsidRPr="0079309D" w:rsidRDefault="00336C42" w:rsidP="0079309D">
      <w:pPr>
        <w:pStyle w:val="ListParagraph"/>
        <w:numPr>
          <w:ilvl w:val="0"/>
          <w:numId w:val="13"/>
        </w:numPr>
        <w:ind w:left="360"/>
        <w:rPr>
          <w:rFonts w:ascii="Times New Roman" w:hAnsi="Times New Roman"/>
          <w:sz w:val="24"/>
          <w:szCs w:val="24"/>
        </w:rPr>
      </w:pPr>
      <w:r w:rsidRPr="0079309D">
        <w:rPr>
          <w:rFonts w:ascii="Times New Roman" w:hAnsi="Times New Roman"/>
          <w:sz w:val="24"/>
          <w:szCs w:val="24"/>
        </w:rPr>
        <w:t>A note within the</w:t>
      </w:r>
      <w:r w:rsidR="001D12E4" w:rsidRPr="0079309D">
        <w:rPr>
          <w:rFonts w:ascii="Times New Roman" w:hAnsi="Times New Roman"/>
          <w:sz w:val="24"/>
          <w:szCs w:val="24"/>
        </w:rPr>
        <w:t xml:space="preserve"> Annual Vital Statistics Report </w:t>
      </w:r>
      <w:r w:rsidR="0079309D" w:rsidRPr="0079309D">
        <w:rPr>
          <w:rFonts w:ascii="Times New Roman" w:hAnsi="Times New Roman"/>
          <w:sz w:val="24"/>
          <w:szCs w:val="24"/>
        </w:rPr>
        <w:t>will be</w:t>
      </w:r>
      <w:r w:rsidR="001D12E4" w:rsidRPr="0079309D">
        <w:rPr>
          <w:rFonts w:ascii="Times New Roman" w:hAnsi="Times New Roman"/>
          <w:sz w:val="24"/>
          <w:szCs w:val="24"/>
        </w:rPr>
        <w:t xml:space="preserve"> updated</w:t>
      </w:r>
      <w:r w:rsidRPr="0079309D">
        <w:rPr>
          <w:rFonts w:ascii="Times New Roman" w:hAnsi="Times New Roman"/>
          <w:sz w:val="24"/>
          <w:szCs w:val="24"/>
        </w:rPr>
        <w:t xml:space="preserve"> to </w:t>
      </w:r>
      <w:r w:rsidR="00C30300" w:rsidRPr="0079309D">
        <w:rPr>
          <w:rFonts w:ascii="Times New Roman" w:hAnsi="Times New Roman"/>
          <w:sz w:val="24"/>
          <w:szCs w:val="24"/>
        </w:rPr>
        <w:t xml:space="preserve">reference the discontinuation of </w:t>
      </w:r>
      <w:r w:rsidRPr="0079309D">
        <w:rPr>
          <w:rFonts w:ascii="Times New Roman" w:hAnsi="Times New Roman"/>
          <w:sz w:val="24"/>
          <w:szCs w:val="24"/>
        </w:rPr>
        <w:t xml:space="preserve">marriages and divorces/annulments </w:t>
      </w:r>
      <w:r w:rsidR="00C30300" w:rsidRPr="0079309D">
        <w:rPr>
          <w:rFonts w:ascii="Times New Roman" w:hAnsi="Times New Roman"/>
          <w:sz w:val="24"/>
          <w:szCs w:val="24"/>
        </w:rPr>
        <w:t>monthly counts from the Monthly Vital Statistics Report</w:t>
      </w:r>
      <w:r w:rsidRPr="0079309D">
        <w:rPr>
          <w:rFonts w:ascii="Times New Roman" w:hAnsi="Times New Roman"/>
          <w:sz w:val="24"/>
          <w:szCs w:val="24"/>
        </w:rPr>
        <w:t xml:space="preserve">. </w:t>
      </w:r>
      <w:r w:rsidR="0079309D" w:rsidRPr="0079309D">
        <w:rPr>
          <w:rFonts w:ascii="Times New Roman" w:hAnsi="Times New Roman"/>
          <w:sz w:val="24"/>
          <w:szCs w:val="24"/>
        </w:rPr>
        <w:t>N</w:t>
      </w:r>
      <w:r w:rsidRPr="0079309D">
        <w:rPr>
          <w:rFonts w:ascii="Times New Roman" w:hAnsi="Times New Roman"/>
          <w:sz w:val="24"/>
          <w:szCs w:val="24"/>
        </w:rPr>
        <w:t xml:space="preserve">o changes to the actual data elements </w:t>
      </w:r>
      <w:r w:rsidR="0079309D" w:rsidRPr="0079309D">
        <w:rPr>
          <w:rFonts w:ascii="Times New Roman" w:hAnsi="Times New Roman"/>
          <w:sz w:val="24"/>
          <w:szCs w:val="24"/>
        </w:rPr>
        <w:t xml:space="preserve">within the Annual Vital Statistics Report </w:t>
      </w:r>
      <w:r w:rsidRPr="0079309D">
        <w:rPr>
          <w:rFonts w:ascii="Times New Roman" w:hAnsi="Times New Roman"/>
          <w:sz w:val="24"/>
          <w:szCs w:val="24"/>
        </w:rPr>
        <w:t>are requested</w:t>
      </w:r>
      <w:r w:rsidR="005B3A6B">
        <w:rPr>
          <w:rFonts w:ascii="Times New Roman" w:hAnsi="Times New Roman"/>
          <w:sz w:val="24"/>
          <w:szCs w:val="24"/>
        </w:rPr>
        <w:t>, only the example date</w:t>
      </w:r>
      <w:r w:rsidR="002B7C72">
        <w:rPr>
          <w:rFonts w:ascii="Times New Roman" w:hAnsi="Times New Roman"/>
          <w:sz w:val="24"/>
          <w:szCs w:val="24"/>
        </w:rPr>
        <w:t>s</w:t>
      </w:r>
      <w:r w:rsidR="005B3A6B">
        <w:rPr>
          <w:rFonts w:ascii="Times New Roman" w:hAnsi="Times New Roman"/>
          <w:sz w:val="24"/>
          <w:szCs w:val="24"/>
        </w:rPr>
        <w:t xml:space="preserve"> have been updated</w:t>
      </w:r>
      <w:r w:rsidRPr="0079309D">
        <w:rPr>
          <w:rFonts w:ascii="Times New Roman" w:hAnsi="Times New Roman"/>
          <w:sz w:val="24"/>
          <w:szCs w:val="24"/>
        </w:rPr>
        <w:t>.</w:t>
      </w:r>
      <w:r w:rsidR="002B7C72">
        <w:rPr>
          <w:rFonts w:ascii="Times New Roman" w:hAnsi="Times New Roman"/>
          <w:sz w:val="24"/>
          <w:szCs w:val="24"/>
        </w:rPr>
        <w:t xml:space="preserve">  Example dates within the Monthly form have also been updated.</w:t>
      </w:r>
    </w:p>
    <w:p w:rsidR="00564C19" w:rsidRDefault="00564C19" w:rsidP="00564C19">
      <w:pPr>
        <w:pStyle w:val="ListParagraph"/>
        <w:ind w:left="0"/>
        <w:rPr>
          <w:rFonts w:ascii="Times New Roman" w:hAnsi="Times New Roman"/>
          <w:b/>
          <w:sz w:val="24"/>
          <w:szCs w:val="24"/>
        </w:rPr>
      </w:pPr>
    </w:p>
    <w:p w:rsidR="00A9476A" w:rsidRPr="00564C19" w:rsidRDefault="00564C19" w:rsidP="00564C19">
      <w:pPr>
        <w:pStyle w:val="ListParagraph"/>
        <w:ind w:left="0"/>
        <w:rPr>
          <w:rFonts w:ascii="Times New Roman" w:hAnsi="Times New Roman"/>
          <w:sz w:val="24"/>
          <w:szCs w:val="24"/>
        </w:rPr>
      </w:pPr>
      <w:r>
        <w:rPr>
          <w:rFonts w:ascii="Times New Roman" w:hAnsi="Times New Roman"/>
          <w:b/>
          <w:sz w:val="24"/>
          <w:szCs w:val="24"/>
        </w:rPr>
        <w:t>A2</w:t>
      </w:r>
      <w:r>
        <w:rPr>
          <w:rFonts w:ascii="Times New Roman" w:hAnsi="Times New Roman"/>
          <w:sz w:val="24"/>
          <w:szCs w:val="24"/>
        </w:rPr>
        <w:t>.</w:t>
      </w:r>
      <w:r>
        <w:rPr>
          <w:rFonts w:ascii="Times New Roman" w:hAnsi="Times New Roman"/>
          <w:sz w:val="24"/>
          <w:szCs w:val="24"/>
        </w:rPr>
        <w:tab/>
      </w:r>
      <w:r w:rsidRPr="00564C19">
        <w:rPr>
          <w:rFonts w:ascii="Times New Roman" w:hAnsi="Times New Roman"/>
          <w:b/>
          <w:sz w:val="24"/>
          <w:szCs w:val="24"/>
        </w:rPr>
        <w:t>Purpose and Use of the Information Collection</w:t>
      </w:r>
    </w:p>
    <w:p w:rsidR="00EC3D7F" w:rsidRDefault="00822F37" w:rsidP="00380DB8">
      <w:pPr>
        <w:pStyle w:val="Quick1"/>
        <w:numPr>
          <w:ilvl w:val="0"/>
          <w:numId w:val="0"/>
        </w:numPr>
        <w:tabs>
          <w:tab w:val="left" w:pos="-1440"/>
        </w:tabs>
      </w:pPr>
      <w:r w:rsidRPr="00564C19">
        <w:t xml:space="preserve">The data are widely used by all agencies of the Public Health Service and other government, academic, and private research organizations in tracking changes in trends of vital events, including trends in family formation and dissolution.  </w:t>
      </w:r>
      <w:r w:rsidR="00F831DE" w:rsidRPr="00564C19">
        <w:t xml:space="preserve">  These data complement the U.S. Vital Statistics program and serve as the basis </w:t>
      </w:r>
      <w:r w:rsidR="00412751" w:rsidRPr="00564C19">
        <w:t>for weighting provisional surveillance estimates of birth and death</w:t>
      </w:r>
      <w:r w:rsidR="00F831DE" w:rsidRPr="00564C19">
        <w:t>.</w:t>
      </w:r>
      <w:r w:rsidR="00126A40" w:rsidRPr="00564C19">
        <w:t xml:space="preserve"> They also provide surveillance for change in trends in the various vital events being tracked; if the data were not collected monthly, changes in trends would not be recognized at an early stage. </w:t>
      </w:r>
    </w:p>
    <w:p w:rsidR="00EC3D7F" w:rsidRDefault="00EC3D7F" w:rsidP="00380DB8">
      <w:pPr>
        <w:pStyle w:val="Quick1"/>
        <w:numPr>
          <w:ilvl w:val="0"/>
          <w:numId w:val="0"/>
        </w:numPr>
        <w:tabs>
          <w:tab w:val="left" w:pos="-1440"/>
        </w:tabs>
      </w:pPr>
    </w:p>
    <w:p w:rsidR="00822F37" w:rsidRDefault="00C30300" w:rsidP="00380DB8">
      <w:pPr>
        <w:pStyle w:val="Quick1"/>
        <w:numPr>
          <w:ilvl w:val="0"/>
          <w:numId w:val="0"/>
        </w:numPr>
        <w:tabs>
          <w:tab w:val="left" w:pos="-1440"/>
        </w:tabs>
      </w:pPr>
      <w:r>
        <w:t>While f</w:t>
      </w:r>
      <w:r w:rsidR="00126A40" w:rsidRPr="00564C19">
        <w:t>inal marriage and divorce</w:t>
      </w:r>
      <w:r>
        <w:t>/annulment</w:t>
      </w:r>
      <w:r w:rsidR="00126A40" w:rsidRPr="00564C19">
        <w:t xml:space="preserve"> data must be collected annually to permit uninterrupted tracking of family dynamics</w:t>
      </w:r>
      <w:r>
        <w:t xml:space="preserve">, it has been determined that the collection of this information does not need to be reported on both the </w:t>
      </w:r>
      <w:r w:rsidRPr="00C30300">
        <w:t xml:space="preserve">Monthly </w:t>
      </w:r>
      <w:r>
        <w:t xml:space="preserve">and Annual </w:t>
      </w:r>
      <w:r w:rsidRPr="00C30300">
        <w:t>Vital Statistics Report</w:t>
      </w:r>
      <w:r>
        <w:t>s</w:t>
      </w:r>
      <w:r w:rsidR="00126A40" w:rsidRPr="00564C19">
        <w:t>.</w:t>
      </w:r>
      <w:r>
        <w:t xml:space="preserve">  </w:t>
      </w:r>
      <w:r w:rsidR="002C406E">
        <w:t xml:space="preserve">Consequently, the deletion of the following marriage and divorce/annulment items from the paper </w:t>
      </w:r>
      <w:r w:rsidR="002C406E">
        <w:lastRenderedPageBreak/>
        <w:t xml:space="preserve">and electronic versions of the Monthly Vital Statistics Report </w:t>
      </w:r>
      <w:r>
        <w:t xml:space="preserve">will reduce the </w:t>
      </w:r>
      <w:r w:rsidR="002C406E">
        <w:t xml:space="preserve">average </w:t>
      </w:r>
      <w:r>
        <w:t xml:space="preserve">burden for completing the </w:t>
      </w:r>
      <w:r w:rsidR="00861888" w:rsidRPr="00861888">
        <w:t>Monthly Vital Statistics Report</w:t>
      </w:r>
      <w:r w:rsidR="00861888">
        <w:t xml:space="preserve"> by 2 minutes.</w:t>
      </w:r>
    </w:p>
    <w:tbl>
      <w:tblPr>
        <w:tblStyle w:val="TableGrid"/>
        <w:tblW w:w="0" w:type="auto"/>
        <w:tblLook w:val="04A0" w:firstRow="1" w:lastRow="0" w:firstColumn="1" w:lastColumn="0" w:noHBand="0" w:noVBand="1"/>
      </w:tblPr>
      <w:tblGrid>
        <w:gridCol w:w="2515"/>
        <w:gridCol w:w="4680"/>
        <w:gridCol w:w="2335"/>
      </w:tblGrid>
      <w:tr w:rsidR="00890F47" w:rsidTr="00991ACA">
        <w:tc>
          <w:tcPr>
            <w:tcW w:w="2515" w:type="dxa"/>
          </w:tcPr>
          <w:p w:rsidR="00890F47" w:rsidRPr="00890F47" w:rsidRDefault="00890F47" w:rsidP="00890F47">
            <w:pPr>
              <w:pStyle w:val="Quick1"/>
              <w:numPr>
                <w:ilvl w:val="0"/>
                <w:numId w:val="0"/>
              </w:numPr>
              <w:tabs>
                <w:tab w:val="left" w:pos="-1440"/>
              </w:tabs>
              <w:jc w:val="center"/>
              <w:rPr>
                <w:b/>
              </w:rPr>
            </w:pPr>
            <w:r w:rsidRPr="00890F47">
              <w:rPr>
                <w:b/>
              </w:rPr>
              <w:t>Form</w:t>
            </w:r>
          </w:p>
        </w:tc>
        <w:tc>
          <w:tcPr>
            <w:tcW w:w="4680" w:type="dxa"/>
          </w:tcPr>
          <w:p w:rsidR="00890F47" w:rsidRPr="00890F47" w:rsidRDefault="00890F47" w:rsidP="00890F47">
            <w:pPr>
              <w:pStyle w:val="Quick1"/>
              <w:numPr>
                <w:ilvl w:val="0"/>
                <w:numId w:val="0"/>
              </w:numPr>
              <w:tabs>
                <w:tab w:val="left" w:pos="-1440"/>
              </w:tabs>
              <w:jc w:val="center"/>
              <w:rPr>
                <w:b/>
              </w:rPr>
            </w:pPr>
            <w:r w:rsidRPr="00890F47">
              <w:rPr>
                <w:b/>
              </w:rPr>
              <w:t>Current Question/Item</w:t>
            </w:r>
          </w:p>
        </w:tc>
        <w:tc>
          <w:tcPr>
            <w:tcW w:w="2335" w:type="dxa"/>
          </w:tcPr>
          <w:p w:rsidR="00890F47" w:rsidRPr="00890F47" w:rsidRDefault="00890F47" w:rsidP="00890F47">
            <w:pPr>
              <w:pStyle w:val="Quick1"/>
              <w:numPr>
                <w:ilvl w:val="0"/>
                <w:numId w:val="0"/>
              </w:numPr>
              <w:tabs>
                <w:tab w:val="left" w:pos="-1440"/>
              </w:tabs>
              <w:jc w:val="center"/>
              <w:rPr>
                <w:b/>
              </w:rPr>
            </w:pPr>
            <w:r w:rsidRPr="00890F47">
              <w:rPr>
                <w:b/>
              </w:rPr>
              <w:t>Requested Change</w:t>
            </w:r>
          </w:p>
        </w:tc>
      </w:tr>
      <w:tr w:rsidR="00F357B3" w:rsidTr="00991ACA">
        <w:tc>
          <w:tcPr>
            <w:tcW w:w="2515" w:type="dxa"/>
          </w:tcPr>
          <w:p w:rsidR="00F357B3" w:rsidRDefault="00F357B3" w:rsidP="00380DB8">
            <w:pPr>
              <w:pStyle w:val="Quick1"/>
              <w:numPr>
                <w:ilvl w:val="0"/>
                <w:numId w:val="0"/>
              </w:numPr>
              <w:tabs>
                <w:tab w:val="left" w:pos="-1440"/>
              </w:tabs>
            </w:pPr>
            <w:r>
              <w:t xml:space="preserve">Monthly </w:t>
            </w:r>
            <w:r w:rsidRPr="00F357B3">
              <w:t>Vital Statistics Report (Example Date on the Paper Version)</w:t>
            </w:r>
          </w:p>
        </w:tc>
        <w:tc>
          <w:tcPr>
            <w:tcW w:w="4680" w:type="dxa"/>
          </w:tcPr>
          <w:p w:rsidR="00F357B3" w:rsidRDefault="00D512D7" w:rsidP="00380DB8">
            <w:pPr>
              <w:pStyle w:val="Quick1"/>
              <w:numPr>
                <w:ilvl w:val="0"/>
                <w:numId w:val="0"/>
              </w:numPr>
              <w:tabs>
                <w:tab w:val="left" w:pos="-1440"/>
              </w:tabs>
            </w:pPr>
            <w:r w:rsidRPr="00D512D7">
              <w:t>Mont</w:t>
            </w:r>
            <w:r>
              <w:t>h and Year      ex  January 2014</w:t>
            </w:r>
          </w:p>
        </w:tc>
        <w:tc>
          <w:tcPr>
            <w:tcW w:w="2335" w:type="dxa"/>
          </w:tcPr>
          <w:p w:rsidR="00F357B3" w:rsidRDefault="00F357B3" w:rsidP="00380DB8">
            <w:pPr>
              <w:pStyle w:val="Quick1"/>
              <w:numPr>
                <w:ilvl w:val="0"/>
                <w:numId w:val="0"/>
              </w:numPr>
              <w:tabs>
                <w:tab w:val="left" w:pos="-1440"/>
              </w:tabs>
            </w:pPr>
            <w:r w:rsidRPr="00F357B3">
              <w:t>Month and Year      ex  January 2016</w:t>
            </w:r>
          </w:p>
        </w:tc>
      </w:tr>
      <w:tr w:rsidR="00890F47" w:rsidTr="00991ACA">
        <w:tc>
          <w:tcPr>
            <w:tcW w:w="2515" w:type="dxa"/>
          </w:tcPr>
          <w:p w:rsidR="00890F47" w:rsidRDefault="00890F47" w:rsidP="00380DB8">
            <w:pPr>
              <w:pStyle w:val="Quick1"/>
              <w:numPr>
                <w:ilvl w:val="0"/>
                <w:numId w:val="0"/>
              </w:numPr>
              <w:tabs>
                <w:tab w:val="left" w:pos="-1440"/>
              </w:tabs>
            </w:pPr>
            <w:r>
              <w:t>Monthly Vital Statistics Report</w:t>
            </w:r>
            <w:r w:rsidR="0045233F">
              <w:t xml:space="preserve"> (Paper Version)</w:t>
            </w:r>
          </w:p>
        </w:tc>
        <w:tc>
          <w:tcPr>
            <w:tcW w:w="4680" w:type="dxa"/>
          </w:tcPr>
          <w:p w:rsidR="00890F47" w:rsidRDefault="00AA3D39" w:rsidP="00380DB8">
            <w:pPr>
              <w:pStyle w:val="Quick1"/>
              <w:numPr>
                <w:ilvl w:val="0"/>
                <w:numId w:val="0"/>
              </w:numPr>
              <w:tabs>
                <w:tab w:val="left" w:pos="-1440"/>
              </w:tabs>
            </w:pPr>
            <w:r>
              <w:t>____Marriages between ____ and ____</w:t>
            </w:r>
            <w:r w:rsidR="0099565A">
              <w:t>.</w:t>
            </w:r>
          </w:p>
        </w:tc>
        <w:tc>
          <w:tcPr>
            <w:tcW w:w="2335" w:type="dxa"/>
          </w:tcPr>
          <w:p w:rsidR="00890F47" w:rsidRDefault="0045233F" w:rsidP="00380DB8">
            <w:pPr>
              <w:pStyle w:val="Quick1"/>
              <w:numPr>
                <w:ilvl w:val="0"/>
                <w:numId w:val="0"/>
              </w:numPr>
              <w:tabs>
                <w:tab w:val="left" w:pos="-1440"/>
              </w:tabs>
            </w:pPr>
            <w:r>
              <w:t>Item Deletion</w:t>
            </w:r>
          </w:p>
        </w:tc>
      </w:tr>
      <w:tr w:rsidR="00890F47" w:rsidTr="00991ACA">
        <w:tc>
          <w:tcPr>
            <w:tcW w:w="2515" w:type="dxa"/>
          </w:tcPr>
          <w:p w:rsidR="00890F47" w:rsidRDefault="00AA3D39" w:rsidP="00380DB8">
            <w:pPr>
              <w:pStyle w:val="Quick1"/>
              <w:numPr>
                <w:ilvl w:val="0"/>
                <w:numId w:val="0"/>
              </w:numPr>
              <w:tabs>
                <w:tab w:val="left" w:pos="-1440"/>
              </w:tabs>
            </w:pPr>
            <w:r w:rsidRPr="00AA3D39">
              <w:t>Monthly Vital Statistics Report (Paper Version)</w:t>
            </w:r>
          </w:p>
        </w:tc>
        <w:tc>
          <w:tcPr>
            <w:tcW w:w="4680" w:type="dxa"/>
          </w:tcPr>
          <w:p w:rsidR="00890F47" w:rsidRDefault="00AA3D39" w:rsidP="00380DB8">
            <w:pPr>
              <w:pStyle w:val="Quick1"/>
              <w:numPr>
                <w:ilvl w:val="0"/>
                <w:numId w:val="0"/>
              </w:numPr>
              <w:tabs>
                <w:tab w:val="left" w:pos="-1440"/>
              </w:tabs>
            </w:pPr>
            <w:r>
              <w:t>___Divorces and annulments between ___ and ____</w:t>
            </w:r>
            <w:r w:rsidR="0099565A">
              <w:t>.</w:t>
            </w:r>
          </w:p>
        </w:tc>
        <w:tc>
          <w:tcPr>
            <w:tcW w:w="2335" w:type="dxa"/>
          </w:tcPr>
          <w:p w:rsidR="00890F47" w:rsidRDefault="00AA3D39" w:rsidP="00380DB8">
            <w:pPr>
              <w:pStyle w:val="Quick1"/>
              <w:numPr>
                <w:ilvl w:val="0"/>
                <w:numId w:val="0"/>
              </w:numPr>
              <w:tabs>
                <w:tab w:val="left" w:pos="-1440"/>
              </w:tabs>
            </w:pPr>
            <w:r w:rsidRPr="00AA3D39">
              <w:t>Item Deletion</w:t>
            </w:r>
          </w:p>
        </w:tc>
      </w:tr>
      <w:tr w:rsidR="0099565A" w:rsidTr="00991ACA">
        <w:tc>
          <w:tcPr>
            <w:tcW w:w="2515" w:type="dxa"/>
          </w:tcPr>
          <w:p w:rsidR="0099565A" w:rsidRPr="004740C5" w:rsidRDefault="0099565A" w:rsidP="0099565A">
            <w:r w:rsidRPr="004740C5">
              <w:t>Monthly Vital Statistics Report (Paper Version</w:t>
            </w:r>
            <w:r w:rsidR="00991ACA">
              <w:t xml:space="preserve"> Instructions</w:t>
            </w:r>
            <w:r w:rsidRPr="004740C5">
              <w:t>)</w:t>
            </w:r>
          </w:p>
        </w:tc>
        <w:tc>
          <w:tcPr>
            <w:tcW w:w="4680" w:type="dxa"/>
          </w:tcPr>
          <w:p w:rsidR="00991ACA" w:rsidRDefault="00991ACA" w:rsidP="00991ACA">
            <w:pPr>
              <w:pStyle w:val="Quick1"/>
              <w:numPr>
                <w:ilvl w:val="0"/>
                <w:numId w:val="0"/>
              </w:numPr>
              <w:tabs>
                <w:tab w:val="left" w:pos="-1440"/>
              </w:tabs>
            </w:pPr>
            <w:r>
              <w:t>Marriages (or marriage licenses)</w:t>
            </w:r>
          </w:p>
          <w:p w:rsidR="0099565A" w:rsidRDefault="00991ACA" w:rsidP="00991ACA">
            <w:pPr>
              <w:pStyle w:val="Quick1"/>
              <w:numPr>
                <w:ilvl w:val="0"/>
                <w:numId w:val="0"/>
              </w:numPr>
              <w:tabs>
                <w:tab w:val="left" w:pos="-1440"/>
              </w:tabs>
            </w:pPr>
            <w:r>
              <w:t>Include all marriages (or marriage licenses) reported to the state (or county, if applicable) office between the two dates indicated on the front of this form.   Include events reported between two dates a month apart, without regard to date of occurrence (or issuance).  Use the same cutoff dates from month to month.</w:t>
            </w:r>
          </w:p>
        </w:tc>
        <w:tc>
          <w:tcPr>
            <w:tcW w:w="2335" w:type="dxa"/>
          </w:tcPr>
          <w:p w:rsidR="0099565A" w:rsidRPr="00AA3D39" w:rsidRDefault="0099565A" w:rsidP="0099565A">
            <w:pPr>
              <w:pStyle w:val="Quick1"/>
              <w:numPr>
                <w:ilvl w:val="0"/>
                <w:numId w:val="0"/>
              </w:numPr>
              <w:tabs>
                <w:tab w:val="left" w:pos="-1440"/>
              </w:tabs>
            </w:pPr>
            <w:r>
              <w:t xml:space="preserve">Instruction </w:t>
            </w:r>
            <w:r w:rsidR="00991ACA">
              <w:t>Deletion</w:t>
            </w:r>
          </w:p>
        </w:tc>
      </w:tr>
      <w:tr w:rsidR="0099565A" w:rsidTr="00991ACA">
        <w:tc>
          <w:tcPr>
            <w:tcW w:w="2515" w:type="dxa"/>
          </w:tcPr>
          <w:p w:rsidR="0099565A" w:rsidRDefault="0099565A" w:rsidP="0099565A">
            <w:r w:rsidRPr="004740C5">
              <w:t>Monthly Vital Statistics Report (Paper Version</w:t>
            </w:r>
            <w:r w:rsidR="00991ACA">
              <w:t xml:space="preserve"> </w:t>
            </w:r>
            <w:r w:rsidR="00147661">
              <w:t>Instructions</w:t>
            </w:r>
            <w:r w:rsidRPr="004740C5">
              <w:t>)</w:t>
            </w:r>
          </w:p>
        </w:tc>
        <w:tc>
          <w:tcPr>
            <w:tcW w:w="4680" w:type="dxa"/>
          </w:tcPr>
          <w:p w:rsidR="00147661" w:rsidRDefault="00147661" w:rsidP="00147661">
            <w:pPr>
              <w:pStyle w:val="Quick1"/>
              <w:numPr>
                <w:ilvl w:val="0"/>
                <w:numId w:val="0"/>
              </w:numPr>
              <w:tabs>
                <w:tab w:val="left" w:pos="-1440"/>
              </w:tabs>
              <w:ind w:left="1440" w:hanging="1440"/>
            </w:pPr>
            <w:r>
              <w:t>Divorces and Annulments</w:t>
            </w:r>
          </w:p>
          <w:p w:rsidR="0099565A" w:rsidRDefault="00147661" w:rsidP="00147661">
            <w:pPr>
              <w:pStyle w:val="Quick1"/>
              <w:numPr>
                <w:ilvl w:val="0"/>
                <w:numId w:val="0"/>
              </w:numPr>
              <w:tabs>
                <w:tab w:val="left" w:pos="-1440"/>
              </w:tabs>
            </w:pPr>
            <w:r>
              <w:t>Include only decrees of absolute divorce and annulments which are reported to the state office between the two dates indicated on the front of this form.  Exclude decrees of separation and other limited decrees.  Include events reported between two dates a month apart, without regard to date of occurrence.  Use the same cutoff dates from month to month.</w:t>
            </w:r>
          </w:p>
        </w:tc>
        <w:tc>
          <w:tcPr>
            <w:tcW w:w="2335" w:type="dxa"/>
          </w:tcPr>
          <w:p w:rsidR="0099565A" w:rsidRPr="00AA3D39" w:rsidRDefault="00991ACA" w:rsidP="0099565A">
            <w:pPr>
              <w:pStyle w:val="Quick1"/>
              <w:numPr>
                <w:ilvl w:val="0"/>
                <w:numId w:val="0"/>
              </w:numPr>
              <w:tabs>
                <w:tab w:val="left" w:pos="-1440"/>
              </w:tabs>
            </w:pPr>
            <w:r w:rsidRPr="00991ACA">
              <w:t>Instruction Deletion</w:t>
            </w:r>
          </w:p>
        </w:tc>
      </w:tr>
      <w:tr w:rsidR="00AA3D39" w:rsidTr="00991ACA">
        <w:tc>
          <w:tcPr>
            <w:tcW w:w="2515" w:type="dxa"/>
          </w:tcPr>
          <w:p w:rsidR="00AA3D39" w:rsidRDefault="00AA3D39" w:rsidP="00AA3D39">
            <w:pPr>
              <w:pStyle w:val="Quick1"/>
              <w:numPr>
                <w:ilvl w:val="0"/>
                <w:numId w:val="0"/>
              </w:numPr>
              <w:tabs>
                <w:tab w:val="left" w:pos="-1440"/>
              </w:tabs>
            </w:pPr>
            <w:r w:rsidRPr="00AA3D39">
              <w:t>Monthly Vital Statistics Report (</w:t>
            </w:r>
            <w:r>
              <w:t>Electronic</w:t>
            </w:r>
            <w:r w:rsidRPr="00AA3D39">
              <w:t xml:space="preserve"> Version)</w:t>
            </w:r>
          </w:p>
        </w:tc>
        <w:tc>
          <w:tcPr>
            <w:tcW w:w="4680" w:type="dxa"/>
          </w:tcPr>
          <w:p w:rsidR="00AA3D39" w:rsidRDefault="00AA3D39" w:rsidP="00AA3D39">
            <w:pPr>
              <w:pStyle w:val="Quick1"/>
              <w:numPr>
                <w:ilvl w:val="0"/>
                <w:numId w:val="0"/>
              </w:numPr>
              <w:tabs>
                <w:tab w:val="left" w:pos="-1440"/>
              </w:tabs>
            </w:pPr>
            <w:r>
              <w:t>There were ___ marriages reported to this office between _____ and _____.</w:t>
            </w:r>
          </w:p>
        </w:tc>
        <w:tc>
          <w:tcPr>
            <w:tcW w:w="2335" w:type="dxa"/>
          </w:tcPr>
          <w:p w:rsidR="00AA3D39" w:rsidRPr="008471A1" w:rsidRDefault="00AA3D39" w:rsidP="00AA3D39">
            <w:r w:rsidRPr="008471A1">
              <w:t>Item Deletion</w:t>
            </w:r>
          </w:p>
        </w:tc>
      </w:tr>
      <w:tr w:rsidR="00AA3D39" w:rsidTr="00991ACA">
        <w:tc>
          <w:tcPr>
            <w:tcW w:w="2515" w:type="dxa"/>
          </w:tcPr>
          <w:p w:rsidR="00AA3D39" w:rsidRDefault="00AA3D39" w:rsidP="00AA3D39">
            <w:pPr>
              <w:pStyle w:val="Quick1"/>
              <w:numPr>
                <w:ilvl w:val="0"/>
                <w:numId w:val="0"/>
              </w:numPr>
              <w:tabs>
                <w:tab w:val="left" w:pos="-1440"/>
              </w:tabs>
            </w:pPr>
            <w:r w:rsidRPr="00AA3D39">
              <w:t>Monthly Vital Statistics Report (Electronic Version)</w:t>
            </w:r>
          </w:p>
        </w:tc>
        <w:tc>
          <w:tcPr>
            <w:tcW w:w="4680" w:type="dxa"/>
          </w:tcPr>
          <w:p w:rsidR="00AA3D39" w:rsidRDefault="0099565A" w:rsidP="0099565A">
            <w:pPr>
              <w:pStyle w:val="Quick1"/>
              <w:numPr>
                <w:ilvl w:val="0"/>
                <w:numId w:val="0"/>
              </w:numPr>
              <w:tabs>
                <w:tab w:val="left" w:pos="-1440"/>
              </w:tabs>
            </w:pPr>
            <w:r w:rsidRPr="0099565A">
              <w:t xml:space="preserve">There were ___ </w:t>
            </w:r>
            <w:r>
              <w:t>divorces and annulments</w:t>
            </w:r>
            <w:r w:rsidRPr="0099565A">
              <w:t xml:space="preserve"> reported to this office between _____ and _____.</w:t>
            </w:r>
          </w:p>
        </w:tc>
        <w:tc>
          <w:tcPr>
            <w:tcW w:w="2335" w:type="dxa"/>
          </w:tcPr>
          <w:p w:rsidR="00AA3D39" w:rsidRDefault="00AA3D39" w:rsidP="00AA3D39">
            <w:r w:rsidRPr="008471A1">
              <w:t>Item Deletion</w:t>
            </w:r>
          </w:p>
        </w:tc>
      </w:tr>
      <w:tr w:rsidR="00147661" w:rsidTr="00991ACA">
        <w:tc>
          <w:tcPr>
            <w:tcW w:w="2515" w:type="dxa"/>
          </w:tcPr>
          <w:p w:rsidR="00147661" w:rsidRPr="00F2535D" w:rsidRDefault="00147661" w:rsidP="00147661">
            <w:r w:rsidRPr="00F2535D">
              <w:t>Monthly Vital Statistics Report (Electronic Version</w:t>
            </w:r>
            <w:r>
              <w:t xml:space="preserve"> Instructions</w:t>
            </w:r>
            <w:r w:rsidRPr="00F2535D">
              <w:t>)</w:t>
            </w:r>
          </w:p>
        </w:tc>
        <w:tc>
          <w:tcPr>
            <w:tcW w:w="4680" w:type="dxa"/>
          </w:tcPr>
          <w:p w:rsidR="00147661" w:rsidRDefault="00FD2058" w:rsidP="00147661">
            <w:pPr>
              <w:pStyle w:val="Quick1"/>
              <w:numPr>
                <w:ilvl w:val="0"/>
                <w:numId w:val="0"/>
              </w:numPr>
              <w:tabs>
                <w:tab w:val="left" w:pos="-1440"/>
              </w:tabs>
            </w:pPr>
            <w:r w:rsidRPr="00FD2058">
              <w:t xml:space="preserve">Please indicate on the form below, counts </w:t>
            </w:r>
            <w:r w:rsidR="00D53DDF">
              <w:t xml:space="preserve">for births, deaths, </w:t>
            </w:r>
            <w:r w:rsidRPr="00FD2058">
              <w:t xml:space="preserve">infant deaths, marriages (or marriage licenses) and divorces and annulments, in the space provided by the underline.  For birth and death counts, report the number of certificates received between two dates a month apart, without regard to date of occurrence.  For infant death counts, include all certificates of death under one year of age.  PLEASE do not include fetal deaths </w:t>
            </w:r>
            <w:r w:rsidRPr="00FD2058">
              <w:lastRenderedPageBreak/>
              <w:t>or stillbirths in the counts for births and deaths. For marriage counts (or marriage licenses), include all marriages reported to the state office between two dates a month apart, without regard to date of occurrence or issuance.  For divorce and annulment counts, include only decrees of absolute divorce or annulments reported to the state office between two dates a month apart, without regard to date of occurrence.  If possible, use the same time frame (or cutoff dates) from month to month, when providing counts for births, and deaths, marriages, and divorces and Annulments.</w:t>
            </w:r>
          </w:p>
        </w:tc>
        <w:tc>
          <w:tcPr>
            <w:tcW w:w="2335" w:type="dxa"/>
          </w:tcPr>
          <w:p w:rsidR="00147661" w:rsidRDefault="00FD2058" w:rsidP="00D53DDF">
            <w:pPr>
              <w:pStyle w:val="Quick1"/>
              <w:numPr>
                <w:ilvl w:val="0"/>
                <w:numId w:val="0"/>
              </w:numPr>
              <w:tabs>
                <w:tab w:val="left" w:pos="-1440"/>
              </w:tabs>
            </w:pPr>
            <w:r w:rsidRPr="00FD2058">
              <w:lastRenderedPageBreak/>
              <w:t xml:space="preserve">Please indicate on the form below, counts for births, deaths, and infant deaths, in the space provided by the underline.  For birth and death counts, report the number of certificates received between two dates a </w:t>
            </w:r>
            <w:r w:rsidRPr="00FD2058">
              <w:lastRenderedPageBreak/>
              <w:t>month apart, without regard to date of occurrence.  For infant death counts, include all certificates of death under one year of age.  PLEASE do not include fetal deaths or stillbirths in the counts for births and deaths. If possible, use the same time frame (or cutoff dates) from month to month, when providing counts for births, and deaths.</w:t>
            </w:r>
          </w:p>
        </w:tc>
      </w:tr>
      <w:tr w:rsidR="007F310C" w:rsidTr="00991ACA">
        <w:tc>
          <w:tcPr>
            <w:tcW w:w="2515" w:type="dxa"/>
          </w:tcPr>
          <w:p w:rsidR="007F310C" w:rsidRDefault="007F310C" w:rsidP="00432B06">
            <w:r w:rsidRPr="002F0D9E">
              <w:lastRenderedPageBreak/>
              <w:t>Annual Vital Statistics Report (</w:t>
            </w:r>
            <w:r>
              <w:t>Example Date on the Paper Version)</w:t>
            </w:r>
          </w:p>
        </w:tc>
        <w:tc>
          <w:tcPr>
            <w:tcW w:w="4680" w:type="dxa"/>
          </w:tcPr>
          <w:p w:rsidR="007F310C" w:rsidRPr="00432B06" w:rsidRDefault="007F310C" w:rsidP="00147661">
            <w:pPr>
              <w:pStyle w:val="Quick1"/>
              <w:numPr>
                <w:ilvl w:val="0"/>
                <w:numId w:val="0"/>
              </w:numPr>
              <w:tabs>
                <w:tab w:val="left" w:pos="-1440"/>
              </w:tabs>
            </w:pPr>
            <w:r w:rsidRPr="00A306DC">
              <w:t>Calendar Year (ex. 201</w:t>
            </w:r>
            <w:r w:rsidR="00D512D7">
              <w:t>1</w:t>
            </w:r>
            <w:r w:rsidRPr="00A306DC">
              <w:t>)</w:t>
            </w:r>
          </w:p>
        </w:tc>
        <w:tc>
          <w:tcPr>
            <w:tcW w:w="2335" w:type="dxa"/>
          </w:tcPr>
          <w:p w:rsidR="007F310C" w:rsidRPr="002E45B7" w:rsidRDefault="007F310C" w:rsidP="002E45B7">
            <w:pPr>
              <w:pStyle w:val="Quick1"/>
              <w:numPr>
                <w:ilvl w:val="0"/>
                <w:numId w:val="0"/>
              </w:numPr>
              <w:tabs>
                <w:tab w:val="left" w:pos="-1440"/>
              </w:tabs>
            </w:pPr>
            <w:r w:rsidRPr="00A306DC">
              <w:t>Calendar Year (ex. 2016)</w:t>
            </w:r>
          </w:p>
        </w:tc>
      </w:tr>
      <w:tr w:rsidR="00147661" w:rsidTr="00991ACA">
        <w:tc>
          <w:tcPr>
            <w:tcW w:w="2515" w:type="dxa"/>
          </w:tcPr>
          <w:p w:rsidR="00147661" w:rsidRDefault="00432B06" w:rsidP="00432B06">
            <w:r>
              <w:t>Annual</w:t>
            </w:r>
            <w:r w:rsidR="00147661" w:rsidRPr="00F2535D">
              <w:t xml:space="preserve"> Vital Statistics Report </w:t>
            </w:r>
            <w:r>
              <w:t>(</w:t>
            </w:r>
            <w:r w:rsidRPr="00432B06">
              <w:t>Item 1 of the Note section</w:t>
            </w:r>
            <w:r w:rsidR="00A306DC">
              <w:t xml:space="preserve"> on the Electronic Version</w:t>
            </w:r>
            <w:r>
              <w:t>)</w:t>
            </w:r>
          </w:p>
        </w:tc>
        <w:tc>
          <w:tcPr>
            <w:tcW w:w="4680" w:type="dxa"/>
          </w:tcPr>
          <w:p w:rsidR="00147661" w:rsidRDefault="00432B06" w:rsidP="00147661">
            <w:pPr>
              <w:pStyle w:val="Quick1"/>
              <w:numPr>
                <w:ilvl w:val="0"/>
                <w:numId w:val="0"/>
              </w:numPr>
              <w:tabs>
                <w:tab w:val="left" w:pos="-1440"/>
              </w:tabs>
            </w:pPr>
            <w:r w:rsidRPr="00432B06">
              <w:t>Please DO NOT provide monthly receipt counts in response to this request; as you know we receive "monthly counts" from your staff on an ongoing basis representing the number of certificates received in your office for the monthly report period reporting of "monthly counts" from your staff representing the number of certificates received in your office for the monthly report period has been discontinued effective 2016.  The present request is not for "receipts" but rather for "occurrences".</w:t>
            </w:r>
          </w:p>
        </w:tc>
        <w:tc>
          <w:tcPr>
            <w:tcW w:w="2335" w:type="dxa"/>
          </w:tcPr>
          <w:p w:rsidR="00147661" w:rsidRDefault="002E45B7" w:rsidP="002E45B7">
            <w:pPr>
              <w:pStyle w:val="Quick1"/>
              <w:numPr>
                <w:ilvl w:val="0"/>
                <w:numId w:val="0"/>
              </w:numPr>
              <w:tabs>
                <w:tab w:val="left" w:pos="-1440"/>
              </w:tabs>
            </w:pPr>
            <w:r w:rsidRPr="002E45B7">
              <w:t>Please DO NOT provide monthly receipt counts in response to this request; reporting of "monthly counts" from your staff representing the number of certificates received in your office for the monthly report period has been discontinued effective 2016.  The present request is not for "receipts" but rather for "occurrences".</w:t>
            </w:r>
          </w:p>
        </w:tc>
      </w:tr>
    </w:tbl>
    <w:p w:rsidR="00EC3D7F" w:rsidRDefault="00EC3D7F" w:rsidP="00380DB8">
      <w:pPr>
        <w:pStyle w:val="Quick1"/>
        <w:numPr>
          <w:ilvl w:val="0"/>
          <w:numId w:val="0"/>
        </w:numPr>
        <w:tabs>
          <w:tab w:val="left" w:pos="-1440"/>
        </w:tabs>
      </w:pPr>
    </w:p>
    <w:p w:rsidR="00512CA3" w:rsidRDefault="00512CA3" w:rsidP="00512CA3">
      <w:pPr>
        <w:pStyle w:val="Quick1"/>
        <w:numPr>
          <w:ilvl w:val="0"/>
          <w:numId w:val="0"/>
        </w:numPr>
        <w:tabs>
          <w:tab w:val="left" w:pos="-1440"/>
        </w:tabs>
      </w:pPr>
    </w:p>
    <w:p w:rsidR="000C305D" w:rsidRPr="00564C19" w:rsidRDefault="000C305D" w:rsidP="00380DB8">
      <w:pPr>
        <w:pStyle w:val="Quick1"/>
        <w:numPr>
          <w:ilvl w:val="0"/>
          <w:numId w:val="0"/>
        </w:numPr>
        <w:tabs>
          <w:tab w:val="left" w:pos="-1440"/>
        </w:tabs>
      </w:pPr>
    </w:p>
    <w:p w:rsidR="00822F37" w:rsidRPr="00564C19" w:rsidRDefault="00564C19" w:rsidP="00564C19">
      <w:pPr>
        <w:pStyle w:val="Quick1"/>
        <w:numPr>
          <w:ilvl w:val="0"/>
          <w:numId w:val="0"/>
        </w:numPr>
        <w:tabs>
          <w:tab w:val="left" w:pos="-1440"/>
        </w:tabs>
        <w:rPr>
          <w:b/>
        </w:rPr>
      </w:pPr>
      <w:r w:rsidRPr="00564C19">
        <w:rPr>
          <w:b/>
        </w:rPr>
        <w:t>A12.</w:t>
      </w:r>
      <w:r w:rsidRPr="00564C19">
        <w:rPr>
          <w:b/>
        </w:rPr>
        <w:tab/>
      </w:r>
      <w:r w:rsidR="00822F37" w:rsidRPr="00564C19">
        <w:rPr>
          <w:b/>
        </w:rPr>
        <w:t>Estimates of Annualized Burden Hours and Costs</w:t>
      </w:r>
    </w:p>
    <w:p w:rsidR="00483AFE" w:rsidRPr="00564C19" w:rsidRDefault="00483AFE" w:rsidP="00A731A1">
      <w:pPr>
        <w:ind w:left="1440"/>
      </w:pPr>
    </w:p>
    <w:p w:rsidR="0092389E" w:rsidRDefault="0092389E" w:rsidP="00380DB8">
      <w:r w:rsidRPr="00564C19">
        <w:t xml:space="preserve">Respondents for the </w:t>
      </w:r>
      <w:r>
        <w:t xml:space="preserve">Monthly </w:t>
      </w:r>
      <w:r w:rsidRPr="00564C19">
        <w:t xml:space="preserve">Vital Statistics Report Form are registration officials in each State </w:t>
      </w:r>
      <w:r w:rsidRPr="00564C19">
        <w:lastRenderedPageBreak/>
        <w:t xml:space="preserve">and Territory, the District of Columbia, and New York City. In addition, 33 local (county) officials in New Mexico who record marriages occurring in each of the 33 counties of New Mexico use this Form for a total of 91 respondents.  Respondents for the Annual Vital Statistics Occurrence Report are the 58 registration officials in each State and Territory, the District of Columbia, and New York City. </w:t>
      </w:r>
    </w:p>
    <w:p w:rsidR="0092389E" w:rsidRDefault="0092389E" w:rsidP="0092389E">
      <w:pPr>
        <w:ind w:left="720"/>
      </w:pPr>
    </w:p>
    <w:p w:rsidR="00C802A8" w:rsidRDefault="002C406E" w:rsidP="00380DB8">
      <w:r>
        <w:t xml:space="preserve">Monthly counts of </w:t>
      </w:r>
      <w:r w:rsidRPr="002C406E">
        <w:t>marriages and divorces/annulments</w:t>
      </w:r>
      <w:r>
        <w:t xml:space="preserve"> which w</w:t>
      </w:r>
      <w:r w:rsidR="00DA0701">
        <w:t xml:space="preserve">ere previously captured on </w:t>
      </w:r>
      <w:r w:rsidR="00C802A8">
        <w:t xml:space="preserve">the </w:t>
      </w:r>
      <w:r w:rsidRPr="002C406E">
        <w:t xml:space="preserve">Monthly Vital Statistics Report Forms </w:t>
      </w:r>
      <w:r w:rsidR="000E7E35">
        <w:t>have been deleted.</w:t>
      </w:r>
      <w:r w:rsidR="00A735E1" w:rsidRPr="00A735E1">
        <w:rPr>
          <w:b/>
          <w:bCs/>
        </w:rPr>
        <w:t xml:space="preserve"> </w:t>
      </w:r>
      <w:r w:rsidR="00A735E1" w:rsidRPr="00A735E1">
        <w:rPr>
          <w:bCs/>
        </w:rPr>
        <w:t>The marriages and divorces/annulments</w:t>
      </w:r>
      <w:r w:rsidR="00A735E1" w:rsidRPr="00A735E1">
        <w:t xml:space="preserve"> </w:t>
      </w:r>
      <w:r w:rsidR="00A735E1" w:rsidRPr="00A735E1">
        <w:rPr>
          <w:bCs/>
        </w:rPr>
        <w:t>by month of occurrence will continue to be captured on the Annual Vital Statistics Report Form.</w:t>
      </w:r>
      <w:r w:rsidR="000E7E35">
        <w:t xml:space="preserve"> </w:t>
      </w:r>
      <w:r w:rsidR="00A735E1">
        <w:t xml:space="preserve">Discontinuing the collection of </w:t>
      </w:r>
      <w:r w:rsidR="00A735E1" w:rsidRPr="00A735E1">
        <w:rPr>
          <w:bCs/>
        </w:rPr>
        <w:t>monthly counts of marriages using</w:t>
      </w:r>
      <w:r w:rsidR="00A735E1" w:rsidRPr="00A735E1">
        <w:rPr>
          <w:b/>
          <w:bCs/>
        </w:rPr>
        <w:t xml:space="preserve"> </w:t>
      </w:r>
      <w:r>
        <w:t xml:space="preserve">the </w:t>
      </w:r>
      <w:r w:rsidRPr="002C406E">
        <w:t>Month</w:t>
      </w:r>
      <w:r w:rsidR="00C802A8">
        <w:t>l</w:t>
      </w:r>
      <w:r w:rsidR="00A735E1">
        <w:t xml:space="preserve">y Vital Statistics Report Form will </w:t>
      </w:r>
      <w:r w:rsidR="005B3A6B">
        <w:t>thereby reduce</w:t>
      </w:r>
      <w:r w:rsidR="00C802A8" w:rsidRPr="00C802A8">
        <w:t xml:space="preserve"> the average burden for completing the Monthly Vital Statistics Report by 2 minutes</w:t>
      </w:r>
      <w:r w:rsidR="00C802A8">
        <w:t xml:space="preserve"> from 10 minutes to 8 minutes</w:t>
      </w:r>
      <w:r w:rsidR="00C802A8" w:rsidRPr="00C802A8">
        <w:t>.</w:t>
      </w:r>
    </w:p>
    <w:p w:rsidR="0019223B" w:rsidRDefault="0019223B" w:rsidP="00380DB8"/>
    <w:p w:rsidR="0019223B" w:rsidRDefault="0019223B" w:rsidP="00380DB8"/>
    <w:tbl>
      <w:tblPr>
        <w:tblpPr w:leftFromText="187" w:rightFromText="187" w:vertAnchor="page" w:horzAnchor="margin" w:tblpY="4786"/>
        <w:tblOverlap w:val="never"/>
        <w:tblW w:w="9930" w:type="dxa"/>
        <w:tblLayout w:type="fixed"/>
        <w:tblCellMar>
          <w:left w:w="120" w:type="dxa"/>
          <w:right w:w="120" w:type="dxa"/>
        </w:tblCellMar>
        <w:tblLook w:val="0000" w:firstRow="0" w:lastRow="0" w:firstColumn="0" w:lastColumn="0" w:noHBand="0" w:noVBand="0"/>
      </w:tblPr>
      <w:tblGrid>
        <w:gridCol w:w="1980"/>
        <w:gridCol w:w="1890"/>
        <w:gridCol w:w="1470"/>
        <w:gridCol w:w="1530"/>
        <w:gridCol w:w="1800"/>
        <w:gridCol w:w="1260"/>
      </w:tblGrid>
      <w:tr w:rsidR="0019223B" w:rsidRPr="00564C19" w:rsidTr="0019223B">
        <w:tc>
          <w:tcPr>
            <w:tcW w:w="9930" w:type="dxa"/>
            <w:gridSpan w:val="6"/>
            <w:tcBorders>
              <w:bottom w:val="single" w:sz="8" w:space="0" w:color="000000"/>
            </w:tcBorders>
          </w:tcPr>
          <w:p w:rsidR="0019223B" w:rsidRPr="00564C19" w:rsidRDefault="0019223B" w:rsidP="0019223B">
            <w:pPr>
              <w:ind w:left="-90"/>
            </w:pPr>
            <w:r w:rsidRPr="00564C19">
              <w:t xml:space="preserve">Table 1.  </w:t>
            </w:r>
            <w:r>
              <w:t xml:space="preserve">Estimated </w:t>
            </w:r>
            <w:r w:rsidRPr="00564C19">
              <w:t xml:space="preserve">Annual </w:t>
            </w:r>
            <w:r>
              <w:t>B</w:t>
            </w:r>
            <w:r w:rsidRPr="00564C19">
              <w:t xml:space="preserve">urden </w:t>
            </w:r>
            <w:r>
              <w:t>Hours</w:t>
            </w:r>
          </w:p>
        </w:tc>
      </w:tr>
      <w:tr w:rsidR="0019223B" w:rsidRPr="00564C19" w:rsidTr="0019223B">
        <w:tc>
          <w:tcPr>
            <w:tcW w:w="1980" w:type="dxa"/>
            <w:tcBorders>
              <w:top w:val="single" w:sz="8" w:space="0" w:color="000000"/>
              <w:left w:val="single" w:sz="7" w:space="0" w:color="000000"/>
              <w:bottom w:val="single" w:sz="7" w:space="0" w:color="000000"/>
              <w:right w:val="single" w:sz="7" w:space="0" w:color="000000"/>
            </w:tcBorders>
          </w:tcPr>
          <w:p w:rsidR="0019223B" w:rsidRPr="00564C19" w:rsidRDefault="0019223B" w:rsidP="0019223B">
            <w:pPr>
              <w:jc w:val="center"/>
            </w:pPr>
          </w:p>
          <w:p w:rsidR="0019223B" w:rsidRPr="00564C19" w:rsidRDefault="0019223B" w:rsidP="0019223B">
            <w:pPr>
              <w:jc w:val="center"/>
            </w:pPr>
            <w:r w:rsidRPr="00564C19">
              <w:t>Type of Respondents</w:t>
            </w:r>
          </w:p>
        </w:tc>
        <w:tc>
          <w:tcPr>
            <w:tcW w:w="1890" w:type="dxa"/>
            <w:tcBorders>
              <w:top w:val="single" w:sz="8" w:space="0" w:color="000000"/>
              <w:left w:val="single" w:sz="7" w:space="0" w:color="000000"/>
              <w:bottom w:val="single" w:sz="7" w:space="0" w:color="000000"/>
              <w:right w:val="single" w:sz="7" w:space="0" w:color="000000"/>
            </w:tcBorders>
          </w:tcPr>
          <w:p w:rsidR="0019223B" w:rsidRPr="00564C19" w:rsidRDefault="0019223B" w:rsidP="0019223B">
            <w:pPr>
              <w:jc w:val="center"/>
            </w:pPr>
          </w:p>
          <w:p w:rsidR="0019223B" w:rsidRPr="00564C19" w:rsidRDefault="0019223B" w:rsidP="0019223B">
            <w:pPr>
              <w:jc w:val="center"/>
            </w:pPr>
          </w:p>
          <w:p w:rsidR="0019223B" w:rsidRPr="00564C19" w:rsidRDefault="0019223B" w:rsidP="0019223B">
            <w:pPr>
              <w:jc w:val="center"/>
            </w:pPr>
            <w:r w:rsidRPr="00564C19">
              <w:t>Form Name</w:t>
            </w:r>
          </w:p>
        </w:tc>
        <w:tc>
          <w:tcPr>
            <w:tcW w:w="1470" w:type="dxa"/>
            <w:tcBorders>
              <w:top w:val="single" w:sz="8" w:space="0" w:color="000000"/>
              <w:left w:val="single" w:sz="7" w:space="0" w:color="000000"/>
              <w:bottom w:val="single" w:sz="7" w:space="0" w:color="000000"/>
              <w:right w:val="single" w:sz="7" w:space="0" w:color="000000"/>
            </w:tcBorders>
          </w:tcPr>
          <w:p w:rsidR="0019223B" w:rsidRPr="00564C19" w:rsidRDefault="0019223B" w:rsidP="0019223B">
            <w:pPr>
              <w:jc w:val="center"/>
            </w:pPr>
          </w:p>
          <w:p w:rsidR="0019223B" w:rsidRPr="00564C19" w:rsidRDefault="0019223B" w:rsidP="0019223B">
            <w:pPr>
              <w:jc w:val="center"/>
            </w:pPr>
            <w:r w:rsidRPr="00564C19">
              <w:t>Number of Respondents</w:t>
            </w:r>
          </w:p>
        </w:tc>
        <w:tc>
          <w:tcPr>
            <w:tcW w:w="1530" w:type="dxa"/>
            <w:tcBorders>
              <w:top w:val="single" w:sz="8" w:space="0" w:color="000000"/>
              <w:left w:val="single" w:sz="7" w:space="0" w:color="000000"/>
              <w:bottom w:val="single" w:sz="7" w:space="0" w:color="000000"/>
              <w:right w:val="single" w:sz="7" w:space="0" w:color="000000"/>
            </w:tcBorders>
          </w:tcPr>
          <w:p w:rsidR="0019223B" w:rsidRPr="00564C19" w:rsidRDefault="0019223B" w:rsidP="0019223B">
            <w:pPr>
              <w:spacing w:after="58"/>
              <w:jc w:val="center"/>
            </w:pPr>
            <w:r w:rsidRPr="00564C19">
              <w:t>Number of Responses Per Respondents</w:t>
            </w:r>
          </w:p>
        </w:tc>
        <w:tc>
          <w:tcPr>
            <w:tcW w:w="1800" w:type="dxa"/>
            <w:tcBorders>
              <w:top w:val="single" w:sz="8" w:space="0" w:color="000000"/>
              <w:left w:val="single" w:sz="7" w:space="0" w:color="000000"/>
              <w:bottom w:val="single" w:sz="7" w:space="0" w:color="000000"/>
              <w:right w:val="single" w:sz="7" w:space="0" w:color="000000"/>
            </w:tcBorders>
          </w:tcPr>
          <w:p w:rsidR="0019223B" w:rsidRPr="00564C19" w:rsidRDefault="0019223B" w:rsidP="0019223B">
            <w:pPr>
              <w:spacing w:after="58"/>
              <w:jc w:val="center"/>
            </w:pPr>
            <w:r w:rsidRPr="00564C19">
              <w:t xml:space="preserve">Average Burden Per Response </w:t>
            </w:r>
          </w:p>
          <w:p w:rsidR="0019223B" w:rsidRPr="00564C19" w:rsidRDefault="0019223B" w:rsidP="0019223B">
            <w:pPr>
              <w:spacing w:after="58"/>
              <w:jc w:val="center"/>
            </w:pPr>
            <w:r w:rsidRPr="00564C19">
              <w:t>(in hours)</w:t>
            </w:r>
          </w:p>
        </w:tc>
        <w:tc>
          <w:tcPr>
            <w:tcW w:w="1260" w:type="dxa"/>
            <w:tcBorders>
              <w:top w:val="single" w:sz="8" w:space="0" w:color="000000"/>
              <w:left w:val="single" w:sz="7" w:space="0" w:color="000000"/>
              <w:bottom w:val="single" w:sz="7" w:space="0" w:color="000000"/>
              <w:right w:val="single" w:sz="7" w:space="0" w:color="000000"/>
            </w:tcBorders>
          </w:tcPr>
          <w:p w:rsidR="0019223B" w:rsidRPr="00564C19" w:rsidRDefault="0019223B" w:rsidP="0019223B">
            <w:pPr>
              <w:jc w:val="center"/>
            </w:pPr>
            <w:r w:rsidRPr="00564C19">
              <w:t xml:space="preserve">Total Burden </w:t>
            </w:r>
          </w:p>
          <w:p w:rsidR="0019223B" w:rsidRPr="00564C19" w:rsidRDefault="0019223B" w:rsidP="0019223B">
            <w:pPr>
              <w:jc w:val="center"/>
            </w:pPr>
            <w:r w:rsidRPr="00564C19">
              <w:t xml:space="preserve">(in hours) </w:t>
            </w:r>
          </w:p>
        </w:tc>
      </w:tr>
      <w:tr w:rsidR="0019223B" w:rsidRPr="00564C19" w:rsidTr="0019223B">
        <w:tc>
          <w:tcPr>
            <w:tcW w:w="198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spacing w:after="58"/>
            </w:pPr>
            <w:r w:rsidRPr="00564C19">
              <w:t>State, Territory and New Mexico County officials</w:t>
            </w:r>
          </w:p>
        </w:tc>
        <w:tc>
          <w:tcPr>
            <w:tcW w:w="189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r w:rsidRPr="00564C19">
              <w:t>Monthly Vital Statistics Report</w:t>
            </w:r>
          </w:p>
        </w:tc>
        <w:tc>
          <w:tcPr>
            <w:tcW w:w="147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555"/>
              </w:tabs>
              <w:spacing w:after="58"/>
              <w:jc w:val="center"/>
            </w:pPr>
            <w:r w:rsidRPr="00564C19">
              <w:t>91</w:t>
            </w:r>
          </w:p>
        </w:tc>
        <w:tc>
          <w:tcPr>
            <w:tcW w:w="153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555"/>
              </w:tabs>
              <w:spacing w:after="58"/>
              <w:jc w:val="center"/>
            </w:pPr>
            <w:r w:rsidRPr="00564C19">
              <w:t>12</w:t>
            </w:r>
          </w:p>
        </w:tc>
        <w:tc>
          <w:tcPr>
            <w:tcW w:w="180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555"/>
              </w:tabs>
              <w:spacing w:after="58"/>
              <w:jc w:val="center"/>
            </w:pPr>
            <w:r>
              <w:t>8</w:t>
            </w:r>
            <w:r w:rsidRPr="00564C19">
              <w:t>/60</w:t>
            </w:r>
          </w:p>
        </w:tc>
        <w:tc>
          <w:tcPr>
            <w:tcW w:w="126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465"/>
              </w:tabs>
              <w:spacing w:after="58"/>
              <w:jc w:val="center"/>
            </w:pPr>
            <w:r w:rsidRPr="00564C19">
              <w:t>1</w:t>
            </w:r>
            <w:r>
              <w:t>46</w:t>
            </w:r>
          </w:p>
        </w:tc>
      </w:tr>
      <w:tr w:rsidR="0019223B" w:rsidRPr="00564C19" w:rsidTr="0019223B">
        <w:tc>
          <w:tcPr>
            <w:tcW w:w="198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spacing w:after="58"/>
            </w:pPr>
            <w:r w:rsidRPr="00564C19">
              <w:t>State, Territory and other officials</w:t>
            </w:r>
          </w:p>
        </w:tc>
        <w:tc>
          <w:tcPr>
            <w:tcW w:w="189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r w:rsidRPr="00564C19">
              <w:t>Annual Vital Statistics Occurrence  Report</w:t>
            </w:r>
          </w:p>
        </w:tc>
        <w:tc>
          <w:tcPr>
            <w:tcW w:w="147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555"/>
              </w:tabs>
              <w:spacing w:after="58"/>
              <w:jc w:val="center"/>
            </w:pPr>
            <w:r w:rsidRPr="00564C19">
              <w:t>58</w:t>
            </w:r>
          </w:p>
        </w:tc>
        <w:tc>
          <w:tcPr>
            <w:tcW w:w="153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555"/>
              </w:tabs>
              <w:spacing w:after="58"/>
              <w:jc w:val="center"/>
            </w:pPr>
            <w:r w:rsidRPr="00564C19">
              <w:t>1</w:t>
            </w:r>
          </w:p>
        </w:tc>
        <w:tc>
          <w:tcPr>
            <w:tcW w:w="180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555"/>
              </w:tabs>
              <w:spacing w:after="58"/>
              <w:jc w:val="center"/>
            </w:pPr>
            <w:r w:rsidRPr="00564C19">
              <w:t>30/60</w:t>
            </w:r>
          </w:p>
        </w:tc>
        <w:tc>
          <w:tcPr>
            <w:tcW w:w="126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465"/>
              </w:tabs>
              <w:spacing w:after="58"/>
              <w:jc w:val="center"/>
            </w:pPr>
            <w:r w:rsidRPr="00564C19">
              <w:t>29</w:t>
            </w:r>
          </w:p>
        </w:tc>
      </w:tr>
      <w:tr w:rsidR="0019223B" w:rsidRPr="00564C19" w:rsidTr="0019223B">
        <w:trPr>
          <w:trHeight w:val="439"/>
        </w:trPr>
        <w:tc>
          <w:tcPr>
            <w:tcW w:w="8670" w:type="dxa"/>
            <w:gridSpan w:val="5"/>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spacing w:after="58"/>
            </w:pPr>
            <w:r w:rsidRPr="00564C19">
              <w:t>Total</w:t>
            </w:r>
          </w:p>
        </w:tc>
        <w:tc>
          <w:tcPr>
            <w:tcW w:w="1260" w:type="dxa"/>
            <w:tcBorders>
              <w:top w:val="single" w:sz="7" w:space="0" w:color="000000"/>
              <w:left w:val="single" w:sz="7" w:space="0" w:color="000000"/>
              <w:bottom w:val="single" w:sz="7" w:space="0" w:color="000000"/>
              <w:right w:val="single" w:sz="7" w:space="0" w:color="000000"/>
            </w:tcBorders>
          </w:tcPr>
          <w:p w:rsidR="0019223B" w:rsidRPr="00564C19" w:rsidRDefault="0019223B" w:rsidP="0019223B">
            <w:pPr>
              <w:tabs>
                <w:tab w:val="center" w:pos="465"/>
              </w:tabs>
              <w:spacing w:after="58"/>
            </w:pPr>
            <w:r w:rsidRPr="00564C19">
              <w:tab/>
            </w:r>
            <w:r>
              <w:t>175</w:t>
            </w:r>
          </w:p>
        </w:tc>
      </w:tr>
    </w:tbl>
    <w:p w:rsidR="0019223B" w:rsidRDefault="0019223B" w:rsidP="002C406E">
      <w:pPr>
        <w:ind w:left="720"/>
      </w:pPr>
    </w:p>
    <w:p w:rsidR="0092389E" w:rsidRDefault="0092389E" w:rsidP="00380DB8">
      <w:r w:rsidRPr="00564C19">
        <w:t>There are no direct costs to respondents</w:t>
      </w:r>
      <w:r>
        <w:t xml:space="preserve"> of either the Monthly or Annual </w:t>
      </w:r>
      <w:r w:rsidRPr="002C406E">
        <w:t>Vital Statistics Report Form</w:t>
      </w:r>
      <w:r>
        <w:t>s</w:t>
      </w:r>
      <w:r w:rsidRPr="00564C19">
        <w:t xml:space="preserve">; the data are routinely available in each reporting office as a by-product of ongoing activities.  </w:t>
      </w:r>
    </w:p>
    <w:p w:rsidR="0092389E" w:rsidRDefault="0092389E" w:rsidP="002C406E">
      <w:pPr>
        <w:ind w:left="720"/>
      </w:pPr>
    </w:p>
    <w:p w:rsidR="0092389E" w:rsidRDefault="0092389E" w:rsidP="00D512D7">
      <w:r>
        <w:t>In terms of the annualized cost to respondents for the burden hours for the collection of information</w:t>
      </w:r>
      <w:r w:rsidR="00C802A8">
        <w:t xml:space="preserve">, the average </w:t>
      </w:r>
      <w:r w:rsidR="00C802A8" w:rsidRPr="00C802A8">
        <w:t>cost per respondent</w:t>
      </w:r>
      <w:r w:rsidR="00C802A8">
        <w:t xml:space="preserve"> to complete the 8 minute Monthly </w:t>
      </w:r>
      <w:r w:rsidR="00C802A8" w:rsidRPr="00C802A8">
        <w:t>Vital Statistics Report Form</w:t>
      </w:r>
      <w:r w:rsidR="00C802A8">
        <w:t xml:space="preserve"> has been reduced from $2.47 to $2</w:t>
      </w:r>
      <w:r>
        <w:t>.13, a</w:t>
      </w:r>
      <w:r w:rsidRPr="0092389E">
        <w:t>t an average wage rate of $16 per hour</w:t>
      </w:r>
      <w:r>
        <w:t>.  T</w:t>
      </w:r>
      <w:r w:rsidRPr="0092389E">
        <w:t xml:space="preserve">he average cost </w:t>
      </w:r>
      <w:r>
        <w:t xml:space="preserve">of $8 </w:t>
      </w:r>
      <w:r w:rsidRPr="0092389E">
        <w:t xml:space="preserve">per respondent to complete the </w:t>
      </w:r>
      <w:r>
        <w:t xml:space="preserve">30 minute </w:t>
      </w:r>
      <w:r w:rsidRPr="0092389E">
        <w:t>annual form</w:t>
      </w:r>
      <w:r>
        <w:t xml:space="preserve"> remains unchanged.  Overall, the total respondent costs based on their time spent completing the forms has been reduced from $3,376 to $2,800.</w:t>
      </w:r>
    </w:p>
    <w:p w:rsidR="0079309D" w:rsidRDefault="0079309D" w:rsidP="002C406E">
      <w:pPr>
        <w:ind w:left="720"/>
      </w:pPr>
    </w:p>
    <w:p w:rsidR="000C305D" w:rsidRDefault="000C305D"/>
    <w:p w:rsidR="00EC3D7F" w:rsidRPr="00564C19" w:rsidRDefault="00730C8D">
      <w:r w:rsidRPr="00730C8D">
        <w:t xml:space="preserve">Table </w:t>
      </w:r>
      <w:r>
        <w:t>2</w:t>
      </w:r>
      <w:r w:rsidRPr="00730C8D">
        <w:t xml:space="preserve">.  Estimated Annual Burden </w:t>
      </w:r>
      <w:r>
        <w:t>Cost</w:t>
      </w:r>
      <w:r w:rsidRPr="00730C8D">
        <w:t>s</w:t>
      </w:r>
    </w:p>
    <w:tbl>
      <w:tblPr>
        <w:tblpPr w:leftFromText="180" w:rightFromText="180" w:vertAnchor="text" w:horzAnchor="margin" w:tblpY="69"/>
        <w:tblW w:w="989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4"/>
        <w:gridCol w:w="2706"/>
        <w:gridCol w:w="4585"/>
      </w:tblGrid>
      <w:tr w:rsidR="00380DB8" w:rsidRPr="00564C19" w:rsidTr="00380DB8">
        <w:tc>
          <w:tcPr>
            <w:tcW w:w="2604" w:type="dxa"/>
            <w:tcBorders>
              <w:top w:val="single" w:sz="4" w:space="0" w:color="auto"/>
              <w:left w:val="single" w:sz="4" w:space="0" w:color="auto"/>
              <w:bottom w:val="single" w:sz="4" w:space="0" w:color="auto"/>
              <w:right w:val="single" w:sz="4" w:space="0" w:color="auto"/>
            </w:tcBorders>
          </w:tcPr>
          <w:p w:rsidR="00380DB8" w:rsidRPr="00564C19" w:rsidRDefault="00380DB8" w:rsidP="00380DB8">
            <w:pPr>
              <w:keepNext/>
              <w:keepLines/>
              <w:widowControl/>
              <w:tabs>
                <w:tab w:val="left" w:pos="0"/>
                <w:tab w:val="left" w:pos="662"/>
                <w:tab w:val="left" w:pos="2304"/>
                <w:tab w:val="left" w:pos="4752"/>
                <w:tab w:val="left" w:pos="5472"/>
                <w:tab w:val="left" w:pos="7200"/>
              </w:tabs>
            </w:pPr>
            <w:r w:rsidRPr="00564C19">
              <w:lastRenderedPageBreak/>
              <w:t>Total Burden Hours</w:t>
            </w:r>
          </w:p>
        </w:tc>
        <w:tc>
          <w:tcPr>
            <w:tcW w:w="2706" w:type="dxa"/>
            <w:tcBorders>
              <w:top w:val="single" w:sz="4" w:space="0" w:color="auto"/>
              <w:left w:val="single" w:sz="4" w:space="0" w:color="auto"/>
              <w:bottom w:val="single" w:sz="4" w:space="0" w:color="auto"/>
              <w:right w:val="single" w:sz="4" w:space="0" w:color="auto"/>
            </w:tcBorders>
          </w:tcPr>
          <w:p w:rsidR="00380DB8" w:rsidRPr="00564C19" w:rsidRDefault="00380DB8" w:rsidP="00380DB8">
            <w:pPr>
              <w:keepNext/>
              <w:keepLines/>
              <w:widowControl/>
              <w:tabs>
                <w:tab w:val="left" w:pos="0"/>
                <w:tab w:val="left" w:pos="662"/>
                <w:tab w:val="left" w:pos="2304"/>
                <w:tab w:val="left" w:pos="4752"/>
                <w:tab w:val="left" w:pos="5472"/>
                <w:tab w:val="left" w:pos="7200"/>
              </w:tabs>
            </w:pPr>
            <w:r w:rsidRPr="00564C19">
              <w:t>Respondent Wage Rate per Hour</w:t>
            </w:r>
          </w:p>
        </w:tc>
        <w:tc>
          <w:tcPr>
            <w:tcW w:w="4585" w:type="dxa"/>
            <w:tcBorders>
              <w:top w:val="single" w:sz="4" w:space="0" w:color="auto"/>
              <w:left w:val="single" w:sz="4" w:space="0" w:color="auto"/>
              <w:bottom w:val="single" w:sz="4" w:space="0" w:color="auto"/>
              <w:right w:val="single" w:sz="4" w:space="0" w:color="auto"/>
            </w:tcBorders>
          </w:tcPr>
          <w:p w:rsidR="00380DB8" w:rsidRPr="00564C19" w:rsidRDefault="00380DB8" w:rsidP="00380DB8">
            <w:pPr>
              <w:keepNext/>
              <w:keepLines/>
              <w:widowControl/>
              <w:tabs>
                <w:tab w:val="left" w:pos="0"/>
                <w:tab w:val="left" w:pos="662"/>
                <w:tab w:val="left" w:pos="2304"/>
                <w:tab w:val="left" w:pos="4752"/>
                <w:tab w:val="left" w:pos="5472"/>
                <w:tab w:val="left" w:pos="7200"/>
              </w:tabs>
            </w:pPr>
            <w:r w:rsidRPr="00564C19">
              <w:t>Total Respondent Costs</w:t>
            </w:r>
          </w:p>
        </w:tc>
      </w:tr>
      <w:tr w:rsidR="00380DB8" w:rsidRPr="00564C19" w:rsidTr="00380DB8">
        <w:tc>
          <w:tcPr>
            <w:tcW w:w="2604" w:type="dxa"/>
            <w:tcBorders>
              <w:top w:val="single" w:sz="4" w:space="0" w:color="auto"/>
              <w:left w:val="single" w:sz="4" w:space="0" w:color="auto"/>
              <w:bottom w:val="single" w:sz="4" w:space="0" w:color="auto"/>
              <w:right w:val="single" w:sz="4" w:space="0" w:color="auto"/>
            </w:tcBorders>
          </w:tcPr>
          <w:p w:rsidR="00380DB8" w:rsidRPr="00564C19" w:rsidRDefault="00380DB8" w:rsidP="00380DB8">
            <w:pPr>
              <w:keepNext/>
              <w:keepLines/>
              <w:widowControl/>
              <w:tabs>
                <w:tab w:val="left" w:pos="0"/>
                <w:tab w:val="left" w:pos="662"/>
                <w:tab w:val="left" w:pos="2304"/>
                <w:tab w:val="left" w:pos="4752"/>
                <w:tab w:val="left" w:pos="5472"/>
                <w:tab w:val="left" w:pos="7200"/>
              </w:tabs>
              <w:jc w:val="center"/>
              <w:rPr>
                <w:color w:val="000000"/>
              </w:rPr>
            </w:pPr>
            <w:r>
              <w:rPr>
                <w:color w:val="000000"/>
              </w:rPr>
              <w:t>175</w:t>
            </w:r>
          </w:p>
        </w:tc>
        <w:tc>
          <w:tcPr>
            <w:tcW w:w="2706" w:type="dxa"/>
            <w:tcBorders>
              <w:top w:val="single" w:sz="4" w:space="0" w:color="auto"/>
              <w:left w:val="single" w:sz="4" w:space="0" w:color="auto"/>
              <w:bottom w:val="single" w:sz="4" w:space="0" w:color="auto"/>
              <w:right w:val="single" w:sz="4" w:space="0" w:color="auto"/>
            </w:tcBorders>
          </w:tcPr>
          <w:p w:rsidR="00380DB8" w:rsidRPr="00564C19" w:rsidRDefault="00380DB8" w:rsidP="00380DB8">
            <w:pPr>
              <w:keepNext/>
              <w:keepLines/>
              <w:widowControl/>
              <w:tabs>
                <w:tab w:val="left" w:pos="0"/>
                <w:tab w:val="left" w:pos="662"/>
                <w:tab w:val="left" w:pos="2304"/>
                <w:tab w:val="left" w:pos="4752"/>
                <w:tab w:val="left" w:pos="5472"/>
                <w:tab w:val="left" w:pos="7200"/>
              </w:tabs>
              <w:jc w:val="center"/>
            </w:pPr>
            <w:r w:rsidRPr="00564C19">
              <w:t>$16.00</w:t>
            </w:r>
          </w:p>
        </w:tc>
        <w:tc>
          <w:tcPr>
            <w:tcW w:w="4585" w:type="dxa"/>
            <w:tcBorders>
              <w:top w:val="single" w:sz="4" w:space="0" w:color="auto"/>
              <w:left w:val="single" w:sz="4" w:space="0" w:color="auto"/>
              <w:bottom w:val="single" w:sz="4" w:space="0" w:color="auto"/>
              <w:right w:val="single" w:sz="4" w:space="0" w:color="auto"/>
            </w:tcBorders>
          </w:tcPr>
          <w:p w:rsidR="00380DB8" w:rsidRPr="00564C19" w:rsidRDefault="00380DB8" w:rsidP="00380DB8">
            <w:pPr>
              <w:keepNext/>
              <w:keepLines/>
              <w:widowControl/>
              <w:tabs>
                <w:tab w:val="left" w:pos="0"/>
                <w:tab w:val="left" w:pos="662"/>
                <w:tab w:val="left" w:pos="2304"/>
                <w:tab w:val="left" w:pos="4752"/>
                <w:tab w:val="left" w:pos="5472"/>
                <w:tab w:val="left" w:pos="7200"/>
              </w:tabs>
              <w:jc w:val="center"/>
            </w:pPr>
            <w:r w:rsidRPr="00564C19">
              <w:t>$</w:t>
            </w:r>
            <w:r>
              <w:t>2</w:t>
            </w:r>
            <w:r w:rsidRPr="00564C19">
              <w:t>,</w:t>
            </w:r>
            <w:r>
              <w:t>800</w:t>
            </w:r>
          </w:p>
        </w:tc>
      </w:tr>
    </w:tbl>
    <w:p w:rsidR="00380DB8" w:rsidRDefault="00380DB8" w:rsidP="00380DB8">
      <w:pPr>
        <w:rPr>
          <w:b/>
        </w:rPr>
      </w:pPr>
    </w:p>
    <w:p w:rsidR="001D1461" w:rsidRDefault="00380DB8" w:rsidP="00380DB8">
      <w:pPr>
        <w:rPr>
          <w:b/>
        </w:rPr>
      </w:pPr>
      <w:r w:rsidRPr="00380DB8">
        <w:rPr>
          <w:b/>
        </w:rPr>
        <w:t>A15.</w:t>
      </w:r>
      <w:r w:rsidRPr="00380DB8">
        <w:rPr>
          <w:b/>
        </w:rPr>
        <w:tab/>
        <w:t>Explanation for Program Changes or Adjustments</w:t>
      </w:r>
    </w:p>
    <w:p w:rsidR="00380DB8" w:rsidRDefault="00380DB8" w:rsidP="00380DB8">
      <w:pPr>
        <w:rPr>
          <w:b/>
        </w:rPr>
      </w:pPr>
    </w:p>
    <w:p w:rsidR="00D65BFC" w:rsidRDefault="00380DB8" w:rsidP="00380DB8">
      <w:r w:rsidRPr="00380DB8">
        <w:t>Monthly counts of marriages and divorces/annulments which were previously captured on both the Monthly and Annual Vital Statistics Report Forms have been deleted from the Monthly Vital Statistics Report Form; thereby, reducing the average burden for completing the Monthly Vital Statistics Report by 2 minutes from 10 minutes to 8 minutes</w:t>
      </w:r>
      <w:r w:rsidR="00EC3D7F">
        <w:t xml:space="preserve"> and the total burden hours from 182 hours to 146 hours.  The burden hours for the Annual </w:t>
      </w:r>
      <w:r w:rsidR="00EC3D7F" w:rsidRPr="00EC3D7F">
        <w:t xml:space="preserve">Vital Statistics Report </w:t>
      </w:r>
      <w:r w:rsidR="00EC3D7F">
        <w:t>was unchanged.  Consequently, the overall total burden for this package has been reduced by 36 hours from 211 hours to 175 hours</w:t>
      </w:r>
    </w:p>
    <w:p w:rsidR="00D65BFC" w:rsidRDefault="00D65BFC" w:rsidP="00380DB8"/>
    <w:p w:rsidR="00D65BFC" w:rsidRDefault="00D65BFC" w:rsidP="00380DB8"/>
    <w:p w:rsidR="00D65BFC" w:rsidRDefault="00D65BFC" w:rsidP="00380DB8"/>
    <w:p w:rsidR="00380DB8" w:rsidRDefault="00D65BFC" w:rsidP="00380DB8">
      <w:r w:rsidRPr="00D65BFC">
        <w:rPr>
          <w:u w:val="single"/>
        </w:rPr>
        <w:t>List of Attachments</w:t>
      </w:r>
      <w:r w:rsidR="00EC3D7F">
        <w:t>.</w:t>
      </w:r>
    </w:p>
    <w:p w:rsidR="00D65BFC" w:rsidRDefault="00D65BFC" w:rsidP="00380DB8"/>
    <w:p w:rsidR="00D65BFC" w:rsidRDefault="00D65BFC" w:rsidP="00F77D80">
      <w:pPr>
        <w:tabs>
          <w:tab w:val="left" w:pos="5130"/>
        </w:tabs>
      </w:pPr>
      <w:r>
        <w:t>Attachment A: Monthly Vital Statistics Report Form</w:t>
      </w:r>
      <w:r w:rsidR="00F77D80">
        <w:t xml:space="preserve"> (newly proposed)</w:t>
      </w:r>
    </w:p>
    <w:p w:rsidR="00F77D80" w:rsidRDefault="00D65BFC" w:rsidP="00F77D80">
      <w:pPr>
        <w:tabs>
          <w:tab w:val="left" w:pos="5130"/>
        </w:tabs>
      </w:pPr>
      <w:r>
        <w:t xml:space="preserve">Attachment B: Annual </w:t>
      </w:r>
      <w:r w:rsidRPr="00D65BFC">
        <w:t>Vital Statistics Report Forms</w:t>
      </w:r>
      <w:r w:rsidR="00F77D80" w:rsidRPr="00F77D80">
        <w:t xml:space="preserve"> </w:t>
      </w:r>
      <w:r w:rsidR="00F77D80">
        <w:t>(newly proposed)</w:t>
      </w:r>
    </w:p>
    <w:p w:rsidR="00F77D80" w:rsidRDefault="00F77D80" w:rsidP="00F77D80">
      <w:pPr>
        <w:tabs>
          <w:tab w:val="left" w:pos="5130"/>
        </w:tabs>
      </w:pPr>
      <w:r>
        <w:t>Attachment C: Monthly Vital Statistics Report Form (currently approved)</w:t>
      </w:r>
    </w:p>
    <w:p w:rsidR="00D65BFC" w:rsidRDefault="00F77D80" w:rsidP="00F77D80">
      <w:pPr>
        <w:tabs>
          <w:tab w:val="left" w:pos="5130"/>
        </w:tabs>
      </w:pPr>
      <w:r>
        <w:t>Attachment D: Annual Vital Statistics Report Forms (currently approved)</w:t>
      </w:r>
    </w:p>
    <w:p w:rsidR="00F77D80" w:rsidRPr="00380DB8" w:rsidRDefault="00F77D80" w:rsidP="00F77D80">
      <w:pPr>
        <w:tabs>
          <w:tab w:val="left" w:pos="5130"/>
        </w:tabs>
      </w:pPr>
    </w:p>
    <w:sectPr w:rsidR="00F77D80" w:rsidRPr="00380DB8" w:rsidSect="00A12B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224" w:right="1260" w:bottom="1224" w:left="1440" w:header="1224" w:footer="122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263" w:rsidRDefault="00DF4263">
      <w:r>
        <w:separator/>
      </w:r>
    </w:p>
  </w:endnote>
  <w:endnote w:type="continuationSeparator" w:id="0">
    <w:p w:rsidR="00DF4263" w:rsidRDefault="00DF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Phonetic">
    <w:altName w:val="Symbol"/>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263" w:rsidRDefault="00DF4263" w:rsidP="00C33A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4263" w:rsidRDefault="00DF4263" w:rsidP="00D6461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263" w:rsidRDefault="00DF4263">
    <w:pPr>
      <w:spacing w:line="240" w:lineRule="exact"/>
    </w:pPr>
  </w:p>
  <w:p w:rsidR="00DF4263" w:rsidRDefault="00DF4263" w:rsidP="00D64612">
    <w:pPr>
      <w:framePr w:wrap="around" w:vAnchor="text" w:hAnchor="margin" w:xAlign="right" w:y="1"/>
      <w:jc w:val="center"/>
    </w:pPr>
    <w:r>
      <w:sym w:font="WP Phonetic" w:char="F02D"/>
    </w:r>
    <w:r>
      <w:fldChar w:fldCharType="begin"/>
    </w:r>
    <w:r>
      <w:instrText xml:space="preserve">PAGE </w:instrText>
    </w:r>
    <w:r>
      <w:fldChar w:fldCharType="separate"/>
    </w:r>
    <w:r w:rsidR="00B97DC6">
      <w:rPr>
        <w:noProof/>
      </w:rPr>
      <w:t>2</w:t>
    </w:r>
    <w:r>
      <w:fldChar w:fldCharType="end"/>
    </w:r>
    <w:r>
      <w:sym w:font="WP Phonetic" w:char="F02D"/>
    </w:r>
  </w:p>
  <w:p w:rsidR="00DF4263" w:rsidRDefault="00DF4263" w:rsidP="00D64612">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263" w:rsidRDefault="00DF42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263" w:rsidRDefault="00DF4263">
      <w:r>
        <w:separator/>
      </w:r>
    </w:p>
  </w:footnote>
  <w:footnote w:type="continuationSeparator" w:id="0">
    <w:p w:rsidR="00DF4263" w:rsidRDefault="00DF4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263" w:rsidRDefault="00DF42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263" w:rsidRDefault="00DF42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263" w:rsidRDefault="00DF42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Quick1"/>
      <w:lvlText w:val="%1."/>
      <w:lvlJc w:val="left"/>
      <w:pPr>
        <w:tabs>
          <w:tab w:val="num" w:pos="1440"/>
        </w:tabs>
      </w:pPr>
      <w:rPr>
        <w:rFonts w:ascii="Times New Roman" w:hAnsi="Times New Roman" w:cs="Times New Roman"/>
        <w:sz w:val="24"/>
        <w:szCs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1440"/>
        </w:tabs>
      </w:pPr>
    </w:lvl>
  </w:abstractNum>
  <w:abstractNum w:abstractNumId="2" w15:restartNumberingAfterBreak="0">
    <w:nsid w:val="1A9E49E3"/>
    <w:multiLevelType w:val="hybridMultilevel"/>
    <w:tmpl w:val="8DE03D48"/>
    <w:lvl w:ilvl="0" w:tplc="A3AC8534">
      <w:start w:val="2"/>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2CC52D0B"/>
    <w:multiLevelType w:val="hybridMultilevel"/>
    <w:tmpl w:val="60028B96"/>
    <w:lvl w:ilvl="0" w:tplc="42F63472">
      <w:start w:val="2"/>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2EAF3879"/>
    <w:multiLevelType w:val="hybridMultilevel"/>
    <w:tmpl w:val="F2D6AAE0"/>
    <w:lvl w:ilvl="0" w:tplc="9C04CA7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0072CCC"/>
    <w:multiLevelType w:val="hybridMultilevel"/>
    <w:tmpl w:val="840A1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6E20F8"/>
    <w:multiLevelType w:val="hybridMultilevel"/>
    <w:tmpl w:val="86D073EC"/>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3425488"/>
    <w:multiLevelType w:val="hybridMultilevel"/>
    <w:tmpl w:val="6E88D44A"/>
    <w:lvl w:ilvl="0" w:tplc="9350D82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021B96"/>
    <w:multiLevelType w:val="hybridMultilevel"/>
    <w:tmpl w:val="DBB2BD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1D6CDF"/>
    <w:multiLevelType w:val="hybridMultilevel"/>
    <w:tmpl w:val="DA580DAE"/>
    <w:lvl w:ilvl="0" w:tplc="F14EFD74">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B72163"/>
    <w:multiLevelType w:val="hybridMultilevel"/>
    <w:tmpl w:val="1FE4F57C"/>
    <w:lvl w:ilvl="0" w:tplc="9C04CA7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decimal"/>
        <w:pStyle w:val="Quick1"/>
        <w:lvlText w:val="%1."/>
        <w:lvlJc w:val="left"/>
      </w:lvl>
    </w:lvlOverride>
  </w:num>
  <w:num w:numId="2">
    <w:abstractNumId w:val="0"/>
    <w:lvlOverride w:ilvl="0">
      <w:lvl w:ilvl="0">
        <w:start w:val="2"/>
        <w:numFmt w:val="decimal"/>
        <w:pStyle w:val="Quick1"/>
        <w:lvlText w:val="%1."/>
        <w:lvlJc w:val="left"/>
      </w:lvl>
    </w:lvlOverride>
  </w:num>
  <w:num w:numId="3">
    <w:abstractNumId w:val="1"/>
    <w:lvlOverride w:ilvl="0">
      <w:startOverride w:val="1"/>
      <w:lvl w:ilvl="0">
        <w:start w:val="1"/>
        <w:numFmt w:val="upperLetter"/>
        <w:pStyle w:val="QuickA"/>
        <w:lvlText w:val="%1."/>
        <w:lvlJc w:val="left"/>
      </w:lvl>
    </w:lvlOverride>
  </w:num>
  <w:num w:numId="4">
    <w:abstractNumId w:val="3"/>
  </w:num>
  <w:num w:numId="5">
    <w:abstractNumId w:val="0"/>
    <w:lvlOverride w:ilvl="0">
      <w:startOverride w:val="10"/>
      <w:lvl w:ilvl="0">
        <w:start w:val="10"/>
        <w:numFmt w:val="decimal"/>
        <w:pStyle w:val="Quick1"/>
        <w:lvlText w:val="%1."/>
        <w:lvlJc w:val="left"/>
      </w:lvl>
    </w:lvlOverride>
  </w:num>
  <w:num w:numId="6">
    <w:abstractNumId w:val="2"/>
  </w:num>
  <w:num w:numId="7">
    <w:abstractNumId w:val="6"/>
  </w:num>
  <w:num w:numId="8">
    <w:abstractNumId w:val="7"/>
  </w:num>
  <w:num w:numId="9">
    <w:abstractNumId w:val="9"/>
  </w:num>
  <w:num w:numId="10">
    <w:abstractNumId w:val="8"/>
  </w:num>
  <w:num w:numId="11">
    <w:abstractNumId w:val="5"/>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37"/>
    <w:rsid w:val="00020F5A"/>
    <w:rsid w:val="000377B1"/>
    <w:rsid w:val="00054EFF"/>
    <w:rsid w:val="000619F4"/>
    <w:rsid w:val="00062123"/>
    <w:rsid w:val="0006584D"/>
    <w:rsid w:val="000B33DE"/>
    <w:rsid w:val="000B400B"/>
    <w:rsid w:val="000C2B18"/>
    <w:rsid w:val="000C305D"/>
    <w:rsid w:val="000C3315"/>
    <w:rsid w:val="000D1B69"/>
    <w:rsid w:val="000D6B5A"/>
    <w:rsid w:val="000E3640"/>
    <w:rsid w:val="000E7E35"/>
    <w:rsid w:val="000F2FA8"/>
    <w:rsid w:val="000F63C6"/>
    <w:rsid w:val="00126A40"/>
    <w:rsid w:val="00130253"/>
    <w:rsid w:val="0014749D"/>
    <w:rsid w:val="00147661"/>
    <w:rsid w:val="00153897"/>
    <w:rsid w:val="00155B1F"/>
    <w:rsid w:val="0017091D"/>
    <w:rsid w:val="00172725"/>
    <w:rsid w:val="0019223B"/>
    <w:rsid w:val="001929BB"/>
    <w:rsid w:val="001958B9"/>
    <w:rsid w:val="001A7735"/>
    <w:rsid w:val="001A7A6C"/>
    <w:rsid w:val="001D12E4"/>
    <w:rsid w:val="001D1461"/>
    <w:rsid w:val="001E31EF"/>
    <w:rsid w:val="001E39A4"/>
    <w:rsid w:val="00201937"/>
    <w:rsid w:val="0021776F"/>
    <w:rsid w:val="00247701"/>
    <w:rsid w:val="00261877"/>
    <w:rsid w:val="0026723C"/>
    <w:rsid w:val="002765E4"/>
    <w:rsid w:val="00285C92"/>
    <w:rsid w:val="002920C6"/>
    <w:rsid w:val="00292976"/>
    <w:rsid w:val="002B5435"/>
    <w:rsid w:val="002B7C72"/>
    <w:rsid w:val="002C406E"/>
    <w:rsid w:val="002C7DEB"/>
    <w:rsid w:val="002E45B7"/>
    <w:rsid w:val="002E66F2"/>
    <w:rsid w:val="002F0D9E"/>
    <w:rsid w:val="00300753"/>
    <w:rsid w:val="00303040"/>
    <w:rsid w:val="00323C24"/>
    <w:rsid w:val="00336C42"/>
    <w:rsid w:val="00337A04"/>
    <w:rsid w:val="00343997"/>
    <w:rsid w:val="00380DB8"/>
    <w:rsid w:val="003C07E3"/>
    <w:rsid w:val="003D6DA7"/>
    <w:rsid w:val="003E78E5"/>
    <w:rsid w:val="00412751"/>
    <w:rsid w:val="00432574"/>
    <w:rsid w:val="00432B06"/>
    <w:rsid w:val="00452042"/>
    <w:rsid w:val="0045233F"/>
    <w:rsid w:val="00480C58"/>
    <w:rsid w:val="00483AFE"/>
    <w:rsid w:val="004A34C6"/>
    <w:rsid w:val="004C1C20"/>
    <w:rsid w:val="004E4FC9"/>
    <w:rsid w:val="004E74EB"/>
    <w:rsid w:val="005061E5"/>
    <w:rsid w:val="00512CA3"/>
    <w:rsid w:val="005144A4"/>
    <w:rsid w:val="0051573A"/>
    <w:rsid w:val="005236C5"/>
    <w:rsid w:val="00533158"/>
    <w:rsid w:val="00544CAD"/>
    <w:rsid w:val="0054507E"/>
    <w:rsid w:val="00546F5C"/>
    <w:rsid w:val="00547095"/>
    <w:rsid w:val="00564C19"/>
    <w:rsid w:val="00581E66"/>
    <w:rsid w:val="005B3A6B"/>
    <w:rsid w:val="005B65A4"/>
    <w:rsid w:val="005E190B"/>
    <w:rsid w:val="00600468"/>
    <w:rsid w:val="006035DB"/>
    <w:rsid w:val="00604902"/>
    <w:rsid w:val="0061405D"/>
    <w:rsid w:val="00617346"/>
    <w:rsid w:val="00632EC0"/>
    <w:rsid w:val="006423C4"/>
    <w:rsid w:val="00644655"/>
    <w:rsid w:val="0064749E"/>
    <w:rsid w:val="006768C9"/>
    <w:rsid w:val="00680288"/>
    <w:rsid w:val="00682E69"/>
    <w:rsid w:val="0068762B"/>
    <w:rsid w:val="00694704"/>
    <w:rsid w:val="006A10A8"/>
    <w:rsid w:val="006B3D4C"/>
    <w:rsid w:val="006C3F30"/>
    <w:rsid w:val="006C5725"/>
    <w:rsid w:val="006D096A"/>
    <w:rsid w:val="006D7B2D"/>
    <w:rsid w:val="006E3BE5"/>
    <w:rsid w:val="006F1461"/>
    <w:rsid w:val="0070144E"/>
    <w:rsid w:val="00713080"/>
    <w:rsid w:val="007161A1"/>
    <w:rsid w:val="00716EA7"/>
    <w:rsid w:val="00730C8D"/>
    <w:rsid w:val="00731D26"/>
    <w:rsid w:val="007403BF"/>
    <w:rsid w:val="00767393"/>
    <w:rsid w:val="0079309D"/>
    <w:rsid w:val="007A506D"/>
    <w:rsid w:val="007B5395"/>
    <w:rsid w:val="007B7717"/>
    <w:rsid w:val="007E4621"/>
    <w:rsid w:val="007F310C"/>
    <w:rsid w:val="008067FB"/>
    <w:rsid w:val="00822F37"/>
    <w:rsid w:val="00825D97"/>
    <w:rsid w:val="008310F1"/>
    <w:rsid w:val="008312A3"/>
    <w:rsid w:val="00831D31"/>
    <w:rsid w:val="00854C87"/>
    <w:rsid w:val="00861888"/>
    <w:rsid w:val="00871428"/>
    <w:rsid w:val="00890F47"/>
    <w:rsid w:val="00895396"/>
    <w:rsid w:val="008A5271"/>
    <w:rsid w:val="008E2C17"/>
    <w:rsid w:val="008F3A59"/>
    <w:rsid w:val="008F7224"/>
    <w:rsid w:val="0092389E"/>
    <w:rsid w:val="00944D45"/>
    <w:rsid w:val="009469C7"/>
    <w:rsid w:val="00991ACA"/>
    <w:rsid w:val="0099565A"/>
    <w:rsid w:val="009B318D"/>
    <w:rsid w:val="009D2C68"/>
    <w:rsid w:val="009E1AD4"/>
    <w:rsid w:val="009F64CD"/>
    <w:rsid w:val="00A12B39"/>
    <w:rsid w:val="00A306DC"/>
    <w:rsid w:val="00A3222C"/>
    <w:rsid w:val="00A36BC5"/>
    <w:rsid w:val="00A54C44"/>
    <w:rsid w:val="00A5545C"/>
    <w:rsid w:val="00A731A1"/>
    <w:rsid w:val="00A735E1"/>
    <w:rsid w:val="00A91423"/>
    <w:rsid w:val="00A9476A"/>
    <w:rsid w:val="00AA3D39"/>
    <w:rsid w:val="00AA7AB8"/>
    <w:rsid w:val="00AB7581"/>
    <w:rsid w:val="00AC673F"/>
    <w:rsid w:val="00AE0F44"/>
    <w:rsid w:val="00AF448D"/>
    <w:rsid w:val="00AF783E"/>
    <w:rsid w:val="00B0035A"/>
    <w:rsid w:val="00B26CDC"/>
    <w:rsid w:val="00B474FB"/>
    <w:rsid w:val="00B50AC5"/>
    <w:rsid w:val="00B60E11"/>
    <w:rsid w:val="00B70DF2"/>
    <w:rsid w:val="00B97DC6"/>
    <w:rsid w:val="00BA5CA9"/>
    <w:rsid w:val="00BC56C2"/>
    <w:rsid w:val="00BD37F2"/>
    <w:rsid w:val="00BD78D2"/>
    <w:rsid w:val="00C17B80"/>
    <w:rsid w:val="00C30300"/>
    <w:rsid w:val="00C33A55"/>
    <w:rsid w:val="00C35504"/>
    <w:rsid w:val="00C35E12"/>
    <w:rsid w:val="00C51149"/>
    <w:rsid w:val="00C54AB7"/>
    <w:rsid w:val="00C578F5"/>
    <w:rsid w:val="00C802A8"/>
    <w:rsid w:val="00C87394"/>
    <w:rsid w:val="00C93A15"/>
    <w:rsid w:val="00C9687E"/>
    <w:rsid w:val="00CA5A95"/>
    <w:rsid w:val="00CF0232"/>
    <w:rsid w:val="00D1202E"/>
    <w:rsid w:val="00D15926"/>
    <w:rsid w:val="00D411D6"/>
    <w:rsid w:val="00D43196"/>
    <w:rsid w:val="00D512D7"/>
    <w:rsid w:val="00D53DDF"/>
    <w:rsid w:val="00D64612"/>
    <w:rsid w:val="00D65BFC"/>
    <w:rsid w:val="00D81A62"/>
    <w:rsid w:val="00D86D0E"/>
    <w:rsid w:val="00D86E2F"/>
    <w:rsid w:val="00DA0701"/>
    <w:rsid w:val="00DA08E8"/>
    <w:rsid w:val="00DA5DA5"/>
    <w:rsid w:val="00DB7FCC"/>
    <w:rsid w:val="00DF220B"/>
    <w:rsid w:val="00DF4263"/>
    <w:rsid w:val="00E24FC7"/>
    <w:rsid w:val="00E43E60"/>
    <w:rsid w:val="00E52610"/>
    <w:rsid w:val="00E52799"/>
    <w:rsid w:val="00EB79F2"/>
    <w:rsid w:val="00EC3D7F"/>
    <w:rsid w:val="00F12416"/>
    <w:rsid w:val="00F27C18"/>
    <w:rsid w:val="00F357B3"/>
    <w:rsid w:val="00F42682"/>
    <w:rsid w:val="00F442D8"/>
    <w:rsid w:val="00F444AD"/>
    <w:rsid w:val="00F630D7"/>
    <w:rsid w:val="00F71A16"/>
    <w:rsid w:val="00F77D80"/>
    <w:rsid w:val="00F831DE"/>
    <w:rsid w:val="00F841E7"/>
    <w:rsid w:val="00F858A5"/>
    <w:rsid w:val="00F924F0"/>
    <w:rsid w:val="00F92551"/>
    <w:rsid w:val="00FA290D"/>
    <w:rsid w:val="00FA7F00"/>
    <w:rsid w:val="00FB16C6"/>
    <w:rsid w:val="00FB6B17"/>
    <w:rsid w:val="00FD2058"/>
    <w:rsid w:val="00FF6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D31"/>
    <w:pPr>
      <w:widowControl w:val="0"/>
      <w:autoSpaceDE w:val="0"/>
      <w:autoSpaceDN w:val="0"/>
      <w:adjustRightInd w:val="0"/>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2"/>
      </w:numPr>
      <w:ind w:left="1440" w:hanging="720"/>
    </w:pPr>
  </w:style>
  <w:style w:type="paragraph" w:customStyle="1" w:styleId="QuickA">
    <w:name w:val="Quick A."/>
    <w:basedOn w:val="Normal"/>
    <w:pPr>
      <w:numPr>
        <w:numId w:val="3"/>
      </w:numPr>
      <w:ind w:left="1440" w:hanging="720"/>
    </w:pPr>
  </w:style>
  <w:style w:type="paragraph" w:styleId="Footer">
    <w:name w:val="footer"/>
    <w:basedOn w:val="Normal"/>
    <w:rsid w:val="00D64612"/>
    <w:pPr>
      <w:tabs>
        <w:tab w:val="center" w:pos="4320"/>
        <w:tab w:val="right" w:pos="8640"/>
      </w:tabs>
    </w:pPr>
  </w:style>
  <w:style w:type="character" w:styleId="PageNumber">
    <w:name w:val="page number"/>
    <w:basedOn w:val="DefaultParagraphFont"/>
    <w:rsid w:val="00D64612"/>
  </w:style>
  <w:style w:type="character" w:styleId="Hyperlink">
    <w:name w:val="Hyperlink"/>
    <w:rsid w:val="00FF6E39"/>
    <w:rPr>
      <w:color w:val="0000FF"/>
      <w:u w:val="single"/>
    </w:rPr>
  </w:style>
  <w:style w:type="paragraph" w:styleId="BalloonText">
    <w:name w:val="Balloon Text"/>
    <w:basedOn w:val="Normal"/>
    <w:semiHidden/>
    <w:rsid w:val="00B26CDC"/>
    <w:rPr>
      <w:rFonts w:ascii="Tahoma" w:hAnsi="Tahoma" w:cs="Tahoma"/>
      <w:sz w:val="16"/>
      <w:szCs w:val="16"/>
    </w:rPr>
  </w:style>
  <w:style w:type="character" w:styleId="CommentReference">
    <w:name w:val="annotation reference"/>
    <w:semiHidden/>
    <w:rsid w:val="00B26CDC"/>
    <w:rPr>
      <w:sz w:val="16"/>
      <w:szCs w:val="16"/>
    </w:rPr>
  </w:style>
  <w:style w:type="paragraph" w:styleId="CommentText">
    <w:name w:val="annotation text"/>
    <w:basedOn w:val="Normal"/>
    <w:semiHidden/>
    <w:rsid w:val="00B26CDC"/>
    <w:rPr>
      <w:sz w:val="20"/>
      <w:szCs w:val="20"/>
    </w:rPr>
  </w:style>
  <w:style w:type="paragraph" w:styleId="CommentSubject">
    <w:name w:val="annotation subject"/>
    <w:basedOn w:val="CommentText"/>
    <w:next w:val="CommentText"/>
    <w:semiHidden/>
    <w:rsid w:val="00B26CDC"/>
    <w:rPr>
      <w:b/>
      <w:bCs/>
    </w:rPr>
  </w:style>
  <w:style w:type="character" w:customStyle="1" w:styleId="ccheadline1">
    <w:name w:val="ccheadline1"/>
    <w:rsid w:val="008E2C17"/>
    <w:rPr>
      <w:rFonts w:ascii="Arial" w:hAnsi="Arial" w:cs="Arial" w:hint="default"/>
      <w:b/>
      <w:bCs/>
      <w:color w:val="666666"/>
      <w:sz w:val="32"/>
      <w:szCs w:val="32"/>
    </w:rPr>
  </w:style>
  <w:style w:type="paragraph" w:styleId="Header">
    <w:name w:val="header"/>
    <w:basedOn w:val="Normal"/>
    <w:link w:val="HeaderChar"/>
    <w:rsid w:val="00020F5A"/>
    <w:pPr>
      <w:tabs>
        <w:tab w:val="center" w:pos="4680"/>
        <w:tab w:val="right" w:pos="9360"/>
      </w:tabs>
    </w:pPr>
  </w:style>
  <w:style w:type="character" w:customStyle="1" w:styleId="HeaderChar">
    <w:name w:val="Header Char"/>
    <w:link w:val="Header"/>
    <w:rsid w:val="00020F5A"/>
    <w:rPr>
      <w:sz w:val="24"/>
      <w:szCs w:val="24"/>
    </w:rPr>
  </w:style>
  <w:style w:type="character" w:styleId="FollowedHyperlink">
    <w:name w:val="FollowedHyperlink"/>
    <w:rsid w:val="00944D45"/>
    <w:rPr>
      <w:color w:val="800080"/>
      <w:u w:val="single"/>
    </w:rPr>
  </w:style>
  <w:style w:type="paragraph" w:styleId="ListParagraph">
    <w:name w:val="List Paragraph"/>
    <w:basedOn w:val="Normal"/>
    <w:uiPriority w:val="34"/>
    <w:qFormat/>
    <w:rsid w:val="001A7735"/>
    <w:pPr>
      <w:widowControl/>
      <w:autoSpaceDE/>
      <w:autoSpaceDN/>
      <w:adjustRightInd/>
      <w:spacing w:after="200" w:line="276" w:lineRule="auto"/>
      <w:ind w:left="720"/>
      <w:contextualSpacing/>
    </w:pPr>
    <w:rPr>
      <w:rFonts w:ascii="Calibri" w:eastAsiaTheme="minorHAnsi" w:hAnsi="Calibri"/>
      <w:sz w:val="22"/>
      <w:szCs w:val="22"/>
    </w:rPr>
  </w:style>
  <w:style w:type="table" w:styleId="TableGrid">
    <w:name w:val="Table Grid"/>
    <w:basedOn w:val="TableNormal"/>
    <w:rsid w:val="0089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330492">
      <w:bodyDiv w:val="1"/>
      <w:marLeft w:val="0"/>
      <w:marRight w:val="0"/>
      <w:marTop w:val="0"/>
      <w:marBottom w:val="0"/>
      <w:divBdr>
        <w:top w:val="none" w:sz="0" w:space="0" w:color="auto"/>
        <w:left w:val="none" w:sz="0" w:space="0" w:color="auto"/>
        <w:bottom w:val="none" w:sz="0" w:space="0" w:color="auto"/>
        <w:right w:val="none" w:sz="0" w:space="0" w:color="auto"/>
      </w:divBdr>
    </w:div>
    <w:div w:id="523055572">
      <w:bodyDiv w:val="1"/>
      <w:marLeft w:val="0"/>
      <w:marRight w:val="0"/>
      <w:marTop w:val="0"/>
      <w:marBottom w:val="0"/>
      <w:divBdr>
        <w:top w:val="none" w:sz="0" w:space="0" w:color="auto"/>
        <w:left w:val="none" w:sz="0" w:space="0" w:color="auto"/>
        <w:bottom w:val="none" w:sz="0" w:space="0" w:color="auto"/>
        <w:right w:val="none" w:sz="0" w:space="0" w:color="auto"/>
      </w:divBdr>
    </w:div>
    <w:div w:id="799802346">
      <w:bodyDiv w:val="1"/>
      <w:marLeft w:val="0"/>
      <w:marRight w:val="0"/>
      <w:marTop w:val="0"/>
      <w:marBottom w:val="0"/>
      <w:divBdr>
        <w:top w:val="none" w:sz="0" w:space="0" w:color="auto"/>
        <w:left w:val="none" w:sz="0" w:space="0" w:color="auto"/>
        <w:bottom w:val="none" w:sz="0" w:space="0" w:color="auto"/>
        <w:right w:val="none" w:sz="0" w:space="0" w:color="auto"/>
      </w:divBdr>
      <w:divsChild>
        <w:div w:id="790443143">
          <w:marLeft w:val="0"/>
          <w:marRight w:val="0"/>
          <w:marTop w:val="0"/>
          <w:marBottom w:val="0"/>
          <w:divBdr>
            <w:top w:val="none" w:sz="0" w:space="0" w:color="auto"/>
            <w:left w:val="none" w:sz="0" w:space="0" w:color="auto"/>
            <w:bottom w:val="none" w:sz="0" w:space="0" w:color="auto"/>
            <w:right w:val="none" w:sz="0" w:space="0" w:color="auto"/>
          </w:divBdr>
          <w:divsChild>
            <w:div w:id="583992752">
              <w:marLeft w:val="0"/>
              <w:marRight w:val="0"/>
              <w:marTop w:val="0"/>
              <w:marBottom w:val="0"/>
              <w:divBdr>
                <w:top w:val="none" w:sz="0" w:space="0" w:color="auto"/>
                <w:left w:val="none" w:sz="0" w:space="0" w:color="auto"/>
                <w:bottom w:val="none" w:sz="0" w:space="0" w:color="auto"/>
                <w:right w:val="none" w:sz="0" w:space="0" w:color="auto"/>
              </w:divBdr>
              <w:divsChild>
                <w:div w:id="1159272807">
                  <w:marLeft w:val="0"/>
                  <w:marRight w:val="0"/>
                  <w:marTop w:val="0"/>
                  <w:marBottom w:val="0"/>
                  <w:divBdr>
                    <w:top w:val="none" w:sz="0" w:space="0" w:color="auto"/>
                    <w:left w:val="none" w:sz="0" w:space="0" w:color="auto"/>
                    <w:bottom w:val="none" w:sz="0" w:space="0" w:color="auto"/>
                    <w:right w:val="none" w:sz="0" w:space="0" w:color="auto"/>
                  </w:divBdr>
                  <w:divsChild>
                    <w:div w:id="1226843057">
                      <w:marLeft w:val="0"/>
                      <w:marRight w:val="0"/>
                      <w:marTop w:val="0"/>
                      <w:marBottom w:val="0"/>
                      <w:divBdr>
                        <w:top w:val="none" w:sz="0" w:space="0" w:color="auto"/>
                        <w:left w:val="none" w:sz="0" w:space="0" w:color="auto"/>
                        <w:bottom w:val="none" w:sz="0" w:space="0" w:color="auto"/>
                        <w:right w:val="none" w:sz="0" w:space="0" w:color="auto"/>
                      </w:divBdr>
                      <w:divsChild>
                        <w:div w:id="781144922">
                          <w:marLeft w:val="0"/>
                          <w:marRight w:val="0"/>
                          <w:marTop w:val="0"/>
                          <w:marBottom w:val="0"/>
                          <w:divBdr>
                            <w:top w:val="none" w:sz="0" w:space="0" w:color="auto"/>
                            <w:left w:val="none" w:sz="0" w:space="0" w:color="auto"/>
                            <w:bottom w:val="none" w:sz="0" w:space="0" w:color="auto"/>
                            <w:right w:val="none" w:sz="0" w:space="0" w:color="auto"/>
                          </w:divBdr>
                          <w:divsChild>
                            <w:div w:id="1659310496">
                              <w:marLeft w:val="0"/>
                              <w:marRight w:val="0"/>
                              <w:marTop w:val="0"/>
                              <w:marBottom w:val="0"/>
                              <w:divBdr>
                                <w:top w:val="none" w:sz="0" w:space="0" w:color="auto"/>
                                <w:left w:val="none" w:sz="0" w:space="0" w:color="auto"/>
                                <w:bottom w:val="none" w:sz="0" w:space="0" w:color="auto"/>
                                <w:right w:val="none" w:sz="0" w:space="0" w:color="auto"/>
                              </w:divBdr>
                              <w:divsChild>
                                <w:div w:id="1644236894">
                                  <w:marLeft w:val="0"/>
                                  <w:marRight w:val="0"/>
                                  <w:marTop w:val="0"/>
                                  <w:marBottom w:val="0"/>
                                  <w:divBdr>
                                    <w:top w:val="none" w:sz="0" w:space="0" w:color="auto"/>
                                    <w:left w:val="none" w:sz="0" w:space="0" w:color="auto"/>
                                    <w:bottom w:val="none" w:sz="0" w:space="0" w:color="auto"/>
                                    <w:right w:val="none" w:sz="0" w:space="0" w:color="auto"/>
                                  </w:divBdr>
                                  <w:divsChild>
                                    <w:div w:id="437991467">
                                      <w:marLeft w:val="0"/>
                                      <w:marRight w:val="0"/>
                                      <w:marTop w:val="0"/>
                                      <w:marBottom w:val="0"/>
                                      <w:divBdr>
                                        <w:top w:val="none" w:sz="0" w:space="0" w:color="auto"/>
                                        <w:left w:val="none" w:sz="0" w:space="0" w:color="auto"/>
                                        <w:bottom w:val="none" w:sz="0" w:space="0" w:color="auto"/>
                                        <w:right w:val="none" w:sz="0" w:space="0" w:color="auto"/>
                                      </w:divBdr>
                                      <w:divsChild>
                                        <w:div w:id="579950202">
                                          <w:marLeft w:val="0"/>
                                          <w:marRight w:val="0"/>
                                          <w:marTop w:val="0"/>
                                          <w:marBottom w:val="0"/>
                                          <w:divBdr>
                                            <w:top w:val="none" w:sz="0" w:space="0" w:color="auto"/>
                                            <w:left w:val="none" w:sz="0" w:space="0" w:color="auto"/>
                                            <w:bottom w:val="none" w:sz="0" w:space="0" w:color="auto"/>
                                            <w:right w:val="none" w:sz="0" w:space="0" w:color="auto"/>
                                          </w:divBdr>
                                          <w:divsChild>
                                            <w:div w:id="125732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977571">
      <w:bodyDiv w:val="1"/>
      <w:marLeft w:val="0"/>
      <w:marRight w:val="0"/>
      <w:marTop w:val="0"/>
      <w:marBottom w:val="0"/>
      <w:divBdr>
        <w:top w:val="none" w:sz="0" w:space="0" w:color="auto"/>
        <w:left w:val="none" w:sz="0" w:space="0" w:color="auto"/>
        <w:bottom w:val="none" w:sz="0" w:space="0" w:color="auto"/>
        <w:right w:val="none" w:sz="0" w:space="0" w:color="auto"/>
      </w:divBdr>
    </w:div>
    <w:div w:id="1229918826">
      <w:bodyDiv w:val="1"/>
      <w:marLeft w:val="0"/>
      <w:marRight w:val="0"/>
      <w:marTop w:val="0"/>
      <w:marBottom w:val="0"/>
      <w:divBdr>
        <w:top w:val="none" w:sz="0" w:space="0" w:color="auto"/>
        <w:left w:val="none" w:sz="0" w:space="0" w:color="auto"/>
        <w:bottom w:val="none" w:sz="0" w:space="0" w:color="auto"/>
        <w:right w:val="none" w:sz="0" w:space="0" w:color="auto"/>
      </w:divBdr>
      <w:divsChild>
        <w:div w:id="2138911759">
          <w:marLeft w:val="0"/>
          <w:marRight w:val="0"/>
          <w:marTop w:val="0"/>
          <w:marBottom w:val="0"/>
          <w:divBdr>
            <w:top w:val="none" w:sz="0" w:space="0" w:color="auto"/>
            <w:left w:val="none" w:sz="0" w:space="0" w:color="auto"/>
            <w:bottom w:val="none" w:sz="0" w:space="0" w:color="auto"/>
            <w:right w:val="none" w:sz="0" w:space="0" w:color="auto"/>
          </w:divBdr>
          <w:divsChild>
            <w:div w:id="864097041">
              <w:marLeft w:val="0"/>
              <w:marRight w:val="0"/>
              <w:marTop w:val="0"/>
              <w:marBottom w:val="0"/>
              <w:divBdr>
                <w:top w:val="none" w:sz="0" w:space="0" w:color="auto"/>
                <w:left w:val="none" w:sz="0" w:space="0" w:color="auto"/>
                <w:bottom w:val="none" w:sz="0" w:space="0" w:color="auto"/>
                <w:right w:val="none" w:sz="0" w:space="0" w:color="auto"/>
              </w:divBdr>
              <w:divsChild>
                <w:div w:id="356810298">
                  <w:marLeft w:val="0"/>
                  <w:marRight w:val="0"/>
                  <w:marTop w:val="0"/>
                  <w:marBottom w:val="0"/>
                  <w:divBdr>
                    <w:top w:val="none" w:sz="0" w:space="0" w:color="auto"/>
                    <w:left w:val="none" w:sz="0" w:space="0" w:color="auto"/>
                    <w:bottom w:val="none" w:sz="0" w:space="0" w:color="auto"/>
                    <w:right w:val="none" w:sz="0" w:space="0" w:color="auto"/>
                  </w:divBdr>
                  <w:divsChild>
                    <w:div w:id="816217935">
                      <w:marLeft w:val="0"/>
                      <w:marRight w:val="0"/>
                      <w:marTop w:val="0"/>
                      <w:marBottom w:val="0"/>
                      <w:divBdr>
                        <w:top w:val="none" w:sz="0" w:space="0" w:color="auto"/>
                        <w:left w:val="none" w:sz="0" w:space="0" w:color="auto"/>
                        <w:bottom w:val="none" w:sz="0" w:space="0" w:color="auto"/>
                        <w:right w:val="none" w:sz="0" w:space="0" w:color="auto"/>
                      </w:divBdr>
                      <w:divsChild>
                        <w:div w:id="1022435868">
                          <w:marLeft w:val="0"/>
                          <w:marRight w:val="0"/>
                          <w:marTop w:val="0"/>
                          <w:marBottom w:val="0"/>
                          <w:divBdr>
                            <w:top w:val="none" w:sz="0" w:space="0" w:color="auto"/>
                            <w:left w:val="none" w:sz="0" w:space="0" w:color="auto"/>
                            <w:bottom w:val="none" w:sz="0" w:space="0" w:color="auto"/>
                            <w:right w:val="none" w:sz="0" w:space="0" w:color="auto"/>
                          </w:divBdr>
                          <w:divsChild>
                            <w:div w:id="365982599">
                              <w:marLeft w:val="0"/>
                              <w:marRight w:val="0"/>
                              <w:marTop w:val="0"/>
                              <w:marBottom w:val="0"/>
                              <w:divBdr>
                                <w:top w:val="none" w:sz="0" w:space="0" w:color="auto"/>
                                <w:left w:val="none" w:sz="0" w:space="0" w:color="auto"/>
                                <w:bottom w:val="none" w:sz="0" w:space="0" w:color="auto"/>
                                <w:right w:val="none" w:sz="0" w:space="0" w:color="auto"/>
                              </w:divBdr>
                              <w:divsChild>
                                <w:div w:id="1231382756">
                                  <w:marLeft w:val="0"/>
                                  <w:marRight w:val="0"/>
                                  <w:marTop w:val="0"/>
                                  <w:marBottom w:val="0"/>
                                  <w:divBdr>
                                    <w:top w:val="none" w:sz="0" w:space="0" w:color="auto"/>
                                    <w:left w:val="none" w:sz="0" w:space="0" w:color="auto"/>
                                    <w:bottom w:val="none" w:sz="0" w:space="0" w:color="auto"/>
                                    <w:right w:val="none" w:sz="0" w:space="0" w:color="auto"/>
                                  </w:divBdr>
                                  <w:divsChild>
                                    <w:div w:id="1979918617">
                                      <w:marLeft w:val="0"/>
                                      <w:marRight w:val="0"/>
                                      <w:marTop w:val="0"/>
                                      <w:marBottom w:val="0"/>
                                      <w:divBdr>
                                        <w:top w:val="none" w:sz="0" w:space="0" w:color="auto"/>
                                        <w:left w:val="none" w:sz="0" w:space="0" w:color="auto"/>
                                        <w:bottom w:val="none" w:sz="0" w:space="0" w:color="auto"/>
                                        <w:right w:val="none" w:sz="0" w:space="0" w:color="auto"/>
                                      </w:divBdr>
                                      <w:divsChild>
                                        <w:div w:id="1192262527">
                                          <w:marLeft w:val="0"/>
                                          <w:marRight w:val="0"/>
                                          <w:marTop w:val="0"/>
                                          <w:marBottom w:val="0"/>
                                          <w:divBdr>
                                            <w:top w:val="none" w:sz="0" w:space="0" w:color="auto"/>
                                            <w:left w:val="none" w:sz="0" w:space="0" w:color="auto"/>
                                            <w:bottom w:val="none" w:sz="0" w:space="0" w:color="auto"/>
                                            <w:right w:val="none" w:sz="0" w:space="0" w:color="auto"/>
                                          </w:divBdr>
                                          <w:divsChild>
                                            <w:div w:id="1188517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690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Atkinson@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10997</CharactersWithSpaces>
  <SharedDoc>false</SharedDoc>
  <HLinks>
    <vt:vector size="24" baseType="variant">
      <vt:variant>
        <vt:i4>5177427</vt:i4>
      </vt:variant>
      <vt:variant>
        <vt:i4>9</vt:i4>
      </vt:variant>
      <vt:variant>
        <vt:i4>0</vt:i4>
      </vt:variant>
      <vt:variant>
        <vt:i4>5</vt:i4>
      </vt:variant>
      <vt:variant>
        <vt:lpwstr>http://www.cdc.gov/nchs/products/nvsr/monthly_provisional_notice.htm</vt:lpwstr>
      </vt:variant>
      <vt:variant>
        <vt:lpwstr/>
      </vt:variant>
      <vt:variant>
        <vt:i4>7733322</vt:i4>
      </vt:variant>
      <vt:variant>
        <vt:i4>6</vt:i4>
      </vt:variant>
      <vt:variant>
        <vt:i4>0</vt:i4>
      </vt:variant>
      <vt:variant>
        <vt:i4>5</vt:i4>
      </vt:variant>
      <vt:variant>
        <vt:lpwstr>mailto:hq@naphsis.org</vt:lpwstr>
      </vt:variant>
      <vt:variant>
        <vt:lpwstr/>
      </vt:variant>
      <vt:variant>
        <vt:i4>5177427</vt:i4>
      </vt:variant>
      <vt:variant>
        <vt:i4>3</vt:i4>
      </vt:variant>
      <vt:variant>
        <vt:i4>0</vt:i4>
      </vt:variant>
      <vt:variant>
        <vt:i4>5</vt:i4>
      </vt:variant>
      <vt:variant>
        <vt:lpwstr>http://www.cdc.gov/nchs/products/nvsr/monthly_provisional_notice.htm</vt:lpwstr>
      </vt:variant>
      <vt:variant>
        <vt:lpwstr/>
      </vt:variant>
      <vt:variant>
        <vt:i4>1507364</vt:i4>
      </vt:variant>
      <vt:variant>
        <vt:i4>0</vt:i4>
      </vt:variant>
      <vt:variant>
        <vt:i4>0</vt:i4>
      </vt:variant>
      <vt:variant>
        <vt:i4>5</vt:i4>
      </vt:variant>
      <vt:variant>
        <vt:lpwstr>mailto:DAtkinson@cdc.gov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2016-02-09T16:34:00Z</dcterms:created>
  <dcterms:modified xsi:type="dcterms:W3CDTF">2016-02-09T17:25:00Z</dcterms:modified>
</cp:coreProperties>
</file>