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BFBA2" w14:textId="77777777" w:rsidR="00B52D3E" w:rsidRDefault="00264C05" w:rsidP="00B52D3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Use of Spectrum Bands Above 24 GHz for Mobile Radio Services            </w:t>
      </w:r>
      <w:r w:rsidR="0029309D">
        <w:rPr>
          <w:rFonts w:ascii="Times New Roman" w:hAnsi="Times New Roman" w:cs="Times New Roman"/>
          <w:sz w:val="24"/>
          <w:szCs w:val="24"/>
        </w:rPr>
        <w:t xml:space="preserve">    </w:t>
      </w:r>
      <w:r w:rsidR="00A97E8E" w:rsidRPr="008A7632">
        <w:rPr>
          <w:rFonts w:ascii="Times New Roman" w:hAnsi="Times New Roman" w:cs="Times New Roman"/>
          <w:b/>
          <w:sz w:val="24"/>
          <w:szCs w:val="24"/>
        </w:rPr>
        <w:t>3060-</w:t>
      </w:r>
      <w:r>
        <w:rPr>
          <w:rFonts w:ascii="Times New Roman" w:hAnsi="Times New Roman" w:cs="Times New Roman"/>
          <w:b/>
          <w:sz w:val="24"/>
          <w:szCs w:val="24"/>
        </w:rPr>
        <w:t>XXXX</w:t>
      </w:r>
    </w:p>
    <w:p w14:paraId="53E2B0DE" w14:textId="10C494B1" w:rsidR="00C0329D" w:rsidRPr="00B52D3E" w:rsidRDefault="00B52D3E" w:rsidP="00B52D3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January 2016</w:t>
      </w:r>
    </w:p>
    <w:p w14:paraId="53E2B0DF" w14:textId="77777777" w:rsidR="00061F14" w:rsidRDefault="00061F14" w:rsidP="00061F14">
      <w:pPr>
        <w:spacing w:after="0" w:line="240" w:lineRule="auto"/>
        <w:jc w:val="right"/>
        <w:rPr>
          <w:rFonts w:ascii="Times New Roman" w:hAnsi="Times New Roman" w:cs="Times New Roman"/>
          <w:sz w:val="24"/>
          <w:szCs w:val="24"/>
        </w:rPr>
      </w:pPr>
    </w:p>
    <w:p w14:paraId="53E2B0E0" w14:textId="77777777" w:rsidR="00061F14" w:rsidRDefault="00B34B87" w:rsidP="00B34B87">
      <w:pPr>
        <w:tabs>
          <w:tab w:val="center" w:pos="46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61F14">
        <w:rPr>
          <w:rFonts w:ascii="Times New Roman" w:hAnsi="Times New Roman" w:cs="Times New Roman"/>
          <w:sz w:val="24"/>
          <w:szCs w:val="24"/>
        </w:rPr>
        <w:t>SUPPORTING STATEMENT</w:t>
      </w:r>
      <w:r>
        <w:rPr>
          <w:rFonts w:ascii="Times New Roman" w:hAnsi="Times New Roman" w:cs="Times New Roman"/>
          <w:sz w:val="24"/>
          <w:szCs w:val="24"/>
        </w:rPr>
        <w:tab/>
      </w:r>
    </w:p>
    <w:p w14:paraId="53E2B0E1" w14:textId="77777777" w:rsidR="00061F14" w:rsidRDefault="00061F14" w:rsidP="00061F14">
      <w:pPr>
        <w:spacing w:after="0" w:line="240" w:lineRule="auto"/>
        <w:jc w:val="center"/>
        <w:rPr>
          <w:rFonts w:ascii="Times New Roman" w:hAnsi="Times New Roman" w:cs="Times New Roman"/>
          <w:sz w:val="24"/>
          <w:szCs w:val="24"/>
        </w:rPr>
      </w:pPr>
    </w:p>
    <w:p w14:paraId="53E2B0E2" w14:textId="77777777" w:rsidR="00FF4EAA" w:rsidRPr="008A7632" w:rsidRDefault="00FF4EAA" w:rsidP="00FF4EAA">
      <w:pPr>
        <w:pStyle w:val="ListParagraph"/>
        <w:numPr>
          <w:ilvl w:val="0"/>
          <w:numId w:val="2"/>
        </w:numPr>
        <w:spacing w:after="0" w:line="240" w:lineRule="auto"/>
        <w:rPr>
          <w:rFonts w:ascii="Times New Roman" w:hAnsi="Times New Roman" w:cs="Times New Roman"/>
          <w:b/>
          <w:sz w:val="24"/>
          <w:szCs w:val="24"/>
          <w:u w:val="single"/>
        </w:rPr>
      </w:pPr>
      <w:r w:rsidRPr="008A7632">
        <w:rPr>
          <w:rFonts w:ascii="Times New Roman" w:hAnsi="Times New Roman" w:cs="Times New Roman"/>
          <w:b/>
          <w:sz w:val="24"/>
          <w:szCs w:val="24"/>
          <w:u w:val="single"/>
        </w:rPr>
        <w:t>Justification:</w:t>
      </w:r>
    </w:p>
    <w:p w14:paraId="53E2B0E3" w14:textId="77777777" w:rsidR="00FF4EAA" w:rsidRDefault="00B34B87" w:rsidP="00B34B87">
      <w:pPr>
        <w:tabs>
          <w:tab w:val="left" w:pos="531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3E2B0E4" w14:textId="77777777" w:rsidR="00062C97" w:rsidRDefault="00A64B82" w:rsidP="00A64B8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A64B82">
        <w:rPr>
          <w:rFonts w:ascii="Times New Roman" w:hAnsi="Times New Roman" w:cs="Times New Roman"/>
          <w:sz w:val="24"/>
          <w:szCs w:val="24"/>
        </w:rPr>
        <w:t>Federal Communications Commission</w:t>
      </w:r>
      <w:r>
        <w:rPr>
          <w:rFonts w:ascii="Times New Roman" w:hAnsi="Times New Roman" w:cs="Times New Roman"/>
          <w:sz w:val="24"/>
          <w:szCs w:val="24"/>
        </w:rPr>
        <w:t xml:space="preserve"> (Comm</w:t>
      </w:r>
      <w:r w:rsidR="00062C97">
        <w:rPr>
          <w:rFonts w:ascii="Times New Roman" w:hAnsi="Times New Roman" w:cs="Times New Roman"/>
          <w:sz w:val="24"/>
          <w:szCs w:val="24"/>
        </w:rPr>
        <w:t>ission) adopted Use of Spectrum</w:t>
      </w:r>
    </w:p>
    <w:p w14:paraId="53E2B0E5" w14:textId="0B2DEC36" w:rsidR="003C496D" w:rsidRPr="00475DBB" w:rsidRDefault="00A64B82" w:rsidP="00475DBB">
      <w:pPr>
        <w:spacing w:after="0" w:line="240" w:lineRule="auto"/>
        <w:rPr>
          <w:rFonts w:ascii="Times New Roman" w:hAnsi="Times New Roman" w:cs="Times New Roman"/>
          <w:sz w:val="24"/>
          <w:szCs w:val="24"/>
        </w:rPr>
      </w:pPr>
      <w:r w:rsidRPr="00062C97">
        <w:rPr>
          <w:rFonts w:ascii="Times New Roman" w:hAnsi="Times New Roman" w:cs="Times New Roman"/>
          <w:sz w:val="24"/>
          <w:szCs w:val="24"/>
        </w:rPr>
        <w:t>Bands</w:t>
      </w:r>
      <w:r w:rsidR="00062C97" w:rsidRPr="00062C97">
        <w:rPr>
          <w:rFonts w:ascii="Times New Roman" w:hAnsi="Times New Roman" w:cs="Times New Roman"/>
          <w:sz w:val="24"/>
          <w:szCs w:val="24"/>
        </w:rPr>
        <w:t xml:space="preserve"> </w:t>
      </w:r>
      <w:r w:rsidRPr="00A64B82">
        <w:rPr>
          <w:rFonts w:ascii="Times New Roman" w:hAnsi="Times New Roman" w:cs="Times New Roman"/>
          <w:sz w:val="24"/>
          <w:szCs w:val="24"/>
        </w:rPr>
        <w:t xml:space="preserve">Above 24 GHz for Mobile Radio Services </w:t>
      </w:r>
      <w:r w:rsidR="00554601">
        <w:rPr>
          <w:rFonts w:ascii="Times New Roman" w:hAnsi="Times New Roman" w:cs="Times New Roman"/>
          <w:sz w:val="24"/>
          <w:szCs w:val="24"/>
        </w:rPr>
        <w:t xml:space="preserve">in a </w:t>
      </w:r>
      <w:r w:rsidR="003C496D" w:rsidRPr="00A64B82">
        <w:rPr>
          <w:rFonts w:ascii="Times New Roman" w:hAnsi="Times New Roman" w:cs="Times New Roman"/>
          <w:sz w:val="24"/>
          <w:szCs w:val="24"/>
        </w:rPr>
        <w:t>Notice of Proposed Rulemaking</w:t>
      </w:r>
      <w:r w:rsidR="004C453B" w:rsidRPr="00A64B82">
        <w:rPr>
          <w:rFonts w:ascii="Times New Roman" w:hAnsi="Times New Roman" w:cs="Times New Roman"/>
          <w:sz w:val="24"/>
          <w:szCs w:val="24"/>
        </w:rPr>
        <w:t xml:space="preserve"> (NPRM)</w:t>
      </w:r>
      <w:r w:rsidR="003C496D" w:rsidRPr="00A64B82">
        <w:rPr>
          <w:rFonts w:ascii="Times New Roman" w:hAnsi="Times New Roman" w:cs="Times New Roman"/>
          <w:sz w:val="24"/>
          <w:szCs w:val="24"/>
        </w:rPr>
        <w:t xml:space="preserve">, </w:t>
      </w:r>
      <w:r w:rsidR="00475DBB" w:rsidRPr="00D82C08">
        <w:rPr>
          <w:rFonts w:ascii="Times New Roman" w:hAnsi="Times New Roman" w:cs="Times New Roman"/>
          <w:sz w:val="24"/>
          <w:szCs w:val="24"/>
        </w:rPr>
        <w:t>Docket No. 14</w:t>
      </w:r>
      <w:r w:rsidR="00D82C08">
        <w:rPr>
          <w:rFonts w:ascii="Times New Roman" w:hAnsi="Times New Roman" w:cs="Times New Roman"/>
          <w:sz w:val="24"/>
          <w:szCs w:val="24"/>
        </w:rPr>
        <w:t>-</w:t>
      </w:r>
      <w:r>
        <w:rPr>
          <w:rFonts w:ascii="Times New Roman" w:hAnsi="Times New Roman" w:cs="Times New Roman"/>
          <w:sz w:val="24"/>
          <w:szCs w:val="24"/>
        </w:rPr>
        <w:t>177, F</w:t>
      </w:r>
      <w:r w:rsidRPr="00B52D3E">
        <w:rPr>
          <w:rFonts w:ascii="Times New Roman" w:hAnsi="Times New Roman" w:cs="Times New Roman"/>
          <w:sz w:val="24"/>
          <w:szCs w:val="24"/>
        </w:rPr>
        <w:t xml:space="preserve">CC 15-138, on October 22, 2015, published in </w:t>
      </w:r>
      <w:r w:rsidR="00B52D3E" w:rsidRPr="00B52D3E">
        <w:rPr>
          <w:rFonts w:ascii="Times New Roman" w:hAnsi="Times New Roman" w:cs="Times New Roman"/>
          <w:sz w:val="24"/>
          <w:szCs w:val="24"/>
        </w:rPr>
        <w:t>the Federal Register on January 13, 2016 (81 FR 1802)</w:t>
      </w:r>
      <w:r w:rsidRPr="00B52D3E">
        <w:rPr>
          <w:rFonts w:ascii="Times New Roman" w:hAnsi="Times New Roman" w:cs="Times New Roman"/>
          <w:sz w:val="24"/>
          <w:szCs w:val="24"/>
        </w:rPr>
        <w:t>.</w:t>
      </w:r>
      <w:r>
        <w:rPr>
          <w:rFonts w:ascii="Times New Roman" w:hAnsi="Times New Roman" w:cs="Times New Roman"/>
          <w:sz w:val="24"/>
          <w:szCs w:val="24"/>
        </w:rPr>
        <w:t xml:space="preserve">  In this NPRM,</w:t>
      </w:r>
      <w:r w:rsidR="00062C97">
        <w:rPr>
          <w:rFonts w:ascii="Times New Roman" w:hAnsi="Times New Roman" w:cs="Times New Roman"/>
          <w:sz w:val="24"/>
          <w:szCs w:val="24"/>
        </w:rPr>
        <w:t xml:space="preserve"> </w:t>
      </w:r>
      <w:r w:rsidR="00841B6A" w:rsidRPr="00475DBB">
        <w:rPr>
          <w:rFonts w:ascii="Times New Roman" w:hAnsi="Times New Roman" w:cs="Times New Roman"/>
          <w:sz w:val="24"/>
          <w:szCs w:val="24"/>
        </w:rPr>
        <w:t xml:space="preserve">the Commission </w:t>
      </w:r>
      <w:r w:rsidR="00EB2B80">
        <w:rPr>
          <w:rFonts w:ascii="Times New Roman" w:hAnsi="Times New Roman" w:cs="Times New Roman"/>
          <w:sz w:val="24"/>
          <w:szCs w:val="24"/>
        </w:rPr>
        <w:t xml:space="preserve">proposed service rules for licensing of mobile and other uses </w:t>
      </w:r>
      <w:r w:rsidR="00841B6A" w:rsidRPr="00475DBB">
        <w:rPr>
          <w:rFonts w:ascii="Times New Roman" w:hAnsi="Times New Roman" w:cs="Times New Roman"/>
          <w:sz w:val="24"/>
          <w:szCs w:val="24"/>
        </w:rPr>
        <w:t>for</w:t>
      </w:r>
      <w:r w:rsidR="00D82C08">
        <w:rPr>
          <w:rFonts w:ascii="Times New Roman" w:hAnsi="Times New Roman" w:cs="Times New Roman"/>
          <w:sz w:val="24"/>
          <w:szCs w:val="24"/>
        </w:rPr>
        <w:t xml:space="preserve"> </w:t>
      </w:r>
      <w:r w:rsidR="006E0156" w:rsidRPr="00475DBB">
        <w:rPr>
          <w:rFonts w:ascii="Times New Roman" w:hAnsi="Times New Roman" w:cs="Times New Roman"/>
          <w:sz w:val="24"/>
          <w:szCs w:val="24"/>
        </w:rPr>
        <w:t>millimeter wave (mmW) bands</w:t>
      </w:r>
      <w:r w:rsidR="00CF797D">
        <w:rPr>
          <w:rFonts w:ascii="Times New Roman" w:hAnsi="Times New Roman" w:cs="Times New Roman"/>
          <w:sz w:val="24"/>
          <w:szCs w:val="24"/>
        </w:rPr>
        <w:t xml:space="preserve">.  </w:t>
      </w:r>
      <w:r w:rsidR="006C146C">
        <w:rPr>
          <w:rFonts w:ascii="Times New Roman" w:hAnsi="Times New Roman" w:cs="Times New Roman"/>
          <w:sz w:val="24"/>
          <w:szCs w:val="24"/>
        </w:rPr>
        <w:t xml:space="preserve">This NPRM </w:t>
      </w:r>
      <w:r w:rsidR="004C453B">
        <w:rPr>
          <w:rFonts w:ascii="Times New Roman" w:hAnsi="Times New Roman" w:cs="Times New Roman"/>
          <w:sz w:val="24"/>
          <w:szCs w:val="24"/>
        </w:rPr>
        <w:t>will help facilitate Fifth Generation mobile services</w:t>
      </w:r>
      <w:r w:rsidR="00EB2B80">
        <w:rPr>
          <w:rFonts w:ascii="Times New Roman" w:hAnsi="Times New Roman" w:cs="Times New Roman"/>
          <w:sz w:val="24"/>
          <w:szCs w:val="24"/>
        </w:rPr>
        <w:t xml:space="preserve"> and other mobile services</w:t>
      </w:r>
      <w:r w:rsidR="004C453B">
        <w:rPr>
          <w:rFonts w:ascii="Times New Roman" w:hAnsi="Times New Roman" w:cs="Times New Roman"/>
          <w:sz w:val="24"/>
          <w:szCs w:val="24"/>
        </w:rPr>
        <w:t>.</w:t>
      </w:r>
      <w:r w:rsidR="006C146C">
        <w:rPr>
          <w:rFonts w:ascii="Times New Roman" w:hAnsi="Times New Roman" w:cs="Times New Roman"/>
          <w:sz w:val="24"/>
          <w:szCs w:val="24"/>
        </w:rPr>
        <w:t xml:space="preserve"> In developing service rules for mmW bands, the Commission will facilitate access to spectrum, develop a flexible spectrum policy, and encourage wireless innovation. </w:t>
      </w:r>
    </w:p>
    <w:p w14:paraId="53E2B0E6" w14:textId="77777777" w:rsidR="00D82C08" w:rsidRDefault="00D82C08" w:rsidP="00B34B87">
      <w:pPr>
        <w:spacing w:after="0" w:line="240" w:lineRule="auto"/>
        <w:jc w:val="center"/>
        <w:rPr>
          <w:rFonts w:ascii="Times New Roman" w:hAnsi="Times New Roman" w:cs="Times New Roman"/>
          <w:sz w:val="24"/>
          <w:szCs w:val="24"/>
        </w:rPr>
      </w:pPr>
    </w:p>
    <w:p w14:paraId="53E2B0E7" w14:textId="77777777" w:rsidR="00A64B82" w:rsidRPr="00A64B82" w:rsidRDefault="006C146C" w:rsidP="003C49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62DF6">
        <w:rPr>
          <w:rFonts w:ascii="Times New Roman" w:hAnsi="Times New Roman" w:cs="Times New Roman"/>
          <w:sz w:val="24"/>
          <w:szCs w:val="24"/>
        </w:rPr>
        <w:t xml:space="preserve">FCC seeks </w:t>
      </w:r>
      <w:r w:rsidR="008A7632">
        <w:rPr>
          <w:rFonts w:ascii="Times New Roman" w:hAnsi="Times New Roman" w:cs="Times New Roman"/>
          <w:sz w:val="24"/>
          <w:szCs w:val="24"/>
        </w:rPr>
        <w:t>a</w:t>
      </w:r>
      <w:r w:rsidR="00F62DF6">
        <w:rPr>
          <w:rFonts w:ascii="Times New Roman" w:hAnsi="Times New Roman" w:cs="Times New Roman"/>
          <w:sz w:val="24"/>
          <w:szCs w:val="24"/>
        </w:rPr>
        <w:t xml:space="preserve"> </w:t>
      </w:r>
      <w:r w:rsidR="00264C05">
        <w:rPr>
          <w:rFonts w:ascii="Times New Roman" w:hAnsi="Times New Roman" w:cs="Times New Roman"/>
          <w:sz w:val="24"/>
          <w:szCs w:val="24"/>
        </w:rPr>
        <w:t>pre-</w:t>
      </w:r>
      <w:r w:rsidR="00F62DF6">
        <w:rPr>
          <w:rFonts w:ascii="Times New Roman" w:hAnsi="Times New Roman" w:cs="Times New Roman"/>
          <w:sz w:val="24"/>
          <w:szCs w:val="24"/>
        </w:rPr>
        <w:t>approval from the Office of Management and Budget (OMB) for information</w:t>
      </w:r>
      <w:r w:rsidR="00EB3559" w:rsidRPr="003C496D">
        <w:rPr>
          <w:rFonts w:ascii="Times New Roman" w:hAnsi="Times New Roman" w:cs="Times New Roman"/>
          <w:sz w:val="24"/>
          <w:szCs w:val="24"/>
        </w:rPr>
        <w:t xml:space="preserve"> collection</w:t>
      </w:r>
      <w:r w:rsidR="00F564AC" w:rsidRPr="003C496D">
        <w:rPr>
          <w:rFonts w:ascii="Times New Roman" w:hAnsi="Times New Roman" w:cs="Times New Roman"/>
          <w:sz w:val="24"/>
          <w:szCs w:val="24"/>
        </w:rPr>
        <w:t xml:space="preserve"> proposed for </w:t>
      </w:r>
      <w:r w:rsidR="000A3891" w:rsidRPr="003C496D">
        <w:rPr>
          <w:rFonts w:ascii="Times New Roman" w:hAnsi="Times New Roman" w:cs="Times New Roman"/>
          <w:sz w:val="24"/>
          <w:szCs w:val="24"/>
        </w:rPr>
        <w:t>47 C</w:t>
      </w:r>
      <w:r w:rsidR="00F62DF6">
        <w:rPr>
          <w:rFonts w:ascii="Times New Roman" w:hAnsi="Times New Roman" w:cs="Times New Roman"/>
          <w:sz w:val="24"/>
          <w:szCs w:val="24"/>
        </w:rPr>
        <w:t>.</w:t>
      </w:r>
      <w:r w:rsidR="000A3891" w:rsidRPr="003C496D">
        <w:rPr>
          <w:rFonts w:ascii="Times New Roman" w:hAnsi="Times New Roman" w:cs="Times New Roman"/>
          <w:sz w:val="24"/>
          <w:szCs w:val="24"/>
        </w:rPr>
        <w:t>F</w:t>
      </w:r>
      <w:r w:rsidR="00F62DF6">
        <w:rPr>
          <w:rFonts w:ascii="Times New Roman" w:hAnsi="Times New Roman" w:cs="Times New Roman"/>
          <w:sz w:val="24"/>
          <w:szCs w:val="24"/>
        </w:rPr>
        <w:t>.</w:t>
      </w:r>
      <w:r w:rsidR="000A3891" w:rsidRPr="003C496D">
        <w:rPr>
          <w:rFonts w:ascii="Times New Roman" w:hAnsi="Times New Roman" w:cs="Times New Roman"/>
          <w:sz w:val="24"/>
          <w:szCs w:val="24"/>
        </w:rPr>
        <w:t>R</w:t>
      </w:r>
      <w:r w:rsidR="00F62DF6">
        <w:rPr>
          <w:rFonts w:ascii="Times New Roman" w:hAnsi="Times New Roman" w:cs="Times New Roman"/>
          <w:sz w:val="24"/>
          <w:szCs w:val="24"/>
        </w:rPr>
        <w:t>.</w:t>
      </w:r>
      <w:r w:rsidR="000A3891" w:rsidRPr="003C496D">
        <w:rPr>
          <w:rFonts w:ascii="Times New Roman" w:hAnsi="Times New Roman" w:cs="Times New Roman"/>
          <w:sz w:val="24"/>
          <w:szCs w:val="24"/>
        </w:rPr>
        <w:t xml:space="preserve"> </w:t>
      </w:r>
      <w:r w:rsidR="00F564AC" w:rsidRPr="003C496D">
        <w:rPr>
          <w:rFonts w:ascii="Times New Roman" w:hAnsi="Times New Roman" w:cs="Times New Roman"/>
          <w:sz w:val="24"/>
          <w:szCs w:val="24"/>
        </w:rPr>
        <w:t>Part 30 – Upper Microwave Flexible Use Service.  Part 30 is a new collection</w:t>
      </w:r>
      <w:r w:rsidR="000E6635" w:rsidRPr="003C496D">
        <w:rPr>
          <w:rFonts w:ascii="Times New Roman" w:hAnsi="Times New Roman" w:cs="Times New Roman"/>
          <w:sz w:val="24"/>
          <w:szCs w:val="24"/>
        </w:rPr>
        <w:t xml:space="preserve"> </w:t>
      </w:r>
      <w:r w:rsidR="000E6635" w:rsidRPr="00A64B82">
        <w:rPr>
          <w:rFonts w:ascii="Times New Roman" w:hAnsi="Times New Roman" w:cs="Times New Roman"/>
          <w:sz w:val="24"/>
          <w:szCs w:val="24"/>
        </w:rPr>
        <w:t xml:space="preserve">under </w:t>
      </w:r>
      <w:r w:rsidR="00554601">
        <w:rPr>
          <w:rFonts w:ascii="Times New Roman" w:hAnsi="Times New Roman" w:cs="Times New Roman"/>
          <w:sz w:val="24"/>
          <w:szCs w:val="24"/>
        </w:rPr>
        <w:t xml:space="preserve">this </w:t>
      </w:r>
      <w:r w:rsidRPr="00A64B82">
        <w:rPr>
          <w:rFonts w:ascii="Times New Roman" w:hAnsi="Times New Roman" w:cs="Times New Roman"/>
          <w:sz w:val="24"/>
          <w:szCs w:val="24"/>
        </w:rPr>
        <w:t>NPRM</w:t>
      </w:r>
      <w:r w:rsidR="003E7D20" w:rsidRPr="00A64B82">
        <w:rPr>
          <w:rFonts w:ascii="Times New Roman" w:hAnsi="Times New Roman" w:cs="Times New Roman"/>
          <w:sz w:val="24"/>
          <w:szCs w:val="24"/>
        </w:rPr>
        <w:t xml:space="preserve"> </w:t>
      </w:r>
      <w:r w:rsidR="00554601">
        <w:rPr>
          <w:rFonts w:ascii="Times New Roman" w:hAnsi="Times New Roman" w:cs="Times New Roman"/>
          <w:sz w:val="24"/>
          <w:szCs w:val="24"/>
        </w:rPr>
        <w:t xml:space="preserve">titled </w:t>
      </w:r>
      <w:r w:rsidR="003E7D20" w:rsidRPr="00A64B82">
        <w:rPr>
          <w:rFonts w:ascii="Times New Roman" w:hAnsi="Times New Roman" w:cs="Times New Roman"/>
          <w:sz w:val="24"/>
          <w:szCs w:val="24"/>
        </w:rPr>
        <w:t>Use of Spectrum Bands Above 2</w:t>
      </w:r>
      <w:r w:rsidR="00EB3559" w:rsidRPr="00A64B82">
        <w:rPr>
          <w:rFonts w:ascii="Times New Roman" w:hAnsi="Times New Roman" w:cs="Times New Roman"/>
          <w:sz w:val="24"/>
          <w:szCs w:val="24"/>
        </w:rPr>
        <w:t>4 GHz for Mobile Radio Services, GN Docket No. 14-177, IB Docket Nos. 15-256 and 97-9</w:t>
      </w:r>
      <w:r w:rsidR="00EB2B80">
        <w:rPr>
          <w:rFonts w:ascii="Times New Roman" w:hAnsi="Times New Roman" w:cs="Times New Roman"/>
          <w:sz w:val="24"/>
          <w:szCs w:val="24"/>
        </w:rPr>
        <w:t>5</w:t>
      </w:r>
      <w:r w:rsidR="00EB3559" w:rsidRPr="00A64B82">
        <w:rPr>
          <w:rFonts w:ascii="Times New Roman" w:hAnsi="Times New Roman" w:cs="Times New Roman"/>
          <w:sz w:val="24"/>
          <w:szCs w:val="24"/>
        </w:rPr>
        <w:t>, RM-11664, WT Docket No. 10-112, and FCC 15-138.</w:t>
      </w:r>
      <w:r w:rsidR="000C523B" w:rsidRPr="00A64B82">
        <w:rPr>
          <w:rFonts w:ascii="Times New Roman" w:hAnsi="Times New Roman" w:cs="Times New Roman"/>
          <w:sz w:val="24"/>
          <w:szCs w:val="24"/>
        </w:rPr>
        <w:t xml:space="preserve">  </w:t>
      </w:r>
    </w:p>
    <w:p w14:paraId="53E2B0E8" w14:textId="77777777" w:rsidR="00A64B82" w:rsidRDefault="00A64B82" w:rsidP="003C496D">
      <w:pPr>
        <w:spacing w:after="0" w:line="240" w:lineRule="auto"/>
        <w:rPr>
          <w:rFonts w:ascii="Times New Roman" w:hAnsi="Times New Roman" w:cs="Times New Roman"/>
          <w:sz w:val="24"/>
          <w:szCs w:val="24"/>
        </w:rPr>
      </w:pPr>
    </w:p>
    <w:p w14:paraId="53E2B0E9" w14:textId="77777777" w:rsidR="00A64B82" w:rsidRDefault="00A64B82" w:rsidP="003C496D">
      <w:pPr>
        <w:spacing w:after="0" w:line="240" w:lineRule="auto"/>
        <w:rPr>
          <w:rFonts w:ascii="Times New Roman" w:hAnsi="Times New Roman" w:cs="Times New Roman"/>
          <w:sz w:val="24"/>
          <w:szCs w:val="24"/>
        </w:rPr>
      </w:pPr>
      <w:r w:rsidRPr="00A64B82">
        <w:rPr>
          <w:rFonts w:ascii="Times New Roman" w:hAnsi="Times New Roman" w:cs="Times New Roman"/>
          <w:sz w:val="24"/>
          <w:szCs w:val="24"/>
        </w:rPr>
        <w:t>Statutory authority for th</w:t>
      </w:r>
      <w:r w:rsidR="00F62DF6">
        <w:rPr>
          <w:rFonts w:ascii="Times New Roman" w:hAnsi="Times New Roman" w:cs="Times New Roman"/>
          <w:sz w:val="24"/>
          <w:szCs w:val="24"/>
        </w:rPr>
        <w:t>is collection are contained in s</w:t>
      </w:r>
      <w:r w:rsidRPr="00A64B82">
        <w:rPr>
          <w:rFonts w:ascii="Times New Roman" w:hAnsi="Times New Roman" w:cs="Times New Roman"/>
          <w:sz w:val="24"/>
          <w:szCs w:val="24"/>
        </w:rPr>
        <w:t>ections 1, 2, 3, 4, 5, 7, 10, 201, 225, 227, 301, 302, 302a, 303, 304, 307, 309, 310, 316, 319, 332, and 336 of the Communications Act of 1934, 47 U.S.C. §§ 151, 152, 153, 154, 155, 157, 160, 201, 225, 227, 301, 302, 302a, 303, 304, 307, 309, 310, 316, 319, 332, 336, Section 706 of the Telecommunications Act of 1996, as amended, 47 U.S.C. § 1302.</w:t>
      </w:r>
    </w:p>
    <w:p w14:paraId="53E2B0EA" w14:textId="77777777" w:rsidR="00276E69" w:rsidRDefault="00276E69" w:rsidP="003C496D">
      <w:pPr>
        <w:spacing w:after="0" w:line="240" w:lineRule="auto"/>
        <w:rPr>
          <w:rFonts w:ascii="Times New Roman" w:hAnsi="Times New Roman" w:cs="Times New Roman"/>
          <w:sz w:val="24"/>
          <w:szCs w:val="24"/>
        </w:rPr>
      </w:pPr>
    </w:p>
    <w:p w14:paraId="53E2B0EB" w14:textId="77777777" w:rsidR="00276E69" w:rsidRDefault="00276E69" w:rsidP="003C496D">
      <w:pPr>
        <w:spacing w:after="0" w:line="240" w:lineRule="auto"/>
        <w:rPr>
          <w:rFonts w:ascii="Times New Roman" w:hAnsi="Times New Roman" w:cs="Times New Roman"/>
          <w:sz w:val="24"/>
          <w:szCs w:val="24"/>
        </w:rPr>
      </w:pPr>
      <w:r w:rsidRPr="00276E69">
        <w:rPr>
          <w:rFonts w:ascii="Times New Roman" w:hAnsi="Times New Roman" w:cs="Times New Roman"/>
          <w:sz w:val="24"/>
          <w:szCs w:val="24"/>
        </w:rPr>
        <w:t>This information collection does not affect individuals or households; thus, there are no impacts under the Privacy Act.</w:t>
      </w:r>
    </w:p>
    <w:p w14:paraId="53E2B0EC" w14:textId="77777777" w:rsidR="00A64B82" w:rsidRDefault="00A64B82" w:rsidP="003C496D">
      <w:pPr>
        <w:spacing w:after="0" w:line="240" w:lineRule="auto"/>
        <w:rPr>
          <w:rFonts w:ascii="Times New Roman" w:hAnsi="Times New Roman" w:cs="Times New Roman"/>
          <w:sz w:val="24"/>
          <w:szCs w:val="24"/>
        </w:rPr>
      </w:pPr>
    </w:p>
    <w:p w14:paraId="53E2B0ED" w14:textId="77777777" w:rsidR="00061F14" w:rsidRDefault="00F62DF6" w:rsidP="003C49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description of each rule section and the </w:t>
      </w:r>
      <w:r w:rsidR="00276E69">
        <w:rPr>
          <w:rFonts w:ascii="Times New Roman" w:hAnsi="Times New Roman" w:cs="Times New Roman"/>
          <w:sz w:val="24"/>
          <w:szCs w:val="24"/>
        </w:rPr>
        <w:t xml:space="preserve">new </w:t>
      </w:r>
      <w:r>
        <w:rPr>
          <w:rFonts w:ascii="Times New Roman" w:hAnsi="Times New Roman" w:cs="Times New Roman"/>
          <w:sz w:val="24"/>
          <w:szCs w:val="24"/>
        </w:rPr>
        <w:t>information collection it requires</w:t>
      </w:r>
      <w:r w:rsidR="00944CAF">
        <w:rPr>
          <w:rFonts w:ascii="Times New Roman" w:hAnsi="Times New Roman" w:cs="Times New Roman"/>
          <w:sz w:val="24"/>
          <w:szCs w:val="24"/>
        </w:rPr>
        <w:t xml:space="preserve"> are as follows:</w:t>
      </w:r>
    </w:p>
    <w:p w14:paraId="53E2B0EE" w14:textId="77777777" w:rsidR="00D82C08" w:rsidRDefault="00D82C08" w:rsidP="003C496D">
      <w:pPr>
        <w:spacing w:after="0" w:line="240" w:lineRule="auto"/>
        <w:rPr>
          <w:rFonts w:ascii="Times New Roman" w:hAnsi="Times New Roman" w:cs="Times New Roman"/>
          <w:sz w:val="24"/>
          <w:szCs w:val="24"/>
        </w:rPr>
      </w:pPr>
    </w:p>
    <w:p w14:paraId="53E2B0EF" w14:textId="77777777" w:rsidR="00D82C08" w:rsidRDefault="00D82C08" w:rsidP="00061F14">
      <w:pPr>
        <w:pStyle w:val="ListParagraph"/>
        <w:spacing w:after="0" w:line="240" w:lineRule="auto"/>
        <w:ind w:left="0"/>
        <w:rPr>
          <w:rFonts w:ascii="Times New Roman" w:hAnsi="Times New Roman" w:cs="Times New Roman"/>
          <w:sz w:val="24"/>
          <w:szCs w:val="24"/>
          <w:u w:val="single"/>
        </w:rPr>
      </w:pPr>
      <w:r w:rsidRPr="00D82C08">
        <w:rPr>
          <w:rFonts w:ascii="Times New Roman" w:hAnsi="Times New Roman" w:cs="Times New Roman"/>
          <w:sz w:val="24"/>
          <w:szCs w:val="24"/>
          <w:u w:val="single"/>
        </w:rPr>
        <w:t>New Information Collection Requirements</w:t>
      </w:r>
    </w:p>
    <w:p w14:paraId="53E2B0F0" w14:textId="77777777" w:rsidR="003C4B5A" w:rsidRDefault="003C4B5A" w:rsidP="00061F14">
      <w:pPr>
        <w:pStyle w:val="ListParagraph"/>
        <w:spacing w:after="0" w:line="240" w:lineRule="auto"/>
        <w:ind w:left="0"/>
        <w:rPr>
          <w:rFonts w:ascii="Times New Roman" w:hAnsi="Times New Roman" w:cs="Times New Roman"/>
          <w:sz w:val="24"/>
          <w:szCs w:val="24"/>
          <w:u w:val="single"/>
        </w:rPr>
      </w:pPr>
    </w:p>
    <w:p w14:paraId="53E2B0F1" w14:textId="77777777" w:rsidR="00276E69" w:rsidRDefault="00EA3B94" w:rsidP="00D82C08">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CF2ACE">
        <w:rPr>
          <w:rFonts w:ascii="Times New Roman" w:hAnsi="Times New Roman" w:cs="Times New Roman"/>
          <w:b/>
          <w:sz w:val="24"/>
          <w:szCs w:val="24"/>
        </w:rPr>
        <w:t xml:space="preserve"> </w:t>
      </w:r>
      <w:r w:rsidR="00D82C08" w:rsidRPr="00D82C08">
        <w:rPr>
          <w:rFonts w:ascii="Times New Roman" w:hAnsi="Times New Roman" w:cs="Times New Roman"/>
          <w:b/>
          <w:sz w:val="24"/>
          <w:szCs w:val="24"/>
        </w:rPr>
        <w:t>30.3</w:t>
      </w:r>
      <w:r w:rsidR="00D82C08" w:rsidRPr="00D82C08">
        <w:rPr>
          <w:rFonts w:ascii="Times New Roman" w:hAnsi="Times New Roman" w:cs="Times New Roman"/>
          <w:b/>
          <w:sz w:val="24"/>
          <w:szCs w:val="24"/>
        </w:rPr>
        <w:tab/>
        <w:t>Eligibility</w:t>
      </w:r>
      <w:r w:rsidR="00CF797D">
        <w:rPr>
          <w:rFonts w:ascii="Times New Roman" w:hAnsi="Times New Roman" w:cs="Times New Roman"/>
          <w:b/>
          <w:sz w:val="24"/>
          <w:szCs w:val="24"/>
        </w:rPr>
        <w:t xml:space="preserve"> </w:t>
      </w:r>
      <w:r w:rsidR="00D82C08">
        <w:rPr>
          <w:rFonts w:ascii="Times New Roman" w:hAnsi="Times New Roman" w:cs="Times New Roman"/>
          <w:b/>
          <w:sz w:val="24"/>
          <w:szCs w:val="24"/>
        </w:rPr>
        <w:t>‒</w:t>
      </w:r>
      <w:r w:rsidR="00CF797D">
        <w:rPr>
          <w:rFonts w:ascii="Times New Roman" w:hAnsi="Times New Roman" w:cs="Times New Roman"/>
          <w:b/>
          <w:sz w:val="24"/>
          <w:szCs w:val="24"/>
        </w:rPr>
        <w:t xml:space="preserve"> </w:t>
      </w:r>
      <w:r w:rsidR="00276E69">
        <w:rPr>
          <w:rFonts w:ascii="Times New Roman" w:hAnsi="Times New Roman" w:cs="Times New Roman"/>
          <w:i/>
          <w:sz w:val="24"/>
          <w:szCs w:val="24"/>
        </w:rPr>
        <w:t>F</w:t>
      </w:r>
      <w:r w:rsidR="00276E69" w:rsidRPr="00276E69">
        <w:rPr>
          <w:rFonts w:ascii="Times New Roman" w:hAnsi="Times New Roman" w:cs="Times New Roman"/>
          <w:i/>
          <w:sz w:val="24"/>
          <w:szCs w:val="24"/>
        </w:rPr>
        <w:t>oreign ownership reports.</w:t>
      </w:r>
      <w:r w:rsidR="00276E69">
        <w:rPr>
          <w:rFonts w:ascii="Times New Roman" w:hAnsi="Times New Roman" w:cs="Times New Roman"/>
          <w:b/>
          <w:sz w:val="24"/>
          <w:szCs w:val="24"/>
        </w:rPr>
        <w:t xml:space="preserve"> </w:t>
      </w:r>
    </w:p>
    <w:p w14:paraId="53E2B0F2" w14:textId="77777777" w:rsidR="002541D8" w:rsidRDefault="00DB2785" w:rsidP="00D82C08">
      <w:pPr>
        <w:spacing w:after="0" w:line="240" w:lineRule="auto"/>
        <w:rPr>
          <w:rFonts w:ascii="Times New Roman" w:hAnsi="Times New Roman" w:cs="Times New Roman"/>
          <w:sz w:val="24"/>
          <w:szCs w:val="24"/>
        </w:rPr>
      </w:pPr>
      <w:r w:rsidRPr="00DB2785">
        <w:rPr>
          <w:rFonts w:ascii="Times New Roman" w:hAnsi="Times New Roman" w:cs="Times New Roman"/>
          <w:sz w:val="24"/>
          <w:szCs w:val="24"/>
        </w:rPr>
        <w:t>Any entity who meets the technical, financial, character, and citizenship qualifications that the Commission may require in accordance with such Act, other than those precluded by section 310 of the Communications Act of 1934, as amended, 47 U.S.C. 310, is eligible to hold a license under this part.</w:t>
      </w:r>
      <w:r w:rsidR="00FA5F9D">
        <w:rPr>
          <w:rStyle w:val="FootnoteReference"/>
          <w:rFonts w:ascii="Times New Roman" w:hAnsi="Times New Roman" w:cs="Times New Roman"/>
          <w:sz w:val="24"/>
          <w:szCs w:val="24"/>
        </w:rPr>
        <w:footnoteReference w:id="1"/>
      </w:r>
      <w:r w:rsidR="00264C05">
        <w:rPr>
          <w:rFonts w:ascii="Times New Roman" w:hAnsi="Times New Roman" w:cs="Times New Roman"/>
          <w:sz w:val="24"/>
          <w:szCs w:val="24"/>
        </w:rPr>
        <w:t xml:space="preserve"> </w:t>
      </w:r>
    </w:p>
    <w:p w14:paraId="53E2B0F3" w14:textId="77777777" w:rsidR="00EB561B" w:rsidRDefault="00EB561B" w:rsidP="00D82C08">
      <w:pPr>
        <w:spacing w:after="0" w:line="240" w:lineRule="auto"/>
        <w:rPr>
          <w:rFonts w:ascii="Times New Roman" w:hAnsi="Times New Roman" w:cs="Times New Roman"/>
          <w:sz w:val="24"/>
          <w:szCs w:val="24"/>
        </w:rPr>
      </w:pPr>
    </w:p>
    <w:p w14:paraId="53E2B0F4" w14:textId="66DD860E" w:rsidR="00EB561B" w:rsidRPr="00EB561B" w:rsidRDefault="00EB561B" w:rsidP="00EB561B">
      <w:pPr>
        <w:rPr>
          <w:rFonts w:ascii="Times New Roman" w:hAnsi="Times New Roman" w:cs="Times New Roman"/>
          <w:sz w:val="24"/>
          <w:szCs w:val="24"/>
        </w:rPr>
      </w:pPr>
      <w:r>
        <w:rPr>
          <w:rFonts w:ascii="Times New Roman" w:hAnsi="Times New Roman" w:cs="Times New Roman"/>
          <w:sz w:val="24"/>
          <w:szCs w:val="24"/>
        </w:rPr>
        <w:lastRenderedPageBreak/>
        <w:t>This rule section also ha</w:t>
      </w:r>
      <w:r w:rsidR="003C6364">
        <w:rPr>
          <w:rFonts w:ascii="Times New Roman" w:hAnsi="Times New Roman" w:cs="Times New Roman"/>
          <w:sz w:val="24"/>
          <w:szCs w:val="24"/>
        </w:rPr>
        <w:t>s</w:t>
      </w:r>
      <w:r w:rsidRPr="00EB561B">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B561B">
        <w:rPr>
          <w:rFonts w:ascii="Times New Roman" w:hAnsi="Times New Roman" w:cs="Times New Roman"/>
          <w:sz w:val="24"/>
          <w:szCs w:val="24"/>
        </w:rPr>
        <w:t>recordkeeping component a</w:t>
      </w:r>
      <w:r>
        <w:rPr>
          <w:rFonts w:ascii="Times New Roman" w:hAnsi="Times New Roman" w:cs="Times New Roman"/>
          <w:sz w:val="24"/>
          <w:szCs w:val="24"/>
        </w:rPr>
        <w:t>nd</w:t>
      </w:r>
      <w:r w:rsidRPr="00EB561B">
        <w:rPr>
          <w:rFonts w:ascii="Times New Roman" w:hAnsi="Times New Roman" w:cs="Times New Roman"/>
          <w:sz w:val="24"/>
          <w:szCs w:val="24"/>
        </w:rPr>
        <w:t xml:space="preserve"> third party </w:t>
      </w:r>
      <w:r>
        <w:rPr>
          <w:rFonts w:ascii="Times New Roman" w:hAnsi="Times New Roman" w:cs="Times New Roman"/>
          <w:sz w:val="24"/>
          <w:szCs w:val="24"/>
        </w:rPr>
        <w:t xml:space="preserve">disclosure requirement associated with the information sharing requirements </w:t>
      </w:r>
      <w:r w:rsidRPr="00EB561B">
        <w:rPr>
          <w:rFonts w:ascii="Times New Roman" w:hAnsi="Times New Roman" w:cs="Times New Roman"/>
          <w:sz w:val="24"/>
          <w:szCs w:val="24"/>
        </w:rPr>
        <w:t>because licensees may be required to put the information into a database and share it with multiple parties.</w:t>
      </w:r>
    </w:p>
    <w:p w14:paraId="53E2B0F5" w14:textId="77777777" w:rsidR="00EB561B" w:rsidRDefault="00EB561B" w:rsidP="00D82C08">
      <w:pPr>
        <w:spacing w:after="0" w:line="240" w:lineRule="auto"/>
        <w:rPr>
          <w:rFonts w:ascii="Times New Roman" w:hAnsi="Times New Roman" w:cs="Times New Roman"/>
          <w:sz w:val="24"/>
          <w:szCs w:val="24"/>
        </w:rPr>
      </w:pPr>
      <w:bookmarkStart w:id="0" w:name="_GoBack"/>
      <w:bookmarkEnd w:id="0"/>
    </w:p>
    <w:p w14:paraId="53E2B0F6" w14:textId="77777777" w:rsidR="00CF797D" w:rsidRDefault="00F52225" w:rsidP="00DB2785">
      <w:pPr>
        <w:pStyle w:val="ListParagraph"/>
        <w:spacing w:after="0" w:line="240" w:lineRule="auto"/>
        <w:ind w:left="0"/>
        <w:rPr>
          <w:rFonts w:ascii="Times New Roman" w:hAnsi="Times New Roman" w:cs="Times New Roman"/>
          <w:i/>
          <w:sz w:val="24"/>
          <w:szCs w:val="24"/>
        </w:rPr>
      </w:pPr>
      <w:r w:rsidRPr="00D82C08">
        <w:rPr>
          <w:rFonts w:ascii="Times New Roman" w:hAnsi="Times New Roman" w:cs="Times New Roman"/>
          <w:b/>
          <w:sz w:val="24"/>
          <w:szCs w:val="24"/>
        </w:rPr>
        <w:t>§</w:t>
      </w:r>
      <w:r w:rsidR="00CF2ACE">
        <w:rPr>
          <w:rFonts w:ascii="Times New Roman" w:hAnsi="Times New Roman" w:cs="Times New Roman"/>
          <w:b/>
          <w:sz w:val="24"/>
          <w:szCs w:val="24"/>
        </w:rPr>
        <w:t xml:space="preserve"> </w:t>
      </w:r>
      <w:r w:rsidRPr="00D82C08">
        <w:rPr>
          <w:rFonts w:ascii="Times New Roman" w:hAnsi="Times New Roman" w:cs="Times New Roman"/>
          <w:b/>
          <w:sz w:val="24"/>
          <w:szCs w:val="24"/>
        </w:rPr>
        <w:t>30.105</w:t>
      </w:r>
      <w:r w:rsidR="00384C00" w:rsidRPr="00D82C08">
        <w:rPr>
          <w:rFonts w:ascii="Times New Roman" w:hAnsi="Times New Roman" w:cs="Times New Roman"/>
          <w:b/>
          <w:sz w:val="24"/>
          <w:szCs w:val="24"/>
        </w:rPr>
        <w:t>, Subpart B – Applications and Licenses</w:t>
      </w:r>
      <w:r w:rsidR="00CF797D">
        <w:rPr>
          <w:rFonts w:ascii="Times New Roman" w:hAnsi="Times New Roman" w:cs="Times New Roman"/>
          <w:b/>
          <w:sz w:val="24"/>
          <w:szCs w:val="24"/>
        </w:rPr>
        <w:t xml:space="preserve"> </w:t>
      </w:r>
      <w:r w:rsidR="00D82C08">
        <w:rPr>
          <w:rFonts w:ascii="Times New Roman" w:hAnsi="Times New Roman" w:cs="Times New Roman"/>
          <w:b/>
          <w:sz w:val="24"/>
          <w:szCs w:val="24"/>
        </w:rPr>
        <w:t>‒</w:t>
      </w:r>
      <w:r w:rsidR="00CF797D">
        <w:rPr>
          <w:rFonts w:ascii="Times New Roman" w:hAnsi="Times New Roman" w:cs="Times New Roman"/>
          <w:b/>
          <w:sz w:val="24"/>
          <w:szCs w:val="24"/>
        </w:rPr>
        <w:t xml:space="preserve"> </w:t>
      </w:r>
      <w:r w:rsidR="00DB2785" w:rsidRPr="00D82C08">
        <w:rPr>
          <w:rFonts w:ascii="Times New Roman" w:hAnsi="Times New Roman" w:cs="Times New Roman"/>
          <w:i/>
          <w:sz w:val="24"/>
          <w:szCs w:val="24"/>
        </w:rPr>
        <w:t>Construction Requirements</w:t>
      </w:r>
      <w:r w:rsidR="00D82C08" w:rsidRPr="00D82C08">
        <w:rPr>
          <w:rFonts w:ascii="Times New Roman" w:hAnsi="Times New Roman" w:cs="Times New Roman"/>
          <w:i/>
          <w:sz w:val="24"/>
          <w:szCs w:val="24"/>
        </w:rPr>
        <w:t>.</w:t>
      </w:r>
      <w:r w:rsidR="00D82C08">
        <w:rPr>
          <w:rFonts w:ascii="Times New Roman" w:hAnsi="Times New Roman" w:cs="Times New Roman"/>
          <w:i/>
          <w:sz w:val="24"/>
          <w:szCs w:val="24"/>
        </w:rPr>
        <w:t xml:space="preserve">  </w:t>
      </w:r>
    </w:p>
    <w:p w14:paraId="53E2B0F7" w14:textId="77777777" w:rsidR="00DB2785" w:rsidRPr="00DB2785" w:rsidRDefault="00DB2785" w:rsidP="00DB2785">
      <w:pPr>
        <w:pStyle w:val="ListParagraph"/>
        <w:spacing w:after="0" w:line="240" w:lineRule="auto"/>
        <w:ind w:left="0"/>
        <w:rPr>
          <w:rFonts w:ascii="Times New Roman" w:hAnsi="Times New Roman" w:cs="Times New Roman"/>
          <w:sz w:val="24"/>
          <w:szCs w:val="24"/>
        </w:rPr>
      </w:pPr>
      <w:r w:rsidRPr="00DB2785">
        <w:rPr>
          <w:rFonts w:ascii="Times New Roman" w:hAnsi="Times New Roman" w:cs="Times New Roman"/>
          <w:sz w:val="24"/>
          <w:szCs w:val="24"/>
        </w:rPr>
        <w:t>(a) Upper Microwave Flexible Use Service licensees must make a buildout showing as part of their renewal applications.  Licensees providing mobile, point-to-multipoint, or point-to-point service, must demonstrate that they are providing reliable signal coverage and service to at least 40 percent of the population within the service area of the licensee, and that they are using facilities to provide service in that area either to customers or for internal use.  In determining the percentage of population covered in each county, the population covered by a licensee’s service area will be measured at the census block level, using the centroid of each census block from the most recent U.S. Census.  If the total population of the census blocks covered by the licensees reliable signal is 40% or greater the licensee will be deemed to have met</w:t>
      </w:r>
      <w:r w:rsidR="00F335FA">
        <w:rPr>
          <w:rFonts w:ascii="Times New Roman" w:hAnsi="Times New Roman" w:cs="Times New Roman"/>
          <w:sz w:val="24"/>
          <w:szCs w:val="24"/>
        </w:rPr>
        <w:t xml:space="preserve"> the performance requirement. </w:t>
      </w:r>
      <w:r w:rsidR="0095623D">
        <w:rPr>
          <w:rFonts w:ascii="Times New Roman" w:hAnsi="Times New Roman" w:cs="Times New Roman"/>
          <w:sz w:val="24"/>
          <w:szCs w:val="24"/>
        </w:rPr>
        <w:t xml:space="preserve"> </w:t>
      </w:r>
      <w:r w:rsidRPr="00DB2785">
        <w:rPr>
          <w:rFonts w:ascii="Times New Roman" w:hAnsi="Times New Roman" w:cs="Times New Roman"/>
          <w:sz w:val="24"/>
          <w:szCs w:val="24"/>
        </w:rPr>
        <w:t>Failure to meet this requirement will result in automatic cancellation of the license.</w:t>
      </w:r>
    </w:p>
    <w:p w14:paraId="53E2B0F8" w14:textId="77777777" w:rsidR="00276E69" w:rsidRDefault="00276E69" w:rsidP="00DB2785">
      <w:pPr>
        <w:pStyle w:val="ListParagraph"/>
        <w:spacing w:after="0" w:line="240" w:lineRule="auto"/>
        <w:ind w:left="0"/>
        <w:rPr>
          <w:rFonts w:ascii="Times New Roman" w:hAnsi="Times New Roman" w:cs="Times New Roman"/>
          <w:sz w:val="24"/>
          <w:szCs w:val="24"/>
        </w:rPr>
      </w:pPr>
    </w:p>
    <w:p w14:paraId="53E2B0F9" w14:textId="77777777" w:rsidR="00DB2785" w:rsidRDefault="00DB2785" w:rsidP="00DB2785">
      <w:pPr>
        <w:pStyle w:val="ListParagraph"/>
        <w:spacing w:after="0" w:line="240" w:lineRule="auto"/>
        <w:ind w:left="0"/>
        <w:rPr>
          <w:rFonts w:ascii="Times New Roman" w:hAnsi="Times New Roman" w:cs="Times New Roman"/>
          <w:sz w:val="24"/>
          <w:szCs w:val="24"/>
        </w:rPr>
      </w:pPr>
      <w:r w:rsidRPr="00DB2785">
        <w:rPr>
          <w:rFonts w:ascii="Times New Roman" w:hAnsi="Times New Roman" w:cs="Times New Roman"/>
          <w:sz w:val="24"/>
          <w:szCs w:val="24"/>
        </w:rPr>
        <w:t>(b) Existing 39 GHz licensees shall not be required to make a showing pursuant to this rule and shall be governed by the provisions of § 101.17 of this chapter if the expiration date of their license is prior to March 1, 2021.</w:t>
      </w:r>
    </w:p>
    <w:p w14:paraId="53E2B0FA" w14:textId="77777777" w:rsidR="00D82C08" w:rsidRDefault="00D82C08" w:rsidP="00061F14">
      <w:pPr>
        <w:pStyle w:val="ListParagraph"/>
        <w:spacing w:after="0" w:line="240" w:lineRule="auto"/>
        <w:ind w:left="0"/>
        <w:rPr>
          <w:rFonts w:ascii="Times New Roman" w:hAnsi="Times New Roman" w:cs="Times New Roman"/>
          <w:b/>
          <w:sz w:val="24"/>
          <w:szCs w:val="24"/>
        </w:rPr>
      </w:pPr>
    </w:p>
    <w:p w14:paraId="53E2B0FB" w14:textId="77777777" w:rsidR="00CF797D" w:rsidRDefault="00F52225" w:rsidP="00CF797D">
      <w:pPr>
        <w:pStyle w:val="ListParagraph"/>
        <w:spacing w:after="0" w:line="240" w:lineRule="auto"/>
        <w:ind w:left="0"/>
        <w:rPr>
          <w:rFonts w:ascii="Times New Roman" w:hAnsi="Times New Roman" w:cs="Times New Roman"/>
          <w:sz w:val="24"/>
          <w:szCs w:val="24"/>
        </w:rPr>
      </w:pPr>
      <w:r w:rsidRPr="00D82C08">
        <w:rPr>
          <w:rFonts w:ascii="Times New Roman" w:hAnsi="Times New Roman" w:cs="Times New Roman"/>
          <w:b/>
          <w:sz w:val="24"/>
          <w:szCs w:val="24"/>
        </w:rPr>
        <w:t>§</w:t>
      </w:r>
      <w:r w:rsidR="00554601">
        <w:rPr>
          <w:rFonts w:ascii="Times New Roman" w:hAnsi="Times New Roman" w:cs="Times New Roman"/>
          <w:b/>
          <w:sz w:val="24"/>
          <w:szCs w:val="24"/>
        </w:rPr>
        <w:t xml:space="preserve"> </w:t>
      </w:r>
      <w:r w:rsidRPr="00D82C08">
        <w:rPr>
          <w:rFonts w:ascii="Times New Roman" w:hAnsi="Times New Roman" w:cs="Times New Roman"/>
          <w:b/>
          <w:sz w:val="24"/>
          <w:szCs w:val="24"/>
        </w:rPr>
        <w:t>30.107</w:t>
      </w:r>
      <w:r w:rsidR="00384C00" w:rsidRPr="00D82C08">
        <w:rPr>
          <w:rFonts w:ascii="Times New Roman" w:hAnsi="Times New Roman" w:cs="Times New Roman"/>
          <w:b/>
          <w:sz w:val="24"/>
          <w:szCs w:val="24"/>
        </w:rPr>
        <w:t>, Subpart B – Applications and Licenses</w:t>
      </w:r>
      <w:r w:rsidR="00CF797D">
        <w:rPr>
          <w:rFonts w:ascii="Times New Roman" w:hAnsi="Times New Roman" w:cs="Times New Roman"/>
          <w:b/>
          <w:sz w:val="24"/>
          <w:szCs w:val="24"/>
        </w:rPr>
        <w:t xml:space="preserve"> </w:t>
      </w:r>
      <w:r w:rsidR="00D82C08">
        <w:rPr>
          <w:rFonts w:ascii="Times New Roman" w:hAnsi="Times New Roman" w:cs="Times New Roman"/>
          <w:b/>
          <w:sz w:val="24"/>
          <w:szCs w:val="24"/>
        </w:rPr>
        <w:t>‒</w:t>
      </w:r>
      <w:r w:rsidR="00CF797D">
        <w:rPr>
          <w:rFonts w:ascii="Times New Roman" w:hAnsi="Times New Roman" w:cs="Times New Roman"/>
          <w:b/>
          <w:sz w:val="24"/>
          <w:szCs w:val="24"/>
        </w:rPr>
        <w:t xml:space="preserve"> </w:t>
      </w:r>
      <w:r w:rsidR="00DB2785" w:rsidRPr="00D82C08">
        <w:rPr>
          <w:rFonts w:ascii="Times New Roman" w:hAnsi="Times New Roman" w:cs="Times New Roman"/>
          <w:i/>
          <w:sz w:val="24"/>
          <w:szCs w:val="24"/>
        </w:rPr>
        <w:t>Discontinuance of Service.</w:t>
      </w:r>
      <w:r w:rsidR="00CF797D">
        <w:rPr>
          <w:rFonts w:ascii="Times New Roman" w:hAnsi="Times New Roman" w:cs="Times New Roman"/>
          <w:sz w:val="24"/>
          <w:szCs w:val="24"/>
        </w:rPr>
        <w:t xml:space="preserve">  </w:t>
      </w:r>
    </w:p>
    <w:p w14:paraId="53E2B0FC" w14:textId="77777777" w:rsidR="00EB561B" w:rsidRDefault="00EB561B" w:rsidP="00CF797D">
      <w:pPr>
        <w:pStyle w:val="ListParagraph"/>
        <w:spacing w:after="0" w:line="240" w:lineRule="auto"/>
        <w:ind w:left="0"/>
        <w:rPr>
          <w:rFonts w:ascii="Times New Roman" w:hAnsi="Times New Roman" w:cs="Times New Roman"/>
          <w:sz w:val="24"/>
          <w:szCs w:val="24"/>
        </w:rPr>
      </w:pPr>
    </w:p>
    <w:p w14:paraId="53E2B0FD" w14:textId="77777777" w:rsidR="00DB2785" w:rsidRPr="00DB2785" w:rsidRDefault="00276E69" w:rsidP="00CF797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DB2785" w:rsidRPr="00DB2785">
        <w:rPr>
          <w:rFonts w:ascii="Times New Roman" w:hAnsi="Times New Roman" w:cs="Times New Roman"/>
          <w:sz w:val="24"/>
          <w:szCs w:val="24"/>
        </w:rPr>
        <w:t>An Upper Microwave Flexible Use License authorization will automatically terminate, without specific Commission action, if the licensee permanently discontinues service after the initial license term.</w:t>
      </w:r>
    </w:p>
    <w:p w14:paraId="53E2B0FE" w14:textId="77777777" w:rsidR="00276E69" w:rsidRDefault="00276E69" w:rsidP="00DB2785">
      <w:pPr>
        <w:spacing w:after="0" w:line="240" w:lineRule="auto"/>
        <w:rPr>
          <w:rFonts w:ascii="Times New Roman" w:hAnsi="Times New Roman" w:cs="Times New Roman"/>
          <w:sz w:val="24"/>
          <w:szCs w:val="24"/>
        </w:rPr>
      </w:pPr>
    </w:p>
    <w:p w14:paraId="53E2B0FF" w14:textId="77777777" w:rsidR="00DB2785" w:rsidRPr="00DB2785" w:rsidRDefault="00276E69" w:rsidP="00DB2785">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B2785" w:rsidRPr="00DB2785">
        <w:rPr>
          <w:rFonts w:ascii="Times New Roman" w:hAnsi="Times New Roman" w:cs="Times New Roman"/>
          <w:sz w:val="24"/>
          <w:szCs w:val="24"/>
        </w:rPr>
        <w:t>For licensees with common carrier regulatory status, permanent discontinuance of service is defined as 180 consecutive days during which a licensee does not provide service to at least one subscriber that is not affiliated with, controlled by, or related to the licensee in the individual license area. For licensees with non-common carrier status, permanent discontinuance of service is defined as 180 consecutive days during which a licensee does not operate.</w:t>
      </w:r>
    </w:p>
    <w:p w14:paraId="53E2B100" w14:textId="77777777" w:rsidR="00276E69" w:rsidRDefault="00276E69" w:rsidP="00DB2785">
      <w:pPr>
        <w:pStyle w:val="ListParagraph"/>
        <w:spacing w:after="0" w:line="240" w:lineRule="auto"/>
        <w:ind w:left="0"/>
        <w:rPr>
          <w:rFonts w:ascii="Times New Roman" w:hAnsi="Times New Roman" w:cs="Times New Roman"/>
          <w:sz w:val="24"/>
          <w:szCs w:val="24"/>
        </w:rPr>
      </w:pPr>
    </w:p>
    <w:p w14:paraId="53E2B101" w14:textId="77777777" w:rsidR="00DB2785" w:rsidRDefault="00276E69" w:rsidP="00DB278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DB2785" w:rsidRPr="00DB2785">
        <w:rPr>
          <w:rFonts w:ascii="Times New Roman" w:hAnsi="Times New Roman" w:cs="Times New Roman"/>
          <w:sz w:val="24"/>
          <w:szCs w:val="24"/>
        </w:rPr>
        <w:t xml:space="preserve">A licensee that holds a 600 MHz band authorization or an AWS authorization in the 1695-1710 MHz, 1755-1780 MHz, 1915-1920 MHz, 1995-2000 MHz, 2000-2020 MHz, 2155-2180 MHz, and 2180-2200 MHz bands, that permanently discontinues service as defined in this section must notify the Commission of the discontinuance within 10 days by filing FCC Form 601 or 605 requesting license cancellation. </w:t>
      </w:r>
      <w:r w:rsidR="0095623D">
        <w:rPr>
          <w:rFonts w:ascii="Times New Roman" w:hAnsi="Times New Roman" w:cs="Times New Roman"/>
          <w:sz w:val="24"/>
          <w:szCs w:val="24"/>
        </w:rPr>
        <w:t xml:space="preserve"> </w:t>
      </w:r>
      <w:r w:rsidR="00DB2785" w:rsidRPr="00DB2785">
        <w:rPr>
          <w:rFonts w:ascii="Times New Roman" w:hAnsi="Times New Roman" w:cs="Times New Roman"/>
          <w:sz w:val="24"/>
          <w:szCs w:val="24"/>
        </w:rPr>
        <w:t>An authorization will automatically terminate, without specific Commission action, if service is permanently discontinued as defined in this section, even if a licensee fails to file the required form requesting license cancellation.</w:t>
      </w:r>
    </w:p>
    <w:p w14:paraId="53E2B102" w14:textId="77777777" w:rsidR="00475DBB" w:rsidRDefault="00475DBB" w:rsidP="00DB2785">
      <w:pPr>
        <w:pStyle w:val="ListParagraph"/>
        <w:spacing w:after="0" w:line="240" w:lineRule="auto"/>
        <w:ind w:left="0"/>
        <w:rPr>
          <w:rFonts w:ascii="Times New Roman" w:hAnsi="Times New Roman" w:cs="Times New Roman"/>
          <w:sz w:val="24"/>
          <w:szCs w:val="24"/>
        </w:rPr>
      </w:pPr>
    </w:p>
    <w:p w14:paraId="53E2B103" w14:textId="77777777" w:rsidR="00EB561B" w:rsidRDefault="00EB561B" w:rsidP="00DB2785">
      <w:pPr>
        <w:pStyle w:val="ListParagraph"/>
        <w:spacing w:after="0" w:line="240" w:lineRule="auto"/>
        <w:ind w:left="0"/>
        <w:rPr>
          <w:rFonts w:ascii="Times New Roman" w:hAnsi="Times New Roman" w:cs="Times New Roman"/>
          <w:sz w:val="24"/>
          <w:szCs w:val="24"/>
        </w:rPr>
      </w:pPr>
    </w:p>
    <w:p w14:paraId="53E2B104" w14:textId="77777777" w:rsidR="00EB561B" w:rsidRDefault="00EB561B" w:rsidP="00DB2785">
      <w:pPr>
        <w:pStyle w:val="ListParagraph"/>
        <w:spacing w:after="0" w:line="240" w:lineRule="auto"/>
        <w:ind w:left="0"/>
        <w:rPr>
          <w:rFonts w:ascii="Times New Roman" w:hAnsi="Times New Roman" w:cs="Times New Roman"/>
          <w:sz w:val="24"/>
          <w:szCs w:val="24"/>
        </w:rPr>
      </w:pPr>
    </w:p>
    <w:p w14:paraId="53E2B105" w14:textId="77777777" w:rsidR="00475DBB" w:rsidRDefault="00F52225" w:rsidP="00CF797D">
      <w:pPr>
        <w:pStyle w:val="ListParagraph"/>
        <w:spacing w:after="0" w:line="240" w:lineRule="auto"/>
        <w:ind w:left="0"/>
        <w:rPr>
          <w:rFonts w:ascii="Times New Roman" w:hAnsi="Times New Roman" w:cs="Times New Roman"/>
          <w:i/>
          <w:sz w:val="24"/>
          <w:szCs w:val="24"/>
        </w:rPr>
      </w:pPr>
      <w:r w:rsidRPr="00CF797D">
        <w:rPr>
          <w:rFonts w:ascii="Times New Roman" w:hAnsi="Times New Roman" w:cs="Times New Roman"/>
          <w:b/>
          <w:sz w:val="24"/>
          <w:szCs w:val="24"/>
        </w:rPr>
        <w:lastRenderedPageBreak/>
        <w:t>§</w:t>
      </w:r>
      <w:r w:rsidR="00CF2ACE">
        <w:rPr>
          <w:rFonts w:ascii="Times New Roman" w:hAnsi="Times New Roman" w:cs="Times New Roman"/>
          <w:b/>
          <w:sz w:val="24"/>
          <w:szCs w:val="24"/>
        </w:rPr>
        <w:t xml:space="preserve"> </w:t>
      </w:r>
      <w:r w:rsidRPr="00CF797D">
        <w:rPr>
          <w:rFonts w:ascii="Times New Roman" w:hAnsi="Times New Roman" w:cs="Times New Roman"/>
          <w:b/>
          <w:sz w:val="24"/>
          <w:szCs w:val="24"/>
        </w:rPr>
        <w:t>30.205</w:t>
      </w:r>
      <w:r w:rsidR="00384C00" w:rsidRPr="00CF797D">
        <w:rPr>
          <w:rFonts w:ascii="Times New Roman" w:hAnsi="Times New Roman" w:cs="Times New Roman"/>
          <w:b/>
          <w:sz w:val="24"/>
          <w:szCs w:val="24"/>
        </w:rPr>
        <w:t>, Subpart C – Technical Standards</w:t>
      </w:r>
      <w:r w:rsidR="00CF797D">
        <w:rPr>
          <w:rFonts w:ascii="Times New Roman" w:hAnsi="Times New Roman" w:cs="Times New Roman"/>
          <w:b/>
          <w:sz w:val="24"/>
          <w:szCs w:val="24"/>
        </w:rPr>
        <w:t xml:space="preserve"> ‒ </w:t>
      </w:r>
      <w:r w:rsidR="00475DBB" w:rsidRPr="00CF797D">
        <w:rPr>
          <w:rFonts w:ascii="Times New Roman" w:hAnsi="Times New Roman" w:cs="Times New Roman"/>
          <w:i/>
          <w:sz w:val="24"/>
          <w:szCs w:val="24"/>
        </w:rPr>
        <w:t>Information Sharing Requirement</w:t>
      </w:r>
      <w:r w:rsidR="00475DBB" w:rsidRPr="00DF4E65">
        <w:rPr>
          <w:rFonts w:ascii="Times New Roman" w:hAnsi="Times New Roman" w:cs="Times New Roman"/>
          <w:i/>
          <w:sz w:val="24"/>
          <w:szCs w:val="24"/>
        </w:rPr>
        <w:t>s.</w:t>
      </w:r>
      <w:r w:rsidR="00EB561B" w:rsidRPr="00DF4E65">
        <w:rPr>
          <w:rStyle w:val="FootnoteReference"/>
          <w:rFonts w:ascii="Times New Roman" w:hAnsi="Times New Roman" w:cs="Times New Roman"/>
          <w:i/>
          <w:sz w:val="24"/>
          <w:szCs w:val="24"/>
        </w:rPr>
        <w:footnoteReference w:id="2"/>
      </w:r>
    </w:p>
    <w:p w14:paraId="53E2B106" w14:textId="77777777" w:rsidR="00EB561B" w:rsidRDefault="00EB561B" w:rsidP="00CF797D">
      <w:pPr>
        <w:pStyle w:val="ListParagraph"/>
        <w:spacing w:after="0" w:line="240" w:lineRule="auto"/>
        <w:ind w:left="0"/>
        <w:rPr>
          <w:rFonts w:ascii="Times New Roman" w:hAnsi="Times New Roman" w:cs="Times New Roman"/>
          <w:i/>
          <w:sz w:val="24"/>
          <w:szCs w:val="24"/>
        </w:rPr>
      </w:pPr>
    </w:p>
    <w:p w14:paraId="53E2B107" w14:textId="77777777" w:rsidR="00475DBB" w:rsidRPr="00475DBB" w:rsidRDefault="00276E69" w:rsidP="00475DBB">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475DBB" w:rsidRPr="00475DBB">
        <w:rPr>
          <w:rFonts w:ascii="Times New Roman" w:hAnsi="Times New Roman" w:cs="Times New Roman"/>
          <w:sz w:val="24"/>
          <w:szCs w:val="24"/>
        </w:rPr>
        <w:t>Each operator of a Fixed Service or Mobile Service system in the 27.5-28.35 GHz or 37.5-40 GHz band will make the technical information about its system listed in subsections (b) and (c) of this section available to FSS operators by one or more of the following means:</w:t>
      </w:r>
    </w:p>
    <w:p w14:paraId="53E2B108" w14:textId="77777777" w:rsidR="00475DBB" w:rsidRPr="00475DBB" w:rsidRDefault="00475DBB" w:rsidP="00276E69">
      <w:pPr>
        <w:spacing w:after="0" w:line="240" w:lineRule="auto"/>
        <w:ind w:left="720"/>
        <w:rPr>
          <w:rFonts w:ascii="Times New Roman" w:hAnsi="Times New Roman" w:cs="Times New Roman"/>
          <w:sz w:val="24"/>
          <w:szCs w:val="24"/>
        </w:rPr>
      </w:pPr>
      <w:r w:rsidRPr="00475DBB">
        <w:rPr>
          <w:rFonts w:ascii="Times New Roman" w:hAnsi="Times New Roman" w:cs="Times New Roman"/>
          <w:sz w:val="24"/>
          <w:szCs w:val="24"/>
        </w:rPr>
        <w:t>(1)</w:t>
      </w:r>
      <w:r w:rsidRPr="00475DBB">
        <w:rPr>
          <w:rFonts w:ascii="Times New Roman" w:hAnsi="Times New Roman" w:cs="Times New Roman"/>
          <w:sz w:val="24"/>
          <w:szCs w:val="24"/>
        </w:rPr>
        <w:tab/>
        <w:t>an online database operated by the Upper Microwave Flexible Use licensee;</w:t>
      </w:r>
    </w:p>
    <w:p w14:paraId="53E2B109" w14:textId="77777777" w:rsidR="00475DBB" w:rsidRPr="00475DBB" w:rsidRDefault="00475DBB" w:rsidP="00276E69">
      <w:pPr>
        <w:spacing w:after="0" w:line="240" w:lineRule="auto"/>
        <w:ind w:left="720"/>
        <w:rPr>
          <w:rFonts w:ascii="Times New Roman" w:hAnsi="Times New Roman" w:cs="Times New Roman"/>
          <w:sz w:val="24"/>
          <w:szCs w:val="24"/>
        </w:rPr>
      </w:pPr>
      <w:r w:rsidRPr="00475DBB">
        <w:rPr>
          <w:rFonts w:ascii="Times New Roman" w:hAnsi="Times New Roman" w:cs="Times New Roman"/>
          <w:sz w:val="24"/>
          <w:szCs w:val="24"/>
        </w:rPr>
        <w:t>(2)</w:t>
      </w:r>
      <w:r w:rsidRPr="00475DBB">
        <w:rPr>
          <w:rFonts w:ascii="Times New Roman" w:hAnsi="Times New Roman" w:cs="Times New Roman"/>
          <w:sz w:val="24"/>
          <w:szCs w:val="24"/>
        </w:rPr>
        <w:tab/>
        <w:t xml:space="preserve">an online database operated by a third-party database manager, or </w:t>
      </w:r>
    </w:p>
    <w:p w14:paraId="53E2B10A" w14:textId="77777777" w:rsidR="00475DBB" w:rsidRPr="00475DBB" w:rsidRDefault="00475DBB" w:rsidP="00276E69">
      <w:pPr>
        <w:spacing w:after="0" w:line="240" w:lineRule="auto"/>
        <w:ind w:left="720"/>
        <w:rPr>
          <w:rFonts w:ascii="Times New Roman" w:hAnsi="Times New Roman" w:cs="Times New Roman"/>
          <w:sz w:val="24"/>
          <w:szCs w:val="24"/>
        </w:rPr>
      </w:pPr>
      <w:r w:rsidRPr="00475DBB">
        <w:rPr>
          <w:rFonts w:ascii="Times New Roman" w:hAnsi="Times New Roman" w:cs="Times New Roman"/>
          <w:sz w:val="24"/>
          <w:szCs w:val="24"/>
        </w:rPr>
        <w:t>(3)</w:t>
      </w:r>
      <w:r w:rsidRPr="00475DBB">
        <w:rPr>
          <w:rFonts w:ascii="Times New Roman" w:hAnsi="Times New Roman" w:cs="Times New Roman"/>
          <w:sz w:val="24"/>
          <w:szCs w:val="24"/>
        </w:rPr>
        <w:tab/>
        <w:t>a continuously transmitted pilot signal receivable throughout the terrain within which a FSS facility could cause interference to or receive interference from the terrestrial system.</w:t>
      </w:r>
    </w:p>
    <w:p w14:paraId="53E2B10B" w14:textId="77777777" w:rsidR="00276E69" w:rsidRDefault="00276E69" w:rsidP="00475DBB">
      <w:pPr>
        <w:spacing w:after="0" w:line="240" w:lineRule="auto"/>
        <w:rPr>
          <w:rFonts w:ascii="Times New Roman" w:hAnsi="Times New Roman" w:cs="Times New Roman"/>
          <w:sz w:val="24"/>
          <w:szCs w:val="24"/>
        </w:rPr>
      </w:pPr>
    </w:p>
    <w:p w14:paraId="53E2B10C" w14:textId="77777777" w:rsidR="00475DBB" w:rsidRPr="00475DBB" w:rsidRDefault="00475DBB" w:rsidP="00475DBB">
      <w:pPr>
        <w:spacing w:after="0" w:line="240" w:lineRule="auto"/>
        <w:rPr>
          <w:rFonts w:ascii="Times New Roman" w:hAnsi="Times New Roman" w:cs="Times New Roman"/>
          <w:sz w:val="24"/>
          <w:szCs w:val="24"/>
        </w:rPr>
      </w:pPr>
      <w:r w:rsidRPr="00475DBB">
        <w:rPr>
          <w:rFonts w:ascii="Times New Roman" w:hAnsi="Times New Roman" w:cs="Times New Roman"/>
          <w:sz w:val="24"/>
          <w:szCs w:val="24"/>
        </w:rPr>
        <w:t>(b)</w:t>
      </w:r>
      <w:r w:rsidRPr="00475DBB">
        <w:rPr>
          <w:rFonts w:ascii="Times New Roman" w:hAnsi="Times New Roman" w:cs="Times New Roman"/>
          <w:sz w:val="24"/>
          <w:szCs w:val="24"/>
        </w:rPr>
        <w:tab/>
        <w:t>All licensees deploying fixed systems in the 27.5-28.35 GHz or 37.5-40 GHz bands will make the following information about each such system available to FSS operators in those bands by one or more of the means described in subsection (a) of this section:</w:t>
      </w:r>
      <w:r w:rsidR="00276E69">
        <w:rPr>
          <w:rFonts w:ascii="Times New Roman" w:hAnsi="Times New Roman" w:cs="Times New Roman"/>
          <w:sz w:val="24"/>
          <w:szCs w:val="24"/>
        </w:rPr>
        <w:t xml:space="preserve"> </w:t>
      </w:r>
      <w:r w:rsidRPr="00475DBB">
        <w:rPr>
          <w:rFonts w:ascii="Times New Roman" w:hAnsi="Times New Roman" w:cs="Times New Roman"/>
          <w:sz w:val="24"/>
          <w:szCs w:val="24"/>
        </w:rPr>
        <w:t>Licensee's nam</w:t>
      </w:r>
      <w:r>
        <w:rPr>
          <w:rFonts w:ascii="Times New Roman" w:hAnsi="Times New Roman" w:cs="Times New Roman"/>
          <w:sz w:val="24"/>
          <w:szCs w:val="24"/>
        </w:rPr>
        <w:t xml:space="preserve">e and address; Transmitting station name; </w:t>
      </w:r>
      <w:r w:rsidRPr="00475DBB">
        <w:rPr>
          <w:rFonts w:ascii="Times New Roman" w:hAnsi="Times New Roman" w:cs="Times New Roman"/>
          <w:sz w:val="24"/>
          <w:szCs w:val="24"/>
        </w:rPr>
        <w:t>Transmitting station coordinates</w:t>
      </w:r>
      <w:r>
        <w:rPr>
          <w:rFonts w:ascii="Times New Roman" w:hAnsi="Times New Roman" w:cs="Times New Roman"/>
          <w:sz w:val="24"/>
          <w:szCs w:val="24"/>
        </w:rPr>
        <w:t xml:space="preserve">; Frequencies and polarizations; </w:t>
      </w:r>
      <w:r w:rsidRPr="00475DBB">
        <w:rPr>
          <w:rFonts w:ascii="Times New Roman" w:hAnsi="Times New Roman" w:cs="Times New Roman"/>
          <w:sz w:val="24"/>
          <w:szCs w:val="24"/>
        </w:rPr>
        <w:t>Transmitting equipment, its stability, effective isotropic radiated power, emission designator, a</w:t>
      </w:r>
      <w:r>
        <w:rPr>
          <w:rFonts w:ascii="Times New Roman" w:hAnsi="Times New Roman" w:cs="Times New Roman"/>
          <w:sz w:val="24"/>
          <w:szCs w:val="24"/>
        </w:rPr>
        <w:t xml:space="preserve">nd type of modulation (digital); </w:t>
      </w:r>
      <w:r w:rsidRPr="00475DBB">
        <w:rPr>
          <w:rFonts w:ascii="Times New Roman" w:hAnsi="Times New Roman" w:cs="Times New Roman"/>
          <w:sz w:val="24"/>
          <w:szCs w:val="24"/>
        </w:rPr>
        <w:t>Transmitting antenna(s), model, gain, and a radiation pattern provided o</w:t>
      </w:r>
      <w:r>
        <w:rPr>
          <w:rFonts w:ascii="Times New Roman" w:hAnsi="Times New Roman" w:cs="Times New Roman"/>
          <w:sz w:val="24"/>
          <w:szCs w:val="24"/>
        </w:rPr>
        <w:t xml:space="preserve">r certified by the manufacturer; </w:t>
      </w:r>
      <w:r w:rsidRPr="00475DBB">
        <w:rPr>
          <w:rFonts w:ascii="Times New Roman" w:hAnsi="Times New Roman" w:cs="Times New Roman"/>
          <w:sz w:val="24"/>
          <w:szCs w:val="24"/>
        </w:rPr>
        <w:t>Transmitting antenna center line height(s) above ground level and ground</w:t>
      </w:r>
      <w:r>
        <w:rPr>
          <w:rFonts w:ascii="Times New Roman" w:hAnsi="Times New Roman" w:cs="Times New Roman"/>
          <w:sz w:val="24"/>
          <w:szCs w:val="24"/>
        </w:rPr>
        <w:t xml:space="preserve"> elevation above mean sea level; </w:t>
      </w:r>
      <w:r w:rsidRPr="00475DBB">
        <w:rPr>
          <w:rFonts w:ascii="Times New Roman" w:hAnsi="Times New Roman" w:cs="Times New Roman"/>
          <w:sz w:val="24"/>
          <w:szCs w:val="24"/>
        </w:rPr>
        <w:t>Transmitting antenna boresight(s) angle of elevat</w:t>
      </w:r>
      <w:r>
        <w:rPr>
          <w:rFonts w:ascii="Times New Roman" w:hAnsi="Times New Roman" w:cs="Times New Roman"/>
          <w:sz w:val="24"/>
          <w:szCs w:val="24"/>
        </w:rPr>
        <w:t xml:space="preserve">ion with respect to the horizon; Receiving station name; Receiving station coordinates; </w:t>
      </w:r>
      <w:r w:rsidRPr="00475DBB">
        <w:rPr>
          <w:rFonts w:ascii="Times New Roman" w:hAnsi="Times New Roman" w:cs="Times New Roman"/>
          <w:sz w:val="24"/>
          <w:szCs w:val="24"/>
        </w:rPr>
        <w:t>Receiving antenna(s), model, gain, and, if required, a radiation pattern provided o</w:t>
      </w:r>
      <w:r>
        <w:rPr>
          <w:rFonts w:ascii="Times New Roman" w:hAnsi="Times New Roman" w:cs="Times New Roman"/>
          <w:sz w:val="24"/>
          <w:szCs w:val="24"/>
        </w:rPr>
        <w:t xml:space="preserve">r certified by the manufacturer; </w:t>
      </w:r>
      <w:r w:rsidRPr="00475DBB">
        <w:rPr>
          <w:rFonts w:ascii="Times New Roman" w:hAnsi="Times New Roman" w:cs="Times New Roman"/>
          <w:sz w:val="24"/>
          <w:szCs w:val="24"/>
        </w:rPr>
        <w:t>Receiving antenna center line height(s) above ground level and ground</w:t>
      </w:r>
      <w:r>
        <w:rPr>
          <w:rFonts w:ascii="Times New Roman" w:hAnsi="Times New Roman" w:cs="Times New Roman"/>
          <w:sz w:val="24"/>
          <w:szCs w:val="24"/>
        </w:rPr>
        <w:t xml:space="preserve"> elevation above mean sea level; </w:t>
      </w:r>
      <w:r w:rsidRPr="00475DBB">
        <w:rPr>
          <w:rFonts w:ascii="Times New Roman" w:hAnsi="Times New Roman" w:cs="Times New Roman"/>
          <w:sz w:val="24"/>
          <w:szCs w:val="24"/>
        </w:rPr>
        <w:t>Receiving antenna boresight(s) angle of elevat</w:t>
      </w:r>
      <w:r>
        <w:rPr>
          <w:rFonts w:ascii="Times New Roman" w:hAnsi="Times New Roman" w:cs="Times New Roman"/>
          <w:sz w:val="24"/>
          <w:szCs w:val="24"/>
        </w:rPr>
        <w:t xml:space="preserve">ion with respect to the horizon; and </w:t>
      </w:r>
      <w:r w:rsidRPr="00475DBB">
        <w:rPr>
          <w:rFonts w:ascii="Times New Roman" w:hAnsi="Times New Roman" w:cs="Times New Roman"/>
          <w:sz w:val="24"/>
          <w:szCs w:val="24"/>
        </w:rPr>
        <w:t>Path azimuth and distance.</w:t>
      </w:r>
    </w:p>
    <w:p w14:paraId="53E2B10D" w14:textId="77777777" w:rsidR="00276E69" w:rsidRDefault="00276E69" w:rsidP="00475DBB">
      <w:pPr>
        <w:spacing w:after="0" w:line="240" w:lineRule="auto"/>
        <w:rPr>
          <w:rFonts w:ascii="Times New Roman" w:hAnsi="Times New Roman" w:cs="Times New Roman"/>
          <w:sz w:val="24"/>
          <w:szCs w:val="24"/>
        </w:rPr>
      </w:pPr>
    </w:p>
    <w:p w14:paraId="53E2B10E" w14:textId="77777777" w:rsidR="00475DBB" w:rsidRDefault="00475DBB" w:rsidP="006725BF">
      <w:pPr>
        <w:spacing w:after="0" w:line="240" w:lineRule="auto"/>
      </w:pPr>
      <w:r w:rsidRPr="00475DBB">
        <w:rPr>
          <w:rFonts w:ascii="Times New Roman" w:hAnsi="Times New Roman" w:cs="Times New Roman"/>
          <w:sz w:val="24"/>
          <w:szCs w:val="24"/>
        </w:rPr>
        <w:t>(c)</w:t>
      </w:r>
      <w:r w:rsidRPr="00475DBB">
        <w:rPr>
          <w:rFonts w:ascii="Times New Roman" w:hAnsi="Times New Roman" w:cs="Times New Roman"/>
          <w:sz w:val="24"/>
          <w:szCs w:val="24"/>
        </w:rPr>
        <w:tab/>
        <w:t>All licensees deploying mobile service base stations in the 27.5-28.35 GHz or 37.5-40 GHz bands will make the following information about each such base station available to FSS operators by one or both of the means described in subsection (a) of this section:</w:t>
      </w:r>
      <w:r>
        <w:rPr>
          <w:rFonts w:ascii="Times New Roman" w:hAnsi="Times New Roman" w:cs="Times New Roman"/>
          <w:sz w:val="24"/>
          <w:szCs w:val="24"/>
        </w:rPr>
        <w:t xml:space="preserve"> Licensee's name and address; Transmitting station name; </w:t>
      </w:r>
      <w:r w:rsidRPr="00475DBB">
        <w:rPr>
          <w:rFonts w:ascii="Times New Roman" w:hAnsi="Times New Roman" w:cs="Times New Roman"/>
          <w:sz w:val="24"/>
          <w:szCs w:val="24"/>
        </w:rPr>
        <w:t>T</w:t>
      </w:r>
      <w:r>
        <w:rPr>
          <w:rFonts w:ascii="Times New Roman" w:hAnsi="Times New Roman" w:cs="Times New Roman"/>
          <w:sz w:val="24"/>
          <w:szCs w:val="24"/>
        </w:rPr>
        <w:t xml:space="preserve">ransmitting station coordinates; Frequencies and polarizations; </w:t>
      </w:r>
      <w:r w:rsidRPr="00475DBB">
        <w:rPr>
          <w:rFonts w:ascii="Times New Roman" w:hAnsi="Times New Roman" w:cs="Times New Roman"/>
          <w:sz w:val="24"/>
          <w:szCs w:val="24"/>
        </w:rPr>
        <w:t>Transmitting equipment, its stability, maximum effective isotropic radiated power, emission desi</w:t>
      </w:r>
      <w:r>
        <w:rPr>
          <w:rFonts w:ascii="Times New Roman" w:hAnsi="Times New Roman" w:cs="Times New Roman"/>
          <w:sz w:val="24"/>
          <w:szCs w:val="24"/>
        </w:rPr>
        <w:t xml:space="preserve">gnator, and types of modulation; </w:t>
      </w:r>
      <w:r w:rsidRPr="00475DBB">
        <w:rPr>
          <w:rFonts w:ascii="Times New Roman" w:hAnsi="Times New Roman" w:cs="Times New Roman"/>
          <w:sz w:val="24"/>
          <w:szCs w:val="24"/>
        </w:rPr>
        <w:t>Transmitting antenna(s), model, maximum gain, and maximum extent of all possible radiation patterns provided o</w:t>
      </w:r>
      <w:r>
        <w:rPr>
          <w:rFonts w:ascii="Times New Roman" w:hAnsi="Times New Roman" w:cs="Times New Roman"/>
          <w:sz w:val="24"/>
          <w:szCs w:val="24"/>
        </w:rPr>
        <w:t xml:space="preserve">r certified by the manufacturer; </w:t>
      </w:r>
      <w:r w:rsidRPr="00475DBB">
        <w:rPr>
          <w:rFonts w:ascii="Times New Roman" w:hAnsi="Times New Roman" w:cs="Times New Roman"/>
          <w:sz w:val="24"/>
          <w:szCs w:val="24"/>
        </w:rPr>
        <w:t>Transmitting antenna center line height(s) above ground level and ground</w:t>
      </w:r>
      <w:r>
        <w:rPr>
          <w:rFonts w:ascii="Times New Roman" w:hAnsi="Times New Roman" w:cs="Times New Roman"/>
          <w:sz w:val="24"/>
          <w:szCs w:val="24"/>
        </w:rPr>
        <w:t xml:space="preserve"> elevation above mean sea level; </w:t>
      </w:r>
      <w:r w:rsidRPr="00475DBB">
        <w:rPr>
          <w:rFonts w:ascii="Times New Roman" w:hAnsi="Times New Roman" w:cs="Times New Roman"/>
          <w:sz w:val="24"/>
          <w:szCs w:val="24"/>
        </w:rPr>
        <w:t>Transmitting antenna boresight(s) maximum and minimum angles of elevat</w:t>
      </w:r>
      <w:r>
        <w:rPr>
          <w:rFonts w:ascii="Times New Roman" w:hAnsi="Times New Roman" w:cs="Times New Roman"/>
          <w:sz w:val="24"/>
          <w:szCs w:val="24"/>
        </w:rPr>
        <w:t xml:space="preserve">ion with respect to the horizon; </w:t>
      </w:r>
      <w:r w:rsidRPr="00475DBB">
        <w:rPr>
          <w:rFonts w:ascii="Times New Roman" w:hAnsi="Times New Roman" w:cs="Times New Roman"/>
          <w:sz w:val="24"/>
          <w:szCs w:val="24"/>
        </w:rPr>
        <w:t>Transmitting antenna boresight minimum and maximum azimuths, or de</w:t>
      </w:r>
      <w:r>
        <w:rPr>
          <w:rFonts w:ascii="Times New Roman" w:hAnsi="Times New Roman" w:cs="Times New Roman"/>
          <w:sz w:val="24"/>
          <w:szCs w:val="24"/>
        </w:rPr>
        <w:t xml:space="preserve">signation of omnidirectionality; </w:t>
      </w:r>
      <w:r w:rsidRPr="00475DBB">
        <w:rPr>
          <w:rFonts w:ascii="Times New Roman" w:hAnsi="Times New Roman" w:cs="Times New Roman"/>
          <w:sz w:val="24"/>
          <w:szCs w:val="24"/>
        </w:rPr>
        <w:t>Boundary of the area served by the base station for purposes of communica</w:t>
      </w:r>
      <w:r>
        <w:rPr>
          <w:rFonts w:ascii="Times New Roman" w:hAnsi="Times New Roman" w:cs="Times New Roman"/>
          <w:sz w:val="24"/>
          <w:szCs w:val="24"/>
        </w:rPr>
        <w:t xml:space="preserve">tion with mobile user equipment; </w:t>
      </w:r>
      <w:r w:rsidRPr="00475DBB">
        <w:rPr>
          <w:rFonts w:ascii="Times New Roman" w:hAnsi="Times New Roman" w:cs="Times New Roman"/>
          <w:sz w:val="24"/>
          <w:szCs w:val="24"/>
        </w:rPr>
        <w:t>Receiving antenna(s), model, gain, and maximum extent of all possible radiation patterns provided o</w:t>
      </w:r>
      <w:r>
        <w:rPr>
          <w:rFonts w:ascii="Times New Roman" w:hAnsi="Times New Roman" w:cs="Times New Roman"/>
          <w:sz w:val="24"/>
          <w:szCs w:val="24"/>
        </w:rPr>
        <w:t xml:space="preserve">r certified by the manufacturer; </w:t>
      </w:r>
      <w:r w:rsidRPr="00475DBB">
        <w:rPr>
          <w:rFonts w:ascii="Times New Roman" w:hAnsi="Times New Roman" w:cs="Times New Roman"/>
          <w:sz w:val="24"/>
          <w:szCs w:val="24"/>
        </w:rPr>
        <w:t>Receiving antenna center line height(s) above ground level and ground</w:t>
      </w:r>
      <w:r>
        <w:rPr>
          <w:rFonts w:ascii="Times New Roman" w:hAnsi="Times New Roman" w:cs="Times New Roman"/>
          <w:sz w:val="24"/>
          <w:szCs w:val="24"/>
        </w:rPr>
        <w:t xml:space="preserve"> elevation above mean sea level; </w:t>
      </w:r>
      <w:r w:rsidRPr="00475DBB">
        <w:rPr>
          <w:rFonts w:ascii="Times New Roman" w:hAnsi="Times New Roman" w:cs="Times New Roman"/>
          <w:sz w:val="24"/>
          <w:szCs w:val="24"/>
        </w:rPr>
        <w:t>Receiving antenna boresight maximum and minimum angles of elevat</w:t>
      </w:r>
      <w:r>
        <w:rPr>
          <w:rFonts w:ascii="Times New Roman" w:hAnsi="Times New Roman" w:cs="Times New Roman"/>
          <w:sz w:val="24"/>
          <w:szCs w:val="24"/>
        </w:rPr>
        <w:t xml:space="preserve">ion with respect to the horizon; and </w:t>
      </w:r>
      <w:r w:rsidRPr="00475DBB">
        <w:rPr>
          <w:rFonts w:ascii="Times New Roman" w:hAnsi="Times New Roman" w:cs="Times New Roman"/>
          <w:sz w:val="24"/>
          <w:szCs w:val="24"/>
        </w:rPr>
        <w:t>Receiving antenna boresight minimum and maximum azimuths, or designation of omnidirectionality.</w:t>
      </w:r>
    </w:p>
    <w:p w14:paraId="53E2B10F" w14:textId="77777777" w:rsidR="00721DD6" w:rsidRDefault="00721DD6" w:rsidP="00061F14">
      <w:pPr>
        <w:pStyle w:val="ListParagraph"/>
        <w:spacing w:after="0" w:line="240" w:lineRule="auto"/>
        <w:ind w:left="0"/>
        <w:rPr>
          <w:rFonts w:ascii="Times New Roman" w:hAnsi="Times New Roman" w:cs="Times New Roman"/>
          <w:sz w:val="24"/>
          <w:szCs w:val="24"/>
        </w:rPr>
      </w:pPr>
    </w:p>
    <w:p w14:paraId="53E2B110" w14:textId="77777777" w:rsidR="00062C97" w:rsidRDefault="00EA3B94" w:rsidP="00EA3B94">
      <w:pPr>
        <w:pStyle w:val="ListParagraph"/>
        <w:numPr>
          <w:ilvl w:val="0"/>
          <w:numId w:val="4"/>
        </w:numPr>
        <w:spacing w:after="0" w:line="240" w:lineRule="auto"/>
        <w:rPr>
          <w:rFonts w:ascii="Times New Roman" w:hAnsi="Times New Roman" w:cs="Times New Roman"/>
          <w:sz w:val="24"/>
          <w:szCs w:val="24"/>
        </w:rPr>
      </w:pPr>
      <w:r w:rsidRPr="00096043">
        <w:rPr>
          <w:rFonts w:ascii="Times New Roman" w:hAnsi="Times New Roman" w:cs="Times New Roman"/>
          <w:sz w:val="24"/>
          <w:szCs w:val="24"/>
        </w:rPr>
        <w:t>The projected reporting, recordkeeping, and other comp</w:t>
      </w:r>
      <w:r w:rsidR="00062C97">
        <w:rPr>
          <w:rFonts w:ascii="Times New Roman" w:hAnsi="Times New Roman" w:cs="Times New Roman"/>
          <w:sz w:val="24"/>
          <w:szCs w:val="24"/>
        </w:rPr>
        <w:t>liance requirements proposed in</w:t>
      </w:r>
    </w:p>
    <w:p w14:paraId="53E2B111" w14:textId="77777777" w:rsidR="00EA3B94" w:rsidRPr="00096043" w:rsidRDefault="00CF2ACE" w:rsidP="00062C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096043" w:rsidRPr="00276E69">
        <w:rPr>
          <w:rFonts w:ascii="Times New Roman" w:hAnsi="Times New Roman" w:cs="Times New Roman"/>
          <w:sz w:val="24"/>
          <w:szCs w:val="24"/>
        </w:rPr>
        <w:t>NPRM</w:t>
      </w:r>
      <w:r w:rsidR="00EA3B94" w:rsidRPr="00276E69">
        <w:rPr>
          <w:rFonts w:ascii="Times New Roman" w:hAnsi="Times New Roman" w:cs="Times New Roman"/>
          <w:sz w:val="24"/>
          <w:szCs w:val="24"/>
        </w:rPr>
        <w:t xml:space="preserve"> </w:t>
      </w:r>
      <w:r w:rsidR="00EA3B94" w:rsidRPr="00096043">
        <w:rPr>
          <w:rFonts w:ascii="Times New Roman" w:hAnsi="Times New Roman" w:cs="Times New Roman"/>
          <w:sz w:val="24"/>
          <w:szCs w:val="24"/>
        </w:rPr>
        <w:t xml:space="preserve">will apply to all entities in the same manner.  The Commission believes that applying the same rules equally to all entities in this context promotes fairness.  The Commission does not believe that the costs and/or administrative burdens associated with the proposed rules will unduly burden small entities, as discussed below.  The revisions the Commission adopts should benefit small entities by giving them more information, more flexibility, and more options for gaining access to wireless spectrum.  </w:t>
      </w:r>
    </w:p>
    <w:p w14:paraId="53E2B112" w14:textId="77777777" w:rsidR="00096043" w:rsidRPr="00096043" w:rsidRDefault="00096043" w:rsidP="00EA3B94">
      <w:pPr>
        <w:spacing w:after="0" w:line="240" w:lineRule="auto"/>
        <w:rPr>
          <w:rFonts w:ascii="Times New Roman" w:hAnsi="Times New Roman" w:cs="Times New Roman"/>
          <w:sz w:val="24"/>
          <w:szCs w:val="24"/>
        </w:rPr>
      </w:pPr>
    </w:p>
    <w:p w14:paraId="53E2B113" w14:textId="77777777" w:rsidR="00EA3B94" w:rsidRPr="00096043" w:rsidRDefault="00EA3B94" w:rsidP="00EA3B94">
      <w:pPr>
        <w:spacing w:after="0" w:line="240" w:lineRule="auto"/>
        <w:rPr>
          <w:rFonts w:ascii="Times New Roman" w:hAnsi="Times New Roman" w:cs="Times New Roman"/>
          <w:sz w:val="24"/>
          <w:szCs w:val="24"/>
        </w:rPr>
      </w:pPr>
      <w:r w:rsidRPr="00096043">
        <w:rPr>
          <w:rFonts w:ascii="Times New Roman" w:hAnsi="Times New Roman" w:cs="Times New Roman"/>
          <w:sz w:val="24"/>
          <w:szCs w:val="24"/>
        </w:rPr>
        <w:t xml:space="preserve">Any applicants for Upper Microwave Flexible Use Service licenses will be required to file license applications using the Commission’s automated Universal Licensing System (ULS).  ULS is an online electronic filing system that also serves as a powerful information tool, one that enables potential licensees to research applications, licenses, and antenna structures.  It also keeps the public informed with weekly public notices, FCC rulemakings, processing utilities, and a telecommunications glossary.  Upper Microwave Flexible Use Service applicants that must submit long-form license applications must do </w:t>
      </w:r>
      <w:r w:rsidR="00096043">
        <w:rPr>
          <w:rFonts w:ascii="Times New Roman" w:hAnsi="Times New Roman" w:cs="Times New Roman"/>
          <w:sz w:val="24"/>
          <w:szCs w:val="24"/>
        </w:rPr>
        <w:t xml:space="preserve">so through ULS using Form 601, </w:t>
      </w:r>
      <w:r w:rsidRPr="00096043">
        <w:rPr>
          <w:rFonts w:ascii="Times New Roman" w:hAnsi="Times New Roman" w:cs="Times New Roman"/>
          <w:sz w:val="24"/>
          <w:szCs w:val="24"/>
        </w:rPr>
        <w:t>FCC Ownership Disclosure Information for the Wireless Telecommunications Services using FCC Form 602</w:t>
      </w:r>
      <w:r w:rsidR="008A7632" w:rsidRPr="00096043">
        <w:rPr>
          <w:rFonts w:ascii="Times New Roman" w:hAnsi="Times New Roman" w:cs="Times New Roman"/>
          <w:sz w:val="24"/>
          <w:szCs w:val="24"/>
        </w:rPr>
        <w:t>, and</w:t>
      </w:r>
      <w:r w:rsidRPr="00096043">
        <w:rPr>
          <w:rFonts w:ascii="Times New Roman" w:hAnsi="Times New Roman" w:cs="Times New Roman"/>
          <w:sz w:val="24"/>
          <w:szCs w:val="24"/>
        </w:rPr>
        <w:t xml:space="preserve"> other appropriate forms.   </w:t>
      </w:r>
    </w:p>
    <w:p w14:paraId="53E2B114" w14:textId="77777777" w:rsidR="00096043" w:rsidRPr="00096043" w:rsidRDefault="00096043" w:rsidP="00EA3B94">
      <w:pPr>
        <w:spacing w:after="0" w:line="240" w:lineRule="auto"/>
        <w:rPr>
          <w:rFonts w:ascii="Times New Roman" w:hAnsi="Times New Roman" w:cs="Times New Roman"/>
          <w:sz w:val="24"/>
          <w:szCs w:val="24"/>
        </w:rPr>
      </w:pPr>
    </w:p>
    <w:p w14:paraId="53E2B115" w14:textId="77777777" w:rsidR="00EA3B94" w:rsidRPr="00096043" w:rsidRDefault="00EA3B94" w:rsidP="00EA3B94">
      <w:pPr>
        <w:spacing w:after="0" w:line="240" w:lineRule="auto"/>
        <w:rPr>
          <w:rFonts w:ascii="Times New Roman" w:hAnsi="Times New Roman" w:cs="Times New Roman"/>
          <w:sz w:val="24"/>
          <w:szCs w:val="24"/>
        </w:rPr>
      </w:pPr>
      <w:r w:rsidRPr="00096043">
        <w:rPr>
          <w:rFonts w:ascii="Times New Roman" w:hAnsi="Times New Roman" w:cs="Times New Roman"/>
          <w:sz w:val="24"/>
          <w:szCs w:val="24"/>
        </w:rPr>
        <w:t>Applicants in the Upper Microwave Flexible Use Service will be required to meet buildout requirements at the end of their initial license terms.  In doing do, they will be required to provide information to the Commission on the facilities they have constructed, the nature of the</w:t>
      </w:r>
      <w:r w:rsidRPr="00EA3B94">
        <w:rPr>
          <w:rFonts w:ascii="Times New Roman" w:hAnsi="Times New Roman" w:cs="Times New Roman"/>
          <w:sz w:val="24"/>
          <w:szCs w:val="24"/>
          <w:u w:val="single"/>
        </w:rPr>
        <w:t xml:space="preserve"> </w:t>
      </w:r>
      <w:r w:rsidRPr="00096043">
        <w:rPr>
          <w:rFonts w:ascii="Times New Roman" w:hAnsi="Times New Roman" w:cs="Times New Roman"/>
          <w:sz w:val="24"/>
          <w:szCs w:val="24"/>
        </w:rPr>
        <w:t xml:space="preserve">service they are providing, and the extent to which they are providing coverage in their license area.  </w:t>
      </w:r>
    </w:p>
    <w:p w14:paraId="53E2B116" w14:textId="77777777" w:rsidR="00096043" w:rsidRPr="00096043" w:rsidRDefault="00096043" w:rsidP="00EA3B94">
      <w:pPr>
        <w:spacing w:after="0" w:line="240" w:lineRule="auto"/>
        <w:rPr>
          <w:rFonts w:ascii="Times New Roman" w:hAnsi="Times New Roman" w:cs="Times New Roman"/>
          <w:sz w:val="24"/>
          <w:szCs w:val="24"/>
        </w:rPr>
      </w:pPr>
    </w:p>
    <w:p w14:paraId="53E2B117" w14:textId="77777777" w:rsidR="00EA3B94" w:rsidRPr="00096043" w:rsidRDefault="00EA3B94" w:rsidP="00EA3B94">
      <w:pPr>
        <w:spacing w:after="0" w:line="240" w:lineRule="auto"/>
        <w:rPr>
          <w:rFonts w:ascii="Times New Roman" w:hAnsi="Times New Roman" w:cs="Times New Roman"/>
          <w:sz w:val="24"/>
          <w:szCs w:val="24"/>
        </w:rPr>
      </w:pPr>
      <w:r w:rsidRPr="00096043">
        <w:rPr>
          <w:rFonts w:ascii="Times New Roman" w:hAnsi="Times New Roman" w:cs="Times New Roman"/>
          <w:sz w:val="24"/>
          <w:szCs w:val="24"/>
        </w:rPr>
        <w:t xml:space="preserve">We also propose to require Upper Microwave Flexible Use Service licensees to provide information on their proposed operations in order to facilitate sharing with other authorized services.  </w:t>
      </w:r>
      <w:r w:rsidRPr="008A7632">
        <w:rPr>
          <w:rFonts w:ascii="Times New Roman" w:hAnsi="Times New Roman" w:cs="Times New Roman"/>
          <w:sz w:val="24"/>
          <w:szCs w:val="24"/>
        </w:rPr>
        <w:t>We seek comment on the scope of the information to be provided and the manner in which it should be provided.</w:t>
      </w:r>
    </w:p>
    <w:p w14:paraId="53E2B118" w14:textId="77777777" w:rsidR="00127F11" w:rsidRPr="008F28EC" w:rsidRDefault="00127F11" w:rsidP="00061F14">
      <w:pPr>
        <w:pStyle w:val="ListParagraph"/>
        <w:spacing w:after="0" w:line="240" w:lineRule="auto"/>
        <w:ind w:left="0"/>
        <w:rPr>
          <w:rFonts w:ascii="Times New Roman" w:hAnsi="Times New Roman" w:cs="Times New Roman"/>
          <w:sz w:val="24"/>
          <w:szCs w:val="24"/>
        </w:rPr>
      </w:pPr>
    </w:p>
    <w:p w14:paraId="53E2B119" w14:textId="77777777" w:rsidR="001F2CA5" w:rsidRPr="00062C97" w:rsidRDefault="008F28EC" w:rsidP="00062C97">
      <w:pPr>
        <w:pStyle w:val="ListParagraph"/>
        <w:numPr>
          <w:ilvl w:val="0"/>
          <w:numId w:val="4"/>
        </w:numPr>
        <w:spacing w:after="0" w:line="240" w:lineRule="auto"/>
        <w:rPr>
          <w:rFonts w:ascii="Times New Roman" w:hAnsi="Times New Roman" w:cs="Times New Roman"/>
          <w:sz w:val="24"/>
          <w:szCs w:val="24"/>
        </w:rPr>
      </w:pPr>
      <w:r w:rsidRPr="00062C97">
        <w:rPr>
          <w:rFonts w:ascii="Times New Roman" w:hAnsi="Times New Roman" w:cs="Times New Roman"/>
          <w:sz w:val="24"/>
          <w:szCs w:val="24"/>
        </w:rPr>
        <w:t xml:space="preserve">The Commission’s rules provide for electronic filing, </w:t>
      </w:r>
      <w:r w:rsidR="001F2CA5" w:rsidRPr="00062C97">
        <w:rPr>
          <w:rFonts w:ascii="Times New Roman" w:hAnsi="Times New Roman" w:cs="Times New Roman"/>
          <w:sz w:val="24"/>
          <w:szCs w:val="24"/>
        </w:rPr>
        <w:t xml:space="preserve">as stated in No. 2, </w:t>
      </w:r>
      <w:r w:rsidRPr="00062C97">
        <w:rPr>
          <w:rFonts w:ascii="Times New Roman" w:hAnsi="Times New Roman" w:cs="Times New Roman"/>
          <w:sz w:val="24"/>
          <w:szCs w:val="24"/>
        </w:rPr>
        <w:t xml:space="preserve">and it is the </w:t>
      </w:r>
    </w:p>
    <w:p w14:paraId="53E2B11A" w14:textId="77777777" w:rsidR="00127F11" w:rsidRPr="001F2CA5" w:rsidRDefault="008F28EC" w:rsidP="001F2CA5">
      <w:pPr>
        <w:spacing w:after="0" w:line="240" w:lineRule="auto"/>
        <w:rPr>
          <w:rFonts w:ascii="Times New Roman" w:hAnsi="Times New Roman" w:cs="Times New Roman"/>
          <w:sz w:val="24"/>
          <w:szCs w:val="24"/>
        </w:rPr>
      </w:pPr>
      <w:r w:rsidRPr="001F2CA5">
        <w:rPr>
          <w:rFonts w:ascii="Times New Roman" w:hAnsi="Times New Roman" w:cs="Times New Roman"/>
          <w:sz w:val="24"/>
          <w:szCs w:val="24"/>
        </w:rPr>
        <w:t>Commission’s goal to eliminate, to the greatest extent possible, the filing of paper applications.</w:t>
      </w:r>
    </w:p>
    <w:p w14:paraId="53E2B11B" w14:textId="77777777" w:rsidR="008F28EC" w:rsidRDefault="008F28EC" w:rsidP="00061F14">
      <w:pPr>
        <w:pStyle w:val="ListParagraph"/>
        <w:spacing w:after="0" w:line="240" w:lineRule="auto"/>
        <w:ind w:left="0"/>
        <w:rPr>
          <w:rFonts w:ascii="Times New Roman" w:hAnsi="Times New Roman" w:cs="Times New Roman"/>
          <w:sz w:val="24"/>
          <w:szCs w:val="24"/>
        </w:rPr>
      </w:pPr>
    </w:p>
    <w:p w14:paraId="53E2B11C" w14:textId="77777777" w:rsidR="001F2CA5" w:rsidRDefault="00464116" w:rsidP="00062C97">
      <w:pPr>
        <w:pStyle w:val="ListParagraph"/>
        <w:numPr>
          <w:ilvl w:val="0"/>
          <w:numId w:val="4"/>
        </w:numPr>
        <w:spacing w:after="0" w:line="240" w:lineRule="auto"/>
        <w:rPr>
          <w:rFonts w:ascii="Times New Roman" w:hAnsi="Times New Roman" w:cs="Times New Roman"/>
          <w:sz w:val="24"/>
          <w:szCs w:val="24"/>
        </w:rPr>
      </w:pPr>
      <w:r w:rsidRPr="001F2CA5">
        <w:rPr>
          <w:rFonts w:ascii="Times New Roman" w:hAnsi="Times New Roman" w:cs="Times New Roman"/>
          <w:sz w:val="24"/>
          <w:szCs w:val="24"/>
        </w:rPr>
        <w:t xml:space="preserve">The Commission </w:t>
      </w:r>
      <w:r w:rsidR="001F2CA5">
        <w:rPr>
          <w:rFonts w:ascii="Times New Roman" w:hAnsi="Times New Roman" w:cs="Times New Roman"/>
          <w:sz w:val="24"/>
          <w:szCs w:val="24"/>
        </w:rPr>
        <w:t>does not impose a similar information requirements on the respondents;</w:t>
      </w:r>
    </w:p>
    <w:p w14:paraId="53E2B11D" w14:textId="77777777" w:rsidR="00464116" w:rsidRPr="001F2CA5" w:rsidRDefault="001F2CA5" w:rsidP="001F2CA5">
      <w:pPr>
        <w:spacing w:after="0" w:line="240" w:lineRule="auto"/>
        <w:rPr>
          <w:rFonts w:ascii="Times New Roman" w:hAnsi="Times New Roman" w:cs="Times New Roman"/>
          <w:sz w:val="24"/>
          <w:szCs w:val="24"/>
        </w:rPr>
      </w:pPr>
      <w:r w:rsidRPr="001F2CA5">
        <w:rPr>
          <w:rFonts w:ascii="Times New Roman" w:hAnsi="Times New Roman" w:cs="Times New Roman"/>
          <w:sz w:val="24"/>
          <w:szCs w:val="24"/>
        </w:rPr>
        <w:t>therefore, the NPRM does not impose duplicative information to be collected. S</w:t>
      </w:r>
      <w:r w:rsidR="00464116" w:rsidRPr="001F2CA5">
        <w:rPr>
          <w:rFonts w:ascii="Times New Roman" w:hAnsi="Times New Roman" w:cs="Times New Roman"/>
          <w:sz w:val="24"/>
          <w:szCs w:val="24"/>
        </w:rPr>
        <w:t xml:space="preserve">imilar data is </w:t>
      </w:r>
      <w:r w:rsidRPr="001F2CA5">
        <w:rPr>
          <w:rFonts w:ascii="Times New Roman" w:hAnsi="Times New Roman" w:cs="Times New Roman"/>
          <w:sz w:val="24"/>
          <w:szCs w:val="24"/>
        </w:rPr>
        <w:t xml:space="preserve">not </w:t>
      </w:r>
      <w:r w:rsidR="00464116" w:rsidRPr="001F2CA5">
        <w:rPr>
          <w:rFonts w:ascii="Times New Roman" w:hAnsi="Times New Roman" w:cs="Times New Roman"/>
          <w:sz w:val="24"/>
          <w:szCs w:val="24"/>
        </w:rPr>
        <w:t>available elsewhere</w:t>
      </w:r>
      <w:r w:rsidRPr="001F2CA5">
        <w:rPr>
          <w:rFonts w:ascii="Times New Roman" w:hAnsi="Times New Roman" w:cs="Times New Roman"/>
          <w:sz w:val="24"/>
          <w:szCs w:val="24"/>
        </w:rPr>
        <w:t>.</w:t>
      </w:r>
    </w:p>
    <w:p w14:paraId="53E2B11E" w14:textId="77777777" w:rsidR="004804D0" w:rsidRDefault="004804D0" w:rsidP="00061F14">
      <w:pPr>
        <w:pStyle w:val="ListParagraph"/>
        <w:spacing w:after="0" w:line="240" w:lineRule="auto"/>
        <w:ind w:left="0"/>
        <w:rPr>
          <w:rFonts w:ascii="Times New Roman" w:hAnsi="Times New Roman" w:cs="Times New Roman"/>
          <w:sz w:val="24"/>
          <w:szCs w:val="24"/>
        </w:rPr>
      </w:pPr>
    </w:p>
    <w:p w14:paraId="53E2B11F" w14:textId="77777777" w:rsidR="008A7632" w:rsidRDefault="008A7632" w:rsidP="00062C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w:t>
      </w:r>
      <w:r w:rsidR="00EB539F" w:rsidRPr="00EB539F">
        <w:rPr>
          <w:rFonts w:ascii="Times New Roman" w:hAnsi="Times New Roman" w:cs="Times New Roman"/>
          <w:sz w:val="24"/>
          <w:szCs w:val="24"/>
        </w:rPr>
        <w:t>he proposal in the</w:t>
      </w:r>
      <w:r w:rsidR="00EB539F" w:rsidRPr="001F2CA5">
        <w:rPr>
          <w:rFonts w:ascii="Times New Roman" w:hAnsi="Times New Roman" w:cs="Times New Roman"/>
          <w:sz w:val="24"/>
          <w:szCs w:val="24"/>
        </w:rPr>
        <w:t xml:space="preserve"> NPRM</w:t>
      </w:r>
      <w:r w:rsidR="00EB539F" w:rsidRPr="00EB539F">
        <w:rPr>
          <w:rFonts w:ascii="Times New Roman" w:hAnsi="Times New Roman" w:cs="Times New Roman"/>
          <w:i/>
          <w:sz w:val="24"/>
          <w:szCs w:val="24"/>
        </w:rPr>
        <w:t xml:space="preserve"> </w:t>
      </w:r>
      <w:r w:rsidR="00EB539F" w:rsidRPr="00EB539F">
        <w:rPr>
          <w:rFonts w:ascii="Times New Roman" w:hAnsi="Times New Roman" w:cs="Times New Roman"/>
          <w:sz w:val="24"/>
          <w:szCs w:val="24"/>
        </w:rPr>
        <w:t xml:space="preserve">to license the 28 GHz, </w:t>
      </w:r>
      <w:r>
        <w:rPr>
          <w:rFonts w:ascii="Times New Roman" w:hAnsi="Times New Roman" w:cs="Times New Roman"/>
          <w:sz w:val="24"/>
          <w:szCs w:val="24"/>
        </w:rPr>
        <w:t>39 GHz bands using county-sized</w:t>
      </w:r>
    </w:p>
    <w:p w14:paraId="53E2B120" w14:textId="77777777" w:rsidR="00EB539F" w:rsidRPr="008A7632" w:rsidRDefault="007B6326" w:rsidP="008A7632">
      <w:pPr>
        <w:spacing w:after="0" w:line="240" w:lineRule="auto"/>
        <w:rPr>
          <w:rFonts w:ascii="Times New Roman" w:hAnsi="Times New Roman" w:cs="Times New Roman"/>
          <w:sz w:val="24"/>
          <w:szCs w:val="24"/>
        </w:rPr>
      </w:pPr>
      <w:r>
        <w:rPr>
          <w:rFonts w:ascii="Times New Roman" w:hAnsi="Times New Roman" w:cs="Times New Roman"/>
          <w:sz w:val="24"/>
          <w:szCs w:val="24"/>
        </w:rPr>
        <w:t>licenses.</w:t>
      </w:r>
      <w:r w:rsidR="00EB539F" w:rsidRPr="008A7632">
        <w:rPr>
          <w:rFonts w:ascii="Times New Roman" w:hAnsi="Times New Roman" w:cs="Times New Roman"/>
          <w:sz w:val="24"/>
          <w:szCs w:val="24"/>
        </w:rPr>
        <w:t xml:space="preserve">  We also propose to assign outdoor rights in the 37 GHz band using county size licenses.  These license areas are small enough to provide spectrum access opportunities for smaller carriers.  County license areas also nest within and may be aggregated up to larger license areas.  Therefore, the benefits and burdens resulting from assigning spectrum in county license areas are equivalent for small and large businesses.  Depending on the licensing mechanism we adopt, licensees may adjust their geographic coverage through auction or, as we discuss in section IV.E.8 of the NPRM, through secondary markets.  This proposal should enable providers, or any entities, whether large or small, providing service in the mmW bands to more </w:t>
      </w:r>
      <w:r w:rsidR="00EB539F" w:rsidRPr="008A7632">
        <w:rPr>
          <w:rFonts w:ascii="Times New Roman" w:hAnsi="Times New Roman" w:cs="Times New Roman"/>
          <w:sz w:val="24"/>
          <w:szCs w:val="24"/>
        </w:rPr>
        <w:lastRenderedPageBreak/>
        <w:t>easily adjust their spectrum to build their networks pursuant to individual business plans.  As a result, we believe the ability of licensees to adjust spectrum holdings will provide an economic benefit by making it easier for small entities to acquire spectrum or access spectrum.</w:t>
      </w:r>
    </w:p>
    <w:p w14:paraId="53E2B121" w14:textId="77777777" w:rsidR="00EB539F" w:rsidRDefault="00EB539F" w:rsidP="00EB539F">
      <w:pPr>
        <w:spacing w:after="0" w:line="240" w:lineRule="auto"/>
        <w:rPr>
          <w:rFonts w:ascii="Times New Roman" w:hAnsi="Times New Roman" w:cs="Times New Roman"/>
          <w:sz w:val="24"/>
          <w:szCs w:val="24"/>
        </w:rPr>
      </w:pPr>
    </w:p>
    <w:p w14:paraId="53E2B122" w14:textId="77777777" w:rsidR="00EB539F" w:rsidRPr="00EB539F" w:rsidRDefault="00EB539F" w:rsidP="00EB539F">
      <w:pPr>
        <w:spacing w:after="0" w:line="240" w:lineRule="auto"/>
        <w:rPr>
          <w:rFonts w:ascii="Times New Roman" w:hAnsi="Times New Roman" w:cs="Times New Roman"/>
          <w:sz w:val="24"/>
          <w:szCs w:val="24"/>
        </w:rPr>
      </w:pPr>
      <w:r w:rsidRPr="00EB539F">
        <w:rPr>
          <w:rFonts w:ascii="Times New Roman" w:hAnsi="Times New Roman" w:cs="Times New Roman"/>
          <w:sz w:val="24"/>
          <w:szCs w:val="24"/>
        </w:rPr>
        <w:t>The proposals to facilitate satellite service in the 28 GHz, 39 GHz, and 37 GHz would facilitate service by all Fixed Satellite Service entities, including small entities.</w:t>
      </w:r>
    </w:p>
    <w:p w14:paraId="53E2B123" w14:textId="77777777" w:rsidR="00EB539F" w:rsidRDefault="00EB539F" w:rsidP="00EB539F">
      <w:pPr>
        <w:spacing w:after="0" w:line="240" w:lineRule="auto"/>
        <w:rPr>
          <w:rFonts w:ascii="Times New Roman" w:hAnsi="Times New Roman" w:cs="Times New Roman"/>
          <w:sz w:val="24"/>
          <w:szCs w:val="24"/>
        </w:rPr>
      </w:pPr>
    </w:p>
    <w:p w14:paraId="53E2B124" w14:textId="77777777" w:rsidR="00EB539F" w:rsidRPr="00EB539F" w:rsidRDefault="00EB539F" w:rsidP="00EB539F">
      <w:pPr>
        <w:spacing w:after="0" w:line="240" w:lineRule="auto"/>
        <w:rPr>
          <w:rFonts w:ascii="Times New Roman" w:hAnsi="Times New Roman" w:cs="Times New Roman"/>
          <w:sz w:val="24"/>
          <w:szCs w:val="24"/>
        </w:rPr>
      </w:pPr>
      <w:r w:rsidRPr="00EB539F">
        <w:rPr>
          <w:rFonts w:ascii="Times New Roman" w:hAnsi="Times New Roman" w:cs="Times New Roman"/>
          <w:sz w:val="24"/>
          <w:szCs w:val="24"/>
        </w:rPr>
        <w:t xml:space="preserve">The NPRM proposal in section IV.E.10 pertaining to how the mmW band licenses will be assigned includes proposals to assist small entities in competitive bidding.  We propose that the Commission would conduct any auction for licenses for spectrum in the mmW bands in conformity with the general competitive bidding rules set forth in Part 1, Subpart Q, of the Commission’s rules, and substantially consistent with the competitive bidding procedures that have been employed in previous auctions.   Specifically, we propose to employ the Part 1 rules governing competitive bidding design, designated entity preferences, unjust enrichment, application and payment procedures, reporting requirements, and the prohibition on certain communications between auction applicants.  Specifically, small entities will benefit from the proposal to provide small businesses with a bidding credit of 15 percent and very small businesses with a bidding credit of 25 percent.  Providing small businesses and very small businesses with bidding credits will provide an economic benefit to small entities by making it easier for small entities to acquire spectrum or access to spectrum in these bands.    </w:t>
      </w:r>
    </w:p>
    <w:p w14:paraId="53E2B125" w14:textId="77777777" w:rsidR="00EB539F" w:rsidRDefault="00EB539F" w:rsidP="00EB539F">
      <w:pPr>
        <w:spacing w:after="0" w:line="240" w:lineRule="auto"/>
        <w:rPr>
          <w:rFonts w:ascii="Times New Roman" w:hAnsi="Times New Roman" w:cs="Times New Roman"/>
          <w:sz w:val="24"/>
          <w:szCs w:val="24"/>
        </w:rPr>
      </w:pPr>
    </w:p>
    <w:p w14:paraId="53E2B126" w14:textId="77777777" w:rsidR="00EB539F" w:rsidRPr="00EB539F" w:rsidRDefault="00EB539F" w:rsidP="00EB539F">
      <w:pPr>
        <w:spacing w:after="0" w:line="240" w:lineRule="auto"/>
        <w:rPr>
          <w:rFonts w:ascii="Times New Roman" w:hAnsi="Times New Roman" w:cs="Times New Roman"/>
          <w:sz w:val="24"/>
          <w:szCs w:val="24"/>
        </w:rPr>
      </w:pPr>
      <w:r w:rsidRPr="00EB539F">
        <w:rPr>
          <w:rFonts w:ascii="Times New Roman" w:hAnsi="Times New Roman" w:cs="Times New Roman"/>
          <w:sz w:val="24"/>
          <w:szCs w:val="24"/>
        </w:rPr>
        <w:t xml:space="preserve">In section IV.F of the </w:t>
      </w:r>
      <w:r w:rsidRPr="001F2CA5">
        <w:rPr>
          <w:rFonts w:ascii="Times New Roman" w:hAnsi="Times New Roman" w:cs="Times New Roman"/>
          <w:sz w:val="24"/>
          <w:szCs w:val="24"/>
        </w:rPr>
        <w:t>NPRM,</w:t>
      </w:r>
      <w:r w:rsidRPr="00EB539F">
        <w:rPr>
          <w:rFonts w:ascii="Times New Roman" w:hAnsi="Times New Roman" w:cs="Times New Roman"/>
          <w:sz w:val="24"/>
          <w:szCs w:val="24"/>
        </w:rPr>
        <w:t xml:space="preserve"> the Commission proposes service rules that permit a licensee to employ the spectrum for any non-Federal fixed or mobile use, subject to the Commission’s proposed Part 30 flexible use and other applicable rules (including service rules to avoid harmful interference).  The technical rules we propose or seek comment on will allow licensees of mmW band spectrum to operate while also protecting licensees of nearby spectrum, some of whom are small entities, from harmful interference. </w:t>
      </w:r>
    </w:p>
    <w:p w14:paraId="53E2B127" w14:textId="77777777" w:rsidR="00EB539F" w:rsidRDefault="00EB539F" w:rsidP="00EB539F">
      <w:pPr>
        <w:pStyle w:val="ListParagraph"/>
        <w:spacing w:after="0" w:line="240" w:lineRule="auto"/>
        <w:ind w:left="0"/>
        <w:rPr>
          <w:rFonts w:ascii="Times New Roman" w:hAnsi="Times New Roman" w:cs="Times New Roman"/>
          <w:sz w:val="24"/>
          <w:szCs w:val="24"/>
        </w:rPr>
      </w:pPr>
    </w:p>
    <w:p w14:paraId="53E2B128" w14:textId="77777777" w:rsidR="00023673" w:rsidRDefault="00EB539F" w:rsidP="00EB539F">
      <w:pPr>
        <w:pStyle w:val="ListParagraph"/>
        <w:spacing w:after="0" w:line="240" w:lineRule="auto"/>
        <w:ind w:left="0"/>
        <w:rPr>
          <w:rFonts w:ascii="Times New Roman" w:hAnsi="Times New Roman" w:cs="Times New Roman"/>
          <w:sz w:val="24"/>
          <w:szCs w:val="24"/>
        </w:rPr>
      </w:pPr>
      <w:r w:rsidRPr="00EB539F">
        <w:rPr>
          <w:rFonts w:ascii="Times New Roman" w:hAnsi="Times New Roman" w:cs="Times New Roman"/>
          <w:sz w:val="24"/>
          <w:szCs w:val="24"/>
        </w:rPr>
        <w:t xml:space="preserve">We propose to permit partitioning and disaggregation by licensees in the mmW bands.   These secondary market rules apply equally to all entities, whether small or large.  We believe the opportunity to enter into secondary market agreements for mmW band spectrum will provide an economic benefit to all entities, whether large or small.  Therefore, the benefits and burdens resulting from secondary market agreements for spectrum are equivalent for small and large businesses.    </w:t>
      </w:r>
    </w:p>
    <w:p w14:paraId="53E2B129" w14:textId="77777777" w:rsidR="00EB539F" w:rsidRDefault="00EB539F" w:rsidP="00061F14">
      <w:pPr>
        <w:pStyle w:val="ListParagraph"/>
        <w:spacing w:after="0" w:line="240" w:lineRule="auto"/>
        <w:ind w:left="0"/>
        <w:rPr>
          <w:rFonts w:ascii="Times New Roman" w:hAnsi="Times New Roman" w:cs="Times New Roman"/>
          <w:sz w:val="24"/>
          <w:szCs w:val="24"/>
        </w:rPr>
      </w:pPr>
    </w:p>
    <w:p w14:paraId="53E2B12A" w14:textId="77777777" w:rsidR="00B862BA" w:rsidRPr="004C4110" w:rsidRDefault="008A7632" w:rsidP="00B81084">
      <w:pPr>
        <w:pStyle w:val="ListParagraph"/>
        <w:numPr>
          <w:ilvl w:val="0"/>
          <w:numId w:val="4"/>
        </w:numPr>
        <w:spacing w:after="0" w:line="240" w:lineRule="auto"/>
        <w:ind w:left="0" w:firstLine="0"/>
        <w:rPr>
          <w:rFonts w:ascii="Times New Roman" w:hAnsi="Times New Roman" w:cs="Times New Roman"/>
          <w:sz w:val="24"/>
          <w:szCs w:val="24"/>
        </w:rPr>
      </w:pPr>
      <w:r w:rsidRPr="004C4110">
        <w:rPr>
          <w:rFonts w:ascii="Times New Roman" w:hAnsi="Times New Roman" w:cs="Times New Roman"/>
          <w:sz w:val="24"/>
          <w:szCs w:val="24"/>
        </w:rPr>
        <w:t xml:space="preserve"> </w:t>
      </w:r>
      <w:r w:rsidR="00DF713F" w:rsidRPr="004C4110">
        <w:rPr>
          <w:rFonts w:ascii="Times New Roman" w:hAnsi="Times New Roman" w:cs="Times New Roman"/>
          <w:sz w:val="24"/>
          <w:szCs w:val="24"/>
        </w:rPr>
        <w:t>Information collection is required when an applicant seeks</w:t>
      </w:r>
      <w:r w:rsidRPr="004C4110">
        <w:rPr>
          <w:rFonts w:ascii="Times New Roman" w:hAnsi="Times New Roman" w:cs="Times New Roman"/>
          <w:sz w:val="24"/>
          <w:szCs w:val="24"/>
        </w:rPr>
        <w:t xml:space="preserve"> Commission approval for</w:t>
      </w:r>
      <w:r w:rsidR="004C4110">
        <w:rPr>
          <w:rFonts w:ascii="Times New Roman" w:hAnsi="Times New Roman" w:cs="Times New Roman"/>
          <w:sz w:val="24"/>
          <w:szCs w:val="24"/>
        </w:rPr>
        <w:t xml:space="preserve"> </w:t>
      </w:r>
      <w:r w:rsidRPr="004C4110">
        <w:rPr>
          <w:rFonts w:ascii="Times New Roman" w:hAnsi="Times New Roman" w:cs="Times New Roman"/>
          <w:sz w:val="24"/>
          <w:szCs w:val="24"/>
        </w:rPr>
        <w:t>new or</w:t>
      </w:r>
      <w:r w:rsidR="004C4110" w:rsidRPr="004C4110">
        <w:rPr>
          <w:rFonts w:ascii="Times New Roman" w:hAnsi="Times New Roman" w:cs="Times New Roman"/>
          <w:sz w:val="24"/>
          <w:szCs w:val="24"/>
        </w:rPr>
        <w:t xml:space="preserve"> </w:t>
      </w:r>
      <w:r w:rsidR="00DF713F" w:rsidRPr="004C4110">
        <w:rPr>
          <w:rFonts w:ascii="Times New Roman" w:hAnsi="Times New Roman" w:cs="Times New Roman"/>
          <w:sz w:val="24"/>
          <w:szCs w:val="24"/>
        </w:rPr>
        <w:t>modified facilities</w:t>
      </w:r>
      <w:r w:rsidR="00B862BA" w:rsidRPr="004C4110">
        <w:rPr>
          <w:rFonts w:ascii="Times New Roman" w:hAnsi="Times New Roman" w:cs="Times New Roman"/>
          <w:sz w:val="24"/>
          <w:szCs w:val="24"/>
        </w:rPr>
        <w:t>, or for an assignment or transfer of control.  The frequency of the filing is generally determined by the applicant.  Renewal applications must be filed once every ten years.</w:t>
      </w:r>
    </w:p>
    <w:p w14:paraId="53E2B12B" w14:textId="77777777" w:rsidR="00B862BA" w:rsidRDefault="00B862BA" w:rsidP="00061F14">
      <w:pPr>
        <w:pStyle w:val="ListParagraph"/>
        <w:spacing w:after="0" w:line="240" w:lineRule="auto"/>
        <w:ind w:left="0"/>
        <w:rPr>
          <w:rFonts w:ascii="Times New Roman" w:hAnsi="Times New Roman" w:cs="Times New Roman"/>
          <w:sz w:val="24"/>
          <w:szCs w:val="24"/>
        </w:rPr>
      </w:pPr>
    </w:p>
    <w:p w14:paraId="53E2B12C" w14:textId="77777777" w:rsidR="00CF2ACE" w:rsidRDefault="00B862BA" w:rsidP="00062C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special circumstances are associated with </w:t>
      </w:r>
      <w:r w:rsidR="001F2CA5">
        <w:rPr>
          <w:rFonts w:ascii="Times New Roman" w:hAnsi="Times New Roman" w:cs="Times New Roman"/>
          <w:sz w:val="24"/>
          <w:szCs w:val="24"/>
        </w:rPr>
        <w:t>this colle</w:t>
      </w:r>
      <w:r w:rsidR="00CF2ACE">
        <w:rPr>
          <w:rFonts w:ascii="Times New Roman" w:hAnsi="Times New Roman" w:cs="Times New Roman"/>
          <w:sz w:val="24"/>
          <w:szCs w:val="24"/>
        </w:rPr>
        <w:t>ction of information that would</w:t>
      </w:r>
    </w:p>
    <w:p w14:paraId="53E2B12D" w14:textId="77777777" w:rsidR="00023673" w:rsidRDefault="001F2CA5" w:rsidP="00CF2ACE">
      <w:pPr>
        <w:spacing w:after="0" w:line="240" w:lineRule="auto"/>
        <w:rPr>
          <w:rFonts w:ascii="Times New Roman" w:hAnsi="Times New Roman" w:cs="Times New Roman"/>
          <w:sz w:val="24"/>
          <w:szCs w:val="24"/>
        </w:rPr>
      </w:pPr>
      <w:r w:rsidRPr="00CF2ACE">
        <w:rPr>
          <w:rFonts w:ascii="Times New Roman" w:hAnsi="Times New Roman" w:cs="Times New Roman"/>
          <w:sz w:val="24"/>
          <w:szCs w:val="24"/>
        </w:rPr>
        <w:t>make the current data collection in</w:t>
      </w:r>
      <w:r w:rsidR="00B862BA" w:rsidRPr="00CF2ACE">
        <w:rPr>
          <w:rFonts w:ascii="Times New Roman" w:hAnsi="Times New Roman" w:cs="Times New Roman"/>
          <w:sz w:val="24"/>
          <w:szCs w:val="24"/>
        </w:rPr>
        <w:t>consistent with 5 C</w:t>
      </w:r>
      <w:r w:rsidR="00E50B53" w:rsidRPr="00CF2ACE">
        <w:rPr>
          <w:rFonts w:ascii="Times New Roman" w:hAnsi="Times New Roman" w:cs="Times New Roman"/>
          <w:sz w:val="24"/>
          <w:szCs w:val="24"/>
        </w:rPr>
        <w:t>.</w:t>
      </w:r>
      <w:r w:rsidR="00B862BA" w:rsidRPr="00CF2ACE">
        <w:rPr>
          <w:rFonts w:ascii="Times New Roman" w:hAnsi="Times New Roman" w:cs="Times New Roman"/>
          <w:sz w:val="24"/>
          <w:szCs w:val="24"/>
        </w:rPr>
        <w:t>F</w:t>
      </w:r>
      <w:r w:rsidR="00E50B53" w:rsidRPr="00CF2ACE">
        <w:rPr>
          <w:rFonts w:ascii="Times New Roman" w:hAnsi="Times New Roman" w:cs="Times New Roman"/>
          <w:sz w:val="24"/>
          <w:szCs w:val="24"/>
        </w:rPr>
        <w:t>.</w:t>
      </w:r>
      <w:r w:rsidR="00B862BA" w:rsidRPr="00CF2ACE">
        <w:rPr>
          <w:rFonts w:ascii="Times New Roman" w:hAnsi="Times New Roman" w:cs="Times New Roman"/>
          <w:sz w:val="24"/>
          <w:szCs w:val="24"/>
        </w:rPr>
        <w:t>R</w:t>
      </w:r>
      <w:r w:rsidR="00E50B53" w:rsidRPr="00CF2ACE">
        <w:rPr>
          <w:rFonts w:ascii="Times New Roman" w:hAnsi="Times New Roman" w:cs="Times New Roman"/>
          <w:sz w:val="24"/>
          <w:szCs w:val="24"/>
        </w:rPr>
        <w:t>.</w:t>
      </w:r>
      <w:r w:rsidR="00B862BA" w:rsidRPr="00CF2ACE">
        <w:rPr>
          <w:rFonts w:ascii="Times New Roman" w:hAnsi="Times New Roman" w:cs="Times New Roman"/>
          <w:sz w:val="24"/>
          <w:szCs w:val="24"/>
        </w:rPr>
        <w:t xml:space="preserve"> § 1320.5.</w:t>
      </w:r>
    </w:p>
    <w:p w14:paraId="53E2B12E" w14:textId="77777777" w:rsidR="00390B3C" w:rsidRDefault="00390B3C" w:rsidP="00CF2ACE">
      <w:pPr>
        <w:spacing w:after="0" w:line="240" w:lineRule="auto"/>
        <w:rPr>
          <w:rFonts w:ascii="Times New Roman" w:hAnsi="Times New Roman" w:cs="Times New Roman"/>
          <w:sz w:val="24"/>
          <w:szCs w:val="24"/>
        </w:rPr>
      </w:pPr>
    </w:p>
    <w:p w14:paraId="53E2B12F" w14:textId="77777777" w:rsidR="00390B3C" w:rsidRPr="00CF2ACE" w:rsidRDefault="00390B3C" w:rsidP="00CF2ACE">
      <w:pPr>
        <w:spacing w:after="0" w:line="240" w:lineRule="auto"/>
        <w:rPr>
          <w:rFonts w:ascii="Times New Roman" w:hAnsi="Times New Roman" w:cs="Times New Roman"/>
          <w:sz w:val="24"/>
          <w:szCs w:val="24"/>
        </w:rPr>
      </w:pPr>
    </w:p>
    <w:p w14:paraId="53E2B130" w14:textId="77777777" w:rsidR="00B862BA" w:rsidRDefault="00B862BA" w:rsidP="00061F14">
      <w:pPr>
        <w:pStyle w:val="ListParagraph"/>
        <w:spacing w:after="0" w:line="240" w:lineRule="auto"/>
        <w:ind w:left="0"/>
        <w:rPr>
          <w:rFonts w:ascii="Times New Roman" w:hAnsi="Times New Roman" w:cs="Times New Roman"/>
          <w:sz w:val="24"/>
          <w:szCs w:val="24"/>
        </w:rPr>
      </w:pPr>
    </w:p>
    <w:p w14:paraId="53E2B131" w14:textId="6C2B1710" w:rsidR="00E50B53" w:rsidRDefault="00B862BA"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r>
      <w:r w:rsidR="00E50B53">
        <w:rPr>
          <w:rFonts w:ascii="Times New Roman" w:hAnsi="Times New Roman" w:cs="Times New Roman"/>
          <w:sz w:val="24"/>
          <w:szCs w:val="24"/>
        </w:rPr>
        <w:t xml:space="preserve">The 60-day notice soliciting public comments on this collection was published in the </w:t>
      </w:r>
      <w:r w:rsidR="00E50B53" w:rsidRPr="001F2CA5">
        <w:rPr>
          <w:rFonts w:ascii="Times New Roman" w:hAnsi="Times New Roman" w:cs="Times New Roman"/>
          <w:sz w:val="24"/>
          <w:szCs w:val="24"/>
          <w:u w:val="single"/>
        </w:rPr>
        <w:t>Federal Register</w:t>
      </w:r>
      <w:r w:rsidR="00E50B53">
        <w:rPr>
          <w:rFonts w:ascii="Times New Roman" w:hAnsi="Times New Roman" w:cs="Times New Roman"/>
          <w:sz w:val="24"/>
          <w:szCs w:val="24"/>
        </w:rPr>
        <w:t xml:space="preserve"> as required under 5 C.F.R. § 1320.8(d) on </w:t>
      </w:r>
      <w:r w:rsidR="00B52D3E">
        <w:rPr>
          <w:rFonts w:ascii="Times New Roman" w:hAnsi="Times New Roman" w:cs="Times New Roman"/>
          <w:sz w:val="24"/>
          <w:szCs w:val="24"/>
        </w:rPr>
        <w:t xml:space="preserve">January 13, 2016 (81 </w:t>
      </w:r>
      <w:r w:rsidR="00B52D3E" w:rsidRPr="00B52D3E">
        <w:rPr>
          <w:rFonts w:ascii="Times New Roman" w:hAnsi="Times New Roman" w:cs="Times New Roman"/>
          <w:sz w:val="24"/>
          <w:szCs w:val="24"/>
        </w:rPr>
        <w:t>FR 1802</w:t>
      </w:r>
      <w:r w:rsidR="00E50B53" w:rsidRPr="00B52D3E">
        <w:rPr>
          <w:rFonts w:ascii="Times New Roman" w:hAnsi="Times New Roman" w:cs="Times New Roman"/>
          <w:sz w:val="24"/>
          <w:szCs w:val="24"/>
        </w:rPr>
        <w:t xml:space="preserve">).  </w:t>
      </w:r>
      <w:r w:rsidR="00264C05" w:rsidRPr="00B52D3E">
        <w:rPr>
          <w:rFonts w:ascii="Times New Roman" w:hAnsi="Times New Roman" w:cs="Times New Roman"/>
          <w:sz w:val="24"/>
          <w:szCs w:val="24"/>
        </w:rPr>
        <w:t>To date, t</w:t>
      </w:r>
      <w:r w:rsidR="00E50B53" w:rsidRPr="00B52D3E">
        <w:rPr>
          <w:rFonts w:ascii="Times New Roman" w:hAnsi="Times New Roman" w:cs="Times New Roman"/>
          <w:sz w:val="24"/>
          <w:szCs w:val="24"/>
        </w:rPr>
        <w:t>he Commission</w:t>
      </w:r>
      <w:r w:rsidR="000013EF" w:rsidRPr="00B52D3E">
        <w:rPr>
          <w:rFonts w:ascii="Times New Roman" w:hAnsi="Times New Roman" w:cs="Times New Roman"/>
          <w:sz w:val="24"/>
          <w:szCs w:val="24"/>
        </w:rPr>
        <w:t xml:space="preserve"> has n</w:t>
      </w:r>
      <w:r w:rsidR="00264C05" w:rsidRPr="00B52D3E">
        <w:rPr>
          <w:rFonts w:ascii="Times New Roman" w:hAnsi="Times New Roman" w:cs="Times New Roman"/>
          <w:sz w:val="24"/>
          <w:szCs w:val="24"/>
        </w:rPr>
        <w:t xml:space="preserve">ot </w:t>
      </w:r>
      <w:r w:rsidR="00E50B53" w:rsidRPr="00B52D3E">
        <w:rPr>
          <w:rFonts w:ascii="Times New Roman" w:hAnsi="Times New Roman" w:cs="Times New Roman"/>
          <w:sz w:val="24"/>
          <w:szCs w:val="24"/>
        </w:rPr>
        <w:t>receive</w:t>
      </w:r>
      <w:r w:rsidR="000013EF" w:rsidRPr="00B52D3E">
        <w:rPr>
          <w:rFonts w:ascii="Times New Roman" w:hAnsi="Times New Roman" w:cs="Times New Roman"/>
          <w:sz w:val="24"/>
          <w:szCs w:val="24"/>
        </w:rPr>
        <w:t>d</w:t>
      </w:r>
      <w:r w:rsidR="00E50B53" w:rsidRPr="00B52D3E">
        <w:rPr>
          <w:rFonts w:ascii="Times New Roman" w:hAnsi="Times New Roman" w:cs="Times New Roman"/>
          <w:sz w:val="24"/>
          <w:szCs w:val="24"/>
        </w:rPr>
        <w:t xml:space="preserve"> </w:t>
      </w:r>
      <w:r w:rsidR="000013EF" w:rsidRPr="00B52D3E">
        <w:rPr>
          <w:rFonts w:ascii="Times New Roman" w:hAnsi="Times New Roman" w:cs="Times New Roman"/>
          <w:sz w:val="24"/>
          <w:szCs w:val="24"/>
        </w:rPr>
        <w:t xml:space="preserve">any comments from the public on the proposed information collections contained in this collection.  </w:t>
      </w:r>
      <w:r w:rsidR="000013EF" w:rsidRPr="00B52D3E" w:rsidDel="000013EF">
        <w:rPr>
          <w:rFonts w:ascii="Times New Roman" w:hAnsi="Times New Roman" w:cs="Times New Roman"/>
          <w:sz w:val="24"/>
          <w:szCs w:val="24"/>
        </w:rPr>
        <w:t xml:space="preserve"> </w:t>
      </w:r>
    </w:p>
    <w:p w14:paraId="14A07EBF" w14:textId="77777777" w:rsidR="00B52D3E" w:rsidRDefault="00B52D3E" w:rsidP="00061F14">
      <w:pPr>
        <w:pStyle w:val="ListParagraph"/>
        <w:spacing w:after="0" w:line="240" w:lineRule="auto"/>
        <w:ind w:left="0"/>
        <w:rPr>
          <w:rFonts w:ascii="Times New Roman" w:hAnsi="Times New Roman" w:cs="Times New Roman"/>
          <w:sz w:val="24"/>
          <w:szCs w:val="24"/>
        </w:rPr>
      </w:pPr>
    </w:p>
    <w:p w14:paraId="53E2B132" w14:textId="77777777" w:rsidR="00E50B53" w:rsidRDefault="00E50B53"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Respondents will not receive any payments in connection with collection of information.</w:t>
      </w:r>
    </w:p>
    <w:p w14:paraId="53E2B133" w14:textId="77777777" w:rsidR="00E50B53" w:rsidRDefault="00E50B53" w:rsidP="00061F14">
      <w:pPr>
        <w:pStyle w:val="ListParagraph"/>
        <w:spacing w:after="0" w:line="240" w:lineRule="auto"/>
        <w:ind w:left="0"/>
        <w:rPr>
          <w:rFonts w:ascii="Times New Roman" w:hAnsi="Times New Roman" w:cs="Times New Roman"/>
          <w:sz w:val="24"/>
          <w:szCs w:val="24"/>
        </w:rPr>
      </w:pPr>
    </w:p>
    <w:p w14:paraId="53E2B134" w14:textId="77777777" w:rsidR="00E50B53" w:rsidRDefault="00E50B53"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DB2B57">
        <w:rPr>
          <w:rFonts w:ascii="Times New Roman" w:hAnsi="Times New Roman" w:cs="Times New Roman"/>
          <w:sz w:val="24"/>
          <w:szCs w:val="24"/>
        </w:rPr>
        <w:t>No need for confidentiality with this information collection.</w:t>
      </w:r>
    </w:p>
    <w:p w14:paraId="53E2B135" w14:textId="77777777" w:rsidR="00DB2B57" w:rsidRDefault="00DB2B57" w:rsidP="00061F14">
      <w:pPr>
        <w:pStyle w:val="ListParagraph"/>
        <w:spacing w:after="0" w:line="240" w:lineRule="auto"/>
        <w:ind w:left="0"/>
        <w:rPr>
          <w:rFonts w:ascii="Times New Roman" w:hAnsi="Times New Roman" w:cs="Times New Roman"/>
          <w:sz w:val="24"/>
          <w:szCs w:val="24"/>
        </w:rPr>
      </w:pPr>
    </w:p>
    <w:p w14:paraId="53E2B136" w14:textId="77777777" w:rsidR="00DB2B57" w:rsidRDefault="00DB2B57"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9A4A4B">
        <w:rPr>
          <w:rFonts w:ascii="Times New Roman" w:hAnsi="Times New Roman" w:cs="Times New Roman"/>
          <w:sz w:val="24"/>
          <w:szCs w:val="24"/>
        </w:rPr>
        <w:t>This collection of information does not address private matters or questions of a sensitive nature.</w:t>
      </w:r>
    </w:p>
    <w:p w14:paraId="53E2B137" w14:textId="77777777" w:rsidR="009A4A4B" w:rsidRDefault="009A4A4B" w:rsidP="00061F14">
      <w:pPr>
        <w:pStyle w:val="ListParagraph"/>
        <w:spacing w:after="0" w:line="240" w:lineRule="auto"/>
        <w:ind w:left="0"/>
        <w:rPr>
          <w:rFonts w:ascii="Times New Roman" w:hAnsi="Times New Roman" w:cs="Times New Roman"/>
          <w:sz w:val="24"/>
          <w:szCs w:val="24"/>
        </w:rPr>
      </w:pPr>
    </w:p>
    <w:p w14:paraId="53E2B138" w14:textId="77777777" w:rsidR="00FD1CAC" w:rsidRDefault="009A4A4B" w:rsidP="002771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Annual Burden</w:t>
      </w:r>
      <w:r w:rsidR="002771CE">
        <w:rPr>
          <w:rFonts w:ascii="Times New Roman" w:hAnsi="Times New Roman" w:cs="Times New Roman"/>
          <w:sz w:val="24"/>
          <w:szCs w:val="24"/>
        </w:rPr>
        <w:t>:  For the purpose of this supporting statement, the Commission estimates the number of respondent burden hours for</w:t>
      </w:r>
      <w:r>
        <w:rPr>
          <w:rFonts w:ascii="Times New Roman" w:hAnsi="Times New Roman" w:cs="Times New Roman"/>
          <w:sz w:val="24"/>
          <w:szCs w:val="24"/>
        </w:rPr>
        <w:t xml:space="preserve"> each </w:t>
      </w:r>
      <w:r w:rsidR="002771CE">
        <w:rPr>
          <w:rFonts w:ascii="Times New Roman" w:hAnsi="Times New Roman" w:cs="Times New Roman"/>
          <w:sz w:val="24"/>
          <w:szCs w:val="24"/>
        </w:rPr>
        <w:t xml:space="preserve">new </w:t>
      </w:r>
      <w:r>
        <w:rPr>
          <w:rFonts w:ascii="Times New Roman" w:hAnsi="Times New Roman" w:cs="Times New Roman"/>
          <w:sz w:val="24"/>
          <w:szCs w:val="24"/>
        </w:rPr>
        <w:t>rule section</w:t>
      </w:r>
      <w:r w:rsidR="002771CE">
        <w:rPr>
          <w:rFonts w:ascii="Times New Roman" w:hAnsi="Times New Roman" w:cs="Times New Roman"/>
          <w:sz w:val="24"/>
          <w:szCs w:val="24"/>
        </w:rPr>
        <w:t xml:space="preserve">. </w:t>
      </w:r>
      <w:r w:rsidR="00E3492F">
        <w:rPr>
          <w:rFonts w:ascii="Times New Roman" w:hAnsi="Times New Roman" w:cs="Times New Roman"/>
          <w:sz w:val="24"/>
          <w:szCs w:val="24"/>
        </w:rPr>
        <w:t xml:space="preserve"> </w:t>
      </w:r>
      <w:r w:rsidR="002771CE" w:rsidRPr="002771CE">
        <w:rPr>
          <w:rFonts w:ascii="Times New Roman" w:hAnsi="Times New Roman" w:cs="Times New Roman"/>
          <w:sz w:val="24"/>
          <w:szCs w:val="24"/>
        </w:rPr>
        <w:t xml:space="preserve">The chart below outlines the number of respondents, frequency of response, time per response, </w:t>
      </w:r>
      <w:r w:rsidR="00FE594B" w:rsidRPr="002771CE">
        <w:rPr>
          <w:rFonts w:ascii="Times New Roman" w:hAnsi="Times New Roman" w:cs="Times New Roman"/>
          <w:sz w:val="24"/>
          <w:szCs w:val="24"/>
        </w:rPr>
        <w:t>and total</w:t>
      </w:r>
      <w:r w:rsidR="002771CE" w:rsidRPr="002771CE">
        <w:rPr>
          <w:rFonts w:ascii="Times New Roman" w:hAnsi="Times New Roman" w:cs="Times New Roman"/>
          <w:sz w:val="24"/>
          <w:szCs w:val="24"/>
        </w:rPr>
        <w:t xml:space="preserve"> annual burden hours for each new collection.</w:t>
      </w:r>
      <w:r w:rsidR="00FE594B">
        <w:rPr>
          <w:rFonts w:ascii="Times New Roman" w:hAnsi="Times New Roman" w:cs="Times New Roman"/>
          <w:sz w:val="24"/>
          <w:szCs w:val="24"/>
        </w:rPr>
        <w:t xml:space="preserve">  </w:t>
      </w:r>
    </w:p>
    <w:p w14:paraId="53E2B139" w14:textId="77777777" w:rsidR="00466DD7" w:rsidRDefault="00466DD7" w:rsidP="002771CE">
      <w:pPr>
        <w:pStyle w:val="ListParagraph"/>
        <w:spacing w:after="0" w:line="240" w:lineRule="auto"/>
        <w:ind w:left="0"/>
        <w:rPr>
          <w:rFonts w:ascii="Times New Roman" w:hAnsi="Times New Roman" w:cs="Times New Roman"/>
          <w:sz w:val="24"/>
          <w:szCs w:val="24"/>
        </w:rPr>
      </w:pPr>
    </w:p>
    <w:p w14:paraId="53E2B13A" w14:textId="77777777" w:rsidR="00FD1CAC" w:rsidRDefault="00341D88" w:rsidP="002771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For Section 30.105 of the Commission’s rules,</w:t>
      </w:r>
      <w:r w:rsidR="00791977">
        <w:rPr>
          <w:rFonts w:ascii="Times New Roman" w:hAnsi="Times New Roman" w:cs="Times New Roman"/>
          <w:color w:val="FF0000"/>
          <w:sz w:val="24"/>
          <w:szCs w:val="24"/>
        </w:rPr>
        <w:t xml:space="preserve"> </w:t>
      </w:r>
      <w:r w:rsidR="00791977" w:rsidRPr="00791977">
        <w:rPr>
          <w:rFonts w:ascii="Times New Roman" w:hAnsi="Times New Roman" w:cs="Times New Roman"/>
          <w:sz w:val="24"/>
          <w:szCs w:val="24"/>
        </w:rPr>
        <w:t>we</w:t>
      </w:r>
      <w:r w:rsidR="00A903AD" w:rsidRPr="00791977">
        <w:rPr>
          <w:rFonts w:ascii="Times New Roman" w:hAnsi="Times New Roman" w:cs="Times New Roman"/>
          <w:sz w:val="24"/>
          <w:szCs w:val="24"/>
        </w:rPr>
        <w:t xml:space="preserve"> </w:t>
      </w:r>
      <w:r w:rsidR="00466DD7" w:rsidRPr="00466DD7">
        <w:rPr>
          <w:rFonts w:ascii="Times New Roman" w:hAnsi="Times New Roman" w:cs="Times New Roman"/>
          <w:sz w:val="24"/>
          <w:szCs w:val="24"/>
        </w:rPr>
        <w:t xml:space="preserve">estimate that 25% of the respondents will contract consultants to handle the burden of reporting; the remaining 75% of respondents will employ in-house staff to respond.  </w:t>
      </w:r>
      <w:r>
        <w:rPr>
          <w:rFonts w:ascii="Times New Roman" w:hAnsi="Times New Roman" w:cs="Times New Roman"/>
          <w:sz w:val="24"/>
          <w:szCs w:val="24"/>
        </w:rPr>
        <w:t xml:space="preserve">For the other rules, we estimate that in-house staff will comply with the reporting requirements.  </w:t>
      </w:r>
      <w:r w:rsidR="00466DD7" w:rsidRPr="00466DD7">
        <w:rPr>
          <w:rFonts w:ascii="Times New Roman" w:hAnsi="Times New Roman" w:cs="Times New Roman"/>
          <w:sz w:val="24"/>
          <w:szCs w:val="24"/>
        </w:rPr>
        <w:t>We assume that th</w:t>
      </w:r>
      <w:r w:rsidR="007F6F1D">
        <w:rPr>
          <w:rFonts w:ascii="Times New Roman" w:hAnsi="Times New Roman" w:cs="Times New Roman"/>
          <w:sz w:val="24"/>
          <w:szCs w:val="24"/>
        </w:rPr>
        <w:t>e respondents will use in-house staff attorney ($66.88/hour) or engineer ($44.24</w:t>
      </w:r>
      <w:r w:rsidR="00466DD7" w:rsidRPr="00466DD7">
        <w:rPr>
          <w:rFonts w:ascii="Times New Roman" w:hAnsi="Times New Roman" w:cs="Times New Roman"/>
          <w:sz w:val="24"/>
          <w:szCs w:val="24"/>
        </w:rPr>
        <w:t>/hour) to consult and prepare information</w:t>
      </w:r>
      <w:r w:rsidR="00E8016D" w:rsidRPr="00E8016D">
        <w:rPr>
          <w:rFonts w:ascii="Times New Roman" w:hAnsi="Times New Roman" w:cs="Times New Roman"/>
          <w:sz w:val="24"/>
          <w:szCs w:val="24"/>
        </w:rPr>
        <w:t>.</w:t>
      </w:r>
      <w:r w:rsidR="00E8016D">
        <w:rPr>
          <w:rStyle w:val="FootnoteReference"/>
          <w:rFonts w:ascii="Times New Roman" w:hAnsi="Times New Roman" w:cs="Times New Roman"/>
          <w:sz w:val="24"/>
          <w:szCs w:val="24"/>
        </w:rPr>
        <w:footnoteReference w:id="3"/>
      </w:r>
      <w:r w:rsidR="00466DD7" w:rsidRPr="00466DD7">
        <w:rPr>
          <w:rFonts w:ascii="Times New Roman" w:hAnsi="Times New Roman" w:cs="Times New Roman"/>
          <w:sz w:val="24"/>
          <w:szCs w:val="24"/>
        </w:rPr>
        <w:t xml:space="preserve"> </w:t>
      </w:r>
    </w:p>
    <w:p w14:paraId="53E2B13B" w14:textId="77777777" w:rsidR="00466DD7" w:rsidRDefault="00466DD7" w:rsidP="002771CE">
      <w:pPr>
        <w:pStyle w:val="ListParagraph"/>
        <w:spacing w:after="0" w:line="240" w:lineRule="auto"/>
        <w:ind w:left="0"/>
        <w:rPr>
          <w:rFonts w:ascii="Times New Roman" w:hAnsi="Times New Roman" w:cs="Times New Roman"/>
          <w:sz w:val="24"/>
          <w:szCs w:val="24"/>
        </w:rPr>
      </w:pPr>
    </w:p>
    <w:p w14:paraId="53E2B13C" w14:textId="77777777" w:rsidR="00E3492F" w:rsidRDefault="00FD1CAC" w:rsidP="002771CE">
      <w:pPr>
        <w:pStyle w:val="ListParagraph"/>
        <w:spacing w:after="0" w:line="240" w:lineRule="auto"/>
        <w:ind w:left="0"/>
        <w:rPr>
          <w:rFonts w:ascii="Times New Roman" w:hAnsi="Times New Roman" w:cs="Times New Roman"/>
          <w:sz w:val="24"/>
          <w:szCs w:val="24"/>
        </w:rPr>
      </w:pPr>
      <w:r w:rsidRPr="00FD1CAC">
        <w:rPr>
          <w:rFonts w:ascii="Times New Roman" w:hAnsi="Times New Roman" w:cs="Times New Roman"/>
          <w:sz w:val="24"/>
          <w:szCs w:val="24"/>
        </w:rPr>
        <w:t xml:space="preserve">The Commission </w:t>
      </w:r>
      <w:r w:rsidR="00341D88">
        <w:rPr>
          <w:rFonts w:ascii="Times New Roman" w:hAnsi="Times New Roman" w:cs="Times New Roman"/>
          <w:sz w:val="24"/>
          <w:szCs w:val="24"/>
        </w:rPr>
        <w:t xml:space="preserve">calculates the burden from each proposed rule to be as follows: </w:t>
      </w:r>
    </w:p>
    <w:p w14:paraId="53E2B13D" w14:textId="77777777" w:rsidR="009A4A4B" w:rsidRDefault="009A4A4B" w:rsidP="00061F14">
      <w:pPr>
        <w:pStyle w:val="ListParagraph"/>
        <w:spacing w:after="0" w:line="240" w:lineRule="auto"/>
        <w:ind w:left="0"/>
        <w:rPr>
          <w:rFonts w:ascii="Times New Roman" w:hAnsi="Times New Roman" w:cs="Times New Roman"/>
          <w:sz w:val="24"/>
          <w:szCs w:val="24"/>
        </w:rPr>
      </w:pPr>
    </w:p>
    <w:p w14:paraId="53E2B13E" w14:textId="77777777" w:rsidR="004836A0" w:rsidRDefault="00723344" w:rsidP="008A7632">
      <w:pPr>
        <w:pStyle w:val="ListParagraph"/>
        <w:spacing w:after="0" w:line="240" w:lineRule="auto"/>
        <w:ind w:left="0"/>
        <w:jc w:val="center"/>
        <w:rPr>
          <w:rFonts w:ascii="Times New Roman" w:hAnsi="Times New Roman" w:cs="Times New Roman"/>
          <w:b/>
          <w:sz w:val="24"/>
          <w:szCs w:val="24"/>
        </w:rPr>
      </w:pPr>
      <w:r w:rsidRPr="00723344">
        <w:rPr>
          <w:rFonts w:ascii="Times New Roman" w:hAnsi="Times New Roman" w:cs="Times New Roman"/>
          <w:b/>
          <w:sz w:val="24"/>
          <w:szCs w:val="24"/>
        </w:rPr>
        <w:t>Annual Burden</w:t>
      </w:r>
      <w:r>
        <w:rPr>
          <w:rFonts w:ascii="Times New Roman" w:hAnsi="Times New Roman" w:cs="Times New Roman"/>
          <w:b/>
          <w:sz w:val="24"/>
          <w:szCs w:val="24"/>
        </w:rPr>
        <w:t xml:space="preserve"> </w:t>
      </w:r>
    </w:p>
    <w:p w14:paraId="53E2B13F" w14:textId="77777777" w:rsidR="00390B3C" w:rsidRDefault="00390B3C" w:rsidP="008A7632">
      <w:pPr>
        <w:pStyle w:val="ListParagraph"/>
        <w:spacing w:after="0" w:line="240" w:lineRule="auto"/>
        <w:ind w:left="0"/>
        <w:jc w:val="center"/>
        <w:rPr>
          <w:rFonts w:ascii="Times New Roman" w:hAnsi="Times New Roman" w:cs="Times New Roman"/>
          <w:b/>
          <w:sz w:val="24"/>
          <w:szCs w:val="24"/>
        </w:rPr>
      </w:pPr>
    </w:p>
    <w:p w14:paraId="53E2B140" w14:textId="77777777" w:rsidR="00390B3C" w:rsidRDefault="00390B3C" w:rsidP="008A7632">
      <w:pPr>
        <w:pStyle w:val="ListParagraph"/>
        <w:spacing w:after="0" w:line="240" w:lineRule="auto"/>
        <w:ind w:left="0"/>
        <w:jc w:val="center"/>
        <w:rPr>
          <w:rFonts w:ascii="Times New Roman" w:hAnsi="Times New Roman" w:cs="Times New Roman"/>
          <w:b/>
          <w:sz w:val="24"/>
          <w:szCs w:val="24"/>
        </w:rPr>
      </w:pPr>
    </w:p>
    <w:p w14:paraId="53E2B141" w14:textId="77777777" w:rsidR="00390B3C" w:rsidRDefault="00390B3C" w:rsidP="008A7632">
      <w:pPr>
        <w:pStyle w:val="ListParagraph"/>
        <w:spacing w:after="0" w:line="240" w:lineRule="auto"/>
        <w:ind w:left="0"/>
        <w:jc w:val="center"/>
        <w:rPr>
          <w:rFonts w:ascii="Times New Roman" w:hAnsi="Times New Roman" w:cs="Times New Roman"/>
          <w:b/>
          <w:sz w:val="24"/>
          <w:szCs w:val="24"/>
        </w:rPr>
      </w:pPr>
    </w:p>
    <w:p w14:paraId="53E2B142" w14:textId="77777777" w:rsidR="008A7632" w:rsidRPr="00723344" w:rsidRDefault="008A7632" w:rsidP="00061F14">
      <w:pPr>
        <w:pStyle w:val="ListParagraph"/>
        <w:spacing w:after="0" w:line="240" w:lineRule="auto"/>
        <w:ind w:left="0"/>
        <w:rPr>
          <w:rFonts w:ascii="Times New Roman" w:hAnsi="Times New Roman" w:cs="Times New Roman"/>
          <w:b/>
          <w:sz w:val="24"/>
          <w:szCs w:val="24"/>
        </w:rPr>
      </w:pPr>
    </w:p>
    <w:tbl>
      <w:tblPr>
        <w:tblStyle w:val="TableGrid"/>
        <w:tblW w:w="9535" w:type="dxa"/>
        <w:tblLayout w:type="fixed"/>
        <w:tblLook w:val="04A0" w:firstRow="1" w:lastRow="0" w:firstColumn="1" w:lastColumn="0" w:noHBand="0" w:noVBand="1"/>
      </w:tblPr>
      <w:tblGrid>
        <w:gridCol w:w="393"/>
        <w:gridCol w:w="1492"/>
        <w:gridCol w:w="1440"/>
        <w:gridCol w:w="1440"/>
        <w:gridCol w:w="1710"/>
        <w:gridCol w:w="1080"/>
        <w:gridCol w:w="900"/>
        <w:gridCol w:w="1080"/>
      </w:tblGrid>
      <w:tr w:rsidR="00445530" w14:paraId="53E2B14B" w14:textId="77777777" w:rsidTr="00AB44CC">
        <w:tc>
          <w:tcPr>
            <w:tcW w:w="393" w:type="dxa"/>
          </w:tcPr>
          <w:p w14:paraId="53E2B143" w14:textId="77777777" w:rsidR="00445530" w:rsidRPr="0095623D" w:rsidRDefault="00445530" w:rsidP="00557736">
            <w:pPr>
              <w:pStyle w:val="ListParagraph"/>
              <w:ind w:left="0"/>
              <w:rPr>
                <w:rFonts w:ascii="Times New Roman" w:hAnsi="Times New Roman" w:cs="Times New Roman"/>
              </w:rPr>
            </w:pPr>
          </w:p>
        </w:tc>
        <w:tc>
          <w:tcPr>
            <w:tcW w:w="1492" w:type="dxa"/>
          </w:tcPr>
          <w:p w14:paraId="53E2B144"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Respondents</w:t>
            </w:r>
          </w:p>
        </w:tc>
        <w:tc>
          <w:tcPr>
            <w:tcW w:w="1440" w:type="dxa"/>
          </w:tcPr>
          <w:p w14:paraId="53E2B145"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Estimated Number of Respondents</w:t>
            </w:r>
          </w:p>
        </w:tc>
        <w:tc>
          <w:tcPr>
            <w:tcW w:w="1440" w:type="dxa"/>
          </w:tcPr>
          <w:p w14:paraId="53E2B146"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Estimated Frequency of Responses</w:t>
            </w:r>
          </w:p>
        </w:tc>
        <w:tc>
          <w:tcPr>
            <w:tcW w:w="1710" w:type="dxa"/>
          </w:tcPr>
          <w:p w14:paraId="53E2B147"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Total Number of  Responses</w:t>
            </w:r>
          </w:p>
        </w:tc>
        <w:tc>
          <w:tcPr>
            <w:tcW w:w="1080" w:type="dxa"/>
          </w:tcPr>
          <w:p w14:paraId="53E2B148"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Time per Response (Hours)</w:t>
            </w:r>
          </w:p>
        </w:tc>
        <w:tc>
          <w:tcPr>
            <w:tcW w:w="900" w:type="dxa"/>
          </w:tcPr>
          <w:p w14:paraId="53E2B149"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Total Annual Burden Hours</w:t>
            </w:r>
          </w:p>
        </w:tc>
        <w:tc>
          <w:tcPr>
            <w:tcW w:w="1080" w:type="dxa"/>
          </w:tcPr>
          <w:p w14:paraId="53E2B14A"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Effective Date</w:t>
            </w:r>
          </w:p>
        </w:tc>
      </w:tr>
      <w:tr w:rsidR="00445530" w14:paraId="53E2B154" w14:textId="77777777" w:rsidTr="00AB44CC">
        <w:tc>
          <w:tcPr>
            <w:tcW w:w="393" w:type="dxa"/>
          </w:tcPr>
          <w:p w14:paraId="53E2B14C"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a.</w:t>
            </w:r>
          </w:p>
        </w:tc>
        <w:tc>
          <w:tcPr>
            <w:tcW w:w="1492" w:type="dxa"/>
          </w:tcPr>
          <w:p w14:paraId="53E2B14D"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§30.3, Eligibility, Foreign ownership reports</w:t>
            </w:r>
          </w:p>
        </w:tc>
        <w:tc>
          <w:tcPr>
            <w:tcW w:w="1440" w:type="dxa"/>
          </w:tcPr>
          <w:p w14:paraId="53E2B14E" w14:textId="77777777" w:rsidR="00E8016D" w:rsidRPr="0095623D" w:rsidRDefault="00E8016D" w:rsidP="007F6F1D">
            <w:pPr>
              <w:pStyle w:val="ListParagraph"/>
              <w:ind w:left="0"/>
              <w:rPr>
                <w:rFonts w:ascii="Times New Roman" w:hAnsi="Times New Roman" w:cs="Times New Roman"/>
              </w:rPr>
            </w:pPr>
            <w:r w:rsidRPr="0095623D">
              <w:rPr>
                <w:rFonts w:ascii="Times New Roman" w:hAnsi="Times New Roman" w:cs="Times New Roman"/>
              </w:rPr>
              <w:t xml:space="preserve">30 </w:t>
            </w:r>
          </w:p>
        </w:tc>
        <w:tc>
          <w:tcPr>
            <w:tcW w:w="1440" w:type="dxa"/>
          </w:tcPr>
          <w:p w14:paraId="53E2B14F" w14:textId="77777777" w:rsidR="00445530" w:rsidRPr="0095623D" w:rsidRDefault="0084287F" w:rsidP="0084287F">
            <w:pPr>
              <w:pStyle w:val="ListParagraph"/>
              <w:ind w:left="0"/>
              <w:rPr>
                <w:rFonts w:ascii="Times New Roman" w:hAnsi="Times New Roman" w:cs="Times New Roman"/>
              </w:rPr>
            </w:pPr>
            <w:r w:rsidRPr="00DF4E65">
              <w:rPr>
                <w:rFonts w:ascii="Times New Roman" w:hAnsi="Times New Roman" w:cs="Times New Roman"/>
              </w:rPr>
              <w:t>On occasion</w:t>
            </w:r>
          </w:p>
        </w:tc>
        <w:tc>
          <w:tcPr>
            <w:tcW w:w="1710" w:type="dxa"/>
          </w:tcPr>
          <w:p w14:paraId="53E2B150" w14:textId="77777777" w:rsidR="00E8016D" w:rsidRPr="0095623D" w:rsidRDefault="007F6F1D" w:rsidP="00E8016D">
            <w:pPr>
              <w:pStyle w:val="ListParagraph"/>
              <w:ind w:left="0"/>
              <w:rPr>
                <w:rFonts w:ascii="Times New Roman" w:hAnsi="Times New Roman" w:cs="Times New Roman"/>
              </w:rPr>
            </w:pPr>
            <w:r w:rsidRPr="0095623D">
              <w:rPr>
                <w:rFonts w:ascii="Times New Roman" w:hAnsi="Times New Roman" w:cs="Times New Roman"/>
              </w:rPr>
              <w:t>30</w:t>
            </w:r>
          </w:p>
        </w:tc>
        <w:tc>
          <w:tcPr>
            <w:tcW w:w="1080" w:type="dxa"/>
          </w:tcPr>
          <w:p w14:paraId="53E2B151"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0.5</w:t>
            </w:r>
          </w:p>
        </w:tc>
        <w:tc>
          <w:tcPr>
            <w:tcW w:w="900" w:type="dxa"/>
          </w:tcPr>
          <w:p w14:paraId="53E2B152" w14:textId="77777777" w:rsidR="00445530" w:rsidRPr="0095623D" w:rsidRDefault="007F6F1D" w:rsidP="00557736">
            <w:pPr>
              <w:pStyle w:val="ListParagraph"/>
              <w:ind w:left="0"/>
              <w:rPr>
                <w:rFonts w:ascii="Times New Roman" w:hAnsi="Times New Roman" w:cs="Times New Roman"/>
              </w:rPr>
            </w:pPr>
            <w:r w:rsidRPr="0095623D">
              <w:rPr>
                <w:rFonts w:ascii="Times New Roman" w:hAnsi="Times New Roman" w:cs="Times New Roman"/>
              </w:rPr>
              <w:t>15</w:t>
            </w:r>
          </w:p>
        </w:tc>
        <w:tc>
          <w:tcPr>
            <w:tcW w:w="1080" w:type="dxa"/>
          </w:tcPr>
          <w:p w14:paraId="53E2B153" w14:textId="77777777" w:rsidR="00445530" w:rsidRPr="0095623D" w:rsidRDefault="004C4110" w:rsidP="00557736">
            <w:pPr>
              <w:pStyle w:val="ListParagraph"/>
              <w:ind w:left="0"/>
              <w:rPr>
                <w:rFonts w:ascii="Times New Roman" w:hAnsi="Times New Roman" w:cs="Times New Roman"/>
              </w:rPr>
            </w:pPr>
            <w:r w:rsidRPr="0095623D">
              <w:rPr>
                <w:rFonts w:ascii="Times New Roman" w:hAnsi="Times New Roman" w:cs="Times New Roman"/>
              </w:rPr>
              <w:t>Shortly after adoption of rules</w:t>
            </w:r>
          </w:p>
        </w:tc>
      </w:tr>
      <w:tr w:rsidR="00445530" w14:paraId="53E2B15F" w14:textId="77777777" w:rsidTr="00AB44CC">
        <w:tc>
          <w:tcPr>
            <w:tcW w:w="393" w:type="dxa"/>
          </w:tcPr>
          <w:p w14:paraId="53E2B155" w14:textId="77777777" w:rsidR="00445530" w:rsidRPr="0095623D" w:rsidRDefault="00445530" w:rsidP="00557736">
            <w:pPr>
              <w:rPr>
                <w:rFonts w:ascii="Times New Roman" w:hAnsi="Times New Roman" w:cs="Times New Roman"/>
              </w:rPr>
            </w:pPr>
            <w:r w:rsidRPr="0095623D">
              <w:rPr>
                <w:rFonts w:ascii="Times New Roman" w:hAnsi="Times New Roman" w:cs="Times New Roman"/>
              </w:rPr>
              <w:t>b.</w:t>
            </w:r>
          </w:p>
        </w:tc>
        <w:tc>
          <w:tcPr>
            <w:tcW w:w="1492" w:type="dxa"/>
          </w:tcPr>
          <w:p w14:paraId="53E2B156" w14:textId="77777777" w:rsidR="00445530" w:rsidRPr="0095623D" w:rsidRDefault="00445530" w:rsidP="00557736">
            <w:pPr>
              <w:rPr>
                <w:rFonts w:ascii="Times New Roman" w:hAnsi="Times New Roman" w:cs="Times New Roman"/>
              </w:rPr>
            </w:pPr>
            <w:r w:rsidRPr="0095623D">
              <w:rPr>
                <w:rFonts w:ascii="Times New Roman" w:hAnsi="Times New Roman" w:cs="Times New Roman"/>
              </w:rPr>
              <w:t>§30.105, Subpart B – Applications and Licenses</w:t>
            </w:r>
          </w:p>
          <w:p w14:paraId="53E2B157"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Construction requirements</w:t>
            </w:r>
          </w:p>
        </w:tc>
        <w:tc>
          <w:tcPr>
            <w:tcW w:w="1440" w:type="dxa"/>
          </w:tcPr>
          <w:p w14:paraId="53E2B158"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0</w:t>
            </w:r>
          </w:p>
        </w:tc>
        <w:tc>
          <w:tcPr>
            <w:tcW w:w="1440" w:type="dxa"/>
          </w:tcPr>
          <w:p w14:paraId="53E2B159" w14:textId="77777777" w:rsidR="00E8016D" w:rsidRPr="0095623D" w:rsidRDefault="004C4110" w:rsidP="00557736">
            <w:pPr>
              <w:pStyle w:val="ListParagraph"/>
              <w:ind w:left="0"/>
              <w:rPr>
                <w:rFonts w:ascii="Times New Roman" w:hAnsi="Times New Roman" w:cs="Times New Roman"/>
              </w:rPr>
            </w:pPr>
            <w:r w:rsidRPr="0095623D">
              <w:rPr>
                <w:rFonts w:ascii="Times New Roman" w:hAnsi="Times New Roman" w:cs="Times New Roman"/>
              </w:rPr>
              <w:t>At end</w:t>
            </w:r>
          </w:p>
          <w:p w14:paraId="53E2B15A" w14:textId="77777777" w:rsidR="00445530" w:rsidRPr="0095623D" w:rsidRDefault="004C4110" w:rsidP="00557736">
            <w:pPr>
              <w:pStyle w:val="ListParagraph"/>
              <w:ind w:left="0"/>
              <w:rPr>
                <w:rFonts w:ascii="Times New Roman" w:hAnsi="Times New Roman" w:cs="Times New Roman"/>
              </w:rPr>
            </w:pPr>
            <w:r w:rsidRPr="0095623D">
              <w:rPr>
                <w:rFonts w:ascii="Times New Roman" w:hAnsi="Times New Roman" w:cs="Times New Roman"/>
              </w:rPr>
              <w:t>of license term</w:t>
            </w:r>
          </w:p>
        </w:tc>
        <w:tc>
          <w:tcPr>
            <w:tcW w:w="1710" w:type="dxa"/>
          </w:tcPr>
          <w:p w14:paraId="53E2B15B" w14:textId="77777777" w:rsidR="00445530" w:rsidRPr="0095623D" w:rsidRDefault="003660A0" w:rsidP="00557736">
            <w:pPr>
              <w:pStyle w:val="ListParagraph"/>
              <w:ind w:left="0"/>
              <w:rPr>
                <w:rFonts w:ascii="Times New Roman" w:hAnsi="Times New Roman" w:cs="Times New Roman"/>
              </w:rPr>
            </w:pPr>
            <w:r w:rsidRPr="0095623D">
              <w:rPr>
                <w:rFonts w:ascii="Times New Roman" w:hAnsi="Times New Roman" w:cs="Times New Roman"/>
              </w:rPr>
              <w:t>0</w:t>
            </w:r>
          </w:p>
        </w:tc>
        <w:tc>
          <w:tcPr>
            <w:tcW w:w="1080" w:type="dxa"/>
          </w:tcPr>
          <w:p w14:paraId="53E2B15C" w14:textId="77777777" w:rsidR="00445530" w:rsidRPr="0095623D" w:rsidRDefault="004C4110" w:rsidP="004C4110">
            <w:pPr>
              <w:pStyle w:val="ListParagraph"/>
              <w:ind w:left="0"/>
              <w:rPr>
                <w:rFonts w:ascii="Times New Roman" w:hAnsi="Times New Roman" w:cs="Times New Roman"/>
              </w:rPr>
            </w:pPr>
            <w:r w:rsidRPr="0095623D">
              <w:rPr>
                <w:rFonts w:ascii="Times New Roman" w:hAnsi="Times New Roman" w:cs="Times New Roman"/>
              </w:rPr>
              <w:t>2</w:t>
            </w:r>
          </w:p>
        </w:tc>
        <w:tc>
          <w:tcPr>
            <w:tcW w:w="900" w:type="dxa"/>
          </w:tcPr>
          <w:p w14:paraId="53E2B15D"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0</w:t>
            </w:r>
          </w:p>
        </w:tc>
        <w:tc>
          <w:tcPr>
            <w:tcW w:w="1080" w:type="dxa"/>
          </w:tcPr>
          <w:p w14:paraId="53E2B15E"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N/A during current 3-year approval period</w:t>
            </w:r>
          </w:p>
        </w:tc>
      </w:tr>
      <w:tr w:rsidR="00445530" w14:paraId="53E2B169" w14:textId="77777777" w:rsidTr="00AB44CC">
        <w:tc>
          <w:tcPr>
            <w:tcW w:w="393" w:type="dxa"/>
          </w:tcPr>
          <w:p w14:paraId="53E2B160" w14:textId="77777777" w:rsidR="00445530" w:rsidRPr="0095623D" w:rsidRDefault="00445530" w:rsidP="00557736">
            <w:pPr>
              <w:rPr>
                <w:rFonts w:ascii="Times New Roman" w:hAnsi="Times New Roman" w:cs="Times New Roman"/>
              </w:rPr>
            </w:pPr>
            <w:r w:rsidRPr="0095623D">
              <w:rPr>
                <w:rFonts w:ascii="Times New Roman" w:hAnsi="Times New Roman" w:cs="Times New Roman"/>
              </w:rPr>
              <w:lastRenderedPageBreak/>
              <w:t>c.</w:t>
            </w:r>
          </w:p>
        </w:tc>
        <w:tc>
          <w:tcPr>
            <w:tcW w:w="1492" w:type="dxa"/>
          </w:tcPr>
          <w:p w14:paraId="53E2B161" w14:textId="77777777" w:rsidR="00445530" w:rsidRPr="0095623D" w:rsidRDefault="00445530" w:rsidP="00557736">
            <w:pPr>
              <w:rPr>
                <w:rFonts w:ascii="Times New Roman" w:hAnsi="Times New Roman" w:cs="Times New Roman"/>
              </w:rPr>
            </w:pPr>
            <w:r w:rsidRPr="0095623D">
              <w:rPr>
                <w:rFonts w:ascii="Times New Roman" w:hAnsi="Times New Roman" w:cs="Times New Roman"/>
              </w:rPr>
              <w:t>§30.107, Subpart B – Applications and Licenses</w:t>
            </w:r>
          </w:p>
          <w:p w14:paraId="53E2B162"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Discontinuance of Service</w:t>
            </w:r>
          </w:p>
        </w:tc>
        <w:tc>
          <w:tcPr>
            <w:tcW w:w="1440" w:type="dxa"/>
          </w:tcPr>
          <w:p w14:paraId="53E2B163"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0</w:t>
            </w:r>
          </w:p>
        </w:tc>
        <w:tc>
          <w:tcPr>
            <w:tcW w:w="1440" w:type="dxa"/>
          </w:tcPr>
          <w:p w14:paraId="53E2B164" w14:textId="77777777" w:rsidR="00445530" w:rsidRPr="0095623D" w:rsidRDefault="003660A0" w:rsidP="00557736">
            <w:pPr>
              <w:pStyle w:val="ListParagraph"/>
              <w:ind w:left="0"/>
              <w:rPr>
                <w:rFonts w:ascii="Times New Roman" w:hAnsi="Times New Roman" w:cs="Times New Roman"/>
              </w:rPr>
            </w:pPr>
            <w:r w:rsidRPr="0095623D">
              <w:rPr>
                <w:rFonts w:ascii="Times New Roman" w:hAnsi="Times New Roman" w:cs="Times New Roman"/>
              </w:rPr>
              <w:t>On occasion</w:t>
            </w:r>
          </w:p>
        </w:tc>
        <w:tc>
          <w:tcPr>
            <w:tcW w:w="1710" w:type="dxa"/>
          </w:tcPr>
          <w:p w14:paraId="53E2B165" w14:textId="77777777" w:rsidR="00445530" w:rsidRPr="0095623D" w:rsidRDefault="003660A0" w:rsidP="00557736">
            <w:pPr>
              <w:pStyle w:val="ListParagraph"/>
              <w:ind w:left="0"/>
              <w:rPr>
                <w:rFonts w:ascii="Times New Roman" w:hAnsi="Times New Roman" w:cs="Times New Roman"/>
              </w:rPr>
            </w:pPr>
            <w:r w:rsidRPr="0095623D">
              <w:rPr>
                <w:rFonts w:ascii="Times New Roman" w:hAnsi="Times New Roman" w:cs="Times New Roman"/>
              </w:rPr>
              <w:t>0</w:t>
            </w:r>
          </w:p>
        </w:tc>
        <w:tc>
          <w:tcPr>
            <w:tcW w:w="1080" w:type="dxa"/>
          </w:tcPr>
          <w:p w14:paraId="53E2B166" w14:textId="77777777" w:rsidR="00466DD7" w:rsidRPr="0095623D" w:rsidRDefault="00466DD7" w:rsidP="00557736">
            <w:pPr>
              <w:pStyle w:val="ListParagraph"/>
              <w:ind w:left="0"/>
              <w:rPr>
                <w:rFonts w:ascii="Times New Roman" w:hAnsi="Times New Roman" w:cs="Times New Roman"/>
              </w:rPr>
            </w:pPr>
            <w:r w:rsidRPr="0095623D">
              <w:rPr>
                <w:rFonts w:ascii="Times New Roman" w:hAnsi="Times New Roman" w:cs="Times New Roman"/>
              </w:rPr>
              <w:t>0.5</w:t>
            </w:r>
          </w:p>
        </w:tc>
        <w:tc>
          <w:tcPr>
            <w:tcW w:w="900" w:type="dxa"/>
          </w:tcPr>
          <w:p w14:paraId="53E2B167"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0</w:t>
            </w:r>
          </w:p>
        </w:tc>
        <w:tc>
          <w:tcPr>
            <w:tcW w:w="1080" w:type="dxa"/>
          </w:tcPr>
          <w:p w14:paraId="53E2B168"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N/A during current 3-year approval period</w:t>
            </w:r>
          </w:p>
        </w:tc>
      </w:tr>
      <w:tr w:rsidR="00445530" w14:paraId="53E2B174" w14:textId="77777777" w:rsidTr="00AB44CC">
        <w:tc>
          <w:tcPr>
            <w:tcW w:w="393" w:type="dxa"/>
          </w:tcPr>
          <w:p w14:paraId="53E2B16A" w14:textId="77777777" w:rsidR="00445530" w:rsidRPr="0095623D" w:rsidRDefault="00445530" w:rsidP="00557736">
            <w:pPr>
              <w:rPr>
                <w:rFonts w:ascii="Times New Roman" w:hAnsi="Times New Roman" w:cs="Times New Roman"/>
              </w:rPr>
            </w:pPr>
            <w:r w:rsidRPr="0095623D">
              <w:rPr>
                <w:rFonts w:ascii="Times New Roman" w:hAnsi="Times New Roman" w:cs="Times New Roman"/>
              </w:rPr>
              <w:t>d.</w:t>
            </w:r>
          </w:p>
        </w:tc>
        <w:tc>
          <w:tcPr>
            <w:tcW w:w="1492" w:type="dxa"/>
          </w:tcPr>
          <w:p w14:paraId="53E2B16B" w14:textId="77777777" w:rsidR="00445530" w:rsidRPr="0095623D" w:rsidRDefault="00445530" w:rsidP="00557736">
            <w:pPr>
              <w:rPr>
                <w:rFonts w:ascii="Times New Roman" w:hAnsi="Times New Roman" w:cs="Times New Roman"/>
              </w:rPr>
            </w:pPr>
            <w:r w:rsidRPr="0095623D">
              <w:rPr>
                <w:rFonts w:ascii="Times New Roman" w:hAnsi="Times New Roman" w:cs="Times New Roman"/>
              </w:rPr>
              <w:t>§30.205, Subpart C – Technical Standards</w:t>
            </w:r>
          </w:p>
          <w:p w14:paraId="53E2B16C" w14:textId="77777777" w:rsidR="00445530" w:rsidRPr="0095623D" w:rsidRDefault="00445530" w:rsidP="00557736">
            <w:pPr>
              <w:pStyle w:val="ListParagraph"/>
              <w:ind w:left="0"/>
              <w:rPr>
                <w:rFonts w:ascii="Times New Roman" w:hAnsi="Times New Roman" w:cs="Times New Roman"/>
              </w:rPr>
            </w:pPr>
            <w:r w:rsidRPr="0095623D">
              <w:rPr>
                <w:rFonts w:ascii="Times New Roman" w:hAnsi="Times New Roman" w:cs="Times New Roman"/>
              </w:rPr>
              <w:t>Information Sharing Requirements</w:t>
            </w:r>
          </w:p>
        </w:tc>
        <w:tc>
          <w:tcPr>
            <w:tcW w:w="1440" w:type="dxa"/>
          </w:tcPr>
          <w:p w14:paraId="53E2B16D" w14:textId="77777777" w:rsidR="00E8016D" w:rsidRPr="0095623D" w:rsidRDefault="007F6F1D" w:rsidP="00557736">
            <w:pPr>
              <w:pStyle w:val="ListParagraph"/>
              <w:ind w:left="0"/>
              <w:rPr>
                <w:rFonts w:ascii="Times New Roman" w:hAnsi="Times New Roman" w:cs="Times New Roman"/>
              </w:rPr>
            </w:pPr>
            <w:r w:rsidRPr="0095623D">
              <w:rPr>
                <w:rFonts w:ascii="Times New Roman" w:hAnsi="Times New Roman" w:cs="Times New Roman"/>
              </w:rPr>
              <w:t>5</w:t>
            </w:r>
          </w:p>
        </w:tc>
        <w:tc>
          <w:tcPr>
            <w:tcW w:w="1440" w:type="dxa"/>
          </w:tcPr>
          <w:p w14:paraId="53E2B16E" w14:textId="77777777" w:rsidR="00390B3C" w:rsidRDefault="004C4110" w:rsidP="00557736">
            <w:pPr>
              <w:pStyle w:val="ListParagraph"/>
              <w:ind w:left="0"/>
              <w:rPr>
                <w:rFonts w:ascii="Times New Roman" w:hAnsi="Times New Roman" w:cs="Times New Roman"/>
              </w:rPr>
            </w:pPr>
            <w:r w:rsidRPr="0095623D">
              <w:rPr>
                <w:rFonts w:ascii="Times New Roman" w:hAnsi="Times New Roman" w:cs="Times New Roman"/>
              </w:rPr>
              <w:t>On occasion</w:t>
            </w:r>
            <w:r w:rsidR="00390B3C">
              <w:rPr>
                <w:rFonts w:ascii="Times New Roman" w:hAnsi="Times New Roman" w:cs="Times New Roman"/>
              </w:rPr>
              <w:t>,</w:t>
            </w:r>
          </w:p>
          <w:p w14:paraId="53E2B16F" w14:textId="77777777" w:rsidR="00390B3C" w:rsidRPr="0095623D" w:rsidRDefault="00390B3C" w:rsidP="00557736">
            <w:pPr>
              <w:pStyle w:val="ListParagraph"/>
              <w:ind w:left="0"/>
              <w:rPr>
                <w:rFonts w:ascii="Times New Roman" w:hAnsi="Times New Roman" w:cs="Times New Roman"/>
              </w:rPr>
            </w:pPr>
            <w:r>
              <w:rPr>
                <w:rFonts w:ascii="Times New Roman" w:hAnsi="Times New Roman" w:cs="Times New Roman"/>
              </w:rPr>
              <w:t>Third party disclosure, Record keeping Requirement</w:t>
            </w:r>
          </w:p>
        </w:tc>
        <w:tc>
          <w:tcPr>
            <w:tcW w:w="1710" w:type="dxa"/>
          </w:tcPr>
          <w:p w14:paraId="53E2B170" w14:textId="77777777" w:rsidR="00E8016D" w:rsidRPr="0095623D" w:rsidRDefault="007F6F1D" w:rsidP="00557736">
            <w:pPr>
              <w:pStyle w:val="ListParagraph"/>
              <w:ind w:left="0"/>
              <w:rPr>
                <w:rFonts w:ascii="Times New Roman" w:hAnsi="Times New Roman" w:cs="Times New Roman"/>
              </w:rPr>
            </w:pPr>
            <w:r w:rsidRPr="0095623D">
              <w:rPr>
                <w:rFonts w:ascii="Times New Roman" w:hAnsi="Times New Roman" w:cs="Times New Roman"/>
              </w:rPr>
              <w:t>100</w:t>
            </w:r>
          </w:p>
        </w:tc>
        <w:tc>
          <w:tcPr>
            <w:tcW w:w="1080" w:type="dxa"/>
          </w:tcPr>
          <w:p w14:paraId="53E2B171" w14:textId="77777777" w:rsidR="00445530" w:rsidRPr="0095623D" w:rsidRDefault="00466DD7" w:rsidP="00557736">
            <w:pPr>
              <w:pStyle w:val="ListParagraph"/>
              <w:ind w:left="0"/>
              <w:rPr>
                <w:rFonts w:ascii="Times New Roman" w:hAnsi="Times New Roman" w:cs="Times New Roman"/>
              </w:rPr>
            </w:pPr>
            <w:r w:rsidRPr="0095623D">
              <w:rPr>
                <w:rFonts w:ascii="Times New Roman" w:hAnsi="Times New Roman" w:cs="Times New Roman"/>
              </w:rPr>
              <w:t>10</w:t>
            </w:r>
          </w:p>
        </w:tc>
        <w:tc>
          <w:tcPr>
            <w:tcW w:w="900" w:type="dxa"/>
          </w:tcPr>
          <w:p w14:paraId="53E2B172" w14:textId="77777777" w:rsidR="00445530" w:rsidRPr="0095623D" w:rsidRDefault="007F6F1D" w:rsidP="00557736">
            <w:pPr>
              <w:pStyle w:val="ListParagraph"/>
              <w:ind w:left="0"/>
              <w:rPr>
                <w:rFonts w:ascii="Times New Roman" w:hAnsi="Times New Roman" w:cs="Times New Roman"/>
              </w:rPr>
            </w:pPr>
            <w:r w:rsidRPr="0095623D">
              <w:rPr>
                <w:rFonts w:ascii="Times New Roman" w:hAnsi="Times New Roman" w:cs="Times New Roman"/>
              </w:rPr>
              <w:t>5,000</w:t>
            </w:r>
          </w:p>
        </w:tc>
        <w:tc>
          <w:tcPr>
            <w:tcW w:w="1080" w:type="dxa"/>
          </w:tcPr>
          <w:p w14:paraId="53E2B173" w14:textId="77777777" w:rsidR="00445530" w:rsidRPr="0095623D" w:rsidRDefault="004C4110" w:rsidP="00557736">
            <w:pPr>
              <w:pStyle w:val="ListParagraph"/>
              <w:ind w:left="0"/>
              <w:rPr>
                <w:rFonts w:ascii="Times New Roman" w:hAnsi="Times New Roman" w:cs="Times New Roman"/>
              </w:rPr>
            </w:pPr>
            <w:r w:rsidRPr="0095623D">
              <w:rPr>
                <w:rFonts w:ascii="Times New Roman" w:hAnsi="Times New Roman" w:cs="Times New Roman"/>
              </w:rPr>
              <w:t>Shortly after adoption of rules</w:t>
            </w:r>
          </w:p>
        </w:tc>
      </w:tr>
      <w:tr w:rsidR="003660A0" w14:paraId="53E2B17D" w14:textId="77777777" w:rsidTr="00AB44CC">
        <w:tc>
          <w:tcPr>
            <w:tcW w:w="393" w:type="dxa"/>
          </w:tcPr>
          <w:p w14:paraId="53E2B175" w14:textId="77777777" w:rsidR="003660A0" w:rsidRPr="0095623D" w:rsidRDefault="003660A0" w:rsidP="00557736">
            <w:pPr>
              <w:rPr>
                <w:rFonts w:ascii="Times New Roman" w:hAnsi="Times New Roman" w:cs="Times New Roman"/>
              </w:rPr>
            </w:pPr>
          </w:p>
        </w:tc>
        <w:tc>
          <w:tcPr>
            <w:tcW w:w="1492" w:type="dxa"/>
          </w:tcPr>
          <w:p w14:paraId="53E2B176" w14:textId="77777777" w:rsidR="003660A0" w:rsidRPr="00AB44CC" w:rsidRDefault="003660A0" w:rsidP="00557736">
            <w:pPr>
              <w:rPr>
                <w:rFonts w:ascii="Times New Roman" w:hAnsi="Times New Roman" w:cs="Times New Roman"/>
                <w:b/>
              </w:rPr>
            </w:pPr>
            <w:r w:rsidRPr="00AB44CC">
              <w:rPr>
                <w:rFonts w:ascii="Times New Roman" w:hAnsi="Times New Roman" w:cs="Times New Roman"/>
                <w:b/>
              </w:rPr>
              <w:t>Totals:</w:t>
            </w:r>
          </w:p>
        </w:tc>
        <w:tc>
          <w:tcPr>
            <w:tcW w:w="1440" w:type="dxa"/>
          </w:tcPr>
          <w:p w14:paraId="53E2B177" w14:textId="77777777" w:rsidR="003660A0" w:rsidRPr="00AB44CC" w:rsidRDefault="00A903AD" w:rsidP="00557736">
            <w:pPr>
              <w:pStyle w:val="ListParagraph"/>
              <w:ind w:left="0"/>
              <w:rPr>
                <w:rFonts w:ascii="Times New Roman" w:hAnsi="Times New Roman" w:cs="Times New Roman"/>
                <w:b/>
              </w:rPr>
            </w:pPr>
            <w:r w:rsidRPr="00AB44CC">
              <w:rPr>
                <w:rFonts w:ascii="Times New Roman" w:hAnsi="Times New Roman" w:cs="Times New Roman"/>
                <w:b/>
              </w:rPr>
              <w:t>35</w:t>
            </w:r>
          </w:p>
        </w:tc>
        <w:tc>
          <w:tcPr>
            <w:tcW w:w="1440" w:type="dxa"/>
          </w:tcPr>
          <w:p w14:paraId="53E2B178" w14:textId="77777777" w:rsidR="003660A0" w:rsidRPr="00AB44CC" w:rsidRDefault="003660A0" w:rsidP="00557736">
            <w:pPr>
              <w:pStyle w:val="ListParagraph"/>
              <w:ind w:left="0"/>
              <w:rPr>
                <w:rFonts w:ascii="Times New Roman" w:hAnsi="Times New Roman" w:cs="Times New Roman"/>
                <w:b/>
              </w:rPr>
            </w:pPr>
          </w:p>
        </w:tc>
        <w:tc>
          <w:tcPr>
            <w:tcW w:w="1710" w:type="dxa"/>
          </w:tcPr>
          <w:p w14:paraId="53E2B179" w14:textId="77777777" w:rsidR="003660A0" w:rsidRPr="00AB44CC" w:rsidRDefault="00A903AD" w:rsidP="00557736">
            <w:pPr>
              <w:pStyle w:val="ListParagraph"/>
              <w:ind w:left="0"/>
              <w:rPr>
                <w:rFonts w:ascii="Times New Roman" w:hAnsi="Times New Roman" w:cs="Times New Roman"/>
                <w:b/>
              </w:rPr>
            </w:pPr>
            <w:r w:rsidRPr="00AB44CC">
              <w:rPr>
                <w:rFonts w:ascii="Times New Roman" w:hAnsi="Times New Roman" w:cs="Times New Roman"/>
                <w:b/>
              </w:rPr>
              <w:t>130</w:t>
            </w:r>
          </w:p>
        </w:tc>
        <w:tc>
          <w:tcPr>
            <w:tcW w:w="1080" w:type="dxa"/>
          </w:tcPr>
          <w:p w14:paraId="53E2B17A" w14:textId="77777777" w:rsidR="003660A0" w:rsidRPr="00AB44CC" w:rsidRDefault="004C4110" w:rsidP="00557736">
            <w:pPr>
              <w:pStyle w:val="ListParagraph"/>
              <w:ind w:left="0"/>
              <w:rPr>
                <w:rFonts w:ascii="Times New Roman" w:hAnsi="Times New Roman" w:cs="Times New Roman"/>
                <w:b/>
              </w:rPr>
            </w:pPr>
            <w:r w:rsidRPr="00AB44CC">
              <w:rPr>
                <w:rFonts w:ascii="Times New Roman" w:hAnsi="Times New Roman" w:cs="Times New Roman"/>
                <w:b/>
              </w:rPr>
              <w:t>.5-10</w:t>
            </w:r>
          </w:p>
        </w:tc>
        <w:tc>
          <w:tcPr>
            <w:tcW w:w="900" w:type="dxa"/>
          </w:tcPr>
          <w:p w14:paraId="53E2B17B" w14:textId="77777777" w:rsidR="003660A0" w:rsidRPr="00AB44CC" w:rsidRDefault="004C4110" w:rsidP="00557736">
            <w:pPr>
              <w:pStyle w:val="ListParagraph"/>
              <w:ind w:left="0"/>
              <w:rPr>
                <w:rFonts w:ascii="Times New Roman" w:hAnsi="Times New Roman" w:cs="Times New Roman"/>
                <w:b/>
              </w:rPr>
            </w:pPr>
            <w:r w:rsidRPr="00AB44CC">
              <w:rPr>
                <w:rFonts w:ascii="Times New Roman" w:hAnsi="Times New Roman" w:cs="Times New Roman"/>
                <w:b/>
              </w:rPr>
              <w:t>5</w:t>
            </w:r>
            <w:r w:rsidR="00A903AD" w:rsidRPr="00AB44CC">
              <w:rPr>
                <w:rFonts w:ascii="Times New Roman" w:hAnsi="Times New Roman" w:cs="Times New Roman"/>
                <w:b/>
              </w:rPr>
              <w:t>,0</w:t>
            </w:r>
            <w:r w:rsidR="003660A0" w:rsidRPr="00AB44CC">
              <w:rPr>
                <w:rFonts w:ascii="Times New Roman" w:hAnsi="Times New Roman" w:cs="Times New Roman"/>
                <w:b/>
              </w:rPr>
              <w:t>15</w:t>
            </w:r>
          </w:p>
        </w:tc>
        <w:tc>
          <w:tcPr>
            <w:tcW w:w="1080" w:type="dxa"/>
          </w:tcPr>
          <w:p w14:paraId="53E2B17C" w14:textId="77777777" w:rsidR="003660A0" w:rsidRPr="0095623D" w:rsidRDefault="003660A0" w:rsidP="00557736">
            <w:pPr>
              <w:pStyle w:val="ListParagraph"/>
              <w:ind w:left="0"/>
              <w:rPr>
                <w:rFonts w:ascii="Times New Roman" w:hAnsi="Times New Roman" w:cs="Times New Roman"/>
              </w:rPr>
            </w:pPr>
          </w:p>
        </w:tc>
      </w:tr>
    </w:tbl>
    <w:p w14:paraId="53E2B17E" w14:textId="77777777" w:rsidR="00485A16" w:rsidRDefault="000013EF" w:rsidP="00061F1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14:paraId="53E2B17F" w14:textId="77777777" w:rsidR="00721189" w:rsidRDefault="00721189" w:rsidP="00061F14">
      <w:pPr>
        <w:pStyle w:val="ListParagraph"/>
        <w:spacing w:after="0" w:line="240" w:lineRule="auto"/>
        <w:ind w:left="0"/>
        <w:rPr>
          <w:rFonts w:ascii="Times New Roman" w:hAnsi="Times New Roman" w:cs="Times New Roman"/>
          <w:sz w:val="24"/>
          <w:szCs w:val="24"/>
        </w:rPr>
      </w:pPr>
      <w:r w:rsidRPr="00EA2D0F">
        <w:rPr>
          <w:rFonts w:ascii="Times New Roman" w:hAnsi="Times New Roman" w:cs="Times New Roman"/>
          <w:b/>
          <w:sz w:val="24"/>
          <w:szCs w:val="24"/>
        </w:rPr>
        <w:t>12</w:t>
      </w:r>
      <w:r w:rsidR="00EA2D0F" w:rsidRPr="00EA2D0F">
        <w:rPr>
          <w:rFonts w:ascii="Times New Roman" w:hAnsi="Times New Roman" w:cs="Times New Roman"/>
          <w:b/>
          <w:sz w:val="24"/>
          <w:szCs w:val="24"/>
        </w:rPr>
        <w:t>-</w:t>
      </w:r>
      <w:r w:rsidRPr="00EA2D0F">
        <w:rPr>
          <w:rFonts w:ascii="Times New Roman" w:hAnsi="Times New Roman" w:cs="Times New Roman"/>
          <w:b/>
          <w:sz w:val="24"/>
          <w:szCs w:val="24"/>
        </w:rPr>
        <w:t>a.</w:t>
      </w:r>
      <w:r>
        <w:rPr>
          <w:rFonts w:ascii="Times New Roman" w:hAnsi="Times New Roman" w:cs="Times New Roman"/>
          <w:sz w:val="24"/>
          <w:szCs w:val="24"/>
        </w:rPr>
        <w:tab/>
      </w:r>
      <w:r w:rsidRPr="00B24A11">
        <w:rPr>
          <w:rFonts w:ascii="Times New Roman" w:hAnsi="Times New Roman" w:cs="Times New Roman"/>
          <w:i/>
          <w:sz w:val="24"/>
          <w:szCs w:val="24"/>
        </w:rPr>
        <w:t xml:space="preserve">Reporting ‒ </w:t>
      </w:r>
      <w:r w:rsidR="00B24A11" w:rsidRPr="00B24A11">
        <w:rPr>
          <w:rFonts w:ascii="Times New Roman" w:hAnsi="Times New Roman" w:cs="Times New Roman"/>
          <w:i/>
          <w:sz w:val="24"/>
          <w:szCs w:val="24"/>
        </w:rPr>
        <w:t xml:space="preserve">Compliance with </w:t>
      </w:r>
      <w:r w:rsidRPr="00B24A11">
        <w:rPr>
          <w:rFonts w:ascii="Times New Roman" w:hAnsi="Times New Roman" w:cs="Times New Roman"/>
          <w:i/>
          <w:sz w:val="24"/>
          <w:szCs w:val="24"/>
        </w:rPr>
        <w:t>§30.3, Eligibility, Foreign ownership reports.</w:t>
      </w:r>
      <w:r>
        <w:rPr>
          <w:rFonts w:ascii="Times New Roman" w:hAnsi="Times New Roman" w:cs="Times New Roman"/>
          <w:sz w:val="24"/>
          <w:szCs w:val="24"/>
        </w:rPr>
        <w:t xml:space="preserve"> </w:t>
      </w:r>
      <w:r w:rsidR="00A33665">
        <w:rPr>
          <w:rFonts w:ascii="Times New Roman" w:hAnsi="Times New Roman" w:cs="Times New Roman"/>
          <w:sz w:val="24"/>
          <w:szCs w:val="24"/>
        </w:rPr>
        <w:t xml:space="preserve">The Commission seeks approval for the estimated </w:t>
      </w:r>
      <w:r w:rsidR="00901AB9">
        <w:rPr>
          <w:rFonts w:ascii="Times New Roman" w:hAnsi="Times New Roman" w:cs="Times New Roman"/>
          <w:sz w:val="24"/>
          <w:szCs w:val="24"/>
        </w:rPr>
        <w:t xml:space="preserve">burden of 0.5 hours to complete a filing and from 30 possible (respondents) licensees maybe one respondent will submit a response at least once </w:t>
      </w:r>
      <w:r w:rsidR="00901AB9" w:rsidRPr="0084287F">
        <w:rPr>
          <w:rFonts w:ascii="Times New Roman" w:hAnsi="Times New Roman" w:cs="Times New Roman"/>
          <w:sz w:val="24"/>
          <w:szCs w:val="24"/>
        </w:rPr>
        <w:t xml:space="preserve">per year.  </w:t>
      </w:r>
      <w:r w:rsidR="0001630E" w:rsidRPr="0084287F">
        <w:rPr>
          <w:rFonts w:ascii="Times New Roman" w:hAnsi="Times New Roman" w:cs="Times New Roman"/>
          <w:sz w:val="24"/>
          <w:szCs w:val="24"/>
        </w:rPr>
        <w:t>The Commission estimates that an in-house attorney paid at an hourly rate of $66.88/hour will make the filing.</w:t>
      </w:r>
    </w:p>
    <w:p w14:paraId="53E2B180" w14:textId="77777777" w:rsidR="00901AB9" w:rsidRDefault="00901AB9" w:rsidP="00061F14">
      <w:pPr>
        <w:pStyle w:val="ListParagraph"/>
        <w:spacing w:after="0" w:line="240" w:lineRule="auto"/>
        <w:ind w:left="0"/>
        <w:rPr>
          <w:rFonts w:ascii="Times New Roman" w:hAnsi="Times New Roman" w:cs="Times New Roman"/>
          <w:sz w:val="24"/>
          <w:szCs w:val="24"/>
        </w:rPr>
      </w:pPr>
    </w:p>
    <w:p w14:paraId="53E2B181" w14:textId="77777777" w:rsidR="00901AB9" w:rsidRDefault="00837D88" w:rsidP="00061F14">
      <w:pPr>
        <w:pStyle w:val="ListParagraph"/>
        <w:spacing w:after="0" w:line="240" w:lineRule="auto"/>
        <w:ind w:left="0"/>
        <w:rPr>
          <w:rFonts w:ascii="Times New Roman" w:hAnsi="Times New Roman" w:cs="Times New Roman"/>
          <w:b/>
          <w:sz w:val="24"/>
          <w:szCs w:val="24"/>
        </w:rPr>
      </w:pPr>
      <w:r w:rsidRPr="00837D88">
        <w:rPr>
          <w:rFonts w:ascii="Times New Roman" w:hAnsi="Times New Roman" w:cs="Times New Roman"/>
          <w:b/>
          <w:sz w:val="24"/>
          <w:szCs w:val="24"/>
        </w:rPr>
        <w:t>Annual Burden:</w:t>
      </w:r>
      <w:r>
        <w:rPr>
          <w:rFonts w:ascii="Times New Roman" w:hAnsi="Times New Roman" w:cs="Times New Roman"/>
          <w:sz w:val="24"/>
          <w:szCs w:val="24"/>
        </w:rPr>
        <w:t xml:space="preserve"> </w:t>
      </w:r>
      <w:r w:rsidR="00901AB9">
        <w:rPr>
          <w:rFonts w:ascii="Times New Roman" w:hAnsi="Times New Roman" w:cs="Times New Roman"/>
          <w:sz w:val="24"/>
          <w:szCs w:val="24"/>
        </w:rPr>
        <w:t xml:space="preserve">30 respondents x 1 response </w:t>
      </w:r>
      <w:r w:rsidR="00EA2D0F">
        <w:rPr>
          <w:rFonts w:ascii="Times New Roman" w:hAnsi="Times New Roman" w:cs="Times New Roman"/>
          <w:sz w:val="24"/>
          <w:szCs w:val="24"/>
        </w:rPr>
        <w:t xml:space="preserve">each </w:t>
      </w:r>
      <w:r w:rsidR="00901AB9">
        <w:rPr>
          <w:rFonts w:ascii="Times New Roman" w:hAnsi="Times New Roman" w:cs="Times New Roman"/>
          <w:sz w:val="24"/>
          <w:szCs w:val="24"/>
        </w:rPr>
        <w:t xml:space="preserve">x 0.5 hours per response = </w:t>
      </w:r>
      <w:r w:rsidR="00901AB9" w:rsidRPr="00EA2D0F">
        <w:rPr>
          <w:rFonts w:ascii="Times New Roman" w:hAnsi="Times New Roman" w:cs="Times New Roman"/>
          <w:b/>
          <w:sz w:val="24"/>
          <w:szCs w:val="24"/>
        </w:rPr>
        <w:t>15 hours</w:t>
      </w:r>
      <w:r w:rsidR="00EA2D0F">
        <w:rPr>
          <w:rFonts w:ascii="Times New Roman" w:hAnsi="Times New Roman" w:cs="Times New Roman"/>
          <w:b/>
          <w:sz w:val="24"/>
          <w:szCs w:val="24"/>
        </w:rPr>
        <w:t>.</w:t>
      </w:r>
    </w:p>
    <w:p w14:paraId="53E2B182" w14:textId="77777777" w:rsidR="005F6619" w:rsidRDefault="005F6619" w:rsidP="00061F14">
      <w:pPr>
        <w:pStyle w:val="ListParagraph"/>
        <w:spacing w:after="0" w:line="240" w:lineRule="auto"/>
        <w:ind w:left="0"/>
        <w:rPr>
          <w:rFonts w:ascii="Times New Roman" w:hAnsi="Times New Roman" w:cs="Times New Roman"/>
          <w:b/>
          <w:sz w:val="24"/>
          <w:szCs w:val="24"/>
        </w:rPr>
      </w:pPr>
    </w:p>
    <w:p w14:paraId="53E2B183" w14:textId="77777777" w:rsidR="006725BF" w:rsidRDefault="006725BF" w:rsidP="00061F14">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In-House </w:t>
      </w:r>
      <w:r w:rsidR="005F6619">
        <w:rPr>
          <w:rFonts w:ascii="Times New Roman" w:hAnsi="Times New Roman" w:cs="Times New Roman"/>
          <w:b/>
          <w:sz w:val="24"/>
          <w:szCs w:val="24"/>
        </w:rPr>
        <w:t xml:space="preserve">Staff </w:t>
      </w:r>
      <w:r>
        <w:rPr>
          <w:rFonts w:ascii="Times New Roman" w:hAnsi="Times New Roman" w:cs="Times New Roman"/>
          <w:b/>
          <w:sz w:val="24"/>
          <w:szCs w:val="24"/>
        </w:rPr>
        <w:t xml:space="preserve">Cost:  </w:t>
      </w:r>
      <w:r w:rsidR="007F6F1D">
        <w:rPr>
          <w:rFonts w:ascii="Times New Roman" w:hAnsi="Times New Roman" w:cs="Times New Roman"/>
          <w:sz w:val="24"/>
          <w:szCs w:val="24"/>
        </w:rPr>
        <w:t xml:space="preserve">30 </w:t>
      </w:r>
      <w:r w:rsidRPr="00837D88">
        <w:rPr>
          <w:rFonts w:ascii="Times New Roman" w:hAnsi="Times New Roman" w:cs="Times New Roman"/>
          <w:sz w:val="24"/>
          <w:szCs w:val="24"/>
        </w:rPr>
        <w:t>respondents x 1 respon</w:t>
      </w:r>
      <w:r w:rsidR="005F6619">
        <w:rPr>
          <w:rFonts w:ascii="Times New Roman" w:hAnsi="Times New Roman" w:cs="Times New Roman"/>
          <w:sz w:val="24"/>
          <w:szCs w:val="24"/>
        </w:rPr>
        <w:t>se each x</w:t>
      </w:r>
      <w:r w:rsidR="00DF6953">
        <w:rPr>
          <w:rFonts w:ascii="Times New Roman" w:hAnsi="Times New Roman" w:cs="Times New Roman"/>
          <w:sz w:val="24"/>
          <w:szCs w:val="24"/>
        </w:rPr>
        <w:t xml:space="preserve"> 0.5 hour</w:t>
      </w:r>
      <w:r w:rsidR="005F6619">
        <w:rPr>
          <w:rFonts w:ascii="Times New Roman" w:hAnsi="Times New Roman" w:cs="Times New Roman"/>
          <w:sz w:val="24"/>
          <w:szCs w:val="24"/>
        </w:rPr>
        <w:t xml:space="preserve"> of </w:t>
      </w:r>
      <w:r w:rsidRPr="00837D88">
        <w:rPr>
          <w:rFonts w:ascii="Times New Roman" w:hAnsi="Times New Roman" w:cs="Times New Roman"/>
          <w:sz w:val="24"/>
          <w:szCs w:val="24"/>
        </w:rPr>
        <w:t xml:space="preserve">attorney time per response x </w:t>
      </w:r>
      <w:r w:rsidR="005F6619">
        <w:rPr>
          <w:rFonts w:ascii="Times New Roman" w:hAnsi="Times New Roman" w:cs="Times New Roman"/>
          <w:sz w:val="24"/>
          <w:szCs w:val="24"/>
        </w:rPr>
        <w:t>$66.88</w:t>
      </w:r>
      <w:r w:rsidR="00837D88" w:rsidRPr="00837D88">
        <w:rPr>
          <w:rFonts w:ascii="Times New Roman" w:hAnsi="Times New Roman" w:cs="Times New Roman"/>
          <w:sz w:val="24"/>
          <w:szCs w:val="24"/>
        </w:rPr>
        <w:t>/hour =</w:t>
      </w:r>
      <w:r w:rsidR="005F6619">
        <w:rPr>
          <w:rFonts w:ascii="Times New Roman" w:hAnsi="Times New Roman" w:cs="Times New Roman"/>
          <w:b/>
          <w:sz w:val="24"/>
          <w:szCs w:val="24"/>
        </w:rPr>
        <w:t xml:space="preserve"> $</w:t>
      </w:r>
      <w:r w:rsidR="007F6F1D">
        <w:rPr>
          <w:rFonts w:ascii="Times New Roman" w:hAnsi="Times New Roman" w:cs="Times New Roman"/>
          <w:b/>
          <w:sz w:val="24"/>
          <w:szCs w:val="24"/>
        </w:rPr>
        <w:t>1,003.20</w:t>
      </w:r>
      <w:r w:rsidR="00837D88">
        <w:rPr>
          <w:rFonts w:ascii="Times New Roman" w:hAnsi="Times New Roman" w:cs="Times New Roman"/>
          <w:b/>
          <w:sz w:val="24"/>
          <w:szCs w:val="24"/>
        </w:rPr>
        <w:t>.</w:t>
      </w:r>
    </w:p>
    <w:p w14:paraId="53E2B184" w14:textId="77777777" w:rsidR="005F6619" w:rsidRDefault="005F6619" w:rsidP="00061F14">
      <w:pPr>
        <w:pStyle w:val="ListParagraph"/>
        <w:spacing w:after="0" w:line="240" w:lineRule="auto"/>
        <w:ind w:left="0"/>
        <w:rPr>
          <w:rFonts w:ascii="Times New Roman" w:hAnsi="Times New Roman" w:cs="Times New Roman"/>
          <w:b/>
          <w:sz w:val="24"/>
          <w:szCs w:val="24"/>
        </w:rPr>
      </w:pPr>
    </w:p>
    <w:p w14:paraId="53E2B185" w14:textId="77777777" w:rsidR="00F335FA" w:rsidRDefault="00901AB9" w:rsidP="00723344">
      <w:pPr>
        <w:pStyle w:val="ListParagraph"/>
        <w:spacing w:after="0" w:line="240" w:lineRule="auto"/>
        <w:ind w:left="0"/>
        <w:rPr>
          <w:rFonts w:ascii="Times New Roman" w:hAnsi="Times New Roman" w:cs="Times New Roman"/>
          <w:sz w:val="24"/>
          <w:szCs w:val="24"/>
        </w:rPr>
      </w:pPr>
      <w:r w:rsidRPr="00EA2D0F">
        <w:rPr>
          <w:rFonts w:ascii="Times New Roman" w:hAnsi="Times New Roman" w:cs="Times New Roman"/>
          <w:b/>
          <w:sz w:val="24"/>
          <w:szCs w:val="24"/>
        </w:rPr>
        <w:t>12</w:t>
      </w:r>
      <w:r w:rsidR="00EA2D0F" w:rsidRPr="00EA2D0F">
        <w:rPr>
          <w:rFonts w:ascii="Times New Roman" w:hAnsi="Times New Roman" w:cs="Times New Roman"/>
          <w:b/>
          <w:sz w:val="24"/>
          <w:szCs w:val="24"/>
        </w:rPr>
        <w:t>-</w:t>
      </w:r>
      <w:r w:rsidRPr="00EA2D0F">
        <w:rPr>
          <w:rFonts w:ascii="Times New Roman" w:hAnsi="Times New Roman" w:cs="Times New Roman"/>
          <w:b/>
          <w:sz w:val="24"/>
          <w:szCs w:val="24"/>
        </w:rPr>
        <w:t>b.</w:t>
      </w:r>
      <w:r>
        <w:rPr>
          <w:rFonts w:ascii="Times New Roman" w:hAnsi="Times New Roman" w:cs="Times New Roman"/>
          <w:sz w:val="24"/>
          <w:szCs w:val="24"/>
        </w:rPr>
        <w:tab/>
      </w:r>
      <w:r w:rsidR="00723344" w:rsidRPr="00B24A11">
        <w:rPr>
          <w:rFonts w:ascii="Times New Roman" w:hAnsi="Times New Roman" w:cs="Times New Roman"/>
          <w:i/>
          <w:sz w:val="24"/>
          <w:szCs w:val="24"/>
        </w:rPr>
        <w:t xml:space="preserve">Reporting </w:t>
      </w:r>
      <w:r w:rsidR="00B24A11" w:rsidRPr="00B24A11">
        <w:rPr>
          <w:rFonts w:ascii="Times New Roman" w:hAnsi="Times New Roman" w:cs="Times New Roman"/>
          <w:i/>
          <w:sz w:val="24"/>
          <w:szCs w:val="24"/>
        </w:rPr>
        <w:t xml:space="preserve">‒ Compliance with </w:t>
      </w:r>
      <w:r w:rsidR="00723344" w:rsidRPr="00B24A11">
        <w:rPr>
          <w:rFonts w:ascii="Times New Roman" w:hAnsi="Times New Roman" w:cs="Times New Roman"/>
          <w:i/>
          <w:sz w:val="24"/>
          <w:szCs w:val="24"/>
        </w:rPr>
        <w:t>§30.105, Subpart B – Applications and Licenses</w:t>
      </w:r>
      <w:r w:rsidR="005720E6" w:rsidRPr="00B24A11">
        <w:rPr>
          <w:rFonts w:ascii="Times New Roman" w:hAnsi="Times New Roman" w:cs="Times New Roman"/>
          <w:i/>
          <w:sz w:val="24"/>
          <w:szCs w:val="24"/>
        </w:rPr>
        <w:t xml:space="preserve">, </w:t>
      </w:r>
      <w:r w:rsidR="00723344" w:rsidRPr="00B24A11">
        <w:rPr>
          <w:rFonts w:ascii="Times New Roman" w:hAnsi="Times New Roman" w:cs="Times New Roman"/>
          <w:i/>
          <w:sz w:val="24"/>
          <w:szCs w:val="24"/>
        </w:rPr>
        <w:t>Construction requirements</w:t>
      </w:r>
      <w:r w:rsidR="00F335FA" w:rsidRPr="00B24A11">
        <w:rPr>
          <w:rFonts w:ascii="Times New Roman" w:hAnsi="Times New Roman" w:cs="Times New Roman"/>
          <w:i/>
          <w:sz w:val="24"/>
          <w:szCs w:val="24"/>
        </w:rPr>
        <w:t>.</w:t>
      </w:r>
      <w:r w:rsidR="00B24A11">
        <w:rPr>
          <w:rFonts w:ascii="Times New Roman" w:hAnsi="Times New Roman" w:cs="Times New Roman"/>
          <w:sz w:val="24"/>
          <w:szCs w:val="24"/>
        </w:rPr>
        <w:t xml:space="preserve">  </w:t>
      </w:r>
      <w:r w:rsidR="00F335FA">
        <w:rPr>
          <w:rFonts w:ascii="Times New Roman" w:hAnsi="Times New Roman" w:cs="Times New Roman"/>
          <w:sz w:val="24"/>
          <w:szCs w:val="24"/>
        </w:rPr>
        <w:t xml:space="preserve">The Commission requires that </w:t>
      </w:r>
      <w:r w:rsidR="00F335FA" w:rsidRPr="00F335FA">
        <w:rPr>
          <w:rFonts w:ascii="Times New Roman" w:hAnsi="Times New Roman" w:cs="Times New Roman"/>
          <w:sz w:val="24"/>
          <w:szCs w:val="24"/>
        </w:rPr>
        <w:t>Upper Microwave Flexible Use Service licensees</w:t>
      </w:r>
      <w:r w:rsidR="00F335FA">
        <w:rPr>
          <w:rFonts w:ascii="Times New Roman" w:hAnsi="Times New Roman" w:cs="Times New Roman"/>
          <w:sz w:val="24"/>
          <w:szCs w:val="24"/>
        </w:rPr>
        <w:t xml:space="preserve"> shall demonstrate compliance with their performance requirements by filing a construction notification with the Commission</w:t>
      </w:r>
      <w:r w:rsidR="00B24A11">
        <w:rPr>
          <w:rFonts w:ascii="Times New Roman" w:hAnsi="Times New Roman" w:cs="Times New Roman"/>
          <w:sz w:val="24"/>
          <w:szCs w:val="24"/>
        </w:rPr>
        <w:t>.  The first renewal period should be</w:t>
      </w:r>
      <w:r w:rsidR="001537C3">
        <w:rPr>
          <w:rFonts w:ascii="Times New Roman" w:hAnsi="Times New Roman" w:cs="Times New Roman"/>
          <w:sz w:val="24"/>
          <w:szCs w:val="24"/>
        </w:rPr>
        <w:t xml:space="preserve"> </w:t>
      </w:r>
      <w:r w:rsidR="00341D88">
        <w:rPr>
          <w:rFonts w:ascii="Times New Roman" w:hAnsi="Times New Roman" w:cs="Times New Roman"/>
          <w:sz w:val="24"/>
          <w:szCs w:val="24"/>
        </w:rPr>
        <w:t xml:space="preserve">10 </w:t>
      </w:r>
      <w:r w:rsidR="00B24A11">
        <w:rPr>
          <w:rFonts w:ascii="Times New Roman" w:hAnsi="Times New Roman" w:cs="Times New Roman"/>
          <w:sz w:val="24"/>
          <w:szCs w:val="24"/>
        </w:rPr>
        <w:t>years</w:t>
      </w:r>
      <w:r w:rsidR="00694707">
        <w:rPr>
          <w:rFonts w:ascii="Times New Roman" w:hAnsi="Times New Roman" w:cs="Times New Roman"/>
          <w:sz w:val="24"/>
          <w:szCs w:val="24"/>
        </w:rPr>
        <w:t xml:space="preserve"> after the i</w:t>
      </w:r>
      <w:r w:rsidR="001537C3">
        <w:rPr>
          <w:rFonts w:ascii="Times New Roman" w:hAnsi="Times New Roman" w:cs="Times New Roman"/>
          <w:sz w:val="24"/>
          <w:szCs w:val="24"/>
        </w:rPr>
        <w:t>nitial license is granted</w:t>
      </w:r>
      <w:r w:rsidR="00694707">
        <w:rPr>
          <w:rFonts w:ascii="Times New Roman" w:hAnsi="Times New Roman" w:cs="Times New Roman"/>
          <w:sz w:val="24"/>
          <w:szCs w:val="24"/>
        </w:rPr>
        <w:t xml:space="preserve"> under </w:t>
      </w:r>
      <w:r w:rsidR="00694707" w:rsidRPr="00694707">
        <w:rPr>
          <w:rFonts w:ascii="Times New Roman" w:hAnsi="Times New Roman" w:cs="Times New Roman"/>
          <w:sz w:val="24"/>
          <w:szCs w:val="24"/>
        </w:rPr>
        <w:t>§30.105, Subpart B – Applications and Licenses ‒ Construction Requirements</w:t>
      </w:r>
      <w:r w:rsidR="00694707">
        <w:rPr>
          <w:rFonts w:ascii="Times New Roman" w:hAnsi="Times New Roman" w:cs="Times New Roman"/>
          <w:sz w:val="24"/>
          <w:szCs w:val="24"/>
        </w:rPr>
        <w:t>.  Since the first license renewal application will not be filed until 1</w:t>
      </w:r>
      <w:r w:rsidR="00341D88">
        <w:rPr>
          <w:rFonts w:ascii="Times New Roman" w:hAnsi="Times New Roman" w:cs="Times New Roman"/>
          <w:sz w:val="24"/>
          <w:szCs w:val="24"/>
        </w:rPr>
        <w:t>0</w:t>
      </w:r>
      <w:r w:rsidR="00694707">
        <w:rPr>
          <w:rFonts w:ascii="Times New Roman" w:hAnsi="Times New Roman" w:cs="Times New Roman"/>
          <w:sz w:val="24"/>
          <w:szCs w:val="24"/>
        </w:rPr>
        <w:t xml:space="preserve"> years after the initial license is granted, we do not anticipate burden hours for this collection during the next three-year approval period.</w:t>
      </w:r>
      <w:r w:rsidR="00AC1FE7">
        <w:rPr>
          <w:rFonts w:ascii="Times New Roman" w:hAnsi="Times New Roman" w:cs="Times New Roman"/>
          <w:sz w:val="24"/>
          <w:szCs w:val="24"/>
        </w:rPr>
        <w:t xml:space="preserve">  When a licensees file a construction notification, w</w:t>
      </w:r>
      <w:r w:rsidR="00AC1FE7" w:rsidRPr="003660A0">
        <w:rPr>
          <w:rFonts w:ascii="Times New Roman" w:hAnsi="Times New Roman" w:cs="Times New Roman"/>
          <w:sz w:val="24"/>
          <w:szCs w:val="24"/>
        </w:rPr>
        <w:t xml:space="preserve">e </w:t>
      </w:r>
      <w:r w:rsidR="00AC1FE7" w:rsidRPr="008A7632">
        <w:rPr>
          <w:rFonts w:ascii="Times New Roman" w:hAnsi="Times New Roman" w:cs="Times New Roman"/>
          <w:sz w:val="24"/>
          <w:szCs w:val="24"/>
        </w:rPr>
        <w:t xml:space="preserve">estimate about </w:t>
      </w:r>
      <w:r w:rsidR="00B142C0">
        <w:rPr>
          <w:rFonts w:ascii="Times New Roman" w:hAnsi="Times New Roman" w:cs="Times New Roman"/>
          <w:sz w:val="24"/>
          <w:szCs w:val="24"/>
        </w:rPr>
        <w:t>2</w:t>
      </w:r>
      <w:r w:rsidR="00AC1FE7" w:rsidRPr="008A7632">
        <w:rPr>
          <w:rFonts w:ascii="Times New Roman" w:hAnsi="Times New Roman" w:cs="Times New Roman"/>
          <w:sz w:val="24"/>
          <w:szCs w:val="24"/>
        </w:rPr>
        <w:t xml:space="preserve"> hours per response.</w:t>
      </w:r>
    </w:p>
    <w:p w14:paraId="53E2B186" w14:textId="77777777" w:rsidR="00694707" w:rsidRDefault="00694707" w:rsidP="00723344">
      <w:pPr>
        <w:pStyle w:val="ListParagraph"/>
        <w:spacing w:after="0" w:line="240" w:lineRule="auto"/>
        <w:ind w:left="0"/>
        <w:rPr>
          <w:rFonts w:ascii="Times New Roman" w:hAnsi="Times New Roman" w:cs="Times New Roman"/>
          <w:sz w:val="24"/>
          <w:szCs w:val="24"/>
        </w:rPr>
      </w:pPr>
    </w:p>
    <w:p w14:paraId="53E2B187" w14:textId="77777777" w:rsidR="00694707" w:rsidRDefault="00694707" w:rsidP="0072334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AC1FE7">
        <w:rPr>
          <w:rFonts w:ascii="Times New Roman" w:hAnsi="Times New Roman" w:cs="Times New Roman"/>
          <w:b/>
          <w:sz w:val="24"/>
          <w:szCs w:val="24"/>
        </w:rPr>
        <w:t>0 hours</w:t>
      </w:r>
      <w:r>
        <w:rPr>
          <w:rFonts w:ascii="Times New Roman" w:hAnsi="Times New Roman" w:cs="Times New Roman"/>
          <w:sz w:val="24"/>
          <w:szCs w:val="24"/>
        </w:rPr>
        <w:t xml:space="preserve"> (this entry is on the statement merely to remind FCC staff to re-activate it in the future and to act as a place holder for this requirement.)</w:t>
      </w:r>
    </w:p>
    <w:p w14:paraId="53E2B188" w14:textId="77777777" w:rsidR="00723344" w:rsidRDefault="00723344" w:rsidP="002771CE">
      <w:pPr>
        <w:pStyle w:val="ListParagraph"/>
        <w:spacing w:after="0" w:line="240" w:lineRule="auto"/>
        <w:ind w:left="0"/>
        <w:rPr>
          <w:rFonts w:ascii="Times New Roman" w:hAnsi="Times New Roman" w:cs="Times New Roman"/>
          <w:sz w:val="24"/>
          <w:szCs w:val="24"/>
        </w:rPr>
      </w:pPr>
    </w:p>
    <w:p w14:paraId="53E2B189" w14:textId="77777777" w:rsidR="00FD1CAC" w:rsidRDefault="00723344" w:rsidP="00AC1FE7">
      <w:pPr>
        <w:spacing w:after="0" w:line="240" w:lineRule="auto"/>
        <w:rPr>
          <w:rFonts w:ascii="Times New Roman" w:hAnsi="Times New Roman" w:cs="Times New Roman"/>
          <w:sz w:val="24"/>
          <w:szCs w:val="24"/>
        </w:rPr>
      </w:pPr>
      <w:r w:rsidRPr="00EA2D0F">
        <w:rPr>
          <w:rFonts w:ascii="Times New Roman" w:hAnsi="Times New Roman" w:cs="Times New Roman"/>
          <w:b/>
          <w:sz w:val="24"/>
          <w:szCs w:val="24"/>
        </w:rPr>
        <w:t>12</w:t>
      </w:r>
      <w:r w:rsidR="00EA2D0F" w:rsidRPr="00EA2D0F">
        <w:rPr>
          <w:rFonts w:ascii="Times New Roman" w:hAnsi="Times New Roman" w:cs="Times New Roman"/>
          <w:b/>
          <w:sz w:val="24"/>
          <w:szCs w:val="24"/>
        </w:rPr>
        <w:t>-</w:t>
      </w:r>
      <w:r w:rsidRPr="00EA2D0F">
        <w:rPr>
          <w:rFonts w:ascii="Times New Roman" w:hAnsi="Times New Roman" w:cs="Times New Roman"/>
          <w:b/>
          <w:sz w:val="24"/>
          <w:szCs w:val="24"/>
        </w:rPr>
        <w:t>c.</w:t>
      </w:r>
      <w:r w:rsidR="00FD1CAC" w:rsidRPr="00FD1CAC">
        <w:rPr>
          <w:rFonts w:ascii="Times New Roman" w:hAnsi="Times New Roman" w:cs="Times New Roman"/>
          <w:sz w:val="24"/>
          <w:szCs w:val="24"/>
        </w:rPr>
        <w:tab/>
      </w:r>
      <w:r w:rsidR="00FD1CAC" w:rsidRPr="00B24A11">
        <w:rPr>
          <w:rFonts w:ascii="Times New Roman" w:hAnsi="Times New Roman" w:cs="Times New Roman"/>
          <w:i/>
          <w:sz w:val="24"/>
          <w:szCs w:val="24"/>
        </w:rPr>
        <w:t xml:space="preserve">Reporting ‒ </w:t>
      </w:r>
      <w:r w:rsidR="00B24A11" w:rsidRPr="00B24A11">
        <w:rPr>
          <w:rFonts w:ascii="Times New Roman" w:hAnsi="Times New Roman" w:cs="Times New Roman"/>
          <w:i/>
          <w:sz w:val="24"/>
          <w:szCs w:val="24"/>
        </w:rPr>
        <w:t xml:space="preserve">Compliance with </w:t>
      </w:r>
      <w:r w:rsidR="00FD1CAC" w:rsidRPr="00B24A11">
        <w:rPr>
          <w:rFonts w:ascii="Times New Roman" w:hAnsi="Times New Roman" w:cs="Times New Roman"/>
          <w:i/>
          <w:sz w:val="24"/>
          <w:szCs w:val="24"/>
        </w:rPr>
        <w:t>§30.107, Subpart B – Applications and Licenses</w:t>
      </w:r>
      <w:r w:rsidR="005720E6" w:rsidRPr="00B24A11">
        <w:rPr>
          <w:rFonts w:ascii="Times New Roman" w:hAnsi="Times New Roman" w:cs="Times New Roman"/>
          <w:i/>
          <w:sz w:val="24"/>
          <w:szCs w:val="24"/>
        </w:rPr>
        <w:t xml:space="preserve">, </w:t>
      </w:r>
      <w:r w:rsidR="00FD1CAC" w:rsidRPr="00B24A11">
        <w:rPr>
          <w:rFonts w:ascii="Times New Roman" w:hAnsi="Times New Roman" w:cs="Times New Roman"/>
          <w:i/>
          <w:sz w:val="24"/>
          <w:szCs w:val="24"/>
        </w:rPr>
        <w:t>Discontinuance of Service</w:t>
      </w:r>
      <w:r w:rsidR="00F335FA" w:rsidRPr="00B24A11">
        <w:rPr>
          <w:rFonts w:ascii="Times New Roman" w:hAnsi="Times New Roman" w:cs="Times New Roman"/>
          <w:i/>
          <w:sz w:val="24"/>
          <w:szCs w:val="24"/>
        </w:rPr>
        <w:t>.</w:t>
      </w:r>
      <w:r w:rsidR="00694707">
        <w:rPr>
          <w:rFonts w:ascii="Times New Roman" w:hAnsi="Times New Roman" w:cs="Times New Roman"/>
          <w:sz w:val="24"/>
          <w:szCs w:val="24"/>
        </w:rPr>
        <w:t xml:space="preserve">  </w:t>
      </w:r>
      <w:r w:rsidR="00694707" w:rsidRPr="00694707">
        <w:rPr>
          <w:rFonts w:ascii="Times New Roman" w:hAnsi="Times New Roman" w:cs="Times New Roman"/>
          <w:sz w:val="24"/>
          <w:szCs w:val="24"/>
        </w:rPr>
        <w:t>Upper Microwave Flexible Use Service licensees</w:t>
      </w:r>
      <w:r w:rsidR="00694707">
        <w:rPr>
          <w:rFonts w:ascii="Times New Roman" w:hAnsi="Times New Roman" w:cs="Times New Roman"/>
          <w:sz w:val="24"/>
          <w:szCs w:val="24"/>
        </w:rPr>
        <w:t xml:space="preserve"> must notify the Commission within 10 days of discontinuance if they permanently discontinue service by filing FCC Form 601 or 605 to request license cancellation.  </w:t>
      </w:r>
      <w:r w:rsidR="00AC1FE7" w:rsidRPr="00AC1FE7">
        <w:rPr>
          <w:rFonts w:ascii="Times New Roman" w:hAnsi="Times New Roman" w:cs="Times New Roman"/>
          <w:sz w:val="24"/>
          <w:szCs w:val="24"/>
        </w:rPr>
        <w:t xml:space="preserve">Since the first license renewal application will not be filed until </w:t>
      </w:r>
      <w:r w:rsidR="00A903AD">
        <w:rPr>
          <w:rFonts w:ascii="Times New Roman" w:hAnsi="Times New Roman" w:cs="Times New Roman"/>
          <w:sz w:val="24"/>
          <w:szCs w:val="24"/>
        </w:rPr>
        <w:t>10</w:t>
      </w:r>
      <w:r w:rsidR="00A903AD" w:rsidRPr="00AC1FE7">
        <w:rPr>
          <w:rFonts w:ascii="Times New Roman" w:hAnsi="Times New Roman" w:cs="Times New Roman"/>
          <w:sz w:val="24"/>
          <w:szCs w:val="24"/>
        </w:rPr>
        <w:t xml:space="preserve"> </w:t>
      </w:r>
      <w:r w:rsidR="00AC1FE7" w:rsidRPr="00AC1FE7">
        <w:rPr>
          <w:rFonts w:ascii="Times New Roman" w:hAnsi="Times New Roman" w:cs="Times New Roman"/>
          <w:sz w:val="24"/>
          <w:szCs w:val="24"/>
        </w:rPr>
        <w:t xml:space="preserve">years after the initial license is granted, we do not anticipate burden hours for this collection during the next three-year approval period.  When a licensees file a </w:t>
      </w:r>
      <w:r w:rsidR="00AC1FE7">
        <w:rPr>
          <w:rFonts w:ascii="Times New Roman" w:hAnsi="Times New Roman" w:cs="Times New Roman"/>
          <w:sz w:val="24"/>
          <w:szCs w:val="24"/>
        </w:rPr>
        <w:t>discontinuance of service</w:t>
      </w:r>
      <w:r w:rsidR="00AC1FE7" w:rsidRPr="00AC1FE7">
        <w:rPr>
          <w:rFonts w:ascii="Times New Roman" w:hAnsi="Times New Roman" w:cs="Times New Roman"/>
          <w:sz w:val="24"/>
          <w:szCs w:val="24"/>
        </w:rPr>
        <w:t xml:space="preserve">, we </w:t>
      </w:r>
      <w:r w:rsidR="00AC1FE7" w:rsidRPr="008A7632">
        <w:rPr>
          <w:rFonts w:ascii="Times New Roman" w:hAnsi="Times New Roman" w:cs="Times New Roman"/>
          <w:sz w:val="24"/>
          <w:szCs w:val="24"/>
        </w:rPr>
        <w:t xml:space="preserve">estimate about </w:t>
      </w:r>
      <w:r w:rsidR="00466DD7">
        <w:rPr>
          <w:rFonts w:ascii="Times New Roman" w:hAnsi="Times New Roman" w:cs="Times New Roman"/>
          <w:sz w:val="24"/>
          <w:szCs w:val="24"/>
        </w:rPr>
        <w:t>.5</w:t>
      </w:r>
      <w:r w:rsidR="003D3A37" w:rsidRPr="008A7632">
        <w:rPr>
          <w:rFonts w:ascii="Times New Roman" w:hAnsi="Times New Roman" w:cs="Times New Roman"/>
          <w:sz w:val="24"/>
          <w:szCs w:val="24"/>
        </w:rPr>
        <w:t xml:space="preserve"> </w:t>
      </w:r>
      <w:r w:rsidR="00AC1FE7" w:rsidRPr="008A7632">
        <w:rPr>
          <w:rFonts w:ascii="Times New Roman" w:hAnsi="Times New Roman" w:cs="Times New Roman"/>
          <w:sz w:val="24"/>
          <w:szCs w:val="24"/>
        </w:rPr>
        <w:t>hours per response.</w:t>
      </w:r>
    </w:p>
    <w:p w14:paraId="53E2B18A" w14:textId="77777777" w:rsidR="00AC1FE7" w:rsidRDefault="00AC1FE7" w:rsidP="00AC1FE7">
      <w:pPr>
        <w:spacing w:after="0" w:line="240" w:lineRule="auto"/>
        <w:rPr>
          <w:rFonts w:ascii="Times New Roman" w:hAnsi="Times New Roman" w:cs="Times New Roman"/>
          <w:sz w:val="24"/>
          <w:szCs w:val="24"/>
        </w:rPr>
      </w:pPr>
    </w:p>
    <w:p w14:paraId="53E2B18B" w14:textId="77777777" w:rsidR="00AC1FE7" w:rsidRDefault="00AC1FE7" w:rsidP="00AC1FE7">
      <w:pPr>
        <w:spacing w:after="0" w:line="240" w:lineRule="auto"/>
        <w:rPr>
          <w:rFonts w:ascii="Times New Roman" w:hAnsi="Times New Roman" w:cs="Times New Roman"/>
          <w:sz w:val="24"/>
          <w:szCs w:val="24"/>
        </w:rPr>
      </w:pPr>
      <w:r w:rsidRPr="00AC1FE7">
        <w:rPr>
          <w:rFonts w:ascii="Times New Roman" w:hAnsi="Times New Roman" w:cs="Times New Roman"/>
          <w:sz w:val="24"/>
          <w:szCs w:val="24"/>
        </w:rPr>
        <w:lastRenderedPageBreak/>
        <w:t xml:space="preserve">= </w:t>
      </w:r>
      <w:r w:rsidRPr="00AC1FE7">
        <w:rPr>
          <w:rFonts w:ascii="Times New Roman" w:hAnsi="Times New Roman" w:cs="Times New Roman"/>
          <w:b/>
          <w:sz w:val="24"/>
          <w:szCs w:val="24"/>
        </w:rPr>
        <w:t>0 hours</w:t>
      </w:r>
      <w:r w:rsidRPr="00AC1FE7">
        <w:rPr>
          <w:rFonts w:ascii="Times New Roman" w:hAnsi="Times New Roman" w:cs="Times New Roman"/>
          <w:sz w:val="24"/>
          <w:szCs w:val="24"/>
        </w:rPr>
        <w:t xml:space="preserve"> (this entry is on the statement merely to remind FCC staff to re-activate it in the future and to act as a place holder for this requirement.)</w:t>
      </w:r>
    </w:p>
    <w:p w14:paraId="53E2B18C" w14:textId="77777777" w:rsidR="00AC1FE7" w:rsidRDefault="00AC1FE7" w:rsidP="00AC1FE7">
      <w:pPr>
        <w:spacing w:after="0" w:line="240" w:lineRule="auto"/>
        <w:rPr>
          <w:rFonts w:ascii="Times New Roman" w:hAnsi="Times New Roman" w:cs="Times New Roman"/>
          <w:sz w:val="24"/>
          <w:szCs w:val="24"/>
        </w:rPr>
      </w:pPr>
    </w:p>
    <w:p w14:paraId="53E2B18D" w14:textId="489745AB" w:rsidR="002771CE" w:rsidRPr="00FD1CAC" w:rsidRDefault="00723344" w:rsidP="00B142C0">
      <w:pPr>
        <w:pStyle w:val="ListParagraph"/>
        <w:spacing w:after="0" w:line="240" w:lineRule="auto"/>
        <w:ind w:left="0"/>
        <w:rPr>
          <w:rFonts w:ascii="Times New Roman" w:hAnsi="Times New Roman" w:cs="Times New Roman"/>
          <w:sz w:val="24"/>
          <w:szCs w:val="24"/>
        </w:rPr>
      </w:pPr>
      <w:r w:rsidRPr="00EA2D0F">
        <w:rPr>
          <w:rFonts w:ascii="Times New Roman" w:hAnsi="Times New Roman" w:cs="Times New Roman"/>
          <w:b/>
          <w:sz w:val="24"/>
          <w:szCs w:val="24"/>
        </w:rPr>
        <w:t>12</w:t>
      </w:r>
      <w:r w:rsidR="00EA2D0F" w:rsidRPr="00EA2D0F">
        <w:rPr>
          <w:rFonts w:ascii="Times New Roman" w:hAnsi="Times New Roman" w:cs="Times New Roman"/>
          <w:b/>
          <w:sz w:val="24"/>
          <w:szCs w:val="24"/>
        </w:rPr>
        <w:t>-</w:t>
      </w:r>
      <w:r w:rsidRPr="00EA2D0F">
        <w:rPr>
          <w:rFonts w:ascii="Times New Roman" w:hAnsi="Times New Roman" w:cs="Times New Roman"/>
          <w:b/>
          <w:sz w:val="24"/>
          <w:szCs w:val="24"/>
        </w:rPr>
        <w:t>d.</w:t>
      </w:r>
      <w:r>
        <w:rPr>
          <w:rFonts w:ascii="Times New Roman" w:hAnsi="Times New Roman" w:cs="Times New Roman"/>
          <w:sz w:val="24"/>
          <w:szCs w:val="24"/>
        </w:rPr>
        <w:tab/>
      </w:r>
      <w:r w:rsidRPr="00B24A11">
        <w:rPr>
          <w:rFonts w:ascii="Times New Roman" w:hAnsi="Times New Roman" w:cs="Times New Roman"/>
          <w:i/>
          <w:sz w:val="24"/>
          <w:szCs w:val="24"/>
        </w:rPr>
        <w:t xml:space="preserve">Reporting ‒ </w:t>
      </w:r>
      <w:r w:rsidR="00B24A11" w:rsidRPr="00B24A11">
        <w:rPr>
          <w:rFonts w:ascii="Times New Roman" w:hAnsi="Times New Roman" w:cs="Times New Roman"/>
          <w:i/>
          <w:sz w:val="24"/>
          <w:szCs w:val="24"/>
        </w:rPr>
        <w:t xml:space="preserve">Compliance with </w:t>
      </w:r>
      <w:r w:rsidRPr="00B24A11">
        <w:rPr>
          <w:rFonts w:ascii="Times New Roman" w:hAnsi="Times New Roman" w:cs="Times New Roman"/>
          <w:i/>
          <w:sz w:val="24"/>
          <w:szCs w:val="24"/>
        </w:rPr>
        <w:t>§30.</w:t>
      </w:r>
      <w:r w:rsidR="00B142C0">
        <w:rPr>
          <w:rFonts w:ascii="Times New Roman" w:hAnsi="Times New Roman" w:cs="Times New Roman"/>
          <w:i/>
          <w:sz w:val="24"/>
          <w:szCs w:val="24"/>
        </w:rPr>
        <w:t>2</w:t>
      </w:r>
      <w:r w:rsidRPr="00B24A11">
        <w:rPr>
          <w:rFonts w:ascii="Times New Roman" w:hAnsi="Times New Roman" w:cs="Times New Roman"/>
          <w:i/>
          <w:sz w:val="24"/>
          <w:szCs w:val="24"/>
        </w:rPr>
        <w:t>05, Subpart B – Applications and Licenses ‒</w:t>
      </w:r>
      <w:r w:rsidR="00B142C0" w:rsidRPr="00B142C0">
        <w:rPr>
          <w:rFonts w:ascii="Times New Roman" w:hAnsi="Times New Roman" w:cs="Times New Roman"/>
          <w:sz w:val="24"/>
          <w:szCs w:val="24"/>
        </w:rPr>
        <w:t xml:space="preserve"> </w:t>
      </w:r>
      <w:r w:rsidR="00B142C0" w:rsidRPr="00B142C0">
        <w:rPr>
          <w:rFonts w:ascii="Times New Roman" w:hAnsi="Times New Roman" w:cs="Times New Roman"/>
          <w:i/>
          <w:sz w:val="24"/>
          <w:szCs w:val="24"/>
        </w:rPr>
        <w:t>Technical Standards</w:t>
      </w:r>
      <w:r w:rsidR="00B142C0">
        <w:rPr>
          <w:rFonts w:ascii="Times New Roman" w:hAnsi="Times New Roman" w:cs="Times New Roman"/>
          <w:i/>
          <w:sz w:val="24"/>
          <w:szCs w:val="24"/>
        </w:rPr>
        <w:t xml:space="preserve"> and </w:t>
      </w:r>
      <w:r w:rsidR="00B142C0" w:rsidRPr="00B142C0">
        <w:rPr>
          <w:rFonts w:ascii="Times New Roman" w:hAnsi="Times New Roman" w:cs="Times New Roman"/>
          <w:i/>
          <w:sz w:val="24"/>
          <w:szCs w:val="24"/>
        </w:rPr>
        <w:t>Information Sharing Requirements</w:t>
      </w:r>
      <w:r w:rsidRPr="00B24A11">
        <w:rPr>
          <w:rFonts w:ascii="Times New Roman" w:hAnsi="Times New Roman" w:cs="Times New Roman"/>
          <w:i/>
          <w:sz w:val="24"/>
          <w:szCs w:val="24"/>
        </w:rPr>
        <w:t>.</w:t>
      </w:r>
      <w:r w:rsidRPr="00723344">
        <w:rPr>
          <w:rFonts w:ascii="Times New Roman" w:hAnsi="Times New Roman" w:cs="Times New Roman"/>
          <w:sz w:val="24"/>
          <w:szCs w:val="24"/>
        </w:rPr>
        <w:t xml:space="preserve">  </w:t>
      </w:r>
      <w:r w:rsidR="00B142C0">
        <w:rPr>
          <w:rFonts w:ascii="Times New Roman" w:hAnsi="Times New Roman" w:cs="Times New Roman"/>
          <w:sz w:val="24"/>
          <w:szCs w:val="24"/>
        </w:rPr>
        <w:t xml:space="preserve">  This information sharing requirement will be triggered when a licensee builds a base station.  The Commission estimates that 5 different licensees will construct approximately 500 base stations within the next three years and that each information exchange will take approximately ten hours of in-house </w:t>
      </w:r>
      <w:r w:rsidR="00B142C0" w:rsidRPr="0084287F">
        <w:rPr>
          <w:rFonts w:ascii="Times New Roman" w:hAnsi="Times New Roman" w:cs="Times New Roman"/>
          <w:sz w:val="24"/>
          <w:szCs w:val="24"/>
        </w:rPr>
        <w:t>engineer time.</w:t>
      </w:r>
      <w:r w:rsidR="0001630E" w:rsidRPr="0084287F">
        <w:rPr>
          <w:rFonts w:ascii="Times New Roman" w:hAnsi="Times New Roman" w:cs="Times New Roman"/>
          <w:sz w:val="24"/>
          <w:szCs w:val="24"/>
        </w:rPr>
        <w:t xml:space="preserve">  The in-house engineer will be paid an hourly rate of $44.24/hour.</w:t>
      </w:r>
    </w:p>
    <w:p w14:paraId="53E2B18E" w14:textId="77777777" w:rsidR="00AC1FE7" w:rsidRDefault="00AC1FE7" w:rsidP="00FD1CAC">
      <w:pPr>
        <w:spacing w:after="0" w:line="240" w:lineRule="auto"/>
        <w:rPr>
          <w:rFonts w:ascii="Times New Roman" w:hAnsi="Times New Roman" w:cs="Times New Roman"/>
          <w:sz w:val="24"/>
          <w:szCs w:val="24"/>
        </w:rPr>
      </w:pPr>
    </w:p>
    <w:p w14:paraId="53E2B18F" w14:textId="77777777" w:rsidR="00AC1FE7" w:rsidRDefault="00837D88" w:rsidP="00FD1CAC">
      <w:pPr>
        <w:spacing w:after="0" w:line="240" w:lineRule="auto"/>
        <w:rPr>
          <w:rFonts w:ascii="Times New Roman" w:hAnsi="Times New Roman" w:cs="Times New Roman"/>
          <w:sz w:val="24"/>
          <w:szCs w:val="24"/>
        </w:rPr>
      </w:pPr>
      <w:r w:rsidRPr="00837D88">
        <w:rPr>
          <w:rFonts w:ascii="Times New Roman" w:hAnsi="Times New Roman" w:cs="Times New Roman"/>
          <w:b/>
          <w:sz w:val="24"/>
          <w:szCs w:val="24"/>
        </w:rPr>
        <w:t>Annual Burden:</w:t>
      </w:r>
      <w:r>
        <w:rPr>
          <w:rFonts w:ascii="Times New Roman" w:hAnsi="Times New Roman" w:cs="Times New Roman"/>
          <w:sz w:val="24"/>
          <w:szCs w:val="24"/>
        </w:rPr>
        <w:t xml:space="preserve"> </w:t>
      </w:r>
      <w:r w:rsidR="00B142C0">
        <w:rPr>
          <w:rFonts w:ascii="Times New Roman" w:hAnsi="Times New Roman" w:cs="Times New Roman"/>
          <w:sz w:val="24"/>
          <w:szCs w:val="24"/>
        </w:rPr>
        <w:t>5</w:t>
      </w:r>
      <w:r w:rsidR="00AC1FE7">
        <w:rPr>
          <w:rFonts w:ascii="Times New Roman" w:hAnsi="Times New Roman" w:cs="Times New Roman"/>
          <w:sz w:val="24"/>
          <w:szCs w:val="24"/>
        </w:rPr>
        <w:t xml:space="preserve"> respondents x </w:t>
      </w:r>
      <w:r w:rsidR="00B142C0">
        <w:rPr>
          <w:rFonts w:ascii="Times New Roman" w:hAnsi="Times New Roman" w:cs="Times New Roman"/>
          <w:sz w:val="24"/>
          <w:szCs w:val="24"/>
        </w:rPr>
        <w:t>100</w:t>
      </w:r>
      <w:r w:rsidR="00AC1FE7">
        <w:rPr>
          <w:rFonts w:ascii="Times New Roman" w:hAnsi="Times New Roman" w:cs="Times New Roman"/>
          <w:sz w:val="24"/>
          <w:szCs w:val="24"/>
        </w:rPr>
        <w:t xml:space="preserve"> resp</w:t>
      </w:r>
      <w:r w:rsidR="005F6619">
        <w:rPr>
          <w:rFonts w:ascii="Times New Roman" w:hAnsi="Times New Roman" w:cs="Times New Roman"/>
          <w:sz w:val="24"/>
          <w:szCs w:val="24"/>
        </w:rPr>
        <w:t>onse each x 10 hours of</w:t>
      </w:r>
      <w:r w:rsidR="00A903AD">
        <w:rPr>
          <w:rFonts w:ascii="Times New Roman" w:hAnsi="Times New Roman" w:cs="Times New Roman"/>
          <w:sz w:val="24"/>
          <w:szCs w:val="24"/>
        </w:rPr>
        <w:t xml:space="preserve"> engineer</w:t>
      </w:r>
      <w:r w:rsidR="00AC1FE7">
        <w:rPr>
          <w:rFonts w:ascii="Times New Roman" w:hAnsi="Times New Roman" w:cs="Times New Roman"/>
          <w:sz w:val="24"/>
          <w:szCs w:val="24"/>
        </w:rPr>
        <w:t xml:space="preserve"> time per response = </w:t>
      </w:r>
      <w:r w:rsidR="00B142C0">
        <w:rPr>
          <w:rFonts w:ascii="Times New Roman" w:hAnsi="Times New Roman" w:cs="Times New Roman"/>
          <w:b/>
          <w:sz w:val="24"/>
          <w:szCs w:val="24"/>
        </w:rPr>
        <w:t>5,000</w:t>
      </w:r>
      <w:r w:rsidR="00AC1FE7" w:rsidRPr="00EA2D0F">
        <w:rPr>
          <w:rFonts w:ascii="Times New Roman" w:hAnsi="Times New Roman" w:cs="Times New Roman"/>
          <w:b/>
          <w:sz w:val="24"/>
          <w:szCs w:val="24"/>
        </w:rPr>
        <w:t xml:space="preserve"> hours</w:t>
      </w:r>
      <w:r w:rsidR="00AC1FE7">
        <w:rPr>
          <w:rFonts w:ascii="Times New Roman" w:hAnsi="Times New Roman" w:cs="Times New Roman"/>
          <w:sz w:val="24"/>
          <w:szCs w:val="24"/>
        </w:rPr>
        <w:t>.</w:t>
      </w:r>
    </w:p>
    <w:p w14:paraId="53E2B190" w14:textId="77777777" w:rsidR="00AC1FE7" w:rsidRDefault="00AC1FE7" w:rsidP="00FD1CAC">
      <w:pPr>
        <w:spacing w:after="0" w:line="240" w:lineRule="auto"/>
        <w:rPr>
          <w:rFonts w:ascii="Times New Roman" w:hAnsi="Times New Roman" w:cs="Times New Roman"/>
          <w:sz w:val="24"/>
          <w:szCs w:val="24"/>
        </w:rPr>
      </w:pPr>
    </w:p>
    <w:p w14:paraId="53E2B191" w14:textId="77777777" w:rsidR="008E19B6" w:rsidRDefault="005F6619" w:rsidP="005F6619">
      <w:pPr>
        <w:spacing w:after="0" w:line="240" w:lineRule="auto"/>
        <w:rPr>
          <w:rFonts w:ascii="Times New Roman" w:hAnsi="Times New Roman" w:cs="Times New Roman"/>
          <w:b/>
          <w:sz w:val="24"/>
          <w:szCs w:val="24"/>
        </w:rPr>
      </w:pPr>
      <w:r w:rsidRPr="005F6619">
        <w:rPr>
          <w:rFonts w:ascii="Times New Roman" w:hAnsi="Times New Roman" w:cs="Times New Roman"/>
          <w:b/>
          <w:sz w:val="24"/>
          <w:szCs w:val="24"/>
        </w:rPr>
        <w:t xml:space="preserve">In-House Staff Cost:  </w:t>
      </w:r>
      <w:r w:rsidR="007F6F1D">
        <w:rPr>
          <w:rFonts w:ascii="Times New Roman" w:hAnsi="Times New Roman" w:cs="Times New Roman"/>
          <w:sz w:val="24"/>
          <w:szCs w:val="24"/>
        </w:rPr>
        <w:t xml:space="preserve">5 </w:t>
      </w:r>
      <w:r w:rsidRPr="007B6326">
        <w:rPr>
          <w:rFonts w:ascii="Times New Roman" w:hAnsi="Times New Roman" w:cs="Times New Roman"/>
          <w:sz w:val="24"/>
          <w:szCs w:val="24"/>
        </w:rPr>
        <w:t>respondents x 1</w:t>
      </w:r>
      <w:r w:rsidR="007F6F1D">
        <w:rPr>
          <w:rFonts w:ascii="Times New Roman" w:hAnsi="Times New Roman" w:cs="Times New Roman"/>
          <w:sz w:val="24"/>
          <w:szCs w:val="24"/>
        </w:rPr>
        <w:t>00</w:t>
      </w:r>
      <w:r w:rsidRPr="007B6326">
        <w:rPr>
          <w:rFonts w:ascii="Times New Roman" w:hAnsi="Times New Roman" w:cs="Times New Roman"/>
          <w:sz w:val="24"/>
          <w:szCs w:val="24"/>
        </w:rPr>
        <w:t xml:space="preserve"> response each x </w:t>
      </w:r>
      <w:r w:rsidR="007F6F1D">
        <w:rPr>
          <w:rFonts w:ascii="Times New Roman" w:hAnsi="Times New Roman" w:cs="Times New Roman"/>
          <w:sz w:val="24"/>
          <w:szCs w:val="24"/>
        </w:rPr>
        <w:t>10</w:t>
      </w:r>
      <w:r w:rsidRPr="007B6326">
        <w:rPr>
          <w:rFonts w:ascii="Times New Roman" w:hAnsi="Times New Roman" w:cs="Times New Roman"/>
          <w:sz w:val="24"/>
          <w:szCs w:val="24"/>
        </w:rPr>
        <w:t xml:space="preserve"> hours of engineer time per response x $44.24</w:t>
      </w:r>
      <w:r w:rsidR="007B6326" w:rsidRPr="007B6326">
        <w:rPr>
          <w:rFonts w:ascii="Times New Roman" w:hAnsi="Times New Roman" w:cs="Times New Roman"/>
          <w:sz w:val="24"/>
          <w:szCs w:val="24"/>
        </w:rPr>
        <w:t>/hour</w:t>
      </w:r>
      <w:r w:rsidR="007F6F1D">
        <w:rPr>
          <w:rFonts w:ascii="Times New Roman" w:hAnsi="Times New Roman" w:cs="Times New Roman"/>
          <w:b/>
          <w:sz w:val="24"/>
          <w:szCs w:val="24"/>
        </w:rPr>
        <w:t xml:space="preserve"> = $</w:t>
      </w:r>
      <w:r w:rsidR="0029309D">
        <w:rPr>
          <w:rFonts w:ascii="Times New Roman" w:hAnsi="Times New Roman" w:cs="Times New Roman"/>
          <w:b/>
          <w:sz w:val="24"/>
          <w:szCs w:val="24"/>
        </w:rPr>
        <w:t>221,200</w:t>
      </w:r>
      <w:r w:rsidRPr="005F6619">
        <w:rPr>
          <w:rFonts w:ascii="Times New Roman" w:hAnsi="Times New Roman" w:cs="Times New Roman"/>
          <w:b/>
          <w:sz w:val="24"/>
          <w:szCs w:val="24"/>
        </w:rPr>
        <w:t>.</w:t>
      </w:r>
    </w:p>
    <w:p w14:paraId="53E2B192" w14:textId="77777777" w:rsidR="007B6326" w:rsidRDefault="007B6326" w:rsidP="005F6619">
      <w:pPr>
        <w:spacing w:after="0" w:line="240" w:lineRule="auto"/>
        <w:rPr>
          <w:rFonts w:ascii="Times New Roman" w:hAnsi="Times New Roman" w:cs="Times New Roman"/>
          <w:b/>
          <w:sz w:val="24"/>
          <w:szCs w:val="24"/>
        </w:rPr>
      </w:pPr>
    </w:p>
    <w:p w14:paraId="53E2B193" w14:textId="77777777" w:rsidR="00837D88" w:rsidRPr="00837D88" w:rsidRDefault="00837D88" w:rsidP="00EA2D0F">
      <w:pPr>
        <w:spacing w:after="0" w:line="240" w:lineRule="auto"/>
        <w:rPr>
          <w:rFonts w:ascii="Times New Roman" w:hAnsi="Times New Roman" w:cs="Times New Roman"/>
          <w:b/>
          <w:sz w:val="24"/>
          <w:szCs w:val="24"/>
        </w:rPr>
      </w:pPr>
      <w:r w:rsidRPr="00837D88">
        <w:rPr>
          <w:rFonts w:ascii="Times New Roman" w:hAnsi="Times New Roman" w:cs="Times New Roman"/>
          <w:b/>
          <w:sz w:val="24"/>
          <w:szCs w:val="24"/>
        </w:rPr>
        <w:t>TOTAL ANNUAL BURDEN: 15 + 0 + 0 + 5,000 = 5,015 HOURS.</w:t>
      </w:r>
    </w:p>
    <w:p w14:paraId="53E2B194" w14:textId="77777777" w:rsidR="005F6619" w:rsidRDefault="005F6619" w:rsidP="00EA2D0F">
      <w:pPr>
        <w:spacing w:after="0" w:line="240" w:lineRule="auto"/>
        <w:rPr>
          <w:rFonts w:ascii="Times New Roman" w:hAnsi="Times New Roman" w:cs="Times New Roman"/>
          <w:b/>
          <w:sz w:val="24"/>
          <w:szCs w:val="24"/>
        </w:rPr>
      </w:pPr>
    </w:p>
    <w:p w14:paraId="53E2B195" w14:textId="77777777" w:rsidR="00837D88" w:rsidRPr="00837D88" w:rsidRDefault="00837D88" w:rsidP="00EA2D0F">
      <w:pPr>
        <w:spacing w:after="0" w:line="240" w:lineRule="auto"/>
        <w:rPr>
          <w:rFonts w:ascii="Times New Roman" w:hAnsi="Times New Roman" w:cs="Times New Roman"/>
          <w:b/>
          <w:sz w:val="24"/>
          <w:szCs w:val="24"/>
        </w:rPr>
      </w:pPr>
      <w:r w:rsidRPr="00837D88">
        <w:rPr>
          <w:rFonts w:ascii="Times New Roman" w:hAnsi="Times New Roman" w:cs="Times New Roman"/>
          <w:b/>
          <w:sz w:val="24"/>
          <w:szCs w:val="24"/>
        </w:rPr>
        <w:t>IN-HOU</w:t>
      </w:r>
      <w:r w:rsidR="00791977">
        <w:rPr>
          <w:rFonts w:ascii="Times New Roman" w:hAnsi="Times New Roman" w:cs="Times New Roman"/>
          <w:b/>
          <w:sz w:val="24"/>
          <w:szCs w:val="24"/>
        </w:rPr>
        <w:t xml:space="preserve">SE </w:t>
      </w:r>
      <w:r w:rsidR="007B6326">
        <w:rPr>
          <w:rFonts w:ascii="Times New Roman" w:hAnsi="Times New Roman" w:cs="Times New Roman"/>
          <w:b/>
          <w:sz w:val="24"/>
          <w:szCs w:val="24"/>
        </w:rPr>
        <w:t xml:space="preserve">STAFF </w:t>
      </w:r>
      <w:r w:rsidR="00791977">
        <w:rPr>
          <w:rFonts w:ascii="Times New Roman" w:hAnsi="Times New Roman" w:cs="Times New Roman"/>
          <w:b/>
          <w:sz w:val="24"/>
          <w:szCs w:val="24"/>
        </w:rPr>
        <w:t xml:space="preserve">COST: </w:t>
      </w:r>
      <w:r w:rsidR="0029309D" w:rsidRPr="0029309D">
        <w:rPr>
          <w:rFonts w:ascii="Times New Roman" w:hAnsi="Times New Roman" w:cs="Times New Roman"/>
          <w:b/>
          <w:sz w:val="24"/>
          <w:szCs w:val="24"/>
        </w:rPr>
        <w:t>$1,003.20</w:t>
      </w:r>
      <w:r w:rsidR="0029309D">
        <w:rPr>
          <w:rFonts w:ascii="Times New Roman" w:hAnsi="Times New Roman" w:cs="Times New Roman"/>
          <w:b/>
          <w:sz w:val="24"/>
          <w:szCs w:val="24"/>
        </w:rPr>
        <w:t xml:space="preserve"> </w:t>
      </w:r>
      <w:r w:rsidR="00791977">
        <w:rPr>
          <w:rFonts w:ascii="Times New Roman" w:hAnsi="Times New Roman" w:cs="Times New Roman"/>
          <w:b/>
          <w:sz w:val="24"/>
          <w:szCs w:val="24"/>
        </w:rPr>
        <w:t>+ 0 + 0 + $</w:t>
      </w:r>
      <w:r w:rsidR="0029309D" w:rsidRPr="0029309D">
        <w:rPr>
          <w:rFonts w:ascii="Times New Roman" w:hAnsi="Times New Roman" w:cs="Times New Roman"/>
          <w:b/>
          <w:sz w:val="24"/>
          <w:szCs w:val="24"/>
        </w:rPr>
        <w:t>221,200</w:t>
      </w:r>
      <w:r w:rsidR="0029309D">
        <w:rPr>
          <w:rFonts w:ascii="Times New Roman" w:hAnsi="Times New Roman" w:cs="Times New Roman"/>
          <w:b/>
          <w:sz w:val="24"/>
          <w:szCs w:val="24"/>
        </w:rPr>
        <w:t xml:space="preserve"> </w:t>
      </w:r>
      <w:r w:rsidRPr="00837D88">
        <w:rPr>
          <w:rFonts w:ascii="Times New Roman" w:hAnsi="Times New Roman" w:cs="Times New Roman"/>
          <w:b/>
          <w:sz w:val="24"/>
          <w:szCs w:val="24"/>
        </w:rPr>
        <w:t xml:space="preserve">= </w:t>
      </w:r>
      <w:r w:rsidR="0029309D">
        <w:rPr>
          <w:rFonts w:ascii="Times New Roman" w:hAnsi="Times New Roman" w:cs="Times New Roman"/>
          <w:b/>
          <w:sz w:val="24"/>
          <w:szCs w:val="24"/>
        </w:rPr>
        <w:t>$222,203</w:t>
      </w:r>
      <w:r w:rsidR="007B6326">
        <w:rPr>
          <w:rFonts w:ascii="Times New Roman" w:hAnsi="Times New Roman" w:cs="Times New Roman"/>
          <w:b/>
          <w:sz w:val="24"/>
          <w:szCs w:val="24"/>
        </w:rPr>
        <w:t>.</w:t>
      </w:r>
      <w:r w:rsidR="0029309D">
        <w:rPr>
          <w:rFonts w:ascii="Times New Roman" w:hAnsi="Times New Roman" w:cs="Times New Roman"/>
          <w:b/>
          <w:sz w:val="24"/>
          <w:szCs w:val="24"/>
        </w:rPr>
        <w:t>2</w:t>
      </w:r>
      <w:r w:rsidR="007B6326">
        <w:rPr>
          <w:rFonts w:ascii="Times New Roman" w:hAnsi="Times New Roman" w:cs="Times New Roman"/>
          <w:b/>
          <w:sz w:val="24"/>
          <w:szCs w:val="24"/>
        </w:rPr>
        <w:t>0</w:t>
      </w:r>
      <w:r w:rsidRPr="00837D88">
        <w:rPr>
          <w:rFonts w:ascii="Times New Roman" w:hAnsi="Times New Roman" w:cs="Times New Roman"/>
          <w:b/>
          <w:sz w:val="24"/>
          <w:szCs w:val="24"/>
        </w:rPr>
        <w:t>.</w:t>
      </w:r>
    </w:p>
    <w:p w14:paraId="53E2B196" w14:textId="77777777" w:rsidR="00837D88" w:rsidRPr="00EA2D0F" w:rsidRDefault="00837D88" w:rsidP="00EA2D0F">
      <w:pPr>
        <w:spacing w:after="0" w:line="240" w:lineRule="auto"/>
        <w:rPr>
          <w:rFonts w:ascii="Times New Roman" w:hAnsi="Times New Roman" w:cs="Times New Roman"/>
          <w:sz w:val="24"/>
          <w:szCs w:val="24"/>
        </w:rPr>
      </w:pPr>
    </w:p>
    <w:p w14:paraId="53E2B197" w14:textId="77777777" w:rsidR="003D3A37" w:rsidRDefault="00812B71" w:rsidP="00643E8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r w:rsidR="003D3A37">
        <w:rPr>
          <w:rFonts w:ascii="Times New Roman" w:hAnsi="Times New Roman" w:cs="Times New Roman"/>
          <w:sz w:val="24"/>
          <w:szCs w:val="24"/>
        </w:rPr>
        <w:t>3.</w:t>
      </w:r>
      <w:r w:rsidR="003D3A37">
        <w:rPr>
          <w:rFonts w:ascii="Times New Roman" w:hAnsi="Times New Roman" w:cs="Times New Roman"/>
          <w:sz w:val="24"/>
          <w:szCs w:val="24"/>
        </w:rPr>
        <w:tab/>
        <w:t>Annual Cost:  Applicants should not incur outside capital and star-up costs and/or operation and maintenance of purchase or services in connection with this information collection.</w:t>
      </w:r>
    </w:p>
    <w:p w14:paraId="53E2B198" w14:textId="77777777" w:rsidR="003D3A37" w:rsidRDefault="003D3A37" w:rsidP="00643E86">
      <w:pPr>
        <w:pStyle w:val="ListParagraph"/>
        <w:spacing w:after="0" w:line="240" w:lineRule="auto"/>
        <w:ind w:left="0"/>
        <w:rPr>
          <w:rFonts w:ascii="Times New Roman" w:hAnsi="Times New Roman" w:cs="Times New Roman"/>
          <w:sz w:val="24"/>
          <w:szCs w:val="24"/>
        </w:rPr>
      </w:pPr>
    </w:p>
    <w:p w14:paraId="53E2B199" w14:textId="77777777" w:rsidR="003D3A37" w:rsidRDefault="003D3A37" w:rsidP="00643E86">
      <w:pPr>
        <w:pStyle w:val="ListParagraph"/>
        <w:spacing w:after="0" w:line="240" w:lineRule="auto"/>
        <w:ind w:left="0"/>
        <w:rPr>
          <w:rFonts w:ascii="Times New Roman" w:hAnsi="Times New Roman" w:cs="Times New Roman"/>
          <w:b/>
          <w:sz w:val="24"/>
          <w:szCs w:val="24"/>
        </w:rPr>
      </w:pPr>
      <w:r w:rsidRPr="003D3A37">
        <w:rPr>
          <w:rFonts w:ascii="Times New Roman" w:hAnsi="Times New Roman" w:cs="Times New Roman"/>
          <w:b/>
          <w:sz w:val="24"/>
          <w:szCs w:val="24"/>
        </w:rPr>
        <w:t>TOTAL CAPITAL AND START-UP COSTS and/or OPERATION AND MAINTENANCE (O&amp;M COSTS):   None.</w:t>
      </w:r>
    </w:p>
    <w:p w14:paraId="53E2B19A" w14:textId="77777777" w:rsidR="006365C9" w:rsidRDefault="006365C9" w:rsidP="00643E86">
      <w:pPr>
        <w:pStyle w:val="ListParagraph"/>
        <w:spacing w:after="0" w:line="240" w:lineRule="auto"/>
        <w:ind w:left="0"/>
        <w:rPr>
          <w:rFonts w:ascii="Times New Roman" w:hAnsi="Times New Roman" w:cs="Times New Roman"/>
          <w:b/>
          <w:sz w:val="24"/>
          <w:szCs w:val="24"/>
        </w:rPr>
      </w:pPr>
    </w:p>
    <w:p w14:paraId="53E2B19B" w14:textId="77777777" w:rsidR="003D3A37" w:rsidRDefault="008C4CF3" w:rsidP="003D3A37">
      <w:pPr>
        <w:spacing w:after="0"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272321">
        <w:rPr>
          <w:rFonts w:ascii="Times New Roman" w:hAnsi="Times New Roman" w:cs="Times New Roman"/>
          <w:sz w:val="24"/>
          <w:szCs w:val="24"/>
        </w:rPr>
        <w:t xml:space="preserve">Government Costs: </w:t>
      </w:r>
      <w:r w:rsidR="003D3A37">
        <w:rPr>
          <w:rFonts w:ascii="Times New Roman" w:hAnsi="Times New Roman" w:cs="Times New Roman"/>
          <w:sz w:val="24"/>
          <w:szCs w:val="24"/>
        </w:rPr>
        <w:t xml:space="preserve"> </w:t>
      </w:r>
    </w:p>
    <w:p w14:paraId="53E2B19C" w14:textId="77777777" w:rsidR="00466DD7" w:rsidRPr="003D3A37" w:rsidRDefault="00466DD7" w:rsidP="003D3A37">
      <w:pPr>
        <w:spacing w:after="0" w:line="240" w:lineRule="auto"/>
        <w:rPr>
          <w:rFonts w:ascii="Times New Roman" w:hAnsi="Times New Roman" w:cs="Times New Roman"/>
          <w:sz w:val="24"/>
          <w:szCs w:val="24"/>
        </w:rPr>
      </w:pPr>
    </w:p>
    <w:p w14:paraId="53E2B19D" w14:textId="7BD8E156" w:rsidR="00272321" w:rsidRDefault="00354FD2" w:rsidP="008C4CF3">
      <w:pPr>
        <w:spacing w:after="0" w:line="240" w:lineRule="auto"/>
        <w:rPr>
          <w:rFonts w:ascii="Times New Roman" w:hAnsi="Times New Roman" w:cs="Times New Roman"/>
          <w:sz w:val="24"/>
          <w:szCs w:val="24"/>
        </w:rPr>
      </w:pPr>
      <w:r w:rsidRPr="007B3787">
        <w:rPr>
          <w:rFonts w:ascii="Times New Roman" w:hAnsi="Times New Roman" w:cs="Times New Roman"/>
          <w:b/>
          <w:sz w:val="24"/>
          <w:szCs w:val="24"/>
        </w:rPr>
        <w:t>14</w:t>
      </w:r>
      <w:r w:rsidR="003D3A37" w:rsidRPr="007B3787">
        <w:rPr>
          <w:rFonts w:ascii="Times New Roman" w:hAnsi="Times New Roman" w:cs="Times New Roman"/>
          <w:b/>
          <w:sz w:val="24"/>
          <w:szCs w:val="24"/>
        </w:rPr>
        <w:t>-</w:t>
      </w:r>
      <w:r w:rsidRPr="007B3787">
        <w:rPr>
          <w:rFonts w:ascii="Times New Roman" w:hAnsi="Times New Roman" w:cs="Times New Roman"/>
          <w:b/>
          <w:sz w:val="24"/>
          <w:szCs w:val="24"/>
        </w:rPr>
        <w:t>a.</w:t>
      </w:r>
      <w:r>
        <w:rPr>
          <w:rFonts w:ascii="Times New Roman" w:hAnsi="Times New Roman" w:cs="Times New Roman"/>
          <w:sz w:val="24"/>
          <w:szCs w:val="24"/>
        </w:rPr>
        <w:tab/>
      </w:r>
      <w:r w:rsidR="007B3787" w:rsidRPr="007B3787">
        <w:rPr>
          <w:rFonts w:ascii="Times New Roman" w:hAnsi="Times New Roman" w:cs="Times New Roman"/>
          <w:i/>
          <w:sz w:val="24"/>
          <w:szCs w:val="24"/>
        </w:rPr>
        <w:t xml:space="preserve">Compliance with Performance Requirements pursuant to </w:t>
      </w:r>
      <w:r w:rsidR="00473C11" w:rsidRPr="007B3787">
        <w:rPr>
          <w:rFonts w:ascii="Times New Roman" w:hAnsi="Times New Roman" w:cs="Times New Roman"/>
          <w:i/>
          <w:sz w:val="24"/>
          <w:szCs w:val="24"/>
        </w:rPr>
        <w:t>§30.3 – Edibility,</w:t>
      </w:r>
      <w:r w:rsidRPr="007B3787">
        <w:rPr>
          <w:rFonts w:ascii="Times New Roman" w:hAnsi="Times New Roman" w:cs="Times New Roman"/>
          <w:i/>
          <w:sz w:val="24"/>
          <w:szCs w:val="24"/>
        </w:rPr>
        <w:t xml:space="preserve"> Foreign ownership reports</w:t>
      </w:r>
      <w:r w:rsidR="00473C11" w:rsidRPr="007B3787">
        <w:rPr>
          <w:rFonts w:ascii="Times New Roman" w:hAnsi="Times New Roman" w:cs="Times New Roman"/>
          <w:i/>
          <w:sz w:val="24"/>
          <w:szCs w:val="24"/>
        </w:rPr>
        <w:t>.</w:t>
      </w:r>
      <w:r w:rsidR="00473C11">
        <w:rPr>
          <w:rFonts w:ascii="Times New Roman" w:hAnsi="Times New Roman" w:cs="Times New Roman"/>
          <w:sz w:val="24"/>
          <w:szCs w:val="24"/>
        </w:rPr>
        <w:t xml:space="preserve"> </w:t>
      </w:r>
      <w:r w:rsidR="003F0049">
        <w:rPr>
          <w:rFonts w:ascii="Times New Roman" w:hAnsi="Times New Roman" w:cs="Times New Roman"/>
          <w:sz w:val="24"/>
          <w:szCs w:val="24"/>
        </w:rPr>
        <w:t xml:space="preserve"> The Commission will use </w:t>
      </w:r>
      <w:r w:rsidR="00DC24D8">
        <w:rPr>
          <w:rFonts w:ascii="Times New Roman" w:hAnsi="Times New Roman" w:cs="Times New Roman"/>
          <w:sz w:val="24"/>
          <w:szCs w:val="24"/>
        </w:rPr>
        <w:t>a reviewer at the rate of $23.72</w:t>
      </w:r>
      <w:r w:rsidR="003F0049">
        <w:rPr>
          <w:rFonts w:ascii="Times New Roman" w:hAnsi="Times New Roman" w:cs="Times New Roman"/>
          <w:sz w:val="24"/>
          <w:szCs w:val="24"/>
        </w:rPr>
        <w:t xml:space="preserve"> per hour, and the rev</w:t>
      </w:r>
      <w:r w:rsidR="00122BD2">
        <w:rPr>
          <w:rFonts w:ascii="Times New Roman" w:hAnsi="Times New Roman" w:cs="Times New Roman"/>
          <w:sz w:val="24"/>
          <w:szCs w:val="24"/>
        </w:rPr>
        <w:t xml:space="preserve">iew process should take about a quarter of an hour. </w:t>
      </w:r>
      <w:r w:rsidR="008C4CF3">
        <w:rPr>
          <w:rFonts w:ascii="Times New Roman" w:hAnsi="Times New Roman" w:cs="Times New Roman"/>
          <w:sz w:val="24"/>
          <w:szCs w:val="24"/>
        </w:rPr>
        <w:t xml:space="preserve">The cost to the Federal government processing costs are as follows (the hourly pay </w:t>
      </w:r>
      <w:r w:rsidR="00255D09">
        <w:rPr>
          <w:rFonts w:ascii="Times New Roman" w:hAnsi="Times New Roman" w:cs="Times New Roman"/>
          <w:sz w:val="24"/>
          <w:szCs w:val="24"/>
        </w:rPr>
        <w:t>rate for the e</w:t>
      </w:r>
      <w:r w:rsidR="00DC24D8">
        <w:rPr>
          <w:rFonts w:ascii="Times New Roman" w:hAnsi="Times New Roman" w:cs="Times New Roman"/>
          <w:sz w:val="24"/>
          <w:szCs w:val="24"/>
        </w:rPr>
        <w:t>mployee is a GS-7 step 5, $23.72</w:t>
      </w:r>
      <w:r w:rsidR="00272321">
        <w:rPr>
          <w:rFonts w:ascii="Times New Roman" w:hAnsi="Times New Roman" w:cs="Times New Roman"/>
          <w:sz w:val="24"/>
          <w:szCs w:val="24"/>
        </w:rPr>
        <w:t xml:space="preserve">/hour).  </w:t>
      </w:r>
    </w:p>
    <w:p w14:paraId="53E2B19E" w14:textId="77777777" w:rsidR="00065FB2" w:rsidRDefault="00065FB2" w:rsidP="008C4CF3">
      <w:pPr>
        <w:spacing w:after="0" w:line="240" w:lineRule="auto"/>
        <w:rPr>
          <w:rFonts w:ascii="Times New Roman" w:hAnsi="Times New Roman" w:cs="Times New Roman"/>
          <w:sz w:val="24"/>
          <w:szCs w:val="24"/>
        </w:rPr>
      </w:pPr>
    </w:p>
    <w:p w14:paraId="53E2B19F" w14:textId="07970755" w:rsidR="00272321" w:rsidRDefault="00255D09" w:rsidP="008C4CF3">
      <w:pPr>
        <w:spacing w:after="0" w:line="240" w:lineRule="auto"/>
        <w:rPr>
          <w:rFonts w:ascii="Times New Roman" w:hAnsi="Times New Roman" w:cs="Times New Roman"/>
          <w:b/>
          <w:sz w:val="24"/>
          <w:szCs w:val="24"/>
        </w:rPr>
      </w:pPr>
      <w:r>
        <w:rPr>
          <w:rFonts w:ascii="Times New Roman" w:hAnsi="Times New Roman" w:cs="Times New Roman"/>
          <w:sz w:val="24"/>
          <w:szCs w:val="24"/>
        </w:rPr>
        <w:t>Annual Cost:</w:t>
      </w:r>
      <w:r>
        <w:rPr>
          <w:rFonts w:ascii="Times New Roman" w:hAnsi="Times New Roman" w:cs="Times New Roman"/>
          <w:sz w:val="24"/>
          <w:szCs w:val="24"/>
        </w:rPr>
        <w:tab/>
      </w:r>
      <w:r w:rsidR="00FA5F9D">
        <w:rPr>
          <w:rFonts w:ascii="Times New Roman" w:hAnsi="Times New Roman" w:cs="Times New Roman"/>
          <w:sz w:val="24"/>
          <w:szCs w:val="24"/>
        </w:rPr>
        <w:t xml:space="preserve">30 </w:t>
      </w:r>
      <w:r w:rsidR="0029309D">
        <w:rPr>
          <w:rFonts w:ascii="Times New Roman" w:hAnsi="Times New Roman" w:cs="Times New Roman"/>
          <w:sz w:val="24"/>
          <w:szCs w:val="24"/>
        </w:rPr>
        <w:t>respondents</w:t>
      </w:r>
      <w:r w:rsidR="00065FB2">
        <w:rPr>
          <w:rFonts w:ascii="Times New Roman" w:hAnsi="Times New Roman" w:cs="Times New Roman"/>
          <w:sz w:val="24"/>
          <w:szCs w:val="24"/>
        </w:rPr>
        <w:t xml:space="preserve"> x .25 hours/review x</w:t>
      </w:r>
      <w:r w:rsidR="00272321">
        <w:rPr>
          <w:rFonts w:ascii="Times New Roman" w:hAnsi="Times New Roman" w:cs="Times New Roman"/>
          <w:sz w:val="24"/>
          <w:szCs w:val="24"/>
        </w:rPr>
        <w:t xml:space="preserve"> </w:t>
      </w:r>
      <w:r w:rsidR="00DC24D8">
        <w:rPr>
          <w:rFonts w:ascii="Times New Roman" w:hAnsi="Times New Roman" w:cs="Times New Roman"/>
          <w:sz w:val="24"/>
          <w:szCs w:val="24"/>
        </w:rPr>
        <w:t>$23.72</w:t>
      </w:r>
      <w:r w:rsidR="00354FD2">
        <w:rPr>
          <w:rFonts w:ascii="Times New Roman" w:hAnsi="Times New Roman" w:cs="Times New Roman"/>
          <w:sz w:val="24"/>
          <w:szCs w:val="24"/>
        </w:rPr>
        <w:t xml:space="preserve">/hour </w:t>
      </w:r>
      <w:r w:rsidR="00272321">
        <w:rPr>
          <w:rFonts w:ascii="Times New Roman" w:hAnsi="Times New Roman" w:cs="Times New Roman"/>
          <w:sz w:val="24"/>
          <w:szCs w:val="24"/>
        </w:rPr>
        <w:t>=</w:t>
      </w:r>
      <w:r w:rsidR="00065FB2">
        <w:rPr>
          <w:rFonts w:ascii="Times New Roman" w:hAnsi="Times New Roman" w:cs="Times New Roman"/>
          <w:sz w:val="24"/>
          <w:szCs w:val="24"/>
        </w:rPr>
        <w:t xml:space="preserve"> </w:t>
      </w:r>
      <w:r w:rsidR="00354FD2">
        <w:rPr>
          <w:rFonts w:ascii="Times New Roman" w:hAnsi="Times New Roman" w:cs="Times New Roman"/>
          <w:sz w:val="24"/>
          <w:szCs w:val="24"/>
        </w:rPr>
        <w:tab/>
      </w:r>
      <w:r w:rsidR="00272321" w:rsidRPr="008A7632">
        <w:rPr>
          <w:rFonts w:ascii="Times New Roman" w:hAnsi="Times New Roman" w:cs="Times New Roman"/>
          <w:b/>
          <w:sz w:val="24"/>
          <w:szCs w:val="24"/>
        </w:rPr>
        <w:t>$</w:t>
      </w:r>
      <w:r w:rsidR="00DC24D8">
        <w:rPr>
          <w:rFonts w:ascii="Times New Roman" w:hAnsi="Times New Roman" w:cs="Times New Roman"/>
          <w:b/>
          <w:sz w:val="24"/>
          <w:szCs w:val="24"/>
        </w:rPr>
        <w:t>177.90</w:t>
      </w:r>
    </w:p>
    <w:p w14:paraId="53E2B1A0" w14:textId="77777777" w:rsidR="006365C9" w:rsidRDefault="006365C9" w:rsidP="008C4CF3">
      <w:pPr>
        <w:spacing w:after="0" w:line="240" w:lineRule="auto"/>
        <w:rPr>
          <w:rFonts w:ascii="Times New Roman" w:hAnsi="Times New Roman" w:cs="Times New Roman"/>
          <w:b/>
          <w:sz w:val="24"/>
          <w:szCs w:val="24"/>
        </w:rPr>
      </w:pPr>
    </w:p>
    <w:p w14:paraId="53E2B1A1" w14:textId="77777777" w:rsidR="007B3787" w:rsidRDefault="003D3A37" w:rsidP="008C4CF3">
      <w:pPr>
        <w:spacing w:after="0" w:line="240" w:lineRule="auto"/>
        <w:rPr>
          <w:rFonts w:ascii="Times New Roman" w:hAnsi="Times New Roman" w:cs="Times New Roman"/>
          <w:sz w:val="24"/>
          <w:szCs w:val="24"/>
        </w:rPr>
      </w:pPr>
      <w:r w:rsidRPr="00065FB2">
        <w:rPr>
          <w:rFonts w:ascii="Times New Roman" w:hAnsi="Times New Roman" w:cs="Times New Roman"/>
          <w:b/>
          <w:sz w:val="24"/>
          <w:szCs w:val="24"/>
        </w:rPr>
        <w:t>14-</w:t>
      </w:r>
      <w:r w:rsidR="00354FD2" w:rsidRPr="00065FB2">
        <w:rPr>
          <w:rFonts w:ascii="Times New Roman" w:hAnsi="Times New Roman" w:cs="Times New Roman"/>
          <w:b/>
          <w:sz w:val="24"/>
          <w:szCs w:val="24"/>
        </w:rPr>
        <w:t>b</w:t>
      </w:r>
      <w:r w:rsidR="00065FB2" w:rsidRPr="00065FB2">
        <w:rPr>
          <w:rFonts w:ascii="Times New Roman" w:hAnsi="Times New Roman" w:cs="Times New Roman"/>
          <w:b/>
          <w:sz w:val="24"/>
          <w:szCs w:val="24"/>
        </w:rPr>
        <w:t>.</w:t>
      </w:r>
      <w:r w:rsidR="00354FD2">
        <w:rPr>
          <w:rFonts w:ascii="Times New Roman" w:hAnsi="Times New Roman" w:cs="Times New Roman"/>
          <w:sz w:val="24"/>
          <w:szCs w:val="24"/>
        </w:rPr>
        <w:tab/>
      </w:r>
      <w:r w:rsidR="007B3787" w:rsidRPr="00065FB2">
        <w:rPr>
          <w:rFonts w:ascii="Times New Roman" w:hAnsi="Times New Roman" w:cs="Times New Roman"/>
          <w:i/>
          <w:sz w:val="24"/>
          <w:szCs w:val="24"/>
        </w:rPr>
        <w:t xml:space="preserve">Compliance with </w:t>
      </w:r>
      <w:r w:rsidR="00065FB2" w:rsidRPr="00065FB2">
        <w:rPr>
          <w:rFonts w:ascii="Times New Roman" w:hAnsi="Times New Roman" w:cs="Times New Roman"/>
          <w:i/>
          <w:sz w:val="24"/>
          <w:szCs w:val="24"/>
        </w:rPr>
        <w:t xml:space="preserve">Performance Requirements pursuant to </w:t>
      </w:r>
      <w:r w:rsidR="007B3787" w:rsidRPr="00065FB2">
        <w:rPr>
          <w:rFonts w:ascii="Times New Roman" w:hAnsi="Times New Roman" w:cs="Times New Roman"/>
          <w:i/>
          <w:sz w:val="24"/>
          <w:szCs w:val="24"/>
        </w:rPr>
        <w:t>§30.105, Subpart B – Applications and Licenses, Construction requirements.</w:t>
      </w:r>
      <w:r w:rsidR="00065FB2">
        <w:rPr>
          <w:rFonts w:ascii="Times New Roman" w:hAnsi="Times New Roman" w:cs="Times New Roman"/>
          <w:sz w:val="24"/>
          <w:szCs w:val="24"/>
        </w:rPr>
        <w:t xml:space="preserve">  The first notification need not be filed until 12 years after the initial license is granted </w:t>
      </w:r>
      <w:r w:rsidR="00065FB2" w:rsidRPr="00065FB2">
        <w:rPr>
          <w:rFonts w:ascii="Times New Roman" w:hAnsi="Times New Roman" w:cs="Times New Roman"/>
          <w:sz w:val="24"/>
          <w:szCs w:val="24"/>
        </w:rPr>
        <w:t>under §30.105, Subpart B – Applications and Licenses ‒ Construction Requirements.</w:t>
      </w:r>
      <w:r w:rsidR="00065FB2">
        <w:rPr>
          <w:rFonts w:ascii="Times New Roman" w:hAnsi="Times New Roman" w:cs="Times New Roman"/>
          <w:sz w:val="24"/>
          <w:szCs w:val="24"/>
        </w:rPr>
        <w:t xml:space="preserve">  Thus, we do not anticipate any burden hours to the Commission for this collection during the next three-year approval period.</w:t>
      </w:r>
    </w:p>
    <w:p w14:paraId="53E2B1A2" w14:textId="77777777" w:rsidR="00122BD2" w:rsidRDefault="00122BD2" w:rsidP="008C4CF3">
      <w:pPr>
        <w:spacing w:after="0" w:line="240" w:lineRule="auto"/>
        <w:rPr>
          <w:rFonts w:ascii="Times New Roman" w:hAnsi="Times New Roman" w:cs="Times New Roman"/>
          <w:sz w:val="24"/>
          <w:szCs w:val="24"/>
        </w:rPr>
      </w:pPr>
    </w:p>
    <w:p w14:paraId="53E2B1A3" w14:textId="77777777" w:rsidR="00122BD2" w:rsidRPr="00065FB2" w:rsidRDefault="00122BD2" w:rsidP="008C4C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14:paraId="53E2B1A4" w14:textId="77777777" w:rsidR="007B3787" w:rsidRDefault="007B3787" w:rsidP="008C4CF3">
      <w:pPr>
        <w:spacing w:after="0" w:line="240" w:lineRule="auto"/>
        <w:rPr>
          <w:rFonts w:ascii="Times New Roman" w:hAnsi="Times New Roman" w:cs="Times New Roman"/>
          <w:sz w:val="24"/>
          <w:szCs w:val="24"/>
        </w:rPr>
      </w:pPr>
    </w:p>
    <w:p w14:paraId="53E2B1A5" w14:textId="77777777" w:rsidR="00065FB2" w:rsidRDefault="00065FB2" w:rsidP="008C4CF3">
      <w:pPr>
        <w:spacing w:after="0" w:line="240" w:lineRule="auto"/>
        <w:rPr>
          <w:rFonts w:ascii="Times New Roman" w:hAnsi="Times New Roman" w:cs="Times New Roman"/>
          <w:sz w:val="24"/>
          <w:szCs w:val="24"/>
        </w:rPr>
      </w:pPr>
      <w:r w:rsidRPr="00065FB2">
        <w:rPr>
          <w:rFonts w:ascii="Times New Roman" w:hAnsi="Times New Roman" w:cs="Times New Roman"/>
          <w:b/>
          <w:sz w:val="24"/>
          <w:szCs w:val="24"/>
        </w:rPr>
        <w:lastRenderedPageBreak/>
        <w:t>14-c.</w:t>
      </w:r>
      <w:r>
        <w:rPr>
          <w:rFonts w:ascii="Times New Roman" w:hAnsi="Times New Roman" w:cs="Times New Roman"/>
          <w:sz w:val="24"/>
          <w:szCs w:val="24"/>
        </w:rPr>
        <w:tab/>
      </w:r>
      <w:r w:rsidRPr="00065FB2">
        <w:rPr>
          <w:rFonts w:ascii="Times New Roman" w:hAnsi="Times New Roman" w:cs="Times New Roman"/>
          <w:i/>
          <w:sz w:val="24"/>
          <w:szCs w:val="24"/>
        </w:rPr>
        <w:t>Compliance with §30.107, Subpart B – Applications and Licenses, Discontinuance of Service.</w:t>
      </w:r>
      <w:r w:rsidR="003F0049">
        <w:rPr>
          <w:rFonts w:ascii="Times New Roman" w:hAnsi="Times New Roman" w:cs="Times New Roman"/>
          <w:sz w:val="24"/>
          <w:szCs w:val="24"/>
        </w:rPr>
        <w:t xml:space="preserve">  We do not anticipate any notifications being filed for this collection during the next three-year approval period; therefore, we do not anticipate any burden hours to the Commission for this collection during the next three-year approval period.</w:t>
      </w:r>
    </w:p>
    <w:p w14:paraId="53E2B1A6" w14:textId="77777777" w:rsidR="00122BD2" w:rsidRDefault="00122BD2" w:rsidP="008C4CF3">
      <w:pPr>
        <w:spacing w:after="0" w:line="240" w:lineRule="auto"/>
        <w:rPr>
          <w:rFonts w:ascii="Times New Roman" w:hAnsi="Times New Roman" w:cs="Times New Roman"/>
          <w:sz w:val="24"/>
          <w:szCs w:val="24"/>
        </w:rPr>
      </w:pPr>
    </w:p>
    <w:p w14:paraId="53E2B1A7" w14:textId="77777777" w:rsidR="00122BD2" w:rsidRDefault="00122BD2" w:rsidP="008C4CF3">
      <w:pPr>
        <w:spacing w:after="0" w:line="240" w:lineRule="auto"/>
        <w:rPr>
          <w:rFonts w:ascii="Times New Roman" w:hAnsi="Times New Roman" w:cs="Times New Roman"/>
          <w:sz w:val="24"/>
          <w:szCs w:val="24"/>
        </w:rPr>
      </w:pPr>
      <w:r w:rsidRPr="00122BD2">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14:paraId="53E2B1A8" w14:textId="77777777" w:rsidR="003F0049" w:rsidRDefault="003F0049" w:rsidP="008C4CF3">
      <w:pPr>
        <w:spacing w:after="0" w:line="240" w:lineRule="auto"/>
        <w:rPr>
          <w:rFonts w:ascii="Times New Roman" w:hAnsi="Times New Roman" w:cs="Times New Roman"/>
          <w:sz w:val="24"/>
          <w:szCs w:val="24"/>
        </w:rPr>
      </w:pPr>
    </w:p>
    <w:p w14:paraId="53E2B1A9" w14:textId="77777777" w:rsidR="00B81084" w:rsidRDefault="003F0049" w:rsidP="005541C7">
      <w:pPr>
        <w:spacing w:after="0" w:line="240" w:lineRule="auto"/>
        <w:rPr>
          <w:rFonts w:ascii="Times New Roman" w:hAnsi="Times New Roman" w:cs="Times New Roman"/>
          <w:sz w:val="24"/>
          <w:szCs w:val="24"/>
        </w:rPr>
      </w:pPr>
      <w:r w:rsidRPr="003F0049">
        <w:rPr>
          <w:rFonts w:ascii="Times New Roman" w:hAnsi="Times New Roman" w:cs="Times New Roman"/>
          <w:b/>
          <w:sz w:val="24"/>
          <w:szCs w:val="24"/>
        </w:rPr>
        <w:t>1</w:t>
      </w:r>
      <w:r w:rsidR="006725BF">
        <w:rPr>
          <w:rFonts w:ascii="Times New Roman" w:hAnsi="Times New Roman" w:cs="Times New Roman"/>
          <w:b/>
          <w:sz w:val="24"/>
          <w:szCs w:val="24"/>
        </w:rPr>
        <w:t>4</w:t>
      </w:r>
      <w:r w:rsidRPr="003F0049">
        <w:rPr>
          <w:rFonts w:ascii="Times New Roman" w:hAnsi="Times New Roman" w:cs="Times New Roman"/>
          <w:b/>
          <w:sz w:val="24"/>
          <w:szCs w:val="24"/>
        </w:rPr>
        <w:t>-d.</w:t>
      </w:r>
      <w:r>
        <w:rPr>
          <w:rFonts w:ascii="Times New Roman" w:hAnsi="Times New Roman" w:cs="Times New Roman"/>
          <w:sz w:val="24"/>
          <w:szCs w:val="24"/>
        </w:rPr>
        <w:tab/>
      </w:r>
      <w:r w:rsidRPr="003F0049">
        <w:rPr>
          <w:rFonts w:ascii="Times New Roman" w:hAnsi="Times New Roman" w:cs="Times New Roman"/>
          <w:i/>
          <w:sz w:val="24"/>
          <w:szCs w:val="24"/>
        </w:rPr>
        <w:t xml:space="preserve">Compliance with Performance Requirements pursuant to </w:t>
      </w:r>
      <w:r w:rsidR="00354FD2" w:rsidRPr="003F0049">
        <w:rPr>
          <w:rFonts w:ascii="Times New Roman" w:hAnsi="Times New Roman" w:cs="Times New Roman"/>
          <w:i/>
          <w:sz w:val="24"/>
          <w:szCs w:val="24"/>
        </w:rPr>
        <w:t>§30.205, Subpart C – Technical Standards, Information Sharing Requirements</w:t>
      </w:r>
      <w:r w:rsidR="00952493" w:rsidRPr="003F0049">
        <w:rPr>
          <w:rFonts w:ascii="Times New Roman" w:hAnsi="Times New Roman" w:cs="Times New Roman"/>
          <w:i/>
          <w:sz w:val="24"/>
          <w:szCs w:val="24"/>
        </w:rPr>
        <w:t>.</w:t>
      </w:r>
      <w:r w:rsidR="00952493">
        <w:rPr>
          <w:rFonts w:ascii="Times New Roman" w:hAnsi="Times New Roman" w:cs="Times New Roman"/>
          <w:sz w:val="24"/>
          <w:szCs w:val="24"/>
        </w:rPr>
        <w:t xml:space="preserve">  </w:t>
      </w:r>
      <w:r w:rsidR="00341D88">
        <w:rPr>
          <w:rFonts w:ascii="Times New Roman" w:hAnsi="Times New Roman" w:cs="Times New Roman"/>
          <w:sz w:val="24"/>
          <w:szCs w:val="24"/>
        </w:rPr>
        <w:t xml:space="preserve">Since the information is shared with third parties, there is no cost </w:t>
      </w:r>
      <w:r w:rsidR="00EE4F38">
        <w:rPr>
          <w:rFonts w:ascii="Times New Roman" w:hAnsi="Times New Roman" w:cs="Times New Roman"/>
          <w:sz w:val="24"/>
          <w:szCs w:val="24"/>
        </w:rPr>
        <w:t xml:space="preserve">associated with government review of the information. </w:t>
      </w:r>
    </w:p>
    <w:p w14:paraId="53E2B1AA" w14:textId="77777777" w:rsidR="005541C7" w:rsidRDefault="005541C7" w:rsidP="005541C7">
      <w:pPr>
        <w:spacing w:after="0" w:line="240" w:lineRule="auto"/>
        <w:rPr>
          <w:rFonts w:ascii="Times New Roman" w:hAnsi="Times New Roman" w:cs="Times New Roman"/>
          <w:sz w:val="24"/>
          <w:szCs w:val="24"/>
        </w:rPr>
      </w:pPr>
    </w:p>
    <w:p w14:paraId="53E2B1AB" w14:textId="77777777" w:rsidR="005541C7" w:rsidRDefault="005541C7" w:rsidP="005541C7">
      <w:pPr>
        <w:spacing w:after="0" w:line="240" w:lineRule="auto"/>
        <w:rPr>
          <w:rFonts w:ascii="Times New Roman" w:hAnsi="Times New Roman" w:cs="Times New Roman"/>
          <w:sz w:val="24"/>
          <w:szCs w:val="24"/>
        </w:rPr>
      </w:pPr>
      <w:r w:rsidRPr="005541C7">
        <w:rPr>
          <w:rFonts w:ascii="Times New Roman" w:hAnsi="Times New Roman" w:cs="Times New Roman"/>
          <w:sz w:val="24"/>
          <w:szCs w:val="24"/>
        </w:rPr>
        <w:t xml:space="preserve">Annual Cost:  </w:t>
      </w:r>
      <w:r w:rsidRPr="005541C7">
        <w:rPr>
          <w:rFonts w:ascii="Times New Roman" w:hAnsi="Times New Roman" w:cs="Times New Roman"/>
          <w:b/>
          <w:sz w:val="24"/>
          <w:szCs w:val="24"/>
        </w:rPr>
        <w:t>$0</w:t>
      </w:r>
    </w:p>
    <w:p w14:paraId="53E2B1AC" w14:textId="77777777" w:rsidR="005541C7" w:rsidRDefault="005541C7" w:rsidP="005541C7">
      <w:pPr>
        <w:spacing w:after="0" w:line="240" w:lineRule="auto"/>
        <w:rPr>
          <w:rFonts w:ascii="Times New Roman" w:hAnsi="Times New Roman" w:cs="Times New Roman"/>
          <w:sz w:val="24"/>
          <w:szCs w:val="24"/>
        </w:rPr>
      </w:pPr>
    </w:p>
    <w:p w14:paraId="53E2B1AD" w14:textId="6E057C5B" w:rsidR="00473C11" w:rsidRPr="00122BD2" w:rsidRDefault="005541C7" w:rsidP="00EE4F38">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122BD2" w:rsidRPr="00122BD2">
        <w:rPr>
          <w:rFonts w:ascii="Times New Roman" w:hAnsi="Times New Roman" w:cs="Times New Roman"/>
          <w:b/>
          <w:sz w:val="24"/>
          <w:szCs w:val="24"/>
        </w:rPr>
        <w:t>OTAL ANNUAL COST:  $</w:t>
      </w:r>
      <w:r w:rsidR="00DC24D8">
        <w:rPr>
          <w:rFonts w:ascii="Times New Roman" w:hAnsi="Times New Roman" w:cs="Times New Roman"/>
          <w:b/>
          <w:sz w:val="24"/>
          <w:szCs w:val="24"/>
        </w:rPr>
        <w:t>177.90 + 0 + 0 + 0 = $177.90</w:t>
      </w:r>
    </w:p>
    <w:p w14:paraId="53E2B1AE" w14:textId="77777777" w:rsidR="00473C11" w:rsidRDefault="00473C11" w:rsidP="00272321">
      <w:pPr>
        <w:spacing w:after="0" w:line="240" w:lineRule="auto"/>
        <w:rPr>
          <w:rFonts w:ascii="Times New Roman" w:hAnsi="Times New Roman" w:cs="Times New Roman"/>
          <w:sz w:val="24"/>
          <w:szCs w:val="24"/>
        </w:rPr>
      </w:pPr>
    </w:p>
    <w:p w14:paraId="53E2B1AF" w14:textId="77777777" w:rsidR="00272321" w:rsidRDefault="00272321" w:rsidP="0027232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473C11" w:rsidRPr="008A7632">
        <w:rPr>
          <w:rFonts w:ascii="Times New Roman" w:hAnsi="Times New Roman" w:cs="Times New Roman"/>
          <w:sz w:val="24"/>
          <w:szCs w:val="24"/>
        </w:rPr>
        <w:t xml:space="preserve">This is a new collection.  </w:t>
      </w:r>
      <w:r w:rsidR="00CD0A59">
        <w:rPr>
          <w:rFonts w:ascii="Times New Roman" w:hAnsi="Times New Roman" w:cs="Times New Roman"/>
          <w:sz w:val="24"/>
          <w:szCs w:val="24"/>
        </w:rPr>
        <w:t xml:space="preserve">If the Commission adopts the information collection requirements in a final rulemaking </w:t>
      </w:r>
      <w:r w:rsidR="00A903AD">
        <w:rPr>
          <w:rFonts w:ascii="Times New Roman" w:hAnsi="Times New Roman" w:cs="Times New Roman"/>
          <w:sz w:val="24"/>
          <w:szCs w:val="24"/>
        </w:rPr>
        <w:t>35</w:t>
      </w:r>
      <w:r w:rsidR="00A903AD" w:rsidRPr="008A7632">
        <w:rPr>
          <w:rFonts w:ascii="Times New Roman" w:hAnsi="Times New Roman" w:cs="Times New Roman"/>
          <w:sz w:val="24"/>
          <w:szCs w:val="24"/>
        </w:rPr>
        <w:t xml:space="preserve"> </w:t>
      </w:r>
      <w:r w:rsidR="00E53175" w:rsidRPr="008A7632">
        <w:rPr>
          <w:rFonts w:ascii="Times New Roman" w:hAnsi="Times New Roman" w:cs="Times New Roman"/>
          <w:sz w:val="24"/>
          <w:szCs w:val="24"/>
        </w:rPr>
        <w:t xml:space="preserve">respondents, </w:t>
      </w:r>
      <w:r w:rsidR="00A903AD">
        <w:rPr>
          <w:rFonts w:ascii="Times New Roman" w:hAnsi="Times New Roman" w:cs="Times New Roman"/>
          <w:sz w:val="24"/>
          <w:szCs w:val="24"/>
        </w:rPr>
        <w:t>130</w:t>
      </w:r>
      <w:r w:rsidR="00A903AD" w:rsidRPr="008A7632">
        <w:rPr>
          <w:rFonts w:ascii="Times New Roman" w:hAnsi="Times New Roman" w:cs="Times New Roman"/>
          <w:sz w:val="24"/>
          <w:szCs w:val="24"/>
        </w:rPr>
        <w:t xml:space="preserve"> </w:t>
      </w:r>
      <w:r w:rsidR="00E53175" w:rsidRPr="008A7632">
        <w:rPr>
          <w:rFonts w:ascii="Times New Roman" w:hAnsi="Times New Roman" w:cs="Times New Roman"/>
          <w:sz w:val="24"/>
          <w:szCs w:val="24"/>
        </w:rPr>
        <w:t xml:space="preserve">responses, </w:t>
      </w:r>
      <w:r w:rsidR="00A903AD">
        <w:rPr>
          <w:rFonts w:ascii="Times New Roman" w:hAnsi="Times New Roman" w:cs="Times New Roman"/>
          <w:sz w:val="24"/>
          <w:szCs w:val="24"/>
        </w:rPr>
        <w:t>5,015</w:t>
      </w:r>
      <w:r w:rsidR="00E53175" w:rsidRPr="008A7632">
        <w:rPr>
          <w:rFonts w:ascii="Times New Roman" w:hAnsi="Times New Roman" w:cs="Times New Roman"/>
          <w:sz w:val="24"/>
          <w:szCs w:val="24"/>
        </w:rPr>
        <w:t xml:space="preserve"> annual burden hours, and </w:t>
      </w:r>
      <w:r w:rsidR="00CD0A59">
        <w:rPr>
          <w:rFonts w:ascii="Times New Roman" w:hAnsi="Times New Roman" w:cs="Times New Roman"/>
          <w:sz w:val="24"/>
          <w:szCs w:val="24"/>
        </w:rPr>
        <w:t xml:space="preserve">no </w:t>
      </w:r>
      <w:r w:rsidR="00E53175" w:rsidRPr="008A7632">
        <w:rPr>
          <w:rFonts w:ascii="Times New Roman" w:hAnsi="Times New Roman" w:cs="Times New Roman"/>
          <w:sz w:val="24"/>
          <w:szCs w:val="24"/>
        </w:rPr>
        <w:t>annual costs</w:t>
      </w:r>
      <w:r w:rsidR="00CD0A59">
        <w:rPr>
          <w:rFonts w:ascii="Times New Roman" w:hAnsi="Times New Roman" w:cs="Times New Roman"/>
          <w:sz w:val="24"/>
          <w:szCs w:val="24"/>
        </w:rPr>
        <w:t xml:space="preserve"> will be added in OMB’s inventory.</w:t>
      </w:r>
      <w:r w:rsidR="006725BF">
        <w:rPr>
          <w:rFonts w:ascii="Times New Roman" w:hAnsi="Times New Roman" w:cs="Times New Roman"/>
          <w:sz w:val="24"/>
          <w:szCs w:val="24"/>
        </w:rPr>
        <w:t xml:space="preserve"> </w:t>
      </w:r>
      <w:r w:rsidR="00E53175" w:rsidRPr="008A7632">
        <w:rPr>
          <w:rFonts w:ascii="Times New Roman" w:hAnsi="Times New Roman" w:cs="Times New Roman"/>
          <w:sz w:val="24"/>
          <w:szCs w:val="24"/>
        </w:rPr>
        <w:t>This is due to the information collection requirements adopted in Part 30.</w:t>
      </w:r>
    </w:p>
    <w:p w14:paraId="53E2B1B0" w14:textId="77777777" w:rsidR="00E53175" w:rsidRDefault="00E53175" w:rsidP="00272321">
      <w:pPr>
        <w:spacing w:after="0" w:line="240" w:lineRule="auto"/>
        <w:rPr>
          <w:rFonts w:ascii="Times New Roman" w:hAnsi="Times New Roman" w:cs="Times New Roman"/>
          <w:sz w:val="24"/>
          <w:szCs w:val="24"/>
        </w:rPr>
      </w:pPr>
    </w:p>
    <w:p w14:paraId="121F99F5" w14:textId="77777777" w:rsidR="00DC24D8" w:rsidRDefault="00DC24D8" w:rsidP="00272321">
      <w:pPr>
        <w:spacing w:after="0" w:line="240" w:lineRule="auto"/>
        <w:rPr>
          <w:rFonts w:ascii="Times New Roman" w:hAnsi="Times New Roman" w:cs="Times New Roman"/>
          <w:sz w:val="24"/>
          <w:szCs w:val="24"/>
        </w:rPr>
      </w:pPr>
    </w:p>
    <w:p w14:paraId="53E2B1B1" w14:textId="77777777" w:rsidR="00E53175" w:rsidRDefault="00E53175" w:rsidP="00272321">
      <w:pPr>
        <w:spacing w:after="0" w:line="24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The data will not be published for statistical use.</w:t>
      </w:r>
    </w:p>
    <w:p w14:paraId="53E2B1B2" w14:textId="77777777" w:rsidR="00E53175" w:rsidRDefault="00E53175" w:rsidP="00272321">
      <w:pPr>
        <w:spacing w:after="0" w:line="240" w:lineRule="auto"/>
        <w:rPr>
          <w:rFonts w:ascii="Times New Roman" w:hAnsi="Times New Roman" w:cs="Times New Roman"/>
          <w:sz w:val="24"/>
          <w:szCs w:val="24"/>
        </w:rPr>
      </w:pPr>
    </w:p>
    <w:p w14:paraId="53E2B1B3" w14:textId="77777777" w:rsidR="00E53175" w:rsidRDefault="00E53175" w:rsidP="006725BF">
      <w:pPr>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r>
      <w:r w:rsidR="00B21614" w:rsidRPr="005C2C8C">
        <w:rPr>
          <w:rFonts w:ascii="Times New Roman" w:hAnsi="Times New Roman"/>
          <w:spacing w:val="-3"/>
        </w:rPr>
        <w:t>OMB approval of the expiration of the information collection will be displayed at 47 C.F.R. Section 0.408.</w:t>
      </w:r>
    </w:p>
    <w:p w14:paraId="53E2B1B4" w14:textId="77777777" w:rsidR="00E53175" w:rsidRDefault="00E53175" w:rsidP="00272321">
      <w:pPr>
        <w:spacing w:after="0" w:line="24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F43234">
        <w:rPr>
          <w:rFonts w:ascii="Times New Roman" w:hAnsi="Times New Roman" w:cs="Times New Roman"/>
          <w:sz w:val="24"/>
          <w:szCs w:val="24"/>
        </w:rPr>
        <w:t>No exceptions have been identified in the Certification Statement.</w:t>
      </w:r>
    </w:p>
    <w:p w14:paraId="53E2B1B5" w14:textId="77777777" w:rsidR="00F43234" w:rsidRDefault="00F43234" w:rsidP="00272321">
      <w:pPr>
        <w:spacing w:after="0" w:line="240" w:lineRule="auto"/>
        <w:rPr>
          <w:rFonts w:ascii="Times New Roman" w:hAnsi="Times New Roman" w:cs="Times New Roman"/>
          <w:sz w:val="24"/>
          <w:szCs w:val="24"/>
        </w:rPr>
      </w:pPr>
    </w:p>
    <w:p w14:paraId="53E2B1B6" w14:textId="77777777" w:rsidR="00F43234" w:rsidRPr="00122BD2" w:rsidRDefault="00F43234" w:rsidP="00F43234">
      <w:pPr>
        <w:pStyle w:val="ListParagraph"/>
        <w:numPr>
          <w:ilvl w:val="0"/>
          <w:numId w:val="2"/>
        </w:numPr>
        <w:spacing w:after="0" w:line="240" w:lineRule="auto"/>
        <w:rPr>
          <w:rFonts w:ascii="Times New Roman" w:hAnsi="Times New Roman" w:cs="Times New Roman"/>
          <w:b/>
          <w:sz w:val="24"/>
          <w:szCs w:val="24"/>
          <w:u w:val="single"/>
        </w:rPr>
      </w:pPr>
      <w:r w:rsidRPr="00122BD2">
        <w:rPr>
          <w:rFonts w:ascii="Times New Roman" w:hAnsi="Times New Roman" w:cs="Times New Roman"/>
          <w:b/>
          <w:sz w:val="24"/>
          <w:szCs w:val="24"/>
          <w:u w:val="single"/>
        </w:rPr>
        <w:t>Collections of Information Employing Statistical Methods:</w:t>
      </w:r>
    </w:p>
    <w:p w14:paraId="53E2B1B7" w14:textId="77777777" w:rsidR="00122BD2" w:rsidRDefault="00122BD2" w:rsidP="00F43234">
      <w:pPr>
        <w:spacing w:after="0" w:line="240" w:lineRule="auto"/>
        <w:rPr>
          <w:rFonts w:ascii="Times New Roman" w:hAnsi="Times New Roman" w:cs="Times New Roman"/>
          <w:sz w:val="24"/>
          <w:szCs w:val="24"/>
        </w:rPr>
      </w:pPr>
    </w:p>
    <w:p w14:paraId="53E2B1B8" w14:textId="77777777" w:rsidR="00F43234" w:rsidRPr="00F43234" w:rsidRDefault="00F43234" w:rsidP="00122BD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statistical methods are employed.</w:t>
      </w:r>
    </w:p>
    <w:sectPr w:rsidR="00F43234" w:rsidRPr="00F4323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CA0D2" w14:textId="77777777" w:rsidR="00EF7B65" w:rsidRDefault="00EF7B65" w:rsidP="00A97E8E">
      <w:pPr>
        <w:spacing w:after="0" w:line="240" w:lineRule="auto"/>
      </w:pPr>
      <w:r>
        <w:separator/>
      </w:r>
    </w:p>
  </w:endnote>
  <w:endnote w:type="continuationSeparator" w:id="0">
    <w:p w14:paraId="6C14D686" w14:textId="77777777" w:rsidR="00EF7B65" w:rsidRDefault="00EF7B65" w:rsidP="00A9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644233"/>
      <w:docPartObj>
        <w:docPartGallery w:val="Page Numbers (Bottom of Page)"/>
        <w:docPartUnique/>
      </w:docPartObj>
    </w:sdtPr>
    <w:sdtEndPr>
      <w:rPr>
        <w:noProof/>
      </w:rPr>
    </w:sdtEndPr>
    <w:sdtContent>
      <w:p w14:paraId="53E2B1BD" w14:textId="77777777" w:rsidR="007B6326" w:rsidRDefault="007B6326">
        <w:pPr>
          <w:pStyle w:val="Footer"/>
          <w:jc w:val="center"/>
        </w:pPr>
        <w:r>
          <w:fldChar w:fldCharType="begin"/>
        </w:r>
        <w:r>
          <w:instrText xml:space="preserve"> PAGE   \* MERGEFORMAT </w:instrText>
        </w:r>
        <w:r>
          <w:fldChar w:fldCharType="separate"/>
        </w:r>
        <w:r w:rsidR="00E8359B">
          <w:rPr>
            <w:noProof/>
          </w:rPr>
          <w:t>2</w:t>
        </w:r>
        <w:r>
          <w:rPr>
            <w:noProof/>
          </w:rPr>
          <w:fldChar w:fldCharType="end"/>
        </w:r>
      </w:p>
    </w:sdtContent>
  </w:sdt>
  <w:p w14:paraId="53E2B1BE" w14:textId="77777777" w:rsidR="007B6326" w:rsidRDefault="007B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E2DA9" w14:textId="77777777" w:rsidR="00EF7B65" w:rsidRDefault="00EF7B65" w:rsidP="00A97E8E">
      <w:pPr>
        <w:spacing w:after="0" w:line="240" w:lineRule="auto"/>
      </w:pPr>
      <w:r>
        <w:separator/>
      </w:r>
    </w:p>
  </w:footnote>
  <w:footnote w:type="continuationSeparator" w:id="0">
    <w:p w14:paraId="561C8E05" w14:textId="77777777" w:rsidR="00EF7B65" w:rsidRDefault="00EF7B65" w:rsidP="00A97E8E">
      <w:pPr>
        <w:spacing w:after="0" w:line="240" w:lineRule="auto"/>
      </w:pPr>
      <w:r>
        <w:continuationSeparator/>
      </w:r>
    </w:p>
  </w:footnote>
  <w:footnote w:id="1">
    <w:p w14:paraId="53E2B1BF" w14:textId="77777777" w:rsidR="00FA5F9D" w:rsidRDefault="00FA5F9D">
      <w:pPr>
        <w:pStyle w:val="FootnoteText"/>
      </w:pPr>
      <w:r>
        <w:rPr>
          <w:rStyle w:val="FootnoteReference"/>
        </w:rPr>
        <w:footnoteRef/>
      </w:r>
      <w:r>
        <w:t xml:space="preserve"> </w:t>
      </w:r>
      <w:r w:rsidRPr="00FA5F9D">
        <w:t>In order to comply with the foreign ownership provisions of 47 U.S.C. Sec. 310, certain licensees will be required to file requests for approval of foreign ownership pursuant to Sections 1.990-1.994 of the Commission’s rules.  This collection seeks approval for collection of foreign ownership information from Part 30 licensees.</w:t>
      </w:r>
    </w:p>
  </w:footnote>
  <w:footnote w:id="2">
    <w:p w14:paraId="53E2B1C0" w14:textId="77777777" w:rsidR="00EB561B" w:rsidRPr="00EB561B" w:rsidRDefault="00EB561B" w:rsidP="00EB561B">
      <w:pPr>
        <w:pStyle w:val="FootnoteText"/>
      </w:pPr>
      <w:r w:rsidRPr="00DF4E65">
        <w:rPr>
          <w:rStyle w:val="FootnoteReference"/>
        </w:rPr>
        <w:footnoteRef/>
      </w:r>
      <w:r w:rsidRPr="00DF4E65">
        <w:t xml:space="preserve"> This rule section, Information Sharing Requirements, has a record keeping component as well as a third party requiring component because licensees may be required to put the information into a database and share it with multiple parties.</w:t>
      </w:r>
    </w:p>
    <w:p w14:paraId="53E2B1C1" w14:textId="77777777" w:rsidR="00EB561B" w:rsidRDefault="00EB561B">
      <w:pPr>
        <w:pStyle w:val="FootnoteText"/>
      </w:pPr>
      <w:r>
        <w:t xml:space="preserve"> </w:t>
      </w:r>
    </w:p>
  </w:footnote>
  <w:footnote w:id="3">
    <w:p w14:paraId="53E2B1C2" w14:textId="77777777" w:rsidR="00E8016D" w:rsidRDefault="00E8016D">
      <w:pPr>
        <w:pStyle w:val="FootnoteText"/>
      </w:pPr>
      <w:r>
        <w:rPr>
          <w:rStyle w:val="FootnoteReference"/>
        </w:rPr>
        <w:footnoteRef/>
      </w:r>
      <w:r>
        <w:t xml:space="preserve"> U.S. Bureau of Labor Statistics, </w:t>
      </w:r>
      <w:r w:rsidRPr="00E8016D">
        <w:t>Occupational Employment and Wages, May 2014</w:t>
      </w:r>
      <w:r>
        <w:t>, Attorney and Engineer, Hourly Means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3EFD"/>
    <w:multiLevelType w:val="hybridMultilevel"/>
    <w:tmpl w:val="D1FAEA94"/>
    <w:lvl w:ilvl="0" w:tplc="B2226CEA">
      <w:start w:val="1"/>
      <w:numFmt w:val="upperLetter"/>
      <w:lvlText w:val="%1."/>
      <w:lvlJc w:val="left"/>
      <w:pPr>
        <w:tabs>
          <w:tab w:val="num" w:pos="806"/>
        </w:tabs>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C6D752A"/>
    <w:multiLevelType w:val="hybridMultilevel"/>
    <w:tmpl w:val="1EAE4F4E"/>
    <w:lvl w:ilvl="0" w:tplc="7EFE4016">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0B0D78"/>
    <w:multiLevelType w:val="hybridMultilevel"/>
    <w:tmpl w:val="B3042418"/>
    <w:lvl w:ilvl="0" w:tplc="C8B691E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A50AED"/>
    <w:multiLevelType w:val="hybridMultilevel"/>
    <w:tmpl w:val="6E5AF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511934"/>
    <w:multiLevelType w:val="hybridMultilevel"/>
    <w:tmpl w:val="3236C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41F04"/>
    <w:multiLevelType w:val="hybridMultilevel"/>
    <w:tmpl w:val="AFC224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14"/>
    <w:rsid w:val="000013EF"/>
    <w:rsid w:val="000073A8"/>
    <w:rsid w:val="0001630E"/>
    <w:rsid w:val="00023673"/>
    <w:rsid w:val="0003543E"/>
    <w:rsid w:val="0004078C"/>
    <w:rsid w:val="00061F14"/>
    <w:rsid w:val="00062C97"/>
    <w:rsid w:val="00065354"/>
    <w:rsid w:val="00065FB2"/>
    <w:rsid w:val="00096043"/>
    <w:rsid w:val="000A3891"/>
    <w:rsid w:val="000C2822"/>
    <w:rsid w:val="000C46BC"/>
    <w:rsid w:val="000C523B"/>
    <w:rsid w:val="000C6E05"/>
    <w:rsid w:val="000E6635"/>
    <w:rsid w:val="000E71D6"/>
    <w:rsid w:val="001015CC"/>
    <w:rsid w:val="00111FA3"/>
    <w:rsid w:val="00121C54"/>
    <w:rsid w:val="00122BD2"/>
    <w:rsid w:val="00127F11"/>
    <w:rsid w:val="00144435"/>
    <w:rsid w:val="001453FC"/>
    <w:rsid w:val="001522FE"/>
    <w:rsid w:val="001537C3"/>
    <w:rsid w:val="00175905"/>
    <w:rsid w:val="00192166"/>
    <w:rsid w:val="001F1B01"/>
    <w:rsid w:val="001F2CA5"/>
    <w:rsid w:val="002309D0"/>
    <w:rsid w:val="00240E07"/>
    <w:rsid w:val="002541D8"/>
    <w:rsid w:val="00255D09"/>
    <w:rsid w:val="00264C05"/>
    <w:rsid w:val="00272321"/>
    <w:rsid w:val="00276E69"/>
    <w:rsid w:val="002771CE"/>
    <w:rsid w:val="0029309D"/>
    <w:rsid w:val="002978BB"/>
    <w:rsid w:val="002A4A0D"/>
    <w:rsid w:val="002D1D0E"/>
    <w:rsid w:val="003010DD"/>
    <w:rsid w:val="00333217"/>
    <w:rsid w:val="00341D88"/>
    <w:rsid w:val="00354FD2"/>
    <w:rsid w:val="00365449"/>
    <w:rsid w:val="003660A0"/>
    <w:rsid w:val="00381E71"/>
    <w:rsid w:val="00384C00"/>
    <w:rsid w:val="00390B3C"/>
    <w:rsid w:val="00392E7B"/>
    <w:rsid w:val="003B0FDD"/>
    <w:rsid w:val="003C496D"/>
    <w:rsid w:val="003C4B5A"/>
    <w:rsid w:val="003C6364"/>
    <w:rsid w:val="003D3A37"/>
    <w:rsid w:val="003E7D20"/>
    <w:rsid w:val="003F0049"/>
    <w:rsid w:val="004115F2"/>
    <w:rsid w:val="00445530"/>
    <w:rsid w:val="00464116"/>
    <w:rsid w:val="00466DD7"/>
    <w:rsid w:val="00472F1F"/>
    <w:rsid w:val="00473C11"/>
    <w:rsid w:val="00475041"/>
    <w:rsid w:val="00475DBB"/>
    <w:rsid w:val="004804D0"/>
    <w:rsid w:val="004836A0"/>
    <w:rsid w:val="00485A16"/>
    <w:rsid w:val="004A0194"/>
    <w:rsid w:val="004A658C"/>
    <w:rsid w:val="004C4110"/>
    <w:rsid w:val="004C453B"/>
    <w:rsid w:val="004E6155"/>
    <w:rsid w:val="004F4EB9"/>
    <w:rsid w:val="005413A1"/>
    <w:rsid w:val="00550A21"/>
    <w:rsid w:val="005541C7"/>
    <w:rsid w:val="00554601"/>
    <w:rsid w:val="005720E6"/>
    <w:rsid w:val="005F51AE"/>
    <w:rsid w:val="005F6619"/>
    <w:rsid w:val="00610FC3"/>
    <w:rsid w:val="00633618"/>
    <w:rsid w:val="006365C9"/>
    <w:rsid w:val="00643E86"/>
    <w:rsid w:val="006725BF"/>
    <w:rsid w:val="006759B9"/>
    <w:rsid w:val="00694707"/>
    <w:rsid w:val="006B2C22"/>
    <w:rsid w:val="006C146C"/>
    <w:rsid w:val="006D3B98"/>
    <w:rsid w:val="006E0156"/>
    <w:rsid w:val="006E28D4"/>
    <w:rsid w:val="007176C2"/>
    <w:rsid w:val="00721189"/>
    <w:rsid w:val="00721DD6"/>
    <w:rsid w:val="00723344"/>
    <w:rsid w:val="00723D48"/>
    <w:rsid w:val="00732C6B"/>
    <w:rsid w:val="00791977"/>
    <w:rsid w:val="00797783"/>
    <w:rsid w:val="007A2B3D"/>
    <w:rsid w:val="007B2A4B"/>
    <w:rsid w:val="007B3787"/>
    <w:rsid w:val="007B5831"/>
    <w:rsid w:val="007B6326"/>
    <w:rsid w:val="007F65C3"/>
    <w:rsid w:val="007F6F1D"/>
    <w:rsid w:val="00812B71"/>
    <w:rsid w:val="00824103"/>
    <w:rsid w:val="008307A3"/>
    <w:rsid w:val="00837B96"/>
    <w:rsid w:val="00837D88"/>
    <w:rsid w:val="00841B6A"/>
    <w:rsid w:val="0084287F"/>
    <w:rsid w:val="00861F23"/>
    <w:rsid w:val="008860DC"/>
    <w:rsid w:val="008A7632"/>
    <w:rsid w:val="008C4CF3"/>
    <w:rsid w:val="008E19B6"/>
    <w:rsid w:val="008F28EC"/>
    <w:rsid w:val="00901AB9"/>
    <w:rsid w:val="00930398"/>
    <w:rsid w:val="00944CAF"/>
    <w:rsid w:val="00947522"/>
    <w:rsid w:val="0095105D"/>
    <w:rsid w:val="00952493"/>
    <w:rsid w:val="00953B2C"/>
    <w:rsid w:val="00955173"/>
    <w:rsid w:val="0095623D"/>
    <w:rsid w:val="009A4A4B"/>
    <w:rsid w:val="00A0188D"/>
    <w:rsid w:val="00A27400"/>
    <w:rsid w:val="00A33665"/>
    <w:rsid w:val="00A33A10"/>
    <w:rsid w:val="00A64B82"/>
    <w:rsid w:val="00A903AD"/>
    <w:rsid w:val="00A97E8E"/>
    <w:rsid w:val="00AB44CC"/>
    <w:rsid w:val="00AC1FE7"/>
    <w:rsid w:val="00B142C0"/>
    <w:rsid w:val="00B20F82"/>
    <w:rsid w:val="00B21614"/>
    <w:rsid w:val="00B24A11"/>
    <w:rsid w:val="00B34B87"/>
    <w:rsid w:val="00B46F2B"/>
    <w:rsid w:val="00B52D3E"/>
    <w:rsid w:val="00B81084"/>
    <w:rsid w:val="00B862BA"/>
    <w:rsid w:val="00BD504A"/>
    <w:rsid w:val="00BE7D23"/>
    <w:rsid w:val="00C01326"/>
    <w:rsid w:val="00C0329D"/>
    <w:rsid w:val="00C44D9B"/>
    <w:rsid w:val="00C64D8A"/>
    <w:rsid w:val="00C66A09"/>
    <w:rsid w:val="00C90CEE"/>
    <w:rsid w:val="00C95174"/>
    <w:rsid w:val="00CA777B"/>
    <w:rsid w:val="00CC29D0"/>
    <w:rsid w:val="00CD0A59"/>
    <w:rsid w:val="00CF2ACE"/>
    <w:rsid w:val="00CF797D"/>
    <w:rsid w:val="00D30DD3"/>
    <w:rsid w:val="00D61C93"/>
    <w:rsid w:val="00D82C08"/>
    <w:rsid w:val="00D86C8A"/>
    <w:rsid w:val="00DA5EBB"/>
    <w:rsid w:val="00DB2785"/>
    <w:rsid w:val="00DB2B57"/>
    <w:rsid w:val="00DC24D8"/>
    <w:rsid w:val="00DC7383"/>
    <w:rsid w:val="00DF4E65"/>
    <w:rsid w:val="00DF6953"/>
    <w:rsid w:val="00DF713F"/>
    <w:rsid w:val="00E26D4B"/>
    <w:rsid w:val="00E3492F"/>
    <w:rsid w:val="00E36958"/>
    <w:rsid w:val="00E37D30"/>
    <w:rsid w:val="00E50B53"/>
    <w:rsid w:val="00E53175"/>
    <w:rsid w:val="00E8016D"/>
    <w:rsid w:val="00E8359B"/>
    <w:rsid w:val="00E90197"/>
    <w:rsid w:val="00EA104C"/>
    <w:rsid w:val="00EA2D0F"/>
    <w:rsid w:val="00EA3B94"/>
    <w:rsid w:val="00EA6AA2"/>
    <w:rsid w:val="00EB2B80"/>
    <w:rsid w:val="00EB3559"/>
    <w:rsid w:val="00EB493F"/>
    <w:rsid w:val="00EB539F"/>
    <w:rsid w:val="00EB561B"/>
    <w:rsid w:val="00EB6331"/>
    <w:rsid w:val="00EE4F38"/>
    <w:rsid w:val="00EF2891"/>
    <w:rsid w:val="00EF7B65"/>
    <w:rsid w:val="00F26148"/>
    <w:rsid w:val="00F335FA"/>
    <w:rsid w:val="00F43234"/>
    <w:rsid w:val="00F52225"/>
    <w:rsid w:val="00F564AC"/>
    <w:rsid w:val="00F62DF6"/>
    <w:rsid w:val="00F8697E"/>
    <w:rsid w:val="00FA5F9D"/>
    <w:rsid w:val="00FB6E90"/>
    <w:rsid w:val="00FC04EB"/>
    <w:rsid w:val="00FC498B"/>
    <w:rsid w:val="00FD1CAC"/>
    <w:rsid w:val="00FE594B"/>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B0DD"/>
  <w15:chartTrackingRefBased/>
  <w15:docId w15:val="{11924A1D-8D49-4434-8C16-A0CB1B6A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14"/>
    <w:pPr>
      <w:ind w:left="720"/>
      <w:contextualSpacing/>
    </w:pPr>
  </w:style>
  <w:style w:type="table" w:styleId="TableGrid">
    <w:name w:val="Table Grid"/>
    <w:basedOn w:val="TableNormal"/>
    <w:uiPriority w:val="39"/>
    <w:rsid w:val="0023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20"/>
    <w:rPr>
      <w:rFonts w:ascii="Segoe UI" w:hAnsi="Segoe UI" w:cs="Segoe UI"/>
      <w:sz w:val="18"/>
      <w:szCs w:val="18"/>
    </w:rPr>
  </w:style>
  <w:style w:type="paragraph" w:styleId="Header">
    <w:name w:val="header"/>
    <w:basedOn w:val="Normal"/>
    <w:link w:val="HeaderChar"/>
    <w:uiPriority w:val="99"/>
    <w:unhideWhenUsed/>
    <w:rsid w:val="00A97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8E"/>
  </w:style>
  <w:style w:type="paragraph" w:styleId="Footer">
    <w:name w:val="footer"/>
    <w:basedOn w:val="Normal"/>
    <w:link w:val="FooterChar"/>
    <w:uiPriority w:val="99"/>
    <w:unhideWhenUsed/>
    <w:rsid w:val="00A9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8E"/>
  </w:style>
  <w:style w:type="paragraph" w:styleId="FootnoteText">
    <w:name w:val="footnote text"/>
    <w:basedOn w:val="Normal"/>
    <w:link w:val="FootnoteTextChar"/>
    <w:uiPriority w:val="99"/>
    <w:semiHidden/>
    <w:unhideWhenUsed/>
    <w:rsid w:val="00953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2C"/>
    <w:rPr>
      <w:sz w:val="20"/>
      <w:szCs w:val="20"/>
    </w:rPr>
  </w:style>
  <w:style w:type="character" w:styleId="FootnoteReference">
    <w:name w:val="footnote reference"/>
    <w:basedOn w:val="DefaultParagraphFont"/>
    <w:uiPriority w:val="99"/>
    <w:semiHidden/>
    <w:unhideWhenUsed/>
    <w:rsid w:val="00953B2C"/>
    <w:rPr>
      <w:vertAlign w:val="superscript"/>
    </w:rPr>
  </w:style>
  <w:style w:type="character" w:styleId="CommentReference">
    <w:name w:val="annotation reference"/>
    <w:basedOn w:val="DefaultParagraphFont"/>
    <w:uiPriority w:val="99"/>
    <w:semiHidden/>
    <w:unhideWhenUsed/>
    <w:rsid w:val="00EB2B80"/>
    <w:rPr>
      <w:sz w:val="16"/>
      <w:szCs w:val="16"/>
    </w:rPr>
  </w:style>
  <w:style w:type="paragraph" w:styleId="CommentText">
    <w:name w:val="annotation text"/>
    <w:basedOn w:val="Normal"/>
    <w:link w:val="CommentTextChar"/>
    <w:uiPriority w:val="99"/>
    <w:semiHidden/>
    <w:unhideWhenUsed/>
    <w:rsid w:val="00EB2B80"/>
    <w:pPr>
      <w:spacing w:line="240" w:lineRule="auto"/>
    </w:pPr>
    <w:rPr>
      <w:sz w:val="20"/>
      <w:szCs w:val="20"/>
    </w:rPr>
  </w:style>
  <w:style w:type="character" w:customStyle="1" w:styleId="CommentTextChar">
    <w:name w:val="Comment Text Char"/>
    <w:basedOn w:val="DefaultParagraphFont"/>
    <w:link w:val="CommentText"/>
    <w:uiPriority w:val="99"/>
    <w:semiHidden/>
    <w:rsid w:val="00EB2B80"/>
    <w:rPr>
      <w:sz w:val="20"/>
      <w:szCs w:val="20"/>
    </w:rPr>
  </w:style>
  <w:style w:type="paragraph" w:styleId="CommentSubject">
    <w:name w:val="annotation subject"/>
    <w:basedOn w:val="CommentText"/>
    <w:next w:val="CommentText"/>
    <w:link w:val="CommentSubjectChar"/>
    <w:uiPriority w:val="99"/>
    <w:semiHidden/>
    <w:unhideWhenUsed/>
    <w:rsid w:val="00EB2B80"/>
    <w:rPr>
      <w:b/>
      <w:bCs/>
    </w:rPr>
  </w:style>
  <w:style w:type="character" w:customStyle="1" w:styleId="CommentSubjectChar">
    <w:name w:val="Comment Subject Char"/>
    <w:basedOn w:val="CommentTextChar"/>
    <w:link w:val="CommentSubject"/>
    <w:uiPriority w:val="99"/>
    <w:semiHidden/>
    <w:rsid w:val="00EB2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5E3AE-ADD0-41FF-AC08-6B4EFA43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3433</Words>
  <Characters>19570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Gilgenbach</dc:creator>
  <cp:keywords/>
  <dc:description/>
  <cp:lastModifiedBy>Danielle Williams</cp:lastModifiedBy>
  <cp:revision>2</cp:revision>
  <cp:lastPrinted>2015-11-23T21:38:00Z</cp:lastPrinted>
  <dcterms:created xsi:type="dcterms:W3CDTF">2016-01-13T18:03:00Z</dcterms:created>
  <dcterms:modified xsi:type="dcterms:W3CDTF">2016-01-13T18:03:00Z</dcterms:modified>
</cp:coreProperties>
</file>