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6CCD3" w14:textId="77777777" w:rsidR="006877D8" w:rsidRDefault="006877D8" w:rsidP="002B0B06">
      <w:pPr>
        <w:pStyle w:val="DocumentTitle"/>
      </w:pPr>
      <w:r w:rsidRPr="00F672CC">
        <w:t>SUPPORTING STATEMENT</w:t>
      </w:r>
      <w:r w:rsidR="002B0B06">
        <w:br/>
      </w:r>
      <w:r w:rsidRPr="00F672CC">
        <w:t>ENVIRONMENTAL PROTECTION AGENCY</w:t>
      </w:r>
    </w:p>
    <w:p w14:paraId="011C9D56" w14:textId="0A78D822" w:rsidR="002B0B06" w:rsidRDefault="00D90617" w:rsidP="00BD55B9">
      <w:pPr>
        <w:pStyle w:val="ICRtitle"/>
      </w:pPr>
      <w:r>
        <w:t xml:space="preserve">Greenhouse Gas Reporting Rule: Leak Detection Methodology Revisions and Confidentiality Determinations for Petroleum and Natural Gas Systems; Proposed </w:t>
      </w:r>
      <w:r w:rsidR="002B0B06" w:rsidRPr="00CF2BE8">
        <w:t>Rule</w:t>
      </w:r>
    </w:p>
    <w:p w14:paraId="41CCA843" w14:textId="77777777" w:rsidR="00637EB4" w:rsidRDefault="00637EB4" w:rsidP="00637EB4">
      <w:pPr>
        <w:pStyle w:val="ICRtitle"/>
      </w:pPr>
      <w:r>
        <w:t>(40 CFR Part 98, subpart W)</w:t>
      </w:r>
    </w:p>
    <w:p w14:paraId="635FD8C6" w14:textId="01865910" w:rsidR="00637EB4" w:rsidRPr="0087379B" w:rsidRDefault="00C0411C" w:rsidP="00C0411C">
      <w:pPr>
        <w:pStyle w:val="ICRtitle"/>
      </w:pPr>
      <w:r>
        <w:t>January</w:t>
      </w:r>
      <w:r w:rsidR="00B81994">
        <w:t xml:space="preserve"> 201</w:t>
      </w:r>
      <w:r>
        <w:t>6</w:t>
      </w:r>
    </w:p>
    <w:p w14:paraId="6F0BFF57" w14:textId="77777777" w:rsidR="00637EB4" w:rsidRPr="00F245EA" w:rsidRDefault="00637EB4" w:rsidP="00772D3A">
      <w:pPr>
        <w:pStyle w:val="PartHeading"/>
      </w:pPr>
      <w:r w:rsidRPr="00637EB4">
        <w:t xml:space="preserve">Part </w:t>
      </w:r>
      <w:r>
        <w:t>A of the Supporting Statement</w:t>
      </w:r>
    </w:p>
    <w:p w14:paraId="3A4F9D86" w14:textId="77777777" w:rsidR="008307EC" w:rsidRDefault="008307EC" w:rsidP="0013652B">
      <w:pPr>
        <w:pStyle w:val="SectionHeading"/>
        <w:rPr>
          <w:rFonts w:eastAsia="PMingLiU" w:hint="eastAsia"/>
        </w:rPr>
      </w:pPr>
      <w:r w:rsidRPr="00A6725D">
        <w:rPr>
          <w:rFonts w:eastAsia="PMingLiU"/>
        </w:rPr>
        <w:t>1.</w:t>
      </w:r>
      <w:r w:rsidRPr="00A6725D">
        <w:rPr>
          <w:rFonts w:eastAsia="PMingLiU"/>
        </w:rPr>
        <w:tab/>
        <w:t>Identification of the Information Collection</w:t>
      </w:r>
    </w:p>
    <w:p w14:paraId="1B5AED55" w14:textId="77777777" w:rsidR="008307EC" w:rsidRPr="00A22ECC" w:rsidRDefault="00A6725D" w:rsidP="00A22ECC">
      <w:pPr>
        <w:pStyle w:val="SectionSubheading"/>
        <w:rPr>
          <w:rFonts w:eastAsia="PMingLiU" w:hint="eastAsia"/>
        </w:rPr>
      </w:pPr>
      <w:r w:rsidRPr="00A22ECC">
        <w:rPr>
          <w:rFonts w:eastAsia="PMingLiU"/>
        </w:rPr>
        <w:t>1</w:t>
      </w:r>
      <w:r w:rsidR="008307EC" w:rsidRPr="00A22ECC">
        <w:rPr>
          <w:rFonts w:eastAsia="PMingLiU"/>
        </w:rPr>
        <w:t>(a)</w:t>
      </w:r>
      <w:r w:rsidR="002B0B06" w:rsidRPr="00A22ECC">
        <w:rPr>
          <w:rFonts w:eastAsia="PMingLiU"/>
        </w:rPr>
        <w:t xml:space="preserve"> </w:t>
      </w:r>
      <w:r w:rsidR="008307EC" w:rsidRPr="00A22ECC">
        <w:rPr>
          <w:rFonts w:eastAsia="PMingLiU"/>
        </w:rPr>
        <w:t xml:space="preserve">Title </w:t>
      </w:r>
      <w:r w:rsidR="00637EB4" w:rsidRPr="00A22ECC">
        <w:t xml:space="preserve">and Number </w:t>
      </w:r>
      <w:r w:rsidR="008307EC" w:rsidRPr="00A22ECC">
        <w:rPr>
          <w:rFonts w:eastAsia="PMingLiU"/>
        </w:rPr>
        <w:t>of the Information Collection</w:t>
      </w:r>
    </w:p>
    <w:p w14:paraId="0A4F8C95" w14:textId="530D8C8E" w:rsidR="008307EC" w:rsidRDefault="00637EB4" w:rsidP="00350360">
      <w:pPr>
        <w:pStyle w:val="Paragraph"/>
        <w:rPr>
          <w:rFonts w:eastAsia="PMingLiU"/>
        </w:rPr>
      </w:pPr>
      <w:r>
        <w:t xml:space="preserve">Recordkeeping and Reporting Requirements for </w:t>
      </w:r>
      <w:r w:rsidR="00D90617">
        <w:t>Leak Detection Methodology Revisions and Confidentiality Determinations for Petroleum and Natural Gas Systems</w:t>
      </w:r>
      <w:r w:rsidR="00D90617" w:rsidRPr="00063F66">
        <w:t xml:space="preserve"> </w:t>
      </w:r>
      <w:r>
        <w:t>(40 CFR part 98, Subpart W</w:t>
      </w:r>
      <w:r w:rsidRPr="00063F66">
        <w:t>)</w:t>
      </w:r>
      <w:r>
        <w:t>.</w:t>
      </w:r>
      <w:r w:rsidR="002B0B06">
        <w:t xml:space="preserve"> </w:t>
      </w:r>
      <w:r>
        <w:t xml:space="preserve">The </w:t>
      </w:r>
      <w:r w:rsidR="002B0B06">
        <w:t xml:space="preserve">OMB Control </w:t>
      </w:r>
      <w:r w:rsidR="002B0B06" w:rsidRPr="00722E4A">
        <w:t xml:space="preserve">number </w:t>
      </w:r>
      <w:r w:rsidRPr="00722E4A">
        <w:t xml:space="preserve">is </w:t>
      </w:r>
      <w:r w:rsidR="00551F7B">
        <w:t>2060-NEW</w:t>
      </w:r>
      <w:r w:rsidR="002C6613" w:rsidRPr="00722E4A">
        <w:t xml:space="preserve"> </w:t>
      </w:r>
      <w:r w:rsidRPr="00722E4A">
        <w:t>and the EPA ICR tracking number is</w:t>
      </w:r>
      <w:r w:rsidR="008307EC" w:rsidRPr="00722E4A">
        <w:rPr>
          <w:rFonts w:eastAsia="PMingLiU"/>
        </w:rPr>
        <w:t xml:space="preserve"> </w:t>
      </w:r>
      <w:r w:rsidR="00883CB1" w:rsidRPr="00722E4A">
        <w:rPr>
          <w:rFonts w:eastAsia="PMingLiU"/>
        </w:rPr>
        <w:t>2</w:t>
      </w:r>
      <w:r w:rsidR="00551F7B">
        <w:rPr>
          <w:rFonts w:eastAsia="PMingLiU"/>
        </w:rPr>
        <w:t>534.01</w:t>
      </w:r>
      <w:r w:rsidR="008307EC" w:rsidRPr="00722E4A">
        <w:rPr>
          <w:rFonts w:eastAsia="PMingLiU"/>
        </w:rPr>
        <w:t>.</w:t>
      </w:r>
    </w:p>
    <w:p w14:paraId="28D0D42C" w14:textId="77777777" w:rsidR="008307EC" w:rsidRPr="00A22ECC" w:rsidRDefault="00A6725D" w:rsidP="00A22ECC">
      <w:pPr>
        <w:pStyle w:val="SectionSubheading"/>
        <w:rPr>
          <w:rFonts w:eastAsia="PMingLiU" w:hint="eastAsia"/>
        </w:rPr>
      </w:pPr>
      <w:r w:rsidRPr="00A22ECC">
        <w:rPr>
          <w:rFonts w:eastAsia="PMingLiU"/>
        </w:rPr>
        <w:t>1</w:t>
      </w:r>
      <w:r w:rsidR="006C2C63" w:rsidRPr="00A22ECC">
        <w:rPr>
          <w:rFonts w:eastAsia="PMingLiU"/>
        </w:rPr>
        <w:t>(b)</w:t>
      </w:r>
      <w:r w:rsidR="002B0B06" w:rsidRPr="00A22ECC">
        <w:rPr>
          <w:rFonts w:eastAsia="PMingLiU"/>
        </w:rPr>
        <w:t xml:space="preserve"> </w:t>
      </w:r>
      <w:r w:rsidR="006C2C63" w:rsidRPr="00A22ECC">
        <w:rPr>
          <w:rFonts w:eastAsia="PMingLiU"/>
        </w:rPr>
        <w:t>Short Characterization</w:t>
      </w:r>
    </w:p>
    <w:p w14:paraId="6E685D9E" w14:textId="7C2EE436" w:rsidR="002B0B06" w:rsidRDefault="002B0B06" w:rsidP="0026570B">
      <w:pPr>
        <w:pStyle w:val="Paragraph"/>
      </w:pPr>
      <w:r>
        <w:t xml:space="preserve">In response to the FY2008 Consolidated Appropriations Act (H.R. 2764; Public Law 110-161) and under authority of the Clean Air Act (CAA), </w:t>
      </w:r>
      <w:r w:rsidR="00766D4D">
        <w:t xml:space="preserve">the </w:t>
      </w:r>
      <w:r>
        <w:t>EPA finalized the Greenhouse Gas Reporting Rule (74 FR 56260; October 30, 2009). The Greenhouse Gas Reporting Rule is referred to as 40 CFR Part 98 (</w:t>
      </w:r>
      <w:r w:rsidR="00766D4D">
        <w:t>hereafter referred to as “</w:t>
      </w:r>
      <w:r>
        <w:t>Part 98</w:t>
      </w:r>
      <w:r w:rsidR="00766D4D">
        <w:t>”</w:t>
      </w:r>
      <w:r>
        <w:t xml:space="preserve">) and implementation of Part 98 is referred to as the Greenhouse Gas Reporting Program (GHGRP). This supporting statement addresses information collection activities that </w:t>
      </w:r>
      <w:r w:rsidR="0026570B">
        <w:t xml:space="preserve">would </w:t>
      </w:r>
      <w:r>
        <w:t xml:space="preserve">be imposed by </w:t>
      </w:r>
      <w:r w:rsidR="0087379B">
        <w:t>“</w:t>
      </w:r>
      <w:r w:rsidR="00D90617" w:rsidRPr="00D90617">
        <w:t>Greenhouse Gas Reporting Rule: Leak Detection Methodology Revisions and Confidentiality Determinations for Petroleum and Natural Gas Systems; Proposed Rule</w:t>
      </w:r>
      <w:r w:rsidR="00D90617">
        <w:t>.</w:t>
      </w:r>
      <w:r w:rsidR="0087379B">
        <w:t>”</w:t>
      </w:r>
    </w:p>
    <w:p w14:paraId="34DC7B19" w14:textId="7A532C77" w:rsidR="002B0B06" w:rsidRDefault="002B0B06" w:rsidP="00496501">
      <w:pPr>
        <w:pStyle w:val="Paragraph"/>
      </w:pPr>
      <w:r>
        <w:t>Part 98, which became effective on December 29, 2009, requires that certain facilities and suppliers emitting above certain threshold levels of carbon dioxide (CO</w:t>
      </w:r>
      <w:r w:rsidRPr="002B0B06">
        <w:rPr>
          <w:rStyle w:val="Subscript"/>
        </w:rPr>
        <w:t>2</w:t>
      </w:r>
      <w:r>
        <w:t>) equivalent (CO</w:t>
      </w:r>
      <w:r w:rsidRPr="002B0B06">
        <w:rPr>
          <w:rStyle w:val="Subscript"/>
        </w:rPr>
        <w:t>2</w:t>
      </w:r>
      <w:r>
        <w:t>e) monitor and report emission</w:t>
      </w:r>
      <w:r w:rsidR="00C27460">
        <w:t>s of greenhouse gases (GHGs). S</w:t>
      </w:r>
      <w:r>
        <w:t>ubsequent rule</w:t>
      </w:r>
      <w:r w:rsidR="00C27460">
        <w:t>s</w:t>
      </w:r>
      <w:r>
        <w:t xml:space="preserve"> w</w:t>
      </w:r>
      <w:r w:rsidR="00C27460">
        <w:t>ere</w:t>
      </w:r>
      <w:r>
        <w:t xml:space="preserve"> published on November 30, 2010 </w:t>
      </w:r>
      <w:r w:rsidR="00C27460">
        <w:t>(75 FR 74458), November 25, 2014 (79 FR 70352)</w:t>
      </w:r>
      <w:r w:rsidR="00CA7F44">
        <w:t xml:space="preserve">, and October 22, 2015 </w:t>
      </w:r>
      <w:r w:rsidR="00496501">
        <w:lastRenderedPageBreak/>
        <w:t xml:space="preserve">(80 FR 64262) </w:t>
      </w:r>
      <w:r w:rsidR="00C27460">
        <w:t>finalizing the requirements for the petroleum and natural gas systems source category (hereafter referred to as “subpart W”) at 40 CFR part 98, subpart W.</w:t>
      </w:r>
    </w:p>
    <w:p w14:paraId="096B3BF0" w14:textId="7B42FC75" w:rsidR="002B0B06" w:rsidRDefault="00CA7F44" w:rsidP="00AB0655">
      <w:pPr>
        <w:pStyle w:val="Paragraph"/>
      </w:pPr>
      <w:r>
        <w:t xml:space="preserve">For this rulemaking, which affects subpart W reporters, </w:t>
      </w:r>
      <w:r w:rsidR="000A3CB1">
        <w:t xml:space="preserve">the </w:t>
      </w:r>
      <w:r w:rsidR="00D90617" w:rsidRPr="00D90617">
        <w:t>EPA is proposing to add new monitoring methods for detecting leaks from oil and gas equipment in the petroleum and natural gas systems source category consistent with the leak detection methods in the recently proposed new source performance standards (NSPS) for the oil and gas industry</w:t>
      </w:r>
      <w:r>
        <w:t xml:space="preserve"> (</w:t>
      </w:r>
      <w:r w:rsidRPr="00CA7F44">
        <w:t>80 FR 56593</w:t>
      </w:r>
      <w:r>
        <w:t xml:space="preserve">; </w:t>
      </w:r>
      <w:r w:rsidRPr="00CA7F44">
        <w:t>September 18, 2015</w:t>
      </w:r>
      <w:r>
        <w:t>)</w:t>
      </w:r>
      <w:r w:rsidR="007944CE">
        <w:t xml:space="preserve">, also known as 40 CFR part 60, subpart </w:t>
      </w:r>
      <w:proofErr w:type="spellStart"/>
      <w:r w:rsidR="007944CE">
        <w:t>OOOOa</w:t>
      </w:r>
      <w:proofErr w:type="spellEnd"/>
      <w:r w:rsidR="005148F1">
        <w:t xml:space="preserve"> (also referred to as the “NSPS subpart </w:t>
      </w:r>
      <w:proofErr w:type="spellStart"/>
      <w:r w:rsidR="005148F1">
        <w:t>OOOOa</w:t>
      </w:r>
      <w:proofErr w:type="spellEnd"/>
      <w:r w:rsidR="005148F1">
        <w:t>”)</w:t>
      </w:r>
      <w:r w:rsidR="00D90617" w:rsidRPr="00D90617">
        <w:t xml:space="preserve">. </w:t>
      </w:r>
      <w:r w:rsidR="0094056B">
        <w:t>In addition,</w:t>
      </w:r>
      <w:r w:rsidR="007944CE">
        <w:t xml:space="preserve"> t</w:t>
      </w:r>
      <w:r w:rsidR="00D90617" w:rsidRPr="00D90617">
        <w:t xml:space="preserve">he EPA is proposing to add emission factors for leaking equipment to be used in conjunction with these monitoring methods to calculate and report greenhouse gas (GHG) emissions resulting from equipment leaks. </w:t>
      </w:r>
      <w:r w:rsidR="00D90617">
        <w:t xml:space="preserve">These </w:t>
      </w:r>
      <w:r w:rsidR="00496501">
        <w:t>amendments</w:t>
      </w:r>
      <w:r w:rsidR="00496501" w:rsidRPr="00766D4D">
        <w:t xml:space="preserve"> </w:t>
      </w:r>
      <w:r w:rsidR="00D90617">
        <w:t>are expected to impact</w:t>
      </w:r>
      <w:r w:rsidR="00A22D54" w:rsidRPr="00766D4D">
        <w:t xml:space="preserve"> </w:t>
      </w:r>
      <w:r w:rsidR="005E0D49">
        <w:t>i</w:t>
      </w:r>
      <w:r w:rsidR="00A22D54" w:rsidRPr="00766D4D">
        <w:t>ndustry segments</w:t>
      </w:r>
      <w:r w:rsidR="0008221A">
        <w:t xml:space="preserve"> that conduct leak detection surveys</w:t>
      </w:r>
      <w:r w:rsidR="00CE78B5">
        <w:t>. T</w:t>
      </w:r>
      <w:r w:rsidR="002B0B06">
        <w:t xml:space="preserve">hese revisions </w:t>
      </w:r>
      <w:r w:rsidR="00A22D54">
        <w:t xml:space="preserve">are expected to increase </w:t>
      </w:r>
      <w:r w:rsidR="002B0B06">
        <w:t>respondent burden</w:t>
      </w:r>
      <w:r w:rsidR="005E0D49">
        <w:t xml:space="preserve"> </w:t>
      </w:r>
      <w:r w:rsidR="00496501">
        <w:t>for</w:t>
      </w:r>
      <w:r w:rsidR="005917C5">
        <w:t xml:space="preserve"> </w:t>
      </w:r>
      <w:r w:rsidR="00496501">
        <w:t xml:space="preserve">subpart W </w:t>
      </w:r>
      <w:r w:rsidR="005917C5">
        <w:t xml:space="preserve">reporters that become subject to </w:t>
      </w:r>
      <w:r w:rsidR="005148F1">
        <w:t>the NSPS subp</w:t>
      </w:r>
      <w:r>
        <w:t xml:space="preserve">art </w:t>
      </w:r>
      <w:proofErr w:type="spellStart"/>
      <w:r>
        <w:t>OOOOa</w:t>
      </w:r>
      <w:proofErr w:type="spellEnd"/>
      <w:r w:rsidR="00496501">
        <w:t>.</w:t>
      </w:r>
      <w:r>
        <w:t xml:space="preserve"> </w:t>
      </w:r>
      <w:r w:rsidR="00496501">
        <w:t>To</w:t>
      </w:r>
      <w:r w:rsidR="00496501" w:rsidRPr="00075925">
        <w:t xml:space="preserve"> </w:t>
      </w:r>
      <w:r w:rsidR="00496501">
        <w:t xml:space="preserve">accommodate the new methods and emission factors added by these proposed amendments, the EPA expects that </w:t>
      </w:r>
      <w:r w:rsidR="00BB12C4">
        <w:t xml:space="preserve">each </w:t>
      </w:r>
      <w:r w:rsidR="00AB0655">
        <w:t xml:space="preserve">affected </w:t>
      </w:r>
      <w:r w:rsidR="00BB12C4">
        <w:t xml:space="preserve">subpart W </w:t>
      </w:r>
      <w:r w:rsidR="00496501">
        <w:t>facilit</w:t>
      </w:r>
      <w:r w:rsidR="00BB12C4">
        <w:t>y</w:t>
      </w:r>
      <w:r w:rsidR="00496501">
        <w:t xml:space="preserve"> would </w:t>
      </w:r>
      <w:r w:rsidR="007944CE">
        <w:t>update</w:t>
      </w:r>
      <w:r w:rsidR="005E0D49">
        <w:t xml:space="preserve"> the</w:t>
      </w:r>
      <w:r w:rsidR="005917C5">
        <w:t>ir</w:t>
      </w:r>
      <w:r w:rsidR="005E0D49">
        <w:t xml:space="preserve"> </w:t>
      </w:r>
      <w:r w:rsidR="00473F55">
        <w:t>facility-specific calculation mechanism (i.e., calculation spreadsheet,</w:t>
      </w:r>
      <w:r w:rsidR="00BB12C4">
        <w:t xml:space="preserve"> </w:t>
      </w:r>
      <w:r w:rsidR="005E0D49">
        <w:t xml:space="preserve">recordkeeping </w:t>
      </w:r>
      <w:r w:rsidR="00473F55">
        <w:t>database, etc.)</w:t>
      </w:r>
      <w:r w:rsidR="00AB0655">
        <w:t xml:space="preserve"> </w:t>
      </w:r>
      <w:r w:rsidR="00BB12C4">
        <w:t>when</w:t>
      </w:r>
      <w:r w:rsidR="00DF0F0C">
        <w:t xml:space="preserve"> and if</w:t>
      </w:r>
      <w:r w:rsidR="00BB12C4">
        <w:t xml:space="preserve"> the facility becomes subject to the NSPS subpart </w:t>
      </w:r>
      <w:proofErr w:type="spellStart"/>
      <w:r w:rsidR="00BB12C4">
        <w:t>OOOOa</w:t>
      </w:r>
      <w:proofErr w:type="spellEnd"/>
      <w:r w:rsidR="002B0B06">
        <w:t>.</w:t>
      </w:r>
    </w:p>
    <w:p w14:paraId="71E70F18" w14:textId="6918B92C" w:rsidR="00637EB4" w:rsidRPr="00FE1D9D" w:rsidRDefault="005917C5" w:rsidP="00CA7F44">
      <w:pPr>
        <w:pStyle w:val="Paragraph"/>
      </w:pPr>
      <w:r>
        <w:t>All</w:t>
      </w:r>
      <w:r w:rsidR="00CF2BE8">
        <w:t xml:space="preserve"> r</w:t>
      </w:r>
      <w:r w:rsidR="00637EB4" w:rsidRPr="0019545A">
        <w:t>espondents</w:t>
      </w:r>
      <w:r w:rsidR="00637EB4">
        <w:t xml:space="preserve"> </w:t>
      </w:r>
      <w:r>
        <w:t xml:space="preserve">subject to subpart W </w:t>
      </w:r>
      <w:r w:rsidR="00637EB4">
        <w:t>are</w:t>
      </w:r>
      <w:r w:rsidR="00637EB4" w:rsidRPr="0019545A">
        <w:t xml:space="preserve"> required to </w:t>
      </w:r>
      <w:r w:rsidR="00637EB4">
        <w:t xml:space="preserve">report data elements according to </w:t>
      </w:r>
      <w:r w:rsidR="00637EB4" w:rsidRPr="00A60500">
        <w:t>§98.2</w:t>
      </w:r>
      <w:r w:rsidR="00637EB4">
        <w:t xml:space="preserve">36, and </w:t>
      </w:r>
      <w:r w:rsidR="00637EB4" w:rsidRPr="0019545A">
        <w:t>maintain records</w:t>
      </w:r>
      <w:r w:rsidR="00637EB4">
        <w:t xml:space="preserve"> according to </w:t>
      </w:r>
      <w:r w:rsidR="00637EB4" w:rsidRPr="00A60500">
        <w:t>§98.2</w:t>
      </w:r>
      <w:r w:rsidR="00637EB4">
        <w:t>37.</w:t>
      </w:r>
      <w:r w:rsidR="00CF2BE8">
        <w:t xml:space="preserve"> </w:t>
      </w:r>
      <w:r w:rsidR="00CA7F44">
        <w:t>All r</w:t>
      </w:r>
      <w:r w:rsidR="00CF2BE8">
        <w:t>espondents must report and maintain records as specified in Part 98.</w:t>
      </w:r>
    </w:p>
    <w:p w14:paraId="483B12AA" w14:textId="2DF5EB72" w:rsidR="008307EC" w:rsidRDefault="00637EB4" w:rsidP="0026570B">
      <w:pPr>
        <w:pStyle w:val="Paragraph"/>
        <w:rPr>
          <w:rFonts w:eastAsia="PMingLiU"/>
        </w:rPr>
      </w:pPr>
      <w:r w:rsidRPr="00FE1D9D">
        <w:t xml:space="preserve">Approximately </w:t>
      </w:r>
      <w:r w:rsidR="00C27460">
        <w:t>2,200</w:t>
      </w:r>
      <w:r w:rsidRPr="002A77F8">
        <w:t xml:space="preserve"> respondents</w:t>
      </w:r>
      <w:r>
        <w:t xml:space="preserve"> </w:t>
      </w:r>
      <w:r w:rsidR="003E079D">
        <w:t>are</w:t>
      </w:r>
      <w:r>
        <w:t xml:space="preserve"> subject to </w:t>
      </w:r>
      <w:r w:rsidR="003E079D">
        <w:t>subpart W</w:t>
      </w:r>
      <w:r>
        <w:t xml:space="preserve"> and this rulemaking is expected to increase labor costs for </w:t>
      </w:r>
      <w:r w:rsidR="005917C5">
        <w:t xml:space="preserve">some </w:t>
      </w:r>
      <w:r>
        <w:t xml:space="preserve">subpart W </w:t>
      </w:r>
      <w:r w:rsidR="003E079D">
        <w:t>industry segments</w:t>
      </w:r>
      <w:r w:rsidR="005917C5">
        <w:t xml:space="preserve"> over the </w:t>
      </w:r>
      <w:r w:rsidR="008265EC">
        <w:t>3-</w:t>
      </w:r>
      <w:r w:rsidR="005917C5">
        <w:t>year period of this ICR</w:t>
      </w:r>
      <w:r>
        <w:t>.</w:t>
      </w:r>
      <w:r w:rsidRPr="003E09CE">
        <w:t xml:space="preserve"> </w:t>
      </w:r>
      <w:r w:rsidR="002B0B06">
        <w:t xml:space="preserve">Compared with the estimated respondent burden identified in the information collection for the </w:t>
      </w:r>
      <w:r>
        <w:t>GHGRP</w:t>
      </w:r>
      <w:r w:rsidR="002B0B06">
        <w:t xml:space="preserve"> currently approved by </w:t>
      </w:r>
      <w:r>
        <w:t xml:space="preserve">the </w:t>
      </w:r>
      <w:r w:rsidR="002B0B06">
        <w:t xml:space="preserve">Office of Management and Budget (OMB), this information collection </w:t>
      </w:r>
      <w:r w:rsidR="0026570B">
        <w:t xml:space="preserve">would </w:t>
      </w:r>
      <w:r w:rsidR="002B0B06">
        <w:t xml:space="preserve">result in an overall increase in annual burden </w:t>
      </w:r>
      <w:r w:rsidR="002B0B06" w:rsidRPr="00411FB2">
        <w:t xml:space="preserve">of </w:t>
      </w:r>
      <w:r w:rsidR="005E0D49">
        <w:t>502</w:t>
      </w:r>
      <w:r w:rsidR="002B0B06" w:rsidRPr="00C114C0">
        <w:t xml:space="preserve"> hours and $</w:t>
      </w:r>
      <w:r w:rsidR="005E0D49">
        <w:t>50,000</w:t>
      </w:r>
      <w:r w:rsidR="002B0B06" w:rsidRPr="00C114C0">
        <w:t>,</w:t>
      </w:r>
      <w:r w:rsidR="002B0B06" w:rsidRPr="002A77F8">
        <w:t xml:space="preserve"> as shown</w:t>
      </w:r>
      <w:r w:rsidR="002B0B06">
        <w:t xml:space="preserve"> in Section 6.</w:t>
      </w:r>
    </w:p>
    <w:p w14:paraId="1D47E2D8" w14:textId="77777777" w:rsidR="00CE78B5" w:rsidRDefault="00CE78B5" w:rsidP="00B8030B">
      <w:pPr>
        <w:pStyle w:val="SectionHeading"/>
        <w:rPr>
          <w:rFonts w:eastAsia="PMingLiU" w:hint="eastAsia"/>
        </w:rPr>
      </w:pPr>
      <w:r>
        <w:rPr>
          <w:rFonts w:eastAsia="PMingLiU" w:hint="eastAsia"/>
        </w:rPr>
        <w:br w:type="page"/>
      </w:r>
    </w:p>
    <w:p w14:paraId="69D63F33" w14:textId="77777777" w:rsidR="008307EC" w:rsidRDefault="008307EC" w:rsidP="00B8030B">
      <w:pPr>
        <w:pStyle w:val="SectionHeading"/>
        <w:rPr>
          <w:rFonts w:eastAsia="PMingLiU" w:hint="eastAsia"/>
        </w:rPr>
      </w:pPr>
      <w:r w:rsidRPr="00A6725D">
        <w:rPr>
          <w:rFonts w:eastAsia="PMingLiU"/>
        </w:rPr>
        <w:lastRenderedPageBreak/>
        <w:t>2.</w:t>
      </w:r>
      <w:r w:rsidRPr="00A6725D">
        <w:rPr>
          <w:rFonts w:eastAsia="PMingLiU"/>
        </w:rPr>
        <w:tab/>
        <w:t>Need For and Use of the Collection</w:t>
      </w:r>
    </w:p>
    <w:p w14:paraId="5B437359" w14:textId="77777777" w:rsidR="008307EC" w:rsidRPr="00A22ECC" w:rsidRDefault="00A6725D" w:rsidP="00A22ECC">
      <w:pPr>
        <w:pStyle w:val="SectionSubheading"/>
        <w:rPr>
          <w:rFonts w:eastAsia="PMingLiU" w:hint="eastAsia"/>
        </w:rPr>
      </w:pPr>
      <w:r w:rsidRPr="00A22ECC">
        <w:rPr>
          <w:rFonts w:eastAsia="PMingLiU"/>
        </w:rPr>
        <w:t>2</w:t>
      </w:r>
      <w:r w:rsidR="008307EC" w:rsidRPr="00A22ECC">
        <w:rPr>
          <w:rFonts w:eastAsia="PMingLiU"/>
        </w:rPr>
        <w:t>(a)</w:t>
      </w:r>
      <w:r w:rsidR="008307EC" w:rsidRPr="00A22ECC">
        <w:rPr>
          <w:rFonts w:eastAsia="PMingLiU"/>
        </w:rPr>
        <w:tab/>
        <w:t>Ne</w:t>
      </w:r>
      <w:r w:rsidR="006C2C63" w:rsidRPr="00A22ECC">
        <w:rPr>
          <w:rFonts w:eastAsia="PMingLiU"/>
        </w:rPr>
        <w:t>ed/Authority for the Collection</w:t>
      </w:r>
    </w:p>
    <w:p w14:paraId="45AD05C8" w14:textId="01C07A7A" w:rsidR="001A6847" w:rsidRPr="00063F66" w:rsidRDefault="001A6847" w:rsidP="00772D3A">
      <w:pPr>
        <w:pStyle w:val="Paragraph"/>
      </w:pPr>
      <w:r>
        <w:t>T</w:t>
      </w:r>
      <w:r w:rsidRPr="00063F66">
        <w:t>he FY2008 Consolidated Appropriations Act</w:t>
      </w:r>
      <w:r>
        <w:t>,</w:t>
      </w:r>
      <w:r w:rsidRPr="006559BE">
        <w:t xml:space="preserve"> </w:t>
      </w:r>
      <w:r w:rsidRPr="00063F66">
        <w:t>signed into law on December 26, 2007</w:t>
      </w:r>
      <w:r>
        <w:t>,</w:t>
      </w:r>
      <w:r w:rsidRPr="00063F66">
        <w:t xml:space="preserve"> directed </w:t>
      </w:r>
      <w:r w:rsidR="000A3CB1">
        <w:t xml:space="preserve">the </w:t>
      </w:r>
      <w:r w:rsidRPr="00063F66">
        <w:t xml:space="preserve">EPA to “develop and publish a draft rule not later than 9 months after the date of enactment of this Act, and a final rule not later than 18 months after the date of enactment of this Act, to require mandatory reporting of greenhouse gas emissions above appropriate thresholds in all sectors of the economy of the United States.” </w:t>
      </w:r>
    </w:p>
    <w:p w14:paraId="19C3AB71" w14:textId="77777777" w:rsidR="001A6847" w:rsidRPr="001A6847" w:rsidRDefault="001A6847" w:rsidP="0013652B">
      <w:pPr>
        <w:pStyle w:val="Paragraph"/>
      </w:pPr>
      <w:r w:rsidRPr="00063F66">
        <w:t xml:space="preserve">As stated in the October 30, 2009 preamble to Part 98 (74 FR 56260), CAA </w:t>
      </w:r>
      <w:r w:rsidRPr="001A6847">
        <w:t>section 114(a</w:t>
      </w:r>
      <w:proofErr w:type="gramStart"/>
      <w:r w:rsidRPr="001A6847">
        <w:t>)(</w:t>
      </w:r>
      <w:proofErr w:type="gramEnd"/>
      <w:r w:rsidRPr="001A6847">
        <w:t xml:space="preserve">1) </w:t>
      </w:r>
      <w:r w:rsidRPr="00063F66">
        <w:t>authorizes the Administrator to require emissions sources, persons subject to the CAA, or persons whom the Administrator believes may have necessary information to report emissions and provide such other information the Administrator requests for the purposes of carrying out any provision of the CAA</w:t>
      </w:r>
      <w:r w:rsidRPr="001A6847">
        <w:t>.</w:t>
      </w:r>
    </w:p>
    <w:p w14:paraId="0294C31B" w14:textId="5F586D0B" w:rsidR="001A6847" w:rsidRPr="00063F66" w:rsidRDefault="001A6847" w:rsidP="0026570B">
      <w:pPr>
        <w:pStyle w:val="Paragraph"/>
      </w:pPr>
      <w:r>
        <w:t>Therefore, t</w:t>
      </w:r>
      <w:r w:rsidRPr="00063F66">
        <w:t xml:space="preserve">he EPA is </w:t>
      </w:r>
      <w:r w:rsidR="0026570B">
        <w:t>proposing</w:t>
      </w:r>
      <w:r w:rsidR="0026570B" w:rsidRPr="00063F66">
        <w:t xml:space="preserve"> </w:t>
      </w:r>
      <w:r w:rsidRPr="00063F66">
        <w:t xml:space="preserve">this information collection under </w:t>
      </w:r>
      <w:r>
        <w:t>the</w:t>
      </w:r>
      <w:r w:rsidRPr="00063F66">
        <w:t xml:space="preserve"> authority provided in CAA section 114.</w:t>
      </w:r>
      <w:r w:rsidRPr="001A6847">
        <w:t xml:space="preserve"> </w:t>
      </w:r>
    </w:p>
    <w:p w14:paraId="200D8700" w14:textId="77777777" w:rsidR="008307EC" w:rsidRPr="00A22ECC" w:rsidRDefault="00A6725D" w:rsidP="00A22ECC">
      <w:pPr>
        <w:pStyle w:val="SectionSubheading"/>
        <w:rPr>
          <w:rFonts w:eastAsia="PMingLiU" w:hint="eastAsia"/>
        </w:rPr>
      </w:pPr>
      <w:r w:rsidRPr="00A22ECC">
        <w:rPr>
          <w:rFonts w:eastAsia="PMingLiU"/>
        </w:rPr>
        <w:t>2</w:t>
      </w:r>
      <w:r w:rsidR="008307EC" w:rsidRPr="00A22ECC">
        <w:rPr>
          <w:rFonts w:eastAsia="PMingLiU"/>
        </w:rPr>
        <w:t>(b)</w:t>
      </w:r>
      <w:r w:rsidR="002B0B06" w:rsidRPr="00A22ECC">
        <w:rPr>
          <w:rFonts w:eastAsia="PMingLiU"/>
        </w:rPr>
        <w:t xml:space="preserve"> </w:t>
      </w:r>
      <w:r w:rsidR="00637EB4" w:rsidRPr="00A22ECC">
        <w:rPr>
          <w:rFonts w:eastAsia="PMingLiU"/>
        </w:rPr>
        <w:t xml:space="preserve">Use </w:t>
      </w:r>
      <w:r w:rsidR="006C2C63" w:rsidRPr="00A22ECC">
        <w:rPr>
          <w:rFonts w:eastAsia="PMingLiU"/>
        </w:rPr>
        <w:t>/Users of the Data</w:t>
      </w:r>
    </w:p>
    <w:p w14:paraId="4200DA94" w14:textId="77777777" w:rsidR="002B0B06" w:rsidRDefault="002B0B06" w:rsidP="00772D3A">
      <w:pPr>
        <w:pStyle w:val="Paragraph"/>
      </w:pPr>
      <w:r>
        <w:t xml:space="preserve">The GHGRP collects information from facilities that directly emit GHGs and from suppliers of products that release GHGs if combusted, oxidized, or used. The comprehensive GHG data reported directly from large facilities and suppliers across the country are accessible to the </w:t>
      </w:r>
      <w:r w:rsidRPr="002B0B06">
        <w:t xml:space="preserve">public at: </w:t>
      </w:r>
      <w:hyperlink r:id="rId8" w:history="1">
        <w:r w:rsidRPr="00F1281A">
          <w:rPr>
            <w:rStyle w:val="Hyperlink"/>
          </w:rPr>
          <w:t>http://ghgdata.epa.gov/ghgp/main.do</w:t>
        </w:r>
      </w:hyperlink>
      <w:r w:rsidRPr="002B0B06">
        <w:t>. Reporting</w:t>
      </w:r>
      <w:r>
        <w:t xml:space="preserve"> entities </w:t>
      </w:r>
      <w:r w:rsidR="00637EB4">
        <w:t xml:space="preserve">generally </w:t>
      </w:r>
      <w:r>
        <w:t>use uniform methods for estimating emissions, which enables data to be compared and analyzed.</w:t>
      </w:r>
    </w:p>
    <w:p w14:paraId="35CE2680" w14:textId="77777777" w:rsidR="002B0B06" w:rsidRDefault="002B0B06" w:rsidP="0013652B">
      <w:pPr>
        <w:pStyle w:val="Paragraph"/>
      </w:pPr>
      <w:r>
        <w:t>Data collection in the GHGRP complements the Inventory of U.S. Greenhouse Gas Emissions and Sinks (Inventory) and provides a critical tool for communities to identify nearby sources of GHGs and provide information to state and local governments.</w:t>
      </w:r>
    </w:p>
    <w:p w14:paraId="40A7C1F5" w14:textId="77777777" w:rsidR="002B0B06" w:rsidRDefault="002B0B06" w:rsidP="0013652B">
      <w:pPr>
        <w:pStyle w:val="Paragraph"/>
      </w:pPr>
      <w:r>
        <w:t xml:space="preserve">The standardization of GHG data provides businesses with the necessary information to benchmark themselves against similar facilities, better understand their relative standing within their industry, and achieve and disseminate their environmental achievements. Businesses and other innovators can use the data to determine their GHG footprints, find cost- and fuel-saving </w:t>
      </w:r>
      <w:r>
        <w:lastRenderedPageBreak/>
        <w:t>efficiencies that reduce greenhouse gas emissions (e.g., through energy audits or other forms of assistance), and foster technologies to protect public health and the environment.</w:t>
      </w:r>
    </w:p>
    <w:p w14:paraId="7EC8BC73" w14:textId="77777777" w:rsidR="002B0B06" w:rsidRDefault="00637EB4" w:rsidP="0013652B">
      <w:pPr>
        <w:pStyle w:val="Paragraph"/>
      </w:pPr>
      <w:r>
        <w:t>Generally, t</w:t>
      </w:r>
      <w:r w:rsidRPr="00063F66">
        <w:t>he</w:t>
      </w:r>
      <w:r>
        <w:t xml:space="preserve"> </w:t>
      </w:r>
      <w:r w:rsidR="002B0B06">
        <w:t>facility-specific GHG emissions data improve the understanding of the factors that influence GHG emission rates as well as the actions that facilities take to reduce emissions. The facility-based data can be aggregated to the corporate level in order to track emission trends from industries, within industries, and across industries over time, particularly in response to policies and potential regulations.</w:t>
      </w:r>
    </w:p>
    <w:p w14:paraId="75F28FEB" w14:textId="77777777" w:rsidR="008307EC" w:rsidRDefault="00637EB4" w:rsidP="00B8030B">
      <w:pPr>
        <w:pStyle w:val="Paragraph"/>
      </w:pPr>
      <w:r>
        <w:t>Specifically, s</w:t>
      </w:r>
      <w:r w:rsidR="002B0B06">
        <w:t xml:space="preserve">ubpart W data can be used to complement atmospheric GHG studies and inform updates to emission inventories. </w:t>
      </w:r>
      <w:r>
        <w:t>Various</w:t>
      </w:r>
      <w:r w:rsidR="002B0B06">
        <w:t xml:space="preserve"> activity data are collected that can be used to improve understanding of the occurrence of emissions from a variety of sources.</w:t>
      </w:r>
    </w:p>
    <w:p w14:paraId="76C91DE9" w14:textId="517961C0" w:rsidR="000A3CB1" w:rsidRDefault="009B1825" w:rsidP="00496501">
      <w:pPr>
        <w:pStyle w:val="Paragraph"/>
        <w:rPr>
          <w:rFonts w:eastAsia="PMingLiU"/>
        </w:rPr>
      </w:pPr>
      <w:r>
        <w:t>The proposed amendments in this rulemaking</w:t>
      </w:r>
      <w:r w:rsidR="00652E4E">
        <w:t xml:space="preserve"> </w:t>
      </w:r>
      <w:r w:rsidR="0026570B">
        <w:t>would</w:t>
      </w:r>
      <w:r w:rsidR="001740D9" w:rsidRPr="001740D9">
        <w:t xml:space="preserve"> refine the equipment leak emission estimates provided under the GHGRP</w:t>
      </w:r>
      <w:r w:rsidR="000A3CB1" w:rsidRPr="000A3CB1">
        <w:t xml:space="preserve"> </w:t>
      </w:r>
      <w:r w:rsidR="000A3CB1" w:rsidRPr="002C3098">
        <w:t>for facilities conducting fugitive emission monitoring</w:t>
      </w:r>
      <w:r w:rsidR="000A3CB1">
        <w:t>. The proposed amendments would also</w:t>
      </w:r>
      <w:r w:rsidR="001740D9" w:rsidRPr="001740D9">
        <w:t xml:space="preserve"> allow facilities to use a consistent method to demonstrate compliance with </w:t>
      </w:r>
      <w:r w:rsidR="00496501" w:rsidRPr="000A3CB1">
        <w:t xml:space="preserve">multiple </w:t>
      </w:r>
      <w:r w:rsidR="004A15BF">
        <w:t>EPA programs</w:t>
      </w:r>
      <w:r w:rsidR="00496501" w:rsidRPr="000A3CB1">
        <w:t>. This proposal would limit burden</w:t>
      </w:r>
      <w:r w:rsidR="00496501">
        <w:t xml:space="preserve"> </w:t>
      </w:r>
      <w:r w:rsidR="00496501" w:rsidRPr="000A3CB1">
        <w:t xml:space="preserve">for subpart W facilities with affected sources that would also be required to comply with </w:t>
      </w:r>
      <w:r w:rsidR="005148F1">
        <w:t xml:space="preserve">the </w:t>
      </w:r>
      <w:r w:rsidR="00496501" w:rsidRPr="000A3CB1">
        <w:t xml:space="preserve">proposed NSPS subpart </w:t>
      </w:r>
      <w:proofErr w:type="spellStart"/>
      <w:r w:rsidR="00496501" w:rsidRPr="000A3CB1">
        <w:t>OOOOa</w:t>
      </w:r>
      <w:proofErr w:type="spellEnd"/>
      <w:r w:rsidR="00496501" w:rsidRPr="000A3CB1">
        <w:t xml:space="preserve"> by allowing them to use data deri</w:t>
      </w:r>
      <w:r w:rsidR="00496501">
        <w:t xml:space="preserve">ved from the implementation of </w:t>
      </w:r>
      <w:r w:rsidR="005148F1">
        <w:t xml:space="preserve">the </w:t>
      </w:r>
      <w:r w:rsidR="00496501" w:rsidRPr="000A3CB1">
        <w:t xml:space="preserve">NSPS subpart </w:t>
      </w:r>
      <w:proofErr w:type="spellStart"/>
      <w:r w:rsidR="00496501" w:rsidRPr="000A3CB1">
        <w:t>OOOOa</w:t>
      </w:r>
      <w:proofErr w:type="spellEnd"/>
      <w:r w:rsidR="00496501" w:rsidRPr="000A3CB1">
        <w:t xml:space="preserve"> to </w:t>
      </w:r>
      <w:r w:rsidR="004A15BF">
        <w:t>calculate</w:t>
      </w:r>
      <w:r w:rsidR="00496501" w:rsidRPr="000A3CB1">
        <w:t xml:space="preserve"> emissions for the GHGRP rather than requiring the use of different monitoring </w:t>
      </w:r>
      <w:r w:rsidR="004A15BF">
        <w:t xml:space="preserve">or calculation </w:t>
      </w:r>
      <w:r w:rsidR="00496501" w:rsidRPr="000A3CB1">
        <w:t>methods</w:t>
      </w:r>
      <w:r w:rsidR="001740D9" w:rsidRPr="001740D9">
        <w:t>.</w:t>
      </w:r>
    </w:p>
    <w:p w14:paraId="75882C38" w14:textId="77777777" w:rsidR="00CE78B5" w:rsidRDefault="00CE78B5" w:rsidP="00B8030B">
      <w:pPr>
        <w:pStyle w:val="SectionHeading"/>
        <w:rPr>
          <w:rFonts w:eastAsia="PMingLiU" w:hint="eastAsia"/>
        </w:rPr>
      </w:pPr>
      <w:r>
        <w:rPr>
          <w:rFonts w:eastAsia="PMingLiU" w:hint="eastAsia"/>
        </w:rPr>
        <w:br w:type="page"/>
      </w:r>
    </w:p>
    <w:p w14:paraId="0415584F" w14:textId="77777777" w:rsidR="008307EC" w:rsidRDefault="008307EC" w:rsidP="00B8030B">
      <w:pPr>
        <w:pStyle w:val="SectionHeading"/>
        <w:rPr>
          <w:rFonts w:eastAsia="PMingLiU" w:hint="eastAsia"/>
        </w:rPr>
      </w:pPr>
      <w:r w:rsidRPr="00A6725D">
        <w:rPr>
          <w:rFonts w:eastAsia="PMingLiU"/>
        </w:rPr>
        <w:lastRenderedPageBreak/>
        <w:t>3.</w:t>
      </w:r>
      <w:r w:rsidRPr="00A6725D">
        <w:rPr>
          <w:rFonts w:eastAsia="PMingLiU"/>
        </w:rPr>
        <w:tab/>
        <w:t>Nonduplication, Consultations</w:t>
      </w:r>
      <w:r w:rsidR="0052460B">
        <w:rPr>
          <w:rFonts w:eastAsia="PMingLiU"/>
        </w:rPr>
        <w:t xml:space="preserve"> and</w:t>
      </w:r>
      <w:r w:rsidRPr="00A6725D">
        <w:rPr>
          <w:rFonts w:eastAsia="PMingLiU"/>
        </w:rPr>
        <w:t xml:space="preserve"> Other Collection Criteria</w:t>
      </w:r>
    </w:p>
    <w:p w14:paraId="41E97AD5" w14:textId="77777777" w:rsidR="008307EC" w:rsidRPr="00A22ECC" w:rsidRDefault="00A6725D" w:rsidP="00A22ECC">
      <w:pPr>
        <w:pStyle w:val="SectionSubheading"/>
        <w:rPr>
          <w:rFonts w:eastAsia="PMingLiU" w:hint="eastAsia"/>
        </w:rPr>
      </w:pPr>
      <w:r w:rsidRPr="00A22ECC">
        <w:rPr>
          <w:rFonts w:eastAsia="PMingLiU"/>
        </w:rPr>
        <w:t>3</w:t>
      </w:r>
      <w:r w:rsidR="006C2C63" w:rsidRPr="00A22ECC">
        <w:rPr>
          <w:rFonts w:eastAsia="PMingLiU"/>
        </w:rPr>
        <w:t>(a)</w:t>
      </w:r>
      <w:r w:rsidR="002B0B06" w:rsidRPr="00A22ECC">
        <w:rPr>
          <w:rFonts w:eastAsia="PMingLiU"/>
        </w:rPr>
        <w:t xml:space="preserve"> </w:t>
      </w:r>
      <w:proofErr w:type="spellStart"/>
      <w:r w:rsidR="006C2C63" w:rsidRPr="00A22ECC">
        <w:rPr>
          <w:rFonts w:eastAsia="PMingLiU"/>
        </w:rPr>
        <w:t>Nonduplication</w:t>
      </w:r>
      <w:proofErr w:type="spellEnd"/>
    </w:p>
    <w:p w14:paraId="351A16B2" w14:textId="2A908096" w:rsidR="008307EC" w:rsidRDefault="002B0B06" w:rsidP="005148F1">
      <w:pPr>
        <w:pStyle w:val="Paragraph"/>
      </w:pPr>
      <w:r>
        <w:t>The information</w:t>
      </w:r>
      <w:r w:rsidR="00E777E0">
        <w:t xml:space="preserve"> proposed</w:t>
      </w:r>
      <w:r>
        <w:t xml:space="preserve"> to be collected under the revisions </w:t>
      </w:r>
      <w:r w:rsidR="00637EB4">
        <w:t>includes</w:t>
      </w:r>
      <w:r>
        <w:t xml:space="preserve"> </w:t>
      </w:r>
      <w:r w:rsidR="005B24D7">
        <w:t>nine</w:t>
      </w:r>
      <w:r w:rsidRPr="00CD16F0">
        <w:t xml:space="preserve"> new </w:t>
      </w:r>
      <w:r w:rsidR="007944CE">
        <w:t xml:space="preserve">and substantially revised </w:t>
      </w:r>
      <w:r w:rsidRPr="00CD16F0">
        <w:t>data elements</w:t>
      </w:r>
      <w:r w:rsidR="007944CE">
        <w:t>. The data elements are: (1) t</w:t>
      </w:r>
      <w:r w:rsidR="007944CE" w:rsidRPr="000D3AF4">
        <w:t>he number of complete equipment leak surveys performed during the calendar yea</w:t>
      </w:r>
      <w:r w:rsidR="007944CE">
        <w:t>r; (2) w</w:t>
      </w:r>
      <w:r w:rsidR="007944CE" w:rsidRPr="000D3AF4">
        <w:t xml:space="preserve">hether any equipment leak component types </w:t>
      </w:r>
      <w:r w:rsidR="007944CE">
        <w:t>are</w:t>
      </w:r>
      <w:r w:rsidR="007944CE" w:rsidRPr="000D3AF4">
        <w:t xml:space="preserve"> subject to </w:t>
      </w:r>
      <w:r w:rsidR="005148F1">
        <w:t>the NSPS</w:t>
      </w:r>
      <w:r w:rsidR="007944CE" w:rsidRPr="000D3AF4">
        <w:t xml:space="preserve"> subpart </w:t>
      </w:r>
      <w:proofErr w:type="spellStart"/>
      <w:r w:rsidR="007944CE" w:rsidRPr="000D3AF4">
        <w:t>OOOOa</w:t>
      </w:r>
      <w:proofErr w:type="spellEnd"/>
      <w:r w:rsidR="007944CE">
        <w:t>; (3) whether you elected to report to subpart W using the equipment leak survey methodology; (4) the method(s) in 40 CFR 98.234(a) used to conduct the leak survey; (5) component type; (6) the number of each type of component identified as leaking; (7) the average time each type of surveyed components are assumed to be leaking and operational; (8) annual CO</w:t>
      </w:r>
      <w:r w:rsidR="007944CE" w:rsidRPr="00190027">
        <w:rPr>
          <w:rStyle w:val="Subscript"/>
        </w:rPr>
        <w:t>2</w:t>
      </w:r>
      <w:r w:rsidR="007944CE">
        <w:t xml:space="preserve"> emissions by component type; and (9) annual CH</w:t>
      </w:r>
      <w:r w:rsidR="007944CE" w:rsidRPr="00190027">
        <w:rPr>
          <w:rStyle w:val="Subscript"/>
        </w:rPr>
        <w:t>4</w:t>
      </w:r>
      <w:r w:rsidR="007944CE">
        <w:t xml:space="preserve"> emissions by component type.</w:t>
      </w:r>
      <w:r w:rsidRPr="00CD16F0">
        <w:t xml:space="preserve"> </w:t>
      </w:r>
      <w:r w:rsidRPr="007944CE">
        <w:t xml:space="preserve">These </w:t>
      </w:r>
      <w:r w:rsidR="007944CE" w:rsidRPr="007944CE">
        <w:t>data</w:t>
      </w:r>
      <w:r w:rsidRPr="007944CE">
        <w:t xml:space="preserve"> </w:t>
      </w:r>
      <w:r w:rsidR="00637EB4" w:rsidRPr="007944CE">
        <w:t>elements are similar to the types of industry data already being collected under the GHGRP</w:t>
      </w:r>
      <w:r w:rsidRPr="007944CE">
        <w:t xml:space="preserve">. </w:t>
      </w:r>
      <w:r w:rsidR="00766D4D" w:rsidRPr="007944CE">
        <w:t xml:space="preserve">The </w:t>
      </w:r>
      <w:r w:rsidRPr="007944CE">
        <w:t xml:space="preserve">EPA </w:t>
      </w:r>
      <w:r w:rsidR="00637EB4" w:rsidRPr="007944CE">
        <w:t>has</w:t>
      </w:r>
      <w:r w:rsidRPr="007944CE">
        <w:t xml:space="preserve"> evaluated the types of industry data collected under Part 98, and concluded that they do not duplicate other information collections, as described below.</w:t>
      </w:r>
    </w:p>
    <w:p w14:paraId="44E571EC" w14:textId="77777777" w:rsidR="002B0B06" w:rsidRDefault="002B0B06" w:rsidP="00772D3A">
      <w:pPr>
        <w:pStyle w:val="Paragraph"/>
      </w:pPr>
      <w:r w:rsidRPr="002B0B06">
        <w:t xml:space="preserve">In developing the GHGRP, </w:t>
      </w:r>
      <w:r w:rsidR="00766D4D">
        <w:t xml:space="preserve">the </w:t>
      </w:r>
      <w:r w:rsidRPr="002B0B06">
        <w:t>EPA reviewed monitoring methods, including:</w:t>
      </w:r>
    </w:p>
    <w:p w14:paraId="31503A9C" w14:textId="77777777" w:rsidR="002B0B06" w:rsidRDefault="002B0B06" w:rsidP="00772D3A">
      <w:pPr>
        <w:pStyle w:val="ListBullet3"/>
      </w:pPr>
      <w:r>
        <w:t>Federal programs within the United States, such as the Inventory, the U.S. Department of Energy</w:t>
      </w:r>
      <w:r w:rsidR="0087379B">
        <w:t>’</w:t>
      </w:r>
      <w:r>
        <w:t>s (DOE</w:t>
      </w:r>
      <w:r w:rsidR="0087379B">
        <w:t>’</w:t>
      </w:r>
      <w:r>
        <w:t>s) Energy Information Administration</w:t>
      </w:r>
      <w:r w:rsidR="0087379B">
        <w:t>’</w:t>
      </w:r>
      <w:r>
        <w:t>s (EIA</w:t>
      </w:r>
      <w:r w:rsidR="0087379B">
        <w:t>’</w:t>
      </w:r>
      <w:r>
        <w:t>s) 1605b program, the Acid Rain Program, EPA Natural Gas STAR Program, and voluntary GHG partnership programs;</w:t>
      </w:r>
    </w:p>
    <w:p w14:paraId="6DE53E46" w14:textId="77777777" w:rsidR="002B0B06" w:rsidRDefault="002B0B06" w:rsidP="00772D3A">
      <w:pPr>
        <w:pStyle w:val="ListBullet3"/>
      </w:pPr>
      <w:r>
        <w:t>State and regional GHG reporting programs, such as The Climate Registry, the Regional Greenhouse Gas Initiative, the Western Regional Air Partnership, and programs in several states including California, New Mexico, Connecticut, and New Jersey;</w:t>
      </w:r>
    </w:p>
    <w:p w14:paraId="0E92E7D6" w14:textId="77777777" w:rsidR="002B0B06" w:rsidRDefault="002B0B06" w:rsidP="0013652B">
      <w:pPr>
        <w:pStyle w:val="ListBullet3"/>
      </w:pPr>
      <w:r>
        <w:t>Reporting protocols developed by nongovernmental organizations, such as the World Resources Institute/World Business Council for Sustainable Development;</w:t>
      </w:r>
    </w:p>
    <w:p w14:paraId="34D4BF81" w14:textId="77777777" w:rsidR="002B0B06" w:rsidRDefault="002B0B06" w:rsidP="0013652B">
      <w:pPr>
        <w:pStyle w:val="ListBullet3"/>
      </w:pPr>
      <w:r>
        <w:t>Programs from industrial trade organizations, such as the Interstate Natural Gas Association of America</w:t>
      </w:r>
      <w:r w:rsidR="0087379B">
        <w:t>’</w:t>
      </w:r>
      <w:r>
        <w:t>s GHG Emission Estimation Guidelines, the American Petroleum Institute</w:t>
      </w:r>
      <w:r w:rsidR="0087379B">
        <w:t>’</w:t>
      </w:r>
      <w:r>
        <w:t>s Compendium of GHG Estimation Methodologies for the Oil and Gas Industry, and the World Business Council for Sustainable Development</w:t>
      </w:r>
      <w:r w:rsidR="0087379B">
        <w:t>’</w:t>
      </w:r>
      <w:r>
        <w:t>s Cement Sustainability Initiative</w:t>
      </w:r>
      <w:r w:rsidR="0087379B">
        <w:t>’</w:t>
      </w:r>
      <w:r>
        <w:t>s CO</w:t>
      </w:r>
      <w:r w:rsidRPr="002B0B06">
        <w:rPr>
          <w:rStyle w:val="Subscript"/>
        </w:rPr>
        <w:t xml:space="preserve">2 </w:t>
      </w:r>
      <w:r>
        <w:t>Accounting and Reporting Standard for the Cement Industry; and</w:t>
      </w:r>
    </w:p>
    <w:p w14:paraId="60C38BA2" w14:textId="77777777" w:rsidR="002B0B06" w:rsidRDefault="002B0B06" w:rsidP="00B8030B">
      <w:pPr>
        <w:pStyle w:val="ListBullet3"/>
      </w:pPr>
      <w:r>
        <w:lastRenderedPageBreak/>
        <w:t>IPCC Guidelines for National Greenhouse Gas Inventories.</w:t>
      </w:r>
    </w:p>
    <w:p w14:paraId="48D0A28A" w14:textId="30557437" w:rsidR="002B0B06" w:rsidRDefault="002B0B06" w:rsidP="00F4032C">
      <w:pPr>
        <w:pStyle w:val="Paragraph"/>
      </w:pPr>
      <w:r>
        <w:t xml:space="preserve">Many of these programs collect different or additional data as compared to the GHGRP and this </w:t>
      </w:r>
      <w:r w:rsidR="00323066">
        <w:t>rulemaking</w:t>
      </w:r>
      <w:r>
        <w:t xml:space="preserve">. For example, state programs may include different data elements to support other programs (e.g., offsets). While some programs collect similar information on GHG emissions, the </w:t>
      </w:r>
      <w:r w:rsidR="00F4032C">
        <w:t>a</w:t>
      </w:r>
      <w:r>
        <w:t>gency has determined that the GHGRP supplements and complements, rather than duplicates, existing programs</w:t>
      </w:r>
      <w:r w:rsidR="0087379B">
        <w:t>’</w:t>
      </w:r>
      <w:r>
        <w:t xml:space="preserve"> data. Further, </w:t>
      </w:r>
      <w:r w:rsidR="00766D4D">
        <w:t xml:space="preserve">the </w:t>
      </w:r>
      <w:r>
        <w:t xml:space="preserve">EPA has made significant efforts over the past </w:t>
      </w:r>
      <w:r w:rsidR="00E575A7">
        <w:t>4</w:t>
      </w:r>
      <w:r>
        <w:t xml:space="preserve"> years to facilitate reporting in the event a single entity has to report</w:t>
      </w:r>
      <w:r w:rsidR="008468B0">
        <w:t xml:space="preserve"> at</w:t>
      </w:r>
      <w:r>
        <w:t xml:space="preserve"> both the federal and state level. For example, </w:t>
      </w:r>
      <w:r w:rsidR="00766D4D">
        <w:t xml:space="preserve">the </w:t>
      </w:r>
      <w:r>
        <w:t>EPA has supported efforts by the California Air Resources Board to harmonize the reporting of information under California</w:t>
      </w:r>
      <w:r w:rsidR="0087379B">
        <w:t>’</w:t>
      </w:r>
      <w:r>
        <w:t xml:space="preserve">s Global Warming Solutions Act, AB32 with </w:t>
      </w:r>
      <w:r w:rsidR="00766D4D">
        <w:t xml:space="preserve">the </w:t>
      </w:r>
      <w:r>
        <w:t>EPA</w:t>
      </w:r>
      <w:r w:rsidR="0087379B">
        <w:t>’</w:t>
      </w:r>
      <w:r>
        <w:t>s GHGRP. The product of the collaboration is referred to as California Electronic Greenhouse Gas Reporting Tool, or Cal e-GGRT.</w:t>
      </w:r>
    </w:p>
    <w:p w14:paraId="06F85610" w14:textId="77777777" w:rsidR="002B0B06" w:rsidRDefault="002B0B06" w:rsidP="00F05821">
      <w:pPr>
        <w:pStyle w:val="Paragraph"/>
      </w:pPr>
      <w:r>
        <w:t xml:space="preserve">Documentation of </w:t>
      </w:r>
      <w:r w:rsidR="00766D4D">
        <w:t xml:space="preserve">the </w:t>
      </w:r>
      <w:r>
        <w:t>EPA</w:t>
      </w:r>
      <w:r w:rsidR="0087379B">
        <w:t>’</w:t>
      </w:r>
      <w:r>
        <w:t xml:space="preserve">s review of GHG monitoring protocols used by federal and state voluntary and mandatory GHG programs as well as GHG reporting rules can be found in </w:t>
      </w:r>
      <w:r w:rsidR="00766D4D">
        <w:t>D</w:t>
      </w:r>
      <w:r>
        <w:t>ocket</w:t>
      </w:r>
      <w:r w:rsidR="00766D4D">
        <w:t xml:space="preserve"> ID No.</w:t>
      </w:r>
      <w:r>
        <w:t xml:space="preserve"> EPA-HQ-OAR-2008-0508. For further discussion on the relationship of the GHGRP to other programs, please refer to the preambles of each of the GHGRP rulemakings</w:t>
      </w:r>
      <w:r w:rsidR="008468B0">
        <w:t>,</w:t>
      </w:r>
      <w:r>
        <w:t xml:space="preserve"> the June 6, 2008 memorandum entitled </w:t>
      </w:r>
      <w:r w:rsidR="00766D4D">
        <w:t>“</w:t>
      </w:r>
      <w:r>
        <w:t>Review of Existing Programs</w:t>
      </w:r>
      <w:r w:rsidR="00766D4D">
        <w:t>”</w:t>
      </w:r>
      <w:r>
        <w:t xml:space="preserve"> (</w:t>
      </w:r>
      <w:r w:rsidR="00766D4D">
        <w:t>Docket Item No.</w:t>
      </w:r>
      <w:r>
        <w:t xml:space="preserve"> EPA-HQ-OAR-2008-0508-0052), and the January 27, 2009 memorandum entitled </w:t>
      </w:r>
      <w:r w:rsidR="00766D4D">
        <w:t>“</w:t>
      </w:r>
      <w:r>
        <w:t>Review of Existing State Greenhouse Gas Reporting Rules</w:t>
      </w:r>
      <w:r w:rsidR="00766D4D">
        <w:t>”</w:t>
      </w:r>
      <w:r>
        <w:t xml:space="preserve"> (</w:t>
      </w:r>
      <w:r w:rsidR="00766D4D">
        <w:t xml:space="preserve">Docket Item No. </w:t>
      </w:r>
      <w:r>
        <w:t>EPA-HQ-OAR-2008-0508-0054). Some GHG programs are described below:</w:t>
      </w:r>
    </w:p>
    <w:p w14:paraId="000A53B2" w14:textId="5D415D5D" w:rsidR="002B0B06" w:rsidRDefault="002B0B06" w:rsidP="0026570B">
      <w:pPr>
        <w:pStyle w:val="ListBullet3"/>
      </w:pPr>
      <w:r>
        <w:t xml:space="preserve">A number of </w:t>
      </w:r>
      <w:r w:rsidR="00766D4D">
        <w:t xml:space="preserve">the </w:t>
      </w:r>
      <w:r>
        <w:t>EPA</w:t>
      </w:r>
      <w:r w:rsidR="0087379B">
        <w:t>’</w:t>
      </w:r>
      <w:r>
        <w:t xml:space="preserve">s voluntary partnership programs include a GHG emissions and/or reductions reporting component (e.g., Natural Gas STAR program). However, the GHGRP has much broader coverage than the voluntary programs and therefore helps </w:t>
      </w:r>
      <w:r w:rsidR="00766D4D">
        <w:t xml:space="preserve">the </w:t>
      </w:r>
      <w:r>
        <w:t>EPA learn more about emissions from facilities not included in current programs.</w:t>
      </w:r>
    </w:p>
    <w:p w14:paraId="273989C4" w14:textId="77777777" w:rsidR="002B0B06" w:rsidRDefault="00766D4D" w:rsidP="00CE78B5">
      <w:pPr>
        <w:pStyle w:val="ListBullet3"/>
      </w:pPr>
      <w:r>
        <w:t xml:space="preserve">The </w:t>
      </w:r>
      <w:r w:rsidR="002B0B06">
        <w:t>EPA reviewed the Inventory, which is an annual comprehensive top-down assessment of national greenhouses gas emissions. While the Inventory is generally compiled from national surveys (i.e., not broken down at the geographic or facility level), the GHGRP focuses on bottom-up data from individual facilities that exceed appropriate thresholds.</w:t>
      </w:r>
    </w:p>
    <w:p w14:paraId="6566DD39" w14:textId="59583EAA" w:rsidR="002B0B06" w:rsidRDefault="002B0B06" w:rsidP="00F4032C">
      <w:pPr>
        <w:pStyle w:val="Paragraph"/>
      </w:pPr>
      <w:r>
        <w:t xml:space="preserve">As noted in the current ICR for the GHGRP, a number of programs at the state, tribal, territorial, and local level require emission sources in their respective jurisdictions to monitor and report GHG emissions. To reduce burden on reporters and program agencies, the </w:t>
      </w:r>
      <w:r w:rsidR="00F4032C">
        <w:t>a</w:t>
      </w:r>
      <w:r>
        <w:t xml:space="preserve">gency plans to </w:t>
      </w:r>
      <w:r>
        <w:lastRenderedPageBreak/>
        <w:t>share reported data, with the exception of any information determined to be Confidential Business Information (CBI), with relevant agencies or approved entities using, where practical, shared tools, and infrastructure.</w:t>
      </w:r>
    </w:p>
    <w:p w14:paraId="3641C3F3" w14:textId="2968F40C" w:rsidR="002B0B06" w:rsidRDefault="002B0B06" w:rsidP="00E777E0">
      <w:pPr>
        <w:pStyle w:val="Paragraph"/>
        <w:rPr>
          <w:rFonts w:eastAsia="PMingLiU"/>
        </w:rPr>
      </w:pPr>
      <w:r>
        <w:t xml:space="preserve">Based on this evaluation, this information collection request </w:t>
      </w:r>
      <w:r w:rsidR="00E777E0">
        <w:t>would</w:t>
      </w:r>
      <w:r>
        <w:t xml:space="preserve"> not duplicate other information collections.</w:t>
      </w:r>
    </w:p>
    <w:p w14:paraId="14071EDE" w14:textId="77777777" w:rsidR="008307EC" w:rsidRPr="00A22ECC" w:rsidRDefault="00A6725D" w:rsidP="00A22ECC">
      <w:pPr>
        <w:pStyle w:val="SectionSubheading"/>
        <w:rPr>
          <w:rFonts w:eastAsia="PMingLiU" w:hint="eastAsia"/>
        </w:rPr>
      </w:pPr>
      <w:r w:rsidRPr="00A22ECC">
        <w:rPr>
          <w:rFonts w:eastAsia="PMingLiU"/>
        </w:rPr>
        <w:t>3</w:t>
      </w:r>
      <w:r w:rsidR="008307EC" w:rsidRPr="00A22ECC">
        <w:rPr>
          <w:rFonts w:eastAsia="PMingLiU"/>
        </w:rPr>
        <w:t>(b)</w:t>
      </w:r>
      <w:r w:rsidR="002B0B06" w:rsidRPr="00A22ECC">
        <w:rPr>
          <w:rFonts w:eastAsia="PMingLiU"/>
        </w:rPr>
        <w:t xml:space="preserve"> </w:t>
      </w:r>
      <w:r w:rsidR="008307EC" w:rsidRPr="00A22ECC">
        <w:rPr>
          <w:rFonts w:eastAsia="PMingLiU"/>
        </w:rPr>
        <w:t xml:space="preserve">Public Notice Required Prior to </w:t>
      </w:r>
      <w:r w:rsidR="002B0B06" w:rsidRPr="00A22ECC">
        <w:t>Information Collection Request (</w:t>
      </w:r>
      <w:r w:rsidR="008307EC" w:rsidRPr="00A22ECC">
        <w:rPr>
          <w:rFonts w:eastAsia="PMingLiU"/>
        </w:rPr>
        <w:t>ICR</w:t>
      </w:r>
      <w:r w:rsidR="002B0B06" w:rsidRPr="00A22ECC">
        <w:rPr>
          <w:rFonts w:eastAsia="PMingLiU"/>
        </w:rPr>
        <w:t>)</w:t>
      </w:r>
      <w:r w:rsidR="008307EC" w:rsidRPr="00A22ECC">
        <w:rPr>
          <w:rFonts w:eastAsia="PMingLiU"/>
        </w:rPr>
        <w:t xml:space="preserve"> Submission</w:t>
      </w:r>
      <w:r w:rsidR="002B0B06" w:rsidRPr="00A22ECC">
        <w:rPr>
          <w:rFonts w:eastAsia="PMingLiU"/>
        </w:rPr>
        <w:t>s</w:t>
      </w:r>
      <w:r w:rsidR="008307EC" w:rsidRPr="00A22ECC">
        <w:rPr>
          <w:rFonts w:eastAsia="PMingLiU"/>
        </w:rPr>
        <w:t xml:space="preserve"> to OMB</w:t>
      </w:r>
    </w:p>
    <w:p w14:paraId="7037D91A" w14:textId="65424065" w:rsidR="008307EC" w:rsidRDefault="002B0B06" w:rsidP="001E0A64">
      <w:pPr>
        <w:pStyle w:val="Paragraph"/>
        <w:rPr>
          <w:rFonts w:eastAsia="PMingLiU"/>
        </w:rPr>
      </w:pPr>
      <w:r>
        <w:t xml:space="preserve">A public notice of this collection is provided in the Federal Register notice of </w:t>
      </w:r>
      <w:r w:rsidR="0087379B" w:rsidRPr="001A6847">
        <w:t>“</w:t>
      </w:r>
      <w:r w:rsidR="001E0A64" w:rsidRPr="001E0A64">
        <w:t>Greenhouse Gas Reporting Rule: Leak Detection Methodology Revisions and Confidentiality Determinations for Petroleum and Natural Gas Systems; Proposed Rule</w:t>
      </w:r>
      <w:r w:rsidRPr="001A6847">
        <w:t>.</w:t>
      </w:r>
      <w:r w:rsidR="0087379B" w:rsidRPr="001A6847">
        <w:t>”</w:t>
      </w:r>
    </w:p>
    <w:p w14:paraId="2990ABF7" w14:textId="77777777" w:rsidR="008307EC" w:rsidRPr="00A22ECC" w:rsidRDefault="00A6725D" w:rsidP="00A22ECC">
      <w:pPr>
        <w:pStyle w:val="SectionSubheading"/>
        <w:rPr>
          <w:rFonts w:eastAsia="PMingLiU" w:hint="eastAsia"/>
        </w:rPr>
      </w:pPr>
      <w:r w:rsidRPr="00A22ECC">
        <w:rPr>
          <w:rFonts w:eastAsia="PMingLiU"/>
        </w:rPr>
        <w:t>3</w:t>
      </w:r>
      <w:r w:rsidR="008307EC" w:rsidRPr="00A22ECC">
        <w:rPr>
          <w:rFonts w:eastAsia="PMingLiU"/>
        </w:rPr>
        <w:t>(c)</w:t>
      </w:r>
      <w:r w:rsidR="002B0B06" w:rsidRPr="00A22ECC">
        <w:rPr>
          <w:rFonts w:eastAsia="PMingLiU"/>
        </w:rPr>
        <w:t xml:space="preserve"> </w:t>
      </w:r>
      <w:r w:rsidR="008307EC" w:rsidRPr="00A22ECC">
        <w:rPr>
          <w:rFonts w:eastAsia="PMingLiU"/>
        </w:rPr>
        <w:t>Consultations</w:t>
      </w:r>
    </w:p>
    <w:p w14:paraId="2E21DD67" w14:textId="77777777" w:rsidR="002B0B06" w:rsidRDefault="002B0B06" w:rsidP="00772D3A">
      <w:pPr>
        <w:pStyle w:val="Paragraph"/>
      </w:pPr>
      <w:r>
        <w:t xml:space="preserve">Early in the development process of the GHGRP, </w:t>
      </w:r>
      <w:r w:rsidR="00766D4D">
        <w:t xml:space="preserve">the </w:t>
      </w:r>
      <w:r>
        <w:t xml:space="preserve">EPA conducted a proactive communications outreach program to inform the public about the rule development effort. </w:t>
      </w:r>
      <w:r w:rsidR="00766D4D">
        <w:t xml:space="preserve">The </w:t>
      </w:r>
      <w:r>
        <w:t xml:space="preserve">EPA solicited input and maintained an open-door policy for those interested in discussing the rulemaking. Since January 2008, </w:t>
      </w:r>
      <w:r w:rsidR="00766D4D">
        <w:t xml:space="preserve">the </w:t>
      </w:r>
      <w:r>
        <w:t>EPA staff has held more than 100 meetings with stakeholders, including</w:t>
      </w:r>
      <w:r w:rsidR="00637EB4">
        <w:t xml:space="preserve"> the following</w:t>
      </w:r>
      <w:r>
        <w:t>:</w:t>
      </w:r>
    </w:p>
    <w:p w14:paraId="64377482" w14:textId="77777777" w:rsidR="002B0B06" w:rsidRDefault="002B0B06" w:rsidP="00772D3A">
      <w:pPr>
        <w:pStyle w:val="ListBullet3"/>
      </w:pPr>
      <w:r>
        <w:t>Trade associations and firms in potentially affected industries/sectors;</w:t>
      </w:r>
    </w:p>
    <w:p w14:paraId="3E7D92FE" w14:textId="77777777" w:rsidR="002B0B06" w:rsidRDefault="002B0B06" w:rsidP="0013652B">
      <w:pPr>
        <w:pStyle w:val="ListBullet3"/>
      </w:pPr>
      <w:r>
        <w:t>State, local, and tribal environmental control agencies and regional air quality planning organizations;</w:t>
      </w:r>
    </w:p>
    <w:p w14:paraId="727CE619" w14:textId="77777777" w:rsidR="002B0B06" w:rsidRPr="002B0B06" w:rsidRDefault="002B0B06" w:rsidP="0013652B">
      <w:pPr>
        <w:pStyle w:val="ListBullet3"/>
        <w:rPr>
          <w:rFonts w:eastAsia="PMingLiU"/>
        </w:rPr>
      </w:pPr>
      <w:r>
        <w:t>State and regional organizations already involved in GHG emissions reporting, such as The Climate Registry, California Air Resources Board, and the Western Climate Initiative; and</w:t>
      </w:r>
    </w:p>
    <w:p w14:paraId="3C944664" w14:textId="77777777" w:rsidR="002B0B06" w:rsidRPr="002B0B06" w:rsidRDefault="002B0B06" w:rsidP="00B8030B">
      <w:pPr>
        <w:pStyle w:val="ListBullet3"/>
        <w:rPr>
          <w:rFonts w:eastAsia="PMingLiU"/>
        </w:rPr>
      </w:pPr>
      <w:r>
        <w:t>Environmental groups and other nongovernmental organizations.</w:t>
      </w:r>
    </w:p>
    <w:p w14:paraId="1F5D472B" w14:textId="77777777" w:rsidR="002B0B06" w:rsidRDefault="00766D4D" w:rsidP="00B8030B">
      <w:pPr>
        <w:pStyle w:val="Paragraph"/>
      </w:pPr>
      <w:r>
        <w:t xml:space="preserve">The </w:t>
      </w:r>
      <w:r w:rsidR="002B0B06">
        <w:t>EPA also has met with federal agencies, including the U.S. Department of Energy and the U.S. Department of Agriculture, which have programs relevant to GHG emissions.</w:t>
      </w:r>
    </w:p>
    <w:p w14:paraId="1641EE55" w14:textId="77777777" w:rsidR="00FB6B1E" w:rsidRDefault="002B0B06" w:rsidP="00FB6B1E">
      <w:pPr>
        <w:pStyle w:val="Paragraph"/>
      </w:pPr>
      <w:r>
        <w:t xml:space="preserve">On April 10, 2009 (74 FR 16448), </w:t>
      </w:r>
      <w:r w:rsidR="00766D4D">
        <w:t xml:space="preserve">the </w:t>
      </w:r>
      <w:r>
        <w:t xml:space="preserve">EPA proposed the GHGRP. </w:t>
      </w:r>
      <w:r w:rsidR="00766D4D">
        <w:t xml:space="preserve">The </w:t>
      </w:r>
      <w:r>
        <w:t>EPA held two public hearings, and received more than 16,000 written comments</w:t>
      </w:r>
      <w:r w:rsidR="008468B0">
        <w:t xml:space="preserve"> during t</w:t>
      </w:r>
      <w:r>
        <w:t>he public comment period</w:t>
      </w:r>
      <w:r w:rsidR="008468B0">
        <w:t>, which</w:t>
      </w:r>
      <w:r>
        <w:t xml:space="preserve"> ended on June 9, 2009. </w:t>
      </w:r>
      <w:r w:rsidR="00637EB4">
        <w:t xml:space="preserve">Comments related to </w:t>
      </w:r>
      <w:r w:rsidR="00637EB4" w:rsidRPr="00480EF0">
        <w:t xml:space="preserve">Subpart W </w:t>
      </w:r>
      <w:r w:rsidR="00637EB4">
        <w:t xml:space="preserve">were </w:t>
      </w:r>
      <w:r w:rsidR="00637EB4" w:rsidRPr="00480EF0">
        <w:t xml:space="preserve">received from </w:t>
      </w:r>
      <w:r>
        <w:t xml:space="preserve">more </w:t>
      </w:r>
      <w:r>
        <w:lastRenderedPageBreak/>
        <w:t xml:space="preserve">than 80 entities with over 1,200 pages of comments, recommendations, and alternatives for consideration. Details about these meetings and the responses to comments are available in </w:t>
      </w:r>
      <w:r w:rsidR="00CF5066">
        <w:t xml:space="preserve">Docket ID No. </w:t>
      </w:r>
      <w:r>
        <w:t xml:space="preserve">EPA-HQ-OAR-2009-0923. </w:t>
      </w:r>
    </w:p>
    <w:p w14:paraId="587FF21E" w14:textId="7A60F962" w:rsidR="002B0B06" w:rsidRPr="005B24D7" w:rsidRDefault="002B0B06" w:rsidP="00FB6B1E">
      <w:pPr>
        <w:pStyle w:val="Paragraph"/>
      </w:pPr>
      <w:r>
        <w:t>Following promulgation of the final subpart W rule</w:t>
      </w:r>
      <w:r w:rsidR="00CF5066">
        <w:t xml:space="preserve"> (75 FR 74458, November 30, 2010)</w:t>
      </w:r>
      <w:r>
        <w:t xml:space="preserve">, </w:t>
      </w:r>
      <w:r w:rsidR="00766D4D">
        <w:t xml:space="preserve">the </w:t>
      </w:r>
      <w:r>
        <w:t xml:space="preserve">EPA finalized </w:t>
      </w:r>
      <w:r w:rsidR="00803A86">
        <w:t xml:space="preserve">the following </w:t>
      </w:r>
      <w:r>
        <w:t>actions revising subpart W</w:t>
      </w:r>
      <w:r w:rsidR="00803A86">
        <w:t xml:space="preserve">: </w:t>
      </w:r>
      <w:r>
        <w:t>76 FR 22825</w:t>
      </w:r>
      <w:r w:rsidR="00803A86">
        <w:t xml:space="preserve"> (</w:t>
      </w:r>
      <w:r>
        <w:t>April 25, 2011</w:t>
      </w:r>
      <w:r w:rsidR="00803A86">
        <w:t>)</w:t>
      </w:r>
      <w:r>
        <w:t>; 76 FR 59533</w:t>
      </w:r>
      <w:r w:rsidR="00803A86">
        <w:t xml:space="preserve"> (</w:t>
      </w:r>
      <w:r>
        <w:t>September 27, 2011</w:t>
      </w:r>
      <w:r w:rsidR="00803A86">
        <w:t>)</w:t>
      </w:r>
      <w:r>
        <w:t>; 76 FR 80554</w:t>
      </w:r>
      <w:r w:rsidR="00803A86">
        <w:t xml:space="preserve"> (</w:t>
      </w:r>
      <w:r>
        <w:t>December 23, 2011</w:t>
      </w:r>
      <w:r w:rsidR="00FB6B1E">
        <w:t>)</w:t>
      </w:r>
      <w:r>
        <w:t>; 77 FR 51477</w:t>
      </w:r>
      <w:r w:rsidR="00FB6B1E">
        <w:t xml:space="preserve"> (</w:t>
      </w:r>
      <w:r>
        <w:t>August 24, 2012</w:t>
      </w:r>
      <w:r w:rsidR="00FB6B1E">
        <w:t>)</w:t>
      </w:r>
      <w:r>
        <w:t>; 78 FR 25392</w:t>
      </w:r>
      <w:r w:rsidR="00FB6B1E">
        <w:t xml:space="preserve"> (</w:t>
      </w:r>
      <w:r>
        <w:t>May 1, 2013</w:t>
      </w:r>
      <w:r w:rsidR="00FB6B1E">
        <w:t>)</w:t>
      </w:r>
      <w:r>
        <w:t>; 78 FR 71904</w:t>
      </w:r>
      <w:r w:rsidR="00FB6B1E">
        <w:t xml:space="preserve"> (</w:t>
      </w:r>
      <w:r>
        <w:t>Nov</w:t>
      </w:r>
      <w:r w:rsidR="00766D4D">
        <w:t>ember</w:t>
      </w:r>
      <w:r>
        <w:t xml:space="preserve"> 29, 2013</w:t>
      </w:r>
      <w:r w:rsidR="00FB6B1E">
        <w:t>)</w:t>
      </w:r>
      <w:r w:rsidR="00766D4D">
        <w:t>;</w:t>
      </w:r>
      <w:r w:rsidR="002E3B42" w:rsidRPr="002E3B42">
        <w:t xml:space="preserve"> </w:t>
      </w:r>
      <w:r w:rsidR="002E3B42" w:rsidRPr="00654E1E">
        <w:t xml:space="preserve">79 </w:t>
      </w:r>
      <w:r w:rsidR="002E3B42" w:rsidRPr="00CB4865">
        <w:t xml:space="preserve">FR </w:t>
      </w:r>
      <w:r w:rsidR="002E3B42">
        <w:t>63750</w:t>
      </w:r>
      <w:r w:rsidR="002E3B42" w:rsidRPr="00CB4865">
        <w:t xml:space="preserve"> </w:t>
      </w:r>
      <w:r w:rsidR="00FB6B1E">
        <w:t>(</w:t>
      </w:r>
      <w:r w:rsidR="002E3B42">
        <w:t>October 24</w:t>
      </w:r>
      <w:r w:rsidR="002E3B42" w:rsidRPr="00CB4865">
        <w:t xml:space="preserve">, </w:t>
      </w:r>
      <w:r w:rsidR="002E3B42" w:rsidRPr="005B24D7">
        <w:t>2014</w:t>
      </w:r>
      <w:r w:rsidR="00FB6B1E" w:rsidRPr="005B24D7">
        <w:t>)</w:t>
      </w:r>
      <w:r w:rsidR="002E3B42" w:rsidRPr="005B24D7">
        <w:t xml:space="preserve">; </w:t>
      </w:r>
      <w:r w:rsidR="00766D4D" w:rsidRPr="005B24D7">
        <w:t xml:space="preserve">79 FR </w:t>
      </w:r>
      <w:r w:rsidR="00B33BD8" w:rsidRPr="005B24D7">
        <w:t>70352</w:t>
      </w:r>
      <w:r w:rsidR="00FB6B1E" w:rsidRPr="005B24D7">
        <w:t xml:space="preserve"> (N</w:t>
      </w:r>
      <w:r w:rsidR="002E3B42" w:rsidRPr="005B24D7">
        <w:t xml:space="preserve">ovember </w:t>
      </w:r>
      <w:r w:rsidR="00B33BD8" w:rsidRPr="005B24D7">
        <w:t>25</w:t>
      </w:r>
      <w:r w:rsidR="00766D4D" w:rsidRPr="005B24D7">
        <w:t>, 2014</w:t>
      </w:r>
      <w:r w:rsidRPr="005B24D7">
        <w:t>)</w:t>
      </w:r>
      <w:r w:rsidR="00803A86" w:rsidRPr="005B24D7">
        <w:t>; and 80 FR 64262</w:t>
      </w:r>
      <w:r w:rsidR="00FB6B1E" w:rsidRPr="005B24D7">
        <w:t xml:space="preserve"> (</w:t>
      </w:r>
      <w:r w:rsidR="00803A86" w:rsidRPr="005B24D7">
        <w:t>October 22, 2015</w:t>
      </w:r>
      <w:r w:rsidR="00FB6B1E" w:rsidRPr="005B24D7">
        <w:t>)</w:t>
      </w:r>
      <w:r w:rsidR="00FF2193" w:rsidRPr="005B24D7">
        <w:t>.</w:t>
      </w:r>
    </w:p>
    <w:p w14:paraId="3F785D43" w14:textId="270C5E69" w:rsidR="00CF5066" w:rsidRDefault="002B0B06" w:rsidP="0026570B">
      <w:pPr>
        <w:pStyle w:val="Paragraph"/>
      </w:pPr>
      <w:r w:rsidRPr="005B24D7">
        <w:t>In the current action, the EPA is</w:t>
      </w:r>
      <w:r w:rsidR="005B24D7" w:rsidRPr="005B24D7">
        <w:t xml:space="preserve"> </w:t>
      </w:r>
      <w:r w:rsidR="0026570B">
        <w:t xml:space="preserve">proposing to </w:t>
      </w:r>
      <w:r w:rsidR="005B24D7" w:rsidRPr="005B24D7">
        <w:t xml:space="preserve">add new monitoring methods for detecting leaks from oil and gas equipment and </w:t>
      </w:r>
      <w:r w:rsidR="0026570B">
        <w:t xml:space="preserve">to </w:t>
      </w:r>
      <w:r w:rsidR="005B24D7" w:rsidRPr="005B24D7">
        <w:t>add emission factors for leaking equipment to be used in conjunction with the monitoring methods to calculate and report greenhouse gas (GHG) emissions resulting from equipment leaks.</w:t>
      </w:r>
    </w:p>
    <w:p w14:paraId="079EB08E" w14:textId="19E37CDE" w:rsidR="002B0B06" w:rsidRDefault="002B0B06" w:rsidP="0026570B">
      <w:pPr>
        <w:pStyle w:val="Paragraph"/>
        <w:rPr>
          <w:rFonts w:eastAsia="PMingLiU"/>
        </w:rPr>
      </w:pPr>
      <w:r w:rsidRPr="00612365">
        <w:t>In conjunction with this</w:t>
      </w:r>
      <w:r w:rsidRPr="00766D4D">
        <w:t xml:space="preserve"> action, we are </w:t>
      </w:r>
      <w:r w:rsidR="0026570B">
        <w:t>proposing</w:t>
      </w:r>
      <w:r w:rsidR="0026570B" w:rsidRPr="00766D4D">
        <w:t xml:space="preserve"> </w:t>
      </w:r>
      <w:r w:rsidRPr="00766D4D">
        <w:t xml:space="preserve">confidentiality determinations for the </w:t>
      </w:r>
      <w:r w:rsidR="007944CE">
        <w:t xml:space="preserve">nine </w:t>
      </w:r>
      <w:r w:rsidRPr="00766D4D">
        <w:t xml:space="preserve">new </w:t>
      </w:r>
      <w:r w:rsidR="007944CE">
        <w:t xml:space="preserve">and substantially revised </w:t>
      </w:r>
      <w:r w:rsidRPr="00766D4D">
        <w:t xml:space="preserve">data elements contained in these </w:t>
      </w:r>
      <w:r w:rsidR="0026570B">
        <w:t xml:space="preserve">proposed </w:t>
      </w:r>
      <w:r w:rsidRPr="00766D4D">
        <w:t>amendments.</w:t>
      </w:r>
    </w:p>
    <w:p w14:paraId="6DE7E990" w14:textId="77777777" w:rsidR="008307EC" w:rsidRPr="00A22ECC" w:rsidRDefault="00A6725D" w:rsidP="00A22ECC">
      <w:pPr>
        <w:pStyle w:val="SectionSubheading"/>
        <w:rPr>
          <w:rFonts w:eastAsia="PMingLiU" w:hint="eastAsia"/>
        </w:rPr>
      </w:pPr>
      <w:r w:rsidRPr="00A22ECC">
        <w:rPr>
          <w:rFonts w:eastAsia="PMingLiU"/>
        </w:rPr>
        <w:t>3</w:t>
      </w:r>
      <w:r w:rsidR="008307EC" w:rsidRPr="00A22ECC">
        <w:rPr>
          <w:rFonts w:eastAsia="PMingLiU"/>
        </w:rPr>
        <w:t>(d)</w:t>
      </w:r>
      <w:r w:rsidR="002B0B06" w:rsidRPr="00A22ECC">
        <w:rPr>
          <w:rFonts w:eastAsia="PMingLiU"/>
        </w:rPr>
        <w:t xml:space="preserve"> </w:t>
      </w:r>
      <w:r w:rsidR="008307EC" w:rsidRPr="00A22ECC">
        <w:rPr>
          <w:rFonts w:eastAsia="PMingLiU"/>
        </w:rPr>
        <w:t xml:space="preserve">Effects </w:t>
      </w:r>
      <w:r w:rsidR="006C2C63" w:rsidRPr="00A22ECC">
        <w:rPr>
          <w:rFonts w:eastAsia="PMingLiU"/>
        </w:rPr>
        <w:t>of Less Frequent Collection</w:t>
      </w:r>
    </w:p>
    <w:p w14:paraId="74F81911" w14:textId="473A059F" w:rsidR="002B0B06" w:rsidRDefault="002B0B06" w:rsidP="00F4032C">
      <w:pPr>
        <w:pStyle w:val="Paragraph"/>
      </w:pPr>
      <w:r>
        <w:t xml:space="preserve">The frequency for reporting emissions information to </w:t>
      </w:r>
      <w:r w:rsidR="00766D4D">
        <w:t xml:space="preserve">the </w:t>
      </w:r>
      <w:r>
        <w:t xml:space="preserve">EPA under the GHGRP was originally established to minimize the burden on owners and operators of affected facilities, while ensuring that the GHGRP collects facility-specific data of sufficient quality to achieve the </w:t>
      </w:r>
      <w:r w:rsidR="00F4032C">
        <w:t>a</w:t>
      </w:r>
      <w:r>
        <w:t>gency</w:t>
      </w:r>
      <w:r w:rsidR="0087379B">
        <w:t>’</w:t>
      </w:r>
      <w:r>
        <w:t>s objectives. The GHGRP requires annual reporting, except for a limited number of facilities that are already subject to more frequent reporting requirements. This reporting frequency remains the same in these revisions to Part 98.</w:t>
      </w:r>
    </w:p>
    <w:p w14:paraId="6CE6A6C5" w14:textId="68CDAFCF" w:rsidR="008307EC" w:rsidRDefault="002B0B06" w:rsidP="00F4032C">
      <w:pPr>
        <w:pStyle w:val="Paragraph"/>
      </w:pPr>
      <w:r>
        <w:t xml:space="preserve">Annual reporting </w:t>
      </w:r>
      <w:r w:rsidR="0026570B">
        <w:t xml:space="preserve">would </w:t>
      </w:r>
      <w:r>
        <w:t xml:space="preserve">ensure that data are verified and made available to the public, as authorized by the CAA. If the information collection were not carried out on this schedule, the </w:t>
      </w:r>
      <w:r w:rsidR="00F4032C">
        <w:t>a</w:t>
      </w:r>
      <w:r>
        <w:t>gency would not be able to develop an informed tracking system of trends in GHG emissions across the country.</w:t>
      </w:r>
    </w:p>
    <w:p w14:paraId="5BE938E5" w14:textId="2576F95C" w:rsidR="00DA401D" w:rsidRDefault="00DA401D" w:rsidP="00E755DE">
      <w:pPr>
        <w:pStyle w:val="Paragraph"/>
        <w:rPr>
          <w:rFonts w:eastAsia="PMingLiU"/>
        </w:rPr>
      </w:pPr>
      <w:r>
        <w:t xml:space="preserve">Note that the burden related to this rulemaking </w:t>
      </w:r>
      <w:r w:rsidR="00BB12C4">
        <w:t>has been annualized over the 3-year period of the ICR</w:t>
      </w:r>
      <w:r w:rsidR="00344CFE">
        <w:t>. The EPA anticipates that</w:t>
      </w:r>
      <w:r w:rsidR="00BB12C4">
        <w:t xml:space="preserve"> each individual reporter will</w:t>
      </w:r>
      <w:r w:rsidR="005B24D7">
        <w:t xml:space="preserve"> update the existing </w:t>
      </w:r>
      <w:r w:rsidR="00E755DE">
        <w:t xml:space="preserve">facility-specific calculation mechanism </w:t>
      </w:r>
      <w:r w:rsidR="005B24D7">
        <w:t>to accommodate the new method</w:t>
      </w:r>
      <w:r w:rsidR="008613DA">
        <w:t>s</w:t>
      </w:r>
      <w:r w:rsidR="005B24D7">
        <w:t xml:space="preserve"> and emission factors</w:t>
      </w:r>
      <w:r w:rsidR="00BB12C4">
        <w:t xml:space="preserve"> only once during the 3-year period of the ICR</w:t>
      </w:r>
      <w:r w:rsidR="005B24D7">
        <w:t xml:space="preserve">. Due to the size and complexity of Onshore Petroleum and Natural Gas Production facilities and Onshore Petroleum and Natural Gas </w:t>
      </w:r>
      <w:r w:rsidR="005B24D7">
        <w:lastRenderedPageBreak/>
        <w:t>Gathering and Boosting facilities,</w:t>
      </w:r>
      <w:r w:rsidR="008613DA">
        <w:t xml:space="preserve"> </w:t>
      </w:r>
      <w:r>
        <w:t xml:space="preserve">all subpart W </w:t>
      </w:r>
      <w:r w:rsidR="005B24D7">
        <w:t>facilities in these two industry segments</w:t>
      </w:r>
      <w:r>
        <w:t xml:space="preserve"> </w:t>
      </w:r>
      <w:r w:rsidR="008613DA">
        <w:t xml:space="preserve">are expected to become subject to </w:t>
      </w:r>
      <w:r w:rsidR="005148F1">
        <w:t>the NSPS</w:t>
      </w:r>
      <w:r w:rsidR="008613DA">
        <w:t xml:space="preserve"> subpart </w:t>
      </w:r>
      <w:proofErr w:type="spellStart"/>
      <w:r w:rsidR="008613DA">
        <w:t>OOOOa</w:t>
      </w:r>
      <w:proofErr w:type="spellEnd"/>
      <w:r w:rsidR="008613DA">
        <w:t xml:space="preserve"> in the next </w:t>
      </w:r>
      <w:r w:rsidR="000A3CB1">
        <w:t>3</w:t>
      </w:r>
      <w:r w:rsidR="008613DA">
        <w:t xml:space="preserve"> years through modification or reconstruction</w:t>
      </w:r>
      <w:r w:rsidR="005B24D7">
        <w:t>.</w:t>
      </w:r>
      <w:r w:rsidR="008613DA">
        <w:t xml:space="preserve"> Therefore, </w:t>
      </w:r>
      <w:r w:rsidR="00BB12C4">
        <w:t>updating</w:t>
      </w:r>
      <w:r w:rsidR="008613DA">
        <w:t xml:space="preserve"> the</w:t>
      </w:r>
      <w:r w:rsidR="00AB0655">
        <w:t xml:space="preserve"> facility-specific calculation mechanism </w:t>
      </w:r>
      <w:r w:rsidR="008613DA">
        <w:t>is expected to apply to all</w:t>
      </w:r>
      <w:r w:rsidR="008613DA" w:rsidRPr="008613DA">
        <w:t xml:space="preserve"> </w:t>
      </w:r>
      <w:r w:rsidR="008613DA">
        <w:t>subpart W facilities in these two industry segments</w:t>
      </w:r>
      <w:r w:rsidR="008613DA" w:rsidRPr="008613DA">
        <w:t xml:space="preserve"> </w:t>
      </w:r>
      <w:r w:rsidR="008613DA">
        <w:t xml:space="preserve">over the </w:t>
      </w:r>
      <w:r w:rsidR="000A3CB1">
        <w:t>3-</w:t>
      </w:r>
      <w:r w:rsidR="008613DA">
        <w:t>year period of this ICR.</w:t>
      </w:r>
    </w:p>
    <w:p w14:paraId="6798CEAC" w14:textId="77777777" w:rsidR="008307EC" w:rsidRPr="00A22ECC" w:rsidRDefault="00A6725D" w:rsidP="00A22ECC">
      <w:pPr>
        <w:pStyle w:val="SectionSubheading"/>
        <w:rPr>
          <w:rFonts w:eastAsia="PMingLiU" w:hint="eastAsia"/>
        </w:rPr>
      </w:pPr>
      <w:r w:rsidRPr="00A22ECC">
        <w:rPr>
          <w:rFonts w:eastAsia="PMingLiU"/>
        </w:rPr>
        <w:t>3</w:t>
      </w:r>
      <w:r w:rsidR="008307EC" w:rsidRPr="00A22ECC">
        <w:rPr>
          <w:rFonts w:eastAsia="PMingLiU"/>
        </w:rPr>
        <w:t>(e)</w:t>
      </w:r>
      <w:r w:rsidR="002B0B06" w:rsidRPr="00A22ECC">
        <w:rPr>
          <w:rFonts w:eastAsia="PMingLiU"/>
        </w:rPr>
        <w:t xml:space="preserve"> </w:t>
      </w:r>
      <w:r w:rsidR="008307EC" w:rsidRPr="00A22ECC">
        <w:rPr>
          <w:rFonts w:eastAsia="PMingLiU"/>
        </w:rPr>
        <w:t>General Guidelines</w:t>
      </w:r>
    </w:p>
    <w:p w14:paraId="6C3D871B" w14:textId="77777777" w:rsidR="008307EC" w:rsidRDefault="002B0B06" w:rsidP="0013652B">
      <w:pPr>
        <w:pStyle w:val="Paragraph"/>
        <w:rPr>
          <w:rFonts w:eastAsia="PMingLiU"/>
        </w:rPr>
      </w:pPr>
      <w:r>
        <w:t>This collection is consistent with all OMB guidelines under 5 CFR 1320.</w:t>
      </w:r>
      <w:r w:rsidR="00637EB4">
        <w:t>5</w:t>
      </w:r>
      <w:r>
        <w:t>.</w:t>
      </w:r>
    </w:p>
    <w:p w14:paraId="0F7502DC" w14:textId="77777777" w:rsidR="008307EC" w:rsidRPr="00A22ECC" w:rsidRDefault="00A6725D" w:rsidP="00A22ECC">
      <w:pPr>
        <w:pStyle w:val="SectionSubheading"/>
        <w:rPr>
          <w:rFonts w:eastAsia="PMingLiU" w:hint="eastAsia"/>
        </w:rPr>
      </w:pPr>
      <w:r w:rsidRPr="00A22ECC">
        <w:rPr>
          <w:rFonts w:eastAsia="PMingLiU"/>
        </w:rPr>
        <w:t>3</w:t>
      </w:r>
      <w:r w:rsidR="008307EC" w:rsidRPr="00A22ECC">
        <w:rPr>
          <w:rFonts w:eastAsia="PMingLiU"/>
        </w:rPr>
        <w:t>(f)</w:t>
      </w:r>
      <w:r w:rsidR="002B0B06" w:rsidRPr="00A22ECC">
        <w:rPr>
          <w:rFonts w:eastAsia="PMingLiU"/>
        </w:rPr>
        <w:t xml:space="preserve"> </w:t>
      </w:r>
      <w:r w:rsidR="008307EC" w:rsidRPr="00A22ECC">
        <w:rPr>
          <w:rFonts w:eastAsia="PMingLiU"/>
        </w:rPr>
        <w:t>Confidentiality</w:t>
      </w:r>
    </w:p>
    <w:p w14:paraId="42D2D761" w14:textId="27A4F671" w:rsidR="00FB6B1E" w:rsidRDefault="002B0B06" w:rsidP="00871E2B">
      <w:pPr>
        <w:pStyle w:val="Paragraph"/>
      </w:pPr>
      <w:r>
        <w:t xml:space="preserve">Data collected under the GHGRP must be made available to the public unless the data qualify for CBI treatment under the CAA and EPA regulations. The CAA precludes </w:t>
      </w:r>
      <w:r w:rsidR="0087379B">
        <w:t>“</w:t>
      </w:r>
      <w:r>
        <w:t>emission data</w:t>
      </w:r>
      <w:r w:rsidR="0087379B">
        <w:t>”</w:t>
      </w:r>
      <w:r>
        <w:t xml:space="preserve"> from being treated as confidential. For data reported under the CAA that are not emission data, </w:t>
      </w:r>
      <w:r w:rsidR="00766D4D">
        <w:t xml:space="preserve">the </w:t>
      </w:r>
      <w:r>
        <w:t xml:space="preserve">EPA typically makes CBI determinations under 40 CFR 2.301 on a case-by-case basis. Due to the large number of entities reporting under the GHGRP and the large number of data reporting elements, </w:t>
      </w:r>
      <w:r w:rsidR="00766D4D">
        <w:t xml:space="preserve">the </w:t>
      </w:r>
      <w:r>
        <w:t xml:space="preserve">EPA previously concluded that case-by-case determinations would not result in timely release of emission and other non-CBI data (see proposed CBI rule, </w:t>
      </w:r>
      <w:r w:rsidR="00637EB4">
        <w:t>75 FR 39094,</w:t>
      </w:r>
      <w:r w:rsidR="00637EB4" w:rsidRPr="00766D4D">
        <w:t xml:space="preserve"> </w:t>
      </w:r>
      <w:r w:rsidR="00637EB4">
        <w:t>July 7, 2010</w:t>
      </w:r>
      <w:r w:rsidR="001A6847">
        <w:t xml:space="preserve"> </w:t>
      </w:r>
      <w:r w:rsidR="001A6847" w:rsidRPr="007033A2">
        <w:t>39094</w:t>
      </w:r>
      <w:r w:rsidR="001A6847">
        <w:t xml:space="preserve"> and final CBI rule, May 26, 2011, 76 FR 30782</w:t>
      </w:r>
      <w:r w:rsidR="00637EB4" w:rsidRPr="007033A2">
        <w:t xml:space="preserve">). For </w:t>
      </w:r>
      <w:r>
        <w:t>this reason, the EPA has made CBI determinations for most data reporting elements through a series of rulemakings that specify which data reporting elements in Part 98: (1)</w:t>
      </w:r>
      <w:r w:rsidR="00131EA5">
        <w:t> </w:t>
      </w:r>
      <w:r>
        <w:t xml:space="preserve">are CBI, (2) are non-CBI, and (3) are emission data (i.e., ineligible for CBI protection). All data determined by </w:t>
      </w:r>
      <w:r w:rsidR="00766D4D">
        <w:t xml:space="preserve">the </w:t>
      </w:r>
      <w:r>
        <w:t xml:space="preserve">EPA to be CBI are safeguarded in accordance with regulations in 40 CFR Chapter 1, Part 2, </w:t>
      </w:r>
      <w:proofErr w:type="gramStart"/>
      <w:r>
        <w:t>Subpart</w:t>
      </w:r>
      <w:proofErr w:type="gramEnd"/>
      <w:r>
        <w:t xml:space="preserve"> B. The CBI determinations for subpart W data reporting elements (excluding data reporting elements used as inputs to emission calculations) were made in 77 FR 48072</w:t>
      </w:r>
      <w:r w:rsidR="002D3914">
        <w:t xml:space="preserve"> (</w:t>
      </w:r>
      <w:r>
        <w:t>August 13, 2012</w:t>
      </w:r>
      <w:r w:rsidR="002D3914">
        <w:t>)</w:t>
      </w:r>
      <w:r w:rsidR="00803A86">
        <w:t>,</w:t>
      </w:r>
      <w:r w:rsidR="00871E2B">
        <w:t xml:space="preserve"> </w:t>
      </w:r>
      <w:r w:rsidR="00B33BD8">
        <w:t>79 FR 70352 (November 25, 2014)</w:t>
      </w:r>
      <w:r w:rsidR="00803A86">
        <w:t xml:space="preserve">, and </w:t>
      </w:r>
      <w:r w:rsidR="00FB6B1E">
        <w:t>80 FR 64262 (October 22, 2015)</w:t>
      </w:r>
      <w:r>
        <w:t>.</w:t>
      </w:r>
    </w:p>
    <w:p w14:paraId="16FB62B4" w14:textId="5C12EBE2" w:rsidR="008307EC" w:rsidRDefault="002B0B06" w:rsidP="00FB6B1E">
      <w:pPr>
        <w:pStyle w:val="Paragraph"/>
        <w:rPr>
          <w:rFonts w:eastAsia="PMingLiU"/>
        </w:rPr>
      </w:pPr>
      <w:r w:rsidRPr="008613DA">
        <w:t xml:space="preserve">In the current action, the EPA is </w:t>
      </w:r>
      <w:r w:rsidR="00CD16F0" w:rsidRPr="008613DA">
        <w:t>proposing</w:t>
      </w:r>
      <w:r w:rsidR="00323066" w:rsidRPr="008613DA">
        <w:t xml:space="preserve"> </w:t>
      </w:r>
      <w:r w:rsidRPr="008613DA">
        <w:t xml:space="preserve">confidentiality determinations for the </w:t>
      </w:r>
      <w:r w:rsidR="008613DA" w:rsidRPr="008613DA">
        <w:t xml:space="preserve">nine </w:t>
      </w:r>
      <w:r w:rsidRPr="008613DA">
        <w:t xml:space="preserve">new </w:t>
      </w:r>
      <w:r w:rsidR="008613DA" w:rsidRPr="008613DA">
        <w:t xml:space="preserve">and substantially revised </w:t>
      </w:r>
      <w:r w:rsidRPr="008613DA">
        <w:t xml:space="preserve">data elements contained in these </w:t>
      </w:r>
      <w:r w:rsidR="00E575A7">
        <w:t xml:space="preserve">proposed </w:t>
      </w:r>
      <w:r w:rsidRPr="008613DA">
        <w:t>amendments.</w:t>
      </w:r>
    </w:p>
    <w:p w14:paraId="45065062" w14:textId="77777777" w:rsidR="008307EC" w:rsidRPr="00A22ECC" w:rsidRDefault="00A6725D" w:rsidP="00A22ECC">
      <w:pPr>
        <w:pStyle w:val="SectionSubheading"/>
        <w:rPr>
          <w:rFonts w:eastAsia="PMingLiU" w:hint="eastAsia"/>
        </w:rPr>
      </w:pPr>
      <w:r w:rsidRPr="00A22ECC">
        <w:rPr>
          <w:rFonts w:eastAsia="PMingLiU"/>
        </w:rPr>
        <w:lastRenderedPageBreak/>
        <w:t>3</w:t>
      </w:r>
      <w:r w:rsidR="006C2C63" w:rsidRPr="00A22ECC">
        <w:rPr>
          <w:rFonts w:eastAsia="PMingLiU"/>
        </w:rPr>
        <w:t>(g)</w:t>
      </w:r>
      <w:r w:rsidR="002B0B06" w:rsidRPr="00A22ECC">
        <w:rPr>
          <w:rFonts w:eastAsia="PMingLiU"/>
        </w:rPr>
        <w:t xml:space="preserve"> </w:t>
      </w:r>
      <w:r w:rsidR="006C2C63" w:rsidRPr="00A22ECC">
        <w:rPr>
          <w:rFonts w:eastAsia="PMingLiU"/>
        </w:rPr>
        <w:t>Sensitive Questions</w:t>
      </w:r>
    </w:p>
    <w:p w14:paraId="14A49F4C" w14:textId="604906BA" w:rsidR="00CE78B5" w:rsidRDefault="002B0B06" w:rsidP="002349E8">
      <w:pPr>
        <w:pStyle w:val="Paragraph"/>
        <w:rPr>
          <w:rFonts w:eastAsia="PMingLiU"/>
        </w:rPr>
      </w:pPr>
      <w:r>
        <w:t xml:space="preserve">The </w:t>
      </w:r>
      <w:r w:rsidR="00E575A7">
        <w:t xml:space="preserve">proposed </w:t>
      </w:r>
      <w:r>
        <w:t>revisions to reporting or recordkeeping requirements do not include sensitive questions.</w:t>
      </w:r>
      <w:r w:rsidR="00CE78B5">
        <w:rPr>
          <w:rFonts w:eastAsia="PMingLiU" w:hint="eastAsia"/>
        </w:rPr>
        <w:br w:type="page"/>
      </w:r>
    </w:p>
    <w:p w14:paraId="0A7FD7B1" w14:textId="77777777" w:rsidR="008307EC" w:rsidRDefault="008307EC" w:rsidP="0013652B">
      <w:pPr>
        <w:pStyle w:val="SectionHeading"/>
        <w:rPr>
          <w:rFonts w:eastAsia="PMingLiU" w:hint="eastAsia"/>
        </w:rPr>
      </w:pPr>
      <w:r w:rsidRPr="00A6725D">
        <w:rPr>
          <w:rFonts w:eastAsia="PMingLiU"/>
        </w:rPr>
        <w:lastRenderedPageBreak/>
        <w:t>4.</w:t>
      </w:r>
      <w:r w:rsidRPr="00A6725D">
        <w:rPr>
          <w:rFonts w:eastAsia="PMingLiU"/>
        </w:rPr>
        <w:tab/>
        <w:t>The Respondents and the Information Requested</w:t>
      </w:r>
    </w:p>
    <w:p w14:paraId="658253CD" w14:textId="1B779FBE" w:rsidR="005E65EE" w:rsidRDefault="005E65EE" w:rsidP="00096D64">
      <w:pPr>
        <w:pStyle w:val="Paragraph"/>
        <w:rPr>
          <w:rFonts w:eastAsia="PMingLiU"/>
        </w:rPr>
      </w:pPr>
      <w:r>
        <w:t xml:space="preserve">The respondents in this information collection include owners and operators of petroleum and natural gas systems facilities that must report their GHG emissions to </w:t>
      </w:r>
      <w:r w:rsidR="00766D4D">
        <w:t xml:space="preserve">the </w:t>
      </w:r>
      <w:r>
        <w:t>EPA to comply with subpart W</w:t>
      </w:r>
      <w:r w:rsidR="00096D64">
        <w:t xml:space="preserve"> of Part 98</w:t>
      </w:r>
      <w:r>
        <w:t>. This section provides a list of industry sectors that must comply with the rule, the data elements required of program participants, and the activities in which participants must engage to collect, assess, calculate, and in some cases submit the required data elements.</w:t>
      </w:r>
    </w:p>
    <w:p w14:paraId="53D5C9A5" w14:textId="77777777" w:rsidR="008307EC" w:rsidRPr="00A22ECC" w:rsidRDefault="00A6725D" w:rsidP="00A22ECC">
      <w:pPr>
        <w:pStyle w:val="SectionSubheading"/>
        <w:rPr>
          <w:rFonts w:eastAsia="PMingLiU" w:hint="eastAsia"/>
        </w:rPr>
      </w:pPr>
      <w:r w:rsidRPr="00A22ECC">
        <w:rPr>
          <w:rFonts w:eastAsia="PMingLiU"/>
        </w:rPr>
        <w:t>4</w:t>
      </w:r>
      <w:r w:rsidR="00EB2EF0" w:rsidRPr="00A22ECC">
        <w:rPr>
          <w:rFonts w:eastAsia="PMingLiU"/>
        </w:rPr>
        <w:t xml:space="preserve">(a) </w:t>
      </w:r>
      <w:r w:rsidR="008307EC" w:rsidRPr="00A22ECC">
        <w:rPr>
          <w:rFonts w:eastAsia="PMingLiU"/>
        </w:rPr>
        <w:t>Respondents</w:t>
      </w:r>
      <w:r w:rsidR="00F03842" w:rsidRPr="00A22ECC">
        <w:rPr>
          <w:rFonts w:eastAsia="PMingLiU"/>
        </w:rPr>
        <w:t>/</w:t>
      </w:r>
      <w:r w:rsidR="005E65EE" w:rsidRPr="00A22ECC">
        <w:t>North American Industrial Classification System (</w:t>
      </w:r>
      <w:r w:rsidR="008307EC" w:rsidRPr="00A22ECC">
        <w:rPr>
          <w:rFonts w:eastAsia="PMingLiU"/>
        </w:rPr>
        <w:t>NAICS</w:t>
      </w:r>
      <w:r w:rsidR="005E65EE" w:rsidRPr="00A22ECC">
        <w:rPr>
          <w:rFonts w:eastAsia="PMingLiU"/>
        </w:rPr>
        <w:t>)</w:t>
      </w:r>
      <w:r w:rsidR="008307EC" w:rsidRPr="00A22ECC">
        <w:rPr>
          <w:rFonts w:eastAsia="PMingLiU"/>
        </w:rPr>
        <w:t xml:space="preserve"> Codes</w:t>
      </w:r>
    </w:p>
    <w:p w14:paraId="4BA5A78A" w14:textId="5737FCAF" w:rsidR="00051A66" w:rsidRDefault="005E65EE" w:rsidP="00323066">
      <w:pPr>
        <w:pStyle w:val="Paragraph"/>
      </w:pPr>
      <w:r>
        <w:t xml:space="preserve">The revisions to Part 98 affect facilities subject to subpart W. Reporting facilities for </w:t>
      </w:r>
      <w:r w:rsidR="00A22D54">
        <w:t>s</w:t>
      </w:r>
      <w:r>
        <w:t>ubpart W include, but are not limited to, those operating one or more units that exceed the CO</w:t>
      </w:r>
      <w:r w:rsidRPr="005E65EE">
        <w:rPr>
          <w:rStyle w:val="Subscript"/>
        </w:rPr>
        <w:t>2</w:t>
      </w:r>
      <w:r>
        <w:t xml:space="preserve">e threshold for the industry sectors listed below (and listed in Table A-3 of 40 CFR 98.2(a)(1)). Industry sectors are listed by NAICS code </w:t>
      </w:r>
      <w:r w:rsidR="00051A66">
        <w:t>in Table 1</w:t>
      </w:r>
      <w:r>
        <w:t>. The NAICS codes are not exhaustive, but rather provide a list of facilities likely to be affected.</w:t>
      </w:r>
    </w:p>
    <w:p w14:paraId="2D1948DA" w14:textId="77777777" w:rsidR="001A6847" w:rsidRPr="00051A66" w:rsidRDefault="00051A66" w:rsidP="00A22ECC">
      <w:pPr>
        <w:pStyle w:val="TableTitle"/>
      </w:pPr>
      <w:r w:rsidRPr="00051A66">
        <w:t>Table 1. NAICS codes for affected reporters</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4"/>
        <w:gridCol w:w="6788"/>
      </w:tblGrid>
      <w:tr w:rsidR="001A6847" w:rsidRPr="00063F66" w14:paraId="59C43DAC" w14:textId="77777777" w:rsidTr="00B8253A">
        <w:trPr>
          <w:cantSplit/>
          <w:tblHeader/>
          <w:jc w:val="center"/>
        </w:trPr>
        <w:tc>
          <w:tcPr>
            <w:tcW w:w="2554" w:type="dxa"/>
            <w:tcBorders>
              <w:top w:val="single" w:sz="4" w:space="0" w:color="auto"/>
              <w:bottom w:val="single" w:sz="6" w:space="0" w:color="auto"/>
            </w:tcBorders>
            <w:shd w:val="clear" w:color="auto" w:fill="D9D9D9" w:themeFill="background1" w:themeFillShade="D9"/>
          </w:tcPr>
          <w:p w14:paraId="3E0CA65E" w14:textId="77777777" w:rsidR="001A6847" w:rsidRPr="00A22ECC" w:rsidRDefault="001A6847" w:rsidP="00A22ECC">
            <w:pPr>
              <w:pStyle w:val="TableTextLeft"/>
              <w:rPr>
                <w:rStyle w:val="BoldUnderline"/>
              </w:rPr>
            </w:pPr>
            <w:r w:rsidRPr="00A22ECC">
              <w:rPr>
                <w:rStyle w:val="BoldUnderline"/>
              </w:rPr>
              <w:t>Part and Subpart</w:t>
            </w:r>
          </w:p>
        </w:tc>
        <w:tc>
          <w:tcPr>
            <w:tcW w:w="6788" w:type="dxa"/>
            <w:tcBorders>
              <w:top w:val="single" w:sz="4" w:space="0" w:color="auto"/>
              <w:bottom w:val="single" w:sz="6" w:space="0" w:color="auto"/>
            </w:tcBorders>
            <w:shd w:val="clear" w:color="auto" w:fill="D9D9D9" w:themeFill="background1" w:themeFillShade="D9"/>
          </w:tcPr>
          <w:p w14:paraId="06572F75" w14:textId="77777777" w:rsidR="001A6847" w:rsidRPr="00A22ECC" w:rsidRDefault="001A6847" w:rsidP="00A22ECC">
            <w:pPr>
              <w:pStyle w:val="TableTextLeft"/>
              <w:rPr>
                <w:rStyle w:val="BoldUnderline"/>
              </w:rPr>
            </w:pPr>
            <w:r w:rsidRPr="00A22ECC">
              <w:rPr>
                <w:rStyle w:val="BoldUnderline"/>
              </w:rPr>
              <w:t>NAICS codes</w:t>
            </w:r>
          </w:p>
        </w:tc>
      </w:tr>
      <w:tr w:rsidR="001A6847" w:rsidRPr="00063F66" w14:paraId="12015235" w14:textId="77777777" w:rsidTr="00B8253A">
        <w:trPr>
          <w:cantSplit/>
          <w:jc w:val="center"/>
        </w:trPr>
        <w:tc>
          <w:tcPr>
            <w:tcW w:w="9342" w:type="dxa"/>
            <w:gridSpan w:val="2"/>
            <w:tcBorders>
              <w:top w:val="single" w:sz="6" w:space="0" w:color="auto"/>
            </w:tcBorders>
          </w:tcPr>
          <w:p w14:paraId="587EC2BB" w14:textId="77777777" w:rsidR="001A6847" w:rsidRPr="00A22ECC" w:rsidRDefault="001A6847" w:rsidP="00A22ECC">
            <w:pPr>
              <w:pStyle w:val="TableTextLeft"/>
              <w:rPr>
                <w:rStyle w:val="Bold"/>
              </w:rPr>
            </w:pPr>
            <w:r w:rsidRPr="00A22ECC">
              <w:rPr>
                <w:rStyle w:val="Bold"/>
              </w:rPr>
              <w:t>40 CFR Part 98</w:t>
            </w:r>
          </w:p>
        </w:tc>
      </w:tr>
      <w:tr w:rsidR="001A6847" w:rsidRPr="00063F66" w14:paraId="6393DD0E" w14:textId="77777777" w:rsidTr="00B8253A">
        <w:trPr>
          <w:cantSplit/>
          <w:jc w:val="center"/>
        </w:trPr>
        <w:tc>
          <w:tcPr>
            <w:tcW w:w="2554" w:type="dxa"/>
          </w:tcPr>
          <w:p w14:paraId="57BB7FAA" w14:textId="77777777" w:rsidR="001A6847" w:rsidRPr="00063F66" w:rsidRDefault="001A6847" w:rsidP="00A22ECC">
            <w:pPr>
              <w:pStyle w:val="TableTextLeft"/>
            </w:pPr>
            <w:r w:rsidRPr="00063F66">
              <w:t>W. Petroleum and Natural Gas Systems</w:t>
            </w:r>
          </w:p>
        </w:tc>
        <w:tc>
          <w:tcPr>
            <w:tcW w:w="6788" w:type="dxa"/>
          </w:tcPr>
          <w:p w14:paraId="4F1D7061" w14:textId="77777777" w:rsidR="001A6847" w:rsidRDefault="001A6847" w:rsidP="00A22ECC">
            <w:pPr>
              <w:pStyle w:val="TableTextNAICSCodes"/>
            </w:pPr>
            <w:r>
              <w:t xml:space="preserve">486210 </w:t>
            </w:r>
            <w:r>
              <w:tab/>
              <w:t>Pipeline transportation of natural gas.</w:t>
            </w:r>
          </w:p>
          <w:p w14:paraId="376D07FD" w14:textId="77777777" w:rsidR="001A6847" w:rsidRDefault="001A6847" w:rsidP="00A22ECC">
            <w:pPr>
              <w:pStyle w:val="TableTextNAICSCodes"/>
            </w:pPr>
            <w:r>
              <w:t xml:space="preserve">221210 </w:t>
            </w:r>
            <w:r>
              <w:tab/>
              <w:t>Natural gas distribution.</w:t>
            </w:r>
          </w:p>
          <w:p w14:paraId="6CD84B13" w14:textId="77777777" w:rsidR="001A6847" w:rsidRDefault="001A6847" w:rsidP="00A22ECC">
            <w:pPr>
              <w:pStyle w:val="TableTextNAICSCodes"/>
            </w:pPr>
            <w:r>
              <w:t>211111</w:t>
            </w:r>
            <w:r>
              <w:tab/>
              <w:t>Crude petroleum and natural gas extraction.</w:t>
            </w:r>
          </w:p>
          <w:p w14:paraId="40C513C2" w14:textId="77777777" w:rsidR="001A6847" w:rsidRPr="00063F66" w:rsidRDefault="001A6847" w:rsidP="00A22ECC">
            <w:pPr>
              <w:pStyle w:val="TableTextNAICSCodes"/>
            </w:pPr>
            <w:r>
              <w:t>211112</w:t>
            </w:r>
            <w:r>
              <w:tab/>
              <w:t>Natural gas liquid extraction.</w:t>
            </w:r>
          </w:p>
        </w:tc>
      </w:tr>
    </w:tbl>
    <w:p w14:paraId="3A944B49" w14:textId="77777777" w:rsidR="001A6847" w:rsidRDefault="001A6847" w:rsidP="00A22ECC">
      <w:pPr>
        <w:pStyle w:val="AfterTable"/>
      </w:pPr>
    </w:p>
    <w:p w14:paraId="66190A41" w14:textId="77777777" w:rsidR="008307EC" w:rsidRDefault="00A6725D" w:rsidP="006877D8">
      <w:pPr>
        <w:pStyle w:val="SectionSubheading"/>
        <w:rPr>
          <w:rFonts w:eastAsia="PMingLiU" w:hint="eastAsia"/>
        </w:rPr>
      </w:pPr>
      <w:r>
        <w:rPr>
          <w:rFonts w:eastAsia="PMingLiU"/>
        </w:rPr>
        <w:t>4</w:t>
      </w:r>
      <w:r w:rsidR="00EB2EF0">
        <w:rPr>
          <w:rFonts w:eastAsia="PMingLiU"/>
        </w:rPr>
        <w:t xml:space="preserve">(b) </w:t>
      </w:r>
      <w:r w:rsidR="006C2C63">
        <w:rPr>
          <w:rFonts w:eastAsia="PMingLiU"/>
        </w:rPr>
        <w:t>Information Requested</w:t>
      </w:r>
    </w:p>
    <w:p w14:paraId="7B866A8F" w14:textId="70CCCBC0" w:rsidR="00DC616E" w:rsidRDefault="00EB2EF0" w:rsidP="005148F1">
      <w:pPr>
        <w:pStyle w:val="Paragraph"/>
      </w:pPr>
      <w:r w:rsidRPr="003D4DCE">
        <w:rPr>
          <w:rFonts w:eastAsia="PMingLiU"/>
        </w:rPr>
        <w:t xml:space="preserve">(i) </w:t>
      </w:r>
      <w:r w:rsidR="008307EC" w:rsidRPr="003D4DCE">
        <w:rPr>
          <w:rStyle w:val="Underline"/>
          <w:rFonts w:eastAsia="PMingLiU"/>
        </w:rPr>
        <w:t xml:space="preserve">Data </w:t>
      </w:r>
      <w:r w:rsidR="006877D8" w:rsidRPr="003D4DCE">
        <w:rPr>
          <w:rStyle w:val="Underline"/>
          <w:rFonts w:eastAsia="PMingLiU"/>
        </w:rPr>
        <w:t>Items</w:t>
      </w:r>
      <w:r w:rsidRPr="003D4DCE">
        <w:rPr>
          <w:rFonts w:eastAsia="PMingLiU"/>
        </w:rPr>
        <w:t>.</w:t>
      </w:r>
      <w:r w:rsidR="00E40053">
        <w:rPr>
          <w:rFonts w:eastAsia="PMingLiU"/>
        </w:rPr>
        <w:t xml:space="preserve"> </w:t>
      </w:r>
      <w:r w:rsidR="00496501">
        <w:t>T</w:t>
      </w:r>
      <w:r w:rsidR="00F4032C">
        <w:t xml:space="preserve">he information proposed to be collected under the revisions includes </w:t>
      </w:r>
      <w:r w:rsidR="008613DA">
        <w:t>nine</w:t>
      </w:r>
      <w:r w:rsidRPr="00C86450">
        <w:t xml:space="preserve"> new </w:t>
      </w:r>
      <w:r w:rsidR="008613DA">
        <w:t xml:space="preserve">and substantially revised </w:t>
      </w:r>
      <w:r w:rsidRPr="00C86450">
        <w:t>data elements</w:t>
      </w:r>
      <w:r w:rsidRPr="003D4DCE">
        <w:t xml:space="preserve">. </w:t>
      </w:r>
      <w:r w:rsidR="008613DA">
        <w:t>The data elements are: (1) t</w:t>
      </w:r>
      <w:r w:rsidR="008613DA" w:rsidRPr="000D3AF4">
        <w:t>he number of complete equipment leak surveys performed during the calendar yea</w:t>
      </w:r>
      <w:r w:rsidR="008613DA">
        <w:t>r; (2) w</w:t>
      </w:r>
      <w:r w:rsidR="008613DA" w:rsidRPr="000D3AF4">
        <w:t xml:space="preserve">hether any equipment leak component types </w:t>
      </w:r>
      <w:r w:rsidR="008613DA">
        <w:t>are</w:t>
      </w:r>
      <w:r w:rsidR="008613DA" w:rsidRPr="000D3AF4">
        <w:t xml:space="preserve"> subject to </w:t>
      </w:r>
      <w:r w:rsidR="005148F1">
        <w:t>the NSPS</w:t>
      </w:r>
      <w:r w:rsidR="008613DA" w:rsidRPr="000D3AF4">
        <w:t xml:space="preserve"> subpart </w:t>
      </w:r>
      <w:proofErr w:type="spellStart"/>
      <w:r w:rsidR="008613DA" w:rsidRPr="000D3AF4">
        <w:t>OOOOa</w:t>
      </w:r>
      <w:proofErr w:type="spellEnd"/>
      <w:r w:rsidR="008613DA">
        <w:t xml:space="preserve">; (3) whether you elected to report to subpart W using the equipment leak survey methodology; (4) the method(s) in 40 CFR 98.234(a) used to conduct the leak survey; (5) component type; (6) the number of each type of component </w:t>
      </w:r>
      <w:r w:rsidR="008613DA">
        <w:lastRenderedPageBreak/>
        <w:t>identified as leaking; (7) the average time each type of surveyed components are assumed to be leaking and operational; (8) annual CO</w:t>
      </w:r>
      <w:r w:rsidR="008613DA" w:rsidRPr="00190027">
        <w:rPr>
          <w:rStyle w:val="Subscript"/>
        </w:rPr>
        <w:t>2</w:t>
      </w:r>
      <w:r w:rsidR="008613DA">
        <w:t xml:space="preserve"> emissions by component type; and (9) annual CH</w:t>
      </w:r>
      <w:r w:rsidR="008613DA" w:rsidRPr="00190027">
        <w:rPr>
          <w:rStyle w:val="Subscript"/>
        </w:rPr>
        <w:t>4</w:t>
      </w:r>
      <w:r w:rsidR="008613DA">
        <w:t xml:space="preserve"> emissions by component type.</w:t>
      </w:r>
    </w:p>
    <w:p w14:paraId="1281EE7B" w14:textId="460A1A56" w:rsidR="00DC616E" w:rsidRDefault="00DC616E" w:rsidP="00DC616E">
      <w:pPr>
        <w:pStyle w:val="Paragraph"/>
      </w:pPr>
      <w:r w:rsidRPr="00DE5609">
        <w:t>The final confidentiality determinations the EPA has previously made for the remainder of the subpart W data elements are unaffected by the proposed amendments and continue to apply. For information on confidentiality determinations for the GHGRP and subpart W data elements, see: 75 FR 39094, July 7, 2010; 76 FR 30782, May 26, 2011; 77 FR 48072, August 13, 2012; 79 FR 63750, October 24, 2014; 79 FR 70385, November 25, 2014; and 80 FR 64262, October 22, 2015.</w:t>
      </w:r>
    </w:p>
    <w:p w14:paraId="53BEEEF4" w14:textId="08DD11E2" w:rsidR="00DC616E" w:rsidRDefault="008307EC" w:rsidP="00AB0655">
      <w:pPr>
        <w:pStyle w:val="Paragraph"/>
        <w:rPr>
          <w:rFonts w:eastAsia="PMingLiU"/>
        </w:rPr>
      </w:pPr>
      <w:r w:rsidRPr="00C01597">
        <w:rPr>
          <w:rFonts w:eastAsia="PMingLiU"/>
        </w:rPr>
        <w:t>(ii)</w:t>
      </w:r>
      <w:r w:rsidR="00EB2EF0">
        <w:rPr>
          <w:rFonts w:eastAsia="PMingLiU"/>
        </w:rPr>
        <w:t xml:space="preserve"> </w:t>
      </w:r>
      <w:r w:rsidRPr="006877D8">
        <w:rPr>
          <w:rStyle w:val="Underline"/>
          <w:rFonts w:eastAsia="PMingLiU"/>
        </w:rPr>
        <w:t xml:space="preserve">Respondent </w:t>
      </w:r>
      <w:r w:rsidR="006877D8" w:rsidRPr="006877D8">
        <w:rPr>
          <w:rStyle w:val="Underline"/>
          <w:rFonts w:eastAsia="PMingLiU"/>
        </w:rPr>
        <w:t>Activities</w:t>
      </w:r>
      <w:r w:rsidR="00EB2EF0" w:rsidRPr="00EB2EF0">
        <w:rPr>
          <w:rFonts w:eastAsia="PMingLiU"/>
        </w:rPr>
        <w:t xml:space="preserve">. </w:t>
      </w:r>
      <w:r w:rsidR="00DC616E">
        <w:rPr>
          <w:rFonts w:eastAsia="PMingLiU"/>
        </w:rPr>
        <w:t xml:space="preserve">These </w:t>
      </w:r>
      <w:r w:rsidR="00E575A7">
        <w:t xml:space="preserve">proposed </w:t>
      </w:r>
      <w:r w:rsidR="00DC616E">
        <w:rPr>
          <w:rFonts w:eastAsia="PMingLiU"/>
        </w:rPr>
        <w:t xml:space="preserve">amendments are expected to </w:t>
      </w:r>
      <w:r w:rsidR="00473F55">
        <w:rPr>
          <w:rFonts w:eastAsia="PMingLiU"/>
        </w:rPr>
        <w:t>result in new</w:t>
      </w:r>
      <w:r w:rsidR="00697194">
        <w:rPr>
          <w:rFonts w:eastAsia="PMingLiU"/>
        </w:rPr>
        <w:t xml:space="preserve"> respondent activities for </w:t>
      </w:r>
      <w:r w:rsidR="00DC616E">
        <w:rPr>
          <w:rFonts w:eastAsia="PMingLiU"/>
        </w:rPr>
        <w:t xml:space="preserve">facilities </w:t>
      </w:r>
      <w:r w:rsidR="00473F55">
        <w:rPr>
          <w:rFonts w:eastAsia="PMingLiU"/>
        </w:rPr>
        <w:t xml:space="preserve">covered by </w:t>
      </w:r>
      <w:r w:rsidR="00D85E2D">
        <w:rPr>
          <w:rFonts w:eastAsia="PMingLiU"/>
        </w:rPr>
        <w:t xml:space="preserve">subpart W. However, </w:t>
      </w:r>
      <w:r w:rsidR="00473F55">
        <w:rPr>
          <w:rFonts w:eastAsia="PMingLiU"/>
        </w:rPr>
        <w:t xml:space="preserve">these </w:t>
      </w:r>
      <w:r w:rsidR="00D85E2D">
        <w:rPr>
          <w:rFonts w:eastAsia="PMingLiU"/>
        </w:rPr>
        <w:t xml:space="preserve">respondent activities will only </w:t>
      </w:r>
      <w:r w:rsidR="00473F55">
        <w:rPr>
          <w:rFonts w:eastAsia="PMingLiU"/>
        </w:rPr>
        <w:t>increase costs for facilities in</w:t>
      </w:r>
      <w:r w:rsidR="00D85E2D">
        <w:rPr>
          <w:rFonts w:eastAsia="PMingLiU"/>
        </w:rPr>
        <w:t xml:space="preserve"> </w:t>
      </w:r>
      <w:r w:rsidR="00DC616E">
        <w:rPr>
          <w:rFonts w:eastAsia="PMingLiU"/>
        </w:rPr>
        <w:t xml:space="preserve">two industry segments, </w:t>
      </w:r>
      <w:r w:rsidR="00DC616E">
        <w:t xml:space="preserve">Onshore Petroleum and Natural Gas Production and Onshore Petroleum and Natural Gas Gathering and Boosting. </w:t>
      </w:r>
      <w:r w:rsidR="002605CD">
        <w:t>To</w:t>
      </w:r>
      <w:r w:rsidR="002605CD" w:rsidRPr="00075925">
        <w:t xml:space="preserve"> </w:t>
      </w:r>
      <w:r w:rsidR="002605CD">
        <w:t xml:space="preserve">accommodate the new methods and emission factors added by these proposed amendments, the EPA expects that </w:t>
      </w:r>
      <w:r w:rsidR="00AB0655">
        <w:t xml:space="preserve">each </w:t>
      </w:r>
      <w:r w:rsidR="002605CD">
        <w:t>facilit</w:t>
      </w:r>
      <w:r w:rsidR="00AB0655">
        <w:t>y</w:t>
      </w:r>
      <w:r w:rsidR="002605CD">
        <w:t xml:space="preserve"> </w:t>
      </w:r>
      <w:r w:rsidR="00473F55">
        <w:t xml:space="preserve">in these two industry segments </w:t>
      </w:r>
      <w:r w:rsidR="002605CD">
        <w:t>would</w:t>
      </w:r>
      <w:r w:rsidR="00AB0655">
        <w:t xml:space="preserve"> update the facility-specific calculation mechanism when </w:t>
      </w:r>
      <w:r w:rsidR="00344CFE">
        <w:t xml:space="preserve">and if </w:t>
      </w:r>
      <w:r w:rsidR="00AB0655">
        <w:t xml:space="preserve">the facility becomes subject to the NSPS subpart </w:t>
      </w:r>
      <w:proofErr w:type="spellStart"/>
      <w:r w:rsidR="00AB0655">
        <w:t>OOOOa</w:t>
      </w:r>
      <w:proofErr w:type="spellEnd"/>
      <w:r w:rsidR="00DC616E">
        <w:t>.</w:t>
      </w:r>
    </w:p>
    <w:p w14:paraId="6E56C8CB" w14:textId="2403AF72" w:rsidR="008307EC" w:rsidRDefault="00DC616E" w:rsidP="00473F55">
      <w:pPr>
        <w:pStyle w:val="Paragraph"/>
      </w:pPr>
      <w:r>
        <w:rPr>
          <w:rFonts w:eastAsia="PMingLiU"/>
        </w:rPr>
        <w:t xml:space="preserve">These </w:t>
      </w:r>
      <w:r w:rsidR="00E575A7">
        <w:rPr>
          <w:rFonts w:eastAsia="PMingLiU"/>
        </w:rPr>
        <w:t xml:space="preserve">proposed </w:t>
      </w:r>
      <w:r>
        <w:rPr>
          <w:rFonts w:eastAsia="PMingLiU"/>
        </w:rPr>
        <w:t xml:space="preserve">amendments </w:t>
      </w:r>
      <w:r w:rsidR="00E575A7">
        <w:rPr>
          <w:rFonts w:eastAsia="PMingLiU"/>
        </w:rPr>
        <w:t>would</w:t>
      </w:r>
      <w:r>
        <w:rPr>
          <w:rFonts w:eastAsia="PMingLiU"/>
        </w:rPr>
        <w:t xml:space="preserve"> not </w:t>
      </w:r>
      <w:r w:rsidR="00473F55">
        <w:rPr>
          <w:rFonts w:eastAsia="PMingLiU"/>
        </w:rPr>
        <w:t xml:space="preserve">change </w:t>
      </w:r>
      <w:r>
        <w:rPr>
          <w:rFonts w:eastAsia="PMingLiU"/>
        </w:rPr>
        <w:t xml:space="preserve">the respondent activities already established under subpart W. </w:t>
      </w:r>
      <w:r w:rsidR="00EB2EF0">
        <w:t>The owner or operator of a facility that is subject to the subpart W reporting requirements must</w:t>
      </w:r>
      <w:r>
        <w:t xml:space="preserve"> continue to</w:t>
      </w:r>
      <w:r w:rsidR="00EB2EF0">
        <w:t xml:space="preserve"> report total annual GHG emissions. The primary tasks that reporting program respondents perform </w:t>
      </w:r>
      <w:r>
        <w:t xml:space="preserve">continue to </w:t>
      </w:r>
      <w:r w:rsidR="00637EB4" w:rsidRPr="00063F66">
        <w:t>include:</w:t>
      </w:r>
    </w:p>
    <w:p w14:paraId="12620CD5" w14:textId="77777777" w:rsidR="00EB2EF0" w:rsidRPr="00EB2EF0" w:rsidRDefault="00637EB4" w:rsidP="00B8030B">
      <w:pPr>
        <w:pStyle w:val="ListNumber3"/>
        <w:tabs>
          <w:tab w:val="clear" w:pos="1440"/>
        </w:tabs>
        <w:rPr>
          <w:rFonts w:eastAsia="PMingLiU"/>
        </w:rPr>
      </w:pPr>
      <w:r w:rsidRPr="00063F66">
        <w:t>Implement</w:t>
      </w:r>
      <w:r>
        <w:t>ing</w:t>
      </w:r>
      <w:r w:rsidRPr="00063F66">
        <w:t xml:space="preserve"> and updat</w:t>
      </w:r>
      <w:r>
        <w:t>ing</w:t>
      </w:r>
      <w:r w:rsidR="00EB2EF0">
        <w:t>, as necessary, appropriate monitoring plans for each affected source and each affected unit at a source, as applicable;</w:t>
      </w:r>
    </w:p>
    <w:p w14:paraId="56930F3C" w14:textId="77777777" w:rsidR="00EB2EF0" w:rsidRPr="00EB2EF0" w:rsidRDefault="00637EB4" w:rsidP="00B8030B">
      <w:pPr>
        <w:pStyle w:val="ListNumber3"/>
        <w:tabs>
          <w:tab w:val="clear" w:pos="1440"/>
        </w:tabs>
        <w:rPr>
          <w:rFonts w:eastAsia="PMingLiU"/>
        </w:rPr>
      </w:pPr>
      <w:r>
        <w:t>Conducting o</w:t>
      </w:r>
      <w:r w:rsidRPr="00063F66">
        <w:t xml:space="preserve">peration </w:t>
      </w:r>
      <w:r w:rsidR="00EB2EF0">
        <w:t>and maintenance activities associated with the monitoring, including quality assurance activities;</w:t>
      </w:r>
    </w:p>
    <w:p w14:paraId="62BC520D" w14:textId="77777777" w:rsidR="00EB2EF0" w:rsidRPr="00EB2EF0" w:rsidRDefault="00EB2EF0" w:rsidP="00B8030B">
      <w:pPr>
        <w:pStyle w:val="ListNumber3"/>
        <w:tabs>
          <w:tab w:val="clear" w:pos="1440"/>
        </w:tabs>
        <w:rPr>
          <w:rFonts w:eastAsia="PMingLiU"/>
        </w:rPr>
      </w:pPr>
      <w:r>
        <w:t xml:space="preserve">Ensuring data quality, preparing annual reports of emissions data, and submitting these reports to </w:t>
      </w:r>
      <w:r w:rsidR="00766D4D">
        <w:t xml:space="preserve">the </w:t>
      </w:r>
      <w:r>
        <w:t>EPA;</w:t>
      </w:r>
    </w:p>
    <w:p w14:paraId="6DA4B415" w14:textId="77777777" w:rsidR="00EB2EF0" w:rsidRPr="00EB2EF0" w:rsidRDefault="00EB2EF0" w:rsidP="00B8030B">
      <w:pPr>
        <w:pStyle w:val="ListNumber3"/>
        <w:tabs>
          <w:tab w:val="clear" w:pos="1440"/>
        </w:tabs>
        <w:rPr>
          <w:rFonts w:eastAsia="PMingLiU"/>
        </w:rPr>
      </w:pPr>
      <w:r>
        <w:t xml:space="preserve">Potentially responding to questions or error messages from </w:t>
      </w:r>
      <w:r w:rsidR="00766D4D">
        <w:t xml:space="preserve">the </w:t>
      </w:r>
      <w:r>
        <w:t>EPA; and</w:t>
      </w:r>
    </w:p>
    <w:p w14:paraId="629D7107" w14:textId="4F654BE2" w:rsidR="00EB2EF0" w:rsidRPr="00EB2EF0" w:rsidRDefault="00EB2EF0" w:rsidP="000A3CB1">
      <w:pPr>
        <w:pStyle w:val="ListNumber3"/>
        <w:tabs>
          <w:tab w:val="clear" w:pos="1440"/>
        </w:tabs>
        <w:rPr>
          <w:rFonts w:eastAsia="PMingLiU"/>
        </w:rPr>
      </w:pPr>
      <w:r>
        <w:t xml:space="preserve">Maintaining records for a minimum of </w:t>
      </w:r>
      <w:r w:rsidR="000A3CB1">
        <w:t>3</w:t>
      </w:r>
      <w:r>
        <w:t xml:space="preserve"> years.</w:t>
      </w:r>
    </w:p>
    <w:p w14:paraId="4D060CDB" w14:textId="77777777" w:rsidR="00EB2EF0" w:rsidRDefault="00EB2EF0" w:rsidP="0013652B">
      <w:pPr>
        <w:pStyle w:val="Paragraph"/>
      </w:pPr>
      <w:r>
        <w:t>Respondents that use CEMS also conduct tests to certify the operations of monitors, submit the results of t</w:t>
      </w:r>
      <w:r w:rsidR="00637EB4">
        <w:t>hese tests, and record emission</w:t>
      </w:r>
      <w:r>
        <w:t xml:space="preserve"> data (this activity generally is performed electronically).</w:t>
      </w:r>
    </w:p>
    <w:p w14:paraId="7C281C4D" w14:textId="77777777" w:rsidR="00EB2EF0" w:rsidRDefault="00EB2EF0" w:rsidP="00B8030B">
      <w:pPr>
        <w:pStyle w:val="Paragraph"/>
      </w:pPr>
      <w:r>
        <w:t xml:space="preserve">Reports must present the annual mass GHG emissions from each subpart W industry segment separately. </w:t>
      </w:r>
      <w:r w:rsidR="00A22D54">
        <w:t xml:space="preserve">Reporters are required to provide </w:t>
      </w:r>
      <w:r w:rsidR="00A22D54" w:rsidRPr="00A22D54">
        <w:t xml:space="preserve">emissions in </w:t>
      </w:r>
      <w:r w:rsidRPr="00A22D54">
        <w:t>metric tons of methane (CH</w:t>
      </w:r>
      <w:r w:rsidRPr="00A22D54">
        <w:rPr>
          <w:rStyle w:val="Subscript"/>
        </w:rPr>
        <w:t>4</w:t>
      </w:r>
      <w:r w:rsidRPr="00A22D54">
        <w:t xml:space="preserve">), </w:t>
      </w:r>
      <w:r w:rsidRPr="00A22D54">
        <w:lastRenderedPageBreak/>
        <w:t>CO</w:t>
      </w:r>
      <w:r w:rsidRPr="00A22D54">
        <w:rPr>
          <w:rStyle w:val="Subscript"/>
        </w:rPr>
        <w:t>2</w:t>
      </w:r>
      <w:r w:rsidRPr="00A22D54">
        <w:t>, and nitrous oxide (N</w:t>
      </w:r>
      <w:r w:rsidRPr="00A22D54">
        <w:rPr>
          <w:rStyle w:val="Subscript"/>
        </w:rPr>
        <w:t>2</w:t>
      </w:r>
      <w:r w:rsidRPr="00A22D54">
        <w:t>O)</w:t>
      </w:r>
      <w:r w:rsidR="00A22D54" w:rsidRPr="00A22D54">
        <w:t xml:space="preserve"> for some sources and </w:t>
      </w:r>
      <w:r w:rsidRPr="00A22D54">
        <w:t>in metric tons of CO</w:t>
      </w:r>
      <w:r w:rsidRPr="00A22D54">
        <w:rPr>
          <w:rStyle w:val="Subscript"/>
        </w:rPr>
        <w:t>2</w:t>
      </w:r>
      <w:r w:rsidRPr="00A22D54">
        <w:t>e</w:t>
      </w:r>
      <w:r w:rsidR="00A22D54" w:rsidRPr="00A22D54">
        <w:t xml:space="preserve"> for other sources</w:t>
      </w:r>
      <w:r w:rsidRPr="00A22D54">
        <w:t>. The</w:t>
      </w:r>
      <w:r>
        <w:t xml:space="preserve"> calculations used to determine GHG emissions, the frequency at which those calculations are required, </w:t>
      </w:r>
      <w:r w:rsidR="00637EB4">
        <w:t xml:space="preserve">and </w:t>
      </w:r>
      <w:r>
        <w:t>the methods used to estimate missing data depend on the specific subpart W industry segment.</w:t>
      </w:r>
    </w:p>
    <w:p w14:paraId="29D2A1A5" w14:textId="246E8C15" w:rsidR="00637EB4" w:rsidRPr="001A6847" w:rsidRDefault="00637EB4" w:rsidP="0026570B">
      <w:pPr>
        <w:pStyle w:val="Paragraph"/>
        <w:rPr>
          <w:rFonts w:eastAsia="PMingLiU"/>
        </w:rPr>
      </w:pPr>
      <w:r w:rsidRPr="001A6847">
        <w:t>(</w:t>
      </w:r>
      <w:proofErr w:type="gramStart"/>
      <w:r w:rsidRPr="001A6847">
        <w:t>iii</w:t>
      </w:r>
      <w:proofErr w:type="gramEnd"/>
      <w:r w:rsidRPr="001A6847">
        <w:t xml:space="preserve">) </w:t>
      </w:r>
      <w:r w:rsidRPr="001A6847">
        <w:rPr>
          <w:rStyle w:val="Underline"/>
        </w:rPr>
        <w:t>Electronic Reporting</w:t>
      </w:r>
      <w:r w:rsidRPr="001A6847">
        <w:t xml:space="preserve">. </w:t>
      </w:r>
      <w:r w:rsidRPr="001A6847">
        <w:rPr>
          <w:rFonts w:eastAsia="Calibri"/>
        </w:rPr>
        <w:t xml:space="preserve">Respondents report all data electronically through the Electronic Greenhouse Gas Reporting Tool (e-GGRT). All new data elements </w:t>
      </w:r>
      <w:r w:rsidR="0026570B">
        <w:rPr>
          <w:rFonts w:eastAsia="Calibri"/>
        </w:rPr>
        <w:t>would</w:t>
      </w:r>
      <w:r w:rsidR="0026570B" w:rsidRPr="001A6847">
        <w:rPr>
          <w:rFonts w:eastAsia="Calibri"/>
        </w:rPr>
        <w:t xml:space="preserve"> </w:t>
      </w:r>
      <w:r w:rsidRPr="001A6847">
        <w:rPr>
          <w:rFonts w:eastAsia="Calibri"/>
        </w:rPr>
        <w:t xml:space="preserve">be reported in the same way. As the e-GGRT accounts are already established, the only burden related to electronic reporting </w:t>
      </w:r>
      <w:r w:rsidR="0026570B">
        <w:rPr>
          <w:rFonts w:eastAsia="Calibri"/>
        </w:rPr>
        <w:t>would</w:t>
      </w:r>
      <w:r w:rsidR="0026570B" w:rsidRPr="001A6847">
        <w:rPr>
          <w:rFonts w:eastAsia="Calibri"/>
        </w:rPr>
        <w:t xml:space="preserve"> </w:t>
      </w:r>
      <w:r w:rsidRPr="001A6847">
        <w:rPr>
          <w:rFonts w:eastAsia="Calibri"/>
        </w:rPr>
        <w:t>be entering the data elements</w:t>
      </w:r>
      <w:r w:rsidR="00E94359" w:rsidRPr="001A6847">
        <w:rPr>
          <w:rFonts w:eastAsia="Calibri"/>
        </w:rPr>
        <w:t>.</w:t>
      </w:r>
    </w:p>
    <w:p w14:paraId="10901188" w14:textId="77777777" w:rsidR="006B6090" w:rsidRPr="006B6090" w:rsidRDefault="006B6090" w:rsidP="006B6090">
      <w:pPr>
        <w:pStyle w:val="Paragraph"/>
        <w:rPr>
          <w:rFonts w:eastAsia="PMingLiU"/>
        </w:rPr>
      </w:pPr>
      <w:r>
        <w:rPr>
          <w:rFonts w:eastAsia="PMingLiU" w:hint="eastAsia"/>
        </w:rPr>
        <w:br w:type="page"/>
      </w:r>
    </w:p>
    <w:p w14:paraId="01FD590A" w14:textId="77777777" w:rsidR="008307EC" w:rsidRDefault="008307EC" w:rsidP="00B8030B">
      <w:pPr>
        <w:pStyle w:val="SectionHeading"/>
        <w:rPr>
          <w:rFonts w:eastAsia="PMingLiU" w:hint="eastAsia"/>
        </w:rPr>
      </w:pPr>
      <w:r w:rsidRPr="00A6725D">
        <w:rPr>
          <w:rFonts w:eastAsia="PMingLiU"/>
        </w:rPr>
        <w:lastRenderedPageBreak/>
        <w:t>5.</w:t>
      </w:r>
      <w:r w:rsidRPr="00A6725D">
        <w:rPr>
          <w:rFonts w:eastAsia="PMingLiU"/>
        </w:rPr>
        <w:tab/>
        <w:t>The Information Collected</w:t>
      </w:r>
      <w:r w:rsidR="00EB2EF0">
        <w:rPr>
          <w:rFonts w:eastAsia="PMingLiU"/>
        </w:rPr>
        <w:t xml:space="preserve"> </w:t>
      </w:r>
      <w:r w:rsidRPr="00A6725D">
        <w:rPr>
          <w:rFonts w:eastAsia="PMingLiU"/>
        </w:rPr>
        <w:t>--</w:t>
      </w:r>
      <w:r w:rsidR="00EB2EF0">
        <w:rPr>
          <w:rFonts w:eastAsia="PMingLiU"/>
        </w:rPr>
        <w:t xml:space="preserve"> </w:t>
      </w:r>
      <w:r w:rsidRPr="00A6725D">
        <w:rPr>
          <w:rFonts w:eastAsia="PMingLiU"/>
        </w:rPr>
        <w:t>Agency Activities, Collection Method</w:t>
      </w:r>
      <w:r w:rsidR="00EB2EF0">
        <w:rPr>
          <w:rFonts w:eastAsia="PMingLiU"/>
        </w:rPr>
        <w:t>s,</w:t>
      </w:r>
      <w:r w:rsidR="0052460B">
        <w:rPr>
          <w:rFonts w:eastAsia="PMingLiU"/>
        </w:rPr>
        <w:t xml:space="preserve"> and</w:t>
      </w:r>
      <w:r w:rsidRPr="00A6725D">
        <w:rPr>
          <w:rFonts w:eastAsia="PMingLiU"/>
        </w:rPr>
        <w:t xml:space="preserve"> Information Management</w:t>
      </w:r>
    </w:p>
    <w:p w14:paraId="6F4D84CF" w14:textId="77777777" w:rsidR="008307EC" w:rsidRPr="00A22ECC" w:rsidRDefault="00A6725D" w:rsidP="00A22ECC">
      <w:pPr>
        <w:pStyle w:val="SectionSubheading"/>
        <w:rPr>
          <w:rFonts w:eastAsia="PMingLiU" w:hint="eastAsia"/>
        </w:rPr>
      </w:pPr>
      <w:r w:rsidRPr="00A22ECC">
        <w:rPr>
          <w:rFonts w:eastAsia="PMingLiU"/>
        </w:rPr>
        <w:t>5</w:t>
      </w:r>
      <w:r w:rsidR="00EB2EF0" w:rsidRPr="00A22ECC">
        <w:rPr>
          <w:rFonts w:eastAsia="PMingLiU"/>
        </w:rPr>
        <w:t xml:space="preserve">(a) </w:t>
      </w:r>
      <w:r w:rsidR="008307EC" w:rsidRPr="00A22ECC">
        <w:rPr>
          <w:rFonts w:eastAsia="PMingLiU"/>
        </w:rPr>
        <w:t>Agency Activities</w:t>
      </w:r>
    </w:p>
    <w:p w14:paraId="0BECF18A" w14:textId="77777777" w:rsidR="00EB2EF0" w:rsidRDefault="00EB2EF0" w:rsidP="0013652B">
      <w:pPr>
        <w:pStyle w:val="Paragraph"/>
      </w:pPr>
      <w:r>
        <w:t>EPA Headquarters activities include the monitoring and verification of emission reports, database and software maintenance, communication and outreach, and program evaluation.</w:t>
      </w:r>
    </w:p>
    <w:p w14:paraId="1BFAFAC0" w14:textId="4000D746" w:rsidR="008307EC" w:rsidRDefault="00EB2EF0" w:rsidP="00F4032C">
      <w:pPr>
        <w:pStyle w:val="Paragraph"/>
        <w:rPr>
          <w:rFonts w:eastAsia="PMingLiU"/>
        </w:rPr>
      </w:pPr>
      <w:r>
        <w:t xml:space="preserve">This ICR </w:t>
      </w:r>
      <w:r w:rsidR="00664EBC">
        <w:t xml:space="preserve">does not </w:t>
      </w:r>
      <w:r>
        <w:t>reflect an incremental agency burden for program operation activities</w:t>
      </w:r>
      <w:r w:rsidR="00664EBC">
        <w:t xml:space="preserve"> related to the review of the </w:t>
      </w:r>
      <w:r w:rsidR="00E777E0">
        <w:t xml:space="preserve">proposed </w:t>
      </w:r>
      <w:r w:rsidR="00DC616E">
        <w:t>nine</w:t>
      </w:r>
      <w:r w:rsidR="00664EBC">
        <w:t xml:space="preserve"> new </w:t>
      </w:r>
      <w:r w:rsidR="002605CD">
        <w:t xml:space="preserve">and substantially revised </w:t>
      </w:r>
      <w:r w:rsidR="00664EBC">
        <w:t xml:space="preserve">data elements because this burden is expected to be </w:t>
      </w:r>
      <w:r w:rsidR="00DC616E">
        <w:t xml:space="preserve">insignificant when compared to the </w:t>
      </w:r>
      <w:r w:rsidR="00F4032C">
        <w:t>a</w:t>
      </w:r>
      <w:r w:rsidR="00DC616E">
        <w:t>gency burden already established for subpart W activities</w:t>
      </w:r>
      <w:r w:rsidRPr="00664EBC">
        <w:t>.</w:t>
      </w:r>
    </w:p>
    <w:p w14:paraId="06725366" w14:textId="77777777" w:rsidR="008307EC" w:rsidRPr="00A22ECC" w:rsidRDefault="00A6725D" w:rsidP="00A22ECC">
      <w:pPr>
        <w:pStyle w:val="SectionSubheading"/>
        <w:rPr>
          <w:rFonts w:eastAsia="PMingLiU" w:hint="eastAsia"/>
        </w:rPr>
      </w:pPr>
      <w:r w:rsidRPr="00A22ECC">
        <w:rPr>
          <w:rFonts w:eastAsia="PMingLiU"/>
        </w:rPr>
        <w:t>5</w:t>
      </w:r>
      <w:r w:rsidR="00EB2EF0" w:rsidRPr="00A22ECC">
        <w:rPr>
          <w:rFonts w:eastAsia="PMingLiU"/>
        </w:rPr>
        <w:t xml:space="preserve">(b) </w:t>
      </w:r>
      <w:r w:rsidR="008307EC" w:rsidRPr="00A22ECC">
        <w:rPr>
          <w:rFonts w:eastAsia="PMingLiU"/>
        </w:rPr>
        <w:t>Collection Methodology and Management</w:t>
      </w:r>
    </w:p>
    <w:p w14:paraId="6AF613A5" w14:textId="518624E6" w:rsidR="00EB2EF0" w:rsidRDefault="00EB2EF0" w:rsidP="00344416">
      <w:pPr>
        <w:pStyle w:val="Paragraph"/>
      </w:pPr>
      <w:r>
        <w:t xml:space="preserve">To collect data currently reported under the GHGRP, </w:t>
      </w:r>
      <w:r w:rsidR="00766D4D">
        <w:t xml:space="preserve">the </w:t>
      </w:r>
      <w:r>
        <w:t xml:space="preserve">EPA previously established a central repository of inventory data for all respondents called e-GGRT. Respondents report data electronically, and </w:t>
      </w:r>
      <w:r w:rsidR="00766D4D">
        <w:t xml:space="preserve">the </w:t>
      </w:r>
      <w:r>
        <w:t xml:space="preserve">EPA stores the data in the database. The e-GGRT system </w:t>
      </w:r>
      <w:r w:rsidR="00637EB4" w:rsidRPr="00FE1D9D">
        <w:rPr>
          <w:rFonts w:eastAsia="Calibri"/>
        </w:rPr>
        <w:t xml:space="preserve">provides a user interface for entering the GHG data and also </w:t>
      </w:r>
      <w:r>
        <w:t xml:space="preserve">has an XML reporting schema that allows facilities to upload GHG data directly. Under the revisions to Part 98, facilities subject to subpart W listed in </w:t>
      </w:r>
      <w:r w:rsidR="00A22D54">
        <w:t>S</w:t>
      </w:r>
      <w:r>
        <w:t xml:space="preserve">ection 4(a) would report the new </w:t>
      </w:r>
      <w:r w:rsidR="00E777E0">
        <w:t xml:space="preserve">and substantially revised </w:t>
      </w:r>
      <w:r>
        <w:t>data elements via e-GGRT.</w:t>
      </w:r>
    </w:p>
    <w:p w14:paraId="7D5C857E" w14:textId="7B4F6381" w:rsidR="008307EC" w:rsidRDefault="00EB2EF0" w:rsidP="00F4032C">
      <w:pPr>
        <w:pStyle w:val="Paragraph"/>
        <w:rPr>
          <w:rFonts w:eastAsia="PMingLiU"/>
        </w:rPr>
      </w:pPr>
      <w:r>
        <w:t xml:space="preserve">The e-GGRT system follows </w:t>
      </w:r>
      <w:r w:rsidR="00F4032C">
        <w:t>a</w:t>
      </w:r>
      <w:r>
        <w:t xml:space="preserve">gency standards for design, security, data element and reporting format conformance, and accessibility. </w:t>
      </w:r>
      <w:r w:rsidR="00766D4D">
        <w:t xml:space="preserve">The </w:t>
      </w:r>
      <w:r>
        <w:t>EPA designed the system to minimize respondents</w:t>
      </w:r>
      <w:r w:rsidR="0087379B">
        <w:t>’</w:t>
      </w:r>
      <w:r>
        <w:t xml:space="preserve"> burden by integrating the new reporting requirements with existing data collection and data management systems, when feasible.</w:t>
      </w:r>
    </w:p>
    <w:p w14:paraId="617A29FC" w14:textId="77777777" w:rsidR="008307EC" w:rsidRPr="00A22ECC" w:rsidRDefault="00A6725D" w:rsidP="00A22ECC">
      <w:pPr>
        <w:pStyle w:val="SectionSubheading"/>
        <w:rPr>
          <w:rFonts w:eastAsia="PMingLiU" w:hint="eastAsia"/>
        </w:rPr>
      </w:pPr>
      <w:r w:rsidRPr="00A22ECC">
        <w:rPr>
          <w:rFonts w:eastAsia="PMingLiU"/>
        </w:rPr>
        <w:t>5</w:t>
      </w:r>
      <w:r w:rsidR="00EB2EF0" w:rsidRPr="00A22ECC">
        <w:rPr>
          <w:rFonts w:eastAsia="PMingLiU"/>
        </w:rPr>
        <w:t xml:space="preserve">(c) </w:t>
      </w:r>
      <w:r w:rsidR="009230F1" w:rsidRPr="00A22ECC">
        <w:rPr>
          <w:rFonts w:eastAsia="PMingLiU"/>
        </w:rPr>
        <w:t>Small Entity Flexibility</w:t>
      </w:r>
    </w:p>
    <w:p w14:paraId="53F25C0A" w14:textId="4AA68123" w:rsidR="00776877" w:rsidRDefault="00935591" w:rsidP="00AB0655">
      <w:pPr>
        <w:pStyle w:val="Paragraph"/>
      </w:pPr>
      <w:r>
        <w:t>The EPA has determined that some small businesses would be affected</w:t>
      </w:r>
      <w:r w:rsidR="0015255F">
        <w:t xml:space="preserve"> by these </w:t>
      </w:r>
      <w:r w:rsidR="00E575A7">
        <w:t xml:space="preserve">proposed </w:t>
      </w:r>
      <w:r w:rsidR="0015255F">
        <w:t>amendments</w:t>
      </w:r>
      <w:r>
        <w:t xml:space="preserve"> because their production processes emit GHGs exceeding the reporting threshold. </w:t>
      </w:r>
      <w:r w:rsidR="0015255F">
        <w:t>However,</w:t>
      </w:r>
      <w:r>
        <w:t xml:space="preserve"> the EPA has determined that </w:t>
      </w:r>
      <w:r w:rsidR="00AB0655">
        <w:t>updating the facility-specific calculation mechanism when</w:t>
      </w:r>
      <w:r w:rsidR="00344CFE">
        <w:t xml:space="preserve"> and if</w:t>
      </w:r>
      <w:r w:rsidR="00AB0655">
        <w:t xml:space="preserve"> the facility becomes subject to the NSPS subpart </w:t>
      </w:r>
      <w:proofErr w:type="spellStart"/>
      <w:r w:rsidR="00AB0655">
        <w:t>OOOOa</w:t>
      </w:r>
      <w:proofErr w:type="spellEnd"/>
      <w:r w:rsidR="0015255F">
        <w:t xml:space="preserve"> (an estimated </w:t>
      </w:r>
      <w:r>
        <w:t>cost of less than $200 per reporter</w:t>
      </w:r>
      <w:r w:rsidR="0015255F">
        <w:t>)</w:t>
      </w:r>
      <w:r>
        <w:t xml:space="preserve"> is not a significant increase. </w:t>
      </w:r>
      <w:r w:rsidR="00776877">
        <w:t xml:space="preserve">Therefore, </w:t>
      </w:r>
      <w:r w:rsidR="00776877" w:rsidRPr="006268BB">
        <w:t>th</w:t>
      </w:r>
      <w:r w:rsidR="00496501">
        <w:t>ese proposed amendments</w:t>
      </w:r>
      <w:r w:rsidR="00776877" w:rsidRPr="006268BB">
        <w:t xml:space="preserve"> </w:t>
      </w:r>
      <w:r w:rsidR="0026570B">
        <w:t>would</w:t>
      </w:r>
      <w:r w:rsidR="0026570B" w:rsidRPr="006268BB">
        <w:t xml:space="preserve"> </w:t>
      </w:r>
      <w:r w:rsidR="00776877" w:rsidRPr="006268BB">
        <w:t>not have a significant economic impact on a substantial number of small entities</w:t>
      </w:r>
      <w:r w:rsidR="00776877">
        <w:t>.</w:t>
      </w:r>
    </w:p>
    <w:p w14:paraId="0EB905C5" w14:textId="7ACB0A3A" w:rsidR="00935591" w:rsidRPr="00654E1E" w:rsidRDefault="00935591" w:rsidP="00496501">
      <w:pPr>
        <w:pStyle w:val="Paragraph"/>
      </w:pPr>
      <w:r>
        <w:lastRenderedPageBreak/>
        <w:t>Although th</w:t>
      </w:r>
      <w:r w:rsidR="00496501">
        <w:t>ese</w:t>
      </w:r>
      <w:r>
        <w:t xml:space="preserve"> proposed </w:t>
      </w:r>
      <w:r w:rsidR="00496501">
        <w:t>amendments</w:t>
      </w:r>
      <w:r>
        <w:t xml:space="preserve"> would not have a significant economic impact on a substantial number of small entities, the EPA nonetheless has tried to reduce the impact of this rule on small entities. As part of the process of finalizing the subpart W 2010 final rule</w:t>
      </w:r>
      <w:r w:rsidR="00147BA7">
        <w:t xml:space="preserve"> (75 FR 74458, November 30, 2010)</w:t>
      </w:r>
      <w:r>
        <w:t xml:space="preserve">, the EPA took several steps to evaluate the effect of the rule on small entities. For example, the EPA determined appropriate thresholds that reduced the number of small businesses reporting. In addition, the EPA supports a “help desk” for the GHGRP, which would be available to answer questions on the provisions in this rulemaking. </w:t>
      </w:r>
      <w:r w:rsidR="00147BA7">
        <w:t>Finally, t</w:t>
      </w:r>
      <w:r w:rsidRPr="00871E2B">
        <w:t xml:space="preserve">he rule includes a mechanism </w:t>
      </w:r>
      <w:r w:rsidR="00147BA7" w:rsidRPr="00871E2B">
        <w:t>in</w:t>
      </w:r>
      <w:r w:rsidRPr="00871E2B">
        <w:t xml:space="preserve"> 40 CFR 98.2 to allow facilities and suppliers that report less than 25,000 metric tons of CO</w:t>
      </w:r>
      <w:r w:rsidRPr="00871E2B">
        <w:rPr>
          <w:rStyle w:val="Subscript"/>
        </w:rPr>
        <w:t>2</w:t>
      </w:r>
      <w:r w:rsidRPr="00871E2B">
        <w:t xml:space="preserve">e/year for </w:t>
      </w:r>
      <w:r w:rsidR="00075925">
        <w:t>5</w:t>
      </w:r>
      <w:r w:rsidR="00075925" w:rsidRPr="00871E2B">
        <w:t xml:space="preserve"> </w:t>
      </w:r>
      <w:r w:rsidRPr="00871E2B">
        <w:t>years or less than 15,000 metric tons CO</w:t>
      </w:r>
      <w:r w:rsidRPr="00871E2B">
        <w:rPr>
          <w:rStyle w:val="Subscript"/>
        </w:rPr>
        <w:t>2</w:t>
      </w:r>
      <w:r w:rsidRPr="00871E2B">
        <w:t xml:space="preserve">e/year for </w:t>
      </w:r>
      <w:r w:rsidR="000A3CB1">
        <w:t>3 </w:t>
      </w:r>
      <w:r w:rsidRPr="00871E2B">
        <w:t xml:space="preserve">years to cease annual reporting to </w:t>
      </w:r>
      <w:r w:rsidR="000A3CB1">
        <w:t xml:space="preserve">the </w:t>
      </w:r>
      <w:r w:rsidRPr="00871E2B">
        <w:t>EPA.</w:t>
      </w:r>
    </w:p>
    <w:p w14:paraId="13C1DEBA" w14:textId="77777777" w:rsidR="008307EC" w:rsidRPr="00A22ECC" w:rsidRDefault="00A6725D" w:rsidP="00A22ECC">
      <w:pPr>
        <w:pStyle w:val="SectionSubheading"/>
        <w:rPr>
          <w:rFonts w:eastAsia="PMingLiU" w:hint="eastAsia"/>
        </w:rPr>
      </w:pPr>
      <w:r w:rsidRPr="00A22ECC">
        <w:rPr>
          <w:rFonts w:eastAsia="PMingLiU"/>
        </w:rPr>
        <w:t>5</w:t>
      </w:r>
      <w:r w:rsidR="00EB2EF0" w:rsidRPr="00A22ECC">
        <w:rPr>
          <w:rFonts w:eastAsia="PMingLiU"/>
        </w:rPr>
        <w:t xml:space="preserve">(d) </w:t>
      </w:r>
      <w:r w:rsidR="009230F1" w:rsidRPr="00A22ECC">
        <w:rPr>
          <w:rFonts w:eastAsia="PMingLiU"/>
        </w:rPr>
        <w:t>Collection Schedule</w:t>
      </w:r>
    </w:p>
    <w:p w14:paraId="0F8A390D" w14:textId="5A543E84" w:rsidR="008307EC" w:rsidRDefault="00EB2EF0" w:rsidP="0026570B">
      <w:pPr>
        <w:pStyle w:val="Paragraph"/>
        <w:rPr>
          <w:rFonts w:eastAsia="PMingLiU"/>
        </w:rPr>
      </w:pPr>
      <w:r>
        <w:t>All data elements</w:t>
      </w:r>
      <w:r w:rsidR="0015255F">
        <w:t>, including existing, new, and substantially revised elements,</w:t>
      </w:r>
      <w:r>
        <w:t xml:space="preserve"> under this information collection </w:t>
      </w:r>
      <w:r w:rsidR="0026570B">
        <w:t xml:space="preserve">would </w:t>
      </w:r>
      <w:r>
        <w:t>be submitted on an annual basis as part of the respondent</w:t>
      </w:r>
      <w:r w:rsidR="0087379B">
        <w:t>’</w:t>
      </w:r>
      <w:r>
        <w:t>s annual report required under Part 98</w:t>
      </w:r>
      <w:r w:rsidR="008307EC" w:rsidRPr="00A6725D">
        <w:rPr>
          <w:rFonts w:eastAsia="PMingLiU"/>
        </w:rPr>
        <w:t>.</w:t>
      </w:r>
    </w:p>
    <w:p w14:paraId="44BB5308" w14:textId="77777777" w:rsidR="00CE78B5" w:rsidRDefault="00CE78B5" w:rsidP="00B8030B">
      <w:pPr>
        <w:pStyle w:val="SectionHeading"/>
        <w:rPr>
          <w:rFonts w:eastAsia="PMingLiU" w:hint="eastAsia"/>
        </w:rPr>
      </w:pPr>
      <w:r>
        <w:rPr>
          <w:rFonts w:eastAsia="PMingLiU" w:hint="eastAsia"/>
        </w:rPr>
        <w:br w:type="page"/>
      </w:r>
    </w:p>
    <w:p w14:paraId="616D334B" w14:textId="77777777" w:rsidR="008307EC" w:rsidRDefault="008307EC" w:rsidP="00B8030B">
      <w:pPr>
        <w:pStyle w:val="SectionHeading"/>
        <w:rPr>
          <w:rFonts w:eastAsia="PMingLiU" w:hint="eastAsia"/>
        </w:rPr>
      </w:pPr>
      <w:r w:rsidRPr="00A6725D">
        <w:rPr>
          <w:rFonts w:eastAsia="PMingLiU"/>
        </w:rPr>
        <w:lastRenderedPageBreak/>
        <w:t>6.</w:t>
      </w:r>
      <w:r w:rsidRPr="00A6725D">
        <w:rPr>
          <w:rFonts w:eastAsia="PMingLiU"/>
        </w:rPr>
        <w:tab/>
        <w:t>Estimating the Bu</w:t>
      </w:r>
      <w:r w:rsidR="00D110DE">
        <w:rPr>
          <w:rFonts w:eastAsia="PMingLiU"/>
        </w:rPr>
        <w:t>rden and Cost of the Collection</w:t>
      </w:r>
    </w:p>
    <w:p w14:paraId="3555B8D6" w14:textId="6CEF3A12" w:rsidR="00EB2EF0" w:rsidRDefault="00EB2EF0" w:rsidP="00F4032C">
      <w:pPr>
        <w:pStyle w:val="Paragraph"/>
        <w:rPr>
          <w:rFonts w:eastAsia="PMingLiU"/>
        </w:rPr>
      </w:pPr>
      <w:r>
        <w:t xml:space="preserve">This section presents </w:t>
      </w:r>
      <w:r w:rsidR="00766D4D">
        <w:t xml:space="preserve">the </w:t>
      </w:r>
      <w:r>
        <w:t>EPA</w:t>
      </w:r>
      <w:r w:rsidR="0087379B">
        <w:t>’</w:t>
      </w:r>
      <w:r>
        <w:t xml:space="preserve">s estimates of the burden and costs to respondents associated with the activities described in </w:t>
      </w:r>
      <w:r w:rsidR="00A22D54">
        <w:t>S</w:t>
      </w:r>
      <w:r>
        <w:t xml:space="preserve">ection 4 as well as the </w:t>
      </w:r>
      <w:r w:rsidR="00F4032C">
        <w:t>a</w:t>
      </w:r>
      <w:r w:rsidR="0015255F">
        <w:t>gency</w:t>
      </w:r>
      <w:r>
        <w:t xml:space="preserve"> burden hours and costs associated with the activities described in </w:t>
      </w:r>
      <w:r w:rsidR="00A22D54">
        <w:t>S</w:t>
      </w:r>
      <w:r>
        <w:t xml:space="preserve">ection 5(a). Section 6(a) provides estimates of burden (hours) for all respondent types. Section 6(b) contains estimates of respondent costs for the information collection. Section 6(c) summarizes federal burden and costs. Section 6(d) describes the respondent universe and the total burden and cost of this collection to respondents. Section 6(e) presents the bottom line burden and cost. Section 6(f) provides reasons for any change in burden. The burden statement for this information collection is in </w:t>
      </w:r>
      <w:r w:rsidR="00A22D54">
        <w:t>S</w:t>
      </w:r>
      <w:r>
        <w:t>ection 6(g).</w:t>
      </w:r>
    </w:p>
    <w:p w14:paraId="34A0B57F" w14:textId="77777777" w:rsidR="008307EC" w:rsidRPr="00A22ECC" w:rsidRDefault="00A6725D" w:rsidP="00A22ECC">
      <w:pPr>
        <w:pStyle w:val="SectionSubheading"/>
        <w:rPr>
          <w:rFonts w:eastAsia="PMingLiU" w:hint="eastAsia"/>
        </w:rPr>
      </w:pPr>
      <w:r w:rsidRPr="00A22ECC">
        <w:rPr>
          <w:rFonts w:eastAsia="PMingLiU"/>
        </w:rPr>
        <w:t>6</w:t>
      </w:r>
      <w:r w:rsidR="008307EC" w:rsidRPr="00A22ECC">
        <w:rPr>
          <w:rFonts w:eastAsia="PMingLiU"/>
        </w:rPr>
        <w:t>(a)</w:t>
      </w:r>
      <w:r w:rsidR="00EB2EF0" w:rsidRPr="00A22ECC">
        <w:rPr>
          <w:rFonts w:eastAsia="PMingLiU"/>
        </w:rPr>
        <w:t xml:space="preserve"> </w:t>
      </w:r>
      <w:r w:rsidR="008307EC" w:rsidRPr="00A22ECC">
        <w:rPr>
          <w:rFonts w:eastAsia="PMingLiU"/>
        </w:rPr>
        <w:t>Estimating Respondent Burden</w:t>
      </w:r>
    </w:p>
    <w:p w14:paraId="3066761A" w14:textId="1B136D30" w:rsidR="00147BA7" w:rsidRDefault="00147BA7" w:rsidP="00496501">
      <w:pPr>
        <w:pStyle w:val="Paragraph"/>
      </w:pPr>
      <w:r>
        <w:t xml:space="preserve">The EPA estimates that the total respondent burden to all affected subpart W entities </w:t>
      </w:r>
      <w:r w:rsidR="00496501">
        <w:t xml:space="preserve">would be </w:t>
      </w:r>
      <w:r w:rsidRPr="00344416">
        <w:t xml:space="preserve">approximately </w:t>
      </w:r>
      <w:r w:rsidR="0094056B">
        <w:t>183,000 hours</w:t>
      </w:r>
      <w:r w:rsidRPr="00753CDA">
        <w:t xml:space="preserve"> over the 3 years covered by this information collection. </w:t>
      </w:r>
      <w:r w:rsidR="00A75823">
        <w:t>E</w:t>
      </w:r>
      <w:r w:rsidRPr="00753CDA">
        <w:t xml:space="preserve">xhibit 6.1 presents aggregate </w:t>
      </w:r>
      <w:r w:rsidR="0094056B">
        <w:t>burden hours</w:t>
      </w:r>
      <w:r w:rsidRPr="00753CDA">
        <w:t xml:space="preserve"> by s</w:t>
      </w:r>
      <w:r w:rsidRPr="008356A9">
        <w:t>ubpart W industry segment</w:t>
      </w:r>
      <w:r w:rsidR="0007115B">
        <w:t>.</w:t>
      </w:r>
    </w:p>
    <w:p w14:paraId="237C3024" w14:textId="53507A04" w:rsidR="00147BA7" w:rsidRDefault="00147BA7" w:rsidP="0026570B">
      <w:pPr>
        <w:pStyle w:val="Paragraph"/>
      </w:pPr>
      <w:r w:rsidRPr="008356A9">
        <w:t xml:space="preserve">The information collection </w:t>
      </w:r>
      <w:r>
        <w:t xml:space="preserve">related to these proposed amendments </w:t>
      </w:r>
      <w:r w:rsidR="0026570B">
        <w:t>would</w:t>
      </w:r>
      <w:r w:rsidR="0026570B" w:rsidRPr="008356A9">
        <w:t xml:space="preserve"> </w:t>
      </w:r>
      <w:r w:rsidRPr="008356A9">
        <w:t xml:space="preserve">result in an overall increase in annual burden of </w:t>
      </w:r>
      <w:r>
        <w:t>502</w:t>
      </w:r>
      <w:r w:rsidRPr="00106D4C">
        <w:t xml:space="preserve"> hours</w:t>
      </w:r>
      <w:r w:rsidRPr="00692D74">
        <w:t>.</w:t>
      </w:r>
      <w:r>
        <w:t xml:space="preserve"> </w:t>
      </w:r>
      <w:r w:rsidR="00496501" w:rsidRPr="008356A9">
        <w:t xml:space="preserve">For details of the EPA’s </w:t>
      </w:r>
      <w:r w:rsidR="00496501">
        <w:t>burden</w:t>
      </w:r>
      <w:r w:rsidR="00496501" w:rsidRPr="008356A9">
        <w:t xml:space="preserve"> calculations, please </w:t>
      </w:r>
      <w:r w:rsidR="00496501" w:rsidRPr="00A75823">
        <w:t>see Appendix A.</w:t>
      </w:r>
      <w:r w:rsidR="00496501" w:rsidRPr="008356A9">
        <w:t xml:space="preserve"> </w:t>
      </w:r>
      <w:r>
        <w:t>This increase is split between two subpart W industry segments as shown in Exhibit 6.2</w:t>
      </w:r>
      <w:r w:rsidR="00F53986">
        <w:t>, which</w:t>
      </w:r>
      <w:r w:rsidR="00F53986" w:rsidRPr="00F53986">
        <w:t xml:space="preserve"> </w:t>
      </w:r>
      <w:r w:rsidR="00F53986" w:rsidRPr="00A62C2D">
        <w:t xml:space="preserve">presents </w:t>
      </w:r>
      <w:r w:rsidR="0094056B">
        <w:t>the</w:t>
      </w:r>
      <w:r w:rsidR="00F53986">
        <w:t xml:space="preserve"> change in burden by subpart W industry </w:t>
      </w:r>
      <w:r w:rsidR="00F53986" w:rsidRPr="00A22ECC">
        <w:t>segment</w:t>
      </w:r>
      <w:r>
        <w:t>.</w:t>
      </w:r>
    </w:p>
    <w:p w14:paraId="31E85A6B" w14:textId="77777777" w:rsidR="008307EC" w:rsidRDefault="00A6725D" w:rsidP="00A22ECC">
      <w:pPr>
        <w:pStyle w:val="SectionSubheading"/>
        <w:rPr>
          <w:rFonts w:eastAsia="PMingLiU" w:hint="eastAsia"/>
        </w:rPr>
      </w:pPr>
      <w:r w:rsidRPr="00A22ECC">
        <w:rPr>
          <w:rFonts w:eastAsia="PMingLiU"/>
        </w:rPr>
        <w:t>6</w:t>
      </w:r>
      <w:r w:rsidR="009230F1" w:rsidRPr="00A22ECC">
        <w:rPr>
          <w:rFonts w:eastAsia="PMingLiU"/>
        </w:rPr>
        <w:t>(b)</w:t>
      </w:r>
      <w:r w:rsidR="00EB2EF0" w:rsidRPr="00A22ECC">
        <w:rPr>
          <w:rFonts w:eastAsia="PMingLiU"/>
        </w:rPr>
        <w:t xml:space="preserve"> </w:t>
      </w:r>
      <w:r w:rsidR="009230F1" w:rsidRPr="00A22ECC">
        <w:rPr>
          <w:rFonts w:eastAsia="PMingLiU"/>
        </w:rPr>
        <w:t>Estimating Respondent Costs</w:t>
      </w:r>
    </w:p>
    <w:p w14:paraId="537F6525" w14:textId="4B2C3BA3" w:rsidR="00F53986" w:rsidRDefault="0016111B" w:rsidP="00496501">
      <w:pPr>
        <w:pStyle w:val="Paragraph"/>
      </w:pPr>
      <w:r>
        <w:t xml:space="preserve">The EPA estimates that the total annual cost to all affected non-federal entities </w:t>
      </w:r>
      <w:r w:rsidR="00496501">
        <w:t>would be</w:t>
      </w:r>
      <w:r>
        <w:t xml:space="preserve"> </w:t>
      </w:r>
      <w:r w:rsidRPr="00344416">
        <w:t xml:space="preserve">approximately </w:t>
      </w:r>
      <w:r w:rsidRPr="00106D4C">
        <w:t>$2</w:t>
      </w:r>
      <w:r w:rsidR="0094056B">
        <w:t>8.1</w:t>
      </w:r>
      <w:r w:rsidRPr="00753CDA">
        <w:t xml:space="preserve"> million over the 3 years covered by this information collection. Exhibit 6.1 presents aggregate costs and costs by s</w:t>
      </w:r>
      <w:r w:rsidRPr="008356A9">
        <w:t xml:space="preserve">ubpart W industry segment. </w:t>
      </w:r>
    </w:p>
    <w:p w14:paraId="39E18F64" w14:textId="7AF8AAF6" w:rsidR="0016111B" w:rsidRDefault="0016111B" w:rsidP="0026570B">
      <w:pPr>
        <w:pStyle w:val="Paragraph"/>
      </w:pPr>
      <w:r w:rsidRPr="008356A9">
        <w:t xml:space="preserve">The information collection </w:t>
      </w:r>
      <w:r w:rsidR="00F53986">
        <w:t xml:space="preserve">related to the proposed amendments </w:t>
      </w:r>
      <w:r w:rsidR="0026570B">
        <w:t>would</w:t>
      </w:r>
      <w:r w:rsidR="0026570B" w:rsidRPr="008356A9">
        <w:t xml:space="preserve"> </w:t>
      </w:r>
      <w:r w:rsidRPr="008356A9">
        <w:t xml:space="preserve">result in an increase in annual </w:t>
      </w:r>
      <w:r w:rsidR="00147BA7">
        <w:t>costs</w:t>
      </w:r>
      <w:r w:rsidRPr="008356A9">
        <w:t xml:space="preserve"> of</w:t>
      </w:r>
      <w:r w:rsidR="0015255F">
        <w:t xml:space="preserve"> approximately</w:t>
      </w:r>
      <w:r w:rsidRPr="008356A9">
        <w:t xml:space="preserve"> </w:t>
      </w:r>
      <w:r w:rsidR="00147BA7">
        <w:t>$50,000</w:t>
      </w:r>
      <w:r w:rsidRPr="00692D74">
        <w:t>.</w:t>
      </w:r>
      <w:r>
        <w:t xml:space="preserve"> </w:t>
      </w:r>
      <w:r w:rsidR="00496501" w:rsidRPr="008356A9">
        <w:t xml:space="preserve">For details of the EPA’s cost calculations, please </w:t>
      </w:r>
      <w:r w:rsidR="00496501" w:rsidRPr="00A75823">
        <w:t>see Appendix A.</w:t>
      </w:r>
      <w:r w:rsidR="00496501" w:rsidRPr="008356A9">
        <w:t xml:space="preserve"> </w:t>
      </w:r>
      <w:r>
        <w:t xml:space="preserve">This increase is split between the </w:t>
      </w:r>
      <w:r w:rsidR="00147BA7">
        <w:t>two</w:t>
      </w:r>
      <w:r>
        <w:t xml:space="preserve"> subpart W industry segments as shown in Exhibit 6.2.</w:t>
      </w:r>
    </w:p>
    <w:p w14:paraId="1D46C4F9" w14:textId="33AC7281" w:rsidR="00EB2EF0" w:rsidRDefault="003F4A25" w:rsidP="000335D8">
      <w:pPr>
        <w:pStyle w:val="Paragraph"/>
      </w:pPr>
      <w:r w:rsidRPr="00A22ECC">
        <w:t xml:space="preserve">(i) </w:t>
      </w:r>
      <w:r w:rsidRPr="00A22ECC">
        <w:rPr>
          <w:rStyle w:val="Underline"/>
        </w:rPr>
        <w:t>Estimating Labor Costs</w:t>
      </w:r>
      <w:r w:rsidRPr="00A22ECC">
        <w:t xml:space="preserve">. </w:t>
      </w:r>
      <w:r w:rsidR="00EB2EF0">
        <w:t>Costs to respondents associated with this information collection include the cost of labor by facility staff to meet the rule</w:t>
      </w:r>
      <w:r w:rsidR="0087379B">
        <w:t>’</w:t>
      </w:r>
      <w:r w:rsidR="00EB2EF0">
        <w:t xml:space="preserve">s information collection </w:t>
      </w:r>
      <w:r w:rsidR="00EB2EF0">
        <w:lastRenderedPageBreak/>
        <w:t xml:space="preserve">requirements. To calculate labor costs, </w:t>
      </w:r>
      <w:r w:rsidR="00766D4D">
        <w:t xml:space="preserve">the </w:t>
      </w:r>
      <w:r w:rsidR="00EB2EF0">
        <w:t xml:space="preserve">EPA </w:t>
      </w:r>
      <w:r w:rsidR="00136196">
        <w:t xml:space="preserve">used labor rates </w:t>
      </w:r>
      <w:r w:rsidR="00330163">
        <w:t xml:space="preserve">classified according to the 2010 Standard Occupational Classification (SOC) system </w:t>
      </w:r>
      <w:r w:rsidR="00136196">
        <w:t xml:space="preserve">from the </w:t>
      </w:r>
      <w:r w:rsidR="00EB2EF0">
        <w:t xml:space="preserve">Bureau of Labor Statistics </w:t>
      </w:r>
      <w:r w:rsidR="00330163">
        <w:t>(BLS)</w:t>
      </w:r>
      <w:r w:rsidR="00EB2EF0">
        <w:t>.</w:t>
      </w:r>
      <w:r w:rsidR="00EB2EF0" w:rsidRPr="00FC6FD1">
        <w:t xml:space="preserve"> </w:t>
      </w:r>
      <w:r w:rsidR="00EB2EF0">
        <w:t xml:space="preserve">For all </w:t>
      </w:r>
      <w:r w:rsidR="00D67AA8">
        <w:t xml:space="preserve">subpart W </w:t>
      </w:r>
      <w:r w:rsidR="00EB2EF0">
        <w:t>industry segments</w:t>
      </w:r>
      <w:r w:rsidR="006B6090">
        <w:t>,</w:t>
      </w:r>
      <w:r w:rsidR="00EB2EF0">
        <w:t xml:space="preserve"> the labor rate</w:t>
      </w:r>
      <w:r w:rsidR="00051A66">
        <w:t xml:space="preserve"> derivations are </w:t>
      </w:r>
      <w:r w:rsidR="000335D8">
        <w:t xml:space="preserve">based on second quarter 2014 dollars, as </w:t>
      </w:r>
      <w:r w:rsidR="00051A66">
        <w:t>shown in Table 2. The labor rates for this ICR</w:t>
      </w:r>
      <w:r w:rsidR="00EB2EF0">
        <w:t xml:space="preserve"> are: $12</w:t>
      </w:r>
      <w:r w:rsidR="000335D8">
        <w:t>9.83</w:t>
      </w:r>
      <w:r w:rsidR="00EB2EF0">
        <w:t xml:space="preserve"> for senior managers, $1</w:t>
      </w:r>
      <w:r w:rsidR="000335D8">
        <w:t>18.86</w:t>
      </w:r>
      <w:r w:rsidR="00EB2EF0">
        <w:t xml:space="preserve"> for middle managers, </w:t>
      </w:r>
      <w:proofErr w:type="gramStart"/>
      <w:r w:rsidR="00EB2EF0">
        <w:t>$</w:t>
      </w:r>
      <w:proofErr w:type="gramEnd"/>
      <w:r w:rsidR="000335D8">
        <w:t>99.18</w:t>
      </w:r>
      <w:r w:rsidR="00EB2EF0">
        <w:t xml:space="preserve"> for engineers, </w:t>
      </w:r>
      <w:r w:rsidR="00C1470F">
        <w:t xml:space="preserve">and </w:t>
      </w:r>
      <w:r w:rsidR="00EB2EF0">
        <w:t>$</w:t>
      </w:r>
      <w:r w:rsidR="000335D8">
        <w:t>52.84</w:t>
      </w:r>
      <w:r w:rsidR="00EB2EF0">
        <w:t xml:space="preserve"> for technicians.</w:t>
      </w:r>
    </w:p>
    <w:p w14:paraId="3EFF4F89" w14:textId="77777777" w:rsidR="00051A66" w:rsidRDefault="00051A66" w:rsidP="00A22ECC">
      <w:pPr>
        <w:pStyle w:val="TableTitle"/>
      </w:pPr>
      <w:r w:rsidRPr="00051A66">
        <w:t>Table 2. Labor Rate Derivations</w:t>
      </w:r>
    </w:p>
    <w:tbl>
      <w:tblPr>
        <w:tblW w:w="5000" w:type="pct"/>
        <w:tblInd w:w="98" w:type="dxa"/>
        <w:tblLook w:val="04A0" w:firstRow="1" w:lastRow="0" w:firstColumn="1" w:lastColumn="0" w:noHBand="0" w:noVBand="1"/>
      </w:tblPr>
      <w:tblGrid>
        <w:gridCol w:w="10"/>
        <w:gridCol w:w="1592"/>
        <w:gridCol w:w="1451"/>
        <w:gridCol w:w="1396"/>
        <w:gridCol w:w="1414"/>
        <w:gridCol w:w="1703"/>
        <w:gridCol w:w="1764"/>
        <w:gridCol w:w="10"/>
      </w:tblGrid>
      <w:tr w:rsidR="00051A66" w:rsidRPr="00051A66" w14:paraId="61EC4BC9" w14:textId="77777777" w:rsidTr="00871E2B">
        <w:trPr>
          <w:gridAfter w:val="1"/>
          <w:wAfter w:w="10" w:type="dxa"/>
        </w:trPr>
        <w:tc>
          <w:tcPr>
            <w:tcW w:w="1549"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14:paraId="639B14C2" w14:textId="77777777" w:rsidR="00051A66" w:rsidRPr="00051A66" w:rsidRDefault="00051A66" w:rsidP="00A22ECC">
            <w:pPr>
              <w:pStyle w:val="TableColumnHeading10pt"/>
            </w:pPr>
            <w:r w:rsidRPr="00051A66">
              <w:t>Labor Category</w:t>
            </w:r>
          </w:p>
        </w:tc>
        <w:tc>
          <w:tcPr>
            <w:tcW w:w="1403" w:type="dxa"/>
            <w:tcBorders>
              <w:top w:val="single" w:sz="8" w:space="0" w:color="auto"/>
              <w:left w:val="nil"/>
              <w:bottom w:val="single" w:sz="4" w:space="0" w:color="auto"/>
              <w:right w:val="single" w:sz="4" w:space="0" w:color="auto"/>
            </w:tcBorders>
            <w:shd w:val="clear" w:color="auto" w:fill="auto"/>
            <w:vAlign w:val="bottom"/>
            <w:hideMark/>
          </w:tcPr>
          <w:p w14:paraId="12BA0416" w14:textId="77777777" w:rsidR="00330163" w:rsidRDefault="00051A66" w:rsidP="00A22ECC">
            <w:pPr>
              <w:pStyle w:val="TableColumnHeading10pt"/>
            </w:pPr>
            <w:r w:rsidRPr="00051A66">
              <w:t>Wage and Salaries</w:t>
            </w:r>
          </w:p>
          <w:p w14:paraId="4F783616" w14:textId="055E88D8" w:rsidR="00051A66" w:rsidRPr="00051A66" w:rsidRDefault="00330163" w:rsidP="000335D8">
            <w:pPr>
              <w:pStyle w:val="TableColumnHeading10pt"/>
            </w:pPr>
            <w:r>
              <w:t>(2014$ Q2)</w:t>
            </w:r>
            <w:r w:rsidR="00051A66" w:rsidRPr="00A22ECC">
              <w:rPr>
                <w:rStyle w:val="Superscript"/>
              </w:rPr>
              <w:t>a</w:t>
            </w:r>
          </w:p>
        </w:tc>
        <w:tc>
          <w:tcPr>
            <w:tcW w:w="1350" w:type="dxa"/>
            <w:tcBorders>
              <w:top w:val="single" w:sz="8" w:space="0" w:color="auto"/>
              <w:left w:val="nil"/>
              <w:bottom w:val="single" w:sz="4" w:space="0" w:color="auto"/>
              <w:right w:val="single" w:sz="4" w:space="0" w:color="auto"/>
            </w:tcBorders>
            <w:shd w:val="clear" w:color="auto" w:fill="auto"/>
            <w:vAlign w:val="bottom"/>
            <w:hideMark/>
          </w:tcPr>
          <w:p w14:paraId="51BFBB24" w14:textId="1C430441" w:rsidR="00051A66" w:rsidRPr="00051A66" w:rsidRDefault="00330163" w:rsidP="00A22ECC">
            <w:pPr>
              <w:pStyle w:val="TableColumnHeading10pt"/>
            </w:pPr>
            <w:r>
              <w:t>SOC</w:t>
            </w:r>
            <w:r w:rsidR="00051A66" w:rsidRPr="00051A66">
              <w:t xml:space="preserve"> Code</w:t>
            </w:r>
          </w:p>
        </w:tc>
        <w:tc>
          <w:tcPr>
            <w:tcW w:w="1367" w:type="dxa"/>
            <w:tcBorders>
              <w:top w:val="single" w:sz="8" w:space="0" w:color="auto"/>
              <w:left w:val="nil"/>
              <w:bottom w:val="single" w:sz="4" w:space="0" w:color="auto"/>
              <w:right w:val="single" w:sz="4" w:space="0" w:color="auto"/>
            </w:tcBorders>
            <w:shd w:val="clear" w:color="auto" w:fill="auto"/>
            <w:vAlign w:val="bottom"/>
            <w:hideMark/>
          </w:tcPr>
          <w:p w14:paraId="437B230D" w14:textId="77777777" w:rsidR="00051A66" w:rsidRPr="00051A66" w:rsidRDefault="00051A66" w:rsidP="00A22ECC">
            <w:pPr>
              <w:pStyle w:val="TableColumnHeading10pt"/>
            </w:pPr>
            <w:r w:rsidRPr="00051A66">
              <w:t xml:space="preserve">Benefits Loading </w:t>
            </w:r>
            <w:proofErr w:type="spellStart"/>
            <w:r w:rsidRPr="00051A66">
              <w:t>Factor</w:t>
            </w:r>
            <w:r w:rsidRPr="00A22ECC">
              <w:rPr>
                <w:rStyle w:val="Superscript"/>
              </w:rPr>
              <w:t>b</w:t>
            </w:r>
            <w:proofErr w:type="spellEnd"/>
          </w:p>
        </w:tc>
        <w:tc>
          <w:tcPr>
            <w:tcW w:w="1646" w:type="dxa"/>
            <w:tcBorders>
              <w:top w:val="single" w:sz="8" w:space="0" w:color="auto"/>
              <w:left w:val="nil"/>
              <w:bottom w:val="single" w:sz="4" w:space="0" w:color="auto"/>
              <w:right w:val="single" w:sz="4" w:space="0" w:color="auto"/>
            </w:tcBorders>
            <w:shd w:val="clear" w:color="auto" w:fill="auto"/>
            <w:vAlign w:val="bottom"/>
            <w:hideMark/>
          </w:tcPr>
          <w:p w14:paraId="65FC94CB" w14:textId="77777777" w:rsidR="00051A66" w:rsidRPr="00051A66" w:rsidRDefault="00051A66" w:rsidP="00A22ECC">
            <w:pPr>
              <w:pStyle w:val="TableColumnHeading10pt"/>
            </w:pPr>
            <w:r w:rsidRPr="00051A66">
              <w:t xml:space="preserve">Overhead Loading </w:t>
            </w:r>
            <w:proofErr w:type="spellStart"/>
            <w:r w:rsidRPr="00051A66">
              <w:t>Factor</w:t>
            </w:r>
            <w:r w:rsidRPr="00A22ECC">
              <w:rPr>
                <w:rStyle w:val="Superscript"/>
              </w:rPr>
              <w:t>c</w:t>
            </w:r>
            <w:proofErr w:type="spellEnd"/>
          </w:p>
        </w:tc>
        <w:tc>
          <w:tcPr>
            <w:tcW w:w="1705" w:type="dxa"/>
            <w:tcBorders>
              <w:top w:val="single" w:sz="8" w:space="0" w:color="auto"/>
              <w:left w:val="nil"/>
              <w:bottom w:val="single" w:sz="4" w:space="0" w:color="auto"/>
              <w:right w:val="single" w:sz="8" w:space="0" w:color="auto"/>
            </w:tcBorders>
            <w:shd w:val="clear" w:color="auto" w:fill="auto"/>
            <w:vAlign w:val="bottom"/>
            <w:hideMark/>
          </w:tcPr>
          <w:p w14:paraId="25E51F3E" w14:textId="720A5DB6" w:rsidR="00051A66" w:rsidRPr="00051A66" w:rsidRDefault="00051A66" w:rsidP="00330163">
            <w:pPr>
              <w:pStyle w:val="TableColumnHeading10pt"/>
            </w:pPr>
            <w:r w:rsidRPr="00051A66">
              <w:t xml:space="preserve">Loaded </w:t>
            </w:r>
            <w:r>
              <w:t>Labor R</w:t>
            </w:r>
            <w:r w:rsidRPr="00051A66">
              <w:t>ate (201</w:t>
            </w:r>
            <w:r w:rsidR="00330163">
              <w:t>4</w:t>
            </w:r>
            <w:r w:rsidRPr="00051A66">
              <w:t>$</w:t>
            </w:r>
            <w:r w:rsidR="00330163">
              <w:t xml:space="preserve"> Q2</w:t>
            </w:r>
            <w:r w:rsidRPr="00051A66">
              <w:t>)</w:t>
            </w:r>
            <w:r w:rsidRPr="00A22ECC">
              <w:rPr>
                <w:rStyle w:val="Superscript"/>
              </w:rPr>
              <w:t>d</w:t>
            </w:r>
          </w:p>
        </w:tc>
      </w:tr>
      <w:tr w:rsidR="00051A66" w:rsidRPr="00051A66" w14:paraId="03378727" w14:textId="77777777" w:rsidTr="00871E2B">
        <w:trPr>
          <w:gridAfter w:val="1"/>
          <w:wAfter w:w="10" w:type="dxa"/>
        </w:trPr>
        <w:tc>
          <w:tcPr>
            <w:tcW w:w="1549" w:type="dxa"/>
            <w:gridSpan w:val="2"/>
            <w:tcBorders>
              <w:top w:val="nil"/>
              <w:left w:val="single" w:sz="8" w:space="0" w:color="auto"/>
              <w:bottom w:val="single" w:sz="4" w:space="0" w:color="auto"/>
              <w:right w:val="single" w:sz="4" w:space="0" w:color="auto"/>
            </w:tcBorders>
            <w:shd w:val="clear" w:color="auto" w:fill="auto"/>
            <w:vAlign w:val="bottom"/>
            <w:hideMark/>
          </w:tcPr>
          <w:p w14:paraId="41245C0D" w14:textId="77777777" w:rsidR="00051A66" w:rsidRPr="00051A66" w:rsidRDefault="00051A66" w:rsidP="00A22ECC">
            <w:pPr>
              <w:pStyle w:val="TableTextLeft10pt"/>
            </w:pPr>
            <w:r w:rsidRPr="00051A66">
              <w:t>Engineer</w:t>
            </w:r>
          </w:p>
        </w:tc>
        <w:tc>
          <w:tcPr>
            <w:tcW w:w="1403" w:type="dxa"/>
            <w:tcBorders>
              <w:top w:val="nil"/>
              <w:left w:val="nil"/>
              <w:bottom w:val="single" w:sz="4" w:space="0" w:color="auto"/>
              <w:right w:val="single" w:sz="4" w:space="0" w:color="auto"/>
            </w:tcBorders>
            <w:shd w:val="clear" w:color="auto" w:fill="auto"/>
            <w:vAlign w:val="bottom"/>
            <w:hideMark/>
          </w:tcPr>
          <w:p w14:paraId="2AEC2622" w14:textId="3F8A15C3" w:rsidR="00051A66" w:rsidRPr="00051A66" w:rsidRDefault="00051A66" w:rsidP="00330163">
            <w:pPr>
              <w:pStyle w:val="TableTextRight10pt"/>
            </w:pPr>
            <w:r>
              <w:t>$</w:t>
            </w:r>
            <w:r w:rsidR="00330163">
              <w:t>61.26</w:t>
            </w:r>
          </w:p>
        </w:tc>
        <w:tc>
          <w:tcPr>
            <w:tcW w:w="1350" w:type="dxa"/>
            <w:tcBorders>
              <w:top w:val="nil"/>
              <w:left w:val="nil"/>
              <w:bottom w:val="single" w:sz="4" w:space="0" w:color="auto"/>
              <w:right w:val="single" w:sz="4" w:space="0" w:color="auto"/>
            </w:tcBorders>
            <w:shd w:val="clear" w:color="auto" w:fill="auto"/>
            <w:vAlign w:val="bottom"/>
          </w:tcPr>
          <w:p w14:paraId="407F9DCC" w14:textId="2245BEE9" w:rsidR="00051A66" w:rsidRPr="00051A66" w:rsidRDefault="00330163" w:rsidP="00A22ECC">
            <w:pPr>
              <w:pStyle w:val="TableTextRight10pt"/>
            </w:pPr>
            <w:r>
              <w:t>17-2112</w:t>
            </w:r>
          </w:p>
        </w:tc>
        <w:tc>
          <w:tcPr>
            <w:tcW w:w="1367" w:type="dxa"/>
            <w:tcBorders>
              <w:top w:val="nil"/>
              <w:left w:val="nil"/>
              <w:bottom w:val="single" w:sz="4" w:space="0" w:color="auto"/>
              <w:right w:val="single" w:sz="4" w:space="0" w:color="auto"/>
            </w:tcBorders>
            <w:shd w:val="clear" w:color="auto" w:fill="auto"/>
            <w:vAlign w:val="bottom"/>
          </w:tcPr>
          <w:p w14:paraId="7AD584D4" w14:textId="63824C97" w:rsidR="00051A66" w:rsidRPr="00051A66" w:rsidRDefault="00330163" w:rsidP="00A22ECC">
            <w:pPr>
              <w:pStyle w:val="TableTextRight10pt"/>
            </w:pPr>
            <w:r>
              <w:t>0.4489</w:t>
            </w:r>
          </w:p>
        </w:tc>
        <w:tc>
          <w:tcPr>
            <w:tcW w:w="1646" w:type="dxa"/>
            <w:tcBorders>
              <w:top w:val="nil"/>
              <w:left w:val="nil"/>
              <w:bottom w:val="single" w:sz="4" w:space="0" w:color="auto"/>
              <w:right w:val="single" w:sz="4" w:space="0" w:color="auto"/>
            </w:tcBorders>
            <w:shd w:val="clear" w:color="auto" w:fill="auto"/>
            <w:vAlign w:val="bottom"/>
            <w:hideMark/>
          </w:tcPr>
          <w:p w14:paraId="6C55C488" w14:textId="77777777" w:rsidR="00051A66" w:rsidRPr="00051A66" w:rsidRDefault="00051A66" w:rsidP="00A22ECC">
            <w:pPr>
              <w:pStyle w:val="TableTextRight10pt"/>
            </w:pPr>
            <w:r w:rsidRPr="00051A66">
              <w:t>0.17</w:t>
            </w:r>
          </w:p>
        </w:tc>
        <w:tc>
          <w:tcPr>
            <w:tcW w:w="1705" w:type="dxa"/>
            <w:tcBorders>
              <w:top w:val="nil"/>
              <w:left w:val="nil"/>
              <w:bottom w:val="single" w:sz="4" w:space="0" w:color="auto"/>
              <w:right w:val="single" w:sz="8" w:space="0" w:color="auto"/>
            </w:tcBorders>
            <w:shd w:val="clear" w:color="auto" w:fill="auto"/>
            <w:vAlign w:val="bottom"/>
            <w:hideMark/>
          </w:tcPr>
          <w:p w14:paraId="316177A3" w14:textId="47F0911D" w:rsidR="00051A66" w:rsidRPr="00051A66" w:rsidRDefault="00051A66" w:rsidP="00330163">
            <w:pPr>
              <w:pStyle w:val="TableTextRight10pt"/>
            </w:pPr>
            <w:r>
              <w:t>$</w:t>
            </w:r>
            <w:r w:rsidR="00330163">
              <w:t>99.18</w:t>
            </w:r>
          </w:p>
        </w:tc>
      </w:tr>
      <w:tr w:rsidR="00051A66" w:rsidRPr="00051A66" w14:paraId="063140A7" w14:textId="77777777" w:rsidTr="00871E2B">
        <w:trPr>
          <w:gridAfter w:val="1"/>
          <w:wAfter w:w="10" w:type="dxa"/>
        </w:trPr>
        <w:tc>
          <w:tcPr>
            <w:tcW w:w="1549" w:type="dxa"/>
            <w:gridSpan w:val="2"/>
            <w:tcBorders>
              <w:top w:val="nil"/>
              <w:left w:val="single" w:sz="8" w:space="0" w:color="auto"/>
              <w:bottom w:val="single" w:sz="4" w:space="0" w:color="auto"/>
              <w:right w:val="single" w:sz="4" w:space="0" w:color="auto"/>
            </w:tcBorders>
            <w:shd w:val="clear" w:color="auto" w:fill="auto"/>
            <w:vAlign w:val="bottom"/>
            <w:hideMark/>
          </w:tcPr>
          <w:p w14:paraId="04489BF8" w14:textId="77777777" w:rsidR="00051A66" w:rsidRPr="00051A66" w:rsidRDefault="00051A66" w:rsidP="00A22ECC">
            <w:pPr>
              <w:pStyle w:val="TableTextLeft10pt"/>
            </w:pPr>
            <w:r w:rsidRPr="00051A66">
              <w:t>Technician</w:t>
            </w:r>
          </w:p>
        </w:tc>
        <w:tc>
          <w:tcPr>
            <w:tcW w:w="1403" w:type="dxa"/>
            <w:tcBorders>
              <w:top w:val="nil"/>
              <w:left w:val="nil"/>
              <w:bottom w:val="single" w:sz="4" w:space="0" w:color="auto"/>
              <w:right w:val="single" w:sz="4" w:space="0" w:color="auto"/>
            </w:tcBorders>
            <w:shd w:val="clear" w:color="auto" w:fill="auto"/>
            <w:vAlign w:val="bottom"/>
            <w:hideMark/>
          </w:tcPr>
          <w:p w14:paraId="7094206E" w14:textId="2F71ABBD" w:rsidR="00051A66" w:rsidRPr="00051A66" w:rsidRDefault="00051A66" w:rsidP="00A22ECC">
            <w:pPr>
              <w:pStyle w:val="TableTextRight10pt"/>
            </w:pPr>
            <w:r>
              <w:t>$</w:t>
            </w:r>
            <w:r w:rsidR="00330163">
              <w:t>32.64</w:t>
            </w:r>
          </w:p>
        </w:tc>
        <w:tc>
          <w:tcPr>
            <w:tcW w:w="1350" w:type="dxa"/>
            <w:tcBorders>
              <w:top w:val="nil"/>
              <w:left w:val="nil"/>
              <w:bottom w:val="single" w:sz="4" w:space="0" w:color="auto"/>
              <w:right w:val="single" w:sz="4" w:space="0" w:color="auto"/>
            </w:tcBorders>
            <w:shd w:val="clear" w:color="auto" w:fill="auto"/>
            <w:vAlign w:val="bottom"/>
          </w:tcPr>
          <w:p w14:paraId="7DAD1AA7" w14:textId="1A28976C" w:rsidR="00051A66" w:rsidRPr="00051A66" w:rsidRDefault="00330163" w:rsidP="00A22ECC">
            <w:pPr>
              <w:pStyle w:val="TableTextRight10pt"/>
            </w:pPr>
            <w:r>
              <w:t>17-3024</w:t>
            </w:r>
          </w:p>
        </w:tc>
        <w:tc>
          <w:tcPr>
            <w:tcW w:w="1367" w:type="dxa"/>
            <w:tcBorders>
              <w:top w:val="nil"/>
              <w:left w:val="nil"/>
              <w:bottom w:val="single" w:sz="4" w:space="0" w:color="auto"/>
              <w:right w:val="single" w:sz="4" w:space="0" w:color="auto"/>
            </w:tcBorders>
            <w:shd w:val="clear" w:color="auto" w:fill="auto"/>
            <w:vAlign w:val="bottom"/>
          </w:tcPr>
          <w:p w14:paraId="74E46F94" w14:textId="18C12861" w:rsidR="00051A66" w:rsidRPr="00051A66" w:rsidRDefault="00330163" w:rsidP="00A22ECC">
            <w:pPr>
              <w:pStyle w:val="TableTextRight10pt"/>
            </w:pPr>
            <w:r>
              <w:t>0.4489</w:t>
            </w:r>
          </w:p>
        </w:tc>
        <w:tc>
          <w:tcPr>
            <w:tcW w:w="1646" w:type="dxa"/>
            <w:tcBorders>
              <w:top w:val="nil"/>
              <w:left w:val="nil"/>
              <w:bottom w:val="single" w:sz="4" w:space="0" w:color="auto"/>
              <w:right w:val="single" w:sz="4" w:space="0" w:color="auto"/>
            </w:tcBorders>
            <w:shd w:val="clear" w:color="auto" w:fill="auto"/>
            <w:vAlign w:val="bottom"/>
            <w:hideMark/>
          </w:tcPr>
          <w:p w14:paraId="7A9964CB" w14:textId="77777777" w:rsidR="00051A66" w:rsidRPr="00051A66" w:rsidRDefault="00051A66" w:rsidP="00A22ECC">
            <w:pPr>
              <w:pStyle w:val="TableTextRight10pt"/>
            </w:pPr>
            <w:r w:rsidRPr="00051A66">
              <w:t>0.17</w:t>
            </w:r>
          </w:p>
        </w:tc>
        <w:tc>
          <w:tcPr>
            <w:tcW w:w="1705" w:type="dxa"/>
            <w:tcBorders>
              <w:top w:val="nil"/>
              <w:left w:val="nil"/>
              <w:bottom w:val="single" w:sz="4" w:space="0" w:color="auto"/>
              <w:right w:val="single" w:sz="8" w:space="0" w:color="auto"/>
            </w:tcBorders>
            <w:shd w:val="clear" w:color="auto" w:fill="auto"/>
            <w:vAlign w:val="bottom"/>
            <w:hideMark/>
          </w:tcPr>
          <w:p w14:paraId="69BCAC77" w14:textId="72FBEB0F" w:rsidR="00051A66" w:rsidRPr="00051A66" w:rsidRDefault="00051A66" w:rsidP="00A22ECC">
            <w:pPr>
              <w:pStyle w:val="TableTextRight10pt"/>
            </w:pPr>
            <w:r>
              <w:t>$</w:t>
            </w:r>
            <w:r w:rsidR="00330163">
              <w:t>52.84</w:t>
            </w:r>
          </w:p>
        </w:tc>
      </w:tr>
      <w:tr w:rsidR="00051A66" w:rsidRPr="00051A66" w14:paraId="532C37C7" w14:textId="77777777" w:rsidTr="00871E2B">
        <w:trPr>
          <w:gridAfter w:val="1"/>
          <w:wAfter w:w="10" w:type="dxa"/>
        </w:trPr>
        <w:tc>
          <w:tcPr>
            <w:tcW w:w="1549" w:type="dxa"/>
            <w:gridSpan w:val="2"/>
            <w:tcBorders>
              <w:top w:val="nil"/>
              <w:left w:val="single" w:sz="8" w:space="0" w:color="auto"/>
              <w:bottom w:val="single" w:sz="4" w:space="0" w:color="auto"/>
              <w:right w:val="single" w:sz="4" w:space="0" w:color="auto"/>
            </w:tcBorders>
            <w:shd w:val="clear" w:color="auto" w:fill="auto"/>
            <w:vAlign w:val="bottom"/>
            <w:hideMark/>
          </w:tcPr>
          <w:p w14:paraId="2A89FDF7" w14:textId="77777777" w:rsidR="00051A66" w:rsidRPr="00051A66" w:rsidRDefault="00051A66" w:rsidP="00A22ECC">
            <w:pPr>
              <w:pStyle w:val="TableTextLeft10pt"/>
            </w:pPr>
            <w:r w:rsidRPr="00051A66">
              <w:t>Middle manager</w:t>
            </w:r>
          </w:p>
        </w:tc>
        <w:tc>
          <w:tcPr>
            <w:tcW w:w="1403" w:type="dxa"/>
            <w:tcBorders>
              <w:top w:val="nil"/>
              <w:left w:val="nil"/>
              <w:bottom w:val="single" w:sz="4" w:space="0" w:color="auto"/>
              <w:right w:val="single" w:sz="4" w:space="0" w:color="auto"/>
            </w:tcBorders>
            <w:shd w:val="clear" w:color="auto" w:fill="auto"/>
            <w:vAlign w:val="bottom"/>
            <w:hideMark/>
          </w:tcPr>
          <w:p w14:paraId="0AE0C885" w14:textId="36D63998" w:rsidR="00051A66" w:rsidRPr="00051A66" w:rsidRDefault="00051A66" w:rsidP="00A22ECC">
            <w:pPr>
              <w:pStyle w:val="TableTextRight10pt"/>
            </w:pPr>
            <w:r>
              <w:t>$</w:t>
            </w:r>
            <w:r w:rsidR="00330163">
              <w:t>73.19</w:t>
            </w:r>
          </w:p>
        </w:tc>
        <w:tc>
          <w:tcPr>
            <w:tcW w:w="1350" w:type="dxa"/>
            <w:tcBorders>
              <w:top w:val="nil"/>
              <w:left w:val="nil"/>
              <w:bottom w:val="single" w:sz="4" w:space="0" w:color="auto"/>
              <w:right w:val="single" w:sz="4" w:space="0" w:color="auto"/>
            </w:tcBorders>
            <w:shd w:val="clear" w:color="auto" w:fill="auto"/>
            <w:vAlign w:val="bottom"/>
          </w:tcPr>
          <w:p w14:paraId="6C795D59" w14:textId="2F0E9DAE" w:rsidR="00051A66" w:rsidRPr="00051A66" w:rsidRDefault="00330163" w:rsidP="00A22ECC">
            <w:pPr>
              <w:pStyle w:val="TableTextRight10pt"/>
            </w:pPr>
            <w:r>
              <w:t>11-3051</w:t>
            </w:r>
          </w:p>
        </w:tc>
        <w:tc>
          <w:tcPr>
            <w:tcW w:w="1367" w:type="dxa"/>
            <w:tcBorders>
              <w:top w:val="nil"/>
              <w:left w:val="nil"/>
              <w:bottom w:val="single" w:sz="4" w:space="0" w:color="auto"/>
              <w:right w:val="single" w:sz="4" w:space="0" w:color="auto"/>
            </w:tcBorders>
            <w:shd w:val="clear" w:color="auto" w:fill="auto"/>
            <w:vAlign w:val="bottom"/>
          </w:tcPr>
          <w:p w14:paraId="06FF00AB" w14:textId="4536DDD1" w:rsidR="00051A66" w:rsidRPr="00051A66" w:rsidRDefault="00330163" w:rsidP="00A22ECC">
            <w:pPr>
              <w:pStyle w:val="TableTextRight10pt"/>
            </w:pPr>
            <w:r>
              <w:t>0.4539</w:t>
            </w:r>
          </w:p>
        </w:tc>
        <w:tc>
          <w:tcPr>
            <w:tcW w:w="1646" w:type="dxa"/>
            <w:tcBorders>
              <w:top w:val="nil"/>
              <w:left w:val="nil"/>
              <w:bottom w:val="single" w:sz="4" w:space="0" w:color="auto"/>
              <w:right w:val="single" w:sz="4" w:space="0" w:color="auto"/>
            </w:tcBorders>
            <w:shd w:val="clear" w:color="auto" w:fill="auto"/>
            <w:vAlign w:val="bottom"/>
            <w:hideMark/>
          </w:tcPr>
          <w:p w14:paraId="7FC951CC" w14:textId="77777777" w:rsidR="00051A66" w:rsidRPr="00051A66" w:rsidRDefault="00051A66" w:rsidP="00A22ECC">
            <w:pPr>
              <w:pStyle w:val="TableTextRight10pt"/>
            </w:pPr>
            <w:r w:rsidRPr="00051A66">
              <w:t>0.17</w:t>
            </w:r>
          </w:p>
        </w:tc>
        <w:tc>
          <w:tcPr>
            <w:tcW w:w="1705" w:type="dxa"/>
            <w:tcBorders>
              <w:top w:val="nil"/>
              <w:left w:val="nil"/>
              <w:bottom w:val="single" w:sz="4" w:space="0" w:color="auto"/>
              <w:right w:val="single" w:sz="8" w:space="0" w:color="auto"/>
            </w:tcBorders>
            <w:shd w:val="clear" w:color="auto" w:fill="auto"/>
            <w:vAlign w:val="bottom"/>
            <w:hideMark/>
          </w:tcPr>
          <w:p w14:paraId="6953E95B" w14:textId="4575A35F" w:rsidR="00051A66" w:rsidRPr="00051A66" w:rsidRDefault="00051A66" w:rsidP="00A22ECC">
            <w:pPr>
              <w:pStyle w:val="TableTextRight10pt"/>
            </w:pPr>
            <w:r>
              <w:t>$</w:t>
            </w:r>
            <w:r w:rsidR="00330163">
              <w:t>118.86</w:t>
            </w:r>
          </w:p>
        </w:tc>
      </w:tr>
      <w:tr w:rsidR="00051A66" w:rsidRPr="00051A66" w14:paraId="202C96B6" w14:textId="77777777" w:rsidTr="00871E2B">
        <w:trPr>
          <w:gridAfter w:val="1"/>
          <w:wAfter w:w="10" w:type="dxa"/>
        </w:trPr>
        <w:tc>
          <w:tcPr>
            <w:tcW w:w="1549" w:type="dxa"/>
            <w:gridSpan w:val="2"/>
            <w:tcBorders>
              <w:top w:val="nil"/>
              <w:left w:val="single" w:sz="8" w:space="0" w:color="auto"/>
              <w:bottom w:val="single" w:sz="8" w:space="0" w:color="auto"/>
              <w:right w:val="single" w:sz="4" w:space="0" w:color="auto"/>
            </w:tcBorders>
            <w:shd w:val="clear" w:color="auto" w:fill="auto"/>
            <w:vAlign w:val="bottom"/>
            <w:hideMark/>
          </w:tcPr>
          <w:p w14:paraId="6264A076" w14:textId="77777777" w:rsidR="00051A66" w:rsidRPr="00051A66" w:rsidRDefault="00051A66" w:rsidP="00A22ECC">
            <w:pPr>
              <w:pStyle w:val="TableTextLeft10pt"/>
            </w:pPr>
            <w:r w:rsidRPr="00051A66">
              <w:t>Senior manager</w:t>
            </w:r>
          </w:p>
        </w:tc>
        <w:tc>
          <w:tcPr>
            <w:tcW w:w="1403" w:type="dxa"/>
            <w:tcBorders>
              <w:top w:val="nil"/>
              <w:left w:val="nil"/>
              <w:bottom w:val="single" w:sz="8" w:space="0" w:color="auto"/>
              <w:right w:val="single" w:sz="4" w:space="0" w:color="auto"/>
            </w:tcBorders>
            <w:shd w:val="clear" w:color="auto" w:fill="auto"/>
            <w:vAlign w:val="bottom"/>
            <w:hideMark/>
          </w:tcPr>
          <w:p w14:paraId="496CC088" w14:textId="536C3E14" w:rsidR="00051A66" w:rsidRPr="00051A66" w:rsidRDefault="00051A66" w:rsidP="00A22ECC">
            <w:pPr>
              <w:pStyle w:val="TableTextRight10pt"/>
            </w:pPr>
            <w:r>
              <w:t>$</w:t>
            </w:r>
            <w:r w:rsidR="00330163">
              <w:t>78.55</w:t>
            </w:r>
          </w:p>
        </w:tc>
        <w:tc>
          <w:tcPr>
            <w:tcW w:w="1350" w:type="dxa"/>
            <w:tcBorders>
              <w:top w:val="nil"/>
              <w:left w:val="nil"/>
              <w:bottom w:val="single" w:sz="8" w:space="0" w:color="auto"/>
              <w:right w:val="single" w:sz="4" w:space="0" w:color="auto"/>
            </w:tcBorders>
            <w:shd w:val="clear" w:color="auto" w:fill="auto"/>
            <w:vAlign w:val="bottom"/>
          </w:tcPr>
          <w:p w14:paraId="6C23104C" w14:textId="5EC3D754" w:rsidR="00051A66" w:rsidRPr="00051A66" w:rsidRDefault="00330163" w:rsidP="00A22ECC">
            <w:pPr>
              <w:pStyle w:val="TableTextRight10pt"/>
            </w:pPr>
            <w:r>
              <w:t>11-1021</w:t>
            </w:r>
          </w:p>
        </w:tc>
        <w:tc>
          <w:tcPr>
            <w:tcW w:w="1367" w:type="dxa"/>
            <w:tcBorders>
              <w:top w:val="nil"/>
              <w:left w:val="nil"/>
              <w:bottom w:val="single" w:sz="8" w:space="0" w:color="auto"/>
              <w:right w:val="single" w:sz="4" w:space="0" w:color="auto"/>
            </w:tcBorders>
            <w:shd w:val="clear" w:color="auto" w:fill="auto"/>
            <w:vAlign w:val="bottom"/>
          </w:tcPr>
          <w:p w14:paraId="18352D39" w14:textId="64E866D4" w:rsidR="00051A66" w:rsidRPr="00051A66" w:rsidRDefault="00330163" w:rsidP="00A22ECC">
            <w:pPr>
              <w:pStyle w:val="TableTextRight10pt"/>
            </w:pPr>
            <w:r>
              <w:t>0.4829</w:t>
            </w:r>
          </w:p>
        </w:tc>
        <w:tc>
          <w:tcPr>
            <w:tcW w:w="1646" w:type="dxa"/>
            <w:tcBorders>
              <w:top w:val="nil"/>
              <w:left w:val="nil"/>
              <w:bottom w:val="single" w:sz="8" w:space="0" w:color="auto"/>
              <w:right w:val="single" w:sz="4" w:space="0" w:color="auto"/>
            </w:tcBorders>
            <w:shd w:val="clear" w:color="auto" w:fill="auto"/>
            <w:vAlign w:val="bottom"/>
            <w:hideMark/>
          </w:tcPr>
          <w:p w14:paraId="4B148FB1" w14:textId="77777777" w:rsidR="00051A66" w:rsidRPr="00051A66" w:rsidRDefault="00051A66" w:rsidP="00A22ECC">
            <w:pPr>
              <w:pStyle w:val="TableTextRight10pt"/>
            </w:pPr>
            <w:r w:rsidRPr="00051A66">
              <w:t>0.17</w:t>
            </w:r>
          </w:p>
        </w:tc>
        <w:tc>
          <w:tcPr>
            <w:tcW w:w="1705" w:type="dxa"/>
            <w:tcBorders>
              <w:top w:val="nil"/>
              <w:left w:val="nil"/>
              <w:bottom w:val="single" w:sz="8" w:space="0" w:color="auto"/>
              <w:right w:val="single" w:sz="8" w:space="0" w:color="auto"/>
            </w:tcBorders>
            <w:shd w:val="clear" w:color="auto" w:fill="auto"/>
            <w:vAlign w:val="bottom"/>
            <w:hideMark/>
          </w:tcPr>
          <w:p w14:paraId="6ED944AD" w14:textId="4D095657" w:rsidR="00051A66" w:rsidRPr="00051A66" w:rsidRDefault="00051A66" w:rsidP="00A22ECC">
            <w:pPr>
              <w:pStyle w:val="TableTextRight10pt"/>
            </w:pPr>
            <w:r>
              <w:t>$</w:t>
            </w:r>
            <w:r w:rsidR="00330163">
              <w:t>129.83</w:t>
            </w:r>
          </w:p>
        </w:tc>
      </w:tr>
      <w:tr w:rsidR="00051A66" w:rsidRPr="00051A66" w14:paraId="0386640B" w14:textId="77777777" w:rsidTr="00871E2B">
        <w:trPr>
          <w:gridBefore w:val="1"/>
          <w:wBefore w:w="10" w:type="dxa"/>
        </w:trPr>
        <w:tc>
          <w:tcPr>
            <w:tcW w:w="9020" w:type="dxa"/>
            <w:gridSpan w:val="7"/>
            <w:tcBorders>
              <w:top w:val="nil"/>
              <w:left w:val="nil"/>
              <w:bottom w:val="nil"/>
              <w:right w:val="nil"/>
            </w:tcBorders>
            <w:shd w:val="clear" w:color="auto" w:fill="auto"/>
            <w:vAlign w:val="bottom"/>
            <w:hideMark/>
          </w:tcPr>
          <w:p w14:paraId="699E9350" w14:textId="4A3E35DF" w:rsidR="00051A66" w:rsidRPr="00283A59" w:rsidRDefault="00051A66" w:rsidP="00330163">
            <w:pPr>
              <w:pStyle w:val="TableFootnote9pt"/>
            </w:pPr>
            <w:proofErr w:type="spellStart"/>
            <w:r w:rsidRPr="00A22ECC">
              <w:rPr>
                <w:rStyle w:val="Superscript"/>
              </w:rPr>
              <w:t>a</w:t>
            </w:r>
            <w:proofErr w:type="spellEnd"/>
            <w:r w:rsidRPr="00283A59">
              <w:t xml:space="preserve"> The base hourly wages &amp; salaries (not including benefits &amp; overhead) are from BLS's</w:t>
            </w:r>
            <w:r w:rsidR="00330163">
              <w:t xml:space="preserve"> May 2014 National Industry-Specific Occupational Employment and Wage Estimates (http://www.bls.gov/oes/current/oessrci.htm).</w:t>
            </w:r>
          </w:p>
        </w:tc>
      </w:tr>
      <w:tr w:rsidR="00051A66" w:rsidRPr="00051A66" w14:paraId="2A483C98" w14:textId="77777777" w:rsidTr="00871E2B">
        <w:trPr>
          <w:gridBefore w:val="1"/>
          <w:wBefore w:w="10" w:type="dxa"/>
        </w:trPr>
        <w:tc>
          <w:tcPr>
            <w:tcW w:w="9020" w:type="dxa"/>
            <w:gridSpan w:val="7"/>
            <w:tcBorders>
              <w:top w:val="nil"/>
              <w:left w:val="nil"/>
              <w:bottom w:val="nil"/>
              <w:right w:val="nil"/>
            </w:tcBorders>
            <w:shd w:val="clear" w:color="auto" w:fill="auto"/>
            <w:vAlign w:val="bottom"/>
            <w:hideMark/>
          </w:tcPr>
          <w:p w14:paraId="55B8B6C3" w14:textId="77DC70B3" w:rsidR="00051A66" w:rsidRPr="00283A59" w:rsidRDefault="00051A66" w:rsidP="00330163">
            <w:pPr>
              <w:pStyle w:val="TableFootnote9pt"/>
            </w:pPr>
            <w:proofErr w:type="gramStart"/>
            <w:r w:rsidRPr="00A22ECC">
              <w:rPr>
                <w:rStyle w:val="Superscript"/>
              </w:rPr>
              <w:t>b</w:t>
            </w:r>
            <w:proofErr w:type="gramEnd"/>
            <w:r w:rsidRPr="00283A59">
              <w:t xml:space="preserve"> </w:t>
            </w:r>
            <w:r w:rsidR="00330163">
              <w:t>From BLS's ECEC (http://www.bls.gov/ect/home.htm) for June of 2014, Table 2, using the ratio of wages and benefits to calculate the loading factor. For Technical, Engineers, and Technicians, used “Professional and related.” For Managerial, Middle Manager, and Senior Manager, used “Management, business, and financial.”</w:t>
            </w:r>
          </w:p>
        </w:tc>
      </w:tr>
      <w:tr w:rsidR="00051A66" w:rsidRPr="00051A66" w14:paraId="0A01001C" w14:textId="77777777" w:rsidTr="00871E2B">
        <w:trPr>
          <w:gridBefore w:val="1"/>
          <w:wBefore w:w="10" w:type="dxa"/>
        </w:trPr>
        <w:tc>
          <w:tcPr>
            <w:tcW w:w="9020" w:type="dxa"/>
            <w:gridSpan w:val="7"/>
            <w:tcBorders>
              <w:top w:val="nil"/>
              <w:left w:val="nil"/>
              <w:bottom w:val="nil"/>
              <w:right w:val="nil"/>
            </w:tcBorders>
            <w:shd w:val="clear" w:color="auto" w:fill="auto"/>
            <w:vAlign w:val="bottom"/>
            <w:hideMark/>
          </w:tcPr>
          <w:p w14:paraId="30496052" w14:textId="77777777" w:rsidR="00051A66" w:rsidRPr="00283A59" w:rsidRDefault="00051A66" w:rsidP="00A22ECC">
            <w:pPr>
              <w:pStyle w:val="TableFootnote9pt"/>
            </w:pPr>
            <w:proofErr w:type="gramStart"/>
            <w:r w:rsidRPr="00A22ECC">
              <w:rPr>
                <w:rStyle w:val="Superscript"/>
              </w:rPr>
              <w:t>c</w:t>
            </w:r>
            <w:proofErr w:type="gramEnd"/>
            <w:r w:rsidRPr="00283A59">
              <w:t xml:space="preserve"> The overhead loading factor is from Rice, Cody 2002. "Wage Rates for Economic Analyses of the Toxics Release Inventory Program,” Analytical Support Branch, Environmental Analysis Division, Office of Environmental Information, U.S. EPA, June 10, 2002.</w:t>
            </w:r>
          </w:p>
        </w:tc>
      </w:tr>
      <w:tr w:rsidR="00051A66" w:rsidRPr="00051A66" w14:paraId="0B7FD26D" w14:textId="77777777" w:rsidTr="00871E2B">
        <w:trPr>
          <w:gridBefore w:val="1"/>
          <w:wBefore w:w="10" w:type="dxa"/>
        </w:trPr>
        <w:tc>
          <w:tcPr>
            <w:tcW w:w="9020" w:type="dxa"/>
            <w:gridSpan w:val="7"/>
            <w:tcBorders>
              <w:top w:val="nil"/>
              <w:left w:val="nil"/>
              <w:bottom w:val="nil"/>
              <w:right w:val="nil"/>
            </w:tcBorders>
            <w:shd w:val="clear" w:color="auto" w:fill="auto"/>
            <w:vAlign w:val="bottom"/>
            <w:hideMark/>
          </w:tcPr>
          <w:p w14:paraId="636DEF3D" w14:textId="39C9D3ED" w:rsidR="00051A66" w:rsidRPr="00283A59" w:rsidRDefault="00051A66" w:rsidP="00330163">
            <w:pPr>
              <w:pStyle w:val="TableFootnote9pt"/>
            </w:pPr>
            <w:proofErr w:type="gramStart"/>
            <w:r w:rsidRPr="00A22ECC">
              <w:rPr>
                <w:rStyle w:val="Superscript"/>
              </w:rPr>
              <w:t>d</w:t>
            </w:r>
            <w:proofErr w:type="gramEnd"/>
            <w:r w:rsidRPr="00283A59">
              <w:t xml:space="preserve"> The loaded hourly rate = Wages </w:t>
            </w:r>
            <w:r w:rsidR="00330163">
              <w:t>&amp; Salaries + (Wages &amp; Salaries *</w:t>
            </w:r>
            <w:r w:rsidRPr="00283A59">
              <w:t xml:space="preserve"> Benefits Loading Factor) + (Wages &amp; Salaries * Overhead Loading Factor).</w:t>
            </w:r>
          </w:p>
        </w:tc>
      </w:tr>
    </w:tbl>
    <w:p w14:paraId="41B85C37" w14:textId="77777777" w:rsidR="00D87E92" w:rsidRDefault="00D87E92" w:rsidP="00871E2B">
      <w:pPr>
        <w:pStyle w:val="AfterTable"/>
      </w:pPr>
    </w:p>
    <w:p w14:paraId="58B681CC" w14:textId="70B508A8" w:rsidR="005833D1" w:rsidRPr="000335D8" w:rsidRDefault="005833D1" w:rsidP="00135133">
      <w:pPr>
        <w:pStyle w:val="Paragraph"/>
      </w:pPr>
      <w:r w:rsidRPr="0007115B">
        <w:t xml:space="preserve">Burden estimates </w:t>
      </w:r>
      <w:r w:rsidR="000335D8" w:rsidRPr="0007115B">
        <w:t xml:space="preserve">related to these </w:t>
      </w:r>
      <w:r w:rsidR="00E575A7">
        <w:t xml:space="preserve">proposed </w:t>
      </w:r>
      <w:r w:rsidR="000335D8" w:rsidRPr="0007115B">
        <w:t xml:space="preserve">amendments </w:t>
      </w:r>
      <w:r w:rsidRPr="0007115B">
        <w:t xml:space="preserve">were calculated by assigning </w:t>
      </w:r>
      <w:r w:rsidR="001D0752" w:rsidRPr="0007115B">
        <w:t xml:space="preserve">a level of effort of </w:t>
      </w:r>
      <w:r w:rsidR="00E575A7">
        <w:t>2</w:t>
      </w:r>
      <w:r w:rsidR="001D0752" w:rsidRPr="0007115B">
        <w:t xml:space="preserve"> hours to an Engineer to update</w:t>
      </w:r>
      <w:r w:rsidR="0015255F" w:rsidRPr="0007115B">
        <w:t xml:space="preserve"> the </w:t>
      </w:r>
      <w:r w:rsidR="00E755DE">
        <w:t>facility-specific calculation mechanism</w:t>
      </w:r>
      <w:r w:rsidR="00135133">
        <w:t xml:space="preserve"> to accommodate the new methods and emission factors</w:t>
      </w:r>
      <w:r w:rsidR="0015255F" w:rsidRPr="0007115B">
        <w:t>. Th</w:t>
      </w:r>
      <w:r w:rsidR="000335D8" w:rsidRPr="0007115B">
        <w:t>erefore, the estimated cost per reporter is</w:t>
      </w:r>
      <w:r w:rsidR="0015255F" w:rsidRPr="0007115B">
        <w:t xml:space="preserve"> </w:t>
      </w:r>
      <w:r w:rsidR="000335D8" w:rsidRPr="0007115B">
        <w:t>$198.36.</w:t>
      </w:r>
    </w:p>
    <w:p w14:paraId="0EB4EBB6" w14:textId="5D6D5F13" w:rsidR="009C3C56" w:rsidRDefault="009C3C56" w:rsidP="00A75823">
      <w:pPr>
        <w:pStyle w:val="Paragraph"/>
      </w:pPr>
      <w:r w:rsidRPr="000335D8">
        <w:t xml:space="preserve">For details of the burden calculations, please see </w:t>
      </w:r>
      <w:r w:rsidRPr="00A75823">
        <w:t xml:space="preserve">Appendix </w:t>
      </w:r>
      <w:r w:rsidR="00A75823" w:rsidRPr="00A75823">
        <w:t>A</w:t>
      </w:r>
      <w:r w:rsidRPr="00A75823">
        <w:t>.</w:t>
      </w:r>
    </w:p>
    <w:p w14:paraId="53CBD122" w14:textId="4048A98F" w:rsidR="0081447B" w:rsidRDefault="000335D8" w:rsidP="00F43392">
      <w:pPr>
        <w:pStyle w:val="Paragraph"/>
      </w:pPr>
      <w:r>
        <w:t xml:space="preserve">No other changes are </w:t>
      </w:r>
      <w:r w:rsidR="00E575A7">
        <w:t xml:space="preserve">proposed to </w:t>
      </w:r>
      <w:r>
        <w:t xml:space="preserve">be made to the existing burden estimates established by ICR </w:t>
      </w:r>
      <w:r w:rsidR="00011188">
        <w:t xml:space="preserve">Number </w:t>
      </w:r>
      <w:r>
        <w:t xml:space="preserve">2300.17 </w:t>
      </w:r>
      <w:r w:rsidR="0081447B">
        <w:t>(80 FR 68534; November 5, 2015).</w:t>
      </w:r>
    </w:p>
    <w:p w14:paraId="3EE09252" w14:textId="4D22E21D" w:rsidR="000335D8" w:rsidRDefault="003F4A25" w:rsidP="0081447B">
      <w:pPr>
        <w:pStyle w:val="Paragraph"/>
      </w:pPr>
      <w:r w:rsidRPr="00011188">
        <w:t xml:space="preserve">(ii) </w:t>
      </w:r>
      <w:r w:rsidR="00B2294E" w:rsidRPr="00011188">
        <w:rPr>
          <w:rStyle w:val="Underline"/>
        </w:rPr>
        <w:t>Estimating Capital and Operations and Maintenance (O&amp;M) Costs.</w:t>
      </w:r>
      <w:r w:rsidR="00B2294E" w:rsidRPr="00011188">
        <w:t xml:space="preserve"> The</w:t>
      </w:r>
      <w:r w:rsidR="000335D8" w:rsidRPr="00011188">
        <w:t>se</w:t>
      </w:r>
      <w:r w:rsidR="00B2294E" w:rsidRPr="00011188">
        <w:t xml:space="preserve"> </w:t>
      </w:r>
      <w:r w:rsidR="00E575A7">
        <w:t xml:space="preserve">proposed </w:t>
      </w:r>
      <w:r w:rsidR="00B2294E" w:rsidRPr="00011188">
        <w:t xml:space="preserve">amendments to subpart W </w:t>
      </w:r>
      <w:r w:rsidR="00E575A7">
        <w:t>would</w:t>
      </w:r>
      <w:r w:rsidR="000335D8" w:rsidRPr="00011188">
        <w:t xml:space="preserve"> not impact the</w:t>
      </w:r>
      <w:r w:rsidR="00264265" w:rsidRPr="00011188">
        <w:t xml:space="preserve"> capital and O&amp;M costs required to comply with the monitoring, recordkeeping, and reporting </w:t>
      </w:r>
      <w:r w:rsidR="0016111B" w:rsidRPr="00011188">
        <w:t xml:space="preserve">of emissions within </w:t>
      </w:r>
      <w:r w:rsidR="00264265" w:rsidRPr="00011188">
        <w:t>this rule.</w:t>
      </w:r>
    </w:p>
    <w:p w14:paraId="39F6A19B" w14:textId="1D2AF0B4" w:rsidR="003F4A25" w:rsidRPr="00A22ECC" w:rsidRDefault="000335D8" w:rsidP="0081447B">
      <w:pPr>
        <w:pStyle w:val="Paragraph"/>
        <w:sectPr w:rsidR="003F4A25" w:rsidRPr="00A22ECC" w:rsidSect="005E65EE">
          <w:footerReference w:type="default" r:id="rId9"/>
          <w:type w:val="continuous"/>
          <w:pgSz w:w="12240" w:h="15840"/>
          <w:pgMar w:top="1440" w:right="1440" w:bottom="1440" w:left="1440" w:header="1440" w:footer="576" w:gutter="0"/>
          <w:cols w:space="720"/>
          <w:noEndnote/>
          <w:docGrid w:linePitch="326"/>
        </w:sectPr>
      </w:pPr>
      <w:r>
        <w:t xml:space="preserve">No changes are </w:t>
      </w:r>
      <w:r w:rsidR="00496501">
        <w:t xml:space="preserve">proposed to </w:t>
      </w:r>
      <w:r>
        <w:t xml:space="preserve">be made to the existing capital and O&amp;M costs established by ICR </w:t>
      </w:r>
      <w:r w:rsidR="00011188">
        <w:t xml:space="preserve">Number </w:t>
      </w:r>
      <w:r>
        <w:t>2300.17</w:t>
      </w:r>
      <w:r w:rsidR="0081447B">
        <w:t xml:space="preserve"> </w:t>
      </w:r>
      <w:r w:rsidR="0053683C">
        <w:t>(</w:t>
      </w:r>
      <w:r w:rsidR="0081447B">
        <w:t>80 FR 68534; November 5, 2015).</w:t>
      </w:r>
    </w:p>
    <w:p w14:paraId="45A295CB" w14:textId="77777777" w:rsidR="00B8253A" w:rsidRDefault="00EB2EF0" w:rsidP="00051A66">
      <w:pPr>
        <w:pStyle w:val="TableTitle"/>
      </w:pPr>
      <w:r>
        <w:lastRenderedPageBreak/>
        <w:t>Exhibit 6.1 Annual Average Respondent Burden and Cost</w:t>
      </w:r>
      <w:r w:rsidR="00B8253A">
        <w:t xml:space="preserve"> </w:t>
      </w:r>
      <w:r w:rsidR="003F4A25">
        <w:t>f</w:t>
      </w:r>
      <w:r>
        <w:t xml:space="preserve">or Subpart W of the </w:t>
      </w:r>
      <w:r w:rsidR="00A3731A">
        <w:t>GHGRP</w:t>
      </w:r>
    </w:p>
    <w:tbl>
      <w:tblPr>
        <w:tblW w:w="5000" w:type="pct"/>
        <w:tblCellMar>
          <w:left w:w="58" w:type="dxa"/>
          <w:right w:w="58" w:type="dxa"/>
        </w:tblCellMar>
        <w:tblLook w:val="04A0" w:firstRow="1" w:lastRow="0" w:firstColumn="1" w:lastColumn="0" w:noHBand="0" w:noVBand="1"/>
      </w:tblPr>
      <w:tblGrid>
        <w:gridCol w:w="2273"/>
        <w:gridCol w:w="1408"/>
        <w:gridCol w:w="1335"/>
        <w:gridCol w:w="1372"/>
        <w:gridCol w:w="1783"/>
        <w:gridCol w:w="1586"/>
        <w:gridCol w:w="1509"/>
        <w:gridCol w:w="1674"/>
      </w:tblGrid>
      <w:tr w:rsidR="005202CD" w:rsidRPr="00B8253A" w14:paraId="1B2AC144" w14:textId="77777777" w:rsidTr="002349E8">
        <w:tc>
          <w:tcPr>
            <w:tcW w:w="878" w:type="pct"/>
            <w:tcBorders>
              <w:top w:val="single" w:sz="8" w:space="0" w:color="auto"/>
              <w:left w:val="single" w:sz="8" w:space="0" w:color="auto"/>
              <w:bottom w:val="single" w:sz="8" w:space="0" w:color="auto"/>
              <w:right w:val="single" w:sz="8" w:space="0" w:color="auto"/>
            </w:tcBorders>
            <w:shd w:val="clear" w:color="000000" w:fill="CCFFFF"/>
            <w:vAlign w:val="center"/>
            <w:hideMark/>
          </w:tcPr>
          <w:p w14:paraId="09596876" w14:textId="77777777" w:rsidR="005202CD" w:rsidRPr="00A22ECC" w:rsidRDefault="005202CD" w:rsidP="00A22ECC">
            <w:pPr>
              <w:pStyle w:val="TableColumnHeading9pt"/>
            </w:pPr>
            <w:bookmarkStart w:id="0" w:name="RANGE!B2:N13"/>
            <w:r w:rsidRPr="00A22ECC">
              <w:t>Subpart W</w:t>
            </w:r>
            <w:r w:rsidRPr="00A22ECC">
              <w:br/>
              <w:t>Industry Segment</w:t>
            </w:r>
            <w:bookmarkEnd w:id="0"/>
          </w:p>
        </w:tc>
        <w:tc>
          <w:tcPr>
            <w:tcW w:w="544" w:type="pct"/>
            <w:tcBorders>
              <w:top w:val="single" w:sz="8" w:space="0" w:color="auto"/>
              <w:left w:val="nil"/>
              <w:bottom w:val="single" w:sz="4" w:space="0" w:color="auto"/>
              <w:right w:val="single" w:sz="4" w:space="0" w:color="auto"/>
            </w:tcBorders>
            <w:shd w:val="clear" w:color="000000" w:fill="CCFFFF"/>
            <w:vAlign w:val="center"/>
            <w:hideMark/>
          </w:tcPr>
          <w:p w14:paraId="460936EE" w14:textId="77777777" w:rsidR="005202CD" w:rsidRPr="00A22ECC" w:rsidRDefault="005202CD" w:rsidP="00A22ECC">
            <w:pPr>
              <w:pStyle w:val="TableColumnHeading9pt"/>
            </w:pPr>
            <w:r w:rsidRPr="00A22ECC">
              <w:t>No. Respond</w:t>
            </w:r>
            <w:r>
              <w:softHyphen/>
            </w:r>
            <w:r w:rsidRPr="00A22ECC">
              <w:t>ents</w:t>
            </w:r>
          </w:p>
        </w:tc>
        <w:tc>
          <w:tcPr>
            <w:tcW w:w="516" w:type="pct"/>
            <w:tcBorders>
              <w:top w:val="single" w:sz="8" w:space="0" w:color="auto"/>
              <w:left w:val="nil"/>
              <w:bottom w:val="single" w:sz="4" w:space="0" w:color="auto"/>
              <w:right w:val="single" w:sz="4" w:space="0" w:color="auto"/>
            </w:tcBorders>
            <w:shd w:val="clear" w:color="000000" w:fill="CCFFFF"/>
            <w:vAlign w:val="center"/>
            <w:hideMark/>
          </w:tcPr>
          <w:p w14:paraId="6A8D2DE9" w14:textId="77777777" w:rsidR="005202CD" w:rsidRPr="00A22ECC" w:rsidRDefault="005202CD" w:rsidP="00A22ECC">
            <w:pPr>
              <w:pStyle w:val="TableColumnHeading9pt"/>
            </w:pPr>
            <w:r w:rsidRPr="00A22ECC">
              <w:t>Total Responses</w:t>
            </w:r>
          </w:p>
        </w:tc>
        <w:tc>
          <w:tcPr>
            <w:tcW w:w="530" w:type="pct"/>
            <w:tcBorders>
              <w:top w:val="single" w:sz="8" w:space="0" w:color="auto"/>
              <w:left w:val="nil"/>
              <w:bottom w:val="single" w:sz="4" w:space="0" w:color="auto"/>
              <w:right w:val="single" w:sz="4" w:space="0" w:color="auto"/>
            </w:tcBorders>
            <w:shd w:val="clear" w:color="000000" w:fill="CCFFFF"/>
            <w:vAlign w:val="center"/>
            <w:hideMark/>
          </w:tcPr>
          <w:p w14:paraId="5A75C4C9" w14:textId="77777777" w:rsidR="005202CD" w:rsidRPr="00A22ECC" w:rsidRDefault="005202CD" w:rsidP="00A22ECC">
            <w:pPr>
              <w:pStyle w:val="TableColumnHeading9pt"/>
            </w:pPr>
            <w:r w:rsidRPr="00A22ECC">
              <w:t xml:space="preserve">Total Burden </w:t>
            </w:r>
            <w:r w:rsidRPr="00A22ECC">
              <w:br/>
              <w:t>(</w:t>
            </w:r>
            <w:proofErr w:type="spellStart"/>
            <w:r w:rsidRPr="00A22ECC">
              <w:t>hrs</w:t>
            </w:r>
            <w:proofErr w:type="spellEnd"/>
            <w:r w:rsidRPr="00A22ECC">
              <w:t>)</w:t>
            </w:r>
          </w:p>
        </w:tc>
        <w:tc>
          <w:tcPr>
            <w:tcW w:w="689" w:type="pct"/>
            <w:tcBorders>
              <w:top w:val="single" w:sz="8" w:space="0" w:color="auto"/>
              <w:left w:val="nil"/>
              <w:bottom w:val="single" w:sz="4" w:space="0" w:color="auto"/>
              <w:right w:val="single" w:sz="4" w:space="0" w:color="auto"/>
            </w:tcBorders>
            <w:shd w:val="clear" w:color="000000" w:fill="CCFFFF"/>
            <w:vAlign w:val="center"/>
            <w:hideMark/>
          </w:tcPr>
          <w:p w14:paraId="730B49B4" w14:textId="38B1EC0A" w:rsidR="005202CD" w:rsidRPr="00A22ECC" w:rsidRDefault="005202CD" w:rsidP="00A22ECC">
            <w:pPr>
              <w:pStyle w:val="TableColumnHeading9pt"/>
            </w:pPr>
            <w:r>
              <w:t>Total Labor Cost</w:t>
            </w:r>
          </w:p>
        </w:tc>
        <w:tc>
          <w:tcPr>
            <w:tcW w:w="613" w:type="pct"/>
            <w:tcBorders>
              <w:top w:val="single" w:sz="8" w:space="0" w:color="auto"/>
              <w:left w:val="nil"/>
              <w:bottom w:val="single" w:sz="4" w:space="0" w:color="auto"/>
              <w:right w:val="single" w:sz="4" w:space="0" w:color="auto"/>
            </w:tcBorders>
            <w:shd w:val="clear" w:color="000000" w:fill="CCFFFF"/>
            <w:vAlign w:val="center"/>
            <w:hideMark/>
          </w:tcPr>
          <w:p w14:paraId="131773CE" w14:textId="5EC1E588" w:rsidR="005202CD" w:rsidRPr="00A22ECC" w:rsidRDefault="005202CD" w:rsidP="00A22ECC">
            <w:pPr>
              <w:pStyle w:val="TableColumnHeading9pt"/>
            </w:pPr>
            <w:r>
              <w:t>Capital Cost</w:t>
            </w:r>
          </w:p>
        </w:tc>
        <w:tc>
          <w:tcPr>
            <w:tcW w:w="583" w:type="pct"/>
            <w:tcBorders>
              <w:top w:val="single" w:sz="8" w:space="0" w:color="auto"/>
              <w:left w:val="nil"/>
              <w:bottom w:val="single" w:sz="4" w:space="0" w:color="auto"/>
              <w:right w:val="single" w:sz="4" w:space="0" w:color="auto"/>
            </w:tcBorders>
            <w:shd w:val="clear" w:color="000000" w:fill="CCFFFF"/>
            <w:vAlign w:val="center"/>
            <w:hideMark/>
          </w:tcPr>
          <w:p w14:paraId="05C27198" w14:textId="34672C84" w:rsidR="005202CD" w:rsidRPr="00A22ECC" w:rsidRDefault="005202CD" w:rsidP="00A22ECC">
            <w:pPr>
              <w:pStyle w:val="TableColumnHeading9pt"/>
            </w:pPr>
            <w:r>
              <w:t>O&amp;M Cost</w:t>
            </w:r>
          </w:p>
        </w:tc>
        <w:tc>
          <w:tcPr>
            <w:tcW w:w="647" w:type="pct"/>
            <w:tcBorders>
              <w:top w:val="single" w:sz="8" w:space="0" w:color="auto"/>
              <w:left w:val="nil"/>
              <w:bottom w:val="single" w:sz="4" w:space="0" w:color="auto"/>
              <w:right w:val="single" w:sz="8" w:space="0" w:color="auto"/>
            </w:tcBorders>
            <w:shd w:val="clear" w:color="000000" w:fill="CCFFFF"/>
            <w:vAlign w:val="center"/>
            <w:hideMark/>
          </w:tcPr>
          <w:p w14:paraId="0F8C79D6" w14:textId="0B1DCDB9" w:rsidR="005202CD" w:rsidRPr="00A22ECC" w:rsidRDefault="005202CD" w:rsidP="00A22ECC">
            <w:pPr>
              <w:pStyle w:val="TableColumnHeading9pt"/>
            </w:pPr>
            <w:r>
              <w:t>Total Cost</w:t>
            </w:r>
          </w:p>
        </w:tc>
      </w:tr>
      <w:tr w:rsidR="005202CD" w:rsidRPr="00B8253A" w14:paraId="7EF66EC4" w14:textId="77777777" w:rsidTr="002349E8">
        <w:tc>
          <w:tcPr>
            <w:tcW w:w="878" w:type="pct"/>
            <w:tcBorders>
              <w:top w:val="single" w:sz="4" w:space="0" w:color="auto"/>
              <w:left w:val="single" w:sz="8" w:space="0" w:color="auto"/>
              <w:bottom w:val="single" w:sz="4" w:space="0" w:color="auto"/>
              <w:right w:val="nil"/>
            </w:tcBorders>
            <w:shd w:val="clear" w:color="auto" w:fill="auto"/>
            <w:vAlign w:val="bottom"/>
            <w:hideMark/>
          </w:tcPr>
          <w:p w14:paraId="5244FBDC" w14:textId="77777777" w:rsidR="005202CD" w:rsidRPr="00A22ECC" w:rsidRDefault="005202CD" w:rsidP="00A22ECC">
            <w:pPr>
              <w:pStyle w:val="TableTextLeft9pt"/>
            </w:pPr>
            <w:r w:rsidRPr="00A22ECC">
              <w:t>Onshore Natural Gas Transmission Pipelines</w:t>
            </w:r>
          </w:p>
        </w:tc>
        <w:tc>
          <w:tcPr>
            <w:tcW w:w="544" w:type="pct"/>
            <w:tcBorders>
              <w:top w:val="nil"/>
              <w:left w:val="single" w:sz="8" w:space="0" w:color="auto"/>
              <w:bottom w:val="single" w:sz="4" w:space="0" w:color="auto"/>
              <w:right w:val="single" w:sz="4" w:space="0" w:color="auto"/>
            </w:tcBorders>
            <w:shd w:val="clear" w:color="auto" w:fill="auto"/>
            <w:noWrap/>
            <w:vAlign w:val="center"/>
          </w:tcPr>
          <w:p w14:paraId="3B7EFC91" w14:textId="18CEA0E0" w:rsidR="005202CD" w:rsidRPr="00B8253A" w:rsidRDefault="005202CD" w:rsidP="00652DC8">
            <w:pPr>
              <w:pStyle w:val="TableTextCenter9pt"/>
            </w:pPr>
            <w:r>
              <w:t>183</w:t>
            </w:r>
          </w:p>
        </w:tc>
        <w:tc>
          <w:tcPr>
            <w:tcW w:w="516" w:type="pct"/>
            <w:tcBorders>
              <w:top w:val="nil"/>
              <w:left w:val="nil"/>
              <w:bottom w:val="single" w:sz="4" w:space="0" w:color="auto"/>
              <w:right w:val="single" w:sz="4" w:space="0" w:color="auto"/>
            </w:tcBorders>
            <w:shd w:val="clear" w:color="auto" w:fill="auto"/>
            <w:noWrap/>
            <w:vAlign w:val="center"/>
          </w:tcPr>
          <w:p w14:paraId="11AC11C2" w14:textId="6B2E37B1" w:rsidR="005202CD" w:rsidRPr="00B8253A" w:rsidRDefault="005202CD" w:rsidP="00652DC8">
            <w:pPr>
              <w:pStyle w:val="TableTextCenter9pt"/>
            </w:pPr>
            <w:r>
              <w:t>366</w:t>
            </w:r>
          </w:p>
        </w:tc>
        <w:tc>
          <w:tcPr>
            <w:tcW w:w="530" w:type="pct"/>
            <w:tcBorders>
              <w:top w:val="nil"/>
              <w:left w:val="nil"/>
              <w:bottom w:val="single" w:sz="4" w:space="0" w:color="auto"/>
              <w:right w:val="single" w:sz="4" w:space="0" w:color="auto"/>
            </w:tcBorders>
            <w:shd w:val="clear" w:color="auto" w:fill="auto"/>
            <w:noWrap/>
            <w:vAlign w:val="center"/>
          </w:tcPr>
          <w:p w14:paraId="089D82A5" w14:textId="77414035" w:rsidR="005202CD" w:rsidRPr="00B8253A" w:rsidRDefault="005202CD" w:rsidP="00652DC8">
            <w:pPr>
              <w:pStyle w:val="TableTextCenter9pt"/>
            </w:pPr>
            <w:r>
              <w:t>5,490</w:t>
            </w:r>
          </w:p>
        </w:tc>
        <w:tc>
          <w:tcPr>
            <w:tcW w:w="689" w:type="pct"/>
            <w:tcBorders>
              <w:top w:val="nil"/>
              <w:left w:val="nil"/>
              <w:bottom w:val="single" w:sz="4" w:space="0" w:color="auto"/>
              <w:right w:val="single" w:sz="8" w:space="0" w:color="auto"/>
            </w:tcBorders>
            <w:shd w:val="clear" w:color="auto" w:fill="auto"/>
            <w:noWrap/>
            <w:vAlign w:val="center"/>
          </w:tcPr>
          <w:p w14:paraId="1DA996B6" w14:textId="28C946CE" w:rsidR="005202CD" w:rsidRPr="00B8253A" w:rsidRDefault="005202CD" w:rsidP="00652DC8">
            <w:pPr>
              <w:pStyle w:val="TableTextCenter9pt"/>
            </w:pPr>
            <w:r>
              <w:t>$580,852</w:t>
            </w:r>
          </w:p>
        </w:tc>
        <w:tc>
          <w:tcPr>
            <w:tcW w:w="613" w:type="pct"/>
            <w:tcBorders>
              <w:top w:val="nil"/>
              <w:left w:val="single" w:sz="4" w:space="0" w:color="auto"/>
              <w:bottom w:val="single" w:sz="4" w:space="0" w:color="auto"/>
              <w:right w:val="single" w:sz="8" w:space="0" w:color="auto"/>
            </w:tcBorders>
            <w:shd w:val="clear" w:color="auto" w:fill="auto"/>
            <w:noWrap/>
            <w:vAlign w:val="center"/>
          </w:tcPr>
          <w:p w14:paraId="0E078263" w14:textId="0E0882EC" w:rsidR="005202CD" w:rsidRPr="00B8253A" w:rsidRDefault="005202CD" w:rsidP="005202CD">
            <w:pPr>
              <w:pStyle w:val="TableTextCenter9pt"/>
            </w:pPr>
            <w:r>
              <w:t>$107,117</w:t>
            </w:r>
          </w:p>
        </w:tc>
        <w:tc>
          <w:tcPr>
            <w:tcW w:w="583" w:type="pct"/>
            <w:tcBorders>
              <w:top w:val="nil"/>
              <w:left w:val="single" w:sz="4" w:space="0" w:color="auto"/>
              <w:bottom w:val="single" w:sz="4" w:space="0" w:color="auto"/>
              <w:right w:val="single" w:sz="8" w:space="0" w:color="auto"/>
            </w:tcBorders>
            <w:shd w:val="clear" w:color="auto" w:fill="auto"/>
            <w:noWrap/>
            <w:vAlign w:val="center"/>
          </w:tcPr>
          <w:p w14:paraId="5121C144" w14:textId="30E32817" w:rsidR="005202CD" w:rsidRPr="00B8253A" w:rsidRDefault="005202CD" w:rsidP="00A22ECC">
            <w:pPr>
              <w:pStyle w:val="TableTextCenter9pt"/>
            </w:pPr>
            <w:r>
              <w:t>$0</w:t>
            </w:r>
          </w:p>
        </w:tc>
        <w:tc>
          <w:tcPr>
            <w:tcW w:w="647" w:type="pct"/>
            <w:tcBorders>
              <w:top w:val="nil"/>
              <w:left w:val="single" w:sz="4" w:space="0" w:color="auto"/>
              <w:bottom w:val="single" w:sz="4" w:space="0" w:color="auto"/>
              <w:right w:val="single" w:sz="8" w:space="0" w:color="auto"/>
            </w:tcBorders>
            <w:shd w:val="clear" w:color="auto" w:fill="auto"/>
            <w:noWrap/>
            <w:vAlign w:val="center"/>
          </w:tcPr>
          <w:p w14:paraId="17003B7A" w14:textId="1CF759B0" w:rsidR="005202CD" w:rsidRPr="00B8253A" w:rsidRDefault="005202CD" w:rsidP="00496501">
            <w:pPr>
              <w:pStyle w:val="TableTextCenter9pt"/>
            </w:pPr>
            <w:r>
              <w:t>$687</w:t>
            </w:r>
            <w:r w:rsidR="00496501">
              <w:t>,</w:t>
            </w:r>
            <w:r>
              <w:t>968</w:t>
            </w:r>
          </w:p>
        </w:tc>
      </w:tr>
      <w:tr w:rsidR="005202CD" w:rsidRPr="00B8253A" w14:paraId="26D37637" w14:textId="77777777" w:rsidTr="002349E8">
        <w:tc>
          <w:tcPr>
            <w:tcW w:w="878" w:type="pct"/>
            <w:tcBorders>
              <w:top w:val="single" w:sz="4" w:space="0" w:color="auto"/>
              <w:left w:val="single" w:sz="8" w:space="0" w:color="auto"/>
              <w:bottom w:val="single" w:sz="4" w:space="0" w:color="auto"/>
              <w:right w:val="nil"/>
            </w:tcBorders>
            <w:shd w:val="clear" w:color="auto" w:fill="auto"/>
            <w:vAlign w:val="bottom"/>
            <w:hideMark/>
          </w:tcPr>
          <w:p w14:paraId="4F043EED" w14:textId="77777777" w:rsidR="005202CD" w:rsidRPr="00A22ECC" w:rsidRDefault="005202CD" w:rsidP="00A22ECC">
            <w:pPr>
              <w:pStyle w:val="TableTextLeft9pt"/>
            </w:pPr>
            <w:r w:rsidRPr="00A22ECC">
              <w:t>Onshore Petroleum and Natural Gas Gathering and Boosting</w:t>
            </w:r>
          </w:p>
        </w:tc>
        <w:tc>
          <w:tcPr>
            <w:tcW w:w="544" w:type="pct"/>
            <w:tcBorders>
              <w:top w:val="nil"/>
              <w:left w:val="single" w:sz="8" w:space="0" w:color="auto"/>
              <w:bottom w:val="single" w:sz="4" w:space="0" w:color="auto"/>
              <w:right w:val="single" w:sz="4" w:space="0" w:color="auto"/>
            </w:tcBorders>
            <w:shd w:val="clear" w:color="auto" w:fill="auto"/>
            <w:noWrap/>
            <w:vAlign w:val="center"/>
          </w:tcPr>
          <w:p w14:paraId="70EEEF53" w14:textId="3D5A791C" w:rsidR="005202CD" w:rsidRPr="00B8253A" w:rsidRDefault="005202CD" w:rsidP="00A22ECC">
            <w:pPr>
              <w:pStyle w:val="TableTextCenter9pt"/>
            </w:pPr>
            <w:r>
              <w:t>200</w:t>
            </w:r>
          </w:p>
        </w:tc>
        <w:tc>
          <w:tcPr>
            <w:tcW w:w="516" w:type="pct"/>
            <w:tcBorders>
              <w:top w:val="nil"/>
              <w:left w:val="nil"/>
              <w:bottom w:val="single" w:sz="4" w:space="0" w:color="auto"/>
              <w:right w:val="single" w:sz="4" w:space="0" w:color="auto"/>
            </w:tcBorders>
            <w:shd w:val="clear" w:color="auto" w:fill="auto"/>
            <w:noWrap/>
            <w:vAlign w:val="center"/>
          </w:tcPr>
          <w:p w14:paraId="19602C34" w14:textId="671B810D" w:rsidR="005202CD" w:rsidRPr="00B8253A" w:rsidRDefault="005202CD" w:rsidP="00A22ECC">
            <w:pPr>
              <w:pStyle w:val="TableTextCenter9pt"/>
            </w:pPr>
            <w:r>
              <w:t>3,400</w:t>
            </w:r>
          </w:p>
        </w:tc>
        <w:tc>
          <w:tcPr>
            <w:tcW w:w="530" w:type="pct"/>
            <w:tcBorders>
              <w:top w:val="nil"/>
              <w:left w:val="nil"/>
              <w:bottom w:val="single" w:sz="4" w:space="0" w:color="auto"/>
              <w:right w:val="single" w:sz="4" w:space="0" w:color="auto"/>
            </w:tcBorders>
            <w:shd w:val="clear" w:color="auto" w:fill="auto"/>
            <w:noWrap/>
            <w:vAlign w:val="center"/>
          </w:tcPr>
          <w:p w14:paraId="199E10E7" w14:textId="58387021" w:rsidR="005202CD" w:rsidRPr="00B8253A" w:rsidRDefault="005202CD" w:rsidP="00795196">
            <w:pPr>
              <w:pStyle w:val="TableTextCenter9pt"/>
            </w:pPr>
            <w:r>
              <w:t>11,56</w:t>
            </w:r>
            <w:r w:rsidR="00795196">
              <w:t>0</w:t>
            </w:r>
          </w:p>
        </w:tc>
        <w:tc>
          <w:tcPr>
            <w:tcW w:w="689" w:type="pct"/>
            <w:tcBorders>
              <w:top w:val="nil"/>
              <w:left w:val="nil"/>
              <w:bottom w:val="single" w:sz="4" w:space="0" w:color="auto"/>
              <w:right w:val="single" w:sz="8" w:space="0" w:color="auto"/>
            </w:tcBorders>
            <w:shd w:val="clear" w:color="auto" w:fill="auto"/>
            <w:noWrap/>
            <w:vAlign w:val="center"/>
          </w:tcPr>
          <w:p w14:paraId="5FFB2237" w14:textId="08328EDD" w:rsidR="005202CD" w:rsidRPr="00B8253A" w:rsidRDefault="005202CD" w:rsidP="00795196">
            <w:pPr>
              <w:pStyle w:val="TableTextCenter9pt"/>
            </w:pPr>
            <w:r>
              <w:t>$1,206,2</w:t>
            </w:r>
            <w:r w:rsidR="00795196">
              <w:t>03</w:t>
            </w:r>
          </w:p>
        </w:tc>
        <w:tc>
          <w:tcPr>
            <w:tcW w:w="613" w:type="pct"/>
            <w:tcBorders>
              <w:top w:val="nil"/>
              <w:left w:val="single" w:sz="4" w:space="0" w:color="auto"/>
              <w:bottom w:val="single" w:sz="4" w:space="0" w:color="auto"/>
              <w:right w:val="single" w:sz="8" w:space="0" w:color="auto"/>
            </w:tcBorders>
            <w:shd w:val="clear" w:color="auto" w:fill="auto"/>
            <w:noWrap/>
            <w:vAlign w:val="center"/>
          </w:tcPr>
          <w:p w14:paraId="405C8FF1" w14:textId="0C66C2DE" w:rsidR="005202CD" w:rsidRPr="00B8253A" w:rsidRDefault="005202CD" w:rsidP="00A22ECC">
            <w:pPr>
              <w:pStyle w:val="TableTextCenter9pt"/>
            </w:pPr>
            <w:r>
              <w:t>$141,457</w:t>
            </w:r>
          </w:p>
        </w:tc>
        <w:tc>
          <w:tcPr>
            <w:tcW w:w="583" w:type="pct"/>
            <w:tcBorders>
              <w:top w:val="nil"/>
              <w:left w:val="single" w:sz="4" w:space="0" w:color="auto"/>
              <w:bottom w:val="single" w:sz="4" w:space="0" w:color="auto"/>
              <w:right w:val="single" w:sz="8" w:space="0" w:color="auto"/>
            </w:tcBorders>
            <w:shd w:val="clear" w:color="auto" w:fill="auto"/>
            <w:noWrap/>
            <w:vAlign w:val="center"/>
          </w:tcPr>
          <w:p w14:paraId="3A0AE2F9" w14:textId="1585D792" w:rsidR="005202CD" w:rsidRPr="00B8253A" w:rsidRDefault="005202CD" w:rsidP="00A22ECC">
            <w:pPr>
              <w:pStyle w:val="TableTextCenter9pt"/>
            </w:pPr>
            <w:r>
              <w:t>$1,709,600</w:t>
            </w:r>
          </w:p>
        </w:tc>
        <w:tc>
          <w:tcPr>
            <w:tcW w:w="647" w:type="pct"/>
            <w:tcBorders>
              <w:top w:val="nil"/>
              <w:left w:val="single" w:sz="4" w:space="0" w:color="auto"/>
              <w:bottom w:val="single" w:sz="4" w:space="0" w:color="auto"/>
              <w:right w:val="single" w:sz="8" w:space="0" w:color="auto"/>
            </w:tcBorders>
            <w:shd w:val="clear" w:color="auto" w:fill="auto"/>
            <w:noWrap/>
            <w:vAlign w:val="center"/>
          </w:tcPr>
          <w:p w14:paraId="4EB23CCD" w14:textId="169F64D7" w:rsidR="005202CD" w:rsidRPr="00B8253A" w:rsidRDefault="005202CD" w:rsidP="00795196">
            <w:pPr>
              <w:pStyle w:val="TableTextCenter9pt"/>
            </w:pPr>
            <w:r>
              <w:t>$</w:t>
            </w:r>
            <w:r w:rsidR="00735559">
              <w:t>3,057,</w:t>
            </w:r>
            <w:r w:rsidR="00795196">
              <w:t>259</w:t>
            </w:r>
          </w:p>
        </w:tc>
      </w:tr>
      <w:tr w:rsidR="005202CD" w:rsidRPr="00B8253A" w14:paraId="512C4F38" w14:textId="77777777" w:rsidTr="002349E8">
        <w:tc>
          <w:tcPr>
            <w:tcW w:w="878" w:type="pct"/>
            <w:tcBorders>
              <w:top w:val="single" w:sz="4" w:space="0" w:color="auto"/>
              <w:left w:val="single" w:sz="8" w:space="0" w:color="auto"/>
              <w:bottom w:val="single" w:sz="4" w:space="0" w:color="auto"/>
              <w:right w:val="nil"/>
            </w:tcBorders>
            <w:shd w:val="clear" w:color="auto" w:fill="auto"/>
            <w:vAlign w:val="bottom"/>
            <w:hideMark/>
          </w:tcPr>
          <w:p w14:paraId="196AEB7B" w14:textId="77777777" w:rsidR="005202CD" w:rsidRPr="00A22ECC" w:rsidRDefault="005202CD" w:rsidP="00A22ECC">
            <w:pPr>
              <w:pStyle w:val="TableTextLeft9pt"/>
            </w:pPr>
            <w:r w:rsidRPr="00A22ECC">
              <w:t>Onshore Natural Gas Processing</w:t>
            </w:r>
          </w:p>
        </w:tc>
        <w:tc>
          <w:tcPr>
            <w:tcW w:w="544" w:type="pct"/>
            <w:tcBorders>
              <w:top w:val="nil"/>
              <w:left w:val="single" w:sz="8" w:space="0" w:color="auto"/>
              <w:bottom w:val="single" w:sz="4" w:space="0" w:color="auto"/>
              <w:right w:val="single" w:sz="4" w:space="0" w:color="auto"/>
            </w:tcBorders>
            <w:shd w:val="clear" w:color="auto" w:fill="auto"/>
            <w:noWrap/>
            <w:vAlign w:val="center"/>
          </w:tcPr>
          <w:p w14:paraId="35D89CCF" w14:textId="40F54F58" w:rsidR="005202CD" w:rsidRPr="00B8253A" w:rsidRDefault="005202CD" w:rsidP="00A22ECC">
            <w:pPr>
              <w:pStyle w:val="TableTextCenter9pt"/>
            </w:pPr>
            <w:r>
              <w:t>435</w:t>
            </w:r>
          </w:p>
        </w:tc>
        <w:tc>
          <w:tcPr>
            <w:tcW w:w="516" w:type="pct"/>
            <w:tcBorders>
              <w:top w:val="nil"/>
              <w:left w:val="nil"/>
              <w:bottom w:val="single" w:sz="4" w:space="0" w:color="auto"/>
              <w:right w:val="single" w:sz="4" w:space="0" w:color="auto"/>
            </w:tcBorders>
            <w:shd w:val="clear" w:color="auto" w:fill="auto"/>
            <w:noWrap/>
            <w:vAlign w:val="center"/>
          </w:tcPr>
          <w:p w14:paraId="520483D8" w14:textId="2532C463" w:rsidR="005202CD" w:rsidRPr="00B8253A" w:rsidRDefault="005202CD" w:rsidP="00A22ECC">
            <w:pPr>
              <w:pStyle w:val="TableTextCenter9pt"/>
            </w:pPr>
            <w:r>
              <w:t>6,960</w:t>
            </w:r>
          </w:p>
        </w:tc>
        <w:tc>
          <w:tcPr>
            <w:tcW w:w="530" w:type="pct"/>
            <w:tcBorders>
              <w:top w:val="nil"/>
              <w:left w:val="nil"/>
              <w:bottom w:val="single" w:sz="4" w:space="0" w:color="auto"/>
              <w:right w:val="single" w:sz="4" w:space="0" w:color="auto"/>
            </w:tcBorders>
            <w:shd w:val="clear" w:color="auto" w:fill="auto"/>
            <w:noWrap/>
            <w:vAlign w:val="center"/>
          </w:tcPr>
          <w:p w14:paraId="061EEE3F" w14:textId="1B20B115" w:rsidR="005202CD" w:rsidRPr="00B8253A" w:rsidRDefault="005202CD" w:rsidP="002E3B42">
            <w:pPr>
              <w:pStyle w:val="TableTextCenter9pt"/>
            </w:pPr>
            <w:r>
              <w:t>14,740</w:t>
            </w:r>
          </w:p>
        </w:tc>
        <w:tc>
          <w:tcPr>
            <w:tcW w:w="689" w:type="pct"/>
            <w:tcBorders>
              <w:top w:val="nil"/>
              <w:left w:val="nil"/>
              <w:bottom w:val="single" w:sz="4" w:space="0" w:color="auto"/>
              <w:right w:val="single" w:sz="8" w:space="0" w:color="auto"/>
            </w:tcBorders>
            <w:shd w:val="clear" w:color="auto" w:fill="auto"/>
            <w:noWrap/>
            <w:vAlign w:val="center"/>
          </w:tcPr>
          <w:p w14:paraId="6BA6AD64" w14:textId="236B17F9" w:rsidR="005202CD" w:rsidRPr="00B8253A" w:rsidRDefault="005202CD" w:rsidP="005202CD">
            <w:pPr>
              <w:pStyle w:val="TableTextCenter9pt"/>
            </w:pPr>
            <w:r>
              <w:t>$1,605,142</w:t>
            </w:r>
          </w:p>
        </w:tc>
        <w:tc>
          <w:tcPr>
            <w:tcW w:w="613" w:type="pct"/>
            <w:tcBorders>
              <w:top w:val="nil"/>
              <w:left w:val="single" w:sz="4" w:space="0" w:color="auto"/>
              <w:bottom w:val="single" w:sz="4" w:space="0" w:color="auto"/>
              <w:right w:val="single" w:sz="8" w:space="0" w:color="auto"/>
            </w:tcBorders>
            <w:shd w:val="clear" w:color="auto" w:fill="auto"/>
            <w:noWrap/>
            <w:vAlign w:val="center"/>
          </w:tcPr>
          <w:p w14:paraId="7456D29B" w14:textId="4BD29CBA" w:rsidR="005202CD" w:rsidRPr="00B8253A" w:rsidRDefault="005202CD" w:rsidP="00A22ECC">
            <w:pPr>
              <w:pStyle w:val="TableTextCenter9pt"/>
            </w:pPr>
            <w:r>
              <w:t>$266,938</w:t>
            </w:r>
          </w:p>
        </w:tc>
        <w:tc>
          <w:tcPr>
            <w:tcW w:w="583" w:type="pct"/>
            <w:tcBorders>
              <w:top w:val="nil"/>
              <w:left w:val="single" w:sz="4" w:space="0" w:color="auto"/>
              <w:bottom w:val="single" w:sz="4" w:space="0" w:color="auto"/>
              <w:right w:val="single" w:sz="8" w:space="0" w:color="auto"/>
            </w:tcBorders>
            <w:shd w:val="clear" w:color="auto" w:fill="auto"/>
            <w:noWrap/>
            <w:vAlign w:val="center"/>
          </w:tcPr>
          <w:p w14:paraId="41DA791F" w14:textId="4AABAE04" w:rsidR="005202CD" w:rsidRPr="00B8253A" w:rsidRDefault="005202CD" w:rsidP="00A22ECC">
            <w:pPr>
              <w:pStyle w:val="TableTextCenter9pt"/>
            </w:pPr>
            <w:r>
              <w:t>$1,601,105</w:t>
            </w:r>
          </w:p>
        </w:tc>
        <w:tc>
          <w:tcPr>
            <w:tcW w:w="647" w:type="pct"/>
            <w:tcBorders>
              <w:top w:val="nil"/>
              <w:left w:val="single" w:sz="4" w:space="0" w:color="auto"/>
              <w:bottom w:val="single" w:sz="4" w:space="0" w:color="auto"/>
              <w:right w:val="single" w:sz="8" w:space="0" w:color="auto"/>
            </w:tcBorders>
            <w:shd w:val="clear" w:color="auto" w:fill="auto"/>
            <w:noWrap/>
            <w:vAlign w:val="center"/>
          </w:tcPr>
          <w:p w14:paraId="75657AFE" w14:textId="3C704F71" w:rsidR="005202CD" w:rsidRPr="00B8253A" w:rsidRDefault="005202CD" w:rsidP="002E3B42">
            <w:pPr>
              <w:pStyle w:val="TableTextCenter9pt"/>
            </w:pPr>
            <w:r>
              <w:t>$</w:t>
            </w:r>
            <w:r w:rsidR="00735559">
              <w:t>3,473,</w:t>
            </w:r>
            <w:r>
              <w:t>185</w:t>
            </w:r>
          </w:p>
        </w:tc>
      </w:tr>
      <w:tr w:rsidR="005202CD" w:rsidRPr="00B8253A" w14:paraId="6369ECDD" w14:textId="77777777" w:rsidTr="002349E8">
        <w:tc>
          <w:tcPr>
            <w:tcW w:w="878" w:type="pct"/>
            <w:tcBorders>
              <w:top w:val="single" w:sz="4" w:space="0" w:color="auto"/>
              <w:left w:val="single" w:sz="8" w:space="0" w:color="auto"/>
              <w:bottom w:val="single" w:sz="4" w:space="0" w:color="auto"/>
              <w:right w:val="nil"/>
            </w:tcBorders>
            <w:shd w:val="clear" w:color="auto" w:fill="auto"/>
            <w:vAlign w:val="bottom"/>
            <w:hideMark/>
          </w:tcPr>
          <w:p w14:paraId="2BE7F561" w14:textId="77777777" w:rsidR="005202CD" w:rsidRPr="00A22ECC" w:rsidRDefault="005202CD" w:rsidP="00A22ECC">
            <w:pPr>
              <w:pStyle w:val="TableTextLeft9pt"/>
            </w:pPr>
            <w:r w:rsidRPr="00A22ECC">
              <w:t>Onshore Natural Gas Transmission Compression</w:t>
            </w:r>
          </w:p>
        </w:tc>
        <w:tc>
          <w:tcPr>
            <w:tcW w:w="544" w:type="pct"/>
            <w:tcBorders>
              <w:top w:val="nil"/>
              <w:left w:val="single" w:sz="8" w:space="0" w:color="auto"/>
              <w:bottom w:val="single" w:sz="4" w:space="0" w:color="auto"/>
              <w:right w:val="single" w:sz="4" w:space="0" w:color="auto"/>
            </w:tcBorders>
            <w:shd w:val="clear" w:color="auto" w:fill="auto"/>
            <w:noWrap/>
            <w:vAlign w:val="center"/>
          </w:tcPr>
          <w:p w14:paraId="7CBD6280" w14:textId="1DF1BA30" w:rsidR="005202CD" w:rsidRPr="00B8253A" w:rsidRDefault="005202CD" w:rsidP="00A22ECC">
            <w:pPr>
              <w:pStyle w:val="TableTextCenter9pt"/>
            </w:pPr>
            <w:r>
              <w:t>487</w:t>
            </w:r>
          </w:p>
        </w:tc>
        <w:tc>
          <w:tcPr>
            <w:tcW w:w="516" w:type="pct"/>
            <w:tcBorders>
              <w:top w:val="nil"/>
              <w:left w:val="nil"/>
              <w:bottom w:val="single" w:sz="4" w:space="0" w:color="auto"/>
              <w:right w:val="single" w:sz="4" w:space="0" w:color="auto"/>
            </w:tcBorders>
            <w:shd w:val="clear" w:color="auto" w:fill="auto"/>
            <w:noWrap/>
            <w:vAlign w:val="center"/>
          </w:tcPr>
          <w:p w14:paraId="0878C7A8" w14:textId="27A4DCB0" w:rsidR="005202CD" w:rsidRPr="00B8253A" w:rsidRDefault="005202CD" w:rsidP="00A22ECC">
            <w:pPr>
              <w:pStyle w:val="TableTextCenter9pt"/>
            </w:pPr>
            <w:r>
              <w:t>4,870</w:t>
            </w:r>
          </w:p>
        </w:tc>
        <w:tc>
          <w:tcPr>
            <w:tcW w:w="530" w:type="pct"/>
            <w:tcBorders>
              <w:top w:val="nil"/>
              <w:left w:val="nil"/>
              <w:bottom w:val="single" w:sz="4" w:space="0" w:color="auto"/>
              <w:right w:val="single" w:sz="4" w:space="0" w:color="auto"/>
            </w:tcBorders>
            <w:shd w:val="clear" w:color="auto" w:fill="auto"/>
            <w:noWrap/>
            <w:vAlign w:val="center"/>
          </w:tcPr>
          <w:p w14:paraId="17F3227A" w14:textId="503632EB" w:rsidR="005202CD" w:rsidRPr="00B8253A" w:rsidRDefault="005202CD" w:rsidP="00096EA3">
            <w:pPr>
              <w:pStyle w:val="TableTextCenter9pt"/>
            </w:pPr>
            <w:r>
              <w:t>16,982</w:t>
            </w:r>
          </w:p>
        </w:tc>
        <w:tc>
          <w:tcPr>
            <w:tcW w:w="689" w:type="pct"/>
            <w:tcBorders>
              <w:top w:val="nil"/>
              <w:left w:val="nil"/>
              <w:bottom w:val="single" w:sz="4" w:space="0" w:color="auto"/>
              <w:right w:val="single" w:sz="8" w:space="0" w:color="auto"/>
            </w:tcBorders>
            <w:shd w:val="clear" w:color="auto" w:fill="auto"/>
            <w:noWrap/>
            <w:vAlign w:val="center"/>
          </w:tcPr>
          <w:p w14:paraId="657E624F" w14:textId="00EE535F" w:rsidR="005202CD" w:rsidRPr="00B8253A" w:rsidRDefault="005202CD" w:rsidP="002E3B42">
            <w:pPr>
              <w:pStyle w:val="TableTextCenter9pt"/>
            </w:pPr>
            <w:r>
              <w:t>$1,834,787</w:t>
            </w:r>
          </w:p>
        </w:tc>
        <w:tc>
          <w:tcPr>
            <w:tcW w:w="613" w:type="pct"/>
            <w:tcBorders>
              <w:top w:val="nil"/>
              <w:left w:val="single" w:sz="4" w:space="0" w:color="auto"/>
              <w:bottom w:val="single" w:sz="4" w:space="0" w:color="auto"/>
              <w:right w:val="single" w:sz="8" w:space="0" w:color="auto"/>
            </w:tcBorders>
            <w:shd w:val="clear" w:color="auto" w:fill="auto"/>
            <w:noWrap/>
            <w:vAlign w:val="center"/>
          </w:tcPr>
          <w:p w14:paraId="3C8E4F2F" w14:textId="15211303" w:rsidR="005202CD" w:rsidRPr="00B8253A" w:rsidRDefault="005202CD" w:rsidP="00A22ECC">
            <w:pPr>
              <w:pStyle w:val="TableTextCenter9pt"/>
            </w:pPr>
            <w:r>
              <w:t>$359,397</w:t>
            </w:r>
          </w:p>
        </w:tc>
        <w:tc>
          <w:tcPr>
            <w:tcW w:w="583" w:type="pct"/>
            <w:tcBorders>
              <w:top w:val="nil"/>
              <w:left w:val="single" w:sz="4" w:space="0" w:color="auto"/>
              <w:bottom w:val="single" w:sz="4" w:space="0" w:color="auto"/>
              <w:right w:val="single" w:sz="8" w:space="0" w:color="auto"/>
            </w:tcBorders>
            <w:shd w:val="clear" w:color="auto" w:fill="auto"/>
            <w:noWrap/>
            <w:vAlign w:val="center"/>
          </w:tcPr>
          <w:p w14:paraId="3A8099C9" w14:textId="373FAF36" w:rsidR="005202CD" w:rsidRPr="00B8253A" w:rsidRDefault="005202CD" w:rsidP="00A22ECC">
            <w:pPr>
              <w:pStyle w:val="TableTextCenter9pt"/>
            </w:pPr>
            <w:r>
              <w:t>$1,100,000</w:t>
            </w:r>
          </w:p>
        </w:tc>
        <w:tc>
          <w:tcPr>
            <w:tcW w:w="647" w:type="pct"/>
            <w:tcBorders>
              <w:top w:val="nil"/>
              <w:left w:val="single" w:sz="4" w:space="0" w:color="auto"/>
              <w:bottom w:val="single" w:sz="4" w:space="0" w:color="auto"/>
              <w:right w:val="single" w:sz="8" w:space="0" w:color="auto"/>
            </w:tcBorders>
            <w:shd w:val="clear" w:color="auto" w:fill="auto"/>
            <w:noWrap/>
            <w:vAlign w:val="center"/>
          </w:tcPr>
          <w:p w14:paraId="72989A72" w14:textId="6F60A27D" w:rsidR="005202CD" w:rsidRPr="00B8253A" w:rsidRDefault="005202CD" w:rsidP="002E3B42">
            <w:pPr>
              <w:pStyle w:val="TableTextCenter9pt"/>
            </w:pPr>
            <w:r>
              <w:t>$</w:t>
            </w:r>
            <w:r w:rsidR="00735559">
              <w:t>3,294,</w:t>
            </w:r>
            <w:r>
              <w:t>185</w:t>
            </w:r>
          </w:p>
        </w:tc>
      </w:tr>
      <w:tr w:rsidR="005202CD" w:rsidRPr="00B8253A" w14:paraId="3245B550" w14:textId="77777777" w:rsidTr="002349E8">
        <w:tc>
          <w:tcPr>
            <w:tcW w:w="878" w:type="pct"/>
            <w:tcBorders>
              <w:top w:val="nil"/>
              <w:left w:val="single" w:sz="8" w:space="0" w:color="auto"/>
              <w:bottom w:val="single" w:sz="4" w:space="0" w:color="auto"/>
              <w:right w:val="nil"/>
            </w:tcBorders>
            <w:shd w:val="clear" w:color="auto" w:fill="auto"/>
            <w:vAlign w:val="bottom"/>
            <w:hideMark/>
          </w:tcPr>
          <w:p w14:paraId="71B0D863" w14:textId="77777777" w:rsidR="005202CD" w:rsidRPr="00A22ECC" w:rsidRDefault="005202CD" w:rsidP="00A22ECC">
            <w:pPr>
              <w:pStyle w:val="TableTextLeft9pt"/>
            </w:pPr>
            <w:r w:rsidRPr="00A22ECC">
              <w:t>Underground Natural Gas Storage</w:t>
            </w:r>
          </w:p>
        </w:tc>
        <w:tc>
          <w:tcPr>
            <w:tcW w:w="544" w:type="pct"/>
            <w:tcBorders>
              <w:top w:val="nil"/>
              <w:left w:val="single" w:sz="8" w:space="0" w:color="auto"/>
              <w:bottom w:val="single" w:sz="4" w:space="0" w:color="auto"/>
              <w:right w:val="single" w:sz="4" w:space="0" w:color="auto"/>
            </w:tcBorders>
            <w:shd w:val="clear" w:color="auto" w:fill="auto"/>
            <w:noWrap/>
            <w:vAlign w:val="center"/>
          </w:tcPr>
          <w:p w14:paraId="286A42B4" w14:textId="5D808765" w:rsidR="005202CD" w:rsidRPr="00B8253A" w:rsidRDefault="005202CD" w:rsidP="00A22ECC">
            <w:pPr>
              <w:pStyle w:val="TableTextCenter9pt"/>
            </w:pPr>
            <w:r>
              <w:t>50</w:t>
            </w:r>
          </w:p>
        </w:tc>
        <w:tc>
          <w:tcPr>
            <w:tcW w:w="516" w:type="pct"/>
            <w:tcBorders>
              <w:top w:val="nil"/>
              <w:left w:val="nil"/>
              <w:bottom w:val="single" w:sz="4" w:space="0" w:color="auto"/>
              <w:right w:val="single" w:sz="4" w:space="0" w:color="auto"/>
            </w:tcBorders>
            <w:shd w:val="clear" w:color="auto" w:fill="auto"/>
            <w:noWrap/>
            <w:vAlign w:val="center"/>
          </w:tcPr>
          <w:p w14:paraId="0F8DCD3C" w14:textId="7B8060D4" w:rsidR="005202CD" w:rsidRPr="00B8253A" w:rsidRDefault="005202CD" w:rsidP="005202CD">
            <w:pPr>
              <w:pStyle w:val="TableTextCenter9pt"/>
            </w:pPr>
            <w:r>
              <w:t>350</w:t>
            </w:r>
          </w:p>
        </w:tc>
        <w:tc>
          <w:tcPr>
            <w:tcW w:w="530" w:type="pct"/>
            <w:tcBorders>
              <w:top w:val="nil"/>
              <w:left w:val="nil"/>
              <w:bottom w:val="single" w:sz="4" w:space="0" w:color="auto"/>
              <w:right w:val="single" w:sz="4" w:space="0" w:color="auto"/>
            </w:tcBorders>
            <w:shd w:val="clear" w:color="auto" w:fill="auto"/>
            <w:noWrap/>
            <w:vAlign w:val="center"/>
          </w:tcPr>
          <w:p w14:paraId="5F745FA1" w14:textId="4A4C355E" w:rsidR="005202CD" w:rsidRPr="00B8253A" w:rsidRDefault="005202CD" w:rsidP="00096EA3">
            <w:pPr>
              <w:pStyle w:val="TableTextCenter9pt"/>
            </w:pPr>
            <w:r>
              <w:t>1,611</w:t>
            </w:r>
          </w:p>
        </w:tc>
        <w:tc>
          <w:tcPr>
            <w:tcW w:w="689" w:type="pct"/>
            <w:tcBorders>
              <w:top w:val="nil"/>
              <w:left w:val="nil"/>
              <w:bottom w:val="single" w:sz="4" w:space="0" w:color="auto"/>
              <w:right w:val="single" w:sz="8" w:space="0" w:color="auto"/>
            </w:tcBorders>
            <w:shd w:val="clear" w:color="auto" w:fill="auto"/>
            <w:noWrap/>
            <w:vAlign w:val="center"/>
          </w:tcPr>
          <w:p w14:paraId="0E857B4F" w14:textId="08A5D589" w:rsidR="005202CD" w:rsidRPr="00B8253A" w:rsidRDefault="005202CD" w:rsidP="002E3B42">
            <w:pPr>
              <w:pStyle w:val="TableTextCenter9pt"/>
            </w:pPr>
            <w:r>
              <w:t>$176,080</w:t>
            </w:r>
          </w:p>
        </w:tc>
        <w:tc>
          <w:tcPr>
            <w:tcW w:w="613" w:type="pct"/>
            <w:tcBorders>
              <w:top w:val="nil"/>
              <w:left w:val="single" w:sz="4" w:space="0" w:color="auto"/>
              <w:bottom w:val="single" w:sz="4" w:space="0" w:color="auto"/>
              <w:right w:val="single" w:sz="8" w:space="0" w:color="auto"/>
            </w:tcBorders>
            <w:shd w:val="clear" w:color="auto" w:fill="auto"/>
            <w:noWrap/>
            <w:vAlign w:val="center"/>
          </w:tcPr>
          <w:p w14:paraId="31D834AE" w14:textId="626B80ED" w:rsidR="005202CD" w:rsidRPr="00B8253A" w:rsidRDefault="005202CD" w:rsidP="00A22ECC">
            <w:pPr>
              <w:pStyle w:val="TableTextCenter9pt"/>
            </w:pPr>
            <w:r>
              <w:t>$26,926</w:t>
            </w:r>
          </w:p>
        </w:tc>
        <w:tc>
          <w:tcPr>
            <w:tcW w:w="583" w:type="pct"/>
            <w:tcBorders>
              <w:top w:val="nil"/>
              <w:left w:val="single" w:sz="4" w:space="0" w:color="auto"/>
              <w:bottom w:val="single" w:sz="4" w:space="0" w:color="auto"/>
              <w:right w:val="single" w:sz="8" w:space="0" w:color="auto"/>
            </w:tcBorders>
            <w:shd w:val="clear" w:color="auto" w:fill="auto"/>
            <w:noWrap/>
            <w:vAlign w:val="center"/>
          </w:tcPr>
          <w:p w14:paraId="4E69CCC7" w14:textId="213189B4" w:rsidR="005202CD" w:rsidRPr="00B8253A" w:rsidRDefault="005202CD" w:rsidP="00A22ECC">
            <w:pPr>
              <w:pStyle w:val="TableTextCenter9pt"/>
            </w:pPr>
            <w:r>
              <w:t>$107,500</w:t>
            </w:r>
          </w:p>
        </w:tc>
        <w:tc>
          <w:tcPr>
            <w:tcW w:w="647" w:type="pct"/>
            <w:tcBorders>
              <w:top w:val="nil"/>
              <w:left w:val="single" w:sz="4" w:space="0" w:color="auto"/>
              <w:bottom w:val="single" w:sz="4" w:space="0" w:color="auto"/>
              <w:right w:val="single" w:sz="8" w:space="0" w:color="auto"/>
            </w:tcBorders>
            <w:shd w:val="clear" w:color="auto" w:fill="auto"/>
            <w:noWrap/>
            <w:vAlign w:val="center"/>
          </w:tcPr>
          <w:p w14:paraId="4BE1D8C4" w14:textId="7359FC92" w:rsidR="005202CD" w:rsidRPr="00B8253A" w:rsidRDefault="005202CD" w:rsidP="002E3B42">
            <w:pPr>
              <w:pStyle w:val="TableTextCenter9pt"/>
            </w:pPr>
            <w:r>
              <w:t>$</w:t>
            </w:r>
            <w:r w:rsidR="00735559">
              <w:t>310,</w:t>
            </w:r>
            <w:r>
              <w:t>506</w:t>
            </w:r>
          </w:p>
        </w:tc>
      </w:tr>
      <w:tr w:rsidR="005202CD" w:rsidRPr="00B8253A" w14:paraId="6A5703DC" w14:textId="77777777" w:rsidTr="002349E8">
        <w:tc>
          <w:tcPr>
            <w:tcW w:w="878" w:type="pct"/>
            <w:tcBorders>
              <w:top w:val="nil"/>
              <w:left w:val="single" w:sz="8" w:space="0" w:color="auto"/>
              <w:bottom w:val="single" w:sz="4" w:space="0" w:color="auto"/>
              <w:right w:val="nil"/>
            </w:tcBorders>
            <w:shd w:val="clear" w:color="auto" w:fill="auto"/>
            <w:vAlign w:val="bottom"/>
            <w:hideMark/>
          </w:tcPr>
          <w:p w14:paraId="37499D4C" w14:textId="77777777" w:rsidR="005202CD" w:rsidRPr="00A22ECC" w:rsidRDefault="005202CD" w:rsidP="00A22ECC">
            <w:pPr>
              <w:pStyle w:val="TableTextLeft9pt"/>
            </w:pPr>
            <w:r w:rsidRPr="00A22ECC">
              <w:t>LNG Import and Export Equipment</w:t>
            </w:r>
          </w:p>
        </w:tc>
        <w:tc>
          <w:tcPr>
            <w:tcW w:w="544" w:type="pct"/>
            <w:tcBorders>
              <w:top w:val="nil"/>
              <w:left w:val="single" w:sz="8" w:space="0" w:color="auto"/>
              <w:bottom w:val="single" w:sz="4" w:space="0" w:color="auto"/>
              <w:right w:val="single" w:sz="4" w:space="0" w:color="auto"/>
            </w:tcBorders>
            <w:shd w:val="clear" w:color="auto" w:fill="auto"/>
            <w:noWrap/>
            <w:vAlign w:val="center"/>
          </w:tcPr>
          <w:p w14:paraId="1E244148" w14:textId="26D7243B" w:rsidR="005202CD" w:rsidRPr="00B8253A" w:rsidRDefault="005202CD" w:rsidP="00A22ECC">
            <w:pPr>
              <w:pStyle w:val="TableTextCenter9pt"/>
            </w:pPr>
            <w:r>
              <w:t>8</w:t>
            </w:r>
          </w:p>
        </w:tc>
        <w:tc>
          <w:tcPr>
            <w:tcW w:w="516" w:type="pct"/>
            <w:tcBorders>
              <w:top w:val="nil"/>
              <w:left w:val="nil"/>
              <w:bottom w:val="single" w:sz="4" w:space="0" w:color="auto"/>
              <w:right w:val="single" w:sz="4" w:space="0" w:color="auto"/>
            </w:tcBorders>
            <w:shd w:val="clear" w:color="auto" w:fill="auto"/>
            <w:noWrap/>
            <w:vAlign w:val="center"/>
          </w:tcPr>
          <w:p w14:paraId="6FE9245F" w14:textId="7CDE6973" w:rsidR="005202CD" w:rsidRPr="00B8253A" w:rsidRDefault="005202CD" w:rsidP="00A22ECC">
            <w:pPr>
              <w:pStyle w:val="TableTextCenter9pt"/>
            </w:pPr>
            <w:r>
              <w:t>56</w:t>
            </w:r>
          </w:p>
        </w:tc>
        <w:tc>
          <w:tcPr>
            <w:tcW w:w="530" w:type="pct"/>
            <w:tcBorders>
              <w:top w:val="nil"/>
              <w:left w:val="nil"/>
              <w:bottom w:val="single" w:sz="4" w:space="0" w:color="auto"/>
              <w:right w:val="single" w:sz="4" w:space="0" w:color="auto"/>
            </w:tcBorders>
            <w:shd w:val="clear" w:color="auto" w:fill="auto"/>
            <w:noWrap/>
            <w:vAlign w:val="center"/>
          </w:tcPr>
          <w:p w14:paraId="27C28ED2" w14:textId="68A82260" w:rsidR="005202CD" w:rsidRPr="00B8253A" w:rsidRDefault="005202CD" w:rsidP="00096EA3">
            <w:pPr>
              <w:pStyle w:val="TableTextCenter9pt"/>
            </w:pPr>
            <w:r>
              <w:t>263</w:t>
            </w:r>
          </w:p>
        </w:tc>
        <w:tc>
          <w:tcPr>
            <w:tcW w:w="689" w:type="pct"/>
            <w:tcBorders>
              <w:top w:val="nil"/>
              <w:left w:val="nil"/>
              <w:bottom w:val="single" w:sz="4" w:space="0" w:color="auto"/>
              <w:right w:val="single" w:sz="8" w:space="0" w:color="auto"/>
            </w:tcBorders>
            <w:shd w:val="clear" w:color="auto" w:fill="auto"/>
            <w:noWrap/>
            <w:vAlign w:val="center"/>
          </w:tcPr>
          <w:p w14:paraId="6DEDD625" w14:textId="1A6363BC" w:rsidR="005202CD" w:rsidRPr="00B8253A" w:rsidRDefault="005202CD" w:rsidP="002E3B42">
            <w:pPr>
              <w:pStyle w:val="TableTextCenter9pt"/>
            </w:pPr>
            <w:r>
              <w:t>$27,919</w:t>
            </w:r>
          </w:p>
        </w:tc>
        <w:tc>
          <w:tcPr>
            <w:tcW w:w="613" w:type="pct"/>
            <w:tcBorders>
              <w:top w:val="nil"/>
              <w:left w:val="single" w:sz="4" w:space="0" w:color="auto"/>
              <w:bottom w:val="single" w:sz="4" w:space="0" w:color="auto"/>
              <w:right w:val="single" w:sz="8" w:space="0" w:color="auto"/>
            </w:tcBorders>
            <w:shd w:val="clear" w:color="auto" w:fill="auto"/>
            <w:noWrap/>
            <w:vAlign w:val="center"/>
          </w:tcPr>
          <w:p w14:paraId="583D2AB2" w14:textId="513DED5F" w:rsidR="005202CD" w:rsidRPr="00B8253A" w:rsidRDefault="005202CD" w:rsidP="00A22ECC">
            <w:pPr>
              <w:pStyle w:val="TableTextCenter9pt"/>
            </w:pPr>
            <w:r>
              <w:t>$5,268</w:t>
            </w:r>
          </w:p>
        </w:tc>
        <w:tc>
          <w:tcPr>
            <w:tcW w:w="583" w:type="pct"/>
            <w:tcBorders>
              <w:top w:val="nil"/>
              <w:left w:val="single" w:sz="4" w:space="0" w:color="auto"/>
              <w:bottom w:val="single" w:sz="4" w:space="0" w:color="auto"/>
              <w:right w:val="single" w:sz="8" w:space="0" w:color="auto"/>
            </w:tcBorders>
            <w:shd w:val="clear" w:color="auto" w:fill="auto"/>
            <w:noWrap/>
            <w:vAlign w:val="center"/>
          </w:tcPr>
          <w:p w14:paraId="3D9BE62D" w14:textId="047C8520" w:rsidR="005202CD" w:rsidRPr="00B8253A" w:rsidRDefault="005202CD" w:rsidP="00A22ECC">
            <w:pPr>
              <w:pStyle w:val="TableTextCenter9pt"/>
            </w:pPr>
            <w:r>
              <w:t>$20,000</w:t>
            </w:r>
          </w:p>
        </w:tc>
        <w:tc>
          <w:tcPr>
            <w:tcW w:w="647" w:type="pct"/>
            <w:tcBorders>
              <w:top w:val="nil"/>
              <w:left w:val="single" w:sz="4" w:space="0" w:color="auto"/>
              <w:bottom w:val="single" w:sz="4" w:space="0" w:color="auto"/>
              <w:right w:val="single" w:sz="8" w:space="0" w:color="auto"/>
            </w:tcBorders>
            <w:shd w:val="clear" w:color="auto" w:fill="auto"/>
            <w:noWrap/>
            <w:vAlign w:val="center"/>
          </w:tcPr>
          <w:p w14:paraId="20DA1B53" w14:textId="45F5CC35" w:rsidR="005202CD" w:rsidRPr="00B8253A" w:rsidRDefault="005202CD" w:rsidP="002E3B42">
            <w:pPr>
              <w:pStyle w:val="TableTextCenter9pt"/>
            </w:pPr>
            <w:r>
              <w:t>$</w:t>
            </w:r>
            <w:r w:rsidR="00735559">
              <w:t>53,</w:t>
            </w:r>
            <w:r>
              <w:t>187</w:t>
            </w:r>
          </w:p>
        </w:tc>
      </w:tr>
      <w:tr w:rsidR="005202CD" w:rsidRPr="00B8253A" w14:paraId="40E4F84E" w14:textId="77777777" w:rsidTr="002349E8">
        <w:tc>
          <w:tcPr>
            <w:tcW w:w="878" w:type="pct"/>
            <w:tcBorders>
              <w:top w:val="nil"/>
              <w:left w:val="single" w:sz="8" w:space="0" w:color="auto"/>
              <w:bottom w:val="single" w:sz="4" w:space="0" w:color="auto"/>
              <w:right w:val="nil"/>
            </w:tcBorders>
            <w:shd w:val="clear" w:color="auto" w:fill="auto"/>
            <w:vAlign w:val="bottom"/>
            <w:hideMark/>
          </w:tcPr>
          <w:p w14:paraId="273BFE6B" w14:textId="77777777" w:rsidR="005202CD" w:rsidRPr="00A22ECC" w:rsidRDefault="005202CD" w:rsidP="00A22ECC">
            <w:pPr>
              <w:pStyle w:val="TableTextLeft9pt"/>
            </w:pPr>
            <w:r w:rsidRPr="00A22ECC">
              <w:t>Onshore Petroleum and Natural Gas Production</w:t>
            </w:r>
          </w:p>
        </w:tc>
        <w:tc>
          <w:tcPr>
            <w:tcW w:w="544" w:type="pct"/>
            <w:tcBorders>
              <w:top w:val="nil"/>
              <w:left w:val="single" w:sz="8" w:space="0" w:color="auto"/>
              <w:bottom w:val="single" w:sz="4" w:space="0" w:color="auto"/>
              <w:right w:val="single" w:sz="4" w:space="0" w:color="auto"/>
            </w:tcBorders>
            <w:shd w:val="clear" w:color="auto" w:fill="auto"/>
            <w:noWrap/>
            <w:vAlign w:val="center"/>
          </w:tcPr>
          <w:p w14:paraId="439C0D23" w14:textId="7DB1EA84" w:rsidR="005202CD" w:rsidRPr="00B8253A" w:rsidRDefault="005202CD" w:rsidP="00692D74">
            <w:pPr>
              <w:pStyle w:val="TableTextCenter9pt"/>
            </w:pPr>
            <w:r>
              <w:t>553</w:t>
            </w:r>
          </w:p>
        </w:tc>
        <w:tc>
          <w:tcPr>
            <w:tcW w:w="516" w:type="pct"/>
            <w:tcBorders>
              <w:top w:val="nil"/>
              <w:left w:val="nil"/>
              <w:bottom w:val="single" w:sz="4" w:space="0" w:color="auto"/>
              <w:right w:val="single" w:sz="4" w:space="0" w:color="auto"/>
            </w:tcBorders>
            <w:shd w:val="clear" w:color="auto" w:fill="auto"/>
            <w:noWrap/>
            <w:vAlign w:val="center"/>
          </w:tcPr>
          <w:p w14:paraId="54B0CF61" w14:textId="675336F2" w:rsidR="005202CD" w:rsidRPr="00B01B51" w:rsidRDefault="005202CD" w:rsidP="00790A82">
            <w:pPr>
              <w:pStyle w:val="TableTextCenter9pt"/>
            </w:pPr>
            <w:r>
              <w:t>16,640</w:t>
            </w:r>
          </w:p>
        </w:tc>
        <w:tc>
          <w:tcPr>
            <w:tcW w:w="530" w:type="pct"/>
            <w:tcBorders>
              <w:top w:val="nil"/>
              <w:left w:val="nil"/>
              <w:bottom w:val="single" w:sz="4" w:space="0" w:color="auto"/>
              <w:right w:val="single" w:sz="4" w:space="0" w:color="auto"/>
            </w:tcBorders>
            <w:shd w:val="clear" w:color="auto" w:fill="auto"/>
            <w:noWrap/>
            <w:vAlign w:val="center"/>
          </w:tcPr>
          <w:p w14:paraId="67E0B790" w14:textId="7BEC5A8D" w:rsidR="005202CD" w:rsidRPr="00B01B51" w:rsidRDefault="005202CD" w:rsidP="00795196">
            <w:pPr>
              <w:pStyle w:val="TableTextCenter9pt"/>
            </w:pPr>
            <w:r>
              <w:t>125,42</w:t>
            </w:r>
            <w:r w:rsidR="00795196">
              <w:t>3</w:t>
            </w:r>
          </w:p>
        </w:tc>
        <w:tc>
          <w:tcPr>
            <w:tcW w:w="689" w:type="pct"/>
            <w:tcBorders>
              <w:top w:val="nil"/>
              <w:left w:val="nil"/>
              <w:bottom w:val="single" w:sz="4" w:space="0" w:color="auto"/>
              <w:right w:val="single" w:sz="8" w:space="0" w:color="auto"/>
            </w:tcBorders>
            <w:shd w:val="clear" w:color="auto" w:fill="auto"/>
            <w:noWrap/>
            <w:vAlign w:val="center"/>
          </w:tcPr>
          <w:p w14:paraId="32EF01E1" w14:textId="355ADA3F" w:rsidR="005202CD" w:rsidRPr="00B01B51" w:rsidRDefault="005202CD" w:rsidP="00795196">
            <w:pPr>
              <w:pStyle w:val="TableTextCenter9pt"/>
            </w:pPr>
            <w:r>
              <w:t>$12,581,2</w:t>
            </w:r>
            <w:r w:rsidR="00795196">
              <w:t>68</w:t>
            </w:r>
          </w:p>
        </w:tc>
        <w:tc>
          <w:tcPr>
            <w:tcW w:w="613" w:type="pct"/>
            <w:tcBorders>
              <w:top w:val="nil"/>
              <w:left w:val="single" w:sz="4" w:space="0" w:color="auto"/>
              <w:bottom w:val="single" w:sz="4" w:space="0" w:color="auto"/>
              <w:right w:val="single" w:sz="8" w:space="0" w:color="auto"/>
            </w:tcBorders>
            <w:shd w:val="clear" w:color="auto" w:fill="auto"/>
            <w:noWrap/>
            <w:vAlign w:val="center"/>
          </w:tcPr>
          <w:p w14:paraId="1627E42A" w14:textId="4FC83738" w:rsidR="005202CD" w:rsidRPr="00B01B51" w:rsidRDefault="005202CD" w:rsidP="00B34765">
            <w:pPr>
              <w:pStyle w:val="TableTextCenter9pt"/>
            </w:pPr>
            <w:r>
              <w:t>$216,916</w:t>
            </w:r>
          </w:p>
        </w:tc>
        <w:tc>
          <w:tcPr>
            <w:tcW w:w="583" w:type="pct"/>
            <w:tcBorders>
              <w:top w:val="nil"/>
              <w:left w:val="single" w:sz="4" w:space="0" w:color="auto"/>
              <w:bottom w:val="single" w:sz="4" w:space="0" w:color="auto"/>
              <w:right w:val="single" w:sz="8" w:space="0" w:color="auto"/>
            </w:tcBorders>
            <w:shd w:val="clear" w:color="auto" w:fill="auto"/>
            <w:noWrap/>
            <w:vAlign w:val="center"/>
          </w:tcPr>
          <w:p w14:paraId="1368E76B" w14:textId="380BE216" w:rsidR="005202CD" w:rsidRPr="00B01B51" w:rsidRDefault="005202CD" w:rsidP="00F83F99">
            <w:pPr>
              <w:pStyle w:val="TableTextCenter9pt"/>
            </w:pPr>
            <w:r>
              <w:t>$3,557,285</w:t>
            </w:r>
          </w:p>
        </w:tc>
        <w:tc>
          <w:tcPr>
            <w:tcW w:w="647" w:type="pct"/>
            <w:tcBorders>
              <w:top w:val="nil"/>
              <w:left w:val="single" w:sz="4" w:space="0" w:color="auto"/>
              <w:bottom w:val="single" w:sz="4" w:space="0" w:color="auto"/>
              <w:right w:val="single" w:sz="8" w:space="0" w:color="auto"/>
            </w:tcBorders>
            <w:shd w:val="clear" w:color="auto" w:fill="auto"/>
            <w:noWrap/>
            <w:vAlign w:val="center"/>
          </w:tcPr>
          <w:p w14:paraId="3A82A447" w14:textId="797362A6" w:rsidR="005202CD" w:rsidRPr="00B01B51" w:rsidRDefault="005202CD" w:rsidP="00795196">
            <w:pPr>
              <w:pStyle w:val="TableTextCenter9pt"/>
            </w:pPr>
            <w:r>
              <w:t>$</w:t>
            </w:r>
            <w:r w:rsidR="00735559">
              <w:t>16,355,</w:t>
            </w:r>
            <w:r>
              <w:t>4</w:t>
            </w:r>
            <w:r w:rsidR="00795196">
              <w:t>70</w:t>
            </w:r>
          </w:p>
        </w:tc>
      </w:tr>
      <w:tr w:rsidR="005202CD" w:rsidRPr="00B8253A" w14:paraId="131A0FE1" w14:textId="77777777" w:rsidTr="002349E8">
        <w:tc>
          <w:tcPr>
            <w:tcW w:w="878" w:type="pct"/>
            <w:tcBorders>
              <w:top w:val="nil"/>
              <w:left w:val="single" w:sz="8" w:space="0" w:color="auto"/>
              <w:bottom w:val="single" w:sz="4" w:space="0" w:color="auto"/>
              <w:right w:val="nil"/>
            </w:tcBorders>
            <w:shd w:val="clear" w:color="auto" w:fill="auto"/>
            <w:vAlign w:val="bottom"/>
            <w:hideMark/>
          </w:tcPr>
          <w:p w14:paraId="2B16B13D" w14:textId="77777777" w:rsidR="005202CD" w:rsidRPr="00A22ECC" w:rsidRDefault="005202CD" w:rsidP="00A22ECC">
            <w:pPr>
              <w:pStyle w:val="TableTextLeft9pt"/>
            </w:pPr>
            <w:r w:rsidRPr="00A22ECC">
              <w:t>Natural Gas Distribution</w:t>
            </w:r>
          </w:p>
        </w:tc>
        <w:tc>
          <w:tcPr>
            <w:tcW w:w="544" w:type="pct"/>
            <w:tcBorders>
              <w:top w:val="nil"/>
              <w:left w:val="single" w:sz="8" w:space="0" w:color="auto"/>
              <w:bottom w:val="single" w:sz="4" w:space="0" w:color="auto"/>
              <w:right w:val="single" w:sz="4" w:space="0" w:color="auto"/>
            </w:tcBorders>
            <w:shd w:val="clear" w:color="auto" w:fill="auto"/>
            <w:noWrap/>
            <w:vAlign w:val="center"/>
          </w:tcPr>
          <w:p w14:paraId="209A3007" w14:textId="57094AC7" w:rsidR="005202CD" w:rsidRPr="00B8253A" w:rsidRDefault="005202CD" w:rsidP="00A22ECC">
            <w:pPr>
              <w:pStyle w:val="TableTextCenter9pt"/>
            </w:pPr>
            <w:r>
              <w:t>175</w:t>
            </w:r>
          </w:p>
        </w:tc>
        <w:tc>
          <w:tcPr>
            <w:tcW w:w="516" w:type="pct"/>
            <w:tcBorders>
              <w:top w:val="nil"/>
              <w:left w:val="nil"/>
              <w:bottom w:val="single" w:sz="4" w:space="0" w:color="auto"/>
              <w:right w:val="single" w:sz="4" w:space="0" w:color="auto"/>
            </w:tcBorders>
            <w:shd w:val="clear" w:color="auto" w:fill="auto"/>
            <w:noWrap/>
            <w:vAlign w:val="center"/>
          </w:tcPr>
          <w:p w14:paraId="56313F3A" w14:textId="30FB59D7" w:rsidR="005202CD" w:rsidRPr="00B8253A" w:rsidRDefault="005202CD" w:rsidP="00A22ECC">
            <w:pPr>
              <w:pStyle w:val="TableTextCenter9pt"/>
            </w:pPr>
            <w:r>
              <w:t>525</w:t>
            </w:r>
          </w:p>
        </w:tc>
        <w:tc>
          <w:tcPr>
            <w:tcW w:w="530" w:type="pct"/>
            <w:tcBorders>
              <w:top w:val="nil"/>
              <w:left w:val="nil"/>
              <w:bottom w:val="single" w:sz="4" w:space="0" w:color="auto"/>
              <w:right w:val="single" w:sz="4" w:space="0" w:color="auto"/>
            </w:tcBorders>
            <w:shd w:val="clear" w:color="auto" w:fill="auto"/>
            <w:noWrap/>
            <w:vAlign w:val="center"/>
          </w:tcPr>
          <w:p w14:paraId="19A623A5" w14:textId="2C2E23D7" w:rsidR="005202CD" w:rsidRPr="00B8253A" w:rsidRDefault="005202CD" w:rsidP="002E3B42">
            <w:pPr>
              <w:pStyle w:val="TableTextCenter9pt"/>
            </w:pPr>
            <w:r>
              <w:t>5,506</w:t>
            </w:r>
          </w:p>
        </w:tc>
        <w:tc>
          <w:tcPr>
            <w:tcW w:w="689" w:type="pct"/>
            <w:tcBorders>
              <w:top w:val="nil"/>
              <w:left w:val="nil"/>
              <w:bottom w:val="single" w:sz="4" w:space="0" w:color="auto"/>
              <w:right w:val="single" w:sz="8" w:space="0" w:color="auto"/>
            </w:tcBorders>
            <w:shd w:val="clear" w:color="auto" w:fill="auto"/>
            <w:noWrap/>
            <w:vAlign w:val="center"/>
          </w:tcPr>
          <w:p w14:paraId="15B22817" w14:textId="67BB23D5" w:rsidR="005202CD" w:rsidRPr="00B8253A" w:rsidRDefault="005202CD" w:rsidP="002E3B42">
            <w:pPr>
              <w:pStyle w:val="TableTextCenter9pt"/>
            </w:pPr>
            <w:r>
              <w:t>$574,417</w:t>
            </w:r>
          </w:p>
        </w:tc>
        <w:tc>
          <w:tcPr>
            <w:tcW w:w="613" w:type="pct"/>
            <w:tcBorders>
              <w:top w:val="nil"/>
              <w:left w:val="single" w:sz="4" w:space="0" w:color="auto"/>
              <w:bottom w:val="single" w:sz="4" w:space="0" w:color="auto"/>
              <w:right w:val="single" w:sz="8" w:space="0" w:color="auto"/>
            </w:tcBorders>
            <w:shd w:val="clear" w:color="auto" w:fill="auto"/>
            <w:noWrap/>
            <w:vAlign w:val="center"/>
          </w:tcPr>
          <w:p w14:paraId="6EB8C834" w14:textId="4EFB33CA" w:rsidR="005202CD" w:rsidRPr="00B8253A" w:rsidRDefault="005202CD" w:rsidP="00A22ECC">
            <w:pPr>
              <w:pStyle w:val="TableTextCenter9pt"/>
            </w:pPr>
            <w:r>
              <w:t>$0</w:t>
            </w:r>
          </w:p>
        </w:tc>
        <w:tc>
          <w:tcPr>
            <w:tcW w:w="583" w:type="pct"/>
            <w:tcBorders>
              <w:top w:val="nil"/>
              <w:left w:val="single" w:sz="4" w:space="0" w:color="auto"/>
              <w:bottom w:val="single" w:sz="4" w:space="0" w:color="auto"/>
              <w:right w:val="single" w:sz="8" w:space="0" w:color="auto"/>
            </w:tcBorders>
            <w:shd w:val="clear" w:color="auto" w:fill="auto"/>
            <w:noWrap/>
            <w:vAlign w:val="center"/>
          </w:tcPr>
          <w:p w14:paraId="41E56887" w14:textId="3AED2814" w:rsidR="005202CD" w:rsidRPr="00B8253A" w:rsidRDefault="005202CD" w:rsidP="00A22ECC">
            <w:pPr>
              <w:pStyle w:val="TableTextCenter9pt"/>
            </w:pPr>
            <w:r>
              <w:t>$275,000</w:t>
            </w:r>
          </w:p>
        </w:tc>
        <w:tc>
          <w:tcPr>
            <w:tcW w:w="647" w:type="pct"/>
            <w:tcBorders>
              <w:top w:val="nil"/>
              <w:left w:val="single" w:sz="4" w:space="0" w:color="auto"/>
              <w:bottom w:val="single" w:sz="4" w:space="0" w:color="auto"/>
              <w:right w:val="single" w:sz="8" w:space="0" w:color="auto"/>
            </w:tcBorders>
            <w:shd w:val="clear" w:color="auto" w:fill="auto"/>
            <w:noWrap/>
            <w:vAlign w:val="center"/>
          </w:tcPr>
          <w:p w14:paraId="18E7E3C7" w14:textId="40648568" w:rsidR="005202CD" w:rsidRPr="00B8253A" w:rsidRDefault="005202CD" w:rsidP="002E3B42">
            <w:pPr>
              <w:pStyle w:val="TableTextCenter9pt"/>
            </w:pPr>
            <w:r>
              <w:t>$</w:t>
            </w:r>
            <w:r w:rsidR="00735559">
              <w:t>849,</w:t>
            </w:r>
            <w:r>
              <w:t>417</w:t>
            </w:r>
          </w:p>
        </w:tc>
      </w:tr>
      <w:tr w:rsidR="005202CD" w:rsidRPr="00B8253A" w14:paraId="00209954" w14:textId="77777777" w:rsidTr="002349E8">
        <w:tc>
          <w:tcPr>
            <w:tcW w:w="878" w:type="pct"/>
            <w:tcBorders>
              <w:top w:val="nil"/>
              <w:left w:val="single" w:sz="8" w:space="0" w:color="auto"/>
              <w:bottom w:val="single" w:sz="4" w:space="0" w:color="auto"/>
              <w:right w:val="nil"/>
            </w:tcBorders>
            <w:shd w:val="clear" w:color="auto" w:fill="auto"/>
            <w:vAlign w:val="bottom"/>
            <w:hideMark/>
          </w:tcPr>
          <w:p w14:paraId="69DFE242" w14:textId="77777777" w:rsidR="005202CD" w:rsidRPr="00A22ECC" w:rsidRDefault="005202CD" w:rsidP="00A22ECC">
            <w:pPr>
              <w:pStyle w:val="TableTextLeft9pt"/>
            </w:pPr>
            <w:r w:rsidRPr="00A22ECC">
              <w:t>LNG Storage</w:t>
            </w:r>
          </w:p>
        </w:tc>
        <w:tc>
          <w:tcPr>
            <w:tcW w:w="544" w:type="pct"/>
            <w:tcBorders>
              <w:top w:val="nil"/>
              <w:left w:val="single" w:sz="8" w:space="0" w:color="auto"/>
              <w:bottom w:val="single" w:sz="4" w:space="0" w:color="auto"/>
              <w:right w:val="single" w:sz="4" w:space="0" w:color="auto"/>
            </w:tcBorders>
            <w:shd w:val="clear" w:color="auto" w:fill="auto"/>
            <w:noWrap/>
            <w:vAlign w:val="center"/>
          </w:tcPr>
          <w:p w14:paraId="4CF7EEAB" w14:textId="1A869EEB" w:rsidR="005202CD" w:rsidRPr="00B8253A" w:rsidRDefault="005202CD" w:rsidP="00A22ECC">
            <w:pPr>
              <w:pStyle w:val="TableTextCenter9pt"/>
            </w:pPr>
            <w:r>
              <w:t>5</w:t>
            </w:r>
          </w:p>
        </w:tc>
        <w:tc>
          <w:tcPr>
            <w:tcW w:w="516" w:type="pct"/>
            <w:tcBorders>
              <w:top w:val="nil"/>
              <w:left w:val="nil"/>
              <w:bottom w:val="single" w:sz="4" w:space="0" w:color="auto"/>
              <w:right w:val="single" w:sz="4" w:space="0" w:color="auto"/>
            </w:tcBorders>
            <w:shd w:val="clear" w:color="auto" w:fill="auto"/>
            <w:noWrap/>
            <w:vAlign w:val="center"/>
          </w:tcPr>
          <w:p w14:paraId="5E8BF727" w14:textId="4AEC2262" w:rsidR="005202CD" w:rsidRPr="00B8253A" w:rsidRDefault="005202CD" w:rsidP="00A22ECC">
            <w:pPr>
              <w:pStyle w:val="TableTextCenter9pt"/>
            </w:pPr>
            <w:r>
              <w:t>30</w:t>
            </w:r>
          </w:p>
        </w:tc>
        <w:tc>
          <w:tcPr>
            <w:tcW w:w="530" w:type="pct"/>
            <w:tcBorders>
              <w:top w:val="nil"/>
              <w:left w:val="nil"/>
              <w:bottom w:val="single" w:sz="4" w:space="0" w:color="auto"/>
              <w:right w:val="single" w:sz="4" w:space="0" w:color="auto"/>
            </w:tcBorders>
            <w:shd w:val="clear" w:color="auto" w:fill="auto"/>
            <w:noWrap/>
            <w:vAlign w:val="center"/>
          </w:tcPr>
          <w:p w14:paraId="5EAEDAC3" w14:textId="0121C102" w:rsidR="005202CD" w:rsidRPr="00B8253A" w:rsidRDefault="005202CD" w:rsidP="002E3B42">
            <w:pPr>
              <w:pStyle w:val="TableTextCenter9pt"/>
            </w:pPr>
            <w:r>
              <w:t>153</w:t>
            </w:r>
          </w:p>
        </w:tc>
        <w:tc>
          <w:tcPr>
            <w:tcW w:w="689" w:type="pct"/>
            <w:tcBorders>
              <w:top w:val="nil"/>
              <w:left w:val="nil"/>
              <w:bottom w:val="single" w:sz="4" w:space="0" w:color="auto"/>
              <w:right w:val="single" w:sz="8" w:space="0" w:color="auto"/>
            </w:tcBorders>
            <w:shd w:val="clear" w:color="auto" w:fill="auto"/>
            <w:noWrap/>
            <w:vAlign w:val="center"/>
          </w:tcPr>
          <w:p w14:paraId="750B6618" w14:textId="4C37C2F0" w:rsidR="005202CD" w:rsidRPr="00B8253A" w:rsidRDefault="005202CD" w:rsidP="002E3B42">
            <w:pPr>
              <w:pStyle w:val="TableTextCenter9pt"/>
            </w:pPr>
            <w:r>
              <w:t>$16,113</w:t>
            </w:r>
          </w:p>
        </w:tc>
        <w:tc>
          <w:tcPr>
            <w:tcW w:w="613" w:type="pct"/>
            <w:tcBorders>
              <w:top w:val="nil"/>
              <w:left w:val="single" w:sz="4" w:space="0" w:color="auto"/>
              <w:bottom w:val="single" w:sz="4" w:space="0" w:color="auto"/>
              <w:right w:val="single" w:sz="8" w:space="0" w:color="auto"/>
            </w:tcBorders>
            <w:shd w:val="clear" w:color="auto" w:fill="auto"/>
            <w:noWrap/>
            <w:vAlign w:val="center"/>
          </w:tcPr>
          <w:p w14:paraId="51589F34" w14:textId="15FE9B0F" w:rsidR="005202CD" w:rsidRPr="00B8253A" w:rsidRDefault="005202CD" w:rsidP="00A22ECC">
            <w:pPr>
              <w:pStyle w:val="TableTextCenter9pt"/>
            </w:pPr>
            <w:r>
              <w:t>$585</w:t>
            </w:r>
          </w:p>
        </w:tc>
        <w:tc>
          <w:tcPr>
            <w:tcW w:w="583" w:type="pct"/>
            <w:tcBorders>
              <w:top w:val="nil"/>
              <w:left w:val="single" w:sz="4" w:space="0" w:color="auto"/>
              <w:bottom w:val="single" w:sz="4" w:space="0" w:color="auto"/>
              <w:right w:val="single" w:sz="8" w:space="0" w:color="auto"/>
            </w:tcBorders>
            <w:shd w:val="clear" w:color="auto" w:fill="auto"/>
            <w:noWrap/>
            <w:vAlign w:val="center"/>
          </w:tcPr>
          <w:p w14:paraId="4FE06ABA" w14:textId="3727690C" w:rsidR="005202CD" w:rsidRPr="00B8253A" w:rsidRDefault="005202CD" w:rsidP="00A22ECC">
            <w:pPr>
              <w:pStyle w:val="TableTextCenter9pt"/>
            </w:pPr>
            <w:r>
              <w:t>$7,500</w:t>
            </w:r>
          </w:p>
        </w:tc>
        <w:tc>
          <w:tcPr>
            <w:tcW w:w="647" w:type="pct"/>
            <w:tcBorders>
              <w:top w:val="nil"/>
              <w:left w:val="single" w:sz="4" w:space="0" w:color="auto"/>
              <w:bottom w:val="single" w:sz="4" w:space="0" w:color="auto"/>
              <w:right w:val="single" w:sz="8" w:space="0" w:color="auto"/>
            </w:tcBorders>
            <w:shd w:val="clear" w:color="auto" w:fill="auto"/>
            <w:noWrap/>
            <w:vAlign w:val="center"/>
          </w:tcPr>
          <w:p w14:paraId="6F6B3D6E" w14:textId="1C36EDE0" w:rsidR="005202CD" w:rsidRPr="00B8253A" w:rsidRDefault="005202CD" w:rsidP="002E3B42">
            <w:pPr>
              <w:pStyle w:val="TableTextCenter9pt"/>
            </w:pPr>
            <w:r>
              <w:t>$</w:t>
            </w:r>
            <w:r w:rsidR="00735559">
              <w:t>24,</w:t>
            </w:r>
            <w:r>
              <w:t>199</w:t>
            </w:r>
          </w:p>
        </w:tc>
      </w:tr>
      <w:tr w:rsidR="005202CD" w:rsidRPr="00B8253A" w14:paraId="4D0C4647" w14:textId="77777777" w:rsidTr="002349E8">
        <w:tc>
          <w:tcPr>
            <w:tcW w:w="878" w:type="pct"/>
            <w:tcBorders>
              <w:top w:val="nil"/>
              <w:left w:val="single" w:sz="8" w:space="0" w:color="auto"/>
              <w:bottom w:val="nil"/>
              <w:right w:val="nil"/>
            </w:tcBorders>
            <w:shd w:val="clear" w:color="auto" w:fill="auto"/>
            <w:vAlign w:val="bottom"/>
            <w:hideMark/>
          </w:tcPr>
          <w:p w14:paraId="7DA6E26F" w14:textId="77777777" w:rsidR="005202CD" w:rsidRPr="00A22ECC" w:rsidRDefault="005202CD" w:rsidP="00A22ECC">
            <w:pPr>
              <w:pStyle w:val="TableTextLeft9pt"/>
            </w:pPr>
            <w:r w:rsidRPr="00A22ECC">
              <w:t>Offshore Petroleum and Natural Gas Production</w:t>
            </w:r>
          </w:p>
        </w:tc>
        <w:tc>
          <w:tcPr>
            <w:tcW w:w="544" w:type="pct"/>
            <w:tcBorders>
              <w:top w:val="nil"/>
              <w:left w:val="single" w:sz="8" w:space="0" w:color="auto"/>
              <w:bottom w:val="nil"/>
              <w:right w:val="single" w:sz="4" w:space="0" w:color="auto"/>
            </w:tcBorders>
            <w:shd w:val="clear" w:color="auto" w:fill="auto"/>
            <w:noWrap/>
            <w:vAlign w:val="center"/>
          </w:tcPr>
          <w:p w14:paraId="0649C200" w14:textId="398B630E" w:rsidR="005202CD" w:rsidRPr="00B8253A" w:rsidRDefault="005202CD" w:rsidP="00A22ECC">
            <w:pPr>
              <w:pStyle w:val="TableTextCenter9pt"/>
            </w:pPr>
            <w:r>
              <w:t>107</w:t>
            </w:r>
          </w:p>
        </w:tc>
        <w:tc>
          <w:tcPr>
            <w:tcW w:w="516" w:type="pct"/>
            <w:tcBorders>
              <w:top w:val="nil"/>
              <w:left w:val="nil"/>
              <w:bottom w:val="nil"/>
              <w:right w:val="single" w:sz="4" w:space="0" w:color="auto"/>
            </w:tcBorders>
            <w:shd w:val="clear" w:color="auto" w:fill="auto"/>
            <w:noWrap/>
            <w:vAlign w:val="center"/>
          </w:tcPr>
          <w:p w14:paraId="56A43DA9" w14:textId="5FEFF918" w:rsidR="005202CD" w:rsidRPr="00B8253A" w:rsidRDefault="005202CD" w:rsidP="00A22ECC">
            <w:pPr>
              <w:pStyle w:val="TableTextCenter9pt"/>
            </w:pPr>
            <w:r>
              <w:t>214</w:t>
            </w:r>
          </w:p>
        </w:tc>
        <w:tc>
          <w:tcPr>
            <w:tcW w:w="530" w:type="pct"/>
            <w:tcBorders>
              <w:top w:val="nil"/>
              <w:left w:val="nil"/>
              <w:bottom w:val="single" w:sz="4" w:space="0" w:color="auto"/>
              <w:right w:val="single" w:sz="4" w:space="0" w:color="auto"/>
            </w:tcBorders>
            <w:shd w:val="clear" w:color="auto" w:fill="auto"/>
            <w:noWrap/>
            <w:vAlign w:val="center"/>
          </w:tcPr>
          <w:p w14:paraId="0C3D6482" w14:textId="06F60B4C" w:rsidR="005202CD" w:rsidRPr="00B8253A" w:rsidRDefault="005202CD" w:rsidP="0027664E">
            <w:pPr>
              <w:pStyle w:val="TableTextCenter9pt"/>
            </w:pPr>
            <w:r>
              <w:t>1,794</w:t>
            </w:r>
          </w:p>
        </w:tc>
        <w:tc>
          <w:tcPr>
            <w:tcW w:w="689" w:type="pct"/>
            <w:tcBorders>
              <w:top w:val="nil"/>
              <w:left w:val="nil"/>
              <w:bottom w:val="single" w:sz="4" w:space="0" w:color="auto"/>
              <w:right w:val="single" w:sz="8" w:space="0" w:color="auto"/>
            </w:tcBorders>
            <w:shd w:val="clear" w:color="auto" w:fill="auto"/>
            <w:noWrap/>
            <w:vAlign w:val="center"/>
          </w:tcPr>
          <w:p w14:paraId="2A45749E" w14:textId="4CFC31CC" w:rsidR="005202CD" w:rsidRPr="00B8253A" w:rsidRDefault="005202CD" w:rsidP="00A22ECC">
            <w:pPr>
              <w:pStyle w:val="TableTextCenter9pt"/>
            </w:pPr>
            <w:r>
              <w:t>$25,157</w:t>
            </w:r>
          </w:p>
        </w:tc>
        <w:tc>
          <w:tcPr>
            <w:tcW w:w="613" w:type="pct"/>
            <w:tcBorders>
              <w:top w:val="nil"/>
              <w:left w:val="single" w:sz="4" w:space="0" w:color="auto"/>
              <w:bottom w:val="single" w:sz="4" w:space="0" w:color="auto"/>
              <w:right w:val="single" w:sz="8" w:space="0" w:color="auto"/>
            </w:tcBorders>
            <w:shd w:val="clear" w:color="auto" w:fill="auto"/>
            <w:noWrap/>
            <w:vAlign w:val="center"/>
          </w:tcPr>
          <w:p w14:paraId="45979D60" w14:textId="6778125F" w:rsidR="005202CD" w:rsidRPr="00B8253A" w:rsidRDefault="005202CD" w:rsidP="00A22ECC">
            <w:pPr>
              <w:pStyle w:val="TableTextCenter9pt"/>
            </w:pPr>
            <w:r>
              <w:t>$0</w:t>
            </w:r>
          </w:p>
        </w:tc>
        <w:tc>
          <w:tcPr>
            <w:tcW w:w="583" w:type="pct"/>
            <w:tcBorders>
              <w:top w:val="nil"/>
              <w:left w:val="single" w:sz="4" w:space="0" w:color="auto"/>
              <w:bottom w:val="single" w:sz="4" w:space="0" w:color="auto"/>
              <w:right w:val="single" w:sz="8" w:space="0" w:color="auto"/>
            </w:tcBorders>
            <w:shd w:val="clear" w:color="auto" w:fill="auto"/>
            <w:noWrap/>
            <w:vAlign w:val="center"/>
          </w:tcPr>
          <w:p w14:paraId="647D4CC1" w14:textId="0465B389" w:rsidR="005202CD" w:rsidRPr="00B8253A" w:rsidRDefault="005202CD" w:rsidP="00A22ECC">
            <w:pPr>
              <w:pStyle w:val="TableTextCenter9pt"/>
            </w:pPr>
            <w:r>
              <w:t>$0</w:t>
            </w:r>
          </w:p>
        </w:tc>
        <w:tc>
          <w:tcPr>
            <w:tcW w:w="647" w:type="pct"/>
            <w:tcBorders>
              <w:top w:val="nil"/>
              <w:left w:val="single" w:sz="4" w:space="0" w:color="auto"/>
              <w:bottom w:val="single" w:sz="4" w:space="0" w:color="auto"/>
              <w:right w:val="single" w:sz="8" w:space="0" w:color="auto"/>
            </w:tcBorders>
            <w:shd w:val="clear" w:color="auto" w:fill="auto"/>
            <w:noWrap/>
            <w:vAlign w:val="center"/>
          </w:tcPr>
          <w:p w14:paraId="35F682FF" w14:textId="7EFDD7C5" w:rsidR="005202CD" w:rsidRPr="00B8253A" w:rsidRDefault="005202CD" w:rsidP="00A22ECC">
            <w:pPr>
              <w:pStyle w:val="TableTextCenter9pt"/>
            </w:pPr>
            <w:r>
              <w:t>$</w:t>
            </w:r>
            <w:r w:rsidR="00735559">
              <w:t>25,</w:t>
            </w:r>
            <w:r>
              <w:t>157</w:t>
            </w:r>
          </w:p>
        </w:tc>
      </w:tr>
      <w:tr w:rsidR="005202CD" w:rsidRPr="00B8253A" w14:paraId="259924F8" w14:textId="77777777" w:rsidTr="002349E8">
        <w:tc>
          <w:tcPr>
            <w:tcW w:w="878" w:type="pct"/>
            <w:tcBorders>
              <w:top w:val="single" w:sz="4" w:space="0" w:color="auto"/>
              <w:left w:val="single" w:sz="8" w:space="0" w:color="auto"/>
              <w:bottom w:val="single" w:sz="8" w:space="0" w:color="auto"/>
              <w:right w:val="nil"/>
            </w:tcBorders>
            <w:shd w:val="clear" w:color="auto" w:fill="auto"/>
            <w:vAlign w:val="bottom"/>
            <w:hideMark/>
          </w:tcPr>
          <w:p w14:paraId="6AF1033B" w14:textId="77777777" w:rsidR="005202CD" w:rsidRPr="00A22ECC" w:rsidRDefault="005202CD" w:rsidP="00A22ECC">
            <w:pPr>
              <w:pStyle w:val="TableTextLeft9pt"/>
              <w:rPr>
                <w:rStyle w:val="Bold"/>
              </w:rPr>
            </w:pPr>
            <w:r w:rsidRPr="00A22ECC">
              <w:rPr>
                <w:rStyle w:val="Bold"/>
              </w:rPr>
              <w:t>TOTAL</w:t>
            </w:r>
          </w:p>
        </w:tc>
        <w:tc>
          <w:tcPr>
            <w:tcW w:w="544" w:type="pct"/>
            <w:tcBorders>
              <w:top w:val="single" w:sz="4" w:space="0" w:color="auto"/>
              <w:left w:val="single" w:sz="4" w:space="0" w:color="auto"/>
              <w:bottom w:val="single" w:sz="8" w:space="0" w:color="auto"/>
              <w:right w:val="single" w:sz="4" w:space="0" w:color="auto"/>
            </w:tcBorders>
            <w:shd w:val="clear" w:color="auto" w:fill="auto"/>
            <w:noWrap/>
            <w:vAlign w:val="center"/>
          </w:tcPr>
          <w:p w14:paraId="3B15EEC9" w14:textId="224FD1BE" w:rsidR="005202CD" w:rsidRPr="00A22ECC" w:rsidRDefault="005202CD" w:rsidP="005202CD">
            <w:pPr>
              <w:pStyle w:val="TableTextCenter9pt"/>
              <w:rPr>
                <w:rStyle w:val="Bold"/>
              </w:rPr>
            </w:pPr>
            <w:r>
              <w:rPr>
                <w:rStyle w:val="Bold"/>
              </w:rPr>
              <w:t>2,203</w:t>
            </w:r>
          </w:p>
        </w:tc>
        <w:tc>
          <w:tcPr>
            <w:tcW w:w="516" w:type="pct"/>
            <w:tcBorders>
              <w:top w:val="single" w:sz="4" w:space="0" w:color="auto"/>
              <w:left w:val="nil"/>
              <w:bottom w:val="single" w:sz="8" w:space="0" w:color="auto"/>
              <w:right w:val="single" w:sz="4" w:space="0" w:color="auto"/>
            </w:tcBorders>
            <w:shd w:val="clear" w:color="auto" w:fill="auto"/>
            <w:noWrap/>
            <w:vAlign w:val="center"/>
          </w:tcPr>
          <w:p w14:paraId="537674B4" w14:textId="070F8F31" w:rsidR="005202CD" w:rsidRPr="00A22ECC" w:rsidRDefault="005202CD" w:rsidP="0073490C">
            <w:pPr>
              <w:pStyle w:val="TableTextCenter9pt"/>
              <w:rPr>
                <w:rStyle w:val="Bold"/>
              </w:rPr>
            </w:pPr>
            <w:r>
              <w:rPr>
                <w:rStyle w:val="Bold"/>
              </w:rPr>
              <w:t>33,411</w:t>
            </w:r>
          </w:p>
        </w:tc>
        <w:tc>
          <w:tcPr>
            <w:tcW w:w="530" w:type="pct"/>
            <w:tcBorders>
              <w:top w:val="single" w:sz="4" w:space="0" w:color="auto"/>
              <w:left w:val="nil"/>
              <w:bottom w:val="single" w:sz="8" w:space="0" w:color="auto"/>
              <w:right w:val="single" w:sz="4" w:space="0" w:color="auto"/>
            </w:tcBorders>
            <w:shd w:val="clear" w:color="auto" w:fill="auto"/>
            <w:noWrap/>
            <w:vAlign w:val="center"/>
          </w:tcPr>
          <w:p w14:paraId="638D01AD" w14:textId="7AF50D1C" w:rsidR="005202CD" w:rsidRPr="00A22ECC" w:rsidRDefault="005202CD" w:rsidP="0073490C">
            <w:pPr>
              <w:pStyle w:val="TableTextCenter9pt"/>
              <w:rPr>
                <w:rStyle w:val="Bold"/>
              </w:rPr>
            </w:pPr>
            <w:r>
              <w:rPr>
                <w:rStyle w:val="Bold"/>
              </w:rPr>
              <w:t>183,523</w:t>
            </w:r>
          </w:p>
        </w:tc>
        <w:tc>
          <w:tcPr>
            <w:tcW w:w="689" w:type="pct"/>
            <w:tcBorders>
              <w:top w:val="single" w:sz="4" w:space="0" w:color="auto"/>
              <w:left w:val="nil"/>
              <w:bottom w:val="single" w:sz="8" w:space="0" w:color="auto"/>
              <w:right w:val="single" w:sz="8" w:space="0" w:color="auto"/>
            </w:tcBorders>
            <w:shd w:val="clear" w:color="auto" w:fill="auto"/>
            <w:noWrap/>
            <w:vAlign w:val="center"/>
          </w:tcPr>
          <w:p w14:paraId="33862436" w14:textId="2604E1DC" w:rsidR="005202CD" w:rsidRPr="00A22ECC" w:rsidRDefault="005202CD" w:rsidP="0073490C">
            <w:pPr>
              <w:pStyle w:val="TableTextCenter9pt"/>
              <w:rPr>
                <w:rStyle w:val="Bold"/>
              </w:rPr>
            </w:pPr>
            <w:r>
              <w:rPr>
                <w:rStyle w:val="Bold"/>
              </w:rPr>
              <w:t>$18,627,939</w:t>
            </w:r>
          </w:p>
        </w:tc>
        <w:tc>
          <w:tcPr>
            <w:tcW w:w="613" w:type="pct"/>
            <w:tcBorders>
              <w:top w:val="single" w:sz="4" w:space="0" w:color="auto"/>
              <w:left w:val="single" w:sz="4" w:space="0" w:color="auto"/>
              <w:bottom w:val="single" w:sz="8" w:space="0" w:color="auto"/>
              <w:right w:val="single" w:sz="8" w:space="0" w:color="auto"/>
            </w:tcBorders>
            <w:shd w:val="clear" w:color="auto" w:fill="auto"/>
            <w:noWrap/>
            <w:vAlign w:val="center"/>
          </w:tcPr>
          <w:p w14:paraId="3C2807B4" w14:textId="245983F9" w:rsidR="005202CD" w:rsidRPr="00A22ECC" w:rsidRDefault="005202CD" w:rsidP="0073490C">
            <w:pPr>
              <w:pStyle w:val="TableTextCenter9pt"/>
              <w:rPr>
                <w:rStyle w:val="Bold"/>
              </w:rPr>
            </w:pPr>
            <w:r>
              <w:rPr>
                <w:rStyle w:val="Bold"/>
              </w:rPr>
              <w:t>$1,124,604</w:t>
            </w:r>
          </w:p>
        </w:tc>
        <w:tc>
          <w:tcPr>
            <w:tcW w:w="583" w:type="pct"/>
            <w:tcBorders>
              <w:top w:val="single" w:sz="4" w:space="0" w:color="auto"/>
              <w:left w:val="single" w:sz="4" w:space="0" w:color="auto"/>
              <w:bottom w:val="single" w:sz="8" w:space="0" w:color="auto"/>
              <w:right w:val="single" w:sz="8" w:space="0" w:color="auto"/>
            </w:tcBorders>
            <w:shd w:val="clear" w:color="auto" w:fill="auto"/>
            <w:noWrap/>
            <w:vAlign w:val="center"/>
          </w:tcPr>
          <w:p w14:paraId="66BC674B" w14:textId="1928B323" w:rsidR="005202CD" w:rsidRPr="00A22ECC" w:rsidRDefault="005202CD" w:rsidP="00F83F99">
            <w:pPr>
              <w:pStyle w:val="TableTextCenter9pt"/>
              <w:rPr>
                <w:rStyle w:val="Bold"/>
              </w:rPr>
            </w:pPr>
            <w:r>
              <w:rPr>
                <w:rStyle w:val="Bold"/>
              </w:rPr>
              <w:t>$8,377,990</w:t>
            </w:r>
          </w:p>
        </w:tc>
        <w:tc>
          <w:tcPr>
            <w:tcW w:w="647" w:type="pct"/>
            <w:tcBorders>
              <w:top w:val="single" w:sz="4" w:space="0" w:color="auto"/>
              <w:left w:val="single" w:sz="4" w:space="0" w:color="auto"/>
              <w:bottom w:val="single" w:sz="8" w:space="0" w:color="auto"/>
              <w:right w:val="single" w:sz="8" w:space="0" w:color="auto"/>
            </w:tcBorders>
            <w:shd w:val="clear" w:color="auto" w:fill="auto"/>
            <w:noWrap/>
            <w:vAlign w:val="center"/>
          </w:tcPr>
          <w:p w14:paraId="64D39F75" w14:textId="496D0AB9" w:rsidR="005202CD" w:rsidRPr="00A22ECC" w:rsidRDefault="005202CD" w:rsidP="0073490C">
            <w:pPr>
              <w:pStyle w:val="TableTextCenter9pt"/>
              <w:rPr>
                <w:rStyle w:val="Bold"/>
              </w:rPr>
            </w:pPr>
            <w:r>
              <w:rPr>
                <w:rStyle w:val="Bold"/>
              </w:rPr>
              <w:t>$28,130,534</w:t>
            </w:r>
          </w:p>
        </w:tc>
      </w:tr>
    </w:tbl>
    <w:p w14:paraId="7F2C1349" w14:textId="77777777" w:rsidR="00EB2EF0" w:rsidRDefault="00EB2EF0" w:rsidP="006B6090">
      <w:pPr>
        <w:pStyle w:val="AfterTable"/>
      </w:pPr>
    </w:p>
    <w:p w14:paraId="5755236A" w14:textId="77777777" w:rsidR="00735559" w:rsidRDefault="00735559" w:rsidP="00A22ECC">
      <w:pPr>
        <w:pStyle w:val="TableTitle"/>
      </w:pPr>
      <w:r>
        <w:br w:type="page"/>
      </w:r>
    </w:p>
    <w:p w14:paraId="58ECC583" w14:textId="1AC3D1FD" w:rsidR="00EB2EF0" w:rsidRDefault="0051007A" w:rsidP="00A22ECC">
      <w:pPr>
        <w:pStyle w:val="TableTitle"/>
      </w:pPr>
      <w:r>
        <w:lastRenderedPageBreak/>
        <w:t>Exhibit 6.2 Annual Average Change in Respondent Burden and Cost</w:t>
      </w:r>
      <w:r w:rsidR="00B8253A">
        <w:t xml:space="preserve"> </w:t>
      </w:r>
      <w:r w:rsidR="0007115B">
        <w:t>f</w:t>
      </w:r>
      <w:r>
        <w:t>or Subpart W of the GHGRP</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737"/>
        <w:gridCol w:w="2812"/>
        <w:gridCol w:w="2948"/>
        <w:gridCol w:w="1858"/>
        <w:gridCol w:w="1589"/>
      </w:tblGrid>
      <w:tr w:rsidR="00A22ECC" w:rsidRPr="00B8253A" w14:paraId="2AA075DC" w14:textId="77777777" w:rsidTr="009F61A8">
        <w:tc>
          <w:tcPr>
            <w:tcW w:w="1453" w:type="pct"/>
            <w:shd w:val="clear" w:color="000000" w:fill="CCFFFF"/>
            <w:vAlign w:val="bottom"/>
            <w:hideMark/>
          </w:tcPr>
          <w:p w14:paraId="0E62254F" w14:textId="77777777" w:rsidR="00A22ECC" w:rsidRPr="00B8253A" w:rsidRDefault="00A22ECC" w:rsidP="00A22ECC">
            <w:pPr>
              <w:pStyle w:val="TableColumnHeading10pt"/>
            </w:pPr>
            <w:r w:rsidRPr="00B8253A">
              <w:t>Subpart W Industry Segment</w:t>
            </w:r>
          </w:p>
        </w:tc>
        <w:tc>
          <w:tcPr>
            <w:tcW w:w="1096" w:type="pct"/>
            <w:shd w:val="clear" w:color="000000" w:fill="CCFFFF"/>
            <w:vAlign w:val="bottom"/>
            <w:hideMark/>
          </w:tcPr>
          <w:p w14:paraId="663DFEB2" w14:textId="5D47B4A2" w:rsidR="00A22ECC" w:rsidRDefault="00496501" w:rsidP="00A22ECC">
            <w:pPr>
              <w:pStyle w:val="TableColumnHeading10pt"/>
            </w:pPr>
            <w:r>
              <w:t xml:space="preserve">Annual </w:t>
            </w:r>
            <w:r w:rsidR="00A22ECC" w:rsidRPr="00B8253A">
              <w:t>Change In Total Burden</w:t>
            </w:r>
          </w:p>
          <w:p w14:paraId="7360D8F0" w14:textId="77777777" w:rsidR="00A22ECC" w:rsidRPr="00B8253A" w:rsidRDefault="00A22ECC" w:rsidP="00A22ECC">
            <w:pPr>
              <w:pStyle w:val="TableColumnHeading10pt"/>
            </w:pPr>
            <w:r>
              <w:br/>
            </w:r>
            <w:r w:rsidRPr="00B8253A">
              <w:t>(Technical Labor Hours)</w:t>
            </w:r>
          </w:p>
        </w:tc>
        <w:tc>
          <w:tcPr>
            <w:tcW w:w="1148" w:type="pct"/>
            <w:shd w:val="clear" w:color="000000" w:fill="CCFFFF"/>
            <w:vAlign w:val="bottom"/>
            <w:hideMark/>
          </w:tcPr>
          <w:p w14:paraId="656F6D11" w14:textId="77777777" w:rsidR="00A22ECC" w:rsidRPr="00B8253A" w:rsidRDefault="00A22ECC" w:rsidP="00A22ECC">
            <w:pPr>
              <w:pStyle w:val="TableColumnHeading10pt"/>
            </w:pPr>
            <w:r w:rsidRPr="00B8253A">
              <w:t> </w:t>
            </w:r>
          </w:p>
          <w:p w14:paraId="7EB80501" w14:textId="22E99A6C" w:rsidR="00A22ECC" w:rsidRDefault="00496501" w:rsidP="00A22ECC">
            <w:pPr>
              <w:pStyle w:val="TableColumnHeading10pt"/>
            </w:pPr>
            <w:r>
              <w:t xml:space="preserve">Annual </w:t>
            </w:r>
            <w:r w:rsidR="00A22ECC" w:rsidRPr="00B8253A">
              <w:t xml:space="preserve">Change in Burden </w:t>
            </w:r>
          </w:p>
          <w:p w14:paraId="74A503C7" w14:textId="77777777" w:rsidR="00A22ECC" w:rsidRPr="00B8253A" w:rsidRDefault="00A22ECC" w:rsidP="00A22ECC">
            <w:pPr>
              <w:pStyle w:val="TableColumnHeading10pt"/>
            </w:pPr>
            <w:r>
              <w:t>(</w:t>
            </w:r>
            <w:r w:rsidRPr="00B8253A">
              <w:t>Technical Labor Hours/Respondent</w:t>
            </w:r>
            <w:r>
              <w:t>)</w:t>
            </w:r>
          </w:p>
        </w:tc>
        <w:tc>
          <w:tcPr>
            <w:tcW w:w="727" w:type="pct"/>
            <w:shd w:val="clear" w:color="000000" w:fill="CCFFFF"/>
            <w:vAlign w:val="bottom"/>
            <w:hideMark/>
          </w:tcPr>
          <w:p w14:paraId="798ED26A" w14:textId="76D5E677" w:rsidR="00A22ECC" w:rsidRDefault="00496501" w:rsidP="00A22ECC">
            <w:pPr>
              <w:pStyle w:val="TableColumnHeading10pt"/>
            </w:pPr>
            <w:r>
              <w:t xml:space="preserve">Annual </w:t>
            </w:r>
            <w:r w:rsidR="00A22ECC" w:rsidRPr="00B8253A">
              <w:t>Change In Total Cost</w:t>
            </w:r>
          </w:p>
          <w:p w14:paraId="772B26B6" w14:textId="70D24B86" w:rsidR="00A22ECC" w:rsidRPr="00B8253A" w:rsidRDefault="00A22ECC" w:rsidP="005202CD">
            <w:pPr>
              <w:pStyle w:val="TableColumnHeading10pt"/>
              <w:jc w:val="left"/>
            </w:pPr>
          </w:p>
        </w:tc>
        <w:tc>
          <w:tcPr>
            <w:tcW w:w="575" w:type="pct"/>
            <w:shd w:val="clear" w:color="000000" w:fill="CCFFFF"/>
            <w:vAlign w:val="bottom"/>
            <w:hideMark/>
          </w:tcPr>
          <w:p w14:paraId="4D791E36" w14:textId="77777777" w:rsidR="00A22ECC" w:rsidRPr="00B8253A" w:rsidRDefault="00A22ECC" w:rsidP="00A22ECC">
            <w:pPr>
              <w:pStyle w:val="TableColumnHeading10pt"/>
            </w:pPr>
            <w:r w:rsidRPr="00B8253A">
              <w:t> </w:t>
            </w:r>
          </w:p>
          <w:p w14:paraId="3A88CE77" w14:textId="06F75D25" w:rsidR="00A22ECC" w:rsidRDefault="00496501" w:rsidP="00A22ECC">
            <w:pPr>
              <w:pStyle w:val="TableColumnHeading10pt"/>
            </w:pPr>
            <w:r>
              <w:t xml:space="preserve">Annual </w:t>
            </w:r>
            <w:r w:rsidR="00A22ECC" w:rsidRPr="00B8253A">
              <w:t>Change in Cost</w:t>
            </w:r>
          </w:p>
          <w:p w14:paraId="2D6584B2" w14:textId="18F342D1" w:rsidR="00A22ECC" w:rsidRPr="00B8253A" w:rsidRDefault="00A22ECC" w:rsidP="00A22ECC">
            <w:pPr>
              <w:pStyle w:val="TableColumnHeading10pt"/>
            </w:pPr>
            <w:r>
              <w:br/>
              <w:t>(</w:t>
            </w:r>
            <w:r w:rsidRPr="00B8253A">
              <w:t>$/Respondent</w:t>
            </w:r>
            <w:r>
              <w:t>)</w:t>
            </w:r>
            <w:r w:rsidR="0007115B" w:rsidRPr="00871E2B">
              <w:rPr>
                <w:rStyle w:val="Superscript"/>
              </w:rPr>
              <w:t>k</w:t>
            </w:r>
          </w:p>
        </w:tc>
      </w:tr>
      <w:tr w:rsidR="00B8253A" w:rsidRPr="00B8253A" w14:paraId="3793190D" w14:textId="77777777" w:rsidTr="00011188">
        <w:tc>
          <w:tcPr>
            <w:tcW w:w="1453" w:type="pct"/>
            <w:shd w:val="clear" w:color="auto" w:fill="auto"/>
            <w:vAlign w:val="bottom"/>
            <w:hideMark/>
          </w:tcPr>
          <w:p w14:paraId="68D6408D" w14:textId="5A9C6A3F" w:rsidR="00B8253A" w:rsidRPr="00B8253A" w:rsidRDefault="00B8253A" w:rsidP="00795196">
            <w:pPr>
              <w:pStyle w:val="TableTextLeft10pt"/>
            </w:pPr>
            <w:r w:rsidRPr="00B8253A">
              <w:t>Onshore Natural Gas Transmission</w:t>
            </w:r>
            <w:r w:rsidR="00163C07">
              <w:t xml:space="preserve"> </w:t>
            </w:r>
            <w:proofErr w:type="spellStart"/>
            <w:r w:rsidR="00163C07">
              <w:t>Pipelines</w:t>
            </w:r>
            <w:r w:rsidRPr="00A22ECC">
              <w:rPr>
                <w:rStyle w:val="Superscript"/>
              </w:rPr>
              <w:t>a</w:t>
            </w:r>
            <w:proofErr w:type="spellEnd"/>
          </w:p>
        </w:tc>
        <w:tc>
          <w:tcPr>
            <w:tcW w:w="1096" w:type="pct"/>
            <w:shd w:val="clear" w:color="auto" w:fill="auto"/>
            <w:vAlign w:val="bottom"/>
          </w:tcPr>
          <w:p w14:paraId="7E7753EF" w14:textId="50272116" w:rsidR="00B8253A" w:rsidRPr="00B8253A" w:rsidRDefault="00011188" w:rsidP="0073490C">
            <w:pPr>
              <w:pStyle w:val="TableTextCenter10pt"/>
            </w:pPr>
            <w:r>
              <w:t>0</w:t>
            </w:r>
          </w:p>
        </w:tc>
        <w:tc>
          <w:tcPr>
            <w:tcW w:w="1148" w:type="pct"/>
            <w:shd w:val="clear" w:color="auto" w:fill="auto"/>
            <w:vAlign w:val="bottom"/>
          </w:tcPr>
          <w:p w14:paraId="42DBFB8C" w14:textId="7A943EE9" w:rsidR="00B8253A" w:rsidRPr="00B8253A" w:rsidRDefault="00011188" w:rsidP="0073490C">
            <w:pPr>
              <w:pStyle w:val="TableTextCenter10pt"/>
            </w:pPr>
            <w:r w:rsidRPr="00B01B51">
              <w:t>0.00</w:t>
            </w:r>
          </w:p>
        </w:tc>
        <w:tc>
          <w:tcPr>
            <w:tcW w:w="727" w:type="pct"/>
            <w:shd w:val="clear" w:color="auto" w:fill="auto"/>
            <w:vAlign w:val="bottom"/>
            <w:hideMark/>
          </w:tcPr>
          <w:p w14:paraId="0C4E104A" w14:textId="7E856CB3" w:rsidR="00B8253A" w:rsidRPr="00B8253A" w:rsidRDefault="00011188" w:rsidP="0073490C">
            <w:pPr>
              <w:pStyle w:val="TableTextCenter10pt"/>
            </w:pPr>
            <w:r w:rsidRPr="00B8253A">
              <w:t>$0</w:t>
            </w:r>
          </w:p>
        </w:tc>
        <w:tc>
          <w:tcPr>
            <w:tcW w:w="575" w:type="pct"/>
            <w:shd w:val="clear" w:color="auto" w:fill="auto"/>
            <w:vAlign w:val="bottom"/>
            <w:hideMark/>
          </w:tcPr>
          <w:p w14:paraId="29D3A5F9" w14:textId="379C4563" w:rsidR="00B8253A" w:rsidRPr="00B8253A" w:rsidRDefault="00011188" w:rsidP="0073490C">
            <w:pPr>
              <w:pStyle w:val="TableTextCenter10pt"/>
            </w:pPr>
            <w:r w:rsidRPr="00B8253A">
              <w:t>$0</w:t>
            </w:r>
          </w:p>
        </w:tc>
      </w:tr>
      <w:tr w:rsidR="00B8253A" w:rsidRPr="00B8253A" w14:paraId="7324FC31" w14:textId="77777777" w:rsidTr="00011188">
        <w:tc>
          <w:tcPr>
            <w:tcW w:w="1453" w:type="pct"/>
            <w:shd w:val="clear" w:color="auto" w:fill="auto"/>
            <w:vAlign w:val="bottom"/>
            <w:hideMark/>
          </w:tcPr>
          <w:p w14:paraId="2134C82A" w14:textId="3DA4DB1D" w:rsidR="00B8253A" w:rsidRPr="00B8253A" w:rsidRDefault="00B8253A" w:rsidP="00795196">
            <w:pPr>
              <w:pStyle w:val="TableTextLeft10pt"/>
            </w:pPr>
            <w:r w:rsidRPr="00B8253A">
              <w:t xml:space="preserve">Onshore </w:t>
            </w:r>
            <w:r w:rsidR="004054A2">
              <w:t xml:space="preserve">Petroleum and </w:t>
            </w:r>
            <w:r w:rsidRPr="00B8253A">
              <w:t xml:space="preserve">Natural Gas Gathering and </w:t>
            </w:r>
            <w:proofErr w:type="spellStart"/>
            <w:r w:rsidRPr="00B8253A">
              <w:t>Boosting</w:t>
            </w:r>
            <w:r w:rsidRPr="00A22ECC">
              <w:rPr>
                <w:rStyle w:val="Superscript"/>
              </w:rPr>
              <w:t>b</w:t>
            </w:r>
            <w:proofErr w:type="spellEnd"/>
          </w:p>
        </w:tc>
        <w:tc>
          <w:tcPr>
            <w:tcW w:w="1096" w:type="pct"/>
            <w:shd w:val="clear" w:color="auto" w:fill="auto"/>
            <w:vAlign w:val="bottom"/>
          </w:tcPr>
          <w:p w14:paraId="00EFAED4" w14:textId="082D224F" w:rsidR="00B8253A" w:rsidRPr="00B8253A" w:rsidRDefault="00011188" w:rsidP="0073490C">
            <w:pPr>
              <w:pStyle w:val="TableTextCenter10pt"/>
            </w:pPr>
            <w:r>
              <w:t>134</w:t>
            </w:r>
          </w:p>
        </w:tc>
        <w:tc>
          <w:tcPr>
            <w:tcW w:w="1148" w:type="pct"/>
            <w:shd w:val="clear" w:color="auto" w:fill="auto"/>
            <w:vAlign w:val="bottom"/>
          </w:tcPr>
          <w:p w14:paraId="0612BE01" w14:textId="2DAA5A91" w:rsidR="00B8253A" w:rsidRPr="00B8253A" w:rsidRDefault="003842DF" w:rsidP="0073490C">
            <w:pPr>
              <w:pStyle w:val="TableTextCenter10pt"/>
            </w:pPr>
            <w:r>
              <w:t>2.00</w:t>
            </w:r>
          </w:p>
        </w:tc>
        <w:tc>
          <w:tcPr>
            <w:tcW w:w="727" w:type="pct"/>
            <w:shd w:val="clear" w:color="auto" w:fill="auto"/>
            <w:vAlign w:val="bottom"/>
            <w:hideMark/>
          </w:tcPr>
          <w:p w14:paraId="180FEEAE" w14:textId="011EC621" w:rsidR="00B8253A" w:rsidRPr="00B8253A" w:rsidRDefault="00011188" w:rsidP="0073490C">
            <w:pPr>
              <w:pStyle w:val="TableTextCenter10pt"/>
            </w:pPr>
            <w:r>
              <w:t>$13,290</w:t>
            </w:r>
          </w:p>
        </w:tc>
        <w:tc>
          <w:tcPr>
            <w:tcW w:w="575" w:type="pct"/>
            <w:shd w:val="clear" w:color="auto" w:fill="auto"/>
            <w:vAlign w:val="bottom"/>
            <w:hideMark/>
          </w:tcPr>
          <w:p w14:paraId="36443EAB" w14:textId="01874A61" w:rsidR="00B8253A" w:rsidRPr="00B8253A" w:rsidRDefault="00011188" w:rsidP="0007115B">
            <w:pPr>
              <w:pStyle w:val="TableTextCenter10pt"/>
            </w:pPr>
            <w:r>
              <w:t>$</w:t>
            </w:r>
            <w:r w:rsidR="0007115B">
              <w:t>198</w:t>
            </w:r>
          </w:p>
        </w:tc>
      </w:tr>
      <w:tr w:rsidR="00B8253A" w:rsidRPr="00B8253A" w14:paraId="3069E7CF" w14:textId="77777777" w:rsidTr="00011188">
        <w:tc>
          <w:tcPr>
            <w:tcW w:w="1453" w:type="pct"/>
            <w:shd w:val="clear" w:color="auto" w:fill="auto"/>
            <w:vAlign w:val="bottom"/>
            <w:hideMark/>
          </w:tcPr>
          <w:p w14:paraId="6CEBE08E" w14:textId="7876B469" w:rsidR="00B8253A" w:rsidRPr="00B8253A" w:rsidRDefault="00B8253A" w:rsidP="00795196">
            <w:pPr>
              <w:pStyle w:val="TableTextLeft10pt"/>
            </w:pPr>
            <w:r w:rsidRPr="00B8253A">
              <w:t xml:space="preserve">Onshore Natural Gas </w:t>
            </w:r>
            <w:proofErr w:type="spellStart"/>
            <w:r w:rsidRPr="00B8253A">
              <w:t>Processing</w:t>
            </w:r>
            <w:r w:rsidRPr="00A22ECC">
              <w:rPr>
                <w:rStyle w:val="Superscript"/>
              </w:rPr>
              <w:t>c</w:t>
            </w:r>
            <w:proofErr w:type="spellEnd"/>
          </w:p>
        </w:tc>
        <w:tc>
          <w:tcPr>
            <w:tcW w:w="1096" w:type="pct"/>
            <w:shd w:val="clear" w:color="auto" w:fill="auto"/>
            <w:vAlign w:val="bottom"/>
          </w:tcPr>
          <w:p w14:paraId="3012920F" w14:textId="4689F7F5" w:rsidR="00B8253A" w:rsidRPr="00B8253A" w:rsidRDefault="00011188" w:rsidP="00A22ECC">
            <w:pPr>
              <w:pStyle w:val="TableTextCenter10pt"/>
            </w:pPr>
            <w:r>
              <w:t>0</w:t>
            </w:r>
          </w:p>
        </w:tc>
        <w:tc>
          <w:tcPr>
            <w:tcW w:w="1148" w:type="pct"/>
            <w:shd w:val="clear" w:color="auto" w:fill="auto"/>
            <w:vAlign w:val="bottom"/>
          </w:tcPr>
          <w:p w14:paraId="537A27A2" w14:textId="2790D6FC" w:rsidR="00B8253A" w:rsidRPr="00B8253A" w:rsidRDefault="00011188" w:rsidP="00A22ECC">
            <w:pPr>
              <w:pStyle w:val="TableTextCenter10pt"/>
            </w:pPr>
            <w:r w:rsidRPr="00B01B51">
              <w:t>0.00</w:t>
            </w:r>
          </w:p>
        </w:tc>
        <w:tc>
          <w:tcPr>
            <w:tcW w:w="727" w:type="pct"/>
            <w:shd w:val="clear" w:color="auto" w:fill="auto"/>
            <w:vAlign w:val="bottom"/>
            <w:hideMark/>
          </w:tcPr>
          <w:p w14:paraId="104F580F" w14:textId="77777777" w:rsidR="00B8253A" w:rsidRPr="00B8253A" w:rsidRDefault="00B8253A" w:rsidP="00A22ECC">
            <w:pPr>
              <w:pStyle w:val="TableTextCenter10pt"/>
            </w:pPr>
            <w:r w:rsidRPr="00B8253A">
              <w:t xml:space="preserve">$0 </w:t>
            </w:r>
          </w:p>
        </w:tc>
        <w:tc>
          <w:tcPr>
            <w:tcW w:w="575" w:type="pct"/>
            <w:shd w:val="clear" w:color="auto" w:fill="auto"/>
            <w:vAlign w:val="bottom"/>
            <w:hideMark/>
          </w:tcPr>
          <w:p w14:paraId="4EF1E1A2" w14:textId="77777777" w:rsidR="00B8253A" w:rsidRPr="00B8253A" w:rsidRDefault="00B8253A" w:rsidP="00A22ECC">
            <w:pPr>
              <w:pStyle w:val="TableTextCenter10pt"/>
            </w:pPr>
            <w:r w:rsidRPr="00B8253A">
              <w:t xml:space="preserve">$0 </w:t>
            </w:r>
          </w:p>
        </w:tc>
      </w:tr>
      <w:tr w:rsidR="00B8253A" w:rsidRPr="00B8253A" w14:paraId="0B2FD363" w14:textId="77777777" w:rsidTr="00011188">
        <w:tc>
          <w:tcPr>
            <w:tcW w:w="1453" w:type="pct"/>
            <w:shd w:val="clear" w:color="auto" w:fill="auto"/>
            <w:vAlign w:val="bottom"/>
            <w:hideMark/>
          </w:tcPr>
          <w:p w14:paraId="69EEAF83" w14:textId="7CF407EB" w:rsidR="00B8253A" w:rsidRPr="00B8253A" w:rsidRDefault="00B8253A" w:rsidP="00795196">
            <w:pPr>
              <w:pStyle w:val="TableTextLeft10pt"/>
            </w:pPr>
            <w:r w:rsidRPr="00B8253A">
              <w:t xml:space="preserve">Onshore Natural Gas Transmission </w:t>
            </w:r>
            <w:proofErr w:type="spellStart"/>
            <w:r w:rsidRPr="00B8253A">
              <w:t>Compression</w:t>
            </w:r>
            <w:r w:rsidRPr="00A22ECC">
              <w:rPr>
                <w:rStyle w:val="Superscript"/>
              </w:rPr>
              <w:t>d</w:t>
            </w:r>
            <w:proofErr w:type="spellEnd"/>
          </w:p>
        </w:tc>
        <w:tc>
          <w:tcPr>
            <w:tcW w:w="1096" w:type="pct"/>
            <w:shd w:val="clear" w:color="auto" w:fill="auto"/>
            <w:vAlign w:val="bottom"/>
          </w:tcPr>
          <w:p w14:paraId="04D02117" w14:textId="35FA41E1" w:rsidR="00B8253A" w:rsidRPr="00B8253A" w:rsidRDefault="00011188" w:rsidP="00A22ECC">
            <w:pPr>
              <w:pStyle w:val="TableTextCenter10pt"/>
            </w:pPr>
            <w:r>
              <w:t>0</w:t>
            </w:r>
          </w:p>
        </w:tc>
        <w:tc>
          <w:tcPr>
            <w:tcW w:w="1148" w:type="pct"/>
            <w:shd w:val="clear" w:color="auto" w:fill="auto"/>
            <w:vAlign w:val="bottom"/>
          </w:tcPr>
          <w:p w14:paraId="3F92236E" w14:textId="2EF9286E" w:rsidR="00B8253A" w:rsidRPr="00B8253A" w:rsidRDefault="00011188" w:rsidP="00A22ECC">
            <w:pPr>
              <w:pStyle w:val="TableTextCenter10pt"/>
            </w:pPr>
            <w:r w:rsidRPr="00B01B51">
              <w:t>0.00</w:t>
            </w:r>
          </w:p>
        </w:tc>
        <w:tc>
          <w:tcPr>
            <w:tcW w:w="727" w:type="pct"/>
            <w:shd w:val="clear" w:color="auto" w:fill="auto"/>
            <w:vAlign w:val="bottom"/>
            <w:hideMark/>
          </w:tcPr>
          <w:p w14:paraId="64661604" w14:textId="77777777" w:rsidR="00B8253A" w:rsidRPr="00B8253A" w:rsidRDefault="00B8253A" w:rsidP="00A22ECC">
            <w:pPr>
              <w:pStyle w:val="TableTextCenter10pt"/>
            </w:pPr>
            <w:r w:rsidRPr="00B8253A">
              <w:t xml:space="preserve">$0 </w:t>
            </w:r>
          </w:p>
        </w:tc>
        <w:tc>
          <w:tcPr>
            <w:tcW w:w="575" w:type="pct"/>
            <w:shd w:val="clear" w:color="auto" w:fill="auto"/>
            <w:vAlign w:val="bottom"/>
            <w:hideMark/>
          </w:tcPr>
          <w:p w14:paraId="3B67763D" w14:textId="77777777" w:rsidR="00B8253A" w:rsidRPr="00B8253A" w:rsidRDefault="00B8253A" w:rsidP="00A22ECC">
            <w:pPr>
              <w:pStyle w:val="TableTextCenter10pt"/>
            </w:pPr>
            <w:r w:rsidRPr="00B8253A">
              <w:t xml:space="preserve">$0 </w:t>
            </w:r>
          </w:p>
        </w:tc>
      </w:tr>
      <w:tr w:rsidR="00B8253A" w:rsidRPr="00B8253A" w14:paraId="27ED327C" w14:textId="77777777" w:rsidTr="00011188">
        <w:tc>
          <w:tcPr>
            <w:tcW w:w="1453" w:type="pct"/>
            <w:shd w:val="clear" w:color="auto" w:fill="auto"/>
            <w:vAlign w:val="bottom"/>
            <w:hideMark/>
          </w:tcPr>
          <w:p w14:paraId="44CD2C8B" w14:textId="38E0B23D" w:rsidR="00B8253A" w:rsidRPr="00B8253A" w:rsidRDefault="00B8253A" w:rsidP="00795196">
            <w:pPr>
              <w:pStyle w:val="TableTextLeft10pt"/>
            </w:pPr>
            <w:r w:rsidRPr="00B8253A">
              <w:t xml:space="preserve">Underground Natural Gas </w:t>
            </w:r>
            <w:proofErr w:type="spellStart"/>
            <w:r w:rsidRPr="00B8253A">
              <w:t>Storage</w:t>
            </w:r>
            <w:r w:rsidRPr="00A22ECC">
              <w:rPr>
                <w:rStyle w:val="Superscript"/>
              </w:rPr>
              <w:t>e</w:t>
            </w:r>
            <w:proofErr w:type="spellEnd"/>
          </w:p>
        </w:tc>
        <w:tc>
          <w:tcPr>
            <w:tcW w:w="1096" w:type="pct"/>
            <w:shd w:val="clear" w:color="auto" w:fill="auto"/>
            <w:vAlign w:val="bottom"/>
          </w:tcPr>
          <w:p w14:paraId="0E32B773" w14:textId="5CBE2057" w:rsidR="00B8253A" w:rsidRPr="00B8253A" w:rsidRDefault="00011188" w:rsidP="00A22ECC">
            <w:pPr>
              <w:pStyle w:val="TableTextCenter10pt"/>
            </w:pPr>
            <w:r>
              <w:t>0</w:t>
            </w:r>
          </w:p>
        </w:tc>
        <w:tc>
          <w:tcPr>
            <w:tcW w:w="1148" w:type="pct"/>
            <w:shd w:val="clear" w:color="auto" w:fill="auto"/>
            <w:vAlign w:val="bottom"/>
          </w:tcPr>
          <w:p w14:paraId="4AB48048" w14:textId="11A98251" w:rsidR="00B8253A" w:rsidRPr="00B8253A" w:rsidRDefault="00011188" w:rsidP="00A22ECC">
            <w:pPr>
              <w:pStyle w:val="TableTextCenter10pt"/>
            </w:pPr>
            <w:r w:rsidRPr="00B01B51">
              <w:t>0.00</w:t>
            </w:r>
          </w:p>
        </w:tc>
        <w:tc>
          <w:tcPr>
            <w:tcW w:w="727" w:type="pct"/>
            <w:shd w:val="clear" w:color="auto" w:fill="auto"/>
            <w:vAlign w:val="bottom"/>
            <w:hideMark/>
          </w:tcPr>
          <w:p w14:paraId="09AA2B44" w14:textId="77777777" w:rsidR="00B8253A" w:rsidRPr="00B8253A" w:rsidRDefault="00B8253A" w:rsidP="00A22ECC">
            <w:pPr>
              <w:pStyle w:val="TableTextCenter10pt"/>
            </w:pPr>
            <w:r w:rsidRPr="00B8253A">
              <w:t xml:space="preserve">$0 </w:t>
            </w:r>
          </w:p>
        </w:tc>
        <w:tc>
          <w:tcPr>
            <w:tcW w:w="575" w:type="pct"/>
            <w:shd w:val="clear" w:color="auto" w:fill="auto"/>
            <w:vAlign w:val="bottom"/>
            <w:hideMark/>
          </w:tcPr>
          <w:p w14:paraId="604A92C3" w14:textId="77777777" w:rsidR="00B8253A" w:rsidRPr="00B8253A" w:rsidRDefault="00B8253A" w:rsidP="00A22ECC">
            <w:pPr>
              <w:pStyle w:val="TableTextCenter10pt"/>
            </w:pPr>
            <w:r w:rsidRPr="00B8253A">
              <w:t xml:space="preserve">$0 </w:t>
            </w:r>
          </w:p>
        </w:tc>
      </w:tr>
      <w:tr w:rsidR="00B8253A" w:rsidRPr="00B8253A" w14:paraId="3044A230" w14:textId="77777777" w:rsidTr="00011188">
        <w:tc>
          <w:tcPr>
            <w:tcW w:w="1453" w:type="pct"/>
            <w:shd w:val="clear" w:color="auto" w:fill="auto"/>
            <w:vAlign w:val="bottom"/>
            <w:hideMark/>
          </w:tcPr>
          <w:p w14:paraId="51B68B40" w14:textId="1F22AF58" w:rsidR="00B8253A" w:rsidRPr="00B8253A" w:rsidRDefault="00B8253A" w:rsidP="00795196">
            <w:pPr>
              <w:pStyle w:val="TableTextLeft10pt"/>
            </w:pPr>
            <w:r w:rsidRPr="00B8253A">
              <w:t xml:space="preserve">LNG Import and Export </w:t>
            </w:r>
            <w:proofErr w:type="spellStart"/>
            <w:r w:rsidRPr="00B8253A">
              <w:t>Equipment</w:t>
            </w:r>
            <w:r w:rsidRPr="00A22ECC">
              <w:rPr>
                <w:rStyle w:val="Superscript"/>
              </w:rPr>
              <w:t>f</w:t>
            </w:r>
            <w:proofErr w:type="spellEnd"/>
          </w:p>
        </w:tc>
        <w:tc>
          <w:tcPr>
            <w:tcW w:w="1096" w:type="pct"/>
            <w:shd w:val="clear" w:color="auto" w:fill="auto"/>
            <w:vAlign w:val="bottom"/>
          </w:tcPr>
          <w:p w14:paraId="6308E5AC" w14:textId="04EB8E03" w:rsidR="00B8253A" w:rsidRPr="00B8253A" w:rsidRDefault="00011188" w:rsidP="00A22ECC">
            <w:pPr>
              <w:pStyle w:val="TableTextCenter10pt"/>
            </w:pPr>
            <w:r>
              <w:t>0</w:t>
            </w:r>
          </w:p>
        </w:tc>
        <w:tc>
          <w:tcPr>
            <w:tcW w:w="1148" w:type="pct"/>
            <w:shd w:val="clear" w:color="auto" w:fill="auto"/>
            <w:vAlign w:val="bottom"/>
          </w:tcPr>
          <w:p w14:paraId="675FE600" w14:textId="2903CBAD" w:rsidR="00B8253A" w:rsidRPr="00B8253A" w:rsidRDefault="00011188" w:rsidP="00A22ECC">
            <w:pPr>
              <w:pStyle w:val="TableTextCenter10pt"/>
            </w:pPr>
            <w:r w:rsidRPr="00B01B51">
              <w:t>0.00</w:t>
            </w:r>
          </w:p>
        </w:tc>
        <w:tc>
          <w:tcPr>
            <w:tcW w:w="727" w:type="pct"/>
            <w:shd w:val="clear" w:color="auto" w:fill="auto"/>
            <w:vAlign w:val="bottom"/>
            <w:hideMark/>
          </w:tcPr>
          <w:p w14:paraId="65078B21" w14:textId="77777777" w:rsidR="00B8253A" w:rsidRPr="00B8253A" w:rsidRDefault="00B8253A" w:rsidP="00A22ECC">
            <w:pPr>
              <w:pStyle w:val="TableTextCenter10pt"/>
            </w:pPr>
            <w:r w:rsidRPr="00B8253A">
              <w:t xml:space="preserve">$0 </w:t>
            </w:r>
          </w:p>
        </w:tc>
        <w:tc>
          <w:tcPr>
            <w:tcW w:w="575" w:type="pct"/>
            <w:shd w:val="clear" w:color="auto" w:fill="auto"/>
            <w:vAlign w:val="bottom"/>
            <w:hideMark/>
          </w:tcPr>
          <w:p w14:paraId="6D7157DD" w14:textId="77777777" w:rsidR="00B8253A" w:rsidRPr="00B8253A" w:rsidRDefault="00B8253A" w:rsidP="00A22ECC">
            <w:pPr>
              <w:pStyle w:val="TableTextCenter10pt"/>
            </w:pPr>
            <w:r w:rsidRPr="00B8253A">
              <w:t xml:space="preserve">$0 </w:t>
            </w:r>
          </w:p>
        </w:tc>
      </w:tr>
      <w:tr w:rsidR="00B8253A" w:rsidRPr="00B8253A" w14:paraId="2CFA456B" w14:textId="77777777" w:rsidTr="00011188">
        <w:tc>
          <w:tcPr>
            <w:tcW w:w="1453" w:type="pct"/>
            <w:shd w:val="clear" w:color="auto" w:fill="auto"/>
            <w:vAlign w:val="bottom"/>
            <w:hideMark/>
          </w:tcPr>
          <w:p w14:paraId="540ECA4D" w14:textId="10AD8D00" w:rsidR="00B8253A" w:rsidRPr="00B8253A" w:rsidRDefault="00B8253A" w:rsidP="00795196">
            <w:pPr>
              <w:pStyle w:val="TableTextLeft10pt"/>
            </w:pPr>
            <w:r w:rsidRPr="00B8253A">
              <w:t xml:space="preserve">Onshore Petroleum and Natural Gas </w:t>
            </w:r>
            <w:proofErr w:type="spellStart"/>
            <w:r w:rsidRPr="00B8253A">
              <w:t>Production</w:t>
            </w:r>
            <w:r w:rsidRPr="00A22ECC">
              <w:rPr>
                <w:rStyle w:val="Superscript"/>
              </w:rPr>
              <w:t>g</w:t>
            </w:r>
            <w:proofErr w:type="spellEnd"/>
          </w:p>
        </w:tc>
        <w:tc>
          <w:tcPr>
            <w:tcW w:w="1096" w:type="pct"/>
            <w:shd w:val="clear" w:color="auto" w:fill="auto"/>
            <w:vAlign w:val="bottom"/>
          </w:tcPr>
          <w:p w14:paraId="5673D505" w14:textId="5BB3CBD9" w:rsidR="00B8253A" w:rsidRPr="00B01B51" w:rsidRDefault="00011188" w:rsidP="00E66BE8">
            <w:pPr>
              <w:pStyle w:val="TableTextCenter10pt"/>
            </w:pPr>
            <w:r>
              <w:t>368</w:t>
            </w:r>
          </w:p>
        </w:tc>
        <w:tc>
          <w:tcPr>
            <w:tcW w:w="1148" w:type="pct"/>
            <w:shd w:val="clear" w:color="auto" w:fill="auto"/>
            <w:vAlign w:val="bottom"/>
          </w:tcPr>
          <w:p w14:paraId="34C013FB" w14:textId="6852E37E" w:rsidR="00B8253A" w:rsidRPr="00B01B51" w:rsidRDefault="003842DF" w:rsidP="00E66BE8">
            <w:pPr>
              <w:pStyle w:val="TableTextCenter10pt"/>
            </w:pPr>
            <w:r>
              <w:t>2.00</w:t>
            </w:r>
          </w:p>
        </w:tc>
        <w:tc>
          <w:tcPr>
            <w:tcW w:w="727" w:type="pct"/>
            <w:shd w:val="clear" w:color="auto" w:fill="auto"/>
            <w:vAlign w:val="bottom"/>
            <w:hideMark/>
          </w:tcPr>
          <w:p w14:paraId="47CB64FE" w14:textId="14A38754" w:rsidR="00B8253A" w:rsidRPr="00B01B51" w:rsidRDefault="00B01B51" w:rsidP="00011188">
            <w:pPr>
              <w:pStyle w:val="TableTextCenter10pt"/>
            </w:pPr>
            <w:r>
              <w:t>$</w:t>
            </w:r>
            <w:r w:rsidR="00011188">
              <w:t>36,498</w:t>
            </w:r>
            <w:r w:rsidR="00B8253A" w:rsidRPr="00B01B51">
              <w:t xml:space="preserve"> </w:t>
            </w:r>
          </w:p>
        </w:tc>
        <w:tc>
          <w:tcPr>
            <w:tcW w:w="575" w:type="pct"/>
            <w:shd w:val="clear" w:color="auto" w:fill="auto"/>
            <w:vAlign w:val="bottom"/>
            <w:hideMark/>
          </w:tcPr>
          <w:p w14:paraId="60EE31D3" w14:textId="5532F078" w:rsidR="00B8253A" w:rsidRPr="00B01B51" w:rsidRDefault="00B8253A" w:rsidP="001D0752">
            <w:pPr>
              <w:pStyle w:val="TableTextCenter10pt"/>
            </w:pPr>
            <w:r w:rsidRPr="00B01B51">
              <w:t>$</w:t>
            </w:r>
            <w:r w:rsidR="0007115B">
              <w:t>198</w:t>
            </w:r>
          </w:p>
        </w:tc>
      </w:tr>
      <w:tr w:rsidR="00B8253A" w:rsidRPr="00B8253A" w14:paraId="701B7165" w14:textId="77777777" w:rsidTr="00011188">
        <w:tc>
          <w:tcPr>
            <w:tcW w:w="1453" w:type="pct"/>
            <w:shd w:val="clear" w:color="auto" w:fill="auto"/>
            <w:vAlign w:val="bottom"/>
            <w:hideMark/>
          </w:tcPr>
          <w:p w14:paraId="1845E494" w14:textId="6D06FE28" w:rsidR="00B8253A" w:rsidRPr="00B8253A" w:rsidRDefault="00B8253A" w:rsidP="00795196">
            <w:pPr>
              <w:pStyle w:val="TableTextLeft10pt"/>
            </w:pPr>
            <w:r w:rsidRPr="00B8253A">
              <w:t xml:space="preserve">Natural Gas </w:t>
            </w:r>
            <w:proofErr w:type="spellStart"/>
            <w:r w:rsidRPr="00B8253A">
              <w:t>Distribution</w:t>
            </w:r>
            <w:r w:rsidRPr="00A22ECC">
              <w:rPr>
                <w:rStyle w:val="Superscript"/>
              </w:rPr>
              <w:t>h</w:t>
            </w:r>
            <w:proofErr w:type="spellEnd"/>
          </w:p>
        </w:tc>
        <w:tc>
          <w:tcPr>
            <w:tcW w:w="1096" w:type="pct"/>
            <w:shd w:val="clear" w:color="auto" w:fill="auto"/>
            <w:vAlign w:val="bottom"/>
          </w:tcPr>
          <w:p w14:paraId="4C5EB8EA" w14:textId="1BA03DF8" w:rsidR="00B8253A" w:rsidRPr="00B01B51" w:rsidRDefault="00011188" w:rsidP="00A22ECC">
            <w:pPr>
              <w:pStyle w:val="TableTextCenter10pt"/>
            </w:pPr>
            <w:r>
              <w:t>0</w:t>
            </w:r>
          </w:p>
        </w:tc>
        <w:tc>
          <w:tcPr>
            <w:tcW w:w="1148" w:type="pct"/>
            <w:shd w:val="clear" w:color="auto" w:fill="auto"/>
            <w:vAlign w:val="bottom"/>
            <w:hideMark/>
          </w:tcPr>
          <w:p w14:paraId="68E8B6DB" w14:textId="77777777" w:rsidR="00B8253A" w:rsidRPr="00B01B51" w:rsidRDefault="00B8253A" w:rsidP="00A22ECC">
            <w:pPr>
              <w:pStyle w:val="TableTextCenter10pt"/>
            </w:pPr>
            <w:r w:rsidRPr="00B01B51">
              <w:t>0.00</w:t>
            </w:r>
          </w:p>
        </w:tc>
        <w:tc>
          <w:tcPr>
            <w:tcW w:w="727" w:type="pct"/>
            <w:shd w:val="clear" w:color="auto" w:fill="auto"/>
            <w:vAlign w:val="bottom"/>
            <w:hideMark/>
          </w:tcPr>
          <w:p w14:paraId="42BBE532" w14:textId="77777777" w:rsidR="00B8253A" w:rsidRPr="00B01B51" w:rsidRDefault="00B8253A" w:rsidP="00A22ECC">
            <w:pPr>
              <w:pStyle w:val="TableTextCenter10pt"/>
            </w:pPr>
            <w:r w:rsidRPr="00B01B51">
              <w:t xml:space="preserve">$0 </w:t>
            </w:r>
          </w:p>
        </w:tc>
        <w:tc>
          <w:tcPr>
            <w:tcW w:w="575" w:type="pct"/>
            <w:shd w:val="clear" w:color="auto" w:fill="auto"/>
            <w:vAlign w:val="bottom"/>
            <w:hideMark/>
          </w:tcPr>
          <w:p w14:paraId="3D548FBF" w14:textId="77777777" w:rsidR="00B8253A" w:rsidRPr="00B01B51" w:rsidRDefault="00B8253A" w:rsidP="00A22ECC">
            <w:pPr>
              <w:pStyle w:val="TableTextCenter10pt"/>
            </w:pPr>
            <w:r w:rsidRPr="00B01B51">
              <w:t xml:space="preserve">$0 </w:t>
            </w:r>
          </w:p>
        </w:tc>
      </w:tr>
      <w:tr w:rsidR="00B8253A" w:rsidRPr="00B8253A" w14:paraId="0BCA5BF1" w14:textId="77777777" w:rsidTr="00011188">
        <w:tc>
          <w:tcPr>
            <w:tcW w:w="1453" w:type="pct"/>
            <w:shd w:val="clear" w:color="auto" w:fill="auto"/>
            <w:vAlign w:val="bottom"/>
            <w:hideMark/>
          </w:tcPr>
          <w:p w14:paraId="67DA15D1" w14:textId="40513779" w:rsidR="00B8253A" w:rsidRPr="00B8253A" w:rsidRDefault="00B8253A" w:rsidP="00795196">
            <w:pPr>
              <w:pStyle w:val="TableTextLeft10pt"/>
            </w:pPr>
            <w:r w:rsidRPr="00B8253A">
              <w:t xml:space="preserve">LNG </w:t>
            </w:r>
            <w:proofErr w:type="spellStart"/>
            <w:r w:rsidRPr="00B8253A">
              <w:t>Storage</w:t>
            </w:r>
            <w:r w:rsidRPr="00A22ECC">
              <w:rPr>
                <w:rStyle w:val="Superscript"/>
              </w:rPr>
              <w:t>i</w:t>
            </w:r>
            <w:proofErr w:type="spellEnd"/>
          </w:p>
        </w:tc>
        <w:tc>
          <w:tcPr>
            <w:tcW w:w="1096" w:type="pct"/>
            <w:shd w:val="clear" w:color="auto" w:fill="auto"/>
            <w:vAlign w:val="bottom"/>
          </w:tcPr>
          <w:p w14:paraId="3483E2F2" w14:textId="6D76096A" w:rsidR="00B8253A" w:rsidRPr="00B01B51" w:rsidRDefault="00011188" w:rsidP="00A22ECC">
            <w:pPr>
              <w:pStyle w:val="TableTextCenter10pt"/>
            </w:pPr>
            <w:r>
              <w:t>0</w:t>
            </w:r>
          </w:p>
        </w:tc>
        <w:tc>
          <w:tcPr>
            <w:tcW w:w="1148" w:type="pct"/>
            <w:shd w:val="clear" w:color="auto" w:fill="auto"/>
            <w:vAlign w:val="bottom"/>
            <w:hideMark/>
          </w:tcPr>
          <w:p w14:paraId="42A62698" w14:textId="77777777" w:rsidR="00B8253A" w:rsidRPr="00B01B51" w:rsidRDefault="00B8253A" w:rsidP="00A22ECC">
            <w:pPr>
              <w:pStyle w:val="TableTextCenter10pt"/>
            </w:pPr>
            <w:r w:rsidRPr="00B01B51">
              <w:t>0.00</w:t>
            </w:r>
          </w:p>
        </w:tc>
        <w:tc>
          <w:tcPr>
            <w:tcW w:w="727" w:type="pct"/>
            <w:shd w:val="clear" w:color="auto" w:fill="auto"/>
            <w:vAlign w:val="bottom"/>
            <w:hideMark/>
          </w:tcPr>
          <w:p w14:paraId="7B237666" w14:textId="77777777" w:rsidR="00B8253A" w:rsidRPr="00B01B51" w:rsidRDefault="00B8253A" w:rsidP="00A22ECC">
            <w:pPr>
              <w:pStyle w:val="TableTextCenter10pt"/>
            </w:pPr>
            <w:r w:rsidRPr="00B01B51">
              <w:t xml:space="preserve">$0 </w:t>
            </w:r>
          </w:p>
        </w:tc>
        <w:tc>
          <w:tcPr>
            <w:tcW w:w="575" w:type="pct"/>
            <w:shd w:val="clear" w:color="auto" w:fill="auto"/>
            <w:vAlign w:val="bottom"/>
            <w:hideMark/>
          </w:tcPr>
          <w:p w14:paraId="1A821773" w14:textId="77777777" w:rsidR="00B8253A" w:rsidRPr="00B01B51" w:rsidRDefault="00B8253A" w:rsidP="00A22ECC">
            <w:pPr>
              <w:pStyle w:val="TableTextCenter10pt"/>
            </w:pPr>
            <w:r w:rsidRPr="00B01B51">
              <w:t xml:space="preserve">$0 </w:t>
            </w:r>
          </w:p>
        </w:tc>
      </w:tr>
      <w:tr w:rsidR="00B8253A" w:rsidRPr="00B8253A" w14:paraId="091B8D40" w14:textId="77777777" w:rsidTr="00011188">
        <w:tc>
          <w:tcPr>
            <w:tcW w:w="1453" w:type="pct"/>
            <w:shd w:val="clear" w:color="auto" w:fill="auto"/>
            <w:vAlign w:val="bottom"/>
            <w:hideMark/>
          </w:tcPr>
          <w:p w14:paraId="6D35D2C3" w14:textId="06C9E903" w:rsidR="00B8253A" w:rsidRPr="00B8253A" w:rsidRDefault="00B8253A" w:rsidP="00795196">
            <w:pPr>
              <w:pStyle w:val="TableTextLeft10pt"/>
            </w:pPr>
            <w:r w:rsidRPr="00B8253A">
              <w:t xml:space="preserve">Offshore Petroleum and Natural Gas </w:t>
            </w:r>
            <w:proofErr w:type="spellStart"/>
            <w:r w:rsidRPr="00B8253A">
              <w:t>Production</w:t>
            </w:r>
            <w:r w:rsidRPr="00A22ECC">
              <w:rPr>
                <w:rStyle w:val="Superscript"/>
              </w:rPr>
              <w:t>j</w:t>
            </w:r>
            <w:proofErr w:type="spellEnd"/>
          </w:p>
        </w:tc>
        <w:tc>
          <w:tcPr>
            <w:tcW w:w="1096" w:type="pct"/>
            <w:shd w:val="clear" w:color="auto" w:fill="auto"/>
            <w:vAlign w:val="bottom"/>
          </w:tcPr>
          <w:p w14:paraId="44E3751B" w14:textId="64541BCB" w:rsidR="00B8253A" w:rsidRPr="00B01B51" w:rsidRDefault="00011188" w:rsidP="00A22ECC">
            <w:pPr>
              <w:pStyle w:val="TableTextCenter10pt"/>
            </w:pPr>
            <w:r>
              <w:t>0</w:t>
            </w:r>
          </w:p>
        </w:tc>
        <w:tc>
          <w:tcPr>
            <w:tcW w:w="1148" w:type="pct"/>
            <w:shd w:val="clear" w:color="auto" w:fill="auto"/>
            <w:vAlign w:val="bottom"/>
            <w:hideMark/>
          </w:tcPr>
          <w:p w14:paraId="651066CC" w14:textId="77777777" w:rsidR="00B8253A" w:rsidRPr="00B01B51" w:rsidRDefault="00B8253A" w:rsidP="00A22ECC">
            <w:pPr>
              <w:pStyle w:val="TableTextCenter10pt"/>
            </w:pPr>
            <w:r w:rsidRPr="00B01B51">
              <w:t>0.00</w:t>
            </w:r>
          </w:p>
        </w:tc>
        <w:tc>
          <w:tcPr>
            <w:tcW w:w="727" w:type="pct"/>
            <w:shd w:val="clear" w:color="auto" w:fill="auto"/>
            <w:vAlign w:val="bottom"/>
            <w:hideMark/>
          </w:tcPr>
          <w:p w14:paraId="41447FB8" w14:textId="77777777" w:rsidR="00B8253A" w:rsidRPr="00B01B51" w:rsidRDefault="00B8253A" w:rsidP="00A22ECC">
            <w:pPr>
              <w:pStyle w:val="TableTextCenter10pt"/>
            </w:pPr>
            <w:r w:rsidRPr="00B01B51">
              <w:t xml:space="preserve">$0 </w:t>
            </w:r>
          </w:p>
        </w:tc>
        <w:tc>
          <w:tcPr>
            <w:tcW w:w="575" w:type="pct"/>
            <w:shd w:val="clear" w:color="auto" w:fill="auto"/>
            <w:vAlign w:val="bottom"/>
            <w:hideMark/>
          </w:tcPr>
          <w:p w14:paraId="7BE486FD" w14:textId="77777777" w:rsidR="00B8253A" w:rsidRPr="00B01B51" w:rsidRDefault="00B8253A" w:rsidP="00A22ECC">
            <w:pPr>
              <w:pStyle w:val="TableTextCenter10pt"/>
            </w:pPr>
            <w:r w:rsidRPr="00B01B51">
              <w:t xml:space="preserve">$0 </w:t>
            </w:r>
          </w:p>
        </w:tc>
      </w:tr>
      <w:tr w:rsidR="00B8253A" w:rsidRPr="00B8253A" w14:paraId="3CDB3F8C" w14:textId="77777777" w:rsidTr="00011188">
        <w:tc>
          <w:tcPr>
            <w:tcW w:w="1453" w:type="pct"/>
            <w:shd w:val="clear" w:color="auto" w:fill="auto"/>
            <w:vAlign w:val="bottom"/>
            <w:hideMark/>
          </w:tcPr>
          <w:p w14:paraId="0106951D" w14:textId="77777777" w:rsidR="00B8253A" w:rsidRPr="00A22ECC" w:rsidRDefault="00B8253A" w:rsidP="00A22ECC">
            <w:pPr>
              <w:pStyle w:val="TableTextLeft10pt"/>
              <w:rPr>
                <w:rStyle w:val="Bold"/>
              </w:rPr>
            </w:pPr>
            <w:r w:rsidRPr="00A22ECC">
              <w:rPr>
                <w:rStyle w:val="Bold"/>
              </w:rPr>
              <w:t>TOTAL</w:t>
            </w:r>
          </w:p>
        </w:tc>
        <w:tc>
          <w:tcPr>
            <w:tcW w:w="1096" w:type="pct"/>
            <w:shd w:val="clear" w:color="auto" w:fill="auto"/>
            <w:vAlign w:val="bottom"/>
          </w:tcPr>
          <w:p w14:paraId="74932A3C" w14:textId="464566E8" w:rsidR="00B8253A" w:rsidRPr="00A22ECC" w:rsidRDefault="00011188" w:rsidP="0073490C">
            <w:pPr>
              <w:pStyle w:val="TableTextCenter10pt"/>
              <w:rPr>
                <w:rStyle w:val="Bold"/>
              </w:rPr>
            </w:pPr>
            <w:r>
              <w:rPr>
                <w:rStyle w:val="Bold"/>
              </w:rPr>
              <w:t>502</w:t>
            </w:r>
          </w:p>
        </w:tc>
        <w:tc>
          <w:tcPr>
            <w:tcW w:w="1148" w:type="pct"/>
            <w:shd w:val="clear" w:color="auto" w:fill="auto"/>
            <w:vAlign w:val="bottom"/>
            <w:hideMark/>
          </w:tcPr>
          <w:p w14:paraId="4CC8428C" w14:textId="0AFCD995" w:rsidR="00B8253A" w:rsidRPr="00A22ECC" w:rsidRDefault="00496501" w:rsidP="00A22ECC">
            <w:pPr>
              <w:pStyle w:val="TableTextCenter10pt"/>
              <w:rPr>
                <w:rStyle w:val="Bold"/>
              </w:rPr>
            </w:pPr>
            <w:r>
              <w:rPr>
                <w:rStyle w:val="Bold"/>
              </w:rPr>
              <w:t>2.00</w:t>
            </w:r>
          </w:p>
        </w:tc>
        <w:tc>
          <w:tcPr>
            <w:tcW w:w="727" w:type="pct"/>
            <w:shd w:val="clear" w:color="auto" w:fill="auto"/>
            <w:vAlign w:val="bottom"/>
            <w:hideMark/>
          </w:tcPr>
          <w:p w14:paraId="39ADD8E4" w14:textId="0FBC9184" w:rsidR="00B8253A" w:rsidRPr="00A22ECC" w:rsidRDefault="00B8253A" w:rsidP="00011188">
            <w:pPr>
              <w:pStyle w:val="TableTextCenter10pt"/>
              <w:rPr>
                <w:rStyle w:val="Bold"/>
              </w:rPr>
            </w:pPr>
            <w:r w:rsidRPr="00A22ECC">
              <w:rPr>
                <w:rStyle w:val="Bold"/>
              </w:rPr>
              <w:t>$</w:t>
            </w:r>
            <w:r w:rsidR="00011188">
              <w:rPr>
                <w:rStyle w:val="Bold"/>
              </w:rPr>
              <w:t>49,788</w:t>
            </w:r>
            <w:r w:rsidRPr="00A22ECC">
              <w:rPr>
                <w:rStyle w:val="Bold"/>
              </w:rPr>
              <w:t xml:space="preserve"> </w:t>
            </w:r>
          </w:p>
        </w:tc>
        <w:tc>
          <w:tcPr>
            <w:tcW w:w="575" w:type="pct"/>
            <w:shd w:val="clear" w:color="auto" w:fill="auto"/>
            <w:vAlign w:val="bottom"/>
            <w:hideMark/>
          </w:tcPr>
          <w:p w14:paraId="5D66691C" w14:textId="2133D32A" w:rsidR="00B8253A" w:rsidRPr="00A22ECC" w:rsidRDefault="00496501" w:rsidP="00A22ECC">
            <w:pPr>
              <w:pStyle w:val="TableTextCenter10pt"/>
              <w:rPr>
                <w:rStyle w:val="Bold"/>
              </w:rPr>
            </w:pPr>
            <w:r>
              <w:rPr>
                <w:rStyle w:val="Bold"/>
              </w:rPr>
              <w:t>$198</w:t>
            </w:r>
          </w:p>
        </w:tc>
      </w:tr>
    </w:tbl>
    <w:p w14:paraId="4221B8AC" w14:textId="5C38C846" w:rsidR="009F61A8" w:rsidRDefault="009F61A8" w:rsidP="00496501">
      <w:pPr>
        <w:pStyle w:val="TableFootnote9pt"/>
      </w:pPr>
      <w:proofErr w:type="spellStart"/>
      <w:proofErr w:type="gramStart"/>
      <w:r w:rsidRPr="00871E2B">
        <w:rPr>
          <w:rStyle w:val="Superscript"/>
        </w:rPr>
        <w:t>a</w:t>
      </w:r>
      <w:proofErr w:type="spellEnd"/>
      <w:proofErr w:type="gramEnd"/>
      <w:r w:rsidRPr="00871E2B">
        <w:t xml:space="preserve"> </w:t>
      </w:r>
      <w:r w:rsidRPr="003550CC">
        <w:t xml:space="preserve">For Onshore Natural Gas Transmission Pipelines, </w:t>
      </w:r>
      <w:r w:rsidR="00011188" w:rsidRPr="00B01B51">
        <w:t xml:space="preserve">the technical labor hour burden and costs </w:t>
      </w:r>
      <w:r w:rsidR="00496501">
        <w:t xml:space="preserve">are expected to </w:t>
      </w:r>
      <w:r w:rsidR="00011188" w:rsidRPr="00B01B51">
        <w:t>remain the same.</w:t>
      </w:r>
    </w:p>
    <w:p w14:paraId="22B67E05" w14:textId="4628ED5B" w:rsidR="00FF2193" w:rsidRDefault="009F61A8" w:rsidP="00F54ABD">
      <w:pPr>
        <w:pStyle w:val="TableFootnote9pt"/>
      </w:pPr>
      <w:proofErr w:type="gramStart"/>
      <w:r w:rsidRPr="00871E2B">
        <w:rPr>
          <w:rStyle w:val="Superscript"/>
        </w:rPr>
        <w:t>b</w:t>
      </w:r>
      <w:proofErr w:type="gramEnd"/>
      <w:r w:rsidRPr="00871E2B">
        <w:t xml:space="preserve"> </w:t>
      </w:r>
      <w:r w:rsidRPr="003550CC">
        <w:t xml:space="preserve">For Onshore Petroleum and Natural Gas Gathering and Boosting, the technical labor hour burden increased from </w:t>
      </w:r>
      <w:r w:rsidR="00011188">
        <w:t>11,</w:t>
      </w:r>
      <w:r w:rsidR="00F54ABD">
        <w:t>427</w:t>
      </w:r>
      <w:r w:rsidRPr="003550CC">
        <w:t xml:space="preserve"> hours to </w:t>
      </w:r>
      <w:r w:rsidR="00011188">
        <w:t>11,</w:t>
      </w:r>
      <w:r w:rsidR="00F54ABD">
        <w:t>561</w:t>
      </w:r>
      <w:r w:rsidRPr="003550CC">
        <w:t xml:space="preserve"> hours, which increased the total cost from $</w:t>
      </w:r>
      <w:r w:rsidR="00011188">
        <w:t>3,0</w:t>
      </w:r>
      <w:r w:rsidR="00F54ABD">
        <w:t>44,035</w:t>
      </w:r>
      <w:r w:rsidR="00011188">
        <w:t xml:space="preserve"> </w:t>
      </w:r>
      <w:r w:rsidRPr="003550CC">
        <w:t>to $</w:t>
      </w:r>
      <w:r w:rsidR="00011188">
        <w:t>3,</w:t>
      </w:r>
      <w:r w:rsidR="00F54ABD">
        <w:t>057,326</w:t>
      </w:r>
      <w:r w:rsidR="00FF2193">
        <w:t>.</w:t>
      </w:r>
    </w:p>
    <w:p w14:paraId="4E0D4FFF" w14:textId="0968135A" w:rsidR="00A22ECC" w:rsidRPr="00B01B51" w:rsidRDefault="00A22ECC" w:rsidP="00496501">
      <w:pPr>
        <w:pStyle w:val="TableFootnote9pt"/>
      </w:pPr>
      <w:proofErr w:type="gramStart"/>
      <w:r w:rsidRPr="00A22ECC">
        <w:rPr>
          <w:rStyle w:val="Superscript"/>
        </w:rPr>
        <w:t>c</w:t>
      </w:r>
      <w:proofErr w:type="gramEnd"/>
      <w:r w:rsidRPr="00B01B51">
        <w:t xml:space="preserve"> For Onshore Natural Gas Processing, the technical labor hour burden and costs </w:t>
      </w:r>
      <w:r w:rsidR="00496501">
        <w:t xml:space="preserve">are expected to </w:t>
      </w:r>
      <w:r w:rsidRPr="00B01B51">
        <w:t>remain the same.</w:t>
      </w:r>
    </w:p>
    <w:p w14:paraId="6FC2BCBB" w14:textId="78BB2913" w:rsidR="00A22ECC" w:rsidRPr="00B01B51" w:rsidRDefault="00A22ECC" w:rsidP="00496501">
      <w:pPr>
        <w:pStyle w:val="TableFootnote9pt"/>
      </w:pPr>
      <w:proofErr w:type="gramStart"/>
      <w:r w:rsidRPr="00A22ECC">
        <w:rPr>
          <w:rStyle w:val="Superscript"/>
        </w:rPr>
        <w:t>d</w:t>
      </w:r>
      <w:proofErr w:type="gramEnd"/>
      <w:r w:rsidRPr="00B01B51">
        <w:t xml:space="preserve"> For Onshore Natural Gas Transmission Compression, the technical labor hour burden and costs </w:t>
      </w:r>
      <w:r w:rsidR="00496501">
        <w:t xml:space="preserve">are expected to </w:t>
      </w:r>
      <w:r w:rsidRPr="00B01B51">
        <w:t>remain the same.</w:t>
      </w:r>
    </w:p>
    <w:p w14:paraId="1CCF3CA2" w14:textId="3F23C5BF" w:rsidR="00A22ECC" w:rsidRPr="00B01B51" w:rsidRDefault="00A22ECC" w:rsidP="00496501">
      <w:pPr>
        <w:pStyle w:val="TableFootnote9pt"/>
      </w:pPr>
      <w:proofErr w:type="gramStart"/>
      <w:r w:rsidRPr="00A22ECC">
        <w:rPr>
          <w:rStyle w:val="Superscript"/>
        </w:rPr>
        <w:t>e</w:t>
      </w:r>
      <w:proofErr w:type="gramEnd"/>
      <w:r w:rsidRPr="00B01B51">
        <w:t xml:space="preserve"> For Underground Natural Gas Storage, the technical labor hour burden and costs </w:t>
      </w:r>
      <w:r w:rsidR="00496501">
        <w:t xml:space="preserve">are expected to </w:t>
      </w:r>
      <w:r w:rsidRPr="00B01B51">
        <w:t>remain the same.</w:t>
      </w:r>
    </w:p>
    <w:p w14:paraId="5555DF81" w14:textId="5A66165D" w:rsidR="00A22ECC" w:rsidRPr="00B01B51" w:rsidRDefault="00A22ECC" w:rsidP="00496501">
      <w:pPr>
        <w:pStyle w:val="TableFootnote9pt"/>
      </w:pPr>
      <w:proofErr w:type="gramStart"/>
      <w:r w:rsidRPr="00A22ECC">
        <w:rPr>
          <w:rStyle w:val="Superscript"/>
        </w:rPr>
        <w:t>f</w:t>
      </w:r>
      <w:proofErr w:type="gramEnd"/>
      <w:r w:rsidRPr="00B01B51">
        <w:t xml:space="preserve"> For LNG Import and Export Equipment, the technical labor hour burden and costs </w:t>
      </w:r>
      <w:r w:rsidR="00496501">
        <w:t xml:space="preserve">are expected to </w:t>
      </w:r>
      <w:r w:rsidRPr="00B01B51">
        <w:t>remain the same.</w:t>
      </w:r>
    </w:p>
    <w:p w14:paraId="5A6C2ABC" w14:textId="16ACCE0A" w:rsidR="00E66BE8" w:rsidRPr="00BD55B9" w:rsidRDefault="00E66BE8" w:rsidP="00BD55B9">
      <w:pPr>
        <w:pStyle w:val="TableFootnote9pt"/>
      </w:pPr>
      <w:proofErr w:type="gramStart"/>
      <w:r w:rsidRPr="00BD55B9">
        <w:rPr>
          <w:rStyle w:val="Superscript"/>
        </w:rPr>
        <w:t>g</w:t>
      </w:r>
      <w:proofErr w:type="gramEnd"/>
      <w:r w:rsidRPr="00BD55B9">
        <w:t xml:space="preserve"> </w:t>
      </w:r>
      <w:r w:rsidRPr="003550CC">
        <w:t>For Onshore Petroleum and Natural Gas Production, the technical labor hour burden increased from 1</w:t>
      </w:r>
      <w:r w:rsidR="00F54ABD">
        <w:t>25,054</w:t>
      </w:r>
      <w:r w:rsidRPr="003550CC">
        <w:t xml:space="preserve"> hours to 1</w:t>
      </w:r>
      <w:r w:rsidR="00F54ABD">
        <w:t>25,422</w:t>
      </w:r>
      <w:r w:rsidRPr="003550CC">
        <w:t xml:space="preserve"> hours, which increased the total cost from $</w:t>
      </w:r>
      <w:r w:rsidR="00F54ABD">
        <w:t>16,318,905</w:t>
      </w:r>
      <w:r w:rsidRPr="003550CC">
        <w:t xml:space="preserve"> to $1</w:t>
      </w:r>
      <w:r w:rsidR="00F54ABD">
        <w:t>6,355,404</w:t>
      </w:r>
      <w:r w:rsidRPr="00BD55B9">
        <w:t>.</w:t>
      </w:r>
    </w:p>
    <w:p w14:paraId="02B04418" w14:textId="1974CFCB" w:rsidR="00EB2EF0" w:rsidRDefault="00A22ECC" w:rsidP="00496501">
      <w:pPr>
        <w:pStyle w:val="TableFootnote9pt"/>
      </w:pPr>
      <w:proofErr w:type="gramStart"/>
      <w:r w:rsidRPr="00A22ECC">
        <w:rPr>
          <w:rStyle w:val="Superscript"/>
        </w:rPr>
        <w:t>h</w:t>
      </w:r>
      <w:proofErr w:type="gramEnd"/>
      <w:r w:rsidRPr="00B01B51">
        <w:t xml:space="preserve"> For Natural Gas Distribution, the technical labor hour burden and costs </w:t>
      </w:r>
      <w:r w:rsidR="00496501">
        <w:t xml:space="preserve">are expected to </w:t>
      </w:r>
      <w:r w:rsidRPr="00B01B51">
        <w:t>remain the same.</w:t>
      </w:r>
    </w:p>
    <w:p w14:paraId="32AB6F49" w14:textId="315468B4" w:rsidR="0007115B" w:rsidRDefault="0007115B" w:rsidP="00496501">
      <w:pPr>
        <w:pStyle w:val="TableFootnote9pt"/>
      </w:pPr>
      <w:proofErr w:type="gramStart"/>
      <w:r w:rsidRPr="00871E2B">
        <w:rPr>
          <w:rStyle w:val="Superscript"/>
        </w:rPr>
        <w:t>i</w:t>
      </w:r>
      <w:proofErr w:type="gramEnd"/>
      <w:r w:rsidRPr="0007115B">
        <w:t xml:space="preserve"> For LNG Storage, the technical labor hour burden and costs </w:t>
      </w:r>
      <w:r w:rsidR="00496501">
        <w:t xml:space="preserve">are expected to </w:t>
      </w:r>
      <w:r w:rsidRPr="0007115B">
        <w:t>remain the same.</w:t>
      </w:r>
    </w:p>
    <w:p w14:paraId="4756FB21" w14:textId="0E417F96" w:rsidR="0007115B" w:rsidRDefault="0007115B" w:rsidP="00496501">
      <w:pPr>
        <w:pStyle w:val="TableFootnote9pt"/>
      </w:pPr>
      <w:proofErr w:type="gramStart"/>
      <w:r w:rsidRPr="00871E2B">
        <w:rPr>
          <w:rStyle w:val="Superscript"/>
        </w:rPr>
        <w:t>j</w:t>
      </w:r>
      <w:proofErr w:type="gramEnd"/>
      <w:r w:rsidRPr="0007115B">
        <w:t xml:space="preserve"> For Offshore Petroleum and Natural Gas Production, the technical labor hour burden and costs </w:t>
      </w:r>
      <w:r w:rsidR="00496501">
        <w:t xml:space="preserve">are expected to </w:t>
      </w:r>
      <w:r w:rsidRPr="0007115B">
        <w:t>remain the same.</w:t>
      </w:r>
    </w:p>
    <w:p w14:paraId="509903EA" w14:textId="7BF5A551" w:rsidR="00E575A7" w:rsidRPr="00871E2B" w:rsidRDefault="0007115B" w:rsidP="00C00E0B">
      <w:pPr>
        <w:pStyle w:val="TableFootnote9pt"/>
        <w:sectPr w:rsidR="00E575A7" w:rsidRPr="00871E2B" w:rsidSect="00EB2EF0">
          <w:pgSz w:w="15840" w:h="12240" w:orient="landscape"/>
          <w:pgMar w:top="1440" w:right="1440" w:bottom="1440" w:left="1440" w:header="1440" w:footer="576" w:gutter="0"/>
          <w:cols w:space="720"/>
          <w:noEndnote/>
          <w:docGrid w:linePitch="326"/>
        </w:sectPr>
      </w:pPr>
      <w:proofErr w:type="gramStart"/>
      <w:r w:rsidRPr="00871E2B">
        <w:rPr>
          <w:rStyle w:val="Superscript"/>
        </w:rPr>
        <w:t>k</w:t>
      </w:r>
      <w:proofErr w:type="gramEnd"/>
      <w:r>
        <w:t xml:space="preserve"> Assuming that one</w:t>
      </w:r>
      <w:r w:rsidR="0054450A">
        <w:t>-</w:t>
      </w:r>
      <w:r>
        <w:t>third of the existing respondents comply in each</w:t>
      </w:r>
      <w:r w:rsidR="00C00E0B">
        <w:t xml:space="preserve"> year</w:t>
      </w:r>
      <w:r>
        <w:t xml:space="preserve"> of the </w:t>
      </w:r>
      <w:r w:rsidR="000A3CB1">
        <w:t>3</w:t>
      </w:r>
      <w:r w:rsidR="00C00E0B">
        <w:t>-</w:t>
      </w:r>
      <w:r>
        <w:t>year ICR</w:t>
      </w:r>
      <w:r w:rsidR="00C00E0B">
        <w:t xml:space="preserve"> period</w:t>
      </w:r>
      <w:r>
        <w:t>.</w:t>
      </w:r>
    </w:p>
    <w:p w14:paraId="3F30FF5F" w14:textId="77777777" w:rsidR="008307EC" w:rsidRPr="00A22ECC" w:rsidRDefault="00E61789" w:rsidP="00A22ECC">
      <w:pPr>
        <w:pStyle w:val="SectionSubheading"/>
        <w:rPr>
          <w:rFonts w:eastAsia="PMingLiU" w:hint="eastAsia"/>
        </w:rPr>
      </w:pPr>
      <w:r w:rsidRPr="00A22ECC">
        <w:rPr>
          <w:rFonts w:eastAsia="PMingLiU"/>
        </w:rPr>
        <w:lastRenderedPageBreak/>
        <w:t>6</w:t>
      </w:r>
      <w:r w:rsidR="008307EC" w:rsidRPr="00A22ECC">
        <w:rPr>
          <w:rFonts w:eastAsia="PMingLiU"/>
        </w:rPr>
        <w:t>(c)</w:t>
      </w:r>
      <w:r w:rsidR="00FC6FD1" w:rsidRPr="00A22ECC">
        <w:rPr>
          <w:rFonts w:eastAsia="PMingLiU"/>
        </w:rPr>
        <w:t xml:space="preserve"> </w:t>
      </w:r>
      <w:r w:rsidR="008307EC" w:rsidRPr="00A22ECC">
        <w:rPr>
          <w:rFonts w:eastAsia="PMingLiU"/>
        </w:rPr>
        <w:t>Es</w:t>
      </w:r>
      <w:r w:rsidR="009230F1" w:rsidRPr="00A22ECC">
        <w:rPr>
          <w:rFonts w:eastAsia="PMingLiU"/>
        </w:rPr>
        <w:t>timating Agency Burden and Cost</w:t>
      </w:r>
    </w:p>
    <w:p w14:paraId="55C1B143" w14:textId="77777777" w:rsidR="00FC6FD1" w:rsidRDefault="00FC6FD1" w:rsidP="0013652B">
      <w:pPr>
        <w:pStyle w:val="Paragraph"/>
      </w:pPr>
      <w:r>
        <w:t>This section describes the burden and cost to the federal government associated with this information collection. Federal activities under this information collection include EPA Headquarters oversight of the reporting program.</w:t>
      </w:r>
    </w:p>
    <w:p w14:paraId="3AAA52A5" w14:textId="5D8A2472" w:rsidR="00390005" w:rsidRDefault="00766D4D" w:rsidP="00F4032C">
      <w:pPr>
        <w:pStyle w:val="Paragraph"/>
      </w:pPr>
      <w:r>
        <w:t xml:space="preserve">The </w:t>
      </w:r>
      <w:r w:rsidR="00390005">
        <w:t xml:space="preserve">EPA activities associated with the mandatory GHG reporting rule include Headquarters oversight and implementation of the reporting program, e.g., monitoring and verification of emission reports, database and software maintenance, communication and outreach, and program evaluation. </w:t>
      </w:r>
      <w:r w:rsidR="00C009FA">
        <w:t xml:space="preserve">These </w:t>
      </w:r>
      <w:r w:rsidR="00E575A7">
        <w:t xml:space="preserve">proposed </w:t>
      </w:r>
      <w:r w:rsidR="00C009FA">
        <w:t xml:space="preserve">amendments are not expected to increase the current overall </w:t>
      </w:r>
      <w:r w:rsidR="00F4032C">
        <w:t>a</w:t>
      </w:r>
      <w:r w:rsidR="00C009FA">
        <w:t>gency burden.</w:t>
      </w:r>
      <w:r w:rsidR="00A028F5">
        <w:t xml:space="preserve"> The</w:t>
      </w:r>
      <w:r w:rsidR="00C009FA">
        <w:t>refore, the</w:t>
      </w:r>
      <w:r w:rsidR="00A028F5">
        <w:t xml:space="preserve"> </w:t>
      </w:r>
      <w:r w:rsidR="00C009FA">
        <w:t>incremental</w:t>
      </w:r>
      <w:r w:rsidR="00A028F5">
        <w:t xml:space="preserve"> </w:t>
      </w:r>
      <w:r w:rsidR="00F4032C">
        <w:t>a</w:t>
      </w:r>
      <w:r w:rsidR="00A028F5">
        <w:t xml:space="preserve">gency cost </w:t>
      </w:r>
      <w:r w:rsidR="00C009FA">
        <w:t xml:space="preserve">for these </w:t>
      </w:r>
      <w:r w:rsidR="0054450A">
        <w:t xml:space="preserve">proposed </w:t>
      </w:r>
      <w:r w:rsidR="00C009FA">
        <w:t xml:space="preserve">amendments </w:t>
      </w:r>
      <w:r w:rsidR="00A028F5">
        <w:t>is</w:t>
      </w:r>
      <w:r w:rsidR="00C009FA">
        <w:t xml:space="preserve"> 0 hours and $0.</w:t>
      </w:r>
    </w:p>
    <w:p w14:paraId="2DB84449" w14:textId="75EBA955" w:rsidR="006948AB" w:rsidRPr="009A4D56" w:rsidRDefault="00390005" w:rsidP="00795196">
      <w:pPr>
        <w:pStyle w:val="Paragraph"/>
      </w:pPr>
      <w:r w:rsidRPr="006948AB">
        <w:t xml:space="preserve">To develop </w:t>
      </w:r>
      <w:r w:rsidR="00766D4D" w:rsidRPr="006948AB">
        <w:t xml:space="preserve">the </w:t>
      </w:r>
      <w:r w:rsidRPr="006948AB">
        <w:t>EPA labor costs</w:t>
      </w:r>
      <w:r w:rsidR="00C009FA" w:rsidRPr="006948AB">
        <w:t xml:space="preserve"> related to the implementation of subpart W under the GHGRP</w:t>
      </w:r>
      <w:r w:rsidRPr="006948AB">
        <w:t xml:space="preserve">, </w:t>
      </w:r>
      <w:r w:rsidR="00766D4D" w:rsidRPr="006948AB">
        <w:t xml:space="preserve">the </w:t>
      </w:r>
      <w:r w:rsidRPr="006948AB">
        <w:t xml:space="preserve">EPA </w:t>
      </w:r>
      <w:r w:rsidR="006948AB">
        <w:t>updated</w:t>
      </w:r>
      <w:r w:rsidRPr="006948AB">
        <w:t xml:space="preserve"> the average hourly labor rate for salary and overhead and benefits for </w:t>
      </w:r>
      <w:r w:rsidR="00F4032C">
        <w:t>a</w:t>
      </w:r>
      <w:r w:rsidRPr="006948AB">
        <w:t xml:space="preserve">gency staff to be </w:t>
      </w:r>
      <w:r w:rsidR="00C009FA" w:rsidRPr="006948AB">
        <w:t>$53.42</w:t>
      </w:r>
      <w:r w:rsidR="006948AB">
        <w:t xml:space="preserve"> per hour</w:t>
      </w:r>
      <w:r w:rsidR="00C009FA" w:rsidRPr="006948AB">
        <w:t xml:space="preserve">. To derive this figure, </w:t>
      </w:r>
      <w:r w:rsidR="000A3CB1">
        <w:t xml:space="preserve">the </w:t>
      </w:r>
      <w:r w:rsidR="00C009FA" w:rsidRPr="006948AB">
        <w:t xml:space="preserve">EPA multiplied the hourly compensation at GS-12, Step 5 on the 2015 GS pay scale ($33.39) by the standard government benefits multiplication factor of 1.6 to account for overhead and </w:t>
      </w:r>
      <w:r w:rsidR="006948AB" w:rsidRPr="00FC2C18">
        <w:t>benefits.</w:t>
      </w:r>
      <w:r w:rsidR="006948AB">
        <w:rPr>
          <w:rStyle w:val="FootnoteReference"/>
        </w:rPr>
        <w:footnoteReference w:id="1"/>
      </w:r>
      <w:r w:rsidR="00E575A7">
        <w:t xml:space="preserve"> </w:t>
      </w:r>
      <w:r w:rsidR="006948AB">
        <w:t xml:space="preserve">The total annual burden and cost to the </w:t>
      </w:r>
      <w:r w:rsidR="00F4032C">
        <w:t>a</w:t>
      </w:r>
      <w:r w:rsidR="006948AB">
        <w:t>gency is 10,400 hours and $555,</w:t>
      </w:r>
      <w:r w:rsidR="00795196">
        <w:t>610</w:t>
      </w:r>
      <w:r w:rsidR="006948AB">
        <w:t>.</w:t>
      </w:r>
    </w:p>
    <w:p w14:paraId="333150E5" w14:textId="5BDFA48B" w:rsidR="00390005" w:rsidRDefault="00390005" w:rsidP="00C009FA">
      <w:pPr>
        <w:pStyle w:val="Paragraph"/>
      </w:pPr>
    </w:p>
    <w:p w14:paraId="1A6B6A11" w14:textId="55C8EC03" w:rsidR="00390005" w:rsidRDefault="00390005" w:rsidP="0007115B">
      <w:pPr>
        <w:pStyle w:val="TableTitle"/>
      </w:pPr>
      <w:r>
        <w:t>Exhibit 6.</w:t>
      </w:r>
      <w:r w:rsidR="0007115B">
        <w:t>3 Annual Agency Burden and Cost for Subpart W</w:t>
      </w:r>
    </w:p>
    <w:tbl>
      <w:tblPr>
        <w:tblW w:w="5000" w:type="pct"/>
        <w:tblLook w:val="04A0" w:firstRow="1" w:lastRow="0" w:firstColumn="1" w:lastColumn="0" w:noHBand="0" w:noVBand="1"/>
      </w:tblPr>
      <w:tblGrid>
        <w:gridCol w:w="2115"/>
        <w:gridCol w:w="1227"/>
        <w:gridCol w:w="1643"/>
        <w:gridCol w:w="1288"/>
        <w:gridCol w:w="1615"/>
        <w:gridCol w:w="1452"/>
      </w:tblGrid>
      <w:tr w:rsidR="006948AB" w:rsidRPr="00B8253A" w14:paraId="0A75CEFB" w14:textId="77777777" w:rsidTr="00E575A7">
        <w:tc>
          <w:tcPr>
            <w:tcW w:w="2200" w:type="dxa"/>
            <w:tcBorders>
              <w:top w:val="single" w:sz="8" w:space="0" w:color="000000"/>
              <w:left w:val="single" w:sz="8" w:space="0" w:color="000000"/>
              <w:bottom w:val="single" w:sz="8" w:space="0" w:color="000000"/>
              <w:right w:val="single" w:sz="8" w:space="0" w:color="000000"/>
            </w:tcBorders>
            <w:shd w:val="clear" w:color="000000" w:fill="CCFFFF"/>
            <w:vAlign w:val="bottom"/>
            <w:hideMark/>
          </w:tcPr>
          <w:p w14:paraId="25D0D1C3" w14:textId="77777777" w:rsidR="00B8253A" w:rsidRPr="00B8253A" w:rsidRDefault="00B8253A" w:rsidP="00A22ECC">
            <w:pPr>
              <w:pStyle w:val="TableColumnHeading10pt"/>
            </w:pPr>
            <w:r w:rsidRPr="00B8253A">
              <w:t>Information Collection Activity</w:t>
            </w:r>
          </w:p>
        </w:tc>
        <w:tc>
          <w:tcPr>
            <w:tcW w:w="1240" w:type="dxa"/>
            <w:tcBorders>
              <w:top w:val="single" w:sz="8" w:space="0" w:color="000000"/>
              <w:left w:val="nil"/>
              <w:bottom w:val="single" w:sz="8" w:space="0" w:color="000000"/>
              <w:right w:val="single" w:sz="8" w:space="0" w:color="000000"/>
            </w:tcBorders>
            <w:shd w:val="clear" w:color="000000" w:fill="CCFFFF"/>
            <w:vAlign w:val="bottom"/>
            <w:hideMark/>
          </w:tcPr>
          <w:p w14:paraId="570BF989" w14:textId="77777777" w:rsidR="00B8253A" w:rsidRPr="00B8253A" w:rsidRDefault="00B8253A" w:rsidP="00A22ECC">
            <w:pPr>
              <w:pStyle w:val="TableColumnHeading10pt"/>
            </w:pPr>
            <w:r w:rsidRPr="00B8253A">
              <w:t>Annual Responses</w:t>
            </w:r>
          </w:p>
        </w:tc>
        <w:tc>
          <w:tcPr>
            <w:tcW w:w="1720" w:type="dxa"/>
            <w:tcBorders>
              <w:top w:val="single" w:sz="8" w:space="0" w:color="000000"/>
              <w:left w:val="nil"/>
              <w:bottom w:val="single" w:sz="8" w:space="0" w:color="000000"/>
              <w:right w:val="single" w:sz="8" w:space="0" w:color="000000"/>
            </w:tcBorders>
            <w:shd w:val="clear" w:color="000000" w:fill="CCFFFF"/>
            <w:vAlign w:val="bottom"/>
            <w:hideMark/>
          </w:tcPr>
          <w:p w14:paraId="0170D27E" w14:textId="77777777" w:rsidR="00B8253A" w:rsidRPr="00B8253A" w:rsidRDefault="00B8253A" w:rsidP="00A22ECC">
            <w:pPr>
              <w:pStyle w:val="TableColumnHeading10pt"/>
            </w:pPr>
            <w:r w:rsidRPr="00B8253A">
              <w:t>Total Annual Burden</w:t>
            </w:r>
          </w:p>
        </w:tc>
        <w:tc>
          <w:tcPr>
            <w:tcW w:w="1320" w:type="dxa"/>
            <w:tcBorders>
              <w:top w:val="single" w:sz="8" w:space="0" w:color="000000"/>
              <w:left w:val="nil"/>
              <w:bottom w:val="single" w:sz="8" w:space="0" w:color="000000"/>
              <w:right w:val="single" w:sz="8" w:space="0" w:color="000000"/>
            </w:tcBorders>
            <w:shd w:val="clear" w:color="000000" w:fill="CCFFFF"/>
            <w:vAlign w:val="bottom"/>
            <w:hideMark/>
          </w:tcPr>
          <w:p w14:paraId="6047D774" w14:textId="77777777" w:rsidR="00B8253A" w:rsidRPr="00B8253A" w:rsidRDefault="00B8253A" w:rsidP="00A22ECC">
            <w:pPr>
              <w:pStyle w:val="TableColumnHeading10pt"/>
            </w:pPr>
            <w:r w:rsidRPr="00B8253A">
              <w:t>Labor Cost</w:t>
            </w:r>
          </w:p>
        </w:tc>
        <w:tc>
          <w:tcPr>
            <w:tcW w:w="1700" w:type="dxa"/>
            <w:tcBorders>
              <w:top w:val="single" w:sz="8" w:space="0" w:color="000000"/>
              <w:left w:val="nil"/>
              <w:bottom w:val="single" w:sz="8" w:space="0" w:color="000000"/>
              <w:right w:val="single" w:sz="8" w:space="0" w:color="000000"/>
            </w:tcBorders>
            <w:shd w:val="clear" w:color="000000" w:fill="CCFFFF"/>
            <w:vAlign w:val="bottom"/>
            <w:hideMark/>
          </w:tcPr>
          <w:p w14:paraId="3F217960" w14:textId="77777777" w:rsidR="00B8253A" w:rsidRPr="00B8253A" w:rsidRDefault="00B8253A" w:rsidP="00A22ECC">
            <w:pPr>
              <w:pStyle w:val="TableColumnHeading10pt"/>
            </w:pPr>
            <w:r w:rsidRPr="00B8253A">
              <w:t>Non-Labor Cost</w:t>
            </w:r>
          </w:p>
        </w:tc>
        <w:tc>
          <w:tcPr>
            <w:tcW w:w="1500" w:type="dxa"/>
            <w:tcBorders>
              <w:top w:val="single" w:sz="8" w:space="0" w:color="000000"/>
              <w:left w:val="nil"/>
              <w:bottom w:val="single" w:sz="8" w:space="0" w:color="000000"/>
              <w:right w:val="single" w:sz="8" w:space="0" w:color="000000"/>
            </w:tcBorders>
            <w:shd w:val="clear" w:color="000000" w:fill="CCFFFF"/>
            <w:vAlign w:val="bottom"/>
            <w:hideMark/>
          </w:tcPr>
          <w:p w14:paraId="023A1CF7" w14:textId="77777777" w:rsidR="00B8253A" w:rsidRPr="00B8253A" w:rsidRDefault="00B8253A" w:rsidP="00A22ECC">
            <w:pPr>
              <w:pStyle w:val="TableColumnHeading10pt"/>
            </w:pPr>
            <w:r w:rsidRPr="00B8253A">
              <w:t>Total Annual Cost</w:t>
            </w:r>
          </w:p>
        </w:tc>
      </w:tr>
      <w:tr w:rsidR="006948AB" w:rsidRPr="00B8253A" w14:paraId="0AC9EDAB" w14:textId="77777777" w:rsidTr="00E575A7">
        <w:tc>
          <w:tcPr>
            <w:tcW w:w="2200" w:type="dxa"/>
            <w:tcBorders>
              <w:top w:val="nil"/>
              <w:left w:val="single" w:sz="8" w:space="0" w:color="000000"/>
              <w:bottom w:val="single" w:sz="8" w:space="0" w:color="000000"/>
              <w:right w:val="single" w:sz="8" w:space="0" w:color="000000"/>
            </w:tcBorders>
            <w:shd w:val="clear" w:color="auto" w:fill="auto"/>
            <w:vAlign w:val="bottom"/>
            <w:hideMark/>
          </w:tcPr>
          <w:p w14:paraId="64921CD8" w14:textId="181316CB" w:rsidR="00B8253A" w:rsidRPr="00B8253A" w:rsidRDefault="00B8253A" w:rsidP="00A22ECC">
            <w:pPr>
              <w:pStyle w:val="TableTextLeft10pt"/>
            </w:pPr>
            <w:r w:rsidRPr="00B8253A">
              <w:t>Petroleum and Natural Gas Systems</w:t>
            </w:r>
          </w:p>
        </w:tc>
        <w:tc>
          <w:tcPr>
            <w:tcW w:w="1240" w:type="dxa"/>
            <w:tcBorders>
              <w:top w:val="nil"/>
              <w:left w:val="nil"/>
              <w:bottom w:val="single" w:sz="8" w:space="0" w:color="000000"/>
              <w:right w:val="single" w:sz="8" w:space="0" w:color="000000"/>
            </w:tcBorders>
            <w:shd w:val="clear" w:color="auto" w:fill="auto"/>
            <w:vAlign w:val="bottom"/>
            <w:hideMark/>
          </w:tcPr>
          <w:p w14:paraId="54697B00" w14:textId="77777777" w:rsidR="00B8253A" w:rsidRPr="00B8253A" w:rsidRDefault="00B8253A" w:rsidP="00A22ECC">
            <w:pPr>
              <w:pStyle w:val="TableTextCenter10pt"/>
            </w:pPr>
            <w:r w:rsidRPr="00B8253A">
              <w:t>1</w:t>
            </w:r>
          </w:p>
        </w:tc>
        <w:tc>
          <w:tcPr>
            <w:tcW w:w="1720" w:type="dxa"/>
            <w:tcBorders>
              <w:top w:val="nil"/>
              <w:left w:val="nil"/>
              <w:bottom w:val="single" w:sz="8" w:space="0" w:color="000000"/>
              <w:right w:val="single" w:sz="8" w:space="0" w:color="000000"/>
            </w:tcBorders>
            <w:shd w:val="clear" w:color="auto" w:fill="auto"/>
            <w:vAlign w:val="bottom"/>
            <w:hideMark/>
          </w:tcPr>
          <w:p w14:paraId="6DA0992C" w14:textId="77777777" w:rsidR="00B8253A" w:rsidRPr="00B8253A" w:rsidRDefault="00A028F5" w:rsidP="00A22ECC">
            <w:pPr>
              <w:pStyle w:val="TableTextCenter10pt"/>
            </w:pPr>
            <w:r>
              <w:t>10</w:t>
            </w:r>
            <w:r w:rsidR="00B8253A">
              <w:t>,</w:t>
            </w:r>
            <w:r>
              <w:t>400</w:t>
            </w:r>
          </w:p>
        </w:tc>
        <w:tc>
          <w:tcPr>
            <w:tcW w:w="1320" w:type="dxa"/>
            <w:tcBorders>
              <w:top w:val="nil"/>
              <w:left w:val="nil"/>
              <w:bottom w:val="single" w:sz="8" w:space="0" w:color="000000"/>
              <w:right w:val="single" w:sz="8" w:space="0" w:color="000000"/>
            </w:tcBorders>
            <w:shd w:val="clear" w:color="auto" w:fill="auto"/>
            <w:vAlign w:val="bottom"/>
            <w:hideMark/>
          </w:tcPr>
          <w:p w14:paraId="45211596" w14:textId="6CCC1B2F" w:rsidR="00B8253A" w:rsidRPr="00B8253A" w:rsidRDefault="00B8253A" w:rsidP="00795196">
            <w:pPr>
              <w:pStyle w:val="TableTextCenter10pt"/>
            </w:pPr>
            <w:r w:rsidRPr="00B8253A">
              <w:t>$</w:t>
            </w:r>
            <w:r w:rsidR="006948AB">
              <w:t>555,</w:t>
            </w:r>
            <w:r w:rsidR="00795196">
              <w:t>610</w:t>
            </w:r>
            <w:r w:rsidRPr="00B8253A">
              <w:t xml:space="preserve"> </w:t>
            </w:r>
          </w:p>
        </w:tc>
        <w:tc>
          <w:tcPr>
            <w:tcW w:w="1700" w:type="dxa"/>
            <w:tcBorders>
              <w:top w:val="nil"/>
              <w:left w:val="nil"/>
              <w:bottom w:val="single" w:sz="8" w:space="0" w:color="000000"/>
              <w:right w:val="single" w:sz="8" w:space="0" w:color="000000"/>
            </w:tcBorders>
            <w:shd w:val="clear" w:color="auto" w:fill="auto"/>
            <w:vAlign w:val="bottom"/>
            <w:hideMark/>
          </w:tcPr>
          <w:p w14:paraId="2145E4D9" w14:textId="77777777" w:rsidR="00B8253A" w:rsidRPr="00B8253A" w:rsidRDefault="00B8253A" w:rsidP="00A22ECC">
            <w:pPr>
              <w:pStyle w:val="TableTextCenter10pt"/>
            </w:pPr>
            <w:r w:rsidRPr="00B8253A">
              <w:t xml:space="preserve">$0 </w:t>
            </w:r>
          </w:p>
        </w:tc>
        <w:tc>
          <w:tcPr>
            <w:tcW w:w="1500" w:type="dxa"/>
            <w:tcBorders>
              <w:top w:val="nil"/>
              <w:left w:val="nil"/>
              <w:bottom w:val="single" w:sz="8" w:space="0" w:color="000000"/>
              <w:right w:val="single" w:sz="8" w:space="0" w:color="000000"/>
            </w:tcBorders>
            <w:shd w:val="clear" w:color="auto" w:fill="auto"/>
            <w:vAlign w:val="bottom"/>
            <w:hideMark/>
          </w:tcPr>
          <w:p w14:paraId="11692C01" w14:textId="6D3BDD45" w:rsidR="00B8253A" w:rsidRPr="00B8253A" w:rsidRDefault="00B8253A" w:rsidP="00795196">
            <w:pPr>
              <w:pStyle w:val="TableTextCenter10pt"/>
            </w:pPr>
            <w:r w:rsidRPr="00B8253A">
              <w:t>$</w:t>
            </w:r>
            <w:r w:rsidR="00A028F5">
              <w:t>5</w:t>
            </w:r>
            <w:r w:rsidR="006948AB">
              <w:t>55,</w:t>
            </w:r>
            <w:r w:rsidR="00795196">
              <w:t>610</w:t>
            </w:r>
            <w:r w:rsidRPr="00B8253A">
              <w:t xml:space="preserve"> </w:t>
            </w:r>
          </w:p>
        </w:tc>
      </w:tr>
      <w:tr w:rsidR="006948AB" w:rsidRPr="00B8253A" w14:paraId="2415B5F6" w14:textId="77777777" w:rsidTr="00E575A7">
        <w:tc>
          <w:tcPr>
            <w:tcW w:w="2200" w:type="dxa"/>
            <w:tcBorders>
              <w:top w:val="nil"/>
              <w:left w:val="single" w:sz="8" w:space="0" w:color="000000"/>
              <w:bottom w:val="single" w:sz="8" w:space="0" w:color="000000"/>
              <w:right w:val="single" w:sz="8" w:space="0" w:color="000000"/>
            </w:tcBorders>
            <w:shd w:val="clear" w:color="auto" w:fill="auto"/>
            <w:vAlign w:val="bottom"/>
            <w:hideMark/>
          </w:tcPr>
          <w:p w14:paraId="7FAF81A6" w14:textId="77777777" w:rsidR="00B8253A" w:rsidRPr="00A22ECC" w:rsidRDefault="00B8253A" w:rsidP="00A22ECC">
            <w:pPr>
              <w:pStyle w:val="TableText"/>
              <w:rPr>
                <w:rStyle w:val="Bold"/>
              </w:rPr>
            </w:pPr>
            <w:r w:rsidRPr="00A22ECC">
              <w:rPr>
                <w:rStyle w:val="Bold"/>
              </w:rPr>
              <w:t>TOTAL</w:t>
            </w:r>
          </w:p>
        </w:tc>
        <w:tc>
          <w:tcPr>
            <w:tcW w:w="1240" w:type="dxa"/>
            <w:tcBorders>
              <w:top w:val="nil"/>
              <w:left w:val="nil"/>
              <w:bottom w:val="single" w:sz="8" w:space="0" w:color="000000"/>
              <w:right w:val="single" w:sz="8" w:space="0" w:color="000000"/>
            </w:tcBorders>
            <w:shd w:val="clear" w:color="auto" w:fill="auto"/>
            <w:vAlign w:val="bottom"/>
            <w:hideMark/>
          </w:tcPr>
          <w:p w14:paraId="0B0DB6EB" w14:textId="77777777" w:rsidR="00B8253A" w:rsidRPr="00B8253A" w:rsidRDefault="00B8253A" w:rsidP="00A22ECC">
            <w:pPr>
              <w:pStyle w:val="TableTextCenter10pt"/>
            </w:pPr>
            <w:r w:rsidRPr="00B8253A">
              <w:t>1</w:t>
            </w:r>
          </w:p>
        </w:tc>
        <w:tc>
          <w:tcPr>
            <w:tcW w:w="1720" w:type="dxa"/>
            <w:tcBorders>
              <w:top w:val="nil"/>
              <w:left w:val="nil"/>
              <w:bottom w:val="single" w:sz="8" w:space="0" w:color="000000"/>
              <w:right w:val="single" w:sz="8" w:space="0" w:color="000000"/>
            </w:tcBorders>
            <w:shd w:val="clear" w:color="auto" w:fill="auto"/>
            <w:vAlign w:val="bottom"/>
            <w:hideMark/>
          </w:tcPr>
          <w:p w14:paraId="282F015B" w14:textId="77777777" w:rsidR="00B8253A" w:rsidRPr="00B8253A" w:rsidRDefault="00A028F5" w:rsidP="00A22ECC">
            <w:pPr>
              <w:pStyle w:val="TableTextCenter10pt"/>
            </w:pPr>
            <w:r>
              <w:t>10,400</w:t>
            </w:r>
          </w:p>
        </w:tc>
        <w:tc>
          <w:tcPr>
            <w:tcW w:w="1320" w:type="dxa"/>
            <w:tcBorders>
              <w:top w:val="nil"/>
              <w:left w:val="nil"/>
              <w:bottom w:val="single" w:sz="8" w:space="0" w:color="000000"/>
              <w:right w:val="single" w:sz="8" w:space="0" w:color="000000"/>
            </w:tcBorders>
            <w:shd w:val="clear" w:color="auto" w:fill="auto"/>
            <w:vAlign w:val="bottom"/>
            <w:hideMark/>
          </w:tcPr>
          <w:p w14:paraId="2E53CB70" w14:textId="2CA4A25E" w:rsidR="00B8253A" w:rsidRPr="00B8253A" w:rsidRDefault="00B8253A" w:rsidP="00795196">
            <w:pPr>
              <w:pStyle w:val="TableTextCenter10pt"/>
            </w:pPr>
            <w:r w:rsidRPr="00B8253A">
              <w:t>$</w:t>
            </w:r>
            <w:r w:rsidR="00A028F5">
              <w:t>5</w:t>
            </w:r>
            <w:r w:rsidR="006948AB">
              <w:t>55,</w:t>
            </w:r>
            <w:r w:rsidR="00795196">
              <w:t>610</w:t>
            </w:r>
            <w:r w:rsidRPr="00B8253A">
              <w:t xml:space="preserve"> </w:t>
            </w:r>
          </w:p>
        </w:tc>
        <w:tc>
          <w:tcPr>
            <w:tcW w:w="1700" w:type="dxa"/>
            <w:tcBorders>
              <w:top w:val="nil"/>
              <w:left w:val="nil"/>
              <w:bottom w:val="single" w:sz="8" w:space="0" w:color="000000"/>
              <w:right w:val="single" w:sz="8" w:space="0" w:color="000000"/>
            </w:tcBorders>
            <w:shd w:val="clear" w:color="auto" w:fill="auto"/>
            <w:vAlign w:val="bottom"/>
            <w:hideMark/>
          </w:tcPr>
          <w:p w14:paraId="5FB0572F" w14:textId="77777777" w:rsidR="00B8253A" w:rsidRPr="00B8253A" w:rsidRDefault="00B8253A" w:rsidP="00A22ECC">
            <w:pPr>
              <w:pStyle w:val="TableTextCenter10pt"/>
            </w:pPr>
            <w:r w:rsidRPr="00B8253A">
              <w:t xml:space="preserve">$0 </w:t>
            </w:r>
          </w:p>
        </w:tc>
        <w:tc>
          <w:tcPr>
            <w:tcW w:w="1500" w:type="dxa"/>
            <w:tcBorders>
              <w:top w:val="nil"/>
              <w:left w:val="nil"/>
              <w:bottom w:val="single" w:sz="8" w:space="0" w:color="000000"/>
              <w:right w:val="single" w:sz="8" w:space="0" w:color="000000"/>
            </w:tcBorders>
            <w:shd w:val="clear" w:color="auto" w:fill="auto"/>
            <w:vAlign w:val="bottom"/>
            <w:hideMark/>
          </w:tcPr>
          <w:p w14:paraId="0B0D9B91" w14:textId="42F5C531" w:rsidR="00B8253A" w:rsidRPr="00B8253A" w:rsidRDefault="00B8253A" w:rsidP="00795196">
            <w:pPr>
              <w:pStyle w:val="TableTextCenter10pt"/>
            </w:pPr>
            <w:r w:rsidRPr="00B8253A">
              <w:t>$</w:t>
            </w:r>
            <w:r w:rsidR="00A028F5">
              <w:t>5</w:t>
            </w:r>
            <w:r w:rsidR="006948AB">
              <w:t>55,</w:t>
            </w:r>
            <w:r w:rsidR="00795196">
              <w:t>610</w:t>
            </w:r>
            <w:r w:rsidRPr="00B8253A">
              <w:t xml:space="preserve"> </w:t>
            </w:r>
          </w:p>
        </w:tc>
      </w:tr>
    </w:tbl>
    <w:p w14:paraId="6FF25F41" w14:textId="77777777" w:rsidR="00390005" w:rsidRDefault="00390005" w:rsidP="00390005">
      <w:pPr>
        <w:pStyle w:val="AfterTable"/>
        <w:rPr>
          <w:rFonts w:eastAsia="PMingLiU"/>
        </w:rPr>
      </w:pPr>
    </w:p>
    <w:p w14:paraId="403D25FE" w14:textId="77777777" w:rsidR="008307EC" w:rsidRPr="00A22ECC" w:rsidRDefault="00E61789" w:rsidP="00A22ECC">
      <w:pPr>
        <w:pStyle w:val="SectionSubheading"/>
        <w:rPr>
          <w:rFonts w:eastAsia="PMingLiU" w:hint="eastAsia"/>
        </w:rPr>
      </w:pPr>
      <w:r w:rsidRPr="00A22ECC">
        <w:rPr>
          <w:rFonts w:eastAsia="PMingLiU"/>
        </w:rPr>
        <w:t>6</w:t>
      </w:r>
      <w:r w:rsidR="00390005" w:rsidRPr="00A22ECC">
        <w:rPr>
          <w:rFonts w:eastAsia="PMingLiU"/>
        </w:rPr>
        <w:t xml:space="preserve">(d) </w:t>
      </w:r>
      <w:r w:rsidR="008307EC" w:rsidRPr="00A22ECC">
        <w:rPr>
          <w:rFonts w:eastAsia="PMingLiU"/>
        </w:rPr>
        <w:t>Estimating the Respondent Universe and Total Burden and Costs</w:t>
      </w:r>
    </w:p>
    <w:p w14:paraId="04E751FA" w14:textId="72187483" w:rsidR="008307EC" w:rsidRDefault="00390005" w:rsidP="00496501">
      <w:pPr>
        <w:pStyle w:val="Paragraph"/>
        <w:rPr>
          <w:rFonts w:eastAsia="PMingLiU"/>
        </w:rPr>
      </w:pPr>
      <w:r>
        <w:t xml:space="preserve">The number of respondents in each subpart W industry sector that </w:t>
      </w:r>
      <w:r w:rsidR="0026570B">
        <w:t xml:space="preserve">would </w:t>
      </w:r>
      <w:r w:rsidR="00496501">
        <w:t xml:space="preserve">be expected to </w:t>
      </w:r>
      <w:r>
        <w:t>perform the activities under this information collection is presented in Exhibit 6.1.</w:t>
      </w:r>
    </w:p>
    <w:p w14:paraId="394088FC" w14:textId="77777777" w:rsidR="008307EC" w:rsidRPr="00A22ECC" w:rsidRDefault="00E61789" w:rsidP="00A22ECC">
      <w:pPr>
        <w:pStyle w:val="SectionSubheading"/>
        <w:rPr>
          <w:rFonts w:eastAsia="PMingLiU" w:hint="eastAsia"/>
        </w:rPr>
      </w:pPr>
      <w:r w:rsidRPr="00A22ECC">
        <w:rPr>
          <w:rFonts w:eastAsia="PMingLiU"/>
        </w:rPr>
        <w:lastRenderedPageBreak/>
        <w:t>6</w:t>
      </w:r>
      <w:r w:rsidR="008307EC" w:rsidRPr="00A22ECC">
        <w:rPr>
          <w:rFonts w:eastAsia="PMingLiU"/>
        </w:rPr>
        <w:t>(e)</w:t>
      </w:r>
      <w:r w:rsidR="00390005" w:rsidRPr="00A22ECC">
        <w:rPr>
          <w:rFonts w:eastAsia="PMingLiU"/>
        </w:rPr>
        <w:t xml:space="preserve"> </w:t>
      </w:r>
      <w:r w:rsidR="008307EC" w:rsidRPr="00A22ECC">
        <w:rPr>
          <w:rFonts w:eastAsia="PMingLiU"/>
        </w:rPr>
        <w:t>Bottom Line Burd</w:t>
      </w:r>
      <w:r w:rsidR="009230F1" w:rsidRPr="00A22ECC">
        <w:rPr>
          <w:rFonts w:eastAsia="PMingLiU"/>
        </w:rPr>
        <w:t>en Hours and Costs/Master Tables</w:t>
      </w:r>
    </w:p>
    <w:p w14:paraId="7BD408FB" w14:textId="77777777" w:rsidR="00390005" w:rsidRDefault="008307EC" w:rsidP="00A22ECC">
      <w:pPr>
        <w:pStyle w:val="Paragraph"/>
        <w:rPr>
          <w:rFonts w:eastAsia="PMingLiU"/>
        </w:rPr>
      </w:pPr>
      <w:r w:rsidRPr="00A6725D">
        <w:rPr>
          <w:rFonts w:eastAsia="PMingLiU"/>
        </w:rPr>
        <w:t>The bottom line burden hours and costs</w:t>
      </w:r>
      <w:r w:rsidR="00390005">
        <w:rPr>
          <w:rFonts w:eastAsia="PMingLiU"/>
        </w:rPr>
        <w:t xml:space="preserve"> are shown in Exhibit 6.4</w:t>
      </w:r>
      <w:r w:rsidRPr="00A6725D">
        <w:rPr>
          <w:rFonts w:eastAsia="PMingLiU"/>
        </w:rPr>
        <w:t>.</w:t>
      </w:r>
    </w:p>
    <w:p w14:paraId="1069726F" w14:textId="77777777" w:rsidR="00390005" w:rsidRDefault="00390005" w:rsidP="00051A66">
      <w:pPr>
        <w:pStyle w:val="TableTitle"/>
      </w:pPr>
      <w:r>
        <w:t xml:space="preserve">Exhibit 6.4 Bottom Line </w:t>
      </w:r>
      <w:r w:rsidRPr="00390005">
        <w:t>Annual</w:t>
      </w:r>
      <w:r>
        <w:t xml:space="preserve"> Burden and Cost</w:t>
      </w:r>
    </w:p>
    <w:tbl>
      <w:tblPr>
        <w:tblW w:w="5343" w:type="pct"/>
        <w:tblLayout w:type="fixed"/>
        <w:tblLook w:val="04A0" w:firstRow="1" w:lastRow="0" w:firstColumn="1" w:lastColumn="0" w:noHBand="0" w:noVBand="1"/>
      </w:tblPr>
      <w:tblGrid>
        <w:gridCol w:w="3410"/>
        <w:gridCol w:w="1439"/>
        <w:gridCol w:w="5132"/>
      </w:tblGrid>
      <w:tr w:rsidR="00B8253A" w:rsidRPr="00B8253A" w14:paraId="1AA8D193" w14:textId="77777777" w:rsidTr="00E40053">
        <w:tc>
          <w:tcPr>
            <w:tcW w:w="1708" w:type="pct"/>
            <w:tcBorders>
              <w:top w:val="single" w:sz="8" w:space="0" w:color="auto"/>
              <w:left w:val="single" w:sz="8" w:space="0" w:color="auto"/>
              <w:bottom w:val="single" w:sz="4" w:space="0" w:color="auto"/>
              <w:right w:val="single" w:sz="4" w:space="0" w:color="auto"/>
            </w:tcBorders>
            <w:shd w:val="clear" w:color="000000" w:fill="CCFFFF"/>
            <w:vAlign w:val="bottom"/>
            <w:hideMark/>
          </w:tcPr>
          <w:p w14:paraId="3857B982" w14:textId="77777777" w:rsidR="00B8253A" w:rsidRPr="00A22ECC" w:rsidRDefault="00B8253A" w:rsidP="00A22ECC">
            <w:pPr>
              <w:pStyle w:val="TableTextLeft9pt"/>
              <w:rPr>
                <w:rStyle w:val="Bold"/>
              </w:rPr>
            </w:pPr>
            <w:r w:rsidRPr="00A22ECC">
              <w:rPr>
                <w:rStyle w:val="Bold"/>
              </w:rPr>
              <w:t>Number of Respondents</w:t>
            </w:r>
          </w:p>
        </w:tc>
        <w:tc>
          <w:tcPr>
            <w:tcW w:w="721" w:type="pct"/>
            <w:tcBorders>
              <w:top w:val="single" w:sz="8" w:space="0" w:color="auto"/>
              <w:left w:val="nil"/>
              <w:bottom w:val="single" w:sz="4" w:space="0" w:color="auto"/>
              <w:right w:val="single" w:sz="4" w:space="0" w:color="auto"/>
            </w:tcBorders>
            <w:shd w:val="clear" w:color="auto" w:fill="auto"/>
            <w:vAlign w:val="bottom"/>
            <w:hideMark/>
          </w:tcPr>
          <w:p w14:paraId="18747803" w14:textId="270137B6" w:rsidR="00B8253A" w:rsidRPr="00A22ECC" w:rsidRDefault="00AD2DCE" w:rsidP="00AD2DCE">
            <w:pPr>
              <w:pStyle w:val="TableTextRight9pt"/>
            </w:pPr>
            <w:r>
              <w:t>2,203</w:t>
            </w:r>
          </w:p>
        </w:tc>
        <w:tc>
          <w:tcPr>
            <w:tcW w:w="2571" w:type="pct"/>
            <w:tcBorders>
              <w:top w:val="single" w:sz="8" w:space="0" w:color="auto"/>
              <w:left w:val="nil"/>
              <w:bottom w:val="single" w:sz="4" w:space="0" w:color="auto"/>
              <w:right w:val="single" w:sz="8" w:space="0" w:color="auto"/>
            </w:tcBorders>
            <w:shd w:val="clear" w:color="auto" w:fill="auto"/>
            <w:vAlign w:val="bottom"/>
            <w:hideMark/>
          </w:tcPr>
          <w:p w14:paraId="472CBF04" w14:textId="77777777" w:rsidR="00B8253A" w:rsidRPr="00B8253A" w:rsidRDefault="00B8253A" w:rsidP="00A22ECC">
            <w:pPr>
              <w:pStyle w:val="TableTextLeft9pt"/>
            </w:pPr>
            <w:r w:rsidRPr="00B8253A">
              <w:t>From Exhibit 6.1</w:t>
            </w:r>
          </w:p>
        </w:tc>
      </w:tr>
      <w:tr w:rsidR="00B8253A" w:rsidRPr="00B8253A" w14:paraId="27AE6EAF" w14:textId="77777777" w:rsidTr="00E40053">
        <w:tc>
          <w:tcPr>
            <w:tcW w:w="1708" w:type="pct"/>
            <w:tcBorders>
              <w:top w:val="nil"/>
              <w:left w:val="single" w:sz="8" w:space="0" w:color="auto"/>
              <w:bottom w:val="single" w:sz="4" w:space="0" w:color="auto"/>
              <w:right w:val="single" w:sz="4" w:space="0" w:color="auto"/>
            </w:tcBorders>
            <w:shd w:val="clear" w:color="000000" w:fill="CCFFFF"/>
            <w:vAlign w:val="bottom"/>
            <w:hideMark/>
          </w:tcPr>
          <w:p w14:paraId="597CB510" w14:textId="77777777" w:rsidR="00B8253A" w:rsidRPr="00A22ECC" w:rsidRDefault="00B8253A" w:rsidP="00A22ECC">
            <w:pPr>
              <w:pStyle w:val="TableTextLeft9pt"/>
              <w:rPr>
                <w:rStyle w:val="Bold"/>
              </w:rPr>
            </w:pPr>
            <w:r w:rsidRPr="00A22ECC">
              <w:rPr>
                <w:rStyle w:val="Bold"/>
              </w:rPr>
              <w:t>Total Annual Responses</w:t>
            </w:r>
          </w:p>
        </w:tc>
        <w:tc>
          <w:tcPr>
            <w:tcW w:w="721" w:type="pct"/>
            <w:tcBorders>
              <w:top w:val="nil"/>
              <w:left w:val="nil"/>
              <w:bottom w:val="single" w:sz="4" w:space="0" w:color="auto"/>
              <w:right w:val="single" w:sz="4" w:space="0" w:color="auto"/>
            </w:tcBorders>
            <w:shd w:val="clear" w:color="auto" w:fill="auto"/>
            <w:vAlign w:val="bottom"/>
          </w:tcPr>
          <w:p w14:paraId="203B1DA7" w14:textId="79E8ADE4" w:rsidR="00B8253A" w:rsidRPr="00A22ECC" w:rsidRDefault="00AD2DCE" w:rsidP="0073490C">
            <w:pPr>
              <w:pStyle w:val="TableTextRight9pt"/>
            </w:pPr>
            <w:r>
              <w:t>33,411</w:t>
            </w:r>
          </w:p>
        </w:tc>
        <w:tc>
          <w:tcPr>
            <w:tcW w:w="2571" w:type="pct"/>
            <w:tcBorders>
              <w:top w:val="nil"/>
              <w:left w:val="nil"/>
              <w:bottom w:val="single" w:sz="4" w:space="0" w:color="auto"/>
              <w:right w:val="single" w:sz="8" w:space="0" w:color="auto"/>
            </w:tcBorders>
            <w:shd w:val="clear" w:color="auto" w:fill="auto"/>
            <w:vAlign w:val="bottom"/>
            <w:hideMark/>
          </w:tcPr>
          <w:p w14:paraId="16ED464B" w14:textId="77777777" w:rsidR="00B8253A" w:rsidRPr="00B8253A" w:rsidRDefault="00B8253A" w:rsidP="00A22ECC">
            <w:pPr>
              <w:pStyle w:val="TableTextLeft9pt"/>
            </w:pPr>
            <w:r w:rsidRPr="00B8253A">
              <w:t>From Exhibit 6.1</w:t>
            </w:r>
          </w:p>
        </w:tc>
      </w:tr>
      <w:tr w:rsidR="00B8253A" w:rsidRPr="00B8253A" w14:paraId="3D3F4454" w14:textId="77777777" w:rsidTr="00E40053">
        <w:tc>
          <w:tcPr>
            <w:tcW w:w="1708" w:type="pct"/>
            <w:tcBorders>
              <w:top w:val="nil"/>
              <w:left w:val="single" w:sz="8" w:space="0" w:color="auto"/>
              <w:bottom w:val="single" w:sz="4" w:space="0" w:color="auto"/>
              <w:right w:val="single" w:sz="4" w:space="0" w:color="auto"/>
            </w:tcBorders>
            <w:shd w:val="clear" w:color="000000" w:fill="CCFFFF"/>
            <w:vAlign w:val="bottom"/>
            <w:hideMark/>
          </w:tcPr>
          <w:p w14:paraId="69D8F555" w14:textId="77777777" w:rsidR="00B8253A" w:rsidRPr="00A22ECC" w:rsidRDefault="00B8253A" w:rsidP="00A22ECC">
            <w:pPr>
              <w:pStyle w:val="TableTextLeft9pt"/>
              <w:rPr>
                <w:rStyle w:val="Bold"/>
              </w:rPr>
            </w:pPr>
            <w:r w:rsidRPr="00A22ECC">
              <w:rPr>
                <w:rStyle w:val="Bold"/>
              </w:rPr>
              <w:t>Number of Responses per Respondent</w:t>
            </w:r>
          </w:p>
        </w:tc>
        <w:tc>
          <w:tcPr>
            <w:tcW w:w="721" w:type="pct"/>
            <w:tcBorders>
              <w:top w:val="nil"/>
              <w:left w:val="nil"/>
              <w:bottom w:val="single" w:sz="4" w:space="0" w:color="auto"/>
              <w:right w:val="single" w:sz="4" w:space="0" w:color="auto"/>
            </w:tcBorders>
            <w:shd w:val="clear" w:color="auto" w:fill="auto"/>
            <w:vAlign w:val="bottom"/>
          </w:tcPr>
          <w:p w14:paraId="43489BD7" w14:textId="773990DC" w:rsidR="00B8253A" w:rsidRPr="00A22ECC" w:rsidRDefault="00B01B51" w:rsidP="00AD2DCE">
            <w:pPr>
              <w:pStyle w:val="TableTextRight9pt"/>
            </w:pPr>
            <w:r w:rsidRPr="00A22ECC">
              <w:t>1</w:t>
            </w:r>
            <w:r w:rsidR="00E66BE8">
              <w:t>5</w:t>
            </w:r>
            <w:r w:rsidR="00AD2DCE">
              <w:t>.2</w:t>
            </w:r>
          </w:p>
        </w:tc>
        <w:tc>
          <w:tcPr>
            <w:tcW w:w="2571" w:type="pct"/>
            <w:tcBorders>
              <w:top w:val="nil"/>
              <w:left w:val="nil"/>
              <w:bottom w:val="single" w:sz="4" w:space="0" w:color="auto"/>
              <w:right w:val="single" w:sz="8" w:space="0" w:color="auto"/>
            </w:tcBorders>
            <w:shd w:val="clear" w:color="auto" w:fill="auto"/>
            <w:noWrap/>
            <w:vAlign w:val="bottom"/>
            <w:hideMark/>
          </w:tcPr>
          <w:p w14:paraId="538F5867" w14:textId="77777777" w:rsidR="00B8253A" w:rsidRPr="00B8253A" w:rsidRDefault="00B8253A" w:rsidP="00A22ECC">
            <w:pPr>
              <w:pStyle w:val="TableTextLeft9pt"/>
            </w:pPr>
            <w:r w:rsidRPr="00B8253A">
              <w:t>Total annual responses from above ÷ Total respondents from above</w:t>
            </w:r>
          </w:p>
        </w:tc>
      </w:tr>
      <w:tr w:rsidR="00B8253A" w:rsidRPr="00B8253A" w14:paraId="1D3CA1B6" w14:textId="77777777" w:rsidTr="00E40053">
        <w:tc>
          <w:tcPr>
            <w:tcW w:w="1708" w:type="pct"/>
            <w:tcBorders>
              <w:top w:val="nil"/>
              <w:left w:val="single" w:sz="8" w:space="0" w:color="auto"/>
              <w:bottom w:val="single" w:sz="4" w:space="0" w:color="auto"/>
              <w:right w:val="single" w:sz="4" w:space="0" w:color="auto"/>
            </w:tcBorders>
            <w:shd w:val="clear" w:color="000000" w:fill="CCFFFF"/>
            <w:vAlign w:val="bottom"/>
            <w:hideMark/>
          </w:tcPr>
          <w:p w14:paraId="3F2D2D59" w14:textId="77777777" w:rsidR="00B8253A" w:rsidRPr="00A22ECC" w:rsidRDefault="00B8253A" w:rsidP="00A22ECC">
            <w:pPr>
              <w:pStyle w:val="TableTextLeft9pt"/>
              <w:rPr>
                <w:rStyle w:val="Bold"/>
              </w:rPr>
            </w:pPr>
            <w:r w:rsidRPr="00A22ECC">
              <w:rPr>
                <w:rStyle w:val="Bold"/>
              </w:rPr>
              <w:t>Total Respondent Hours</w:t>
            </w:r>
          </w:p>
        </w:tc>
        <w:tc>
          <w:tcPr>
            <w:tcW w:w="721" w:type="pct"/>
            <w:tcBorders>
              <w:top w:val="nil"/>
              <w:left w:val="nil"/>
              <w:bottom w:val="single" w:sz="4" w:space="0" w:color="auto"/>
              <w:right w:val="single" w:sz="4" w:space="0" w:color="auto"/>
            </w:tcBorders>
            <w:shd w:val="clear" w:color="auto" w:fill="auto"/>
            <w:vAlign w:val="bottom"/>
          </w:tcPr>
          <w:p w14:paraId="43317936" w14:textId="60A9CB14" w:rsidR="00B8253A" w:rsidRPr="00A22ECC" w:rsidRDefault="00125FC3" w:rsidP="0073490C">
            <w:pPr>
              <w:pStyle w:val="TableTextRight9pt"/>
            </w:pPr>
            <w:r>
              <w:t>183,523</w:t>
            </w:r>
          </w:p>
        </w:tc>
        <w:tc>
          <w:tcPr>
            <w:tcW w:w="2571" w:type="pct"/>
            <w:tcBorders>
              <w:top w:val="nil"/>
              <w:left w:val="nil"/>
              <w:bottom w:val="single" w:sz="4" w:space="0" w:color="auto"/>
              <w:right w:val="single" w:sz="8" w:space="0" w:color="auto"/>
            </w:tcBorders>
            <w:shd w:val="clear" w:color="auto" w:fill="auto"/>
            <w:vAlign w:val="bottom"/>
            <w:hideMark/>
          </w:tcPr>
          <w:p w14:paraId="5C03EA34" w14:textId="77777777" w:rsidR="00B8253A" w:rsidRPr="00B8253A" w:rsidRDefault="00B8253A" w:rsidP="00A22ECC">
            <w:pPr>
              <w:pStyle w:val="TableTextLeft9pt"/>
            </w:pPr>
            <w:r w:rsidRPr="00B8253A">
              <w:t>From Exhibit 6.1</w:t>
            </w:r>
          </w:p>
        </w:tc>
      </w:tr>
      <w:tr w:rsidR="00B8253A" w:rsidRPr="00B8253A" w14:paraId="66B54CA4" w14:textId="77777777" w:rsidTr="00E40053">
        <w:tc>
          <w:tcPr>
            <w:tcW w:w="1708" w:type="pct"/>
            <w:tcBorders>
              <w:top w:val="nil"/>
              <w:left w:val="single" w:sz="8" w:space="0" w:color="auto"/>
              <w:bottom w:val="single" w:sz="4" w:space="0" w:color="auto"/>
              <w:right w:val="single" w:sz="4" w:space="0" w:color="auto"/>
            </w:tcBorders>
            <w:shd w:val="clear" w:color="000000" w:fill="CCFFFF"/>
            <w:vAlign w:val="bottom"/>
            <w:hideMark/>
          </w:tcPr>
          <w:p w14:paraId="3A148E45" w14:textId="113E104D" w:rsidR="00B8253A" w:rsidRPr="00A22ECC" w:rsidRDefault="00B8253A" w:rsidP="00753CDA">
            <w:pPr>
              <w:pStyle w:val="TableTextLeft9pt"/>
              <w:rPr>
                <w:rStyle w:val="Bold"/>
              </w:rPr>
            </w:pPr>
            <w:r w:rsidRPr="00A22ECC">
              <w:rPr>
                <w:rStyle w:val="Bold"/>
              </w:rPr>
              <w:t>Hours per Respon</w:t>
            </w:r>
            <w:r w:rsidR="00753CDA">
              <w:rPr>
                <w:rStyle w:val="Bold"/>
              </w:rPr>
              <w:t>dent</w:t>
            </w:r>
          </w:p>
        </w:tc>
        <w:tc>
          <w:tcPr>
            <w:tcW w:w="721" w:type="pct"/>
            <w:tcBorders>
              <w:top w:val="nil"/>
              <w:left w:val="nil"/>
              <w:bottom w:val="single" w:sz="4" w:space="0" w:color="auto"/>
              <w:right w:val="single" w:sz="4" w:space="0" w:color="auto"/>
            </w:tcBorders>
            <w:shd w:val="clear" w:color="auto" w:fill="auto"/>
            <w:vAlign w:val="bottom"/>
          </w:tcPr>
          <w:p w14:paraId="41A2CE06" w14:textId="06C8F50B" w:rsidR="00B8253A" w:rsidRPr="00A22ECC" w:rsidRDefault="00125FC3" w:rsidP="00125FC3">
            <w:pPr>
              <w:pStyle w:val="TableTextRight9pt"/>
            </w:pPr>
            <w:r>
              <w:t>83.3</w:t>
            </w:r>
          </w:p>
        </w:tc>
        <w:tc>
          <w:tcPr>
            <w:tcW w:w="2571" w:type="pct"/>
            <w:tcBorders>
              <w:top w:val="nil"/>
              <w:left w:val="nil"/>
              <w:bottom w:val="single" w:sz="4" w:space="0" w:color="auto"/>
              <w:right w:val="single" w:sz="8" w:space="0" w:color="auto"/>
            </w:tcBorders>
            <w:shd w:val="clear" w:color="auto" w:fill="auto"/>
            <w:vAlign w:val="bottom"/>
            <w:hideMark/>
          </w:tcPr>
          <w:p w14:paraId="1DC697AB" w14:textId="77777777" w:rsidR="00B8253A" w:rsidRPr="00B8253A" w:rsidRDefault="00B8253A" w:rsidP="00A22ECC">
            <w:pPr>
              <w:pStyle w:val="TableTextLeft9pt"/>
            </w:pPr>
            <w:r w:rsidRPr="00B8253A">
              <w:t>Total annual hours from above ÷ Total respondents from above</w:t>
            </w:r>
          </w:p>
        </w:tc>
      </w:tr>
      <w:tr w:rsidR="00125FC3" w:rsidRPr="00B8253A" w14:paraId="19BBCD56" w14:textId="77777777" w:rsidTr="00E40053">
        <w:tc>
          <w:tcPr>
            <w:tcW w:w="1708" w:type="pct"/>
            <w:tcBorders>
              <w:top w:val="nil"/>
              <w:left w:val="single" w:sz="8" w:space="0" w:color="auto"/>
              <w:bottom w:val="single" w:sz="4" w:space="0" w:color="auto"/>
              <w:right w:val="single" w:sz="4" w:space="0" w:color="auto"/>
            </w:tcBorders>
            <w:shd w:val="clear" w:color="000000" w:fill="CCFFFF"/>
            <w:vAlign w:val="bottom"/>
          </w:tcPr>
          <w:p w14:paraId="0B5562AF" w14:textId="54C10A19" w:rsidR="00125FC3" w:rsidRPr="00A22ECC" w:rsidRDefault="00125FC3" w:rsidP="00125FC3">
            <w:pPr>
              <w:pStyle w:val="TableTextLeft9pt"/>
              <w:rPr>
                <w:rStyle w:val="Bold"/>
              </w:rPr>
            </w:pPr>
            <w:r>
              <w:rPr>
                <w:rStyle w:val="Bold"/>
              </w:rPr>
              <w:t>Annual Labor Cost</w:t>
            </w:r>
          </w:p>
        </w:tc>
        <w:tc>
          <w:tcPr>
            <w:tcW w:w="721" w:type="pct"/>
            <w:tcBorders>
              <w:top w:val="nil"/>
              <w:left w:val="nil"/>
              <w:bottom w:val="single" w:sz="4" w:space="0" w:color="auto"/>
              <w:right w:val="single" w:sz="4" w:space="0" w:color="auto"/>
            </w:tcBorders>
            <w:shd w:val="clear" w:color="auto" w:fill="auto"/>
            <w:vAlign w:val="bottom"/>
          </w:tcPr>
          <w:p w14:paraId="65B7883F" w14:textId="0CAD4138" w:rsidR="00125FC3" w:rsidRDefault="00125FC3" w:rsidP="00125FC3">
            <w:pPr>
              <w:pStyle w:val="TableTextRight9pt"/>
            </w:pPr>
            <w:r>
              <w:t>$18,627,939</w:t>
            </w:r>
          </w:p>
        </w:tc>
        <w:tc>
          <w:tcPr>
            <w:tcW w:w="2571" w:type="pct"/>
            <w:tcBorders>
              <w:top w:val="nil"/>
              <w:left w:val="nil"/>
              <w:bottom w:val="single" w:sz="4" w:space="0" w:color="auto"/>
              <w:right w:val="single" w:sz="8" w:space="0" w:color="auto"/>
            </w:tcBorders>
            <w:shd w:val="clear" w:color="auto" w:fill="auto"/>
            <w:vAlign w:val="bottom"/>
          </w:tcPr>
          <w:p w14:paraId="4CF2CD53" w14:textId="6E455402" w:rsidR="00125FC3" w:rsidRPr="00B8253A" w:rsidRDefault="00125FC3" w:rsidP="00125FC3">
            <w:pPr>
              <w:pStyle w:val="TableTextLeft9pt"/>
            </w:pPr>
            <w:r w:rsidRPr="00B8253A">
              <w:t>From Exhibit 6.1</w:t>
            </w:r>
          </w:p>
        </w:tc>
      </w:tr>
      <w:tr w:rsidR="00125FC3" w:rsidRPr="00B8253A" w14:paraId="39904393" w14:textId="77777777" w:rsidTr="00E40053">
        <w:tc>
          <w:tcPr>
            <w:tcW w:w="1708" w:type="pct"/>
            <w:tcBorders>
              <w:top w:val="nil"/>
              <w:left w:val="single" w:sz="8" w:space="0" w:color="auto"/>
              <w:bottom w:val="single" w:sz="4" w:space="0" w:color="auto"/>
              <w:right w:val="single" w:sz="4" w:space="0" w:color="auto"/>
            </w:tcBorders>
            <w:shd w:val="clear" w:color="000000" w:fill="CCFFFF"/>
            <w:vAlign w:val="bottom"/>
            <w:hideMark/>
          </w:tcPr>
          <w:p w14:paraId="544A2165" w14:textId="77777777" w:rsidR="00125FC3" w:rsidRPr="00A22ECC" w:rsidRDefault="00125FC3" w:rsidP="00125FC3">
            <w:pPr>
              <w:pStyle w:val="TableTextLeft9pt"/>
              <w:rPr>
                <w:rStyle w:val="Bold"/>
              </w:rPr>
            </w:pPr>
            <w:r w:rsidRPr="00A22ECC">
              <w:rPr>
                <w:rStyle w:val="Bold"/>
              </w:rPr>
              <w:t xml:space="preserve">Annual O&amp;M and Capital Cost </w:t>
            </w:r>
          </w:p>
        </w:tc>
        <w:tc>
          <w:tcPr>
            <w:tcW w:w="721" w:type="pct"/>
            <w:tcBorders>
              <w:top w:val="nil"/>
              <w:left w:val="nil"/>
              <w:bottom w:val="single" w:sz="4" w:space="0" w:color="auto"/>
              <w:right w:val="single" w:sz="4" w:space="0" w:color="auto"/>
            </w:tcBorders>
            <w:shd w:val="clear" w:color="auto" w:fill="auto"/>
            <w:vAlign w:val="bottom"/>
          </w:tcPr>
          <w:p w14:paraId="3AEFF629" w14:textId="7EE2C31C" w:rsidR="00125FC3" w:rsidRPr="00A22ECC" w:rsidRDefault="00125FC3" w:rsidP="00125FC3">
            <w:pPr>
              <w:pStyle w:val="TableTextRight9pt"/>
            </w:pPr>
            <w:r>
              <w:t>$9,502,594</w:t>
            </w:r>
          </w:p>
        </w:tc>
        <w:tc>
          <w:tcPr>
            <w:tcW w:w="2571" w:type="pct"/>
            <w:tcBorders>
              <w:top w:val="nil"/>
              <w:left w:val="nil"/>
              <w:bottom w:val="single" w:sz="4" w:space="0" w:color="auto"/>
              <w:right w:val="single" w:sz="8" w:space="0" w:color="auto"/>
            </w:tcBorders>
            <w:shd w:val="clear" w:color="auto" w:fill="auto"/>
            <w:vAlign w:val="bottom"/>
            <w:hideMark/>
          </w:tcPr>
          <w:p w14:paraId="22C34DE6" w14:textId="77777777" w:rsidR="00125FC3" w:rsidRPr="00B8253A" w:rsidRDefault="00125FC3" w:rsidP="00125FC3">
            <w:pPr>
              <w:pStyle w:val="TableTextLeft9pt"/>
            </w:pPr>
            <w:r w:rsidRPr="00B8253A">
              <w:t>From Exhibit 6.1</w:t>
            </w:r>
          </w:p>
        </w:tc>
      </w:tr>
      <w:tr w:rsidR="00125FC3" w:rsidRPr="00B8253A" w14:paraId="4908DF51" w14:textId="77777777" w:rsidTr="00E40053">
        <w:tc>
          <w:tcPr>
            <w:tcW w:w="1708" w:type="pct"/>
            <w:tcBorders>
              <w:top w:val="nil"/>
              <w:left w:val="single" w:sz="8" w:space="0" w:color="auto"/>
              <w:bottom w:val="single" w:sz="4" w:space="0" w:color="auto"/>
              <w:right w:val="single" w:sz="4" w:space="0" w:color="auto"/>
            </w:tcBorders>
            <w:shd w:val="clear" w:color="000000" w:fill="CCFFFF"/>
            <w:vAlign w:val="bottom"/>
            <w:hideMark/>
          </w:tcPr>
          <w:p w14:paraId="6E7D4221" w14:textId="77777777" w:rsidR="00125FC3" w:rsidRPr="00A22ECC" w:rsidRDefault="00125FC3" w:rsidP="00125FC3">
            <w:pPr>
              <w:pStyle w:val="TableTextLeft9pt"/>
              <w:rPr>
                <w:rStyle w:val="Bold"/>
              </w:rPr>
            </w:pPr>
            <w:r w:rsidRPr="00A22ECC">
              <w:rPr>
                <w:rStyle w:val="Bold"/>
              </w:rPr>
              <w:t>Total Respondent Cost (labor + non)</w:t>
            </w:r>
          </w:p>
        </w:tc>
        <w:tc>
          <w:tcPr>
            <w:tcW w:w="721" w:type="pct"/>
            <w:tcBorders>
              <w:top w:val="nil"/>
              <w:left w:val="nil"/>
              <w:bottom w:val="single" w:sz="4" w:space="0" w:color="auto"/>
              <w:right w:val="single" w:sz="4" w:space="0" w:color="auto"/>
            </w:tcBorders>
            <w:shd w:val="clear" w:color="auto" w:fill="auto"/>
            <w:vAlign w:val="bottom"/>
          </w:tcPr>
          <w:p w14:paraId="565EE320" w14:textId="364D0C97" w:rsidR="00125FC3" w:rsidRPr="00A22ECC" w:rsidRDefault="00125FC3" w:rsidP="00125FC3">
            <w:pPr>
              <w:pStyle w:val="TableTextRight9pt"/>
            </w:pPr>
            <w:r>
              <w:t>$</w:t>
            </w:r>
            <w:r w:rsidRPr="00A22ECC">
              <w:t>2</w:t>
            </w:r>
            <w:r>
              <w:t>8,130,534</w:t>
            </w:r>
          </w:p>
        </w:tc>
        <w:tc>
          <w:tcPr>
            <w:tcW w:w="2571" w:type="pct"/>
            <w:tcBorders>
              <w:top w:val="nil"/>
              <w:left w:val="nil"/>
              <w:bottom w:val="single" w:sz="4" w:space="0" w:color="auto"/>
              <w:right w:val="single" w:sz="8" w:space="0" w:color="auto"/>
            </w:tcBorders>
            <w:shd w:val="clear" w:color="auto" w:fill="auto"/>
            <w:vAlign w:val="bottom"/>
          </w:tcPr>
          <w:p w14:paraId="113C1546" w14:textId="3F111426" w:rsidR="00125FC3" w:rsidRPr="00B8253A" w:rsidRDefault="00125FC3" w:rsidP="00125FC3">
            <w:pPr>
              <w:pStyle w:val="TableTextLeft9pt"/>
            </w:pPr>
            <w:r w:rsidRPr="00B8253A">
              <w:t>From Exhibit 6.1</w:t>
            </w:r>
          </w:p>
        </w:tc>
      </w:tr>
      <w:tr w:rsidR="00125FC3" w:rsidRPr="00B8253A" w14:paraId="0E01DEC4" w14:textId="77777777" w:rsidTr="00E40053">
        <w:tc>
          <w:tcPr>
            <w:tcW w:w="1708" w:type="pct"/>
            <w:tcBorders>
              <w:top w:val="nil"/>
              <w:left w:val="single" w:sz="8" w:space="0" w:color="auto"/>
              <w:bottom w:val="single" w:sz="4" w:space="0" w:color="auto"/>
              <w:right w:val="single" w:sz="4" w:space="0" w:color="auto"/>
            </w:tcBorders>
            <w:shd w:val="clear" w:color="000000" w:fill="CCFFFF"/>
            <w:vAlign w:val="bottom"/>
          </w:tcPr>
          <w:p w14:paraId="6FBA2DA5" w14:textId="0E89D696" w:rsidR="00125FC3" w:rsidRPr="00A22ECC" w:rsidRDefault="00125FC3" w:rsidP="00125FC3">
            <w:pPr>
              <w:pStyle w:val="TableTextLeft9pt"/>
              <w:rPr>
                <w:rStyle w:val="Bold"/>
              </w:rPr>
            </w:pPr>
            <w:r>
              <w:rPr>
                <w:rStyle w:val="Bold"/>
              </w:rPr>
              <w:t>Total Agency Hours</w:t>
            </w:r>
          </w:p>
        </w:tc>
        <w:tc>
          <w:tcPr>
            <w:tcW w:w="721" w:type="pct"/>
            <w:tcBorders>
              <w:top w:val="nil"/>
              <w:left w:val="nil"/>
              <w:bottom w:val="single" w:sz="4" w:space="0" w:color="auto"/>
              <w:right w:val="single" w:sz="4" w:space="0" w:color="auto"/>
            </w:tcBorders>
            <w:shd w:val="clear" w:color="auto" w:fill="auto"/>
            <w:vAlign w:val="bottom"/>
          </w:tcPr>
          <w:p w14:paraId="5475FB17" w14:textId="05C8AAEF" w:rsidR="00125FC3" w:rsidRPr="00A22ECC" w:rsidRDefault="00125FC3" w:rsidP="00125FC3">
            <w:pPr>
              <w:pStyle w:val="TableTextRight9pt"/>
            </w:pPr>
            <w:r>
              <w:t>10,400</w:t>
            </w:r>
          </w:p>
        </w:tc>
        <w:tc>
          <w:tcPr>
            <w:tcW w:w="2571" w:type="pct"/>
            <w:tcBorders>
              <w:top w:val="nil"/>
              <w:left w:val="nil"/>
              <w:bottom w:val="single" w:sz="4" w:space="0" w:color="auto"/>
              <w:right w:val="single" w:sz="8" w:space="0" w:color="auto"/>
            </w:tcBorders>
            <w:shd w:val="clear" w:color="auto" w:fill="auto"/>
            <w:vAlign w:val="bottom"/>
          </w:tcPr>
          <w:p w14:paraId="4D2E8DC7" w14:textId="04E98B18" w:rsidR="00125FC3" w:rsidRPr="00B8253A" w:rsidRDefault="00125FC3" w:rsidP="00125FC3">
            <w:pPr>
              <w:pStyle w:val="TableTextLeft9pt"/>
            </w:pPr>
            <w:r w:rsidRPr="00B8253A">
              <w:t>From Exhibit 6.</w:t>
            </w:r>
            <w:r>
              <w:t>3</w:t>
            </w:r>
          </w:p>
        </w:tc>
      </w:tr>
      <w:tr w:rsidR="00125FC3" w:rsidRPr="00B8253A" w14:paraId="3D40F2D2" w14:textId="77777777" w:rsidTr="00E40053">
        <w:tc>
          <w:tcPr>
            <w:tcW w:w="1708" w:type="pct"/>
            <w:tcBorders>
              <w:top w:val="nil"/>
              <w:left w:val="single" w:sz="8" w:space="0" w:color="auto"/>
              <w:bottom w:val="single" w:sz="4" w:space="0" w:color="auto"/>
              <w:right w:val="single" w:sz="4" w:space="0" w:color="auto"/>
            </w:tcBorders>
            <w:shd w:val="clear" w:color="000000" w:fill="CCFFFF"/>
            <w:vAlign w:val="bottom"/>
          </w:tcPr>
          <w:p w14:paraId="0E54309C" w14:textId="7FB03023" w:rsidR="00125FC3" w:rsidRPr="00A22ECC" w:rsidRDefault="00125FC3" w:rsidP="00125FC3">
            <w:pPr>
              <w:pStyle w:val="TableTextLeft9pt"/>
              <w:rPr>
                <w:rStyle w:val="Bold"/>
              </w:rPr>
            </w:pPr>
            <w:r>
              <w:rPr>
                <w:rStyle w:val="Bold"/>
              </w:rPr>
              <w:t>Total Agency Costs</w:t>
            </w:r>
          </w:p>
        </w:tc>
        <w:tc>
          <w:tcPr>
            <w:tcW w:w="721" w:type="pct"/>
            <w:tcBorders>
              <w:top w:val="nil"/>
              <w:left w:val="nil"/>
              <w:bottom w:val="single" w:sz="4" w:space="0" w:color="auto"/>
              <w:right w:val="single" w:sz="4" w:space="0" w:color="auto"/>
            </w:tcBorders>
            <w:shd w:val="clear" w:color="auto" w:fill="auto"/>
            <w:vAlign w:val="bottom"/>
          </w:tcPr>
          <w:p w14:paraId="4ED98412" w14:textId="2F3AC891" w:rsidR="00125FC3" w:rsidRPr="00A22ECC" w:rsidRDefault="00125FC3" w:rsidP="00193443">
            <w:pPr>
              <w:pStyle w:val="TableTextRight9pt"/>
            </w:pPr>
            <w:r>
              <w:t>$555,</w:t>
            </w:r>
            <w:r w:rsidR="00193443">
              <w:t>610</w:t>
            </w:r>
          </w:p>
        </w:tc>
        <w:tc>
          <w:tcPr>
            <w:tcW w:w="2571" w:type="pct"/>
            <w:tcBorders>
              <w:top w:val="nil"/>
              <w:left w:val="nil"/>
              <w:bottom w:val="single" w:sz="4" w:space="0" w:color="auto"/>
              <w:right w:val="single" w:sz="8" w:space="0" w:color="auto"/>
            </w:tcBorders>
            <w:shd w:val="clear" w:color="auto" w:fill="auto"/>
            <w:vAlign w:val="bottom"/>
          </w:tcPr>
          <w:p w14:paraId="09AC979C" w14:textId="0F1ECF8C" w:rsidR="00125FC3" w:rsidRPr="00B8253A" w:rsidRDefault="00125FC3" w:rsidP="00125FC3">
            <w:pPr>
              <w:pStyle w:val="TableTextLeft9pt"/>
            </w:pPr>
            <w:r w:rsidRPr="00B8253A">
              <w:t>From Exhibit 6.</w:t>
            </w:r>
            <w:r>
              <w:t>3</w:t>
            </w:r>
          </w:p>
        </w:tc>
      </w:tr>
      <w:tr w:rsidR="00125FC3" w:rsidRPr="00B8253A" w14:paraId="60729C3A" w14:textId="77777777" w:rsidTr="00E40053">
        <w:tc>
          <w:tcPr>
            <w:tcW w:w="1708" w:type="pct"/>
            <w:tcBorders>
              <w:top w:val="nil"/>
              <w:left w:val="single" w:sz="8" w:space="0" w:color="auto"/>
              <w:bottom w:val="single" w:sz="4" w:space="0" w:color="auto"/>
              <w:right w:val="single" w:sz="4" w:space="0" w:color="auto"/>
            </w:tcBorders>
            <w:shd w:val="clear" w:color="000000" w:fill="CCFFFF"/>
            <w:vAlign w:val="bottom"/>
            <w:hideMark/>
          </w:tcPr>
          <w:p w14:paraId="746C0BCD" w14:textId="77777777" w:rsidR="00125FC3" w:rsidRPr="00A22ECC" w:rsidRDefault="00125FC3" w:rsidP="00125FC3">
            <w:pPr>
              <w:pStyle w:val="TableTextLeft9pt"/>
              <w:rPr>
                <w:rStyle w:val="Bold"/>
              </w:rPr>
            </w:pPr>
            <w:r w:rsidRPr="00A22ECC">
              <w:rPr>
                <w:rStyle w:val="Bold"/>
              </w:rPr>
              <w:t>Total Hours (Respondents and Agency)</w:t>
            </w:r>
          </w:p>
        </w:tc>
        <w:tc>
          <w:tcPr>
            <w:tcW w:w="721" w:type="pct"/>
            <w:tcBorders>
              <w:top w:val="nil"/>
              <w:left w:val="nil"/>
              <w:bottom w:val="single" w:sz="4" w:space="0" w:color="auto"/>
              <w:right w:val="single" w:sz="4" w:space="0" w:color="auto"/>
            </w:tcBorders>
            <w:shd w:val="clear" w:color="auto" w:fill="auto"/>
            <w:vAlign w:val="bottom"/>
          </w:tcPr>
          <w:p w14:paraId="700DAE75" w14:textId="0D3EB8F2" w:rsidR="00125FC3" w:rsidRPr="00A22ECC" w:rsidRDefault="00125FC3" w:rsidP="00125FC3">
            <w:pPr>
              <w:pStyle w:val="TableTextRight9pt"/>
            </w:pPr>
            <w:r>
              <w:t>193,923</w:t>
            </w:r>
          </w:p>
        </w:tc>
        <w:tc>
          <w:tcPr>
            <w:tcW w:w="2571" w:type="pct"/>
            <w:tcBorders>
              <w:top w:val="nil"/>
              <w:left w:val="nil"/>
              <w:bottom w:val="single" w:sz="4" w:space="0" w:color="auto"/>
              <w:right w:val="single" w:sz="8" w:space="0" w:color="auto"/>
            </w:tcBorders>
            <w:shd w:val="clear" w:color="auto" w:fill="auto"/>
            <w:vAlign w:val="bottom"/>
            <w:hideMark/>
          </w:tcPr>
          <w:p w14:paraId="57EAA96D" w14:textId="77777777" w:rsidR="00125FC3" w:rsidRPr="00B8253A" w:rsidRDefault="00125FC3" w:rsidP="00125FC3">
            <w:pPr>
              <w:pStyle w:val="TableTextLeft9pt"/>
            </w:pPr>
            <w:r w:rsidRPr="00B8253A">
              <w:t>Total respondent hours from above + Total EPA hours</w:t>
            </w:r>
          </w:p>
        </w:tc>
      </w:tr>
      <w:tr w:rsidR="00125FC3" w:rsidRPr="00B8253A" w14:paraId="6EF00C82" w14:textId="77777777" w:rsidTr="00E40053">
        <w:tc>
          <w:tcPr>
            <w:tcW w:w="1708" w:type="pct"/>
            <w:tcBorders>
              <w:top w:val="nil"/>
              <w:left w:val="single" w:sz="8" w:space="0" w:color="auto"/>
              <w:bottom w:val="single" w:sz="8" w:space="0" w:color="auto"/>
              <w:right w:val="single" w:sz="4" w:space="0" w:color="auto"/>
            </w:tcBorders>
            <w:shd w:val="clear" w:color="000000" w:fill="CCFFFF"/>
            <w:vAlign w:val="bottom"/>
            <w:hideMark/>
          </w:tcPr>
          <w:p w14:paraId="27E050E9" w14:textId="77777777" w:rsidR="00125FC3" w:rsidRPr="00A22ECC" w:rsidRDefault="00125FC3" w:rsidP="00125FC3">
            <w:pPr>
              <w:pStyle w:val="TableTextLeft9pt"/>
              <w:rPr>
                <w:rStyle w:val="Bold"/>
              </w:rPr>
            </w:pPr>
            <w:r w:rsidRPr="00A22ECC">
              <w:rPr>
                <w:rStyle w:val="Bold"/>
              </w:rPr>
              <w:t>Total Cost (Respondents and Agency)</w:t>
            </w:r>
          </w:p>
        </w:tc>
        <w:tc>
          <w:tcPr>
            <w:tcW w:w="721" w:type="pct"/>
            <w:tcBorders>
              <w:top w:val="nil"/>
              <w:left w:val="nil"/>
              <w:bottom w:val="single" w:sz="8" w:space="0" w:color="auto"/>
              <w:right w:val="single" w:sz="4" w:space="0" w:color="auto"/>
            </w:tcBorders>
            <w:shd w:val="clear" w:color="auto" w:fill="auto"/>
            <w:vAlign w:val="bottom"/>
          </w:tcPr>
          <w:p w14:paraId="638CCD70" w14:textId="7D2D29A1" w:rsidR="00125FC3" w:rsidRPr="00A22ECC" w:rsidRDefault="00125FC3" w:rsidP="00193443">
            <w:pPr>
              <w:pStyle w:val="TableTextRight9pt"/>
            </w:pPr>
            <w:r>
              <w:t>$28,686,1</w:t>
            </w:r>
            <w:r w:rsidR="00193443">
              <w:t>43</w:t>
            </w:r>
          </w:p>
        </w:tc>
        <w:tc>
          <w:tcPr>
            <w:tcW w:w="2571" w:type="pct"/>
            <w:tcBorders>
              <w:top w:val="nil"/>
              <w:left w:val="nil"/>
              <w:bottom w:val="single" w:sz="8" w:space="0" w:color="auto"/>
              <w:right w:val="single" w:sz="8" w:space="0" w:color="auto"/>
            </w:tcBorders>
            <w:shd w:val="clear" w:color="auto" w:fill="auto"/>
            <w:vAlign w:val="bottom"/>
            <w:hideMark/>
          </w:tcPr>
          <w:p w14:paraId="2BB236E0" w14:textId="77777777" w:rsidR="00125FC3" w:rsidRPr="00B8253A" w:rsidRDefault="00125FC3" w:rsidP="00125FC3">
            <w:pPr>
              <w:pStyle w:val="TableTextLeft9pt"/>
            </w:pPr>
            <w:r w:rsidRPr="00B8253A">
              <w:t>Total respondent cost from above + Total EPA costs</w:t>
            </w:r>
          </w:p>
        </w:tc>
      </w:tr>
    </w:tbl>
    <w:p w14:paraId="0A1CCEF7" w14:textId="77777777" w:rsidR="00390005" w:rsidRDefault="00390005" w:rsidP="00A22ECC">
      <w:pPr>
        <w:pStyle w:val="TableFootnote9pt"/>
      </w:pPr>
      <w:r w:rsidRPr="00B8253A">
        <w:t>Note: Detail may not add exactly to total due to independent rounding.</w:t>
      </w:r>
    </w:p>
    <w:p w14:paraId="4588EA56" w14:textId="77777777" w:rsidR="008307EC" w:rsidRPr="00A22ECC" w:rsidRDefault="00E61789" w:rsidP="00A22ECC">
      <w:pPr>
        <w:pStyle w:val="SectionSubheading"/>
        <w:rPr>
          <w:rFonts w:eastAsia="PMingLiU" w:hint="eastAsia"/>
        </w:rPr>
      </w:pPr>
      <w:r w:rsidRPr="00A22ECC">
        <w:rPr>
          <w:rFonts w:eastAsia="PMingLiU"/>
        </w:rPr>
        <w:t>6</w:t>
      </w:r>
      <w:r w:rsidR="008307EC" w:rsidRPr="00A22ECC">
        <w:rPr>
          <w:rFonts w:eastAsia="PMingLiU"/>
        </w:rPr>
        <w:t>(</w:t>
      </w:r>
      <w:r w:rsidR="009230F1" w:rsidRPr="00A22ECC">
        <w:rPr>
          <w:rFonts w:eastAsia="PMingLiU"/>
        </w:rPr>
        <w:t>f)</w:t>
      </w:r>
      <w:r w:rsidR="009230F1" w:rsidRPr="00A22ECC">
        <w:rPr>
          <w:rFonts w:eastAsia="PMingLiU"/>
        </w:rPr>
        <w:tab/>
        <w:t>Reasons for Change in Burden</w:t>
      </w:r>
    </w:p>
    <w:p w14:paraId="0834CE9B" w14:textId="48A30637" w:rsidR="00C57A73" w:rsidRDefault="00390005" w:rsidP="0026570B">
      <w:pPr>
        <w:pStyle w:val="Paragraph"/>
      </w:pPr>
      <w:r>
        <w:t xml:space="preserve">This rule </w:t>
      </w:r>
      <w:r w:rsidR="0026570B">
        <w:t xml:space="preserve">would </w:t>
      </w:r>
      <w:r>
        <w:t xml:space="preserve">result in an overall increase in </w:t>
      </w:r>
      <w:r w:rsidRPr="00753CDA">
        <w:t xml:space="preserve">annual burden of </w:t>
      </w:r>
      <w:r w:rsidR="00125FC3">
        <w:t>502</w:t>
      </w:r>
      <w:r w:rsidR="004E2D3F" w:rsidRPr="008356A9">
        <w:t xml:space="preserve"> </w:t>
      </w:r>
      <w:r w:rsidRPr="008356A9">
        <w:t xml:space="preserve">hours and </w:t>
      </w:r>
      <w:r w:rsidR="00496501">
        <w:t xml:space="preserve">approximately </w:t>
      </w:r>
      <w:r w:rsidRPr="008356A9">
        <w:t>$</w:t>
      </w:r>
      <w:r w:rsidR="00125FC3">
        <w:t>50,000</w:t>
      </w:r>
      <w:r w:rsidRPr="003550CC">
        <w:t xml:space="preserve">. </w:t>
      </w:r>
      <w:r w:rsidR="00C57A73">
        <w:t xml:space="preserve">These </w:t>
      </w:r>
      <w:r w:rsidR="0054450A">
        <w:t xml:space="preserve">proposed </w:t>
      </w:r>
      <w:r w:rsidR="00C57A73">
        <w:t>amendments</w:t>
      </w:r>
      <w:r w:rsidRPr="003550CC">
        <w:t xml:space="preserve"> </w:t>
      </w:r>
      <w:r w:rsidR="0054450A">
        <w:t xml:space="preserve">would </w:t>
      </w:r>
      <w:r w:rsidRPr="003550CC">
        <w:t>impose a</w:t>
      </w:r>
      <w:r w:rsidR="004A0D2F" w:rsidRPr="003550CC">
        <w:t>n</w:t>
      </w:r>
      <w:r w:rsidRPr="003550CC">
        <w:t xml:space="preserve"> increase in burden and</w:t>
      </w:r>
      <w:r>
        <w:t xml:space="preserve"> costs due to </w:t>
      </w:r>
      <w:r w:rsidR="00766D4D">
        <w:t xml:space="preserve">the </w:t>
      </w:r>
      <w:r>
        <w:t>EPA</w:t>
      </w:r>
      <w:r w:rsidR="0087379B">
        <w:t>’</w:t>
      </w:r>
      <w:r>
        <w:t>s revisions to subpart W</w:t>
      </w:r>
      <w:r w:rsidR="00FB0B55">
        <w:t xml:space="preserve"> of Part 98</w:t>
      </w:r>
      <w:r>
        <w:t xml:space="preserve"> </w:t>
      </w:r>
      <w:r w:rsidR="00C57A73">
        <w:t>to add methods and emission factors related to emission leaks.</w:t>
      </w:r>
    </w:p>
    <w:p w14:paraId="6677CDE6" w14:textId="77777777" w:rsidR="008307EC" w:rsidRPr="00A22ECC" w:rsidRDefault="00E61789" w:rsidP="00A22ECC">
      <w:pPr>
        <w:pStyle w:val="SectionSubheading"/>
        <w:rPr>
          <w:rFonts w:eastAsia="PMingLiU" w:hint="eastAsia"/>
        </w:rPr>
      </w:pPr>
      <w:r w:rsidRPr="00A22ECC">
        <w:rPr>
          <w:rFonts w:eastAsia="PMingLiU"/>
        </w:rPr>
        <w:t>6</w:t>
      </w:r>
      <w:r w:rsidR="008307EC" w:rsidRPr="00A22ECC">
        <w:rPr>
          <w:rFonts w:eastAsia="PMingLiU"/>
        </w:rPr>
        <w:t>(g)</w:t>
      </w:r>
      <w:r w:rsidR="00981185" w:rsidRPr="00A22ECC">
        <w:rPr>
          <w:rFonts w:eastAsia="PMingLiU"/>
        </w:rPr>
        <w:t xml:space="preserve"> </w:t>
      </w:r>
      <w:r w:rsidR="008307EC" w:rsidRPr="00A22ECC">
        <w:rPr>
          <w:rFonts w:eastAsia="PMingLiU"/>
        </w:rPr>
        <w:t>Burden Statement</w:t>
      </w:r>
    </w:p>
    <w:p w14:paraId="5B16E198" w14:textId="710956D2" w:rsidR="00125FC3" w:rsidRDefault="00125FC3" w:rsidP="00193443">
      <w:pPr>
        <w:pStyle w:val="Paragraph"/>
      </w:pPr>
      <w:r>
        <w:t xml:space="preserve">The incremental respondent reporting burden for these </w:t>
      </w:r>
      <w:r w:rsidR="0054450A">
        <w:t xml:space="preserve">proposed </w:t>
      </w:r>
      <w:r>
        <w:t>amendments is estimated to average 502</w:t>
      </w:r>
      <w:r w:rsidRPr="003550CC">
        <w:t xml:space="preserve"> hours and $</w:t>
      </w:r>
      <w:r>
        <w:t xml:space="preserve">49,788 per year for a </w:t>
      </w:r>
      <w:r w:rsidR="00E575A7">
        <w:t>3</w:t>
      </w:r>
      <w:r>
        <w:t xml:space="preserve">-year period, where identical annual costs are anticipated for all </w:t>
      </w:r>
      <w:r w:rsidR="000A3CB1">
        <w:t>3</w:t>
      </w:r>
      <w:r>
        <w:t xml:space="preserve"> years. The incremental average annual burden to the EPA for this period is estimated to be 0 hours and $0 for oversight activities. The annual </w:t>
      </w:r>
      <w:r w:rsidR="00496501">
        <w:t xml:space="preserve">respondent </w:t>
      </w:r>
      <w:r>
        <w:t xml:space="preserve">reporting and recordkeeping burden for this </w:t>
      </w:r>
      <w:r w:rsidR="00496501">
        <w:t xml:space="preserve">proposed </w:t>
      </w:r>
      <w:r>
        <w:t xml:space="preserve">collection of information is estimated to </w:t>
      </w:r>
      <w:r w:rsidRPr="00370569">
        <w:t xml:space="preserve">average </w:t>
      </w:r>
      <w:r w:rsidR="00193443">
        <w:t>2.0</w:t>
      </w:r>
      <w:r w:rsidRPr="00370569">
        <w:t xml:space="preserve"> hours per respon</w:t>
      </w:r>
      <w:r>
        <w:t>dent</w:t>
      </w:r>
      <w:r w:rsidRPr="00370569">
        <w:t>.</w:t>
      </w:r>
    </w:p>
    <w:p w14:paraId="1D22E06D" w14:textId="5196D9EE" w:rsidR="00981185" w:rsidRDefault="00981185" w:rsidP="00193443">
      <w:pPr>
        <w:pStyle w:val="Paragraph"/>
      </w:pPr>
      <w:r>
        <w:t xml:space="preserve">The respondent reporting burden for this collection of information is estimated to average </w:t>
      </w:r>
      <w:r w:rsidR="00496501">
        <w:t>183</w:t>
      </w:r>
      <w:r w:rsidR="008356A9">
        <w:t>,</w:t>
      </w:r>
      <w:r w:rsidR="00496501">
        <w:t>5</w:t>
      </w:r>
      <w:r w:rsidR="008356A9">
        <w:t>00</w:t>
      </w:r>
      <w:r w:rsidRPr="003550CC">
        <w:t xml:space="preserve"> hours </w:t>
      </w:r>
      <w:r w:rsidR="00772D3A" w:rsidRPr="003550CC">
        <w:t>and $2</w:t>
      </w:r>
      <w:r w:rsidR="00496501">
        <w:t>8.1</w:t>
      </w:r>
      <w:r w:rsidR="00772D3A" w:rsidRPr="003550CC">
        <w:t xml:space="preserve"> million</w:t>
      </w:r>
      <w:r w:rsidR="00772D3A">
        <w:t xml:space="preserve"> </w:t>
      </w:r>
      <w:r>
        <w:t xml:space="preserve">per year for a </w:t>
      </w:r>
      <w:r w:rsidR="00E575A7">
        <w:t>3</w:t>
      </w:r>
      <w:r w:rsidR="004A0D2F">
        <w:t>-</w:t>
      </w:r>
      <w:r>
        <w:t xml:space="preserve">year period, where identical annual costs are anticipated for all </w:t>
      </w:r>
      <w:r w:rsidR="000A3CB1">
        <w:t>3</w:t>
      </w:r>
      <w:r>
        <w:t xml:space="preserve"> years. The average annual burden to </w:t>
      </w:r>
      <w:r w:rsidR="00766D4D">
        <w:t xml:space="preserve">the </w:t>
      </w:r>
      <w:r>
        <w:t xml:space="preserve">EPA for this period is estimated to be </w:t>
      </w:r>
      <w:r w:rsidR="00370569">
        <w:t>10,400</w:t>
      </w:r>
      <w:r>
        <w:t xml:space="preserve"> hours </w:t>
      </w:r>
      <w:r w:rsidR="00125FC3">
        <w:t>and $555,</w:t>
      </w:r>
      <w:r w:rsidR="00193443">
        <w:t xml:space="preserve">610 </w:t>
      </w:r>
      <w:r>
        <w:t>for oversight activities</w:t>
      </w:r>
      <w:r w:rsidR="00496501">
        <w:t xml:space="preserve">, where identical annual costs are </w:t>
      </w:r>
      <w:r w:rsidR="00496501">
        <w:lastRenderedPageBreak/>
        <w:t>anticipated for all 3 years</w:t>
      </w:r>
      <w:r>
        <w:t xml:space="preserve">. The annual </w:t>
      </w:r>
      <w:r w:rsidR="00496501">
        <w:t xml:space="preserve">respondent </w:t>
      </w:r>
      <w:r>
        <w:t xml:space="preserve">reporting and recordkeeping burden for this collection of information is estimated to </w:t>
      </w:r>
      <w:r w:rsidRPr="00370569">
        <w:t xml:space="preserve">average </w:t>
      </w:r>
      <w:r w:rsidR="00193443">
        <w:t>83.3</w:t>
      </w:r>
      <w:r w:rsidRPr="00370569">
        <w:t xml:space="preserve"> hours per respon</w:t>
      </w:r>
      <w:r w:rsidR="008356A9">
        <w:t>dent</w:t>
      </w:r>
      <w:r w:rsidRPr="00370569">
        <w:t>.</w:t>
      </w:r>
    </w:p>
    <w:p w14:paraId="5E087057" w14:textId="77777777" w:rsidR="008307EC" w:rsidRDefault="008307EC" w:rsidP="00B8030B">
      <w:pPr>
        <w:pStyle w:val="Paragraph"/>
        <w:rPr>
          <w:rFonts w:eastAsia="PMingLiU"/>
        </w:rPr>
      </w:pPr>
      <w:r w:rsidRPr="00A6725D">
        <w:rPr>
          <w:rFonts w:eastAsia="PMingLiU"/>
        </w:rPr>
        <w:t>Burden means the total time, effort, or financial resources expended by persons to generate, maintain, retain, or disclose or p</w:t>
      </w:r>
      <w:r w:rsidR="001B6BEA">
        <w:rPr>
          <w:rFonts w:eastAsia="PMingLiU"/>
        </w:rPr>
        <w:t>rovide information to or for a f</w:t>
      </w:r>
      <w:r w:rsidRPr="00A6725D">
        <w:rPr>
          <w:rFonts w:eastAsia="PMingLiU"/>
        </w:rPr>
        <w:t>ederal agency.</w:t>
      </w:r>
      <w:r w:rsidR="003249F1">
        <w:rPr>
          <w:rFonts w:eastAsia="PMingLiU"/>
        </w:rPr>
        <w:t xml:space="preserve"> </w:t>
      </w:r>
      <w:r w:rsidRPr="00A6725D">
        <w:rPr>
          <w:rFonts w:eastAsia="PMingLiU"/>
        </w:rPr>
        <w:t>This includes the time needed to review instructions; develop, acquire, install</w:t>
      </w:r>
      <w:r w:rsidR="0052460B">
        <w:rPr>
          <w:rFonts w:eastAsia="PMingLiU"/>
        </w:rPr>
        <w:t xml:space="preserve"> and</w:t>
      </w:r>
      <w:r w:rsidRPr="00A6725D">
        <w:rPr>
          <w:rFonts w:eastAsia="PMingLiU"/>
        </w:rPr>
        <w:t xml:space="preserve"> utilize technology and systems for the purposes of collecting, validating</w:t>
      </w:r>
      <w:r w:rsidR="0052460B">
        <w:rPr>
          <w:rFonts w:eastAsia="PMingLiU"/>
        </w:rPr>
        <w:t xml:space="preserve"> and</w:t>
      </w:r>
      <w:r w:rsidRPr="00A6725D">
        <w:rPr>
          <w:rFonts w:eastAsia="PMingLiU"/>
        </w:rPr>
        <w:t xml:space="preserve"> verifying information, processing and maintaining information</w:t>
      </w:r>
      <w:r w:rsidR="0052460B">
        <w:rPr>
          <w:rFonts w:eastAsia="PMingLiU"/>
        </w:rPr>
        <w:t xml:space="preserve"> and</w:t>
      </w:r>
      <w:r w:rsidRPr="00A6725D">
        <w:rPr>
          <w:rFonts w:eastAsia="PMingLiU"/>
        </w:rPr>
        <w:t xml:space="preserve"> disclosing and providing information; adjust the existing ways to comply with any previously applicable instructions and requirements; train personnel to respond to a collection of information; search data sources; complete and review the collection of information; and transmit or otherwise disclose the information.</w:t>
      </w:r>
    </w:p>
    <w:p w14:paraId="04CAA309" w14:textId="77777777" w:rsidR="008307EC" w:rsidRDefault="008307EC" w:rsidP="00B8030B">
      <w:pPr>
        <w:pStyle w:val="Paragraph"/>
        <w:rPr>
          <w:rFonts w:eastAsia="PMingLiU"/>
        </w:rPr>
      </w:pPr>
      <w:r w:rsidRPr="00A6725D">
        <w:rPr>
          <w:rFonts w:eastAsia="PMingLiU"/>
        </w:rPr>
        <w:t>An agency may not conduct or sponsor, and a person is not required to respond to, a collection of information unless it displays a currently valid OMB control number.</w:t>
      </w:r>
      <w:r w:rsidR="003249F1">
        <w:rPr>
          <w:rFonts w:eastAsia="PMingLiU"/>
        </w:rPr>
        <w:t xml:space="preserve"> </w:t>
      </w:r>
      <w:r w:rsidRPr="00A6725D">
        <w:rPr>
          <w:rFonts w:eastAsia="PMingLiU"/>
        </w:rPr>
        <w:t xml:space="preserve">The OMB control numbers for </w:t>
      </w:r>
      <w:r w:rsidR="00BD1EE8">
        <w:rPr>
          <w:rFonts w:eastAsia="PMingLiU"/>
        </w:rPr>
        <w:t xml:space="preserve">the </w:t>
      </w:r>
      <w:r w:rsidRPr="00A6725D">
        <w:rPr>
          <w:rFonts w:eastAsia="PMingLiU"/>
        </w:rPr>
        <w:t>EPA</w:t>
      </w:r>
      <w:r w:rsidR="0087379B">
        <w:rPr>
          <w:rFonts w:eastAsia="PMingLiU"/>
        </w:rPr>
        <w:t>’</w:t>
      </w:r>
      <w:r w:rsidRPr="00A6725D">
        <w:rPr>
          <w:rFonts w:eastAsia="PMingLiU"/>
        </w:rPr>
        <w:t>s regulations are listed in 40 CFR part 9.</w:t>
      </w:r>
    </w:p>
    <w:p w14:paraId="6CDD332F" w14:textId="23336B96" w:rsidR="00E94359" w:rsidRDefault="00710BF9" w:rsidP="00F4032C">
      <w:pPr>
        <w:pStyle w:val="Paragraph"/>
      </w:pPr>
      <w:r w:rsidRPr="00710BF9">
        <w:rPr>
          <w:rFonts w:eastAsia="PMingLiU"/>
        </w:rPr>
        <w:t xml:space="preserve">To comment on the </w:t>
      </w:r>
      <w:r w:rsidR="00F4032C">
        <w:rPr>
          <w:rFonts w:eastAsia="PMingLiU"/>
        </w:rPr>
        <w:t>a</w:t>
      </w:r>
      <w:r w:rsidRPr="00710BF9">
        <w:rPr>
          <w:rFonts w:eastAsia="PMingLiU"/>
        </w:rPr>
        <w:t>gency</w:t>
      </w:r>
      <w:r w:rsidR="0087379B">
        <w:rPr>
          <w:rFonts w:eastAsia="PMingLiU"/>
        </w:rPr>
        <w:t>’</w:t>
      </w:r>
      <w:r w:rsidRPr="00710BF9">
        <w:rPr>
          <w:rFonts w:eastAsia="PMingLiU"/>
        </w:rPr>
        <w:t>s need for this information, the accuracy of the provided burden estimates</w:t>
      </w:r>
      <w:r w:rsidR="0052460B">
        <w:rPr>
          <w:rFonts w:eastAsia="PMingLiU"/>
        </w:rPr>
        <w:t xml:space="preserve"> and</w:t>
      </w:r>
      <w:r w:rsidRPr="00710BF9">
        <w:rPr>
          <w:rFonts w:eastAsia="PMingLiU"/>
        </w:rPr>
        <w:t xml:space="preserve"> any suggested methods for minimizing respondent burden, including the use of automated collection techniques, </w:t>
      </w:r>
      <w:r w:rsidR="00BD1EE8">
        <w:rPr>
          <w:rFonts w:eastAsia="PMingLiU"/>
        </w:rPr>
        <w:t xml:space="preserve">the </w:t>
      </w:r>
      <w:r w:rsidRPr="00710BF9">
        <w:rPr>
          <w:rFonts w:eastAsia="PMingLiU"/>
        </w:rPr>
        <w:t xml:space="preserve">EPA has established a public docket for this ICR under </w:t>
      </w:r>
      <w:r w:rsidR="004054A2" w:rsidRPr="00710BF9">
        <w:rPr>
          <w:rFonts w:eastAsia="PMingLiU"/>
        </w:rPr>
        <w:t>Docket ID N</w:t>
      </w:r>
      <w:r w:rsidR="004054A2">
        <w:rPr>
          <w:rFonts w:eastAsia="PMingLiU"/>
        </w:rPr>
        <w:t>o.</w:t>
      </w:r>
      <w:r w:rsidR="004054A2" w:rsidRPr="00710BF9">
        <w:rPr>
          <w:rFonts w:eastAsia="PMingLiU"/>
        </w:rPr>
        <w:t xml:space="preserve"> </w:t>
      </w:r>
      <w:r w:rsidR="008265EC" w:rsidRPr="008265EC">
        <w:t>EPA-HQ-OAR-2015-0764</w:t>
      </w:r>
      <w:r w:rsidR="00981185">
        <w:rPr>
          <w:rFonts w:eastAsia="PMingLiU"/>
        </w:rPr>
        <w:t>, which is available for online viewing</w:t>
      </w:r>
      <w:r w:rsidRPr="00710BF9">
        <w:rPr>
          <w:rFonts w:eastAsia="PMingLiU"/>
        </w:rPr>
        <w:t xml:space="preserve"> at </w:t>
      </w:r>
      <w:r w:rsidRPr="00FD5E9C">
        <w:rPr>
          <w:rStyle w:val="Underline"/>
          <w:rFonts w:eastAsia="PMingLiU"/>
        </w:rPr>
        <w:t>http://www.regulations.gov/</w:t>
      </w:r>
      <w:r w:rsidR="00981185">
        <w:rPr>
          <w:rFonts w:eastAsia="PMingLiU"/>
        </w:rPr>
        <w:t xml:space="preserve">, or in </w:t>
      </w:r>
      <w:r w:rsidR="00981185">
        <w:t xml:space="preserve">person viewing at the Air and Radiation docket in the EPA Docket Center (EPA/DC), William Jefferson Clinton Federal Building - West, Room 3334, 1301 Constitution Avenue, NW, Washington, D.C. The EPA Docket Center Public Reading Room is open from 8:30 a.m. to 4:30 p.m., Monday through Friday, excluding legal holidays. The telephone number for the Reading Room is (202) 566-1744, and the telephone number for the Air and Radiation docket is (202) 566-1742. An electronic version of the public docket is available at </w:t>
      </w:r>
      <w:r w:rsidR="00981185" w:rsidRPr="00981185">
        <w:rPr>
          <w:rStyle w:val="Underline"/>
        </w:rPr>
        <w:t>http://www.regulations.gov</w:t>
      </w:r>
      <w:r w:rsidR="00981185">
        <w:t>.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w:t>
      </w:r>
      <w:r w:rsidR="00981185" w:rsidRPr="00981185">
        <w:rPr>
          <w:rStyle w:val="Superscript"/>
        </w:rPr>
        <w:t>th</w:t>
      </w:r>
      <w:r w:rsidR="00981185">
        <w:t xml:space="preserve"> Street, NW, Washington, D.C. 20503, Attention: Desk Officer for EPA. Please include the EPA Docket ID </w:t>
      </w:r>
      <w:r w:rsidR="00981185" w:rsidRPr="008265EC">
        <w:t>Number EPA</w:t>
      </w:r>
      <w:r w:rsidR="008265EC" w:rsidRPr="008265EC">
        <w:t>-</w:t>
      </w:r>
      <w:r w:rsidR="00981185" w:rsidRPr="008265EC">
        <w:t>HQ</w:t>
      </w:r>
      <w:r w:rsidR="008265EC" w:rsidRPr="008265EC">
        <w:t>-</w:t>
      </w:r>
      <w:r w:rsidR="00981185" w:rsidRPr="008265EC">
        <w:t>OAR</w:t>
      </w:r>
      <w:r w:rsidR="00C01618" w:rsidRPr="008265EC">
        <w:t>-</w:t>
      </w:r>
      <w:r w:rsidR="00080CD9" w:rsidRPr="008265EC">
        <w:t>2015</w:t>
      </w:r>
      <w:r w:rsidR="002C6613" w:rsidRPr="008265EC">
        <w:t>-</w:t>
      </w:r>
      <w:r w:rsidR="008265EC" w:rsidRPr="008265EC">
        <w:t>0764</w:t>
      </w:r>
      <w:r w:rsidR="004054A2">
        <w:t xml:space="preserve"> </w:t>
      </w:r>
      <w:r w:rsidR="00981185" w:rsidRPr="00722E4A">
        <w:t>and OMB Control Number 2060-0629 on</w:t>
      </w:r>
      <w:r w:rsidR="00981185">
        <w:t xml:space="preserve"> any correspondence.</w:t>
      </w:r>
    </w:p>
    <w:p w14:paraId="7D0184A3" w14:textId="77777777" w:rsidR="00E94359" w:rsidRDefault="00E94359" w:rsidP="00A22ECC">
      <w:pPr>
        <w:pStyle w:val="PartHeading"/>
      </w:pPr>
      <w:r w:rsidRPr="00E94359">
        <w:lastRenderedPageBreak/>
        <w:t>Part B of the Supporting Statement</w:t>
      </w:r>
    </w:p>
    <w:p w14:paraId="080F7B85" w14:textId="018EA878" w:rsidR="004221CF" w:rsidRDefault="00E94359" w:rsidP="0026570B">
      <w:pPr>
        <w:pStyle w:val="Paragraph"/>
      </w:pPr>
      <w:r w:rsidRPr="007C7E34">
        <w:t xml:space="preserve">This section is not applicable because statistical methods are not used in data collection associated with the </w:t>
      </w:r>
      <w:r w:rsidR="0026570B">
        <w:t xml:space="preserve">proposed </w:t>
      </w:r>
      <w:r w:rsidRPr="007C7E34">
        <w:t>amendments.</w:t>
      </w:r>
    </w:p>
    <w:p w14:paraId="58E1AED4" w14:textId="64FCD8EF" w:rsidR="004221CF" w:rsidRDefault="004221CF" w:rsidP="004221CF"/>
    <w:p w14:paraId="531B3937" w14:textId="13A205F5" w:rsidR="004221CF" w:rsidRDefault="004221CF" w:rsidP="004221CF"/>
    <w:p w14:paraId="49CB3BA1" w14:textId="0D0CA39C" w:rsidR="004221CF" w:rsidRDefault="004221CF" w:rsidP="004221CF">
      <w:pPr>
        <w:tabs>
          <w:tab w:val="left" w:pos="8460"/>
        </w:tabs>
      </w:pPr>
      <w:r>
        <w:tab/>
      </w:r>
    </w:p>
    <w:p w14:paraId="66500A00" w14:textId="47B8867F" w:rsidR="00747D31" w:rsidRPr="004221CF" w:rsidRDefault="004221CF" w:rsidP="004221CF">
      <w:pPr>
        <w:tabs>
          <w:tab w:val="left" w:pos="8460"/>
        </w:tabs>
        <w:sectPr w:rsidR="00747D31" w:rsidRPr="004221CF" w:rsidSect="00A75823">
          <w:footerReference w:type="default" r:id="rId10"/>
          <w:pgSz w:w="12240" w:h="15840"/>
          <w:pgMar w:top="1440" w:right="1440" w:bottom="1440" w:left="1440" w:header="720" w:footer="720" w:gutter="0"/>
          <w:cols w:space="720"/>
          <w:docGrid w:linePitch="360"/>
        </w:sectPr>
      </w:pPr>
      <w:r>
        <w:tab/>
      </w:r>
    </w:p>
    <w:p w14:paraId="3E4A5714" w14:textId="1D635DBA" w:rsidR="00A75823" w:rsidRDefault="00A75823" w:rsidP="00747D31">
      <w:pPr>
        <w:pStyle w:val="Paragraph"/>
      </w:pPr>
    </w:p>
    <w:p w14:paraId="2E2E94C4" w14:textId="03374F3F" w:rsidR="00A75823" w:rsidRDefault="00A75823" w:rsidP="00613AD3">
      <w:pPr>
        <w:pStyle w:val="AppendixTitle"/>
      </w:pPr>
      <w:r w:rsidRPr="00022DB4">
        <w:t xml:space="preserve">Appendix </w:t>
      </w:r>
      <w:r>
        <w:t>A</w:t>
      </w:r>
      <w:r w:rsidR="00613AD3">
        <w:t>:</w:t>
      </w:r>
      <w:r w:rsidRPr="00022DB4">
        <w:t xml:space="preserve"> </w:t>
      </w:r>
    </w:p>
    <w:p w14:paraId="5514937D" w14:textId="2404DD99" w:rsidR="00613AD3" w:rsidRPr="00022DB4" w:rsidRDefault="00613AD3" w:rsidP="00613AD3">
      <w:pPr>
        <w:pStyle w:val="AppendixTitle"/>
      </w:pPr>
      <w:r w:rsidRPr="00613AD3">
        <w:t>Recordkeeping and Reporting Requirements for Leak Detection Methodology Revisions and Confidentiality Determinations for Petroleum and Natural Gas Systems (40 CFR part 98, Subpart W)</w:t>
      </w:r>
    </w:p>
    <w:p w14:paraId="4C0DF95F" w14:textId="77777777" w:rsidR="00A75823" w:rsidRDefault="00A75823" w:rsidP="00BD55B9">
      <w:pPr>
        <w:pStyle w:val="AppendixTitle"/>
      </w:pPr>
    </w:p>
    <w:p w14:paraId="4F248701" w14:textId="23E49FC3" w:rsidR="00A75823" w:rsidRDefault="00A75823" w:rsidP="00613AD3">
      <w:pPr>
        <w:pStyle w:val="AppendixTitle"/>
      </w:pPr>
      <w:r w:rsidRPr="00022DB4">
        <w:t xml:space="preserve">Dated </w:t>
      </w:r>
      <w:r w:rsidR="00613AD3">
        <w:t>January</w:t>
      </w:r>
      <w:r>
        <w:t xml:space="preserve"> 201</w:t>
      </w:r>
      <w:r w:rsidR="00613AD3">
        <w:t>6</w:t>
      </w:r>
    </w:p>
    <w:p w14:paraId="475C14DE" w14:textId="77777777" w:rsidR="00A75823" w:rsidRDefault="00A75823" w:rsidP="00BD55B9">
      <w:pPr>
        <w:pStyle w:val="AppendixTitle"/>
      </w:pPr>
    </w:p>
    <w:p w14:paraId="32996AE1" w14:textId="77777777" w:rsidR="00A75823" w:rsidRDefault="00A75823" w:rsidP="00BD55B9">
      <w:pPr>
        <w:pStyle w:val="AppendixTitle"/>
      </w:pPr>
    </w:p>
    <w:p w14:paraId="42A61899" w14:textId="77777777" w:rsidR="00A75823" w:rsidRDefault="00A75823" w:rsidP="00BD55B9">
      <w:pPr>
        <w:pStyle w:val="AppendixTitle"/>
        <w:sectPr w:rsidR="00A75823" w:rsidSect="00A75823">
          <w:footerReference w:type="default" r:id="rId11"/>
          <w:pgSz w:w="12240" w:h="15840"/>
          <w:pgMar w:top="1440" w:right="1440" w:bottom="1440" w:left="1440" w:header="720" w:footer="720" w:gutter="0"/>
          <w:cols w:space="720"/>
          <w:docGrid w:linePitch="360"/>
        </w:sectPr>
      </w:pPr>
      <w:r w:rsidRPr="004365CB">
        <w:t>Respondent Burden for Years 1 through 3</w:t>
      </w:r>
    </w:p>
    <w:tbl>
      <w:tblPr>
        <w:tblW w:w="5558" w:type="pct"/>
        <w:tblLayout w:type="fixed"/>
        <w:tblLook w:val="04A0" w:firstRow="1" w:lastRow="0" w:firstColumn="1" w:lastColumn="0" w:noHBand="0" w:noVBand="1"/>
      </w:tblPr>
      <w:tblGrid>
        <w:gridCol w:w="258"/>
        <w:gridCol w:w="259"/>
        <w:gridCol w:w="3979"/>
        <w:gridCol w:w="1080"/>
        <w:gridCol w:w="1169"/>
        <w:gridCol w:w="1175"/>
        <w:gridCol w:w="1258"/>
        <w:gridCol w:w="1080"/>
        <w:gridCol w:w="1080"/>
        <w:gridCol w:w="990"/>
        <w:gridCol w:w="1080"/>
        <w:gridCol w:w="987"/>
      </w:tblGrid>
      <w:tr w:rsidR="00A75823" w:rsidRPr="00A75823" w14:paraId="029EF87C" w14:textId="77777777" w:rsidTr="00594D9F">
        <w:tc>
          <w:tcPr>
            <w:tcW w:w="1562"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8B586E5" w14:textId="77777777" w:rsidR="00A75823" w:rsidRDefault="00A75823" w:rsidP="00871E2B">
            <w:pPr>
              <w:pStyle w:val="AppendixATableHeading"/>
            </w:pPr>
            <w:r w:rsidRPr="00A75823">
              <w:lastRenderedPageBreak/>
              <w:t>Year 1 through Year 3</w:t>
            </w:r>
          </w:p>
          <w:p w14:paraId="1481C736" w14:textId="3686D8F6" w:rsidR="00A75823" w:rsidRPr="00A75823" w:rsidRDefault="00380E87" w:rsidP="00871E2B">
            <w:pPr>
              <w:pStyle w:val="AppendixATableHeading"/>
            </w:pPr>
            <w:r>
              <w:t xml:space="preserve">Incremental Costs Due to </w:t>
            </w:r>
            <w:r w:rsidR="00496501">
              <w:t xml:space="preserve">Proposed </w:t>
            </w:r>
            <w:r>
              <w:t>Amendments</w:t>
            </w:r>
          </w:p>
        </w:tc>
        <w:tc>
          <w:tcPr>
            <w:tcW w:w="375" w:type="pct"/>
            <w:tcBorders>
              <w:top w:val="single" w:sz="4" w:space="0" w:color="auto"/>
              <w:left w:val="nil"/>
              <w:bottom w:val="single" w:sz="4" w:space="0" w:color="auto"/>
              <w:right w:val="single" w:sz="4" w:space="0" w:color="auto"/>
            </w:tcBorders>
            <w:shd w:val="clear" w:color="auto" w:fill="auto"/>
            <w:vAlign w:val="bottom"/>
            <w:hideMark/>
          </w:tcPr>
          <w:p w14:paraId="51C42634" w14:textId="19704E29" w:rsidR="00A75823" w:rsidRPr="00A75823" w:rsidRDefault="00A75823" w:rsidP="00871E2B">
            <w:pPr>
              <w:pStyle w:val="AppendixATableHeading2"/>
            </w:pPr>
            <w:r w:rsidRPr="00A75823">
              <w:t>(A)</w:t>
            </w:r>
            <w:r w:rsidR="00871E2B">
              <w:br/>
            </w:r>
            <w:r w:rsidRPr="00A75823">
              <w:t>Hours per Occurrence</w:t>
            </w:r>
          </w:p>
        </w:tc>
        <w:tc>
          <w:tcPr>
            <w:tcW w:w="406" w:type="pct"/>
            <w:tcBorders>
              <w:top w:val="single" w:sz="4" w:space="0" w:color="auto"/>
              <w:left w:val="nil"/>
              <w:bottom w:val="single" w:sz="4" w:space="0" w:color="auto"/>
              <w:right w:val="single" w:sz="4" w:space="0" w:color="auto"/>
            </w:tcBorders>
            <w:shd w:val="clear" w:color="auto" w:fill="auto"/>
            <w:vAlign w:val="bottom"/>
            <w:hideMark/>
          </w:tcPr>
          <w:p w14:paraId="39645874" w14:textId="534AD2B9" w:rsidR="00A75823" w:rsidRDefault="00A75823" w:rsidP="00871E2B">
            <w:pPr>
              <w:pStyle w:val="AppendixATableHeading2"/>
            </w:pPr>
            <w:r w:rsidRPr="00A75823">
              <w:t>(B)</w:t>
            </w:r>
            <w:r w:rsidR="00871E2B">
              <w:br/>
            </w:r>
            <w:r w:rsidRPr="00A75823">
              <w:t>Occurrences/</w:t>
            </w:r>
          </w:p>
          <w:p w14:paraId="6CFA6C95" w14:textId="59A22FA2" w:rsidR="00A75823" w:rsidRPr="00A75823" w:rsidRDefault="00A75823" w:rsidP="00871E2B">
            <w:pPr>
              <w:pStyle w:val="AppendixATableHeading2"/>
            </w:pPr>
            <w:r w:rsidRPr="00A75823">
              <w:t>Respondent/</w:t>
            </w:r>
            <w:r w:rsidRPr="00A75823">
              <w:br/>
              <w:t>Year</w:t>
            </w:r>
          </w:p>
        </w:tc>
        <w:tc>
          <w:tcPr>
            <w:tcW w:w="408" w:type="pct"/>
            <w:tcBorders>
              <w:top w:val="single" w:sz="4" w:space="0" w:color="auto"/>
              <w:left w:val="nil"/>
              <w:bottom w:val="single" w:sz="4" w:space="0" w:color="auto"/>
              <w:right w:val="single" w:sz="4" w:space="0" w:color="auto"/>
            </w:tcBorders>
            <w:shd w:val="clear" w:color="auto" w:fill="auto"/>
            <w:vAlign w:val="bottom"/>
            <w:hideMark/>
          </w:tcPr>
          <w:p w14:paraId="5E248C35" w14:textId="5232A6D4" w:rsidR="00A75823" w:rsidRPr="00A75823" w:rsidRDefault="00A75823" w:rsidP="00871E2B">
            <w:pPr>
              <w:pStyle w:val="AppendixATableHeading2"/>
            </w:pPr>
            <w:r w:rsidRPr="00A75823">
              <w:t>(C)</w:t>
            </w:r>
            <w:r w:rsidR="00871E2B">
              <w:br/>
            </w:r>
            <w:r w:rsidRPr="00A75823">
              <w:t>Hours/</w:t>
            </w:r>
            <w:r w:rsidRPr="00A75823">
              <w:br/>
              <w:t>Respondent/</w:t>
            </w:r>
            <w:r w:rsidRPr="00A75823">
              <w:br/>
              <w:t>Year (A x B)</w:t>
            </w:r>
          </w:p>
        </w:tc>
        <w:tc>
          <w:tcPr>
            <w:tcW w:w="437" w:type="pct"/>
            <w:tcBorders>
              <w:top w:val="single" w:sz="4" w:space="0" w:color="auto"/>
              <w:left w:val="nil"/>
              <w:bottom w:val="single" w:sz="4" w:space="0" w:color="auto"/>
              <w:right w:val="single" w:sz="4" w:space="0" w:color="auto"/>
            </w:tcBorders>
            <w:shd w:val="clear" w:color="auto" w:fill="auto"/>
            <w:vAlign w:val="bottom"/>
            <w:hideMark/>
          </w:tcPr>
          <w:p w14:paraId="3B23C5AA" w14:textId="638DCF31" w:rsidR="00A75823" w:rsidRPr="00A75823" w:rsidRDefault="00A75823" w:rsidP="00871E2B">
            <w:pPr>
              <w:pStyle w:val="AppendixATableHeading2"/>
            </w:pPr>
            <w:r w:rsidRPr="00A75823">
              <w:t>(D)</w:t>
            </w:r>
            <w:r w:rsidR="00871E2B">
              <w:br/>
            </w:r>
            <w:r w:rsidRPr="00A75823">
              <w:t>Respondents/</w:t>
            </w:r>
            <w:r w:rsidRPr="00A75823">
              <w:br/>
              <w:t>Year</w:t>
            </w:r>
          </w:p>
        </w:tc>
        <w:tc>
          <w:tcPr>
            <w:tcW w:w="375" w:type="pct"/>
            <w:tcBorders>
              <w:top w:val="single" w:sz="4" w:space="0" w:color="auto"/>
              <w:left w:val="nil"/>
              <w:bottom w:val="single" w:sz="4" w:space="0" w:color="auto"/>
              <w:right w:val="nil"/>
            </w:tcBorders>
            <w:shd w:val="clear" w:color="auto" w:fill="auto"/>
            <w:vAlign w:val="bottom"/>
            <w:hideMark/>
          </w:tcPr>
          <w:p w14:paraId="6662E0A0" w14:textId="41C88CC3" w:rsidR="00A75823" w:rsidRPr="00A75823" w:rsidRDefault="00A75823" w:rsidP="00871E2B">
            <w:pPr>
              <w:pStyle w:val="AppendixATableHeading2"/>
            </w:pPr>
            <w:r w:rsidRPr="00A75823">
              <w:t>(E)</w:t>
            </w:r>
            <w:r w:rsidR="00871E2B">
              <w:br/>
            </w:r>
            <w:r w:rsidRPr="00A75823">
              <w:t>Engineer Hours/Year (C x D)</w:t>
            </w:r>
          </w:p>
        </w:tc>
        <w:tc>
          <w:tcPr>
            <w:tcW w:w="375" w:type="pct"/>
            <w:tcBorders>
              <w:top w:val="single" w:sz="4" w:space="0" w:color="auto"/>
              <w:left w:val="single" w:sz="4" w:space="0" w:color="auto"/>
              <w:bottom w:val="single" w:sz="4" w:space="0" w:color="auto"/>
              <w:right w:val="nil"/>
            </w:tcBorders>
            <w:shd w:val="clear" w:color="auto" w:fill="auto"/>
            <w:vAlign w:val="bottom"/>
            <w:hideMark/>
          </w:tcPr>
          <w:p w14:paraId="0291866F" w14:textId="77777777" w:rsidR="00A75823" w:rsidRDefault="00A75823" w:rsidP="00871E2B">
            <w:pPr>
              <w:pStyle w:val="AppendixATableHeading2"/>
            </w:pPr>
            <w:r w:rsidRPr="00A75823">
              <w:t>Technician Hours/</w:t>
            </w:r>
          </w:p>
          <w:p w14:paraId="7A503A1B" w14:textId="23DF13E9" w:rsidR="00A75823" w:rsidRPr="00A75823" w:rsidRDefault="00A75823" w:rsidP="00871E2B">
            <w:pPr>
              <w:pStyle w:val="AppendixATableHeading2"/>
            </w:pPr>
            <w:r w:rsidRPr="00A75823">
              <w:t>Year</w:t>
            </w:r>
          </w:p>
        </w:tc>
        <w:tc>
          <w:tcPr>
            <w:tcW w:w="344" w:type="pct"/>
            <w:tcBorders>
              <w:top w:val="single" w:sz="4" w:space="0" w:color="auto"/>
              <w:left w:val="single" w:sz="4" w:space="0" w:color="auto"/>
              <w:bottom w:val="single" w:sz="4" w:space="0" w:color="auto"/>
              <w:right w:val="nil"/>
            </w:tcBorders>
            <w:shd w:val="clear" w:color="auto" w:fill="auto"/>
            <w:vAlign w:val="bottom"/>
            <w:hideMark/>
          </w:tcPr>
          <w:p w14:paraId="3E5964ED" w14:textId="77777777" w:rsidR="00A75823" w:rsidRDefault="00A75823" w:rsidP="00871E2B">
            <w:pPr>
              <w:pStyle w:val="AppendixATableHeading2"/>
            </w:pPr>
            <w:r w:rsidRPr="00A75823">
              <w:t>Middle Manager Hours/</w:t>
            </w:r>
          </w:p>
          <w:p w14:paraId="72D211CB" w14:textId="06819EC2" w:rsidR="00A75823" w:rsidRPr="00A75823" w:rsidRDefault="00A75823" w:rsidP="00871E2B">
            <w:pPr>
              <w:pStyle w:val="AppendixATableHeading2"/>
            </w:pPr>
            <w:r w:rsidRPr="00A75823">
              <w:t>Year</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0019FD9" w14:textId="6A47F289" w:rsidR="00A75823" w:rsidRPr="00A75823" w:rsidRDefault="00A75823" w:rsidP="00496501">
            <w:pPr>
              <w:pStyle w:val="AppendixATableHeading2"/>
            </w:pPr>
            <w:r w:rsidRPr="00A75823">
              <w:t>Senior Manager Hours/Year</w:t>
            </w:r>
          </w:p>
        </w:tc>
        <w:tc>
          <w:tcPr>
            <w:tcW w:w="343" w:type="pct"/>
            <w:tcBorders>
              <w:top w:val="single" w:sz="4" w:space="0" w:color="auto"/>
              <w:left w:val="nil"/>
              <w:bottom w:val="single" w:sz="4" w:space="0" w:color="auto"/>
              <w:right w:val="single" w:sz="4" w:space="0" w:color="auto"/>
            </w:tcBorders>
            <w:shd w:val="clear" w:color="auto" w:fill="auto"/>
            <w:vAlign w:val="bottom"/>
            <w:hideMark/>
          </w:tcPr>
          <w:p w14:paraId="595DE820" w14:textId="7F4B3CB8" w:rsidR="00A75823" w:rsidRPr="00A75823" w:rsidRDefault="00A75823" w:rsidP="00496501">
            <w:pPr>
              <w:pStyle w:val="AppendixATableHeading2"/>
            </w:pPr>
            <w:r w:rsidRPr="00A75823">
              <w:t xml:space="preserve">Cost/ </w:t>
            </w:r>
            <w:proofErr w:type="spellStart"/>
            <w:r w:rsidRPr="00A75823">
              <w:t>Year</w:t>
            </w:r>
            <w:r w:rsidR="00496501" w:rsidRPr="00E40053">
              <w:rPr>
                <w:vertAlign w:val="superscript"/>
              </w:rPr>
              <w:t>a</w:t>
            </w:r>
            <w:proofErr w:type="spellEnd"/>
          </w:p>
        </w:tc>
      </w:tr>
      <w:tr w:rsidR="00A75823" w:rsidRPr="00A75823" w14:paraId="6146A58C" w14:textId="77777777" w:rsidTr="00594D9F">
        <w:tc>
          <w:tcPr>
            <w:tcW w:w="1562"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27AF5AC1" w14:textId="77777777" w:rsidR="00A75823" w:rsidRPr="00A75823" w:rsidRDefault="00A75823" w:rsidP="00BD55B9">
            <w:pPr>
              <w:pStyle w:val="AppendixAMainTaskSubtask"/>
            </w:pPr>
            <w:r w:rsidRPr="00A75823">
              <w:t>1. APPLICATIONS (Not Applicable)</w:t>
            </w:r>
          </w:p>
        </w:tc>
        <w:tc>
          <w:tcPr>
            <w:tcW w:w="375" w:type="pct"/>
            <w:tcBorders>
              <w:top w:val="nil"/>
              <w:left w:val="nil"/>
              <w:bottom w:val="single" w:sz="4" w:space="0" w:color="auto"/>
              <w:right w:val="single" w:sz="4" w:space="0" w:color="auto"/>
            </w:tcBorders>
            <w:shd w:val="clear" w:color="auto" w:fill="auto"/>
            <w:vAlign w:val="bottom"/>
            <w:hideMark/>
          </w:tcPr>
          <w:p w14:paraId="0D397051" w14:textId="77777777" w:rsidR="00A75823" w:rsidRPr="00A75823" w:rsidRDefault="00A75823" w:rsidP="00BD55B9">
            <w:pPr>
              <w:pStyle w:val="AppendixATableTextRight"/>
            </w:pPr>
            <w:r w:rsidRPr="00A75823">
              <w:t> </w:t>
            </w:r>
          </w:p>
        </w:tc>
        <w:tc>
          <w:tcPr>
            <w:tcW w:w="406" w:type="pct"/>
            <w:tcBorders>
              <w:top w:val="nil"/>
              <w:left w:val="nil"/>
              <w:bottom w:val="single" w:sz="4" w:space="0" w:color="auto"/>
              <w:right w:val="single" w:sz="4" w:space="0" w:color="auto"/>
            </w:tcBorders>
            <w:shd w:val="clear" w:color="auto" w:fill="auto"/>
            <w:vAlign w:val="bottom"/>
            <w:hideMark/>
          </w:tcPr>
          <w:p w14:paraId="6F968181" w14:textId="77777777" w:rsidR="00A75823" w:rsidRPr="00A75823" w:rsidRDefault="00A75823" w:rsidP="00BD55B9">
            <w:pPr>
              <w:pStyle w:val="AppendixATableTextRight"/>
            </w:pPr>
            <w:r w:rsidRPr="00A75823">
              <w:t> </w:t>
            </w:r>
          </w:p>
        </w:tc>
        <w:tc>
          <w:tcPr>
            <w:tcW w:w="408" w:type="pct"/>
            <w:tcBorders>
              <w:top w:val="nil"/>
              <w:left w:val="nil"/>
              <w:bottom w:val="single" w:sz="4" w:space="0" w:color="auto"/>
              <w:right w:val="single" w:sz="4" w:space="0" w:color="auto"/>
            </w:tcBorders>
            <w:shd w:val="clear" w:color="auto" w:fill="auto"/>
            <w:vAlign w:val="bottom"/>
            <w:hideMark/>
          </w:tcPr>
          <w:p w14:paraId="7BF326E6" w14:textId="77777777" w:rsidR="00A75823" w:rsidRPr="00A75823" w:rsidRDefault="00A75823" w:rsidP="00BD55B9">
            <w:pPr>
              <w:pStyle w:val="AppendixATableTextRight"/>
            </w:pPr>
            <w:r w:rsidRPr="00A75823">
              <w:t> </w:t>
            </w:r>
          </w:p>
        </w:tc>
        <w:tc>
          <w:tcPr>
            <w:tcW w:w="437" w:type="pct"/>
            <w:tcBorders>
              <w:top w:val="nil"/>
              <w:left w:val="nil"/>
              <w:bottom w:val="single" w:sz="4" w:space="0" w:color="auto"/>
              <w:right w:val="single" w:sz="4" w:space="0" w:color="auto"/>
            </w:tcBorders>
            <w:shd w:val="clear" w:color="auto" w:fill="auto"/>
            <w:vAlign w:val="bottom"/>
            <w:hideMark/>
          </w:tcPr>
          <w:p w14:paraId="3A283B45" w14:textId="77777777" w:rsidR="00A75823" w:rsidRPr="00A75823" w:rsidRDefault="00A75823" w:rsidP="00BD55B9">
            <w:pPr>
              <w:pStyle w:val="AppendixATableTextRight"/>
            </w:pPr>
            <w:r w:rsidRPr="00A75823">
              <w:t> </w:t>
            </w:r>
          </w:p>
        </w:tc>
        <w:tc>
          <w:tcPr>
            <w:tcW w:w="375" w:type="pct"/>
            <w:tcBorders>
              <w:top w:val="nil"/>
              <w:left w:val="nil"/>
              <w:bottom w:val="single" w:sz="4" w:space="0" w:color="auto"/>
              <w:right w:val="nil"/>
            </w:tcBorders>
            <w:shd w:val="clear" w:color="auto" w:fill="auto"/>
            <w:vAlign w:val="bottom"/>
            <w:hideMark/>
          </w:tcPr>
          <w:p w14:paraId="34768754" w14:textId="77777777" w:rsidR="00A75823" w:rsidRPr="00A75823" w:rsidRDefault="00A75823" w:rsidP="00BD55B9">
            <w:pPr>
              <w:pStyle w:val="AppendixATableTextRight"/>
            </w:pPr>
            <w:r w:rsidRPr="00A75823">
              <w:t> </w:t>
            </w:r>
          </w:p>
        </w:tc>
        <w:tc>
          <w:tcPr>
            <w:tcW w:w="375" w:type="pct"/>
            <w:tcBorders>
              <w:top w:val="nil"/>
              <w:left w:val="single" w:sz="4" w:space="0" w:color="auto"/>
              <w:bottom w:val="single" w:sz="4" w:space="0" w:color="auto"/>
              <w:right w:val="nil"/>
            </w:tcBorders>
            <w:shd w:val="clear" w:color="auto" w:fill="auto"/>
            <w:vAlign w:val="bottom"/>
            <w:hideMark/>
          </w:tcPr>
          <w:p w14:paraId="4232835F" w14:textId="77777777" w:rsidR="00A75823" w:rsidRPr="00A75823" w:rsidRDefault="00A75823" w:rsidP="00BD55B9">
            <w:pPr>
              <w:pStyle w:val="AppendixATableTextRight"/>
            </w:pPr>
            <w:r w:rsidRPr="00A75823">
              <w:t> </w:t>
            </w:r>
          </w:p>
        </w:tc>
        <w:tc>
          <w:tcPr>
            <w:tcW w:w="344" w:type="pct"/>
            <w:tcBorders>
              <w:top w:val="nil"/>
              <w:left w:val="single" w:sz="4" w:space="0" w:color="auto"/>
              <w:bottom w:val="single" w:sz="4" w:space="0" w:color="auto"/>
              <w:right w:val="nil"/>
            </w:tcBorders>
            <w:shd w:val="clear" w:color="auto" w:fill="auto"/>
            <w:vAlign w:val="bottom"/>
            <w:hideMark/>
          </w:tcPr>
          <w:p w14:paraId="26E6B5E5" w14:textId="77777777" w:rsidR="00A75823" w:rsidRPr="00A75823" w:rsidRDefault="00A75823" w:rsidP="00BD55B9">
            <w:pPr>
              <w:pStyle w:val="AppendixATableTextRight"/>
            </w:pPr>
            <w:r w:rsidRPr="00A75823">
              <w:t> </w:t>
            </w:r>
          </w:p>
        </w:tc>
        <w:tc>
          <w:tcPr>
            <w:tcW w:w="375" w:type="pct"/>
            <w:tcBorders>
              <w:top w:val="nil"/>
              <w:left w:val="single" w:sz="4" w:space="0" w:color="auto"/>
              <w:bottom w:val="single" w:sz="4" w:space="0" w:color="auto"/>
              <w:right w:val="single" w:sz="4" w:space="0" w:color="auto"/>
            </w:tcBorders>
            <w:shd w:val="clear" w:color="auto" w:fill="auto"/>
            <w:vAlign w:val="bottom"/>
            <w:hideMark/>
          </w:tcPr>
          <w:p w14:paraId="7BDCD89F" w14:textId="77777777" w:rsidR="00A75823" w:rsidRPr="00A75823" w:rsidRDefault="00A75823" w:rsidP="00BD55B9">
            <w:pPr>
              <w:pStyle w:val="AppendixATableTextRight"/>
            </w:pPr>
            <w:r w:rsidRPr="00A75823">
              <w:t> </w:t>
            </w:r>
          </w:p>
        </w:tc>
        <w:tc>
          <w:tcPr>
            <w:tcW w:w="343" w:type="pct"/>
            <w:tcBorders>
              <w:top w:val="nil"/>
              <w:left w:val="nil"/>
              <w:bottom w:val="single" w:sz="4" w:space="0" w:color="auto"/>
              <w:right w:val="single" w:sz="4" w:space="0" w:color="auto"/>
            </w:tcBorders>
            <w:shd w:val="clear" w:color="auto" w:fill="auto"/>
            <w:vAlign w:val="bottom"/>
            <w:hideMark/>
          </w:tcPr>
          <w:p w14:paraId="626F4212" w14:textId="77777777" w:rsidR="00A75823" w:rsidRPr="00A75823" w:rsidRDefault="00A75823" w:rsidP="00BD55B9">
            <w:pPr>
              <w:pStyle w:val="AppendixATableTextRight"/>
            </w:pPr>
            <w:r w:rsidRPr="00A75823">
              <w:t> </w:t>
            </w:r>
          </w:p>
        </w:tc>
      </w:tr>
      <w:tr w:rsidR="00A75823" w:rsidRPr="00A75823" w14:paraId="781D4C18" w14:textId="77777777" w:rsidTr="00594D9F">
        <w:tc>
          <w:tcPr>
            <w:tcW w:w="1562"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6E49D31C" w14:textId="77777777" w:rsidR="00A75823" w:rsidRPr="00A75823" w:rsidRDefault="00A75823" w:rsidP="00BD55B9">
            <w:pPr>
              <w:pStyle w:val="AppendixAMainTaskSubtask"/>
            </w:pPr>
            <w:r w:rsidRPr="00A75823">
              <w:t>2. SURVEY AND STUDIES (Not Applicable)</w:t>
            </w:r>
          </w:p>
        </w:tc>
        <w:tc>
          <w:tcPr>
            <w:tcW w:w="375" w:type="pct"/>
            <w:tcBorders>
              <w:top w:val="nil"/>
              <w:left w:val="nil"/>
              <w:bottom w:val="single" w:sz="4" w:space="0" w:color="auto"/>
              <w:right w:val="single" w:sz="4" w:space="0" w:color="auto"/>
            </w:tcBorders>
            <w:shd w:val="clear" w:color="auto" w:fill="auto"/>
            <w:vAlign w:val="bottom"/>
            <w:hideMark/>
          </w:tcPr>
          <w:p w14:paraId="2134BE8D" w14:textId="77777777" w:rsidR="00A75823" w:rsidRPr="00A75823" w:rsidRDefault="00A75823" w:rsidP="00BD55B9">
            <w:pPr>
              <w:pStyle w:val="AppendixATableTextRight"/>
            </w:pPr>
            <w:r w:rsidRPr="00A75823">
              <w:t> </w:t>
            </w:r>
          </w:p>
        </w:tc>
        <w:tc>
          <w:tcPr>
            <w:tcW w:w="406" w:type="pct"/>
            <w:tcBorders>
              <w:top w:val="nil"/>
              <w:left w:val="nil"/>
              <w:bottom w:val="single" w:sz="4" w:space="0" w:color="auto"/>
              <w:right w:val="single" w:sz="4" w:space="0" w:color="auto"/>
            </w:tcBorders>
            <w:shd w:val="clear" w:color="auto" w:fill="auto"/>
            <w:vAlign w:val="bottom"/>
            <w:hideMark/>
          </w:tcPr>
          <w:p w14:paraId="7F7EF7EB" w14:textId="77777777" w:rsidR="00A75823" w:rsidRPr="00A75823" w:rsidRDefault="00A75823" w:rsidP="00BD55B9">
            <w:pPr>
              <w:pStyle w:val="AppendixATableTextRight"/>
            </w:pPr>
            <w:r w:rsidRPr="00A75823">
              <w:t> </w:t>
            </w:r>
          </w:p>
        </w:tc>
        <w:tc>
          <w:tcPr>
            <w:tcW w:w="408" w:type="pct"/>
            <w:tcBorders>
              <w:top w:val="nil"/>
              <w:left w:val="nil"/>
              <w:bottom w:val="single" w:sz="4" w:space="0" w:color="auto"/>
              <w:right w:val="single" w:sz="4" w:space="0" w:color="auto"/>
            </w:tcBorders>
            <w:shd w:val="clear" w:color="auto" w:fill="auto"/>
            <w:vAlign w:val="bottom"/>
            <w:hideMark/>
          </w:tcPr>
          <w:p w14:paraId="44F9E443" w14:textId="77777777" w:rsidR="00A75823" w:rsidRPr="00A75823" w:rsidRDefault="00A75823" w:rsidP="00BD55B9">
            <w:pPr>
              <w:pStyle w:val="AppendixATableTextRight"/>
            </w:pPr>
            <w:r w:rsidRPr="00A75823">
              <w:t> </w:t>
            </w:r>
          </w:p>
        </w:tc>
        <w:tc>
          <w:tcPr>
            <w:tcW w:w="437" w:type="pct"/>
            <w:tcBorders>
              <w:top w:val="nil"/>
              <w:left w:val="nil"/>
              <w:bottom w:val="single" w:sz="4" w:space="0" w:color="auto"/>
              <w:right w:val="single" w:sz="4" w:space="0" w:color="auto"/>
            </w:tcBorders>
            <w:shd w:val="clear" w:color="auto" w:fill="auto"/>
            <w:vAlign w:val="bottom"/>
            <w:hideMark/>
          </w:tcPr>
          <w:p w14:paraId="41B6BBC7" w14:textId="77777777" w:rsidR="00A75823" w:rsidRPr="00A75823" w:rsidRDefault="00A75823" w:rsidP="00BD55B9">
            <w:pPr>
              <w:pStyle w:val="AppendixATableTextRight"/>
            </w:pPr>
            <w:r w:rsidRPr="00A75823">
              <w:t> </w:t>
            </w:r>
          </w:p>
        </w:tc>
        <w:tc>
          <w:tcPr>
            <w:tcW w:w="375" w:type="pct"/>
            <w:tcBorders>
              <w:top w:val="nil"/>
              <w:left w:val="nil"/>
              <w:bottom w:val="single" w:sz="4" w:space="0" w:color="auto"/>
              <w:right w:val="nil"/>
            </w:tcBorders>
            <w:shd w:val="clear" w:color="auto" w:fill="auto"/>
            <w:vAlign w:val="bottom"/>
            <w:hideMark/>
          </w:tcPr>
          <w:p w14:paraId="1A4E882E" w14:textId="77777777" w:rsidR="00A75823" w:rsidRPr="00A75823" w:rsidRDefault="00A75823" w:rsidP="00BD55B9">
            <w:pPr>
              <w:pStyle w:val="AppendixATableTextRight"/>
            </w:pPr>
            <w:r w:rsidRPr="00A75823">
              <w:t> </w:t>
            </w:r>
          </w:p>
        </w:tc>
        <w:tc>
          <w:tcPr>
            <w:tcW w:w="375" w:type="pct"/>
            <w:tcBorders>
              <w:top w:val="nil"/>
              <w:left w:val="single" w:sz="4" w:space="0" w:color="auto"/>
              <w:bottom w:val="single" w:sz="4" w:space="0" w:color="auto"/>
              <w:right w:val="nil"/>
            </w:tcBorders>
            <w:shd w:val="clear" w:color="auto" w:fill="auto"/>
            <w:vAlign w:val="bottom"/>
            <w:hideMark/>
          </w:tcPr>
          <w:p w14:paraId="51CAF9BE" w14:textId="77777777" w:rsidR="00A75823" w:rsidRPr="00A75823" w:rsidRDefault="00A75823" w:rsidP="00BD55B9">
            <w:pPr>
              <w:pStyle w:val="AppendixATableTextRight"/>
            </w:pPr>
            <w:r w:rsidRPr="00A75823">
              <w:t> </w:t>
            </w:r>
          </w:p>
        </w:tc>
        <w:tc>
          <w:tcPr>
            <w:tcW w:w="344" w:type="pct"/>
            <w:tcBorders>
              <w:top w:val="nil"/>
              <w:left w:val="single" w:sz="4" w:space="0" w:color="auto"/>
              <w:bottom w:val="single" w:sz="4" w:space="0" w:color="auto"/>
              <w:right w:val="nil"/>
            </w:tcBorders>
            <w:shd w:val="clear" w:color="auto" w:fill="auto"/>
            <w:vAlign w:val="bottom"/>
            <w:hideMark/>
          </w:tcPr>
          <w:p w14:paraId="72DBCE3B" w14:textId="77777777" w:rsidR="00A75823" w:rsidRPr="00A75823" w:rsidRDefault="00A75823" w:rsidP="00BD55B9">
            <w:pPr>
              <w:pStyle w:val="AppendixATableTextRight"/>
            </w:pPr>
            <w:r w:rsidRPr="00A75823">
              <w:t> </w:t>
            </w:r>
          </w:p>
        </w:tc>
        <w:tc>
          <w:tcPr>
            <w:tcW w:w="375" w:type="pct"/>
            <w:tcBorders>
              <w:top w:val="nil"/>
              <w:left w:val="single" w:sz="4" w:space="0" w:color="auto"/>
              <w:bottom w:val="single" w:sz="4" w:space="0" w:color="auto"/>
              <w:right w:val="single" w:sz="4" w:space="0" w:color="auto"/>
            </w:tcBorders>
            <w:shd w:val="clear" w:color="auto" w:fill="auto"/>
            <w:vAlign w:val="bottom"/>
            <w:hideMark/>
          </w:tcPr>
          <w:p w14:paraId="75838FF6" w14:textId="77777777" w:rsidR="00A75823" w:rsidRPr="00A75823" w:rsidRDefault="00A75823" w:rsidP="00BD55B9">
            <w:pPr>
              <w:pStyle w:val="AppendixATableTextRight"/>
            </w:pPr>
            <w:r w:rsidRPr="00A75823">
              <w:t> </w:t>
            </w:r>
          </w:p>
        </w:tc>
        <w:tc>
          <w:tcPr>
            <w:tcW w:w="343" w:type="pct"/>
            <w:tcBorders>
              <w:top w:val="nil"/>
              <w:left w:val="nil"/>
              <w:bottom w:val="single" w:sz="4" w:space="0" w:color="auto"/>
              <w:right w:val="single" w:sz="4" w:space="0" w:color="auto"/>
            </w:tcBorders>
            <w:shd w:val="clear" w:color="auto" w:fill="auto"/>
            <w:vAlign w:val="bottom"/>
            <w:hideMark/>
          </w:tcPr>
          <w:p w14:paraId="5336CB2C" w14:textId="77777777" w:rsidR="00A75823" w:rsidRPr="00A75823" w:rsidRDefault="00A75823" w:rsidP="00BD55B9">
            <w:pPr>
              <w:pStyle w:val="AppendixATableTextRight"/>
            </w:pPr>
            <w:r w:rsidRPr="00A75823">
              <w:t> </w:t>
            </w:r>
          </w:p>
        </w:tc>
      </w:tr>
      <w:tr w:rsidR="00A75823" w:rsidRPr="00A75823" w14:paraId="0ABD935D" w14:textId="77777777" w:rsidTr="00594D9F">
        <w:tc>
          <w:tcPr>
            <w:tcW w:w="1562"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16FD3141" w14:textId="7E8F1919" w:rsidR="00A75823" w:rsidRPr="00A75823" w:rsidRDefault="00A75823" w:rsidP="00BD55B9">
            <w:pPr>
              <w:pStyle w:val="AppendixAMainTaskSubtask"/>
            </w:pPr>
            <w:r w:rsidRPr="00A75823">
              <w:t>3. ACQUISITION, INSTALLATION, AND UTILIZATION OF TECHNOLOGY AND SYSTEMS</w:t>
            </w:r>
          </w:p>
        </w:tc>
        <w:tc>
          <w:tcPr>
            <w:tcW w:w="375" w:type="pct"/>
            <w:tcBorders>
              <w:top w:val="nil"/>
              <w:left w:val="nil"/>
              <w:bottom w:val="single" w:sz="4" w:space="0" w:color="auto"/>
              <w:right w:val="single" w:sz="4" w:space="0" w:color="auto"/>
            </w:tcBorders>
            <w:shd w:val="clear" w:color="auto" w:fill="auto"/>
            <w:vAlign w:val="bottom"/>
            <w:hideMark/>
          </w:tcPr>
          <w:p w14:paraId="0A5739E6" w14:textId="77777777" w:rsidR="00A75823" w:rsidRPr="00A75823" w:rsidRDefault="00A75823" w:rsidP="00BD55B9">
            <w:pPr>
              <w:pStyle w:val="AppendixATableTextRight"/>
            </w:pPr>
            <w:r w:rsidRPr="00A75823">
              <w:t> </w:t>
            </w:r>
          </w:p>
        </w:tc>
        <w:tc>
          <w:tcPr>
            <w:tcW w:w="406" w:type="pct"/>
            <w:tcBorders>
              <w:top w:val="nil"/>
              <w:left w:val="nil"/>
              <w:bottom w:val="single" w:sz="4" w:space="0" w:color="auto"/>
              <w:right w:val="single" w:sz="4" w:space="0" w:color="auto"/>
            </w:tcBorders>
            <w:shd w:val="clear" w:color="auto" w:fill="auto"/>
            <w:vAlign w:val="bottom"/>
            <w:hideMark/>
          </w:tcPr>
          <w:p w14:paraId="4F54D145" w14:textId="77777777" w:rsidR="00A75823" w:rsidRPr="00A75823" w:rsidRDefault="00A75823" w:rsidP="00BD55B9">
            <w:pPr>
              <w:pStyle w:val="AppendixATableTextRight"/>
            </w:pPr>
            <w:r w:rsidRPr="00A75823">
              <w:t> </w:t>
            </w:r>
          </w:p>
        </w:tc>
        <w:tc>
          <w:tcPr>
            <w:tcW w:w="408" w:type="pct"/>
            <w:tcBorders>
              <w:top w:val="nil"/>
              <w:left w:val="nil"/>
              <w:bottom w:val="single" w:sz="4" w:space="0" w:color="auto"/>
              <w:right w:val="single" w:sz="4" w:space="0" w:color="auto"/>
            </w:tcBorders>
            <w:shd w:val="clear" w:color="auto" w:fill="auto"/>
            <w:vAlign w:val="bottom"/>
            <w:hideMark/>
          </w:tcPr>
          <w:p w14:paraId="03ED1E0F" w14:textId="77777777" w:rsidR="00A75823" w:rsidRPr="00A75823" w:rsidRDefault="00A75823" w:rsidP="00BD55B9">
            <w:pPr>
              <w:pStyle w:val="AppendixATableTextRight"/>
            </w:pPr>
            <w:r w:rsidRPr="00A75823">
              <w:t> </w:t>
            </w:r>
          </w:p>
        </w:tc>
        <w:tc>
          <w:tcPr>
            <w:tcW w:w="437" w:type="pct"/>
            <w:tcBorders>
              <w:top w:val="nil"/>
              <w:left w:val="nil"/>
              <w:bottom w:val="single" w:sz="4" w:space="0" w:color="auto"/>
              <w:right w:val="single" w:sz="4" w:space="0" w:color="auto"/>
            </w:tcBorders>
            <w:shd w:val="clear" w:color="auto" w:fill="auto"/>
            <w:vAlign w:val="bottom"/>
            <w:hideMark/>
          </w:tcPr>
          <w:p w14:paraId="3AA6DEB2" w14:textId="77777777" w:rsidR="00A75823" w:rsidRPr="00A75823" w:rsidRDefault="00A75823" w:rsidP="00BD55B9">
            <w:pPr>
              <w:pStyle w:val="AppendixATableTextRight"/>
            </w:pPr>
            <w:r w:rsidRPr="00A75823">
              <w:t> </w:t>
            </w:r>
          </w:p>
        </w:tc>
        <w:tc>
          <w:tcPr>
            <w:tcW w:w="375" w:type="pct"/>
            <w:tcBorders>
              <w:top w:val="nil"/>
              <w:left w:val="nil"/>
              <w:bottom w:val="single" w:sz="4" w:space="0" w:color="auto"/>
              <w:right w:val="nil"/>
            </w:tcBorders>
            <w:shd w:val="clear" w:color="auto" w:fill="auto"/>
            <w:vAlign w:val="bottom"/>
            <w:hideMark/>
          </w:tcPr>
          <w:p w14:paraId="2EBA23D0" w14:textId="77777777" w:rsidR="00A75823" w:rsidRPr="00A75823" w:rsidRDefault="00A75823" w:rsidP="00BD55B9">
            <w:pPr>
              <w:pStyle w:val="AppendixATableTextRight"/>
            </w:pPr>
            <w:r w:rsidRPr="00A75823">
              <w:t> </w:t>
            </w:r>
          </w:p>
        </w:tc>
        <w:tc>
          <w:tcPr>
            <w:tcW w:w="375" w:type="pct"/>
            <w:tcBorders>
              <w:top w:val="nil"/>
              <w:left w:val="single" w:sz="4" w:space="0" w:color="auto"/>
              <w:bottom w:val="single" w:sz="4" w:space="0" w:color="auto"/>
              <w:right w:val="nil"/>
            </w:tcBorders>
            <w:shd w:val="clear" w:color="auto" w:fill="auto"/>
            <w:vAlign w:val="bottom"/>
            <w:hideMark/>
          </w:tcPr>
          <w:p w14:paraId="35FCB18A" w14:textId="77777777" w:rsidR="00A75823" w:rsidRPr="00A75823" w:rsidRDefault="00A75823" w:rsidP="00BD55B9">
            <w:pPr>
              <w:pStyle w:val="AppendixATableTextRight"/>
            </w:pPr>
            <w:r w:rsidRPr="00A75823">
              <w:t> </w:t>
            </w:r>
          </w:p>
        </w:tc>
        <w:tc>
          <w:tcPr>
            <w:tcW w:w="344" w:type="pct"/>
            <w:tcBorders>
              <w:top w:val="nil"/>
              <w:left w:val="single" w:sz="4" w:space="0" w:color="auto"/>
              <w:bottom w:val="single" w:sz="4" w:space="0" w:color="auto"/>
              <w:right w:val="nil"/>
            </w:tcBorders>
            <w:shd w:val="clear" w:color="auto" w:fill="auto"/>
            <w:vAlign w:val="bottom"/>
            <w:hideMark/>
          </w:tcPr>
          <w:p w14:paraId="3A33BFD8" w14:textId="77777777" w:rsidR="00A75823" w:rsidRPr="00A75823" w:rsidRDefault="00A75823" w:rsidP="00BD55B9">
            <w:pPr>
              <w:pStyle w:val="AppendixATableTextRight"/>
            </w:pPr>
            <w:r w:rsidRPr="00A75823">
              <w:t> </w:t>
            </w:r>
          </w:p>
        </w:tc>
        <w:tc>
          <w:tcPr>
            <w:tcW w:w="375" w:type="pct"/>
            <w:tcBorders>
              <w:top w:val="nil"/>
              <w:left w:val="single" w:sz="4" w:space="0" w:color="auto"/>
              <w:bottom w:val="single" w:sz="4" w:space="0" w:color="auto"/>
              <w:right w:val="single" w:sz="4" w:space="0" w:color="auto"/>
            </w:tcBorders>
            <w:shd w:val="clear" w:color="auto" w:fill="auto"/>
            <w:vAlign w:val="bottom"/>
            <w:hideMark/>
          </w:tcPr>
          <w:p w14:paraId="6E538A99" w14:textId="77777777" w:rsidR="00A75823" w:rsidRPr="00A75823" w:rsidRDefault="00A75823" w:rsidP="00BD55B9">
            <w:pPr>
              <w:pStyle w:val="AppendixATableTextRight"/>
            </w:pPr>
            <w:r w:rsidRPr="00A75823">
              <w:t> </w:t>
            </w:r>
          </w:p>
        </w:tc>
        <w:tc>
          <w:tcPr>
            <w:tcW w:w="343" w:type="pct"/>
            <w:tcBorders>
              <w:top w:val="nil"/>
              <w:left w:val="nil"/>
              <w:bottom w:val="single" w:sz="4" w:space="0" w:color="auto"/>
              <w:right w:val="single" w:sz="4" w:space="0" w:color="auto"/>
            </w:tcBorders>
            <w:shd w:val="clear" w:color="auto" w:fill="auto"/>
            <w:vAlign w:val="bottom"/>
            <w:hideMark/>
          </w:tcPr>
          <w:p w14:paraId="15F8F437" w14:textId="77777777" w:rsidR="00A75823" w:rsidRPr="00A75823" w:rsidRDefault="00A75823" w:rsidP="00BD55B9">
            <w:pPr>
              <w:pStyle w:val="AppendixATableTextRight"/>
            </w:pPr>
            <w:r w:rsidRPr="00A75823">
              <w:t> </w:t>
            </w:r>
          </w:p>
        </w:tc>
      </w:tr>
      <w:tr w:rsidR="00A75823" w:rsidRPr="00A75823" w14:paraId="21D4A789" w14:textId="77777777" w:rsidTr="00594D9F">
        <w:tc>
          <w:tcPr>
            <w:tcW w:w="1562"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25CAFECC" w14:textId="77777777" w:rsidR="00A75823" w:rsidRPr="00A75823" w:rsidRDefault="00A75823" w:rsidP="00BD55B9">
            <w:pPr>
              <w:pStyle w:val="AppendixAMainTaskSubtask"/>
            </w:pPr>
            <w:r w:rsidRPr="00A75823">
              <w:t>4. REPORT REQUIREMENTS</w:t>
            </w:r>
          </w:p>
        </w:tc>
        <w:tc>
          <w:tcPr>
            <w:tcW w:w="375" w:type="pct"/>
            <w:tcBorders>
              <w:top w:val="nil"/>
              <w:left w:val="nil"/>
              <w:bottom w:val="single" w:sz="4" w:space="0" w:color="auto"/>
              <w:right w:val="single" w:sz="4" w:space="0" w:color="auto"/>
            </w:tcBorders>
            <w:shd w:val="clear" w:color="auto" w:fill="auto"/>
            <w:vAlign w:val="bottom"/>
            <w:hideMark/>
          </w:tcPr>
          <w:p w14:paraId="779DB1CC" w14:textId="77777777" w:rsidR="00A75823" w:rsidRPr="00A75823" w:rsidRDefault="00A75823" w:rsidP="00BD55B9">
            <w:pPr>
              <w:pStyle w:val="AppendixATableTextRight"/>
            </w:pPr>
            <w:r w:rsidRPr="00A75823">
              <w:t> </w:t>
            </w:r>
          </w:p>
        </w:tc>
        <w:tc>
          <w:tcPr>
            <w:tcW w:w="406" w:type="pct"/>
            <w:tcBorders>
              <w:top w:val="nil"/>
              <w:left w:val="nil"/>
              <w:bottom w:val="single" w:sz="4" w:space="0" w:color="auto"/>
              <w:right w:val="single" w:sz="4" w:space="0" w:color="auto"/>
            </w:tcBorders>
            <w:shd w:val="clear" w:color="auto" w:fill="auto"/>
            <w:vAlign w:val="bottom"/>
            <w:hideMark/>
          </w:tcPr>
          <w:p w14:paraId="77BAC934" w14:textId="77777777" w:rsidR="00A75823" w:rsidRPr="00A75823" w:rsidRDefault="00A75823" w:rsidP="00BD55B9">
            <w:pPr>
              <w:pStyle w:val="AppendixATableTextRight"/>
            </w:pPr>
            <w:r w:rsidRPr="00A75823">
              <w:t> </w:t>
            </w:r>
          </w:p>
        </w:tc>
        <w:tc>
          <w:tcPr>
            <w:tcW w:w="408" w:type="pct"/>
            <w:tcBorders>
              <w:top w:val="nil"/>
              <w:left w:val="nil"/>
              <w:bottom w:val="single" w:sz="4" w:space="0" w:color="auto"/>
              <w:right w:val="single" w:sz="4" w:space="0" w:color="auto"/>
            </w:tcBorders>
            <w:shd w:val="clear" w:color="auto" w:fill="auto"/>
            <w:vAlign w:val="bottom"/>
            <w:hideMark/>
          </w:tcPr>
          <w:p w14:paraId="53C5D7E2" w14:textId="77777777" w:rsidR="00A75823" w:rsidRPr="00A75823" w:rsidRDefault="00A75823" w:rsidP="00BD55B9">
            <w:pPr>
              <w:pStyle w:val="AppendixATableTextRight"/>
            </w:pPr>
            <w:r w:rsidRPr="00A75823">
              <w:t> </w:t>
            </w:r>
          </w:p>
        </w:tc>
        <w:tc>
          <w:tcPr>
            <w:tcW w:w="437" w:type="pct"/>
            <w:tcBorders>
              <w:top w:val="nil"/>
              <w:left w:val="nil"/>
              <w:bottom w:val="single" w:sz="4" w:space="0" w:color="auto"/>
              <w:right w:val="single" w:sz="4" w:space="0" w:color="auto"/>
            </w:tcBorders>
            <w:shd w:val="clear" w:color="auto" w:fill="auto"/>
            <w:vAlign w:val="bottom"/>
            <w:hideMark/>
          </w:tcPr>
          <w:p w14:paraId="67F7ED03" w14:textId="77777777" w:rsidR="00A75823" w:rsidRPr="00A75823" w:rsidRDefault="00A75823" w:rsidP="00BD55B9">
            <w:pPr>
              <w:pStyle w:val="AppendixATableTextRight"/>
            </w:pPr>
            <w:r w:rsidRPr="00A75823">
              <w:t> </w:t>
            </w:r>
          </w:p>
        </w:tc>
        <w:tc>
          <w:tcPr>
            <w:tcW w:w="375" w:type="pct"/>
            <w:tcBorders>
              <w:top w:val="nil"/>
              <w:left w:val="nil"/>
              <w:bottom w:val="single" w:sz="4" w:space="0" w:color="auto"/>
              <w:right w:val="nil"/>
            </w:tcBorders>
            <w:shd w:val="clear" w:color="auto" w:fill="auto"/>
            <w:vAlign w:val="bottom"/>
            <w:hideMark/>
          </w:tcPr>
          <w:p w14:paraId="2D4C8C38" w14:textId="77777777" w:rsidR="00A75823" w:rsidRPr="00A75823" w:rsidRDefault="00A75823" w:rsidP="00BD55B9">
            <w:pPr>
              <w:pStyle w:val="AppendixATableTextRight"/>
            </w:pPr>
            <w:r w:rsidRPr="00A75823">
              <w:t> </w:t>
            </w:r>
          </w:p>
        </w:tc>
        <w:tc>
          <w:tcPr>
            <w:tcW w:w="375" w:type="pct"/>
            <w:tcBorders>
              <w:top w:val="nil"/>
              <w:left w:val="single" w:sz="4" w:space="0" w:color="auto"/>
              <w:bottom w:val="single" w:sz="4" w:space="0" w:color="auto"/>
              <w:right w:val="nil"/>
            </w:tcBorders>
            <w:shd w:val="clear" w:color="auto" w:fill="auto"/>
            <w:vAlign w:val="bottom"/>
            <w:hideMark/>
          </w:tcPr>
          <w:p w14:paraId="6CAC0B0B" w14:textId="77777777" w:rsidR="00A75823" w:rsidRPr="00A75823" w:rsidRDefault="00A75823" w:rsidP="00BD55B9">
            <w:pPr>
              <w:pStyle w:val="AppendixATableTextRight"/>
            </w:pPr>
            <w:r w:rsidRPr="00A75823">
              <w:t> </w:t>
            </w:r>
          </w:p>
        </w:tc>
        <w:tc>
          <w:tcPr>
            <w:tcW w:w="344" w:type="pct"/>
            <w:tcBorders>
              <w:top w:val="nil"/>
              <w:left w:val="single" w:sz="4" w:space="0" w:color="auto"/>
              <w:bottom w:val="single" w:sz="4" w:space="0" w:color="auto"/>
              <w:right w:val="nil"/>
            </w:tcBorders>
            <w:shd w:val="clear" w:color="auto" w:fill="auto"/>
            <w:vAlign w:val="bottom"/>
            <w:hideMark/>
          </w:tcPr>
          <w:p w14:paraId="1F30A8DF" w14:textId="77777777" w:rsidR="00A75823" w:rsidRPr="00A75823" w:rsidRDefault="00A75823" w:rsidP="00BD55B9">
            <w:pPr>
              <w:pStyle w:val="AppendixATableTextRight"/>
            </w:pPr>
            <w:r w:rsidRPr="00A75823">
              <w:t> </w:t>
            </w:r>
          </w:p>
        </w:tc>
        <w:tc>
          <w:tcPr>
            <w:tcW w:w="375" w:type="pct"/>
            <w:tcBorders>
              <w:top w:val="nil"/>
              <w:left w:val="single" w:sz="4" w:space="0" w:color="auto"/>
              <w:bottom w:val="single" w:sz="4" w:space="0" w:color="auto"/>
              <w:right w:val="single" w:sz="4" w:space="0" w:color="auto"/>
            </w:tcBorders>
            <w:shd w:val="clear" w:color="auto" w:fill="auto"/>
            <w:vAlign w:val="bottom"/>
            <w:hideMark/>
          </w:tcPr>
          <w:p w14:paraId="28CB40DD" w14:textId="77777777" w:rsidR="00A75823" w:rsidRPr="00A75823" w:rsidRDefault="00A75823" w:rsidP="00BD55B9">
            <w:pPr>
              <w:pStyle w:val="AppendixATableTextRight"/>
            </w:pPr>
            <w:r w:rsidRPr="00A75823">
              <w:t> </w:t>
            </w:r>
          </w:p>
        </w:tc>
        <w:tc>
          <w:tcPr>
            <w:tcW w:w="343" w:type="pct"/>
            <w:tcBorders>
              <w:top w:val="nil"/>
              <w:left w:val="nil"/>
              <w:bottom w:val="single" w:sz="4" w:space="0" w:color="auto"/>
              <w:right w:val="single" w:sz="4" w:space="0" w:color="auto"/>
            </w:tcBorders>
            <w:shd w:val="clear" w:color="auto" w:fill="auto"/>
            <w:vAlign w:val="bottom"/>
            <w:hideMark/>
          </w:tcPr>
          <w:p w14:paraId="18842D90" w14:textId="77777777" w:rsidR="00A75823" w:rsidRPr="00A75823" w:rsidRDefault="00A75823" w:rsidP="00BD55B9">
            <w:pPr>
              <w:pStyle w:val="AppendixATableTextRight"/>
            </w:pPr>
            <w:r w:rsidRPr="00A75823">
              <w:t> </w:t>
            </w:r>
          </w:p>
        </w:tc>
      </w:tr>
      <w:tr w:rsidR="00A75823" w:rsidRPr="00A75823" w14:paraId="74E7E5D2" w14:textId="77777777" w:rsidTr="002349E8">
        <w:tc>
          <w:tcPr>
            <w:tcW w:w="90" w:type="pct"/>
            <w:tcBorders>
              <w:top w:val="nil"/>
              <w:left w:val="single" w:sz="4" w:space="0" w:color="auto"/>
              <w:bottom w:val="single" w:sz="4" w:space="0" w:color="auto"/>
              <w:right w:val="nil"/>
            </w:tcBorders>
            <w:shd w:val="clear" w:color="auto" w:fill="auto"/>
            <w:vAlign w:val="bottom"/>
            <w:hideMark/>
          </w:tcPr>
          <w:p w14:paraId="762BEB6A" w14:textId="77777777" w:rsidR="00A75823" w:rsidRPr="00BD55B9" w:rsidRDefault="00A75823" w:rsidP="00BD55B9">
            <w:pPr>
              <w:pStyle w:val="AppendixAMainTaskSubtask"/>
            </w:pPr>
            <w:r w:rsidRPr="00BD55B9">
              <w:t> </w:t>
            </w:r>
          </w:p>
        </w:tc>
        <w:tc>
          <w:tcPr>
            <w:tcW w:w="1472" w:type="pct"/>
            <w:gridSpan w:val="2"/>
            <w:tcBorders>
              <w:top w:val="single" w:sz="4" w:space="0" w:color="auto"/>
              <w:left w:val="nil"/>
              <w:bottom w:val="single" w:sz="4" w:space="0" w:color="auto"/>
              <w:right w:val="single" w:sz="4" w:space="0" w:color="000000"/>
            </w:tcBorders>
            <w:shd w:val="clear" w:color="auto" w:fill="auto"/>
            <w:vAlign w:val="bottom"/>
            <w:hideMark/>
          </w:tcPr>
          <w:p w14:paraId="0DF327A3" w14:textId="77777777" w:rsidR="00A75823" w:rsidRPr="00A75823" w:rsidRDefault="00A75823" w:rsidP="00BD55B9">
            <w:pPr>
              <w:pStyle w:val="AppendixAMainTaskSubtask"/>
            </w:pPr>
            <w:r w:rsidRPr="00A75823">
              <w:t>A. Read Rule, Instructions, Guidance Documents</w:t>
            </w:r>
          </w:p>
        </w:tc>
        <w:tc>
          <w:tcPr>
            <w:tcW w:w="375" w:type="pct"/>
            <w:tcBorders>
              <w:top w:val="nil"/>
              <w:left w:val="nil"/>
              <w:bottom w:val="single" w:sz="4" w:space="0" w:color="auto"/>
              <w:right w:val="single" w:sz="4" w:space="0" w:color="auto"/>
            </w:tcBorders>
            <w:shd w:val="clear" w:color="auto" w:fill="auto"/>
            <w:vAlign w:val="bottom"/>
            <w:hideMark/>
          </w:tcPr>
          <w:p w14:paraId="444461DF" w14:textId="77777777" w:rsidR="00A75823" w:rsidRPr="00A75823" w:rsidRDefault="00A75823" w:rsidP="00BD55B9">
            <w:pPr>
              <w:pStyle w:val="AppendixATableTextRight"/>
            </w:pPr>
            <w:r w:rsidRPr="00A75823">
              <w:t> </w:t>
            </w:r>
          </w:p>
        </w:tc>
        <w:tc>
          <w:tcPr>
            <w:tcW w:w="406" w:type="pct"/>
            <w:tcBorders>
              <w:top w:val="nil"/>
              <w:left w:val="nil"/>
              <w:bottom w:val="single" w:sz="4" w:space="0" w:color="auto"/>
              <w:right w:val="single" w:sz="4" w:space="0" w:color="auto"/>
            </w:tcBorders>
            <w:shd w:val="clear" w:color="auto" w:fill="auto"/>
            <w:vAlign w:val="bottom"/>
            <w:hideMark/>
          </w:tcPr>
          <w:p w14:paraId="0E6B70B2" w14:textId="77777777" w:rsidR="00A75823" w:rsidRPr="00A75823" w:rsidRDefault="00A75823" w:rsidP="00BD55B9">
            <w:pPr>
              <w:pStyle w:val="AppendixATableTextRight"/>
            </w:pPr>
            <w:r w:rsidRPr="00A75823">
              <w:t> </w:t>
            </w:r>
          </w:p>
        </w:tc>
        <w:tc>
          <w:tcPr>
            <w:tcW w:w="408" w:type="pct"/>
            <w:tcBorders>
              <w:top w:val="nil"/>
              <w:left w:val="nil"/>
              <w:bottom w:val="single" w:sz="4" w:space="0" w:color="auto"/>
              <w:right w:val="single" w:sz="4" w:space="0" w:color="auto"/>
            </w:tcBorders>
            <w:shd w:val="clear" w:color="auto" w:fill="auto"/>
            <w:vAlign w:val="bottom"/>
            <w:hideMark/>
          </w:tcPr>
          <w:p w14:paraId="4ACF177C" w14:textId="77777777" w:rsidR="00A75823" w:rsidRPr="00A75823" w:rsidRDefault="00A75823" w:rsidP="00BD55B9">
            <w:pPr>
              <w:pStyle w:val="AppendixATableTextRight"/>
            </w:pPr>
            <w:r w:rsidRPr="00A75823">
              <w:t> </w:t>
            </w:r>
          </w:p>
        </w:tc>
        <w:tc>
          <w:tcPr>
            <w:tcW w:w="437" w:type="pct"/>
            <w:tcBorders>
              <w:top w:val="nil"/>
              <w:left w:val="nil"/>
              <w:bottom w:val="single" w:sz="4" w:space="0" w:color="auto"/>
              <w:right w:val="single" w:sz="4" w:space="0" w:color="auto"/>
            </w:tcBorders>
            <w:shd w:val="clear" w:color="auto" w:fill="auto"/>
            <w:vAlign w:val="bottom"/>
            <w:hideMark/>
          </w:tcPr>
          <w:p w14:paraId="05C4BA14" w14:textId="77777777" w:rsidR="00A75823" w:rsidRPr="00A75823" w:rsidRDefault="00A75823" w:rsidP="00BD55B9">
            <w:pPr>
              <w:pStyle w:val="AppendixATableTextRight"/>
            </w:pPr>
            <w:r w:rsidRPr="00A75823">
              <w:t> </w:t>
            </w:r>
          </w:p>
        </w:tc>
        <w:tc>
          <w:tcPr>
            <w:tcW w:w="375" w:type="pct"/>
            <w:tcBorders>
              <w:top w:val="nil"/>
              <w:left w:val="nil"/>
              <w:bottom w:val="single" w:sz="4" w:space="0" w:color="auto"/>
              <w:right w:val="nil"/>
            </w:tcBorders>
            <w:shd w:val="clear" w:color="auto" w:fill="auto"/>
            <w:vAlign w:val="bottom"/>
            <w:hideMark/>
          </w:tcPr>
          <w:p w14:paraId="6723566C" w14:textId="77777777" w:rsidR="00A75823" w:rsidRPr="00A75823" w:rsidRDefault="00A75823" w:rsidP="00BD55B9">
            <w:pPr>
              <w:pStyle w:val="AppendixATableTextRight"/>
            </w:pPr>
            <w:r w:rsidRPr="00A75823">
              <w:t> </w:t>
            </w:r>
          </w:p>
        </w:tc>
        <w:tc>
          <w:tcPr>
            <w:tcW w:w="375" w:type="pct"/>
            <w:tcBorders>
              <w:top w:val="nil"/>
              <w:left w:val="single" w:sz="4" w:space="0" w:color="auto"/>
              <w:bottom w:val="single" w:sz="4" w:space="0" w:color="auto"/>
              <w:right w:val="nil"/>
            </w:tcBorders>
            <w:shd w:val="clear" w:color="auto" w:fill="auto"/>
            <w:vAlign w:val="bottom"/>
            <w:hideMark/>
          </w:tcPr>
          <w:p w14:paraId="51B7602C" w14:textId="77777777" w:rsidR="00A75823" w:rsidRPr="00A75823" w:rsidRDefault="00A75823" w:rsidP="00BD55B9">
            <w:pPr>
              <w:pStyle w:val="AppendixATableTextRight"/>
            </w:pPr>
            <w:r w:rsidRPr="00A75823">
              <w:t> </w:t>
            </w:r>
          </w:p>
        </w:tc>
        <w:tc>
          <w:tcPr>
            <w:tcW w:w="344" w:type="pct"/>
            <w:tcBorders>
              <w:top w:val="nil"/>
              <w:left w:val="single" w:sz="4" w:space="0" w:color="auto"/>
              <w:bottom w:val="single" w:sz="4" w:space="0" w:color="auto"/>
              <w:right w:val="nil"/>
            </w:tcBorders>
            <w:shd w:val="clear" w:color="auto" w:fill="auto"/>
            <w:vAlign w:val="bottom"/>
            <w:hideMark/>
          </w:tcPr>
          <w:p w14:paraId="02F16A41" w14:textId="77777777" w:rsidR="00A75823" w:rsidRPr="00A75823" w:rsidRDefault="00A75823" w:rsidP="00BD55B9">
            <w:pPr>
              <w:pStyle w:val="AppendixATableTextRight"/>
            </w:pPr>
            <w:r w:rsidRPr="00A75823">
              <w:t> </w:t>
            </w:r>
          </w:p>
        </w:tc>
        <w:tc>
          <w:tcPr>
            <w:tcW w:w="375" w:type="pct"/>
            <w:tcBorders>
              <w:top w:val="nil"/>
              <w:left w:val="single" w:sz="4" w:space="0" w:color="auto"/>
              <w:bottom w:val="single" w:sz="4" w:space="0" w:color="auto"/>
              <w:right w:val="single" w:sz="4" w:space="0" w:color="auto"/>
            </w:tcBorders>
            <w:shd w:val="clear" w:color="auto" w:fill="auto"/>
            <w:vAlign w:val="bottom"/>
            <w:hideMark/>
          </w:tcPr>
          <w:p w14:paraId="0285F32B" w14:textId="77777777" w:rsidR="00A75823" w:rsidRPr="00A75823" w:rsidRDefault="00A75823" w:rsidP="00BD55B9">
            <w:pPr>
              <w:pStyle w:val="AppendixATableTextRight"/>
            </w:pPr>
            <w:r w:rsidRPr="00A75823">
              <w:t> </w:t>
            </w:r>
          </w:p>
        </w:tc>
        <w:tc>
          <w:tcPr>
            <w:tcW w:w="343" w:type="pct"/>
            <w:tcBorders>
              <w:top w:val="nil"/>
              <w:left w:val="nil"/>
              <w:bottom w:val="single" w:sz="4" w:space="0" w:color="auto"/>
              <w:right w:val="single" w:sz="4" w:space="0" w:color="auto"/>
            </w:tcBorders>
            <w:shd w:val="clear" w:color="auto" w:fill="auto"/>
            <w:vAlign w:val="bottom"/>
            <w:hideMark/>
          </w:tcPr>
          <w:p w14:paraId="67CE6AE6" w14:textId="77777777" w:rsidR="00A75823" w:rsidRPr="00A75823" w:rsidRDefault="00A75823" w:rsidP="00BD55B9">
            <w:pPr>
              <w:pStyle w:val="AppendixATableTextRight"/>
            </w:pPr>
            <w:r w:rsidRPr="00A75823">
              <w:t> </w:t>
            </w:r>
          </w:p>
        </w:tc>
      </w:tr>
      <w:tr w:rsidR="00A75823" w:rsidRPr="00A75823" w14:paraId="1D793B1E" w14:textId="77777777" w:rsidTr="002349E8">
        <w:tc>
          <w:tcPr>
            <w:tcW w:w="90" w:type="pct"/>
            <w:tcBorders>
              <w:top w:val="nil"/>
              <w:left w:val="single" w:sz="4" w:space="0" w:color="auto"/>
              <w:bottom w:val="single" w:sz="4" w:space="0" w:color="auto"/>
              <w:right w:val="nil"/>
            </w:tcBorders>
            <w:shd w:val="clear" w:color="auto" w:fill="auto"/>
            <w:vAlign w:val="bottom"/>
            <w:hideMark/>
          </w:tcPr>
          <w:p w14:paraId="7F688D8A" w14:textId="77777777" w:rsidR="00A75823" w:rsidRPr="00A75823" w:rsidRDefault="00A75823" w:rsidP="00BD55B9">
            <w:pPr>
              <w:pStyle w:val="AppendixADetailTask"/>
            </w:pPr>
            <w:r w:rsidRPr="00A75823">
              <w:t> </w:t>
            </w:r>
          </w:p>
        </w:tc>
        <w:tc>
          <w:tcPr>
            <w:tcW w:w="90" w:type="pct"/>
            <w:tcBorders>
              <w:top w:val="single" w:sz="4" w:space="0" w:color="auto"/>
              <w:left w:val="nil"/>
              <w:bottom w:val="single" w:sz="4" w:space="0" w:color="auto"/>
              <w:right w:val="nil"/>
            </w:tcBorders>
            <w:shd w:val="clear" w:color="auto" w:fill="auto"/>
            <w:vAlign w:val="bottom"/>
            <w:hideMark/>
          </w:tcPr>
          <w:p w14:paraId="690AE8D5" w14:textId="77777777" w:rsidR="00A75823" w:rsidRPr="00A75823" w:rsidRDefault="00A75823" w:rsidP="00BD55B9">
            <w:pPr>
              <w:pStyle w:val="AppendixADetailTask"/>
            </w:pPr>
            <w:r w:rsidRPr="00A75823">
              <w:t> </w:t>
            </w:r>
          </w:p>
        </w:tc>
        <w:tc>
          <w:tcPr>
            <w:tcW w:w="1382" w:type="pct"/>
            <w:tcBorders>
              <w:top w:val="single" w:sz="4" w:space="0" w:color="auto"/>
              <w:left w:val="nil"/>
              <w:bottom w:val="nil"/>
              <w:right w:val="single" w:sz="4" w:space="0" w:color="000000"/>
            </w:tcBorders>
            <w:shd w:val="clear" w:color="auto" w:fill="auto"/>
            <w:vAlign w:val="bottom"/>
            <w:hideMark/>
          </w:tcPr>
          <w:p w14:paraId="62931D67" w14:textId="40861AE6" w:rsidR="00A75823" w:rsidRPr="00A75823" w:rsidRDefault="00A75823" w:rsidP="00BD55B9">
            <w:pPr>
              <w:pStyle w:val="AppendixADetailTask"/>
            </w:pPr>
            <w:r w:rsidRPr="00A75823">
              <w:t xml:space="preserve">Onshore Petroleum and Natural Gas </w:t>
            </w:r>
            <w:r w:rsidRPr="00BD55B9">
              <w:t xml:space="preserve">Gathering </w:t>
            </w:r>
            <w:r w:rsidRPr="00A75823">
              <w:t>and Boosting reporters</w:t>
            </w:r>
            <w:r w:rsidR="004A7381">
              <w:t xml:space="preserve"> </w:t>
            </w:r>
            <w:proofErr w:type="spellStart"/>
            <w:r w:rsidR="004A7381" w:rsidRPr="00BD55B9">
              <w:rPr>
                <w:rStyle w:val="Superscript"/>
              </w:rPr>
              <w:t>b</w:t>
            </w:r>
            <w:r w:rsidR="00496501">
              <w:rPr>
                <w:rStyle w:val="Superscript"/>
              </w:rPr>
              <w:t>,c</w:t>
            </w:r>
            <w:proofErr w:type="spellEnd"/>
          </w:p>
        </w:tc>
        <w:tc>
          <w:tcPr>
            <w:tcW w:w="375" w:type="pct"/>
            <w:tcBorders>
              <w:top w:val="nil"/>
              <w:left w:val="single" w:sz="4" w:space="0" w:color="auto"/>
              <w:bottom w:val="single" w:sz="4" w:space="0" w:color="auto"/>
              <w:right w:val="single" w:sz="4" w:space="0" w:color="auto"/>
            </w:tcBorders>
            <w:shd w:val="clear" w:color="auto" w:fill="auto"/>
            <w:vAlign w:val="bottom"/>
          </w:tcPr>
          <w:p w14:paraId="40DBD315" w14:textId="07E11B22" w:rsidR="00A75823" w:rsidRPr="00A75823" w:rsidRDefault="00380E87" w:rsidP="00BD55B9">
            <w:pPr>
              <w:pStyle w:val="AppendixATableTextRight"/>
            </w:pPr>
            <w:r>
              <w:t>0.00</w:t>
            </w:r>
          </w:p>
        </w:tc>
        <w:tc>
          <w:tcPr>
            <w:tcW w:w="406" w:type="pct"/>
            <w:tcBorders>
              <w:top w:val="nil"/>
              <w:left w:val="nil"/>
              <w:bottom w:val="single" w:sz="4" w:space="0" w:color="auto"/>
              <w:right w:val="single" w:sz="4" w:space="0" w:color="auto"/>
            </w:tcBorders>
            <w:shd w:val="clear" w:color="auto" w:fill="auto"/>
            <w:vAlign w:val="bottom"/>
          </w:tcPr>
          <w:p w14:paraId="4C3D9E3A" w14:textId="649FDBDB" w:rsidR="00A75823" w:rsidRPr="00A75823" w:rsidRDefault="00380E87" w:rsidP="00BD55B9">
            <w:pPr>
              <w:pStyle w:val="AppendixATableTextRight"/>
            </w:pPr>
            <w:r>
              <w:t>0</w:t>
            </w:r>
          </w:p>
        </w:tc>
        <w:tc>
          <w:tcPr>
            <w:tcW w:w="408" w:type="pct"/>
            <w:tcBorders>
              <w:top w:val="nil"/>
              <w:left w:val="nil"/>
              <w:bottom w:val="single" w:sz="4" w:space="0" w:color="auto"/>
              <w:right w:val="single" w:sz="4" w:space="0" w:color="auto"/>
            </w:tcBorders>
            <w:shd w:val="clear" w:color="auto" w:fill="auto"/>
            <w:vAlign w:val="bottom"/>
          </w:tcPr>
          <w:p w14:paraId="72EBE97D" w14:textId="6404E3CF" w:rsidR="00A75823" w:rsidRPr="00A75823" w:rsidRDefault="00380E87" w:rsidP="00BD55B9">
            <w:pPr>
              <w:pStyle w:val="AppendixATableTextRight"/>
            </w:pPr>
            <w:r>
              <w:t>0.00</w:t>
            </w:r>
          </w:p>
        </w:tc>
        <w:tc>
          <w:tcPr>
            <w:tcW w:w="437" w:type="pct"/>
            <w:tcBorders>
              <w:top w:val="nil"/>
              <w:left w:val="nil"/>
              <w:bottom w:val="single" w:sz="4" w:space="0" w:color="auto"/>
              <w:right w:val="single" w:sz="4" w:space="0" w:color="auto"/>
            </w:tcBorders>
            <w:shd w:val="clear" w:color="auto" w:fill="auto"/>
            <w:vAlign w:val="bottom"/>
          </w:tcPr>
          <w:p w14:paraId="5F69591E" w14:textId="029843A9" w:rsidR="00A75823" w:rsidRPr="00A75823" w:rsidRDefault="004A7381" w:rsidP="00BD55B9">
            <w:pPr>
              <w:pStyle w:val="AppendixATableTextRight"/>
            </w:pPr>
            <w:r>
              <w:t>200</w:t>
            </w:r>
          </w:p>
        </w:tc>
        <w:tc>
          <w:tcPr>
            <w:tcW w:w="375" w:type="pct"/>
            <w:tcBorders>
              <w:top w:val="nil"/>
              <w:left w:val="nil"/>
              <w:bottom w:val="single" w:sz="4" w:space="0" w:color="auto"/>
              <w:right w:val="nil"/>
            </w:tcBorders>
            <w:shd w:val="clear" w:color="auto" w:fill="auto"/>
            <w:vAlign w:val="bottom"/>
          </w:tcPr>
          <w:p w14:paraId="678CC5B6" w14:textId="4AD0EFEE" w:rsidR="00A75823" w:rsidRPr="00A75823" w:rsidRDefault="00380E87" w:rsidP="00BD55B9">
            <w:pPr>
              <w:pStyle w:val="AppendixATableTextRight"/>
            </w:pPr>
            <w:r>
              <w:t>0</w:t>
            </w:r>
          </w:p>
        </w:tc>
        <w:tc>
          <w:tcPr>
            <w:tcW w:w="375" w:type="pct"/>
            <w:tcBorders>
              <w:top w:val="nil"/>
              <w:left w:val="single" w:sz="4" w:space="0" w:color="auto"/>
              <w:bottom w:val="single" w:sz="4" w:space="0" w:color="auto"/>
              <w:right w:val="nil"/>
            </w:tcBorders>
            <w:shd w:val="clear" w:color="auto" w:fill="auto"/>
            <w:vAlign w:val="bottom"/>
          </w:tcPr>
          <w:p w14:paraId="1E89D3F3" w14:textId="2A5C9941" w:rsidR="00A75823" w:rsidRPr="00A75823" w:rsidRDefault="00A75823" w:rsidP="00BD55B9">
            <w:pPr>
              <w:pStyle w:val="AppendixATableTextRight"/>
            </w:pPr>
          </w:p>
        </w:tc>
        <w:tc>
          <w:tcPr>
            <w:tcW w:w="344" w:type="pct"/>
            <w:tcBorders>
              <w:top w:val="nil"/>
              <w:left w:val="single" w:sz="4" w:space="0" w:color="auto"/>
              <w:bottom w:val="single" w:sz="4" w:space="0" w:color="auto"/>
              <w:right w:val="nil"/>
            </w:tcBorders>
            <w:shd w:val="clear" w:color="auto" w:fill="auto"/>
            <w:vAlign w:val="bottom"/>
          </w:tcPr>
          <w:p w14:paraId="2894DC48" w14:textId="69D1A2BA" w:rsidR="00A75823" w:rsidRPr="00A75823" w:rsidRDefault="00A75823" w:rsidP="00BD55B9">
            <w:pPr>
              <w:pStyle w:val="AppendixATableTextRight"/>
            </w:pPr>
          </w:p>
        </w:tc>
        <w:tc>
          <w:tcPr>
            <w:tcW w:w="375" w:type="pct"/>
            <w:tcBorders>
              <w:top w:val="nil"/>
              <w:left w:val="single" w:sz="4" w:space="0" w:color="auto"/>
              <w:bottom w:val="single" w:sz="4" w:space="0" w:color="auto"/>
              <w:right w:val="single" w:sz="4" w:space="0" w:color="auto"/>
            </w:tcBorders>
            <w:shd w:val="clear" w:color="auto" w:fill="auto"/>
            <w:vAlign w:val="bottom"/>
          </w:tcPr>
          <w:p w14:paraId="71D3892D" w14:textId="1BE636D1" w:rsidR="00A75823" w:rsidRPr="00A75823" w:rsidRDefault="00A75823" w:rsidP="00BD55B9">
            <w:pPr>
              <w:pStyle w:val="AppendixATableTextRight"/>
            </w:pPr>
          </w:p>
        </w:tc>
        <w:tc>
          <w:tcPr>
            <w:tcW w:w="343" w:type="pct"/>
            <w:tcBorders>
              <w:top w:val="nil"/>
              <w:left w:val="nil"/>
              <w:bottom w:val="single" w:sz="4" w:space="0" w:color="auto"/>
              <w:right w:val="single" w:sz="4" w:space="0" w:color="auto"/>
            </w:tcBorders>
            <w:shd w:val="clear" w:color="auto" w:fill="auto"/>
            <w:vAlign w:val="bottom"/>
            <w:hideMark/>
          </w:tcPr>
          <w:p w14:paraId="5B426713" w14:textId="77777777" w:rsidR="00A75823" w:rsidRPr="00A75823" w:rsidRDefault="00A75823" w:rsidP="00BD55B9">
            <w:pPr>
              <w:pStyle w:val="AppendixATableTextRight"/>
            </w:pPr>
            <w:r w:rsidRPr="00A75823">
              <w:t>$0</w:t>
            </w:r>
          </w:p>
        </w:tc>
      </w:tr>
      <w:tr w:rsidR="00A75823" w:rsidRPr="00A75823" w14:paraId="4BDCB9E9" w14:textId="77777777" w:rsidTr="002349E8">
        <w:tc>
          <w:tcPr>
            <w:tcW w:w="90" w:type="pct"/>
            <w:tcBorders>
              <w:top w:val="nil"/>
              <w:left w:val="single" w:sz="4" w:space="0" w:color="auto"/>
              <w:bottom w:val="single" w:sz="4" w:space="0" w:color="auto"/>
              <w:right w:val="nil"/>
            </w:tcBorders>
            <w:shd w:val="clear" w:color="auto" w:fill="auto"/>
            <w:vAlign w:val="bottom"/>
            <w:hideMark/>
          </w:tcPr>
          <w:p w14:paraId="4EDDA100" w14:textId="77777777" w:rsidR="00A75823" w:rsidRPr="00A75823" w:rsidRDefault="00A75823" w:rsidP="00BD55B9">
            <w:pPr>
              <w:pStyle w:val="AppendixADetailTask"/>
            </w:pPr>
            <w:r w:rsidRPr="00A75823">
              <w:t> </w:t>
            </w:r>
          </w:p>
        </w:tc>
        <w:tc>
          <w:tcPr>
            <w:tcW w:w="90" w:type="pct"/>
            <w:tcBorders>
              <w:top w:val="nil"/>
              <w:left w:val="nil"/>
              <w:bottom w:val="single" w:sz="4" w:space="0" w:color="auto"/>
              <w:right w:val="nil"/>
            </w:tcBorders>
            <w:shd w:val="clear" w:color="auto" w:fill="auto"/>
            <w:vAlign w:val="bottom"/>
            <w:hideMark/>
          </w:tcPr>
          <w:p w14:paraId="27765232" w14:textId="77777777" w:rsidR="00A75823" w:rsidRPr="00A75823" w:rsidRDefault="00A75823" w:rsidP="00BD55B9">
            <w:pPr>
              <w:pStyle w:val="AppendixADetailTask"/>
            </w:pPr>
            <w:r w:rsidRPr="00A75823">
              <w:t> </w:t>
            </w:r>
          </w:p>
        </w:tc>
        <w:tc>
          <w:tcPr>
            <w:tcW w:w="1382" w:type="pct"/>
            <w:tcBorders>
              <w:top w:val="single" w:sz="4" w:space="0" w:color="auto"/>
              <w:left w:val="nil"/>
              <w:bottom w:val="single" w:sz="4" w:space="0" w:color="auto"/>
              <w:right w:val="single" w:sz="4" w:space="0" w:color="000000"/>
            </w:tcBorders>
            <w:shd w:val="clear" w:color="auto" w:fill="auto"/>
            <w:vAlign w:val="bottom"/>
            <w:hideMark/>
          </w:tcPr>
          <w:p w14:paraId="013C0FCD" w14:textId="11E2EA76" w:rsidR="00A75823" w:rsidRPr="00A75823" w:rsidRDefault="00A75823" w:rsidP="00496501">
            <w:pPr>
              <w:pStyle w:val="AppendixADetailTask"/>
            </w:pPr>
            <w:r w:rsidRPr="00A75823">
              <w:t>Onshore Petroleum and Natural Gas Production reporters</w:t>
            </w:r>
            <w:r w:rsidR="00380E87">
              <w:t xml:space="preserve"> </w:t>
            </w:r>
            <w:proofErr w:type="spellStart"/>
            <w:r w:rsidR="00496501">
              <w:rPr>
                <w:rStyle w:val="Superscript"/>
              </w:rPr>
              <w:t>b</w:t>
            </w:r>
            <w:r w:rsidR="004A7381" w:rsidRPr="00BD55B9">
              <w:rPr>
                <w:rStyle w:val="Superscript"/>
              </w:rPr>
              <w:t>,</w:t>
            </w:r>
            <w:r w:rsidR="00496501">
              <w:rPr>
                <w:rStyle w:val="Superscript"/>
              </w:rPr>
              <w:t>d</w:t>
            </w:r>
            <w:proofErr w:type="spellEnd"/>
          </w:p>
        </w:tc>
        <w:tc>
          <w:tcPr>
            <w:tcW w:w="375" w:type="pct"/>
            <w:tcBorders>
              <w:top w:val="nil"/>
              <w:left w:val="nil"/>
              <w:bottom w:val="single" w:sz="4" w:space="0" w:color="auto"/>
              <w:right w:val="single" w:sz="4" w:space="0" w:color="auto"/>
            </w:tcBorders>
            <w:shd w:val="clear" w:color="auto" w:fill="auto"/>
            <w:vAlign w:val="bottom"/>
          </w:tcPr>
          <w:p w14:paraId="7836D175" w14:textId="61DA8E76" w:rsidR="00A75823" w:rsidRPr="00A75823" w:rsidRDefault="00380E87" w:rsidP="00BD55B9">
            <w:pPr>
              <w:pStyle w:val="AppendixATableTextRight"/>
            </w:pPr>
            <w:r>
              <w:t>0.00</w:t>
            </w:r>
          </w:p>
        </w:tc>
        <w:tc>
          <w:tcPr>
            <w:tcW w:w="406" w:type="pct"/>
            <w:tcBorders>
              <w:top w:val="nil"/>
              <w:left w:val="nil"/>
              <w:bottom w:val="single" w:sz="4" w:space="0" w:color="auto"/>
              <w:right w:val="single" w:sz="4" w:space="0" w:color="auto"/>
            </w:tcBorders>
            <w:shd w:val="clear" w:color="auto" w:fill="auto"/>
            <w:vAlign w:val="bottom"/>
          </w:tcPr>
          <w:p w14:paraId="6A0E793A" w14:textId="63C24D34" w:rsidR="00A75823" w:rsidRPr="00A75823" w:rsidRDefault="00380E87" w:rsidP="00BD55B9">
            <w:pPr>
              <w:pStyle w:val="AppendixATableTextRight"/>
            </w:pPr>
            <w:r>
              <w:t>0</w:t>
            </w:r>
          </w:p>
        </w:tc>
        <w:tc>
          <w:tcPr>
            <w:tcW w:w="408" w:type="pct"/>
            <w:tcBorders>
              <w:top w:val="nil"/>
              <w:left w:val="nil"/>
              <w:bottom w:val="single" w:sz="4" w:space="0" w:color="auto"/>
              <w:right w:val="single" w:sz="4" w:space="0" w:color="auto"/>
            </w:tcBorders>
            <w:shd w:val="clear" w:color="auto" w:fill="auto"/>
            <w:vAlign w:val="bottom"/>
          </w:tcPr>
          <w:p w14:paraId="484D97E3" w14:textId="1702DDD5" w:rsidR="00A75823" w:rsidRPr="00A75823" w:rsidRDefault="00380E87" w:rsidP="00BD55B9">
            <w:pPr>
              <w:pStyle w:val="AppendixATableTextRight"/>
            </w:pPr>
            <w:r>
              <w:t>0.00</w:t>
            </w:r>
          </w:p>
        </w:tc>
        <w:tc>
          <w:tcPr>
            <w:tcW w:w="437" w:type="pct"/>
            <w:tcBorders>
              <w:top w:val="nil"/>
              <w:left w:val="nil"/>
              <w:bottom w:val="single" w:sz="4" w:space="0" w:color="auto"/>
              <w:right w:val="single" w:sz="4" w:space="0" w:color="auto"/>
            </w:tcBorders>
            <w:shd w:val="clear" w:color="auto" w:fill="auto"/>
            <w:vAlign w:val="bottom"/>
          </w:tcPr>
          <w:p w14:paraId="63C8B5EE" w14:textId="0B7BD5FC" w:rsidR="00A75823" w:rsidRPr="00A75823" w:rsidRDefault="004A7381" w:rsidP="00BD55B9">
            <w:pPr>
              <w:pStyle w:val="AppendixATableTextRight"/>
            </w:pPr>
            <w:r>
              <w:t>553</w:t>
            </w:r>
          </w:p>
        </w:tc>
        <w:tc>
          <w:tcPr>
            <w:tcW w:w="375" w:type="pct"/>
            <w:tcBorders>
              <w:top w:val="nil"/>
              <w:left w:val="nil"/>
              <w:bottom w:val="single" w:sz="4" w:space="0" w:color="auto"/>
              <w:right w:val="nil"/>
            </w:tcBorders>
            <w:shd w:val="clear" w:color="auto" w:fill="auto"/>
            <w:vAlign w:val="bottom"/>
          </w:tcPr>
          <w:p w14:paraId="25F85CD4" w14:textId="4C9147B7" w:rsidR="00A75823" w:rsidRPr="00A75823" w:rsidRDefault="00380E87" w:rsidP="00BD55B9">
            <w:pPr>
              <w:pStyle w:val="AppendixATableTextRight"/>
            </w:pPr>
            <w:r>
              <w:t>0</w:t>
            </w:r>
          </w:p>
        </w:tc>
        <w:tc>
          <w:tcPr>
            <w:tcW w:w="375" w:type="pct"/>
            <w:tcBorders>
              <w:top w:val="nil"/>
              <w:left w:val="single" w:sz="4" w:space="0" w:color="auto"/>
              <w:bottom w:val="single" w:sz="4" w:space="0" w:color="auto"/>
              <w:right w:val="nil"/>
            </w:tcBorders>
            <w:shd w:val="clear" w:color="auto" w:fill="auto"/>
            <w:vAlign w:val="bottom"/>
          </w:tcPr>
          <w:p w14:paraId="440E0409" w14:textId="73D98533" w:rsidR="00A75823" w:rsidRPr="00A75823" w:rsidRDefault="00A75823" w:rsidP="00BD55B9">
            <w:pPr>
              <w:pStyle w:val="AppendixATableTextRight"/>
            </w:pPr>
          </w:p>
        </w:tc>
        <w:tc>
          <w:tcPr>
            <w:tcW w:w="344" w:type="pct"/>
            <w:tcBorders>
              <w:top w:val="nil"/>
              <w:left w:val="single" w:sz="4" w:space="0" w:color="auto"/>
              <w:bottom w:val="single" w:sz="4" w:space="0" w:color="auto"/>
              <w:right w:val="nil"/>
            </w:tcBorders>
            <w:shd w:val="clear" w:color="auto" w:fill="auto"/>
            <w:vAlign w:val="bottom"/>
          </w:tcPr>
          <w:p w14:paraId="68BDB0FF" w14:textId="69F19477" w:rsidR="00A75823" w:rsidRPr="00A75823" w:rsidRDefault="00A75823" w:rsidP="00BD55B9">
            <w:pPr>
              <w:pStyle w:val="AppendixATableTextRight"/>
            </w:pPr>
          </w:p>
        </w:tc>
        <w:tc>
          <w:tcPr>
            <w:tcW w:w="375" w:type="pct"/>
            <w:tcBorders>
              <w:top w:val="nil"/>
              <w:left w:val="single" w:sz="4" w:space="0" w:color="auto"/>
              <w:bottom w:val="single" w:sz="4" w:space="0" w:color="auto"/>
              <w:right w:val="single" w:sz="4" w:space="0" w:color="auto"/>
            </w:tcBorders>
            <w:shd w:val="clear" w:color="auto" w:fill="auto"/>
            <w:vAlign w:val="bottom"/>
          </w:tcPr>
          <w:p w14:paraId="503C1DC6" w14:textId="132412CA" w:rsidR="00A75823" w:rsidRPr="00A75823" w:rsidRDefault="00A75823" w:rsidP="00BD55B9">
            <w:pPr>
              <w:pStyle w:val="AppendixATableTextRight"/>
            </w:pPr>
          </w:p>
        </w:tc>
        <w:tc>
          <w:tcPr>
            <w:tcW w:w="343" w:type="pct"/>
            <w:tcBorders>
              <w:top w:val="nil"/>
              <w:left w:val="nil"/>
              <w:bottom w:val="single" w:sz="4" w:space="0" w:color="auto"/>
              <w:right w:val="single" w:sz="4" w:space="0" w:color="auto"/>
            </w:tcBorders>
            <w:shd w:val="clear" w:color="auto" w:fill="auto"/>
            <w:vAlign w:val="bottom"/>
            <w:hideMark/>
          </w:tcPr>
          <w:p w14:paraId="2D4F076D" w14:textId="77777777" w:rsidR="00A75823" w:rsidRPr="00A75823" w:rsidRDefault="00A75823" w:rsidP="00BD55B9">
            <w:pPr>
              <w:pStyle w:val="AppendixATableTextRight"/>
            </w:pPr>
            <w:r w:rsidRPr="00A75823">
              <w:t>$0</w:t>
            </w:r>
          </w:p>
        </w:tc>
      </w:tr>
      <w:tr w:rsidR="00A75823" w:rsidRPr="00A75823" w14:paraId="4A9CCAFB" w14:textId="77777777" w:rsidTr="002349E8">
        <w:tc>
          <w:tcPr>
            <w:tcW w:w="90" w:type="pct"/>
            <w:tcBorders>
              <w:top w:val="single" w:sz="4" w:space="0" w:color="auto"/>
              <w:left w:val="single" w:sz="4" w:space="0" w:color="auto"/>
              <w:bottom w:val="nil"/>
              <w:right w:val="nil"/>
            </w:tcBorders>
            <w:shd w:val="clear" w:color="auto" w:fill="auto"/>
            <w:vAlign w:val="bottom"/>
            <w:hideMark/>
          </w:tcPr>
          <w:p w14:paraId="6DD50D43" w14:textId="77777777" w:rsidR="00A75823" w:rsidRPr="00A75823" w:rsidRDefault="00A75823" w:rsidP="00BD55B9">
            <w:pPr>
              <w:pStyle w:val="AppendixAMainTaskSubtask"/>
            </w:pPr>
            <w:r w:rsidRPr="00A75823">
              <w:t> </w:t>
            </w:r>
          </w:p>
        </w:tc>
        <w:tc>
          <w:tcPr>
            <w:tcW w:w="1472" w:type="pct"/>
            <w:gridSpan w:val="2"/>
            <w:tcBorders>
              <w:top w:val="single" w:sz="4" w:space="0" w:color="auto"/>
              <w:left w:val="nil"/>
              <w:bottom w:val="single" w:sz="4" w:space="0" w:color="auto"/>
              <w:right w:val="single" w:sz="4" w:space="0" w:color="000000"/>
            </w:tcBorders>
            <w:shd w:val="clear" w:color="auto" w:fill="auto"/>
            <w:vAlign w:val="bottom"/>
            <w:hideMark/>
          </w:tcPr>
          <w:p w14:paraId="216AB994" w14:textId="77777777" w:rsidR="00A75823" w:rsidRPr="00A75823" w:rsidRDefault="00A75823" w:rsidP="00BD55B9">
            <w:pPr>
              <w:pStyle w:val="AppendixAMainTaskSubtask"/>
            </w:pPr>
            <w:r w:rsidRPr="00A75823">
              <w:t>B. Required Activities</w:t>
            </w:r>
          </w:p>
        </w:tc>
        <w:tc>
          <w:tcPr>
            <w:tcW w:w="375" w:type="pct"/>
            <w:tcBorders>
              <w:top w:val="nil"/>
              <w:left w:val="nil"/>
              <w:bottom w:val="single" w:sz="4" w:space="0" w:color="auto"/>
              <w:right w:val="single" w:sz="4" w:space="0" w:color="auto"/>
            </w:tcBorders>
            <w:shd w:val="clear" w:color="auto" w:fill="auto"/>
            <w:vAlign w:val="bottom"/>
            <w:hideMark/>
          </w:tcPr>
          <w:p w14:paraId="165E2E85" w14:textId="77777777" w:rsidR="00A75823" w:rsidRPr="00A75823" w:rsidRDefault="00A75823" w:rsidP="00BD55B9">
            <w:pPr>
              <w:pStyle w:val="AppendixATableTextRight"/>
            </w:pPr>
            <w:r w:rsidRPr="00A75823">
              <w:t> </w:t>
            </w:r>
          </w:p>
        </w:tc>
        <w:tc>
          <w:tcPr>
            <w:tcW w:w="406" w:type="pct"/>
            <w:tcBorders>
              <w:top w:val="nil"/>
              <w:left w:val="nil"/>
              <w:bottom w:val="single" w:sz="4" w:space="0" w:color="auto"/>
              <w:right w:val="single" w:sz="4" w:space="0" w:color="auto"/>
            </w:tcBorders>
            <w:shd w:val="clear" w:color="auto" w:fill="auto"/>
            <w:vAlign w:val="bottom"/>
            <w:hideMark/>
          </w:tcPr>
          <w:p w14:paraId="362B704B" w14:textId="77777777" w:rsidR="00A75823" w:rsidRPr="00A75823" w:rsidRDefault="00A75823" w:rsidP="00BD55B9">
            <w:pPr>
              <w:pStyle w:val="AppendixATableTextRight"/>
            </w:pPr>
            <w:r w:rsidRPr="00A75823">
              <w:t> </w:t>
            </w:r>
          </w:p>
        </w:tc>
        <w:tc>
          <w:tcPr>
            <w:tcW w:w="408" w:type="pct"/>
            <w:tcBorders>
              <w:top w:val="nil"/>
              <w:left w:val="nil"/>
              <w:bottom w:val="single" w:sz="4" w:space="0" w:color="auto"/>
              <w:right w:val="single" w:sz="4" w:space="0" w:color="auto"/>
            </w:tcBorders>
            <w:shd w:val="clear" w:color="auto" w:fill="auto"/>
            <w:vAlign w:val="bottom"/>
            <w:hideMark/>
          </w:tcPr>
          <w:p w14:paraId="3B7FCE21" w14:textId="77777777" w:rsidR="00A75823" w:rsidRPr="00A75823" w:rsidRDefault="00A75823" w:rsidP="00BD55B9">
            <w:pPr>
              <w:pStyle w:val="AppendixATableTextRight"/>
            </w:pPr>
            <w:r w:rsidRPr="00A75823">
              <w:t> </w:t>
            </w:r>
          </w:p>
        </w:tc>
        <w:tc>
          <w:tcPr>
            <w:tcW w:w="437" w:type="pct"/>
            <w:tcBorders>
              <w:top w:val="nil"/>
              <w:left w:val="nil"/>
              <w:bottom w:val="single" w:sz="4" w:space="0" w:color="auto"/>
              <w:right w:val="single" w:sz="4" w:space="0" w:color="auto"/>
            </w:tcBorders>
            <w:shd w:val="clear" w:color="auto" w:fill="auto"/>
            <w:vAlign w:val="bottom"/>
            <w:hideMark/>
          </w:tcPr>
          <w:p w14:paraId="31139C82" w14:textId="77777777" w:rsidR="00A75823" w:rsidRPr="00A75823" w:rsidRDefault="00A75823" w:rsidP="00BD55B9">
            <w:pPr>
              <w:pStyle w:val="AppendixATableTextRight"/>
            </w:pPr>
            <w:r w:rsidRPr="00A75823">
              <w:t> </w:t>
            </w:r>
          </w:p>
        </w:tc>
        <w:tc>
          <w:tcPr>
            <w:tcW w:w="375" w:type="pct"/>
            <w:tcBorders>
              <w:top w:val="nil"/>
              <w:left w:val="nil"/>
              <w:bottom w:val="single" w:sz="4" w:space="0" w:color="auto"/>
              <w:right w:val="nil"/>
            </w:tcBorders>
            <w:shd w:val="clear" w:color="auto" w:fill="auto"/>
            <w:vAlign w:val="bottom"/>
            <w:hideMark/>
          </w:tcPr>
          <w:p w14:paraId="5867FCDE" w14:textId="77777777" w:rsidR="00A75823" w:rsidRPr="00A75823" w:rsidRDefault="00A75823" w:rsidP="00BD55B9">
            <w:pPr>
              <w:pStyle w:val="AppendixATableTextRight"/>
            </w:pPr>
            <w:r w:rsidRPr="00A75823">
              <w:t> </w:t>
            </w:r>
          </w:p>
        </w:tc>
        <w:tc>
          <w:tcPr>
            <w:tcW w:w="375" w:type="pct"/>
            <w:tcBorders>
              <w:top w:val="nil"/>
              <w:left w:val="single" w:sz="4" w:space="0" w:color="auto"/>
              <w:bottom w:val="single" w:sz="4" w:space="0" w:color="auto"/>
              <w:right w:val="nil"/>
            </w:tcBorders>
            <w:shd w:val="clear" w:color="auto" w:fill="auto"/>
            <w:vAlign w:val="bottom"/>
            <w:hideMark/>
          </w:tcPr>
          <w:p w14:paraId="285CC217" w14:textId="77777777" w:rsidR="00A75823" w:rsidRPr="00A75823" w:rsidRDefault="00A75823" w:rsidP="00BD55B9">
            <w:pPr>
              <w:pStyle w:val="AppendixATableTextRight"/>
            </w:pPr>
            <w:r w:rsidRPr="00A75823">
              <w:t> </w:t>
            </w:r>
          </w:p>
        </w:tc>
        <w:tc>
          <w:tcPr>
            <w:tcW w:w="344" w:type="pct"/>
            <w:tcBorders>
              <w:top w:val="nil"/>
              <w:left w:val="single" w:sz="4" w:space="0" w:color="auto"/>
              <w:bottom w:val="single" w:sz="4" w:space="0" w:color="auto"/>
              <w:right w:val="nil"/>
            </w:tcBorders>
            <w:shd w:val="clear" w:color="auto" w:fill="auto"/>
            <w:vAlign w:val="bottom"/>
            <w:hideMark/>
          </w:tcPr>
          <w:p w14:paraId="098EC659" w14:textId="77777777" w:rsidR="00A75823" w:rsidRPr="00A75823" w:rsidRDefault="00A75823" w:rsidP="00BD55B9">
            <w:pPr>
              <w:pStyle w:val="AppendixATableTextRight"/>
            </w:pPr>
            <w:r w:rsidRPr="00A75823">
              <w:t> </w:t>
            </w:r>
          </w:p>
        </w:tc>
        <w:tc>
          <w:tcPr>
            <w:tcW w:w="375" w:type="pct"/>
            <w:tcBorders>
              <w:top w:val="nil"/>
              <w:left w:val="single" w:sz="4" w:space="0" w:color="auto"/>
              <w:bottom w:val="single" w:sz="4" w:space="0" w:color="auto"/>
              <w:right w:val="single" w:sz="4" w:space="0" w:color="auto"/>
            </w:tcBorders>
            <w:shd w:val="clear" w:color="auto" w:fill="auto"/>
            <w:vAlign w:val="bottom"/>
            <w:hideMark/>
          </w:tcPr>
          <w:p w14:paraId="455BFD94" w14:textId="77777777" w:rsidR="00A75823" w:rsidRPr="00A75823" w:rsidRDefault="00A75823" w:rsidP="00BD55B9">
            <w:pPr>
              <w:pStyle w:val="AppendixATableTextRight"/>
            </w:pPr>
            <w:r w:rsidRPr="00A75823">
              <w:t> </w:t>
            </w:r>
          </w:p>
        </w:tc>
        <w:tc>
          <w:tcPr>
            <w:tcW w:w="343" w:type="pct"/>
            <w:tcBorders>
              <w:top w:val="nil"/>
              <w:left w:val="nil"/>
              <w:bottom w:val="single" w:sz="4" w:space="0" w:color="auto"/>
              <w:right w:val="single" w:sz="4" w:space="0" w:color="auto"/>
            </w:tcBorders>
            <w:shd w:val="clear" w:color="auto" w:fill="auto"/>
            <w:vAlign w:val="bottom"/>
            <w:hideMark/>
          </w:tcPr>
          <w:p w14:paraId="751BE7E9" w14:textId="77777777" w:rsidR="00A75823" w:rsidRPr="00A75823" w:rsidRDefault="00A75823" w:rsidP="00BD55B9">
            <w:pPr>
              <w:pStyle w:val="AppendixATableTextRight"/>
            </w:pPr>
            <w:r w:rsidRPr="00A75823">
              <w:t> </w:t>
            </w:r>
          </w:p>
        </w:tc>
      </w:tr>
      <w:tr w:rsidR="00A75823" w:rsidRPr="00A75823" w14:paraId="6FACF1DA" w14:textId="77777777" w:rsidTr="002349E8">
        <w:tc>
          <w:tcPr>
            <w:tcW w:w="90" w:type="pct"/>
            <w:tcBorders>
              <w:top w:val="single" w:sz="4" w:space="0" w:color="auto"/>
              <w:left w:val="single" w:sz="4" w:space="0" w:color="auto"/>
              <w:bottom w:val="single" w:sz="4" w:space="0" w:color="auto"/>
              <w:right w:val="nil"/>
            </w:tcBorders>
            <w:shd w:val="clear" w:color="auto" w:fill="auto"/>
            <w:vAlign w:val="bottom"/>
            <w:hideMark/>
          </w:tcPr>
          <w:p w14:paraId="765683A1" w14:textId="77777777" w:rsidR="00A75823" w:rsidRPr="00A75823" w:rsidRDefault="00A75823" w:rsidP="00BD55B9">
            <w:pPr>
              <w:pStyle w:val="AppendixAMainTaskSubtask"/>
            </w:pPr>
            <w:r w:rsidRPr="00A75823">
              <w:t> </w:t>
            </w:r>
          </w:p>
        </w:tc>
        <w:tc>
          <w:tcPr>
            <w:tcW w:w="1472" w:type="pct"/>
            <w:gridSpan w:val="2"/>
            <w:tcBorders>
              <w:top w:val="single" w:sz="4" w:space="0" w:color="auto"/>
              <w:left w:val="nil"/>
              <w:bottom w:val="single" w:sz="4" w:space="0" w:color="auto"/>
              <w:right w:val="single" w:sz="4" w:space="0" w:color="000000"/>
            </w:tcBorders>
            <w:shd w:val="clear" w:color="auto" w:fill="auto"/>
            <w:vAlign w:val="bottom"/>
            <w:hideMark/>
          </w:tcPr>
          <w:p w14:paraId="7004ACE6" w14:textId="77777777" w:rsidR="00A75823" w:rsidRPr="00A75823" w:rsidRDefault="00A75823" w:rsidP="00BD55B9">
            <w:pPr>
              <w:pStyle w:val="AppendixAMainTaskSubtask"/>
            </w:pPr>
            <w:r w:rsidRPr="00A75823">
              <w:t>C. Create Information (Included in 4B)</w:t>
            </w:r>
          </w:p>
        </w:tc>
        <w:tc>
          <w:tcPr>
            <w:tcW w:w="375" w:type="pct"/>
            <w:tcBorders>
              <w:top w:val="nil"/>
              <w:left w:val="nil"/>
              <w:bottom w:val="single" w:sz="4" w:space="0" w:color="auto"/>
              <w:right w:val="single" w:sz="4" w:space="0" w:color="auto"/>
            </w:tcBorders>
            <w:shd w:val="clear" w:color="auto" w:fill="auto"/>
            <w:vAlign w:val="bottom"/>
            <w:hideMark/>
          </w:tcPr>
          <w:p w14:paraId="7E69E5AB" w14:textId="77777777" w:rsidR="00A75823" w:rsidRPr="00A75823" w:rsidRDefault="00A75823" w:rsidP="00BD55B9">
            <w:pPr>
              <w:pStyle w:val="AppendixATableTextRight"/>
            </w:pPr>
            <w:r w:rsidRPr="00A75823">
              <w:t> </w:t>
            </w:r>
          </w:p>
        </w:tc>
        <w:tc>
          <w:tcPr>
            <w:tcW w:w="406" w:type="pct"/>
            <w:tcBorders>
              <w:top w:val="nil"/>
              <w:left w:val="nil"/>
              <w:bottom w:val="single" w:sz="4" w:space="0" w:color="auto"/>
              <w:right w:val="single" w:sz="4" w:space="0" w:color="auto"/>
            </w:tcBorders>
            <w:shd w:val="clear" w:color="auto" w:fill="auto"/>
            <w:vAlign w:val="bottom"/>
            <w:hideMark/>
          </w:tcPr>
          <w:p w14:paraId="3F9CC389" w14:textId="77777777" w:rsidR="00A75823" w:rsidRPr="00A75823" w:rsidRDefault="00A75823" w:rsidP="00BD55B9">
            <w:pPr>
              <w:pStyle w:val="AppendixATableTextRight"/>
            </w:pPr>
            <w:r w:rsidRPr="00A75823">
              <w:t> </w:t>
            </w:r>
          </w:p>
        </w:tc>
        <w:tc>
          <w:tcPr>
            <w:tcW w:w="408" w:type="pct"/>
            <w:tcBorders>
              <w:top w:val="nil"/>
              <w:left w:val="nil"/>
              <w:bottom w:val="single" w:sz="4" w:space="0" w:color="auto"/>
              <w:right w:val="single" w:sz="4" w:space="0" w:color="auto"/>
            </w:tcBorders>
            <w:shd w:val="clear" w:color="auto" w:fill="auto"/>
            <w:vAlign w:val="bottom"/>
            <w:hideMark/>
          </w:tcPr>
          <w:p w14:paraId="7C0646B1" w14:textId="77777777" w:rsidR="00A75823" w:rsidRPr="00A75823" w:rsidRDefault="00A75823" w:rsidP="00BD55B9">
            <w:pPr>
              <w:pStyle w:val="AppendixATableTextRight"/>
            </w:pPr>
            <w:r w:rsidRPr="00A75823">
              <w:t> </w:t>
            </w:r>
          </w:p>
        </w:tc>
        <w:tc>
          <w:tcPr>
            <w:tcW w:w="437" w:type="pct"/>
            <w:tcBorders>
              <w:top w:val="nil"/>
              <w:left w:val="nil"/>
              <w:bottom w:val="single" w:sz="4" w:space="0" w:color="auto"/>
              <w:right w:val="single" w:sz="4" w:space="0" w:color="auto"/>
            </w:tcBorders>
            <w:shd w:val="clear" w:color="auto" w:fill="auto"/>
            <w:vAlign w:val="bottom"/>
            <w:hideMark/>
          </w:tcPr>
          <w:p w14:paraId="17D2F209" w14:textId="77777777" w:rsidR="00A75823" w:rsidRPr="00A75823" w:rsidRDefault="00A75823" w:rsidP="00BD55B9">
            <w:pPr>
              <w:pStyle w:val="AppendixATableTextRight"/>
            </w:pPr>
            <w:r w:rsidRPr="00A75823">
              <w:t> </w:t>
            </w:r>
          </w:p>
        </w:tc>
        <w:tc>
          <w:tcPr>
            <w:tcW w:w="375" w:type="pct"/>
            <w:tcBorders>
              <w:top w:val="nil"/>
              <w:left w:val="nil"/>
              <w:bottom w:val="single" w:sz="4" w:space="0" w:color="auto"/>
              <w:right w:val="nil"/>
            </w:tcBorders>
            <w:shd w:val="clear" w:color="auto" w:fill="auto"/>
            <w:vAlign w:val="bottom"/>
            <w:hideMark/>
          </w:tcPr>
          <w:p w14:paraId="129BEEF5" w14:textId="77777777" w:rsidR="00A75823" w:rsidRPr="00A75823" w:rsidRDefault="00A75823" w:rsidP="00BD55B9">
            <w:pPr>
              <w:pStyle w:val="AppendixATableTextRight"/>
            </w:pPr>
            <w:r w:rsidRPr="00A75823">
              <w:t> </w:t>
            </w:r>
          </w:p>
        </w:tc>
        <w:tc>
          <w:tcPr>
            <w:tcW w:w="375" w:type="pct"/>
            <w:tcBorders>
              <w:top w:val="nil"/>
              <w:left w:val="single" w:sz="4" w:space="0" w:color="auto"/>
              <w:bottom w:val="single" w:sz="4" w:space="0" w:color="auto"/>
              <w:right w:val="nil"/>
            </w:tcBorders>
            <w:shd w:val="clear" w:color="auto" w:fill="auto"/>
            <w:vAlign w:val="bottom"/>
            <w:hideMark/>
          </w:tcPr>
          <w:p w14:paraId="032ADC83" w14:textId="77777777" w:rsidR="00A75823" w:rsidRPr="00A75823" w:rsidRDefault="00A75823" w:rsidP="00BD55B9">
            <w:pPr>
              <w:pStyle w:val="AppendixATableTextRight"/>
            </w:pPr>
            <w:r w:rsidRPr="00A75823">
              <w:t> </w:t>
            </w:r>
          </w:p>
        </w:tc>
        <w:tc>
          <w:tcPr>
            <w:tcW w:w="344" w:type="pct"/>
            <w:tcBorders>
              <w:top w:val="nil"/>
              <w:left w:val="single" w:sz="4" w:space="0" w:color="auto"/>
              <w:bottom w:val="single" w:sz="4" w:space="0" w:color="auto"/>
              <w:right w:val="nil"/>
            </w:tcBorders>
            <w:shd w:val="clear" w:color="auto" w:fill="auto"/>
            <w:vAlign w:val="bottom"/>
            <w:hideMark/>
          </w:tcPr>
          <w:p w14:paraId="1E5A4736" w14:textId="77777777" w:rsidR="00A75823" w:rsidRPr="00A75823" w:rsidRDefault="00A75823" w:rsidP="00BD55B9">
            <w:pPr>
              <w:pStyle w:val="AppendixATableTextRight"/>
            </w:pPr>
            <w:r w:rsidRPr="00A75823">
              <w:t> </w:t>
            </w:r>
          </w:p>
        </w:tc>
        <w:tc>
          <w:tcPr>
            <w:tcW w:w="375" w:type="pct"/>
            <w:tcBorders>
              <w:top w:val="nil"/>
              <w:left w:val="single" w:sz="4" w:space="0" w:color="auto"/>
              <w:bottom w:val="single" w:sz="4" w:space="0" w:color="auto"/>
              <w:right w:val="single" w:sz="4" w:space="0" w:color="auto"/>
            </w:tcBorders>
            <w:shd w:val="clear" w:color="auto" w:fill="auto"/>
            <w:vAlign w:val="bottom"/>
            <w:hideMark/>
          </w:tcPr>
          <w:p w14:paraId="086AB040" w14:textId="77777777" w:rsidR="00A75823" w:rsidRPr="00A75823" w:rsidRDefault="00A75823" w:rsidP="00BD55B9">
            <w:pPr>
              <w:pStyle w:val="AppendixATableTextRight"/>
            </w:pPr>
            <w:r w:rsidRPr="00A75823">
              <w:t> </w:t>
            </w:r>
          </w:p>
        </w:tc>
        <w:tc>
          <w:tcPr>
            <w:tcW w:w="343" w:type="pct"/>
            <w:tcBorders>
              <w:top w:val="nil"/>
              <w:left w:val="nil"/>
              <w:bottom w:val="single" w:sz="4" w:space="0" w:color="auto"/>
              <w:right w:val="single" w:sz="4" w:space="0" w:color="auto"/>
            </w:tcBorders>
            <w:shd w:val="clear" w:color="auto" w:fill="auto"/>
            <w:vAlign w:val="bottom"/>
            <w:hideMark/>
          </w:tcPr>
          <w:p w14:paraId="7FF83241" w14:textId="77777777" w:rsidR="00A75823" w:rsidRPr="00A75823" w:rsidRDefault="00A75823" w:rsidP="00BD55B9">
            <w:pPr>
              <w:pStyle w:val="AppendixATableTextRight"/>
            </w:pPr>
            <w:r w:rsidRPr="00A75823">
              <w:t> </w:t>
            </w:r>
          </w:p>
        </w:tc>
      </w:tr>
      <w:tr w:rsidR="00A75823" w:rsidRPr="00A75823" w14:paraId="79BACFD1" w14:textId="77777777" w:rsidTr="002349E8">
        <w:tc>
          <w:tcPr>
            <w:tcW w:w="90" w:type="pct"/>
            <w:tcBorders>
              <w:top w:val="nil"/>
              <w:left w:val="single" w:sz="4" w:space="0" w:color="auto"/>
              <w:bottom w:val="single" w:sz="4" w:space="0" w:color="auto"/>
              <w:right w:val="nil"/>
            </w:tcBorders>
            <w:shd w:val="clear" w:color="auto" w:fill="auto"/>
            <w:vAlign w:val="bottom"/>
            <w:hideMark/>
          </w:tcPr>
          <w:p w14:paraId="58C73D57" w14:textId="77777777" w:rsidR="00A75823" w:rsidRPr="00A75823" w:rsidRDefault="00A75823" w:rsidP="00BD55B9">
            <w:pPr>
              <w:pStyle w:val="AppendixAMainTaskSubtask"/>
            </w:pPr>
            <w:r w:rsidRPr="00A75823">
              <w:t> </w:t>
            </w:r>
          </w:p>
        </w:tc>
        <w:tc>
          <w:tcPr>
            <w:tcW w:w="1472" w:type="pct"/>
            <w:gridSpan w:val="2"/>
            <w:tcBorders>
              <w:top w:val="single" w:sz="4" w:space="0" w:color="auto"/>
              <w:left w:val="nil"/>
              <w:bottom w:val="single" w:sz="4" w:space="0" w:color="auto"/>
              <w:right w:val="single" w:sz="4" w:space="0" w:color="000000"/>
            </w:tcBorders>
            <w:shd w:val="clear" w:color="auto" w:fill="auto"/>
            <w:vAlign w:val="bottom"/>
            <w:hideMark/>
          </w:tcPr>
          <w:p w14:paraId="6E892A43" w14:textId="77777777" w:rsidR="00A75823" w:rsidRPr="00A75823" w:rsidRDefault="00A75823" w:rsidP="00BD55B9">
            <w:pPr>
              <w:pStyle w:val="AppendixAMainTaskSubtask"/>
            </w:pPr>
            <w:r w:rsidRPr="00A75823">
              <w:t>D. Gather Existing Information (Included in 4E)</w:t>
            </w:r>
          </w:p>
        </w:tc>
        <w:tc>
          <w:tcPr>
            <w:tcW w:w="375" w:type="pct"/>
            <w:tcBorders>
              <w:top w:val="nil"/>
              <w:left w:val="nil"/>
              <w:bottom w:val="single" w:sz="4" w:space="0" w:color="auto"/>
              <w:right w:val="single" w:sz="4" w:space="0" w:color="auto"/>
            </w:tcBorders>
            <w:shd w:val="clear" w:color="auto" w:fill="auto"/>
            <w:vAlign w:val="bottom"/>
            <w:hideMark/>
          </w:tcPr>
          <w:p w14:paraId="1F274F9E" w14:textId="77777777" w:rsidR="00A75823" w:rsidRPr="00A75823" w:rsidRDefault="00A75823" w:rsidP="00BD55B9">
            <w:pPr>
              <w:pStyle w:val="AppendixATableTextRight"/>
            </w:pPr>
            <w:r w:rsidRPr="00A75823">
              <w:t> </w:t>
            </w:r>
          </w:p>
        </w:tc>
        <w:tc>
          <w:tcPr>
            <w:tcW w:w="406" w:type="pct"/>
            <w:tcBorders>
              <w:top w:val="nil"/>
              <w:left w:val="nil"/>
              <w:bottom w:val="single" w:sz="4" w:space="0" w:color="auto"/>
              <w:right w:val="single" w:sz="4" w:space="0" w:color="auto"/>
            </w:tcBorders>
            <w:shd w:val="clear" w:color="auto" w:fill="auto"/>
            <w:vAlign w:val="bottom"/>
            <w:hideMark/>
          </w:tcPr>
          <w:p w14:paraId="42261CDE" w14:textId="77777777" w:rsidR="00A75823" w:rsidRPr="00A75823" w:rsidRDefault="00A75823" w:rsidP="00BD55B9">
            <w:pPr>
              <w:pStyle w:val="AppendixATableTextRight"/>
            </w:pPr>
            <w:r w:rsidRPr="00A75823">
              <w:t> </w:t>
            </w:r>
          </w:p>
        </w:tc>
        <w:tc>
          <w:tcPr>
            <w:tcW w:w="408" w:type="pct"/>
            <w:tcBorders>
              <w:top w:val="nil"/>
              <w:left w:val="nil"/>
              <w:bottom w:val="single" w:sz="4" w:space="0" w:color="auto"/>
              <w:right w:val="single" w:sz="4" w:space="0" w:color="auto"/>
            </w:tcBorders>
            <w:shd w:val="clear" w:color="auto" w:fill="auto"/>
            <w:vAlign w:val="bottom"/>
            <w:hideMark/>
          </w:tcPr>
          <w:p w14:paraId="4B2E3A87" w14:textId="77777777" w:rsidR="00A75823" w:rsidRPr="00A75823" w:rsidRDefault="00A75823" w:rsidP="00BD55B9">
            <w:pPr>
              <w:pStyle w:val="AppendixATableTextRight"/>
            </w:pPr>
            <w:r w:rsidRPr="00A75823">
              <w:t> </w:t>
            </w:r>
          </w:p>
        </w:tc>
        <w:tc>
          <w:tcPr>
            <w:tcW w:w="437" w:type="pct"/>
            <w:tcBorders>
              <w:top w:val="nil"/>
              <w:left w:val="nil"/>
              <w:bottom w:val="single" w:sz="4" w:space="0" w:color="auto"/>
              <w:right w:val="single" w:sz="4" w:space="0" w:color="auto"/>
            </w:tcBorders>
            <w:shd w:val="clear" w:color="auto" w:fill="auto"/>
            <w:vAlign w:val="bottom"/>
            <w:hideMark/>
          </w:tcPr>
          <w:p w14:paraId="47882AA1" w14:textId="77777777" w:rsidR="00A75823" w:rsidRPr="00A75823" w:rsidRDefault="00A75823" w:rsidP="00BD55B9">
            <w:pPr>
              <w:pStyle w:val="AppendixATableTextRight"/>
            </w:pPr>
            <w:r w:rsidRPr="00A75823">
              <w:t> </w:t>
            </w:r>
          </w:p>
        </w:tc>
        <w:tc>
          <w:tcPr>
            <w:tcW w:w="375" w:type="pct"/>
            <w:tcBorders>
              <w:top w:val="nil"/>
              <w:left w:val="nil"/>
              <w:bottom w:val="single" w:sz="4" w:space="0" w:color="auto"/>
              <w:right w:val="nil"/>
            </w:tcBorders>
            <w:shd w:val="clear" w:color="auto" w:fill="auto"/>
            <w:vAlign w:val="bottom"/>
            <w:hideMark/>
          </w:tcPr>
          <w:p w14:paraId="4DD8374E" w14:textId="77777777" w:rsidR="00A75823" w:rsidRPr="00A75823" w:rsidRDefault="00A75823" w:rsidP="00BD55B9">
            <w:pPr>
              <w:pStyle w:val="AppendixATableTextRight"/>
            </w:pPr>
            <w:r w:rsidRPr="00A75823">
              <w:t> </w:t>
            </w:r>
          </w:p>
        </w:tc>
        <w:tc>
          <w:tcPr>
            <w:tcW w:w="375" w:type="pct"/>
            <w:tcBorders>
              <w:top w:val="nil"/>
              <w:left w:val="single" w:sz="4" w:space="0" w:color="auto"/>
              <w:bottom w:val="single" w:sz="4" w:space="0" w:color="auto"/>
              <w:right w:val="nil"/>
            </w:tcBorders>
            <w:shd w:val="clear" w:color="auto" w:fill="auto"/>
            <w:vAlign w:val="bottom"/>
            <w:hideMark/>
          </w:tcPr>
          <w:p w14:paraId="7ACE9CD9" w14:textId="77777777" w:rsidR="00A75823" w:rsidRPr="00A75823" w:rsidRDefault="00A75823" w:rsidP="00BD55B9">
            <w:pPr>
              <w:pStyle w:val="AppendixATableTextRight"/>
            </w:pPr>
            <w:r w:rsidRPr="00A75823">
              <w:t> </w:t>
            </w:r>
          </w:p>
        </w:tc>
        <w:tc>
          <w:tcPr>
            <w:tcW w:w="344" w:type="pct"/>
            <w:tcBorders>
              <w:top w:val="nil"/>
              <w:left w:val="single" w:sz="4" w:space="0" w:color="auto"/>
              <w:bottom w:val="single" w:sz="4" w:space="0" w:color="auto"/>
              <w:right w:val="nil"/>
            </w:tcBorders>
            <w:shd w:val="clear" w:color="auto" w:fill="auto"/>
            <w:vAlign w:val="bottom"/>
            <w:hideMark/>
          </w:tcPr>
          <w:p w14:paraId="63643827" w14:textId="77777777" w:rsidR="00A75823" w:rsidRPr="00A75823" w:rsidRDefault="00A75823" w:rsidP="00BD55B9">
            <w:pPr>
              <w:pStyle w:val="AppendixATableTextRight"/>
            </w:pPr>
            <w:r w:rsidRPr="00A75823">
              <w:t> </w:t>
            </w:r>
          </w:p>
        </w:tc>
        <w:tc>
          <w:tcPr>
            <w:tcW w:w="375" w:type="pct"/>
            <w:tcBorders>
              <w:top w:val="nil"/>
              <w:left w:val="single" w:sz="4" w:space="0" w:color="auto"/>
              <w:bottom w:val="single" w:sz="4" w:space="0" w:color="auto"/>
              <w:right w:val="single" w:sz="4" w:space="0" w:color="auto"/>
            </w:tcBorders>
            <w:shd w:val="clear" w:color="auto" w:fill="auto"/>
            <w:vAlign w:val="bottom"/>
            <w:hideMark/>
          </w:tcPr>
          <w:p w14:paraId="16CB0BCF" w14:textId="77777777" w:rsidR="00A75823" w:rsidRPr="00A75823" w:rsidRDefault="00A75823" w:rsidP="00BD55B9">
            <w:pPr>
              <w:pStyle w:val="AppendixATableTextRight"/>
            </w:pPr>
            <w:r w:rsidRPr="00A75823">
              <w:t> </w:t>
            </w:r>
          </w:p>
        </w:tc>
        <w:tc>
          <w:tcPr>
            <w:tcW w:w="343" w:type="pct"/>
            <w:tcBorders>
              <w:top w:val="nil"/>
              <w:left w:val="nil"/>
              <w:bottom w:val="single" w:sz="4" w:space="0" w:color="auto"/>
              <w:right w:val="single" w:sz="4" w:space="0" w:color="auto"/>
            </w:tcBorders>
            <w:shd w:val="clear" w:color="auto" w:fill="auto"/>
            <w:vAlign w:val="bottom"/>
            <w:hideMark/>
          </w:tcPr>
          <w:p w14:paraId="0690BD4C" w14:textId="77777777" w:rsidR="00A75823" w:rsidRPr="00A75823" w:rsidRDefault="00A75823" w:rsidP="00BD55B9">
            <w:pPr>
              <w:pStyle w:val="AppendixATableTextRight"/>
            </w:pPr>
            <w:r w:rsidRPr="00A75823">
              <w:t> </w:t>
            </w:r>
          </w:p>
        </w:tc>
      </w:tr>
      <w:tr w:rsidR="00A75823" w:rsidRPr="00A75823" w14:paraId="21AD619D" w14:textId="77777777" w:rsidTr="002349E8">
        <w:tc>
          <w:tcPr>
            <w:tcW w:w="90" w:type="pct"/>
            <w:tcBorders>
              <w:top w:val="nil"/>
              <w:left w:val="single" w:sz="4" w:space="0" w:color="auto"/>
              <w:bottom w:val="single" w:sz="4" w:space="0" w:color="auto"/>
              <w:right w:val="nil"/>
            </w:tcBorders>
            <w:shd w:val="clear" w:color="auto" w:fill="auto"/>
            <w:vAlign w:val="bottom"/>
            <w:hideMark/>
          </w:tcPr>
          <w:p w14:paraId="0EC38282" w14:textId="77777777" w:rsidR="00A75823" w:rsidRPr="00A75823" w:rsidRDefault="00A75823" w:rsidP="00BD55B9">
            <w:pPr>
              <w:pStyle w:val="AppendixAMainTaskSubtask"/>
            </w:pPr>
            <w:r w:rsidRPr="00A75823">
              <w:t> </w:t>
            </w:r>
          </w:p>
        </w:tc>
        <w:tc>
          <w:tcPr>
            <w:tcW w:w="1472" w:type="pct"/>
            <w:gridSpan w:val="2"/>
            <w:tcBorders>
              <w:top w:val="single" w:sz="4" w:space="0" w:color="auto"/>
              <w:left w:val="nil"/>
              <w:bottom w:val="single" w:sz="4" w:space="0" w:color="auto"/>
              <w:right w:val="single" w:sz="4" w:space="0" w:color="000000"/>
            </w:tcBorders>
            <w:shd w:val="clear" w:color="auto" w:fill="auto"/>
            <w:vAlign w:val="bottom"/>
            <w:hideMark/>
          </w:tcPr>
          <w:p w14:paraId="7D72792F" w14:textId="77777777" w:rsidR="00A75823" w:rsidRPr="00A75823" w:rsidRDefault="00A75823" w:rsidP="00BD55B9">
            <w:pPr>
              <w:pStyle w:val="AppendixAMainTaskSubtask"/>
            </w:pPr>
            <w:r w:rsidRPr="00A75823">
              <w:t>E. Write Report</w:t>
            </w:r>
          </w:p>
        </w:tc>
        <w:tc>
          <w:tcPr>
            <w:tcW w:w="375" w:type="pct"/>
            <w:tcBorders>
              <w:top w:val="nil"/>
              <w:left w:val="nil"/>
              <w:bottom w:val="single" w:sz="4" w:space="0" w:color="auto"/>
              <w:right w:val="single" w:sz="4" w:space="0" w:color="auto"/>
            </w:tcBorders>
            <w:shd w:val="clear" w:color="auto" w:fill="auto"/>
            <w:vAlign w:val="bottom"/>
            <w:hideMark/>
          </w:tcPr>
          <w:p w14:paraId="2B9FF69D" w14:textId="77777777" w:rsidR="00A75823" w:rsidRPr="00A75823" w:rsidRDefault="00A75823" w:rsidP="00BD55B9">
            <w:pPr>
              <w:pStyle w:val="AppendixATableTextRight"/>
            </w:pPr>
            <w:r w:rsidRPr="00A75823">
              <w:t> </w:t>
            </w:r>
          </w:p>
        </w:tc>
        <w:tc>
          <w:tcPr>
            <w:tcW w:w="406" w:type="pct"/>
            <w:tcBorders>
              <w:top w:val="nil"/>
              <w:left w:val="nil"/>
              <w:bottom w:val="single" w:sz="4" w:space="0" w:color="auto"/>
              <w:right w:val="single" w:sz="4" w:space="0" w:color="auto"/>
            </w:tcBorders>
            <w:shd w:val="clear" w:color="auto" w:fill="auto"/>
            <w:vAlign w:val="bottom"/>
            <w:hideMark/>
          </w:tcPr>
          <w:p w14:paraId="32C4A64D" w14:textId="77777777" w:rsidR="00A75823" w:rsidRPr="00A75823" w:rsidRDefault="00A75823" w:rsidP="00BD55B9">
            <w:pPr>
              <w:pStyle w:val="AppendixATableTextRight"/>
            </w:pPr>
            <w:r w:rsidRPr="00A75823">
              <w:t> </w:t>
            </w:r>
          </w:p>
        </w:tc>
        <w:tc>
          <w:tcPr>
            <w:tcW w:w="408" w:type="pct"/>
            <w:tcBorders>
              <w:top w:val="nil"/>
              <w:left w:val="nil"/>
              <w:bottom w:val="single" w:sz="4" w:space="0" w:color="auto"/>
              <w:right w:val="single" w:sz="4" w:space="0" w:color="auto"/>
            </w:tcBorders>
            <w:shd w:val="clear" w:color="auto" w:fill="auto"/>
            <w:vAlign w:val="bottom"/>
            <w:hideMark/>
          </w:tcPr>
          <w:p w14:paraId="3D2C9377" w14:textId="77777777" w:rsidR="00A75823" w:rsidRPr="00A75823" w:rsidRDefault="00A75823" w:rsidP="00BD55B9">
            <w:pPr>
              <w:pStyle w:val="AppendixATableTextRight"/>
            </w:pPr>
            <w:r w:rsidRPr="00A75823">
              <w:t> </w:t>
            </w:r>
          </w:p>
        </w:tc>
        <w:tc>
          <w:tcPr>
            <w:tcW w:w="437" w:type="pct"/>
            <w:tcBorders>
              <w:top w:val="nil"/>
              <w:left w:val="nil"/>
              <w:bottom w:val="single" w:sz="4" w:space="0" w:color="auto"/>
              <w:right w:val="single" w:sz="4" w:space="0" w:color="auto"/>
            </w:tcBorders>
            <w:shd w:val="clear" w:color="auto" w:fill="auto"/>
            <w:vAlign w:val="bottom"/>
            <w:hideMark/>
          </w:tcPr>
          <w:p w14:paraId="72221E9C" w14:textId="77777777" w:rsidR="00A75823" w:rsidRPr="00A75823" w:rsidRDefault="00A75823" w:rsidP="00BD55B9">
            <w:pPr>
              <w:pStyle w:val="AppendixATableTextRight"/>
            </w:pPr>
            <w:r w:rsidRPr="00A75823">
              <w:t> </w:t>
            </w:r>
          </w:p>
        </w:tc>
        <w:tc>
          <w:tcPr>
            <w:tcW w:w="375" w:type="pct"/>
            <w:tcBorders>
              <w:top w:val="nil"/>
              <w:left w:val="nil"/>
              <w:bottom w:val="single" w:sz="4" w:space="0" w:color="auto"/>
              <w:right w:val="nil"/>
            </w:tcBorders>
            <w:shd w:val="clear" w:color="auto" w:fill="auto"/>
            <w:vAlign w:val="bottom"/>
            <w:hideMark/>
          </w:tcPr>
          <w:p w14:paraId="21FD3378" w14:textId="77777777" w:rsidR="00A75823" w:rsidRPr="00A75823" w:rsidRDefault="00A75823" w:rsidP="00BD55B9">
            <w:pPr>
              <w:pStyle w:val="AppendixATableTextRight"/>
            </w:pPr>
            <w:r w:rsidRPr="00A75823">
              <w:t> </w:t>
            </w:r>
          </w:p>
        </w:tc>
        <w:tc>
          <w:tcPr>
            <w:tcW w:w="375" w:type="pct"/>
            <w:tcBorders>
              <w:top w:val="nil"/>
              <w:left w:val="single" w:sz="4" w:space="0" w:color="auto"/>
              <w:bottom w:val="single" w:sz="4" w:space="0" w:color="auto"/>
              <w:right w:val="nil"/>
            </w:tcBorders>
            <w:shd w:val="clear" w:color="auto" w:fill="auto"/>
            <w:vAlign w:val="bottom"/>
            <w:hideMark/>
          </w:tcPr>
          <w:p w14:paraId="09AC528C" w14:textId="77777777" w:rsidR="00A75823" w:rsidRPr="00A75823" w:rsidRDefault="00A75823" w:rsidP="00BD55B9">
            <w:pPr>
              <w:pStyle w:val="AppendixATableTextRight"/>
            </w:pPr>
            <w:r w:rsidRPr="00A75823">
              <w:t> </w:t>
            </w:r>
          </w:p>
        </w:tc>
        <w:tc>
          <w:tcPr>
            <w:tcW w:w="344" w:type="pct"/>
            <w:tcBorders>
              <w:top w:val="nil"/>
              <w:left w:val="single" w:sz="4" w:space="0" w:color="auto"/>
              <w:bottom w:val="single" w:sz="4" w:space="0" w:color="auto"/>
              <w:right w:val="nil"/>
            </w:tcBorders>
            <w:shd w:val="clear" w:color="auto" w:fill="auto"/>
            <w:vAlign w:val="bottom"/>
            <w:hideMark/>
          </w:tcPr>
          <w:p w14:paraId="32E77111" w14:textId="77777777" w:rsidR="00A75823" w:rsidRPr="00A75823" w:rsidRDefault="00A75823" w:rsidP="00BD55B9">
            <w:pPr>
              <w:pStyle w:val="AppendixATableTextRight"/>
            </w:pPr>
            <w:r w:rsidRPr="00A75823">
              <w:t> </w:t>
            </w:r>
          </w:p>
        </w:tc>
        <w:tc>
          <w:tcPr>
            <w:tcW w:w="375" w:type="pct"/>
            <w:tcBorders>
              <w:top w:val="nil"/>
              <w:left w:val="single" w:sz="4" w:space="0" w:color="auto"/>
              <w:bottom w:val="single" w:sz="4" w:space="0" w:color="auto"/>
              <w:right w:val="single" w:sz="4" w:space="0" w:color="auto"/>
            </w:tcBorders>
            <w:shd w:val="clear" w:color="auto" w:fill="auto"/>
            <w:vAlign w:val="bottom"/>
            <w:hideMark/>
          </w:tcPr>
          <w:p w14:paraId="73E97975" w14:textId="77777777" w:rsidR="00A75823" w:rsidRPr="00A75823" w:rsidRDefault="00A75823" w:rsidP="00BD55B9">
            <w:pPr>
              <w:pStyle w:val="AppendixATableTextRight"/>
            </w:pPr>
            <w:r w:rsidRPr="00A75823">
              <w:t> </w:t>
            </w:r>
          </w:p>
        </w:tc>
        <w:tc>
          <w:tcPr>
            <w:tcW w:w="343" w:type="pct"/>
            <w:tcBorders>
              <w:top w:val="nil"/>
              <w:left w:val="nil"/>
              <w:bottom w:val="single" w:sz="4" w:space="0" w:color="auto"/>
              <w:right w:val="single" w:sz="4" w:space="0" w:color="auto"/>
            </w:tcBorders>
            <w:shd w:val="clear" w:color="auto" w:fill="auto"/>
            <w:vAlign w:val="bottom"/>
            <w:hideMark/>
          </w:tcPr>
          <w:p w14:paraId="5EE56700" w14:textId="77777777" w:rsidR="00A75823" w:rsidRPr="00A75823" w:rsidRDefault="00A75823" w:rsidP="00BD55B9">
            <w:pPr>
              <w:pStyle w:val="AppendixATableTextRight"/>
            </w:pPr>
            <w:r w:rsidRPr="00A75823">
              <w:t> </w:t>
            </w:r>
          </w:p>
        </w:tc>
      </w:tr>
      <w:tr w:rsidR="00A75823" w:rsidRPr="00A75823" w14:paraId="045E78D1" w14:textId="77777777" w:rsidTr="002349E8">
        <w:tc>
          <w:tcPr>
            <w:tcW w:w="90" w:type="pct"/>
            <w:tcBorders>
              <w:top w:val="nil"/>
              <w:left w:val="single" w:sz="4" w:space="0" w:color="auto"/>
              <w:bottom w:val="single" w:sz="4" w:space="0" w:color="auto"/>
              <w:right w:val="nil"/>
            </w:tcBorders>
            <w:shd w:val="clear" w:color="auto" w:fill="auto"/>
            <w:vAlign w:val="bottom"/>
            <w:hideMark/>
          </w:tcPr>
          <w:p w14:paraId="13868C1F" w14:textId="77777777" w:rsidR="00A75823" w:rsidRPr="00A75823" w:rsidRDefault="00A75823" w:rsidP="00BD55B9">
            <w:pPr>
              <w:pStyle w:val="AppendixADetailTask"/>
            </w:pPr>
            <w:r w:rsidRPr="00A75823">
              <w:t> </w:t>
            </w:r>
          </w:p>
        </w:tc>
        <w:tc>
          <w:tcPr>
            <w:tcW w:w="90" w:type="pct"/>
            <w:tcBorders>
              <w:top w:val="single" w:sz="4" w:space="0" w:color="auto"/>
              <w:left w:val="nil"/>
              <w:bottom w:val="single" w:sz="4" w:space="0" w:color="auto"/>
              <w:right w:val="nil"/>
            </w:tcBorders>
            <w:shd w:val="clear" w:color="auto" w:fill="auto"/>
            <w:vAlign w:val="bottom"/>
            <w:hideMark/>
          </w:tcPr>
          <w:p w14:paraId="2BBA2AB3" w14:textId="77777777" w:rsidR="00A75823" w:rsidRPr="00A75823" w:rsidRDefault="00A75823" w:rsidP="00BD55B9">
            <w:pPr>
              <w:pStyle w:val="AppendixADetailTask"/>
            </w:pPr>
            <w:r w:rsidRPr="00A75823">
              <w:t> </w:t>
            </w:r>
          </w:p>
        </w:tc>
        <w:tc>
          <w:tcPr>
            <w:tcW w:w="1382" w:type="pct"/>
            <w:tcBorders>
              <w:top w:val="single" w:sz="4" w:space="0" w:color="auto"/>
              <w:left w:val="nil"/>
              <w:bottom w:val="single" w:sz="4" w:space="0" w:color="auto"/>
              <w:right w:val="single" w:sz="4" w:space="0" w:color="000000"/>
            </w:tcBorders>
            <w:shd w:val="clear" w:color="auto" w:fill="auto"/>
            <w:noWrap/>
            <w:vAlign w:val="bottom"/>
            <w:hideMark/>
          </w:tcPr>
          <w:p w14:paraId="2004D9AA" w14:textId="20FA05DD" w:rsidR="00A75823" w:rsidRPr="00A75823" w:rsidRDefault="00A75823" w:rsidP="00BD55B9">
            <w:pPr>
              <w:pStyle w:val="AppendixADetailTask"/>
            </w:pPr>
            <w:r w:rsidRPr="00A75823">
              <w:t>Annual Compliance Reporting through e-GGRT</w:t>
            </w:r>
            <w:r w:rsidR="004F2E58">
              <w:t xml:space="preserve"> </w:t>
            </w:r>
            <w:r w:rsidR="00496501">
              <w:rPr>
                <w:rStyle w:val="Superscript"/>
              </w:rPr>
              <w:t>b</w:t>
            </w:r>
          </w:p>
        </w:tc>
        <w:tc>
          <w:tcPr>
            <w:tcW w:w="375" w:type="pct"/>
            <w:tcBorders>
              <w:top w:val="nil"/>
              <w:left w:val="nil"/>
              <w:bottom w:val="single" w:sz="4" w:space="0" w:color="auto"/>
              <w:right w:val="single" w:sz="4" w:space="0" w:color="auto"/>
            </w:tcBorders>
            <w:shd w:val="clear" w:color="auto" w:fill="auto"/>
            <w:vAlign w:val="bottom"/>
          </w:tcPr>
          <w:p w14:paraId="751F10EB" w14:textId="74F43048" w:rsidR="00A75823" w:rsidRPr="00A75823" w:rsidRDefault="00380E87" w:rsidP="00BD55B9">
            <w:pPr>
              <w:pStyle w:val="AppendixATableTextRight"/>
            </w:pPr>
            <w:r>
              <w:t>0.00</w:t>
            </w:r>
          </w:p>
        </w:tc>
        <w:tc>
          <w:tcPr>
            <w:tcW w:w="406" w:type="pct"/>
            <w:tcBorders>
              <w:top w:val="nil"/>
              <w:left w:val="nil"/>
              <w:bottom w:val="single" w:sz="4" w:space="0" w:color="auto"/>
              <w:right w:val="single" w:sz="4" w:space="0" w:color="auto"/>
            </w:tcBorders>
            <w:shd w:val="clear" w:color="auto" w:fill="auto"/>
            <w:vAlign w:val="bottom"/>
          </w:tcPr>
          <w:p w14:paraId="43D8F01F" w14:textId="3018AC44" w:rsidR="00A75823" w:rsidRPr="00A75823" w:rsidRDefault="00380E87" w:rsidP="00BD55B9">
            <w:pPr>
              <w:pStyle w:val="AppendixATableTextRight"/>
            </w:pPr>
            <w:r>
              <w:t>0</w:t>
            </w:r>
          </w:p>
        </w:tc>
        <w:tc>
          <w:tcPr>
            <w:tcW w:w="408" w:type="pct"/>
            <w:tcBorders>
              <w:top w:val="nil"/>
              <w:left w:val="nil"/>
              <w:bottom w:val="single" w:sz="4" w:space="0" w:color="auto"/>
              <w:right w:val="single" w:sz="4" w:space="0" w:color="auto"/>
            </w:tcBorders>
            <w:shd w:val="clear" w:color="auto" w:fill="auto"/>
            <w:vAlign w:val="bottom"/>
          </w:tcPr>
          <w:p w14:paraId="7480ACB3" w14:textId="059402FB" w:rsidR="00A75823" w:rsidRPr="00A75823" w:rsidRDefault="00380E87" w:rsidP="00BD55B9">
            <w:pPr>
              <w:pStyle w:val="AppendixATableTextRight"/>
            </w:pPr>
            <w:r>
              <w:t>0.00</w:t>
            </w:r>
          </w:p>
        </w:tc>
        <w:tc>
          <w:tcPr>
            <w:tcW w:w="437" w:type="pct"/>
            <w:tcBorders>
              <w:top w:val="nil"/>
              <w:left w:val="nil"/>
              <w:bottom w:val="single" w:sz="4" w:space="0" w:color="auto"/>
              <w:right w:val="single" w:sz="4" w:space="0" w:color="auto"/>
            </w:tcBorders>
            <w:shd w:val="clear" w:color="auto" w:fill="auto"/>
            <w:vAlign w:val="bottom"/>
            <w:hideMark/>
          </w:tcPr>
          <w:p w14:paraId="076E4E42" w14:textId="7C79118A" w:rsidR="00A75823" w:rsidRPr="00A75823" w:rsidRDefault="00A75823" w:rsidP="00BD55B9">
            <w:pPr>
              <w:pStyle w:val="AppendixATableTextRight"/>
            </w:pPr>
            <w:r w:rsidRPr="00A75823">
              <w:t> </w:t>
            </w:r>
            <w:r w:rsidR="00380E87">
              <w:t>0</w:t>
            </w:r>
          </w:p>
        </w:tc>
        <w:tc>
          <w:tcPr>
            <w:tcW w:w="375" w:type="pct"/>
            <w:tcBorders>
              <w:top w:val="nil"/>
              <w:left w:val="nil"/>
              <w:bottom w:val="single" w:sz="4" w:space="0" w:color="auto"/>
              <w:right w:val="nil"/>
            </w:tcBorders>
            <w:shd w:val="clear" w:color="auto" w:fill="auto"/>
            <w:vAlign w:val="bottom"/>
          </w:tcPr>
          <w:p w14:paraId="2DBCFDF0" w14:textId="4BA2E813" w:rsidR="00A75823" w:rsidRPr="00A75823" w:rsidRDefault="00380E87" w:rsidP="00BD55B9">
            <w:pPr>
              <w:pStyle w:val="AppendixATableTextRight"/>
            </w:pPr>
            <w:r>
              <w:t>0</w:t>
            </w:r>
          </w:p>
        </w:tc>
        <w:tc>
          <w:tcPr>
            <w:tcW w:w="375" w:type="pct"/>
            <w:tcBorders>
              <w:top w:val="nil"/>
              <w:left w:val="single" w:sz="4" w:space="0" w:color="auto"/>
              <w:bottom w:val="single" w:sz="4" w:space="0" w:color="auto"/>
              <w:right w:val="nil"/>
            </w:tcBorders>
            <w:shd w:val="clear" w:color="auto" w:fill="auto"/>
            <w:vAlign w:val="bottom"/>
          </w:tcPr>
          <w:p w14:paraId="4666B05C" w14:textId="5BBB7AA4" w:rsidR="00A75823" w:rsidRPr="00A75823" w:rsidRDefault="00A75823" w:rsidP="00BD55B9">
            <w:pPr>
              <w:pStyle w:val="AppendixATableTextRight"/>
            </w:pPr>
          </w:p>
        </w:tc>
        <w:tc>
          <w:tcPr>
            <w:tcW w:w="344" w:type="pct"/>
            <w:tcBorders>
              <w:top w:val="nil"/>
              <w:left w:val="single" w:sz="4" w:space="0" w:color="auto"/>
              <w:bottom w:val="single" w:sz="4" w:space="0" w:color="auto"/>
              <w:right w:val="nil"/>
            </w:tcBorders>
            <w:shd w:val="clear" w:color="auto" w:fill="auto"/>
            <w:vAlign w:val="bottom"/>
          </w:tcPr>
          <w:p w14:paraId="6C88A0E5" w14:textId="26D1DA96" w:rsidR="00A75823" w:rsidRPr="00A75823" w:rsidRDefault="00A75823" w:rsidP="00BD55B9">
            <w:pPr>
              <w:pStyle w:val="AppendixATableTextRight"/>
            </w:pPr>
          </w:p>
        </w:tc>
        <w:tc>
          <w:tcPr>
            <w:tcW w:w="375" w:type="pct"/>
            <w:tcBorders>
              <w:top w:val="nil"/>
              <w:left w:val="single" w:sz="4" w:space="0" w:color="auto"/>
              <w:bottom w:val="single" w:sz="4" w:space="0" w:color="auto"/>
              <w:right w:val="single" w:sz="4" w:space="0" w:color="auto"/>
            </w:tcBorders>
            <w:shd w:val="clear" w:color="auto" w:fill="auto"/>
            <w:vAlign w:val="bottom"/>
          </w:tcPr>
          <w:p w14:paraId="50916B79" w14:textId="755A5DEA" w:rsidR="00A75823" w:rsidRPr="00A75823" w:rsidRDefault="00A75823" w:rsidP="00BD55B9">
            <w:pPr>
              <w:pStyle w:val="AppendixATableTextRight"/>
            </w:pPr>
          </w:p>
        </w:tc>
        <w:tc>
          <w:tcPr>
            <w:tcW w:w="343" w:type="pct"/>
            <w:tcBorders>
              <w:top w:val="nil"/>
              <w:left w:val="nil"/>
              <w:bottom w:val="single" w:sz="4" w:space="0" w:color="auto"/>
              <w:right w:val="single" w:sz="4" w:space="0" w:color="auto"/>
            </w:tcBorders>
            <w:shd w:val="clear" w:color="auto" w:fill="auto"/>
            <w:vAlign w:val="bottom"/>
            <w:hideMark/>
          </w:tcPr>
          <w:p w14:paraId="75D4EB94" w14:textId="77777777" w:rsidR="00A75823" w:rsidRPr="00A75823" w:rsidRDefault="00A75823" w:rsidP="00BD55B9">
            <w:pPr>
              <w:pStyle w:val="AppendixATableTextRight"/>
            </w:pPr>
            <w:r w:rsidRPr="00A75823">
              <w:t>$0</w:t>
            </w:r>
          </w:p>
        </w:tc>
      </w:tr>
      <w:tr w:rsidR="00A75823" w:rsidRPr="00A75823" w14:paraId="4AD3FACF" w14:textId="77777777" w:rsidTr="00594D9F">
        <w:tc>
          <w:tcPr>
            <w:tcW w:w="1562"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374D9AB4" w14:textId="77777777" w:rsidR="00A75823" w:rsidRPr="00A75823" w:rsidRDefault="00A75823" w:rsidP="00BD55B9">
            <w:pPr>
              <w:pStyle w:val="AppendixAMainTaskSubtask"/>
            </w:pPr>
            <w:r w:rsidRPr="00A75823">
              <w:t>5. RECORDKEEPING REQUIREMENTS</w:t>
            </w:r>
          </w:p>
        </w:tc>
        <w:tc>
          <w:tcPr>
            <w:tcW w:w="375" w:type="pct"/>
            <w:tcBorders>
              <w:top w:val="nil"/>
              <w:left w:val="nil"/>
              <w:bottom w:val="single" w:sz="4" w:space="0" w:color="auto"/>
              <w:right w:val="single" w:sz="4" w:space="0" w:color="auto"/>
            </w:tcBorders>
            <w:shd w:val="clear" w:color="auto" w:fill="auto"/>
            <w:vAlign w:val="bottom"/>
            <w:hideMark/>
          </w:tcPr>
          <w:p w14:paraId="3734CEBF" w14:textId="77777777" w:rsidR="00A75823" w:rsidRPr="00A75823" w:rsidRDefault="00A75823" w:rsidP="00BD55B9">
            <w:pPr>
              <w:pStyle w:val="AppendixATableTextRight"/>
            </w:pPr>
            <w:r w:rsidRPr="00A75823">
              <w:t> </w:t>
            </w:r>
          </w:p>
        </w:tc>
        <w:tc>
          <w:tcPr>
            <w:tcW w:w="406" w:type="pct"/>
            <w:tcBorders>
              <w:top w:val="nil"/>
              <w:left w:val="nil"/>
              <w:bottom w:val="single" w:sz="4" w:space="0" w:color="auto"/>
              <w:right w:val="single" w:sz="4" w:space="0" w:color="auto"/>
            </w:tcBorders>
            <w:shd w:val="clear" w:color="auto" w:fill="auto"/>
            <w:vAlign w:val="bottom"/>
            <w:hideMark/>
          </w:tcPr>
          <w:p w14:paraId="7FEC49AD" w14:textId="77777777" w:rsidR="00A75823" w:rsidRPr="00A75823" w:rsidRDefault="00A75823" w:rsidP="00BD55B9">
            <w:pPr>
              <w:pStyle w:val="AppendixATableTextRight"/>
            </w:pPr>
            <w:r w:rsidRPr="00A75823">
              <w:t> </w:t>
            </w:r>
          </w:p>
        </w:tc>
        <w:tc>
          <w:tcPr>
            <w:tcW w:w="408" w:type="pct"/>
            <w:tcBorders>
              <w:top w:val="nil"/>
              <w:left w:val="nil"/>
              <w:bottom w:val="single" w:sz="4" w:space="0" w:color="auto"/>
              <w:right w:val="single" w:sz="4" w:space="0" w:color="auto"/>
            </w:tcBorders>
            <w:shd w:val="clear" w:color="auto" w:fill="auto"/>
            <w:vAlign w:val="bottom"/>
            <w:hideMark/>
          </w:tcPr>
          <w:p w14:paraId="26D37F50" w14:textId="77777777" w:rsidR="00A75823" w:rsidRPr="00A75823" w:rsidRDefault="00A75823" w:rsidP="00BD55B9">
            <w:pPr>
              <w:pStyle w:val="AppendixATableTextRight"/>
            </w:pPr>
            <w:r w:rsidRPr="00A75823">
              <w:t> </w:t>
            </w:r>
          </w:p>
        </w:tc>
        <w:tc>
          <w:tcPr>
            <w:tcW w:w="437" w:type="pct"/>
            <w:tcBorders>
              <w:top w:val="nil"/>
              <w:left w:val="nil"/>
              <w:bottom w:val="single" w:sz="4" w:space="0" w:color="auto"/>
              <w:right w:val="single" w:sz="4" w:space="0" w:color="auto"/>
            </w:tcBorders>
            <w:shd w:val="clear" w:color="auto" w:fill="auto"/>
            <w:vAlign w:val="bottom"/>
            <w:hideMark/>
          </w:tcPr>
          <w:p w14:paraId="1AC7F782" w14:textId="77777777" w:rsidR="00A75823" w:rsidRPr="00A75823" w:rsidRDefault="00A75823" w:rsidP="00BD55B9">
            <w:pPr>
              <w:pStyle w:val="AppendixATableTextRight"/>
            </w:pPr>
            <w:r w:rsidRPr="00A75823">
              <w:t> </w:t>
            </w:r>
          </w:p>
        </w:tc>
        <w:tc>
          <w:tcPr>
            <w:tcW w:w="375" w:type="pct"/>
            <w:tcBorders>
              <w:top w:val="nil"/>
              <w:left w:val="nil"/>
              <w:bottom w:val="single" w:sz="4" w:space="0" w:color="auto"/>
              <w:right w:val="nil"/>
            </w:tcBorders>
            <w:shd w:val="clear" w:color="auto" w:fill="auto"/>
            <w:vAlign w:val="bottom"/>
            <w:hideMark/>
          </w:tcPr>
          <w:p w14:paraId="046EE8BB" w14:textId="77777777" w:rsidR="00A75823" w:rsidRPr="00A75823" w:rsidRDefault="00A75823" w:rsidP="00BD55B9">
            <w:pPr>
              <w:pStyle w:val="AppendixATableTextRight"/>
            </w:pPr>
            <w:r w:rsidRPr="00A75823">
              <w:t> </w:t>
            </w:r>
          </w:p>
        </w:tc>
        <w:tc>
          <w:tcPr>
            <w:tcW w:w="375" w:type="pct"/>
            <w:tcBorders>
              <w:top w:val="nil"/>
              <w:left w:val="single" w:sz="4" w:space="0" w:color="auto"/>
              <w:bottom w:val="single" w:sz="4" w:space="0" w:color="auto"/>
              <w:right w:val="nil"/>
            </w:tcBorders>
            <w:shd w:val="clear" w:color="auto" w:fill="auto"/>
            <w:vAlign w:val="bottom"/>
            <w:hideMark/>
          </w:tcPr>
          <w:p w14:paraId="2DE311BF" w14:textId="77777777" w:rsidR="00A75823" w:rsidRPr="00A75823" w:rsidRDefault="00A75823" w:rsidP="00BD55B9">
            <w:pPr>
              <w:pStyle w:val="AppendixATableTextRight"/>
            </w:pPr>
            <w:r w:rsidRPr="00A75823">
              <w:t> </w:t>
            </w:r>
          </w:p>
        </w:tc>
        <w:tc>
          <w:tcPr>
            <w:tcW w:w="344" w:type="pct"/>
            <w:tcBorders>
              <w:top w:val="nil"/>
              <w:left w:val="single" w:sz="4" w:space="0" w:color="auto"/>
              <w:bottom w:val="single" w:sz="4" w:space="0" w:color="auto"/>
              <w:right w:val="nil"/>
            </w:tcBorders>
            <w:shd w:val="clear" w:color="auto" w:fill="auto"/>
            <w:vAlign w:val="bottom"/>
            <w:hideMark/>
          </w:tcPr>
          <w:p w14:paraId="7B2C8E9F" w14:textId="77777777" w:rsidR="00A75823" w:rsidRPr="00A75823" w:rsidRDefault="00A75823" w:rsidP="00BD55B9">
            <w:pPr>
              <w:pStyle w:val="AppendixATableTextRight"/>
            </w:pPr>
            <w:r w:rsidRPr="00A75823">
              <w:t> </w:t>
            </w:r>
          </w:p>
        </w:tc>
        <w:tc>
          <w:tcPr>
            <w:tcW w:w="375" w:type="pct"/>
            <w:tcBorders>
              <w:top w:val="nil"/>
              <w:left w:val="single" w:sz="4" w:space="0" w:color="auto"/>
              <w:bottom w:val="single" w:sz="4" w:space="0" w:color="auto"/>
              <w:right w:val="single" w:sz="4" w:space="0" w:color="auto"/>
            </w:tcBorders>
            <w:shd w:val="clear" w:color="auto" w:fill="auto"/>
            <w:vAlign w:val="bottom"/>
            <w:hideMark/>
          </w:tcPr>
          <w:p w14:paraId="7768597A" w14:textId="77777777" w:rsidR="00A75823" w:rsidRPr="00A75823" w:rsidRDefault="00A75823" w:rsidP="00BD55B9">
            <w:pPr>
              <w:pStyle w:val="AppendixATableTextRight"/>
            </w:pPr>
            <w:r w:rsidRPr="00A75823">
              <w:t> </w:t>
            </w:r>
          </w:p>
        </w:tc>
        <w:tc>
          <w:tcPr>
            <w:tcW w:w="343" w:type="pct"/>
            <w:tcBorders>
              <w:top w:val="nil"/>
              <w:left w:val="nil"/>
              <w:bottom w:val="single" w:sz="4" w:space="0" w:color="auto"/>
              <w:right w:val="single" w:sz="4" w:space="0" w:color="auto"/>
            </w:tcBorders>
            <w:shd w:val="clear" w:color="auto" w:fill="auto"/>
            <w:vAlign w:val="bottom"/>
            <w:hideMark/>
          </w:tcPr>
          <w:p w14:paraId="793D96ED" w14:textId="77777777" w:rsidR="00A75823" w:rsidRPr="00A75823" w:rsidRDefault="00A75823" w:rsidP="00BD55B9">
            <w:pPr>
              <w:pStyle w:val="AppendixATableTextRight"/>
            </w:pPr>
            <w:r w:rsidRPr="00A75823">
              <w:t> </w:t>
            </w:r>
          </w:p>
        </w:tc>
      </w:tr>
      <w:tr w:rsidR="00A75823" w:rsidRPr="00A75823" w14:paraId="419C6266" w14:textId="77777777" w:rsidTr="002349E8">
        <w:tc>
          <w:tcPr>
            <w:tcW w:w="90" w:type="pct"/>
            <w:tcBorders>
              <w:top w:val="nil"/>
              <w:left w:val="single" w:sz="4" w:space="0" w:color="auto"/>
              <w:bottom w:val="single" w:sz="4" w:space="0" w:color="auto"/>
              <w:right w:val="nil"/>
            </w:tcBorders>
            <w:shd w:val="clear" w:color="auto" w:fill="auto"/>
            <w:vAlign w:val="bottom"/>
            <w:hideMark/>
          </w:tcPr>
          <w:p w14:paraId="4149A2A7" w14:textId="77777777" w:rsidR="00A75823" w:rsidRPr="00A75823" w:rsidRDefault="00A75823" w:rsidP="00BD55B9">
            <w:pPr>
              <w:pStyle w:val="AppendixAMainTaskSubtask"/>
            </w:pPr>
            <w:r w:rsidRPr="00A75823">
              <w:t> </w:t>
            </w:r>
          </w:p>
        </w:tc>
        <w:tc>
          <w:tcPr>
            <w:tcW w:w="1472" w:type="pct"/>
            <w:gridSpan w:val="2"/>
            <w:tcBorders>
              <w:top w:val="single" w:sz="4" w:space="0" w:color="auto"/>
              <w:left w:val="nil"/>
              <w:bottom w:val="single" w:sz="4" w:space="0" w:color="auto"/>
              <w:right w:val="single" w:sz="4" w:space="0" w:color="000000"/>
            </w:tcBorders>
            <w:shd w:val="clear" w:color="auto" w:fill="auto"/>
            <w:vAlign w:val="bottom"/>
            <w:hideMark/>
          </w:tcPr>
          <w:p w14:paraId="40F1B723" w14:textId="77777777" w:rsidR="00A75823" w:rsidRPr="00A75823" w:rsidRDefault="00A75823" w:rsidP="00BD55B9">
            <w:pPr>
              <w:pStyle w:val="AppendixAMainTaskSubtask"/>
            </w:pPr>
            <w:r w:rsidRPr="00A75823">
              <w:t>A. Read Instructions (Included in 4A)</w:t>
            </w:r>
          </w:p>
        </w:tc>
        <w:tc>
          <w:tcPr>
            <w:tcW w:w="375" w:type="pct"/>
            <w:tcBorders>
              <w:top w:val="nil"/>
              <w:left w:val="nil"/>
              <w:bottom w:val="single" w:sz="4" w:space="0" w:color="auto"/>
              <w:right w:val="single" w:sz="4" w:space="0" w:color="auto"/>
            </w:tcBorders>
            <w:shd w:val="clear" w:color="auto" w:fill="auto"/>
            <w:vAlign w:val="bottom"/>
            <w:hideMark/>
          </w:tcPr>
          <w:p w14:paraId="140B84B9" w14:textId="77777777" w:rsidR="00A75823" w:rsidRPr="00A75823" w:rsidRDefault="00A75823" w:rsidP="00BD55B9">
            <w:pPr>
              <w:pStyle w:val="AppendixATableTextRight"/>
            </w:pPr>
            <w:r w:rsidRPr="00A75823">
              <w:t> </w:t>
            </w:r>
          </w:p>
        </w:tc>
        <w:tc>
          <w:tcPr>
            <w:tcW w:w="406" w:type="pct"/>
            <w:tcBorders>
              <w:top w:val="nil"/>
              <w:left w:val="nil"/>
              <w:bottom w:val="single" w:sz="4" w:space="0" w:color="auto"/>
              <w:right w:val="single" w:sz="4" w:space="0" w:color="auto"/>
            </w:tcBorders>
            <w:shd w:val="clear" w:color="auto" w:fill="auto"/>
            <w:vAlign w:val="bottom"/>
            <w:hideMark/>
          </w:tcPr>
          <w:p w14:paraId="18EF59DE" w14:textId="77777777" w:rsidR="00A75823" w:rsidRPr="00A75823" w:rsidRDefault="00A75823" w:rsidP="00BD55B9">
            <w:pPr>
              <w:pStyle w:val="AppendixATableTextRight"/>
            </w:pPr>
            <w:r w:rsidRPr="00A75823">
              <w:t> </w:t>
            </w:r>
          </w:p>
        </w:tc>
        <w:tc>
          <w:tcPr>
            <w:tcW w:w="408" w:type="pct"/>
            <w:tcBorders>
              <w:top w:val="nil"/>
              <w:left w:val="nil"/>
              <w:bottom w:val="single" w:sz="4" w:space="0" w:color="auto"/>
              <w:right w:val="single" w:sz="4" w:space="0" w:color="auto"/>
            </w:tcBorders>
            <w:shd w:val="clear" w:color="auto" w:fill="auto"/>
            <w:vAlign w:val="bottom"/>
            <w:hideMark/>
          </w:tcPr>
          <w:p w14:paraId="31575704" w14:textId="77777777" w:rsidR="00A75823" w:rsidRPr="00A75823" w:rsidRDefault="00A75823" w:rsidP="00BD55B9">
            <w:pPr>
              <w:pStyle w:val="AppendixATableTextRight"/>
            </w:pPr>
            <w:r w:rsidRPr="00A75823">
              <w:t> </w:t>
            </w:r>
          </w:p>
        </w:tc>
        <w:tc>
          <w:tcPr>
            <w:tcW w:w="437" w:type="pct"/>
            <w:tcBorders>
              <w:top w:val="nil"/>
              <w:left w:val="nil"/>
              <w:bottom w:val="single" w:sz="4" w:space="0" w:color="auto"/>
              <w:right w:val="single" w:sz="4" w:space="0" w:color="auto"/>
            </w:tcBorders>
            <w:shd w:val="clear" w:color="auto" w:fill="auto"/>
            <w:vAlign w:val="bottom"/>
            <w:hideMark/>
          </w:tcPr>
          <w:p w14:paraId="7EB20539" w14:textId="77777777" w:rsidR="00A75823" w:rsidRPr="00A75823" w:rsidRDefault="00A75823" w:rsidP="00BD55B9">
            <w:pPr>
              <w:pStyle w:val="AppendixATableTextRight"/>
            </w:pPr>
            <w:r w:rsidRPr="00A75823">
              <w:t> </w:t>
            </w:r>
          </w:p>
        </w:tc>
        <w:tc>
          <w:tcPr>
            <w:tcW w:w="375" w:type="pct"/>
            <w:tcBorders>
              <w:top w:val="nil"/>
              <w:left w:val="nil"/>
              <w:bottom w:val="single" w:sz="4" w:space="0" w:color="auto"/>
              <w:right w:val="nil"/>
            </w:tcBorders>
            <w:shd w:val="clear" w:color="auto" w:fill="auto"/>
            <w:vAlign w:val="bottom"/>
            <w:hideMark/>
          </w:tcPr>
          <w:p w14:paraId="0E7F5492" w14:textId="77777777" w:rsidR="00A75823" w:rsidRPr="00A75823" w:rsidRDefault="00A75823" w:rsidP="00BD55B9">
            <w:pPr>
              <w:pStyle w:val="AppendixATableTextRight"/>
            </w:pPr>
            <w:r w:rsidRPr="00A75823">
              <w:t> </w:t>
            </w:r>
          </w:p>
        </w:tc>
        <w:tc>
          <w:tcPr>
            <w:tcW w:w="375" w:type="pct"/>
            <w:tcBorders>
              <w:top w:val="nil"/>
              <w:left w:val="single" w:sz="4" w:space="0" w:color="auto"/>
              <w:bottom w:val="single" w:sz="4" w:space="0" w:color="auto"/>
              <w:right w:val="nil"/>
            </w:tcBorders>
            <w:shd w:val="clear" w:color="auto" w:fill="auto"/>
            <w:vAlign w:val="bottom"/>
            <w:hideMark/>
          </w:tcPr>
          <w:p w14:paraId="45DC1811" w14:textId="77777777" w:rsidR="00A75823" w:rsidRPr="00A75823" w:rsidRDefault="00A75823" w:rsidP="00BD55B9">
            <w:pPr>
              <w:pStyle w:val="AppendixATableTextRight"/>
            </w:pPr>
            <w:r w:rsidRPr="00A75823">
              <w:t> </w:t>
            </w:r>
          </w:p>
        </w:tc>
        <w:tc>
          <w:tcPr>
            <w:tcW w:w="344" w:type="pct"/>
            <w:tcBorders>
              <w:top w:val="nil"/>
              <w:left w:val="single" w:sz="4" w:space="0" w:color="auto"/>
              <w:bottom w:val="single" w:sz="4" w:space="0" w:color="auto"/>
              <w:right w:val="nil"/>
            </w:tcBorders>
            <w:shd w:val="clear" w:color="auto" w:fill="auto"/>
            <w:vAlign w:val="bottom"/>
            <w:hideMark/>
          </w:tcPr>
          <w:p w14:paraId="27941267" w14:textId="77777777" w:rsidR="00A75823" w:rsidRPr="00A75823" w:rsidRDefault="00A75823" w:rsidP="00BD55B9">
            <w:pPr>
              <w:pStyle w:val="AppendixATableTextRight"/>
            </w:pPr>
            <w:r w:rsidRPr="00A75823">
              <w:t> </w:t>
            </w:r>
          </w:p>
        </w:tc>
        <w:tc>
          <w:tcPr>
            <w:tcW w:w="375" w:type="pct"/>
            <w:tcBorders>
              <w:top w:val="nil"/>
              <w:left w:val="single" w:sz="4" w:space="0" w:color="auto"/>
              <w:bottom w:val="single" w:sz="4" w:space="0" w:color="auto"/>
              <w:right w:val="single" w:sz="4" w:space="0" w:color="auto"/>
            </w:tcBorders>
            <w:shd w:val="clear" w:color="auto" w:fill="auto"/>
            <w:vAlign w:val="bottom"/>
            <w:hideMark/>
          </w:tcPr>
          <w:p w14:paraId="7692C52B" w14:textId="77777777" w:rsidR="00A75823" w:rsidRPr="00A75823" w:rsidRDefault="00A75823" w:rsidP="00BD55B9">
            <w:pPr>
              <w:pStyle w:val="AppendixATableTextRight"/>
            </w:pPr>
            <w:r w:rsidRPr="00A75823">
              <w:t> </w:t>
            </w:r>
          </w:p>
        </w:tc>
        <w:tc>
          <w:tcPr>
            <w:tcW w:w="343" w:type="pct"/>
            <w:tcBorders>
              <w:top w:val="nil"/>
              <w:left w:val="nil"/>
              <w:bottom w:val="single" w:sz="4" w:space="0" w:color="auto"/>
              <w:right w:val="single" w:sz="4" w:space="0" w:color="auto"/>
            </w:tcBorders>
            <w:shd w:val="clear" w:color="auto" w:fill="auto"/>
            <w:vAlign w:val="bottom"/>
            <w:hideMark/>
          </w:tcPr>
          <w:p w14:paraId="77A2F4F5" w14:textId="77777777" w:rsidR="00A75823" w:rsidRPr="00A75823" w:rsidRDefault="00A75823" w:rsidP="00BD55B9">
            <w:pPr>
              <w:pStyle w:val="AppendixATableTextRight"/>
            </w:pPr>
            <w:r w:rsidRPr="00A75823">
              <w:t> </w:t>
            </w:r>
          </w:p>
        </w:tc>
      </w:tr>
      <w:tr w:rsidR="00A75823" w:rsidRPr="00A75823" w14:paraId="449FA840" w14:textId="77777777" w:rsidTr="002349E8">
        <w:tc>
          <w:tcPr>
            <w:tcW w:w="90" w:type="pct"/>
            <w:tcBorders>
              <w:top w:val="nil"/>
              <w:left w:val="single" w:sz="4" w:space="0" w:color="auto"/>
              <w:bottom w:val="single" w:sz="4" w:space="0" w:color="auto"/>
              <w:right w:val="nil"/>
            </w:tcBorders>
            <w:shd w:val="clear" w:color="auto" w:fill="auto"/>
            <w:vAlign w:val="bottom"/>
            <w:hideMark/>
          </w:tcPr>
          <w:p w14:paraId="2777C596" w14:textId="77777777" w:rsidR="00A75823" w:rsidRPr="00A75823" w:rsidRDefault="00A75823" w:rsidP="00BD55B9">
            <w:pPr>
              <w:pStyle w:val="AppendixAMainTaskSubtask"/>
            </w:pPr>
            <w:r w:rsidRPr="00A75823">
              <w:t> </w:t>
            </w:r>
          </w:p>
        </w:tc>
        <w:tc>
          <w:tcPr>
            <w:tcW w:w="1472" w:type="pct"/>
            <w:gridSpan w:val="2"/>
            <w:tcBorders>
              <w:top w:val="single" w:sz="4" w:space="0" w:color="auto"/>
              <w:left w:val="nil"/>
              <w:bottom w:val="single" w:sz="4" w:space="0" w:color="auto"/>
              <w:right w:val="single" w:sz="4" w:space="0" w:color="000000"/>
            </w:tcBorders>
            <w:shd w:val="clear" w:color="auto" w:fill="auto"/>
            <w:vAlign w:val="bottom"/>
            <w:hideMark/>
          </w:tcPr>
          <w:p w14:paraId="38E3DFDD" w14:textId="77777777" w:rsidR="00A75823" w:rsidRPr="00A75823" w:rsidRDefault="00A75823" w:rsidP="00BD55B9">
            <w:pPr>
              <w:pStyle w:val="AppendixAMainTaskSubtask"/>
            </w:pPr>
            <w:r w:rsidRPr="00A75823">
              <w:t>B. Plan Activities (Included in 4B)</w:t>
            </w:r>
          </w:p>
        </w:tc>
        <w:tc>
          <w:tcPr>
            <w:tcW w:w="375" w:type="pct"/>
            <w:tcBorders>
              <w:top w:val="nil"/>
              <w:left w:val="nil"/>
              <w:bottom w:val="single" w:sz="4" w:space="0" w:color="auto"/>
              <w:right w:val="single" w:sz="4" w:space="0" w:color="auto"/>
            </w:tcBorders>
            <w:shd w:val="clear" w:color="auto" w:fill="auto"/>
            <w:vAlign w:val="bottom"/>
            <w:hideMark/>
          </w:tcPr>
          <w:p w14:paraId="190FE8FF" w14:textId="77777777" w:rsidR="00A75823" w:rsidRPr="00A75823" w:rsidRDefault="00A75823" w:rsidP="00BD55B9">
            <w:pPr>
              <w:pStyle w:val="AppendixATableTextRight"/>
            </w:pPr>
            <w:r w:rsidRPr="00A75823">
              <w:t> </w:t>
            </w:r>
          </w:p>
        </w:tc>
        <w:tc>
          <w:tcPr>
            <w:tcW w:w="406" w:type="pct"/>
            <w:tcBorders>
              <w:top w:val="nil"/>
              <w:left w:val="nil"/>
              <w:bottom w:val="single" w:sz="4" w:space="0" w:color="auto"/>
              <w:right w:val="single" w:sz="4" w:space="0" w:color="auto"/>
            </w:tcBorders>
            <w:shd w:val="clear" w:color="auto" w:fill="auto"/>
            <w:vAlign w:val="bottom"/>
            <w:hideMark/>
          </w:tcPr>
          <w:p w14:paraId="126A2B99" w14:textId="77777777" w:rsidR="00A75823" w:rsidRPr="00A75823" w:rsidRDefault="00A75823" w:rsidP="00BD55B9">
            <w:pPr>
              <w:pStyle w:val="AppendixATableTextRight"/>
            </w:pPr>
            <w:r w:rsidRPr="00A75823">
              <w:t> </w:t>
            </w:r>
          </w:p>
        </w:tc>
        <w:tc>
          <w:tcPr>
            <w:tcW w:w="408" w:type="pct"/>
            <w:tcBorders>
              <w:top w:val="nil"/>
              <w:left w:val="nil"/>
              <w:bottom w:val="single" w:sz="4" w:space="0" w:color="auto"/>
              <w:right w:val="single" w:sz="4" w:space="0" w:color="auto"/>
            </w:tcBorders>
            <w:shd w:val="clear" w:color="auto" w:fill="auto"/>
            <w:vAlign w:val="bottom"/>
            <w:hideMark/>
          </w:tcPr>
          <w:p w14:paraId="0E173F76" w14:textId="77777777" w:rsidR="00A75823" w:rsidRPr="00A75823" w:rsidRDefault="00A75823" w:rsidP="00BD55B9">
            <w:pPr>
              <w:pStyle w:val="AppendixATableTextRight"/>
            </w:pPr>
            <w:r w:rsidRPr="00A75823">
              <w:t> </w:t>
            </w:r>
          </w:p>
        </w:tc>
        <w:tc>
          <w:tcPr>
            <w:tcW w:w="437" w:type="pct"/>
            <w:tcBorders>
              <w:top w:val="nil"/>
              <w:left w:val="nil"/>
              <w:bottom w:val="single" w:sz="4" w:space="0" w:color="auto"/>
              <w:right w:val="single" w:sz="4" w:space="0" w:color="auto"/>
            </w:tcBorders>
            <w:shd w:val="clear" w:color="auto" w:fill="auto"/>
            <w:vAlign w:val="bottom"/>
            <w:hideMark/>
          </w:tcPr>
          <w:p w14:paraId="2CEA5228" w14:textId="77777777" w:rsidR="00A75823" w:rsidRPr="00A75823" w:rsidRDefault="00A75823" w:rsidP="00BD55B9">
            <w:pPr>
              <w:pStyle w:val="AppendixATableTextRight"/>
            </w:pPr>
            <w:r w:rsidRPr="00A75823">
              <w:t> </w:t>
            </w:r>
          </w:p>
        </w:tc>
        <w:tc>
          <w:tcPr>
            <w:tcW w:w="375" w:type="pct"/>
            <w:tcBorders>
              <w:top w:val="nil"/>
              <w:left w:val="nil"/>
              <w:bottom w:val="single" w:sz="4" w:space="0" w:color="auto"/>
              <w:right w:val="nil"/>
            </w:tcBorders>
            <w:shd w:val="clear" w:color="auto" w:fill="auto"/>
            <w:vAlign w:val="bottom"/>
            <w:hideMark/>
          </w:tcPr>
          <w:p w14:paraId="345E9C87" w14:textId="77777777" w:rsidR="00A75823" w:rsidRPr="00A75823" w:rsidRDefault="00A75823" w:rsidP="00BD55B9">
            <w:pPr>
              <w:pStyle w:val="AppendixATableTextRight"/>
            </w:pPr>
            <w:r w:rsidRPr="00A75823">
              <w:t> </w:t>
            </w:r>
          </w:p>
        </w:tc>
        <w:tc>
          <w:tcPr>
            <w:tcW w:w="375" w:type="pct"/>
            <w:tcBorders>
              <w:top w:val="nil"/>
              <w:left w:val="single" w:sz="4" w:space="0" w:color="auto"/>
              <w:bottom w:val="single" w:sz="4" w:space="0" w:color="auto"/>
              <w:right w:val="nil"/>
            </w:tcBorders>
            <w:shd w:val="clear" w:color="auto" w:fill="auto"/>
            <w:vAlign w:val="bottom"/>
            <w:hideMark/>
          </w:tcPr>
          <w:p w14:paraId="2CA7B246" w14:textId="77777777" w:rsidR="00A75823" w:rsidRPr="00A75823" w:rsidRDefault="00A75823" w:rsidP="00BD55B9">
            <w:pPr>
              <w:pStyle w:val="AppendixATableTextRight"/>
            </w:pPr>
            <w:r w:rsidRPr="00A75823">
              <w:t> </w:t>
            </w:r>
          </w:p>
        </w:tc>
        <w:tc>
          <w:tcPr>
            <w:tcW w:w="344" w:type="pct"/>
            <w:tcBorders>
              <w:top w:val="nil"/>
              <w:left w:val="single" w:sz="4" w:space="0" w:color="auto"/>
              <w:bottom w:val="single" w:sz="4" w:space="0" w:color="auto"/>
              <w:right w:val="nil"/>
            </w:tcBorders>
            <w:shd w:val="clear" w:color="auto" w:fill="auto"/>
            <w:vAlign w:val="bottom"/>
            <w:hideMark/>
          </w:tcPr>
          <w:p w14:paraId="386EE8FE" w14:textId="77777777" w:rsidR="00A75823" w:rsidRPr="00A75823" w:rsidRDefault="00A75823" w:rsidP="00BD55B9">
            <w:pPr>
              <w:pStyle w:val="AppendixATableTextRight"/>
            </w:pPr>
            <w:r w:rsidRPr="00A75823">
              <w:t> </w:t>
            </w:r>
          </w:p>
        </w:tc>
        <w:tc>
          <w:tcPr>
            <w:tcW w:w="375" w:type="pct"/>
            <w:tcBorders>
              <w:top w:val="nil"/>
              <w:left w:val="single" w:sz="4" w:space="0" w:color="auto"/>
              <w:bottom w:val="single" w:sz="4" w:space="0" w:color="auto"/>
              <w:right w:val="single" w:sz="4" w:space="0" w:color="auto"/>
            </w:tcBorders>
            <w:shd w:val="clear" w:color="auto" w:fill="auto"/>
            <w:vAlign w:val="bottom"/>
            <w:hideMark/>
          </w:tcPr>
          <w:p w14:paraId="11ED2FA5" w14:textId="77777777" w:rsidR="00A75823" w:rsidRPr="00A75823" w:rsidRDefault="00A75823" w:rsidP="00BD55B9">
            <w:pPr>
              <w:pStyle w:val="AppendixATableTextRight"/>
            </w:pPr>
            <w:r w:rsidRPr="00A75823">
              <w:t> </w:t>
            </w:r>
          </w:p>
        </w:tc>
        <w:tc>
          <w:tcPr>
            <w:tcW w:w="343" w:type="pct"/>
            <w:tcBorders>
              <w:top w:val="nil"/>
              <w:left w:val="nil"/>
              <w:bottom w:val="single" w:sz="4" w:space="0" w:color="auto"/>
              <w:right w:val="single" w:sz="4" w:space="0" w:color="auto"/>
            </w:tcBorders>
            <w:shd w:val="clear" w:color="auto" w:fill="auto"/>
            <w:vAlign w:val="bottom"/>
            <w:hideMark/>
          </w:tcPr>
          <w:p w14:paraId="53497879" w14:textId="77777777" w:rsidR="00A75823" w:rsidRPr="00A75823" w:rsidRDefault="00A75823" w:rsidP="00BD55B9">
            <w:pPr>
              <w:pStyle w:val="AppendixATableTextRight"/>
            </w:pPr>
            <w:r w:rsidRPr="00A75823">
              <w:t> </w:t>
            </w:r>
          </w:p>
        </w:tc>
      </w:tr>
      <w:tr w:rsidR="00A75823" w:rsidRPr="00A75823" w14:paraId="3D1555BF" w14:textId="77777777" w:rsidTr="002349E8">
        <w:tc>
          <w:tcPr>
            <w:tcW w:w="90" w:type="pct"/>
            <w:tcBorders>
              <w:top w:val="nil"/>
              <w:left w:val="single" w:sz="4" w:space="0" w:color="auto"/>
              <w:bottom w:val="single" w:sz="4" w:space="0" w:color="auto"/>
              <w:right w:val="nil"/>
            </w:tcBorders>
            <w:shd w:val="clear" w:color="auto" w:fill="auto"/>
            <w:vAlign w:val="bottom"/>
            <w:hideMark/>
          </w:tcPr>
          <w:p w14:paraId="3C06877A" w14:textId="77777777" w:rsidR="00A75823" w:rsidRPr="00A75823" w:rsidRDefault="00A75823" w:rsidP="00BD55B9">
            <w:pPr>
              <w:pStyle w:val="AppendixAMainTaskSubtask"/>
            </w:pPr>
            <w:r w:rsidRPr="00A75823">
              <w:t> </w:t>
            </w:r>
          </w:p>
        </w:tc>
        <w:tc>
          <w:tcPr>
            <w:tcW w:w="1472" w:type="pct"/>
            <w:gridSpan w:val="2"/>
            <w:tcBorders>
              <w:top w:val="single" w:sz="4" w:space="0" w:color="auto"/>
              <w:left w:val="nil"/>
              <w:bottom w:val="single" w:sz="4" w:space="0" w:color="auto"/>
              <w:right w:val="single" w:sz="4" w:space="0" w:color="000000"/>
            </w:tcBorders>
            <w:shd w:val="clear" w:color="auto" w:fill="auto"/>
            <w:vAlign w:val="bottom"/>
            <w:hideMark/>
          </w:tcPr>
          <w:p w14:paraId="61882032" w14:textId="77777777" w:rsidR="00A75823" w:rsidRPr="00A75823" w:rsidRDefault="00A75823" w:rsidP="00BD55B9">
            <w:pPr>
              <w:pStyle w:val="AppendixAMainTaskSubtask"/>
            </w:pPr>
            <w:r w:rsidRPr="00A75823">
              <w:t>C. Implement Activities (Included in 4B)</w:t>
            </w:r>
          </w:p>
        </w:tc>
        <w:tc>
          <w:tcPr>
            <w:tcW w:w="375" w:type="pct"/>
            <w:tcBorders>
              <w:top w:val="nil"/>
              <w:left w:val="nil"/>
              <w:bottom w:val="single" w:sz="4" w:space="0" w:color="auto"/>
              <w:right w:val="single" w:sz="4" w:space="0" w:color="auto"/>
            </w:tcBorders>
            <w:shd w:val="clear" w:color="auto" w:fill="auto"/>
            <w:vAlign w:val="bottom"/>
            <w:hideMark/>
          </w:tcPr>
          <w:p w14:paraId="3E4805F1" w14:textId="77777777" w:rsidR="00A75823" w:rsidRPr="00A75823" w:rsidRDefault="00A75823" w:rsidP="00BD55B9">
            <w:pPr>
              <w:pStyle w:val="AppendixATableTextRight"/>
            </w:pPr>
            <w:r w:rsidRPr="00A75823">
              <w:t> </w:t>
            </w:r>
          </w:p>
        </w:tc>
        <w:tc>
          <w:tcPr>
            <w:tcW w:w="406" w:type="pct"/>
            <w:tcBorders>
              <w:top w:val="nil"/>
              <w:left w:val="nil"/>
              <w:bottom w:val="single" w:sz="4" w:space="0" w:color="auto"/>
              <w:right w:val="single" w:sz="4" w:space="0" w:color="auto"/>
            </w:tcBorders>
            <w:shd w:val="clear" w:color="auto" w:fill="auto"/>
            <w:vAlign w:val="bottom"/>
            <w:hideMark/>
          </w:tcPr>
          <w:p w14:paraId="6C18B7FA" w14:textId="77777777" w:rsidR="00A75823" w:rsidRPr="00A75823" w:rsidRDefault="00A75823" w:rsidP="00BD55B9">
            <w:pPr>
              <w:pStyle w:val="AppendixATableTextRight"/>
            </w:pPr>
            <w:r w:rsidRPr="00A75823">
              <w:t> </w:t>
            </w:r>
          </w:p>
        </w:tc>
        <w:tc>
          <w:tcPr>
            <w:tcW w:w="408" w:type="pct"/>
            <w:tcBorders>
              <w:top w:val="nil"/>
              <w:left w:val="nil"/>
              <w:bottom w:val="single" w:sz="4" w:space="0" w:color="auto"/>
              <w:right w:val="single" w:sz="4" w:space="0" w:color="auto"/>
            </w:tcBorders>
            <w:shd w:val="clear" w:color="auto" w:fill="auto"/>
            <w:vAlign w:val="bottom"/>
            <w:hideMark/>
          </w:tcPr>
          <w:p w14:paraId="0B56F253" w14:textId="77777777" w:rsidR="00A75823" w:rsidRPr="00A75823" w:rsidRDefault="00A75823" w:rsidP="00BD55B9">
            <w:pPr>
              <w:pStyle w:val="AppendixATableTextRight"/>
            </w:pPr>
            <w:r w:rsidRPr="00A75823">
              <w:t> </w:t>
            </w:r>
          </w:p>
        </w:tc>
        <w:tc>
          <w:tcPr>
            <w:tcW w:w="437" w:type="pct"/>
            <w:tcBorders>
              <w:top w:val="nil"/>
              <w:left w:val="nil"/>
              <w:bottom w:val="single" w:sz="4" w:space="0" w:color="auto"/>
              <w:right w:val="single" w:sz="4" w:space="0" w:color="auto"/>
            </w:tcBorders>
            <w:shd w:val="clear" w:color="auto" w:fill="auto"/>
            <w:vAlign w:val="bottom"/>
            <w:hideMark/>
          </w:tcPr>
          <w:p w14:paraId="219B2169" w14:textId="77777777" w:rsidR="00A75823" w:rsidRPr="00A75823" w:rsidRDefault="00A75823" w:rsidP="00BD55B9">
            <w:pPr>
              <w:pStyle w:val="AppendixATableTextRight"/>
            </w:pPr>
            <w:r w:rsidRPr="00A75823">
              <w:t> </w:t>
            </w:r>
          </w:p>
        </w:tc>
        <w:tc>
          <w:tcPr>
            <w:tcW w:w="375" w:type="pct"/>
            <w:tcBorders>
              <w:top w:val="nil"/>
              <w:left w:val="nil"/>
              <w:bottom w:val="single" w:sz="4" w:space="0" w:color="auto"/>
              <w:right w:val="nil"/>
            </w:tcBorders>
            <w:shd w:val="clear" w:color="auto" w:fill="auto"/>
            <w:vAlign w:val="bottom"/>
            <w:hideMark/>
          </w:tcPr>
          <w:p w14:paraId="575D8904" w14:textId="77777777" w:rsidR="00A75823" w:rsidRPr="00A75823" w:rsidRDefault="00A75823" w:rsidP="00BD55B9">
            <w:pPr>
              <w:pStyle w:val="AppendixATableTextRight"/>
            </w:pPr>
            <w:r w:rsidRPr="00A75823">
              <w:t> </w:t>
            </w:r>
          </w:p>
        </w:tc>
        <w:tc>
          <w:tcPr>
            <w:tcW w:w="375" w:type="pct"/>
            <w:tcBorders>
              <w:top w:val="nil"/>
              <w:left w:val="single" w:sz="4" w:space="0" w:color="auto"/>
              <w:bottom w:val="single" w:sz="4" w:space="0" w:color="auto"/>
              <w:right w:val="nil"/>
            </w:tcBorders>
            <w:shd w:val="clear" w:color="auto" w:fill="auto"/>
            <w:vAlign w:val="bottom"/>
            <w:hideMark/>
          </w:tcPr>
          <w:p w14:paraId="3A5E506B" w14:textId="77777777" w:rsidR="00A75823" w:rsidRPr="00A75823" w:rsidRDefault="00A75823" w:rsidP="00BD55B9">
            <w:pPr>
              <w:pStyle w:val="AppendixATableTextRight"/>
            </w:pPr>
            <w:r w:rsidRPr="00A75823">
              <w:t> </w:t>
            </w:r>
          </w:p>
        </w:tc>
        <w:tc>
          <w:tcPr>
            <w:tcW w:w="344" w:type="pct"/>
            <w:tcBorders>
              <w:top w:val="nil"/>
              <w:left w:val="single" w:sz="4" w:space="0" w:color="auto"/>
              <w:bottom w:val="single" w:sz="4" w:space="0" w:color="auto"/>
              <w:right w:val="nil"/>
            </w:tcBorders>
            <w:shd w:val="clear" w:color="auto" w:fill="auto"/>
            <w:vAlign w:val="bottom"/>
            <w:hideMark/>
          </w:tcPr>
          <w:p w14:paraId="4F3FFD46" w14:textId="77777777" w:rsidR="00A75823" w:rsidRPr="00A75823" w:rsidRDefault="00A75823" w:rsidP="00BD55B9">
            <w:pPr>
              <w:pStyle w:val="AppendixATableTextRight"/>
            </w:pPr>
            <w:r w:rsidRPr="00A75823">
              <w:t> </w:t>
            </w:r>
          </w:p>
        </w:tc>
        <w:tc>
          <w:tcPr>
            <w:tcW w:w="375" w:type="pct"/>
            <w:tcBorders>
              <w:top w:val="nil"/>
              <w:left w:val="single" w:sz="4" w:space="0" w:color="auto"/>
              <w:bottom w:val="single" w:sz="4" w:space="0" w:color="auto"/>
              <w:right w:val="single" w:sz="4" w:space="0" w:color="auto"/>
            </w:tcBorders>
            <w:shd w:val="clear" w:color="auto" w:fill="auto"/>
            <w:vAlign w:val="bottom"/>
            <w:hideMark/>
          </w:tcPr>
          <w:p w14:paraId="64E44F8D" w14:textId="77777777" w:rsidR="00A75823" w:rsidRPr="00A75823" w:rsidRDefault="00A75823" w:rsidP="00BD55B9">
            <w:pPr>
              <w:pStyle w:val="AppendixATableTextRight"/>
            </w:pPr>
            <w:r w:rsidRPr="00A75823">
              <w:t> </w:t>
            </w:r>
          </w:p>
        </w:tc>
        <w:tc>
          <w:tcPr>
            <w:tcW w:w="343" w:type="pct"/>
            <w:tcBorders>
              <w:top w:val="nil"/>
              <w:left w:val="nil"/>
              <w:bottom w:val="single" w:sz="4" w:space="0" w:color="auto"/>
              <w:right w:val="single" w:sz="4" w:space="0" w:color="auto"/>
            </w:tcBorders>
            <w:shd w:val="clear" w:color="auto" w:fill="auto"/>
            <w:vAlign w:val="bottom"/>
            <w:hideMark/>
          </w:tcPr>
          <w:p w14:paraId="25CCCE5C" w14:textId="77777777" w:rsidR="00A75823" w:rsidRPr="00A75823" w:rsidRDefault="00A75823" w:rsidP="00BD55B9">
            <w:pPr>
              <w:pStyle w:val="AppendixATableTextRight"/>
            </w:pPr>
            <w:r w:rsidRPr="00A75823">
              <w:t> </w:t>
            </w:r>
          </w:p>
        </w:tc>
      </w:tr>
      <w:tr w:rsidR="00A75823" w:rsidRPr="00A75823" w14:paraId="492719E6" w14:textId="77777777" w:rsidTr="002349E8">
        <w:tc>
          <w:tcPr>
            <w:tcW w:w="90" w:type="pct"/>
            <w:tcBorders>
              <w:top w:val="nil"/>
              <w:left w:val="single" w:sz="4" w:space="0" w:color="auto"/>
              <w:bottom w:val="single" w:sz="4" w:space="0" w:color="auto"/>
              <w:right w:val="nil"/>
            </w:tcBorders>
            <w:shd w:val="clear" w:color="auto" w:fill="auto"/>
            <w:vAlign w:val="bottom"/>
            <w:hideMark/>
          </w:tcPr>
          <w:p w14:paraId="76874E4F" w14:textId="77777777" w:rsidR="00A75823" w:rsidRPr="00A75823" w:rsidRDefault="00A75823" w:rsidP="00BD55B9">
            <w:pPr>
              <w:pStyle w:val="AppendixAMainTaskSubtask"/>
            </w:pPr>
            <w:r w:rsidRPr="00A75823">
              <w:t> </w:t>
            </w:r>
          </w:p>
        </w:tc>
        <w:tc>
          <w:tcPr>
            <w:tcW w:w="1472" w:type="pct"/>
            <w:gridSpan w:val="2"/>
            <w:tcBorders>
              <w:top w:val="single" w:sz="4" w:space="0" w:color="auto"/>
              <w:left w:val="nil"/>
              <w:bottom w:val="single" w:sz="4" w:space="0" w:color="auto"/>
              <w:right w:val="single" w:sz="4" w:space="0" w:color="000000"/>
            </w:tcBorders>
            <w:shd w:val="clear" w:color="auto" w:fill="auto"/>
            <w:vAlign w:val="bottom"/>
            <w:hideMark/>
          </w:tcPr>
          <w:p w14:paraId="3FD4294E" w14:textId="14547302" w:rsidR="00A75823" w:rsidRPr="00A75823" w:rsidRDefault="00A75823" w:rsidP="00BD55B9">
            <w:pPr>
              <w:pStyle w:val="AppendixAMainTaskSubtask"/>
            </w:pPr>
            <w:r w:rsidRPr="00A75823">
              <w:t>D. Recordkeeping</w:t>
            </w:r>
            <w:r w:rsidR="00594D9F">
              <w:t xml:space="preserve"> and Associated Calculations</w:t>
            </w:r>
            <w:r w:rsidR="004A7381">
              <w:t xml:space="preserve"> </w:t>
            </w:r>
            <w:r w:rsidR="00496501">
              <w:rPr>
                <w:rStyle w:val="Superscript"/>
              </w:rPr>
              <w:t>b</w:t>
            </w:r>
            <w:r w:rsidRPr="00A75823">
              <w:t xml:space="preserve"> </w:t>
            </w:r>
          </w:p>
        </w:tc>
        <w:tc>
          <w:tcPr>
            <w:tcW w:w="375" w:type="pct"/>
            <w:tcBorders>
              <w:top w:val="nil"/>
              <w:left w:val="nil"/>
              <w:bottom w:val="single" w:sz="4" w:space="0" w:color="auto"/>
              <w:right w:val="single" w:sz="4" w:space="0" w:color="auto"/>
            </w:tcBorders>
            <w:shd w:val="clear" w:color="auto" w:fill="auto"/>
            <w:vAlign w:val="bottom"/>
          </w:tcPr>
          <w:p w14:paraId="494171DF" w14:textId="56ED31E4" w:rsidR="00A75823" w:rsidRPr="00A75823" w:rsidRDefault="00380E87" w:rsidP="00BD55B9">
            <w:pPr>
              <w:pStyle w:val="AppendixATableTextRight"/>
            </w:pPr>
            <w:r>
              <w:t>0.00</w:t>
            </w:r>
          </w:p>
        </w:tc>
        <w:tc>
          <w:tcPr>
            <w:tcW w:w="406" w:type="pct"/>
            <w:tcBorders>
              <w:top w:val="nil"/>
              <w:left w:val="nil"/>
              <w:bottom w:val="single" w:sz="4" w:space="0" w:color="auto"/>
              <w:right w:val="single" w:sz="4" w:space="0" w:color="auto"/>
            </w:tcBorders>
            <w:shd w:val="clear" w:color="auto" w:fill="auto"/>
            <w:vAlign w:val="bottom"/>
          </w:tcPr>
          <w:p w14:paraId="6EBA5E5C" w14:textId="3D958784" w:rsidR="00A75823" w:rsidRPr="00A75823" w:rsidRDefault="00380E87" w:rsidP="00BD55B9">
            <w:pPr>
              <w:pStyle w:val="AppendixATableTextRight"/>
            </w:pPr>
            <w:r>
              <w:t>0</w:t>
            </w:r>
          </w:p>
        </w:tc>
        <w:tc>
          <w:tcPr>
            <w:tcW w:w="408" w:type="pct"/>
            <w:tcBorders>
              <w:top w:val="nil"/>
              <w:left w:val="nil"/>
              <w:bottom w:val="single" w:sz="4" w:space="0" w:color="auto"/>
              <w:right w:val="single" w:sz="4" w:space="0" w:color="auto"/>
            </w:tcBorders>
            <w:shd w:val="clear" w:color="auto" w:fill="auto"/>
            <w:vAlign w:val="bottom"/>
          </w:tcPr>
          <w:p w14:paraId="7EC2F444" w14:textId="1A42FD79" w:rsidR="00A75823" w:rsidRPr="00A75823" w:rsidRDefault="00380E87" w:rsidP="00BD55B9">
            <w:pPr>
              <w:pStyle w:val="AppendixATableTextRight"/>
            </w:pPr>
            <w:r>
              <w:t>0.00</w:t>
            </w:r>
          </w:p>
        </w:tc>
        <w:tc>
          <w:tcPr>
            <w:tcW w:w="437" w:type="pct"/>
            <w:tcBorders>
              <w:top w:val="nil"/>
              <w:left w:val="nil"/>
              <w:bottom w:val="single" w:sz="4" w:space="0" w:color="auto"/>
              <w:right w:val="single" w:sz="4" w:space="0" w:color="auto"/>
            </w:tcBorders>
            <w:shd w:val="clear" w:color="auto" w:fill="auto"/>
            <w:vAlign w:val="bottom"/>
          </w:tcPr>
          <w:p w14:paraId="1821D6DB" w14:textId="43ADEE01" w:rsidR="00A75823" w:rsidRPr="00A75823" w:rsidRDefault="00380E87" w:rsidP="00BD55B9">
            <w:pPr>
              <w:pStyle w:val="AppendixATableTextRight"/>
            </w:pPr>
            <w:r>
              <w:t>0</w:t>
            </w:r>
          </w:p>
        </w:tc>
        <w:tc>
          <w:tcPr>
            <w:tcW w:w="375" w:type="pct"/>
            <w:tcBorders>
              <w:top w:val="nil"/>
              <w:left w:val="nil"/>
              <w:bottom w:val="single" w:sz="4" w:space="0" w:color="auto"/>
              <w:right w:val="nil"/>
            </w:tcBorders>
            <w:shd w:val="clear" w:color="auto" w:fill="auto"/>
            <w:vAlign w:val="bottom"/>
          </w:tcPr>
          <w:p w14:paraId="653C56AA" w14:textId="029072AF" w:rsidR="00A75823" w:rsidRPr="00A75823" w:rsidRDefault="00380E87" w:rsidP="00BD55B9">
            <w:pPr>
              <w:pStyle w:val="AppendixATableTextRight"/>
            </w:pPr>
            <w:r>
              <w:t>0</w:t>
            </w:r>
          </w:p>
        </w:tc>
        <w:tc>
          <w:tcPr>
            <w:tcW w:w="375" w:type="pct"/>
            <w:tcBorders>
              <w:top w:val="nil"/>
              <w:left w:val="single" w:sz="4" w:space="0" w:color="auto"/>
              <w:bottom w:val="single" w:sz="4" w:space="0" w:color="auto"/>
              <w:right w:val="nil"/>
            </w:tcBorders>
            <w:shd w:val="clear" w:color="auto" w:fill="auto"/>
            <w:vAlign w:val="bottom"/>
          </w:tcPr>
          <w:p w14:paraId="56D5A00F" w14:textId="5A95EF87" w:rsidR="00A75823" w:rsidRPr="00A75823" w:rsidRDefault="00A75823" w:rsidP="00BD55B9">
            <w:pPr>
              <w:pStyle w:val="AppendixATableTextRight"/>
            </w:pPr>
          </w:p>
        </w:tc>
        <w:tc>
          <w:tcPr>
            <w:tcW w:w="344" w:type="pct"/>
            <w:tcBorders>
              <w:top w:val="nil"/>
              <w:left w:val="single" w:sz="4" w:space="0" w:color="auto"/>
              <w:bottom w:val="single" w:sz="4" w:space="0" w:color="auto"/>
              <w:right w:val="nil"/>
            </w:tcBorders>
            <w:shd w:val="clear" w:color="auto" w:fill="auto"/>
            <w:vAlign w:val="bottom"/>
          </w:tcPr>
          <w:p w14:paraId="5C6A334B" w14:textId="535763A1" w:rsidR="00A75823" w:rsidRPr="00A75823" w:rsidRDefault="00A75823" w:rsidP="00BD55B9">
            <w:pPr>
              <w:pStyle w:val="AppendixATableTextRight"/>
            </w:pPr>
          </w:p>
        </w:tc>
        <w:tc>
          <w:tcPr>
            <w:tcW w:w="375" w:type="pct"/>
            <w:tcBorders>
              <w:top w:val="nil"/>
              <w:left w:val="single" w:sz="4" w:space="0" w:color="auto"/>
              <w:bottom w:val="single" w:sz="4" w:space="0" w:color="auto"/>
              <w:right w:val="single" w:sz="4" w:space="0" w:color="auto"/>
            </w:tcBorders>
            <w:shd w:val="clear" w:color="auto" w:fill="auto"/>
            <w:vAlign w:val="bottom"/>
          </w:tcPr>
          <w:p w14:paraId="713EA7E6" w14:textId="7DC03FAA" w:rsidR="00A75823" w:rsidRPr="00A75823" w:rsidRDefault="00A75823" w:rsidP="00BD55B9">
            <w:pPr>
              <w:pStyle w:val="AppendixATableTextRight"/>
            </w:pPr>
          </w:p>
        </w:tc>
        <w:tc>
          <w:tcPr>
            <w:tcW w:w="343" w:type="pct"/>
            <w:tcBorders>
              <w:top w:val="nil"/>
              <w:left w:val="nil"/>
              <w:bottom w:val="single" w:sz="4" w:space="0" w:color="auto"/>
              <w:right w:val="single" w:sz="4" w:space="0" w:color="auto"/>
            </w:tcBorders>
            <w:shd w:val="clear" w:color="auto" w:fill="auto"/>
            <w:vAlign w:val="bottom"/>
            <w:hideMark/>
          </w:tcPr>
          <w:p w14:paraId="0BBC12BA" w14:textId="77777777" w:rsidR="00A75823" w:rsidRPr="00A75823" w:rsidRDefault="00A75823" w:rsidP="00BD55B9">
            <w:pPr>
              <w:pStyle w:val="AppendixATableTextRight"/>
            </w:pPr>
            <w:r w:rsidRPr="00A75823">
              <w:t>$0</w:t>
            </w:r>
          </w:p>
        </w:tc>
      </w:tr>
      <w:tr w:rsidR="00594D9F" w:rsidRPr="00A75823" w14:paraId="26EC8DF8" w14:textId="77777777" w:rsidTr="002349E8">
        <w:tc>
          <w:tcPr>
            <w:tcW w:w="90" w:type="pct"/>
            <w:tcBorders>
              <w:top w:val="nil"/>
              <w:left w:val="single" w:sz="4" w:space="0" w:color="auto"/>
              <w:bottom w:val="single" w:sz="4" w:space="0" w:color="auto"/>
              <w:right w:val="nil"/>
            </w:tcBorders>
            <w:shd w:val="clear" w:color="auto" w:fill="auto"/>
            <w:vAlign w:val="bottom"/>
          </w:tcPr>
          <w:p w14:paraId="381F1979" w14:textId="455D5EFD" w:rsidR="00594D9F" w:rsidRPr="00A75823" w:rsidRDefault="00594D9F" w:rsidP="002349E8">
            <w:pPr>
              <w:pStyle w:val="AppendixADetailTask"/>
            </w:pPr>
            <w:r>
              <w:tab/>
            </w:r>
          </w:p>
        </w:tc>
        <w:tc>
          <w:tcPr>
            <w:tcW w:w="1472" w:type="pct"/>
            <w:gridSpan w:val="2"/>
            <w:tcBorders>
              <w:top w:val="single" w:sz="4" w:space="0" w:color="auto"/>
              <w:left w:val="nil"/>
              <w:bottom w:val="single" w:sz="4" w:space="0" w:color="auto"/>
              <w:right w:val="single" w:sz="4" w:space="0" w:color="000000"/>
            </w:tcBorders>
            <w:shd w:val="clear" w:color="auto" w:fill="auto"/>
            <w:vAlign w:val="bottom"/>
          </w:tcPr>
          <w:p w14:paraId="1C20FDFE" w14:textId="0E3BB85D" w:rsidR="00594D9F" w:rsidRPr="002349E8" w:rsidRDefault="00594D9F" w:rsidP="002349E8">
            <w:pPr>
              <w:pStyle w:val="AppendixADetailTask"/>
              <w:tabs>
                <w:tab w:val="left" w:pos="259"/>
              </w:tabs>
              <w:rPr>
                <w:iCs/>
              </w:rPr>
            </w:pPr>
            <w:r w:rsidRPr="00344CFE">
              <w:rPr>
                <w:rStyle w:val="Italic"/>
                <w:i w:val="0"/>
                <w:iCs/>
              </w:rPr>
              <w:tab/>
              <w:t>Time to update facility-specific</w:t>
            </w:r>
            <w:r w:rsidRPr="00DF0F0C">
              <w:rPr>
                <w:rStyle w:val="Italic"/>
                <w:i w:val="0"/>
                <w:iCs/>
              </w:rPr>
              <w:t xml:space="preserve"> calculation </w:t>
            </w:r>
            <w:r w:rsidRPr="002349E8">
              <w:rPr>
                <w:rStyle w:val="Italic"/>
                <w:i w:val="0"/>
                <w:iCs/>
              </w:rPr>
              <w:tab/>
              <w:t xml:space="preserve">mechanism (i.e., calculation spreadsheet, </w:t>
            </w:r>
            <w:r w:rsidRPr="002349E8">
              <w:rPr>
                <w:rStyle w:val="Italic"/>
                <w:i w:val="0"/>
                <w:iCs/>
              </w:rPr>
              <w:tab/>
              <w:t xml:space="preserve">recordkeeping database, etc.) to allow for use of </w:t>
            </w:r>
            <w:r w:rsidRPr="002349E8">
              <w:rPr>
                <w:rStyle w:val="Italic"/>
                <w:i w:val="0"/>
                <w:iCs/>
              </w:rPr>
              <w:tab/>
              <w:t>new leaker factors</w:t>
            </w:r>
            <w:r w:rsidRPr="002349E8">
              <w:rPr>
                <w:iCs/>
              </w:rPr>
              <w:t xml:space="preserve"> </w:t>
            </w:r>
            <w:r w:rsidRPr="002349E8">
              <w:rPr>
                <w:rStyle w:val="Superscript"/>
                <w:iCs/>
              </w:rPr>
              <w:t>e</w:t>
            </w:r>
          </w:p>
        </w:tc>
        <w:tc>
          <w:tcPr>
            <w:tcW w:w="375" w:type="pct"/>
            <w:tcBorders>
              <w:top w:val="nil"/>
              <w:left w:val="nil"/>
              <w:bottom w:val="single" w:sz="4" w:space="0" w:color="auto"/>
              <w:right w:val="single" w:sz="4" w:space="0" w:color="auto"/>
            </w:tcBorders>
            <w:shd w:val="clear" w:color="auto" w:fill="auto"/>
            <w:vAlign w:val="bottom"/>
          </w:tcPr>
          <w:p w14:paraId="38BCB43E" w14:textId="5C0F2A33" w:rsidR="00594D9F" w:rsidRDefault="00594D9F" w:rsidP="00594D9F">
            <w:pPr>
              <w:pStyle w:val="AppendixATableTextRight"/>
            </w:pPr>
            <w:r>
              <w:t>2.00</w:t>
            </w:r>
          </w:p>
        </w:tc>
        <w:tc>
          <w:tcPr>
            <w:tcW w:w="406" w:type="pct"/>
            <w:tcBorders>
              <w:top w:val="nil"/>
              <w:left w:val="nil"/>
              <w:bottom w:val="single" w:sz="4" w:space="0" w:color="auto"/>
              <w:right w:val="single" w:sz="4" w:space="0" w:color="auto"/>
            </w:tcBorders>
            <w:shd w:val="clear" w:color="auto" w:fill="auto"/>
            <w:vAlign w:val="bottom"/>
          </w:tcPr>
          <w:p w14:paraId="3A5B867D" w14:textId="4CD2CED4" w:rsidR="00594D9F" w:rsidRDefault="00594D9F" w:rsidP="00594D9F">
            <w:pPr>
              <w:pStyle w:val="AppendixATableTextRight"/>
            </w:pPr>
            <w:r>
              <w:t>1.0</w:t>
            </w:r>
          </w:p>
        </w:tc>
        <w:tc>
          <w:tcPr>
            <w:tcW w:w="408" w:type="pct"/>
            <w:tcBorders>
              <w:top w:val="nil"/>
              <w:left w:val="nil"/>
              <w:bottom w:val="single" w:sz="4" w:space="0" w:color="auto"/>
              <w:right w:val="single" w:sz="4" w:space="0" w:color="auto"/>
            </w:tcBorders>
            <w:shd w:val="clear" w:color="auto" w:fill="auto"/>
            <w:vAlign w:val="bottom"/>
          </w:tcPr>
          <w:p w14:paraId="64434CB0" w14:textId="4E556EDC" w:rsidR="00594D9F" w:rsidRDefault="00594D9F" w:rsidP="00594D9F">
            <w:pPr>
              <w:pStyle w:val="AppendixATableTextRight"/>
            </w:pPr>
            <w:r>
              <w:t>2.00</w:t>
            </w:r>
          </w:p>
        </w:tc>
        <w:tc>
          <w:tcPr>
            <w:tcW w:w="437" w:type="pct"/>
            <w:tcBorders>
              <w:top w:val="nil"/>
              <w:left w:val="nil"/>
              <w:bottom w:val="single" w:sz="4" w:space="0" w:color="auto"/>
              <w:right w:val="single" w:sz="4" w:space="0" w:color="auto"/>
            </w:tcBorders>
            <w:shd w:val="clear" w:color="auto" w:fill="auto"/>
            <w:vAlign w:val="bottom"/>
          </w:tcPr>
          <w:p w14:paraId="04E1EFA1" w14:textId="3E8AD194" w:rsidR="00594D9F" w:rsidRDefault="00594D9F" w:rsidP="00594D9F">
            <w:pPr>
              <w:pStyle w:val="AppendixATableTextRight"/>
            </w:pPr>
            <w:r>
              <w:t>251</w:t>
            </w:r>
          </w:p>
        </w:tc>
        <w:tc>
          <w:tcPr>
            <w:tcW w:w="375" w:type="pct"/>
            <w:tcBorders>
              <w:top w:val="nil"/>
              <w:left w:val="nil"/>
              <w:bottom w:val="single" w:sz="4" w:space="0" w:color="auto"/>
              <w:right w:val="nil"/>
            </w:tcBorders>
            <w:shd w:val="clear" w:color="auto" w:fill="auto"/>
            <w:vAlign w:val="bottom"/>
          </w:tcPr>
          <w:p w14:paraId="6AB2B858" w14:textId="6E96E491" w:rsidR="00594D9F" w:rsidRDefault="00594D9F" w:rsidP="00594D9F">
            <w:pPr>
              <w:pStyle w:val="AppendixATableTextRight"/>
            </w:pPr>
            <w:r>
              <w:t>502.0</w:t>
            </w:r>
          </w:p>
        </w:tc>
        <w:tc>
          <w:tcPr>
            <w:tcW w:w="375" w:type="pct"/>
            <w:tcBorders>
              <w:top w:val="nil"/>
              <w:left w:val="single" w:sz="4" w:space="0" w:color="auto"/>
              <w:bottom w:val="single" w:sz="4" w:space="0" w:color="auto"/>
              <w:right w:val="nil"/>
            </w:tcBorders>
            <w:shd w:val="clear" w:color="auto" w:fill="auto"/>
            <w:vAlign w:val="bottom"/>
          </w:tcPr>
          <w:p w14:paraId="65570566" w14:textId="77777777" w:rsidR="00594D9F" w:rsidRPr="00A75823" w:rsidRDefault="00594D9F" w:rsidP="00594D9F">
            <w:pPr>
              <w:pStyle w:val="AppendixATableTextRight"/>
            </w:pPr>
          </w:p>
        </w:tc>
        <w:tc>
          <w:tcPr>
            <w:tcW w:w="344" w:type="pct"/>
            <w:tcBorders>
              <w:top w:val="nil"/>
              <w:left w:val="single" w:sz="4" w:space="0" w:color="auto"/>
              <w:bottom w:val="single" w:sz="4" w:space="0" w:color="auto"/>
              <w:right w:val="nil"/>
            </w:tcBorders>
            <w:shd w:val="clear" w:color="auto" w:fill="auto"/>
            <w:vAlign w:val="bottom"/>
          </w:tcPr>
          <w:p w14:paraId="5676F671" w14:textId="77777777" w:rsidR="00594D9F" w:rsidRPr="00A75823" w:rsidRDefault="00594D9F" w:rsidP="00594D9F">
            <w:pPr>
              <w:pStyle w:val="AppendixATableTextRight"/>
            </w:pPr>
          </w:p>
        </w:tc>
        <w:tc>
          <w:tcPr>
            <w:tcW w:w="375" w:type="pct"/>
            <w:tcBorders>
              <w:top w:val="nil"/>
              <w:left w:val="single" w:sz="4" w:space="0" w:color="auto"/>
              <w:bottom w:val="single" w:sz="4" w:space="0" w:color="auto"/>
              <w:right w:val="single" w:sz="4" w:space="0" w:color="auto"/>
            </w:tcBorders>
            <w:shd w:val="clear" w:color="auto" w:fill="auto"/>
            <w:vAlign w:val="bottom"/>
          </w:tcPr>
          <w:p w14:paraId="2CD92578" w14:textId="77777777" w:rsidR="00594D9F" w:rsidRPr="00A75823" w:rsidRDefault="00594D9F" w:rsidP="00594D9F">
            <w:pPr>
              <w:pStyle w:val="AppendixATableTextRight"/>
            </w:pPr>
          </w:p>
        </w:tc>
        <w:tc>
          <w:tcPr>
            <w:tcW w:w="343" w:type="pct"/>
            <w:tcBorders>
              <w:top w:val="nil"/>
              <w:left w:val="nil"/>
              <w:bottom w:val="single" w:sz="4" w:space="0" w:color="auto"/>
              <w:right w:val="single" w:sz="4" w:space="0" w:color="auto"/>
            </w:tcBorders>
            <w:shd w:val="clear" w:color="auto" w:fill="auto"/>
            <w:vAlign w:val="bottom"/>
          </w:tcPr>
          <w:p w14:paraId="217F2CF6" w14:textId="2DCB8BA8" w:rsidR="00594D9F" w:rsidRPr="00A75823" w:rsidRDefault="00594D9F" w:rsidP="00594D9F">
            <w:pPr>
              <w:pStyle w:val="AppendixATableTextRight"/>
            </w:pPr>
            <w:r>
              <w:t>$49,788</w:t>
            </w:r>
          </w:p>
        </w:tc>
      </w:tr>
      <w:tr w:rsidR="00594D9F" w:rsidRPr="00A75823" w14:paraId="49E77BEC" w14:textId="77777777" w:rsidTr="002349E8">
        <w:tc>
          <w:tcPr>
            <w:tcW w:w="90" w:type="pct"/>
            <w:tcBorders>
              <w:top w:val="nil"/>
              <w:left w:val="single" w:sz="4" w:space="0" w:color="auto"/>
              <w:bottom w:val="single" w:sz="4" w:space="0" w:color="auto"/>
              <w:right w:val="nil"/>
            </w:tcBorders>
            <w:shd w:val="clear" w:color="auto" w:fill="auto"/>
            <w:vAlign w:val="bottom"/>
            <w:hideMark/>
          </w:tcPr>
          <w:p w14:paraId="7C196C76" w14:textId="77777777" w:rsidR="00594D9F" w:rsidRPr="00A75823" w:rsidRDefault="00594D9F" w:rsidP="00594D9F">
            <w:pPr>
              <w:pStyle w:val="AppendixAMainTaskSubtask"/>
            </w:pPr>
            <w:r w:rsidRPr="00A75823">
              <w:t> </w:t>
            </w:r>
          </w:p>
        </w:tc>
        <w:tc>
          <w:tcPr>
            <w:tcW w:w="1472" w:type="pct"/>
            <w:gridSpan w:val="2"/>
            <w:tcBorders>
              <w:top w:val="single" w:sz="4" w:space="0" w:color="auto"/>
              <w:left w:val="nil"/>
              <w:bottom w:val="single" w:sz="4" w:space="0" w:color="auto"/>
              <w:right w:val="single" w:sz="4" w:space="0" w:color="000000"/>
            </w:tcBorders>
            <w:shd w:val="clear" w:color="auto" w:fill="auto"/>
            <w:vAlign w:val="bottom"/>
            <w:hideMark/>
          </w:tcPr>
          <w:p w14:paraId="7662D7E3" w14:textId="77777777" w:rsidR="00594D9F" w:rsidRPr="00A75823" w:rsidRDefault="00594D9F" w:rsidP="00594D9F">
            <w:pPr>
              <w:pStyle w:val="AppendixAMainTaskSubtask"/>
            </w:pPr>
            <w:r w:rsidRPr="00A75823">
              <w:t>E. Time to Transmit or Disclose Information (included in 4E)</w:t>
            </w:r>
          </w:p>
        </w:tc>
        <w:tc>
          <w:tcPr>
            <w:tcW w:w="375" w:type="pct"/>
            <w:tcBorders>
              <w:top w:val="nil"/>
              <w:left w:val="nil"/>
              <w:bottom w:val="single" w:sz="4" w:space="0" w:color="auto"/>
              <w:right w:val="single" w:sz="4" w:space="0" w:color="auto"/>
            </w:tcBorders>
            <w:shd w:val="clear" w:color="auto" w:fill="auto"/>
            <w:vAlign w:val="bottom"/>
            <w:hideMark/>
          </w:tcPr>
          <w:p w14:paraId="49010465" w14:textId="77777777" w:rsidR="00594D9F" w:rsidRPr="00A75823" w:rsidRDefault="00594D9F" w:rsidP="00594D9F">
            <w:pPr>
              <w:pStyle w:val="AppendixATableTextRight"/>
            </w:pPr>
            <w:r w:rsidRPr="00A75823">
              <w:t> </w:t>
            </w:r>
          </w:p>
        </w:tc>
        <w:tc>
          <w:tcPr>
            <w:tcW w:w="406" w:type="pct"/>
            <w:tcBorders>
              <w:top w:val="nil"/>
              <w:left w:val="nil"/>
              <w:bottom w:val="single" w:sz="4" w:space="0" w:color="auto"/>
              <w:right w:val="single" w:sz="4" w:space="0" w:color="auto"/>
            </w:tcBorders>
            <w:shd w:val="clear" w:color="auto" w:fill="auto"/>
            <w:vAlign w:val="bottom"/>
            <w:hideMark/>
          </w:tcPr>
          <w:p w14:paraId="471263F1" w14:textId="77777777" w:rsidR="00594D9F" w:rsidRPr="00A75823" w:rsidRDefault="00594D9F" w:rsidP="00594D9F">
            <w:pPr>
              <w:pStyle w:val="AppendixATableTextRight"/>
            </w:pPr>
            <w:r w:rsidRPr="00A75823">
              <w:t> </w:t>
            </w:r>
          </w:p>
        </w:tc>
        <w:tc>
          <w:tcPr>
            <w:tcW w:w="408" w:type="pct"/>
            <w:tcBorders>
              <w:top w:val="nil"/>
              <w:left w:val="nil"/>
              <w:bottom w:val="single" w:sz="4" w:space="0" w:color="auto"/>
              <w:right w:val="single" w:sz="4" w:space="0" w:color="auto"/>
            </w:tcBorders>
            <w:shd w:val="clear" w:color="auto" w:fill="auto"/>
            <w:vAlign w:val="bottom"/>
            <w:hideMark/>
          </w:tcPr>
          <w:p w14:paraId="2790F8CF" w14:textId="77777777" w:rsidR="00594D9F" w:rsidRPr="00A75823" w:rsidRDefault="00594D9F" w:rsidP="00594D9F">
            <w:pPr>
              <w:pStyle w:val="AppendixATableTextRight"/>
            </w:pPr>
            <w:r w:rsidRPr="00A75823">
              <w:t> </w:t>
            </w:r>
          </w:p>
        </w:tc>
        <w:tc>
          <w:tcPr>
            <w:tcW w:w="437" w:type="pct"/>
            <w:tcBorders>
              <w:top w:val="nil"/>
              <w:left w:val="nil"/>
              <w:bottom w:val="single" w:sz="4" w:space="0" w:color="auto"/>
              <w:right w:val="single" w:sz="4" w:space="0" w:color="auto"/>
            </w:tcBorders>
            <w:shd w:val="clear" w:color="auto" w:fill="auto"/>
            <w:vAlign w:val="bottom"/>
            <w:hideMark/>
          </w:tcPr>
          <w:p w14:paraId="7FA5D205" w14:textId="77777777" w:rsidR="00594D9F" w:rsidRPr="00A75823" w:rsidRDefault="00594D9F" w:rsidP="00594D9F">
            <w:pPr>
              <w:pStyle w:val="AppendixATableTextRight"/>
            </w:pPr>
            <w:r w:rsidRPr="00A75823">
              <w:t> </w:t>
            </w:r>
          </w:p>
        </w:tc>
        <w:tc>
          <w:tcPr>
            <w:tcW w:w="375" w:type="pct"/>
            <w:tcBorders>
              <w:top w:val="nil"/>
              <w:left w:val="nil"/>
              <w:bottom w:val="single" w:sz="4" w:space="0" w:color="auto"/>
              <w:right w:val="nil"/>
            </w:tcBorders>
            <w:shd w:val="clear" w:color="auto" w:fill="auto"/>
            <w:vAlign w:val="bottom"/>
            <w:hideMark/>
          </w:tcPr>
          <w:p w14:paraId="17770C32" w14:textId="77777777" w:rsidR="00594D9F" w:rsidRPr="00A75823" w:rsidRDefault="00594D9F" w:rsidP="00594D9F">
            <w:pPr>
              <w:pStyle w:val="AppendixATableTextRight"/>
            </w:pPr>
            <w:r w:rsidRPr="00A75823">
              <w:t> </w:t>
            </w:r>
          </w:p>
        </w:tc>
        <w:tc>
          <w:tcPr>
            <w:tcW w:w="375" w:type="pct"/>
            <w:tcBorders>
              <w:top w:val="nil"/>
              <w:left w:val="single" w:sz="4" w:space="0" w:color="auto"/>
              <w:bottom w:val="single" w:sz="4" w:space="0" w:color="auto"/>
              <w:right w:val="nil"/>
            </w:tcBorders>
            <w:shd w:val="clear" w:color="auto" w:fill="auto"/>
            <w:vAlign w:val="bottom"/>
            <w:hideMark/>
          </w:tcPr>
          <w:p w14:paraId="4D1B8FBD" w14:textId="77777777" w:rsidR="00594D9F" w:rsidRPr="00A75823" w:rsidRDefault="00594D9F" w:rsidP="00594D9F">
            <w:pPr>
              <w:pStyle w:val="AppendixATableTextRight"/>
            </w:pPr>
            <w:r w:rsidRPr="00A75823">
              <w:t> </w:t>
            </w:r>
          </w:p>
        </w:tc>
        <w:tc>
          <w:tcPr>
            <w:tcW w:w="344" w:type="pct"/>
            <w:tcBorders>
              <w:top w:val="nil"/>
              <w:left w:val="single" w:sz="4" w:space="0" w:color="auto"/>
              <w:bottom w:val="single" w:sz="4" w:space="0" w:color="auto"/>
              <w:right w:val="nil"/>
            </w:tcBorders>
            <w:shd w:val="clear" w:color="auto" w:fill="auto"/>
            <w:vAlign w:val="bottom"/>
            <w:hideMark/>
          </w:tcPr>
          <w:p w14:paraId="35661AA1" w14:textId="77777777" w:rsidR="00594D9F" w:rsidRPr="00A75823" w:rsidRDefault="00594D9F" w:rsidP="00594D9F">
            <w:pPr>
              <w:pStyle w:val="AppendixATableTextRight"/>
            </w:pPr>
            <w:r w:rsidRPr="00A75823">
              <w:t> </w:t>
            </w:r>
          </w:p>
        </w:tc>
        <w:tc>
          <w:tcPr>
            <w:tcW w:w="375" w:type="pct"/>
            <w:tcBorders>
              <w:top w:val="nil"/>
              <w:left w:val="single" w:sz="4" w:space="0" w:color="auto"/>
              <w:bottom w:val="single" w:sz="4" w:space="0" w:color="auto"/>
              <w:right w:val="single" w:sz="4" w:space="0" w:color="auto"/>
            </w:tcBorders>
            <w:shd w:val="clear" w:color="auto" w:fill="auto"/>
            <w:vAlign w:val="bottom"/>
            <w:hideMark/>
          </w:tcPr>
          <w:p w14:paraId="29186B94" w14:textId="77777777" w:rsidR="00594D9F" w:rsidRPr="00A75823" w:rsidRDefault="00594D9F" w:rsidP="00594D9F">
            <w:pPr>
              <w:pStyle w:val="AppendixATableTextRight"/>
            </w:pPr>
            <w:r w:rsidRPr="00A75823">
              <w:t> </w:t>
            </w:r>
          </w:p>
        </w:tc>
        <w:tc>
          <w:tcPr>
            <w:tcW w:w="343" w:type="pct"/>
            <w:tcBorders>
              <w:top w:val="nil"/>
              <w:left w:val="nil"/>
              <w:bottom w:val="single" w:sz="4" w:space="0" w:color="auto"/>
              <w:right w:val="single" w:sz="4" w:space="0" w:color="auto"/>
            </w:tcBorders>
            <w:shd w:val="clear" w:color="auto" w:fill="auto"/>
            <w:vAlign w:val="bottom"/>
            <w:hideMark/>
          </w:tcPr>
          <w:p w14:paraId="28E3E57C" w14:textId="77777777" w:rsidR="00594D9F" w:rsidRPr="00A75823" w:rsidRDefault="00594D9F" w:rsidP="00594D9F">
            <w:pPr>
              <w:pStyle w:val="AppendixATableTextRight"/>
            </w:pPr>
            <w:r w:rsidRPr="00A75823">
              <w:t> </w:t>
            </w:r>
          </w:p>
        </w:tc>
      </w:tr>
      <w:tr w:rsidR="00594D9F" w:rsidRPr="00A75823" w14:paraId="5670318A" w14:textId="77777777" w:rsidTr="002349E8">
        <w:tc>
          <w:tcPr>
            <w:tcW w:w="90" w:type="pct"/>
            <w:tcBorders>
              <w:top w:val="nil"/>
              <w:left w:val="single" w:sz="4" w:space="0" w:color="auto"/>
              <w:bottom w:val="single" w:sz="4" w:space="0" w:color="auto"/>
              <w:right w:val="nil"/>
            </w:tcBorders>
            <w:shd w:val="clear" w:color="auto" w:fill="auto"/>
            <w:vAlign w:val="bottom"/>
            <w:hideMark/>
          </w:tcPr>
          <w:p w14:paraId="5089D736" w14:textId="77777777" w:rsidR="00594D9F" w:rsidRPr="00A75823" w:rsidRDefault="00594D9F" w:rsidP="00594D9F">
            <w:pPr>
              <w:pStyle w:val="AppendixAMainTaskSubtask"/>
            </w:pPr>
            <w:r w:rsidRPr="00A75823">
              <w:t> </w:t>
            </w:r>
          </w:p>
        </w:tc>
        <w:tc>
          <w:tcPr>
            <w:tcW w:w="1472" w:type="pct"/>
            <w:gridSpan w:val="2"/>
            <w:tcBorders>
              <w:top w:val="single" w:sz="4" w:space="0" w:color="auto"/>
              <w:left w:val="nil"/>
              <w:bottom w:val="single" w:sz="4" w:space="0" w:color="auto"/>
              <w:right w:val="single" w:sz="4" w:space="0" w:color="000000"/>
            </w:tcBorders>
            <w:shd w:val="clear" w:color="auto" w:fill="auto"/>
            <w:vAlign w:val="bottom"/>
            <w:hideMark/>
          </w:tcPr>
          <w:p w14:paraId="53122196" w14:textId="67462E44" w:rsidR="00594D9F" w:rsidRPr="00A75823" w:rsidRDefault="00594D9F" w:rsidP="00594D9F">
            <w:pPr>
              <w:pStyle w:val="AppendixAMainTaskSubtask"/>
            </w:pPr>
            <w:r w:rsidRPr="00A75823">
              <w:t>F. Time to Train Personnel (Not Applicable)</w:t>
            </w:r>
          </w:p>
        </w:tc>
        <w:tc>
          <w:tcPr>
            <w:tcW w:w="375" w:type="pct"/>
            <w:tcBorders>
              <w:top w:val="nil"/>
              <w:left w:val="nil"/>
              <w:bottom w:val="single" w:sz="4" w:space="0" w:color="auto"/>
              <w:right w:val="single" w:sz="4" w:space="0" w:color="auto"/>
            </w:tcBorders>
            <w:shd w:val="clear" w:color="auto" w:fill="auto"/>
            <w:vAlign w:val="bottom"/>
            <w:hideMark/>
          </w:tcPr>
          <w:p w14:paraId="799F51B4" w14:textId="77777777" w:rsidR="00594D9F" w:rsidRPr="00A75823" w:rsidRDefault="00594D9F" w:rsidP="00594D9F">
            <w:pPr>
              <w:pStyle w:val="AppendixATableTextRight"/>
            </w:pPr>
            <w:r w:rsidRPr="00A75823">
              <w:t> </w:t>
            </w:r>
          </w:p>
        </w:tc>
        <w:tc>
          <w:tcPr>
            <w:tcW w:w="406" w:type="pct"/>
            <w:tcBorders>
              <w:top w:val="nil"/>
              <w:left w:val="nil"/>
              <w:bottom w:val="single" w:sz="4" w:space="0" w:color="auto"/>
              <w:right w:val="single" w:sz="4" w:space="0" w:color="auto"/>
            </w:tcBorders>
            <w:shd w:val="clear" w:color="auto" w:fill="auto"/>
            <w:vAlign w:val="bottom"/>
            <w:hideMark/>
          </w:tcPr>
          <w:p w14:paraId="700E5AE7" w14:textId="77777777" w:rsidR="00594D9F" w:rsidRPr="00A75823" w:rsidRDefault="00594D9F" w:rsidP="00594D9F">
            <w:pPr>
              <w:pStyle w:val="AppendixATableTextRight"/>
            </w:pPr>
            <w:r w:rsidRPr="00A75823">
              <w:t> </w:t>
            </w:r>
          </w:p>
        </w:tc>
        <w:tc>
          <w:tcPr>
            <w:tcW w:w="408" w:type="pct"/>
            <w:tcBorders>
              <w:top w:val="nil"/>
              <w:left w:val="nil"/>
              <w:bottom w:val="single" w:sz="4" w:space="0" w:color="auto"/>
              <w:right w:val="single" w:sz="4" w:space="0" w:color="auto"/>
            </w:tcBorders>
            <w:shd w:val="clear" w:color="auto" w:fill="auto"/>
            <w:vAlign w:val="bottom"/>
            <w:hideMark/>
          </w:tcPr>
          <w:p w14:paraId="71C23B23" w14:textId="77777777" w:rsidR="00594D9F" w:rsidRPr="00A75823" w:rsidRDefault="00594D9F" w:rsidP="00594D9F">
            <w:pPr>
              <w:pStyle w:val="AppendixATableTextRight"/>
            </w:pPr>
            <w:r w:rsidRPr="00A75823">
              <w:t> </w:t>
            </w:r>
          </w:p>
        </w:tc>
        <w:tc>
          <w:tcPr>
            <w:tcW w:w="437" w:type="pct"/>
            <w:tcBorders>
              <w:top w:val="nil"/>
              <w:left w:val="nil"/>
              <w:bottom w:val="single" w:sz="4" w:space="0" w:color="auto"/>
              <w:right w:val="single" w:sz="4" w:space="0" w:color="auto"/>
            </w:tcBorders>
            <w:shd w:val="clear" w:color="auto" w:fill="auto"/>
            <w:vAlign w:val="bottom"/>
            <w:hideMark/>
          </w:tcPr>
          <w:p w14:paraId="4363AB38" w14:textId="77777777" w:rsidR="00594D9F" w:rsidRPr="00A75823" w:rsidRDefault="00594D9F" w:rsidP="00594D9F">
            <w:pPr>
              <w:pStyle w:val="AppendixATableTextRight"/>
            </w:pPr>
            <w:r w:rsidRPr="00A75823">
              <w:t> </w:t>
            </w:r>
          </w:p>
        </w:tc>
        <w:tc>
          <w:tcPr>
            <w:tcW w:w="375" w:type="pct"/>
            <w:tcBorders>
              <w:top w:val="nil"/>
              <w:left w:val="nil"/>
              <w:bottom w:val="single" w:sz="4" w:space="0" w:color="auto"/>
              <w:right w:val="nil"/>
            </w:tcBorders>
            <w:shd w:val="clear" w:color="auto" w:fill="auto"/>
            <w:vAlign w:val="bottom"/>
          </w:tcPr>
          <w:p w14:paraId="61AC66C6" w14:textId="68E7CA03" w:rsidR="00594D9F" w:rsidRPr="00A75823" w:rsidRDefault="00594D9F" w:rsidP="00594D9F">
            <w:pPr>
              <w:pStyle w:val="AppendixATableTextRight"/>
            </w:pPr>
          </w:p>
        </w:tc>
        <w:tc>
          <w:tcPr>
            <w:tcW w:w="375" w:type="pct"/>
            <w:tcBorders>
              <w:top w:val="nil"/>
              <w:left w:val="single" w:sz="4" w:space="0" w:color="auto"/>
              <w:bottom w:val="single" w:sz="4" w:space="0" w:color="auto"/>
              <w:right w:val="nil"/>
            </w:tcBorders>
            <w:shd w:val="clear" w:color="auto" w:fill="auto"/>
            <w:vAlign w:val="bottom"/>
          </w:tcPr>
          <w:p w14:paraId="2DEF9532" w14:textId="7E42EF6B" w:rsidR="00594D9F" w:rsidRPr="00A75823" w:rsidRDefault="00594D9F" w:rsidP="00594D9F">
            <w:pPr>
              <w:pStyle w:val="AppendixATableTextRight"/>
            </w:pPr>
          </w:p>
        </w:tc>
        <w:tc>
          <w:tcPr>
            <w:tcW w:w="344" w:type="pct"/>
            <w:tcBorders>
              <w:top w:val="nil"/>
              <w:left w:val="single" w:sz="4" w:space="0" w:color="auto"/>
              <w:bottom w:val="single" w:sz="4" w:space="0" w:color="auto"/>
              <w:right w:val="nil"/>
            </w:tcBorders>
            <w:shd w:val="clear" w:color="auto" w:fill="auto"/>
            <w:vAlign w:val="bottom"/>
          </w:tcPr>
          <w:p w14:paraId="5B3B5BC8" w14:textId="48B90D60" w:rsidR="00594D9F" w:rsidRPr="00A75823" w:rsidRDefault="00594D9F" w:rsidP="00594D9F">
            <w:pPr>
              <w:pStyle w:val="AppendixATableTextRight"/>
            </w:pPr>
          </w:p>
        </w:tc>
        <w:tc>
          <w:tcPr>
            <w:tcW w:w="375" w:type="pct"/>
            <w:tcBorders>
              <w:top w:val="nil"/>
              <w:left w:val="single" w:sz="4" w:space="0" w:color="auto"/>
              <w:bottom w:val="single" w:sz="4" w:space="0" w:color="auto"/>
              <w:right w:val="single" w:sz="4" w:space="0" w:color="auto"/>
            </w:tcBorders>
            <w:shd w:val="clear" w:color="auto" w:fill="auto"/>
            <w:vAlign w:val="bottom"/>
          </w:tcPr>
          <w:p w14:paraId="0F3CDF7A" w14:textId="03CC1E74" w:rsidR="00594D9F" w:rsidRPr="00A75823" w:rsidRDefault="00594D9F" w:rsidP="00594D9F">
            <w:pPr>
              <w:pStyle w:val="AppendixATableTextRight"/>
            </w:pPr>
          </w:p>
        </w:tc>
        <w:tc>
          <w:tcPr>
            <w:tcW w:w="343" w:type="pct"/>
            <w:tcBorders>
              <w:top w:val="nil"/>
              <w:left w:val="nil"/>
              <w:bottom w:val="single" w:sz="4" w:space="0" w:color="auto"/>
              <w:right w:val="single" w:sz="4" w:space="0" w:color="auto"/>
            </w:tcBorders>
            <w:shd w:val="clear" w:color="auto" w:fill="auto"/>
            <w:vAlign w:val="bottom"/>
            <w:hideMark/>
          </w:tcPr>
          <w:p w14:paraId="2D55FA4D" w14:textId="7915B581" w:rsidR="00594D9F" w:rsidRPr="00A75823" w:rsidRDefault="00594D9F" w:rsidP="00594D9F">
            <w:pPr>
              <w:pStyle w:val="AppendixATableTextRight"/>
            </w:pPr>
          </w:p>
        </w:tc>
      </w:tr>
      <w:tr w:rsidR="00594D9F" w:rsidRPr="00A75823" w14:paraId="3CCDCAED" w14:textId="77777777" w:rsidTr="002349E8">
        <w:tc>
          <w:tcPr>
            <w:tcW w:w="90" w:type="pct"/>
            <w:tcBorders>
              <w:top w:val="nil"/>
              <w:left w:val="single" w:sz="4" w:space="0" w:color="auto"/>
              <w:bottom w:val="single" w:sz="4" w:space="0" w:color="auto"/>
              <w:right w:val="nil"/>
            </w:tcBorders>
            <w:shd w:val="clear" w:color="auto" w:fill="auto"/>
            <w:vAlign w:val="bottom"/>
            <w:hideMark/>
          </w:tcPr>
          <w:p w14:paraId="2929659C" w14:textId="77777777" w:rsidR="00594D9F" w:rsidRPr="00A75823" w:rsidRDefault="00594D9F" w:rsidP="00594D9F">
            <w:pPr>
              <w:pStyle w:val="AppendixAMainTaskSubtask"/>
            </w:pPr>
            <w:r w:rsidRPr="00A75823">
              <w:t> </w:t>
            </w:r>
          </w:p>
        </w:tc>
        <w:tc>
          <w:tcPr>
            <w:tcW w:w="1472" w:type="pct"/>
            <w:gridSpan w:val="2"/>
            <w:tcBorders>
              <w:top w:val="single" w:sz="4" w:space="0" w:color="auto"/>
              <w:left w:val="nil"/>
              <w:bottom w:val="single" w:sz="4" w:space="0" w:color="auto"/>
              <w:right w:val="single" w:sz="4" w:space="0" w:color="000000"/>
            </w:tcBorders>
            <w:shd w:val="clear" w:color="auto" w:fill="auto"/>
            <w:vAlign w:val="bottom"/>
            <w:hideMark/>
          </w:tcPr>
          <w:p w14:paraId="342BC96B" w14:textId="77777777" w:rsidR="00594D9F" w:rsidRPr="00A75823" w:rsidRDefault="00594D9F" w:rsidP="00594D9F">
            <w:pPr>
              <w:pStyle w:val="AppendixAMainTaskSubtask"/>
            </w:pPr>
            <w:r w:rsidRPr="00A75823">
              <w:t>G. Time for Audits (Not Applicable)</w:t>
            </w:r>
          </w:p>
        </w:tc>
        <w:tc>
          <w:tcPr>
            <w:tcW w:w="375" w:type="pct"/>
            <w:tcBorders>
              <w:top w:val="nil"/>
              <w:left w:val="nil"/>
              <w:bottom w:val="single" w:sz="4" w:space="0" w:color="auto"/>
              <w:right w:val="single" w:sz="4" w:space="0" w:color="auto"/>
            </w:tcBorders>
            <w:shd w:val="clear" w:color="auto" w:fill="auto"/>
            <w:vAlign w:val="bottom"/>
            <w:hideMark/>
          </w:tcPr>
          <w:p w14:paraId="0EDAED1C" w14:textId="77777777" w:rsidR="00594D9F" w:rsidRPr="00A75823" w:rsidRDefault="00594D9F" w:rsidP="00594D9F">
            <w:pPr>
              <w:pStyle w:val="AppendixATableTextRight"/>
            </w:pPr>
            <w:r w:rsidRPr="00A75823">
              <w:t> </w:t>
            </w:r>
          </w:p>
        </w:tc>
        <w:tc>
          <w:tcPr>
            <w:tcW w:w="406" w:type="pct"/>
            <w:tcBorders>
              <w:top w:val="nil"/>
              <w:left w:val="nil"/>
              <w:bottom w:val="single" w:sz="4" w:space="0" w:color="auto"/>
              <w:right w:val="single" w:sz="4" w:space="0" w:color="auto"/>
            </w:tcBorders>
            <w:shd w:val="clear" w:color="auto" w:fill="auto"/>
            <w:vAlign w:val="bottom"/>
            <w:hideMark/>
          </w:tcPr>
          <w:p w14:paraId="7FC6F979" w14:textId="77777777" w:rsidR="00594D9F" w:rsidRPr="00A75823" w:rsidRDefault="00594D9F" w:rsidP="00594D9F">
            <w:pPr>
              <w:pStyle w:val="AppendixATableTextRight"/>
            </w:pPr>
            <w:r w:rsidRPr="00A75823">
              <w:t> </w:t>
            </w:r>
          </w:p>
        </w:tc>
        <w:tc>
          <w:tcPr>
            <w:tcW w:w="408" w:type="pct"/>
            <w:tcBorders>
              <w:top w:val="nil"/>
              <w:left w:val="nil"/>
              <w:bottom w:val="single" w:sz="4" w:space="0" w:color="auto"/>
              <w:right w:val="single" w:sz="4" w:space="0" w:color="auto"/>
            </w:tcBorders>
            <w:shd w:val="clear" w:color="auto" w:fill="auto"/>
            <w:vAlign w:val="bottom"/>
            <w:hideMark/>
          </w:tcPr>
          <w:p w14:paraId="0F5DA0E7" w14:textId="77777777" w:rsidR="00594D9F" w:rsidRPr="00A75823" w:rsidRDefault="00594D9F" w:rsidP="00594D9F">
            <w:pPr>
              <w:pStyle w:val="AppendixATableTextRight"/>
            </w:pPr>
            <w:r w:rsidRPr="00A75823">
              <w:t> </w:t>
            </w:r>
          </w:p>
        </w:tc>
        <w:tc>
          <w:tcPr>
            <w:tcW w:w="437" w:type="pct"/>
            <w:tcBorders>
              <w:top w:val="nil"/>
              <w:left w:val="nil"/>
              <w:bottom w:val="single" w:sz="4" w:space="0" w:color="auto"/>
              <w:right w:val="single" w:sz="4" w:space="0" w:color="auto"/>
            </w:tcBorders>
            <w:shd w:val="clear" w:color="auto" w:fill="auto"/>
            <w:vAlign w:val="bottom"/>
            <w:hideMark/>
          </w:tcPr>
          <w:p w14:paraId="15F280D5" w14:textId="77777777" w:rsidR="00594D9F" w:rsidRPr="00A75823" w:rsidRDefault="00594D9F" w:rsidP="00594D9F">
            <w:pPr>
              <w:pStyle w:val="AppendixATableTextRight"/>
            </w:pPr>
            <w:r w:rsidRPr="00A75823">
              <w:t> </w:t>
            </w:r>
          </w:p>
        </w:tc>
        <w:tc>
          <w:tcPr>
            <w:tcW w:w="375" w:type="pct"/>
            <w:tcBorders>
              <w:top w:val="nil"/>
              <w:left w:val="nil"/>
              <w:bottom w:val="single" w:sz="4" w:space="0" w:color="auto"/>
              <w:right w:val="nil"/>
            </w:tcBorders>
            <w:shd w:val="clear" w:color="auto" w:fill="auto"/>
            <w:vAlign w:val="bottom"/>
            <w:hideMark/>
          </w:tcPr>
          <w:p w14:paraId="134526BA" w14:textId="77777777" w:rsidR="00594D9F" w:rsidRPr="00A75823" w:rsidRDefault="00594D9F" w:rsidP="00594D9F">
            <w:pPr>
              <w:pStyle w:val="AppendixATableTextRight"/>
            </w:pPr>
            <w:r w:rsidRPr="00A75823">
              <w:t> </w:t>
            </w:r>
          </w:p>
        </w:tc>
        <w:tc>
          <w:tcPr>
            <w:tcW w:w="375" w:type="pct"/>
            <w:tcBorders>
              <w:top w:val="nil"/>
              <w:left w:val="single" w:sz="4" w:space="0" w:color="auto"/>
              <w:bottom w:val="single" w:sz="4" w:space="0" w:color="auto"/>
              <w:right w:val="nil"/>
            </w:tcBorders>
            <w:shd w:val="clear" w:color="auto" w:fill="auto"/>
            <w:vAlign w:val="bottom"/>
            <w:hideMark/>
          </w:tcPr>
          <w:p w14:paraId="5EEB5BA6" w14:textId="77777777" w:rsidR="00594D9F" w:rsidRPr="00A75823" w:rsidRDefault="00594D9F" w:rsidP="00594D9F">
            <w:pPr>
              <w:pStyle w:val="AppendixATableTextRight"/>
            </w:pPr>
            <w:r w:rsidRPr="00A75823">
              <w:t> </w:t>
            </w:r>
          </w:p>
        </w:tc>
        <w:tc>
          <w:tcPr>
            <w:tcW w:w="344" w:type="pct"/>
            <w:tcBorders>
              <w:top w:val="nil"/>
              <w:left w:val="single" w:sz="4" w:space="0" w:color="auto"/>
              <w:bottom w:val="single" w:sz="4" w:space="0" w:color="auto"/>
              <w:right w:val="nil"/>
            </w:tcBorders>
            <w:shd w:val="clear" w:color="auto" w:fill="auto"/>
            <w:vAlign w:val="bottom"/>
            <w:hideMark/>
          </w:tcPr>
          <w:p w14:paraId="0627E459" w14:textId="77777777" w:rsidR="00594D9F" w:rsidRPr="00A75823" w:rsidRDefault="00594D9F" w:rsidP="00594D9F">
            <w:pPr>
              <w:pStyle w:val="AppendixATableTextRight"/>
            </w:pPr>
            <w:r w:rsidRPr="00A75823">
              <w:t> </w:t>
            </w:r>
          </w:p>
        </w:tc>
        <w:tc>
          <w:tcPr>
            <w:tcW w:w="375" w:type="pct"/>
            <w:tcBorders>
              <w:top w:val="nil"/>
              <w:left w:val="single" w:sz="4" w:space="0" w:color="auto"/>
              <w:bottom w:val="single" w:sz="4" w:space="0" w:color="auto"/>
              <w:right w:val="single" w:sz="4" w:space="0" w:color="auto"/>
            </w:tcBorders>
            <w:shd w:val="clear" w:color="auto" w:fill="auto"/>
            <w:vAlign w:val="bottom"/>
            <w:hideMark/>
          </w:tcPr>
          <w:p w14:paraId="436FD32B" w14:textId="77777777" w:rsidR="00594D9F" w:rsidRPr="00A75823" w:rsidRDefault="00594D9F" w:rsidP="00594D9F">
            <w:pPr>
              <w:pStyle w:val="AppendixATableTextRight"/>
            </w:pPr>
            <w:r w:rsidRPr="00A75823">
              <w:t> </w:t>
            </w:r>
          </w:p>
        </w:tc>
        <w:tc>
          <w:tcPr>
            <w:tcW w:w="343" w:type="pct"/>
            <w:tcBorders>
              <w:top w:val="nil"/>
              <w:left w:val="nil"/>
              <w:bottom w:val="single" w:sz="4" w:space="0" w:color="auto"/>
              <w:right w:val="single" w:sz="4" w:space="0" w:color="auto"/>
            </w:tcBorders>
            <w:shd w:val="clear" w:color="auto" w:fill="auto"/>
            <w:vAlign w:val="bottom"/>
            <w:hideMark/>
          </w:tcPr>
          <w:p w14:paraId="3404F23D" w14:textId="77777777" w:rsidR="00594D9F" w:rsidRPr="00A75823" w:rsidRDefault="00594D9F" w:rsidP="00594D9F">
            <w:pPr>
              <w:pStyle w:val="AppendixATableTextRight"/>
            </w:pPr>
            <w:r w:rsidRPr="00A75823">
              <w:t> </w:t>
            </w:r>
          </w:p>
        </w:tc>
      </w:tr>
      <w:tr w:rsidR="00594D9F" w:rsidRPr="00A75823" w14:paraId="43251C40" w14:textId="77777777" w:rsidTr="00594D9F">
        <w:tc>
          <w:tcPr>
            <w:tcW w:w="1562" w:type="pct"/>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14:paraId="3DEECBDA" w14:textId="77777777" w:rsidR="00594D9F" w:rsidRPr="00A75823" w:rsidRDefault="00594D9F" w:rsidP="00594D9F">
            <w:pPr>
              <w:pStyle w:val="AppendixAMainTaskSubtask"/>
            </w:pPr>
            <w:r w:rsidRPr="00A75823">
              <w:t>TOTAL ANNUAL LABOR BURDEN AND COST</w:t>
            </w:r>
          </w:p>
        </w:tc>
        <w:tc>
          <w:tcPr>
            <w:tcW w:w="375" w:type="pct"/>
            <w:tcBorders>
              <w:top w:val="nil"/>
              <w:left w:val="single" w:sz="4" w:space="0" w:color="auto"/>
              <w:bottom w:val="single" w:sz="4" w:space="0" w:color="auto"/>
              <w:right w:val="single" w:sz="4" w:space="0" w:color="auto"/>
            </w:tcBorders>
            <w:shd w:val="clear" w:color="auto" w:fill="auto"/>
            <w:vAlign w:val="bottom"/>
            <w:hideMark/>
          </w:tcPr>
          <w:p w14:paraId="0D0F374D" w14:textId="77777777" w:rsidR="00594D9F" w:rsidRPr="00A75823" w:rsidRDefault="00594D9F" w:rsidP="00594D9F">
            <w:pPr>
              <w:pStyle w:val="AppendixATableTextRight"/>
            </w:pPr>
            <w:r w:rsidRPr="00A75823">
              <w:t> </w:t>
            </w:r>
          </w:p>
        </w:tc>
        <w:tc>
          <w:tcPr>
            <w:tcW w:w="406" w:type="pct"/>
            <w:tcBorders>
              <w:top w:val="nil"/>
              <w:left w:val="nil"/>
              <w:bottom w:val="single" w:sz="4" w:space="0" w:color="auto"/>
              <w:right w:val="single" w:sz="4" w:space="0" w:color="auto"/>
            </w:tcBorders>
            <w:shd w:val="clear" w:color="auto" w:fill="auto"/>
            <w:vAlign w:val="bottom"/>
          </w:tcPr>
          <w:p w14:paraId="1BC934EE" w14:textId="2C7CB27D" w:rsidR="00594D9F" w:rsidRPr="00A75823" w:rsidRDefault="00594D9F" w:rsidP="00594D9F">
            <w:pPr>
              <w:pStyle w:val="AppendixATableTextRight"/>
            </w:pPr>
          </w:p>
        </w:tc>
        <w:tc>
          <w:tcPr>
            <w:tcW w:w="408" w:type="pct"/>
            <w:tcBorders>
              <w:top w:val="nil"/>
              <w:left w:val="nil"/>
              <w:bottom w:val="single" w:sz="4" w:space="0" w:color="auto"/>
              <w:right w:val="single" w:sz="4" w:space="0" w:color="auto"/>
            </w:tcBorders>
            <w:shd w:val="clear" w:color="auto" w:fill="auto"/>
            <w:vAlign w:val="bottom"/>
            <w:hideMark/>
          </w:tcPr>
          <w:p w14:paraId="11004B88" w14:textId="77777777" w:rsidR="00594D9F" w:rsidRPr="00A75823" w:rsidRDefault="00594D9F" w:rsidP="00594D9F">
            <w:pPr>
              <w:pStyle w:val="AppendixATableTextRight"/>
            </w:pPr>
            <w:r w:rsidRPr="00A75823">
              <w:t> </w:t>
            </w:r>
          </w:p>
        </w:tc>
        <w:tc>
          <w:tcPr>
            <w:tcW w:w="437" w:type="pct"/>
            <w:tcBorders>
              <w:top w:val="nil"/>
              <w:left w:val="nil"/>
              <w:bottom w:val="single" w:sz="4" w:space="0" w:color="auto"/>
              <w:right w:val="single" w:sz="4" w:space="0" w:color="auto"/>
            </w:tcBorders>
            <w:shd w:val="clear" w:color="auto" w:fill="auto"/>
            <w:vAlign w:val="bottom"/>
            <w:hideMark/>
          </w:tcPr>
          <w:p w14:paraId="535E554E" w14:textId="77777777" w:rsidR="00594D9F" w:rsidRPr="00A75823" w:rsidRDefault="00594D9F" w:rsidP="00594D9F">
            <w:pPr>
              <w:pStyle w:val="AppendixATableTextRight"/>
            </w:pPr>
            <w:r w:rsidRPr="00A75823">
              <w:t> </w:t>
            </w:r>
          </w:p>
        </w:tc>
        <w:tc>
          <w:tcPr>
            <w:tcW w:w="375" w:type="pct"/>
            <w:tcBorders>
              <w:top w:val="nil"/>
              <w:left w:val="nil"/>
              <w:bottom w:val="single" w:sz="4" w:space="0" w:color="auto"/>
              <w:right w:val="nil"/>
            </w:tcBorders>
            <w:shd w:val="clear" w:color="auto" w:fill="auto"/>
            <w:vAlign w:val="bottom"/>
            <w:hideMark/>
          </w:tcPr>
          <w:p w14:paraId="64FB7450" w14:textId="46EA55B9" w:rsidR="00594D9F" w:rsidRPr="00A75823" w:rsidRDefault="00594D9F" w:rsidP="00594D9F">
            <w:pPr>
              <w:pStyle w:val="AppendixATableTextRight"/>
            </w:pPr>
            <w:r>
              <w:t xml:space="preserve"> </w:t>
            </w:r>
            <w:r w:rsidRPr="00A75823">
              <w:t xml:space="preserve">502.0 </w:t>
            </w:r>
          </w:p>
        </w:tc>
        <w:tc>
          <w:tcPr>
            <w:tcW w:w="375" w:type="pct"/>
            <w:tcBorders>
              <w:top w:val="nil"/>
              <w:left w:val="single" w:sz="4" w:space="0" w:color="auto"/>
              <w:bottom w:val="single" w:sz="4" w:space="0" w:color="auto"/>
              <w:right w:val="nil"/>
            </w:tcBorders>
            <w:shd w:val="clear" w:color="auto" w:fill="auto"/>
            <w:vAlign w:val="bottom"/>
          </w:tcPr>
          <w:p w14:paraId="1DAA1F3F" w14:textId="1001B2E4" w:rsidR="00594D9F" w:rsidRPr="00A75823" w:rsidRDefault="00594D9F" w:rsidP="00594D9F">
            <w:pPr>
              <w:pStyle w:val="AppendixATableTextRight"/>
            </w:pPr>
          </w:p>
        </w:tc>
        <w:tc>
          <w:tcPr>
            <w:tcW w:w="344" w:type="pct"/>
            <w:tcBorders>
              <w:top w:val="nil"/>
              <w:left w:val="single" w:sz="4" w:space="0" w:color="auto"/>
              <w:bottom w:val="single" w:sz="4" w:space="0" w:color="auto"/>
              <w:right w:val="nil"/>
            </w:tcBorders>
            <w:shd w:val="clear" w:color="auto" w:fill="auto"/>
            <w:vAlign w:val="bottom"/>
          </w:tcPr>
          <w:p w14:paraId="227D62DE" w14:textId="22436EE3" w:rsidR="00594D9F" w:rsidRPr="00A75823" w:rsidRDefault="00594D9F" w:rsidP="00594D9F">
            <w:pPr>
              <w:pStyle w:val="AppendixATableTextRight"/>
            </w:pPr>
          </w:p>
        </w:tc>
        <w:tc>
          <w:tcPr>
            <w:tcW w:w="375" w:type="pct"/>
            <w:tcBorders>
              <w:top w:val="nil"/>
              <w:left w:val="single" w:sz="4" w:space="0" w:color="auto"/>
              <w:bottom w:val="single" w:sz="4" w:space="0" w:color="auto"/>
              <w:right w:val="nil"/>
            </w:tcBorders>
            <w:shd w:val="clear" w:color="auto" w:fill="auto"/>
            <w:vAlign w:val="bottom"/>
          </w:tcPr>
          <w:p w14:paraId="3F46B438" w14:textId="1F3DD5E5" w:rsidR="00594D9F" w:rsidRPr="00A75823" w:rsidRDefault="00594D9F" w:rsidP="00594D9F">
            <w:pPr>
              <w:pStyle w:val="AppendixATableTextRight"/>
            </w:pPr>
          </w:p>
        </w:tc>
        <w:tc>
          <w:tcPr>
            <w:tcW w:w="343" w:type="pct"/>
            <w:tcBorders>
              <w:top w:val="nil"/>
              <w:left w:val="single" w:sz="4" w:space="0" w:color="auto"/>
              <w:bottom w:val="single" w:sz="4" w:space="0" w:color="auto"/>
              <w:right w:val="single" w:sz="4" w:space="0" w:color="auto"/>
            </w:tcBorders>
            <w:shd w:val="clear" w:color="auto" w:fill="auto"/>
            <w:vAlign w:val="bottom"/>
            <w:hideMark/>
          </w:tcPr>
          <w:p w14:paraId="167C8C75" w14:textId="77777777" w:rsidR="00594D9F" w:rsidRPr="00A75823" w:rsidRDefault="00594D9F" w:rsidP="00594D9F">
            <w:pPr>
              <w:pStyle w:val="AppendixATableTextRight"/>
            </w:pPr>
            <w:r w:rsidRPr="00A75823">
              <w:t>$49,788</w:t>
            </w:r>
          </w:p>
        </w:tc>
      </w:tr>
    </w:tbl>
    <w:p w14:paraId="62413A73" w14:textId="6C1FFCA2" w:rsidR="00496501" w:rsidRDefault="00380E87" w:rsidP="00193443">
      <w:pPr>
        <w:pStyle w:val="TableFootnote9pt"/>
      </w:pPr>
      <w:proofErr w:type="spellStart"/>
      <w:proofErr w:type="gramStart"/>
      <w:r w:rsidRPr="00871E2B">
        <w:rPr>
          <w:rStyle w:val="Superscript"/>
        </w:rPr>
        <w:t>a</w:t>
      </w:r>
      <w:proofErr w:type="spellEnd"/>
      <w:proofErr w:type="gramEnd"/>
      <w:r w:rsidRPr="004A7381">
        <w:t xml:space="preserve"> </w:t>
      </w:r>
      <w:r w:rsidR="00496501">
        <w:t xml:space="preserve">Costs are calculated by multiplying the number of hours by the appropriate hourly labor rate. For these proposed amendments, only Engineer hours were </w:t>
      </w:r>
      <w:r w:rsidR="00193443">
        <w:t>estimated</w:t>
      </w:r>
      <w:r w:rsidR="00496501">
        <w:t>.</w:t>
      </w:r>
    </w:p>
    <w:p w14:paraId="4CC7F5D4" w14:textId="12B20770" w:rsidR="008E74EB" w:rsidRPr="004A7381" w:rsidRDefault="00496501" w:rsidP="00E575A7">
      <w:pPr>
        <w:pStyle w:val="TableFootnote9pt"/>
      </w:pPr>
      <w:proofErr w:type="gramStart"/>
      <w:r w:rsidRPr="00E40053">
        <w:rPr>
          <w:vertAlign w:val="superscript"/>
        </w:rPr>
        <w:t>b</w:t>
      </w:r>
      <w:proofErr w:type="gramEnd"/>
      <w:r>
        <w:rPr>
          <w:vertAlign w:val="superscript"/>
        </w:rPr>
        <w:t xml:space="preserve"> </w:t>
      </w:r>
      <w:r w:rsidR="00380E87" w:rsidRPr="004A7381">
        <w:t>These activities are already included in the Subpart W burden according to ICR Number 2300.17</w:t>
      </w:r>
      <w:r w:rsidR="00F43392">
        <w:t xml:space="preserve"> (80 FR 68534; November 5, 2015)</w:t>
      </w:r>
      <w:r w:rsidR="00380E87" w:rsidRPr="004A7381">
        <w:t xml:space="preserve">. These </w:t>
      </w:r>
      <w:r w:rsidR="0054450A">
        <w:t xml:space="preserve">proposed </w:t>
      </w:r>
      <w:r w:rsidR="00380E87" w:rsidRPr="004A7381">
        <w:t xml:space="preserve">amendments </w:t>
      </w:r>
      <w:r w:rsidR="00E575A7">
        <w:t>would</w:t>
      </w:r>
      <w:r w:rsidR="004A7381" w:rsidRPr="004A7381">
        <w:t xml:space="preserve"> not</w:t>
      </w:r>
      <w:r w:rsidR="00380E87" w:rsidRPr="004A7381">
        <w:t xml:space="preserve"> impact the</w:t>
      </w:r>
      <w:r w:rsidR="004A7381">
        <w:t xml:space="preserve"> burden or cost associated with these</w:t>
      </w:r>
      <w:r w:rsidR="00871E2B">
        <w:t xml:space="preserve"> </w:t>
      </w:r>
      <w:r w:rsidR="00380E87" w:rsidRPr="004A7381">
        <w:t>activit</w:t>
      </w:r>
      <w:r w:rsidR="004A7381" w:rsidRPr="004A7381">
        <w:t>ies</w:t>
      </w:r>
      <w:r w:rsidR="00380E87" w:rsidRPr="004A7381">
        <w:t>.</w:t>
      </w:r>
    </w:p>
    <w:p w14:paraId="5F548BFA" w14:textId="1C454590" w:rsidR="004A7381" w:rsidRPr="004A7381" w:rsidRDefault="00496501" w:rsidP="00871E2B">
      <w:pPr>
        <w:pStyle w:val="TableFootnote9pt"/>
      </w:pPr>
      <w:proofErr w:type="gramStart"/>
      <w:r>
        <w:rPr>
          <w:rStyle w:val="Superscript"/>
        </w:rPr>
        <w:t>c</w:t>
      </w:r>
      <w:proofErr w:type="gramEnd"/>
      <w:r w:rsidR="00380E87" w:rsidRPr="004A7381">
        <w:t xml:space="preserve"> </w:t>
      </w:r>
      <w:r w:rsidR="004A7381" w:rsidRPr="004A7381">
        <w:t xml:space="preserve">There are 200 existing facilities in the Onshore Petroleum and Natural Gas Gathering and Boosting industry segment. </w:t>
      </w:r>
    </w:p>
    <w:p w14:paraId="64924A8F" w14:textId="288A5D10" w:rsidR="004A7381" w:rsidRPr="004A7381" w:rsidRDefault="00496501" w:rsidP="00871E2B">
      <w:pPr>
        <w:pStyle w:val="TableFootnote9pt"/>
      </w:pPr>
      <w:proofErr w:type="gramStart"/>
      <w:r>
        <w:rPr>
          <w:rStyle w:val="Superscript"/>
        </w:rPr>
        <w:t>d</w:t>
      </w:r>
      <w:proofErr w:type="gramEnd"/>
      <w:r w:rsidR="004A7381" w:rsidRPr="004A7381">
        <w:t xml:space="preserve"> There are 553 </w:t>
      </w:r>
      <w:r>
        <w:t xml:space="preserve">existing </w:t>
      </w:r>
      <w:r w:rsidR="004A7381" w:rsidRPr="004A7381">
        <w:t>facilities in the Onshore Petroleum and Natural Gas Production industry segment.</w:t>
      </w:r>
    </w:p>
    <w:p w14:paraId="24DD1EEF" w14:textId="77CB73F6" w:rsidR="00380E87" w:rsidRPr="004A7381" w:rsidRDefault="00496501" w:rsidP="00773AD9">
      <w:pPr>
        <w:pStyle w:val="TableFootnote9pt"/>
      </w:pPr>
      <w:proofErr w:type="gramStart"/>
      <w:r>
        <w:rPr>
          <w:rStyle w:val="Superscript"/>
        </w:rPr>
        <w:t>e</w:t>
      </w:r>
      <w:proofErr w:type="gramEnd"/>
      <w:r w:rsidR="004A7381" w:rsidRPr="00871E2B">
        <w:rPr>
          <w:rStyle w:val="Superscript"/>
        </w:rPr>
        <w:t xml:space="preserve"> </w:t>
      </w:r>
      <w:r w:rsidR="004A7381" w:rsidRPr="004A7381">
        <w:t>Assuming that one</w:t>
      </w:r>
      <w:r w:rsidR="000A3CB1">
        <w:t>-</w:t>
      </w:r>
      <w:r w:rsidR="004A7381" w:rsidRPr="004A7381">
        <w:t>third</w:t>
      </w:r>
      <w:bookmarkStart w:id="1" w:name="_GoBack"/>
      <w:bookmarkEnd w:id="1"/>
      <w:r w:rsidR="004A7381" w:rsidRPr="004A7381">
        <w:t xml:space="preserve"> </w:t>
      </w:r>
      <w:r w:rsidR="0026570B">
        <w:t>would</w:t>
      </w:r>
      <w:r w:rsidR="0026570B" w:rsidRPr="004A7381">
        <w:t xml:space="preserve"> </w:t>
      </w:r>
      <w:r w:rsidR="004A7381" w:rsidRPr="004A7381">
        <w:t xml:space="preserve">comply in each </w:t>
      </w:r>
      <w:r w:rsidR="00594D9F">
        <w:t xml:space="preserve">year </w:t>
      </w:r>
      <w:r w:rsidR="004A7381" w:rsidRPr="004A7381">
        <w:t xml:space="preserve">of the </w:t>
      </w:r>
      <w:r w:rsidR="000A3CB1">
        <w:t>3</w:t>
      </w:r>
      <w:r w:rsidR="00594D9F">
        <w:t>-</w:t>
      </w:r>
      <w:r w:rsidR="004A7381" w:rsidRPr="004A7381">
        <w:t>years ICR</w:t>
      </w:r>
      <w:r w:rsidR="00773AD9">
        <w:t xml:space="preserve"> period</w:t>
      </w:r>
      <w:r w:rsidR="004A7381" w:rsidRPr="004A7381">
        <w:t xml:space="preserve">, there </w:t>
      </w:r>
      <w:r w:rsidR="0054450A">
        <w:t>would</w:t>
      </w:r>
      <w:r w:rsidR="0026570B" w:rsidRPr="004A7381">
        <w:t xml:space="preserve"> </w:t>
      </w:r>
      <w:r w:rsidR="004A7381" w:rsidRPr="004A7381">
        <w:t>be 251 respondents per year. [(200 + 553) / 3 = 251]</w:t>
      </w:r>
    </w:p>
    <w:sectPr w:rsidR="00380E87" w:rsidRPr="004A7381" w:rsidSect="00A75823">
      <w:headerReference w:type="default" r:id="rId12"/>
      <w:footerReference w:type="default" r:id="rId13"/>
      <w:pgSz w:w="15840" w:h="12240" w:orient="landscape"/>
      <w:pgMar w:top="1440" w:right="1440" w:bottom="1440" w:left="1440" w:header="1440" w:footer="57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E41ED" w14:textId="77777777" w:rsidR="0012546D" w:rsidRDefault="0012546D" w:rsidP="008307EC">
      <w:r>
        <w:separator/>
      </w:r>
    </w:p>
  </w:endnote>
  <w:endnote w:type="continuationSeparator" w:id="0">
    <w:p w14:paraId="332F534E" w14:textId="77777777" w:rsidR="0012546D" w:rsidRDefault="0012546D" w:rsidP="00830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Bold">
    <w:panose1 w:val="02020803070505020304"/>
    <w:charset w:val="00"/>
    <w:family w:val="roman"/>
    <w:notTrueType/>
    <w:pitch w:val="default"/>
  </w:font>
  <w:font w:name="ZapfEllipt BT">
    <w:altName w:val="Cambria Math"/>
    <w:charset w:val="00"/>
    <w:family w:val="roman"/>
    <w:pitch w:val="variable"/>
    <w:sig w:usb0="00000001" w:usb1="1000204A" w:usb2="00000000" w:usb3="00000000" w:csb0="0000001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iCs/>
        <w:sz w:val="20"/>
        <w:szCs w:val="20"/>
      </w:rPr>
      <w:id w:val="-226309684"/>
      <w:docPartObj>
        <w:docPartGallery w:val="Page Numbers (Bottom of Page)"/>
        <w:docPartUnique/>
      </w:docPartObj>
    </w:sdtPr>
    <w:sdtEndPr>
      <w:rPr>
        <w:noProof/>
      </w:rPr>
    </w:sdtEndPr>
    <w:sdtContent>
      <w:p w14:paraId="48B25BC9" w14:textId="2669A6C7" w:rsidR="00BB12C4" w:rsidRPr="00EB2EF0" w:rsidRDefault="00BB12C4" w:rsidP="00C0411C">
        <w:pPr>
          <w:pStyle w:val="Footer"/>
          <w:jc w:val="center"/>
          <w:rPr>
            <w:i/>
            <w:iCs/>
            <w:sz w:val="20"/>
            <w:szCs w:val="20"/>
          </w:rPr>
        </w:pPr>
        <w:r w:rsidRPr="00EB2EF0">
          <w:rPr>
            <w:i/>
            <w:iCs/>
            <w:noProof/>
            <w:sz w:val="20"/>
            <w:szCs w:val="20"/>
          </w:rPr>
          <w:tab/>
        </w:r>
        <w:r w:rsidRPr="00EB2EF0">
          <w:rPr>
            <w:i/>
            <w:iCs/>
            <w:sz w:val="20"/>
            <w:szCs w:val="20"/>
          </w:rPr>
          <w:t xml:space="preserve">Page </w:t>
        </w:r>
        <w:r w:rsidRPr="00EB2EF0">
          <w:rPr>
            <w:i/>
            <w:iCs/>
            <w:sz w:val="20"/>
            <w:szCs w:val="20"/>
          </w:rPr>
          <w:fldChar w:fldCharType="begin"/>
        </w:r>
        <w:r w:rsidRPr="00EB2EF0">
          <w:rPr>
            <w:i/>
            <w:iCs/>
            <w:sz w:val="20"/>
            <w:szCs w:val="20"/>
          </w:rPr>
          <w:instrText xml:space="preserve"> PAGE   \* MERGEFORMAT </w:instrText>
        </w:r>
        <w:r w:rsidRPr="00EB2EF0">
          <w:rPr>
            <w:i/>
            <w:iCs/>
            <w:sz w:val="20"/>
            <w:szCs w:val="20"/>
          </w:rPr>
          <w:fldChar w:fldCharType="separate"/>
        </w:r>
        <w:r w:rsidR="00551F7B">
          <w:rPr>
            <w:i/>
            <w:iCs/>
            <w:noProof/>
            <w:sz w:val="20"/>
            <w:szCs w:val="20"/>
          </w:rPr>
          <w:t>19</w:t>
        </w:r>
        <w:r w:rsidRPr="00EB2EF0">
          <w:rPr>
            <w:i/>
            <w:iCs/>
            <w:noProof/>
            <w:sz w:val="20"/>
            <w:szCs w:val="20"/>
          </w:rPr>
          <w:fldChar w:fldCharType="end"/>
        </w:r>
        <w:r w:rsidRPr="00EB2EF0">
          <w:rPr>
            <w:i/>
            <w:iCs/>
            <w:noProof/>
            <w:sz w:val="20"/>
            <w:szCs w:val="20"/>
          </w:rPr>
          <w:tab/>
        </w:r>
        <w:r>
          <w:rPr>
            <w:i/>
            <w:iCs/>
            <w:noProof/>
            <w:sz w:val="20"/>
            <w:szCs w:val="20"/>
          </w:rPr>
          <w:t>January 2016</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iCs/>
        <w:sz w:val="20"/>
        <w:szCs w:val="20"/>
      </w:rPr>
      <w:id w:val="960924197"/>
      <w:docPartObj>
        <w:docPartGallery w:val="Page Numbers (Bottom of Page)"/>
        <w:docPartUnique/>
      </w:docPartObj>
    </w:sdtPr>
    <w:sdtEndPr>
      <w:rPr>
        <w:noProof/>
      </w:rPr>
    </w:sdtEndPr>
    <w:sdtContent>
      <w:p w14:paraId="0BBA59AC" w14:textId="308B5682" w:rsidR="00BB12C4" w:rsidRPr="00EB2EF0" w:rsidRDefault="00BB12C4" w:rsidP="00C0411C">
        <w:pPr>
          <w:pStyle w:val="Footer"/>
          <w:jc w:val="center"/>
          <w:rPr>
            <w:i/>
            <w:iCs/>
            <w:sz w:val="20"/>
            <w:szCs w:val="20"/>
          </w:rPr>
        </w:pPr>
        <w:r w:rsidRPr="00EB2EF0">
          <w:rPr>
            <w:i/>
            <w:iCs/>
            <w:noProof/>
            <w:sz w:val="20"/>
            <w:szCs w:val="20"/>
          </w:rPr>
          <w:tab/>
        </w:r>
        <w:r w:rsidRPr="00EB2EF0">
          <w:rPr>
            <w:i/>
            <w:iCs/>
            <w:sz w:val="20"/>
            <w:szCs w:val="20"/>
          </w:rPr>
          <w:t xml:space="preserve">Page </w:t>
        </w:r>
        <w:r w:rsidRPr="00EB2EF0">
          <w:rPr>
            <w:i/>
            <w:iCs/>
            <w:sz w:val="20"/>
            <w:szCs w:val="20"/>
          </w:rPr>
          <w:fldChar w:fldCharType="begin"/>
        </w:r>
        <w:r w:rsidRPr="00EB2EF0">
          <w:rPr>
            <w:i/>
            <w:iCs/>
            <w:sz w:val="20"/>
            <w:szCs w:val="20"/>
          </w:rPr>
          <w:instrText xml:space="preserve"> PAGE   \* MERGEFORMAT </w:instrText>
        </w:r>
        <w:r w:rsidRPr="00EB2EF0">
          <w:rPr>
            <w:i/>
            <w:iCs/>
            <w:sz w:val="20"/>
            <w:szCs w:val="20"/>
          </w:rPr>
          <w:fldChar w:fldCharType="separate"/>
        </w:r>
        <w:r w:rsidR="00551F7B">
          <w:rPr>
            <w:i/>
            <w:iCs/>
            <w:noProof/>
            <w:sz w:val="20"/>
            <w:szCs w:val="20"/>
          </w:rPr>
          <w:t>23</w:t>
        </w:r>
        <w:r w:rsidRPr="00EB2EF0">
          <w:rPr>
            <w:i/>
            <w:iCs/>
            <w:noProof/>
            <w:sz w:val="20"/>
            <w:szCs w:val="20"/>
          </w:rPr>
          <w:fldChar w:fldCharType="end"/>
        </w:r>
        <w:r w:rsidRPr="00EB2EF0">
          <w:rPr>
            <w:i/>
            <w:iCs/>
            <w:noProof/>
            <w:sz w:val="20"/>
            <w:szCs w:val="20"/>
          </w:rPr>
          <w:tab/>
        </w:r>
        <w:r>
          <w:rPr>
            <w:i/>
            <w:iCs/>
            <w:noProof/>
            <w:sz w:val="20"/>
            <w:szCs w:val="20"/>
          </w:rPr>
          <w:t>January 2016</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8DBD7" w14:textId="0F9DB4DC" w:rsidR="00BB12C4" w:rsidRPr="00747D31" w:rsidRDefault="00BB12C4" w:rsidP="00747D31">
    <w:pPr>
      <w:pStyle w:val="Footer"/>
      <w:tabs>
        <w:tab w:val="clear" w:pos="4680"/>
        <w:tab w:val="clear" w:pos="9360"/>
        <w:tab w:val="left" w:pos="7596"/>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4C807" w14:textId="627B2EBA" w:rsidR="00BB12C4" w:rsidRPr="00747D31" w:rsidRDefault="00BB12C4" w:rsidP="00747D31">
    <w:pPr>
      <w:pStyle w:val="Footer"/>
      <w:tabs>
        <w:tab w:val="clear" w:pos="4680"/>
        <w:tab w:val="clear" w:pos="9360"/>
        <w:tab w:val="left" w:pos="7596"/>
      </w:tabs>
      <w:rPr>
        <w:i/>
        <w:iCs/>
      </w:rPr>
    </w:pPr>
    <w:r w:rsidRPr="00747D31">
      <w:rPr>
        <w:i/>
        <w:iCs/>
      </w:rPr>
      <w:tab/>
      <w:t>Page A-1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8E178" w14:textId="77777777" w:rsidR="0012546D" w:rsidRDefault="0012546D" w:rsidP="008307EC">
      <w:r>
        <w:separator/>
      </w:r>
    </w:p>
  </w:footnote>
  <w:footnote w:type="continuationSeparator" w:id="0">
    <w:p w14:paraId="1FD7C571" w14:textId="77777777" w:rsidR="0012546D" w:rsidRDefault="0012546D" w:rsidP="008307EC">
      <w:r>
        <w:continuationSeparator/>
      </w:r>
    </w:p>
  </w:footnote>
  <w:footnote w:id="1">
    <w:p w14:paraId="11206B8E" w14:textId="77777777" w:rsidR="00BB12C4" w:rsidRPr="00B340C0" w:rsidRDefault="00BB12C4" w:rsidP="006948AB">
      <w:pPr>
        <w:pStyle w:val="FootnoteText"/>
        <w:rPr>
          <w:rFonts w:asciiTheme="majorBidi" w:hAnsiTheme="majorBidi" w:cstheme="majorBidi"/>
        </w:rPr>
      </w:pPr>
      <w:r w:rsidRPr="00B340C0">
        <w:rPr>
          <w:rStyle w:val="FootnoteReference"/>
          <w:rFonts w:asciiTheme="majorBidi" w:hAnsiTheme="majorBidi" w:cstheme="majorBidi"/>
        </w:rPr>
        <w:footnoteRef/>
      </w:r>
      <w:r w:rsidRPr="00B340C0">
        <w:rPr>
          <w:rFonts w:asciiTheme="majorBidi" w:hAnsiTheme="majorBidi" w:cstheme="majorBidi"/>
        </w:rPr>
        <w:t xml:space="preserve"> http://www.opm.gov/policy-data-oversight/pay-leave/salaries-wages/salary-tables/pdf/2015/GS_h.pdf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AA355" w14:textId="77777777" w:rsidR="00BB12C4" w:rsidRDefault="00BB12C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9024DC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9B6E5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170F5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1F08F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8D8BDF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16E1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E086C6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36C5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1C64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DA4D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15:restartNumberingAfterBreak="0">
    <w:nsid w:val="26A11CD0"/>
    <w:multiLevelType w:val="hybridMultilevel"/>
    <w:tmpl w:val="92068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E442F8"/>
    <w:multiLevelType w:val="hybridMultilevel"/>
    <w:tmpl w:val="BA3E5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AC5F53"/>
    <w:multiLevelType w:val="hybridMultilevel"/>
    <w:tmpl w:val="C248ED28"/>
    <w:lvl w:ilvl="0" w:tplc="381AAD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522B2D"/>
    <w:multiLevelType w:val="multilevel"/>
    <w:tmpl w:val="D0F02B5C"/>
    <w:lvl w:ilvl="0">
      <w:start w:val="1"/>
      <w:numFmt w:val="upperRoman"/>
      <w:pStyle w:val="Level3-GHGPreamble"/>
      <w:suff w:val="space"/>
      <w:lvlText w:val="%1. "/>
      <w:lvlJc w:val="left"/>
      <w:pPr>
        <w:ind w:left="-180" w:firstLine="0"/>
      </w:pPr>
      <w:rPr>
        <w:rFonts w:ascii="Courier New" w:hAnsi="Courier New" w:hint="default"/>
        <w:b/>
        <w:i w:val="0"/>
        <w:sz w:val="24"/>
      </w:rPr>
    </w:lvl>
    <w:lvl w:ilvl="1">
      <w:start w:val="1"/>
      <w:numFmt w:val="upperLetter"/>
      <w:pStyle w:val="Level2-GHGPreamble"/>
      <w:suff w:val="space"/>
      <w:lvlText w:val="%2. "/>
      <w:lvlJc w:val="left"/>
      <w:pPr>
        <w:ind w:left="0" w:firstLine="0"/>
      </w:pPr>
      <w:rPr>
        <w:rFonts w:ascii="Courier New" w:hAnsi="Courier New" w:hint="default"/>
        <w:color w:val="auto"/>
        <w:sz w:val="24"/>
      </w:rPr>
    </w:lvl>
    <w:lvl w:ilvl="2">
      <w:start w:val="1"/>
      <w:numFmt w:val="decimal"/>
      <w:pStyle w:val="Level3-GHGPreamble"/>
      <w:suff w:val="space"/>
      <w:lvlText w:val="%3. "/>
      <w:lvlJc w:val="left"/>
      <w:pPr>
        <w:ind w:left="0" w:firstLine="0"/>
      </w:pPr>
      <w:rPr>
        <w:rFonts w:ascii="Courier New" w:hAnsi="Courier New" w:hint="default"/>
        <w:sz w:val="24"/>
      </w:rPr>
    </w:lvl>
    <w:lvl w:ilvl="3">
      <w:start w:val="1"/>
      <w:numFmt w:val="lowerLetter"/>
      <w:pStyle w:val="Level4-GHGPreamble"/>
      <w:suff w:val="space"/>
      <w:lvlText w:val="%4. "/>
      <w:lvlJc w:val="left"/>
      <w:pPr>
        <w:ind w:left="0" w:firstLine="0"/>
      </w:pPr>
      <w:rPr>
        <w:rFonts w:hint="default"/>
        <w:b w:val="0"/>
        <w:i w:val="0"/>
      </w:rPr>
    </w:lvl>
    <w:lvl w:ilvl="4">
      <w:start w:val="1"/>
      <w:numFmt w:val="lowerRoman"/>
      <w:pStyle w:val="Level5-GHGPreamble"/>
      <w:suff w:val="space"/>
      <w:lvlText w:val="%5. "/>
      <w:lvlJc w:val="left"/>
      <w:pPr>
        <w:ind w:left="-180" w:firstLine="0"/>
      </w:pPr>
      <w:rPr>
        <w:rFonts w:ascii="Courier New" w:hAnsi="Courier New" w:hint="default"/>
        <w:b w:val="0"/>
        <w:i w:val="0"/>
        <w:color w:val="auto"/>
        <w:sz w:val="24"/>
      </w:rPr>
    </w:lvl>
    <w:lvl w:ilvl="5">
      <w:start w:val="1"/>
      <w:numFmt w:val="decimal"/>
      <w:lvlText w:val="%1.%2.%3.%4.%5.%6"/>
      <w:lvlJc w:val="left"/>
      <w:pPr>
        <w:tabs>
          <w:tab w:val="num" w:pos="4500"/>
        </w:tabs>
        <w:ind w:left="4500" w:hanging="1080"/>
      </w:pPr>
      <w:rPr>
        <w:rFonts w:hint="default"/>
      </w:rPr>
    </w:lvl>
    <w:lvl w:ilvl="6">
      <w:start w:val="1"/>
      <w:numFmt w:val="decimal"/>
      <w:lvlText w:val="%1.%2.%3.%4.%5.%6.%7"/>
      <w:lvlJc w:val="left"/>
      <w:pPr>
        <w:tabs>
          <w:tab w:val="num" w:pos="5580"/>
        </w:tabs>
        <w:ind w:left="5580" w:hanging="1440"/>
      </w:pPr>
      <w:rPr>
        <w:rFonts w:hint="default"/>
      </w:rPr>
    </w:lvl>
    <w:lvl w:ilvl="7">
      <w:start w:val="1"/>
      <w:numFmt w:val="decimal"/>
      <w:lvlText w:val="%1.%2.%3.%4.%5.%6.%7.%8"/>
      <w:lvlJc w:val="left"/>
      <w:pPr>
        <w:tabs>
          <w:tab w:val="num" w:pos="6300"/>
        </w:tabs>
        <w:ind w:left="6300" w:hanging="1440"/>
      </w:pPr>
      <w:rPr>
        <w:rFonts w:hint="default"/>
      </w:rPr>
    </w:lvl>
    <w:lvl w:ilvl="8">
      <w:start w:val="1"/>
      <w:numFmt w:val="decimal"/>
      <w:lvlText w:val="%1.%2.%3.%4.%5.%6.%7.%8.%9"/>
      <w:lvlJc w:val="left"/>
      <w:pPr>
        <w:tabs>
          <w:tab w:val="num" w:pos="7380"/>
        </w:tabs>
        <w:ind w:left="738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2"/>
    <w:lvlOverride w:ilvl="0">
      <w:startOverride w:val="1"/>
    </w:lvlOverride>
  </w:num>
  <w:num w:numId="14">
    <w:abstractNumId w:val="2"/>
    <w:lvlOverride w:ilvl="0">
      <w:startOverride w:val="1"/>
    </w:lvlOverride>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7EC"/>
    <w:rsid w:val="000056FA"/>
    <w:rsid w:val="00011188"/>
    <w:rsid w:val="000335D8"/>
    <w:rsid w:val="00041D9D"/>
    <w:rsid w:val="00051A66"/>
    <w:rsid w:val="00062DDC"/>
    <w:rsid w:val="00063CE1"/>
    <w:rsid w:val="0007115B"/>
    <w:rsid w:val="00075925"/>
    <w:rsid w:val="0007778B"/>
    <w:rsid w:val="00080CD9"/>
    <w:rsid w:val="0008221A"/>
    <w:rsid w:val="00096D64"/>
    <w:rsid w:val="00096EA3"/>
    <w:rsid w:val="000A136B"/>
    <w:rsid w:val="000A3CB1"/>
    <w:rsid w:val="000C3EE5"/>
    <w:rsid w:val="000D68FC"/>
    <w:rsid w:val="000E392C"/>
    <w:rsid w:val="000E4333"/>
    <w:rsid w:val="0010693B"/>
    <w:rsid w:val="00106D4C"/>
    <w:rsid w:val="0012546D"/>
    <w:rsid w:val="00125FC3"/>
    <w:rsid w:val="00131EA5"/>
    <w:rsid w:val="00132C95"/>
    <w:rsid w:val="00135133"/>
    <w:rsid w:val="00136196"/>
    <w:rsid w:val="0013652B"/>
    <w:rsid w:val="00147BA7"/>
    <w:rsid w:val="0015255F"/>
    <w:rsid w:val="00153246"/>
    <w:rsid w:val="001561F2"/>
    <w:rsid w:val="0016111B"/>
    <w:rsid w:val="001623B9"/>
    <w:rsid w:val="00163C07"/>
    <w:rsid w:val="001740D9"/>
    <w:rsid w:val="00177A08"/>
    <w:rsid w:val="00180353"/>
    <w:rsid w:val="001908B7"/>
    <w:rsid w:val="00193443"/>
    <w:rsid w:val="0019670A"/>
    <w:rsid w:val="001A6847"/>
    <w:rsid w:val="001B6BEA"/>
    <w:rsid w:val="001D0752"/>
    <w:rsid w:val="001D0DA4"/>
    <w:rsid w:val="001E0A64"/>
    <w:rsid w:val="001E17AB"/>
    <w:rsid w:val="001E682D"/>
    <w:rsid w:val="001F4F92"/>
    <w:rsid w:val="00216465"/>
    <w:rsid w:val="002349E8"/>
    <w:rsid w:val="002465FC"/>
    <w:rsid w:val="00253A1C"/>
    <w:rsid w:val="00255AD1"/>
    <w:rsid w:val="002605CD"/>
    <w:rsid w:val="00264265"/>
    <w:rsid w:val="0026570B"/>
    <w:rsid w:val="002670B5"/>
    <w:rsid w:val="002677FF"/>
    <w:rsid w:val="00274351"/>
    <w:rsid w:val="0027664E"/>
    <w:rsid w:val="00283A59"/>
    <w:rsid w:val="002A77F8"/>
    <w:rsid w:val="002B0B06"/>
    <w:rsid w:val="002C4AEB"/>
    <w:rsid w:val="002C6613"/>
    <w:rsid w:val="002D0072"/>
    <w:rsid w:val="002D1DAC"/>
    <w:rsid w:val="002D3914"/>
    <w:rsid w:val="002E3B42"/>
    <w:rsid w:val="002F714E"/>
    <w:rsid w:val="003000D6"/>
    <w:rsid w:val="0031017C"/>
    <w:rsid w:val="00316495"/>
    <w:rsid w:val="003212C7"/>
    <w:rsid w:val="00323066"/>
    <w:rsid w:val="003249F1"/>
    <w:rsid w:val="00327E16"/>
    <w:rsid w:val="00330163"/>
    <w:rsid w:val="00343AE4"/>
    <w:rsid w:val="00344416"/>
    <w:rsid w:val="00344CFE"/>
    <w:rsid w:val="00350360"/>
    <w:rsid w:val="003550CC"/>
    <w:rsid w:val="00356AE6"/>
    <w:rsid w:val="00361D96"/>
    <w:rsid w:val="00363EB8"/>
    <w:rsid w:val="00370569"/>
    <w:rsid w:val="003713C0"/>
    <w:rsid w:val="00380E87"/>
    <w:rsid w:val="003842DF"/>
    <w:rsid w:val="00390005"/>
    <w:rsid w:val="003949EB"/>
    <w:rsid w:val="003B4F3E"/>
    <w:rsid w:val="003B645D"/>
    <w:rsid w:val="003C0774"/>
    <w:rsid w:val="003D4DCE"/>
    <w:rsid w:val="003E079D"/>
    <w:rsid w:val="003F134B"/>
    <w:rsid w:val="003F43C2"/>
    <w:rsid w:val="003F4A25"/>
    <w:rsid w:val="003F7366"/>
    <w:rsid w:val="004054A2"/>
    <w:rsid w:val="00411FB2"/>
    <w:rsid w:val="00416039"/>
    <w:rsid w:val="004221CF"/>
    <w:rsid w:val="00422558"/>
    <w:rsid w:val="004257EA"/>
    <w:rsid w:val="004336C2"/>
    <w:rsid w:val="00436427"/>
    <w:rsid w:val="004370EF"/>
    <w:rsid w:val="004411F2"/>
    <w:rsid w:val="00453208"/>
    <w:rsid w:val="00471103"/>
    <w:rsid w:val="00473F55"/>
    <w:rsid w:val="00474AC8"/>
    <w:rsid w:val="00492160"/>
    <w:rsid w:val="00496501"/>
    <w:rsid w:val="004A0D2F"/>
    <w:rsid w:val="004A15BF"/>
    <w:rsid w:val="004A58D7"/>
    <w:rsid w:val="004A7381"/>
    <w:rsid w:val="004B0ADC"/>
    <w:rsid w:val="004B10EE"/>
    <w:rsid w:val="004B1A24"/>
    <w:rsid w:val="004C14D7"/>
    <w:rsid w:val="004E2D3F"/>
    <w:rsid w:val="004E6B42"/>
    <w:rsid w:val="004F0B5C"/>
    <w:rsid w:val="004F2E58"/>
    <w:rsid w:val="004F5BDE"/>
    <w:rsid w:val="005060F2"/>
    <w:rsid w:val="0051007A"/>
    <w:rsid w:val="005148F1"/>
    <w:rsid w:val="005202CD"/>
    <w:rsid w:val="00521392"/>
    <w:rsid w:val="00522351"/>
    <w:rsid w:val="0052460B"/>
    <w:rsid w:val="00526FE9"/>
    <w:rsid w:val="0053683C"/>
    <w:rsid w:val="00543CEB"/>
    <w:rsid w:val="0054450A"/>
    <w:rsid w:val="00551F7B"/>
    <w:rsid w:val="00552AD5"/>
    <w:rsid w:val="00553CA9"/>
    <w:rsid w:val="005712A6"/>
    <w:rsid w:val="005833D1"/>
    <w:rsid w:val="00586BD8"/>
    <w:rsid w:val="005917C5"/>
    <w:rsid w:val="00592283"/>
    <w:rsid w:val="00594D9F"/>
    <w:rsid w:val="005B24D7"/>
    <w:rsid w:val="005E0D49"/>
    <w:rsid w:val="005E65EE"/>
    <w:rsid w:val="005F3712"/>
    <w:rsid w:val="005F456B"/>
    <w:rsid w:val="005F75DF"/>
    <w:rsid w:val="00602186"/>
    <w:rsid w:val="0061155E"/>
    <w:rsid w:val="00612365"/>
    <w:rsid w:val="00613366"/>
    <w:rsid w:val="00613AD3"/>
    <w:rsid w:val="00637EB4"/>
    <w:rsid w:val="006400E7"/>
    <w:rsid w:val="00651E09"/>
    <w:rsid w:val="00652DC8"/>
    <w:rsid w:val="00652E4E"/>
    <w:rsid w:val="00655F71"/>
    <w:rsid w:val="0066187C"/>
    <w:rsid w:val="00664EBC"/>
    <w:rsid w:val="00676BB6"/>
    <w:rsid w:val="006877D8"/>
    <w:rsid w:val="00692029"/>
    <w:rsid w:val="00692D74"/>
    <w:rsid w:val="006948AB"/>
    <w:rsid w:val="00697194"/>
    <w:rsid w:val="006A7586"/>
    <w:rsid w:val="006B6090"/>
    <w:rsid w:val="006C2C63"/>
    <w:rsid w:val="006D05FD"/>
    <w:rsid w:val="006F696D"/>
    <w:rsid w:val="00704DD9"/>
    <w:rsid w:val="0070747E"/>
    <w:rsid w:val="00710BF9"/>
    <w:rsid w:val="007130B0"/>
    <w:rsid w:val="00713E6A"/>
    <w:rsid w:val="00722E4A"/>
    <w:rsid w:val="007238F1"/>
    <w:rsid w:val="0073490C"/>
    <w:rsid w:val="00735559"/>
    <w:rsid w:val="00735A6B"/>
    <w:rsid w:val="00747D31"/>
    <w:rsid w:val="00753CDA"/>
    <w:rsid w:val="007563FE"/>
    <w:rsid w:val="00760C3C"/>
    <w:rsid w:val="00763180"/>
    <w:rsid w:val="007664DC"/>
    <w:rsid w:val="00766D4D"/>
    <w:rsid w:val="00772D3A"/>
    <w:rsid w:val="00773AD9"/>
    <w:rsid w:val="00776877"/>
    <w:rsid w:val="0078465F"/>
    <w:rsid w:val="00790A82"/>
    <w:rsid w:val="007933D1"/>
    <w:rsid w:val="007944CE"/>
    <w:rsid w:val="00795196"/>
    <w:rsid w:val="007B035D"/>
    <w:rsid w:val="007E7E06"/>
    <w:rsid w:val="007F01E7"/>
    <w:rsid w:val="00803A86"/>
    <w:rsid w:val="0081447B"/>
    <w:rsid w:val="008265EC"/>
    <w:rsid w:val="008307EC"/>
    <w:rsid w:val="008356A9"/>
    <w:rsid w:val="008468B0"/>
    <w:rsid w:val="008530F5"/>
    <w:rsid w:val="00854E9B"/>
    <w:rsid w:val="008613DA"/>
    <w:rsid w:val="00864BB0"/>
    <w:rsid w:val="00871E2B"/>
    <w:rsid w:val="0087379B"/>
    <w:rsid w:val="0088155C"/>
    <w:rsid w:val="00883CB1"/>
    <w:rsid w:val="0089081E"/>
    <w:rsid w:val="008B4523"/>
    <w:rsid w:val="008E1F95"/>
    <w:rsid w:val="008E74EB"/>
    <w:rsid w:val="0090736A"/>
    <w:rsid w:val="009116DE"/>
    <w:rsid w:val="009230F1"/>
    <w:rsid w:val="00925764"/>
    <w:rsid w:val="0093023F"/>
    <w:rsid w:val="00935198"/>
    <w:rsid w:val="00935591"/>
    <w:rsid w:val="0094056B"/>
    <w:rsid w:val="00960719"/>
    <w:rsid w:val="0098067F"/>
    <w:rsid w:val="00981185"/>
    <w:rsid w:val="00992C6F"/>
    <w:rsid w:val="00995AD7"/>
    <w:rsid w:val="009A6567"/>
    <w:rsid w:val="009A66C7"/>
    <w:rsid w:val="009B1825"/>
    <w:rsid w:val="009B36CE"/>
    <w:rsid w:val="009C3731"/>
    <w:rsid w:val="009C3C56"/>
    <w:rsid w:val="009D2BA3"/>
    <w:rsid w:val="009D32C3"/>
    <w:rsid w:val="009D4E18"/>
    <w:rsid w:val="009E5120"/>
    <w:rsid w:val="009F61A8"/>
    <w:rsid w:val="009F6343"/>
    <w:rsid w:val="00A028F5"/>
    <w:rsid w:val="00A22D54"/>
    <w:rsid w:val="00A22ECC"/>
    <w:rsid w:val="00A34D4A"/>
    <w:rsid w:val="00A3731A"/>
    <w:rsid w:val="00A62C2D"/>
    <w:rsid w:val="00A6725D"/>
    <w:rsid w:val="00A70E7C"/>
    <w:rsid w:val="00A75823"/>
    <w:rsid w:val="00A76BDB"/>
    <w:rsid w:val="00A82059"/>
    <w:rsid w:val="00A83490"/>
    <w:rsid w:val="00A8476A"/>
    <w:rsid w:val="00A86283"/>
    <w:rsid w:val="00A9133E"/>
    <w:rsid w:val="00AB0655"/>
    <w:rsid w:val="00AB4874"/>
    <w:rsid w:val="00AD0A8A"/>
    <w:rsid w:val="00AD28B8"/>
    <w:rsid w:val="00AD2DCE"/>
    <w:rsid w:val="00AD6B42"/>
    <w:rsid w:val="00AE1706"/>
    <w:rsid w:val="00B00B99"/>
    <w:rsid w:val="00B00EF6"/>
    <w:rsid w:val="00B01B51"/>
    <w:rsid w:val="00B20D72"/>
    <w:rsid w:val="00B2294E"/>
    <w:rsid w:val="00B23E00"/>
    <w:rsid w:val="00B243B7"/>
    <w:rsid w:val="00B30F38"/>
    <w:rsid w:val="00B33BD8"/>
    <w:rsid w:val="00B34765"/>
    <w:rsid w:val="00B36A07"/>
    <w:rsid w:val="00B420F5"/>
    <w:rsid w:val="00B42609"/>
    <w:rsid w:val="00B5148C"/>
    <w:rsid w:val="00B553D0"/>
    <w:rsid w:val="00B8030B"/>
    <w:rsid w:val="00B81994"/>
    <w:rsid w:val="00B8253A"/>
    <w:rsid w:val="00B9612A"/>
    <w:rsid w:val="00BB12C4"/>
    <w:rsid w:val="00BB7347"/>
    <w:rsid w:val="00BD1D0F"/>
    <w:rsid w:val="00BD1EE8"/>
    <w:rsid w:val="00BD55B9"/>
    <w:rsid w:val="00BE30CD"/>
    <w:rsid w:val="00BF45FF"/>
    <w:rsid w:val="00C009FA"/>
    <w:rsid w:val="00C00E0B"/>
    <w:rsid w:val="00C01597"/>
    <w:rsid w:val="00C01618"/>
    <w:rsid w:val="00C02242"/>
    <w:rsid w:val="00C0411C"/>
    <w:rsid w:val="00C114C0"/>
    <w:rsid w:val="00C1470F"/>
    <w:rsid w:val="00C27460"/>
    <w:rsid w:val="00C4168A"/>
    <w:rsid w:val="00C5252F"/>
    <w:rsid w:val="00C57A73"/>
    <w:rsid w:val="00C61B8F"/>
    <w:rsid w:val="00C84F62"/>
    <w:rsid w:val="00C86450"/>
    <w:rsid w:val="00C93CBD"/>
    <w:rsid w:val="00C97AB6"/>
    <w:rsid w:val="00CA3026"/>
    <w:rsid w:val="00CA6843"/>
    <w:rsid w:val="00CA7F44"/>
    <w:rsid w:val="00CB4A64"/>
    <w:rsid w:val="00CC0066"/>
    <w:rsid w:val="00CC05DC"/>
    <w:rsid w:val="00CD16F0"/>
    <w:rsid w:val="00CE78B5"/>
    <w:rsid w:val="00CF2BE8"/>
    <w:rsid w:val="00CF3F8B"/>
    <w:rsid w:val="00CF5066"/>
    <w:rsid w:val="00CF5443"/>
    <w:rsid w:val="00D01C61"/>
    <w:rsid w:val="00D110DE"/>
    <w:rsid w:val="00D24EAF"/>
    <w:rsid w:val="00D26F0E"/>
    <w:rsid w:val="00D30E7A"/>
    <w:rsid w:val="00D352FB"/>
    <w:rsid w:val="00D55093"/>
    <w:rsid w:val="00D61A90"/>
    <w:rsid w:val="00D65698"/>
    <w:rsid w:val="00D67AA8"/>
    <w:rsid w:val="00D75370"/>
    <w:rsid w:val="00D85E2D"/>
    <w:rsid w:val="00D86D95"/>
    <w:rsid w:val="00D87E92"/>
    <w:rsid w:val="00D90617"/>
    <w:rsid w:val="00D943BB"/>
    <w:rsid w:val="00D969DE"/>
    <w:rsid w:val="00DA401D"/>
    <w:rsid w:val="00DA40F9"/>
    <w:rsid w:val="00DC616E"/>
    <w:rsid w:val="00DC67E4"/>
    <w:rsid w:val="00DE1572"/>
    <w:rsid w:val="00DE6CCD"/>
    <w:rsid w:val="00DF0F0C"/>
    <w:rsid w:val="00DF5A7F"/>
    <w:rsid w:val="00E011AB"/>
    <w:rsid w:val="00E02349"/>
    <w:rsid w:val="00E07A2F"/>
    <w:rsid w:val="00E12546"/>
    <w:rsid w:val="00E252D2"/>
    <w:rsid w:val="00E25E6F"/>
    <w:rsid w:val="00E35A3E"/>
    <w:rsid w:val="00E40053"/>
    <w:rsid w:val="00E55AAC"/>
    <w:rsid w:val="00E575A7"/>
    <w:rsid w:val="00E61789"/>
    <w:rsid w:val="00E66173"/>
    <w:rsid w:val="00E66BE8"/>
    <w:rsid w:val="00E753B5"/>
    <w:rsid w:val="00E755DE"/>
    <w:rsid w:val="00E777E0"/>
    <w:rsid w:val="00E829C7"/>
    <w:rsid w:val="00E94359"/>
    <w:rsid w:val="00EA643E"/>
    <w:rsid w:val="00EB2EF0"/>
    <w:rsid w:val="00EB5F07"/>
    <w:rsid w:val="00EC12FF"/>
    <w:rsid w:val="00EC484A"/>
    <w:rsid w:val="00ED4957"/>
    <w:rsid w:val="00EE7C3B"/>
    <w:rsid w:val="00EF6E99"/>
    <w:rsid w:val="00EF7EC7"/>
    <w:rsid w:val="00F03842"/>
    <w:rsid w:val="00F05036"/>
    <w:rsid w:val="00F05821"/>
    <w:rsid w:val="00F1114E"/>
    <w:rsid w:val="00F36290"/>
    <w:rsid w:val="00F4032C"/>
    <w:rsid w:val="00F43392"/>
    <w:rsid w:val="00F53986"/>
    <w:rsid w:val="00F54ABD"/>
    <w:rsid w:val="00F83F99"/>
    <w:rsid w:val="00F904D5"/>
    <w:rsid w:val="00F92775"/>
    <w:rsid w:val="00F960F0"/>
    <w:rsid w:val="00FA4453"/>
    <w:rsid w:val="00FB0B55"/>
    <w:rsid w:val="00FB6B1E"/>
    <w:rsid w:val="00FC58D7"/>
    <w:rsid w:val="00FC6FD1"/>
    <w:rsid w:val="00FD5E9C"/>
    <w:rsid w:val="00FE1D9D"/>
    <w:rsid w:val="00FE2577"/>
    <w:rsid w:val="00FE753A"/>
    <w:rsid w:val="00FF2193"/>
    <w:rsid w:val="00FF2C9D"/>
    <w:rsid w:val="00FF64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8501A9"/>
  <w14:defaultImageDpi w14:val="96"/>
  <w15:docId w15:val="{E0D3BCC4-3FDC-4DF6-894B-43C61B93A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5B9"/>
    <w:pPr>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766D4D"/>
    <w:pPr>
      <w:autoSpaceDE/>
      <w:autoSpaceDN/>
      <w:adjustRightInd/>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D4D"/>
    <w:rPr>
      <w:rFonts w:ascii="Times New Roman" w:eastAsia="Times New Roman" w:hAnsi="Times New Roman" w:cs="Times New Roman"/>
      <w:b/>
      <w:bCs/>
      <w:kern w:val="36"/>
      <w:sz w:val="48"/>
      <w:szCs w:val="48"/>
    </w:rPr>
  </w:style>
  <w:style w:type="character" w:styleId="FootnoteReference">
    <w:name w:val="footnote reference"/>
    <w:rsid w:val="00D110DE"/>
    <w:rPr>
      <w:vertAlign w:val="superscript"/>
    </w:rPr>
  </w:style>
  <w:style w:type="paragraph" w:styleId="BalloonText">
    <w:name w:val="Balloon Text"/>
    <w:basedOn w:val="Normal"/>
    <w:link w:val="BalloonTextChar"/>
    <w:uiPriority w:val="99"/>
    <w:semiHidden/>
    <w:unhideWhenUsed/>
    <w:rsid w:val="00E61789"/>
    <w:rPr>
      <w:rFonts w:ascii="Tahoma" w:hAnsi="Tahoma" w:cs="Tahoma"/>
      <w:sz w:val="16"/>
      <w:szCs w:val="16"/>
    </w:rPr>
  </w:style>
  <w:style w:type="character" w:customStyle="1" w:styleId="BalloonTextChar">
    <w:name w:val="Balloon Text Char"/>
    <w:basedOn w:val="DefaultParagraphFont"/>
    <w:link w:val="BalloonText"/>
    <w:uiPriority w:val="99"/>
    <w:semiHidden/>
    <w:rsid w:val="00E61789"/>
    <w:rPr>
      <w:rFonts w:ascii="Tahoma" w:hAnsi="Tahoma" w:cs="Tahoma"/>
      <w:sz w:val="16"/>
      <w:szCs w:val="16"/>
    </w:rPr>
  </w:style>
  <w:style w:type="paragraph" w:styleId="ListParagraph">
    <w:name w:val="List Paragraph"/>
    <w:basedOn w:val="Normal"/>
    <w:uiPriority w:val="34"/>
    <w:qFormat/>
    <w:rsid w:val="003F134B"/>
    <w:pPr>
      <w:ind w:left="720"/>
      <w:contextualSpacing/>
    </w:pPr>
  </w:style>
  <w:style w:type="character" w:styleId="CommentReference">
    <w:name w:val="annotation reference"/>
    <w:basedOn w:val="DefaultParagraphFont"/>
    <w:uiPriority w:val="99"/>
    <w:unhideWhenUsed/>
    <w:rsid w:val="009D2BA3"/>
    <w:rPr>
      <w:sz w:val="16"/>
      <w:szCs w:val="16"/>
    </w:rPr>
  </w:style>
  <w:style w:type="paragraph" w:styleId="CommentText">
    <w:name w:val="annotation text"/>
    <w:basedOn w:val="Normal"/>
    <w:link w:val="CommentTextChar"/>
    <w:uiPriority w:val="99"/>
    <w:unhideWhenUsed/>
    <w:rsid w:val="009D2BA3"/>
    <w:rPr>
      <w:sz w:val="20"/>
      <w:szCs w:val="20"/>
    </w:rPr>
  </w:style>
  <w:style w:type="character" w:customStyle="1" w:styleId="CommentTextChar">
    <w:name w:val="Comment Text Char"/>
    <w:basedOn w:val="DefaultParagraphFont"/>
    <w:link w:val="CommentText"/>
    <w:uiPriority w:val="99"/>
    <w:rsid w:val="009D2BA3"/>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9D2BA3"/>
    <w:rPr>
      <w:b/>
      <w:bCs/>
    </w:rPr>
  </w:style>
  <w:style w:type="character" w:customStyle="1" w:styleId="CommentSubjectChar">
    <w:name w:val="Comment Subject Char"/>
    <w:basedOn w:val="CommentTextChar"/>
    <w:link w:val="CommentSubject"/>
    <w:uiPriority w:val="99"/>
    <w:semiHidden/>
    <w:rsid w:val="009D2BA3"/>
    <w:rPr>
      <w:rFonts w:ascii="Courier" w:hAnsi="Courier"/>
      <w:b/>
      <w:bCs/>
      <w:sz w:val="20"/>
      <w:szCs w:val="20"/>
    </w:rPr>
  </w:style>
  <w:style w:type="paragraph" w:styleId="Header">
    <w:name w:val="header"/>
    <w:basedOn w:val="Normal"/>
    <w:link w:val="HeaderChar"/>
    <w:uiPriority w:val="99"/>
    <w:unhideWhenUsed/>
    <w:rsid w:val="006A7586"/>
    <w:pPr>
      <w:tabs>
        <w:tab w:val="center" w:pos="4680"/>
        <w:tab w:val="right" w:pos="9360"/>
      </w:tabs>
    </w:pPr>
  </w:style>
  <w:style w:type="character" w:customStyle="1" w:styleId="HeaderChar">
    <w:name w:val="Header Char"/>
    <w:basedOn w:val="DefaultParagraphFont"/>
    <w:link w:val="Header"/>
    <w:uiPriority w:val="99"/>
    <w:rsid w:val="006A7586"/>
    <w:rPr>
      <w:rFonts w:ascii="Courier" w:hAnsi="Courier"/>
      <w:sz w:val="24"/>
      <w:szCs w:val="24"/>
    </w:rPr>
  </w:style>
  <w:style w:type="paragraph" w:styleId="Footer">
    <w:name w:val="footer"/>
    <w:basedOn w:val="Normal"/>
    <w:link w:val="FooterChar"/>
    <w:uiPriority w:val="99"/>
    <w:unhideWhenUsed/>
    <w:rsid w:val="006A7586"/>
    <w:pPr>
      <w:tabs>
        <w:tab w:val="center" w:pos="4680"/>
        <w:tab w:val="right" w:pos="9360"/>
      </w:tabs>
    </w:pPr>
  </w:style>
  <w:style w:type="character" w:customStyle="1" w:styleId="FooterChar">
    <w:name w:val="Footer Char"/>
    <w:basedOn w:val="DefaultParagraphFont"/>
    <w:link w:val="Footer"/>
    <w:uiPriority w:val="99"/>
    <w:rsid w:val="006A7586"/>
    <w:rPr>
      <w:rFonts w:ascii="Courier" w:hAnsi="Courier"/>
      <w:sz w:val="24"/>
      <w:szCs w:val="24"/>
    </w:rPr>
  </w:style>
  <w:style w:type="paragraph" w:customStyle="1" w:styleId="DocumentTitle">
    <w:name w:val="Document Title"/>
    <w:basedOn w:val="Normal"/>
    <w:rsid w:val="002B0B06"/>
    <w:pPr>
      <w:spacing w:after="360"/>
      <w:jc w:val="center"/>
    </w:pPr>
    <w:rPr>
      <w:rFonts w:eastAsia="Times New Roman"/>
      <w:b/>
      <w:bCs/>
    </w:rPr>
  </w:style>
  <w:style w:type="paragraph" w:customStyle="1" w:styleId="SectionHeading">
    <w:name w:val="Section Heading"/>
    <w:basedOn w:val="Normal"/>
    <w:rsid w:val="008265EC"/>
    <w:pPr>
      <w:keepNext/>
      <w:autoSpaceDE/>
      <w:autoSpaceDN/>
      <w:adjustRightInd/>
      <w:spacing w:before="360" w:after="360" w:line="360" w:lineRule="auto"/>
      <w:ind w:left="720" w:hanging="720"/>
      <w:outlineLvl w:val="1"/>
    </w:pPr>
    <w:rPr>
      <w:rFonts w:ascii="Times New Roman Bold" w:eastAsia="Times New Roman" w:hAnsi="Times New Roman Bold"/>
      <w:b/>
      <w:caps/>
    </w:rPr>
  </w:style>
  <w:style w:type="paragraph" w:customStyle="1" w:styleId="SectionSubheading">
    <w:name w:val="Section Subheading"/>
    <w:basedOn w:val="Normal"/>
    <w:rsid w:val="008265EC"/>
    <w:pPr>
      <w:keepNext/>
      <w:autoSpaceDE/>
      <w:autoSpaceDN/>
      <w:adjustRightInd/>
      <w:spacing w:before="480" w:after="240"/>
      <w:outlineLvl w:val="2"/>
    </w:pPr>
    <w:rPr>
      <w:rFonts w:ascii="Times New Roman Bold" w:eastAsia="Times New Roman" w:hAnsi="Times New Roman Bold"/>
      <w:b/>
    </w:rPr>
  </w:style>
  <w:style w:type="paragraph" w:customStyle="1" w:styleId="BodyFirstline05After12pt">
    <w:name w:val="Body First line:  0.5&quot; After:  12 pt"/>
    <w:basedOn w:val="Normal"/>
    <w:rsid w:val="002B0B06"/>
    <w:pPr>
      <w:autoSpaceDE/>
      <w:autoSpaceDN/>
      <w:adjustRightInd/>
      <w:spacing w:line="360" w:lineRule="auto"/>
      <w:ind w:firstLine="720"/>
    </w:pPr>
    <w:rPr>
      <w:rFonts w:eastAsia="Times New Roman"/>
    </w:rPr>
  </w:style>
  <w:style w:type="paragraph" w:customStyle="1" w:styleId="QuoteOffset">
    <w:name w:val="Quote Offset"/>
    <w:basedOn w:val="Normal"/>
    <w:rsid w:val="006877D8"/>
    <w:pPr>
      <w:autoSpaceDE/>
      <w:autoSpaceDN/>
      <w:adjustRightInd/>
      <w:spacing w:after="240"/>
      <w:ind w:left="720" w:right="1166"/>
      <w:jc w:val="both"/>
    </w:pPr>
    <w:rPr>
      <w:rFonts w:eastAsia="Times New Roman"/>
    </w:rPr>
  </w:style>
  <w:style w:type="paragraph" w:customStyle="1" w:styleId="SectionLevel3Heading">
    <w:name w:val="Section Level 3 Heading"/>
    <w:basedOn w:val="SectionSubheading"/>
    <w:rsid w:val="008265EC"/>
    <w:pPr>
      <w:spacing w:line="360" w:lineRule="auto"/>
      <w:outlineLvl w:val="3"/>
    </w:pPr>
    <w:rPr>
      <w:rFonts w:ascii="Times New Roman" w:hAnsi="Times New Roman"/>
      <w:b w:val="0"/>
      <w:i/>
    </w:rPr>
  </w:style>
  <w:style w:type="character" w:customStyle="1" w:styleId="Underline">
    <w:name w:val="Underline"/>
    <w:basedOn w:val="DefaultParagraphFont"/>
    <w:rsid w:val="006877D8"/>
    <w:rPr>
      <w:u w:val="single"/>
    </w:rPr>
  </w:style>
  <w:style w:type="paragraph" w:customStyle="1" w:styleId="TableTextLeft">
    <w:name w:val="Table Text Left"/>
    <w:basedOn w:val="Normal"/>
    <w:rsid w:val="006877D8"/>
    <w:pPr>
      <w:spacing w:before="40" w:after="40"/>
    </w:pPr>
    <w:rPr>
      <w:rFonts w:eastAsia="Times New Roman"/>
    </w:rPr>
  </w:style>
  <w:style w:type="paragraph" w:customStyle="1" w:styleId="TableColumnHeading10pt">
    <w:name w:val="Table Column Heading 10 pt"/>
    <w:basedOn w:val="Normal"/>
    <w:rsid w:val="00390005"/>
    <w:pPr>
      <w:keepNext/>
      <w:autoSpaceDE/>
      <w:autoSpaceDN/>
      <w:adjustRightInd/>
      <w:spacing w:before="40" w:after="40"/>
      <w:jc w:val="center"/>
    </w:pPr>
    <w:rPr>
      <w:rFonts w:ascii="Times New Roman Bold" w:eastAsia="Times New Roman" w:hAnsi="Times New Roman Bold"/>
      <w:b/>
      <w:bCs/>
      <w:sz w:val="20"/>
      <w:szCs w:val="20"/>
    </w:rPr>
  </w:style>
  <w:style w:type="character" w:customStyle="1" w:styleId="Bold">
    <w:name w:val="Bold"/>
    <w:basedOn w:val="DefaultParagraphFont"/>
    <w:rsid w:val="006877D8"/>
    <w:rPr>
      <w:b/>
    </w:rPr>
  </w:style>
  <w:style w:type="paragraph" w:customStyle="1" w:styleId="AfterTable">
    <w:name w:val="After Table"/>
    <w:basedOn w:val="BodyFirstline05After12pt"/>
    <w:rsid w:val="006877D8"/>
    <w:pPr>
      <w:spacing w:after="300"/>
      <w:ind w:firstLine="0"/>
    </w:pPr>
  </w:style>
  <w:style w:type="paragraph" w:customStyle="1" w:styleId="TableTitle">
    <w:name w:val="Table Title"/>
    <w:basedOn w:val="Normal"/>
    <w:rsid w:val="00E575A7"/>
    <w:pPr>
      <w:keepNext/>
      <w:spacing w:before="240" w:after="120"/>
      <w:outlineLvl w:val="4"/>
    </w:pPr>
    <w:rPr>
      <w:rFonts w:eastAsia="Times New Roman"/>
      <w:b/>
    </w:rPr>
  </w:style>
  <w:style w:type="paragraph" w:customStyle="1" w:styleId="TableTextCenter9pt">
    <w:name w:val="Table Text Center 9 pt"/>
    <w:basedOn w:val="Normal"/>
    <w:rsid w:val="00A22ECC"/>
    <w:pPr>
      <w:spacing w:before="20" w:after="20"/>
      <w:jc w:val="center"/>
    </w:pPr>
    <w:rPr>
      <w:rFonts w:eastAsia="Times New Roman"/>
      <w:sz w:val="18"/>
      <w:szCs w:val="18"/>
    </w:rPr>
  </w:style>
  <w:style w:type="character" w:customStyle="1" w:styleId="Superscript">
    <w:name w:val="Superscript"/>
    <w:basedOn w:val="DefaultParagraphFont"/>
    <w:uiPriority w:val="1"/>
    <w:rsid w:val="006877D8"/>
    <w:rPr>
      <w:vertAlign w:val="superscript"/>
    </w:rPr>
  </w:style>
  <w:style w:type="paragraph" w:customStyle="1" w:styleId="TableTextLeft9pt">
    <w:name w:val="Table Text Left 9 pt"/>
    <w:basedOn w:val="TableTextLeft"/>
    <w:rsid w:val="00A22ECC"/>
    <w:pPr>
      <w:spacing w:before="20" w:after="20"/>
    </w:pPr>
    <w:rPr>
      <w:sz w:val="18"/>
      <w:szCs w:val="18"/>
    </w:rPr>
  </w:style>
  <w:style w:type="paragraph" w:customStyle="1" w:styleId="TableTextRight10pt">
    <w:name w:val="Table Text Right 10 pt"/>
    <w:basedOn w:val="TableTextCenter9pt"/>
    <w:rsid w:val="00A22ECC"/>
    <w:pPr>
      <w:jc w:val="right"/>
    </w:pPr>
    <w:rPr>
      <w:sz w:val="20"/>
    </w:rPr>
  </w:style>
  <w:style w:type="paragraph" w:customStyle="1" w:styleId="TableTextLeft10ptIndent">
    <w:name w:val="Table Text Left 10 pt Indent"/>
    <w:basedOn w:val="TableTextLeft9pt"/>
    <w:rsid w:val="00CC0066"/>
    <w:pPr>
      <w:ind w:left="288"/>
    </w:pPr>
  </w:style>
  <w:style w:type="paragraph" w:customStyle="1" w:styleId="TableFootnote">
    <w:name w:val="Table Footnote"/>
    <w:basedOn w:val="Normal"/>
    <w:rsid w:val="0051007A"/>
    <w:pPr>
      <w:spacing w:before="40" w:after="40"/>
      <w:ind w:left="144" w:hanging="144"/>
    </w:pPr>
    <w:rPr>
      <w:rFonts w:eastAsia="Times New Roman"/>
      <w:sz w:val="16"/>
    </w:rPr>
  </w:style>
  <w:style w:type="character" w:customStyle="1" w:styleId="Subscript">
    <w:name w:val="Subscript"/>
    <w:basedOn w:val="DefaultParagraphFont"/>
    <w:uiPriority w:val="99"/>
    <w:rsid w:val="00180353"/>
    <w:rPr>
      <w:vertAlign w:val="subscript"/>
    </w:rPr>
  </w:style>
  <w:style w:type="character" w:customStyle="1" w:styleId="SuperscriptBold">
    <w:name w:val="Superscript Bold"/>
    <w:basedOn w:val="Superscript"/>
    <w:rsid w:val="00180353"/>
    <w:rPr>
      <w:b/>
      <w:bCs/>
      <w:sz w:val="20"/>
      <w:szCs w:val="20"/>
      <w:vertAlign w:val="superscript"/>
    </w:rPr>
  </w:style>
  <w:style w:type="paragraph" w:styleId="FootnoteText">
    <w:name w:val="footnote text"/>
    <w:aliases w:val=" Char,Char, Char4,Char4,ALTS FOOTNOTE,fn,Footnote Text - Preamble,Footnote Text Char Char,Footnote Text Char1 Char Char,Footnote Text Char Char Char Char,Footnote Text Char Char1"/>
    <w:basedOn w:val="Normal"/>
    <w:link w:val="FootnoteTextChar"/>
    <w:unhideWhenUsed/>
    <w:rsid w:val="00BD1D0F"/>
    <w:rPr>
      <w:sz w:val="20"/>
      <w:szCs w:val="20"/>
    </w:rPr>
  </w:style>
  <w:style w:type="character" w:customStyle="1" w:styleId="FootnoteTextChar">
    <w:name w:val="Footnote Text Char"/>
    <w:aliases w:val=" Char Char,Char Char, Char4 Char,Char4 Char,ALTS FOOTNOTE Char,fn Char,Footnote Text - Preamble Char,Footnote Text Char Char Char,Footnote Text Char1 Char Char Char,Footnote Text Char Char Char Char Char,Footnote Text Char Char1 Char"/>
    <w:basedOn w:val="DefaultParagraphFont"/>
    <w:link w:val="FootnoteText"/>
    <w:rsid w:val="00BD1D0F"/>
    <w:rPr>
      <w:rFonts w:ascii="Times New Roman" w:hAnsi="Times New Roman" w:cs="Times New Roman"/>
      <w:sz w:val="20"/>
      <w:szCs w:val="20"/>
    </w:rPr>
  </w:style>
  <w:style w:type="character" w:styleId="Hyperlink">
    <w:name w:val="Hyperlink"/>
    <w:basedOn w:val="DefaultParagraphFont"/>
    <w:uiPriority w:val="99"/>
    <w:unhideWhenUsed/>
    <w:rsid w:val="002B0B06"/>
    <w:rPr>
      <w:color w:val="0000FF" w:themeColor="hyperlink"/>
      <w:u w:val="single"/>
    </w:rPr>
  </w:style>
  <w:style w:type="paragraph" w:styleId="ListBullet3">
    <w:name w:val="List Bullet 3"/>
    <w:basedOn w:val="Normal"/>
    <w:uiPriority w:val="99"/>
    <w:unhideWhenUsed/>
    <w:rsid w:val="002B0B06"/>
    <w:pPr>
      <w:numPr>
        <w:numId w:val="3"/>
      </w:numPr>
      <w:spacing w:before="240" w:after="240"/>
    </w:pPr>
  </w:style>
  <w:style w:type="table" w:styleId="TableGrid">
    <w:name w:val="Table Grid"/>
    <w:basedOn w:val="TableNormal"/>
    <w:uiPriority w:val="59"/>
    <w:rsid w:val="005E6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ICSCodes">
    <w:name w:val="Table Text NAICS Codes"/>
    <w:basedOn w:val="TableTextLeft"/>
    <w:rsid w:val="005E65EE"/>
    <w:pPr>
      <w:ind w:left="1426" w:hanging="1426"/>
      <w:contextualSpacing/>
    </w:pPr>
  </w:style>
  <w:style w:type="paragraph" w:styleId="ListNumber3">
    <w:name w:val="List Number 3"/>
    <w:basedOn w:val="Normal"/>
    <w:uiPriority w:val="99"/>
    <w:unhideWhenUsed/>
    <w:rsid w:val="00A22ECC"/>
    <w:pPr>
      <w:numPr>
        <w:numId w:val="8"/>
      </w:numPr>
      <w:tabs>
        <w:tab w:val="clear" w:pos="1080"/>
        <w:tab w:val="left" w:pos="1440"/>
      </w:tabs>
      <w:spacing w:after="240"/>
      <w:contextualSpacing/>
    </w:pPr>
  </w:style>
  <w:style w:type="paragraph" w:customStyle="1" w:styleId="TableColumnHeading9pt">
    <w:name w:val="Table Column Heading 9 pt"/>
    <w:basedOn w:val="TableColumnHeading10pt"/>
    <w:rsid w:val="00A22ECC"/>
    <w:rPr>
      <w:sz w:val="18"/>
      <w:szCs w:val="18"/>
    </w:rPr>
  </w:style>
  <w:style w:type="paragraph" w:customStyle="1" w:styleId="TableTextCenter10pt">
    <w:name w:val="Table Text Center 10 pt"/>
    <w:basedOn w:val="TableTextRight10pt"/>
    <w:rsid w:val="0051007A"/>
    <w:pPr>
      <w:jc w:val="center"/>
    </w:pPr>
  </w:style>
  <w:style w:type="paragraph" w:customStyle="1" w:styleId="TableTextLeft10pt">
    <w:name w:val="Table Text Left 10 pt"/>
    <w:basedOn w:val="TableTextLeft"/>
    <w:rsid w:val="00FC6FD1"/>
    <w:pPr>
      <w:spacing w:before="20" w:after="20"/>
    </w:pPr>
    <w:rPr>
      <w:sz w:val="20"/>
      <w:szCs w:val="20"/>
    </w:rPr>
  </w:style>
  <w:style w:type="paragraph" w:customStyle="1" w:styleId="TableFootnote9pt">
    <w:name w:val="Table Footnote 9 pt"/>
    <w:basedOn w:val="TableFootnote"/>
    <w:rsid w:val="00FC6FD1"/>
    <w:rPr>
      <w:sz w:val="18"/>
      <w:szCs w:val="18"/>
    </w:rPr>
  </w:style>
  <w:style w:type="character" w:customStyle="1" w:styleId="BoldUnderline">
    <w:name w:val="Bold Underline"/>
    <w:basedOn w:val="Bold"/>
    <w:rsid w:val="00FC6FD1"/>
    <w:rPr>
      <w:b/>
      <w:bCs/>
      <w:i w:val="0"/>
      <w:szCs w:val="20"/>
      <w:u w:val="single"/>
    </w:rPr>
  </w:style>
  <w:style w:type="paragraph" w:customStyle="1" w:styleId="Paragraph">
    <w:name w:val="Paragraph"/>
    <w:basedOn w:val="Normal"/>
    <w:rsid w:val="0087379B"/>
    <w:pPr>
      <w:spacing w:line="360" w:lineRule="auto"/>
      <w:ind w:firstLine="720"/>
    </w:pPr>
    <w:rPr>
      <w:rFonts w:eastAsia="Times New Roman"/>
    </w:rPr>
  </w:style>
  <w:style w:type="paragraph" w:customStyle="1" w:styleId="TableText">
    <w:name w:val="Table Text"/>
    <w:basedOn w:val="Normal"/>
    <w:rsid w:val="00A22D54"/>
    <w:pPr>
      <w:keepNext/>
      <w:autoSpaceDE/>
      <w:autoSpaceDN/>
      <w:adjustRightInd/>
      <w:spacing w:before="40" w:after="40"/>
    </w:pPr>
    <w:rPr>
      <w:rFonts w:eastAsia="Times New Roman"/>
      <w:sz w:val="20"/>
      <w:szCs w:val="20"/>
    </w:rPr>
  </w:style>
  <w:style w:type="paragraph" w:customStyle="1" w:styleId="GHGPARAGRAPH">
    <w:name w:val="__GHG PARAGRAPH"/>
    <w:link w:val="GHGPARAGRAPHCharChar"/>
    <w:rsid w:val="00637EB4"/>
    <w:pPr>
      <w:spacing w:after="0" w:line="480" w:lineRule="auto"/>
      <w:ind w:firstLine="720"/>
    </w:pPr>
    <w:rPr>
      <w:rFonts w:ascii="Courier New" w:eastAsia="Times New Roman" w:hAnsi="Courier New" w:cs="Courier New"/>
      <w:bCs/>
      <w:noProof/>
      <w:sz w:val="24"/>
      <w:szCs w:val="24"/>
    </w:rPr>
  </w:style>
  <w:style w:type="character" w:customStyle="1" w:styleId="GHGPARAGRAPHCharChar">
    <w:name w:val="__GHG PARAGRAPH Char Char"/>
    <w:link w:val="GHGPARAGRAPH"/>
    <w:rsid w:val="00637EB4"/>
    <w:rPr>
      <w:rFonts w:ascii="Courier New" w:eastAsia="Times New Roman" w:hAnsi="Courier New" w:cs="Courier New"/>
      <w:bCs/>
      <w:noProof/>
      <w:sz w:val="24"/>
      <w:szCs w:val="24"/>
    </w:rPr>
  </w:style>
  <w:style w:type="paragraph" w:customStyle="1" w:styleId="PartHeading">
    <w:name w:val="Part Heading"/>
    <w:basedOn w:val="SectionHeading"/>
    <w:rsid w:val="008265EC"/>
    <w:pPr>
      <w:spacing w:before="480" w:after="120"/>
      <w:outlineLvl w:val="0"/>
    </w:pPr>
    <w:rPr>
      <w:caps w:val="0"/>
    </w:rPr>
  </w:style>
  <w:style w:type="paragraph" w:customStyle="1" w:styleId="ICRtitle">
    <w:name w:val="ICR title"/>
    <w:basedOn w:val="Paragraph"/>
    <w:rsid w:val="00BD55B9"/>
    <w:pPr>
      <w:spacing w:line="240" w:lineRule="auto"/>
      <w:ind w:firstLine="0"/>
      <w:jc w:val="center"/>
    </w:pPr>
  </w:style>
  <w:style w:type="paragraph" w:customStyle="1" w:styleId="Level2-GHGPreamble">
    <w:name w:val="_Level 2-GHG Preamble"/>
    <w:autoRedefine/>
    <w:uiPriority w:val="99"/>
    <w:rsid w:val="00637EB4"/>
    <w:pPr>
      <w:numPr>
        <w:ilvl w:val="1"/>
        <w:numId w:val="15"/>
      </w:numPr>
      <w:spacing w:after="100" w:line="240" w:lineRule="auto"/>
    </w:pPr>
    <w:rPr>
      <w:rFonts w:ascii="Courier New" w:eastAsia="Times New Roman" w:hAnsi="Courier New" w:cs="Courier New"/>
      <w:b/>
      <w:sz w:val="24"/>
      <w:szCs w:val="24"/>
      <w:u w:val="single"/>
    </w:rPr>
  </w:style>
  <w:style w:type="paragraph" w:customStyle="1" w:styleId="Level3-GHGPreamble">
    <w:name w:val="_Level 3-GHG Preamble"/>
    <w:autoRedefine/>
    <w:rsid w:val="00637EB4"/>
    <w:pPr>
      <w:numPr>
        <w:ilvl w:val="2"/>
        <w:numId w:val="15"/>
      </w:numPr>
      <w:spacing w:after="100" w:line="240" w:lineRule="auto"/>
      <w:ind w:left="2520" w:hanging="360"/>
    </w:pPr>
    <w:rPr>
      <w:rFonts w:ascii="Courier New" w:eastAsia="Times New Roman" w:hAnsi="Courier New" w:cs="Courier New"/>
      <w:noProof/>
      <w:sz w:val="24"/>
      <w:szCs w:val="24"/>
      <w:u w:val="single"/>
    </w:rPr>
  </w:style>
  <w:style w:type="paragraph" w:customStyle="1" w:styleId="Level5-GHGPreamble">
    <w:name w:val="_Level 5-GHG Preamble"/>
    <w:rsid w:val="00637EB4"/>
    <w:pPr>
      <w:numPr>
        <w:ilvl w:val="4"/>
        <w:numId w:val="15"/>
      </w:numPr>
      <w:spacing w:after="0" w:line="240" w:lineRule="auto"/>
    </w:pPr>
    <w:rPr>
      <w:rFonts w:ascii="Courier New" w:eastAsia="Times New Roman" w:hAnsi="Courier New" w:cs="Times New Roman"/>
      <w:color w:val="000000"/>
      <w:sz w:val="24"/>
      <w:szCs w:val="24"/>
      <w:u w:val="single"/>
    </w:rPr>
  </w:style>
  <w:style w:type="paragraph" w:customStyle="1" w:styleId="Level4-GHGPreamble">
    <w:name w:val="_Level 4-GHG Preamble"/>
    <w:autoRedefine/>
    <w:rsid w:val="00637EB4"/>
    <w:pPr>
      <w:numPr>
        <w:ilvl w:val="3"/>
        <w:numId w:val="15"/>
      </w:numPr>
      <w:spacing w:after="100" w:line="240" w:lineRule="auto"/>
    </w:pPr>
    <w:rPr>
      <w:rFonts w:ascii="Courier New" w:eastAsia="Times New Roman" w:hAnsi="Courier New" w:cs="Times New Roman"/>
      <w:bCs/>
      <w:iCs/>
      <w:color w:val="000000"/>
      <w:sz w:val="24"/>
      <w:szCs w:val="24"/>
      <w:u w:val="single"/>
    </w:rPr>
  </w:style>
  <w:style w:type="paragraph" w:customStyle="1" w:styleId="StyleGHGPreamble-level2CourierNewUnderline">
    <w:name w:val="Style _GHG Preamble-level2 + Courier New Underline"/>
    <w:basedOn w:val="Level2-GHGPreamble"/>
    <w:link w:val="StyleGHGPreamble-level2CourierNewUnderlineChar"/>
    <w:semiHidden/>
    <w:rsid w:val="00637EB4"/>
    <w:pPr>
      <w:ind w:left="360"/>
    </w:pPr>
  </w:style>
  <w:style w:type="character" w:customStyle="1" w:styleId="StyleGHGPreamble-level2CourierNewUnderlineChar">
    <w:name w:val="Style _GHG Preamble-level2 + Courier New Underline Char"/>
    <w:link w:val="StyleGHGPreamble-level2CourierNewUnderline"/>
    <w:semiHidden/>
    <w:rsid w:val="00637EB4"/>
    <w:rPr>
      <w:rFonts w:ascii="Courier New" w:eastAsia="Times New Roman" w:hAnsi="Courier New" w:cs="Courier New"/>
      <w:b/>
      <w:sz w:val="24"/>
      <w:szCs w:val="24"/>
      <w:u w:val="single"/>
    </w:rPr>
  </w:style>
  <w:style w:type="paragraph" w:customStyle="1" w:styleId="Para">
    <w:name w:val="Para"/>
    <w:basedOn w:val="Normal"/>
    <w:qFormat/>
    <w:rsid w:val="00E94359"/>
    <w:pPr>
      <w:autoSpaceDE/>
      <w:autoSpaceDN/>
      <w:adjustRightInd/>
      <w:spacing w:after="120"/>
      <w:ind w:firstLine="720"/>
    </w:pPr>
    <w:rPr>
      <w:rFonts w:ascii="ZapfEllipt BT" w:eastAsia="Calibri" w:hAnsi="ZapfEllipt BT"/>
      <w:szCs w:val="20"/>
    </w:rPr>
  </w:style>
  <w:style w:type="paragraph" w:styleId="Revision">
    <w:name w:val="Revision"/>
    <w:hidden/>
    <w:uiPriority w:val="99"/>
    <w:semiHidden/>
    <w:rsid w:val="009116DE"/>
    <w:pPr>
      <w:spacing w:after="0" w:line="240" w:lineRule="auto"/>
    </w:pPr>
    <w:rPr>
      <w:rFonts w:ascii="Times New Roman" w:hAnsi="Times New Roman" w:cs="Times New Roman"/>
      <w:sz w:val="24"/>
      <w:szCs w:val="24"/>
    </w:rPr>
  </w:style>
  <w:style w:type="paragraph" w:customStyle="1" w:styleId="GHGPARAGRAPH-">
    <w:name w:val="___GHG PARAGRAPH-"/>
    <w:basedOn w:val="Normal"/>
    <w:rsid w:val="00DF5A7F"/>
    <w:pPr>
      <w:autoSpaceDE/>
      <w:autoSpaceDN/>
      <w:adjustRightInd/>
      <w:spacing w:line="480" w:lineRule="auto"/>
      <w:ind w:firstLine="720"/>
    </w:pPr>
    <w:rPr>
      <w:rFonts w:eastAsia="Times New Roman" w:cs="Courier New"/>
    </w:rPr>
  </w:style>
  <w:style w:type="paragraph" w:customStyle="1" w:styleId="TableTextRight9pt">
    <w:name w:val="Table Text Right 9 pt"/>
    <w:basedOn w:val="TableTextRight10pt"/>
    <w:rsid w:val="00A22ECC"/>
    <w:rPr>
      <w:sz w:val="18"/>
    </w:rPr>
  </w:style>
  <w:style w:type="character" w:customStyle="1" w:styleId="Italic">
    <w:name w:val="Italic"/>
    <w:basedOn w:val="DefaultParagraphFont"/>
    <w:uiPriority w:val="1"/>
    <w:rsid w:val="00692D74"/>
    <w:rPr>
      <w:i/>
    </w:rPr>
  </w:style>
  <w:style w:type="character" w:customStyle="1" w:styleId="FootnoteTextChar1">
    <w:name w:val="Footnote Text Char1"/>
    <w:locked/>
    <w:rsid w:val="00776877"/>
  </w:style>
  <w:style w:type="character" w:customStyle="1" w:styleId="CommentTextChar1">
    <w:name w:val="Comment Text Char1"/>
    <w:uiPriority w:val="99"/>
    <w:semiHidden/>
    <w:locked/>
    <w:rsid w:val="00D90617"/>
    <w:rPr>
      <w:rFonts w:ascii="Arial" w:eastAsia="Times New Roman" w:hAnsi="Arial" w:cs="Times New Roman"/>
      <w:sz w:val="20"/>
    </w:rPr>
  </w:style>
  <w:style w:type="paragraph" w:customStyle="1" w:styleId="Default">
    <w:name w:val="Default"/>
    <w:rsid w:val="0033016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ppendixATableHeading">
    <w:name w:val="Appendix A Table Heading"/>
    <w:basedOn w:val="Normal"/>
    <w:rsid w:val="00871E2B"/>
    <w:pPr>
      <w:jc w:val="center"/>
    </w:pPr>
    <w:rPr>
      <w:rFonts w:ascii="Times New Roman Bold" w:eastAsia="Times New Roman" w:hAnsi="Times New Roman Bold"/>
      <w:b/>
      <w:bCs/>
      <w:sz w:val="18"/>
      <w:szCs w:val="18"/>
    </w:rPr>
  </w:style>
  <w:style w:type="paragraph" w:customStyle="1" w:styleId="AppendixATableHeading2">
    <w:name w:val="Appendix A Table Heading 2"/>
    <w:basedOn w:val="Normal"/>
    <w:rsid w:val="00871E2B"/>
    <w:pPr>
      <w:jc w:val="center"/>
    </w:pPr>
    <w:rPr>
      <w:rFonts w:eastAsia="Times New Roman"/>
      <w:sz w:val="18"/>
      <w:szCs w:val="18"/>
    </w:rPr>
  </w:style>
  <w:style w:type="paragraph" w:customStyle="1" w:styleId="AppendixAMainTaskSubtask">
    <w:name w:val="Appendix A Main Task/Subtask"/>
    <w:basedOn w:val="Normal"/>
    <w:rsid w:val="00BD55B9"/>
    <w:pPr>
      <w:autoSpaceDE/>
      <w:autoSpaceDN/>
      <w:adjustRightInd/>
      <w:spacing w:before="10" w:after="10"/>
    </w:pPr>
    <w:rPr>
      <w:rFonts w:ascii="Times New Roman Bold" w:eastAsia="Times New Roman" w:hAnsi="Times New Roman Bold"/>
      <w:b/>
      <w:bCs/>
      <w:sz w:val="18"/>
      <w:szCs w:val="18"/>
    </w:rPr>
  </w:style>
  <w:style w:type="paragraph" w:customStyle="1" w:styleId="AppendixADetailTask">
    <w:name w:val="Appendix A Detail Task"/>
    <w:basedOn w:val="Normal"/>
    <w:rsid w:val="00BD55B9"/>
    <w:pPr>
      <w:autoSpaceDE/>
      <w:autoSpaceDN/>
      <w:adjustRightInd/>
      <w:spacing w:before="10" w:after="10"/>
    </w:pPr>
    <w:rPr>
      <w:rFonts w:eastAsia="Times New Roman"/>
      <w:sz w:val="18"/>
      <w:szCs w:val="18"/>
    </w:rPr>
  </w:style>
  <w:style w:type="paragraph" w:customStyle="1" w:styleId="AppendixATableTextRight">
    <w:name w:val="Appendix A Table Text Right"/>
    <w:basedOn w:val="Normal"/>
    <w:rsid w:val="00BD55B9"/>
    <w:pPr>
      <w:spacing w:before="10" w:after="10"/>
      <w:jc w:val="right"/>
    </w:pPr>
    <w:rPr>
      <w:rFonts w:eastAsia="Times New Roman"/>
      <w:sz w:val="18"/>
      <w:szCs w:val="18"/>
    </w:rPr>
  </w:style>
  <w:style w:type="paragraph" w:customStyle="1" w:styleId="AppendixTitle">
    <w:name w:val="Appendix Title"/>
    <w:basedOn w:val="Normal"/>
    <w:rsid w:val="00BD55B9"/>
    <w:pPr>
      <w:jc w:val="center"/>
    </w:pPr>
    <w:rPr>
      <w:rFonts w:asciiTheme="majorBidi" w:eastAsia="Times New Roman" w:hAnsiTheme="majorBidi" w:cstheme="majorBidi"/>
      <w:b/>
      <w:bCs/>
      <w:sz w:val="28"/>
      <w:szCs w:val="28"/>
    </w:rPr>
  </w:style>
  <w:style w:type="character" w:customStyle="1" w:styleId="CommentTextChar4">
    <w:name w:val="Comment Text Char4"/>
    <w:uiPriority w:val="99"/>
    <w:locked/>
    <w:rsid w:val="000A3CB1"/>
    <w:rPr>
      <w:rFonts w:ascii="Arial"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59573">
      <w:bodyDiv w:val="1"/>
      <w:marLeft w:val="0"/>
      <w:marRight w:val="0"/>
      <w:marTop w:val="0"/>
      <w:marBottom w:val="0"/>
      <w:divBdr>
        <w:top w:val="none" w:sz="0" w:space="0" w:color="auto"/>
        <w:left w:val="none" w:sz="0" w:space="0" w:color="auto"/>
        <w:bottom w:val="none" w:sz="0" w:space="0" w:color="auto"/>
        <w:right w:val="none" w:sz="0" w:space="0" w:color="auto"/>
      </w:divBdr>
    </w:div>
    <w:div w:id="150295319">
      <w:bodyDiv w:val="1"/>
      <w:marLeft w:val="0"/>
      <w:marRight w:val="0"/>
      <w:marTop w:val="0"/>
      <w:marBottom w:val="0"/>
      <w:divBdr>
        <w:top w:val="none" w:sz="0" w:space="0" w:color="auto"/>
        <w:left w:val="none" w:sz="0" w:space="0" w:color="auto"/>
        <w:bottom w:val="none" w:sz="0" w:space="0" w:color="auto"/>
        <w:right w:val="none" w:sz="0" w:space="0" w:color="auto"/>
      </w:divBdr>
    </w:div>
    <w:div w:id="166405970">
      <w:bodyDiv w:val="1"/>
      <w:marLeft w:val="0"/>
      <w:marRight w:val="0"/>
      <w:marTop w:val="0"/>
      <w:marBottom w:val="0"/>
      <w:divBdr>
        <w:top w:val="none" w:sz="0" w:space="0" w:color="auto"/>
        <w:left w:val="none" w:sz="0" w:space="0" w:color="auto"/>
        <w:bottom w:val="none" w:sz="0" w:space="0" w:color="auto"/>
        <w:right w:val="none" w:sz="0" w:space="0" w:color="auto"/>
      </w:divBdr>
    </w:div>
    <w:div w:id="169150956">
      <w:bodyDiv w:val="1"/>
      <w:marLeft w:val="0"/>
      <w:marRight w:val="0"/>
      <w:marTop w:val="0"/>
      <w:marBottom w:val="0"/>
      <w:divBdr>
        <w:top w:val="none" w:sz="0" w:space="0" w:color="auto"/>
        <w:left w:val="none" w:sz="0" w:space="0" w:color="auto"/>
        <w:bottom w:val="none" w:sz="0" w:space="0" w:color="auto"/>
        <w:right w:val="none" w:sz="0" w:space="0" w:color="auto"/>
      </w:divBdr>
    </w:div>
    <w:div w:id="211506087">
      <w:bodyDiv w:val="1"/>
      <w:marLeft w:val="0"/>
      <w:marRight w:val="0"/>
      <w:marTop w:val="0"/>
      <w:marBottom w:val="0"/>
      <w:divBdr>
        <w:top w:val="none" w:sz="0" w:space="0" w:color="auto"/>
        <w:left w:val="none" w:sz="0" w:space="0" w:color="auto"/>
        <w:bottom w:val="none" w:sz="0" w:space="0" w:color="auto"/>
        <w:right w:val="none" w:sz="0" w:space="0" w:color="auto"/>
      </w:divBdr>
    </w:div>
    <w:div w:id="285236074">
      <w:bodyDiv w:val="1"/>
      <w:marLeft w:val="0"/>
      <w:marRight w:val="0"/>
      <w:marTop w:val="0"/>
      <w:marBottom w:val="0"/>
      <w:divBdr>
        <w:top w:val="none" w:sz="0" w:space="0" w:color="auto"/>
        <w:left w:val="none" w:sz="0" w:space="0" w:color="auto"/>
        <w:bottom w:val="none" w:sz="0" w:space="0" w:color="auto"/>
        <w:right w:val="none" w:sz="0" w:space="0" w:color="auto"/>
      </w:divBdr>
    </w:div>
    <w:div w:id="294991581">
      <w:bodyDiv w:val="1"/>
      <w:marLeft w:val="0"/>
      <w:marRight w:val="0"/>
      <w:marTop w:val="0"/>
      <w:marBottom w:val="0"/>
      <w:divBdr>
        <w:top w:val="none" w:sz="0" w:space="0" w:color="auto"/>
        <w:left w:val="none" w:sz="0" w:space="0" w:color="auto"/>
        <w:bottom w:val="none" w:sz="0" w:space="0" w:color="auto"/>
        <w:right w:val="none" w:sz="0" w:space="0" w:color="auto"/>
      </w:divBdr>
    </w:div>
    <w:div w:id="309408390">
      <w:bodyDiv w:val="1"/>
      <w:marLeft w:val="0"/>
      <w:marRight w:val="0"/>
      <w:marTop w:val="0"/>
      <w:marBottom w:val="0"/>
      <w:divBdr>
        <w:top w:val="none" w:sz="0" w:space="0" w:color="auto"/>
        <w:left w:val="none" w:sz="0" w:space="0" w:color="auto"/>
        <w:bottom w:val="none" w:sz="0" w:space="0" w:color="auto"/>
        <w:right w:val="none" w:sz="0" w:space="0" w:color="auto"/>
      </w:divBdr>
    </w:div>
    <w:div w:id="355546890">
      <w:bodyDiv w:val="1"/>
      <w:marLeft w:val="0"/>
      <w:marRight w:val="0"/>
      <w:marTop w:val="0"/>
      <w:marBottom w:val="0"/>
      <w:divBdr>
        <w:top w:val="none" w:sz="0" w:space="0" w:color="auto"/>
        <w:left w:val="none" w:sz="0" w:space="0" w:color="auto"/>
        <w:bottom w:val="none" w:sz="0" w:space="0" w:color="auto"/>
        <w:right w:val="none" w:sz="0" w:space="0" w:color="auto"/>
      </w:divBdr>
    </w:div>
    <w:div w:id="380640848">
      <w:bodyDiv w:val="1"/>
      <w:marLeft w:val="0"/>
      <w:marRight w:val="0"/>
      <w:marTop w:val="0"/>
      <w:marBottom w:val="0"/>
      <w:divBdr>
        <w:top w:val="none" w:sz="0" w:space="0" w:color="auto"/>
        <w:left w:val="none" w:sz="0" w:space="0" w:color="auto"/>
        <w:bottom w:val="none" w:sz="0" w:space="0" w:color="auto"/>
        <w:right w:val="none" w:sz="0" w:space="0" w:color="auto"/>
      </w:divBdr>
    </w:div>
    <w:div w:id="389110437">
      <w:bodyDiv w:val="1"/>
      <w:marLeft w:val="0"/>
      <w:marRight w:val="0"/>
      <w:marTop w:val="0"/>
      <w:marBottom w:val="0"/>
      <w:divBdr>
        <w:top w:val="none" w:sz="0" w:space="0" w:color="auto"/>
        <w:left w:val="none" w:sz="0" w:space="0" w:color="auto"/>
        <w:bottom w:val="none" w:sz="0" w:space="0" w:color="auto"/>
        <w:right w:val="none" w:sz="0" w:space="0" w:color="auto"/>
      </w:divBdr>
    </w:div>
    <w:div w:id="405037612">
      <w:bodyDiv w:val="1"/>
      <w:marLeft w:val="0"/>
      <w:marRight w:val="0"/>
      <w:marTop w:val="0"/>
      <w:marBottom w:val="0"/>
      <w:divBdr>
        <w:top w:val="none" w:sz="0" w:space="0" w:color="auto"/>
        <w:left w:val="none" w:sz="0" w:space="0" w:color="auto"/>
        <w:bottom w:val="none" w:sz="0" w:space="0" w:color="auto"/>
        <w:right w:val="none" w:sz="0" w:space="0" w:color="auto"/>
      </w:divBdr>
    </w:div>
    <w:div w:id="594292703">
      <w:bodyDiv w:val="1"/>
      <w:marLeft w:val="0"/>
      <w:marRight w:val="0"/>
      <w:marTop w:val="0"/>
      <w:marBottom w:val="0"/>
      <w:divBdr>
        <w:top w:val="none" w:sz="0" w:space="0" w:color="auto"/>
        <w:left w:val="none" w:sz="0" w:space="0" w:color="auto"/>
        <w:bottom w:val="none" w:sz="0" w:space="0" w:color="auto"/>
        <w:right w:val="none" w:sz="0" w:space="0" w:color="auto"/>
      </w:divBdr>
    </w:div>
    <w:div w:id="617107412">
      <w:bodyDiv w:val="1"/>
      <w:marLeft w:val="0"/>
      <w:marRight w:val="0"/>
      <w:marTop w:val="0"/>
      <w:marBottom w:val="0"/>
      <w:divBdr>
        <w:top w:val="none" w:sz="0" w:space="0" w:color="auto"/>
        <w:left w:val="none" w:sz="0" w:space="0" w:color="auto"/>
        <w:bottom w:val="none" w:sz="0" w:space="0" w:color="auto"/>
        <w:right w:val="none" w:sz="0" w:space="0" w:color="auto"/>
      </w:divBdr>
    </w:div>
    <w:div w:id="700714999">
      <w:bodyDiv w:val="1"/>
      <w:marLeft w:val="0"/>
      <w:marRight w:val="0"/>
      <w:marTop w:val="0"/>
      <w:marBottom w:val="0"/>
      <w:divBdr>
        <w:top w:val="none" w:sz="0" w:space="0" w:color="auto"/>
        <w:left w:val="none" w:sz="0" w:space="0" w:color="auto"/>
        <w:bottom w:val="none" w:sz="0" w:space="0" w:color="auto"/>
        <w:right w:val="none" w:sz="0" w:space="0" w:color="auto"/>
      </w:divBdr>
    </w:div>
    <w:div w:id="702829703">
      <w:bodyDiv w:val="1"/>
      <w:marLeft w:val="0"/>
      <w:marRight w:val="0"/>
      <w:marTop w:val="0"/>
      <w:marBottom w:val="0"/>
      <w:divBdr>
        <w:top w:val="none" w:sz="0" w:space="0" w:color="auto"/>
        <w:left w:val="none" w:sz="0" w:space="0" w:color="auto"/>
        <w:bottom w:val="none" w:sz="0" w:space="0" w:color="auto"/>
        <w:right w:val="none" w:sz="0" w:space="0" w:color="auto"/>
      </w:divBdr>
    </w:div>
    <w:div w:id="740180835">
      <w:bodyDiv w:val="1"/>
      <w:marLeft w:val="0"/>
      <w:marRight w:val="0"/>
      <w:marTop w:val="0"/>
      <w:marBottom w:val="0"/>
      <w:divBdr>
        <w:top w:val="none" w:sz="0" w:space="0" w:color="auto"/>
        <w:left w:val="none" w:sz="0" w:space="0" w:color="auto"/>
        <w:bottom w:val="none" w:sz="0" w:space="0" w:color="auto"/>
        <w:right w:val="none" w:sz="0" w:space="0" w:color="auto"/>
      </w:divBdr>
    </w:div>
    <w:div w:id="912736408">
      <w:bodyDiv w:val="1"/>
      <w:marLeft w:val="0"/>
      <w:marRight w:val="0"/>
      <w:marTop w:val="0"/>
      <w:marBottom w:val="0"/>
      <w:divBdr>
        <w:top w:val="none" w:sz="0" w:space="0" w:color="auto"/>
        <w:left w:val="none" w:sz="0" w:space="0" w:color="auto"/>
        <w:bottom w:val="none" w:sz="0" w:space="0" w:color="auto"/>
        <w:right w:val="none" w:sz="0" w:space="0" w:color="auto"/>
      </w:divBdr>
    </w:div>
    <w:div w:id="958024309">
      <w:bodyDiv w:val="1"/>
      <w:marLeft w:val="0"/>
      <w:marRight w:val="0"/>
      <w:marTop w:val="0"/>
      <w:marBottom w:val="0"/>
      <w:divBdr>
        <w:top w:val="none" w:sz="0" w:space="0" w:color="auto"/>
        <w:left w:val="none" w:sz="0" w:space="0" w:color="auto"/>
        <w:bottom w:val="none" w:sz="0" w:space="0" w:color="auto"/>
        <w:right w:val="none" w:sz="0" w:space="0" w:color="auto"/>
      </w:divBdr>
    </w:div>
    <w:div w:id="984312454">
      <w:bodyDiv w:val="1"/>
      <w:marLeft w:val="0"/>
      <w:marRight w:val="0"/>
      <w:marTop w:val="0"/>
      <w:marBottom w:val="0"/>
      <w:divBdr>
        <w:top w:val="none" w:sz="0" w:space="0" w:color="auto"/>
        <w:left w:val="none" w:sz="0" w:space="0" w:color="auto"/>
        <w:bottom w:val="none" w:sz="0" w:space="0" w:color="auto"/>
        <w:right w:val="none" w:sz="0" w:space="0" w:color="auto"/>
      </w:divBdr>
    </w:div>
    <w:div w:id="1055934602">
      <w:bodyDiv w:val="1"/>
      <w:marLeft w:val="0"/>
      <w:marRight w:val="0"/>
      <w:marTop w:val="0"/>
      <w:marBottom w:val="0"/>
      <w:divBdr>
        <w:top w:val="none" w:sz="0" w:space="0" w:color="auto"/>
        <w:left w:val="none" w:sz="0" w:space="0" w:color="auto"/>
        <w:bottom w:val="none" w:sz="0" w:space="0" w:color="auto"/>
        <w:right w:val="none" w:sz="0" w:space="0" w:color="auto"/>
      </w:divBdr>
    </w:div>
    <w:div w:id="1120303852">
      <w:bodyDiv w:val="1"/>
      <w:marLeft w:val="0"/>
      <w:marRight w:val="0"/>
      <w:marTop w:val="0"/>
      <w:marBottom w:val="0"/>
      <w:divBdr>
        <w:top w:val="none" w:sz="0" w:space="0" w:color="auto"/>
        <w:left w:val="none" w:sz="0" w:space="0" w:color="auto"/>
        <w:bottom w:val="none" w:sz="0" w:space="0" w:color="auto"/>
        <w:right w:val="none" w:sz="0" w:space="0" w:color="auto"/>
      </w:divBdr>
    </w:div>
    <w:div w:id="1152912191">
      <w:bodyDiv w:val="1"/>
      <w:marLeft w:val="0"/>
      <w:marRight w:val="0"/>
      <w:marTop w:val="0"/>
      <w:marBottom w:val="0"/>
      <w:divBdr>
        <w:top w:val="none" w:sz="0" w:space="0" w:color="auto"/>
        <w:left w:val="none" w:sz="0" w:space="0" w:color="auto"/>
        <w:bottom w:val="none" w:sz="0" w:space="0" w:color="auto"/>
        <w:right w:val="none" w:sz="0" w:space="0" w:color="auto"/>
      </w:divBdr>
    </w:div>
    <w:div w:id="1185289877">
      <w:bodyDiv w:val="1"/>
      <w:marLeft w:val="0"/>
      <w:marRight w:val="0"/>
      <w:marTop w:val="0"/>
      <w:marBottom w:val="0"/>
      <w:divBdr>
        <w:top w:val="none" w:sz="0" w:space="0" w:color="auto"/>
        <w:left w:val="none" w:sz="0" w:space="0" w:color="auto"/>
        <w:bottom w:val="none" w:sz="0" w:space="0" w:color="auto"/>
        <w:right w:val="none" w:sz="0" w:space="0" w:color="auto"/>
      </w:divBdr>
    </w:div>
    <w:div w:id="1190224268">
      <w:bodyDiv w:val="1"/>
      <w:marLeft w:val="0"/>
      <w:marRight w:val="0"/>
      <w:marTop w:val="0"/>
      <w:marBottom w:val="0"/>
      <w:divBdr>
        <w:top w:val="none" w:sz="0" w:space="0" w:color="auto"/>
        <w:left w:val="none" w:sz="0" w:space="0" w:color="auto"/>
        <w:bottom w:val="none" w:sz="0" w:space="0" w:color="auto"/>
        <w:right w:val="none" w:sz="0" w:space="0" w:color="auto"/>
      </w:divBdr>
    </w:div>
    <w:div w:id="1475640691">
      <w:bodyDiv w:val="1"/>
      <w:marLeft w:val="0"/>
      <w:marRight w:val="0"/>
      <w:marTop w:val="0"/>
      <w:marBottom w:val="0"/>
      <w:divBdr>
        <w:top w:val="none" w:sz="0" w:space="0" w:color="auto"/>
        <w:left w:val="none" w:sz="0" w:space="0" w:color="auto"/>
        <w:bottom w:val="none" w:sz="0" w:space="0" w:color="auto"/>
        <w:right w:val="none" w:sz="0" w:space="0" w:color="auto"/>
      </w:divBdr>
    </w:div>
    <w:div w:id="1544560528">
      <w:bodyDiv w:val="1"/>
      <w:marLeft w:val="0"/>
      <w:marRight w:val="0"/>
      <w:marTop w:val="0"/>
      <w:marBottom w:val="0"/>
      <w:divBdr>
        <w:top w:val="none" w:sz="0" w:space="0" w:color="auto"/>
        <w:left w:val="none" w:sz="0" w:space="0" w:color="auto"/>
        <w:bottom w:val="none" w:sz="0" w:space="0" w:color="auto"/>
        <w:right w:val="none" w:sz="0" w:space="0" w:color="auto"/>
      </w:divBdr>
    </w:div>
    <w:div w:id="1609393207">
      <w:bodyDiv w:val="1"/>
      <w:marLeft w:val="0"/>
      <w:marRight w:val="0"/>
      <w:marTop w:val="0"/>
      <w:marBottom w:val="0"/>
      <w:divBdr>
        <w:top w:val="none" w:sz="0" w:space="0" w:color="auto"/>
        <w:left w:val="none" w:sz="0" w:space="0" w:color="auto"/>
        <w:bottom w:val="none" w:sz="0" w:space="0" w:color="auto"/>
        <w:right w:val="none" w:sz="0" w:space="0" w:color="auto"/>
      </w:divBdr>
    </w:div>
    <w:div w:id="1677465571">
      <w:bodyDiv w:val="1"/>
      <w:marLeft w:val="0"/>
      <w:marRight w:val="0"/>
      <w:marTop w:val="0"/>
      <w:marBottom w:val="0"/>
      <w:divBdr>
        <w:top w:val="none" w:sz="0" w:space="0" w:color="auto"/>
        <w:left w:val="none" w:sz="0" w:space="0" w:color="auto"/>
        <w:bottom w:val="none" w:sz="0" w:space="0" w:color="auto"/>
        <w:right w:val="none" w:sz="0" w:space="0" w:color="auto"/>
      </w:divBdr>
    </w:div>
    <w:div w:id="1686901579">
      <w:bodyDiv w:val="1"/>
      <w:marLeft w:val="0"/>
      <w:marRight w:val="0"/>
      <w:marTop w:val="0"/>
      <w:marBottom w:val="0"/>
      <w:divBdr>
        <w:top w:val="none" w:sz="0" w:space="0" w:color="auto"/>
        <w:left w:val="none" w:sz="0" w:space="0" w:color="auto"/>
        <w:bottom w:val="none" w:sz="0" w:space="0" w:color="auto"/>
        <w:right w:val="none" w:sz="0" w:space="0" w:color="auto"/>
      </w:divBdr>
    </w:div>
    <w:div w:id="1817604335">
      <w:bodyDiv w:val="1"/>
      <w:marLeft w:val="0"/>
      <w:marRight w:val="0"/>
      <w:marTop w:val="0"/>
      <w:marBottom w:val="0"/>
      <w:divBdr>
        <w:top w:val="none" w:sz="0" w:space="0" w:color="auto"/>
        <w:left w:val="none" w:sz="0" w:space="0" w:color="auto"/>
        <w:bottom w:val="none" w:sz="0" w:space="0" w:color="auto"/>
        <w:right w:val="none" w:sz="0" w:space="0" w:color="auto"/>
      </w:divBdr>
    </w:div>
    <w:div w:id="1821730618">
      <w:bodyDiv w:val="1"/>
      <w:marLeft w:val="0"/>
      <w:marRight w:val="0"/>
      <w:marTop w:val="0"/>
      <w:marBottom w:val="0"/>
      <w:divBdr>
        <w:top w:val="none" w:sz="0" w:space="0" w:color="auto"/>
        <w:left w:val="none" w:sz="0" w:space="0" w:color="auto"/>
        <w:bottom w:val="none" w:sz="0" w:space="0" w:color="auto"/>
        <w:right w:val="none" w:sz="0" w:space="0" w:color="auto"/>
      </w:divBdr>
    </w:div>
    <w:div w:id="1860580324">
      <w:bodyDiv w:val="1"/>
      <w:marLeft w:val="0"/>
      <w:marRight w:val="0"/>
      <w:marTop w:val="0"/>
      <w:marBottom w:val="0"/>
      <w:divBdr>
        <w:top w:val="none" w:sz="0" w:space="0" w:color="auto"/>
        <w:left w:val="none" w:sz="0" w:space="0" w:color="auto"/>
        <w:bottom w:val="none" w:sz="0" w:space="0" w:color="auto"/>
        <w:right w:val="none" w:sz="0" w:space="0" w:color="auto"/>
      </w:divBdr>
    </w:div>
    <w:div w:id="1878927204">
      <w:bodyDiv w:val="1"/>
      <w:marLeft w:val="0"/>
      <w:marRight w:val="0"/>
      <w:marTop w:val="0"/>
      <w:marBottom w:val="0"/>
      <w:divBdr>
        <w:top w:val="none" w:sz="0" w:space="0" w:color="auto"/>
        <w:left w:val="none" w:sz="0" w:space="0" w:color="auto"/>
        <w:bottom w:val="none" w:sz="0" w:space="0" w:color="auto"/>
        <w:right w:val="none" w:sz="0" w:space="0" w:color="auto"/>
      </w:divBdr>
    </w:div>
    <w:div w:id="2045934417">
      <w:bodyDiv w:val="1"/>
      <w:marLeft w:val="0"/>
      <w:marRight w:val="0"/>
      <w:marTop w:val="0"/>
      <w:marBottom w:val="0"/>
      <w:divBdr>
        <w:top w:val="none" w:sz="0" w:space="0" w:color="auto"/>
        <w:left w:val="none" w:sz="0" w:space="0" w:color="auto"/>
        <w:bottom w:val="none" w:sz="0" w:space="0" w:color="auto"/>
        <w:right w:val="none" w:sz="0" w:space="0" w:color="auto"/>
      </w:divBdr>
    </w:div>
    <w:div w:id="213709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hgdata.epa.gov/ghgp/main.do"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8103E-CC30-4514-B300-7618857EC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6731</Words>
  <Characters>38373</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EPA</Company>
  <LinksUpToDate>false</LinksUpToDate>
  <CharactersWithSpaces>45014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EPA</dc:creator>
  <cp:keywords/>
  <dc:description/>
  <cp:lastModifiedBy>Kerwin, Courtney</cp:lastModifiedBy>
  <cp:revision>2</cp:revision>
  <cp:lastPrinted>2014-08-20T23:23:00Z</cp:lastPrinted>
  <dcterms:created xsi:type="dcterms:W3CDTF">2016-01-29T21:32:00Z</dcterms:created>
  <dcterms:modified xsi:type="dcterms:W3CDTF">2016-01-29T21:32:00Z</dcterms:modified>
</cp:coreProperties>
</file>