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1B871" w14:textId="77777777" w:rsidR="00DE2858" w:rsidRPr="001A769D" w:rsidRDefault="00F06866" w:rsidP="00DE2858">
      <w:pPr>
        <w:pStyle w:val="Heading2"/>
        <w:tabs>
          <w:tab w:val="left" w:pos="900"/>
        </w:tabs>
        <w:ind w:right="-180"/>
        <w:rPr>
          <w:b w:val="0"/>
        </w:rPr>
      </w:pPr>
      <w:bookmarkStart w:id="0" w:name="_GoBack"/>
      <w:bookmarkEnd w:id="0"/>
      <w:r w:rsidRPr="001A769D">
        <w:t>Request for Approval under the “</w:t>
      </w:r>
      <w:r w:rsidR="00DE2858" w:rsidRPr="001A769D">
        <w:t>Generic Clearance for Questionnaire Testing and Research” (OMB Control Number: 1905-0186)</w:t>
      </w:r>
    </w:p>
    <w:p w14:paraId="74CDB5F1" w14:textId="77777777" w:rsidR="00DE2858" w:rsidRPr="001A769D" w:rsidRDefault="004B2CB9" w:rsidP="00DE2858">
      <w:pPr>
        <w:pStyle w:val="Heading2"/>
        <w:tabs>
          <w:tab w:val="left" w:pos="900"/>
        </w:tabs>
        <w:ind w:right="-180"/>
        <w:rPr>
          <w:b w:val="0"/>
        </w:rPr>
      </w:pPr>
      <w:r w:rsidRPr="001A769D">
        <w:rPr>
          <w:b w:val="0"/>
          <w:noProof/>
        </w:rPr>
        <mc:AlternateContent>
          <mc:Choice Requires="wps">
            <w:drawing>
              <wp:anchor distT="0" distB="0" distL="114300" distR="114300" simplePos="0" relativeHeight="251658240" behindDoc="0" locked="0" layoutInCell="0" allowOverlap="1" wp14:anchorId="216FA393" wp14:editId="52E2F64C">
                <wp:simplePos x="0" y="0"/>
                <wp:positionH relativeFrom="column">
                  <wp:posOffset>542925</wp:posOffset>
                </wp:positionH>
                <wp:positionV relativeFrom="paragraph">
                  <wp:posOffset>22860</wp:posOffset>
                </wp:positionV>
                <wp:extent cx="4754880" cy="0"/>
                <wp:effectExtent l="9525" t="9525" r="1714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B0462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1.8pt" to="417.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d+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" o:allowincell="f" strokeweight="1.5pt"/>
            </w:pict>
          </mc:Fallback>
        </mc:AlternateContent>
      </w:r>
    </w:p>
    <w:p w14:paraId="12C9D82A" w14:textId="6B1F0DBB" w:rsidR="00526C09" w:rsidRPr="001A769D" w:rsidRDefault="004F49EA" w:rsidP="004B2CB9">
      <w:pPr>
        <w:pStyle w:val="Heading2"/>
        <w:tabs>
          <w:tab w:val="left" w:pos="900"/>
        </w:tabs>
        <w:ind w:right="-180"/>
        <w:rPr>
          <w:b w:val="0"/>
        </w:rPr>
      </w:pPr>
      <w:r>
        <w:t xml:space="preserve">Cognitive Research On Reporting Process Used by Respondents To </w:t>
      </w:r>
      <w:r w:rsidR="00526C09" w:rsidRPr="001A769D">
        <w:t>Form</w:t>
      </w:r>
      <w:r w:rsidR="008A23EE" w:rsidRPr="001A769D">
        <w:t xml:space="preserve">s </w:t>
      </w:r>
      <w:r w:rsidR="00F85B54" w:rsidRPr="001A769D">
        <w:t>EIA-</w:t>
      </w:r>
      <w:r w:rsidR="007203CD" w:rsidRPr="001A769D">
        <w:t>8</w:t>
      </w:r>
      <w:r w:rsidR="00FB17C2" w:rsidRPr="001A769D">
        <w:t>04</w:t>
      </w:r>
      <w:r w:rsidR="008A23EE" w:rsidRPr="001A769D">
        <w:t xml:space="preserve"> and EIA-</w:t>
      </w:r>
      <w:r w:rsidR="00FB17C2" w:rsidRPr="001A769D">
        <w:t>814</w:t>
      </w:r>
    </w:p>
    <w:p w14:paraId="64766F3D" w14:textId="77777777" w:rsidR="008A426F" w:rsidRPr="001A769D" w:rsidRDefault="008A426F" w:rsidP="008D0D7F"/>
    <w:p w14:paraId="5B43356A" w14:textId="77777777" w:rsidR="001B0AAA" w:rsidRPr="001A769D" w:rsidRDefault="00F15956">
      <w:pPr>
        <w:rPr>
          <w:b/>
        </w:rPr>
      </w:pPr>
      <w:r w:rsidRPr="001A769D">
        <w:rPr>
          <w:b/>
        </w:rPr>
        <w:t>PURPOSE:</w:t>
      </w:r>
      <w:r w:rsidR="00C14CC4" w:rsidRPr="001A769D">
        <w:rPr>
          <w:b/>
        </w:rPr>
        <w:t xml:space="preserve">  </w:t>
      </w:r>
    </w:p>
    <w:p w14:paraId="64B72ECA" w14:textId="77777777" w:rsidR="00FB17C2" w:rsidRPr="001A769D" w:rsidRDefault="00FB17C2" w:rsidP="008A23EE"/>
    <w:p w14:paraId="614386F4" w14:textId="02C8C20C" w:rsidR="00FB17C2" w:rsidRPr="001A769D" w:rsidRDefault="007829D1" w:rsidP="00FB17C2">
      <w:r w:rsidRPr="001A769D">
        <w:t>The U.S. Energy Information Administration (EIA)</w:t>
      </w:r>
      <w:r w:rsidR="00121195" w:rsidRPr="001A769D">
        <w:t xml:space="preserve"> </w:t>
      </w:r>
      <w:r w:rsidR="001C62D3" w:rsidRPr="001A769D">
        <w:t xml:space="preserve">seeks to </w:t>
      </w:r>
      <w:r w:rsidR="00FB17C2" w:rsidRPr="001A769D">
        <w:t xml:space="preserve">gain understanding of how import activity is reported weekly on Form EIA-804 </w:t>
      </w:r>
      <w:r w:rsidR="00FB17C2" w:rsidRPr="001A769D">
        <w:rPr>
          <w:i/>
        </w:rPr>
        <w:t>Weekly Imports Report</w:t>
      </w:r>
      <w:r w:rsidR="00FB17C2" w:rsidRPr="001A769D">
        <w:t xml:space="preserve"> and monthly basis on Form EIA-814 </w:t>
      </w:r>
      <w:r w:rsidR="00FB17C2" w:rsidRPr="001A769D">
        <w:rPr>
          <w:i/>
        </w:rPr>
        <w:t>Monthly Imports Report</w:t>
      </w:r>
      <w:r w:rsidR="000444F2" w:rsidRPr="001A769D">
        <w:t xml:space="preserve"> and identify any inconsistencies in the reporting period and commodity classifications that respondents use when completing U.S. Customs and Border Protection (CBP) forms for imports clearing U.S. customs.  </w:t>
      </w:r>
      <w:r w:rsidR="008A23EE" w:rsidRPr="001A769D">
        <w:t xml:space="preserve">This research project will </w:t>
      </w:r>
      <w:r w:rsidR="004C69C6" w:rsidRPr="001A769D">
        <w:t>allow</w:t>
      </w:r>
      <w:r w:rsidR="008A23EE" w:rsidRPr="001A769D">
        <w:t xml:space="preserve"> EIA </w:t>
      </w:r>
      <w:r w:rsidR="004C69C6" w:rsidRPr="001A769D">
        <w:t xml:space="preserve">to </w:t>
      </w:r>
      <w:r w:rsidR="00FB17C2" w:rsidRPr="001A769D">
        <w:t xml:space="preserve">assess differences and similarities between </w:t>
      </w:r>
      <w:r w:rsidR="000444F2" w:rsidRPr="001A769D">
        <w:t xml:space="preserve">the </w:t>
      </w:r>
      <w:r w:rsidR="00FB17C2" w:rsidRPr="001A769D">
        <w:t>timing</w:t>
      </w:r>
      <w:r w:rsidR="000444F2" w:rsidRPr="001A769D">
        <w:t xml:space="preserve"> to report imports to CBP and EIA</w:t>
      </w:r>
      <w:r w:rsidR="00FB17C2" w:rsidRPr="001A769D">
        <w:t xml:space="preserve"> and </w:t>
      </w:r>
      <w:r w:rsidR="000444F2" w:rsidRPr="001A769D">
        <w:t xml:space="preserve">the commodity classifications for product imports. </w:t>
      </w:r>
    </w:p>
    <w:p w14:paraId="715968A7" w14:textId="5AD966A4" w:rsidR="00121195" w:rsidRPr="001A769D" w:rsidRDefault="00F47270" w:rsidP="00FB17C2">
      <w:r w:rsidRPr="001A769D">
        <w:t xml:space="preserve"> </w:t>
      </w:r>
    </w:p>
    <w:p w14:paraId="4FBE2682" w14:textId="242B8B64" w:rsidR="00D15C28" w:rsidRPr="001A769D" w:rsidRDefault="00121195" w:rsidP="00D15C28">
      <w:r w:rsidRPr="001A769D">
        <w:t>Form EIA-</w:t>
      </w:r>
      <w:r w:rsidR="009778EC" w:rsidRPr="001A769D">
        <w:t>8</w:t>
      </w:r>
      <w:r w:rsidR="00FB17C2" w:rsidRPr="001A769D">
        <w:t>04</w:t>
      </w:r>
      <w:r w:rsidR="00D15C28" w:rsidRPr="001A769D">
        <w:t>,</w:t>
      </w:r>
      <w:r w:rsidRPr="001A769D">
        <w:t xml:space="preserve"> “</w:t>
      </w:r>
      <w:r w:rsidR="00FB17C2" w:rsidRPr="001A769D">
        <w:t>Weekly Imports Report</w:t>
      </w:r>
      <w:r w:rsidR="00D15C28" w:rsidRPr="001A769D">
        <w:t xml:space="preserve">” collects data </w:t>
      </w:r>
      <w:r w:rsidR="000444F2" w:rsidRPr="001A769D">
        <w:t xml:space="preserve">on </w:t>
      </w:r>
      <w:r w:rsidR="1D2BDB0D" w:rsidRPr="001A769D">
        <w:t>imports</w:t>
      </w:r>
      <w:r w:rsidR="00FB17C2" w:rsidRPr="001A769D">
        <w:t xml:space="preserve"> of crude oil, (including imports for delivery to the SPR), NGPLs and LRGs (including propane/propylene), fuel ethanol, finished motor gasoline, motor gasoline blending components, kerosene-type jet fuel, kerosene, distillate fuel oil, residual fuel oil, and other petroleum products </w:t>
      </w:r>
      <w:r w:rsidR="000444F2" w:rsidRPr="001A769D">
        <w:t>from</w:t>
      </w:r>
      <w:r w:rsidR="00FB17C2" w:rsidRPr="001A769D">
        <w:t xml:space="preserve"> a sample of importers. </w:t>
      </w:r>
      <w:r w:rsidR="000444F2" w:rsidRPr="001A769D">
        <w:t>The weekly report must be received by EIA no later than 5:00 PM EST on the Monday following the prior weekly report period.</w:t>
      </w:r>
    </w:p>
    <w:p w14:paraId="2DBA588F" w14:textId="77777777" w:rsidR="00D15C28" w:rsidRPr="001A769D" w:rsidRDefault="00D15C28" w:rsidP="00D15C28"/>
    <w:p w14:paraId="047E2E89" w14:textId="156EE448" w:rsidR="00D15C28" w:rsidRPr="001A769D" w:rsidRDefault="00D15C28" w:rsidP="00D15C28">
      <w:pPr>
        <w:spacing w:line="288" w:lineRule="atLeast"/>
      </w:pPr>
      <w:r w:rsidRPr="001A769D">
        <w:t>Form EIA-</w:t>
      </w:r>
      <w:r w:rsidR="00FB17C2" w:rsidRPr="001A769D">
        <w:t>814</w:t>
      </w:r>
      <w:r w:rsidRPr="001A769D">
        <w:t>, “</w:t>
      </w:r>
      <w:r w:rsidR="00FB17C2" w:rsidRPr="001A769D">
        <w:t>Monthly Imports Report</w:t>
      </w:r>
      <w:r w:rsidRPr="001A769D">
        <w:t xml:space="preserve">” </w:t>
      </w:r>
      <w:r w:rsidR="00FB17C2" w:rsidRPr="001A769D">
        <w:t xml:space="preserve">collects data </w:t>
      </w:r>
      <w:r w:rsidR="00F440A8" w:rsidRPr="001A769D">
        <w:t>imports of crude oil, (including imports for delivery to the SPR), NGPLs and LRGs (including propane/propylene), fuel ethanol, finished motor gasoline, motor gasoline blending components, kerosene-type jet fuel, kerosene, distillate fuel oil, residual fuel oil, and other petroleum products.</w:t>
      </w:r>
    </w:p>
    <w:p w14:paraId="30CE8A18" w14:textId="63A710E1" w:rsidR="000444F2" w:rsidRPr="001A769D" w:rsidRDefault="000444F2" w:rsidP="00D15C28">
      <w:pPr>
        <w:spacing w:line="288" w:lineRule="atLeast"/>
      </w:pPr>
    </w:p>
    <w:p w14:paraId="2404B52C" w14:textId="0B366CB1" w:rsidR="000444F2" w:rsidRPr="001A769D" w:rsidRDefault="000444F2" w:rsidP="00D15C28">
      <w:pPr>
        <w:spacing w:line="288" w:lineRule="atLeast"/>
      </w:pPr>
      <w:r w:rsidRPr="001A769D">
        <w:t>U.S. Customs and Border Protection</w:t>
      </w:r>
      <w:r w:rsidR="00B41CD2" w:rsidRPr="001A769D">
        <w:t xml:space="preserve"> CBP Form 7501 must be completed by an importer within 20 days of the product clearing customs.  The lag in filing CBP Form 7501 has cause data inaccuracies in EIA’s weekly import data.  Some importers feel that they need to report to EIA exactly what they report to CBP.  This sometimes leads to double counting of imports or large changes in weekly imports when imports are expected in one week but are reported in another weekly reporting period.</w:t>
      </w:r>
    </w:p>
    <w:p w14:paraId="7120F9A5" w14:textId="086DE4FB" w:rsidR="00ED1D56" w:rsidRPr="001A769D" w:rsidRDefault="00ED1D56" w:rsidP="00121195"/>
    <w:p w14:paraId="5FC6B677" w14:textId="295758D2" w:rsidR="00046144" w:rsidRPr="001A769D" w:rsidRDefault="009778EC" w:rsidP="00121195">
      <w:r w:rsidRPr="001A769D">
        <w:t>EIA</w:t>
      </w:r>
      <w:r w:rsidR="001C62D3" w:rsidRPr="001A769D">
        <w:t xml:space="preserve">’s </w:t>
      </w:r>
      <w:r w:rsidR="00763142" w:rsidRPr="001A769D">
        <w:t xml:space="preserve">research project will </w:t>
      </w:r>
      <w:r w:rsidR="00D15C28" w:rsidRPr="001A769D">
        <w:t xml:space="preserve">utilize </w:t>
      </w:r>
      <w:r w:rsidR="008F2462" w:rsidRPr="001A769D">
        <w:t xml:space="preserve">cognitive interviews </w:t>
      </w:r>
      <w:r w:rsidR="00D15C28" w:rsidRPr="001A769D">
        <w:t xml:space="preserve">to </w:t>
      </w:r>
      <w:r w:rsidR="000A3D95" w:rsidRPr="001A769D">
        <w:t xml:space="preserve">learn what </w:t>
      </w:r>
      <w:r w:rsidR="00B41CD2" w:rsidRPr="001A769D">
        <w:t xml:space="preserve">process importers use to report imports that enter the U.S. through customs on Forms EIA-804 and 814 and CBP-7501, what verification procedures they follow, if any, to reconcile the quantities reported on Form -804 and Form CBP-8501 for import activity that relates to the same weekly time period. </w:t>
      </w:r>
    </w:p>
    <w:p w14:paraId="359BE136" w14:textId="77777777" w:rsidR="00046144" w:rsidRPr="001A769D" w:rsidRDefault="00046144" w:rsidP="00121195"/>
    <w:p w14:paraId="59FA9CC5" w14:textId="57299BC5" w:rsidR="00121195" w:rsidRPr="001A769D" w:rsidRDefault="00F47270" w:rsidP="004C69C6">
      <w:r w:rsidRPr="001A769D">
        <w:t>EIA</w:t>
      </w:r>
      <w:r w:rsidR="00121195" w:rsidRPr="001A769D">
        <w:t xml:space="preserve"> </w:t>
      </w:r>
      <w:r w:rsidR="00BD018F" w:rsidRPr="001A769D">
        <w:t>will also</w:t>
      </w:r>
      <w:r w:rsidR="00FC4767" w:rsidRPr="001A769D">
        <w:t xml:space="preserve"> </w:t>
      </w:r>
      <w:r w:rsidR="003C6BC0" w:rsidRPr="001A769D">
        <w:t>collect information</w:t>
      </w:r>
      <w:r w:rsidR="00BD018F" w:rsidRPr="001A769D">
        <w:t xml:space="preserve"> from the interviews</w:t>
      </w:r>
      <w:r w:rsidR="003C6BC0" w:rsidRPr="001A769D">
        <w:t xml:space="preserve"> </w:t>
      </w:r>
      <w:r w:rsidR="008136F6" w:rsidRPr="001A769D">
        <w:t xml:space="preserve">to </w:t>
      </w:r>
      <w:r w:rsidR="00046144" w:rsidRPr="001A769D">
        <w:t>estimate the</w:t>
      </w:r>
      <w:r w:rsidR="004C69C6" w:rsidRPr="001A769D">
        <w:t xml:space="preserve"> current </w:t>
      </w:r>
      <w:r w:rsidR="00046144" w:rsidRPr="001A769D">
        <w:t xml:space="preserve">burden per response for </w:t>
      </w:r>
      <w:r w:rsidR="004C69C6" w:rsidRPr="001A769D">
        <w:t>Forms</w:t>
      </w:r>
      <w:r w:rsidR="00B41CD2" w:rsidRPr="001A769D">
        <w:t xml:space="preserve"> EIA-804 and 814. </w:t>
      </w:r>
    </w:p>
    <w:p w14:paraId="297EAD4A" w14:textId="51AC4C5E" w:rsidR="00187B53" w:rsidRPr="001A769D" w:rsidRDefault="00187B53" w:rsidP="00187B53">
      <w:pPr>
        <w:rPr>
          <w:color w:val="333333"/>
          <w:shd w:val="clear" w:color="auto" w:fill="FFFFFF"/>
        </w:rPr>
      </w:pPr>
    </w:p>
    <w:p w14:paraId="7BCAC273" w14:textId="77777777" w:rsidR="00187B53" w:rsidRPr="001A769D" w:rsidRDefault="00187B53" w:rsidP="00187B53">
      <w:pPr>
        <w:rPr>
          <w:color w:val="333333"/>
          <w:shd w:val="clear" w:color="auto" w:fill="FFFFFF"/>
        </w:rPr>
      </w:pPr>
    </w:p>
    <w:p w14:paraId="13AE0EEF" w14:textId="77777777" w:rsidR="00434E33" w:rsidRPr="001A769D" w:rsidRDefault="00434E33" w:rsidP="00434E33">
      <w:pPr>
        <w:pStyle w:val="Header"/>
        <w:tabs>
          <w:tab w:val="clear" w:pos="4320"/>
          <w:tab w:val="clear" w:pos="8640"/>
        </w:tabs>
        <w:rPr>
          <w:i/>
          <w:snapToGrid/>
        </w:rPr>
      </w:pPr>
      <w:r w:rsidRPr="001A769D">
        <w:rPr>
          <w:b/>
        </w:rPr>
        <w:t>DESCRIPTION OF RESPONDENTS</w:t>
      </w:r>
      <w:r w:rsidRPr="001A769D">
        <w:t xml:space="preserve">: </w:t>
      </w:r>
    </w:p>
    <w:p w14:paraId="083F9C90" w14:textId="215EA4EA" w:rsidR="00E26329" w:rsidRPr="001A769D" w:rsidRDefault="00526C09">
      <w:r w:rsidRPr="001A769D">
        <w:t xml:space="preserve">Current </w:t>
      </w:r>
      <w:r w:rsidR="00046144" w:rsidRPr="001A769D">
        <w:t xml:space="preserve">EIA survey </w:t>
      </w:r>
      <w:r w:rsidRPr="001A769D">
        <w:t>respondents that report on Form</w:t>
      </w:r>
      <w:r w:rsidR="007B16D8" w:rsidRPr="001A769D">
        <w:t>s</w:t>
      </w:r>
      <w:r w:rsidR="00A42295" w:rsidRPr="001A769D">
        <w:t xml:space="preserve"> EIA-</w:t>
      </w:r>
      <w:r w:rsidR="00FB17C2" w:rsidRPr="001A769D">
        <w:t>804</w:t>
      </w:r>
      <w:r w:rsidR="002D0E34" w:rsidRPr="001A769D">
        <w:t xml:space="preserve"> and EIA-</w:t>
      </w:r>
      <w:r w:rsidR="00FB17C2" w:rsidRPr="001A769D">
        <w:t>814</w:t>
      </w:r>
      <w:r w:rsidR="002D0E34" w:rsidRPr="001A769D">
        <w:t xml:space="preserve">. </w:t>
      </w:r>
      <w:r w:rsidR="001C62D3" w:rsidRPr="001A769D">
        <w:t xml:space="preserve"> </w:t>
      </w:r>
    </w:p>
    <w:p w14:paraId="286C0296" w14:textId="77777777" w:rsidR="00F8638D" w:rsidRPr="001A769D" w:rsidRDefault="00F8638D">
      <w:pPr>
        <w:rPr>
          <w:b/>
        </w:rPr>
      </w:pPr>
    </w:p>
    <w:p w14:paraId="0B65FA9C" w14:textId="77777777" w:rsidR="00F06866" w:rsidRPr="001A769D" w:rsidRDefault="00F06866">
      <w:pPr>
        <w:rPr>
          <w:b/>
        </w:rPr>
      </w:pPr>
      <w:r w:rsidRPr="001A769D">
        <w:rPr>
          <w:b/>
        </w:rPr>
        <w:t>TYPE OF COLLECTION:</w:t>
      </w:r>
      <w:r w:rsidRPr="001A769D">
        <w:t xml:space="preserve"> (Check one)</w:t>
      </w:r>
    </w:p>
    <w:p w14:paraId="624BF249" w14:textId="77777777" w:rsidR="00441434" w:rsidRPr="001A769D" w:rsidRDefault="00441434" w:rsidP="0096108F">
      <w:pPr>
        <w:pStyle w:val="BodyTextIndent"/>
        <w:tabs>
          <w:tab w:val="left" w:pos="360"/>
        </w:tabs>
        <w:ind w:left="0"/>
        <w:rPr>
          <w:bCs/>
          <w:sz w:val="24"/>
          <w:szCs w:val="24"/>
        </w:rPr>
      </w:pPr>
    </w:p>
    <w:p w14:paraId="169ABC87" w14:textId="6A93AB2D" w:rsidR="00F06866" w:rsidRPr="001A769D" w:rsidRDefault="0096108F" w:rsidP="0096108F">
      <w:pPr>
        <w:pStyle w:val="BodyTextIndent"/>
        <w:tabs>
          <w:tab w:val="left" w:pos="360"/>
        </w:tabs>
        <w:ind w:left="0"/>
        <w:rPr>
          <w:bCs/>
          <w:sz w:val="24"/>
          <w:szCs w:val="24"/>
        </w:rPr>
      </w:pPr>
      <w:r w:rsidRPr="001A769D">
        <w:rPr>
          <w:bCs/>
          <w:sz w:val="24"/>
          <w:szCs w:val="24"/>
        </w:rPr>
        <w:lastRenderedPageBreak/>
        <w:t>[</w:t>
      </w:r>
      <w:r w:rsidR="002B169E" w:rsidRPr="001A769D">
        <w:rPr>
          <w:bCs/>
          <w:sz w:val="24"/>
          <w:szCs w:val="24"/>
        </w:rPr>
        <w:t xml:space="preserve"> </w:t>
      </w:r>
      <w:r w:rsidRPr="001A769D">
        <w:rPr>
          <w:bCs/>
          <w:sz w:val="24"/>
          <w:szCs w:val="24"/>
        </w:rPr>
        <w:t xml:space="preserve">] </w:t>
      </w:r>
      <w:r w:rsidR="00E46D6A" w:rsidRPr="001A769D">
        <w:rPr>
          <w:bCs/>
          <w:sz w:val="24"/>
          <w:szCs w:val="24"/>
        </w:rPr>
        <w:t>Field Testing</w:t>
      </w:r>
      <w:r w:rsidRPr="001A769D">
        <w:rPr>
          <w:bCs/>
          <w:sz w:val="24"/>
          <w:szCs w:val="24"/>
        </w:rPr>
        <w:t xml:space="preserve"> </w:t>
      </w:r>
      <w:r w:rsidRPr="001A769D">
        <w:rPr>
          <w:bCs/>
          <w:sz w:val="24"/>
          <w:szCs w:val="24"/>
        </w:rPr>
        <w:tab/>
      </w:r>
      <w:r w:rsidR="00E46D6A" w:rsidRPr="001A769D">
        <w:rPr>
          <w:bCs/>
          <w:sz w:val="24"/>
          <w:szCs w:val="24"/>
        </w:rPr>
        <w:tab/>
      </w:r>
      <w:r w:rsidR="00E46D6A" w:rsidRPr="001A769D">
        <w:rPr>
          <w:bCs/>
          <w:sz w:val="24"/>
          <w:szCs w:val="24"/>
        </w:rPr>
        <w:tab/>
      </w:r>
      <w:r w:rsidR="00E46D6A" w:rsidRPr="001A769D">
        <w:rPr>
          <w:bCs/>
          <w:sz w:val="24"/>
          <w:szCs w:val="24"/>
        </w:rPr>
        <w:tab/>
      </w:r>
      <w:r w:rsidR="00E46D6A" w:rsidRPr="001A769D">
        <w:rPr>
          <w:bCs/>
          <w:sz w:val="24"/>
          <w:szCs w:val="24"/>
        </w:rPr>
        <w:tab/>
      </w:r>
      <w:r w:rsidRPr="001A769D">
        <w:rPr>
          <w:bCs/>
          <w:sz w:val="24"/>
          <w:szCs w:val="24"/>
        </w:rPr>
        <w:t>[</w:t>
      </w:r>
      <w:r w:rsidR="00526C09" w:rsidRPr="001A769D">
        <w:rPr>
          <w:bCs/>
          <w:sz w:val="24"/>
          <w:szCs w:val="24"/>
        </w:rPr>
        <w:t>X</w:t>
      </w:r>
      <w:r w:rsidRPr="001A769D">
        <w:rPr>
          <w:bCs/>
          <w:sz w:val="24"/>
          <w:szCs w:val="24"/>
        </w:rPr>
        <w:t xml:space="preserve">] </w:t>
      </w:r>
      <w:r w:rsidR="00F06866" w:rsidRPr="001A769D">
        <w:rPr>
          <w:bCs/>
          <w:sz w:val="24"/>
          <w:szCs w:val="24"/>
        </w:rPr>
        <w:t>C</w:t>
      </w:r>
      <w:r w:rsidR="00E46D6A" w:rsidRPr="001A769D">
        <w:rPr>
          <w:bCs/>
          <w:sz w:val="24"/>
          <w:szCs w:val="24"/>
        </w:rPr>
        <w:t>ognitive Interviews</w:t>
      </w:r>
      <w:r w:rsidR="00CA2650" w:rsidRPr="001A769D">
        <w:rPr>
          <w:bCs/>
          <w:sz w:val="24"/>
          <w:szCs w:val="24"/>
        </w:rPr>
        <w:t xml:space="preserve">  </w:t>
      </w:r>
      <w:r w:rsidRPr="001A769D">
        <w:rPr>
          <w:bCs/>
          <w:sz w:val="24"/>
          <w:szCs w:val="24"/>
        </w:rPr>
        <w:t xml:space="preserve"> </w:t>
      </w:r>
    </w:p>
    <w:p w14:paraId="493F50FF" w14:textId="309B3093" w:rsidR="0096108F" w:rsidRPr="001A769D" w:rsidRDefault="0096108F" w:rsidP="0096108F">
      <w:pPr>
        <w:pStyle w:val="BodyTextIndent"/>
        <w:tabs>
          <w:tab w:val="left" w:pos="360"/>
        </w:tabs>
        <w:ind w:left="0"/>
        <w:rPr>
          <w:bCs/>
          <w:sz w:val="24"/>
          <w:szCs w:val="24"/>
        </w:rPr>
      </w:pPr>
      <w:r w:rsidRPr="001A769D">
        <w:rPr>
          <w:bCs/>
          <w:sz w:val="24"/>
          <w:szCs w:val="24"/>
        </w:rPr>
        <w:t>[</w:t>
      </w:r>
      <w:r w:rsidR="00E46D6A" w:rsidRPr="001A769D">
        <w:rPr>
          <w:bCs/>
          <w:sz w:val="24"/>
          <w:szCs w:val="24"/>
        </w:rPr>
        <w:t xml:space="preserve"> </w:t>
      </w:r>
      <w:r w:rsidRPr="001A769D">
        <w:rPr>
          <w:bCs/>
          <w:sz w:val="24"/>
          <w:szCs w:val="24"/>
        </w:rPr>
        <w:t xml:space="preserve">] </w:t>
      </w:r>
      <w:r w:rsidR="00F06866" w:rsidRPr="001A769D">
        <w:rPr>
          <w:bCs/>
          <w:sz w:val="24"/>
          <w:szCs w:val="24"/>
        </w:rPr>
        <w:t>Usability</w:t>
      </w:r>
      <w:r w:rsidR="009239AA" w:rsidRPr="001A769D">
        <w:rPr>
          <w:bCs/>
          <w:sz w:val="24"/>
          <w:szCs w:val="24"/>
        </w:rPr>
        <w:t xml:space="preserve"> Testing </w:t>
      </w:r>
      <w:r w:rsidR="00E46D6A" w:rsidRPr="001A769D">
        <w:rPr>
          <w:bCs/>
          <w:sz w:val="24"/>
          <w:szCs w:val="24"/>
        </w:rPr>
        <w:tab/>
      </w:r>
      <w:r w:rsidR="00E46D6A" w:rsidRPr="001A769D">
        <w:rPr>
          <w:bCs/>
          <w:sz w:val="24"/>
          <w:szCs w:val="24"/>
        </w:rPr>
        <w:tab/>
      </w:r>
      <w:r w:rsidR="00E46D6A" w:rsidRPr="001A769D">
        <w:rPr>
          <w:bCs/>
          <w:sz w:val="24"/>
          <w:szCs w:val="24"/>
        </w:rPr>
        <w:tab/>
      </w:r>
      <w:r w:rsidR="00E46D6A" w:rsidRPr="001A769D">
        <w:rPr>
          <w:bCs/>
          <w:sz w:val="24"/>
          <w:szCs w:val="24"/>
        </w:rPr>
        <w:tab/>
      </w:r>
      <w:r w:rsidR="008F2462" w:rsidRPr="001A769D">
        <w:rPr>
          <w:bCs/>
          <w:sz w:val="24"/>
          <w:szCs w:val="24"/>
        </w:rPr>
        <w:tab/>
      </w:r>
      <w:r w:rsidR="002D0E34" w:rsidRPr="001A769D">
        <w:rPr>
          <w:bCs/>
          <w:sz w:val="24"/>
          <w:szCs w:val="24"/>
        </w:rPr>
        <w:t>[</w:t>
      </w:r>
      <w:r w:rsidR="00F06866" w:rsidRPr="001A769D">
        <w:rPr>
          <w:bCs/>
          <w:sz w:val="24"/>
          <w:szCs w:val="24"/>
        </w:rPr>
        <w:t xml:space="preserve">] </w:t>
      </w:r>
      <w:r w:rsidR="00E46D6A" w:rsidRPr="001A769D">
        <w:rPr>
          <w:bCs/>
          <w:sz w:val="24"/>
          <w:szCs w:val="24"/>
        </w:rPr>
        <w:t>Focus Groups</w:t>
      </w:r>
    </w:p>
    <w:p w14:paraId="1D132B31" w14:textId="77777777" w:rsidR="00F06866" w:rsidRPr="001A769D" w:rsidRDefault="00935ADA" w:rsidP="0096108F">
      <w:pPr>
        <w:pStyle w:val="BodyTextIndent"/>
        <w:tabs>
          <w:tab w:val="left" w:pos="360"/>
        </w:tabs>
        <w:ind w:left="0"/>
        <w:rPr>
          <w:bCs/>
          <w:sz w:val="24"/>
          <w:szCs w:val="24"/>
        </w:rPr>
      </w:pPr>
      <w:r w:rsidRPr="001A769D">
        <w:rPr>
          <w:bCs/>
          <w:sz w:val="24"/>
          <w:szCs w:val="24"/>
        </w:rPr>
        <w:t>[</w:t>
      </w:r>
      <w:r w:rsidR="00CF6542" w:rsidRPr="001A769D">
        <w:rPr>
          <w:bCs/>
          <w:sz w:val="24"/>
          <w:szCs w:val="24"/>
        </w:rPr>
        <w:t xml:space="preserve"> </w:t>
      </w:r>
      <w:r w:rsidRPr="001A769D">
        <w:rPr>
          <w:bCs/>
          <w:sz w:val="24"/>
          <w:szCs w:val="24"/>
        </w:rPr>
        <w:t xml:space="preserve">] </w:t>
      </w:r>
      <w:r w:rsidR="00E46D6A" w:rsidRPr="001A769D">
        <w:rPr>
          <w:bCs/>
          <w:sz w:val="24"/>
          <w:szCs w:val="24"/>
        </w:rPr>
        <w:t>Pilot Surveys</w:t>
      </w:r>
      <w:r w:rsidRPr="001A769D">
        <w:rPr>
          <w:bCs/>
          <w:sz w:val="24"/>
          <w:szCs w:val="24"/>
        </w:rPr>
        <w:t xml:space="preserve">  </w:t>
      </w:r>
      <w:r w:rsidRPr="001A769D">
        <w:rPr>
          <w:bCs/>
          <w:sz w:val="24"/>
          <w:szCs w:val="24"/>
        </w:rPr>
        <w:tab/>
      </w:r>
      <w:r w:rsidRPr="001A769D">
        <w:rPr>
          <w:bCs/>
          <w:sz w:val="24"/>
          <w:szCs w:val="24"/>
        </w:rPr>
        <w:tab/>
      </w:r>
      <w:r w:rsidRPr="001A769D">
        <w:rPr>
          <w:bCs/>
          <w:sz w:val="24"/>
          <w:szCs w:val="24"/>
        </w:rPr>
        <w:tab/>
      </w:r>
      <w:r w:rsidRPr="001A769D">
        <w:rPr>
          <w:bCs/>
          <w:sz w:val="24"/>
          <w:szCs w:val="24"/>
        </w:rPr>
        <w:tab/>
      </w:r>
      <w:r w:rsidRPr="001A769D">
        <w:rPr>
          <w:bCs/>
          <w:sz w:val="24"/>
          <w:szCs w:val="24"/>
        </w:rPr>
        <w:tab/>
      </w:r>
      <w:r w:rsidR="00F06866" w:rsidRPr="001A769D">
        <w:rPr>
          <w:bCs/>
          <w:sz w:val="24"/>
          <w:szCs w:val="24"/>
        </w:rPr>
        <w:t>[ ] Other:</w:t>
      </w:r>
      <w:r w:rsidR="00F06866" w:rsidRPr="001A769D">
        <w:rPr>
          <w:bCs/>
          <w:sz w:val="24"/>
          <w:szCs w:val="24"/>
          <w:u w:val="single"/>
        </w:rPr>
        <w:t xml:space="preserve"> ______________________</w:t>
      </w:r>
      <w:r w:rsidR="00F06866" w:rsidRPr="001A769D">
        <w:rPr>
          <w:bCs/>
          <w:sz w:val="24"/>
          <w:szCs w:val="24"/>
          <w:u w:val="single"/>
        </w:rPr>
        <w:tab/>
      </w:r>
    </w:p>
    <w:p w14:paraId="036CC781" w14:textId="77777777" w:rsidR="00434E33" w:rsidRPr="001A769D" w:rsidRDefault="00E46D6A">
      <w:pPr>
        <w:pStyle w:val="Header"/>
        <w:tabs>
          <w:tab w:val="clear" w:pos="4320"/>
          <w:tab w:val="clear" w:pos="8640"/>
        </w:tabs>
      </w:pPr>
      <w:r w:rsidRPr="001A769D">
        <w:rPr>
          <w:bCs/>
        </w:rPr>
        <w:t xml:space="preserve">[ ] Respondent Debriefings  </w:t>
      </w:r>
      <w:r w:rsidRPr="001A769D">
        <w:rPr>
          <w:bCs/>
        </w:rPr>
        <w:tab/>
      </w:r>
      <w:r w:rsidRPr="001A769D">
        <w:rPr>
          <w:bCs/>
        </w:rPr>
        <w:tab/>
      </w:r>
      <w:r w:rsidRPr="001A769D">
        <w:rPr>
          <w:bCs/>
        </w:rPr>
        <w:tab/>
      </w:r>
      <w:r w:rsidRPr="001A769D">
        <w:rPr>
          <w:bCs/>
        </w:rPr>
        <w:tab/>
      </w:r>
      <w:r w:rsidRPr="001A769D">
        <w:rPr>
          <w:bCs/>
        </w:rPr>
        <w:tab/>
      </w:r>
    </w:p>
    <w:p w14:paraId="7F2E4506" w14:textId="77777777" w:rsidR="00E46D6A" w:rsidRPr="001A769D" w:rsidRDefault="00E46D6A">
      <w:pPr>
        <w:rPr>
          <w:b/>
        </w:rPr>
      </w:pPr>
    </w:p>
    <w:p w14:paraId="2D1AFAFB" w14:textId="77777777" w:rsidR="00CA2650" w:rsidRPr="001A769D" w:rsidRDefault="00441434">
      <w:pPr>
        <w:rPr>
          <w:b/>
        </w:rPr>
      </w:pPr>
      <w:r w:rsidRPr="001A769D">
        <w:rPr>
          <w:b/>
        </w:rPr>
        <w:t>C</w:t>
      </w:r>
      <w:r w:rsidR="009C13B9" w:rsidRPr="001A769D">
        <w:rPr>
          <w:b/>
        </w:rPr>
        <w:t>ERTIFICATION:</w:t>
      </w:r>
    </w:p>
    <w:p w14:paraId="7F1B3623" w14:textId="77777777" w:rsidR="00441434" w:rsidRPr="001A769D" w:rsidRDefault="00441434"/>
    <w:p w14:paraId="51F8DD71" w14:textId="77777777" w:rsidR="008101A5" w:rsidRPr="001A769D" w:rsidRDefault="008101A5" w:rsidP="008101A5">
      <w:r w:rsidRPr="001A769D">
        <w:t>I certify the following to be true</w:t>
      </w:r>
      <w:r w:rsidR="005F1172" w:rsidRPr="001A769D">
        <w:t xml:space="preserve"> regarding the proposed collection of information</w:t>
      </w:r>
      <w:r w:rsidRPr="001A769D">
        <w:t xml:space="preserve">: </w:t>
      </w:r>
    </w:p>
    <w:p w14:paraId="53541449" w14:textId="77777777" w:rsidR="005F1172" w:rsidRPr="001A769D" w:rsidRDefault="005F1172" w:rsidP="005F1172">
      <w:pPr>
        <w:pStyle w:val="Default"/>
        <w:numPr>
          <w:ilvl w:val="0"/>
          <w:numId w:val="14"/>
        </w:numPr>
        <w:rPr>
          <w:rFonts w:ascii="Times New Roman" w:hAnsi="Times New Roman" w:cs="Times New Roman"/>
        </w:rPr>
      </w:pPr>
      <w:r w:rsidRPr="001A769D">
        <w:rPr>
          <w:rFonts w:ascii="Times New Roman" w:hAnsi="Times New Roman" w:cs="Times New Roman"/>
        </w:rPr>
        <w:t>It is necessary for the proper performance of agency functions.</w:t>
      </w:r>
    </w:p>
    <w:p w14:paraId="5B9B255C" w14:textId="77777777" w:rsidR="005F1172" w:rsidRPr="001A769D" w:rsidRDefault="005F1172" w:rsidP="005F1172">
      <w:pPr>
        <w:pStyle w:val="Default"/>
        <w:numPr>
          <w:ilvl w:val="0"/>
          <w:numId w:val="14"/>
        </w:numPr>
        <w:rPr>
          <w:rFonts w:ascii="Times New Roman" w:hAnsi="Times New Roman" w:cs="Times New Roman"/>
        </w:rPr>
      </w:pPr>
      <w:r w:rsidRPr="001A769D">
        <w:rPr>
          <w:rFonts w:ascii="Times New Roman" w:hAnsi="Times New Roman" w:cs="Times New Roman"/>
        </w:rPr>
        <w:t>It avoids unnecessary duplication.</w:t>
      </w:r>
    </w:p>
    <w:p w14:paraId="69F52963" w14:textId="77777777" w:rsidR="005F1172" w:rsidRPr="001A769D" w:rsidRDefault="005F1172" w:rsidP="005F1172">
      <w:pPr>
        <w:pStyle w:val="Default"/>
        <w:numPr>
          <w:ilvl w:val="0"/>
          <w:numId w:val="14"/>
        </w:numPr>
        <w:rPr>
          <w:rFonts w:ascii="Times New Roman" w:hAnsi="Times New Roman" w:cs="Times New Roman"/>
        </w:rPr>
      </w:pPr>
      <w:r w:rsidRPr="001A769D">
        <w:rPr>
          <w:rFonts w:ascii="Times New Roman" w:hAnsi="Times New Roman" w:cs="Times New Roman"/>
        </w:rPr>
        <w:t>It reduces burden on small entities.</w:t>
      </w:r>
    </w:p>
    <w:p w14:paraId="7D41BB8A" w14:textId="77777777" w:rsidR="005F1172" w:rsidRPr="001A769D" w:rsidRDefault="005F1172" w:rsidP="005F1172">
      <w:pPr>
        <w:pStyle w:val="Default"/>
        <w:numPr>
          <w:ilvl w:val="0"/>
          <w:numId w:val="14"/>
        </w:numPr>
        <w:rPr>
          <w:rFonts w:ascii="Times New Roman" w:hAnsi="Times New Roman" w:cs="Times New Roman"/>
        </w:rPr>
      </w:pPr>
      <w:r w:rsidRPr="001A769D">
        <w:rPr>
          <w:rFonts w:ascii="Times New Roman" w:hAnsi="Times New Roman" w:cs="Times New Roman"/>
        </w:rPr>
        <w:t>It uses plain, coherent, and unambiguous language that is understandable to respondents.</w:t>
      </w:r>
    </w:p>
    <w:p w14:paraId="5DC491A5" w14:textId="77777777" w:rsidR="005F1172" w:rsidRPr="001A769D" w:rsidRDefault="005F1172" w:rsidP="005F1172">
      <w:pPr>
        <w:pStyle w:val="Default"/>
        <w:numPr>
          <w:ilvl w:val="0"/>
          <w:numId w:val="14"/>
        </w:numPr>
        <w:rPr>
          <w:rFonts w:ascii="Times New Roman" w:hAnsi="Times New Roman" w:cs="Times New Roman"/>
        </w:rPr>
      </w:pPr>
      <w:r w:rsidRPr="001A769D">
        <w:rPr>
          <w:rFonts w:ascii="Times New Roman" w:hAnsi="Times New Roman" w:cs="Times New Roman"/>
        </w:rPr>
        <w:t>Its implementation will be consistent and compatible with current reporting and recordkeeping practices.</w:t>
      </w:r>
    </w:p>
    <w:p w14:paraId="5914522A" w14:textId="77777777" w:rsidR="005F1172" w:rsidRPr="001A769D" w:rsidRDefault="005F1172" w:rsidP="005F1172">
      <w:pPr>
        <w:pStyle w:val="Default"/>
        <w:numPr>
          <w:ilvl w:val="0"/>
          <w:numId w:val="14"/>
        </w:numPr>
        <w:rPr>
          <w:rFonts w:ascii="Times New Roman" w:hAnsi="Times New Roman" w:cs="Times New Roman"/>
        </w:rPr>
      </w:pPr>
      <w:r w:rsidRPr="001A769D">
        <w:rPr>
          <w:rFonts w:ascii="Times New Roman" w:hAnsi="Times New Roman" w:cs="Times New Roman"/>
        </w:rPr>
        <w:t>It indicates the retention periods for recordkeeping requirements</w:t>
      </w:r>
      <w:r w:rsidR="002B5AB0" w:rsidRPr="001A769D">
        <w:rPr>
          <w:rFonts w:ascii="Times New Roman" w:hAnsi="Times New Roman" w:cs="Times New Roman"/>
        </w:rPr>
        <w:t>.</w:t>
      </w:r>
    </w:p>
    <w:p w14:paraId="7BA0EC52" w14:textId="77777777" w:rsidR="005F1172" w:rsidRPr="001A769D" w:rsidRDefault="005F1172" w:rsidP="005F1172">
      <w:pPr>
        <w:pStyle w:val="Default"/>
        <w:numPr>
          <w:ilvl w:val="0"/>
          <w:numId w:val="14"/>
        </w:numPr>
        <w:rPr>
          <w:rFonts w:ascii="Times New Roman" w:hAnsi="Times New Roman" w:cs="Times New Roman"/>
        </w:rPr>
      </w:pPr>
      <w:r w:rsidRPr="001A769D">
        <w:rPr>
          <w:rFonts w:ascii="Times New Roman" w:hAnsi="Times New Roman" w:cs="Times New Roman"/>
        </w:rPr>
        <w:t xml:space="preserve">It informs respondents of the information called for under 5 CFR 1320.8 (b)(3) about: </w:t>
      </w:r>
    </w:p>
    <w:p w14:paraId="67970889" w14:textId="77777777" w:rsidR="005F1172" w:rsidRPr="001A769D" w:rsidRDefault="005F1172" w:rsidP="005F1172">
      <w:pPr>
        <w:pStyle w:val="Default"/>
        <w:numPr>
          <w:ilvl w:val="1"/>
          <w:numId w:val="14"/>
        </w:numPr>
        <w:rPr>
          <w:rFonts w:ascii="Times New Roman" w:hAnsi="Times New Roman" w:cs="Times New Roman"/>
        </w:rPr>
      </w:pPr>
      <w:r w:rsidRPr="001A769D">
        <w:rPr>
          <w:rFonts w:ascii="Times New Roman" w:hAnsi="Times New Roman" w:cs="Times New Roman"/>
        </w:rPr>
        <w:t>Why the information is being collected;</w:t>
      </w:r>
    </w:p>
    <w:p w14:paraId="282F6EA0" w14:textId="77777777" w:rsidR="005F1172" w:rsidRPr="001A769D" w:rsidRDefault="005F1172" w:rsidP="005F1172">
      <w:pPr>
        <w:pStyle w:val="Default"/>
        <w:numPr>
          <w:ilvl w:val="1"/>
          <w:numId w:val="14"/>
        </w:numPr>
        <w:rPr>
          <w:rFonts w:ascii="Times New Roman" w:hAnsi="Times New Roman" w:cs="Times New Roman"/>
        </w:rPr>
      </w:pPr>
      <w:r w:rsidRPr="001A769D">
        <w:rPr>
          <w:rFonts w:ascii="Times New Roman" w:hAnsi="Times New Roman" w:cs="Times New Roman"/>
        </w:rPr>
        <w:t>Use of information;</w:t>
      </w:r>
    </w:p>
    <w:p w14:paraId="3EB3B775" w14:textId="77777777" w:rsidR="005F1172" w:rsidRPr="001A769D" w:rsidRDefault="005F1172" w:rsidP="005F1172">
      <w:pPr>
        <w:pStyle w:val="Default"/>
        <w:numPr>
          <w:ilvl w:val="1"/>
          <w:numId w:val="14"/>
        </w:numPr>
        <w:rPr>
          <w:rFonts w:ascii="Times New Roman" w:hAnsi="Times New Roman" w:cs="Times New Roman"/>
        </w:rPr>
      </w:pPr>
      <w:r w:rsidRPr="001A769D">
        <w:rPr>
          <w:rFonts w:ascii="Times New Roman" w:hAnsi="Times New Roman" w:cs="Times New Roman"/>
        </w:rPr>
        <w:t>Burden estimate;</w:t>
      </w:r>
    </w:p>
    <w:p w14:paraId="0F91DA59" w14:textId="77777777" w:rsidR="005F1172" w:rsidRPr="001A769D" w:rsidRDefault="005F1172" w:rsidP="005F1172">
      <w:pPr>
        <w:pStyle w:val="Default"/>
        <w:numPr>
          <w:ilvl w:val="1"/>
          <w:numId w:val="14"/>
        </w:numPr>
        <w:rPr>
          <w:rFonts w:ascii="Times New Roman" w:hAnsi="Times New Roman" w:cs="Times New Roman"/>
        </w:rPr>
      </w:pPr>
      <w:r w:rsidRPr="001A769D">
        <w:rPr>
          <w:rFonts w:ascii="Times New Roman" w:hAnsi="Times New Roman" w:cs="Times New Roman"/>
        </w:rPr>
        <w:t>Nature of response (voluntary, required for a benefit, or mandatory);</w:t>
      </w:r>
    </w:p>
    <w:p w14:paraId="69724FD0" w14:textId="77777777" w:rsidR="005F1172" w:rsidRPr="001A769D" w:rsidRDefault="005F1172" w:rsidP="005F1172">
      <w:pPr>
        <w:pStyle w:val="Default"/>
        <w:numPr>
          <w:ilvl w:val="1"/>
          <w:numId w:val="14"/>
        </w:numPr>
        <w:rPr>
          <w:rFonts w:ascii="Times New Roman" w:hAnsi="Times New Roman" w:cs="Times New Roman"/>
        </w:rPr>
      </w:pPr>
      <w:r w:rsidRPr="001A769D">
        <w:rPr>
          <w:rFonts w:ascii="Times New Roman" w:hAnsi="Times New Roman" w:cs="Times New Roman"/>
        </w:rPr>
        <w:t>Nature and extent of confidentiality; and</w:t>
      </w:r>
    </w:p>
    <w:p w14:paraId="616CC357" w14:textId="77777777" w:rsidR="005F1172" w:rsidRPr="001A769D" w:rsidRDefault="005F1172" w:rsidP="005F1172">
      <w:pPr>
        <w:pStyle w:val="Default"/>
        <w:numPr>
          <w:ilvl w:val="1"/>
          <w:numId w:val="14"/>
        </w:numPr>
        <w:rPr>
          <w:rFonts w:ascii="Times New Roman" w:hAnsi="Times New Roman" w:cs="Times New Roman"/>
        </w:rPr>
      </w:pPr>
      <w:r w:rsidRPr="001A769D">
        <w:rPr>
          <w:rFonts w:ascii="Times New Roman" w:hAnsi="Times New Roman" w:cs="Times New Roman"/>
        </w:rPr>
        <w:t>Need to display currently valid OMB control number</w:t>
      </w:r>
    </w:p>
    <w:p w14:paraId="248EC636" w14:textId="77777777" w:rsidR="005F1172" w:rsidRPr="001A769D" w:rsidRDefault="005F1172" w:rsidP="005F1172">
      <w:pPr>
        <w:pStyle w:val="Default"/>
        <w:numPr>
          <w:ilvl w:val="0"/>
          <w:numId w:val="14"/>
        </w:numPr>
        <w:rPr>
          <w:rFonts w:ascii="Times New Roman" w:hAnsi="Times New Roman" w:cs="Times New Roman"/>
        </w:rPr>
      </w:pPr>
      <w:r w:rsidRPr="001A769D">
        <w:rPr>
          <w:rFonts w:ascii="Times New Roman" w:hAnsi="Times New Roman" w:cs="Times New Roman"/>
        </w:rPr>
        <w:t>It was developed by an office that has planned and allocated resources for the efficient and effective management and use of the information to be collected.</w:t>
      </w:r>
    </w:p>
    <w:p w14:paraId="1456C4C9" w14:textId="77777777" w:rsidR="005F1172" w:rsidRPr="001A769D" w:rsidRDefault="005F1172" w:rsidP="005F1172">
      <w:pPr>
        <w:pStyle w:val="Default"/>
        <w:numPr>
          <w:ilvl w:val="0"/>
          <w:numId w:val="14"/>
        </w:numPr>
        <w:rPr>
          <w:rFonts w:ascii="Times New Roman" w:hAnsi="Times New Roman" w:cs="Times New Roman"/>
        </w:rPr>
      </w:pPr>
      <w:r w:rsidRPr="001A769D">
        <w:rPr>
          <w:rFonts w:ascii="Times New Roman" w:hAnsi="Times New Roman" w:cs="Times New Roman"/>
        </w:rPr>
        <w:t>It uses effective and efficient statistical survey methodology (if applicable).</w:t>
      </w:r>
    </w:p>
    <w:p w14:paraId="5FC80B37" w14:textId="77777777" w:rsidR="005F1172" w:rsidRPr="001A769D" w:rsidRDefault="005F1172" w:rsidP="005F1172">
      <w:pPr>
        <w:pStyle w:val="Default"/>
        <w:numPr>
          <w:ilvl w:val="0"/>
          <w:numId w:val="14"/>
        </w:numPr>
        <w:rPr>
          <w:rFonts w:ascii="Times New Roman" w:hAnsi="Times New Roman" w:cs="Times New Roman"/>
        </w:rPr>
      </w:pPr>
      <w:r w:rsidRPr="001A769D">
        <w:rPr>
          <w:rFonts w:ascii="Times New Roman" w:hAnsi="Times New Roman" w:cs="Times New Roman"/>
        </w:rPr>
        <w:t>It makes appropriat</w:t>
      </w:r>
      <w:r w:rsidR="007B6AEF" w:rsidRPr="001A769D">
        <w:rPr>
          <w:rFonts w:ascii="Times New Roman" w:hAnsi="Times New Roman" w:cs="Times New Roman"/>
        </w:rPr>
        <w:t>e use of information technology.</w:t>
      </w:r>
    </w:p>
    <w:p w14:paraId="18631FAA" w14:textId="77777777" w:rsidR="005F1172" w:rsidRPr="001A769D" w:rsidRDefault="005F1172" w:rsidP="002B5AB0">
      <w:pPr>
        <w:pStyle w:val="ListParagraph"/>
        <w:ind w:left="360"/>
      </w:pPr>
    </w:p>
    <w:p w14:paraId="2DC278B4" w14:textId="77777777" w:rsidR="009C13B9" w:rsidRPr="001A769D" w:rsidRDefault="009C13B9" w:rsidP="009C13B9"/>
    <w:p w14:paraId="189D50DC" w14:textId="3E98F9FA" w:rsidR="00F8184D" w:rsidRPr="001A769D" w:rsidRDefault="00F8184D" w:rsidP="00F8184D">
      <w:r w:rsidRPr="001A769D">
        <w:t xml:space="preserve">Name: </w:t>
      </w:r>
      <w:r w:rsidR="00147B11" w:rsidRPr="001A769D">
        <w:rPr>
          <w:u w:val="single"/>
        </w:rPr>
        <w:t>Tom Leckey,</w:t>
      </w:r>
      <w:r w:rsidRPr="001A769D">
        <w:rPr>
          <w:u w:val="single"/>
        </w:rPr>
        <w:t xml:space="preserve"> </w:t>
      </w:r>
      <w:r w:rsidR="00E93DC5" w:rsidRPr="001A769D">
        <w:rPr>
          <w:u w:val="single"/>
        </w:rPr>
        <w:t>Ass</w:t>
      </w:r>
      <w:r w:rsidR="00DB42BA" w:rsidRPr="001A769D">
        <w:rPr>
          <w:u w:val="single"/>
        </w:rPr>
        <w:t>istant</w:t>
      </w:r>
      <w:r w:rsidR="00E93DC5" w:rsidRPr="001A769D">
        <w:rPr>
          <w:u w:val="single"/>
        </w:rPr>
        <w:t xml:space="preserve"> </w:t>
      </w:r>
      <w:r w:rsidR="00DB42BA" w:rsidRPr="001A769D">
        <w:rPr>
          <w:u w:val="single"/>
        </w:rPr>
        <w:t xml:space="preserve">Administrator for </w:t>
      </w:r>
      <w:r w:rsidR="00965627" w:rsidRPr="001A769D">
        <w:rPr>
          <w:u w:val="single"/>
        </w:rPr>
        <w:t xml:space="preserve">Office of </w:t>
      </w:r>
      <w:r w:rsidR="00E93DC5" w:rsidRPr="001A769D">
        <w:rPr>
          <w:u w:val="single"/>
        </w:rPr>
        <w:t xml:space="preserve">Energy </w:t>
      </w:r>
      <w:r w:rsidR="00DB42BA" w:rsidRPr="001A769D">
        <w:rPr>
          <w:u w:val="single"/>
        </w:rPr>
        <w:t>Statistics</w:t>
      </w:r>
      <w:r w:rsidR="00FB7375" w:rsidRPr="001A769D">
        <w:rPr>
          <w:u w:val="single"/>
        </w:rPr>
        <w:t xml:space="preserve">, </w:t>
      </w:r>
    </w:p>
    <w:p w14:paraId="6633B5A0" w14:textId="77777777" w:rsidR="00F8184D" w:rsidRPr="001A769D" w:rsidRDefault="00F8184D" w:rsidP="00F8184D">
      <w:pPr>
        <w:rPr>
          <w:u w:val="single"/>
        </w:rPr>
      </w:pPr>
      <w:r w:rsidRPr="001A769D">
        <w:tab/>
      </w:r>
      <w:r w:rsidRPr="001A769D">
        <w:rPr>
          <w:u w:val="single"/>
        </w:rPr>
        <w:t>U.S. Energy Information Administration</w:t>
      </w:r>
    </w:p>
    <w:p w14:paraId="68CBB3AF" w14:textId="77777777" w:rsidR="009C13B9" w:rsidRPr="001A769D" w:rsidRDefault="009C13B9" w:rsidP="009C13B9">
      <w:pPr>
        <w:pStyle w:val="ListParagraph"/>
        <w:ind w:left="360"/>
      </w:pPr>
    </w:p>
    <w:p w14:paraId="69B92460" w14:textId="77777777" w:rsidR="009C13B9" w:rsidRPr="001A769D" w:rsidRDefault="009C13B9" w:rsidP="009C13B9">
      <w:r w:rsidRPr="001A769D">
        <w:t>To assist review, please provide answers to the following question</w:t>
      </w:r>
      <w:r w:rsidR="000719C1" w:rsidRPr="001A769D">
        <w:t>s</w:t>
      </w:r>
      <w:r w:rsidRPr="001A769D">
        <w:t>:</w:t>
      </w:r>
    </w:p>
    <w:p w14:paraId="7EB574FA" w14:textId="77777777" w:rsidR="009C13B9" w:rsidRPr="001A769D" w:rsidRDefault="00C86E91" w:rsidP="00C86E91">
      <w:pPr>
        <w:rPr>
          <w:b/>
        </w:rPr>
      </w:pPr>
      <w:r w:rsidRPr="001A769D">
        <w:rPr>
          <w:b/>
        </w:rPr>
        <w:t>Personally Identifiable Information:</w:t>
      </w:r>
    </w:p>
    <w:p w14:paraId="12558F90" w14:textId="77777777" w:rsidR="00C86E91" w:rsidRPr="001A769D" w:rsidRDefault="009C13B9" w:rsidP="00C86E91">
      <w:pPr>
        <w:pStyle w:val="ListParagraph"/>
        <w:numPr>
          <w:ilvl w:val="0"/>
          <w:numId w:val="18"/>
        </w:numPr>
      </w:pPr>
      <w:r w:rsidRPr="001A769D">
        <w:t>Is</w:t>
      </w:r>
      <w:r w:rsidR="00237B48" w:rsidRPr="001A769D">
        <w:t xml:space="preserve"> personally identifiable information (PII) collected</w:t>
      </w:r>
      <w:r w:rsidRPr="001A769D">
        <w:t xml:space="preserve">?  </w:t>
      </w:r>
      <w:r w:rsidR="009239AA" w:rsidRPr="001A769D">
        <w:t>[ ] Yes  [</w:t>
      </w:r>
      <w:r w:rsidR="00DF1D7E" w:rsidRPr="001A769D">
        <w:t xml:space="preserve"> </w:t>
      </w:r>
      <w:r w:rsidR="00526C09" w:rsidRPr="001A769D">
        <w:t>X</w:t>
      </w:r>
      <w:r w:rsidR="009239AA" w:rsidRPr="001A769D">
        <w:t xml:space="preserve">]  No </w:t>
      </w:r>
    </w:p>
    <w:p w14:paraId="77713AC9" w14:textId="3E1AD469" w:rsidR="00C86E91" w:rsidRPr="001A769D" w:rsidRDefault="009C13B9" w:rsidP="00C86E91">
      <w:pPr>
        <w:pStyle w:val="ListParagraph"/>
        <w:numPr>
          <w:ilvl w:val="0"/>
          <w:numId w:val="18"/>
        </w:numPr>
      </w:pPr>
      <w:r w:rsidRPr="001A769D">
        <w:t xml:space="preserve">If </w:t>
      </w:r>
      <w:r w:rsidR="009239AA" w:rsidRPr="001A769D">
        <w:t>Yes,</w:t>
      </w:r>
      <w:r w:rsidRPr="001A769D">
        <w:t xml:space="preserve"> </w:t>
      </w:r>
      <w:r w:rsidR="002B34CD" w:rsidRPr="001A769D">
        <w:t>will any</w:t>
      </w:r>
      <w:r w:rsidR="009239AA" w:rsidRPr="001A769D">
        <w:t xml:space="preserve"> information that</w:t>
      </w:r>
      <w:r w:rsidR="002B34CD" w:rsidRPr="001A769D">
        <w:t xml:space="preserve"> is collected</w:t>
      </w:r>
      <w:r w:rsidR="009239AA" w:rsidRPr="001A769D">
        <w:t xml:space="preserve"> be included in records that are subject to the Privacy Act of 1974?   [ ] Yes [</w:t>
      </w:r>
      <w:r w:rsidR="00526C09" w:rsidRPr="001A769D">
        <w:t>X</w:t>
      </w:r>
      <w:r w:rsidR="009239AA" w:rsidRPr="001A769D">
        <w:t>] No</w:t>
      </w:r>
      <w:r w:rsidR="00C86E91" w:rsidRPr="001A769D">
        <w:t xml:space="preserve">   </w:t>
      </w:r>
    </w:p>
    <w:p w14:paraId="4DE9290E" w14:textId="26538BAD" w:rsidR="00C86E91" w:rsidRPr="001A769D" w:rsidRDefault="00C86E91" w:rsidP="00C86E91">
      <w:pPr>
        <w:pStyle w:val="ListParagraph"/>
        <w:numPr>
          <w:ilvl w:val="0"/>
          <w:numId w:val="18"/>
        </w:numPr>
      </w:pPr>
      <w:r w:rsidRPr="001A769D">
        <w:t xml:space="preserve">If </w:t>
      </w:r>
      <w:r w:rsidR="002B34CD" w:rsidRPr="001A769D">
        <w:t>Yes</w:t>
      </w:r>
      <w:r w:rsidRPr="001A769D">
        <w:t>, has a</w:t>
      </w:r>
      <w:r w:rsidR="002B34CD" w:rsidRPr="001A769D">
        <w:t>n up-to-date</w:t>
      </w:r>
      <w:r w:rsidRPr="001A769D">
        <w:t xml:space="preserve"> System o</w:t>
      </w:r>
      <w:r w:rsidR="002B34CD" w:rsidRPr="001A769D">
        <w:t>f</w:t>
      </w:r>
      <w:r w:rsidRPr="001A769D">
        <w:t xml:space="preserve"> Records Notice</w:t>
      </w:r>
      <w:r w:rsidR="002B34CD" w:rsidRPr="001A769D">
        <w:t xml:space="preserve"> (SORN)</w:t>
      </w:r>
      <w:r w:rsidRPr="001A769D">
        <w:t xml:space="preserve"> been published?  [ ] Yes  [</w:t>
      </w:r>
      <w:r w:rsidR="00526C09" w:rsidRPr="001A769D">
        <w:t>X</w:t>
      </w:r>
      <w:r w:rsidRPr="001A769D">
        <w:t>] No</w:t>
      </w:r>
    </w:p>
    <w:p w14:paraId="04D8D7A1" w14:textId="77777777" w:rsidR="00CF6542" w:rsidRPr="001A769D" w:rsidRDefault="00CF6542" w:rsidP="00C86E91">
      <w:pPr>
        <w:pStyle w:val="ListParagraph"/>
        <w:ind w:left="0"/>
        <w:rPr>
          <w:b/>
        </w:rPr>
      </w:pPr>
    </w:p>
    <w:p w14:paraId="0DD4F14A" w14:textId="77777777" w:rsidR="00C86E91" w:rsidRPr="001A769D" w:rsidRDefault="00CB1078" w:rsidP="00C86E91">
      <w:pPr>
        <w:pStyle w:val="ListParagraph"/>
        <w:ind w:left="0"/>
        <w:rPr>
          <w:b/>
        </w:rPr>
      </w:pPr>
      <w:r w:rsidRPr="001A769D">
        <w:rPr>
          <w:b/>
        </w:rPr>
        <w:t>Gifts or Payments</w:t>
      </w:r>
      <w:r w:rsidR="00C86E91" w:rsidRPr="001A769D">
        <w:rPr>
          <w:b/>
        </w:rPr>
        <w:t>:</w:t>
      </w:r>
    </w:p>
    <w:p w14:paraId="3D396765" w14:textId="6E2222EB" w:rsidR="004D6E14" w:rsidRPr="001A769D" w:rsidRDefault="00C86E91">
      <w:pPr>
        <w:rPr>
          <w:b/>
        </w:rPr>
      </w:pPr>
      <w:r w:rsidRPr="001A769D">
        <w:t>Is an incentive (e.g., money or reimbursement of expenses, token of appreciation) provided to participants?  [ ] Y</w:t>
      </w:r>
      <w:r w:rsidR="00E44672" w:rsidRPr="001A769D">
        <w:t xml:space="preserve"> [</w:t>
      </w:r>
      <w:r w:rsidR="00526C09" w:rsidRPr="001A769D">
        <w:t>X</w:t>
      </w:r>
      <w:r w:rsidR="00E44672" w:rsidRPr="001A769D">
        <w:t>] No</w:t>
      </w:r>
    </w:p>
    <w:p w14:paraId="5E405A6B" w14:textId="77777777" w:rsidR="00F24CFC" w:rsidRPr="001A769D" w:rsidRDefault="00F24CFC">
      <w:pPr>
        <w:rPr>
          <w:b/>
        </w:rPr>
      </w:pPr>
    </w:p>
    <w:p w14:paraId="672ADBC9" w14:textId="77777777" w:rsidR="00C86E91" w:rsidRPr="001A769D" w:rsidRDefault="00C86E91">
      <w:pPr>
        <w:rPr>
          <w:b/>
        </w:rPr>
      </w:pPr>
    </w:p>
    <w:p w14:paraId="6C6FA05D" w14:textId="77777777" w:rsidR="00413433" w:rsidRPr="001A769D" w:rsidRDefault="00413433" w:rsidP="00413433">
      <w:pPr>
        <w:rPr>
          <w:b/>
        </w:rPr>
      </w:pPr>
    </w:p>
    <w:p w14:paraId="11680CB2" w14:textId="77777777" w:rsidR="00413433" w:rsidRPr="001A769D" w:rsidRDefault="00413433" w:rsidP="00413433">
      <w:pPr>
        <w:rPr>
          <w:i/>
        </w:rPr>
      </w:pPr>
      <w:r w:rsidRPr="001A769D">
        <w:rPr>
          <w:b/>
        </w:rPr>
        <w:t>BURDEN HOURS</w:t>
      </w:r>
      <w:r w:rsidRPr="001A769D">
        <w:t xml:space="preserve"> </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0"/>
        <w:gridCol w:w="1555"/>
        <w:gridCol w:w="1530"/>
        <w:gridCol w:w="1530"/>
        <w:gridCol w:w="1595"/>
        <w:gridCol w:w="1200"/>
      </w:tblGrid>
      <w:tr w:rsidR="00413433" w:rsidRPr="001A769D" w14:paraId="7608CAA5" w14:textId="77777777" w:rsidTr="00BA7AF3">
        <w:trPr>
          <w:trHeight w:val="593"/>
        </w:trPr>
        <w:tc>
          <w:tcPr>
            <w:tcW w:w="2850" w:type="dxa"/>
          </w:tcPr>
          <w:p w14:paraId="5FBBB458" w14:textId="77777777" w:rsidR="00413433" w:rsidRPr="001A769D" w:rsidRDefault="00413433" w:rsidP="00BA7AF3">
            <w:pPr>
              <w:rPr>
                <w:b/>
              </w:rPr>
            </w:pPr>
            <w:r w:rsidRPr="001A769D">
              <w:rPr>
                <w:b/>
              </w:rPr>
              <w:t xml:space="preserve">Category of Respondent </w:t>
            </w:r>
          </w:p>
        </w:tc>
        <w:tc>
          <w:tcPr>
            <w:tcW w:w="1555" w:type="dxa"/>
          </w:tcPr>
          <w:p w14:paraId="3F029033" w14:textId="77777777" w:rsidR="00413433" w:rsidRPr="001A769D" w:rsidRDefault="00413433" w:rsidP="00BA7AF3">
            <w:pPr>
              <w:rPr>
                <w:b/>
              </w:rPr>
            </w:pPr>
            <w:r w:rsidRPr="001A769D">
              <w:rPr>
                <w:b/>
              </w:rPr>
              <w:t xml:space="preserve">Sample Size Goal </w:t>
            </w:r>
          </w:p>
          <w:p w14:paraId="6062D482" w14:textId="77777777" w:rsidR="00413433" w:rsidRPr="001A769D" w:rsidRDefault="00413433" w:rsidP="00BA7AF3">
            <w:pPr>
              <w:rPr>
                <w:b/>
              </w:rPr>
            </w:pPr>
            <w:r w:rsidRPr="001A769D">
              <w:rPr>
                <w:b/>
              </w:rPr>
              <w:t xml:space="preserve"> Round 1</w:t>
            </w:r>
          </w:p>
        </w:tc>
        <w:tc>
          <w:tcPr>
            <w:tcW w:w="1530" w:type="dxa"/>
          </w:tcPr>
          <w:p w14:paraId="4A7F7337" w14:textId="77777777" w:rsidR="00413433" w:rsidRPr="001A769D" w:rsidRDefault="00413433" w:rsidP="00BA7AF3">
            <w:pPr>
              <w:rPr>
                <w:b/>
              </w:rPr>
            </w:pPr>
            <w:r w:rsidRPr="001A769D">
              <w:rPr>
                <w:b/>
              </w:rPr>
              <w:t>Sample Size Goal</w:t>
            </w:r>
          </w:p>
          <w:p w14:paraId="1673E5B7" w14:textId="77777777" w:rsidR="00413433" w:rsidRPr="001A769D" w:rsidRDefault="00413433" w:rsidP="00BA7AF3">
            <w:pPr>
              <w:rPr>
                <w:b/>
              </w:rPr>
            </w:pPr>
            <w:r w:rsidRPr="001A769D">
              <w:rPr>
                <w:b/>
              </w:rPr>
              <w:t>Round 2</w:t>
            </w:r>
          </w:p>
        </w:tc>
        <w:tc>
          <w:tcPr>
            <w:tcW w:w="1530" w:type="dxa"/>
          </w:tcPr>
          <w:p w14:paraId="7740640F" w14:textId="77777777" w:rsidR="00413433" w:rsidRPr="001A769D" w:rsidRDefault="00413433" w:rsidP="00BA7AF3">
            <w:pPr>
              <w:rPr>
                <w:b/>
              </w:rPr>
            </w:pPr>
            <w:r w:rsidRPr="001A769D">
              <w:rPr>
                <w:b/>
              </w:rPr>
              <w:t>Sample Size Goal</w:t>
            </w:r>
          </w:p>
          <w:p w14:paraId="7C4B97B2" w14:textId="77777777" w:rsidR="00413433" w:rsidRPr="001A769D" w:rsidRDefault="00413433" w:rsidP="00BA7AF3">
            <w:pPr>
              <w:rPr>
                <w:b/>
              </w:rPr>
            </w:pPr>
            <w:r w:rsidRPr="001A769D">
              <w:rPr>
                <w:b/>
              </w:rPr>
              <w:t>Round 3</w:t>
            </w:r>
          </w:p>
        </w:tc>
        <w:tc>
          <w:tcPr>
            <w:tcW w:w="1595" w:type="dxa"/>
          </w:tcPr>
          <w:p w14:paraId="7B07786E" w14:textId="77777777" w:rsidR="00413433" w:rsidRPr="001A769D" w:rsidRDefault="00413433" w:rsidP="00BA7AF3">
            <w:pPr>
              <w:rPr>
                <w:b/>
              </w:rPr>
            </w:pPr>
            <w:r w:rsidRPr="001A769D">
              <w:rPr>
                <w:b/>
              </w:rPr>
              <w:t>Participation Time (hours)</w:t>
            </w:r>
          </w:p>
        </w:tc>
        <w:tc>
          <w:tcPr>
            <w:tcW w:w="1200" w:type="dxa"/>
          </w:tcPr>
          <w:p w14:paraId="68A3FC09" w14:textId="77777777" w:rsidR="00413433" w:rsidRPr="001A769D" w:rsidRDefault="00413433" w:rsidP="00BA7AF3">
            <w:pPr>
              <w:rPr>
                <w:b/>
              </w:rPr>
            </w:pPr>
            <w:r w:rsidRPr="001A769D">
              <w:rPr>
                <w:b/>
              </w:rPr>
              <w:t>Burden Hours</w:t>
            </w:r>
          </w:p>
        </w:tc>
      </w:tr>
      <w:tr w:rsidR="00413433" w:rsidRPr="001A769D" w14:paraId="73A82543" w14:textId="77777777" w:rsidTr="00BA7AF3">
        <w:trPr>
          <w:trHeight w:val="274"/>
        </w:trPr>
        <w:tc>
          <w:tcPr>
            <w:tcW w:w="2850" w:type="dxa"/>
          </w:tcPr>
          <w:p w14:paraId="4A5312ED" w14:textId="7D73DE8B" w:rsidR="00413433" w:rsidRPr="001A769D" w:rsidRDefault="00413433" w:rsidP="00C1695E">
            <w:r w:rsidRPr="001A769D">
              <w:t>EIA-8</w:t>
            </w:r>
            <w:r w:rsidR="00C1695E" w:rsidRPr="001A769D">
              <w:t>0</w:t>
            </w:r>
            <w:r w:rsidRPr="001A769D">
              <w:t xml:space="preserve">4 Respondents Cognitive Interviews </w:t>
            </w:r>
          </w:p>
        </w:tc>
        <w:tc>
          <w:tcPr>
            <w:tcW w:w="1555" w:type="dxa"/>
          </w:tcPr>
          <w:p w14:paraId="7009F905" w14:textId="77777777" w:rsidR="00413433" w:rsidRPr="001A769D" w:rsidRDefault="00413433" w:rsidP="00BA7AF3">
            <w:r w:rsidRPr="001A769D">
              <w:t>15</w:t>
            </w:r>
          </w:p>
        </w:tc>
        <w:tc>
          <w:tcPr>
            <w:tcW w:w="1530" w:type="dxa"/>
          </w:tcPr>
          <w:p w14:paraId="49A3165F" w14:textId="77777777" w:rsidR="00413433" w:rsidRPr="001A769D" w:rsidRDefault="00413433" w:rsidP="00BA7AF3">
            <w:r w:rsidRPr="001A769D">
              <w:t>5</w:t>
            </w:r>
          </w:p>
        </w:tc>
        <w:tc>
          <w:tcPr>
            <w:tcW w:w="1530" w:type="dxa"/>
          </w:tcPr>
          <w:p w14:paraId="109E2789" w14:textId="77777777" w:rsidR="00413433" w:rsidRPr="001A769D" w:rsidRDefault="00413433" w:rsidP="00BA7AF3">
            <w:r w:rsidRPr="001A769D">
              <w:t>5</w:t>
            </w:r>
          </w:p>
        </w:tc>
        <w:tc>
          <w:tcPr>
            <w:tcW w:w="1595" w:type="dxa"/>
          </w:tcPr>
          <w:p w14:paraId="1E5F7143" w14:textId="77777777" w:rsidR="00413433" w:rsidRPr="001A769D" w:rsidRDefault="00413433" w:rsidP="00BA7AF3">
            <w:r w:rsidRPr="001A769D">
              <w:t xml:space="preserve">1.5 </w:t>
            </w:r>
          </w:p>
        </w:tc>
        <w:tc>
          <w:tcPr>
            <w:tcW w:w="1200" w:type="dxa"/>
          </w:tcPr>
          <w:p w14:paraId="4E88DD8C" w14:textId="77777777" w:rsidR="00413433" w:rsidRPr="001A769D" w:rsidRDefault="00413433" w:rsidP="00BA7AF3">
            <w:r w:rsidRPr="001A769D">
              <w:t>37.5</w:t>
            </w:r>
          </w:p>
        </w:tc>
      </w:tr>
      <w:tr w:rsidR="00413433" w:rsidRPr="001A769D" w14:paraId="2892F6A3" w14:textId="77777777" w:rsidTr="00BA7AF3">
        <w:trPr>
          <w:trHeight w:val="274"/>
        </w:trPr>
        <w:tc>
          <w:tcPr>
            <w:tcW w:w="2850" w:type="dxa"/>
          </w:tcPr>
          <w:p w14:paraId="14AA80A4" w14:textId="77777777" w:rsidR="00413433" w:rsidRPr="001A769D" w:rsidRDefault="00413433" w:rsidP="00BA7AF3">
            <w:r w:rsidRPr="001A769D">
              <w:rPr>
                <w:b/>
              </w:rPr>
              <w:t>Totals</w:t>
            </w:r>
          </w:p>
        </w:tc>
        <w:tc>
          <w:tcPr>
            <w:tcW w:w="1555" w:type="dxa"/>
          </w:tcPr>
          <w:p w14:paraId="6C15CC72" w14:textId="77777777" w:rsidR="00413433" w:rsidRPr="001A769D" w:rsidRDefault="00413433" w:rsidP="00BA7AF3">
            <w:r w:rsidRPr="001A769D">
              <w:rPr>
                <w:b/>
              </w:rPr>
              <w:t>15</w:t>
            </w:r>
          </w:p>
        </w:tc>
        <w:tc>
          <w:tcPr>
            <w:tcW w:w="1530" w:type="dxa"/>
          </w:tcPr>
          <w:p w14:paraId="1B512C73" w14:textId="77777777" w:rsidR="00413433" w:rsidRPr="001A769D" w:rsidRDefault="00413433" w:rsidP="00BA7AF3">
            <w:pPr>
              <w:rPr>
                <w:b/>
              </w:rPr>
            </w:pPr>
            <w:r w:rsidRPr="001A769D">
              <w:rPr>
                <w:b/>
              </w:rPr>
              <w:t>5</w:t>
            </w:r>
          </w:p>
        </w:tc>
        <w:tc>
          <w:tcPr>
            <w:tcW w:w="1530" w:type="dxa"/>
          </w:tcPr>
          <w:p w14:paraId="1422F526" w14:textId="77777777" w:rsidR="00413433" w:rsidRPr="001A769D" w:rsidRDefault="00413433" w:rsidP="00BA7AF3">
            <w:pPr>
              <w:rPr>
                <w:highlight w:val="black"/>
              </w:rPr>
            </w:pPr>
            <w:r w:rsidRPr="001A769D">
              <w:rPr>
                <w:b/>
              </w:rPr>
              <w:t>5</w:t>
            </w:r>
          </w:p>
        </w:tc>
        <w:tc>
          <w:tcPr>
            <w:tcW w:w="1595" w:type="dxa"/>
          </w:tcPr>
          <w:p w14:paraId="1C235D37" w14:textId="77777777" w:rsidR="00413433" w:rsidRPr="001A769D" w:rsidRDefault="00413433" w:rsidP="00BA7AF3">
            <w:pPr>
              <w:rPr>
                <w:highlight w:val="black"/>
              </w:rPr>
            </w:pPr>
          </w:p>
        </w:tc>
        <w:tc>
          <w:tcPr>
            <w:tcW w:w="1200" w:type="dxa"/>
          </w:tcPr>
          <w:p w14:paraId="13BBD97B" w14:textId="77777777" w:rsidR="00413433" w:rsidRPr="001A769D" w:rsidRDefault="00413433" w:rsidP="00BA7AF3">
            <w:r w:rsidRPr="001A769D">
              <w:rPr>
                <w:b/>
              </w:rPr>
              <w:t>37.5</w:t>
            </w:r>
          </w:p>
        </w:tc>
      </w:tr>
    </w:tbl>
    <w:p w14:paraId="290C9279" w14:textId="77777777" w:rsidR="00413433" w:rsidRPr="001A769D" w:rsidRDefault="00413433" w:rsidP="00413433"/>
    <w:p w14:paraId="741A830F" w14:textId="77777777" w:rsidR="00F3170F" w:rsidRPr="001A769D" w:rsidRDefault="00F3170F" w:rsidP="00F3170F"/>
    <w:p w14:paraId="5FC5EF49" w14:textId="10B471F2" w:rsidR="00413433" w:rsidRPr="001A769D" w:rsidRDefault="00590CAB" w:rsidP="00413433">
      <w:r w:rsidRPr="001A769D">
        <w:rPr>
          <w:b/>
        </w:rPr>
        <w:t>ESTIMATE OF RESPONDENT BURDEN HOURS AND COST</w:t>
      </w:r>
      <w:r w:rsidR="000B38E5" w:rsidRPr="001A769D">
        <w:rPr>
          <w:b/>
        </w:rPr>
        <w:t>:</w:t>
      </w:r>
      <w:r w:rsidRPr="001A769D">
        <w:t xml:space="preserve">  </w:t>
      </w:r>
      <w:r w:rsidR="00413433" w:rsidRPr="001A769D">
        <w:t>The burden to respondents for 25 interviews is 37.5 hours and the cost to the respondents is estimated to be ($74.02*37.5) = $2,776. Two mock interviews were conducted using the protocols. The interviews took 3</w:t>
      </w:r>
      <w:r w:rsidR="00B41CD2" w:rsidRPr="001A769D">
        <w:t>3</w:t>
      </w:r>
      <w:r w:rsidR="00413433" w:rsidRPr="001A769D">
        <w:t xml:space="preserve"> and 4</w:t>
      </w:r>
      <w:r w:rsidR="00B41CD2" w:rsidRPr="001A769D">
        <w:t>0</w:t>
      </w:r>
      <w:r w:rsidR="00413433" w:rsidRPr="001A769D">
        <w:t xml:space="preserve"> minutes respectively. The estimate of 60 minutes for each interview is an accurate time estimate for gathering responses to the questions in the protocols. Some participants will have shorter interviews than others based on knowledge, type of operation, and the ability to answer specific questions. 30 minutes was added to each participant’s burden time to account for the time a participant may need to read the invitation, schedule the interview, prepare for the interview, and review any past reports if needed. </w:t>
      </w:r>
    </w:p>
    <w:p w14:paraId="4779A24E" w14:textId="77777777" w:rsidR="00413433" w:rsidRPr="001A769D" w:rsidRDefault="00413433" w:rsidP="00413433"/>
    <w:p w14:paraId="20545B8F" w14:textId="00E5E3AA" w:rsidR="00413433" w:rsidRPr="001A769D" w:rsidRDefault="00413433" w:rsidP="00413433">
      <w:r w:rsidRPr="001A769D">
        <w:t>EIA will conduct three rounds of interviews comprising of 15 interviews in the first round</w:t>
      </w:r>
      <w:r w:rsidR="00C66B3C" w:rsidRPr="001A769D">
        <w:t xml:space="preserve"> (one in-person and 14 telephone interviews)</w:t>
      </w:r>
      <w:r w:rsidRPr="001A769D">
        <w:t>, then the results will be analyzed to determine if sufficient information has been collected to satisfy the research goals based on the different classes of respondents. If additional information is needed to determine if “saturation” has been reach, then EIA will conduct a 2</w:t>
      </w:r>
      <w:r w:rsidRPr="001A769D">
        <w:rPr>
          <w:vertAlign w:val="superscript"/>
        </w:rPr>
        <w:t>nd</w:t>
      </w:r>
      <w:r w:rsidRPr="001A769D">
        <w:t xml:space="preserve"> round of 5 interviews, analyze the additional information, and if needed, will conduct a 3</w:t>
      </w:r>
      <w:r w:rsidRPr="001A769D">
        <w:rPr>
          <w:vertAlign w:val="superscript"/>
        </w:rPr>
        <w:t>rd</w:t>
      </w:r>
      <w:r w:rsidRPr="001A769D">
        <w:t xml:space="preserve"> round of 5 interview to collect a sufficient amount of information to meet project objectives and the saturation point has been reached with the different categories of respondents.</w:t>
      </w:r>
    </w:p>
    <w:p w14:paraId="5F4952E4" w14:textId="77777777" w:rsidR="00413433" w:rsidRPr="001A769D" w:rsidRDefault="00413433" w:rsidP="00413433">
      <w:pPr>
        <w:rPr>
          <w:b/>
        </w:rPr>
      </w:pPr>
    </w:p>
    <w:p w14:paraId="1AFDDBC8" w14:textId="306F4D86" w:rsidR="00413433" w:rsidRPr="001A769D" w:rsidRDefault="00413433" w:rsidP="00413433">
      <w:r w:rsidRPr="001A769D">
        <w:rPr>
          <w:b/>
        </w:rPr>
        <w:t xml:space="preserve">FEDERAL COST: </w:t>
      </w:r>
      <w:r w:rsidRPr="001A769D">
        <w:t>The estimated annual cost to the Federal government is: $</w:t>
      </w:r>
      <w:r w:rsidR="00A201A5" w:rsidRPr="001A769D">
        <w:t>3,465</w:t>
      </w:r>
      <w:r w:rsidRPr="001A769D">
        <w:t xml:space="preserve"> </w:t>
      </w:r>
    </w:p>
    <w:tbl>
      <w:tblPr>
        <w:tblStyle w:val="TableGrid"/>
        <w:tblW w:w="0" w:type="auto"/>
        <w:tblLook w:val="04A0" w:firstRow="1" w:lastRow="0" w:firstColumn="1" w:lastColumn="0" w:noHBand="0" w:noVBand="1"/>
      </w:tblPr>
      <w:tblGrid>
        <w:gridCol w:w="2337"/>
        <w:gridCol w:w="2337"/>
        <w:gridCol w:w="2338"/>
        <w:gridCol w:w="2338"/>
      </w:tblGrid>
      <w:tr w:rsidR="00413433" w:rsidRPr="001A769D" w14:paraId="0D12462C" w14:textId="77777777" w:rsidTr="00BA7AF3">
        <w:tc>
          <w:tcPr>
            <w:tcW w:w="2337" w:type="dxa"/>
          </w:tcPr>
          <w:p w14:paraId="4C8D81FA" w14:textId="77777777" w:rsidR="00413433" w:rsidRPr="001A769D" w:rsidRDefault="00413433" w:rsidP="00BA7AF3">
            <w:r w:rsidRPr="001A769D">
              <w:t xml:space="preserve">Non-local trip </w:t>
            </w:r>
          </w:p>
        </w:tc>
        <w:tc>
          <w:tcPr>
            <w:tcW w:w="2337" w:type="dxa"/>
          </w:tcPr>
          <w:p w14:paraId="6BC032FA" w14:textId="303F4FA3" w:rsidR="00413433" w:rsidRPr="001A769D" w:rsidRDefault="00413433" w:rsidP="00413433">
            <w:r w:rsidRPr="001A769D">
              <w:t>$800</w:t>
            </w:r>
          </w:p>
        </w:tc>
        <w:tc>
          <w:tcPr>
            <w:tcW w:w="2338" w:type="dxa"/>
          </w:tcPr>
          <w:p w14:paraId="477094E2" w14:textId="77777777" w:rsidR="00413433" w:rsidRPr="001A769D" w:rsidRDefault="00413433" w:rsidP="00BA7AF3">
            <w:r w:rsidRPr="001A769D">
              <w:t>1 trip</w:t>
            </w:r>
          </w:p>
        </w:tc>
        <w:tc>
          <w:tcPr>
            <w:tcW w:w="2338" w:type="dxa"/>
          </w:tcPr>
          <w:p w14:paraId="450C89E1" w14:textId="10C9D5A6" w:rsidR="00413433" w:rsidRPr="001A769D" w:rsidRDefault="00413433" w:rsidP="00413433">
            <w:r w:rsidRPr="001A769D">
              <w:t xml:space="preserve">2 staff, transportation, </w:t>
            </w:r>
          </w:p>
        </w:tc>
      </w:tr>
      <w:tr w:rsidR="00413433" w:rsidRPr="001A769D" w14:paraId="6C078F82" w14:textId="77777777" w:rsidTr="00BA7AF3">
        <w:tc>
          <w:tcPr>
            <w:tcW w:w="2337" w:type="dxa"/>
          </w:tcPr>
          <w:p w14:paraId="111AB9C3" w14:textId="77777777" w:rsidR="00413433" w:rsidRPr="001A769D" w:rsidRDefault="00413433" w:rsidP="00BA7AF3">
            <w:r w:rsidRPr="001A769D">
              <w:t>Interviews conducted at headquarters</w:t>
            </w:r>
          </w:p>
        </w:tc>
        <w:tc>
          <w:tcPr>
            <w:tcW w:w="2337" w:type="dxa"/>
          </w:tcPr>
          <w:p w14:paraId="49553505" w14:textId="3AF6D6C3" w:rsidR="00413433" w:rsidRPr="001A769D" w:rsidRDefault="00413433" w:rsidP="00A201A5">
            <w:r w:rsidRPr="001A769D">
              <w:t>$</w:t>
            </w:r>
            <w:r w:rsidR="00A201A5" w:rsidRPr="001A769D">
              <w:t>2,665</w:t>
            </w:r>
          </w:p>
        </w:tc>
        <w:tc>
          <w:tcPr>
            <w:tcW w:w="2338" w:type="dxa"/>
          </w:tcPr>
          <w:p w14:paraId="64DFF015" w14:textId="49485B6C" w:rsidR="00413433" w:rsidRPr="001A769D" w:rsidRDefault="00413433" w:rsidP="00BA7AF3">
            <w:r w:rsidRPr="001A769D">
              <w:t>24 telephone interviews</w:t>
            </w:r>
          </w:p>
        </w:tc>
        <w:tc>
          <w:tcPr>
            <w:tcW w:w="2338" w:type="dxa"/>
          </w:tcPr>
          <w:p w14:paraId="7E0A4BB6" w14:textId="77777777" w:rsidR="00413433" w:rsidRPr="001A769D" w:rsidRDefault="00413433" w:rsidP="00BA7AF3"/>
        </w:tc>
      </w:tr>
    </w:tbl>
    <w:p w14:paraId="7E6872F4" w14:textId="6582A377" w:rsidR="002314A3" w:rsidRPr="001A769D" w:rsidRDefault="002314A3" w:rsidP="00413433"/>
    <w:p w14:paraId="07571C57" w14:textId="6721A58C" w:rsidR="00A201A5" w:rsidRPr="001A769D" w:rsidRDefault="000A3D95" w:rsidP="00A201A5">
      <w:r w:rsidRPr="001A769D">
        <w:t>O</w:t>
      </w:r>
      <w:r w:rsidR="0061689B" w:rsidRPr="001A769D">
        <w:t xml:space="preserve">ne non-local trip involving </w:t>
      </w:r>
      <w:r w:rsidR="00A201A5" w:rsidRPr="001A769D">
        <w:t>2</w:t>
      </w:r>
      <w:r w:rsidR="0061689B" w:rsidRPr="001A769D">
        <w:t xml:space="preserve"> staff, total transportation costs estimated at $</w:t>
      </w:r>
      <w:r w:rsidR="00A201A5" w:rsidRPr="001A769D">
        <w:t>800</w:t>
      </w:r>
      <w:r w:rsidR="0061689B" w:rsidRPr="001A769D">
        <w:t xml:space="preserve">. This non-local trip is based on </w:t>
      </w:r>
      <w:r w:rsidR="00A201A5" w:rsidRPr="001A769D">
        <w:t>1</w:t>
      </w:r>
      <w:r w:rsidR="0061689B" w:rsidRPr="001A769D">
        <w:t xml:space="preserve"> day travel period.</w:t>
      </w:r>
      <w:r w:rsidR="00A201A5" w:rsidRPr="001A769D">
        <w:t xml:space="preserve"> In addition, there will be 36 hours of staff time to conduct 24 telephone cognitive interviews (36 = 24 * 1.5 hours).  1.5 hours of cost is allocated to the government for each interview. 1 hour for the interview and 0.5 hours for the interviewers to de-brief each other and record their note in the project spreadsheet. The estimate cost to the government for the </w:t>
      </w:r>
      <w:r w:rsidR="00C66B3C" w:rsidRPr="001A769D">
        <w:t>36</w:t>
      </w:r>
      <w:r w:rsidR="00A201A5" w:rsidRPr="001A769D">
        <w:t xml:space="preserve"> hours is $5,147. (</w:t>
      </w:r>
      <w:r w:rsidR="00C66B3C" w:rsidRPr="001A769D">
        <w:t>36</w:t>
      </w:r>
      <w:r w:rsidR="00A201A5" w:rsidRPr="001A769D">
        <w:t xml:space="preserve"> * $74.02 = $2,665)</w:t>
      </w:r>
      <w:r w:rsidR="00C66B3C" w:rsidRPr="001A769D">
        <w:t>.  The total cost of $3,465 represents the cost of the field trip of $800 plus the cost for the telephone interviews of $2,665.</w:t>
      </w:r>
    </w:p>
    <w:p w14:paraId="4A786212" w14:textId="77777777" w:rsidR="00A201A5" w:rsidRPr="001A769D" w:rsidRDefault="00A201A5" w:rsidP="0061689B"/>
    <w:p w14:paraId="620100E3" w14:textId="77777777" w:rsidR="00ED6492" w:rsidRPr="001A769D" w:rsidRDefault="00ED6492">
      <w:pPr>
        <w:rPr>
          <w:b/>
          <w:bCs/>
          <w:u w:val="single"/>
        </w:rPr>
      </w:pPr>
    </w:p>
    <w:p w14:paraId="5B8C008B" w14:textId="77777777" w:rsidR="0069403B" w:rsidRPr="001A769D" w:rsidRDefault="00ED6492" w:rsidP="00F06866">
      <w:pPr>
        <w:rPr>
          <w:b/>
        </w:rPr>
      </w:pPr>
      <w:r w:rsidRPr="001A769D">
        <w:rPr>
          <w:b/>
          <w:bCs/>
          <w:u w:val="single"/>
        </w:rPr>
        <w:t xml:space="preserve">If you are conducting a focus group, survey, or plan to employ statistical methods, please </w:t>
      </w:r>
      <w:r w:rsidR="0069403B" w:rsidRPr="001A769D">
        <w:rPr>
          <w:b/>
          <w:bCs/>
          <w:u w:val="single"/>
        </w:rPr>
        <w:t>provide answers to the following questions:</w:t>
      </w:r>
    </w:p>
    <w:p w14:paraId="24FDCCE8" w14:textId="77777777" w:rsidR="0069403B" w:rsidRPr="001A769D" w:rsidRDefault="0069403B" w:rsidP="00F06866">
      <w:pPr>
        <w:rPr>
          <w:b/>
        </w:rPr>
      </w:pPr>
    </w:p>
    <w:p w14:paraId="37AAB626" w14:textId="77777777" w:rsidR="00F06866" w:rsidRPr="001A769D" w:rsidRDefault="00636621" w:rsidP="00F06866">
      <w:pPr>
        <w:rPr>
          <w:b/>
        </w:rPr>
      </w:pPr>
      <w:r w:rsidRPr="001A769D">
        <w:rPr>
          <w:b/>
        </w:rPr>
        <w:t>The</w:t>
      </w:r>
      <w:r w:rsidR="0069403B" w:rsidRPr="001A769D">
        <w:rPr>
          <w:b/>
        </w:rPr>
        <w:t xml:space="preserve"> select</w:t>
      </w:r>
      <w:r w:rsidRPr="001A769D">
        <w:rPr>
          <w:b/>
        </w:rPr>
        <w:t>ion of your targeted respondents</w:t>
      </w:r>
    </w:p>
    <w:p w14:paraId="2B1AAFCA" w14:textId="2AE046F2" w:rsidR="0069403B" w:rsidRPr="001A769D" w:rsidRDefault="0069403B" w:rsidP="0069403B">
      <w:pPr>
        <w:pStyle w:val="ListParagraph"/>
        <w:numPr>
          <w:ilvl w:val="0"/>
          <w:numId w:val="15"/>
        </w:numPr>
      </w:pPr>
      <w:r w:rsidRPr="001A769D">
        <w:t>Do you have a customer list or something similar that defines the universe of potential respondents</w:t>
      </w:r>
      <w:r w:rsidR="00636621" w:rsidRPr="001A769D">
        <w:t xml:space="preserve"> and do you have a sampling plan for selecting from this universe</w:t>
      </w:r>
      <w:r w:rsidRPr="001A769D">
        <w:t>?</w:t>
      </w:r>
      <w:r w:rsidRPr="001A769D">
        <w:tab/>
      </w:r>
      <w:r w:rsidRPr="001A769D">
        <w:tab/>
      </w:r>
      <w:r w:rsidRPr="001A769D">
        <w:tab/>
      </w:r>
      <w:r w:rsidRPr="001A769D">
        <w:tab/>
      </w:r>
      <w:r w:rsidRPr="001A769D">
        <w:tab/>
      </w:r>
      <w:r w:rsidRPr="001A769D">
        <w:tab/>
      </w:r>
      <w:r w:rsidRPr="001A769D">
        <w:tab/>
      </w:r>
      <w:r w:rsidRPr="001A769D">
        <w:tab/>
      </w:r>
      <w:r w:rsidR="00636621" w:rsidRPr="001A769D">
        <w:tab/>
      </w:r>
      <w:r w:rsidR="00636621" w:rsidRPr="001A769D">
        <w:tab/>
      </w:r>
      <w:r w:rsidR="00636621" w:rsidRPr="001A769D">
        <w:tab/>
      </w:r>
      <w:r w:rsidRPr="001A769D">
        <w:t>[</w:t>
      </w:r>
      <w:r w:rsidR="00526C09" w:rsidRPr="001A769D">
        <w:t>X</w:t>
      </w:r>
      <w:r w:rsidRPr="001A769D">
        <w:t>] Yes</w:t>
      </w:r>
      <w:r w:rsidRPr="001A769D">
        <w:tab/>
        <w:t>[</w:t>
      </w:r>
      <w:r w:rsidR="007E6415" w:rsidRPr="001A769D">
        <w:t xml:space="preserve"> </w:t>
      </w:r>
      <w:r w:rsidRPr="001A769D">
        <w:t>] No</w:t>
      </w:r>
    </w:p>
    <w:p w14:paraId="39D6A602" w14:textId="77777777" w:rsidR="00636621" w:rsidRPr="001A769D" w:rsidRDefault="00636621" w:rsidP="00636621">
      <w:pPr>
        <w:pStyle w:val="ListParagraph"/>
      </w:pPr>
    </w:p>
    <w:p w14:paraId="7AAB7B75" w14:textId="77777777" w:rsidR="00636621" w:rsidRPr="001A769D" w:rsidRDefault="00636621" w:rsidP="001B0AAA">
      <w:r w:rsidRPr="001A769D">
        <w:t>If the answer is yes, please provide a description of both below</w:t>
      </w:r>
      <w:r w:rsidR="00A403BB" w:rsidRPr="001A769D">
        <w:t xml:space="preserve"> (or attach the sampling plan)</w:t>
      </w:r>
      <w:r w:rsidRPr="001A769D">
        <w:t>?   If the answer is no, please provide a description of how you plan to identify your potential group of respondents</w:t>
      </w:r>
      <w:r w:rsidR="001B0AAA" w:rsidRPr="001A769D">
        <w:t xml:space="preserve"> and how you will select them</w:t>
      </w:r>
      <w:r w:rsidRPr="001A769D">
        <w:t>?</w:t>
      </w:r>
    </w:p>
    <w:p w14:paraId="1FAC2474" w14:textId="77777777" w:rsidR="00222ECB" w:rsidRPr="001A769D" w:rsidRDefault="00222ECB" w:rsidP="001B0AAA"/>
    <w:p w14:paraId="4C8C2421" w14:textId="74EAA2EF" w:rsidR="00C66B3C" w:rsidRPr="001A769D" w:rsidRDefault="00563234" w:rsidP="007275B5">
      <w:r w:rsidRPr="001A769D">
        <w:t xml:space="preserve">EIA will recruit respondents to participate in </w:t>
      </w:r>
      <w:r w:rsidR="008F2462" w:rsidRPr="001A769D">
        <w:t xml:space="preserve">this </w:t>
      </w:r>
      <w:r w:rsidRPr="001A769D">
        <w:t>cognitive research by contacting active companies</w:t>
      </w:r>
      <w:r w:rsidR="009703D7" w:rsidRPr="001A769D">
        <w:t>, by email,</w:t>
      </w:r>
      <w:r w:rsidRPr="001A769D">
        <w:t xml:space="preserve"> in the </w:t>
      </w:r>
      <w:r w:rsidR="001A769D">
        <w:t xml:space="preserve">most </w:t>
      </w:r>
      <w:r w:rsidRPr="001A769D">
        <w:t>current frame file for Form</w:t>
      </w:r>
      <w:r w:rsidR="00FC4767" w:rsidRPr="001A769D">
        <w:t xml:space="preserve"> EIA-</w:t>
      </w:r>
      <w:r w:rsidR="00A201A5" w:rsidRPr="001A769D">
        <w:t>804 (</w:t>
      </w:r>
      <w:r w:rsidR="00C66B3C" w:rsidRPr="001A769D">
        <w:t>100</w:t>
      </w:r>
      <w:r w:rsidR="00A201A5" w:rsidRPr="001A769D">
        <w:t xml:space="preserve"> </w:t>
      </w:r>
      <w:r w:rsidR="002D0E34" w:rsidRPr="001A769D">
        <w:t>respondents</w:t>
      </w:r>
      <w:r w:rsidR="00A201A5" w:rsidRPr="001A769D">
        <w:t>)</w:t>
      </w:r>
      <w:r w:rsidR="0061689B" w:rsidRPr="001A769D">
        <w:t xml:space="preserve">. </w:t>
      </w:r>
      <w:r w:rsidR="00F440A8" w:rsidRPr="001A769D">
        <w:t xml:space="preserve">Respondents are a sample of importers of record who import petroleum into the </w:t>
      </w:r>
      <w:r w:rsidR="001A769D">
        <w:t>U.S.</w:t>
      </w:r>
      <w:r w:rsidR="00F440A8" w:rsidRPr="001A769D">
        <w:t xml:space="preserve"> </w:t>
      </w:r>
      <w:r w:rsidR="00A201A5" w:rsidRPr="001A769D">
        <w:t xml:space="preserve">EIA </w:t>
      </w:r>
      <w:r w:rsidR="00C66B3C" w:rsidRPr="001A769D">
        <w:t>seeks to conduct one in-person interview with a respondent that reports for 15 companies.  The remaining interviews will be conduct by telephone.</w:t>
      </w:r>
    </w:p>
    <w:p w14:paraId="01CED4C7" w14:textId="77777777" w:rsidR="00C66B3C" w:rsidRPr="001A769D" w:rsidRDefault="00C66B3C" w:rsidP="007275B5"/>
    <w:p w14:paraId="12B92274" w14:textId="328374CD" w:rsidR="00C66B3C" w:rsidRPr="001A769D" w:rsidRDefault="00BA7AF3" w:rsidP="001A769D">
      <w:pPr>
        <w:pStyle w:val="Default"/>
        <w:spacing w:before="120"/>
        <w:rPr>
          <w:rFonts w:ascii="Times New Roman" w:hAnsi="Times New Roman" w:cs="Times New Roman"/>
          <w:snapToGrid w:val="0"/>
          <w:color w:val="auto"/>
        </w:rPr>
      </w:pPr>
      <w:r w:rsidRPr="001A769D">
        <w:rPr>
          <w:rFonts w:ascii="Times New Roman" w:hAnsi="Times New Roman" w:cs="Times New Roman"/>
          <w:snapToGrid w:val="0"/>
          <w:color w:val="auto"/>
        </w:rPr>
        <w:t xml:space="preserve">There are 360 respondents to Form EIA-814. </w:t>
      </w:r>
      <w:r w:rsidR="00C66B3C" w:rsidRPr="001A769D">
        <w:rPr>
          <w:rFonts w:ascii="Times New Roman" w:hAnsi="Times New Roman" w:cs="Times New Roman"/>
          <w:snapToGrid w:val="0"/>
          <w:color w:val="auto"/>
        </w:rPr>
        <w:t>Form EIA-814 must be completed by every importer of record (or the ultimate consignee in some situations involving imports from Canada) of crude oil, petroleum products, and biofuels.  Importers and ultimate consignees are identified on the following documents filed with U.S. Customs and Border Protection (CBP) and the U.S. Department of Commerce:</w:t>
      </w:r>
    </w:p>
    <w:p w14:paraId="636B65E0" w14:textId="77777777" w:rsidR="00C66B3C" w:rsidRPr="001A769D" w:rsidRDefault="00C66B3C" w:rsidP="00C66B3C">
      <w:pPr>
        <w:pStyle w:val="Default"/>
        <w:numPr>
          <w:ilvl w:val="0"/>
          <w:numId w:val="23"/>
        </w:numPr>
        <w:spacing w:before="60"/>
        <w:ind w:left="1080"/>
        <w:rPr>
          <w:rFonts w:ascii="Times New Roman" w:hAnsi="Times New Roman" w:cs="Times New Roman"/>
          <w:snapToGrid w:val="0"/>
          <w:color w:val="auto"/>
        </w:rPr>
      </w:pPr>
      <w:r w:rsidRPr="001A769D">
        <w:rPr>
          <w:rFonts w:ascii="Times New Roman" w:hAnsi="Times New Roman" w:cs="Times New Roman"/>
          <w:snapToGrid w:val="0"/>
          <w:color w:val="auto"/>
        </w:rPr>
        <w:t>CBP Form 7501, “Entry Summary”</w:t>
      </w:r>
    </w:p>
    <w:p w14:paraId="2A3022E2" w14:textId="77777777" w:rsidR="00C66B3C" w:rsidRPr="001A769D" w:rsidRDefault="00C66B3C" w:rsidP="00C66B3C">
      <w:pPr>
        <w:pStyle w:val="Default"/>
        <w:numPr>
          <w:ilvl w:val="0"/>
          <w:numId w:val="23"/>
        </w:numPr>
        <w:spacing w:before="60"/>
        <w:ind w:left="1080"/>
        <w:rPr>
          <w:rFonts w:ascii="Times New Roman" w:hAnsi="Times New Roman" w:cs="Times New Roman"/>
          <w:snapToGrid w:val="0"/>
          <w:color w:val="auto"/>
        </w:rPr>
      </w:pPr>
      <w:r w:rsidRPr="001A769D">
        <w:rPr>
          <w:rFonts w:ascii="Times New Roman" w:hAnsi="Times New Roman" w:cs="Times New Roman"/>
          <w:snapToGrid w:val="0"/>
          <w:color w:val="auto"/>
        </w:rPr>
        <w:t>CBP Form 214A, “Application for Foreign Trade Zone Admission and/or Status Designation”</w:t>
      </w:r>
    </w:p>
    <w:p w14:paraId="13B71025" w14:textId="77777777" w:rsidR="00C66B3C" w:rsidRPr="001A769D" w:rsidRDefault="00C66B3C" w:rsidP="00C66B3C">
      <w:pPr>
        <w:pStyle w:val="Default"/>
        <w:numPr>
          <w:ilvl w:val="0"/>
          <w:numId w:val="23"/>
        </w:numPr>
        <w:spacing w:before="60"/>
        <w:ind w:left="1080"/>
        <w:rPr>
          <w:rFonts w:ascii="Times New Roman" w:hAnsi="Times New Roman" w:cs="Times New Roman"/>
          <w:snapToGrid w:val="0"/>
          <w:color w:val="auto"/>
        </w:rPr>
      </w:pPr>
      <w:r w:rsidRPr="001A769D">
        <w:rPr>
          <w:rFonts w:ascii="Times New Roman" w:hAnsi="Times New Roman" w:cs="Times New Roman"/>
          <w:snapToGrid w:val="0"/>
          <w:color w:val="auto"/>
        </w:rPr>
        <w:t>Department of Commerce Form 7525-V, “Shippers Export Declaration”</w:t>
      </w:r>
    </w:p>
    <w:p w14:paraId="76C5862B" w14:textId="77777777" w:rsidR="00C66B3C" w:rsidRPr="001A769D" w:rsidRDefault="00C66B3C" w:rsidP="007275B5"/>
    <w:p w14:paraId="1C7FC555" w14:textId="430FFE1C" w:rsidR="00BA7AF3" w:rsidRDefault="0024481A" w:rsidP="00BA7AF3">
      <w:pPr>
        <w:spacing w:before="120"/>
      </w:pPr>
      <w:r w:rsidRPr="001A769D">
        <w:rPr>
          <w:b/>
        </w:rPr>
        <w:t>Form EIA-804 “Weekly Imports Report”:</w:t>
      </w:r>
      <w:r w:rsidRPr="001A769D">
        <w:t xml:space="preserve"> The universe of possible reporting units on Form EIA-804 is provided by Form EIA-814</w:t>
      </w:r>
      <w:r w:rsidR="00BA7AF3" w:rsidRPr="001A769D">
        <w:t>.</w:t>
      </w:r>
      <w:r w:rsidRPr="001A769D">
        <w:t xml:space="preserve">   </w:t>
      </w:r>
      <w:r w:rsidR="00BA7AF3" w:rsidRPr="001A769D">
        <w:t xml:space="preserve">The sampling procedure used is the cut-off method.  In the cut-off method, companies are ranked from largest to smallest on the basis of quantities of each product reported on Form EIA-814 for the most recently published survey month.  Companies are chosen for the sample beginning with those reporting the largest volumes on the most recently published monthly survey and adding companies until the total sample covers approximately 90 percent of the total volumes for each item and each geographic region for which monthly data has been last published.   The 100 respondents that file Form EIA-804 are the </w:t>
      </w:r>
      <w:r w:rsidR="00305AC7">
        <w:t>largest importers that report</w:t>
      </w:r>
      <w:r w:rsidR="00BA7AF3" w:rsidRPr="001A769D">
        <w:t xml:space="preserve"> information on Form EIA-814.</w:t>
      </w:r>
    </w:p>
    <w:p w14:paraId="4BE7D8A5" w14:textId="77777777" w:rsidR="001A769D" w:rsidRDefault="001A769D" w:rsidP="001A769D"/>
    <w:p w14:paraId="00BC4D3E" w14:textId="5306EE11" w:rsidR="001A769D" w:rsidRPr="001A769D" w:rsidRDefault="001A769D" w:rsidP="001A769D">
      <w:r w:rsidRPr="001A769D">
        <w:t xml:space="preserve">To ensure a sufficient coverage (90 %) of the total volume for each item collected and each geographic region for </w:t>
      </w:r>
      <w:r>
        <w:t>Form EIA-804</w:t>
      </w:r>
      <w:r w:rsidRPr="001A769D">
        <w:t>,</w:t>
      </w:r>
      <w:r w:rsidRPr="001A769D">
        <w:rPr>
          <w:u w:val="words"/>
        </w:rPr>
        <w:t xml:space="preserve"> </w:t>
      </w:r>
      <w:r w:rsidRPr="001A769D">
        <w:t xml:space="preserve">a sample control meeting is conducted each month.  This meeting focuses on changes in the current monthly </w:t>
      </w:r>
      <w:r>
        <w:t xml:space="preserve">EIA-814 </w:t>
      </w:r>
      <w:r w:rsidRPr="001A769D">
        <w:t xml:space="preserve">frame due to sales, acquisitions, mergers, new reporters, reactivations, and reporting units that have become inactive.  Companies are added or removed from the </w:t>
      </w:r>
      <w:r>
        <w:t xml:space="preserve">EIA-804 </w:t>
      </w:r>
      <w:r w:rsidRPr="001A769D">
        <w:t>weekly sample based on the changes.</w:t>
      </w:r>
    </w:p>
    <w:p w14:paraId="49A3F99D" w14:textId="09B1F3A5" w:rsidR="0024481A" w:rsidRPr="001A769D" w:rsidRDefault="0024481A" w:rsidP="007275B5"/>
    <w:p w14:paraId="732F09CE" w14:textId="77777777" w:rsidR="00A403BB" w:rsidRPr="001A769D" w:rsidRDefault="00A403BB" w:rsidP="00A403BB">
      <w:pPr>
        <w:rPr>
          <w:b/>
        </w:rPr>
      </w:pPr>
      <w:r w:rsidRPr="001A769D">
        <w:rPr>
          <w:b/>
        </w:rPr>
        <w:t>Administration of the Instrument</w:t>
      </w:r>
    </w:p>
    <w:p w14:paraId="6E98070A" w14:textId="77777777" w:rsidR="00A403BB" w:rsidRPr="001A769D" w:rsidRDefault="001B0AAA" w:rsidP="00A403BB">
      <w:pPr>
        <w:pStyle w:val="ListParagraph"/>
        <w:numPr>
          <w:ilvl w:val="0"/>
          <w:numId w:val="17"/>
        </w:numPr>
      </w:pPr>
      <w:r w:rsidRPr="001A769D">
        <w:t>H</w:t>
      </w:r>
      <w:r w:rsidR="00A403BB" w:rsidRPr="001A769D">
        <w:t>ow will you collect the information? (Check all that apply)</w:t>
      </w:r>
    </w:p>
    <w:p w14:paraId="5952F75A" w14:textId="03DF06EA" w:rsidR="001B0AAA" w:rsidRPr="001A769D" w:rsidRDefault="00A403BB" w:rsidP="001B0AAA">
      <w:pPr>
        <w:ind w:left="720"/>
      </w:pPr>
      <w:r w:rsidRPr="001A769D">
        <w:t>[] Web-based</w:t>
      </w:r>
      <w:r w:rsidR="001B0AAA" w:rsidRPr="001A769D">
        <w:t xml:space="preserve"> or other forms of Social Media </w:t>
      </w:r>
    </w:p>
    <w:p w14:paraId="5EE8271D" w14:textId="02DB1C82" w:rsidR="001B0AAA" w:rsidRPr="001A769D" w:rsidRDefault="00A403BB" w:rsidP="001B0AAA">
      <w:pPr>
        <w:ind w:left="720"/>
      </w:pPr>
      <w:r w:rsidRPr="001A769D">
        <w:t>[</w:t>
      </w:r>
      <w:r w:rsidR="00F47270" w:rsidRPr="001A769D">
        <w:t>X</w:t>
      </w:r>
      <w:r w:rsidRPr="001A769D">
        <w:t>] Telephone</w:t>
      </w:r>
      <w:r w:rsidRPr="001A769D">
        <w:tab/>
      </w:r>
    </w:p>
    <w:p w14:paraId="0B316133" w14:textId="790E79B1" w:rsidR="001B0AAA" w:rsidRPr="001A769D" w:rsidRDefault="00A403BB" w:rsidP="001B0AAA">
      <w:pPr>
        <w:ind w:left="720"/>
      </w:pPr>
      <w:r w:rsidRPr="001A769D">
        <w:t>[</w:t>
      </w:r>
      <w:r w:rsidR="00526C09" w:rsidRPr="001A769D">
        <w:t>X</w:t>
      </w:r>
      <w:r w:rsidRPr="001A769D">
        <w:t>] In-person</w:t>
      </w:r>
      <w:r w:rsidRPr="001A769D">
        <w:tab/>
      </w:r>
    </w:p>
    <w:p w14:paraId="006A96F5" w14:textId="77777777" w:rsidR="001B0AAA" w:rsidRPr="001A769D" w:rsidRDefault="00A403BB" w:rsidP="001B0AAA">
      <w:pPr>
        <w:ind w:left="720"/>
      </w:pPr>
      <w:r w:rsidRPr="001A769D">
        <w:t>[ ] Mail</w:t>
      </w:r>
      <w:r w:rsidR="001B0AAA" w:rsidRPr="001A769D">
        <w:t xml:space="preserve"> </w:t>
      </w:r>
    </w:p>
    <w:p w14:paraId="142DD5AD" w14:textId="77777777" w:rsidR="001B0AAA" w:rsidRPr="001A769D" w:rsidRDefault="00A403BB" w:rsidP="001B0AAA">
      <w:pPr>
        <w:ind w:left="720"/>
      </w:pPr>
      <w:r w:rsidRPr="001A769D">
        <w:t>[ ] Other, Explain</w:t>
      </w:r>
    </w:p>
    <w:p w14:paraId="3D6B08D1" w14:textId="3B5F7BF4" w:rsidR="00F24CFC" w:rsidRPr="001A769D" w:rsidRDefault="00F24CFC" w:rsidP="00F24CFC">
      <w:pPr>
        <w:pStyle w:val="ListParagraph"/>
        <w:numPr>
          <w:ilvl w:val="0"/>
          <w:numId w:val="17"/>
        </w:numPr>
      </w:pPr>
      <w:r w:rsidRPr="001A769D">
        <w:t>Will interviewers or facilitators be used?  [</w:t>
      </w:r>
      <w:r w:rsidR="00526C09" w:rsidRPr="001A769D">
        <w:t>X</w:t>
      </w:r>
      <w:r w:rsidRPr="001A769D">
        <w:t>] Yes [</w:t>
      </w:r>
      <w:r w:rsidR="007E6415" w:rsidRPr="001A769D">
        <w:t xml:space="preserve"> </w:t>
      </w:r>
      <w:r w:rsidRPr="001A769D">
        <w:t>] No</w:t>
      </w:r>
    </w:p>
    <w:p w14:paraId="4E3E1D64" w14:textId="77777777" w:rsidR="00F24CFC" w:rsidRPr="001A769D" w:rsidRDefault="00F24CFC" w:rsidP="00F24CFC">
      <w:pPr>
        <w:pStyle w:val="ListParagraph"/>
        <w:ind w:left="360"/>
      </w:pPr>
      <w:r w:rsidRPr="001A769D">
        <w:t xml:space="preserve"> </w:t>
      </w:r>
    </w:p>
    <w:p w14:paraId="3FFA7738" w14:textId="77777777" w:rsidR="0042468E" w:rsidRPr="001A769D" w:rsidRDefault="00F24CFC" w:rsidP="0024521E">
      <w:pPr>
        <w:rPr>
          <w:b/>
        </w:rPr>
      </w:pPr>
      <w:r w:rsidRPr="001A769D">
        <w:rPr>
          <w:b/>
        </w:rPr>
        <w:t>Please make sure that all instruments, instructions, and scripts are submitted with the request.</w:t>
      </w:r>
    </w:p>
    <w:p w14:paraId="06BC7CC8" w14:textId="77777777" w:rsidR="002B5AB0" w:rsidRPr="001A769D" w:rsidRDefault="0042468E" w:rsidP="002B5AB0">
      <w:pPr>
        <w:jc w:val="center"/>
      </w:pPr>
      <w:r w:rsidRPr="001A769D">
        <w:rPr>
          <w:b/>
        </w:rPr>
        <w:br w:type="page"/>
      </w:r>
      <w:r w:rsidR="00F24CFC" w:rsidRPr="001A769D">
        <w:t xml:space="preserve">Instructions for completing Request for Approval under the </w:t>
      </w:r>
    </w:p>
    <w:p w14:paraId="080BCB8B" w14:textId="77777777" w:rsidR="0042468E" w:rsidRPr="001A769D" w:rsidRDefault="00AA2E39" w:rsidP="002B5AB0">
      <w:pPr>
        <w:jc w:val="center"/>
      </w:pPr>
      <w:r w:rsidRPr="001A769D">
        <w:t>“Generic Clearance for Questionnaire Testing and Research</w:t>
      </w:r>
      <w:r w:rsidR="0042468E" w:rsidRPr="001A769D">
        <w:t>”</w:t>
      </w:r>
    </w:p>
    <w:p w14:paraId="478C4087" w14:textId="77777777" w:rsidR="00F24CFC" w:rsidRPr="001A769D" w:rsidRDefault="00AA2E39" w:rsidP="00F24CFC">
      <w:pPr>
        <w:pStyle w:val="Heading2"/>
        <w:tabs>
          <w:tab w:val="left" w:pos="900"/>
        </w:tabs>
        <w:ind w:right="-180"/>
      </w:pPr>
      <w:r w:rsidRPr="001A769D">
        <w:t>(OMB Control Number: 1905-0186)</w:t>
      </w:r>
    </w:p>
    <w:p w14:paraId="6A945B40" w14:textId="77777777" w:rsidR="00F24CFC" w:rsidRPr="001A769D" w:rsidRDefault="00EA615F" w:rsidP="00F24CFC">
      <w:pPr>
        <w:rPr>
          <w:b/>
        </w:rPr>
      </w:pPr>
      <w:r w:rsidRPr="001A769D">
        <w:rPr>
          <w:b/>
          <w:noProof/>
        </w:rPr>
        <mc:AlternateContent>
          <mc:Choice Requires="wps">
            <w:drawing>
              <wp:anchor distT="0" distB="0" distL="114300" distR="114300" simplePos="0" relativeHeight="251658241" behindDoc="0" locked="0" layoutInCell="0" allowOverlap="1" wp14:anchorId="680FAEC7" wp14:editId="3CB0FB15">
                <wp:simplePos x="0" y="0"/>
                <wp:positionH relativeFrom="column">
                  <wp:posOffset>0</wp:posOffset>
                </wp:positionH>
                <wp:positionV relativeFrom="paragraph">
                  <wp:posOffset>0</wp:posOffset>
                </wp:positionV>
                <wp:extent cx="6656705" cy="0"/>
                <wp:effectExtent l="9525" t="9525" r="1079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AFFDAC" id="Line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2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vKl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" o:allowincell="f" strokeweight="1.5pt"/>
            </w:pict>
          </mc:Fallback>
        </mc:AlternateContent>
      </w:r>
    </w:p>
    <w:p w14:paraId="587D88C8" w14:textId="77777777" w:rsidR="00F24CFC" w:rsidRPr="001A769D" w:rsidRDefault="00F24CFC" w:rsidP="00F24CFC">
      <w:pPr>
        <w:rPr>
          <w:b/>
        </w:rPr>
      </w:pPr>
      <w:r w:rsidRPr="001A769D">
        <w:rPr>
          <w:b/>
        </w:rPr>
        <w:t>TITLE OF INFORMATION COLLECTION:</w:t>
      </w:r>
      <w:r w:rsidRPr="001A769D">
        <w:t xml:space="preserve">  Provide the name of the collection that is the subject of the request</w:t>
      </w:r>
      <w:r w:rsidR="00CB1078" w:rsidRPr="001A769D">
        <w:t>. (e.g.  Comment card for soliciting feedback on xxxx)</w:t>
      </w:r>
    </w:p>
    <w:p w14:paraId="62F53506" w14:textId="77777777" w:rsidR="00F24CFC" w:rsidRPr="001A769D" w:rsidRDefault="00F24CFC" w:rsidP="00F24CFC"/>
    <w:p w14:paraId="7400153F" w14:textId="77777777" w:rsidR="00F24CFC" w:rsidRPr="001A769D" w:rsidRDefault="00F24CFC" w:rsidP="00F24CFC">
      <w:pPr>
        <w:rPr>
          <w:b/>
        </w:rPr>
      </w:pPr>
      <w:r w:rsidRPr="001A769D">
        <w:rPr>
          <w:b/>
        </w:rPr>
        <w:t xml:space="preserve">PURPOSE:  </w:t>
      </w:r>
      <w:r w:rsidRPr="001A769D">
        <w:t>Provide a brief description of the purpose of this collection and how it will be used.  If this is part of a larger study or effort, please include this in your explanation.</w:t>
      </w:r>
    </w:p>
    <w:p w14:paraId="423C0B92" w14:textId="77777777" w:rsidR="00F24CFC" w:rsidRPr="001A769D" w:rsidRDefault="00F24CFC" w:rsidP="00F24CFC">
      <w:pPr>
        <w:pStyle w:val="Header"/>
        <w:tabs>
          <w:tab w:val="clear" w:pos="4320"/>
          <w:tab w:val="clear" w:pos="8640"/>
        </w:tabs>
        <w:rPr>
          <w:b/>
        </w:rPr>
      </w:pPr>
    </w:p>
    <w:p w14:paraId="1494B948" w14:textId="77777777" w:rsidR="00F24CFC" w:rsidRPr="001A769D" w:rsidRDefault="00F24CFC" w:rsidP="00F24CFC">
      <w:pPr>
        <w:pStyle w:val="Header"/>
        <w:tabs>
          <w:tab w:val="clear" w:pos="4320"/>
          <w:tab w:val="clear" w:pos="8640"/>
        </w:tabs>
        <w:rPr>
          <w:snapToGrid/>
        </w:rPr>
      </w:pPr>
      <w:r w:rsidRPr="001A769D">
        <w:rPr>
          <w:b/>
        </w:rPr>
        <w:t>DESCRIPTION OF RESPONDENTS</w:t>
      </w:r>
      <w:r w:rsidRPr="001A769D">
        <w:t>: Provide a brief description of the targeted group or groups for this collection of information.  These groups must have experience with the program.</w:t>
      </w:r>
    </w:p>
    <w:p w14:paraId="2894BF72" w14:textId="77777777" w:rsidR="00F24CFC" w:rsidRPr="001A769D" w:rsidRDefault="00F24CFC" w:rsidP="00F24CFC">
      <w:pPr>
        <w:rPr>
          <w:b/>
        </w:rPr>
      </w:pPr>
    </w:p>
    <w:p w14:paraId="6D814C68" w14:textId="77777777" w:rsidR="00F24CFC" w:rsidRPr="001A769D" w:rsidRDefault="00F24CFC" w:rsidP="00F24CFC">
      <w:pPr>
        <w:rPr>
          <w:b/>
        </w:rPr>
      </w:pPr>
      <w:r w:rsidRPr="001A769D">
        <w:rPr>
          <w:b/>
        </w:rPr>
        <w:t>TYPE OF COLLECTION:</w:t>
      </w:r>
      <w:r w:rsidRPr="001A769D">
        <w:t xml:space="preserve"> Check one box.  If you are requesting approval of other instruments under the generic</w:t>
      </w:r>
      <w:r w:rsidR="008F50D4" w:rsidRPr="001A769D">
        <w:t>, you must complete a form for each instrument.</w:t>
      </w:r>
    </w:p>
    <w:p w14:paraId="145D2360" w14:textId="77777777" w:rsidR="00F24CFC" w:rsidRPr="001A769D" w:rsidRDefault="00F24CFC" w:rsidP="00F24CFC">
      <w:pPr>
        <w:pStyle w:val="BodyTextIndent"/>
        <w:tabs>
          <w:tab w:val="left" w:pos="360"/>
        </w:tabs>
        <w:ind w:left="0"/>
        <w:rPr>
          <w:bCs/>
          <w:sz w:val="24"/>
          <w:szCs w:val="24"/>
        </w:rPr>
      </w:pPr>
    </w:p>
    <w:p w14:paraId="5422DB70" w14:textId="77777777" w:rsidR="00F24CFC" w:rsidRPr="001A769D" w:rsidRDefault="00F24CFC" w:rsidP="00F24CFC">
      <w:r w:rsidRPr="001A769D">
        <w:rPr>
          <w:b/>
        </w:rPr>
        <w:t>CERTIFICATION:</w:t>
      </w:r>
      <w:r w:rsidR="008F50D4" w:rsidRPr="001A769D">
        <w:rPr>
          <w:b/>
        </w:rPr>
        <w:t xml:space="preserve">  </w:t>
      </w:r>
      <w:r w:rsidR="008F50D4" w:rsidRPr="001A769D">
        <w:t>Please read the certification carefully.  If you incorrectly certify, the collection will be returned as improperly submitted or it will be disapproved.</w:t>
      </w:r>
    </w:p>
    <w:p w14:paraId="58492F0D" w14:textId="77777777" w:rsidR="00F24CFC" w:rsidRPr="001A769D" w:rsidRDefault="00F24CFC" w:rsidP="00F24CFC"/>
    <w:p w14:paraId="0A9EFDFC" w14:textId="77777777" w:rsidR="00F24CFC" w:rsidRPr="001A769D" w:rsidRDefault="00F24CFC" w:rsidP="00F24CFC">
      <w:r w:rsidRPr="001A769D">
        <w:rPr>
          <w:b/>
        </w:rPr>
        <w:t>Personally Identifiable Information:</w:t>
      </w:r>
      <w:r w:rsidR="008F50D4" w:rsidRPr="001A769D">
        <w:rPr>
          <w:b/>
        </w:rPr>
        <w:t xml:space="preserve">  </w:t>
      </w:r>
      <w:r w:rsidR="008F50D4" w:rsidRPr="001A769D">
        <w:t xml:space="preserve">Provide answers to the questions.  </w:t>
      </w:r>
      <w:r w:rsidR="00CF6542" w:rsidRPr="001A769D">
        <w:t>Note:  Agencies should only collect PII to the extent necessary, and they should only retain PII for the period of time that is necessary to achieve a specific objective.</w:t>
      </w:r>
    </w:p>
    <w:p w14:paraId="1082747B" w14:textId="77777777" w:rsidR="008F50D4" w:rsidRPr="001A769D" w:rsidRDefault="008F50D4" w:rsidP="00F24CFC"/>
    <w:p w14:paraId="77BB548B" w14:textId="77777777" w:rsidR="00F24CFC" w:rsidRPr="001A769D" w:rsidRDefault="00CB1078" w:rsidP="008F50D4">
      <w:pPr>
        <w:pStyle w:val="ListParagraph"/>
        <w:ind w:left="0"/>
        <w:rPr>
          <w:b/>
        </w:rPr>
      </w:pPr>
      <w:r w:rsidRPr="001A769D">
        <w:rPr>
          <w:b/>
        </w:rPr>
        <w:t>Gifts or Payments</w:t>
      </w:r>
      <w:r w:rsidR="00F24CFC" w:rsidRPr="001A769D">
        <w:rPr>
          <w:b/>
        </w:rPr>
        <w:t>:</w:t>
      </w:r>
      <w:r w:rsidR="008F50D4" w:rsidRPr="001A769D">
        <w:rPr>
          <w:b/>
        </w:rPr>
        <w:t xml:space="preserve">  </w:t>
      </w:r>
      <w:r w:rsidR="008F50D4" w:rsidRPr="001A769D">
        <w:t xml:space="preserve">If you answer yes to the question, please </w:t>
      </w:r>
      <w:r w:rsidR="00F24CFC" w:rsidRPr="001A769D">
        <w:t>describe</w:t>
      </w:r>
      <w:r w:rsidR="008F50D4" w:rsidRPr="001A769D">
        <w:t xml:space="preserve"> the incentive</w:t>
      </w:r>
      <w:r w:rsidR="00F24CFC" w:rsidRPr="001A769D">
        <w:t xml:space="preserve"> and provide a justification for the amount.</w:t>
      </w:r>
    </w:p>
    <w:p w14:paraId="68A74BBC" w14:textId="77777777" w:rsidR="00F24CFC" w:rsidRPr="001A769D" w:rsidRDefault="00F24CFC" w:rsidP="00F24CFC">
      <w:pPr>
        <w:rPr>
          <w:b/>
        </w:rPr>
      </w:pPr>
    </w:p>
    <w:p w14:paraId="75115338" w14:textId="77777777" w:rsidR="008F50D4" w:rsidRPr="001A769D" w:rsidRDefault="00F24CFC" w:rsidP="00F24CFC">
      <w:pPr>
        <w:rPr>
          <w:b/>
        </w:rPr>
      </w:pPr>
      <w:r w:rsidRPr="001A769D">
        <w:rPr>
          <w:b/>
        </w:rPr>
        <w:t>BURDEN HOURS</w:t>
      </w:r>
      <w:r w:rsidR="008F50D4" w:rsidRPr="001A769D">
        <w:rPr>
          <w:b/>
        </w:rPr>
        <w:t>:</w:t>
      </w:r>
    </w:p>
    <w:p w14:paraId="34B28913" w14:textId="77777777" w:rsidR="008F50D4" w:rsidRPr="001A769D" w:rsidRDefault="008F50D4" w:rsidP="00F24CFC">
      <w:r w:rsidRPr="001A769D">
        <w:rPr>
          <w:b/>
        </w:rPr>
        <w:t xml:space="preserve">Category of Respondents:  </w:t>
      </w:r>
      <w:r w:rsidRPr="001A769D">
        <w:t>Identify who you expect the respondents to be in terms of the following categories: (1) Individuals or Households;</w:t>
      </w:r>
      <w:r w:rsidR="00E75ACD" w:rsidRPr="001A769D">
        <w:t xml:space="preserve"> </w:t>
      </w:r>
      <w:r w:rsidRPr="001A769D">
        <w:t>(2) Private Sector; (3) State, local, or tribal governments; or (4) Federal Government.  Only one type of respondent can be selected</w:t>
      </w:r>
      <w:r w:rsidR="00CF6542" w:rsidRPr="001A769D">
        <w:t xml:space="preserve"> per row</w:t>
      </w:r>
      <w:r w:rsidRPr="001A769D">
        <w:t xml:space="preserve">. </w:t>
      </w:r>
    </w:p>
    <w:p w14:paraId="40416FF3" w14:textId="77777777" w:rsidR="008F50D4" w:rsidRPr="001A769D" w:rsidRDefault="008F50D4" w:rsidP="00F24CFC">
      <w:r w:rsidRPr="001A769D">
        <w:rPr>
          <w:b/>
        </w:rPr>
        <w:t>No. of Respondents:</w:t>
      </w:r>
      <w:r w:rsidRPr="001A769D">
        <w:t xml:space="preserve">  Provide an estimate of the Number of respondents.</w:t>
      </w:r>
    </w:p>
    <w:p w14:paraId="29709326" w14:textId="77777777" w:rsidR="008F50D4" w:rsidRPr="001A769D" w:rsidRDefault="008F50D4" w:rsidP="00F24CFC">
      <w:r w:rsidRPr="001A769D">
        <w:rPr>
          <w:b/>
        </w:rPr>
        <w:t xml:space="preserve">Participation Time:  </w:t>
      </w:r>
      <w:r w:rsidRPr="001A769D">
        <w:t>Provide an estimate of the amount of time required for a respondent to participate (e.g. fill out a survey or participate in a focus group)</w:t>
      </w:r>
    </w:p>
    <w:p w14:paraId="5EC9D26C" w14:textId="77777777" w:rsidR="00F24CFC" w:rsidRPr="001A769D" w:rsidRDefault="008F50D4" w:rsidP="00F24CFC">
      <w:r w:rsidRPr="001A769D">
        <w:rPr>
          <w:b/>
        </w:rPr>
        <w:t>Burden:</w:t>
      </w:r>
      <w:r w:rsidRPr="001A769D">
        <w:t xml:space="preserve">  Provide the </w:t>
      </w:r>
      <w:r w:rsidR="00F24CFC" w:rsidRPr="001A769D">
        <w:t>Annual burden hours:  Multiply the Number of responses and the participation time and</w:t>
      </w:r>
      <w:r w:rsidRPr="001A769D">
        <w:t xml:space="preserve"> </w:t>
      </w:r>
      <w:r w:rsidR="003F1C5B" w:rsidRPr="001A769D">
        <w:t>divide by 60.</w:t>
      </w:r>
    </w:p>
    <w:p w14:paraId="7F9A6D38" w14:textId="77777777" w:rsidR="00F24CFC" w:rsidRPr="001A769D" w:rsidRDefault="00F24CFC" w:rsidP="00F24CFC">
      <w:pPr>
        <w:keepNext/>
        <w:keepLines/>
        <w:rPr>
          <w:b/>
        </w:rPr>
      </w:pPr>
    </w:p>
    <w:p w14:paraId="625D0470" w14:textId="77777777" w:rsidR="00F24CFC" w:rsidRPr="001A769D" w:rsidRDefault="00F24CFC" w:rsidP="00F24CFC">
      <w:pPr>
        <w:rPr>
          <w:b/>
        </w:rPr>
      </w:pPr>
      <w:r w:rsidRPr="001A769D">
        <w:rPr>
          <w:b/>
        </w:rPr>
        <w:t>FEDERAL COST:</w:t>
      </w:r>
      <w:r w:rsidR="003F1C5B" w:rsidRPr="001A769D">
        <w:rPr>
          <w:b/>
        </w:rPr>
        <w:t xml:space="preserve"> </w:t>
      </w:r>
      <w:r w:rsidR="003F1C5B" w:rsidRPr="001A769D">
        <w:t xml:space="preserve">Provide an </w:t>
      </w:r>
      <w:r w:rsidRPr="001A769D">
        <w:t>estimate</w:t>
      </w:r>
      <w:r w:rsidR="003F1C5B" w:rsidRPr="001A769D">
        <w:t xml:space="preserve"> of the</w:t>
      </w:r>
      <w:r w:rsidRPr="001A769D">
        <w:t xml:space="preserve"> annual cost to the Federal government</w:t>
      </w:r>
      <w:r w:rsidR="003F1C5B" w:rsidRPr="001A769D">
        <w:t>.</w:t>
      </w:r>
    </w:p>
    <w:p w14:paraId="258029B6" w14:textId="77777777" w:rsidR="00F24CFC" w:rsidRPr="001A769D" w:rsidRDefault="00F24CFC" w:rsidP="00F24CFC">
      <w:pPr>
        <w:rPr>
          <w:b/>
          <w:bCs/>
          <w:u w:val="single"/>
        </w:rPr>
      </w:pPr>
    </w:p>
    <w:p w14:paraId="40CCE99C" w14:textId="77777777" w:rsidR="00F24CFC" w:rsidRPr="001A769D" w:rsidRDefault="00F24CFC" w:rsidP="00F24CFC">
      <w:pPr>
        <w:rPr>
          <w:b/>
        </w:rPr>
      </w:pPr>
      <w:r w:rsidRPr="001A769D">
        <w:rPr>
          <w:b/>
          <w:bCs/>
          <w:u w:val="single"/>
        </w:rPr>
        <w:t>If you are conducting a focus group, survey, or plan to employ statistical methods, please provide answers to the following questions:</w:t>
      </w:r>
    </w:p>
    <w:p w14:paraId="102ACBE2" w14:textId="77777777" w:rsidR="00F24CFC" w:rsidRPr="001A769D" w:rsidRDefault="00F24CFC" w:rsidP="00F24CFC">
      <w:pPr>
        <w:rPr>
          <w:b/>
        </w:rPr>
      </w:pPr>
    </w:p>
    <w:p w14:paraId="54DC5825" w14:textId="77777777" w:rsidR="00F24CFC" w:rsidRPr="001A769D" w:rsidRDefault="00F24CFC" w:rsidP="00F24CFC">
      <w:r w:rsidRPr="001A769D">
        <w:rPr>
          <w:b/>
        </w:rPr>
        <w:t>The selection of your targeted respondents</w:t>
      </w:r>
      <w:r w:rsidR="003F1C5B" w:rsidRPr="001A769D">
        <w:rPr>
          <w:b/>
        </w:rPr>
        <w:t>.</w:t>
      </w:r>
      <w:r w:rsidRPr="001A769D">
        <w:t xml:space="preserve"> </w:t>
      </w:r>
      <w:r w:rsidR="003F1C5B" w:rsidRPr="001A769D">
        <w:t xml:space="preserve"> P</w:t>
      </w:r>
      <w:r w:rsidRPr="001A769D">
        <w:t>lease provide a description of how you plan to identify your potential group of responden</w:t>
      </w:r>
      <w:r w:rsidR="003F1C5B" w:rsidRPr="001A769D">
        <w:t>ts and how you will select them.  If the answer is yes, to the first question, you may provide the sampling plan in an attachment.</w:t>
      </w:r>
    </w:p>
    <w:p w14:paraId="242E6261" w14:textId="77777777" w:rsidR="00F24CFC" w:rsidRPr="001A769D" w:rsidRDefault="00F24CFC" w:rsidP="00F24CFC">
      <w:pPr>
        <w:rPr>
          <w:b/>
        </w:rPr>
      </w:pPr>
    </w:p>
    <w:p w14:paraId="2280DC09" w14:textId="77777777" w:rsidR="00F24CFC" w:rsidRPr="001A769D" w:rsidRDefault="00F24CFC" w:rsidP="00F24CFC">
      <w:r w:rsidRPr="001A769D">
        <w:rPr>
          <w:b/>
        </w:rPr>
        <w:t>Administration of the Instrument</w:t>
      </w:r>
      <w:r w:rsidR="003F1C5B" w:rsidRPr="001A769D">
        <w:rPr>
          <w:b/>
        </w:rPr>
        <w:t xml:space="preserve">:  </w:t>
      </w:r>
      <w:r w:rsidR="003F1C5B" w:rsidRPr="001A769D">
        <w:t>Identify how the information will be collected.  More than one box may be checked.  Indicate whether there will be interviewers (e.g. for surveys) or facilitators (e.g., for focus groups) used.</w:t>
      </w:r>
    </w:p>
    <w:p w14:paraId="448612F8" w14:textId="77777777" w:rsidR="00F24CFC" w:rsidRPr="001A769D" w:rsidRDefault="00F24CFC" w:rsidP="00F24CFC">
      <w:pPr>
        <w:pStyle w:val="ListParagraph"/>
        <w:ind w:left="360"/>
      </w:pPr>
    </w:p>
    <w:p w14:paraId="66929BCB" w14:textId="77777777" w:rsidR="00F24CFC" w:rsidRPr="001A769D" w:rsidRDefault="00CF6542" w:rsidP="00F24CFC">
      <w:pPr>
        <w:rPr>
          <w:b/>
        </w:rPr>
      </w:pPr>
      <w:r w:rsidRPr="001A769D">
        <w:rPr>
          <w:b/>
        </w:rPr>
        <w:t xml:space="preserve">Submit </w:t>
      </w:r>
      <w:r w:rsidR="00F24CFC" w:rsidRPr="001A769D">
        <w:rPr>
          <w:b/>
        </w:rPr>
        <w:t>all instruments, instructions, and scripts are submitted with the request.</w:t>
      </w:r>
    </w:p>
    <w:sectPr w:rsidR="00F24CFC" w:rsidRPr="001A769D"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A3F5B" w14:textId="77777777" w:rsidR="00BA7AF3" w:rsidRDefault="00BA7AF3">
      <w:r>
        <w:separator/>
      </w:r>
    </w:p>
  </w:endnote>
  <w:endnote w:type="continuationSeparator" w:id="0">
    <w:p w14:paraId="508B4ED0" w14:textId="77777777" w:rsidR="00BA7AF3" w:rsidRDefault="00BA7AF3">
      <w:r>
        <w:continuationSeparator/>
      </w:r>
    </w:p>
  </w:endnote>
  <w:endnote w:type="continuationNotice" w:id="1">
    <w:p w14:paraId="4B9D46C7" w14:textId="77777777" w:rsidR="00BA7AF3" w:rsidRDefault="00BA7A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16E44" w14:textId="77777777" w:rsidR="00BA7AF3" w:rsidRDefault="00BA7AF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E22F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BA771" w14:textId="77777777" w:rsidR="00BA7AF3" w:rsidRDefault="00BA7AF3">
      <w:r>
        <w:separator/>
      </w:r>
    </w:p>
  </w:footnote>
  <w:footnote w:type="continuationSeparator" w:id="0">
    <w:p w14:paraId="68C3C9D2" w14:textId="77777777" w:rsidR="00BA7AF3" w:rsidRDefault="00BA7AF3">
      <w:r>
        <w:continuationSeparator/>
      </w:r>
    </w:p>
  </w:footnote>
  <w:footnote w:type="continuationNotice" w:id="1">
    <w:p w14:paraId="52E8597C" w14:textId="77777777" w:rsidR="00BA7AF3" w:rsidRDefault="00BA7AF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F17"/>
    <w:multiLevelType w:val="hybridMultilevel"/>
    <w:tmpl w:val="D9AE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4EC66A5"/>
    <w:multiLevelType w:val="hybridMultilevel"/>
    <w:tmpl w:val="2556D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C66E2338"/>
    <w:lvl w:ilvl="0" w:tplc="0409000F">
      <w:start w:val="1"/>
      <w:numFmt w:val="decimal"/>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2"/>
  </w:num>
  <w:num w:numId="7">
    <w:abstractNumId w:val="10"/>
  </w:num>
  <w:num w:numId="8">
    <w:abstractNumId w:val="18"/>
  </w:num>
  <w:num w:numId="9">
    <w:abstractNumId w:val="11"/>
  </w:num>
  <w:num w:numId="10">
    <w:abstractNumId w:val="3"/>
  </w:num>
  <w:num w:numId="11">
    <w:abstractNumId w:val="7"/>
  </w:num>
  <w:num w:numId="12">
    <w:abstractNumId w:val="8"/>
  </w:num>
  <w:num w:numId="13">
    <w:abstractNumId w:val="1"/>
  </w:num>
  <w:num w:numId="14">
    <w:abstractNumId w:val="19"/>
  </w:num>
  <w:num w:numId="15">
    <w:abstractNumId w:val="17"/>
  </w:num>
  <w:num w:numId="16">
    <w:abstractNumId w:val="14"/>
  </w:num>
  <w:num w:numId="17">
    <w:abstractNumId w:val="5"/>
  </w:num>
  <w:num w:numId="18">
    <w:abstractNumId w:val="6"/>
  </w:num>
  <w:num w:numId="19">
    <w:abstractNumId w:val="9"/>
  </w:num>
  <w:num w:numId="20">
    <w:abstractNumId w:val="16"/>
  </w:num>
  <w:num w:numId="21">
    <w:abstractNumId w:val="15"/>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04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11CFB"/>
    <w:rsid w:val="00023A57"/>
    <w:rsid w:val="000444F2"/>
    <w:rsid w:val="00046144"/>
    <w:rsid w:val="00047A64"/>
    <w:rsid w:val="000544B4"/>
    <w:rsid w:val="000552FD"/>
    <w:rsid w:val="00067329"/>
    <w:rsid w:val="000719C1"/>
    <w:rsid w:val="00072268"/>
    <w:rsid w:val="00092275"/>
    <w:rsid w:val="000931A4"/>
    <w:rsid w:val="00093CB8"/>
    <w:rsid w:val="000A3D95"/>
    <w:rsid w:val="000B2838"/>
    <w:rsid w:val="000B38E5"/>
    <w:rsid w:val="000D44CA"/>
    <w:rsid w:val="000E200B"/>
    <w:rsid w:val="000F68BE"/>
    <w:rsid w:val="00121195"/>
    <w:rsid w:val="00134FBA"/>
    <w:rsid w:val="00143553"/>
    <w:rsid w:val="00147B11"/>
    <w:rsid w:val="001624A9"/>
    <w:rsid w:val="00163DE6"/>
    <w:rsid w:val="00170C4F"/>
    <w:rsid w:val="00181AD5"/>
    <w:rsid w:val="00183B37"/>
    <w:rsid w:val="00183D3D"/>
    <w:rsid w:val="00187B53"/>
    <w:rsid w:val="00190685"/>
    <w:rsid w:val="001927A4"/>
    <w:rsid w:val="00194AC6"/>
    <w:rsid w:val="001A23B0"/>
    <w:rsid w:val="001A25CC"/>
    <w:rsid w:val="001A769D"/>
    <w:rsid w:val="001B0AAA"/>
    <w:rsid w:val="001B2028"/>
    <w:rsid w:val="001B31EB"/>
    <w:rsid w:val="001B48DA"/>
    <w:rsid w:val="001B4B27"/>
    <w:rsid w:val="001C0592"/>
    <w:rsid w:val="001C39F7"/>
    <w:rsid w:val="001C62D3"/>
    <w:rsid w:val="001E0609"/>
    <w:rsid w:val="001E1871"/>
    <w:rsid w:val="0020188E"/>
    <w:rsid w:val="00217A1B"/>
    <w:rsid w:val="00221D7F"/>
    <w:rsid w:val="002220B7"/>
    <w:rsid w:val="00222ECB"/>
    <w:rsid w:val="0022595F"/>
    <w:rsid w:val="002314A3"/>
    <w:rsid w:val="00233180"/>
    <w:rsid w:val="00237B48"/>
    <w:rsid w:val="0024481A"/>
    <w:rsid w:val="0024521E"/>
    <w:rsid w:val="002453BD"/>
    <w:rsid w:val="0026007B"/>
    <w:rsid w:val="00263C3D"/>
    <w:rsid w:val="00274D0B"/>
    <w:rsid w:val="00284E72"/>
    <w:rsid w:val="002B052D"/>
    <w:rsid w:val="002B169E"/>
    <w:rsid w:val="002B34CD"/>
    <w:rsid w:val="002B3C95"/>
    <w:rsid w:val="002B5AB0"/>
    <w:rsid w:val="002D0B92"/>
    <w:rsid w:val="002D0E34"/>
    <w:rsid w:val="002D4305"/>
    <w:rsid w:val="002E1D51"/>
    <w:rsid w:val="00305AC7"/>
    <w:rsid w:val="0034535E"/>
    <w:rsid w:val="00350526"/>
    <w:rsid w:val="00384027"/>
    <w:rsid w:val="003901BC"/>
    <w:rsid w:val="003967EF"/>
    <w:rsid w:val="003B0742"/>
    <w:rsid w:val="003C61F7"/>
    <w:rsid w:val="003C6BC0"/>
    <w:rsid w:val="003D5BBE"/>
    <w:rsid w:val="003E3C61"/>
    <w:rsid w:val="003F1C5B"/>
    <w:rsid w:val="00413433"/>
    <w:rsid w:val="0042468E"/>
    <w:rsid w:val="00431EFF"/>
    <w:rsid w:val="00434E33"/>
    <w:rsid w:val="004411C3"/>
    <w:rsid w:val="00441434"/>
    <w:rsid w:val="00443BB0"/>
    <w:rsid w:val="0045264C"/>
    <w:rsid w:val="00464E77"/>
    <w:rsid w:val="00481628"/>
    <w:rsid w:val="004876EC"/>
    <w:rsid w:val="004B1E6E"/>
    <w:rsid w:val="004B2CB9"/>
    <w:rsid w:val="004C0EBB"/>
    <w:rsid w:val="004C69C6"/>
    <w:rsid w:val="004D3A37"/>
    <w:rsid w:val="004D6E14"/>
    <w:rsid w:val="004F294A"/>
    <w:rsid w:val="004F49EA"/>
    <w:rsid w:val="005009B0"/>
    <w:rsid w:val="00526C09"/>
    <w:rsid w:val="005425C3"/>
    <w:rsid w:val="0055462A"/>
    <w:rsid w:val="00560E59"/>
    <w:rsid w:val="00561D2C"/>
    <w:rsid w:val="00563234"/>
    <w:rsid w:val="0059071A"/>
    <w:rsid w:val="00590CAB"/>
    <w:rsid w:val="005A1006"/>
    <w:rsid w:val="005A6967"/>
    <w:rsid w:val="005E3F04"/>
    <w:rsid w:val="005E714A"/>
    <w:rsid w:val="005F1172"/>
    <w:rsid w:val="005F693D"/>
    <w:rsid w:val="00607B05"/>
    <w:rsid w:val="006140A0"/>
    <w:rsid w:val="0061689B"/>
    <w:rsid w:val="00621480"/>
    <w:rsid w:val="006342A4"/>
    <w:rsid w:val="00635ABE"/>
    <w:rsid w:val="00636621"/>
    <w:rsid w:val="00642B49"/>
    <w:rsid w:val="00654847"/>
    <w:rsid w:val="0066169B"/>
    <w:rsid w:val="00670DD0"/>
    <w:rsid w:val="006832D9"/>
    <w:rsid w:val="0068509D"/>
    <w:rsid w:val="006935DC"/>
    <w:rsid w:val="0069403B"/>
    <w:rsid w:val="006B3DDA"/>
    <w:rsid w:val="006B45F9"/>
    <w:rsid w:val="006B5AE9"/>
    <w:rsid w:val="006C3442"/>
    <w:rsid w:val="006C5EEF"/>
    <w:rsid w:val="006D355C"/>
    <w:rsid w:val="006E22F0"/>
    <w:rsid w:val="006E5630"/>
    <w:rsid w:val="006E66BF"/>
    <w:rsid w:val="006F209E"/>
    <w:rsid w:val="006F3DDE"/>
    <w:rsid w:val="006F46FD"/>
    <w:rsid w:val="00704678"/>
    <w:rsid w:val="007177F6"/>
    <w:rsid w:val="007203CD"/>
    <w:rsid w:val="007275B5"/>
    <w:rsid w:val="00736220"/>
    <w:rsid w:val="007425E7"/>
    <w:rsid w:val="00757E5D"/>
    <w:rsid w:val="00762E88"/>
    <w:rsid w:val="00763142"/>
    <w:rsid w:val="007829D1"/>
    <w:rsid w:val="007B16D8"/>
    <w:rsid w:val="007B372D"/>
    <w:rsid w:val="007B6AEF"/>
    <w:rsid w:val="007C52C6"/>
    <w:rsid w:val="007E6415"/>
    <w:rsid w:val="007F7080"/>
    <w:rsid w:val="00802607"/>
    <w:rsid w:val="008101A5"/>
    <w:rsid w:val="0081222D"/>
    <w:rsid w:val="008136F6"/>
    <w:rsid w:val="00822664"/>
    <w:rsid w:val="008246DE"/>
    <w:rsid w:val="008264EF"/>
    <w:rsid w:val="00843796"/>
    <w:rsid w:val="008516AD"/>
    <w:rsid w:val="00854135"/>
    <w:rsid w:val="00857CC1"/>
    <w:rsid w:val="00895229"/>
    <w:rsid w:val="00896182"/>
    <w:rsid w:val="008A23EE"/>
    <w:rsid w:val="008A426F"/>
    <w:rsid w:val="008B2EB3"/>
    <w:rsid w:val="008D0D7F"/>
    <w:rsid w:val="008F0203"/>
    <w:rsid w:val="008F2462"/>
    <w:rsid w:val="008F50D4"/>
    <w:rsid w:val="009239AA"/>
    <w:rsid w:val="0092627E"/>
    <w:rsid w:val="009331E4"/>
    <w:rsid w:val="00935ADA"/>
    <w:rsid w:val="00946B6C"/>
    <w:rsid w:val="00954DA6"/>
    <w:rsid w:val="00955A71"/>
    <w:rsid w:val="0096108F"/>
    <w:rsid w:val="00965627"/>
    <w:rsid w:val="009703D7"/>
    <w:rsid w:val="009778EC"/>
    <w:rsid w:val="009A0BBF"/>
    <w:rsid w:val="009B72B2"/>
    <w:rsid w:val="009C13B9"/>
    <w:rsid w:val="009D01A2"/>
    <w:rsid w:val="009D7680"/>
    <w:rsid w:val="009E0CDF"/>
    <w:rsid w:val="009E7CDE"/>
    <w:rsid w:val="009F5308"/>
    <w:rsid w:val="009F5923"/>
    <w:rsid w:val="00A17D16"/>
    <w:rsid w:val="00A201A5"/>
    <w:rsid w:val="00A2639D"/>
    <w:rsid w:val="00A2659A"/>
    <w:rsid w:val="00A33FAC"/>
    <w:rsid w:val="00A34B5D"/>
    <w:rsid w:val="00A403BB"/>
    <w:rsid w:val="00A42295"/>
    <w:rsid w:val="00A436AD"/>
    <w:rsid w:val="00A43E0F"/>
    <w:rsid w:val="00A674DF"/>
    <w:rsid w:val="00A731DE"/>
    <w:rsid w:val="00A7743D"/>
    <w:rsid w:val="00A83AA6"/>
    <w:rsid w:val="00A930ED"/>
    <w:rsid w:val="00A934D6"/>
    <w:rsid w:val="00A9485E"/>
    <w:rsid w:val="00AA2E39"/>
    <w:rsid w:val="00AC2581"/>
    <w:rsid w:val="00AC7918"/>
    <w:rsid w:val="00AE1809"/>
    <w:rsid w:val="00AF3C80"/>
    <w:rsid w:val="00AF552A"/>
    <w:rsid w:val="00B061EA"/>
    <w:rsid w:val="00B24E80"/>
    <w:rsid w:val="00B26031"/>
    <w:rsid w:val="00B276B8"/>
    <w:rsid w:val="00B40F03"/>
    <w:rsid w:val="00B41CD2"/>
    <w:rsid w:val="00B502A7"/>
    <w:rsid w:val="00B80D76"/>
    <w:rsid w:val="00B97C28"/>
    <w:rsid w:val="00BA08F2"/>
    <w:rsid w:val="00BA2105"/>
    <w:rsid w:val="00BA415C"/>
    <w:rsid w:val="00BA7AF3"/>
    <w:rsid w:val="00BA7E06"/>
    <w:rsid w:val="00BB43B5"/>
    <w:rsid w:val="00BB6219"/>
    <w:rsid w:val="00BD018F"/>
    <w:rsid w:val="00BD290F"/>
    <w:rsid w:val="00BF3ABB"/>
    <w:rsid w:val="00C10313"/>
    <w:rsid w:val="00C14CC4"/>
    <w:rsid w:val="00C1695E"/>
    <w:rsid w:val="00C243F5"/>
    <w:rsid w:val="00C33C52"/>
    <w:rsid w:val="00C33EFA"/>
    <w:rsid w:val="00C36CE8"/>
    <w:rsid w:val="00C40D8B"/>
    <w:rsid w:val="00C40DFD"/>
    <w:rsid w:val="00C53D71"/>
    <w:rsid w:val="00C66B3C"/>
    <w:rsid w:val="00C8407A"/>
    <w:rsid w:val="00C8488C"/>
    <w:rsid w:val="00C86E91"/>
    <w:rsid w:val="00CA102F"/>
    <w:rsid w:val="00CA2650"/>
    <w:rsid w:val="00CB1078"/>
    <w:rsid w:val="00CB234D"/>
    <w:rsid w:val="00CC6FAF"/>
    <w:rsid w:val="00CF6542"/>
    <w:rsid w:val="00D100F7"/>
    <w:rsid w:val="00D15C28"/>
    <w:rsid w:val="00D2440D"/>
    <w:rsid w:val="00D24698"/>
    <w:rsid w:val="00D37401"/>
    <w:rsid w:val="00D40523"/>
    <w:rsid w:val="00D55CAA"/>
    <w:rsid w:val="00D6383F"/>
    <w:rsid w:val="00D64CAE"/>
    <w:rsid w:val="00D72CFF"/>
    <w:rsid w:val="00D73BD7"/>
    <w:rsid w:val="00DA1354"/>
    <w:rsid w:val="00DB42BA"/>
    <w:rsid w:val="00DB52BC"/>
    <w:rsid w:val="00DB59D0"/>
    <w:rsid w:val="00DC33D3"/>
    <w:rsid w:val="00DD6FE7"/>
    <w:rsid w:val="00DE2858"/>
    <w:rsid w:val="00DE602D"/>
    <w:rsid w:val="00DF1D7E"/>
    <w:rsid w:val="00E03B7A"/>
    <w:rsid w:val="00E26329"/>
    <w:rsid w:val="00E334E3"/>
    <w:rsid w:val="00E40B50"/>
    <w:rsid w:val="00E44672"/>
    <w:rsid w:val="00E46D6A"/>
    <w:rsid w:val="00E50293"/>
    <w:rsid w:val="00E65FFC"/>
    <w:rsid w:val="00E744EA"/>
    <w:rsid w:val="00E75ACD"/>
    <w:rsid w:val="00E80951"/>
    <w:rsid w:val="00E8104C"/>
    <w:rsid w:val="00E86CC6"/>
    <w:rsid w:val="00E93DC5"/>
    <w:rsid w:val="00E96631"/>
    <w:rsid w:val="00EA0A43"/>
    <w:rsid w:val="00EA615F"/>
    <w:rsid w:val="00EB0517"/>
    <w:rsid w:val="00EB56B3"/>
    <w:rsid w:val="00EC410A"/>
    <w:rsid w:val="00ED1D56"/>
    <w:rsid w:val="00ED6492"/>
    <w:rsid w:val="00EF2095"/>
    <w:rsid w:val="00F06866"/>
    <w:rsid w:val="00F15956"/>
    <w:rsid w:val="00F24CFC"/>
    <w:rsid w:val="00F2603B"/>
    <w:rsid w:val="00F3170F"/>
    <w:rsid w:val="00F37F1D"/>
    <w:rsid w:val="00F440A8"/>
    <w:rsid w:val="00F44403"/>
    <w:rsid w:val="00F47270"/>
    <w:rsid w:val="00F52EE7"/>
    <w:rsid w:val="00F56DDC"/>
    <w:rsid w:val="00F57378"/>
    <w:rsid w:val="00F57881"/>
    <w:rsid w:val="00F8184D"/>
    <w:rsid w:val="00F85B54"/>
    <w:rsid w:val="00F8638D"/>
    <w:rsid w:val="00F976B0"/>
    <w:rsid w:val="00F977AB"/>
    <w:rsid w:val="00FA6DE7"/>
    <w:rsid w:val="00FB17C2"/>
    <w:rsid w:val="00FB7375"/>
    <w:rsid w:val="00FC0A8E"/>
    <w:rsid w:val="00FC4767"/>
    <w:rsid w:val="00FD563E"/>
    <w:rsid w:val="00FE2A69"/>
    <w:rsid w:val="00FE2FA6"/>
    <w:rsid w:val="00FE3DF2"/>
    <w:rsid w:val="00FE4250"/>
    <w:rsid w:val="1D2BD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08DC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045">
      <w:bodyDiv w:val="1"/>
      <w:marLeft w:val="0"/>
      <w:marRight w:val="0"/>
      <w:marTop w:val="0"/>
      <w:marBottom w:val="0"/>
      <w:divBdr>
        <w:top w:val="none" w:sz="0" w:space="0" w:color="auto"/>
        <w:left w:val="none" w:sz="0" w:space="0" w:color="auto"/>
        <w:bottom w:val="none" w:sz="0" w:space="0" w:color="auto"/>
        <w:right w:val="none" w:sz="0" w:space="0" w:color="auto"/>
      </w:divBdr>
    </w:div>
    <w:div w:id="56127363">
      <w:bodyDiv w:val="1"/>
      <w:marLeft w:val="0"/>
      <w:marRight w:val="0"/>
      <w:marTop w:val="0"/>
      <w:marBottom w:val="0"/>
      <w:divBdr>
        <w:top w:val="none" w:sz="0" w:space="0" w:color="auto"/>
        <w:left w:val="none" w:sz="0" w:space="0" w:color="auto"/>
        <w:bottom w:val="none" w:sz="0" w:space="0" w:color="auto"/>
        <w:right w:val="none" w:sz="0" w:space="0" w:color="auto"/>
      </w:divBdr>
    </w:div>
    <w:div w:id="429618957">
      <w:bodyDiv w:val="1"/>
      <w:marLeft w:val="0"/>
      <w:marRight w:val="0"/>
      <w:marTop w:val="0"/>
      <w:marBottom w:val="0"/>
      <w:divBdr>
        <w:top w:val="none" w:sz="0" w:space="0" w:color="auto"/>
        <w:left w:val="none" w:sz="0" w:space="0" w:color="auto"/>
        <w:bottom w:val="none" w:sz="0" w:space="0" w:color="auto"/>
        <w:right w:val="none" w:sz="0" w:space="0" w:color="auto"/>
      </w:divBdr>
    </w:div>
    <w:div w:id="726145566">
      <w:bodyDiv w:val="1"/>
      <w:marLeft w:val="0"/>
      <w:marRight w:val="0"/>
      <w:marTop w:val="0"/>
      <w:marBottom w:val="0"/>
      <w:divBdr>
        <w:top w:val="none" w:sz="0" w:space="0" w:color="auto"/>
        <w:left w:val="none" w:sz="0" w:space="0" w:color="auto"/>
        <w:bottom w:val="none" w:sz="0" w:space="0" w:color="auto"/>
        <w:right w:val="none" w:sz="0" w:space="0" w:color="auto"/>
      </w:divBdr>
    </w:div>
    <w:div w:id="198904699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5082E5693AC4B8A5E9DC8FEDE9916" ma:contentTypeVersion="4" ma:contentTypeDescription="Create a new document." ma:contentTypeScope="" ma:versionID="011dc04cac5d3d5bf03b599db95a1905">
  <xsd:schema xmlns:xsd="http://www.w3.org/2001/XMLSchema" xmlns:xs="http://www.w3.org/2001/XMLSchema" xmlns:p="http://schemas.microsoft.com/office/2006/metadata/properties" xmlns:ns2="17daff2f-b1b7-4d5c-80b2-47dc67a8fb08" xmlns:ns3="c7c3e025-3c1a-4026-bb7d-31b0a2c27904" targetNamespace="http://schemas.microsoft.com/office/2006/metadata/properties" ma:root="true" ma:fieldsID="473863c354aa2d8acece42138aba4deb" ns2:_="" ns3:_="">
    <xsd:import namespace="17daff2f-b1b7-4d5c-80b2-47dc67a8fb08"/>
    <xsd:import namespace="c7c3e025-3c1a-4026-bb7d-31b0a2c279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aff2f-b1b7-4d5c-80b2-47dc67a8f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3e025-3c1a-4026-bb7d-31b0a2c279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B5CD04-9537-4D1C-83F5-45DABEC66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aff2f-b1b7-4d5c-80b2-47dc67a8fb08"/>
    <ds:schemaRef ds:uri="c7c3e025-3c1a-4026-bb7d-31b0a2c27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78107-6AA8-4319-AA33-169AF5004391}">
  <ds:schemaRefs>
    <ds:schemaRef ds:uri="http://schemas.microsoft.com/office/2006/metadata/properties"/>
    <ds:schemaRef ds:uri="http://purl.org/dc/elements/1.1/"/>
    <ds:schemaRef ds:uri="http://schemas.microsoft.com/office/2006/documentManagement/types"/>
    <ds:schemaRef ds:uri="c7c3e025-3c1a-4026-bb7d-31b0a2c27904"/>
    <ds:schemaRef ds:uri="http://schemas.microsoft.com/office/infopath/2007/PartnerControls"/>
    <ds:schemaRef ds:uri="http://www.w3.org/XML/1998/namespace"/>
    <ds:schemaRef ds:uri="http://purl.org/dc/terms/"/>
    <ds:schemaRef ds:uri="http://schemas.openxmlformats.org/package/2006/metadata/core-properties"/>
    <ds:schemaRef ds:uri="17daff2f-b1b7-4d5c-80b2-47dc67a8fb08"/>
    <ds:schemaRef ds:uri="http://purl.org/dc/dcmitype/"/>
  </ds:schemaRefs>
</ds:datastoreItem>
</file>

<file path=customXml/itemProps3.xml><?xml version="1.0" encoding="utf-8"?>
<ds:datastoreItem xmlns:ds="http://schemas.openxmlformats.org/officeDocument/2006/customXml" ds:itemID="{119CA745-C3CA-482D-9E94-597EFE1309D4}">
  <ds:schemaRefs>
    <ds:schemaRef ds:uri="http://schemas.microsoft.com/sharepoint/v3/contenttype/forms"/>
  </ds:schemaRefs>
</ds:datastoreItem>
</file>

<file path=customXml/itemProps4.xml><?xml version="1.0" encoding="utf-8"?>
<ds:datastoreItem xmlns:ds="http://schemas.openxmlformats.org/officeDocument/2006/customXml" ds:itemID="{46E294AF-C080-4E4C-9514-EC0DAD9E4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1999</Words>
  <Characters>11396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2018-09-12T12:54:00Z</cp:lastPrinted>
  <dcterms:created xsi:type="dcterms:W3CDTF">2018-12-18T19:47:00Z</dcterms:created>
  <dcterms:modified xsi:type="dcterms:W3CDTF">2018-12-18T19:47:00Z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0x01010081A5082E5693AC4B8A5E9DC8FEDE9916</vt:lpwstr>
  </property>
</Properties>
</file>