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B871" w14:textId="77777777"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14:paraId="74CDB5F1" w14:textId="77777777" w:rsidR="00DE2858" w:rsidRDefault="004B2CB9" w:rsidP="00DE2858">
      <w:pPr>
        <w:pStyle w:val="Heading2"/>
        <w:tabs>
          <w:tab w:val="left" w:pos="900"/>
        </w:tabs>
        <w:ind w:right="-180"/>
        <w:rPr>
          <w:b w:val="0"/>
        </w:rPr>
      </w:pPr>
      <w:r>
        <w:rPr>
          <w:b w:val="0"/>
          <w:noProof/>
        </w:rPr>
        <mc:AlternateContent>
          <mc:Choice Requires="wps">
            <w:drawing>
              <wp:anchor distT="0" distB="0" distL="114300" distR="114300" simplePos="0" relativeHeight="251657216" behindDoc="0" locked="0" layoutInCell="0" allowOverlap="1" wp14:anchorId="216FA393" wp14:editId="52E2F64C">
                <wp:simplePos x="0" y="0"/>
                <wp:positionH relativeFrom="column">
                  <wp:posOffset>542925</wp:posOffset>
                </wp:positionH>
                <wp:positionV relativeFrom="paragraph">
                  <wp:posOffset>22860</wp:posOffset>
                </wp:positionV>
                <wp:extent cx="4754880" cy="0"/>
                <wp:effectExtent l="9525" t="9525" r="1714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CE2FF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8pt" to="41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" o:allowincell="f" strokeweight="1.5pt"/>
            </w:pict>
          </mc:Fallback>
        </mc:AlternateContent>
      </w:r>
    </w:p>
    <w:p w14:paraId="12C9D82A" w14:textId="0AC971A3" w:rsidR="00526C09" w:rsidRPr="00526C09" w:rsidRDefault="00526C09" w:rsidP="004B2CB9">
      <w:pPr>
        <w:pStyle w:val="Heading2"/>
        <w:tabs>
          <w:tab w:val="left" w:pos="900"/>
        </w:tabs>
        <w:ind w:right="-180"/>
        <w:rPr>
          <w:b w:val="0"/>
        </w:rPr>
      </w:pPr>
      <w:r>
        <w:t>Cognitive Research for Proposed Modifications to Form</w:t>
      </w:r>
      <w:r w:rsidR="008A23EE">
        <w:t xml:space="preserve">s </w:t>
      </w:r>
      <w:r w:rsidR="00F85B54">
        <w:t>EIA-</w:t>
      </w:r>
      <w:r w:rsidR="007203CD">
        <w:t>8</w:t>
      </w:r>
      <w:r w:rsidR="008A23EE">
        <w:t>60, EIA-861, and EIA-923</w:t>
      </w:r>
      <w:r w:rsidR="00F47270">
        <w:t xml:space="preserve"> </w:t>
      </w:r>
    </w:p>
    <w:p w14:paraId="64766F3D" w14:textId="77777777" w:rsidR="008A426F" w:rsidRDefault="008A426F" w:rsidP="008D0D7F"/>
    <w:p w14:paraId="5B43356A" w14:textId="5808E2C5" w:rsidR="001B0AAA" w:rsidRDefault="00F15956">
      <w:pPr>
        <w:rPr>
          <w:b/>
        </w:rPr>
      </w:pPr>
      <w:r w:rsidRPr="007E6415">
        <w:rPr>
          <w:b/>
        </w:rPr>
        <w:t>PURPOSE:</w:t>
      </w:r>
      <w:r w:rsidR="00F0149B">
        <w:rPr>
          <w:b/>
        </w:rPr>
        <w:t xml:space="preserve"> </w:t>
      </w:r>
    </w:p>
    <w:p w14:paraId="202E8C0F" w14:textId="0FE71706" w:rsidR="007203CD" w:rsidRDefault="007829D1" w:rsidP="008A23EE">
      <w:r w:rsidRPr="00143553">
        <w:t>The U.S. Energy Information Administration (EIA)</w:t>
      </w:r>
      <w:r w:rsidR="00121195">
        <w:t xml:space="preserve"> </w:t>
      </w:r>
      <w:r w:rsidR="001C62D3">
        <w:t>seeks to modify</w:t>
      </w:r>
      <w:r w:rsidR="00121195">
        <w:t xml:space="preserve"> Form</w:t>
      </w:r>
      <w:r w:rsidR="008A23EE">
        <w:t>s</w:t>
      </w:r>
      <w:r w:rsidR="00121195">
        <w:t xml:space="preserve"> EIA-</w:t>
      </w:r>
      <w:r w:rsidR="008A23EE">
        <w:t xml:space="preserve">860, EIA-861, and EIA-923 </w:t>
      </w:r>
      <w:r w:rsidR="00121195">
        <w:t>and</w:t>
      </w:r>
      <w:r w:rsidRPr="00143553">
        <w:t xml:space="preserve"> </w:t>
      </w:r>
      <w:r w:rsidR="004411C3">
        <w:t xml:space="preserve">requests approval </w:t>
      </w:r>
      <w:r w:rsidRPr="00143553">
        <w:t xml:space="preserve">to conduct research </w:t>
      </w:r>
      <w:r w:rsidR="001C62D3">
        <w:t>to collect information on respondent</w:t>
      </w:r>
      <w:r w:rsidR="00670DD0">
        <w:t>s’</w:t>
      </w:r>
      <w:r w:rsidR="001C62D3">
        <w:t xml:space="preserve"> ability to report new data elements related </w:t>
      </w:r>
      <w:r w:rsidR="008A23EE">
        <w:t>to</w:t>
      </w:r>
      <w:r w:rsidR="004C69C6">
        <w:t xml:space="preserve"> utility level programs utilized by companies on the electric grid, </w:t>
      </w:r>
      <w:r w:rsidR="00E8104C">
        <w:t xml:space="preserve">installed </w:t>
      </w:r>
      <w:r w:rsidR="008A23EE">
        <w:t>battery storage, and microgrid</w:t>
      </w:r>
      <w:r w:rsidR="008A509F">
        <w:t xml:space="preserve"> system</w:t>
      </w:r>
      <w:r w:rsidR="008A23EE">
        <w:t xml:space="preserve">s. This research project will </w:t>
      </w:r>
      <w:r w:rsidR="004C69C6">
        <w:t>allow</w:t>
      </w:r>
      <w:r w:rsidR="008A23EE">
        <w:t xml:space="preserve"> EIA </w:t>
      </w:r>
      <w:r w:rsidR="004C69C6">
        <w:t xml:space="preserve">to </w:t>
      </w:r>
      <w:r w:rsidR="008A23EE">
        <w:t xml:space="preserve">determine what questions and terminology to use </w:t>
      </w:r>
      <w:r w:rsidR="00D100F7">
        <w:t xml:space="preserve">on these surveys </w:t>
      </w:r>
      <w:r w:rsidR="008A23EE">
        <w:t>to more accurately c</w:t>
      </w:r>
      <w:r w:rsidR="00350526">
        <w:t>ollect</w:t>
      </w:r>
      <w:r w:rsidR="008A23EE">
        <w:t xml:space="preserve"> operational characteristics of these research elements. Additionally, EIA seeks to understand </w:t>
      </w:r>
      <w:r w:rsidR="004C69C6">
        <w:t xml:space="preserve">recent changes to the </w:t>
      </w:r>
      <w:r w:rsidR="00D15C28">
        <w:t>demand side resource capacity and demand response of the electric grid</w:t>
      </w:r>
      <w:r w:rsidR="00350526">
        <w:t xml:space="preserve"> in the U.S</w:t>
      </w:r>
      <w:r w:rsidR="00D15C28">
        <w:t>.</w:t>
      </w:r>
      <w:r w:rsidR="00F0149B">
        <w:t xml:space="preserve">  </w:t>
      </w:r>
    </w:p>
    <w:p w14:paraId="715968A7" w14:textId="34BFDEA9" w:rsidR="00121195" w:rsidRDefault="00F47270" w:rsidP="00121195">
      <w:pPr>
        <w:jc w:val="both"/>
      </w:pPr>
      <w:r>
        <w:t xml:space="preserve"> </w:t>
      </w:r>
    </w:p>
    <w:p w14:paraId="4FBE2682" w14:textId="3436F1C7" w:rsidR="00D15C28" w:rsidRDefault="00121195" w:rsidP="00D15C28">
      <w:r w:rsidRPr="00143553">
        <w:t>Form EIA-</w:t>
      </w:r>
      <w:r w:rsidR="009778EC">
        <w:t>8</w:t>
      </w:r>
      <w:r w:rsidR="00D15C28">
        <w:t>60,</w:t>
      </w:r>
      <w:r w:rsidRPr="00143553">
        <w:t xml:space="preserve"> “</w:t>
      </w:r>
      <w:r w:rsidR="00D15C28" w:rsidRPr="00D15C28">
        <w:t xml:space="preserve">Annual Electric Generator Report” </w:t>
      </w:r>
      <w:r w:rsidR="00D15C28">
        <w:t>c</w:t>
      </w:r>
      <w:r w:rsidR="00D15C28" w:rsidRPr="00D15C28">
        <w:t>ollects data on the status of existing electric generating plants and associated equipment in the United States, and those scheduled for initial commercial operation within 10 years of the filing of this report.</w:t>
      </w:r>
    </w:p>
    <w:p w14:paraId="2DBA588F" w14:textId="77777777" w:rsidR="00D15C28" w:rsidRDefault="00D15C28" w:rsidP="00D15C28"/>
    <w:p w14:paraId="60E4311A" w14:textId="29F4078E" w:rsidR="00D15C28" w:rsidRDefault="00D15C28" w:rsidP="00D15C28">
      <w:pPr>
        <w:spacing w:line="288" w:lineRule="atLeast"/>
      </w:pPr>
      <w:r>
        <w:t>Form EIA-861, “A</w:t>
      </w:r>
      <w:r w:rsidRPr="00D15C28">
        <w:t xml:space="preserve">nnual Electric Power Industry Report” collects information on the status </w:t>
      </w:r>
      <w:r w:rsidR="00D100F7">
        <w:t xml:space="preserve">of </w:t>
      </w:r>
      <w:r w:rsidRPr="00D15C28">
        <w:t>electric power industry participants involved in the generation, transmission, and distribution of electric energy in the United States, and its territories.</w:t>
      </w:r>
    </w:p>
    <w:p w14:paraId="047E2E89" w14:textId="77777777" w:rsidR="00D15C28" w:rsidRDefault="00D15C28" w:rsidP="00D15C28">
      <w:pPr>
        <w:spacing w:line="288" w:lineRule="atLeast"/>
      </w:pPr>
    </w:p>
    <w:p w14:paraId="77CBF6DD" w14:textId="62F71F2D" w:rsidR="00D15C28" w:rsidRDefault="00D15C28" w:rsidP="00D15C28">
      <w:pPr>
        <w:spacing w:line="288" w:lineRule="atLeast"/>
      </w:pPr>
      <w:r>
        <w:t>Form EIA-923, “</w:t>
      </w:r>
      <w:r w:rsidRPr="00D15C28">
        <w:t xml:space="preserve">Power Plant Operations Report” collects information from regulated and unregulated electric power plants in the United States. Data collected include electric power generation, energy source consumption, end of reporting period fossil fuel stocks, as well as the quality and cost of fossil fuel receipts. </w:t>
      </w:r>
    </w:p>
    <w:p w14:paraId="1D6D4D4D" w14:textId="77777777" w:rsidR="00CA102F" w:rsidRPr="00D15C28" w:rsidRDefault="00CA102F" w:rsidP="00D15C28">
      <w:pPr>
        <w:spacing w:line="288" w:lineRule="atLeast"/>
      </w:pPr>
    </w:p>
    <w:p w14:paraId="1244FA67" w14:textId="5539FC4D" w:rsidR="00CA102F" w:rsidRPr="00D100F7" w:rsidRDefault="00CA102F" w:rsidP="00D100F7">
      <w:pPr>
        <w:spacing w:line="288" w:lineRule="atLeast"/>
      </w:pPr>
      <w:r w:rsidRPr="00D100F7">
        <w:t xml:space="preserve">Installed battery storage power capacity has nearly doubled every two years since 2011. While initial </w:t>
      </w:r>
      <w:r w:rsidR="00D100F7" w:rsidRPr="00D100F7">
        <w:t xml:space="preserve">battery storage </w:t>
      </w:r>
      <w:r w:rsidRPr="00D100F7">
        <w:t>installations were often exploratory projects by power producers to better understand how battery storage operates, more recent additions are often driven by policy or market opportunities. Battery storage is versatile and can be paired with a generator to smooth the available supply of electricity, installed at a load to reduce demand, or stationed along the grid to support voltage. The market growth and interest in battery storage creates an opportunity for EIA to assess the practical utility of collecting more relevant electric power data</w:t>
      </w:r>
      <w:r w:rsidR="00D100F7">
        <w:t xml:space="preserve">. </w:t>
      </w:r>
      <w:r w:rsidRPr="00D100F7">
        <w:t xml:space="preserve">EIA is interested in testing survey questions and terminology specific to battery storage to more accurately collect their operational characteristics and to better understand how they are being used. </w:t>
      </w:r>
    </w:p>
    <w:p w14:paraId="7B46F950" w14:textId="77777777" w:rsidR="00CA102F" w:rsidRPr="00D100F7" w:rsidRDefault="00CA102F" w:rsidP="00D100F7">
      <w:pPr>
        <w:spacing w:line="288" w:lineRule="atLeast"/>
      </w:pPr>
    </w:p>
    <w:p w14:paraId="6CD75F3B" w14:textId="1E2E87B9" w:rsidR="00CA102F" w:rsidRPr="00D100F7" w:rsidRDefault="00CA102F" w:rsidP="00D100F7">
      <w:pPr>
        <w:spacing w:line="288" w:lineRule="atLeast"/>
      </w:pPr>
      <w:r w:rsidRPr="00D100F7">
        <w:t xml:space="preserve">The public’s interest in the electric grid has increased recently, especially as more changes at the distribution system level occur with the expansion of demand side resource capacity and demand response. Better statistics on the state and evolution of the </w:t>
      </w:r>
      <w:r w:rsidR="005A6967">
        <w:t xml:space="preserve">electric </w:t>
      </w:r>
      <w:r w:rsidRPr="00D100F7">
        <w:t xml:space="preserve">grid could inform these discussions so this cognitive study asks a sample of utilities about their systems and current programs, such as their tracking of momentary outages or electric vehicle load. Collecting this kind of data in a standardized format would provide an important baseline for tracking these developments over time. In addition, EIA does not currently track microgrids and adding them to the surveys would allow data users see where there is backup support designed for local loads. </w:t>
      </w:r>
      <w:r w:rsidRPr="00D100F7">
        <w:lastRenderedPageBreak/>
        <w:t xml:space="preserve">Different aspects of a single microgrid may be reported on by utilities or plant owners, so these questions will test survey respondents’ ability to report about the system as a whole. </w:t>
      </w:r>
    </w:p>
    <w:p w14:paraId="7120F9A5" w14:textId="086DE4FB" w:rsidR="00ED1D56" w:rsidRDefault="00ED1D56" w:rsidP="00121195"/>
    <w:p w14:paraId="5FC6B677" w14:textId="1DB80AFE" w:rsidR="00046144" w:rsidRDefault="009778EC" w:rsidP="00121195">
      <w:r>
        <w:t>EIA</w:t>
      </w:r>
      <w:r w:rsidR="001C62D3">
        <w:t xml:space="preserve">’s </w:t>
      </w:r>
      <w:r w:rsidR="00763142">
        <w:t xml:space="preserve">research project will </w:t>
      </w:r>
      <w:r w:rsidR="00D15C28">
        <w:t xml:space="preserve">utilize </w:t>
      </w:r>
      <w:r w:rsidR="008F2462">
        <w:t xml:space="preserve">cognitive interviews </w:t>
      </w:r>
      <w:r w:rsidR="00D15C28">
        <w:t xml:space="preserve">to </w:t>
      </w:r>
      <w:r w:rsidR="000A3D95">
        <w:t>learn what information respondents maintain in their data bases, how certain information is measured or tracked, their understanding of certain terminology used in the industry, and assess respondents’ ability to report additional information.</w:t>
      </w:r>
      <w:r w:rsidR="00D15C28">
        <w:t xml:space="preserve"> </w:t>
      </w:r>
    </w:p>
    <w:p w14:paraId="359BE136" w14:textId="77777777" w:rsidR="00046144" w:rsidRDefault="00046144" w:rsidP="00121195"/>
    <w:p w14:paraId="59FA9CC5" w14:textId="73E39A19" w:rsidR="00121195" w:rsidRPr="007E36E6" w:rsidRDefault="00F47270" w:rsidP="004C69C6">
      <w:r>
        <w:t>EIA</w:t>
      </w:r>
      <w:r w:rsidR="00121195">
        <w:t xml:space="preserve"> </w:t>
      </w:r>
      <w:r w:rsidR="00BD018F">
        <w:t>will also</w:t>
      </w:r>
      <w:r w:rsidR="00FC4767">
        <w:t xml:space="preserve"> </w:t>
      </w:r>
      <w:r w:rsidR="003C6BC0">
        <w:t>collect information</w:t>
      </w:r>
      <w:r w:rsidR="00BD018F">
        <w:t xml:space="preserve"> from the interviews</w:t>
      </w:r>
      <w:r w:rsidR="003C6BC0">
        <w:t xml:space="preserve"> </w:t>
      </w:r>
      <w:r w:rsidR="008136F6">
        <w:t xml:space="preserve">to </w:t>
      </w:r>
      <w:r w:rsidR="00046144">
        <w:t>estimate the</w:t>
      </w:r>
      <w:r w:rsidR="004C69C6">
        <w:t xml:space="preserve"> current </w:t>
      </w:r>
      <w:r w:rsidR="00046144">
        <w:t xml:space="preserve">burden per response for </w:t>
      </w:r>
      <w:r w:rsidR="004C69C6">
        <w:t>these Forms, and determine any changes to the burden per response caused by reporting this additional information.</w:t>
      </w:r>
      <w:r w:rsidR="00F0149B">
        <w:t xml:space="preserve"> </w:t>
      </w:r>
      <w:r w:rsidR="00F0149B">
        <w:rPr>
          <w:rFonts w:cs="Arial"/>
        </w:rPr>
        <w:t xml:space="preserve"> </w:t>
      </w:r>
      <w:r w:rsidR="00121195" w:rsidRPr="008079AB">
        <w:rPr>
          <w:rFonts w:cs="Arial"/>
        </w:rPr>
        <w:t xml:space="preserve"> </w:t>
      </w:r>
    </w:p>
    <w:p w14:paraId="297EAD4A" w14:textId="51AC4C5E" w:rsidR="00187B53" w:rsidRDefault="00187B53" w:rsidP="00187B53">
      <w:pPr>
        <w:rPr>
          <w:rFonts w:ascii="Arial" w:hAnsi="Arial" w:cs="Arial"/>
          <w:color w:val="333333"/>
          <w:sz w:val="18"/>
          <w:szCs w:val="18"/>
          <w:shd w:val="clear" w:color="auto" w:fill="FFFFFF"/>
        </w:rPr>
      </w:pPr>
    </w:p>
    <w:p w14:paraId="7BCAC273" w14:textId="77777777" w:rsidR="00187B53" w:rsidRDefault="00187B53" w:rsidP="00187B53">
      <w:pPr>
        <w:rPr>
          <w:rFonts w:ascii="Arial" w:hAnsi="Arial" w:cs="Arial"/>
          <w:color w:val="333333"/>
          <w:sz w:val="18"/>
          <w:szCs w:val="18"/>
          <w:shd w:val="clear" w:color="auto" w:fill="FFFFFF"/>
        </w:rPr>
      </w:pPr>
    </w:p>
    <w:p w14:paraId="13AE0EEF" w14:textId="77777777"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p>
    <w:p w14:paraId="083F9C90" w14:textId="5962E9E3" w:rsidR="00E26329" w:rsidRDefault="00526C09">
      <w:r>
        <w:t xml:space="preserve">Current </w:t>
      </w:r>
      <w:r w:rsidR="00046144">
        <w:t xml:space="preserve">EIA survey </w:t>
      </w:r>
      <w:r>
        <w:t>respondents that report on Form</w:t>
      </w:r>
      <w:r w:rsidR="007B16D8">
        <w:t>s</w:t>
      </w:r>
      <w:r w:rsidR="00A42295">
        <w:t xml:space="preserve"> EIA-</w:t>
      </w:r>
      <w:r w:rsidR="00B276B8">
        <w:t>8</w:t>
      </w:r>
      <w:r w:rsidR="002D0E34">
        <w:t>60, EIA-861, and EIA-923.</w:t>
      </w:r>
      <w:r w:rsidR="00F0149B">
        <w:t xml:space="preserve"> </w:t>
      </w:r>
    </w:p>
    <w:p w14:paraId="286C0296" w14:textId="77777777" w:rsidR="00F8638D" w:rsidRPr="007E6415" w:rsidRDefault="00F8638D">
      <w:pPr>
        <w:rPr>
          <w:b/>
        </w:rPr>
      </w:pPr>
    </w:p>
    <w:p w14:paraId="0B65FA9C" w14:textId="77777777" w:rsidR="00F06866" w:rsidRPr="007E6415" w:rsidRDefault="00F06866">
      <w:pPr>
        <w:rPr>
          <w:b/>
        </w:rPr>
      </w:pPr>
      <w:r w:rsidRPr="007E6415">
        <w:rPr>
          <w:b/>
        </w:rPr>
        <w:t>TYPE OF COLLECTION:</w:t>
      </w:r>
      <w:r w:rsidRPr="007E6415">
        <w:t xml:space="preserve"> (Check one)</w:t>
      </w:r>
    </w:p>
    <w:p w14:paraId="624BF249" w14:textId="77777777" w:rsidR="00441434" w:rsidRPr="007E6415" w:rsidRDefault="00441434" w:rsidP="0096108F">
      <w:pPr>
        <w:pStyle w:val="BodyTextIndent"/>
        <w:tabs>
          <w:tab w:val="left" w:pos="360"/>
        </w:tabs>
        <w:ind w:left="0"/>
        <w:rPr>
          <w:bCs/>
          <w:sz w:val="16"/>
          <w:szCs w:val="16"/>
        </w:rPr>
      </w:pPr>
    </w:p>
    <w:p w14:paraId="169ABC87" w14:textId="42B399C8"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526C09">
        <w:rPr>
          <w:bCs/>
          <w:sz w:val="24"/>
        </w:rPr>
        <w:t>X</w:t>
      </w:r>
      <w:r w:rsidRPr="007E6415">
        <w:rPr>
          <w:bCs/>
          <w:sz w:val="24"/>
        </w:rPr>
        <w:t xml:space="preserve">] </w:t>
      </w:r>
      <w:r w:rsidR="00F06866" w:rsidRPr="007E6415">
        <w:rPr>
          <w:bCs/>
          <w:sz w:val="24"/>
        </w:rPr>
        <w:t>C</w:t>
      </w:r>
      <w:r w:rsidR="00E46D6A">
        <w:rPr>
          <w:bCs/>
          <w:sz w:val="24"/>
        </w:rPr>
        <w:t>ognitive Interviews</w:t>
      </w:r>
      <w:r w:rsidR="00F0149B">
        <w:rPr>
          <w:bCs/>
          <w:sz w:val="24"/>
        </w:rPr>
        <w:t xml:space="preserve"> </w:t>
      </w:r>
      <w:r w:rsidRPr="007E6415">
        <w:rPr>
          <w:bCs/>
          <w:sz w:val="24"/>
        </w:rPr>
        <w:t xml:space="preserve"> </w:t>
      </w:r>
    </w:p>
    <w:p w14:paraId="493F50FF" w14:textId="309B3093"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8F2462">
        <w:rPr>
          <w:bCs/>
          <w:sz w:val="24"/>
        </w:rPr>
        <w:tab/>
      </w:r>
      <w:r w:rsidR="002D0E34">
        <w:rPr>
          <w:bCs/>
          <w:sz w:val="24"/>
        </w:rPr>
        <w:t>[</w:t>
      </w:r>
      <w:r w:rsidR="00F06866" w:rsidRPr="007E6415">
        <w:rPr>
          <w:bCs/>
          <w:sz w:val="24"/>
        </w:rPr>
        <w:t xml:space="preserve">] </w:t>
      </w:r>
      <w:r w:rsidR="00E46D6A">
        <w:rPr>
          <w:bCs/>
          <w:sz w:val="24"/>
        </w:rPr>
        <w:t>Focus Groups</w:t>
      </w:r>
    </w:p>
    <w:p w14:paraId="1D132B31" w14:textId="7F1F7235"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00F0149B">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14:paraId="036CC781" w14:textId="746D5250" w:rsidR="00434E33" w:rsidRPr="007E6415" w:rsidRDefault="00E46D6A">
      <w:pPr>
        <w:pStyle w:val="Header"/>
        <w:tabs>
          <w:tab w:val="clear" w:pos="4320"/>
          <w:tab w:val="clear" w:pos="8640"/>
        </w:tabs>
      </w:pPr>
      <w:r w:rsidRPr="007E6415">
        <w:rPr>
          <w:bCs/>
        </w:rPr>
        <w:t xml:space="preserve">[ ] </w:t>
      </w:r>
      <w:r>
        <w:rPr>
          <w:bCs/>
        </w:rPr>
        <w:t>Respondent Debriefings</w:t>
      </w:r>
      <w:r w:rsidR="00F0149B">
        <w:rPr>
          <w:bCs/>
        </w:rPr>
        <w:t xml:space="preserve"> </w:t>
      </w:r>
      <w:r w:rsidRPr="007E6415">
        <w:rPr>
          <w:bCs/>
        </w:rPr>
        <w:tab/>
      </w:r>
      <w:r w:rsidRPr="007E6415">
        <w:rPr>
          <w:bCs/>
        </w:rPr>
        <w:tab/>
      </w:r>
      <w:r w:rsidRPr="007E6415">
        <w:rPr>
          <w:bCs/>
        </w:rPr>
        <w:tab/>
      </w:r>
      <w:r w:rsidRPr="007E6415">
        <w:rPr>
          <w:bCs/>
        </w:rPr>
        <w:tab/>
      </w:r>
      <w:r w:rsidRPr="007E6415">
        <w:rPr>
          <w:bCs/>
        </w:rPr>
        <w:tab/>
      </w:r>
    </w:p>
    <w:p w14:paraId="7F2E4506" w14:textId="77777777" w:rsidR="00E46D6A" w:rsidRDefault="00E46D6A">
      <w:pPr>
        <w:rPr>
          <w:b/>
        </w:rPr>
      </w:pPr>
    </w:p>
    <w:p w14:paraId="2D1AFAFB" w14:textId="77777777" w:rsidR="00CA2650" w:rsidRPr="007E6415" w:rsidRDefault="00441434">
      <w:pPr>
        <w:rPr>
          <w:b/>
        </w:rPr>
      </w:pPr>
      <w:r w:rsidRPr="007E6415">
        <w:rPr>
          <w:b/>
        </w:rPr>
        <w:t>C</w:t>
      </w:r>
      <w:r w:rsidR="009C13B9" w:rsidRPr="007E6415">
        <w:rPr>
          <w:b/>
        </w:rPr>
        <w:t>ERTIFICATION:</w:t>
      </w:r>
    </w:p>
    <w:p w14:paraId="7F1B3623" w14:textId="77777777" w:rsidR="00441434" w:rsidRPr="007E6415" w:rsidRDefault="00441434">
      <w:pPr>
        <w:rPr>
          <w:sz w:val="16"/>
          <w:szCs w:val="16"/>
        </w:rPr>
      </w:pPr>
    </w:p>
    <w:p w14:paraId="51F8DD71" w14:textId="77777777"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14:paraId="5354144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14:paraId="5B9B255C"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14:paraId="69F52963"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14:paraId="7D41BB8A"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14:paraId="5DC491A5"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14:paraId="5914522A"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14:paraId="7BA0EC52"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14:paraId="67970889"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14:paraId="282F6EA0"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14:paraId="3EB3B775"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14:paraId="0F91DA59" w14:textId="77777777"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14:paraId="69724FD0"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14:paraId="616CC357"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14:paraId="248EC636"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14:paraId="1456C4C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14:paraId="5FC80B37" w14:textId="77777777"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14:paraId="18631FAA" w14:textId="77777777" w:rsidR="005F1172" w:rsidRPr="005F1172" w:rsidRDefault="005F1172" w:rsidP="002B5AB0">
      <w:pPr>
        <w:pStyle w:val="ListParagraph"/>
        <w:ind w:left="360"/>
      </w:pPr>
    </w:p>
    <w:p w14:paraId="2DC278B4" w14:textId="77777777" w:rsidR="009C13B9" w:rsidRPr="007E6415" w:rsidRDefault="009C13B9" w:rsidP="009C13B9"/>
    <w:p w14:paraId="189D50DC" w14:textId="3E98F9FA" w:rsidR="00F8184D" w:rsidRPr="007E6415" w:rsidRDefault="00F8184D" w:rsidP="00F8184D">
      <w:r w:rsidRPr="007E6415">
        <w:t xml:space="preserve">Name: </w:t>
      </w:r>
      <w:r w:rsidR="00147B11">
        <w:rPr>
          <w:u w:val="single"/>
        </w:rPr>
        <w:t>Tom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965627">
        <w:rPr>
          <w:u w:val="single"/>
        </w:rPr>
        <w:t xml:space="preserve">Office of </w:t>
      </w:r>
      <w:r w:rsidR="00E93DC5">
        <w:rPr>
          <w:u w:val="single"/>
        </w:rPr>
        <w:t xml:space="preserve">Energy </w:t>
      </w:r>
      <w:r w:rsidR="00DB42BA">
        <w:rPr>
          <w:u w:val="single"/>
        </w:rPr>
        <w:t>Statistics</w:t>
      </w:r>
      <w:r w:rsidR="00FB7375">
        <w:rPr>
          <w:u w:val="single"/>
        </w:rPr>
        <w:t xml:space="preserve">, </w:t>
      </w:r>
    </w:p>
    <w:p w14:paraId="6633B5A0" w14:textId="77777777" w:rsidR="00F8184D" w:rsidRPr="007E6415" w:rsidRDefault="00F8184D" w:rsidP="00F8184D">
      <w:pPr>
        <w:rPr>
          <w:u w:val="single"/>
        </w:rPr>
      </w:pPr>
      <w:r w:rsidRPr="007E6415">
        <w:tab/>
      </w:r>
      <w:r w:rsidRPr="007E6415">
        <w:rPr>
          <w:u w:val="single"/>
        </w:rPr>
        <w:t>U.S. Energy Information Administration</w:t>
      </w:r>
    </w:p>
    <w:p w14:paraId="68CBB3AF" w14:textId="77777777" w:rsidR="009C13B9" w:rsidRPr="007E6415" w:rsidRDefault="009C13B9" w:rsidP="009C13B9">
      <w:pPr>
        <w:pStyle w:val="ListParagraph"/>
        <w:ind w:left="360"/>
      </w:pPr>
    </w:p>
    <w:p w14:paraId="69B92460" w14:textId="77777777" w:rsidR="009C13B9" w:rsidRDefault="009C13B9" w:rsidP="009C13B9">
      <w:r w:rsidRPr="007E6415">
        <w:t>To assist review, please provide answers to the following question</w:t>
      </w:r>
      <w:r w:rsidR="000719C1">
        <w:t>s</w:t>
      </w:r>
      <w:r w:rsidRPr="007E6415">
        <w:t>:</w:t>
      </w:r>
    </w:p>
    <w:p w14:paraId="7EB574FA" w14:textId="77777777" w:rsidR="009C13B9" w:rsidRPr="007E6415" w:rsidRDefault="00C86E91" w:rsidP="00C86E91">
      <w:pPr>
        <w:rPr>
          <w:b/>
        </w:rPr>
      </w:pPr>
      <w:r w:rsidRPr="007E6415">
        <w:rPr>
          <w:b/>
        </w:rPr>
        <w:lastRenderedPageBreak/>
        <w:t>Personally Identifiable Information:</w:t>
      </w:r>
    </w:p>
    <w:p w14:paraId="12558F90" w14:textId="451D7DE9"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w:t>
      </w:r>
      <w:r w:rsidR="00F0149B">
        <w:t xml:space="preserve"> </w:t>
      </w:r>
      <w:r w:rsidR="009239AA" w:rsidRPr="00B40F03">
        <w:t>[ ] Yes</w:t>
      </w:r>
      <w:r w:rsidR="00F0149B">
        <w:t xml:space="preserve"> </w:t>
      </w:r>
      <w:r w:rsidR="009239AA" w:rsidRPr="00B40F03">
        <w:t>[</w:t>
      </w:r>
      <w:r w:rsidR="00DF1D7E" w:rsidRPr="00B40F03">
        <w:t xml:space="preserve"> </w:t>
      </w:r>
      <w:r w:rsidR="00526C09">
        <w:t>X</w:t>
      </w:r>
      <w:r w:rsidR="009239AA" w:rsidRPr="00B40F03">
        <w:t>]</w:t>
      </w:r>
      <w:r w:rsidR="00F0149B">
        <w:t xml:space="preserve"> </w:t>
      </w:r>
      <w:r w:rsidR="009239AA" w:rsidRPr="00B40F03">
        <w:t xml:space="preserve">No </w:t>
      </w:r>
    </w:p>
    <w:p w14:paraId="77713AC9" w14:textId="5D7AD14E"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w:t>
      </w:r>
      <w:r w:rsidR="00F0149B">
        <w:t xml:space="preserve"> </w:t>
      </w:r>
      <w:r w:rsidR="009239AA" w:rsidRPr="007E6415">
        <w:t xml:space="preserve"> [ ] Yes [</w:t>
      </w:r>
      <w:r w:rsidR="00526C09">
        <w:t>X</w:t>
      </w:r>
      <w:r w:rsidR="009239AA" w:rsidRPr="007E6415">
        <w:t>] No</w:t>
      </w:r>
      <w:r w:rsidR="00F0149B">
        <w:t xml:space="preserve"> </w:t>
      </w:r>
      <w:r w:rsidR="00C86E91" w:rsidRPr="007E6415">
        <w:t xml:space="preserve"> </w:t>
      </w:r>
    </w:p>
    <w:p w14:paraId="4DE9290E" w14:textId="1BA46373"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w:t>
      </w:r>
      <w:r w:rsidR="00F0149B">
        <w:t xml:space="preserve"> </w:t>
      </w:r>
      <w:r w:rsidRPr="007E6415">
        <w:t>[ ] Yes</w:t>
      </w:r>
      <w:r w:rsidR="00F0149B">
        <w:t xml:space="preserve"> </w:t>
      </w:r>
      <w:r w:rsidRPr="007E6415">
        <w:t>[</w:t>
      </w:r>
      <w:r w:rsidR="00526C09">
        <w:t>X</w:t>
      </w:r>
      <w:r w:rsidRPr="007E6415">
        <w:t>] No</w:t>
      </w:r>
    </w:p>
    <w:p w14:paraId="04D8D7A1" w14:textId="77777777" w:rsidR="00CF6542" w:rsidRPr="007E6415" w:rsidRDefault="00CF6542" w:rsidP="00C86E91">
      <w:pPr>
        <w:pStyle w:val="ListParagraph"/>
        <w:ind w:left="0"/>
        <w:rPr>
          <w:b/>
        </w:rPr>
      </w:pPr>
    </w:p>
    <w:p w14:paraId="0DD4F14A" w14:textId="77777777" w:rsidR="00C86E91" w:rsidRPr="007E6415" w:rsidRDefault="00CB1078" w:rsidP="00C86E91">
      <w:pPr>
        <w:pStyle w:val="ListParagraph"/>
        <w:ind w:left="0"/>
        <w:rPr>
          <w:b/>
        </w:rPr>
      </w:pPr>
      <w:r w:rsidRPr="007E6415">
        <w:rPr>
          <w:b/>
        </w:rPr>
        <w:t>Gifts or Payments</w:t>
      </w:r>
      <w:r w:rsidR="00C86E91" w:rsidRPr="007E6415">
        <w:rPr>
          <w:b/>
        </w:rPr>
        <w:t>:</w:t>
      </w:r>
    </w:p>
    <w:p w14:paraId="3D396765" w14:textId="0C87EAC1" w:rsidR="004D6E14" w:rsidRPr="007E6415" w:rsidRDefault="00C86E91">
      <w:pPr>
        <w:rPr>
          <w:b/>
        </w:rPr>
      </w:pPr>
      <w:r w:rsidRPr="007E6415">
        <w:t>Is an incentive (e.g., money or reimbursement of expenses, token of appreciation) provided to participants?</w:t>
      </w:r>
      <w:r w:rsidR="00F0149B">
        <w:t xml:space="preserve"> </w:t>
      </w:r>
      <w:r w:rsidRPr="007E6415">
        <w:t>[ ] Y</w:t>
      </w:r>
      <w:r w:rsidR="00E44672">
        <w:t xml:space="preserve"> </w:t>
      </w:r>
      <w:r w:rsidR="00E44672" w:rsidRPr="007E6415">
        <w:t>[</w:t>
      </w:r>
      <w:r w:rsidR="00526C09">
        <w:t>X</w:t>
      </w:r>
      <w:r w:rsidR="00E44672" w:rsidRPr="007E6415">
        <w:t>] No</w:t>
      </w:r>
    </w:p>
    <w:p w14:paraId="5E405A6B" w14:textId="77777777" w:rsidR="00F24CFC" w:rsidRPr="007E6415" w:rsidRDefault="00F24CFC">
      <w:pPr>
        <w:rPr>
          <w:b/>
        </w:rPr>
      </w:pPr>
    </w:p>
    <w:p w14:paraId="672ADBC9" w14:textId="77777777" w:rsidR="00C86E91" w:rsidRPr="007E6415" w:rsidRDefault="00C86E91">
      <w:pPr>
        <w:rPr>
          <w:b/>
        </w:rPr>
      </w:pPr>
    </w:p>
    <w:p w14:paraId="723EADC5" w14:textId="77777777" w:rsidR="005E714A" w:rsidRPr="007E6415" w:rsidRDefault="005E714A" w:rsidP="00C86E91">
      <w:pPr>
        <w:rPr>
          <w:i/>
        </w:rPr>
      </w:pPr>
      <w:r w:rsidRPr="007E6415">
        <w:rPr>
          <w:b/>
        </w:rPr>
        <w:t>BURDEN HOUR</w:t>
      </w:r>
      <w:r w:rsidR="00441434" w:rsidRPr="007E6415">
        <w:rPr>
          <w:b/>
        </w:rPr>
        <w:t>S</w:t>
      </w:r>
      <w:r w:rsidRPr="007E6415">
        <w:t xml:space="preserve"> </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0"/>
        <w:gridCol w:w="1555"/>
        <w:gridCol w:w="1530"/>
        <w:gridCol w:w="1530"/>
        <w:gridCol w:w="1595"/>
        <w:gridCol w:w="1200"/>
      </w:tblGrid>
      <w:tr w:rsidR="00207518" w:rsidRPr="007E6415" w14:paraId="4EA0DAE2" w14:textId="77777777" w:rsidTr="006A79D0">
        <w:trPr>
          <w:trHeight w:val="593"/>
        </w:trPr>
        <w:tc>
          <w:tcPr>
            <w:tcW w:w="2850" w:type="dxa"/>
          </w:tcPr>
          <w:p w14:paraId="538BF148" w14:textId="77777777" w:rsidR="00207518" w:rsidRPr="007E6415" w:rsidRDefault="00207518" w:rsidP="00C8488C">
            <w:pPr>
              <w:rPr>
                <w:b/>
              </w:rPr>
            </w:pPr>
            <w:r w:rsidRPr="007E6415">
              <w:rPr>
                <w:b/>
              </w:rPr>
              <w:t xml:space="preserve">Category of Respondent </w:t>
            </w:r>
          </w:p>
        </w:tc>
        <w:tc>
          <w:tcPr>
            <w:tcW w:w="1555" w:type="dxa"/>
          </w:tcPr>
          <w:p w14:paraId="73F0DBDF" w14:textId="521051C9" w:rsidR="00116933" w:rsidRDefault="00116933" w:rsidP="00116933">
            <w:pPr>
              <w:rPr>
                <w:b/>
              </w:rPr>
            </w:pPr>
            <w:r>
              <w:rPr>
                <w:b/>
              </w:rPr>
              <w:t xml:space="preserve">Sample Size Goal </w:t>
            </w:r>
          </w:p>
          <w:p w14:paraId="3AB4497F" w14:textId="7A300287" w:rsidR="00207518" w:rsidRPr="007E6415" w:rsidRDefault="00207518" w:rsidP="00116933">
            <w:pPr>
              <w:rPr>
                <w:b/>
              </w:rPr>
            </w:pPr>
            <w:r>
              <w:rPr>
                <w:b/>
              </w:rPr>
              <w:t xml:space="preserve"> Round 1</w:t>
            </w:r>
          </w:p>
        </w:tc>
        <w:tc>
          <w:tcPr>
            <w:tcW w:w="1530" w:type="dxa"/>
          </w:tcPr>
          <w:p w14:paraId="5DCED5F1" w14:textId="443F1A35" w:rsidR="00116933" w:rsidRDefault="00116933" w:rsidP="00116933">
            <w:pPr>
              <w:rPr>
                <w:b/>
              </w:rPr>
            </w:pPr>
            <w:r>
              <w:rPr>
                <w:b/>
              </w:rPr>
              <w:t>Sample Size Goal</w:t>
            </w:r>
          </w:p>
          <w:p w14:paraId="627DCADA" w14:textId="43DD3048" w:rsidR="00207518" w:rsidRPr="007E6415" w:rsidRDefault="00207518" w:rsidP="00116933">
            <w:pPr>
              <w:rPr>
                <w:b/>
              </w:rPr>
            </w:pPr>
            <w:r>
              <w:rPr>
                <w:b/>
              </w:rPr>
              <w:t>Round 2</w:t>
            </w:r>
          </w:p>
        </w:tc>
        <w:tc>
          <w:tcPr>
            <w:tcW w:w="1530" w:type="dxa"/>
          </w:tcPr>
          <w:p w14:paraId="21AABBDA" w14:textId="5883816A" w:rsidR="00116933" w:rsidRDefault="00116933" w:rsidP="00843796">
            <w:pPr>
              <w:rPr>
                <w:b/>
              </w:rPr>
            </w:pPr>
            <w:r>
              <w:rPr>
                <w:b/>
              </w:rPr>
              <w:t>Sample Size Goal</w:t>
            </w:r>
          </w:p>
          <w:p w14:paraId="33CF3668" w14:textId="52EB2301" w:rsidR="00207518" w:rsidRPr="007E6415" w:rsidRDefault="00207518" w:rsidP="00843796">
            <w:pPr>
              <w:rPr>
                <w:b/>
              </w:rPr>
            </w:pPr>
            <w:r>
              <w:rPr>
                <w:b/>
              </w:rPr>
              <w:t>Round 3</w:t>
            </w:r>
          </w:p>
        </w:tc>
        <w:tc>
          <w:tcPr>
            <w:tcW w:w="1595" w:type="dxa"/>
          </w:tcPr>
          <w:p w14:paraId="31746E05" w14:textId="6F9B4C68" w:rsidR="00207518" w:rsidRPr="007E6415" w:rsidRDefault="00207518" w:rsidP="00843796">
            <w:pPr>
              <w:rPr>
                <w:b/>
              </w:rPr>
            </w:pPr>
            <w:r w:rsidRPr="007E6415">
              <w:rPr>
                <w:b/>
              </w:rPr>
              <w:t>Participation Time</w:t>
            </w:r>
            <w:r>
              <w:rPr>
                <w:b/>
              </w:rPr>
              <w:t xml:space="preserve"> (hours)</w:t>
            </w:r>
          </w:p>
        </w:tc>
        <w:tc>
          <w:tcPr>
            <w:tcW w:w="1200" w:type="dxa"/>
          </w:tcPr>
          <w:p w14:paraId="5AAD8A56" w14:textId="77777777" w:rsidR="00207518" w:rsidRPr="007E6415" w:rsidRDefault="00207518" w:rsidP="00843796">
            <w:pPr>
              <w:rPr>
                <w:b/>
              </w:rPr>
            </w:pPr>
            <w:r w:rsidRPr="007E6415">
              <w:rPr>
                <w:b/>
              </w:rPr>
              <w:t>Burden</w:t>
            </w:r>
            <w:r>
              <w:rPr>
                <w:b/>
              </w:rPr>
              <w:t xml:space="preserve"> Hours</w:t>
            </w:r>
          </w:p>
        </w:tc>
      </w:tr>
      <w:tr w:rsidR="00207518" w:rsidRPr="007E6415" w14:paraId="6B0544AF" w14:textId="77777777" w:rsidTr="006A79D0">
        <w:trPr>
          <w:trHeight w:val="274"/>
        </w:trPr>
        <w:tc>
          <w:tcPr>
            <w:tcW w:w="2850" w:type="dxa"/>
          </w:tcPr>
          <w:p w14:paraId="0BFA018C" w14:textId="2DF54F8C" w:rsidR="00207518" w:rsidRPr="007E6415" w:rsidRDefault="00207518" w:rsidP="002D0E34">
            <w:r>
              <w:t xml:space="preserve">EIA-860 Respondents Cognitive Interviews </w:t>
            </w:r>
          </w:p>
        </w:tc>
        <w:tc>
          <w:tcPr>
            <w:tcW w:w="1555" w:type="dxa"/>
          </w:tcPr>
          <w:p w14:paraId="111A0B7D" w14:textId="24C53C52" w:rsidR="00207518" w:rsidRPr="007E6415" w:rsidRDefault="00207518" w:rsidP="00011CFB">
            <w:r>
              <w:t>10</w:t>
            </w:r>
          </w:p>
        </w:tc>
        <w:tc>
          <w:tcPr>
            <w:tcW w:w="1530" w:type="dxa"/>
          </w:tcPr>
          <w:p w14:paraId="287E2056" w14:textId="31C931B9" w:rsidR="00207518" w:rsidRDefault="00207518" w:rsidP="00843796">
            <w:r>
              <w:t>5</w:t>
            </w:r>
          </w:p>
        </w:tc>
        <w:tc>
          <w:tcPr>
            <w:tcW w:w="1530" w:type="dxa"/>
          </w:tcPr>
          <w:p w14:paraId="1E62EB5E" w14:textId="0E855EA0" w:rsidR="00207518" w:rsidRDefault="00207518" w:rsidP="00843796">
            <w:r>
              <w:t>5</w:t>
            </w:r>
          </w:p>
        </w:tc>
        <w:tc>
          <w:tcPr>
            <w:tcW w:w="1595" w:type="dxa"/>
          </w:tcPr>
          <w:p w14:paraId="2F3773A8" w14:textId="2F670621" w:rsidR="00207518" w:rsidRPr="007E6415" w:rsidRDefault="00207518" w:rsidP="00843796">
            <w:r>
              <w:t xml:space="preserve">1.5 </w:t>
            </w:r>
          </w:p>
        </w:tc>
        <w:tc>
          <w:tcPr>
            <w:tcW w:w="1200" w:type="dxa"/>
          </w:tcPr>
          <w:p w14:paraId="7D5CC52D" w14:textId="48089A65" w:rsidR="00207518" w:rsidRPr="007E6415" w:rsidRDefault="00207518" w:rsidP="00590CAB">
            <w:r>
              <w:t>30</w:t>
            </w:r>
          </w:p>
        </w:tc>
      </w:tr>
      <w:tr w:rsidR="00207518" w:rsidRPr="007E6415" w14:paraId="5D99C771" w14:textId="77777777" w:rsidTr="006A79D0">
        <w:trPr>
          <w:trHeight w:val="274"/>
        </w:trPr>
        <w:tc>
          <w:tcPr>
            <w:tcW w:w="2850" w:type="dxa"/>
          </w:tcPr>
          <w:p w14:paraId="2DE4B056" w14:textId="34922312" w:rsidR="00207518" w:rsidRDefault="00207518" w:rsidP="002D0E34">
            <w:r>
              <w:t>EIA-861 Respondents Cognitive Interviews</w:t>
            </w:r>
          </w:p>
        </w:tc>
        <w:tc>
          <w:tcPr>
            <w:tcW w:w="1555" w:type="dxa"/>
          </w:tcPr>
          <w:p w14:paraId="394D964E" w14:textId="2FD99686" w:rsidR="00207518" w:rsidRDefault="00207518" w:rsidP="00011CFB">
            <w:r>
              <w:t>10</w:t>
            </w:r>
          </w:p>
        </w:tc>
        <w:tc>
          <w:tcPr>
            <w:tcW w:w="1530" w:type="dxa"/>
          </w:tcPr>
          <w:p w14:paraId="0C5894BD" w14:textId="2D8BE07D" w:rsidR="00207518" w:rsidRDefault="00207518" w:rsidP="00843796">
            <w:r>
              <w:t>5</w:t>
            </w:r>
          </w:p>
        </w:tc>
        <w:tc>
          <w:tcPr>
            <w:tcW w:w="1530" w:type="dxa"/>
          </w:tcPr>
          <w:p w14:paraId="2A12636E" w14:textId="6A2FF65F" w:rsidR="00207518" w:rsidRDefault="00207518" w:rsidP="00843796">
            <w:r>
              <w:t>5</w:t>
            </w:r>
          </w:p>
        </w:tc>
        <w:tc>
          <w:tcPr>
            <w:tcW w:w="1595" w:type="dxa"/>
          </w:tcPr>
          <w:p w14:paraId="708BF79D" w14:textId="53EC44A5" w:rsidR="00207518" w:rsidRDefault="00207518" w:rsidP="00843796">
            <w:r>
              <w:t>1.5</w:t>
            </w:r>
          </w:p>
        </w:tc>
        <w:tc>
          <w:tcPr>
            <w:tcW w:w="1200" w:type="dxa"/>
          </w:tcPr>
          <w:p w14:paraId="44A7349A" w14:textId="0D17FB32" w:rsidR="00207518" w:rsidRDefault="00207518" w:rsidP="00590CAB">
            <w:r>
              <w:t>30</w:t>
            </w:r>
          </w:p>
        </w:tc>
      </w:tr>
      <w:tr w:rsidR="00207518" w:rsidRPr="007E6415" w14:paraId="4CE75511" w14:textId="77777777" w:rsidTr="006A79D0">
        <w:trPr>
          <w:trHeight w:val="274"/>
        </w:trPr>
        <w:tc>
          <w:tcPr>
            <w:tcW w:w="2850" w:type="dxa"/>
          </w:tcPr>
          <w:p w14:paraId="59C98EDE" w14:textId="32945029" w:rsidR="00207518" w:rsidRDefault="00207518" w:rsidP="002D0E34">
            <w:r>
              <w:t>EIA-923 Respondents Cognitive Interviews</w:t>
            </w:r>
          </w:p>
        </w:tc>
        <w:tc>
          <w:tcPr>
            <w:tcW w:w="1555" w:type="dxa"/>
          </w:tcPr>
          <w:p w14:paraId="247AD037" w14:textId="13BF131F" w:rsidR="00207518" w:rsidRDefault="00207518" w:rsidP="00011CFB">
            <w:r>
              <w:t>10</w:t>
            </w:r>
          </w:p>
        </w:tc>
        <w:tc>
          <w:tcPr>
            <w:tcW w:w="1530" w:type="dxa"/>
          </w:tcPr>
          <w:p w14:paraId="1273F4FA" w14:textId="4D0B87FB" w:rsidR="00207518" w:rsidRDefault="00207518" w:rsidP="00843796">
            <w:r>
              <w:t>5</w:t>
            </w:r>
          </w:p>
        </w:tc>
        <w:tc>
          <w:tcPr>
            <w:tcW w:w="1530" w:type="dxa"/>
          </w:tcPr>
          <w:p w14:paraId="46E4328F" w14:textId="4E6C907C" w:rsidR="00207518" w:rsidRDefault="00207518" w:rsidP="00843796">
            <w:r>
              <w:t>5</w:t>
            </w:r>
          </w:p>
        </w:tc>
        <w:tc>
          <w:tcPr>
            <w:tcW w:w="1595" w:type="dxa"/>
          </w:tcPr>
          <w:p w14:paraId="1692813C" w14:textId="1E7D459C" w:rsidR="00207518" w:rsidRDefault="00207518" w:rsidP="00843796">
            <w:r>
              <w:t>1.5</w:t>
            </w:r>
          </w:p>
        </w:tc>
        <w:tc>
          <w:tcPr>
            <w:tcW w:w="1200" w:type="dxa"/>
          </w:tcPr>
          <w:p w14:paraId="0D749791" w14:textId="6C0C7338" w:rsidR="00207518" w:rsidRDefault="00207518" w:rsidP="00590CAB">
            <w:r>
              <w:t>30</w:t>
            </w:r>
          </w:p>
        </w:tc>
      </w:tr>
      <w:tr w:rsidR="00207518" w:rsidRPr="007E6415" w14:paraId="4A739161" w14:textId="77777777" w:rsidTr="006A79D0">
        <w:trPr>
          <w:trHeight w:val="274"/>
        </w:trPr>
        <w:tc>
          <w:tcPr>
            <w:tcW w:w="2850" w:type="dxa"/>
          </w:tcPr>
          <w:p w14:paraId="09753A34" w14:textId="7B2C88ED" w:rsidR="00207518" w:rsidRDefault="00207518" w:rsidP="00B276B8">
            <w:r w:rsidRPr="007E6415">
              <w:rPr>
                <w:b/>
              </w:rPr>
              <w:t>Totals</w:t>
            </w:r>
          </w:p>
        </w:tc>
        <w:tc>
          <w:tcPr>
            <w:tcW w:w="1555" w:type="dxa"/>
          </w:tcPr>
          <w:p w14:paraId="7146802E" w14:textId="172963E5" w:rsidR="00207518" w:rsidRDefault="00207518" w:rsidP="00011CFB">
            <w:r>
              <w:rPr>
                <w:b/>
              </w:rPr>
              <w:t>30</w:t>
            </w:r>
          </w:p>
        </w:tc>
        <w:tc>
          <w:tcPr>
            <w:tcW w:w="1530" w:type="dxa"/>
          </w:tcPr>
          <w:p w14:paraId="1385423B" w14:textId="35EFB8E4" w:rsidR="00207518" w:rsidRPr="00970C6E" w:rsidRDefault="00207518" w:rsidP="00843796">
            <w:pPr>
              <w:rPr>
                <w:b/>
              </w:rPr>
            </w:pPr>
            <w:r w:rsidRPr="00970C6E">
              <w:rPr>
                <w:b/>
              </w:rPr>
              <w:t>15</w:t>
            </w:r>
          </w:p>
        </w:tc>
        <w:tc>
          <w:tcPr>
            <w:tcW w:w="1530" w:type="dxa"/>
          </w:tcPr>
          <w:p w14:paraId="7EF8D023" w14:textId="1DD378A5" w:rsidR="00207518" w:rsidRPr="000A3D95" w:rsidRDefault="00207518" w:rsidP="00843796">
            <w:pPr>
              <w:rPr>
                <w:highlight w:val="black"/>
              </w:rPr>
            </w:pPr>
            <w:r w:rsidRPr="00480B8C">
              <w:rPr>
                <w:b/>
              </w:rPr>
              <w:t>15</w:t>
            </w:r>
          </w:p>
        </w:tc>
        <w:tc>
          <w:tcPr>
            <w:tcW w:w="1595" w:type="dxa"/>
          </w:tcPr>
          <w:p w14:paraId="38B053C1" w14:textId="3B747D54" w:rsidR="00207518" w:rsidRPr="000A3D95" w:rsidRDefault="00207518" w:rsidP="00843796">
            <w:pPr>
              <w:rPr>
                <w:highlight w:val="black"/>
              </w:rPr>
            </w:pPr>
          </w:p>
        </w:tc>
        <w:tc>
          <w:tcPr>
            <w:tcW w:w="1200" w:type="dxa"/>
          </w:tcPr>
          <w:p w14:paraId="5F89F472" w14:textId="34AD252E" w:rsidR="00207518" w:rsidRDefault="00207518" w:rsidP="00590CAB">
            <w:r>
              <w:rPr>
                <w:b/>
              </w:rPr>
              <w:t>90</w:t>
            </w:r>
          </w:p>
        </w:tc>
      </w:tr>
    </w:tbl>
    <w:p w14:paraId="741A830F" w14:textId="77777777" w:rsidR="00F3170F" w:rsidRPr="007E6415" w:rsidRDefault="00F3170F" w:rsidP="00F3170F"/>
    <w:p w14:paraId="11E64613" w14:textId="48D1D5B8" w:rsidR="001B4732" w:rsidRDefault="00590CAB" w:rsidP="00590CAB">
      <w:r w:rsidRPr="00CF1A15">
        <w:rPr>
          <w:b/>
        </w:rPr>
        <w:t>ESTIMATE OF RESPONDENT BURDEN HOURS AND COST</w:t>
      </w:r>
      <w:r w:rsidR="000B38E5">
        <w:rPr>
          <w:b/>
        </w:rPr>
        <w:t>:</w:t>
      </w:r>
      <w:r w:rsidR="00F0149B">
        <w:t xml:space="preserve"> </w:t>
      </w:r>
      <w:r>
        <w:t>The burden to respondents</w:t>
      </w:r>
      <w:r w:rsidR="008A509F">
        <w:t xml:space="preserve"> for </w:t>
      </w:r>
      <w:r w:rsidR="00207518">
        <w:t>60</w:t>
      </w:r>
      <w:r w:rsidR="008A509F">
        <w:t xml:space="preserve"> interviews</w:t>
      </w:r>
      <w:r>
        <w:t xml:space="preserve"> is </w:t>
      </w:r>
      <w:r w:rsidR="00207518">
        <w:t xml:space="preserve">90 </w:t>
      </w:r>
      <w:r>
        <w:t>hours and the cost</w:t>
      </w:r>
      <w:r w:rsidRPr="00E96631">
        <w:t xml:space="preserve"> to the respondents is estimated to be ($7</w:t>
      </w:r>
      <w:r w:rsidR="00221D7F">
        <w:t>5</w:t>
      </w:r>
      <w:r w:rsidRPr="00E96631">
        <w:t>.6</w:t>
      </w:r>
      <w:r w:rsidR="00221D7F">
        <w:t>9</w:t>
      </w:r>
      <w:r w:rsidRPr="00E96631">
        <w:t>*</w:t>
      </w:r>
      <w:r w:rsidR="00207518">
        <w:t>90</w:t>
      </w:r>
      <w:r w:rsidRPr="00E96631">
        <w:t xml:space="preserve">) = </w:t>
      </w:r>
      <w:r w:rsidR="00C53D71">
        <w:t>$</w:t>
      </w:r>
      <w:r w:rsidR="00207518">
        <w:t>6,812.</w:t>
      </w:r>
      <w:r w:rsidR="00F6248B">
        <w:t xml:space="preserve"> T</w:t>
      </w:r>
      <w:r w:rsidR="008A509F">
        <w:t xml:space="preserve">wo mock </w:t>
      </w:r>
      <w:r w:rsidR="00F6248B">
        <w:t>interview</w:t>
      </w:r>
      <w:r w:rsidR="008A509F">
        <w:t>s were conducted using the protocols. The</w:t>
      </w:r>
      <w:r w:rsidR="00740D21">
        <w:t xml:space="preserve"> interviews</w:t>
      </w:r>
      <w:r w:rsidR="008A509F">
        <w:t xml:space="preserve"> took 35 and 45 minutes respectively. The estimate of 60 minutes for </w:t>
      </w:r>
      <w:r w:rsidR="00740D21">
        <w:t>each</w:t>
      </w:r>
      <w:r w:rsidR="008A509F">
        <w:t xml:space="preserve"> interview is an accurate time estimate for gathering responses to the questions in the protocols.</w:t>
      </w:r>
      <w:r w:rsidR="00F6248B">
        <w:t xml:space="preserve"> </w:t>
      </w:r>
      <w:r w:rsidR="008A509F">
        <w:t>S</w:t>
      </w:r>
      <w:r w:rsidR="00F6248B">
        <w:t>ome participants will have shorter interviews than others based on knowledge, type of operation, and the ability to answer specific questions. 30 minu</w:t>
      </w:r>
      <w:r w:rsidR="003460B0">
        <w:t>tes w</w:t>
      </w:r>
      <w:r w:rsidR="00740D21">
        <w:t>as</w:t>
      </w:r>
      <w:r w:rsidR="003460B0">
        <w:t xml:space="preserve"> added to </w:t>
      </w:r>
      <w:r w:rsidR="008A509F">
        <w:t>each participant’s burden</w:t>
      </w:r>
      <w:r w:rsidR="00F6248B">
        <w:t xml:space="preserve"> time to account for the time a participant may </w:t>
      </w:r>
      <w:r w:rsidR="008A509F">
        <w:t xml:space="preserve">need to read the invitation, schedule the interview, </w:t>
      </w:r>
      <w:r w:rsidR="00F6248B">
        <w:t xml:space="preserve">prepare for the interview, and </w:t>
      </w:r>
      <w:r w:rsidR="008A509F">
        <w:t xml:space="preserve">review any past reports if needed. </w:t>
      </w:r>
    </w:p>
    <w:p w14:paraId="0A12353F" w14:textId="77777777" w:rsidR="001B4732" w:rsidRDefault="001B4732" w:rsidP="00590CAB"/>
    <w:p w14:paraId="21DB4801" w14:textId="22BD3CCB" w:rsidR="00590CAB" w:rsidRDefault="00CB1D22" w:rsidP="00590CAB">
      <w:pPr>
        <w:rPr>
          <w:rFonts w:asciiTheme="minorHAnsi" w:hAnsiTheme="minorHAnsi"/>
        </w:rPr>
      </w:pPr>
      <w:r>
        <w:t xml:space="preserve">EIA will conduct </w:t>
      </w:r>
      <w:r w:rsidR="001B4732">
        <w:t xml:space="preserve">three rounds </w:t>
      </w:r>
      <w:r>
        <w:t>of interviews compris</w:t>
      </w:r>
      <w:r w:rsidR="00116933">
        <w:t>ing</w:t>
      </w:r>
      <w:r>
        <w:t xml:space="preserve"> of </w:t>
      </w:r>
      <w:r w:rsidR="00207518">
        <w:t xml:space="preserve">10 interviews </w:t>
      </w:r>
      <w:r>
        <w:t>for each survey</w:t>
      </w:r>
      <w:r w:rsidR="001B4732">
        <w:t xml:space="preserve"> in the first round</w:t>
      </w:r>
      <w:r>
        <w:t>, then the results will be analyzed</w:t>
      </w:r>
      <w:r w:rsidR="001B4732">
        <w:t xml:space="preserve"> to determine if sufficient information has been collected to satisfy the research goals based on the different classes of respondents</w:t>
      </w:r>
      <w:r>
        <w:t>. If</w:t>
      </w:r>
      <w:r w:rsidR="00116933">
        <w:t xml:space="preserve"> additional information is </w:t>
      </w:r>
      <w:r>
        <w:t>needed</w:t>
      </w:r>
      <w:r w:rsidR="00116933">
        <w:t xml:space="preserve"> to determine if “saturation” has been reach, then</w:t>
      </w:r>
      <w:r>
        <w:t xml:space="preserve"> EIA will conduct </w:t>
      </w:r>
      <w:r w:rsidR="00116933">
        <w:t>a 2</w:t>
      </w:r>
      <w:r w:rsidR="00116933" w:rsidRPr="00970C6E">
        <w:rPr>
          <w:vertAlign w:val="superscript"/>
        </w:rPr>
        <w:t>nd</w:t>
      </w:r>
      <w:r w:rsidR="00116933">
        <w:t xml:space="preserve"> round of 5</w:t>
      </w:r>
      <w:r>
        <w:t xml:space="preserve"> interviews</w:t>
      </w:r>
      <w:r w:rsidR="00116933">
        <w:t>, analyze the additional information, and if needed, will conduct a 3</w:t>
      </w:r>
      <w:r w:rsidR="00116933" w:rsidRPr="00970C6E">
        <w:rPr>
          <w:vertAlign w:val="superscript"/>
        </w:rPr>
        <w:t>rd</w:t>
      </w:r>
      <w:r w:rsidR="00116933">
        <w:t xml:space="preserve"> round of 5 interview</w:t>
      </w:r>
      <w:r>
        <w:t xml:space="preserve"> </w:t>
      </w:r>
      <w:r w:rsidR="00116933">
        <w:t xml:space="preserve">to collect </w:t>
      </w:r>
      <w:r>
        <w:t>a sufficient amount of information to meet project objectives and the saturation point has been reached</w:t>
      </w:r>
      <w:r w:rsidR="00116933">
        <w:t xml:space="preserve"> with the different categories of respondents</w:t>
      </w:r>
      <w:r>
        <w:t>.</w:t>
      </w:r>
    </w:p>
    <w:p w14:paraId="74660668" w14:textId="77777777" w:rsidR="00590CAB" w:rsidRDefault="00590CAB" w:rsidP="00590CAB">
      <w:pPr>
        <w:rPr>
          <w:b/>
        </w:rPr>
      </w:pPr>
    </w:p>
    <w:p w14:paraId="5DA46328" w14:textId="43220031" w:rsidR="002314A3" w:rsidRDefault="001C39F7" w:rsidP="0061689B">
      <w:r w:rsidRPr="007E6415">
        <w:rPr>
          <w:b/>
        </w:rPr>
        <w:t xml:space="preserve">FEDERAL </w:t>
      </w:r>
      <w:r w:rsidR="009F5923" w:rsidRPr="007E6415">
        <w:rPr>
          <w:b/>
        </w:rPr>
        <w:t>COST</w:t>
      </w:r>
      <w:r w:rsidR="00F06866" w:rsidRPr="007E6415">
        <w:rPr>
          <w:b/>
        </w:rPr>
        <w:t>:</w:t>
      </w:r>
      <w:r w:rsidR="00F0149B">
        <w:rPr>
          <w:b/>
        </w:rPr>
        <w:t xml:space="preserve"> </w:t>
      </w:r>
      <w:r w:rsidR="00C86E91" w:rsidRPr="007E6415">
        <w:t>The estimated annual cost to</w:t>
      </w:r>
      <w:r w:rsidR="00072268" w:rsidRPr="007E6415">
        <w:t xml:space="preserve"> the Federal government is</w:t>
      </w:r>
      <w:r w:rsidR="0092627E">
        <w:t>:</w:t>
      </w:r>
      <w:r w:rsidR="00190685">
        <w:t xml:space="preserve"> </w:t>
      </w:r>
      <w:r w:rsidR="00221D7F" w:rsidRPr="00E96631">
        <w:t>$</w:t>
      </w:r>
      <w:r w:rsidR="008F01E0">
        <w:t>11,897</w:t>
      </w:r>
      <w:r w:rsidR="00C40DFD">
        <w:t xml:space="preserve"> </w:t>
      </w:r>
    </w:p>
    <w:tbl>
      <w:tblPr>
        <w:tblStyle w:val="TableGrid"/>
        <w:tblW w:w="0" w:type="auto"/>
        <w:tblLook w:val="04A0" w:firstRow="1" w:lastRow="0" w:firstColumn="1" w:lastColumn="0" w:noHBand="0" w:noVBand="1"/>
      </w:tblPr>
      <w:tblGrid>
        <w:gridCol w:w="2337"/>
        <w:gridCol w:w="2337"/>
        <w:gridCol w:w="2338"/>
        <w:gridCol w:w="2338"/>
      </w:tblGrid>
      <w:tr w:rsidR="002314A3" w14:paraId="7A4B1C29" w14:textId="77777777" w:rsidTr="002314A3">
        <w:tc>
          <w:tcPr>
            <w:tcW w:w="2337" w:type="dxa"/>
          </w:tcPr>
          <w:p w14:paraId="11C05458" w14:textId="05132869" w:rsidR="002314A3" w:rsidRDefault="002314A3" w:rsidP="0061689B">
            <w:r>
              <w:t>Local trip</w:t>
            </w:r>
          </w:p>
        </w:tc>
        <w:tc>
          <w:tcPr>
            <w:tcW w:w="2337" w:type="dxa"/>
          </w:tcPr>
          <w:p w14:paraId="1A7065B9" w14:textId="4B01EF87" w:rsidR="002314A3" w:rsidRDefault="002314A3" w:rsidP="0061689B">
            <w:r>
              <w:t>$3,000</w:t>
            </w:r>
          </w:p>
        </w:tc>
        <w:tc>
          <w:tcPr>
            <w:tcW w:w="2338" w:type="dxa"/>
          </w:tcPr>
          <w:p w14:paraId="64FB350F" w14:textId="244EEE67" w:rsidR="002314A3" w:rsidRDefault="002314A3" w:rsidP="0061689B">
            <w:r>
              <w:t>2 trips ($1,500 each)</w:t>
            </w:r>
          </w:p>
        </w:tc>
        <w:tc>
          <w:tcPr>
            <w:tcW w:w="2338" w:type="dxa"/>
          </w:tcPr>
          <w:p w14:paraId="142F6BE6" w14:textId="031CAF87" w:rsidR="002314A3" w:rsidRDefault="002314A3" w:rsidP="0061689B">
            <w:r>
              <w:t>3 staff, transportation, housing</w:t>
            </w:r>
          </w:p>
        </w:tc>
      </w:tr>
      <w:tr w:rsidR="002314A3" w14:paraId="7A4D5DC4" w14:textId="77777777" w:rsidTr="002314A3">
        <w:tc>
          <w:tcPr>
            <w:tcW w:w="2337" w:type="dxa"/>
          </w:tcPr>
          <w:p w14:paraId="2E844748" w14:textId="2C90FDAD" w:rsidR="002314A3" w:rsidRDefault="002314A3" w:rsidP="005A6967">
            <w:r>
              <w:t>Non</w:t>
            </w:r>
            <w:r w:rsidR="005A6967">
              <w:t>-</w:t>
            </w:r>
            <w:r>
              <w:t xml:space="preserve">local trip </w:t>
            </w:r>
          </w:p>
        </w:tc>
        <w:tc>
          <w:tcPr>
            <w:tcW w:w="2337" w:type="dxa"/>
          </w:tcPr>
          <w:p w14:paraId="23AF6EB3" w14:textId="76D7972F" w:rsidR="002314A3" w:rsidRDefault="002314A3" w:rsidP="0061689B">
            <w:r>
              <w:t>$3,750</w:t>
            </w:r>
          </w:p>
        </w:tc>
        <w:tc>
          <w:tcPr>
            <w:tcW w:w="2338" w:type="dxa"/>
          </w:tcPr>
          <w:p w14:paraId="1C367ED4" w14:textId="61F4D44F" w:rsidR="002314A3" w:rsidRDefault="002314A3" w:rsidP="0061689B">
            <w:r>
              <w:t>1 trip</w:t>
            </w:r>
          </w:p>
        </w:tc>
        <w:tc>
          <w:tcPr>
            <w:tcW w:w="2338" w:type="dxa"/>
          </w:tcPr>
          <w:p w14:paraId="71AC4E86" w14:textId="0881CE64" w:rsidR="002314A3" w:rsidRDefault="002314A3" w:rsidP="0061689B">
            <w:r>
              <w:t>3 staff, transportation, housing</w:t>
            </w:r>
          </w:p>
        </w:tc>
      </w:tr>
      <w:tr w:rsidR="002314A3" w14:paraId="2B0F0BF0" w14:textId="77777777" w:rsidTr="002314A3">
        <w:tc>
          <w:tcPr>
            <w:tcW w:w="2337" w:type="dxa"/>
          </w:tcPr>
          <w:p w14:paraId="5E09D705" w14:textId="579081EB" w:rsidR="002314A3" w:rsidRDefault="002314A3" w:rsidP="0061689B">
            <w:r>
              <w:t>Interviews conducted at headquarters</w:t>
            </w:r>
          </w:p>
        </w:tc>
        <w:tc>
          <w:tcPr>
            <w:tcW w:w="2337" w:type="dxa"/>
          </w:tcPr>
          <w:p w14:paraId="3A8AB209" w14:textId="0A6E3F81" w:rsidR="002314A3" w:rsidRDefault="002314A3" w:rsidP="0061689B">
            <w:r>
              <w:t>$</w:t>
            </w:r>
            <w:r w:rsidR="008F01E0">
              <w:t>5,147</w:t>
            </w:r>
          </w:p>
        </w:tc>
        <w:tc>
          <w:tcPr>
            <w:tcW w:w="2338" w:type="dxa"/>
          </w:tcPr>
          <w:p w14:paraId="75DCC73A" w14:textId="4286FA53" w:rsidR="002314A3" w:rsidRDefault="008F01E0" w:rsidP="0061689B">
            <w:r>
              <w:t xml:space="preserve">45 </w:t>
            </w:r>
            <w:r w:rsidR="002314A3">
              <w:t>telephone interviews</w:t>
            </w:r>
          </w:p>
        </w:tc>
        <w:tc>
          <w:tcPr>
            <w:tcW w:w="2338" w:type="dxa"/>
          </w:tcPr>
          <w:p w14:paraId="31D3F29C" w14:textId="77777777" w:rsidR="002314A3" w:rsidRDefault="002314A3" w:rsidP="0061689B"/>
        </w:tc>
      </w:tr>
    </w:tbl>
    <w:p w14:paraId="7E6872F4" w14:textId="77777777" w:rsidR="002314A3" w:rsidRDefault="002314A3" w:rsidP="0061689B"/>
    <w:p w14:paraId="38327B8C" w14:textId="251DFDD6" w:rsidR="0061689B" w:rsidRDefault="0061689B" w:rsidP="00970C6E">
      <w:pPr>
        <w:pStyle w:val="Heading5"/>
        <w:rPr>
          <w:rFonts w:asciiTheme="minorHAnsi" w:hAnsiTheme="minorHAnsi"/>
        </w:rPr>
      </w:pPr>
      <w:r>
        <w:t xml:space="preserve">Two local trips, not requiring airline travel, </w:t>
      </w:r>
      <w:r w:rsidR="00C40DFD">
        <w:t>involving 3 staff</w:t>
      </w:r>
      <w:r w:rsidR="009B72B2">
        <w:t>,</w:t>
      </w:r>
      <w:r w:rsidR="00C40DFD">
        <w:t xml:space="preserve"> total transportation</w:t>
      </w:r>
      <w:r w:rsidR="009B72B2">
        <w:t>,</w:t>
      </w:r>
      <w:r w:rsidR="00C40DFD">
        <w:t xml:space="preserve"> and housing cost</w:t>
      </w:r>
      <w:r w:rsidR="007B16D8">
        <w:t xml:space="preserve">s </w:t>
      </w:r>
      <w:r w:rsidR="000A3D95">
        <w:t xml:space="preserve">are </w:t>
      </w:r>
      <w:r w:rsidR="007B16D8">
        <w:t>estimated at $</w:t>
      </w:r>
      <w:r w:rsidR="002D0E34">
        <w:t>1,500</w:t>
      </w:r>
      <w:r w:rsidR="007B16D8">
        <w:t xml:space="preserve"> per trip, </w:t>
      </w:r>
      <w:r w:rsidR="00C40DFD">
        <w:t xml:space="preserve">based on </w:t>
      </w:r>
      <w:r w:rsidR="002D0E34">
        <w:t>3</w:t>
      </w:r>
      <w:r w:rsidR="00C40DFD">
        <w:t xml:space="preserve"> day travel period.</w:t>
      </w:r>
      <w:r>
        <w:t xml:space="preserve"> </w:t>
      </w:r>
      <w:r w:rsidR="000A3D95">
        <w:t>O</w:t>
      </w:r>
      <w:r>
        <w:t>ne non-local trip involving 3 staff, total transportation, and housing costs estimated at $3,750. This non-local trip is based on 5 day travel period.</w:t>
      </w:r>
      <w:r w:rsidR="00F0149B">
        <w:t xml:space="preserve"> </w:t>
      </w:r>
      <w:r w:rsidR="002314A3">
        <w:t xml:space="preserve">In addition, there will be </w:t>
      </w:r>
      <w:r w:rsidR="008F01E0">
        <w:t xml:space="preserve">68 </w:t>
      </w:r>
      <w:r w:rsidR="002314A3">
        <w:t xml:space="preserve">hours of staff time to conduct </w:t>
      </w:r>
      <w:r w:rsidR="008F01E0">
        <w:t>4</w:t>
      </w:r>
      <w:r w:rsidR="002314A3">
        <w:t>5 telephone cognitive interviews</w:t>
      </w:r>
      <w:r w:rsidR="00F4269B">
        <w:t xml:space="preserve"> (68 = 45 * 1.5 hours).  1.5 hours of cost is allocated to the government for each interview. 1 hour for the interview and 0.5 hours for the interviewers to de-brief each other and record their note in the project spreadsheet. The estimate cost to the government for the 68 hours is $5,147.</w:t>
      </w:r>
      <w:r w:rsidR="002314A3">
        <w:t xml:space="preserve"> (</w:t>
      </w:r>
      <w:r w:rsidR="008F01E0">
        <w:t>68</w:t>
      </w:r>
      <w:r w:rsidR="002314A3">
        <w:t xml:space="preserve"> * </w:t>
      </w:r>
      <w:r w:rsidR="00F4269B">
        <w:t>$</w:t>
      </w:r>
      <w:r w:rsidR="002314A3">
        <w:t>75.69 = $</w:t>
      </w:r>
      <w:r w:rsidR="008F01E0">
        <w:t>5,147</w:t>
      </w:r>
      <w:r w:rsidR="002314A3">
        <w:t>)</w:t>
      </w:r>
    </w:p>
    <w:p w14:paraId="50FFB4F6" w14:textId="5269997F" w:rsidR="00DD6FE7" w:rsidRDefault="00DD6FE7" w:rsidP="00DD6FE7">
      <w:pPr>
        <w:rPr>
          <w:rFonts w:asciiTheme="minorHAnsi" w:hAnsiTheme="minorHAnsi"/>
        </w:rPr>
      </w:pPr>
    </w:p>
    <w:p w14:paraId="620100E3" w14:textId="77777777" w:rsidR="00ED6492" w:rsidRPr="007E6415" w:rsidRDefault="00ED6492">
      <w:pPr>
        <w:rPr>
          <w:b/>
          <w:bCs/>
          <w:u w:val="single"/>
        </w:rPr>
      </w:pPr>
    </w:p>
    <w:p w14:paraId="5B8C008B"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24FDCCE8" w14:textId="77777777" w:rsidR="0069403B" w:rsidRPr="007E6415" w:rsidRDefault="0069403B" w:rsidP="00F06866">
      <w:pPr>
        <w:rPr>
          <w:b/>
        </w:rPr>
      </w:pPr>
    </w:p>
    <w:p w14:paraId="37AAB626"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2B1AAFCA" w14:textId="2AE046F2"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526C09">
        <w:t>X</w:t>
      </w:r>
      <w:r w:rsidRPr="007E6415">
        <w:t>] Yes</w:t>
      </w:r>
      <w:r w:rsidRPr="007E6415">
        <w:tab/>
        <w:t>[</w:t>
      </w:r>
      <w:r w:rsidR="007E6415" w:rsidRPr="007E6415">
        <w:t xml:space="preserve"> </w:t>
      </w:r>
      <w:r w:rsidRPr="007E6415">
        <w:t>] No</w:t>
      </w:r>
    </w:p>
    <w:p w14:paraId="39D6A602" w14:textId="77777777" w:rsidR="00636621" w:rsidRPr="007E6415" w:rsidRDefault="00636621" w:rsidP="00636621">
      <w:pPr>
        <w:pStyle w:val="ListParagraph"/>
      </w:pPr>
    </w:p>
    <w:p w14:paraId="7AAB7B75" w14:textId="0A9FD2A3" w:rsidR="00636621" w:rsidRDefault="00636621" w:rsidP="001B0AAA">
      <w:r w:rsidRPr="007E6415">
        <w:t>If the answer is yes, please provide a description of both below</w:t>
      </w:r>
      <w:r w:rsidR="00A403BB" w:rsidRPr="007E6415">
        <w:t xml:space="preserve"> (or attach the sampling plan)</w:t>
      </w:r>
      <w:r w:rsidRPr="007E6415">
        <w:t>?</w:t>
      </w:r>
      <w:r w:rsidR="00F0149B">
        <w:t xml:space="preserve"> </w:t>
      </w:r>
      <w:r w:rsidRPr="007E6415">
        <w:t xml:space="preserve"> If the answer is no, please provide a description of how you plan to identify your potential group of respondents</w:t>
      </w:r>
      <w:r w:rsidR="001B0AAA" w:rsidRPr="007E6415">
        <w:t xml:space="preserve"> and how you will select them</w:t>
      </w:r>
      <w:r w:rsidRPr="007E6415">
        <w:t>?</w:t>
      </w:r>
    </w:p>
    <w:p w14:paraId="1FAC2474" w14:textId="77777777" w:rsidR="00222ECB" w:rsidRDefault="00222ECB" w:rsidP="001B0AAA"/>
    <w:p w14:paraId="70E119A7" w14:textId="760AE486" w:rsidR="00026FED" w:rsidRPr="00970C6E" w:rsidRDefault="00563234" w:rsidP="00970C6E">
      <w:pPr>
        <w:autoSpaceDE w:val="0"/>
        <w:autoSpaceDN w:val="0"/>
        <w:rPr>
          <w:sz w:val="22"/>
          <w:szCs w:val="22"/>
        </w:rPr>
      </w:pPr>
      <w:r w:rsidRPr="00AC7918">
        <w:t xml:space="preserve">EIA will recruit respondents to participate in </w:t>
      </w:r>
      <w:r w:rsidR="008F2462">
        <w:t xml:space="preserve">this </w:t>
      </w:r>
      <w:r w:rsidRPr="00AC7918">
        <w:t>cognitive research by contacting active companies</w:t>
      </w:r>
      <w:r w:rsidR="009703D7">
        <w:t>, by email,</w:t>
      </w:r>
      <w:r w:rsidRPr="00AC7918">
        <w:t xml:space="preserve"> in the current frame file</w:t>
      </w:r>
      <w:r w:rsidR="002314A3">
        <w:t>s</w:t>
      </w:r>
      <w:r w:rsidRPr="00AC7918">
        <w:t xml:space="preserve"> for Form</w:t>
      </w:r>
      <w:r w:rsidR="00FC4767">
        <w:t>s EIA-</w:t>
      </w:r>
      <w:r w:rsidR="002D0E34">
        <w:t>860 EIA-</w:t>
      </w:r>
      <w:r w:rsidR="00E8104C">
        <w:t>,</w:t>
      </w:r>
      <w:r w:rsidR="002D0E34">
        <w:t xml:space="preserve"> and EIA-923</w:t>
      </w:r>
      <w:r w:rsidR="000B4993">
        <w:t xml:space="preserve">. </w:t>
      </w:r>
      <w:r w:rsidR="009703D7">
        <w:t>EIA will identify respondents (large power producers) that report on both Forms EIA-860 and EIA-923 for inviting their participation in an in-person interview.</w:t>
      </w:r>
      <w:r w:rsidR="00E574C9">
        <w:t xml:space="preserve"> Table 1 shows the s</w:t>
      </w:r>
      <w:r w:rsidR="00372490">
        <w:t>ample</w:t>
      </w:r>
      <w:r w:rsidR="00E574C9">
        <w:t xml:space="preserve"> size</w:t>
      </w:r>
      <w:r w:rsidR="00207518">
        <w:t xml:space="preserve"> goals</w:t>
      </w:r>
      <w:r w:rsidR="00E574C9">
        <w:t xml:space="preserve"> for each stratum in the sample</w:t>
      </w:r>
      <w:r w:rsidR="00372490">
        <w:t xml:space="preserve"> design</w:t>
      </w:r>
      <w:r w:rsidR="00E574C9">
        <w:t>.</w:t>
      </w:r>
      <w:r w:rsidR="00F0149B">
        <w:t xml:space="preserve"> </w:t>
      </w:r>
      <w:r w:rsidR="00026FED">
        <w:t>EIA has identified 300 respondents t</w:t>
      </w:r>
      <w:r w:rsidR="008066C4">
        <w:t>hat file F</w:t>
      </w:r>
      <w:r w:rsidR="00026FED">
        <w:t xml:space="preserve">orm EIA-861 that have </w:t>
      </w:r>
      <w:r w:rsidR="00026FED" w:rsidRPr="00970C6E">
        <w:t xml:space="preserve">both </w:t>
      </w:r>
      <w:r w:rsidR="003460B0" w:rsidRPr="00970C6E">
        <w:t xml:space="preserve">demand response </w:t>
      </w:r>
      <w:r w:rsidR="00026FED" w:rsidRPr="00970C6E">
        <w:t xml:space="preserve">and </w:t>
      </w:r>
      <w:r w:rsidR="003460B0">
        <w:t>System Average Interruption Frequency Index /</w:t>
      </w:r>
      <w:r w:rsidR="003460B0" w:rsidRPr="00970C6E">
        <w:t xml:space="preserve"> System Average Interruption Duration Index</w:t>
      </w:r>
      <w:r w:rsidR="00026FED" w:rsidRPr="00970C6E">
        <w:t xml:space="preserve">. </w:t>
      </w:r>
      <w:r w:rsidR="000B4993">
        <w:t xml:space="preserve">Form EIA-861 </w:t>
      </w:r>
      <w:r w:rsidR="00740D21">
        <w:t xml:space="preserve">respondents </w:t>
      </w:r>
      <w:r w:rsidR="00026FED" w:rsidRPr="00970C6E">
        <w:t>are classified as small</w:t>
      </w:r>
      <w:r w:rsidR="00DA6871">
        <w:t>,</w:t>
      </w:r>
      <w:r w:rsidR="00026FED" w:rsidRPr="00970C6E">
        <w:t xml:space="preserve"> and large </w:t>
      </w:r>
      <w:r w:rsidR="00DA6871">
        <w:t xml:space="preserve">size </w:t>
      </w:r>
      <w:r w:rsidR="00026FED" w:rsidRPr="00970C6E">
        <w:t xml:space="preserve">companies based on </w:t>
      </w:r>
      <w:r w:rsidR="00DA6871">
        <w:t xml:space="preserve">annual </w:t>
      </w:r>
      <w:r w:rsidR="00026FED" w:rsidRPr="00970C6E">
        <w:t xml:space="preserve">revenue. EIA will recruit </w:t>
      </w:r>
      <w:r w:rsidR="00207518">
        <w:t>10</w:t>
      </w:r>
      <w:r w:rsidR="00026FED" w:rsidRPr="00970C6E">
        <w:t xml:space="preserve"> large companies with &gt;$500 million in revenue, </w:t>
      </w:r>
      <w:r w:rsidR="00207518" w:rsidRPr="00970C6E">
        <w:t>10</w:t>
      </w:r>
      <w:r w:rsidR="00026FED" w:rsidRPr="00970C6E">
        <w:t xml:space="preserve"> </w:t>
      </w:r>
      <w:r w:rsidR="00740D21" w:rsidRPr="00970C6E">
        <w:t>medium/small size compa</w:t>
      </w:r>
      <w:r w:rsidR="008066C4" w:rsidRPr="00970C6E">
        <w:t>n</w:t>
      </w:r>
      <w:r w:rsidR="00740D21" w:rsidRPr="00970C6E">
        <w:t xml:space="preserve">ies </w:t>
      </w:r>
      <w:r w:rsidR="00372490" w:rsidRPr="00970C6E">
        <w:t xml:space="preserve">with </w:t>
      </w:r>
      <w:r w:rsidR="00026FED" w:rsidRPr="00970C6E">
        <w:t>&lt;$500</w:t>
      </w:r>
      <w:r w:rsidR="00740D21" w:rsidRPr="00970C6E">
        <w:t xml:space="preserve"> million</w:t>
      </w:r>
      <w:r w:rsidR="00026FED" w:rsidRPr="00970C6E">
        <w:t xml:space="preserve"> in revenue per year.</w:t>
      </w:r>
      <w:r w:rsidR="000B4993" w:rsidRPr="000B4993">
        <w:t xml:space="preserve"> </w:t>
      </w:r>
      <w:r w:rsidR="000B4993">
        <w:t xml:space="preserve">EIA has identified </w:t>
      </w:r>
      <w:r w:rsidR="008066C4">
        <w:t xml:space="preserve">95 </w:t>
      </w:r>
      <w:r w:rsidR="000B4993">
        <w:t xml:space="preserve">companies that currently </w:t>
      </w:r>
      <w:r w:rsidR="008066C4">
        <w:t>file</w:t>
      </w:r>
      <w:r w:rsidR="000B4993">
        <w:t xml:space="preserve"> Form EIA-923 and</w:t>
      </w:r>
      <w:r w:rsidR="008066C4">
        <w:t xml:space="preserve"> 153 companies that currently report on Form</w:t>
      </w:r>
      <w:r w:rsidR="00D34664">
        <w:t xml:space="preserve"> EIA-860,</w:t>
      </w:r>
      <w:r w:rsidR="000B4993">
        <w:t xml:space="preserve"> that have battery storage or a microgrid.</w:t>
      </w:r>
      <w:r w:rsidR="000B4993" w:rsidRPr="000B4993">
        <w:t xml:space="preserve"> </w:t>
      </w:r>
      <w:r w:rsidR="008066C4">
        <w:t xml:space="preserve">Respondents to </w:t>
      </w:r>
      <w:r w:rsidR="00815089">
        <w:t>Form EIA-923</w:t>
      </w:r>
      <w:r w:rsidR="008066C4">
        <w:t xml:space="preserve"> are a sample drawn from the </w:t>
      </w:r>
      <w:r w:rsidR="00815089">
        <w:t xml:space="preserve">EIA-860 </w:t>
      </w:r>
      <w:r w:rsidR="008066C4">
        <w:t xml:space="preserve">frame file. </w:t>
      </w:r>
      <w:r w:rsidR="00815089">
        <w:t xml:space="preserve">. </w:t>
      </w:r>
      <w:r w:rsidR="000B4993">
        <w:t>Form EIA-923</w:t>
      </w:r>
      <w:r w:rsidR="00E574C9">
        <w:t xml:space="preserve"> </w:t>
      </w:r>
      <w:r w:rsidR="00052712">
        <w:t xml:space="preserve">and Form EIA-860 </w:t>
      </w:r>
      <w:r w:rsidR="00E574C9">
        <w:t>respondents</w:t>
      </w:r>
      <w:r w:rsidR="000B4993">
        <w:t xml:space="preserve"> </w:t>
      </w:r>
      <w:r w:rsidR="000B4993" w:rsidRPr="004B4462">
        <w:t xml:space="preserve">are classified as </w:t>
      </w:r>
      <w:r w:rsidR="008066C4">
        <w:t>medium/</w:t>
      </w:r>
      <w:r w:rsidR="000B4993" w:rsidRPr="004B4462">
        <w:t>small</w:t>
      </w:r>
      <w:r w:rsidR="00EC626F">
        <w:t>,</w:t>
      </w:r>
      <w:r w:rsidR="000B4993" w:rsidRPr="004B4462">
        <w:t xml:space="preserve"> and large companies based on </w:t>
      </w:r>
      <w:r w:rsidR="000B4993">
        <w:t xml:space="preserve">total power plant </w:t>
      </w:r>
      <w:r w:rsidR="00815089">
        <w:t xml:space="preserve">generation </w:t>
      </w:r>
      <w:r w:rsidR="000B4993">
        <w:t xml:space="preserve">capacity. </w:t>
      </w:r>
      <w:r w:rsidR="000B4993" w:rsidRPr="004B4462">
        <w:t xml:space="preserve">EIA will recruit </w:t>
      </w:r>
      <w:r w:rsidR="00207518">
        <w:t>10</w:t>
      </w:r>
      <w:r w:rsidR="000B4993" w:rsidRPr="004B4462">
        <w:t xml:space="preserve"> large companies</w:t>
      </w:r>
      <w:r w:rsidR="000B4993" w:rsidRPr="00970C6E">
        <w:t xml:space="preserve"> with </w:t>
      </w:r>
      <w:r w:rsidR="00E574C9" w:rsidRPr="00970C6E">
        <w:t xml:space="preserve">a capacity </w:t>
      </w:r>
      <w:r w:rsidR="000B4993" w:rsidRPr="00970C6E">
        <w:t>&gt;</w:t>
      </w:r>
      <w:r w:rsidR="00815089" w:rsidRPr="00970C6E">
        <w:t xml:space="preserve">10 </w:t>
      </w:r>
      <w:r w:rsidR="000B4993" w:rsidRPr="00970C6E">
        <w:t xml:space="preserve">megawatts, and then </w:t>
      </w:r>
      <w:r w:rsidR="00207518" w:rsidRPr="00970C6E">
        <w:t>10</w:t>
      </w:r>
      <w:r w:rsidR="000B4993" w:rsidRPr="00970C6E">
        <w:t xml:space="preserve"> </w:t>
      </w:r>
      <w:r w:rsidR="00D34664" w:rsidRPr="00970C6E">
        <w:t>medium/</w:t>
      </w:r>
      <w:r w:rsidR="000B4993" w:rsidRPr="00970C6E">
        <w:t>small</w:t>
      </w:r>
      <w:r w:rsidR="008066C4" w:rsidRPr="00970C6E">
        <w:t xml:space="preserve"> size</w:t>
      </w:r>
      <w:r w:rsidR="000B4993" w:rsidRPr="00970C6E">
        <w:t xml:space="preserve"> </w:t>
      </w:r>
      <w:r w:rsidR="00E574C9" w:rsidRPr="00970C6E">
        <w:t xml:space="preserve">companies </w:t>
      </w:r>
      <w:r w:rsidR="000B4993" w:rsidRPr="00970C6E">
        <w:t>with</w:t>
      </w:r>
      <w:r w:rsidR="00E574C9" w:rsidRPr="00970C6E">
        <w:t xml:space="preserve"> a capacity</w:t>
      </w:r>
      <w:r w:rsidR="000B4993" w:rsidRPr="00970C6E">
        <w:t xml:space="preserve"> &lt;</w:t>
      </w:r>
      <w:r w:rsidR="00052712" w:rsidRPr="00970C6E">
        <w:t>10</w:t>
      </w:r>
      <w:r w:rsidR="000B4993" w:rsidRPr="00970C6E">
        <w:t xml:space="preserve"> megawatts.</w:t>
      </w:r>
      <w:r w:rsidR="000B4993" w:rsidRPr="000B4993">
        <w:t xml:space="preserve"> </w:t>
      </w:r>
      <w:r w:rsidR="000B4993">
        <w:t xml:space="preserve">Respondents will be selected from </w:t>
      </w:r>
      <w:r w:rsidR="00372490">
        <w:t>across</w:t>
      </w:r>
      <w:r w:rsidR="000B4993">
        <w:t xml:space="preserve"> geographic regions and </w:t>
      </w:r>
      <w:r w:rsidR="00372490">
        <w:t xml:space="preserve">different </w:t>
      </w:r>
      <w:r w:rsidR="000B4993">
        <w:t>sizes of their operations to ensure adequate market coverage across large</w:t>
      </w:r>
      <w:r w:rsidR="00372490">
        <w:t>, medium,</w:t>
      </w:r>
      <w:r w:rsidR="000B4993">
        <w:t xml:space="preserve"> and small sized facilities.</w:t>
      </w:r>
    </w:p>
    <w:p w14:paraId="1FA5851F" w14:textId="1AEDEB35" w:rsidR="00FC4767" w:rsidRDefault="00FC4767" w:rsidP="007275B5"/>
    <w:p w14:paraId="549FCB99" w14:textId="346513EA" w:rsidR="00E574C9" w:rsidRPr="007E6415" w:rsidRDefault="00207518" w:rsidP="00757E5D">
      <w:pPr>
        <w:pStyle w:val="ListParagraph"/>
        <w:ind w:left="0"/>
      </w:pPr>
      <w:r>
        <w:t>Table 1</w:t>
      </w:r>
      <w:r w:rsidR="00026FED">
        <w:t xml:space="preserve"> </w:t>
      </w:r>
      <w:r>
        <w:t>Sample Goals</w:t>
      </w:r>
    </w:p>
    <w:tbl>
      <w:tblPr>
        <w:tblStyle w:val="TableGrid"/>
        <w:tblW w:w="7346" w:type="dxa"/>
        <w:tblLook w:val="04A0" w:firstRow="1" w:lastRow="0" w:firstColumn="1" w:lastColumn="0" w:noHBand="0" w:noVBand="1"/>
      </w:tblPr>
      <w:tblGrid>
        <w:gridCol w:w="1873"/>
        <w:gridCol w:w="1959"/>
        <w:gridCol w:w="1833"/>
        <w:gridCol w:w="1681"/>
      </w:tblGrid>
      <w:tr w:rsidR="00E574C9" w14:paraId="1FEECF18" w14:textId="77777777" w:rsidTr="00970C6E">
        <w:trPr>
          <w:trHeight w:val="323"/>
        </w:trPr>
        <w:tc>
          <w:tcPr>
            <w:tcW w:w="0" w:type="auto"/>
          </w:tcPr>
          <w:p w14:paraId="418DBDB1" w14:textId="717204B9" w:rsidR="00E574C9" w:rsidRDefault="00E574C9" w:rsidP="00757E5D">
            <w:pPr>
              <w:pStyle w:val="ListParagraph"/>
              <w:ind w:left="0"/>
            </w:pPr>
            <w:r>
              <w:t>Stratum Size</w:t>
            </w:r>
          </w:p>
        </w:tc>
        <w:tc>
          <w:tcPr>
            <w:tcW w:w="0" w:type="auto"/>
          </w:tcPr>
          <w:p w14:paraId="75B31713" w14:textId="24B9D2AC" w:rsidR="00E574C9" w:rsidRDefault="00E574C9" w:rsidP="00815089">
            <w:pPr>
              <w:pStyle w:val="ListParagraph"/>
              <w:ind w:left="0"/>
            </w:pPr>
            <w:r>
              <w:t>EIA-860 n=</w:t>
            </w:r>
            <w:r w:rsidR="00815089">
              <w:t>153</w:t>
            </w:r>
          </w:p>
        </w:tc>
        <w:tc>
          <w:tcPr>
            <w:tcW w:w="1833" w:type="dxa"/>
          </w:tcPr>
          <w:p w14:paraId="728923B1" w14:textId="4BA3695A" w:rsidR="00E574C9" w:rsidRDefault="00E574C9" w:rsidP="00757E5D">
            <w:pPr>
              <w:pStyle w:val="ListParagraph"/>
              <w:ind w:left="0"/>
            </w:pPr>
            <w:r>
              <w:t>EIA-861 n=300</w:t>
            </w:r>
          </w:p>
        </w:tc>
        <w:tc>
          <w:tcPr>
            <w:tcW w:w="1681" w:type="dxa"/>
          </w:tcPr>
          <w:p w14:paraId="122B3DCE" w14:textId="07D3E216" w:rsidR="00E574C9" w:rsidRDefault="00E574C9" w:rsidP="00815089">
            <w:pPr>
              <w:pStyle w:val="ListParagraph"/>
              <w:ind w:left="0"/>
            </w:pPr>
            <w:r>
              <w:t>EIA-923 n=</w:t>
            </w:r>
            <w:r w:rsidR="00815089">
              <w:t>95</w:t>
            </w:r>
          </w:p>
        </w:tc>
      </w:tr>
      <w:tr w:rsidR="00F42945" w14:paraId="08C31D60" w14:textId="77777777" w:rsidTr="00970C6E">
        <w:trPr>
          <w:trHeight w:val="364"/>
        </w:trPr>
        <w:tc>
          <w:tcPr>
            <w:tcW w:w="0" w:type="auto"/>
          </w:tcPr>
          <w:p w14:paraId="278B9B98" w14:textId="030159ED" w:rsidR="00F42945" w:rsidRDefault="00F42945" w:rsidP="00F42945">
            <w:pPr>
              <w:pStyle w:val="ListParagraph"/>
              <w:ind w:left="0"/>
            </w:pPr>
            <w:r>
              <w:t>Large</w:t>
            </w:r>
          </w:p>
        </w:tc>
        <w:tc>
          <w:tcPr>
            <w:tcW w:w="0" w:type="auto"/>
          </w:tcPr>
          <w:p w14:paraId="31DCE1D3" w14:textId="0888E315" w:rsidR="00F42945" w:rsidRDefault="000D22C3" w:rsidP="00F42945">
            <w:pPr>
              <w:pStyle w:val="ListParagraph"/>
              <w:ind w:left="0"/>
            </w:pPr>
            <w:r>
              <w:t>10</w:t>
            </w:r>
          </w:p>
        </w:tc>
        <w:tc>
          <w:tcPr>
            <w:tcW w:w="1833" w:type="dxa"/>
          </w:tcPr>
          <w:p w14:paraId="01D019B2" w14:textId="67727A23" w:rsidR="00F42945" w:rsidRDefault="00F42945" w:rsidP="00F42945">
            <w:pPr>
              <w:pStyle w:val="ListParagraph"/>
              <w:ind w:left="0"/>
            </w:pPr>
            <w:r>
              <w:t>10</w:t>
            </w:r>
          </w:p>
        </w:tc>
        <w:tc>
          <w:tcPr>
            <w:tcW w:w="1681" w:type="dxa"/>
          </w:tcPr>
          <w:p w14:paraId="2776846D" w14:textId="399E98BA" w:rsidR="00F42945" w:rsidRDefault="00F42945" w:rsidP="00F42945">
            <w:pPr>
              <w:pStyle w:val="ListParagraph"/>
              <w:ind w:left="0"/>
            </w:pPr>
            <w:r>
              <w:t>10</w:t>
            </w:r>
          </w:p>
        </w:tc>
      </w:tr>
      <w:tr w:rsidR="00F42945" w14:paraId="6327303A" w14:textId="77777777" w:rsidTr="00970C6E">
        <w:trPr>
          <w:trHeight w:val="364"/>
        </w:trPr>
        <w:tc>
          <w:tcPr>
            <w:tcW w:w="0" w:type="auto"/>
          </w:tcPr>
          <w:p w14:paraId="1DEDEDF4" w14:textId="0E6BC467" w:rsidR="00F42945" w:rsidRDefault="00F42945" w:rsidP="00F42945">
            <w:pPr>
              <w:pStyle w:val="ListParagraph"/>
              <w:ind w:left="0"/>
            </w:pPr>
            <w:r>
              <w:t>Medium/Small</w:t>
            </w:r>
          </w:p>
        </w:tc>
        <w:tc>
          <w:tcPr>
            <w:tcW w:w="0" w:type="auto"/>
          </w:tcPr>
          <w:p w14:paraId="4BCE5E3D" w14:textId="6960EC44" w:rsidR="00F42945" w:rsidRDefault="00F42945" w:rsidP="00F42945">
            <w:pPr>
              <w:pStyle w:val="ListParagraph"/>
              <w:ind w:left="0"/>
            </w:pPr>
            <w:r>
              <w:t>10</w:t>
            </w:r>
          </w:p>
        </w:tc>
        <w:tc>
          <w:tcPr>
            <w:tcW w:w="1833" w:type="dxa"/>
          </w:tcPr>
          <w:p w14:paraId="470237A1" w14:textId="6574A185" w:rsidR="00F42945" w:rsidRDefault="00F42945" w:rsidP="00F42945">
            <w:pPr>
              <w:pStyle w:val="ListParagraph"/>
              <w:ind w:left="0"/>
            </w:pPr>
            <w:r>
              <w:t>10</w:t>
            </w:r>
          </w:p>
        </w:tc>
        <w:tc>
          <w:tcPr>
            <w:tcW w:w="1681" w:type="dxa"/>
          </w:tcPr>
          <w:p w14:paraId="3B1D03CA" w14:textId="3C74E4D9" w:rsidR="00F42945" w:rsidRDefault="00F42945" w:rsidP="00F42945">
            <w:pPr>
              <w:pStyle w:val="ListParagraph"/>
              <w:ind w:left="0"/>
            </w:pPr>
            <w:r>
              <w:t>10</w:t>
            </w:r>
          </w:p>
        </w:tc>
      </w:tr>
    </w:tbl>
    <w:p w14:paraId="63145FA1" w14:textId="464B5F9C" w:rsidR="00FC4767" w:rsidRPr="007E6415" w:rsidRDefault="00FC4767" w:rsidP="00757E5D">
      <w:pPr>
        <w:pStyle w:val="ListParagraph"/>
        <w:ind w:left="0"/>
      </w:pPr>
    </w:p>
    <w:p w14:paraId="3D8D5CD4" w14:textId="77777777" w:rsidR="004D6E14" w:rsidRPr="007E6415" w:rsidRDefault="004D6E14" w:rsidP="00A403BB">
      <w:pPr>
        <w:rPr>
          <w:b/>
        </w:rPr>
      </w:pPr>
    </w:p>
    <w:p w14:paraId="732F09CE" w14:textId="77777777" w:rsidR="00A403BB" w:rsidRPr="007E6415" w:rsidRDefault="00A403BB" w:rsidP="00A403BB">
      <w:pPr>
        <w:rPr>
          <w:b/>
        </w:rPr>
      </w:pPr>
      <w:r w:rsidRPr="007E6415">
        <w:rPr>
          <w:b/>
        </w:rPr>
        <w:t>Administration of the Instrument</w:t>
      </w:r>
    </w:p>
    <w:p w14:paraId="6E98070A"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5952F75A" w14:textId="03DF06EA" w:rsidR="001B0AAA" w:rsidRPr="007E6415" w:rsidRDefault="00A403BB" w:rsidP="001B0AAA">
      <w:pPr>
        <w:ind w:left="720"/>
      </w:pPr>
      <w:r w:rsidRPr="007E6415">
        <w:t>[] Web-based</w:t>
      </w:r>
      <w:r w:rsidR="001B0AAA" w:rsidRPr="007E6415">
        <w:t xml:space="preserve"> or other forms of Social Media </w:t>
      </w:r>
    </w:p>
    <w:p w14:paraId="5EE8271D" w14:textId="02DB1C82" w:rsidR="001B0AAA" w:rsidRPr="007E6415" w:rsidRDefault="00A403BB" w:rsidP="001B0AAA">
      <w:pPr>
        <w:ind w:left="720"/>
      </w:pPr>
      <w:r w:rsidRPr="007E6415">
        <w:t>[</w:t>
      </w:r>
      <w:r w:rsidR="00F47270">
        <w:t>X</w:t>
      </w:r>
      <w:r w:rsidRPr="007E6415">
        <w:t>] Telephone</w:t>
      </w:r>
      <w:r w:rsidRPr="007E6415">
        <w:tab/>
      </w:r>
    </w:p>
    <w:p w14:paraId="0B316133" w14:textId="790E79B1" w:rsidR="001B0AAA" w:rsidRPr="007E6415" w:rsidRDefault="00A403BB" w:rsidP="001B0AAA">
      <w:pPr>
        <w:ind w:left="720"/>
      </w:pPr>
      <w:r w:rsidRPr="007E6415">
        <w:t>[</w:t>
      </w:r>
      <w:r w:rsidR="00526C09">
        <w:t>X</w:t>
      </w:r>
      <w:r w:rsidRPr="007E6415">
        <w:t>] In-person</w:t>
      </w:r>
      <w:r w:rsidRPr="007E6415">
        <w:tab/>
      </w:r>
    </w:p>
    <w:p w14:paraId="006A96F5" w14:textId="77777777" w:rsidR="001B0AAA" w:rsidRPr="007E6415" w:rsidRDefault="00A403BB" w:rsidP="001B0AAA">
      <w:pPr>
        <w:ind w:left="720"/>
      </w:pPr>
      <w:r w:rsidRPr="007E6415">
        <w:t>[ ] Mail</w:t>
      </w:r>
      <w:r w:rsidR="001B0AAA" w:rsidRPr="007E6415">
        <w:t xml:space="preserve"> </w:t>
      </w:r>
    </w:p>
    <w:p w14:paraId="142DD5AD" w14:textId="77777777" w:rsidR="001B0AAA" w:rsidRPr="007E6415" w:rsidRDefault="00A403BB" w:rsidP="001B0AAA">
      <w:pPr>
        <w:ind w:left="720"/>
      </w:pPr>
      <w:r w:rsidRPr="007E6415">
        <w:t>[ ] Other, Explain</w:t>
      </w:r>
    </w:p>
    <w:p w14:paraId="3D6B08D1" w14:textId="359B03A5" w:rsidR="00F24CFC" w:rsidRPr="007E6415" w:rsidRDefault="00F24CFC" w:rsidP="00F24CFC">
      <w:pPr>
        <w:pStyle w:val="ListParagraph"/>
        <w:numPr>
          <w:ilvl w:val="0"/>
          <w:numId w:val="17"/>
        </w:numPr>
      </w:pPr>
      <w:r w:rsidRPr="007E6415">
        <w:t>Will interviewers or facilitators be used?</w:t>
      </w:r>
      <w:r w:rsidR="00F0149B">
        <w:t xml:space="preserve"> </w:t>
      </w:r>
      <w:r w:rsidRPr="007E6415">
        <w:t>[</w:t>
      </w:r>
      <w:r w:rsidR="00526C09">
        <w:t>X</w:t>
      </w:r>
      <w:r w:rsidRPr="007E6415">
        <w:t>] Yes [</w:t>
      </w:r>
      <w:r w:rsidR="007E6415" w:rsidRPr="007E6415">
        <w:t xml:space="preserve"> </w:t>
      </w:r>
      <w:r w:rsidRPr="007E6415">
        <w:t>] No</w:t>
      </w:r>
    </w:p>
    <w:p w14:paraId="4E3E1D64" w14:textId="77777777" w:rsidR="00F24CFC" w:rsidRPr="007E6415" w:rsidRDefault="00F24CFC" w:rsidP="00F24CFC">
      <w:pPr>
        <w:pStyle w:val="ListParagraph"/>
        <w:ind w:left="360"/>
      </w:pPr>
      <w:r w:rsidRPr="007E6415">
        <w:t xml:space="preserve"> </w:t>
      </w:r>
    </w:p>
    <w:p w14:paraId="3FFA7738" w14:textId="77777777" w:rsidR="0042468E" w:rsidRDefault="00F24CFC" w:rsidP="0024521E">
      <w:pPr>
        <w:rPr>
          <w:b/>
        </w:rPr>
      </w:pPr>
      <w:r w:rsidRPr="007E6415">
        <w:rPr>
          <w:b/>
        </w:rPr>
        <w:t>Please make sure that all instruments, instructions, and scripts are submitted with the request.</w:t>
      </w:r>
    </w:p>
    <w:p w14:paraId="06BC7CC8" w14:textId="77777777" w:rsidR="002B5AB0" w:rsidRDefault="0042468E" w:rsidP="002B5AB0">
      <w:pPr>
        <w:jc w:val="center"/>
        <w:rPr>
          <w:sz w:val="28"/>
        </w:rPr>
      </w:pPr>
      <w:r>
        <w:rPr>
          <w:b/>
        </w:rPr>
        <w:br w:type="page"/>
      </w:r>
      <w:r w:rsidR="00F24CFC" w:rsidRPr="007E6415">
        <w:rPr>
          <w:sz w:val="28"/>
        </w:rPr>
        <w:t xml:space="preserve">Instructions for completing Request for Approval under the </w:t>
      </w:r>
    </w:p>
    <w:p w14:paraId="080BCB8B" w14:textId="77777777"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14:paraId="478C4087" w14:textId="77777777"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14:paraId="6A945B40" w14:textId="77777777" w:rsidR="00F24CFC" w:rsidRPr="007E6415" w:rsidRDefault="00EA615F" w:rsidP="00F24CFC">
      <w:pPr>
        <w:rPr>
          <w:b/>
        </w:rPr>
      </w:pPr>
      <w:r>
        <w:rPr>
          <w:b/>
          <w:noProof/>
        </w:rPr>
        <mc:AlternateContent>
          <mc:Choice Requires="wps">
            <w:drawing>
              <wp:anchor distT="0" distB="0" distL="114300" distR="114300" simplePos="0" relativeHeight="251658240" behindDoc="0" locked="0" layoutInCell="0" allowOverlap="1" wp14:anchorId="680FAEC7" wp14:editId="3CB0FB15">
                <wp:simplePos x="0" y="0"/>
                <wp:positionH relativeFrom="column">
                  <wp:posOffset>0</wp:posOffset>
                </wp:positionH>
                <wp:positionV relativeFrom="paragraph">
                  <wp:posOffset>0</wp:posOffset>
                </wp:positionV>
                <wp:extent cx="6656705" cy="0"/>
                <wp:effectExtent l="9525" t="9525" r="1079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880F2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2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K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" o:allowincell="f" strokeweight="1.5pt"/>
            </w:pict>
          </mc:Fallback>
        </mc:AlternateContent>
      </w:r>
    </w:p>
    <w:p w14:paraId="587D88C8" w14:textId="136FC42A" w:rsidR="00F24CFC" w:rsidRPr="007E6415" w:rsidRDefault="00F24CFC" w:rsidP="00F24CFC">
      <w:pPr>
        <w:rPr>
          <w:b/>
        </w:rPr>
      </w:pPr>
      <w:r w:rsidRPr="007E6415">
        <w:rPr>
          <w:b/>
        </w:rPr>
        <w:t>TITLE OF INFORMATION COLLECTION:</w:t>
      </w:r>
      <w:r w:rsidR="00F0149B">
        <w:t xml:space="preserve"> </w:t>
      </w:r>
      <w:r w:rsidRPr="007E6415">
        <w:t>Provide the name of the collection that is the subject of the request</w:t>
      </w:r>
      <w:r w:rsidR="00CB1078" w:rsidRPr="007E6415">
        <w:t>. (e.g.</w:t>
      </w:r>
      <w:r w:rsidR="00F0149B">
        <w:t xml:space="preserve"> </w:t>
      </w:r>
      <w:r w:rsidR="00CB1078" w:rsidRPr="007E6415">
        <w:t>Comment card for soliciting feedback on xxxx)</w:t>
      </w:r>
    </w:p>
    <w:p w14:paraId="62F53506" w14:textId="77777777" w:rsidR="00F24CFC" w:rsidRPr="007E6415" w:rsidRDefault="00F24CFC" w:rsidP="00F24CFC">
      <w:pPr>
        <w:rPr>
          <w:sz w:val="20"/>
          <w:szCs w:val="20"/>
        </w:rPr>
      </w:pPr>
    </w:p>
    <w:p w14:paraId="7400153F" w14:textId="44BF6D67" w:rsidR="00F24CFC" w:rsidRPr="007E6415" w:rsidRDefault="00F24CFC" w:rsidP="00F24CFC">
      <w:pPr>
        <w:rPr>
          <w:b/>
        </w:rPr>
      </w:pPr>
      <w:r w:rsidRPr="007E6415">
        <w:rPr>
          <w:b/>
        </w:rPr>
        <w:t>PURPOSE:</w:t>
      </w:r>
      <w:r w:rsidR="00F0149B">
        <w:rPr>
          <w:b/>
        </w:rPr>
        <w:t xml:space="preserve"> </w:t>
      </w:r>
      <w:r w:rsidRPr="007E6415">
        <w:t>Provide a brief description of the purpose of this collection and how it will be used.</w:t>
      </w:r>
      <w:r w:rsidR="00F0149B">
        <w:t xml:space="preserve"> </w:t>
      </w:r>
      <w:r w:rsidRPr="007E6415">
        <w:t>If this is part of a larger study or effort, please include this in your explanation.</w:t>
      </w:r>
    </w:p>
    <w:p w14:paraId="423C0B92" w14:textId="77777777" w:rsidR="00F24CFC" w:rsidRPr="007E6415" w:rsidRDefault="00F24CFC" w:rsidP="00F24CFC">
      <w:pPr>
        <w:pStyle w:val="Header"/>
        <w:tabs>
          <w:tab w:val="clear" w:pos="4320"/>
          <w:tab w:val="clear" w:pos="8640"/>
        </w:tabs>
        <w:rPr>
          <w:b/>
        </w:rPr>
      </w:pPr>
    </w:p>
    <w:p w14:paraId="1494B948" w14:textId="7ED4CF12"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w:t>
      </w:r>
      <w:r w:rsidR="00F0149B">
        <w:t xml:space="preserve"> </w:t>
      </w:r>
      <w:r w:rsidRPr="007E6415">
        <w:t>These groups must have experience with the program.</w:t>
      </w:r>
    </w:p>
    <w:p w14:paraId="2894BF72" w14:textId="77777777" w:rsidR="00F24CFC" w:rsidRPr="007E6415" w:rsidRDefault="00F24CFC" w:rsidP="00F24CFC">
      <w:pPr>
        <w:rPr>
          <w:b/>
          <w:sz w:val="20"/>
          <w:szCs w:val="20"/>
        </w:rPr>
      </w:pPr>
    </w:p>
    <w:p w14:paraId="6D814C68" w14:textId="4518F0C1" w:rsidR="00F24CFC" w:rsidRPr="007E6415" w:rsidRDefault="00F24CFC" w:rsidP="00F24CFC">
      <w:pPr>
        <w:rPr>
          <w:b/>
        </w:rPr>
      </w:pPr>
      <w:r w:rsidRPr="007E6415">
        <w:rPr>
          <w:b/>
        </w:rPr>
        <w:t>TYPE OF COLLECTION:</w:t>
      </w:r>
      <w:r w:rsidRPr="007E6415">
        <w:t xml:space="preserve"> Check one box.</w:t>
      </w:r>
      <w:r w:rsidR="00F0149B">
        <w:t xml:space="preserve"> </w:t>
      </w:r>
      <w:r w:rsidRPr="007E6415">
        <w:t>If you are requesting approval of other instruments under the generic</w:t>
      </w:r>
      <w:r w:rsidR="008F50D4" w:rsidRPr="007E6415">
        <w:t>, you must complete a form for each instrument.</w:t>
      </w:r>
    </w:p>
    <w:p w14:paraId="145D2360" w14:textId="77777777" w:rsidR="00F24CFC" w:rsidRPr="007E6415" w:rsidRDefault="00F24CFC" w:rsidP="00F24CFC">
      <w:pPr>
        <w:pStyle w:val="BodyTextIndent"/>
        <w:tabs>
          <w:tab w:val="left" w:pos="360"/>
        </w:tabs>
        <w:ind w:left="0"/>
        <w:rPr>
          <w:bCs/>
        </w:rPr>
      </w:pPr>
    </w:p>
    <w:p w14:paraId="5422DB70" w14:textId="6934C2B8" w:rsidR="00F24CFC" w:rsidRPr="007E6415" w:rsidRDefault="00F24CFC" w:rsidP="00F24CFC">
      <w:r w:rsidRPr="007E6415">
        <w:rPr>
          <w:b/>
        </w:rPr>
        <w:t>CERTIFICATION:</w:t>
      </w:r>
      <w:r w:rsidR="00F0149B">
        <w:rPr>
          <w:b/>
        </w:rPr>
        <w:t xml:space="preserve"> </w:t>
      </w:r>
      <w:r w:rsidR="008F50D4" w:rsidRPr="007E6415">
        <w:t>Please read the certification carefully.</w:t>
      </w:r>
      <w:r w:rsidR="00F0149B">
        <w:t xml:space="preserve"> </w:t>
      </w:r>
      <w:r w:rsidR="008F50D4" w:rsidRPr="007E6415">
        <w:t>If you incorrectly certify, the collection will be returned as improperly submitted or it will be disapproved.</w:t>
      </w:r>
    </w:p>
    <w:p w14:paraId="58492F0D" w14:textId="77777777" w:rsidR="00F24CFC" w:rsidRPr="007E6415" w:rsidRDefault="00F24CFC" w:rsidP="00F24CFC">
      <w:pPr>
        <w:rPr>
          <w:sz w:val="16"/>
          <w:szCs w:val="16"/>
        </w:rPr>
      </w:pPr>
    </w:p>
    <w:p w14:paraId="0A9EFDFC" w14:textId="233E47E4" w:rsidR="00F24CFC" w:rsidRPr="007E6415" w:rsidRDefault="00F24CFC" w:rsidP="00F24CFC">
      <w:r w:rsidRPr="007E6415">
        <w:rPr>
          <w:b/>
        </w:rPr>
        <w:t>Personally Identifiable Information:</w:t>
      </w:r>
      <w:r w:rsidR="00F0149B">
        <w:rPr>
          <w:b/>
        </w:rPr>
        <w:t xml:space="preserve"> </w:t>
      </w:r>
      <w:r w:rsidR="008F50D4" w:rsidRPr="007E6415">
        <w:t>Provide answers to the questions.</w:t>
      </w:r>
      <w:r w:rsidR="00F0149B">
        <w:t xml:space="preserve"> </w:t>
      </w:r>
      <w:r w:rsidR="00CF6542" w:rsidRPr="007E6415">
        <w:t>Note:</w:t>
      </w:r>
      <w:r w:rsidR="00F0149B">
        <w:t xml:space="preserve"> </w:t>
      </w:r>
      <w:r w:rsidR="00CF6542" w:rsidRPr="007E6415">
        <w:t>Agencies should only collect PII to the extent necessary, and they should only retain PII for the period of time that is necessary to achieve a specific objective.</w:t>
      </w:r>
    </w:p>
    <w:p w14:paraId="1082747B" w14:textId="77777777" w:rsidR="008F50D4" w:rsidRPr="007E6415" w:rsidRDefault="008F50D4" w:rsidP="00F24CFC">
      <w:pPr>
        <w:rPr>
          <w:sz w:val="20"/>
          <w:szCs w:val="20"/>
        </w:rPr>
      </w:pPr>
    </w:p>
    <w:p w14:paraId="77BB548B" w14:textId="2758B452" w:rsidR="00F24CFC" w:rsidRPr="007E6415" w:rsidRDefault="00CB1078" w:rsidP="008F50D4">
      <w:pPr>
        <w:pStyle w:val="ListParagraph"/>
        <w:ind w:left="0"/>
        <w:rPr>
          <w:b/>
        </w:rPr>
      </w:pPr>
      <w:r w:rsidRPr="007E6415">
        <w:rPr>
          <w:b/>
        </w:rPr>
        <w:t>Gifts or Payments</w:t>
      </w:r>
      <w:r w:rsidR="00F24CFC" w:rsidRPr="007E6415">
        <w:rPr>
          <w:b/>
        </w:rPr>
        <w:t>:</w:t>
      </w:r>
      <w:r w:rsidR="00F0149B">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68A74BBC" w14:textId="77777777" w:rsidR="00F24CFC" w:rsidRPr="007E6415" w:rsidRDefault="00F24CFC" w:rsidP="00F24CFC">
      <w:pPr>
        <w:rPr>
          <w:b/>
        </w:rPr>
      </w:pPr>
    </w:p>
    <w:p w14:paraId="75115338" w14:textId="77777777" w:rsidR="008F50D4" w:rsidRPr="007E6415" w:rsidRDefault="00F24CFC" w:rsidP="00F24CFC">
      <w:pPr>
        <w:rPr>
          <w:b/>
        </w:rPr>
      </w:pPr>
      <w:r w:rsidRPr="007E6415">
        <w:rPr>
          <w:b/>
        </w:rPr>
        <w:t>BURDEN HOURS</w:t>
      </w:r>
      <w:r w:rsidR="008F50D4" w:rsidRPr="007E6415">
        <w:rPr>
          <w:b/>
        </w:rPr>
        <w:t>:</w:t>
      </w:r>
    </w:p>
    <w:p w14:paraId="34B28913" w14:textId="5910DF0B" w:rsidR="008F50D4" w:rsidRPr="007E6415" w:rsidRDefault="008F50D4" w:rsidP="00F24CFC">
      <w:r w:rsidRPr="007E6415">
        <w:rPr>
          <w:b/>
        </w:rPr>
        <w:t>Category of Respondents:</w:t>
      </w:r>
      <w:r w:rsidR="00F0149B">
        <w:rPr>
          <w:b/>
        </w:rPr>
        <w:t xml:space="preserve">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w:t>
      </w:r>
      <w:r w:rsidR="00F0149B">
        <w:t xml:space="preserve"> </w:t>
      </w:r>
      <w:r w:rsidRPr="007E6415">
        <w:t>Only one type of respondent can be selected</w:t>
      </w:r>
      <w:r w:rsidR="00CF6542" w:rsidRPr="007E6415">
        <w:t xml:space="preserve"> per row</w:t>
      </w:r>
      <w:r w:rsidRPr="007E6415">
        <w:t xml:space="preserve">. </w:t>
      </w:r>
    </w:p>
    <w:p w14:paraId="40416FF3" w14:textId="774987ED" w:rsidR="008F50D4" w:rsidRPr="007E6415" w:rsidRDefault="008F50D4" w:rsidP="00F24CFC">
      <w:r w:rsidRPr="007E6415">
        <w:rPr>
          <w:b/>
        </w:rPr>
        <w:t>No. of Respondents:</w:t>
      </w:r>
      <w:r w:rsidR="00F0149B">
        <w:t xml:space="preserve"> </w:t>
      </w:r>
      <w:r w:rsidRPr="007E6415">
        <w:t>Provide an estimate of the Number of respondents.</w:t>
      </w:r>
    </w:p>
    <w:p w14:paraId="29709326" w14:textId="5AF0949E" w:rsidR="008F50D4" w:rsidRPr="007E6415" w:rsidRDefault="008F50D4" w:rsidP="00F24CFC">
      <w:r w:rsidRPr="007E6415">
        <w:rPr>
          <w:b/>
        </w:rPr>
        <w:t>Participation Time:</w:t>
      </w:r>
      <w:r w:rsidR="00F0149B">
        <w:rPr>
          <w:b/>
        </w:rPr>
        <w:t xml:space="preserve"> </w:t>
      </w:r>
      <w:r w:rsidRPr="007E6415">
        <w:t>Provide an estimate of the amount of time required for a respondent to participate (e.g. fill out a survey or participate in a focus group)</w:t>
      </w:r>
    </w:p>
    <w:p w14:paraId="5EC9D26C" w14:textId="5781074F" w:rsidR="00F24CFC" w:rsidRPr="007E6415" w:rsidRDefault="008F50D4" w:rsidP="00F24CFC">
      <w:r w:rsidRPr="007E6415">
        <w:rPr>
          <w:b/>
        </w:rPr>
        <w:t>Burden:</w:t>
      </w:r>
      <w:r w:rsidR="00F0149B">
        <w:t xml:space="preserve"> </w:t>
      </w:r>
      <w:r w:rsidRPr="007E6415">
        <w:t xml:space="preserve">Provide the </w:t>
      </w:r>
      <w:r w:rsidR="00F24CFC" w:rsidRPr="007E6415">
        <w:t>Annual burden hours:</w:t>
      </w:r>
      <w:r w:rsidR="00F0149B">
        <w:t xml:space="preserve"> </w:t>
      </w:r>
      <w:r w:rsidR="00F24CFC" w:rsidRPr="007E6415">
        <w:t>Multiply the Number of responses and the participation time and</w:t>
      </w:r>
      <w:r w:rsidRPr="007E6415">
        <w:t xml:space="preserve"> </w:t>
      </w:r>
      <w:r w:rsidR="003F1C5B" w:rsidRPr="007E6415">
        <w:t>divide by 60.</w:t>
      </w:r>
    </w:p>
    <w:p w14:paraId="7F9A6D38" w14:textId="77777777" w:rsidR="00F24CFC" w:rsidRPr="007E6415" w:rsidRDefault="00F24CFC" w:rsidP="00F24CFC">
      <w:pPr>
        <w:keepNext/>
        <w:keepLines/>
        <w:rPr>
          <w:b/>
        </w:rPr>
      </w:pPr>
    </w:p>
    <w:p w14:paraId="625D0470"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258029B6" w14:textId="77777777" w:rsidR="00F24CFC" w:rsidRPr="007E6415" w:rsidRDefault="00F24CFC" w:rsidP="00F24CFC">
      <w:pPr>
        <w:rPr>
          <w:b/>
          <w:bCs/>
          <w:sz w:val="20"/>
          <w:szCs w:val="20"/>
          <w:u w:val="single"/>
        </w:rPr>
      </w:pPr>
    </w:p>
    <w:p w14:paraId="40CCE99C" w14:textId="77777777"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14:paraId="102ACBE2" w14:textId="77777777" w:rsidR="00F24CFC" w:rsidRPr="007E6415" w:rsidRDefault="00F24CFC" w:rsidP="00F24CFC">
      <w:pPr>
        <w:rPr>
          <w:b/>
          <w:sz w:val="20"/>
          <w:szCs w:val="20"/>
        </w:rPr>
      </w:pPr>
    </w:p>
    <w:p w14:paraId="54DC5825" w14:textId="4C416862" w:rsidR="00F24CFC" w:rsidRPr="007E6415" w:rsidRDefault="00F24CFC" w:rsidP="00F24CFC">
      <w:r w:rsidRPr="007E6415">
        <w:rPr>
          <w:b/>
        </w:rPr>
        <w:t>The selection of your targeted respondents</w:t>
      </w:r>
      <w:r w:rsidR="003F1C5B" w:rsidRPr="007E6415">
        <w:rPr>
          <w:b/>
        </w:rPr>
        <w:t>.</w:t>
      </w:r>
      <w:r w:rsidR="00F0149B">
        <w:t xml:space="preserve"> </w:t>
      </w:r>
      <w:r w:rsidR="003F1C5B" w:rsidRPr="007E6415">
        <w:t>P</w:t>
      </w:r>
      <w:r w:rsidRPr="007E6415">
        <w:t>lease provide a description of how you plan to identify your potential group of responden</w:t>
      </w:r>
      <w:r w:rsidR="003F1C5B" w:rsidRPr="007E6415">
        <w:t>ts and how you will select them.</w:t>
      </w:r>
      <w:r w:rsidR="00F0149B">
        <w:t xml:space="preserve"> </w:t>
      </w:r>
      <w:r w:rsidR="003F1C5B" w:rsidRPr="007E6415">
        <w:t>If the answer is yes, to the first question, you may provide the sampling plan in an attachment.</w:t>
      </w:r>
    </w:p>
    <w:p w14:paraId="242E6261" w14:textId="77777777" w:rsidR="00F24CFC" w:rsidRPr="007E6415" w:rsidRDefault="00F24CFC" w:rsidP="00F24CFC">
      <w:pPr>
        <w:rPr>
          <w:b/>
          <w:sz w:val="20"/>
          <w:szCs w:val="20"/>
        </w:rPr>
      </w:pPr>
    </w:p>
    <w:p w14:paraId="2280DC09" w14:textId="14E5F158" w:rsidR="00F24CFC" w:rsidRPr="007E6415" w:rsidRDefault="00F24CFC" w:rsidP="00F24CFC">
      <w:r w:rsidRPr="007E6415">
        <w:rPr>
          <w:b/>
        </w:rPr>
        <w:t>Administration of the Instrument</w:t>
      </w:r>
      <w:r w:rsidR="003F1C5B" w:rsidRPr="007E6415">
        <w:rPr>
          <w:b/>
        </w:rPr>
        <w:t>:</w:t>
      </w:r>
      <w:r w:rsidR="00F0149B">
        <w:rPr>
          <w:b/>
        </w:rPr>
        <w:t xml:space="preserve"> </w:t>
      </w:r>
      <w:r w:rsidR="003F1C5B" w:rsidRPr="007E6415">
        <w:t>Identify how the information will be collected.</w:t>
      </w:r>
      <w:r w:rsidR="00F0149B">
        <w:t xml:space="preserve"> </w:t>
      </w:r>
      <w:r w:rsidR="003F1C5B" w:rsidRPr="007E6415">
        <w:t>More than one box may be checked.</w:t>
      </w:r>
      <w:r w:rsidR="00F0149B">
        <w:t xml:space="preserve"> </w:t>
      </w:r>
      <w:r w:rsidR="003F1C5B" w:rsidRPr="007E6415">
        <w:t>Indicate whether there will be interviewers (e.g. for surveys) or facilitators (e.g., for focus groups) used.</w:t>
      </w:r>
    </w:p>
    <w:p w14:paraId="448612F8" w14:textId="77777777" w:rsidR="00F24CFC" w:rsidRPr="007E6415" w:rsidRDefault="00F24CFC" w:rsidP="00F24CFC">
      <w:pPr>
        <w:pStyle w:val="ListParagraph"/>
        <w:ind w:left="360"/>
      </w:pPr>
    </w:p>
    <w:p w14:paraId="66929BCB"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A2698" w14:textId="77777777" w:rsidR="00181AD5" w:rsidRDefault="00181AD5">
      <w:r>
        <w:separator/>
      </w:r>
    </w:p>
  </w:endnote>
  <w:endnote w:type="continuationSeparator" w:id="0">
    <w:p w14:paraId="6560AEB9"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6E44"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F078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68012" w14:textId="77777777" w:rsidR="00181AD5" w:rsidRDefault="00181AD5">
      <w:r>
        <w:separator/>
      </w:r>
    </w:p>
  </w:footnote>
  <w:footnote w:type="continuationSeparator" w:id="0">
    <w:p w14:paraId="051B113A"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2"/>
  </w:num>
  <w:num w:numId="7">
    <w:abstractNumId w:val="10"/>
  </w:num>
  <w:num w:numId="8">
    <w:abstractNumId w:val="17"/>
  </w:num>
  <w:num w:numId="9">
    <w:abstractNumId w:val="11"/>
  </w:num>
  <w:num w:numId="10">
    <w:abstractNumId w:val="3"/>
  </w:num>
  <w:num w:numId="11">
    <w:abstractNumId w:val="7"/>
  </w:num>
  <w:num w:numId="12">
    <w:abstractNumId w:val="8"/>
  </w:num>
  <w:num w:numId="13">
    <w:abstractNumId w:val="1"/>
  </w:num>
  <w:num w:numId="14">
    <w:abstractNumId w:val="18"/>
  </w:num>
  <w:num w:numId="15">
    <w:abstractNumId w:val="16"/>
  </w:num>
  <w:num w:numId="16">
    <w:abstractNumId w:val="13"/>
  </w:num>
  <w:num w:numId="17">
    <w:abstractNumId w:val="5"/>
  </w:num>
  <w:num w:numId="18">
    <w:abstractNumId w:val="6"/>
  </w:num>
  <w:num w:numId="19">
    <w:abstractNumId w:val="9"/>
  </w:num>
  <w:num w:numId="20">
    <w:abstractNumId w:val="15"/>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1CFB"/>
    <w:rsid w:val="00023A57"/>
    <w:rsid w:val="00026FED"/>
    <w:rsid w:val="00046144"/>
    <w:rsid w:val="00047A64"/>
    <w:rsid w:val="00052712"/>
    <w:rsid w:val="000544B4"/>
    <w:rsid w:val="000552FD"/>
    <w:rsid w:val="00067329"/>
    <w:rsid w:val="000719C1"/>
    <w:rsid w:val="00072268"/>
    <w:rsid w:val="000931A4"/>
    <w:rsid w:val="00093CB8"/>
    <w:rsid w:val="000A3D95"/>
    <w:rsid w:val="000B2838"/>
    <w:rsid w:val="000B38E5"/>
    <w:rsid w:val="000B4993"/>
    <w:rsid w:val="000D22C3"/>
    <w:rsid w:val="000D44CA"/>
    <w:rsid w:val="000E200B"/>
    <w:rsid w:val="000F68BE"/>
    <w:rsid w:val="00116933"/>
    <w:rsid w:val="00121195"/>
    <w:rsid w:val="00134FBA"/>
    <w:rsid w:val="00143553"/>
    <w:rsid w:val="00147B11"/>
    <w:rsid w:val="001624A9"/>
    <w:rsid w:val="00163DE6"/>
    <w:rsid w:val="00170C4F"/>
    <w:rsid w:val="00181AD5"/>
    <w:rsid w:val="00183B37"/>
    <w:rsid w:val="00183D3D"/>
    <w:rsid w:val="00187B53"/>
    <w:rsid w:val="00190685"/>
    <w:rsid w:val="001927A4"/>
    <w:rsid w:val="00194AC6"/>
    <w:rsid w:val="001A23B0"/>
    <w:rsid w:val="001A25CC"/>
    <w:rsid w:val="001B0AAA"/>
    <w:rsid w:val="001B31EB"/>
    <w:rsid w:val="001B4732"/>
    <w:rsid w:val="001B48DA"/>
    <w:rsid w:val="001B4B27"/>
    <w:rsid w:val="001C0592"/>
    <w:rsid w:val="001C39F7"/>
    <w:rsid w:val="001C62D3"/>
    <w:rsid w:val="001E0609"/>
    <w:rsid w:val="001E1871"/>
    <w:rsid w:val="0020188E"/>
    <w:rsid w:val="00207518"/>
    <w:rsid w:val="00221D7F"/>
    <w:rsid w:val="002220B7"/>
    <w:rsid w:val="00222ECB"/>
    <w:rsid w:val="0022595F"/>
    <w:rsid w:val="002314A3"/>
    <w:rsid w:val="00233180"/>
    <w:rsid w:val="00237B48"/>
    <w:rsid w:val="0024521E"/>
    <w:rsid w:val="002453BD"/>
    <w:rsid w:val="0026007B"/>
    <w:rsid w:val="00263C3D"/>
    <w:rsid w:val="00274D0B"/>
    <w:rsid w:val="00284E72"/>
    <w:rsid w:val="002B052D"/>
    <w:rsid w:val="002B169E"/>
    <w:rsid w:val="002B34CD"/>
    <w:rsid w:val="002B3C95"/>
    <w:rsid w:val="002B5AB0"/>
    <w:rsid w:val="002D0B92"/>
    <w:rsid w:val="002D0E34"/>
    <w:rsid w:val="002D4305"/>
    <w:rsid w:val="002E1D51"/>
    <w:rsid w:val="002F0788"/>
    <w:rsid w:val="0034535E"/>
    <w:rsid w:val="003460B0"/>
    <w:rsid w:val="00350526"/>
    <w:rsid w:val="00372490"/>
    <w:rsid w:val="00384027"/>
    <w:rsid w:val="003901BC"/>
    <w:rsid w:val="003967EF"/>
    <w:rsid w:val="00397B80"/>
    <w:rsid w:val="003B0742"/>
    <w:rsid w:val="003C61F7"/>
    <w:rsid w:val="003C6BC0"/>
    <w:rsid w:val="003D5BBE"/>
    <w:rsid w:val="003E3C61"/>
    <w:rsid w:val="003F1C5B"/>
    <w:rsid w:val="0042468E"/>
    <w:rsid w:val="00431EFF"/>
    <w:rsid w:val="00434E33"/>
    <w:rsid w:val="004411C3"/>
    <w:rsid w:val="00441434"/>
    <w:rsid w:val="00443BB0"/>
    <w:rsid w:val="0045264C"/>
    <w:rsid w:val="00464E77"/>
    <w:rsid w:val="00470B1E"/>
    <w:rsid w:val="00481628"/>
    <w:rsid w:val="004876EC"/>
    <w:rsid w:val="004B1E6E"/>
    <w:rsid w:val="004B2CB9"/>
    <w:rsid w:val="004C0EBB"/>
    <w:rsid w:val="004C69C6"/>
    <w:rsid w:val="004D3A37"/>
    <w:rsid w:val="004D6E14"/>
    <w:rsid w:val="004F294A"/>
    <w:rsid w:val="004F711F"/>
    <w:rsid w:val="005009B0"/>
    <w:rsid w:val="00526C09"/>
    <w:rsid w:val="005425C3"/>
    <w:rsid w:val="0055462A"/>
    <w:rsid w:val="00561D2C"/>
    <w:rsid w:val="00563234"/>
    <w:rsid w:val="0059071A"/>
    <w:rsid w:val="00590CAB"/>
    <w:rsid w:val="005A1006"/>
    <w:rsid w:val="005A6967"/>
    <w:rsid w:val="005E3F04"/>
    <w:rsid w:val="005E714A"/>
    <w:rsid w:val="005F1172"/>
    <w:rsid w:val="005F693D"/>
    <w:rsid w:val="00607B05"/>
    <w:rsid w:val="006140A0"/>
    <w:rsid w:val="0061689B"/>
    <w:rsid w:val="00621480"/>
    <w:rsid w:val="006342A4"/>
    <w:rsid w:val="00635ABE"/>
    <w:rsid w:val="00636621"/>
    <w:rsid w:val="00642B49"/>
    <w:rsid w:val="00654847"/>
    <w:rsid w:val="0066169B"/>
    <w:rsid w:val="00670DD0"/>
    <w:rsid w:val="006832D9"/>
    <w:rsid w:val="0068509D"/>
    <w:rsid w:val="006935DC"/>
    <w:rsid w:val="0069403B"/>
    <w:rsid w:val="006A79D0"/>
    <w:rsid w:val="006B3DDA"/>
    <w:rsid w:val="006B45F9"/>
    <w:rsid w:val="006B5AE9"/>
    <w:rsid w:val="006C3442"/>
    <w:rsid w:val="006D355C"/>
    <w:rsid w:val="006E5630"/>
    <w:rsid w:val="006E66BF"/>
    <w:rsid w:val="006F209E"/>
    <w:rsid w:val="006F3DDE"/>
    <w:rsid w:val="006F46FD"/>
    <w:rsid w:val="00704678"/>
    <w:rsid w:val="007177F6"/>
    <w:rsid w:val="007203CD"/>
    <w:rsid w:val="007275B5"/>
    <w:rsid w:val="00736220"/>
    <w:rsid w:val="00740D21"/>
    <w:rsid w:val="007425E7"/>
    <w:rsid w:val="00757E5D"/>
    <w:rsid w:val="00762E88"/>
    <w:rsid w:val="00763142"/>
    <w:rsid w:val="007829D1"/>
    <w:rsid w:val="007B16D8"/>
    <w:rsid w:val="007B372D"/>
    <w:rsid w:val="007B6AEF"/>
    <w:rsid w:val="007C52C6"/>
    <w:rsid w:val="007E6415"/>
    <w:rsid w:val="007F7080"/>
    <w:rsid w:val="00802607"/>
    <w:rsid w:val="008066C4"/>
    <w:rsid w:val="008101A5"/>
    <w:rsid w:val="0081222D"/>
    <w:rsid w:val="008136F6"/>
    <w:rsid w:val="00815089"/>
    <w:rsid w:val="00822664"/>
    <w:rsid w:val="008246DE"/>
    <w:rsid w:val="008264EF"/>
    <w:rsid w:val="00843796"/>
    <w:rsid w:val="008516AD"/>
    <w:rsid w:val="00854135"/>
    <w:rsid w:val="00857CC1"/>
    <w:rsid w:val="00895229"/>
    <w:rsid w:val="00896182"/>
    <w:rsid w:val="008A23EE"/>
    <w:rsid w:val="008A426F"/>
    <w:rsid w:val="008A509F"/>
    <w:rsid w:val="008B2EB3"/>
    <w:rsid w:val="008D0D7F"/>
    <w:rsid w:val="008F01E0"/>
    <w:rsid w:val="008F0203"/>
    <w:rsid w:val="008F2462"/>
    <w:rsid w:val="008F50D4"/>
    <w:rsid w:val="009239AA"/>
    <w:rsid w:val="0092627E"/>
    <w:rsid w:val="009331E4"/>
    <w:rsid w:val="00934142"/>
    <w:rsid w:val="00935ADA"/>
    <w:rsid w:val="00946B6C"/>
    <w:rsid w:val="00954DA6"/>
    <w:rsid w:val="00955A71"/>
    <w:rsid w:val="0096108F"/>
    <w:rsid w:val="00965627"/>
    <w:rsid w:val="009703D7"/>
    <w:rsid w:val="00970C6E"/>
    <w:rsid w:val="009778EC"/>
    <w:rsid w:val="009B72B2"/>
    <w:rsid w:val="009C13B9"/>
    <w:rsid w:val="009D01A2"/>
    <w:rsid w:val="009D7680"/>
    <w:rsid w:val="009E0CDF"/>
    <w:rsid w:val="009E7CDE"/>
    <w:rsid w:val="009F5308"/>
    <w:rsid w:val="009F5923"/>
    <w:rsid w:val="00A17D16"/>
    <w:rsid w:val="00A2639D"/>
    <w:rsid w:val="00A2659A"/>
    <w:rsid w:val="00A33FAC"/>
    <w:rsid w:val="00A34B5D"/>
    <w:rsid w:val="00A403BB"/>
    <w:rsid w:val="00A42295"/>
    <w:rsid w:val="00A436AD"/>
    <w:rsid w:val="00A43E0F"/>
    <w:rsid w:val="00A674DF"/>
    <w:rsid w:val="00A731DE"/>
    <w:rsid w:val="00A7743D"/>
    <w:rsid w:val="00A83AA6"/>
    <w:rsid w:val="00A930ED"/>
    <w:rsid w:val="00A934D6"/>
    <w:rsid w:val="00A9485E"/>
    <w:rsid w:val="00AA2E39"/>
    <w:rsid w:val="00AC2581"/>
    <w:rsid w:val="00AC7918"/>
    <w:rsid w:val="00AE1809"/>
    <w:rsid w:val="00AF3C80"/>
    <w:rsid w:val="00AF552A"/>
    <w:rsid w:val="00B061EA"/>
    <w:rsid w:val="00B24E80"/>
    <w:rsid w:val="00B276B8"/>
    <w:rsid w:val="00B40F03"/>
    <w:rsid w:val="00B502A7"/>
    <w:rsid w:val="00B80D76"/>
    <w:rsid w:val="00B97C28"/>
    <w:rsid w:val="00BA08F2"/>
    <w:rsid w:val="00BA2105"/>
    <w:rsid w:val="00BA415C"/>
    <w:rsid w:val="00BA7E06"/>
    <w:rsid w:val="00BB43B5"/>
    <w:rsid w:val="00BB6219"/>
    <w:rsid w:val="00BD018F"/>
    <w:rsid w:val="00BD290F"/>
    <w:rsid w:val="00BF3ABB"/>
    <w:rsid w:val="00C14CC4"/>
    <w:rsid w:val="00C33C52"/>
    <w:rsid w:val="00C33EFA"/>
    <w:rsid w:val="00C36CE8"/>
    <w:rsid w:val="00C40D8B"/>
    <w:rsid w:val="00C40DFD"/>
    <w:rsid w:val="00C53D71"/>
    <w:rsid w:val="00C8407A"/>
    <w:rsid w:val="00C8488C"/>
    <w:rsid w:val="00C86E91"/>
    <w:rsid w:val="00CA102F"/>
    <w:rsid w:val="00CA2650"/>
    <w:rsid w:val="00CB1078"/>
    <w:rsid w:val="00CB1D22"/>
    <w:rsid w:val="00CC6FAF"/>
    <w:rsid w:val="00CF6542"/>
    <w:rsid w:val="00D100F7"/>
    <w:rsid w:val="00D15C28"/>
    <w:rsid w:val="00D2440D"/>
    <w:rsid w:val="00D24698"/>
    <w:rsid w:val="00D34664"/>
    <w:rsid w:val="00D37401"/>
    <w:rsid w:val="00D40523"/>
    <w:rsid w:val="00D55CAA"/>
    <w:rsid w:val="00D6383F"/>
    <w:rsid w:val="00D64CAE"/>
    <w:rsid w:val="00D72CFF"/>
    <w:rsid w:val="00D73BD7"/>
    <w:rsid w:val="00DA1354"/>
    <w:rsid w:val="00DA6871"/>
    <w:rsid w:val="00DB42BA"/>
    <w:rsid w:val="00DB52BC"/>
    <w:rsid w:val="00DB59D0"/>
    <w:rsid w:val="00DC33D3"/>
    <w:rsid w:val="00DD6FE7"/>
    <w:rsid w:val="00DE2858"/>
    <w:rsid w:val="00DE602D"/>
    <w:rsid w:val="00DF1D7E"/>
    <w:rsid w:val="00E03B7A"/>
    <w:rsid w:val="00E26329"/>
    <w:rsid w:val="00E334E3"/>
    <w:rsid w:val="00E40B50"/>
    <w:rsid w:val="00E44672"/>
    <w:rsid w:val="00E46D6A"/>
    <w:rsid w:val="00E50293"/>
    <w:rsid w:val="00E574C9"/>
    <w:rsid w:val="00E65FFC"/>
    <w:rsid w:val="00E744EA"/>
    <w:rsid w:val="00E75ACD"/>
    <w:rsid w:val="00E80951"/>
    <w:rsid w:val="00E8104C"/>
    <w:rsid w:val="00E86CC6"/>
    <w:rsid w:val="00E93DC5"/>
    <w:rsid w:val="00E96631"/>
    <w:rsid w:val="00EA0A43"/>
    <w:rsid w:val="00EA615F"/>
    <w:rsid w:val="00EB0517"/>
    <w:rsid w:val="00EB56B3"/>
    <w:rsid w:val="00EC410A"/>
    <w:rsid w:val="00EC626F"/>
    <w:rsid w:val="00ED1D56"/>
    <w:rsid w:val="00ED6492"/>
    <w:rsid w:val="00EF2095"/>
    <w:rsid w:val="00F0149B"/>
    <w:rsid w:val="00F06866"/>
    <w:rsid w:val="00F15956"/>
    <w:rsid w:val="00F24CFC"/>
    <w:rsid w:val="00F2603B"/>
    <w:rsid w:val="00F3170F"/>
    <w:rsid w:val="00F37F1D"/>
    <w:rsid w:val="00F4269B"/>
    <w:rsid w:val="00F42945"/>
    <w:rsid w:val="00F44403"/>
    <w:rsid w:val="00F47270"/>
    <w:rsid w:val="00F56DDC"/>
    <w:rsid w:val="00F57378"/>
    <w:rsid w:val="00F57881"/>
    <w:rsid w:val="00F6248B"/>
    <w:rsid w:val="00F8184D"/>
    <w:rsid w:val="00F85B54"/>
    <w:rsid w:val="00F8638D"/>
    <w:rsid w:val="00F976B0"/>
    <w:rsid w:val="00F977AB"/>
    <w:rsid w:val="00FA6DE7"/>
    <w:rsid w:val="00FB7375"/>
    <w:rsid w:val="00FC0A8E"/>
    <w:rsid w:val="00FC4767"/>
    <w:rsid w:val="00FD563E"/>
    <w:rsid w:val="00FE2A6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8DC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8150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8150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045">
      <w:bodyDiv w:val="1"/>
      <w:marLeft w:val="0"/>
      <w:marRight w:val="0"/>
      <w:marTop w:val="0"/>
      <w:marBottom w:val="0"/>
      <w:divBdr>
        <w:top w:val="none" w:sz="0" w:space="0" w:color="auto"/>
        <w:left w:val="none" w:sz="0" w:space="0" w:color="auto"/>
        <w:bottom w:val="none" w:sz="0" w:space="0" w:color="auto"/>
        <w:right w:val="none" w:sz="0" w:space="0" w:color="auto"/>
      </w:divBdr>
    </w:div>
    <w:div w:id="56127363">
      <w:bodyDiv w:val="1"/>
      <w:marLeft w:val="0"/>
      <w:marRight w:val="0"/>
      <w:marTop w:val="0"/>
      <w:marBottom w:val="0"/>
      <w:divBdr>
        <w:top w:val="none" w:sz="0" w:space="0" w:color="auto"/>
        <w:left w:val="none" w:sz="0" w:space="0" w:color="auto"/>
        <w:bottom w:val="none" w:sz="0" w:space="0" w:color="auto"/>
        <w:right w:val="none" w:sz="0" w:space="0" w:color="auto"/>
      </w:divBdr>
    </w:div>
    <w:div w:id="429618957">
      <w:bodyDiv w:val="1"/>
      <w:marLeft w:val="0"/>
      <w:marRight w:val="0"/>
      <w:marTop w:val="0"/>
      <w:marBottom w:val="0"/>
      <w:divBdr>
        <w:top w:val="none" w:sz="0" w:space="0" w:color="auto"/>
        <w:left w:val="none" w:sz="0" w:space="0" w:color="auto"/>
        <w:bottom w:val="none" w:sz="0" w:space="0" w:color="auto"/>
        <w:right w:val="none" w:sz="0" w:space="0" w:color="auto"/>
      </w:divBdr>
    </w:div>
    <w:div w:id="726145566">
      <w:bodyDiv w:val="1"/>
      <w:marLeft w:val="0"/>
      <w:marRight w:val="0"/>
      <w:marTop w:val="0"/>
      <w:marBottom w:val="0"/>
      <w:divBdr>
        <w:top w:val="none" w:sz="0" w:space="0" w:color="auto"/>
        <w:left w:val="none" w:sz="0" w:space="0" w:color="auto"/>
        <w:bottom w:val="none" w:sz="0" w:space="0" w:color="auto"/>
        <w:right w:val="none" w:sz="0" w:space="0" w:color="auto"/>
      </w:divBdr>
    </w:div>
    <w:div w:id="1020279376">
      <w:bodyDiv w:val="1"/>
      <w:marLeft w:val="0"/>
      <w:marRight w:val="0"/>
      <w:marTop w:val="0"/>
      <w:marBottom w:val="0"/>
      <w:divBdr>
        <w:top w:val="none" w:sz="0" w:space="0" w:color="auto"/>
        <w:left w:val="none" w:sz="0" w:space="0" w:color="auto"/>
        <w:bottom w:val="none" w:sz="0" w:space="0" w:color="auto"/>
        <w:right w:val="none" w:sz="0" w:space="0" w:color="auto"/>
      </w:divBdr>
    </w:div>
    <w:div w:id="1388649081">
      <w:bodyDiv w:val="1"/>
      <w:marLeft w:val="0"/>
      <w:marRight w:val="0"/>
      <w:marTop w:val="0"/>
      <w:marBottom w:val="0"/>
      <w:divBdr>
        <w:top w:val="none" w:sz="0" w:space="0" w:color="auto"/>
        <w:left w:val="none" w:sz="0" w:space="0" w:color="auto"/>
        <w:bottom w:val="none" w:sz="0" w:space="0" w:color="auto"/>
        <w:right w:val="none" w:sz="0" w:space="0" w:color="auto"/>
      </w:divBdr>
    </w:div>
    <w:div w:id="1816338160">
      <w:bodyDiv w:val="1"/>
      <w:marLeft w:val="0"/>
      <w:marRight w:val="0"/>
      <w:marTop w:val="0"/>
      <w:marBottom w:val="0"/>
      <w:divBdr>
        <w:top w:val="none" w:sz="0" w:space="0" w:color="auto"/>
        <w:left w:val="none" w:sz="0" w:space="0" w:color="auto"/>
        <w:bottom w:val="none" w:sz="0" w:space="0" w:color="auto"/>
        <w:right w:val="none" w:sz="0" w:space="0" w:color="auto"/>
      </w:divBdr>
    </w:div>
    <w:div w:id="198904699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CC9DB-B50B-4584-8B6F-C5A3B12D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2018-10-11T12:50:00Z</cp:lastPrinted>
  <dcterms:created xsi:type="dcterms:W3CDTF">2018-10-18T14:18:00Z</dcterms:created>
  <dcterms:modified xsi:type="dcterms:W3CDTF">2018-10-18T14:18:00Z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