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66608" w14:textId="77777777" w:rsidR="004133EE" w:rsidRPr="0069499A" w:rsidRDefault="004133EE" w:rsidP="0086685B">
      <w:pPr>
        <w:pStyle w:val="Title"/>
        <w:widowControl/>
        <w:ind w:right="-720"/>
        <w:rPr>
          <w:rFonts w:ascii="Arial" w:hAnsi="Arial"/>
        </w:rPr>
      </w:pPr>
      <w:bookmarkStart w:id="0" w:name="OLE_LINK1"/>
    </w:p>
    <w:p w14:paraId="55552D54" w14:textId="77777777" w:rsidR="00926FF2" w:rsidRPr="00866803" w:rsidRDefault="00926FF2" w:rsidP="00926FF2">
      <w:pPr>
        <w:widowControl/>
        <w:overflowPunct/>
        <w:autoSpaceDE/>
        <w:autoSpaceDN/>
        <w:adjustRightInd/>
        <w:jc w:val="center"/>
        <w:textAlignment w:val="auto"/>
        <w:rPr>
          <w:rFonts w:ascii="Arial" w:hAnsi="Arial" w:cs="Arial"/>
          <w:b/>
          <w:sz w:val="22"/>
          <w:szCs w:val="22"/>
        </w:rPr>
      </w:pPr>
      <w:r w:rsidRPr="00866803">
        <w:rPr>
          <w:rFonts w:ascii="Arial" w:hAnsi="Arial" w:cs="Arial"/>
          <w:b/>
          <w:sz w:val="22"/>
          <w:szCs w:val="22"/>
        </w:rPr>
        <w:t>Supporting Statement</w:t>
      </w:r>
    </w:p>
    <w:p w14:paraId="3FB8C310" w14:textId="77777777" w:rsidR="0092353A" w:rsidRDefault="00567595" w:rsidP="0092353A">
      <w:pPr>
        <w:widowControl/>
        <w:overflowPunct/>
        <w:autoSpaceDE/>
        <w:autoSpaceDN/>
        <w:adjustRightInd/>
        <w:jc w:val="center"/>
        <w:textAlignment w:val="auto"/>
        <w:rPr>
          <w:rFonts w:ascii="Arial" w:hAnsi="Arial" w:cs="Arial"/>
          <w:b/>
          <w:sz w:val="22"/>
          <w:szCs w:val="22"/>
        </w:rPr>
      </w:pPr>
      <w:r w:rsidRPr="00866803">
        <w:rPr>
          <w:rFonts w:ascii="Arial" w:hAnsi="Arial" w:cs="Arial"/>
          <w:b/>
          <w:sz w:val="22"/>
          <w:szCs w:val="22"/>
        </w:rPr>
        <w:t xml:space="preserve">Approval Request to Conduct </w:t>
      </w:r>
      <w:r w:rsidR="005C51E4">
        <w:rPr>
          <w:rFonts w:ascii="Arial" w:hAnsi="Arial" w:cs="Arial"/>
          <w:b/>
          <w:sz w:val="22"/>
          <w:szCs w:val="22"/>
        </w:rPr>
        <w:t>Year One</w:t>
      </w:r>
      <w:r w:rsidR="005C51E4" w:rsidRPr="00866803">
        <w:rPr>
          <w:rFonts w:ascii="Arial" w:hAnsi="Arial" w:cs="Arial"/>
          <w:b/>
          <w:sz w:val="22"/>
          <w:szCs w:val="22"/>
        </w:rPr>
        <w:t xml:space="preserve"> </w:t>
      </w:r>
      <w:r w:rsidR="00981C73" w:rsidRPr="00866803">
        <w:rPr>
          <w:rFonts w:ascii="Arial" w:hAnsi="Arial" w:cs="Arial"/>
          <w:b/>
          <w:sz w:val="22"/>
          <w:szCs w:val="22"/>
        </w:rPr>
        <w:t>Test of Consumer Tipping Survey</w:t>
      </w:r>
      <w:r w:rsidRPr="00866803">
        <w:rPr>
          <w:rFonts w:ascii="Arial" w:hAnsi="Arial" w:cs="Arial"/>
          <w:b/>
          <w:sz w:val="22"/>
          <w:szCs w:val="22"/>
        </w:rPr>
        <w:t xml:space="preserve"> </w:t>
      </w:r>
    </w:p>
    <w:p w14:paraId="2E200498" w14:textId="77777777" w:rsidR="0092353A" w:rsidRDefault="00567595" w:rsidP="0092353A">
      <w:pPr>
        <w:widowControl/>
        <w:overflowPunct/>
        <w:autoSpaceDE/>
        <w:autoSpaceDN/>
        <w:adjustRightInd/>
        <w:jc w:val="center"/>
        <w:textAlignment w:val="auto"/>
        <w:rPr>
          <w:rFonts w:ascii="Arial" w:hAnsi="Arial" w:cs="Arial"/>
          <w:b/>
          <w:sz w:val="22"/>
          <w:szCs w:val="22"/>
        </w:rPr>
      </w:pPr>
      <w:r w:rsidRPr="00866803">
        <w:rPr>
          <w:rFonts w:ascii="Arial" w:hAnsi="Arial" w:cs="Arial"/>
          <w:b/>
          <w:sz w:val="22"/>
          <w:szCs w:val="22"/>
        </w:rPr>
        <w:t xml:space="preserve">(OMB </w:t>
      </w:r>
      <w:r w:rsidRPr="00115625">
        <w:rPr>
          <w:rFonts w:ascii="Arial" w:hAnsi="Arial" w:cs="Arial"/>
          <w:b/>
          <w:sz w:val="22"/>
          <w:szCs w:val="22"/>
        </w:rPr>
        <w:t>#</w:t>
      </w:r>
      <w:r w:rsidR="007242C8" w:rsidRPr="00115625">
        <w:rPr>
          <w:rFonts w:ascii="Arial" w:hAnsi="Arial" w:cs="Arial"/>
          <w:b/>
          <w:sz w:val="22"/>
          <w:szCs w:val="22"/>
        </w:rPr>
        <w:t>1545</w:t>
      </w:r>
      <w:r w:rsidRPr="00115625">
        <w:rPr>
          <w:rFonts w:ascii="Arial" w:hAnsi="Arial" w:cs="Arial"/>
          <w:b/>
          <w:sz w:val="22"/>
          <w:szCs w:val="22"/>
        </w:rPr>
        <w:t>-</w:t>
      </w:r>
      <w:r w:rsidR="00115625" w:rsidRPr="00115625">
        <w:rPr>
          <w:rFonts w:ascii="Arial" w:hAnsi="Arial" w:cs="Arial"/>
          <w:b/>
          <w:sz w:val="22"/>
          <w:szCs w:val="22"/>
        </w:rPr>
        <w:t>2261</w:t>
      </w:r>
      <w:r w:rsidRPr="00115625">
        <w:rPr>
          <w:rFonts w:ascii="Arial" w:hAnsi="Arial" w:cs="Arial"/>
          <w:b/>
          <w:sz w:val="22"/>
          <w:szCs w:val="22"/>
        </w:rPr>
        <w:t>)</w:t>
      </w:r>
    </w:p>
    <w:p w14:paraId="1D5D1583" w14:textId="6EB7649A" w:rsidR="00567595" w:rsidRPr="0092353A" w:rsidRDefault="0092353A" w:rsidP="0092353A">
      <w:pPr>
        <w:widowControl/>
        <w:overflowPunct/>
        <w:autoSpaceDE/>
        <w:autoSpaceDN/>
        <w:adjustRightInd/>
        <w:jc w:val="center"/>
        <w:textAlignment w:val="auto"/>
        <w:rPr>
          <w:rFonts w:ascii="Arial" w:hAnsi="Arial" w:cs="Arial"/>
          <w:sz w:val="22"/>
          <w:szCs w:val="22"/>
        </w:rPr>
      </w:pPr>
      <w:r w:rsidRPr="001F0EAC">
        <w:rPr>
          <w:rFonts w:ascii="Arial" w:hAnsi="Arial" w:cs="Arial"/>
          <w:sz w:val="22"/>
          <w:szCs w:val="22"/>
        </w:rPr>
        <w:t>Revised</w:t>
      </w:r>
      <w:r w:rsidR="00BF12BA" w:rsidRPr="00BF12BA">
        <w:rPr>
          <w:rFonts w:ascii="Arial" w:hAnsi="Arial" w:cs="Arial"/>
          <w:sz w:val="22"/>
          <w:szCs w:val="22"/>
        </w:rPr>
        <w:t xml:space="preserve"> </w:t>
      </w:r>
      <w:r w:rsidR="00BF12BA">
        <w:rPr>
          <w:rFonts w:ascii="Arial" w:hAnsi="Arial" w:cs="Arial"/>
          <w:sz w:val="22"/>
          <w:szCs w:val="22"/>
        </w:rPr>
        <w:t>August</w:t>
      </w:r>
      <w:r w:rsidR="00BF12BA" w:rsidRPr="001F0EAC">
        <w:rPr>
          <w:rFonts w:ascii="Arial" w:hAnsi="Arial" w:cs="Arial"/>
          <w:sz w:val="22"/>
          <w:szCs w:val="22"/>
        </w:rPr>
        <w:t xml:space="preserve"> 2</w:t>
      </w:r>
      <w:r w:rsidR="009D4926">
        <w:rPr>
          <w:rFonts w:ascii="Arial" w:hAnsi="Arial" w:cs="Arial"/>
          <w:sz w:val="22"/>
          <w:szCs w:val="22"/>
        </w:rPr>
        <w:t>2</w:t>
      </w:r>
      <w:r w:rsidRPr="001F0EAC">
        <w:rPr>
          <w:rFonts w:ascii="Arial" w:hAnsi="Arial" w:cs="Arial"/>
          <w:sz w:val="22"/>
          <w:szCs w:val="22"/>
        </w:rPr>
        <w:t>, 2016</w:t>
      </w:r>
    </w:p>
    <w:p w14:paraId="170EF159" w14:textId="77777777" w:rsidR="009931B3" w:rsidRPr="00866803" w:rsidRDefault="009931B3">
      <w:pPr>
        <w:widowControl/>
        <w:rPr>
          <w:rFonts w:ascii="Arial" w:hAnsi="Arial" w:cs="Arial"/>
          <w:b/>
          <w:sz w:val="22"/>
          <w:szCs w:val="22"/>
          <w:u w:val="single"/>
        </w:rPr>
      </w:pPr>
    </w:p>
    <w:p w14:paraId="334DA3FF" w14:textId="77777777" w:rsidR="00567595" w:rsidRPr="00866803" w:rsidRDefault="00567595">
      <w:pPr>
        <w:widowControl/>
        <w:rPr>
          <w:rFonts w:ascii="Arial" w:hAnsi="Arial" w:cs="Arial"/>
          <w:b/>
          <w:sz w:val="22"/>
          <w:szCs w:val="22"/>
          <w:u w:val="single"/>
        </w:rPr>
      </w:pPr>
    </w:p>
    <w:p w14:paraId="44993E1C" w14:textId="77777777" w:rsidR="00567595" w:rsidRPr="00866803" w:rsidRDefault="00567595">
      <w:pPr>
        <w:widowControl/>
        <w:rPr>
          <w:rFonts w:ascii="Arial" w:hAnsi="Arial" w:cs="Arial"/>
          <w:b/>
          <w:sz w:val="22"/>
          <w:szCs w:val="22"/>
          <w:u w:val="single"/>
        </w:rPr>
      </w:pPr>
    </w:p>
    <w:p w14:paraId="45F09528" w14:textId="77777777" w:rsidR="00091442" w:rsidRPr="00866803" w:rsidRDefault="00091442" w:rsidP="00091442">
      <w:pPr>
        <w:widowControl/>
        <w:numPr>
          <w:ilvl w:val="0"/>
          <w:numId w:val="25"/>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JUSTIFICATION</w:t>
      </w:r>
    </w:p>
    <w:p w14:paraId="39970955" w14:textId="77777777" w:rsidR="00091442" w:rsidRPr="00866803" w:rsidRDefault="00091442" w:rsidP="00091442">
      <w:pPr>
        <w:widowControl/>
        <w:numPr>
          <w:ilvl w:val="0"/>
          <w:numId w:val="26"/>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Circumstances Making the Collection of Information Necessary</w:t>
      </w:r>
    </w:p>
    <w:p w14:paraId="724DC7A2" w14:textId="77777777" w:rsidR="00B9575C" w:rsidRPr="00866803" w:rsidRDefault="00B9575C">
      <w:pPr>
        <w:widowControl/>
        <w:rPr>
          <w:rFonts w:ascii="Arial" w:hAnsi="Arial" w:cs="Arial"/>
          <w:b/>
          <w:sz w:val="22"/>
          <w:szCs w:val="22"/>
          <w:u w:val="single"/>
        </w:rPr>
      </w:pPr>
    </w:p>
    <w:p w14:paraId="2CF0962D" w14:textId="6FE6A556" w:rsidR="00B81ACA" w:rsidRPr="00866803" w:rsidRDefault="00B74EAE" w:rsidP="00DE2B76">
      <w:pPr>
        <w:rPr>
          <w:rFonts w:ascii="Arial" w:hAnsi="Arial" w:cs="Arial"/>
          <w:sz w:val="22"/>
          <w:szCs w:val="22"/>
        </w:rPr>
      </w:pPr>
      <w:r w:rsidRPr="00866803">
        <w:rPr>
          <w:rFonts w:ascii="Arial" w:hAnsi="Arial" w:cs="Arial"/>
          <w:sz w:val="22"/>
          <w:szCs w:val="22"/>
        </w:rPr>
        <w:t xml:space="preserve">The IRS is charged with collecting revenue legally owed to the federal government. One important category of income comes in the form of tips. </w:t>
      </w:r>
      <w:r w:rsidR="00371A81" w:rsidRPr="00866803">
        <w:rPr>
          <w:rFonts w:ascii="Arial" w:hAnsi="Arial" w:cs="Arial"/>
          <w:sz w:val="22"/>
          <w:szCs w:val="22"/>
        </w:rPr>
        <w:t>Previous empirical research has shown income from tips</w:t>
      </w:r>
      <w:r w:rsidRPr="00866803">
        <w:rPr>
          <w:rFonts w:ascii="Arial" w:hAnsi="Arial" w:cs="Arial"/>
          <w:sz w:val="22"/>
          <w:szCs w:val="22"/>
        </w:rPr>
        <w:t xml:space="preserve"> to be </w:t>
      </w:r>
      <w:r w:rsidR="00371A81" w:rsidRPr="00866803">
        <w:rPr>
          <w:rFonts w:ascii="Arial" w:hAnsi="Arial" w:cs="Arial"/>
          <w:sz w:val="22"/>
          <w:szCs w:val="22"/>
        </w:rPr>
        <w:t xml:space="preserve">significantly </w:t>
      </w:r>
      <w:r w:rsidRPr="00866803">
        <w:rPr>
          <w:rFonts w:ascii="Arial" w:hAnsi="Arial" w:cs="Arial"/>
          <w:sz w:val="22"/>
          <w:szCs w:val="22"/>
        </w:rPr>
        <w:t>underreported</w:t>
      </w:r>
      <w:r w:rsidR="00371A81" w:rsidRPr="00866803">
        <w:rPr>
          <w:rStyle w:val="FootnoteReference"/>
          <w:rFonts w:ascii="Arial" w:hAnsi="Arial" w:cs="Arial"/>
          <w:sz w:val="22"/>
          <w:szCs w:val="22"/>
        </w:rPr>
        <w:footnoteReference w:id="1"/>
      </w:r>
      <w:r w:rsidRPr="00866803">
        <w:rPr>
          <w:rFonts w:ascii="Arial" w:hAnsi="Arial" w:cs="Arial"/>
          <w:sz w:val="22"/>
          <w:szCs w:val="22"/>
        </w:rPr>
        <w:t>, limiting</w:t>
      </w:r>
      <w:r w:rsidR="004B5394" w:rsidRPr="00866803">
        <w:rPr>
          <w:rFonts w:ascii="Arial" w:hAnsi="Arial" w:cs="Arial"/>
          <w:sz w:val="22"/>
          <w:szCs w:val="22"/>
        </w:rPr>
        <w:t xml:space="preserve"> the</w:t>
      </w:r>
      <w:r w:rsidRPr="00866803">
        <w:rPr>
          <w:rFonts w:ascii="Arial" w:hAnsi="Arial" w:cs="Arial"/>
          <w:sz w:val="22"/>
          <w:szCs w:val="22"/>
        </w:rPr>
        <w:t xml:space="preserve"> </w:t>
      </w:r>
      <w:r w:rsidR="00371A81" w:rsidRPr="00866803">
        <w:rPr>
          <w:rFonts w:ascii="Arial" w:hAnsi="Arial" w:cs="Arial"/>
          <w:sz w:val="22"/>
          <w:szCs w:val="22"/>
        </w:rPr>
        <w:t xml:space="preserve">IRS’s </w:t>
      </w:r>
      <w:r w:rsidRPr="00866803">
        <w:rPr>
          <w:rFonts w:ascii="Arial" w:hAnsi="Arial" w:cs="Arial"/>
          <w:sz w:val="22"/>
          <w:szCs w:val="22"/>
        </w:rPr>
        <w:t xml:space="preserve">ability </w:t>
      </w:r>
      <w:r w:rsidR="00371A81" w:rsidRPr="00866803">
        <w:rPr>
          <w:rFonts w:ascii="Arial" w:hAnsi="Arial" w:cs="Arial"/>
          <w:sz w:val="22"/>
          <w:szCs w:val="22"/>
        </w:rPr>
        <w:t>to collect the proper amount of tax</w:t>
      </w:r>
      <w:r w:rsidR="004B5394" w:rsidRPr="00866803">
        <w:rPr>
          <w:rFonts w:ascii="Arial" w:hAnsi="Arial" w:cs="Arial"/>
          <w:sz w:val="22"/>
          <w:szCs w:val="22"/>
        </w:rPr>
        <w:t xml:space="preserve"> revenue</w:t>
      </w:r>
      <w:r w:rsidRPr="00866803">
        <w:rPr>
          <w:rFonts w:ascii="Arial" w:hAnsi="Arial" w:cs="Arial"/>
          <w:sz w:val="22"/>
          <w:szCs w:val="22"/>
        </w:rPr>
        <w:t xml:space="preserve">. </w:t>
      </w:r>
      <w:r w:rsidR="00371A81" w:rsidRPr="00866803">
        <w:rPr>
          <w:rFonts w:ascii="Arial" w:hAnsi="Arial" w:cs="Arial"/>
          <w:sz w:val="22"/>
          <w:szCs w:val="22"/>
        </w:rPr>
        <w:t>The IRS believes a new study of consumer tipping practices is needed in order to better understand current tip reporting behavior so tax administrators and policy makers can make the tax system fairer and more efficient.</w:t>
      </w:r>
      <w:r w:rsidR="004B5394" w:rsidRPr="00866803">
        <w:rPr>
          <w:rFonts w:ascii="Arial" w:hAnsi="Arial" w:cs="Arial"/>
          <w:sz w:val="22"/>
          <w:szCs w:val="22"/>
        </w:rPr>
        <w:t xml:space="preserve"> </w:t>
      </w:r>
      <w:r w:rsidRPr="00866803">
        <w:rPr>
          <w:rFonts w:ascii="Arial" w:hAnsi="Arial" w:cs="Arial"/>
          <w:sz w:val="22"/>
          <w:szCs w:val="22"/>
        </w:rPr>
        <w:t>The</w:t>
      </w:r>
      <w:r w:rsidR="00371A81" w:rsidRPr="00866803">
        <w:rPr>
          <w:rFonts w:ascii="Arial" w:hAnsi="Arial" w:cs="Arial"/>
          <w:sz w:val="22"/>
          <w:szCs w:val="22"/>
        </w:rPr>
        <w:t>refore, the</w:t>
      </w:r>
      <w:r w:rsidRPr="00866803">
        <w:rPr>
          <w:rFonts w:ascii="Arial" w:hAnsi="Arial" w:cs="Arial"/>
          <w:sz w:val="22"/>
          <w:szCs w:val="22"/>
        </w:rPr>
        <w:t xml:space="preserve"> </w:t>
      </w:r>
      <w:r w:rsidR="004B5394" w:rsidRPr="00866803">
        <w:rPr>
          <w:rFonts w:ascii="Arial" w:hAnsi="Arial" w:cs="Arial"/>
          <w:sz w:val="22"/>
          <w:szCs w:val="22"/>
        </w:rPr>
        <w:t>IRS wishes</w:t>
      </w:r>
      <w:r w:rsidRPr="00866803">
        <w:rPr>
          <w:rFonts w:ascii="Arial" w:hAnsi="Arial" w:cs="Arial"/>
          <w:sz w:val="22"/>
          <w:szCs w:val="22"/>
        </w:rPr>
        <w:t xml:space="preserve"> to develop</w:t>
      </w:r>
      <w:r w:rsidR="00797926" w:rsidRPr="00866803">
        <w:rPr>
          <w:rFonts w:ascii="Arial" w:hAnsi="Arial" w:cs="Arial"/>
          <w:sz w:val="22"/>
          <w:szCs w:val="22"/>
        </w:rPr>
        <w:t xml:space="preserve"> </w:t>
      </w:r>
      <w:r w:rsidR="00D51C4B" w:rsidRPr="00866803">
        <w:rPr>
          <w:rFonts w:ascii="Arial" w:hAnsi="Arial" w:cs="Arial"/>
          <w:sz w:val="22"/>
          <w:szCs w:val="22"/>
        </w:rPr>
        <w:t>updated</w:t>
      </w:r>
      <w:r w:rsidRPr="00866803">
        <w:rPr>
          <w:rFonts w:ascii="Arial" w:hAnsi="Arial" w:cs="Arial"/>
          <w:sz w:val="22"/>
          <w:szCs w:val="22"/>
        </w:rPr>
        <w:t xml:space="preserve"> estimates of consumer tipping revenue</w:t>
      </w:r>
      <w:r w:rsidR="00797926" w:rsidRPr="00866803">
        <w:rPr>
          <w:rFonts w:ascii="Arial" w:hAnsi="Arial" w:cs="Arial"/>
          <w:sz w:val="22"/>
          <w:szCs w:val="22"/>
        </w:rPr>
        <w:t xml:space="preserve"> across numerous services</w:t>
      </w:r>
      <w:r w:rsidR="00371A81" w:rsidRPr="00866803">
        <w:rPr>
          <w:rFonts w:ascii="Arial" w:hAnsi="Arial" w:cs="Arial"/>
          <w:sz w:val="22"/>
          <w:szCs w:val="22"/>
        </w:rPr>
        <w:t xml:space="preserve"> where tipping is prevalent</w:t>
      </w:r>
      <w:r w:rsidRPr="00866803">
        <w:rPr>
          <w:rFonts w:ascii="Arial" w:hAnsi="Arial" w:cs="Arial"/>
          <w:sz w:val="22"/>
          <w:szCs w:val="22"/>
        </w:rPr>
        <w:t xml:space="preserve">. </w:t>
      </w:r>
    </w:p>
    <w:p w14:paraId="24BE0DCC" w14:textId="77777777" w:rsidR="004A6B50" w:rsidRDefault="004A6B50" w:rsidP="00CF1EBC">
      <w:pPr>
        <w:rPr>
          <w:rFonts w:ascii="Arial" w:hAnsi="Arial" w:cs="Arial"/>
          <w:sz w:val="22"/>
          <w:szCs w:val="22"/>
        </w:rPr>
      </w:pPr>
    </w:p>
    <w:p w14:paraId="2A240F98" w14:textId="77777777" w:rsidR="004A6B50" w:rsidRDefault="004A6B50" w:rsidP="00AD7E67">
      <w:pPr>
        <w:rPr>
          <w:rFonts w:ascii="Arial" w:hAnsi="Arial" w:cs="Arial"/>
          <w:sz w:val="22"/>
          <w:szCs w:val="22"/>
        </w:rPr>
      </w:pPr>
      <w:r w:rsidRPr="00866803">
        <w:rPr>
          <w:rFonts w:ascii="Arial" w:hAnsi="Arial" w:cs="Arial"/>
          <w:sz w:val="22"/>
          <w:szCs w:val="22"/>
        </w:rPr>
        <w:t>The private nature of most transactions involving tipping makes it extremely difficult to collect reliable data that can be used to estimate total tip income. This difficulty is further compounded by the motivation of some individuals not to report tips received as taxable income. For these reasons, the IRS has concluded that surveying consumers about their tipping experiences is the most reliable way to collect quantitative data on tip income.</w:t>
      </w:r>
      <w:r w:rsidR="0092353A">
        <w:rPr>
          <w:rFonts w:ascii="Arial" w:hAnsi="Arial" w:cs="Arial"/>
          <w:sz w:val="22"/>
          <w:szCs w:val="22"/>
        </w:rPr>
        <w:t xml:space="preserve"> </w:t>
      </w:r>
    </w:p>
    <w:p w14:paraId="447714CF" w14:textId="77777777" w:rsidR="004A6B50" w:rsidRDefault="004A6B50" w:rsidP="004A6B50">
      <w:pPr>
        <w:rPr>
          <w:rFonts w:ascii="Arial" w:hAnsi="Arial" w:cs="Arial"/>
          <w:sz w:val="22"/>
          <w:szCs w:val="22"/>
        </w:rPr>
      </w:pPr>
    </w:p>
    <w:p w14:paraId="276613D4" w14:textId="77777777" w:rsidR="004A6B50" w:rsidRPr="00866803" w:rsidRDefault="00B74EAE" w:rsidP="004A6B50">
      <w:pPr>
        <w:rPr>
          <w:rFonts w:ascii="Arial" w:hAnsi="Arial" w:cs="Arial"/>
          <w:sz w:val="22"/>
          <w:szCs w:val="22"/>
        </w:rPr>
      </w:pPr>
      <w:r w:rsidRPr="00866803">
        <w:rPr>
          <w:rFonts w:ascii="Arial" w:hAnsi="Arial" w:cs="Arial"/>
          <w:sz w:val="22"/>
          <w:szCs w:val="22"/>
        </w:rPr>
        <w:t xml:space="preserve">In support of </w:t>
      </w:r>
      <w:r w:rsidR="00C37880">
        <w:rPr>
          <w:rFonts w:ascii="Arial" w:hAnsi="Arial" w:cs="Arial"/>
          <w:sz w:val="22"/>
          <w:szCs w:val="22"/>
        </w:rPr>
        <w:t xml:space="preserve">this </w:t>
      </w:r>
      <w:r w:rsidRPr="00866803">
        <w:rPr>
          <w:rFonts w:ascii="Arial" w:hAnsi="Arial" w:cs="Arial"/>
          <w:sz w:val="22"/>
          <w:szCs w:val="22"/>
        </w:rPr>
        <w:t>mission, IRS is seeking a standard clearance to conduct</w:t>
      </w:r>
      <w:r w:rsidR="00797926" w:rsidRPr="00866803">
        <w:rPr>
          <w:rFonts w:ascii="Arial" w:hAnsi="Arial" w:cs="Arial"/>
          <w:sz w:val="22"/>
          <w:szCs w:val="22"/>
        </w:rPr>
        <w:t xml:space="preserve"> a</w:t>
      </w:r>
      <w:r w:rsidRPr="00866803">
        <w:rPr>
          <w:rFonts w:ascii="Arial" w:hAnsi="Arial" w:cs="Arial"/>
          <w:sz w:val="22"/>
          <w:szCs w:val="22"/>
        </w:rPr>
        <w:t xml:space="preserve"> </w:t>
      </w:r>
      <w:r w:rsidR="00D540D6">
        <w:rPr>
          <w:rFonts w:ascii="Arial" w:hAnsi="Arial" w:cs="Arial"/>
          <w:sz w:val="22"/>
          <w:szCs w:val="22"/>
        </w:rPr>
        <w:t>minimum, one-year</w:t>
      </w:r>
      <w:r w:rsidR="008E18B7" w:rsidRPr="00866803">
        <w:rPr>
          <w:rFonts w:ascii="Arial" w:hAnsi="Arial" w:cs="Arial"/>
          <w:sz w:val="22"/>
          <w:szCs w:val="22"/>
        </w:rPr>
        <w:t xml:space="preserve"> fielding of a nationwide consumer tipping survey.</w:t>
      </w:r>
      <w:r w:rsidR="0092353A">
        <w:rPr>
          <w:rFonts w:ascii="Arial" w:hAnsi="Arial" w:cs="Arial"/>
          <w:sz w:val="22"/>
          <w:szCs w:val="22"/>
        </w:rPr>
        <w:t xml:space="preserve"> </w:t>
      </w:r>
      <w:r w:rsidR="004A6B50">
        <w:rPr>
          <w:rFonts w:ascii="Arial" w:hAnsi="Arial" w:cs="Arial"/>
          <w:sz w:val="22"/>
          <w:szCs w:val="22"/>
        </w:rPr>
        <w:t>Unlike other surveys the IRS might conduct, the target population for this survey is not the set of U.S. tax filers with whom IRS already interacts.  Instead, t</w:t>
      </w:r>
      <w:r w:rsidR="004A6B50" w:rsidRPr="00866803">
        <w:rPr>
          <w:rFonts w:ascii="Arial" w:hAnsi="Arial" w:cs="Arial"/>
          <w:sz w:val="22"/>
          <w:szCs w:val="22"/>
        </w:rPr>
        <w:t>he potential target population includes all U.S. resident persons who use services that are commonly tipped.</w:t>
      </w:r>
      <w:r w:rsidR="0092353A">
        <w:rPr>
          <w:rFonts w:ascii="Arial" w:hAnsi="Arial" w:cs="Arial"/>
          <w:sz w:val="22"/>
          <w:szCs w:val="22"/>
        </w:rPr>
        <w:t xml:space="preserve"> </w:t>
      </w:r>
      <w:r w:rsidR="004A6B50" w:rsidRPr="00866803">
        <w:rPr>
          <w:rFonts w:ascii="Arial" w:hAnsi="Arial" w:cs="Arial"/>
          <w:sz w:val="22"/>
          <w:szCs w:val="22"/>
        </w:rPr>
        <w:t>A precise estimate of the number of individuals in this population is unknown, but likely includes a majority of the U.S. adult population.</w:t>
      </w:r>
      <w:r w:rsidR="0092353A">
        <w:rPr>
          <w:rFonts w:ascii="Arial" w:hAnsi="Arial" w:cs="Arial"/>
          <w:sz w:val="22"/>
          <w:szCs w:val="22"/>
        </w:rPr>
        <w:t xml:space="preserve"> </w:t>
      </w:r>
      <w:r w:rsidR="004A6B50">
        <w:rPr>
          <w:rFonts w:ascii="Arial" w:hAnsi="Arial" w:cs="Arial"/>
          <w:sz w:val="22"/>
          <w:szCs w:val="22"/>
        </w:rPr>
        <w:t xml:space="preserve">Because this target population is broader than the set of all U.S. tax filers, </w:t>
      </w:r>
      <w:r w:rsidR="00574266">
        <w:rPr>
          <w:rFonts w:ascii="Arial" w:hAnsi="Arial" w:cs="Arial"/>
          <w:sz w:val="22"/>
          <w:szCs w:val="22"/>
        </w:rPr>
        <w:t xml:space="preserve">it was necessary for </w:t>
      </w:r>
      <w:r w:rsidR="004A6B50">
        <w:rPr>
          <w:rFonts w:ascii="Arial" w:hAnsi="Arial" w:cs="Arial"/>
          <w:sz w:val="22"/>
          <w:szCs w:val="22"/>
        </w:rPr>
        <w:t xml:space="preserve">IRS </w:t>
      </w:r>
      <w:r w:rsidR="00574266">
        <w:rPr>
          <w:rFonts w:ascii="Arial" w:hAnsi="Arial" w:cs="Arial"/>
          <w:sz w:val="22"/>
          <w:szCs w:val="22"/>
        </w:rPr>
        <w:t xml:space="preserve">to </w:t>
      </w:r>
      <w:r w:rsidR="00D85C6A">
        <w:rPr>
          <w:rFonts w:ascii="Arial" w:hAnsi="Arial" w:cs="Arial"/>
          <w:sz w:val="22"/>
          <w:szCs w:val="22"/>
        </w:rPr>
        <w:t xml:space="preserve">explore </w:t>
      </w:r>
      <w:r w:rsidR="000212DD">
        <w:rPr>
          <w:rFonts w:ascii="Arial" w:hAnsi="Arial" w:cs="Arial"/>
          <w:sz w:val="22"/>
          <w:szCs w:val="22"/>
        </w:rPr>
        <w:t xml:space="preserve">other </w:t>
      </w:r>
      <w:r w:rsidR="00702D6B">
        <w:rPr>
          <w:rFonts w:ascii="Arial" w:hAnsi="Arial" w:cs="Arial"/>
          <w:sz w:val="22"/>
          <w:szCs w:val="22"/>
        </w:rPr>
        <w:t xml:space="preserve">providers </w:t>
      </w:r>
      <w:r w:rsidR="000212DD">
        <w:rPr>
          <w:rFonts w:ascii="Arial" w:hAnsi="Arial" w:cs="Arial"/>
          <w:sz w:val="22"/>
          <w:szCs w:val="22"/>
        </w:rPr>
        <w:t xml:space="preserve">of appropriate </w:t>
      </w:r>
      <w:r w:rsidR="00702D6B">
        <w:rPr>
          <w:rFonts w:ascii="Arial" w:hAnsi="Arial" w:cs="Arial"/>
          <w:sz w:val="22"/>
          <w:szCs w:val="22"/>
        </w:rPr>
        <w:t xml:space="preserve">survey </w:t>
      </w:r>
      <w:r w:rsidR="004A6B50">
        <w:rPr>
          <w:rFonts w:ascii="Arial" w:hAnsi="Arial" w:cs="Arial"/>
          <w:sz w:val="22"/>
          <w:szCs w:val="22"/>
        </w:rPr>
        <w:t>sampling frames.</w:t>
      </w:r>
      <w:r w:rsidR="0092353A">
        <w:rPr>
          <w:rFonts w:ascii="Arial" w:hAnsi="Arial" w:cs="Arial"/>
          <w:sz w:val="22"/>
          <w:szCs w:val="22"/>
        </w:rPr>
        <w:t xml:space="preserve"> </w:t>
      </w:r>
    </w:p>
    <w:p w14:paraId="12138290" w14:textId="77777777" w:rsidR="00C37880" w:rsidRDefault="00C37880" w:rsidP="00CF1EBC">
      <w:pPr>
        <w:rPr>
          <w:rFonts w:ascii="Arial" w:hAnsi="Arial" w:cs="Arial"/>
          <w:sz w:val="22"/>
          <w:szCs w:val="22"/>
        </w:rPr>
      </w:pPr>
    </w:p>
    <w:p w14:paraId="118479ED" w14:textId="77777777" w:rsidR="00574266" w:rsidRDefault="008E18B7" w:rsidP="00CF1EBC">
      <w:pPr>
        <w:rPr>
          <w:rFonts w:ascii="Arial" w:hAnsi="Arial" w:cs="Arial"/>
          <w:sz w:val="22"/>
          <w:szCs w:val="22"/>
        </w:rPr>
      </w:pPr>
      <w:r w:rsidRPr="00866803">
        <w:rPr>
          <w:rFonts w:ascii="Arial" w:hAnsi="Arial" w:cs="Arial"/>
          <w:sz w:val="22"/>
          <w:szCs w:val="22"/>
        </w:rPr>
        <w:t xml:space="preserve">The sample that </w:t>
      </w:r>
      <w:r w:rsidR="000212DD">
        <w:rPr>
          <w:rFonts w:ascii="Arial" w:hAnsi="Arial" w:cs="Arial"/>
          <w:sz w:val="22"/>
          <w:szCs w:val="22"/>
        </w:rPr>
        <w:t xml:space="preserve">IRS intends to use </w:t>
      </w:r>
      <w:r w:rsidRPr="00866803">
        <w:rPr>
          <w:rFonts w:ascii="Arial" w:hAnsi="Arial" w:cs="Arial"/>
          <w:sz w:val="22"/>
          <w:szCs w:val="22"/>
        </w:rPr>
        <w:t>for this study</w:t>
      </w:r>
      <w:r w:rsidR="00997BA9">
        <w:rPr>
          <w:rFonts w:ascii="Arial" w:hAnsi="Arial" w:cs="Arial"/>
          <w:sz w:val="22"/>
          <w:szCs w:val="22"/>
        </w:rPr>
        <w:t xml:space="preserve">, </w:t>
      </w:r>
      <w:proofErr w:type="spellStart"/>
      <w:r w:rsidR="00997BA9">
        <w:rPr>
          <w:rFonts w:ascii="Arial" w:hAnsi="Arial" w:cs="Arial"/>
          <w:sz w:val="22"/>
          <w:szCs w:val="22"/>
        </w:rPr>
        <w:t>Ipsos</w:t>
      </w:r>
      <w:proofErr w:type="spellEnd"/>
      <w:r w:rsidR="00997BA9">
        <w:rPr>
          <w:rFonts w:ascii="Arial" w:hAnsi="Arial" w:cs="Arial"/>
          <w:sz w:val="22"/>
          <w:szCs w:val="22"/>
        </w:rPr>
        <w:t xml:space="preserve">’ </w:t>
      </w:r>
      <w:r w:rsidR="00DC0489">
        <w:rPr>
          <w:rFonts w:ascii="Arial" w:hAnsi="Arial" w:cs="Arial"/>
          <w:sz w:val="22"/>
          <w:szCs w:val="22"/>
        </w:rPr>
        <w:t xml:space="preserve">non-probability </w:t>
      </w:r>
      <w:r w:rsidR="00136494">
        <w:rPr>
          <w:rFonts w:ascii="Arial" w:hAnsi="Arial" w:cs="Arial"/>
          <w:sz w:val="22"/>
          <w:szCs w:val="22"/>
        </w:rPr>
        <w:t>online</w:t>
      </w:r>
      <w:r w:rsidR="00997BA9">
        <w:rPr>
          <w:rFonts w:ascii="Arial" w:hAnsi="Arial" w:cs="Arial"/>
          <w:sz w:val="22"/>
          <w:szCs w:val="22"/>
        </w:rPr>
        <w:t xml:space="preserve"> panel, was only selected after a pilot study was conducted which compared the results from this vendor to another panel source </w:t>
      </w:r>
      <w:r w:rsidR="00ED1689">
        <w:rPr>
          <w:rFonts w:ascii="Arial" w:hAnsi="Arial" w:cs="Arial"/>
          <w:sz w:val="22"/>
          <w:szCs w:val="22"/>
        </w:rPr>
        <w:t>(</w:t>
      </w:r>
      <w:proofErr w:type="spellStart"/>
      <w:r w:rsidR="00ED1689">
        <w:rPr>
          <w:rFonts w:ascii="Arial" w:hAnsi="Arial" w:cs="Arial"/>
          <w:sz w:val="22"/>
          <w:szCs w:val="22"/>
        </w:rPr>
        <w:t>GfK</w:t>
      </w:r>
      <w:proofErr w:type="spellEnd"/>
      <w:r w:rsidR="00ED1689">
        <w:rPr>
          <w:rFonts w:ascii="Arial" w:hAnsi="Arial" w:cs="Arial"/>
          <w:sz w:val="22"/>
          <w:szCs w:val="22"/>
        </w:rPr>
        <w:t xml:space="preserve"> </w:t>
      </w:r>
      <w:proofErr w:type="spellStart"/>
      <w:r w:rsidR="00ED1689">
        <w:rPr>
          <w:rFonts w:ascii="Arial" w:hAnsi="Arial" w:cs="Arial"/>
          <w:sz w:val="22"/>
          <w:szCs w:val="22"/>
        </w:rPr>
        <w:t>KnowledgePanel</w:t>
      </w:r>
      <w:proofErr w:type="spellEnd"/>
      <w:r w:rsidR="00DC0489">
        <w:rPr>
          <w:rFonts w:ascii="Arial" w:hAnsi="Arial" w:cs="Arial"/>
          <w:sz w:val="22"/>
          <w:szCs w:val="22"/>
        </w:rPr>
        <w:t>, a probability-based online panel</w:t>
      </w:r>
      <w:r w:rsidR="00ED1689">
        <w:rPr>
          <w:rFonts w:ascii="Arial" w:hAnsi="Arial" w:cs="Arial"/>
          <w:sz w:val="22"/>
          <w:szCs w:val="22"/>
        </w:rPr>
        <w:t xml:space="preserve">) </w:t>
      </w:r>
      <w:r w:rsidR="00997BA9">
        <w:rPr>
          <w:rFonts w:ascii="Arial" w:hAnsi="Arial" w:cs="Arial"/>
          <w:sz w:val="22"/>
          <w:szCs w:val="22"/>
        </w:rPr>
        <w:t xml:space="preserve">and </w:t>
      </w:r>
      <w:r w:rsidR="00BC195B" w:rsidRPr="00866803">
        <w:rPr>
          <w:rFonts w:ascii="Arial" w:hAnsi="Arial" w:cs="Arial"/>
          <w:sz w:val="22"/>
          <w:szCs w:val="22"/>
        </w:rPr>
        <w:t>an independent source of tipping data and determine which method will yield the most accurate results while reducing respondent burden and cost to the IRS</w:t>
      </w:r>
      <w:r w:rsidR="00D540D6">
        <w:rPr>
          <w:rFonts w:ascii="Arial" w:hAnsi="Arial" w:cs="Arial"/>
          <w:sz w:val="22"/>
          <w:szCs w:val="22"/>
        </w:rPr>
        <w:t>.</w:t>
      </w:r>
      <w:r w:rsidR="0092353A">
        <w:rPr>
          <w:rFonts w:ascii="Arial" w:hAnsi="Arial" w:cs="Arial"/>
          <w:sz w:val="22"/>
          <w:szCs w:val="22"/>
        </w:rPr>
        <w:t xml:space="preserve"> </w:t>
      </w:r>
      <w:r w:rsidR="00454D71">
        <w:rPr>
          <w:rFonts w:ascii="Arial" w:hAnsi="Arial" w:cs="Arial"/>
          <w:sz w:val="22"/>
          <w:szCs w:val="22"/>
        </w:rPr>
        <w:t>The findings from the pilot study demonstrated that there were no consistent differences in the results gathered from the panels when compared against each other or when compared against the 3</w:t>
      </w:r>
      <w:r w:rsidR="00454D71" w:rsidRPr="00454D71">
        <w:rPr>
          <w:rFonts w:ascii="Arial" w:hAnsi="Arial" w:cs="Arial"/>
          <w:sz w:val="22"/>
          <w:szCs w:val="22"/>
          <w:vertAlign w:val="superscript"/>
        </w:rPr>
        <w:t>rd</w:t>
      </w:r>
      <w:r w:rsidR="00454D71">
        <w:rPr>
          <w:rFonts w:ascii="Arial" w:hAnsi="Arial" w:cs="Arial"/>
          <w:sz w:val="22"/>
          <w:szCs w:val="22"/>
        </w:rPr>
        <w:t xml:space="preserve"> party source of data.</w:t>
      </w:r>
      <w:r w:rsidR="0092353A">
        <w:rPr>
          <w:rFonts w:ascii="Arial" w:hAnsi="Arial" w:cs="Arial"/>
          <w:sz w:val="22"/>
          <w:szCs w:val="22"/>
        </w:rPr>
        <w:t xml:space="preserve"> </w:t>
      </w:r>
      <w:r w:rsidR="00454D71">
        <w:rPr>
          <w:rFonts w:ascii="Arial" w:hAnsi="Arial" w:cs="Arial"/>
          <w:sz w:val="22"/>
          <w:szCs w:val="22"/>
        </w:rPr>
        <w:t xml:space="preserve">As such, the decision was made to use the </w:t>
      </w:r>
      <w:r w:rsidR="00DC0489">
        <w:rPr>
          <w:rFonts w:ascii="Arial" w:hAnsi="Arial" w:cs="Arial"/>
          <w:sz w:val="22"/>
          <w:szCs w:val="22"/>
        </w:rPr>
        <w:t xml:space="preserve">non-probability </w:t>
      </w:r>
      <w:r w:rsidR="00454D71">
        <w:rPr>
          <w:rFonts w:ascii="Arial" w:hAnsi="Arial" w:cs="Arial"/>
          <w:sz w:val="22"/>
          <w:szCs w:val="22"/>
        </w:rPr>
        <w:t>panel due to the reduced cost per complete</w:t>
      </w:r>
      <w:r w:rsidR="00574266">
        <w:rPr>
          <w:rFonts w:ascii="Arial" w:hAnsi="Arial" w:cs="Arial"/>
          <w:sz w:val="22"/>
          <w:szCs w:val="22"/>
        </w:rPr>
        <w:t>d response</w:t>
      </w:r>
      <w:r w:rsidR="00454D71">
        <w:rPr>
          <w:rFonts w:ascii="Arial" w:hAnsi="Arial" w:cs="Arial"/>
          <w:sz w:val="22"/>
          <w:szCs w:val="22"/>
        </w:rPr>
        <w:t xml:space="preserve">, which </w:t>
      </w:r>
      <w:r w:rsidR="0069350B">
        <w:rPr>
          <w:rFonts w:ascii="Arial" w:hAnsi="Arial" w:cs="Arial"/>
          <w:sz w:val="22"/>
          <w:szCs w:val="22"/>
        </w:rPr>
        <w:t xml:space="preserve">will </w:t>
      </w:r>
      <w:r w:rsidR="00454D71">
        <w:rPr>
          <w:rFonts w:ascii="Arial" w:hAnsi="Arial" w:cs="Arial"/>
          <w:sz w:val="22"/>
          <w:szCs w:val="22"/>
        </w:rPr>
        <w:t xml:space="preserve">allow for a larger data collection and more precise estimates of tipping behavior for certain, low-incidence </w:t>
      </w:r>
      <w:r w:rsidR="007A1CC4">
        <w:rPr>
          <w:rFonts w:ascii="Arial" w:hAnsi="Arial" w:cs="Arial"/>
          <w:sz w:val="22"/>
          <w:szCs w:val="22"/>
        </w:rPr>
        <w:t>services</w:t>
      </w:r>
      <w:r w:rsidR="00454D71">
        <w:rPr>
          <w:rFonts w:ascii="Arial" w:hAnsi="Arial" w:cs="Arial"/>
          <w:sz w:val="22"/>
          <w:szCs w:val="22"/>
        </w:rPr>
        <w:t>.</w:t>
      </w:r>
      <w:r w:rsidR="0092353A">
        <w:rPr>
          <w:rFonts w:ascii="Arial" w:hAnsi="Arial" w:cs="Arial"/>
          <w:sz w:val="22"/>
          <w:szCs w:val="22"/>
        </w:rPr>
        <w:t xml:space="preserve"> </w:t>
      </w:r>
    </w:p>
    <w:p w14:paraId="224621A3" w14:textId="77777777" w:rsidR="00574266" w:rsidRDefault="00574266" w:rsidP="00CF1EBC">
      <w:pPr>
        <w:rPr>
          <w:rFonts w:ascii="Arial" w:hAnsi="Arial" w:cs="Arial"/>
          <w:sz w:val="22"/>
          <w:szCs w:val="22"/>
        </w:rPr>
      </w:pPr>
    </w:p>
    <w:p w14:paraId="778527F4" w14:textId="77777777" w:rsidR="00574266" w:rsidRDefault="00574266" w:rsidP="00CF1EBC">
      <w:pPr>
        <w:rPr>
          <w:rFonts w:ascii="Arial" w:hAnsi="Arial" w:cs="Arial"/>
          <w:sz w:val="22"/>
          <w:szCs w:val="22"/>
        </w:rPr>
      </w:pPr>
      <w:r w:rsidRPr="00866803">
        <w:rPr>
          <w:rFonts w:ascii="Arial" w:hAnsi="Arial" w:cs="Arial"/>
          <w:sz w:val="22"/>
          <w:szCs w:val="22"/>
        </w:rPr>
        <w:t xml:space="preserve">Prior IRS research on consumer tipping behavior found tipping rates varied considerably by </w:t>
      </w:r>
      <w:r w:rsidRPr="00866803">
        <w:rPr>
          <w:rFonts w:ascii="Arial" w:hAnsi="Arial" w:cs="Arial"/>
          <w:sz w:val="22"/>
          <w:szCs w:val="22"/>
        </w:rPr>
        <w:lastRenderedPageBreak/>
        <w:t>industry and by region. A 1982 study conducted by the University of Illinois for the IRS</w:t>
      </w:r>
      <w:r w:rsidRPr="00FC3C2C">
        <w:rPr>
          <w:vertAlign w:val="superscript"/>
        </w:rPr>
        <w:footnoteReference w:id="2"/>
      </w:r>
      <w:r w:rsidRPr="00866803">
        <w:t xml:space="preserve"> </w:t>
      </w:r>
      <w:r w:rsidRPr="00866803">
        <w:rPr>
          <w:rFonts w:ascii="Arial" w:hAnsi="Arial" w:cs="Arial"/>
          <w:sz w:val="22"/>
          <w:szCs w:val="22"/>
        </w:rPr>
        <w:t>found tipping rates to be roughly 14% of the total bill for restaurants, 12% for barber and beauty shops, 19% for bars, and 20% for taxis. On a regional basis, mean restaurant tipping rates ranged from a low of 12.5% in the West North Central to a high of 15% in the Northeast.</w:t>
      </w:r>
      <w:r>
        <w:rPr>
          <w:rFonts w:ascii="Arial" w:hAnsi="Arial" w:cs="Arial"/>
          <w:sz w:val="22"/>
          <w:szCs w:val="22"/>
        </w:rPr>
        <w:t xml:space="preserve"> </w:t>
      </w:r>
      <w:r w:rsidRPr="00866803">
        <w:rPr>
          <w:rFonts w:ascii="Arial" w:hAnsi="Arial" w:cs="Arial"/>
          <w:sz w:val="22"/>
          <w:szCs w:val="22"/>
        </w:rPr>
        <w:t xml:space="preserve">The observed variation in tipping rates implies larger sample sizes </w:t>
      </w:r>
      <w:r>
        <w:rPr>
          <w:rFonts w:ascii="Arial" w:hAnsi="Arial" w:cs="Arial"/>
          <w:sz w:val="22"/>
          <w:szCs w:val="22"/>
        </w:rPr>
        <w:t>may be</w:t>
      </w:r>
      <w:r w:rsidRPr="00866803">
        <w:rPr>
          <w:rFonts w:ascii="Arial" w:hAnsi="Arial" w:cs="Arial"/>
          <w:sz w:val="22"/>
          <w:szCs w:val="22"/>
        </w:rPr>
        <w:t xml:space="preserve"> required in order to produce accurate estimates of tipping rates</w:t>
      </w:r>
      <w:r>
        <w:rPr>
          <w:rFonts w:ascii="Arial" w:hAnsi="Arial" w:cs="Arial"/>
          <w:sz w:val="22"/>
          <w:szCs w:val="22"/>
        </w:rPr>
        <w:t xml:space="preserve"> for infrequent services</w:t>
      </w:r>
      <w:r w:rsidR="00AD7E67">
        <w:rPr>
          <w:rFonts w:ascii="Arial" w:hAnsi="Arial" w:cs="Arial"/>
          <w:sz w:val="22"/>
          <w:szCs w:val="22"/>
        </w:rPr>
        <w:t>.</w:t>
      </w:r>
      <w:r w:rsidR="0092353A">
        <w:rPr>
          <w:rFonts w:ascii="Arial" w:hAnsi="Arial" w:cs="Arial"/>
          <w:sz w:val="22"/>
          <w:szCs w:val="22"/>
        </w:rPr>
        <w:t xml:space="preserve"> </w:t>
      </w:r>
      <w:r w:rsidR="00AD7E67">
        <w:rPr>
          <w:rFonts w:ascii="Arial" w:hAnsi="Arial" w:cs="Arial"/>
          <w:sz w:val="22"/>
          <w:szCs w:val="22"/>
        </w:rPr>
        <w:t xml:space="preserve">This </w:t>
      </w:r>
      <w:r w:rsidR="0092353A">
        <w:rPr>
          <w:rFonts w:ascii="Arial" w:hAnsi="Arial" w:cs="Arial"/>
          <w:sz w:val="22"/>
          <w:szCs w:val="22"/>
        </w:rPr>
        <w:t xml:space="preserve">factored into the decision to </w:t>
      </w:r>
      <w:r>
        <w:rPr>
          <w:rFonts w:ascii="Arial" w:hAnsi="Arial" w:cs="Arial"/>
          <w:sz w:val="22"/>
          <w:szCs w:val="22"/>
        </w:rPr>
        <w:t xml:space="preserve">use the non-probability </w:t>
      </w:r>
      <w:proofErr w:type="spellStart"/>
      <w:r>
        <w:rPr>
          <w:rFonts w:ascii="Arial" w:hAnsi="Arial" w:cs="Arial"/>
          <w:sz w:val="22"/>
          <w:szCs w:val="22"/>
        </w:rPr>
        <w:t>Ipsos</w:t>
      </w:r>
      <w:proofErr w:type="spellEnd"/>
      <w:r>
        <w:rPr>
          <w:rFonts w:ascii="Arial" w:hAnsi="Arial" w:cs="Arial"/>
          <w:sz w:val="22"/>
          <w:szCs w:val="22"/>
        </w:rPr>
        <w:t xml:space="preserve"> panel, which will allow IRS to achieve a better balance of sample size and survey cost.</w:t>
      </w:r>
    </w:p>
    <w:p w14:paraId="4A5AAF41" w14:textId="77777777" w:rsidR="00574266" w:rsidRDefault="00574266" w:rsidP="00CF1EBC">
      <w:pPr>
        <w:rPr>
          <w:rFonts w:ascii="Arial" w:hAnsi="Arial" w:cs="Arial"/>
          <w:sz w:val="22"/>
          <w:szCs w:val="22"/>
        </w:rPr>
      </w:pPr>
    </w:p>
    <w:p w14:paraId="140234F2" w14:textId="555EE525" w:rsidR="00454D71" w:rsidRDefault="00EE291F" w:rsidP="00CF1EBC">
      <w:pPr>
        <w:rPr>
          <w:rFonts w:ascii="Arial" w:hAnsi="Arial" w:cs="Arial"/>
          <w:sz w:val="22"/>
          <w:szCs w:val="22"/>
        </w:rPr>
      </w:pPr>
      <w:r>
        <w:rPr>
          <w:rFonts w:ascii="Arial" w:hAnsi="Arial" w:cs="Arial"/>
          <w:sz w:val="22"/>
          <w:szCs w:val="22"/>
        </w:rPr>
        <w:t>More details regarding the testing that was conducted on the pilot study can be found under section B.4, “Testing of Procedures.</w:t>
      </w:r>
      <w:r w:rsidR="0069350B">
        <w:rPr>
          <w:rFonts w:ascii="Arial" w:hAnsi="Arial" w:cs="Arial"/>
          <w:sz w:val="22"/>
          <w:szCs w:val="22"/>
        </w:rPr>
        <w:t>”</w:t>
      </w:r>
      <w:r w:rsidR="0092353A">
        <w:rPr>
          <w:rFonts w:ascii="Arial" w:hAnsi="Arial" w:cs="Arial"/>
          <w:sz w:val="22"/>
          <w:szCs w:val="22"/>
        </w:rPr>
        <w:t xml:space="preserve"> </w:t>
      </w:r>
      <w:r w:rsidR="00EC3A83">
        <w:rPr>
          <w:rFonts w:ascii="Arial" w:hAnsi="Arial" w:cs="Arial"/>
          <w:sz w:val="22"/>
          <w:szCs w:val="22"/>
        </w:rPr>
        <w:t>T</w:t>
      </w:r>
      <w:r w:rsidR="008314D6">
        <w:rPr>
          <w:rFonts w:ascii="Arial" w:hAnsi="Arial" w:cs="Arial"/>
          <w:sz w:val="22"/>
          <w:szCs w:val="22"/>
        </w:rPr>
        <w:t>he full analysis is presented in the report “</w:t>
      </w:r>
      <w:r w:rsidR="008314D6" w:rsidRPr="008314D6">
        <w:rPr>
          <w:rFonts w:ascii="Arial" w:hAnsi="Arial" w:cs="Arial"/>
          <w:sz w:val="22"/>
          <w:szCs w:val="22"/>
        </w:rPr>
        <w:t>Comparison of Estimates of Tipping Behavior Produced Using Probability and Non-Probability Samples: Methodology and Results</w:t>
      </w:r>
      <w:r w:rsidR="008314D6">
        <w:rPr>
          <w:rFonts w:ascii="Arial" w:hAnsi="Arial" w:cs="Arial"/>
          <w:sz w:val="22"/>
          <w:szCs w:val="22"/>
        </w:rPr>
        <w:t xml:space="preserve">,” which is </w:t>
      </w:r>
      <w:r w:rsidR="009C4D05">
        <w:rPr>
          <w:rFonts w:ascii="Arial" w:hAnsi="Arial" w:cs="Arial"/>
          <w:sz w:val="22"/>
          <w:szCs w:val="22"/>
        </w:rPr>
        <w:t xml:space="preserve">attached </w:t>
      </w:r>
      <w:r w:rsidR="008314D6">
        <w:rPr>
          <w:rFonts w:ascii="Arial" w:hAnsi="Arial" w:cs="Arial"/>
          <w:sz w:val="22"/>
          <w:szCs w:val="22"/>
        </w:rPr>
        <w:t>as a supporting document.</w:t>
      </w:r>
    </w:p>
    <w:p w14:paraId="33B5E3B5" w14:textId="77777777" w:rsidR="00454D71" w:rsidRDefault="00454D71" w:rsidP="00CF1EBC">
      <w:pPr>
        <w:rPr>
          <w:rFonts w:ascii="Arial" w:hAnsi="Arial" w:cs="Arial"/>
          <w:sz w:val="22"/>
          <w:szCs w:val="22"/>
        </w:rPr>
      </w:pPr>
    </w:p>
    <w:p w14:paraId="63ED6EA5" w14:textId="03397DDD" w:rsidR="00702D6B" w:rsidRDefault="00E56F37" w:rsidP="00CF1EBC">
      <w:pPr>
        <w:rPr>
          <w:rFonts w:ascii="Arial" w:hAnsi="Arial" w:cs="Arial"/>
          <w:sz w:val="22"/>
          <w:szCs w:val="22"/>
        </w:rPr>
      </w:pPr>
      <w:r>
        <w:rPr>
          <w:rFonts w:ascii="Arial" w:hAnsi="Arial" w:cs="Arial"/>
          <w:sz w:val="22"/>
          <w:szCs w:val="22"/>
        </w:rPr>
        <w:t xml:space="preserve">The main goal </w:t>
      </w:r>
      <w:r w:rsidR="005C51E4">
        <w:rPr>
          <w:rFonts w:ascii="Arial" w:hAnsi="Arial" w:cs="Arial"/>
          <w:sz w:val="22"/>
          <w:szCs w:val="22"/>
        </w:rPr>
        <w:t>for this survey</w:t>
      </w:r>
      <w:r>
        <w:rPr>
          <w:rFonts w:ascii="Arial" w:hAnsi="Arial" w:cs="Arial"/>
          <w:sz w:val="22"/>
          <w:szCs w:val="22"/>
        </w:rPr>
        <w:t xml:space="preserve"> </w:t>
      </w:r>
      <w:r w:rsidR="00D540D6">
        <w:rPr>
          <w:rFonts w:ascii="Arial" w:hAnsi="Arial" w:cs="Arial"/>
          <w:sz w:val="22"/>
          <w:szCs w:val="22"/>
        </w:rPr>
        <w:t xml:space="preserve">effort </w:t>
      </w:r>
      <w:r>
        <w:rPr>
          <w:rFonts w:ascii="Arial" w:hAnsi="Arial" w:cs="Arial"/>
          <w:sz w:val="22"/>
          <w:szCs w:val="22"/>
        </w:rPr>
        <w:t xml:space="preserve">is to generate </w:t>
      </w:r>
      <w:r w:rsidR="00DE7AE0">
        <w:rPr>
          <w:rFonts w:ascii="Arial" w:hAnsi="Arial" w:cs="Arial"/>
          <w:sz w:val="22"/>
          <w:szCs w:val="22"/>
        </w:rPr>
        <w:t xml:space="preserve">preliminary </w:t>
      </w:r>
      <w:r>
        <w:rPr>
          <w:rFonts w:ascii="Arial" w:hAnsi="Arial" w:cs="Arial"/>
          <w:sz w:val="22"/>
          <w:szCs w:val="22"/>
        </w:rPr>
        <w:t>estimates of tipped income in a variety of services for which no such estimates exist, in addition to providing information on other correlates of tipped income and behavior including</w:t>
      </w:r>
      <w:r w:rsidR="00D540D6">
        <w:rPr>
          <w:rFonts w:ascii="Arial" w:hAnsi="Arial" w:cs="Arial"/>
          <w:sz w:val="22"/>
          <w:szCs w:val="22"/>
        </w:rPr>
        <w:t>,</w:t>
      </w:r>
      <w:r>
        <w:rPr>
          <w:rFonts w:ascii="Arial" w:hAnsi="Arial" w:cs="Arial"/>
          <w:sz w:val="22"/>
          <w:szCs w:val="22"/>
        </w:rPr>
        <w:t xml:space="preserve"> but not limited to</w:t>
      </w:r>
      <w:r w:rsidR="00D540D6">
        <w:rPr>
          <w:rFonts w:ascii="Arial" w:hAnsi="Arial" w:cs="Arial"/>
          <w:sz w:val="22"/>
          <w:szCs w:val="22"/>
        </w:rPr>
        <w:t>,</w:t>
      </w:r>
      <w:r>
        <w:rPr>
          <w:rFonts w:ascii="Arial" w:hAnsi="Arial" w:cs="Arial"/>
          <w:sz w:val="22"/>
          <w:szCs w:val="22"/>
        </w:rPr>
        <w:t xml:space="preserve"> regional or seasonal </w:t>
      </w:r>
      <w:r w:rsidR="00D540D6">
        <w:rPr>
          <w:rFonts w:ascii="Arial" w:hAnsi="Arial" w:cs="Arial"/>
          <w:sz w:val="22"/>
          <w:szCs w:val="22"/>
        </w:rPr>
        <w:t>fluctuations in tipped income</w:t>
      </w:r>
      <w:r>
        <w:rPr>
          <w:rFonts w:ascii="Arial" w:hAnsi="Arial" w:cs="Arial"/>
          <w:sz w:val="22"/>
          <w:szCs w:val="22"/>
        </w:rPr>
        <w:t>.</w:t>
      </w:r>
      <w:r w:rsidR="0092353A">
        <w:rPr>
          <w:rFonts w:ascii="Arial" w:hAnsi="Arial" w:cs="Arial"/>
          <w:sz w:val="22"/>
          <w:szCs w:val="22"/>
        </w:rPr>
        <w:t xml:space="preserve"> </w:t>
      </w:r>
    </w:p>
    <w:p w14:paraId="26BA8C41" w14:textId="77777777" w:rsidR="00702D6B" w:rsidRDefault="00702D6B" w:rsidP="00CF1EBC">
      <w:pPr>
        <w:rPr>
          <w:rFonts w:ascii="Arial" w:hAnsi="Arial" w:cs="Arial"/>
          <w:sz w:val="22"/>
          <w:szCs w:val="22"/>
        </w:rPr>
      </w:pPr>
    </w:p>
    <w:p w14:paraId="5DA36B0F" w14:textId="77777777" w:rsidR="00DE2B76" w:rsidRPr="00866803" w:rsidRDefault="0069350B" w:rsidP="00CF1EBC">
      <w:pPr>
        <w:rPr>
          <w:rFonts w:ascii="Arial" w:hAnsi="Arial" w:cs="Arial"/>
          <w:sz w:val="22"/>
          <w:szCs w:val="22"/>
        </w:rPr>
      </w:pPr>
      <w:r>
        <w:rPr>
          <w:rFonts w:ascii="Arial" w:hAnsi="Arial" w:cs="Arial"/>
          <w:sz w:val="22"/>
          <w:szCs w:val="22"/>
        </w:rPr>
        <w:t>As such, this survey effort requests a full-fielding of the previously tested pilot survey for the course of</w:t>
      </w:r>
      <w:r w:rsidR="0099147B">
        <w:rPr>
          <w:rFonts w:ascii="Arial" w:hAnsi="Arial" w:cs="Arial"/>
          <w:sz w:val="22"/>
          <w:szCs w:val="22"/>
        </w:rPr>
        <w:t xml:space="preserve"> a full</w:t>
      </w:r>
      <w:r>
        <w:rPr>
          <w:rFonts w:ascii="Arial" w:hAnsi="Arial" w:cs="Arial"/>
          <w:sz w:val="22"/>
          <w:szCs w:val="22"/>
        </w:rPr>
        <w:t xml:space="preserve"> calendar year.</w:t>
      </w:r>
      <w:r w:rsidR="0092353A">
        <w:rPr>
          <w:rFonts w:ascii="Arial" w:hAnsi="Arial" w:cs="Arial"/>
          <w:sz w:val="22"/>
          <w:szCs w:val="22"/>
        </w:rPr>
        <w:t xml:space="preserve"> </w:t>
      </w:r>
      <w:r w:rsidR="00CF1EBC" w:rsidRPr="00866803">
        <w:rPr>
          <w:rFonts w:ascii="Arial" w:hAnsi="Arial" w:cs="Arial"/>
          <w:sz w:val="22"/>
          <w:szCs w:val="22"/>
        </w:rPr>
        <w:t>This initiative flows from Goal 1 of the IRS Strategic Plan for FY 2014-2017: Deliver high quality and timely service to reduce taxpayer burden and encourage voluntary compliance.</w:t>
      </w:r>
      <w:r w:rsidR="0092353A">
        <w:rPr>
          <w:rFonts w:ascii="Arial" w:hAnsi="Arial" w:cs="Arial"/>
          <w:sz w:val="22"/>
          <w:szCs w:val="22"/>
        </w:rPr>
        <w:t xml:space="preserve"> </w:t>
      </w:r>
    </w:p>
    <w:p w14:paraId="614F094C" w14:textId="77777777" w:rsidR="00000907" w:rsidRPr="00866803" w:rsidRDefault="00000907" w:rsidP="00DE2B76">
      <w:pPr>
        <w:rPr>
          <w:rFonts w:ascii="Arial" w:hAnsi="Arial" w:cs="Arial"/>
          <w:sz w:val="22"/>
          <w:szCs w:val="22"/>
        </w:rPr>
      </w:pPr>
    </w:p>
    <w:p w14:paraId="30248333" w14:textId="77777777" w:rsidR="00091442" w:rsidRPr="00866803" w:rsidRDefault="00091442" w:rsidP="00091442">
      <w:pPr>
        <w:pStyle w:val="ListParagraph"/>
        <w:numPr>
          <w:ilvl w:val="0"/>
          <w:numId w:val="26"/>
        </w:numPr>
        <w:ind w:left="0"/>
        <w:rPr>
          <w:rFonts w:ascii="Arial" w:hAnsi="Arial" w:cs="Arial"/>
          <w:b/>
          <w:sz w:val="22"/>
          <w:szCs w:val="22"/>
        </w:rPr>
      </w:pPr>
      <w:r w:rsidRPr="00866803">
        <w:rPr>
          <w:rFonts w:ascii="Arial" w:hAnsi="Arial" w:cs="Arial"/>
          <w:b/>
          <w:sz w:val="22"/>
          <w:szCs w:val="22"/>
        </w:rPr>
        <w:t>Purpose and Use of the Information Collection</w:t>
      </w:r>
    </w:p>
    <w:p w14:paraId="03CA0629" w14:textId="77777777" w:rsidR="00091442" w:rsidRPr="00866803" w:rsidRDefault="00091442" w:rsidP="00332175">
      <w:pPr>
        <w:rPr>
          <w:rFonts w:ascii="Arial" w:hAnsi="Arial" w:cs="Arial"/>
          <w:sz w:val="22"/>
          <w:szCs w:val="22"/>
        </w:rPr>
      </w:pPr>
    </w:p>
    <w:p w14:paraId="099CF32A" w14:textId="7C8A5182" w:rsidR="002F6769" w:rsidRDefault="002F6769" w:rsidP="00B81ACA">
      <w:pPr>
        <w:rPr>
          <w:rFonts w:ascii="Arial" w:hAnsi="Arial" w:cs="Arial"/>
          <w:sz w:val="22"/>
          <w:szCs w:val="22"/>
        </w:rPr>
      </w:pPr>
      <w:r>
        <w:rPr>
          <w:rFonts w:ascii="Arial" w:hAnsi="Arial" w:cs="Arial"/>
          <w:sz w:val="22"/>
          <w:szCs w:val="22"/>
        </w:rPr>
        <w:t>T</w:t>
      </w:r>
      <w:r w:rsidRPr="002F6769">
        <w:rPr>
          <w:rFonts w:ascii="Arial" w:hAnsi="Arial" w:cs="Arial"/>
          <w:sz w:val="22"/>
          <w:szCs w:val="22"/>
        </w:rPr>
        <w:t xml:space="preserve">he proposed consumer tipping survey is intended to improve </w:t>
      </w:r>
      <w:r>
        <w:rPr>
          <w:rFonts w:ascii="Arial" w:hAnsi="Arial" w:cs="Arial"/>
          <w:sz w:val="22"/>
          <w:szCs w:val="22"/>
        </w:rPr>
        <w:t xml:space="preserve">the IRS’ </w:t>
      </w:r>
      <w:r w:rsidRPr="002F6769">
        <w:rPr>
          <w:rFonts w:ascii="Arial" w:hAnsi="Arial" w:cs="Arial"/>
          <w:sz w:val="22"/>
          <w:szCs w:val="22"/>
        </w:rPr>
        <w:t>general understanding of current tipping practices</w:t>
      </w:r>
      <w:r w:rsidR="00F95DDE">
        <w:rPr>
          <w:rFonts w:ascii="Arial" w:hAnsi="Arial" w:cs="Arial"/>
          <w:sz w:val="22"/>
          <w:szCs w:val="22"/>
        </w:rPr>
        <w:t xml:space="preserve"> across industries, to provide current preliminary estimates of aggregate unreported tip income across the population,</w:t>
      </w:r>
      <w:r w:rsidRPr="002F6769">
        <w:rPr>
          <w:rFonts w:ascii="Arial" w:hAnsi="Arial" w:cs="Arial"/>
          <w:sz w:val="22"/>
          <w:szCs w:val="22"/>
        </w:rPr>
        <w:t xml:space="preserve"> and to </w:t>
      </w:r>
      <w:r w:rsidR="00F95DDE">
        <w:rPr>
          <w:rFonts w:ascii="Arial" w:hAnsi="Arial" w:cs="Arial"/>
          <w:sz w:val="22"/>
          <w:szCs w:val="22"/>
        </w:rPr>
        <w:t xml:space="preserve">prompt and </w:t>
      </w:r>
      <w:r w:rsidRPr="002F6769">
        <w:rPr>
          <w:rFonts w:ascii="Arial" w:hAnsi="Arial" w:cs="Arial"/>
          <w:sz w:val="22"/>
          <w:szCs w:val="22"/>
        </w:rPr>
        <w:t xml:space="preserve">inform discussion about </w:t>
      </w:r>
      <w:r w:rsidR="00F95DDE">
        <w:rPr>
          <w:rFonts w:ascii="Arial" w:hAnsi="Arial" w:cs="Arial"/>
          <w:sz w:val="22"/>
          <w:szCs w:val="22"/>
        </w:rPr>
        <w:t xml:space="preserve">IRS’ </w:t>
      </w:r>
      <w:r w:rsidRPr="002F6769">
        <w:rPr>
          <w:rFonts w:ascii="Arial" w:hAnsi="Arial" w:cs="Arial"/>
          <w:sz w:val="22"/>
          <w:szCs w:val="22"/>
        </w:rPr>
        <w:t xml:space="preserve">administrative and statutory policies </w:t>
      </w:r>
      <w:r w:rsidR="00F95DDE">
        <w:rPr>
          <w:rFonts w:ascii="Arial" w:hAnsi="Arial" w:cs="Arial"/>
          <w:sz w:val="22"/>
          <w:szCs w:val="22"/>
        </w:rPr>
        <w:t>related to tip income.</w:t>
      </w:r>
      <w:r w:rsidR="0061692D">
        <w:rPr>
          <w:rFonts w:ascii="Arial" w:hAnsi="Arial" w:cs="Arial"/>
          <w:sz w:val="22"/>
          <w:szCs w:val="22"/>
        </w:rPr>
        <w:t xml:space="preserve">  No enforcement actions will be taken as a result of the survey.</w:t>
      </w:r>
    </w:p>
    <w:p w14:paraId="7D0B9BF4" w14:textId="77777777" w:rsidR="002F6769" w:rsidRDefault="002F6769" w:rsidP="00B81ACA">
      <w:pPr>
        <w:rPr>
          <w:rFonts w:ascii="Arial" w:hAnsi="Arial" w:cs="Arial"/>
          <w:sz w:val="22"/>
          <w:szCs w:val="22"/>
        </w:rPr>
      </w:pPr>
    </w:p>
    <w:p w14:paraId="785B0312" w14:textId="73511DD1" w:rsidR="00F87CBD" w:rsidRDefault="00F95DDE" w:rsidP="00B81ACA">
      <w:pPr>
        <w:rPr>
          <w:rFonts w:ascii="Arial" w:hAnsi="Arial" w:cs="Arial"/>
          <w:sz w:val="22"/>
          <w:szCs w:val="22"/>
        </w:rPr>
      </w:pPr>
      <w:r>
        <w:rPr>
          <w:rFonts w:ascii="Arial" w:hAnsi="Arial" w:cs="Arial"/>
          <w:sz w:val="22"/>
          <w:szCs w:val="22"/>
        </w:rPr>
        <w:t>T</w:t>
      </w:r>
      <w:r w:rsidR="002F6769" w:rsidRPr="002F6769">
        <w:rPr>
          <w:rFonts w:ascii="Arial" w:hAnsi="Arial" w:cs="Arial"/>
          <w:sz w:val="22"/>
          <w:szCs w:val="22"/>
        </w:rPr>
        <w:t xml:space="preserve">he consumer tipping survey </w:t>
      </w:r>
      <w:r w:rsidR="002F6769">
        <w:rPr>
          <w:rFonts w:ascii="Arial" w:hAnsi="Arial" w:cs="Arial"/>
          <w:sz w:val="22"/>
          <w:szCs w:val="22"/>
        </w:rPr>
        <w:t xml:space="preserve">is </w:t>
      </w:r>
      <w:r>
        <w:rPr>
          <w:rFonts w:ascii="Arial" w:hAnsi="Arial" w:cs="Arial"/>
          <w:sz w:val="22"/>
          <w:szCs w:val="22"/>
        </w:rPr>
        <w:t xml:space="preserve">expected to provide useful information about current tipping practices for </w:t>
      </w:r>
      <w:r w:rsidR="002F6769" w:rsidRPr="002F6769">
        <w:rPr>
          <w:rFonts w:ascii="Arial" w:hAnsi="Arial" w:cs="Arial"/>
          <w:sz w:val="22"/>
          <w:szCs w:val="22"/>
        </w:rPr>
        <w:t>the IRS’ National Tip Reporting Compliance Program.  One key challenge of conducting audits where tip income is involved is in determining the correct amount of unreported tip income.  Examiners do not use a one-size-fits-all method for doing so.  Instead they are encouraged to gather information on a case-by-case basis through interviews, records, observations as well as on knowledge of industry practice.  (See, for example, Internal Revenue Manual, IRM 4.23.7 for information on tip examinations, tip agreements, and tip examination processing procedures.)  It is this latter piece about industry practice that can be informed by the consumer tipping survey.  As noted above, the survey information the IRS has about industry practices of tipping was collected in the 1980s.  Thus, the new consumer tipping survey data will provide a</w:t>
      </w:r>
      <w:r w:rsidR="002F6769">
        <w:rPr>
          <w:rFonts w:ascii="Arial" w:hAnsi="Arial" w:cs="Arial"/>
          <w:sz w:val="22"/>
          <w:szCs w:val="22"/>
        </w:rPr>
        <w:t>n</w:t>
      </w:r>
      <w:r w:rsidR="002F6769" w:rsidRPr="002F6769">
        <w:rPr>
          <w:rFonts w:ascii="Arial" w:hAnsi="Arial" w:cs="Arial"/>
          <w:sz w:val="22"/>
          <w:szCs w:val="22"/>
        </w:rPr>
        <w:t xml:space="preserve"> enhanced awareness of common tipping practices across industries that can help auditors make more informed decisions when implementing various methods for estimating unreported tip income.  </w:t>
      </w:r>
      <w:r>
        <w:rPr>
          <w:rFonts w:ascii="Arial" w:hAnsi="Arial" w:cs="Arial"/>
          <w:sz w:val="22"/>
          <w:szCs w:val="22"/>
        </w:rPr>
        <w:t xml:space="preserve">The </w:t>
      </w:r>
      <w:r w:rsidR="002F6769" w:rsidRPr="002F6769">
        <w:rPr>
          <w:rFonts w:ascii="Arial" w:hAnsi="Arial" w:cs="Arial"/>
          <w:sz w:val="22"/>
          <w:szCs w:val="22"/>
        </w:rPr>
        <w:t xml:space="preserve">estimates generated </w:t>
      </w:r>
      <w:r>
        <w:rPr>
          <w:rFonts w:ascii="Arial" w:hAnsi="Arial" w:cs="Arial"/>
          <w:sz w:val="22"/>
          <w:szCs w:val="22"/>
        </w:rPr>
        <w:t xml:space="preserve">as a result of </w:t>
      </w:r>
      <w:r w:rsidR="002F6769" w:rsidRPr="002F6769">
        <w:rPr>
          <w:rFonts w:ascii="Arial" w:hAnsi="Arial" w:cs="Arial"/>
          <w:sz w:val="22"/>
          <w:szCs w:val="22"/>
        </w:rPr>
        <w:t xml:space="preserve">this survey </w:t>
      </w:r>
      <w:r w:rsidR="002F6769">
        <w:rPr>
          <w:rFonts w:ascii="Arial" w:hAnsi="Arial" w:cs="Arial"/>
          <w:sz w:val="22"/>
          <w:szCs w:val="22"/>
        </w:rPr>
        <w:t xml:space="preserve">are not expected to </w:t>
      </w:r>
      <w:r w:rsidR="00FC6540">
        <w:rPr>
          <w:rFonts w:ascii="Arial" w:hAnsi="Arial" w:cs="Arial"/>
          <w:sz w:val="22"/>
          <w:szCs w:val="22"/>
        </w:rPr>
        <w:t xml:space="preserve">be incorporated </w:t>
      </w:r>
      <w:r>
        <w:rPr>
          <w:rFonts w:ascii="Arial" w:hAnsi="Arial" w:cs="Arial"/>
          <w:sz w:val="22"/>
          <w:szCs w:val="22"/>
        </w:rPr>
        <w:t xml:space="preserve">directly </w:t>
      </w:r>
      <w:r w:rsidR="00FC6540">
        <w:rPr>
          <w:rFonts w:ascii="Arial" w:hAnsi="Arial" w:cs="Arial"/>
          <w:sz w:val="22"/>
          <w:szCs w:val="22"/>
        </w:rPr>
        <w:t>into IRS audit methodology</w:t>
      </w:r>
      <w:r>
        <w:rPr>
          <w:rFonts w:ascii="Arial" w:hAnsi="Arial" w:cs="Arial"/>
          <w:sz w:val="22"/>
          <w:szCs w:val="22"/>
        </w:rPr>
        <w:t xml:space="preserve"> but instead to provide a general understanding of common tipping behavior</w:t>
      </w:r>
      <w:r w:rsidR="00FC6540">
        <w:rPr>
          <w:rFonts w:ascii="Arial" w:hAnsi="Arial" w:cs="Arial"/>
          <w:sz w:val="22"/>
          <w:szCs w:val="22"/>
        </w:rPr>
        <w:t xml:space="preserve">.  </w:t>
      </w:r>
    </w:p>
    <w:p w14:paraId="5691C1DF" w14:textId="77777777" w:rsidR="000B0544" w:rsidRDefault="000B0544" w:rsidP="00B81ACA">
      <w:pPr>
        <w:rPr>
          <w:rFonts w:ascii="Arial" w:hAnsi="Arial" w:cs="Arial"/>
          <w:sz w:val="22"/>
          <w:szCs w:val="22"/>
        </w:rPr>
      </w:pPr>
    </w:p>
    <w:p w14:paraId="14936959" w14:textId="71D2F75D" w:rsidR="00FC6540" w:rsidRDefault="00395377" w:rsidP="00B81ACA">
      <w:pPr>
        <w:rPr>
          <w:rFonts w:ascii="Arial" w:hAnsi="Arial" w:cs="Arial"/>
          <w:sz w:val="22"/>
          <w:szCs w:val="22"/>
        </w:rPr>
      </w:pPr>
      <w:r>
        <w:rPr>
          <w:rFonts w:ascii="Arial" w:hAnsi="Arial" w:cs="Arial"/>
          <w:sz w:val="22"/>
          <w:szCs w:val="22"/>
        </w:rPr>
        <w:t xml:space="preserve">Second, the survey data will allow </w:t>
      </w:r>
      <w:r w:rsidR="00FC6540">
        <w:rPr>
          <w:rFonts w:ascii="Arial" w:hAnsi="Arial" w:cs="Arial"/>
          <w:sz w:val="22"/>
          <w:szCs w:val="22"/>
        </w:rPr>
        <w:t xml:space="preserve">the IRS </w:t>
      </w:r>
      <w:r w:rsidR="00FC6540" w:rsidRPr="00FC6540">
        <w:rPr>
          <w:rFonts w:ascii="Arial" w:hAnsi="Arial" w:cs="Arial"/>
          <w:sz w:val="22"/>
          <w:szCs w:val="22"/>
        </w:rPr>
        <w:t xml:space="preserve">to produce preliminary estimates of aggregate unreported tip income, which in turn will contribute to IRS’ estimation of the individual income tax underreporting tax gap and employment tax underreporting tax gap.  It is understood that, by their nature, the tax gap estimates are subject to uncertainty and that some tax gap components are estimated more robustly than others.  </w:t>
      </w:r>
      <w:r w:rsidR="00FC6540">
        <w:rPr>
          <w:rFonts w:ascii="Arial" w:hAnsi="Arial" w:cs="Arial"/>
          <w:sz w:val="22"/>
          <w:szCs w:val="22"/>
        </w:rPr>
        <w:t>Developing new preliminary estimates of the magnitude of the tax noncompliance associated with tip income, particularly as it compares with other areas of tax noncompliance, will provide IRS with some initial insight as to how it can more effectively and efficiently allocate its resources.  Results of the survey will not be used to initiate new enforcement actions.</w:t>
      </w:r>
      <w:r w:rsidR="00B873C7">
        <w:rPr>
          <w:rFonts w:ascii="Arial" w:hAnsi="Arial" w:cs="Arial"/>
          <w:sz w:val="22"/>
          <w:szCs w:val="22"/>
        </w:rPr>
        <w:t xml:space="preserve">  </w:t>
      </w:r>
      <w:r w:rsidR="00B873C7">
        <w:t>If the results of the study provide some initial indication that IRS might want to reconsider or reevaluate how it has alloca</w:t>
      </w:r>
      <w:bookmarkStart w:id="1" w:name="_GoBack"/>
      <w:bookmarkEnd w:id="1"/>
      <w:r w:rsidR="00B873C7">
        <w:t>ted resources that may prompt IRS to explore the issue further, potentially conducting additional research on tip income noncompliance.  No enforcement actions will be initiated directly as a result of the study.</w:t>
      </w:r>
    </w:p>
    <w:p w14:paraId="25789E85" w14:textId="77777777" w:rsidR="00FC6540" w:rsidRDefault="00FC6540" w:rsidP="00B81ACA">
      <w:pPr>
        <w:rPr>
          <w:rFonts w:ascii="Arial" w:hAnsi="Arial" w:cs="Arial"/>
          <w:sz w:val="22"/>
          <w:szCs w:val="22"/>
        </w:rPr>
      </w:pPr>
    </w:p>
    <w:p w14:paraId="278ADBCE" w14:textId="3F2E92BC" w:rsidR="00FC6540" w:rsidRDefault="00D102A5" w:rsidP="00253526">
      <w:pPr>
        <w:rPr>
          <w:rFonts w:ascii="Arial" w:hAnsi="Arial" w:cs="Arial"/>
          <w:sz w:val="22"/>
          <w:szCs w:val="22"/>
        </w:rPr>
      </w:pPr>
      <w:r w:rsidRPr="00D102A5">
        <w:rPr>
          <w:rFonts w:ascii="Arial" w:hAnsi="Arial" w:cs="Arial"/>
          <w:sz w:val="22"/>
          <w:szCs w:val="22"/>
        </w:rPr>
        <w:t xml:space="preserve">We also expect that data gathered from the consumer tipping survey will </w:t>
      </w:r>
      <w:r w:rsidR="00F95DDE">
        <w:rPr>
          <w:rFonts w:ascii="Arial" w:hAnsi="Arial" w:cs="Arial"/>
          <w:sz w:val="22"/>
          <w:szCs w:val="22"/>
        </w:rPr>
        <w:t xml:space="preserve">prompt and </w:t>
      </w:r>
      <w:r w:rsidRPr="00D102A5">
        <w:rPr>
          <w:rFonts w:ascii="Arial" w:hAnsi="Arial" w:cs="Arial"/>
          <w:sz w:val="22"/>
          <w:szCs w:val="22"/>
        </w:rPr>
        <w:t>inform discussions about whether various administrative or statutory policies related to tipping continue to be appropriate</w:t>
      </w:r>
      <w:r>
        <w:rPr>
          <w:rFonts w:ascii="Arial" w:hAnsi="Arial" w:cs="Arial"/>
          <w:sz w:val="22"/>
          <w:szCs w:val="22"/>
        </w:rPr>
        <w:t xml:space="preserve">, such as the </w:t>
      </w:r>
      <w:r w:rsidRPr="00D102A5">
        <w:rPr>
          <w:rFonts w:ascii="Arial" w:hAnsi="Arial" w:cs="Arial"/>
          <w:sz w:val="22"/>
          <w:szCs w:val="22"/>
        </w:rPr>
        <w:t>8 percent threshold for allocating tips at large food and beverage establishments</w:t>
      </w:r>
      <w:r>
        <w:rPr>
          <w:rFonts w:ascii="Arial" w:hAnsi="Arial" w:cs="Arial"/>
          <w:sz w:val="22"/>
          <w:szCs w:val="22"/>
        </w:rPr>
        <w:t xml:space="preserve"> that </w:t>
      </w:r>
      <w:r w:rsidRPr="00D102A5">
        <w:rPr>
          <w:rFonts w:ascii="Arial" w:hAnsi="Arial" w:cs="Arial"/>
          <w:sz w:val="22"/>
          <w:szCs w:val="22"/>
        </w:rPr>
        <w:t>became effective in 1983</w:t>
      </w:r>
      <w:r>
        <w:rPr>
          <w:rFonts w:ascii="Arial" w:hAnsi="Arial" w:cs="Arial"/>
          <w:sz w:val="22"/>
          <w:szCs w:val="22"/>
        </w:rPr>
        <w:t xml:space="preserve"> (26 U.S.C. § 6053(c)(3)).</w:t>
      </w:r>
      <w:r w:rsidRPr="00D102A5">
        <w:rPr>
          <w:rFonts w:ascii="Arial" w:hAnsi="Arial" w:cs="Arial"/>
          <w:sz w:val="22"/>
          <w:szCs w:val="22"/>
        </w:rPr>
        <w:t xml:space="preserve">  This survey is the first step in determining whether </w:t>
      </w:r>
      <w:r w:rsidR="00F95DDE">
        <w:rPr>
          <w:rFonts w:ascii="Arial" w:hAnsi="Arial" w:cs="Arial"/>
          <w:sz w:val="22"/>
          <w:szCs w:val="22"/>
        </w:rPr>
        <w:t xml:space="preserve">additional </w:t>
      </w:r>
      <w:r w:rsidR="00F57F13">
        <w:rPr>
          <w:rFonts w:ascii="Arial" w:hAnsi="Arial" w:cs="Arial"/>
          <w:sz w:val="22"/>
          <w:szCs w:val="22"/>
        </w:rPr>
        <w:t xml:space="preserve">rigorous </w:t>
      </w:r>
      <w:r w:rsidRPr="00D102A5">
        <w:rPr>
          <w:rFonts w:ascii="Arial" w:hAnsi="Arial" w:cs="Arial"/>
          <w:sz w:val="22"/>
          <w:szCs w:val="22"/>
        </w:rPr>
        <w:t>data collection effort</w:t>
      </w:r>
      <w:r w:rsidR="00F95DDE">
        <w:rPr>
          <w:rFonts w:ascii="Arial" w:hAnsi="Arial" w:cs="Arial"/>
          <w:sz w:val="22"/>
          <w:szCs w:val="22"/>
        </w:rPr>
        <w:t>s</w:t>
      </w:r>
      <w:r w:rsidRPr="00D102A5">
        <w:rPr>
          <w:rFonts w:ascii="Arial" w:hAnsi="Arial" w:cs="Arial"/>
          <w:sz w:val="22"/>
          <w:szCs w:val="22"/>
        </w:rPr>
        <w:t xml:space="preserve"> should be conducted to </w:t>
      </w:r>
      <w:r w:rsidR="00F95DDE">
        <w:rPr>
          <w:rFonts w:ascii="Arial" w:hAnsi="Arial" w:cs="Arial"/>
          <w:sz w:val="22"/>
          <w:szCs w:val="22"/>
        </w:rPr>
        <w:t>evaluate such existing administrative and statutory policies.</w:t>
      </w:r>
    </w:p>
    <w:p w14:paraId="601BA370" w14:textId="77777777" w:rsidR="00D102A5" w:rsidRPr="00866803" w:rsidRDefault="00D102A5" w:rsidP="00253526">
      <w:pPr>
        <w:rPr>
          <w:rFonts w:ascii="Arial" w:hAnsi="Arial" w:cs="Arial"/>
          <w:sz w:val="22"/>
          <w:szCs w:val="22"/>
        </w:rPr>
      </w:pPr>
    </w:p>
    <w:p w14:paraId="6E2F3F93" w14:textId="77777777" w:rsidR="00CC138A" w:rsidRDefault="00CC138A" w:rsidP="00CC138A">
      <w:pPr>
        <w:rPr>
          <w:rFonts w:ascii="Arial" w:hAnsi="Arial" w:cs="Arial"/>
          <w:sz w:val="22"/>
          <w:szCs w:val="22"/>
        </w:rPr>
      </w:pPr>
      <w:proofErr w:type="spellStart"/>
      <w:r>
        <w:rPr>
          <w:rFonts w:ascii="Arial" w:hAnsi="Arial" w:cs="Arial"/>
          <w:sz w:val="22"/>
          <w:szCs w:val="22"/>
        </w:rPr>
        <w:t>Fors</w:t>
      </w:r>
      <w:proofErr w:type="spellEnd"/>
      <w:r>
        <w:rPr>
          <w:rFonts w:ascii="Arial" w:hAnsi="Arial" w:cs="Arial"/>
          <w:sz w:val="22"/>
          <w:szCs w:val="22"/>
        </w:rPr>
        <w:t xml:space="preserve"> Marsh Group (FMG), who will administer the survey fielding, worked in close collaboration with a number of outside Subject Matter Experts throughout the course of this project.</w:t>
      </w:r>
      <w:r w:rsidR="0092353A">
        <w:rPr>
          <w:rFonts w:ascii="Arial" w:hAnsi="Arial" w:cs="Arial"/>
          <w:sz w:val="22"/>
          <w:szCs w:val="22"/>
        </w:rPr>
        <w:t xml:space="preserve"> </w:t>
      </w:r>
      <w:r>
        <w:rPr>
          <w:rFonts w:ascii="Arial" w:hAnsi="Arial" w:cs="Arial"/>
          <w:sz w:val="22"/>
          <w:szCs w:val="22"/>
        </w:rPr>
        <w:t xml:space="preserve">These experts were: Dr. Michael Lynn, a professor at Cornell who has published extensively on tipping related behaviors; Dr. James </w:t>
      </w:r>
      <w:proofErr w:type="spellStart"/>
      <w:r>
        <w:rPr>
          <w:rFonts w:ascii="Arial" w:hAnsi="Arial" w:cs="Arial"/>
          <w:sz w:val="22"/>
          <w:szCs w:val="22"/>
        </w:rPr>
        <w:t>Alm</w:t>
      </w:r>
      <w:proofErr w:type="spellEnd"/>
      <w:r>
        <w:rPr>
          <w:rFonts w:ascii="Arial" w:hAnsi="Arial" w:cs="Arial"/>
          <w:sz w:val="22"/>
          <w:szCs w:val="22"/>
        </w:rPr>
        <w:t xml:space="preserve">, a professor at Tulane who specializes in public finance and tax compliance research; and Dr. John </w:t>
      </w:r>
      <w:proofErr w:type="spellStart"/>
      <w:r>
        <w:rPr>
          <w:rFonts w:ascii="Arial" w:hAnsi="Arial" w:cs="Arial"/>
          <w:sz w:val="22"/>
          <w:szCs w:val="22"/>
        </w:rPr>
        <w:t>Vidmar</w:t>
      </w:r>
      <w:proofErr w:type="spellEnd"/>
      <w:r>
        <w:rPr>
          <w:rFonts w:ascii="Arial" w:hAnsi="Arial" w:cs="Arial"/>
          <w:sz w:val="22"/>
          <w:szCs w:val="22"/>
        </w:rPr>
        <w:t xml:space="preserve">, </w:t>
      </w:r>
      <w:r w:rsidR="004816DF">
        <w:rPr>
          <w:rFonts w:ascii="Arial" w:hAnsi="Arial" w:cs="Arial"/>
          <w:sz w:val="22"/>
          <w:szCs w:val="22"/>
        </w:rPr>
        <w:t>a project coordinator and significant contributor to previous iterations of the IRS Tipping Surveys conducted in the mid 1980’s using the NPD panel</w:t>
      </w:r>
      <w:r>
        <w:rPr>
          <w:rFonts w:ascii="Arial" w:hAnsi="Arial" w:cs="Arial"/>
          <w:sz w:val="22"/>
          <w:szCs w:val="22"/>
        </w:rPr>
        <w:t>.</w:t>
      </w:r>
      <w:r w:rsidR="0011613E">
        <w:rPr>
          <w:rStyle w:val="FootnoteReference"/>
          <w:rFonts w:ascii="Arial" w:hAnsi="Arial" w:cs="Arial"/>
          <w:sz w:val="22"/>
          <w:szCs w:val="22"/>
        </w:rPr>
        <w:footnoteReference w:id="3"/>
      </w:r>
      <w:r w:rsidR="0092353A">
        <w:rPr>
          <w:rFonts w:ascii="Arial" w:hAnsi="Arial" w:cs="Arial"/>
          <w:sz w:val="22"/>
          <w:szCs w:val="22"/>
        </w:rPr>
        <w:t xml:space="preserve"> </w:t>
      </w:r>
      <w:r>
        <w:rPr>
          <w:rFonts w:ascii="Arial" w:hAnsi="Arial" w:cs="Arial"/>
          <w:sz w:val="22"/>
          <w:szCs w:val="22"/>
        </w:rPr>
        <w:t>These SMEs consulted on numerous aspects of the project including the initial background research, the analysis reports, and questionnaire design.</w:t>
      </w:r>
    </w:p>
    <w:p w14:paraId="25A6E55D" w14:textId="77777777" w:rsidR="00253526" w:rsidRPr="00866803" w:rsidRDefault="00253526" w:rsidP="00B81ACA">
      <w:pPr>
        <w:rPr>
          <w:rFonts w:ascii="Arial" w:hAnsi="Arial" w:cs="Arial"/>
          <w:sz w:val="22"/>
          <w:szCs w:val="22"/>
        </w:rPr>
      </w:pPr>
    </w:p>
    <w:p w14:paraId="0EB9D71D" w14:textId="77777777" w:rsidR="00091442" w:rsidRPr="00866803" w:rsidRDefault="00091442" w:rsidP="00091442">
      <w:pPr>
        <w:pStyle w:val="ListParagraph"/>
        <w:numPr>
          <w:ilvl w:val="0"/>
          <w:numId w:val="26"/>
        </w:numPr>
        <w:ind w:left="0"/>
        <w:rPr>
          <w:rFonts w:ascii="Arial" w:hAnsi="Arial" w:cs="Arial"/>
          <w:b/>
          <w:sz w:val="22"/>
          <w:szCs w:val="22"/>
        </w:rPr>
      </w:pPr>
      <w:r w:rsidRPr="00866803">
        <w:rPr>
          <w:rFonts w:ascii="Arial" w:hAnsi="Arial" w:cs="Arial"/>
          <w:b/>
          <w:sz w:val="22"/>
          <w:szCs w:val="22"/>
        </w:rPr>
        <w:t>Consideration Given to Information Technology</w:t>
      </w:r>
    </w:p>
    <w:p w14:paraId="0A7E1B1A" w14:textId="77777777" w:rsidR="00B9575C" w:rsidRPr="00866803" w:rsidRDefault="00B9575C" w:rsidP="00B9575C">
      <w:pPr>
        <w:rPr>
          <w:rFonts w:ascii="Arial" w:hAnsi="Arial" w:cs="Arial"/>
          <w:sz w:val="22"/>
          <w:szCs w:val="22"/>
        </w:rPr>
      </w:pPr>
    </w:p>
    <w:p w14:paraId="22E26454" w14:textId="77777777" w:rsidR="00184128" w:rsidRPr="00866803" w:rsidRDefault="00184128" w:rsidP="00474E15">
      <w:pPr>
        <w:pStyle w:val="BodyText"/>
        <w:widowControl/>
        <w:rPr>
          <w:rFonts w:ascii="Arial" w:hAnsi="Arial"/>
          <w:color w:val="auto"/>
          <w:sz w:val="22"/>
          <w:szCs w:val="22"/>
        </w:rPr>
      </w:pPr>
      <w:r w:rsidRPr="00866803">
        <w:rPr>
          <w:rFonts w:ascii="Arial" w:hAnsi="Arial"/>
          <w:color w:val="auto"/>
          <w:sz w:val="22"/>
          <w:szCs w:val="22"/>
        </w:rPr>
        <w:t xml:space="preserve">The study will use a </w:t>
      </w:r>
      <w:r w:rsidR="00983E3D" w:rsidRPr="00866803">
        <w:rPr>
          <w:rFonts w:ascii="Arial" w:hAnsi="Arial"/>
          <w:color w:val="auto"/>
          <w:sz w:val="22"/>
          <w:szCs w:val="22"/>
        </w:rPr>
        <w:t>web</w:t>
      </w:r>
      <w:r w:rsidRPr="00866803">
        <w:rPr>
          <w:rFonts w:ascii="Arial" w:hAnsi="Arial"/>
          <w:color w:val="auto"/>
          <w:sz w:val="22"/>
          <w:szCs w:val="22"/>
        </w:rPr>
        <w:t xml:space="preserve"> survey to collect data. </w:t>
      </w:r>
    </w:p>
    <w:p w14:paraId="622FA09D" w14:textId="77777777" w:rsidR="00184128" w:rsidRPr="00866803" w:rsidRDefault="00184128" w:rsidP="00B9575C">
      <w:pPr>
        <w:pStyle w:val="BodyText"/>
        <w:widowControl/>
        <w:rPr>
          <w:rFonts w:ascii="Arial" w:hAnsi="Arial" w:cs="Arial"/>
          <w:color w:val="auto"/>
          <w:sz w:val="22"/>
          <w:szCs w:val="22"/>
        </w:rPr>
      </w:pPr>
    </w:p>
    <w:p w14:paraId="5831866B" w14:textId="77777777" w:rsidR="00184128" w:rsidRPr="00866803" w:rsidRDefault="00184128" w:rsidP="00184128">
      <w:pPr>
        <w:pStyle w:val="BodyText"/>
        <w:widowControl/>
        <w:rPr>
          <w:rFonts w:ascii="Arial" w:hAnsi="Arial"/>
          <w:color w:val="auto"/>
          <w:sz w:val="22"/>
          <w:szCs w:val="22"/>
        </w:rPr>
      </w:pPr>
      <w:r w:rsidRPr="00866803">
        <w:rPr>
          <w:rFonts w:ascii="Arial" w:hAnsi="Arial"/>
          <w:color w:val="auto"/>
          <w:sz w:val="22"/>
          <w:szCs w:val="22"/>
        </w:rPr>
        <w:t xml:space="preserve">The </w:t>
      </w:r>
      <w:r w:rsidR="00983E3D" w:rsidRPr="00866803">
        <w:rPr>
          <w:rFonts w:ascii="Arial" w:hAnsi="Arial"/>
          <w:color w:val="auto"/>
          <w:sz w:val="22"/>
          <w:szCs w:val="22"/>
        </w:rPr>
        <w:t>consumer tipping</w:t>
      </w:r>
      <w:r w:rsidRPr="00866803">
        <w:rPr>
          <w:rFonts w:ascii="Arial" w:hAnsi="Arial"/>
          <w:color w:val="auto"/>
          <w:sz w:val="22"/>
          <w:szCs w:val="22"/>
        </w:rPr>
        <w:t xml:space="preserve"> questionnai</w:t>
      </w:r>
      <w:r w:rsidR="00983E3D" w:rsidRPr="00866803">
        <w:rPr>
          <w:rFonts w:ascii="Arial" w:hAnsi="Arial"/>
          <w:color w:val="auto"/>
          <w:sz w:val="22"/>
          <w:szCs w:val="22"/>
        </w:rPr>
        <w:t>res include screening criteria and pull down-menus for transaction types to reduce respondent burden</w:t>
      </w:r>
      <w:r w:rsidRPr="00866803">
        <w:rPr>
          <w:rFonts w:ascii="Arial" w:hAnsi="Arial"/>
          <w:color w:val="auto"/>
          <w:sz w:val="22"/>
          <w:szCs w:val="22"/>
        </w:rPr>
        <w:t xml:space="preserve">. </w:t>
      </w:r>
    </w:p>
    <w:p w14:paraId="7EFE9979" w14:textId="77777777" w:rsidR="00184128" w:rsidRPr="00866803" w:rsidRDefault="00184128" w:rsidP="00B9575C">
      <w:pPr>
        <w:pStyle w:val="BodyText"/>
        <w:widowControl/>
        <w:rPr>
          <w:rFonts w:ascii="Arial" w:hAnsi="Arial" w:cs="Arial"/>
          <w:color w:val="auto"/>
          <w:sz w:val="22"/>
          <w:szCs w:val="22"/>
        </w:rPr>
      </w:pPr>
    </w:p>
    <w:p w14:paraId="0852B8A9" w14:textId="77777777" w:rsidR="00501077" w:rsidRPr="00866803" w:rsidRDefault="00501077" w:rsidP="00501077">
      <w:pPr>
        <w:pStyle w:val="ListParagraph"/>
        <w:numPr>
          <w:ilvl w:val="0"/>
          <w:numId w:val="26"/>
        </w:numPr>
        <w:ind w:left="0"/>
        <w:rPr>
          <w:rFonts w:ascii="Arial" w:hAnsi="Arial" w:cs="Arial"/>
          <w:b/>
          <w:sz w:val="22"/>
          <w:szCs w:val="22"/>
        </w:rPr>
      </w:pPr>
      <w:r w:rsidRPr="00866803">
        <w:rPr>
          <w:rFonts w:ascii="Arial" w:hAnsi="Arial" w:cs="Arial"/>
          <w:b/>
          <w:sz w:val="22"/>
          <w:szCs w:val="22"/>
        </w:rPr>
        <w:t>Duplication of Information</w:t>
      </w:r>
    </w:p>
    <w:p w14:paraId="6882EF0D" w14:textId="77777777" w:rsidR="00501077" w:rsidRPr="00866803" w:rsidRDefault="00501077" w:rsidP="00501077">
      <w:pPr>
        <w:rPr>
          <w:rFonts w:ascii="Arial" w:hAnsi="Arial" w:cs="Arial"/>
          <w:b/>
          <w:i/>
          <w:sz w:val="22"/>
          <w:szCs w:val="22"/>
        </w:rPr>
      </w:pPr>
    </w:p>
    <w:p w14:paraId="0219C6C1" w14:textId="77777777" w:rsidR="00501077" w:rsidRPr="00866803" w:rsidRDefault="00501077" w:rsidP="00501077">
      <w:pPr>
        <w:rPr>
          <w:rFonts w:ascii="Arial" w:hAnsi="Arial" w:cs="Arial"/>
          <w:sz w:val="22"/>
          <w:szCs w:val="22"/>
        </w:rPr>
      </w:pPr>
      <w:r w:rsidRPr="00866803">
        <w:rPr>
          <w:rFonts w:ascii="Arial" w:hAnsi="Arial" w:cs="Arial"/>
          <w:sz w:val="22"/>
          <w:szCs w:val="22"/>
        </w:rPr>
        <w:t>This</w:t>
      </w:r>
      <w:r w:rsidR="00AD29FB" w:rsidRPr="00866803">
        <w:rPr>
          <w:rFonts w:ascii="Arial" w:hAnsi="Arial" w:cs="Arial"/>
          <w:sz w:val="22"/>
          <w:szCs w:val="22"/>
        </w:rPr>
        <w:t xml:space="preserve"> study</w:t>
      </w:r>
      <w:r w:rsidRPr="00866803">
        <w:rPr>
          <w:rFonts w:ascii="Arial" w:hAnsi="Arial" w:cs="Arial"/>
          <w:sz w:val="22"/>
          <w:szCs w:val="22"/>
        </w:rPr>
        <w:t xml:space="preserve"> </w:t>
      </w:r>
      <w:r w:rsidR="00F87CBD" w:rsidRPr="00866803">
        <w:rPr>
          <w:rFonts w:ascii="Arial" w:hAnsi="Arial" w:cs="Arial"/>
          <w:sz w:val="22"/>
          <w:szCs w:val="22"/>
        </w:rPr>
        <w:t xml:space="preserve">will expand </w:t>
      </w:r>
      <w:r w:rsidR="004816DF">
        <w:rPr>
          <w:rFonts w:ascii="Arial" w:hAnsi="Arial" w:cs="Arial"/>
          <w:sz w:val="22"/>
          <w:szCs w:val="22"/>
        </w:rPr>
        <w:t>upon the pilot study conducted by the IRS in July, 2015</w:t>
      </w:r>
      <w:r w:rsidR="00F87CBD" w:rsidRPr="00866803">
        <w:rPr>
          <w:rFonts w:ascii="Arial" w:hAnsi="Arial" w:cs="Arial"/>
          <w:sz w:val="22"/>
          <w:szCs w:val="22"/>
        </w:rPr>
        <w:t>.</w:t>
      </w:r>
      <w:r w:rsidR="0092353A">
        <w:rPr>
          <w:rFonts w:ascii="Arial" w:hAnsi="Arial" w:cs="Arial"/>
          <w:sz w:val="22"/>
          <w:szCs w:val="22"/>
        </w:rPr>
        <w:t xml:space="preserve"> </w:t>
      </w:r>
      <w:r w:rsidR="00F87CBD" w:rsidRPr="00866803">
        <w:rPr>
          <w:rFonts w:ascii="Arial" w:hAnsi="Arial" w:cs="Arial"/>
          <w:sz w:val="22"/>
          <w:szCs w:val="22"/>
        </w:rPr>
        <w:t xml:space="preserve">However, this </w:t>
      </w:r>
      <w:r w:rsidRPr="00866803">
        <w:rPr>
          <w:rFonts w:ascii="Arial" w:hAnsi="Arial" w:cs="Arial"/>
          <w:sz w:val="22"/>
          <w:szCs w:val="22"/>
        </w:rPr>
        <w:t xml:space="preserve">is the only </w:t>
      </w:r>
      <w:r w:rsidR="00AD29FB" w:rsidRPr="00866803">
        <w:rPr>
          <w:rFonts w:ascii="Arial" w:hAnsi="Arial" w:cs="Arial"/>
          <w:sz w:val="22"/>
          <w:szCs w:val="22"/>
        </w:rPr>
        <w:t>one</w:t>
      </w:r>
      <w:r w:rsidR="00184128" w:rsidRPr="00866803">
        <w:rPr>
          <w:rFonts w:ascii="Arial" w:hAnsi="Arial" w:cs="Arial"/>
          <w:sz w:val="22"/>
          <w:szCs w:val="22"/>
        </w:rPr>
        <w:t xml:space="preserve"> being conducted to inform </w:t>
      </w:r>
      <w:r w:rsidR="00983E3D" w:rsidRPr="00866803">
        <w:rPr>
          <w:rFonts w:ascii="Arial" w:hAnsi="Arial" w:cs="Arial"/>
          <w:sz w:val="22"/>
          <w:szCs w:val="22"/>
        </w:rPr>
        <w:t xml:space="preserve">IRS staff </w:t>
      </w:r>
      <w:r w:rsidR="004C1AF2" w:rsidRPr="00866803">
        <w:rPr>
          <w:rFonts w:ascii="Arial" w:hAnsi="Arial" w:cs="Arial"/>
          <w:sz w:val="22"/>
          <w:szCs w:val="22"/>
        </w:rPr>
        <w:t>about</w:t>
      </w:r>
      <w:r w:rsidR="00983E3D" w:rsidRPr="00866803">
        <w:rPr>
          <w:rFonts w:ascii="Arial" w:hAnsi="Arial" w:cs="Arial"/>
          <w:sz w:val="22"/>
          <w:szCs w:val="22"/>
        </w:rPr>
        <w:t xml:space="preserve"> national tipping rates</w:t>
      </w:r>
      <w:r w:rsidR="00F87CBD" w:rsidRPr="00866803">
        <w:rPr>
          <w:rFonts w:ascii="Arial" w:hAnsi="Arial" w:cs="Arial"/>
          <w:sz w:val="22"/>
          <w:szCs w:val="22"/>
        </w:rPr>
        <w:t xml:space="preserve"> and gross tipped income</w:t>
      </w:r>
      <w:r w:rsidR="00983E3D" w:rsidRPr="00866803">
        <w:rPr>
          <w:rFonts w:ascii="Arial" w:hAnsi="Arial" w:cs="Arial"/>
          <w:sz w:val="22"/>
          <w:szCs w:val="22"/>
        </w:rPr>
        <w:t xml:space="preserve"> by industry</w:t>
      </w:r>
      <w:r w:rsidR="00997BA9">
        <w:rPr>
          <w:rFonts w:ascii="Arial" w:hAnsi="Arial" w:cs="Arial"/>
          <w:sz w:val="22"/>
          <w:szCs w:val="22"/>
        </w:rPr>
        <w:t xml:space="preserve"> and geographic area</w:t>
      </w:r>
      <w:r w:rsidRPr="00866803">
        <w:rPr>
          <w:rFonts w:ascii="Arial" w:hAnsi="Arial" w:cs="Arial"/>
          <w:sz w:val="22"/>
          <w:szCs w:val="22"/>
        </w:rPr>
        <w:t>.</w:t>
      </w:r>
      <w:r w:rsidR="0092353A">
        <w:rPr>
          <w:rFonts w:ascii="Arial" w:hAnsi="Arial" w:cs="Arial"/>
          <w:sz w:val="22"/>
          <w:szCs w:val="22"/>
        </w:rPr>
        <w:t xml:space="preserve"> </w:t>
      </w:r>
      <w:r w:rsidR="00670EF2">
        <w:rPr>
          <w:rFonts w:ascii="Arial" w:hAnsi="Arial" w:cs="Arial"/>
          <w:sz w:val="22"/>
          <w:szCs w:val="22"/>
        </w:rPr>
        <w:t>Furthermore, this survey effort will give the IRS an accurate snapshot of tipped behaviors during the course of an entire calendar year.</w:t>
      </w:r>
    </w:p>
    <w:p w14:paraId="31EA8559" w14:textId="77777777" w:rsidR="00501077" w:rsidRPr="00866803" w:rsidRDefault="00501077" w:rsidP="000F001B">
      <w:pPr>
        <w:rPr>
          <w:rFonts w:ascii="Arial" w:hAnsi="Arial" w:cs="Arial"/>
          <w:sz w:val="22"/>
          <w:szCs w:val="22"/>
        </w:rPr>
      </w:pPr>
    </w:p>
    <w:p w14:paraId="0D0A79C2" w14:textId="77777777" w:rsidR="00501077" w:rsidRPr="00866803" w:rsidRDefault="00501077" w:rsidP="00501077">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Reducing the Burden on Small Entities</w:t>
      </w:r>
    </w:p>
    <w:p w14:paraId="65EDCA76" w14:textId="77777777" w:rsidR="00501077" w:rsidRPr="00866803" w:rsidRDefault="00501077" w:rsidP="00501077">
      <w:pPr>
        <w:widowControl/>
        <w:overflowPunct/>
        <w:autoSpaceDE/>
        <w:autoSpaceDN/>
        <w:adjustRightInd/>
        <w:contextualSpacing/>
        <w:textAlignment w:val="auto"/>
        <w:rPr>
          <w:rFonts w:ascii="Arial" w:hAnsi="Arial" w:cs="Arial"/>
          <w:b/>
          <w:sz w:val="22"/>
          <w:szCs w:val="22"/>
        </w:rPr>
      </w:pPr>
    </w:p>
    <w:p w14:paraId="6E7CF98A" w14:textId="77777777" w:rsidR="00501077" w:rsidRDefault="00AC02F7" w:rsidP="00501077">
      <w:pPr>
        <w:widowControl/>
        <w:overflowPunct/>
        <w:autoSpaceDE/>
        <w:autoSpaceDN/>
        <w:adjustRightInd/>
        <w:contextualSpacing/>
        <w:textAlignment w:val="auto"/>
        <w:rPr>
          <w:rFonts w:ascii="Arial" w:hAnsi="Arial" w:cs="Arial"/>
          <w:sz w:val="22"/>
          <w:szCs w:val="22"/>
        </w:rPr>
      </w:pPr>
      <w:r w:rsidRPr="00AC02F7">
        <w:rPr>
          <w:rFonts w:ascii="Arial" w:hAnsi="Arial" w:cs="Arial"/>
          <w:sz w:val="22"/>
          <w:szCs w:val="22"/>
        </w:rPr>
        <w:t>There are no small entities affected by this collection</w:t>
      </w:r>
      <w:r>
        <w:rPr>
          <w:rFonts w:ascii="Arial" w:hAnsi="Arial" w:cs="Arial"/>
          <w:sz w:val="22"/>
          <w:szCs w:val="22"/>
        </w:rPr>
        <w:t xml:space="preserve">. </w:t>
      </w:r>
    </w:p>
    <w:p w14:paraId="4B7E19D2" w14:textId="77777777" w:rsidR="00AC02F7" w:rsidRPr="00866803" w:rsidRDefault="00AC02F7" w:rsidP="00501077">
      <w:pPr>
        <w:widowControl/>
        <w:overflowPunct/>
        <w:autoSpaceDE/>
        <w:autoSpaceDN/>
        <w:adjustRightInd/>
        <w:contextualSpacing/>
        <w:textAlignment w:val="auto"/>
        <w:rPr>
          <w:rFonts w:ascii="Arial" w:hAnsi="Arial" w:cs="Arial"/>
          <w:b/>
          <w:sz w:val="22"/>
          <w:szCs w:val="22"/>
        </w:rPr>
      </w:pPr>
    </w:p>
    <w:p w14:paraId="3FB15C57" w14:textId="77777777" w:rsidR="00501077" w:rsidRPr="00866803" w:rsidRDefault="00501077" w:rsidP="00501077">
      <w:pPr>
        <w:pStyle w:val="ListParagraph"/>
        <w:numPr>
          <w:ilvl w:val="0"/>
          <w:numId w:val="26"/>
        </w:numPr>
        <w:ind w:left="0"/>
        <w:rPr>
          <w:rFonts w:ascii="Arial" w:hAnsi="Arial" w:cs="Arial"/>
          <w:b/>
          <w:sz w:val="22"/>
          <w:szCs w:val="22"/>
        </w:rPr>
      </w:pPr>
      <w:r w:rsidRPr="00866803">
        <w:rPr>
          <w:rFonts w:ascii="Arial" w:hAnsi="Arial" w:cs="Arial"/>
          <w:b/>
          <w:sz w:val="22"/>
          <w:szCs w:val="22"/>
        </w:rPr>
        <w:lastRenderedPageBreak/>
        <w:t xml:space="preserve">Consequences of Not Conducting Collection </w:t>
      </w:r>
    </w:p>
    <w:p w14:paraId="12304149" w14:textId="77777777" w:rsidR="00501077" w:rsidRPr="00866803" w:rsidRDefault="00501077" w:rsidP="00501077">
      <w:pPr>
        <w:widowControl/>
        <w:overflowPunct/>
        <w:autoSpaceDE/>
        <w:autoSpaceDN/>
        <w:adjustRightInd/>
        <w:contextualSpacing/>
        <w:textAlignment w:val="auto"/>
        <w:rPr>
          <w:rFonts w:ascii="Arial" w:hAnsi="Arial" w:cs="Arial"/>
          <w:b/>
          <w:sz w:val="22"/>
          <w:szCs w:val="22"/>
        </w:rPr>
      </w:pPr>
    </w:p>
    <w:p w14:paraId="60455287" w14:textId="77777777" w:rsidR="00542921" w:rsidRDefault="00F87CBD" w:rsidP="001B730E">
      <w:pPr>
        <w:rPr>
          <w:rFonts w:ascii="Arial" w:hAnsi="Arial" w:cs="Arial"/>
          <w:sz w:val="22"/>
          <w:szCs w:val="22"/>
        </w:rPr>
      </w:pPr>
      <w:r w:rsidRPr="00866803">
        <w:rPr>
          <w:rFonts w:ascii="Arial" w:hAnsi="Arial" w:cs="Arial"/>
          <w:sz w:val="22"/>
          <w:szCs w:val="22"/>
        </w:rPr>
        <w:t xml:space="preserve">Not conducting this survey effort will mean the IRS will </w:t>
      </w:r>
      <w:r w:rsidR="004816DF">
        <w:rPr>
          <w:rFonts w:ascii="Arial" w:hAnsi="Arial" w:cs="Arial"/>
          <w:sz w:val="22"/>
          <w:szCs w:val="22"/>
        </w:rPr>
        <w:t>lack quantitative evidence</w:t>
      </w:r>
      <w:r w:rsidRPr="00866803">
        <w:rPr>
          <w:rFonts w:ascii="Arial" w:hAnsi="Arial" w:cs="Arial"/>
          <w:sz w:val="22"/>
          <w:szCs w:val="22"/>
        </w:rPr>
        <w:t xml:space="preserve"> concerning the amount of income that is not reported in various service industries that are commonly tipped.</w:t>
      </w:r>
      <w:r w:rsidR="0092353A">
        <w:rPr>
          <w:rFonts w:ascii="Arial" w:hAnsi="Arial" w:cs="Arial"/>
          <w:sz w:val="22"/>
          <w:szCs w:val="22"/>
        </w:rPr>
        <w:t xml:space="preserve"> </w:t>
      </w:r>
      <w:r w:rsidRPr="00866803">
        <w:rPr>
          <w:rFonts w:ascii="Arial" w:hAnsi="Arial" w:cs="Arial"/>
          <w:sz w:val="22"/>
          <w:szCs w:val="22"/>
        </w:rPr>
        <w:t xml:space="preserve">Furthermore, </w:t>
      </w:r>
      <w:r w:rsidR="00086282" w:rsidRPr="00866803">
        <w:rPr>
          <w:rFonts w:ascii="Arial" w:hAnsi="Arial" w:cs="Arial"/>
          <w:sz w:val="22"/>
          <w:szCs w:val="22"/>
        </w:rPr>
        <w:t>the</w:t>
      </w:r>
      <w:r w:rsidR="00086282">
        <w:rPr>
          <w:rFonts w:ascii="Arial" w:hAnsi="Arial" w:cs="Arial"/>
          <w:sz w:val="22"/>
          <w:szCs w:val="22"/>
        </w:rPr>
        <w:t xml:space="preserve"> IRS</w:t>
      </w:r>
      <w:r w:rsidR="00086282" w:rsidRPr="00866803">
        <w:rPr>
          <w:rFonts w:ascii="Arial" w:hAnsi="Arial" w:cs="Arial"/>
          <w:sz w:val="22"/>
          <w:szCs w:val="22"/>
        </w:rPr>
        <w:t xml:space="preserve"> </w:t>
      </w:r>
      <w:r w:rsidRPr="00866803">
        <w:rPr>
          <w:rFonts w:ascii="Arial" w:hAnsi="Arial" w:cs="Arial"/>
          <w:sz w:val="22"/>
          <w:szCs w:val="22"/>
        </w:rPr>
        <w:t xml:space="preserve">will </w:t>
      </w:r>
      <w:r w:rsidR="004816DF">
        <w:rPr>
          <w:rFonts w:ascii="Arial" w:hAnsi="Arial" w:cs="Arial"/>
          <w:sz w:val="22"/>
          <w:szCs w:val="22"/>
        </w:rPr>
        <w:t>lack reliable data on</w:t>
      </w:r>
      <w:r w:rsidRPr="00866803">
        <w:rPr>
          <w:rFonts w:ascii="Arial" w:hAnsi="Arial" w:cs="Arial"/>
          <w:sz w:val="22"/>
          <w:szCs w:val="22"/>
        </w:rPr>
        <w:t xml:space="preserve"> any regional differences or season fluctuations that might affect tipping behavior.</w:t>
      </w:r>
      <w:r w:rsidR="0092353A">
        <w:rPr>
          <w:rFonts w:ascii="Arial" w:hAnsi="Arial" w:cs="Arial"/>
          <w:sz w:val="22"/>
          <w:szCs w:val="22"/>
        </w:rPr>
        <w:t xml:space="preserve"> </w:t>
      </w:r>
    </w:p>
    <w:p w14:paraId="5E7BEA0B" w14:textId="77777777" w:rsidR="00542921" w:rsidRDefault="00542921" w:rsidP="001B730E">
      <w:pPr>
        <w:rPr>
          <w:rFonts w:ascii="Arial" w:hAnsi="Arial" w:cs="Arial"/>
          <w:sz w:val="22"/>
          <w:szCs w:val="22"/>
        </w:rPr>
      </w:pPr>
    </w:p>
    <w:p w14:paraId="52CEA281" w14:textId="77777777" w:rsidR="00F87CBD" w:rsidRPr="00866803" w:rsidRDefault="00542921" w:rsidP="001B730E">
      <w:pPr>
        <w:rPr>
          <w:rFonts w:ascii="Arial" w:hAnsi="Arial" w:cs="Arial"/>
          <w:sz w:val="22"/>
          <w:szCs w:val="22"/>
        </w:rPr>
      </w:pPr>
      <w:r>
        <w:rPr>
          <w:rFonts w:ascii="Arial" w:hAnsi="Arial" w:cs="Arial"/>
          <w:sz w:val="22"/>
          <w:szCs w:val="22"/>
        </w:rPr>
        <w:t xml:space="preserve">The practical consequences of this are at least twofold: first, IRS auditors will </w:t>
      </w:r>
      <w:r w:rsidR="000212DD">
        <w:rPr>
          <w:rFonts w:ascii="Arial" w:hAnsi="Arial" w:cs="Arial"/>
          <w:sz w:val="22"/>
          <w:szCs w:val="22"/>
        </w:rPr>
        <w:t xml:space="preserve">be hindered in </w:t>
      </w:r>
      <w:r>
        <w:rPr>
          <w:rFonts w:ascii="Arial" w:hAnsi="Arial" w:cs="Arial"/>
          <w:sz w:val="22"/>
          <w:szCs w:val="22"/>
        </w:rPr>
        <w:t xml:space="preserve">their efforts to </w:t>
      </w:r>
      <w:r w:rsidR="000212DD">
        <w:rPr>
          <w:rFonts w:ascii="Arial" w:hAnsi="Arial" w:cs="Arial"/>
          <w:sz w:val="22"/>
          <w:szCs w:val="22"/>
        </w:rPr>
        <w:t xml:space="preserve">accurately and fairly </w:t>
      </w:r>
      <w:r>
        <w:rPr>
          <w:rFonts w:ascii="Arial" w:hAnsi="Arial" w:cs="Arial"/>
          <w:sz w:val="22"/>
          <w:szCs w:val="22"/>
        </w:rPr>
        <w:t xml:space="preserve">determine the extent to which </w:t>
      </w:r>
      <w:r w:rsidR="0092353A">
        <w:rPr>
          <w:rFonts w:ascii="Arial" w:hAnsi="Arial" w:cs="Arial"/>
          <w:sz w:val="22"/>
          <w:szCs w:val="22"/>
        </w:rPr>
        <w:t xml:space="preserve">tip </w:t>
      </w:r>
      <w:r w:rsidR="00767BB5">
        <w:rPr>
          <w:rFonts w:ascii="Arial" w:hAnsi="Arial" w:cs="Arial"/>
          <w:sz w:val="22"/>
          <w:szCs w:val="22"/>
        </w:rPr>
        <w:t>income has been underreported by taxpayers.</w:t>
      </w:r>
      <w:r w:rsidR="0092353A">
        <w:rPr>
          <w:rFonts w:ascii="Arial" w:hAnsi="Arial" w:cs="Arial"/>
          <w:sz w:val="22"/>
          <w:szCs w:val="22"/>
        </w:rPr>
        <w:t xml:space="preserve"> </w:t>
      </w:r>
      <w:r w:rsidR="00767BB5">
        <w:rPr>
          <w:rFonts w:ascii="Arial" w:hAnsi="Arial" w:cs="Arial"/>
          <w:sz w:val="22"/>
          <w:szCs w:val="22"/>
        </w:rPr>
        <w:t xml:space="preserve">Second, the IRS may not allocate its resources as efficiently or effectively as it would </w:t>
      </w:r>
      <w:r w:rsidR="000212DD">
        <w:rPr>
          <w:rFonts w:ascii="Arial" w:hAnsi="Arial" w:cs="Arial"/>
          <w:sz w:val="22"/>
          <w:szCs w:val="22"/>
        </w:rPr>
        <w:t xml:space="preserve">otherwise do </w:t>
      </w:r>
      <w:r w:rsidR="00767BB5">
        <w:rPr>
          <w:rFonts w:ascii="Arial" w:hAnsi="Arial" w:cs="Arial"/>
          <w:sz w:val="22"/>
          <w:szCs w:val="22"/>
        </w:rPr>
        <w:t xml:space="preserve">based on </w:t>
      </w:r>
      <w:r w:rsidR="000212DD">
        <w:rPr>
          <w:rFonts w:ascii="Arial" w:hAnsi="Arial" w:cs="Arial"/>
          <w:sz w:val="22"/>
          <w:szCs w:val="22"/>
        </w:rPr>
        <w:t>recent and reliable estimates of tax noncompliance associated with tip income.</w:t>
      </w:r>
    </w:p>
    <w:p w14:paraId="5C3D0807" w14:textId="77777777" w:rsidR="00116EFE" w:rsidRPr="00866803" w:rsidRDefault="00116EFE" w:rsidP="00493F1E">
      <w:pPr>
        <w:rPr>
          <w:rFonts w:ascii="Arial" w:hAnsi="Arial" w:cs="Arial"/>
          <w:sz w:val="22"/>
          <w:szCs w:val="22"/>
          <w:u w:val="single"/>
        </w:rPr>
      </w:pPr>
    </w:p>
    <w:p w14:paraId="2C69D43A" w14:textId="77777777" w:rsidR="001B730E" w:rsidRPr="00866803" w:rsidRDefault="001B730E" w:rsidP="001B730E">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Special Circumstances</w:t>
      </w:r>
    </w:p>
    <w:p w14:paraId="72FF8D2F" w14:textId="77777777" w:rsidR="001B730E" w:rsidRPr="00866803" w:rsidRDefault="001B730E" w:rsidP="001B730E">
      <w:pPr>
        <w:widowControl/>
        <w:overflowPunct/>
        <w:autoSpaceDE/>
        <w:autoSpaceDN/>
        <w:adjustRightInd/>
        <w:textAlignment w:val="auto"/>
        <w:rPr>
          <w:rFonts w:ascii="Arial" w:hAnsi="Arial" w:cs="Arial"/>
          <w:sz w:val="22"/>
          <w:szCs w:val="22"/>
        </w:rPr>
      </w:pPr>
    </w:p>
    <w:p w14:paraId="50D8354A" w14:textId="77777777" w:rsidR="00EE2ECC" w:rsidRPr="00866803" w:rsidRDefault="001B730E" w:rsidP="00EE2ECC">
      <w:pPr>
        <w:pStyle w:val="ListParagraph"/>
        <w:ind w:left="0"/>
        <w:rPr>
          <w:rFonts w:ascii="Arial" w:hAnsi="Arial" w:cs="Arial"/>
          <w:b/>
          <w:sz w:val="22"/>
          <w:szCs w:val="22"/>
        </w:rPr>
      </w:pPr>
      <w:r w:rsidRPr="00866803">
        <w:rPr>
          <w:rFonts w:ascii="Arial" w:hAnsi="Arial" w:cs="Arial"/>
          <w:sz w:val="22"/>
          <w:szCs w:val="22"/>
        </w:rPr>
        <w:t xml:space="preserve">There are no special circumstances. The information collected will be voluntary. </w:t>
      </w:r>
    </w:p>
    <w:p w14:paraId="11814368" w14:textId="77777777" w:rsidR="00EE2ECC" w:rsidRPr="00866803" w:rsidRDefault="00EE2ECC" w:rsidP="00EE2ECC">
      <w:pPr>
        <w:pStyle w:val="ListParagraph"/>
        <w:rPr>
          <w:rFonts w:ascii="Arial" w:hAnsi="Arial" w:cs="Arial"/>
          <w:b/>
          <w:sz w:val="22"/>
          <w:szCs w:val="22"/>
        </w:rPr>
      </w:pPr>
    </w:p>
    <w:p w14:paraId="2703B95C" w14:textId="77777777" w:rsidR="00EE2ECC" w:rsidRPr="00866803" w:rsidRDefault="00EE2ECC" w:rsidP="00EE2ECC">
      <w:pPr>
        <w:pStyle w:val="ListParagraph"/>
        <w:numPr>
          <w:ilvl w:val="0"/>
          <w:numId w:val="26"/>
        </w:numPr>
        <w:ind w:left="0"/>
        <w:rPr>
          <w:rFonts w:ascii="Arial" w:hAnsi="Arial" w:cs="Arial"/>
          <w:b/>
          <w:sz w:val="22"/>
          <w:szCs w:val="22"/>
        </w:rPr>
      </w:pPr>
      <w:r w:rsidRPr="00866803">
        <w:rPr>
          <w:rFonts w:ascii="Arial" w:hAnsi="Arial" w:cs="Arial"/>
          <w:b/>
          <w:sz w:val="22"/>
          <w:szCs w:val="22"/>
        </w:rPr>
        <w:t>Consultations with Persons Outside the Agency</w:t>
      </w:r>
    </w:p>
    <w:p w14:paraId="54EACA53" w14:textId="77777777" w:rsidR="00306232" w:rsidRPr="00866803" w:rsidRDefault="00306232" w:rsidP="00EE2ECC">
      <w:pPr>
        <w:widowControl/>
        <w:overflowPunct/>
        <w:autoSpaceDE/>
        <w:autoSpaceDN/>
        <w:adjustRightInd/>
        <w:textAlignment w:val="auto"/>
        <w:rPr>
          <w:rFonts w:ascii="Arial" w:hAnsi="Arial" w:cs="Arial"/>
          <w:sz w:val="22"/>
          <w:szCs w:val="22"/>
        </w:rPr>
      </w:pPr>
    </w:p>
    <w:p w14:paraId="4E60AC11" w14:textId="77777777" w:rsidR="00EE2ECC" w:rsidRDefault="00983E3D" w:rsidP="00EE2ECC">
      <w:pPr>
        <w:widowControl/>
        <w:overflowPunct/>
        <w:autoSpaceDE/>
        <w:autoSpaceDN/>
        <w:adjustRightInd/>
        <w:textAlignment w:val="auto"/>
        <w:rPr>
          <w:rFonts w:ascii="Arial" w:hAnsi="Arial" w:cs="Arial"/>
          <w:sz w:val="22"/>
          <w:szCs w:val="22"/>
        </w:rPr>
      </w:pPr>
      <w:r w:rsidRPr="00866803">
        <w:rPr>
          <w:rFonts w:ascii="Arial" w:hAnsi="Arial" w:cs="Arial"/>
          <w:sz w:val="22"/>
          <w:szCs w:val="22"/>
        </w:rPr>
        <w:t>IRS</w:t>
      </w:r>
      <w:r w:rsidR="00BC55C8" w:rsidRPr="00866803">
        <w:rPr>
          <w:rFonts w:ascii="Arial" w:hAnsi="Arial" w:cs="Arial"/>
          <w:sz w:val="22"/>
          <w:szCs w:val="22"/>
        </w:rPr>
        <w:t xml:space="preserve"> is working with </w:t>
      </w:r>
      <w:proofErr w:type="spellStart"/>
      <w:r w:rsidR="00BC55C8" w:rsidRPr="00866803">
        <w:rPr>
          <w:rFonts w:ascii="Arial" w:hAnsi="Arial" w:cs="Arial"/>
          <w:sz w:val="22"/>
          <w:szCs w:val="22"/>
        </w:rPr>
        <w:t>Fors</w:t>
      </w:r>
      <w:proofErr w:type="spellEnd"/>
      <w:r w:rsidR="00BC55C8" w:rsidRPr="00866803">
        <w:rPr>
          <w:rFonts w:ascii="Arial" w:hAnsi="Arial" w:cs="Arial"/>
          <w:sz w:val="22"/>
          <w:szCs w:val="22"/>
        </w:rPr>
        <w:t xml:space="preserve"> Marsh Group (FMG) to administer the survey.</w:t>
      </w:r>
      <w:r w:rsidR="0092353A">
        <w:rPr>
          <w:rFonts w:ascii="Arial" w:hAnsi="Arial" w:cs="Arial"/>
          <w:sz w:val="22"/>
          <w:szCs w:val="22"/>
        </w:rPr>
        <w:t xml:space="preserve"> </w:t>
      </w:r>
    </w:p>
    <w:p w14:paraId="6DB5E0D0" w14:textId="77777777" w:rsidR="00383948" w:rsidRDefault="00383948" w:rsidP="00EE2ECC">
      <w:pPr>
        <w:widowControl/>
        <w:overflowPunct/>
        <w:autoSpaceDE/>
        <w:autoSpaceDN/>
        <w:adjustRightInd/>
        <w:textAlignment w:val="auto"/>
        <w:rPr>
          <w:rFonts w:ascii="Arial" w:hAnsi="Arial" w:cs="Arial"/>
          <w:sz w:val="22"/>
          <w:szCs w:val="22"/>
        </w:rPr>
      </w:pPr>
    </w:p>
    <w:p w14:paraId="757E8731" w14:textId="77777777" w:rsidR="00383948" w:rsidRPr="00866803" w:rsidRDefault="00383948" w:rsidP="00EE2ECC">
      <w:pPr>
        <w:widowControl/>
        <w:overflowPunct/>
        <w:autoSpaceDE/>
        <w:autoSpaceDN/>
        <w:adjustRightInd/>
        <w:textAlignment w:val="auto"/>
        <w:rPr>
          <w:rFonts w:ascii="Arial" w:hAnsi="Arial" w:cs="Arial"/>
          <w:sz w:val="22"/>
          <w:szCs w:val="22"/>
        </w:rPr>
      </w:pPr>
      <w:r w:rsidRPr="00383948">
        <w:rPr>
          <w:rFonts w:ascii="Arial" w:hAnsi="Arial" w:cs="Arial"/>
          <w:sz w:val="22"/>
          <w:szCs w:val="22"/>
        </w:rPr>
        <w:t xml:space="preserve">In response to the </w:t>
      </w:r>
      <w:r w:rsidRPr="00383948">
        <w:rPr>
          <w:rFonts w:ascii="Arial" w:hAnsi="Arial" w:cs="Arial"/>
          <w:b/>
          <w:bCs/>
          <w:sz w:val="22"/>
          <w:szCs w:val="22"/>
        </w:rPr>
        <w:t xml:space="preserve">Federal Register Notice </w:t>
      </w:r>
      <w:r w:rsidRPr="00383948">
        <w:rPr>
          <w:rFonts w:ascii="Arial" w:hAnsi="Arial" w:cs="Arial"/>
          <w:sz w:val="22"/>
          <w:szCs w:val="22"/>
        </w:rPr>
        <w:t xml:space="preserve">dated </w:t>
      </w:r>
      <w:r w:rsidRPr="00383948">
        <w:rPr>
          <w:rFonts w:ascii="Arial" w:hAnsi="Arial" w:cs="Arial"/>
          <w:b/>
          <w:bCs/>
          <w:sz w:val="22"/>
          <w:szCs w:val="22"/>
        </w:rPr>
        <w:t xml:space="preserve">November </w:t>
      </w:r>
      <w:r>
        <w:rPr>
          <w:rFonts w:ascii="Arial" w:hAnsi="Arial" w:cs="Arial"/>
          <w:b/>
          <w:bCs/>
          <w:sz w:val="22"/>
          <w:szCs w:val="22"/>
        </w:rPr>
        <w:t>2</w:t>
      </w:r>
      <w:r w:rsidRPr="00383948">
        <w:rPr>
          <w:rFonts w:ascii="Arial" w:hAnsi="Arial" w:cs="Arial"/>
          <w:b/>
          <w:bCs/>
          <w:sz w:val="22"/>
          <w:szCs w:val="22"/>
        </w:rPr>
        <w:t xml:space="preserve">, 2015 </w:t>
      </w:r>
      <w:r w:rsidRPr="00383948">
        <w:rPr>
          <w:rFonts w:ascii="Arial" w:hAnsi="Arial" w:cs="Arial"/>
          <w:bCs/>
          <w:sz w:val="22"/>
          <w:szCs w:val="22"/>
        </w:rPr>
        <w:t xml:space="preserve">(80 FR </w:t>
      </w:r>
      <w:r>
        <w:rPr>
          <w:rFonts w:ascii="Arial" w:hAnsi="Arial" w:cs="Arial"/>
          <w:bCs/>
          <w:sz w:val="22"/>
          <w:szCs w:val="22"/>
        </w:rPr>
        <w:t>67492</w:t>
      </w:r>
      <w:r w:rsidRPr="00383948">
        <w:rPr>
          <w:rFonts w:ascii="Arial" w:hAnsi="Arial" w:cs="Arial"/>
          <w:bCs/>
          <w:sz w:val="22"/>
          <w:szCs w:val="22"/>
        </w:rPr>
        <w:t>)</w:t>
      </w:r>
      <w:r w:rsidRPr="00383948">
        <w:rPr>
          <w:rFonts w:ascii="Arial" w:hAnsi="Arial" w:cs="Arial"/>
          <w:sz w:val="22"/>
          <w:szCs w:val="22"/>
        </w:rPr>
        <w:t>, we received no comments during the comment period regarding</w:t>
      </w:r>
      <w:r>
        <w:rPr>
          <w:rFonts w:ascii="Arial" w:hAnsi="Arial" w:cs="Arial"/>
          <w:sz w:val="22"/>
          <w:szCs w:val="22"/>
        </w:rPr>
        <w:t xml:space="preserve"> the consumer tipping survey.</w:t>
      </w:r>
    </w:p>
    <w:p w14:paraId="121557EB" w14:textId="77777777" w:rsidR="00EE2ECC" w:rsidRPr="00866803" w:rsidRDefault="00EE2ECC" w:rsidP="00EE2ECC">
      <w:pPr>
        <w:widowControl/>
        <w:overflowPunct/>
        <w:autoSpaceDE/>
        <w:autoSpaceDN/>
        <w:adjustRightInd/>
        <w:textAlignment w:val="auto"/>
        <w:rPr>
          <w:rFonts w:ascii="Arial" w:hAnsi="Arial" w:cs="Arial"/>
          <w:sz w:val="22"/>
          <w:szCs w:val="22"/>
        </w:rPr>
      </w:pPr>
    </w:p>
    <w:p w14:paraId="57DA8240" w14:textId="77777777" w:rsidR="00BC2D0D" w:rsidRPr="00866803" w:rsidRDefault="00EE2ECC" w:rsidP="00BC2D0D">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Payment or Gift</w:t>
      </w:r>
    </w:p>
    <w:p w14:paraId="74C3ADB5" w14:textId="77777777" w:rsidR="00306232" w:rsidRPr="00866803" w:rsidRDefault="00306232" w:rsidP="00BC2D0D">
      <w:pPr>
        <w:widowControl/>
        <w:overflowPunct/>
        <w:autoSpaceDE/>
        <w:autoSpaceDN/>
        <w:adjustRightInd/>
        <w:contextualSpacing/>
        <w:textAlignment w:val="auto"/>
        <w:rPr>
          <w:rFonts w:ascii="Arial" w:hAnsi="Arial" w:cs="Arial"/>
          <w:sz w:val="22"/>
          <w:szCs w:val="22"/>
        </w:rPr>
      </w:pPr>
    </w:p>
    <w:p w14:paraId="11EBFE81" w14:textId="77777777" w:rsidR="00BC2D0D" w:rsidRPr="00866803" w:rsidRDefault="006D30EC" w:rsidP="00BC2D0D">
      <w:pPr>
        <w:widowControl/>
        <w:overflowPunct/>
        <w:autoSpaceDE/>
        <w:autoSpaceDN/>
        <w:adjustRightInd/>
        <w:contextualSpacing/>
        <w:textAlignment w:val="auto"/>
        <w:rPr>
          <w:rFonts w:ascii="Arial" w:hAnsi="Arial" w:cs="Arial"/>
          <w:sz w:val="22"/>
          <w:szCs w:val="22"/>
        </w:rPr>
      </w:pPr>
      <w:r w:rsidRPr="00866803">
        <w:rPr>
          <w:rFonts w:ascii="Arial" w:hAnsi="Arial" w:cs="Arial"/>
          <w:sz w:val="22"/>
          <w:szCs w:val="22"/>
        </w:rPr>
        <w:t>The IRS is not providing payment or gift to survey respondents.</w:t>
      </w:r>
      <w:r w:rsidR="0092353A">
        <w:rPr>
          <w:rFonts w:ascii="Arial" w:hAnsi="Arial" w:cs="Arial"/>
          <w:sz w:val="22"/>
          <w:szCs w:val="22"/>
        </w:rPr>
        <w:t xml:space="preserve"> </w:t>
      </w:r>
      <w:r w:rsidRPr="00866803">
        <w:rPr>
          <w:rFonts w:ascii="Arial" w:hAnsi="Arial" w:cs="Arial"/>
          <w:sz w:val="22"/>
          <w:szCs w:val="22"/>
        </w:rPr>
        <w:t xml:space="preserve">However, the </w:t>
      </w:r>
      <w:r w:rsidR="00DC0489">
        <w:rPr>
          <w:rFonts w:ascii="Arial" w:hAnsi="Arial" w:cs="Arial"/>
          <w:sz w:val="22"/>
          <w:szCs w:val="22"/>
        </w:rPr>
        <w:t>non-probability</w:t>
      </w:r>
      <w:r w:rsidR="00DC0489" w:rsidRPr="00866803">
        <w:rPr>
          <w:rFonts w:ascii="Arial" w:hAnsi="Arial" w:cs="Arial"/>
          <w:sz w:val="22"/>
          <w:szCs w:val="22"/>
        </w:rPr>
        <w:t xml:space="preserve"> </w:t>
      </w:r>
      <w:r w:rsidRPr="00866803">
        <w:rPr>
          <w:rFonts w:ascii="Arial" w:hAnsi="Arial" w:cs="Arial"/>
          <w:sz w:val="22"/>
          <w:szCs w:val="22"/>
        </w:rPr>
        <w:t xml:space="preserve">panel has a reward system set up with their panel members based on their response to any survey administered through </w:t>
      </w:r>
      <w:r w:rsidR="00DC0489">
        <w:rPr>
          <w:rFonts w:ascii="Arial" w:hAnsi="Arial" w:cs="Arial"/>
          <w:sz w:val="22"/>
          <w:szCs w:val="22"/>
        </w:rPr>
        <w:t>the non-probability</w:t>
      </w:r>
      <w:r w:rsidR="00DC0489" w:rsidRPr="00866803" w:rsidDel="00DC0489">
        <w:rPr>
          <w:rFonts w:ascii="Arial" w:hAnsi="Arial" w:cs="Arial"/>
          <w:sz w:val="22"/>
          <w:szCs w:val="22"/>
        </w:rPr>
        <w:t xml:space="preserve"> </w:t>
      </w:r>
      <w:r w:rsidRPr="00866803">
        <w:rPr>
          <w:rFonts w:ascii="Arial" w:hAnsi="Arial" w:cs="Arial"/>
          <w:sz w:val="22"/>
          <w:szCs w:val="22"/>
        </w:rPr>
        <w:t>panel.</w:t>
      </w:r>
      <w:r w:rsidR="004816DF">
        <w:rPr>
          <w:rFonts w:ascii="Arial" w:hAnsi="Arial" w:cs="Arial"/>
          <w:sz w:val="22"/>
          <w:szCs w:val="22"/>
        </w:rPr>
        <w:t xml:space="preserve"> This monetary incentive is equivalent to about $1 for a 10-minute survey.</w:t>
      </w:r>
    </w:p>
    <w:p w14:paraId="258F572F" w14:textId="77777777" w:rsidR="00BC2D0D" w:rsidRPr="00866803" w:rsidRDefault="00BC2D0D" w:rsidP="00BC2D0D">
      <w:pPr>
        <w:widowControl/>
        <w:overflowPunct/>
        <w:autoSpaceDE/>
        <w:autoSpaceDN/>
        <w:adjustRightInd/>
        <w:contextualSpacing/>
        <w:textAlignment w:val="auto"/>
        <w:rPr>
          <w:rFonts w:ascii="Arial" w:hAnsi="Arial" w:cs="Arial"/>
          <w:b/>
          <w:sz w:val="22"/>
          <w:szCs w:val="22"/>
        </w:rPr>
      </w:pPr>
    </w:p>
    <w:p w14:paraId="07106205" w14:textId="77777777" w:rsidR="00EE2ECC" w:rsidRPr="00866803" w:rsidRDefault="00EE2ECC" w:rsidP="00BC2D0D">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Confidentiality</w:t>
      </w:r>
    </w:p>
    <w:p w14:paraId="1A8D1949" w14:textId="77777777" w:rsidR="002C0F72" w:rsidRPr="00866803" w:rsidRDefault="002C0F72" w:rsidP="002C0F72">
      <w:pPr>
        <w:rPr>
          <w:rFonts w:ascii="Arial" w:hAnsi="Arial" w:cs="Arial"/>
          <w:bCs/>
          <w:sz w:val="22"/>
          <w:szCs w:val="22"/>
        </w:rPr>
      </w:pPr>
    </w:p>
    <w:p w14:paraId="320FB33A" w14:textId="77777777" w:rsidR="00915998" w:rsidRPr="00866803" w:rsidRDefault="00915998" w:rsidP="002C0F72">
      <w:pPr>
        <w:rPr>
          <w:rFonts w:ascii="Arial" w:hAnsi="Arial" w:cs="Arial"/>
          <w:sz w:val="22"/>
          <w:szCs w:val="22"/>
        </w:rPr>
      </w:pPr>
      <w:r w:rsidRPr="00866803">
        <w:rPr>
          <w:rFonts w:ascii="Arial" w:hAnsi="Arial" w:cs="Arial"/>
          <w:sz w:val="22"/>
          <w:szCs w:val="22"/>
        </w:rPr>
        <w:t xml:space="preserve">The security of the data used in this project and the privacy of </w:t>
      </w:r>
      <w:r w:rsidR="00797926" w:rsidRPr="00866803">
        <w:rPr>
          <w:rFonts w:ascii="Arial" w:hAnsi="Arial" w:cs="Arial"/>
          <w:sz w:val="22"/>
          <w:szCs w:val="22"/>
        </w:rPr>
        <w:t>survey respondents</w:t>
      </w:r>
      <w:r w:rsidR="00063799" w:rsidRPr="00866803">
        <w:rPr>
          <w:rFonts w:ascii="Arial" w:hAnsi="Arial" w:cs="Arial"/>
          <w:sz w:val="22"/>
          <w:szCs w:val="22"/>
        </w:rPr>
        <w:t xml:space="preserve"> to the extent allowed by the law</w:t>
      </w:r>
      <w:r w:rsidR="00797926" w:rsidRPr="00866803">
        <w:rPr>
          <w:rFonts w:ascii="Arial" w:hAnsi="Arial" w:cs="Arial"/>
          <w:sz w:val="22"/>
          <w:szCs w:val="22"/>
        </w:rPr>
        <w:t xml:space="preserve"> </w:t>
      </w:r>
      <w:r w:rsidRPr="00866803">
        <w:rPr>
          <w:rFonts w:ascii="Arial" w:hAnsi="Arial" w:cs="Arial"/>
          <w:sz w:val="22"/>
          <w:szCs w:val="22"/>
        </w:rPr>
        <w:t xml:space="preserve">will be carefully safeguarded at all times. Security requirements are based on the Computer Security Act of 1987 and Office of Management and Budget Circular A-130, Appendices </w:t>
      </w:r>
      <w:proofErr w:type="gramStart"/>
      <w:r w:rsidRPr="00866803">
        <w:rPr>
          <w:rFonts w:ascii="Arial" w:hAnsi="Arial" w:cs="Arial"/>
          <w:sz w:val="22"/>
          <w:szCs w:val="22"/>
        </w:rPr>
        <w:t>A</w:t>
      </w:r>
      <w:proofErr w:type="gramEnd"/>
      <w:r w:rsidRPr="00866803">
        <w:rPr>
          <w:rFonts w:ascii="Arial" w:hAnsi="Arial" w:cs="Arial"/>
          <w:sz w:val="22"/>
          <w:szCs w:val="22"/>
        </w:rPr>
        <w:t xml:space="preserve"> &amp; B.</w:t>
      </w:r>
      <w:r w:rsidR="0092353A">
        <w:rPr>
          <w:rFonts w:ascii="Arial" w:hAnsi="Arial" w:cs="Arial"/>
          <w:sz w:val="22"/>
          <w:szCs w:val="22"/>
        </w:rPr>
        <w:t xml:space="preserve"> </w:t>
      </w:r>
      <w:r w:rsidRPr="00866803">
        <w:rPr>
          <w:rFonts w:ascii="Arial" w:hAnsi="Arial" w:cs="Arial"/>
          <w:sz w:val="22"/>
          <w:szCs w:val="22"/>
        </w:rPr>
        <w:t>Physical security measures include a locked, secure office.</w:t>
      </w:r>
      <w:r w:rsidR="0092353A">
        <w:rPr>
          <w:rFonts w:ascii="Arial" w:hAnsi="Arial" w:cs="Arial"/>
          <w:sz w:val="22"/>
          <w:szCs w:val="22"/>
        </w:rPr>
        <w:t xml:space="preserve"> </w:t>
      </w:r>
      <w:r w:rsidRPr="00866803">
        <w:rPr>
          <w:rFonts w:ascii="Arial" w:hAnsi="Arial" w:cs="Arial"/>
          <w:sz w:val="22"/>
          <w:szCs w:val="22"/>
        </w:rPr>
        <w:t>Notes are stored in locked cabinets or shredded.</w:t>
      </w:r>
      <w:r w:rsidR="0092353A">
        <w:rPr>
          <w:rFonts w:ascii="Arial" w:hAnsi="Arial" w:cs="Arial"/>
          <w:sz w:val="22"/>
          <w:szCs w:val="22"/>
        </w:rPr>
        <w:t xml:space="preserve"> </w:t>
      </w:r>
    </w:p>
    <w:p w14:paraId="1F5B8A45" w14:textId="77777777" w:rsidR="00915998" w:rsidRPr="00866803" w:rsidRDefault="00915998" w:rsidP="00915998">
      <w:pPr>
        <w:ind w:left="360"/>
        <w:rPr>
          <w:rFonts w:ascii="Arial" w:hAnsi="Arial" w:cs="Arial"/>
          <w:sz w:val="22"/>
          <w:szCs w:val="22"/>
        </w:rPr>
      </w:pPr>
    </w:p>
    <w:p w14:paraId="15D43683" w14:textId="77777777" w:rsidR="00915998" w:rsidRPr="00866803" w:rsidRDefault="00915998" w:rsidP="002C0F72">
      <w:pPr>
        <w:rPr>
          <w:rFonts w:ascii="Arial" w:hAnsi="Arial" w:cs="Arial"/>
          <w:sz w:val="22"/>
          <w:szCs w:val="22"/>
        </w:rPr>
      </w:pPr>
      <w:r w:rsidRPr="00866803">
        <w:rPr>
          <w:rFonts w:ascii="Arial" w:hAnsi="Arial" w:cs="Arial"/>
          <w:sz w:val="22"/>
          <w:szCs w:val="22"/>
        </w:rPr>
        <w:t xml:space="preserve">The IRS will apply and meet fair information and record-keeping practices to ensure privacy protection of all </w:t>
      </w:r>
      <w:r w:rsidR="00AE4623" w:rsidRPr="00866803">
        <w:rPr>
          <w:rFonts w:ascii="Arial" w:hAnsi="Arial" w:cs="Arial"/>
          <w:sz w:val="22"/>
          <w:szCs w:val="22"/>
        </w:rPr>
        <w:t xml:space="preserve">respondents </w:t>
      </w:r>
      <w:r w:rsidR="00FF78BA" w:rsidRPr="00866803">
        <w:rPr>
          <w:rFonts w:ascii="Arial" w:hAnsi="Arial" w:cs="Arial"/>
          <w:sz w:val="22"/>
          <w:szCs w:val="22"/>
        </w:rPr>
        <w:t>to the extent allowed by law</w:t>
      </w:r>
      <w:r w:rsidRPr="00866803">
        <w:rPr>
          <w:rFonts w:ascii="Arial" w:hAnsi="Arial" w:cs="Arial"/>
          <w:sz w:val="22"/>
          <w:szCs w:val="22"/>
        </w:rPr>
        <w:t>.</w:t>
      </w:r>
      <w:r w:rsidR="0092353A">
        <w:rPr>
          <w:rFonts w:ascii="Arial" w:hAnsi="Arial" w:cs="Arial"/>
          <w:sz w:val="22"/>
          <w:szCs w:val="22"/>
        </w:rPr>
        <w:t xml:space="preserve"> </w:t>
      </w:r>
      <w:r w:rsidRPr="00866803">
        <w:rPr>
          <w:rFonts w:ascii="Arial" w:hAnsi="Arial" w:cs="Arial"/>
          <w:sz w:val="22"/>
          <w:szCs w:val="22"/>
        </w:rPr>
        <w:t>This includes criteria for disclosure</w:t>
      </w:r>
      <w:r w:rsidR="00D540D6">
        <w:rPr>
          <w:rFonts w:ascii="Arial" w:hAnsi="Arial" w:cs="Arial"/>
          <w:sz w:val="22"/>
          <w:szCs w:val="22"/>
        </w:rPr>
        <w:t xml:space="preserve"> - </w:t>
      </w:r>
      <w:r w:rsidRPr="00866803">
        <w:rPr>
          <w:rFonts w:ascii="Arial" w:hAnsi="Arial" w:cs="Arial"/>
          <w:sz w:val="22"/>
          <w:szCs w:val="22"/>
        </w:rPr>
        <w:t>laid out in the Privacy Act of 1974, the Freedom of Information Act, and Section 6103 of the Internal Revenue Code</w:t>
      </w:r>
      <w:r w:rsidR="00D540D6">
        <w:rPr>
          <w:rFonts w:ascii="Arial" w:hAnsi="Arial" w:cs="Arial"/>
          <w:sz w:val="22"/>
          <w:szCs w:val="22"/>
        </w:rPr>
        <w:t xml:space="preserve"> - </w:t>
      </w:r>
      <w:r w:rsidRPr="00866803">
        <w:rPr>
          <w:rFonts w:ascii="Arial" w:hAnsi="Arial" w:cs="Arial"/>
          <w:sz w:val="22"/>
          <w:szCs w:val="22"/>
        </w:rPr>
        <w:t xml:space="preserve">all of which provide for the protection of </w:t>
      </w:r>
      <w:r w:rsidR="00AE4623" w:rsidRPr="00866803">
        <w:rPr>
          <w:rFonts w:ascii="Arial" w:hAnsi="Arial" w:cs="Arial"/>
          <w:sz w:val="22"/>
          <w:szCs w:val="22"/>
        </w:rPr>
        <w:t xml:space="preserve">respondent </w:t>
      </w:r>
      <w:r w:rsidRPr="00866803">
        <w:rPr>
          <w:rFonts w:ascii="Arial" w:hAnsi="Arial" w:cs="Arial"/>
          <w:sz w:val="22"/>
          <w:szCs w:val="22"/>
        </w:rPr>
        <w:t xml:space="preserve">information as well as its release to authorized recipients. </w:t>
      </w:r>
    </w:p>
    <w:p w14:paraId="093BF0F9" w14:textId="77777777" w:rsidR="00915998" w:rsidRPr="00866803" w:rsidRDefault="00915998" w:rsidP="00915998">
      <w:pPr>
        <w:ind w:left="360"/>
        <w:rPr>
          <w:rFonts w:ascii="Arial" w:hAnsi="Arial" w:cs="Arial"/>
          <w:sz w:val="22"/>
          <w:szCs w:val="22"/>
        </w:rPr>
      </w:pPr>
    </w:p>
    <w:p w14:paraId="5B982878" w14:textId="77777777" w:rsidR="00CE693A" w:rsidRPr="00866803" w:rsidRDefault="00915998" w:rsidP="00CE693A">
      <w:pPr>
        <w:rPr>
          <w:rFonts w:ascii="Arial" w:hAnsi="Arial" w:cs="Arial"/>
          <w:sz w:val="22"/>
          <w:szCs w:val="22"/>
        </w:rPr>
      </w:pPr>
      <w:r w:rsidRPr="00866803">
        <w:rPr>
          <w:rFonts w:ascii="Arial" w:hAnsi="Arial" w:cs="Arial"/>
          <w:sz w:val="22"/>
          <w:szCs w:val="22"/>
        </w:rPr>
        <w:t xml:space="preserve">The survey data will not contain any </w:t>
      </w:r>
      <w:r w:rsidR="00AE4623" w:rsidRPr="00866803">
        <w:rPr>
          <w:rFonts w:ascii="Arial" w:hAnsi="Arial" w:cs="Arial"/>
          <w:sz w:val="22"/>
          <w:szCs w:val="22"/>
        </w:rPr>
        <w:t xml:space="preserve">respondent </w:t>
      </w:r>
      <w:r w:rsidRPr="00866803">
        <w:rPr>
          <w:rFonts w:ascii="Arial" w:hAnsi="Arial" w:cs="Arial"/>
          <w:sz w:val="22"/>
          <w:szCs w:val="22"/>
        </w:rPr>
        <w:t>names, Social Security Numbers, or Taxpayer Identification Numbers.</w:t>
      </w:r>
      <w:r w:rsidR="0092353A">
        <w:rPr>
          <w:rFonts w:ascii="Arial" w:hAnsi="Arial" w:cs="Arial"/>
          <w:sz w:val="22"/>
          <w:szCs w:val="22"/>
        </w:rPr>
        <w:t xml:space="preserve"> </w:t>
      </w:r>
      <w:r w:rsidRPr="00866803">
        <w:rPr>
          <w:rFonts w:ascii="Arial" w:hAnsi="Arial" w:cs="Arial"/>
          <w:sz w:val="22"/>
          <w:szCs w:val="22"/>
        </w:rPr>
        <w:t>Participants will not be identified in any of the documents or files used for this project.</w:t>
      </w:r>
      <w:r w:rsidR="0092353A">
        <w:rPr>
          <w:rFonts w:ascii="Arial" w:hAnsi="Arial" w:cs="Arial"/>
          <w:sz w:val="22"/>
          <w:szCs w:val="22"/>
        </w:rPr>
        <w:t xml:space="preserve"> </w:t>
      </w:r>
      <w:r w:rsidR="0069440C" w:rsidRPr="00866803">
        <w:rPr>
          <w:rFonts w:ascii="Arial" w:hAnsi="Arial" w:cs="Arial"/>
          <w:sz w:val="22"/>
          <w:szCs w:val="22"/>
        </w:rPr>
        <w:t>FMG</w:t>
      </w:r>
      <w:r w:rsidRPr="00866803">
        <w:rPr>
          <w:rFonts w:ascii="Arial" w:hAnsi="Arial" w:cs="Arial"/>
          <w:sz w:val="22"/>
          <w:szCs w:val="22"/>
        </w:rPr>
        <w:t xml:space="preserve"> will limit and control the amount of information </w:t>
      </w:r>
      <w:r w:rsidR="0089409B">
        <w:rPr>
          <w:rFonts w:ascii="Arial" w:hAnsi="Arial" w:cs="Arial"/>
          <w:sz w:val="22"/>
          <w:szCs w:val="22"/>
        </w:rPr>
        <w:t xml:space="preserve">they </w:t>
      </w:r>
      <w:r w:rsidRPr="00866803">
        <w:rPr>
          <w:rFonts w:ascii="Arial" w:hAnsi="Arial" w:cs="Arial"/>
          <w:sz w:val="22"/>
          <w:szCs w:val="22"/>
        </w:rPr>
        <w:t>collect to those items that are necessary to accomplish the research questions.</w:t>
      </w:r>
      <w:r w:rsidR="0092353A">
        <w:rPr>
          <w:rFonts w:ascii="Arial" w:hAnsi="Arial" w:cs="Arial"/>
          <w:sz w:val="22"/>
          <w:szCs w:val="22"/>
        </w:rPr>
        <w:t xml:space="preserve"> </w:t>
      </w:r>
      <w:r w:rsidR="0069440C" w:rsidRPr="00866803">
        <w:rPr>
          <w:rFonts w:ascii="Arial" w:hAnsi="Arial" w:cs="Arial"/>
          <w:sz w:val="22"/>
          <w:szCs w:val="22"/>
        </w:rPr>
        <w:t>FMG</w:t>
      </w:r>
      <w:r w:rsidRPr="00866803">
        <w:rPr>
          <w:rFonts w:ascii="Arial" w:hAnsi="Arial" w:cs="Arial"/>
          <w:sz w:val="22"/>
          <w:szCs w:val="22"/>
        </w:rPr>
        <w:t xml:space="preserve"> will carefully safeguard the security of data utilized as well as the privacy of the survey respondents</w:t>
      </w:r>
      <w:r w:rsidR="003167C7" w:rsidRPr="00866803">
        <w:rPr>
          <w:rFonts w:ascii="Arial" w:hAnsi="Arial" w:cs="Arial"/>
          <w:sz w:val="22"/>
          <w:szCs w:val="22"/>
        </w:rPr>
        <w:t xml:space="preserve"> to the extent allowed by law</w:t>
      </w:r>
      <w:r w:rsidRPr="00866803">
        <w:rPr>
          <w:rFonts w:ascii="Arial" w:hAnsi="Arial" w:cs="Arial"/>
          <w:sz w:val="22"/>
          <w:szCs w:val="22"/>
        </w:rPr>
        <w:t>.</w:t>
      </w:r>
      <w:r w:rsidR="0092353A">
        <w:rPr>
          <w:rFonts w:ascii="Arial" w:hAnsi="Arial" w:cs="Arial"/>
          <w:sz w:val="22"/>
          <w:szCs w:val="22"/>
        </w:rPr>
        <w:t xml:space="preserve"> </w:t>
      </w:r>
      <w:r w:rsidR="0069440C" w:rsidRPr="00866803">
        <w:rPr>
          <w:rFonts w:ascii="Arial" w:hAnsi="Arial" w:cs="Arial"/>
          <w:sz w:val="22"/>
          <w:szCs w:val="22"/>
        </w:rPr>
        <w:t>FMG</w:t>
      </w:r>
      <w:r w:rsidRPr="00866803">
        <w:rPr>
          <w:rFonts w:ascii="Arial" w:hAnsi="Arial" w:cs="Arial"/>
          <w:sz w:val="22"/>
          <w:szCs w:val="22"/>
        </w:rPr>
        <w:t xml:space="preserve"> will apply the fair information and record-keeping practices to ensure protection of all </w:t>
      </w:r>
      <w:r w:rsidRPr="00866803">
        <w:rPr>
          <w:rFonts w:ascii="Arial" w:hAnsi="Arial" w:cs="Arial"/>
          <w:sz w:val="22"/>
          <w:szCs w:val="22"/>
        </w:rPr>
        <w:lastRenderedPageBreak/>
        <w:t>survey respondents. The criterion for disclosure laid out in the Privacy Act, the Freedom of Information Act, and section 6103 of the Internal Revenue Code provides for the protection of information as well as its releases to authorized recipients.</w:t>
      </w:r>
      <w:r w:rsidR="00CE693A" w:rsidRPr="00866803">
        <w:rPr>
          <w:rFonts w:ascii="Arial" w:hAnsi="Arial" w:cs="Arial"/>
          <w:sz w:val="22"/>
          <w:szCs w:val="22"/>
        </w:rPr>
        <w:t xml:space="preserve"> </w:t>
      </w:r>
    </w:p>
    <w:p w14:paraId="77555D48" w14:textId="77777777" w:rsidR="00CE693A" w:rsidRPr="00866803" w:rsidRDefault="00CE693A" w:rsidP="00CE693A">
      <w:pPr>
        <w:rPr>
          <w:rFonts w:ascii="Arial" w:hAnsi="Arial" w:cs="Arial"/>
          <w:sz w:val="22"/>
          <w:szCs w:val="22"/>
        </w:rPr>
      </w:pPr>
    </w:p>
    <w:p w14:paraId="20E87D42" w14:textId="77777777" w:rsidR="009E0BBA" w:rsidRPr="00866803" w:rsidRDefault="00CE693A" w:rsidP="00CE693A">
      <w:pPr>
        <w:rPr>
          <w:rFonts w:ascii="Arial" w:hAnsi="Arial" w:cs="Arial"/>
          <w:sz w:val="22"/>
          <w:szCs w:val="22"/>
        </w:rPr>
      </w:pPr>
      <w:r w:rsidRPr="00866803">
        <w:rPr>
          <w:rFonts w:ascii="Arial" w:hAnsi="Arial" w:cs="Arial"/>
          <w:sz w:val="22"/>
          <w:szCs w:val="22"/>
        </w:rPr>
        <w:t>The survey will be administered electronically; however there are no cookies involved. Survey participants will be provided a link/web address via a secure website. Transmission to/from the secure website for the survey will be encrypted.</w:t>
      </w:r>
    </w:p>
    <w:p w14:paraId="121A083F" w14:textId="77777777" w:rsidR="009E0BBA" w:rsidRPr="00866803" w:rsidRDefault="009E0BBA" w:rsidP="00CE693A">
      <w:pPr>
        <w:rPr>
          <w:rFonts w:ascii="Arial" w:hAnsi="Arial" w:cs="Arial"/>
          <w:sz w:val="22"/>
          <w:szCs w:val="22"/>
        </w:rPr>
      </w:pPr>
    </w:p>
    <w:p w14:paraId="0BBB265E" w14:textId="77777777" w:rsidR="00EB3E97" w:rsidRPr="00023A27" w:rsidRDefault="00DC0489" w:rsidP="00EB3E97">
      <w:pPr>
        <w:pStyle w:val="PlainText"/>
        <w:rPr>
          <w:rFonts w:ascii="Arial" w:hAnsi="Arial" w:cs="Arial"/>
        </w:rPr>
      </w:pPr>
      <w:r>
        <w:rPr>
          <w:rFonts w:ascii="Arial" w:hAnsi="Arial" w:cs="Arial"/>
        </w:rPr>
        <w:t xml:space="preserve">The non-probability panel </w:t>
      </w:r>
      <w:r w:rsidR="00997BA9">
        <w:rPr>
          <w:rFonts w:ascii="Arial" w:hAnsi="Arial" w:cs="Arial"/>
        </w:rPr>
        <w:t>has a</w:t>
      </w:r>
      <w:r w:rsidR="00EB3E97" w:rsidRPr="00023A27">
        <w:rPr>
          <w:rFonts w:ascii="Arial" w:hAnsi="Arial" w:cs="Arial"/>
        </w:rPr>
        <w:t xml:space="preserve"> privacy polic</w:t>
      </w:r>
      <w:r w:rsidR="00997BA9">
        <w:rPr>
          <w:rFonts w:ascii="Arial" w:hAnsi="Arial" w:cs="Arial"/>
        </w:rPr>
        <w:t>y</w:t>
      </w:r>
      <w:r w:rsidR="00EB3E97" w:rsidRPr="00023A27">
        <w:rPr>
          <w:rFonts w:ascii="Arial" w:hAnsi="Arial" w:cs="Arial"/>
        </w:rPr>
        <w:t xml:space="preserve"> for their members to explain when and how any personal information can be shared, either for client use or as required by law.</w:t>
      </w:r>
      <w:r w:rsidR="0092353A">
        <w:rPr>
          <w:rFonts w:ascii="Arial" w:hAnsi="Arial" w:cs="Arial"/>
        </w:rPr>
        <w:t xml:space="preserve"> </w:t>
      </w:r>
      <w:r w:rsidR="00997BA9">
        <w:rPr>
          <w:rFonts w:ascii="Arial" w:hAnsi="Arial" w:cs="Arial"/>
        </w:rPr>
        <w:t xml:space="preserve">The </w:t>
      </w:r>
      <w:r w:rsidR="00EB3E97" w:rsidRPr="00023A27">
        <w:rPr>
          <w:rFonts w:ascii="Arial" w:hAnsi="Arial" w:cs="Arial"/>
        </w:rPr>
        <w:t>privacy polic</w:t>
      </w:r>
      <w:r w:rsidR="00997BA9">
        <w:rPr>
          <w:rFonts w:ascii="Arial" w:hAnsi="Arial" w:cs="Arial"/>
        </w:rPr>
        <w:t>y</w:t>
      </w:r>
      <w:r w:rsidR="00EB3E97" w:rsidRPr="00023A27">
        <w:rPr>
          <w:rFonts w:ascii="Arial" w:hAnsi="Arial" w:cs="Arial"/>
        </w:rPr>
        <w:t xml:space="preserve"> can be viewed in full </w:t>
      </w:r>
      <w:r w:rsidR="00997BA9">
        <w:rPr>
          <w:rFonts w:ascii="Arial" w:hAnsi="Arial" w:cs="Arial"/>
        </w:rPr>
        <w:t>detail at the location below</w:t>
      </w:r>
      <w:r w:rsidR="00EB3E97" w:rsidRPr="00023A27">
        <w:rPr>
          <w:rFonts w:ascii="Arial" w:hAnsi="Arial" w:cs="Arial"/>
        </w:rPr>
        <w:t>:</w:t>
      </w:r>
    </w:p>
    <w:p w14:paraId="25BB9095" w14:textId="77777777" w:rsidR="009A51BE" w:rsidRPr="00866803" w:rsidRDefault="009A51BE" w:rsidP="00CE693A">
      <w:pPr>
        <w:rPr>
          <w:rFonts w:ascii="Arial" w:hAnsi="Arial" w:cs="Arial"/>
          <w:sz w:val="22"/>
          <w:szCs w:val="22"/>
        </w:rPr>
      </w:pPr>
    </w:p>
    <w:p w14:paraId="27A672F5" w14:textId="77777777" w:rsidR="009A51BE" w:rsidRPr="00866803" w:rsidRDefault="00A05E9C" w:rsidP="009A51BE">
      <w:pPr>
        <w:pStyle w:val="PlainText"/>
        <w:rPr>
          <w:rFonts w:ascii="Arial" w:hAnsi="Arial" w:cs="Arial"/>
        </w:rPr>
      </w:pPr>
      <w:hyperlink r:id="rId9" w:history="1">
        <w:r w:rsidR="009D1DEE" w:rsidRPr="004F30CF">
          <w:rPr>
            <w:rStyle w:val="Hyperlink"/>
            <w:rFonts w:ascii="Arial" w:hAnsi="Arial" w:cs="Arial"/>
            <w:sz w:val="22"/>
          </w:rPr>
          <w:t>http://www.i-say.com/Footerlinks/PrivacyPolicy/tabid/282/language/en-US/Default.aspx</w:t>
        </w:r>
      </w:hyperlink>
      <w:r w:rsidR="009D1DEE">
        <w:rPr>
          <w:rFonts w:ascii="Arial" w:hAnsi="Arial" w:cs="Arial"/>
        </w:rPr>
        <w:t>.</w:t>
      </w:r>
      <w:r w:rsidR="0092353A">
        <w:rPr>
          <w:rFonts w:ascii="Arial" w:hAnsi="Arial" w:cs="Arial"/>
        </w:rPr>
        <w:t xml:space="preserve"> </w:t>
      </w:r>
    </w:p>
    <w:p w14:paraId="3794D7C7" w14:textId="77777777" w:rsidR="00330F43" w:rsidRPr="00866803" w:rsidRDefault="00330F43" w:rsidP="00915998">
      <w:pPr>
        <w:ind w:left="360"/>
        <w:rPr>
          <w:rFonts w:ascii="Arial" w:hAnsi="Arial" w:cs="Arial"/>
          <w:sz w:val="22"/>
          <w:szCs w:val="22"/>
        </w:rPr>
      </w:pPr>
    </w:p>
    <w:p w14:paraId="6426BEAA" w14:textId="77777777" w:rsidR="00330F43" w:rsidRPr="00866803"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Sensitive Nature</w:t>
      </w:r>
    </w:p>
    <w:p w14:paraId="3D6D63A3" w14:textId="77777777" w:rsidR="00330F43" w:rsidRPr="00866803" w:rsidRDefault="00330F43" w:rsidP="00330F43">
      <w:pPr>
        <w:widowControl/>
        <w:overflowPunct/>
        <w:autoSpaceDE/>
        <w:autoSpaceDN/>
        <w:adjustRightInd/>
        <w:textAlignment w:val="auto"/>
        <w:rPr>
          <w:rFonts w:ascii="Arial" w:hAnsi="Arial" w:cs="Arial"/>
          <w:sz w:val="22"/>
          <w:szCs w:val="22"/>
        </w:rPr>
      </w:pPr>
    </w:p>
    <w:p w14:paraId="289442ED" w14:textId="77777777" w:rsidR="00330F43" w:rsidRPr="00866803" w:rsidRDefault="00330F43" w:rsidP="00330F43">
      <w:pPr>
        <w:widowControl/>
        <w:overflowPunct/>
        <w:autoSpaceDE/>
        <w:autoSpaceDN/>
        <w:adjustRightInd/>
        <w:textAlignment w:val="auto"/>
        <w:rPr>
          <w:rFonts w:ascii="Arial" w:hAnsi="Arial" w:cs="Arial"/>
          <w:sz w:val="22"/>
          <w:szCs w:val="22"/>
        </w:rPr>
      </w:pPr>
      <w:r w:rsidRPr="00866803">
        <w:rPr>
          <w:rFonts w:ascii="Arial" w:hAnsi="Arial" w:cs="Arial"/>
          <w:sz w:val="22"/>
          <w:szCs w:val="22"/>
        </w:rPr>
        <w:t>No questions will be asked that are of a personal or sensitive nature.</w:t>
      </w:r>
    </w:p>
    <w:p w14:paraId="5AD8485A" w14:textId="77777777" w:rsidR="00330F43" w:rsidRPr="00866803" w:rsidRDefault="00330F43" w:rsidP="00330F43">
      <w:pPr>
        <w:widowControl/>
        <w:overflowPunct/>
        <w:autoSpaceDE/>
        <w:autoSpaceDN/>
        <w:adjustRightInd/>
        <w:textAlignment w:val="auto"/>
        <w:rPr>
          <w:rFonts w:ascii="Arial" w:hAnsi="Arial" w:cs="Arial"/>
          <w:sz w:val="22"/>
          <w:szCs w:val="22"/>
        </w:rPr>
      </w:pPr>
    </w:p>
    <w:p w14:paraId="365C7EC3" w14:textId="77777777" w:rsidR="00330F43" w:rsidRPr="00866803" w:rsidRDefault="00330F43" w:rsidP="00330F43">
      <w:pPr>
        <w:widowControl/>
        <w:numPr>
          <w:ilvl w:val="0"/>
          <w:numId w:val="26"/>
        </w:numPr>
        <w:overflowPunct/>
        <w:autoSpaceDE/>
        <w:autoSpaceDN/>
        <w:adjustRightInd/>
        <w:ind w:left="0"/>
        <w:contextualSpacing/>
        <w:textAlignment w:val="auto"/>
        <w:rPr>
          <w:rFonts w:ascii="Arial" w:hAnsi="Arial" w:cs="Arial"/>
          <w:sz w:val="22"/>
          <w:szCs w:val="22"/>
        </w:rPr>
      </w:pPr>
      <w:r w:rsidRPr="00866803">
        <w:rPr>
          <w:rFonts w:ascii="Arial" w:hAnsi="Arial" w:cs="Arial"/>
          <w:b/>
          <w:sz w:val="22"/>
          <w:szCs w:val="22"/>
        </w:rPr>
        <w:t>Burden of Information Collection</w:t>
      </w:r>
    </w:p>
    <w:p w14:paraId="1577BF0E" w14:textId="77777777" w:rsidR="00330F43" w:rsidRPr="00866803" w:rsidRDefault="00330F43" w:rsidP="00330F43">
      <w:pPr>
        <w:rPr>
          <w:rFonts w:ascii="Arial" w:hAnsi="Arial" w:cs="Arial"/>
          <w:sz w:val="22"/>
          <w:szCs w:val="22"/>
        </w:rPr>
      </w:pPr>
    </w:p>
    <w:p w14:paraId="2DE9491D" w14:textId="77777777" w:rsidR="0075529F" w:rsidRDefault="004631B2" w:rsidP="00330F43">
      <w:pPr>
        <w:rPr>
          <w:rFonts w:ascii="Arial" w:hAnsi="Arial" w:cs="Arial"/>
          <w:sz w:val="22"/>
          <w:szCs w:val="22"/>
        </w:rPr>
      </w:pPr>
      <w:r>
        <w:rPr>
          <w:rFonts w:ascii="Arial" w:hAnsi="Arial" w:cs="Arial"/>
          <w:sz w:val="22"/>
          <w:szCs w:val="22"/>
        </w:rPr>
        <w:t>IRS will attempt to obtain 18,000</w:t>
      </w:r>
      <w:r w:rsidR="00AA4B68" w:rsidRPr="00866803">
        <w:rPr>
          <w:rFonts w:ascii="Arial" w:hAnsi="Arial" w:cs="Arial"/>
          <w:sz w:val="22"/>
          <w:szCs w:val="22"/>
        </w:rPr>
        <w:t xml:space="preserve"> complete surveys</w:t>
      </w:r>
      <w:r>
        <w:rPr>
          <w:rFonts w:ascii="Arial" w:hAnsi="Arial" w:cs="Arial"/>
          <w:sz w:val="22"/>
          <w:szCs w:val="22"/>
        </w:rPr>
        <w:t xml:space="preserve"> with a</w:t>
      </w:r>
      <w:r w:rsidR="0089409B">
        <w:rPr>
          <w:rFonts w:ascii="Arial" w:hAnsi="Arial" w:cs="Arial"/>
          <w:sz w:val="22"/>
          <w:szCs w:val="22"/>
        </w:rPr>
        <w:t>t least one</w:t>
      </w:r>
      <w:r>
        <w:rPr>
          <w:rFonts w:ascii="Arial" w:hAnsi="Arial" w:cs="Arial"/>
          <w:sz w:val="22"/>
          <w:szCs w:val="22"/>
        </w:rPr>
        <w:t xml:space="preserve"> tipped service transaction</w:t>
      </w:r>
      <w:r w:rsidR="00F5218A" w:rsidRPr="00866803">
        <w:rPr>
          <w:rFonts w:ascii="Arial" w:hAnsi="Arial" w:cs="Arial"/>
          <w:sz w:val="22"/>
          <w:szCs w:val="22"/>
        </w:rPr>
        <w:t>.</w:t>
      </w:r>
      <w:r w:rsidR="0092353A">
        <w:rPr>
          <w:rFonts w:ascii="Arial" w:hAnsi="Arial" w:cs="Arial"/>
          <w:sz w:val="22"/>
          <w:szCs w:val="22"/>
        </w:rPr>
        <w:t xml:space="preserve"> </w:t>
      </w:r>
      <w:r w:rsidR="000B1E8E" w:rsidRPr="00866803">
        <w:rPr>
          <w:rFonts w:ascii="Arial" w:hAnsi="Arial" w:cs="Arial"/>
          <w:sz w:val="22"/>
          <w:szCs w:val="22"/>
        </w:rPr>
        <w:t>Burden hours</w:t>
      </w:r>
      <w:r w:rsidR="004B0361" w:rsidRPr="00866803">
        <w:rPr>
          <w:rFonts w:ascii="Arial" w:hAnsi="Arial" w:cs="Arial"/>
          <w:sz w:val="22"/>
          <w:szCs w:val="22"/>
        </w:rPr>
        <w:t xml:space="preserve"> were calculated using a 13% </w:t>
      </w:r>
      <w:r w:rsidR="000B1E8E" w:rsidRPr="00866803">
        <w:rPr>
          <w:rFonts w:ascii="Arial" w:hAnsi="Arial" w:cs="Arial"/>
          <w:sz w:val="22"/>
          <w:szCs w:val="22"/>
        </w:rPr>
        <w:t xml:space="preserve">completion rate </w:t>
      </w:r>
      <w:r w:rsidR="00BA68C1" w:rsidRPr="00866803">
        <w:rPr>
          <w:rFonts w:ascii="Arial" w:hAnsi="Arial" w:cs="Arial"/>
          <w:sz w:val="22"/>
          <w:szCs w:val="22"/>
        </w:rPr>
        <w:t>estimate</w:t>
      </w:r>
      <w:r w:rsidR="004B0361" w:rsidRPr="00866803">
        <w:rPr>
          <w:rFonts w:ascii="Arial" w:hAnsi="Arial" w:cs="Arial"/>
          <w:sz w:val="22"/>
          <w:szCs w:val="22"/>
        </w:rPr>
        <w:t>.</w:t>
      </w:r>
      <w:r w:rsidR="0092353A">
        <w:rPr>
          <w:rFonts w:ascii="Arial" w:hAnsi="Arial" w:cs="Arial"/>
          <w:sz w:val="22"/>
          <w:szCs w:val="22"/>
        </w:rPr>
        <w:t xml:space="preserve"> </w:t>
      </w:r>
      <w:r w:rsidR="00DD4D9C" w:rsidRPr="00C37516">
        <w:rPr>
          <w:rFonts w:ascii="Arial" w:hAnsi="Arial" w:cs="Arial"/>
          <w:sz w:val="22"/>
          <w:szCs w:val="22"/>
        </w:rPr>
        <w:t xml:space="preserve">The expected completion rate for the </w:t>
      </w:r>
      <w:r w:rsidR="00DC0489">
        <w:rPr>
          <w:rFonts w:ascii="Arial" w:hAnsi="Arial" w:cs="Arial"/>
          <w:sz w:val="22"/>
          <w:szCs w:val="22"/>
        </w:rPr>
        <w:t>non-probability</w:t>
      </w:r>
      <w:r w:rsidR="00DC0489" w:rsidRPr="00C37516">
        <w:rPr>
          <w:rFonts w:ascii="Arial" w:hAnsi="Arial" w:cs="Arial"/>
          <w:sz w:val="22"/>
          <w:szCs w:val="22"/>
        </w:rPr>
        <w:t xml:space="preserve"> </w:t>
      </w:r>
      <w:r w:rsidR="00DD4D9C" w:rsidRPr="00C37516">
        <w:rPr>
          <w:rFonts w:ascii="Arial" w:hAnsi="Arial" w:cs="Arial"/>
          <w:sz w:val="22"/>
          <w:szCs w:val="22"/>
        </w:rPr>
        <w:t>sample is 13%.</w:t>
      </w:r>
      <w:r w:rsidR="0092353A">
        <w:rPr>
          <w:rFonts w:ascii="Arial" w:hAnsi="Arial" w:cs="Arial"/>
          <w:sz w:val="22"/>
          <w:szCs w:val="22"/>
        </w:rPr>
        <w:t xml:space="preserve"> </w:t>
      </w:r>
      <w:r w:rsidR="00DD4D9C" w:rsidRPr="00C37516">
        <w:rPr>
          <w:rFonts w:ascii="Arial" w:hAnsi="Arial" w:cs="Arial"/>
          <w:sz w:val="22"/>
          <w:szCs w:val="22"/>
        </w:rPr>
        <w:t xml:space="preserve">This is based on the completion rate for the 2012 survey concerning the </w:t>
      </w:r>
      <w:r w:rsidR="00DD4D9C">
        <w:rPr>
          <w:rFonts w:ascii="Arial" w:hAnsi="Arial" w:cs="Arial"/>
          <w:sz w:val="22"/>
          <w:szCs w:val="22"/>
        </w:rPr>
        <w:t>previous</w:t>
      </w:r>
      <w:r w:rsidR="00DD4D9C" w:rsidRPr="00C37516">
        <w:rPr>
          <w:rFonts w:ascii="Arial" w:hAnsi="Arial" w:cs="Arial"/>
          <w:sz w:val="22"/>
          <w:szCs w:val="22"/>
        </w:rPr>
        <w:t xml:space="preserve"> Presidential election.</w:t>
      </w:r>
      <w:r w:rsidR="0092353A">
        <w:rPr>
          <w:rFonts w:ascii="Arial" w:hAnsi="Arial" w:cs="Arial"/>
          <w:sz w:val="22"/>
          <w:szCs w:val="22"/>
        </w:rPr>
        <w:t xml:space="preserve"> </w:t>
      </w:r>
      <w:r w:rsidR="00A435C2">
        <w:rPr>
          <w:rFonts w:ascii="Arial" w:hAnsi="Arial" w:cs="Arial"/>
          <w:sz w:val="22"/>
          <w:szCs w:val="22"/>
        </w:rPr>
        <w:t>The IRS Office of Research</w:t>
      </w:r>
      <w:r w:rsidR="00827992" w:rsidRPr="00866803">
        <w:rPr>
          <w:rFonts w:ascii="Arial" w:hAnsi="Arial" w:cs="Arial"/>
          <w:sz w:val="22"/>
          <w:szCs w:val="22"/>
        </w:rPr>
        <w:t xml:space="preserve"> estimates that the total burden hours for this project </w:t>
      </w:r>
      <w:r w:rsidR="00827992" w:rsidRPr="00997BA9">
        <w:rPr>
          <w:rFonts w:ascii="Arial" w:hAnsi="Arial" w:cs="Arial"/>
          <w:sz w:val="22"/>
          <w:szCs w:val="22"/>
        </w:rPr>
        <w:t>come to</w:t>
      </w:r>
      <w:r w:rsidR="00FF78BA" w:rsidRPr="00997BA9">
        <w:rPr>
          <w:rFonts w:ascii="Arial" w:hAnsi="Arial" w:cs="Arial"/>
          <w:sz w:val="22"/>
          <w:szCs w:val="22"/>
        </w:rPr>
        <w:t xml:space="preserve"> </w:t>
      </w:r>
      <w:r w:rsidR="00D367C3" w:rsidRPr="00997BA9">
        <w:rPr>
          <w:rFonts w:ascii="Arial" w:hAnsi="Arial" w:cs="Arial"/>
          <w:sz w:val="22"/>
          <w:szCs w:val="22"/>
        </w:rPr>
        <w:t>1</w:t>
      </w:r>
      <w:r w:rsidR="00997BA9" w:rsidRPr="00997BA9">
        <w:rPr>
          <w:rFonts w:ascii="Arial" w:hAnsi="Arial" w:cs="Arial"/>
          <w:sz w:val="22"/>
          <w:szCs w:val="22"/>
        </w:rPr>
        <w:t>1</w:t>
      </w:r>
      <w:r w:rsidR="00D367C3" w:rsidRPr="00997BA9">
        <w:rPr>
          <w:rFonts w:ascii="Arial" w:hAnsi="Arial" w:cs="Arial"/>
          <w:sz w:val="22"/>
          <w:szCs w:val="22"/>
        </w:rPr>
        <w:t>,1</w:t>
      </w:r>
      <w:r w:rsidR="00CC138A">
        <w:rPr>
          <w:rFonts w:ascii="Arial" w:hAnsi="Arial" w:cs="Arial"/>
          <w:sz w:val="22"/>
          <w:szCs w:val="22"/>
        </w:rPr>
        <w:t>44</w:t>
      </w:r>
      <w:r w:rsidR="00EA315E" w:rsidRPr="00997BA9">
        <w:rPr>
          <w:rFonts w:ascii="Arial" w:hAnsi="Arial" w:cs="Arial"/>
          <w:sz w:val="22"/>
          <w:szCs w:val="22"/>
        </w:rPr>
        <w:t xml:space="preserve"> </w:t>
      </w:r>
      <w:r w:rsidR="008961AA" w:rsidRPr="00997BA9">
        <w:rPr>
          <w:rFonts w:ascii="Arial" w:hAnsi="Arial" w:cs="Arial"/>
          <w:sz w:val="22"/>
          <w:szCs w:val="22"/>
        </w:rPr>
        <w:t>hours</w:t>
      </w:r>
      <w:r w:rsidR="00827992" w:rsidRPr="00997BA9">
        <w:rPr>
          <w:rFonts w:ascii="Arial" w:hAnsi="Arial" w:cs="Arial"/>
          <w:sz w:val="22"/>
          <w:szCs w:val="22"/>
        </w:rPr>
        <w:t>.</w:t>
      </w:r>
      <w:r w:rsidR="0092353A">
        <w:rPr>
          <w:rFonts w:ascii="Arial" w:hAnsi="Arial" w:cs="Arial"/>
          <w:sz w:val="22"/>
          <w:szCs w:val="22"/>
        </w:rPr>
        <w:t xml:space="preserve"> </w:t>
      </w:r>
      <w:r w:rsidR="0075529F" w:rsidRPr="00997BA9">
        <w:rPr>
          <w:rFonts w:ascii="Arial" w:hAnsi="Arial" w:cs="Arial"/>
          <w:sz w:val="22"/>
          <w:szCs w:val="22"/>
        </w:rPr>
        <w:t>Estimated time to complete survey and required number of completes</w:t>
      </w:r>
      <w:r w:rsidR="0075529F" w:rsidRPr="0075529F">
        <w:rPr>
          <w:rFonts w:ascii="Arial" w:hAnsi="Arial" w:cs="Arial"/>
          <w:sz w:val="22"/>
          <w:szCs w:val="22"/>
        </w:rPr>
        <w:t xml:space="preserve"> are based on incidence rate estimates of tipped survey responses from the pilot study, completed </w:t>
      </w:r>
      <w:r w:rsidR="002322ED">
        <w:rPr>
          <w:rFonts w:ascii="Arial" w:hAnsi="Arial" w:cs="Arial"/>
          <w:sz w:val="22"/>
          <w:szCs w:val="22"/>
        </w:rPr>
        <w:t xml:space="preserve">during </w:t>
      </w:r>
      <w:r w:rsidR="0075529F" w:rsidRPr="0075529F">
        <w:rPr>
          <w:rFonts w:ascii="Arial" w:hAnsi="Arial" w:cs="Arial"/>
          <w:sz w:val="22"/>
          <w:szCs w:val="22"/>
        </w:rPr>
        <w:t>July, 2015.</w:t>
      </w:r>
      <w:r w:rsidR="0092353A">
        <w:rPr>
          <w:rFonts w:ascii="Arial" w:hAnsi="Arial" w:cs="Arial"/>
          <w:sz w:val="22"/>
          <w:szCs w:val="22"/>
        </w:rPr>
        <w:t xml:space="preserve"> </w:t>
      </w:r>
      <w:r w:rsidR="0075529F" w:rsidRPr="0075529F">
        <w:rPr>
          <w:rFonts w:ascii="Arial" w:hAnsi="Arial" w:cs="Arial"/>
          <w:sz w:val="22"/>
          <w:szCs w:val="22"/>
        </w:rPr>
        <w:t xml:space="preserve">Incidence rates used for burden calculations were based on </w:t>
      </w:r>
      <w:r w:rsidR="001205CA">
        <w:rPr>
          <w:rFonts w:ascii="Arial" w:hAnsi="Arial" w:cs="Arial"/>
          <w:sz w:val="22"/>
          <w:szCs w:val="22"/>
        </w:rPr>
        <w:t xml:space="preserve">the </w:t>
      </w:r>
      <w:r w:rsidR="00DC0489">
        <w:rPr>
          <w:rFonts w:ascii="Arial" w:hAnsi="Arial" w:cs="Arial"/>
          <w:sz w:val="22"/>
          <w:szCs w:val="22"/>
        </w:rPr>
        <w:t>non-probability</w:t>
      </w:r>
      <w:r w:rsidR="00DC0489" w:rsidDel="00DC0489">
        <w:rPr>
          <w:rFonts w:ascii="Arial" w:hAnsi="Arial" w:cs="Arial"/>
          <w:sz w:val="22"/>
          <w:szCs w:val="22"/>
        </w:rPr>
        <w:t xml:space="preserve"> </w:t>
      </w:r>
      <w:r w:rsidR="001205CA">
        <w:rPr>
          <w:rFonts w:ascii="Arial" w:hAnsi="Arial" w:cs="Arial"/>
          <w:sz w:val="22"/>
          <w:szCs w:val="22"/>
        </w:rPr>
        <w:t>sample</w:t>
      </w:r>
      <w:r w:rsidR="0075529F">
        <w:rPr>
          <w:rFonts w:ascii="Arial" w:hAnsi="Arial" w:cs="Arial"/>
          <w:sz w:val="22"/>
          <w:szCs w:val="22"/>
        </w:rPr>
        <w:t xml:space="preserve"> respondents</w:t>
      </w:r>
      <w:r w:rsidR="00D367C3">
        <w:rPr>
          <w:rFonts w:ascii="Arial" w:hAnsi="Arial" w:cs="Arial"/>
          <w:sz w:val="22"/>
          <w:szCs w:val="22"/>
        </w:rPr>
        <w:t>.</w:t>
      </w:r>
      <w:r w:rsidR="0092353A">
        <w:rPr>
          <w:rFonts w:ascii="Arial" w:hAnsi="Arial" w:cs="Arial"/>
          <w:sz w:val="22"/>
          <w:szCs w:val="22"/>
        </w:rPr>
        <w:t xml:space="preserve"> </w:t>
      </w:r>
      <w:r w:rsidR="0075529F">
        <w:rPr>
          <w:rFonts w:ascii="Arial" w:hAnsi="Arial" w:cs="Arial"/>
          <w:sz w:val="22"/>
          <w:szCs w:val="22"/>
        </w:rPr>
        <w:t>The</w:t>
      </w:r>
      <w:r w:rsidR="0075529F" w:rsidRPr="0075529F">
        <w:rPr>
          <w:rFonts w:ascii="Arial" w:hAnsi="Arial" w:cs="Arial"/>
          <w:sz w:val="22"/>
          <w:szCs w:val="22"/>
        </w:rPr>
        <w:t xml:space="preserve"> </w:t>
      </w:r>
      <w:r w:rsidR="00DC0489">
        <w:rPr>
          <w:rFonts w:ascii="Arial" w:hAnsi="Arial" w:cs="Arial"/>
          <w:sz w:val="22"/>
          <w:szCs w:val="22"/>
        </w:rPr>
        <w:t>non-probability</w:t>
      </w:r>
      <w:r w:rsidR="00DC0489" w:rsidRPr="0075529F" w:rsidDel="00DC0489">
        <w:rPr>
          <w:rFonts w:ascii="Arial" w:hAnsi="Arial" w:cs="Arial"/>
          <w:sz w:val="22"/>
          <w:szCs w:val="22"/>
        </w:rPr>
        <w:t xml:space="preserve"> </w:t>
      </w:r>
      <w:r w:rsidR="0075529F" w:rsidRPr="0075529F">
        <w:rPr>
          <w:rFonts w:ascii="Arial" w:hAnsi="Arial" w:cs="Arial"/>
          <w:sz w:val="22"/>
          <w:szCs w:val="22"/>
        </w:rPr>
        <w:t>panel showed a 33% incidence rate</w:t>
      </w:r>
      <w:r w:rsidR="009F6540">
        <w:rPr>
          <w:rFonts w:ascii="Arial" w:hAnsi="Arial" w:cs="Arial"/>
          <w:sz w:val="22"/>
          <w:szCs w:val="22"/>
        </w:rPr>
        <w:t xml:space="preserve"> </w:t>
      </w:r>
      <w:r w:rsidR="00C656F1">
        <w:rPr>
          <w:rFonts w:ascii="Arial" w:hAnsi="Arial" w:cs="Arial"/>
          <w:sz w:val="22"/>
          <w:szCs w:val="22"/>
        </w:rPr>
        <w:t xml:space="preserve">during the pilot study fielding </w:t>
      </w:r>
      <w:r w:rsidR="00CC138A">
        <w:rPr>
          <w:rFonts w:ascii="Arial" w:hAnsi="Arial" w:cs="Arial"/>
          <w:sz w:val="22"/>
          <w:szCs w:val="22"/>
        </w:rPr>
        <w:t>but</w:t>
      </w:r>
      <w:r w:rsidR="009F6540">
        <w:rPr>
          <w:rFonts w:ascii="Arial" w:hAnsi="Arial" w:cs="Arial"/>
          <w:sz w:val="22"/>
          <w:szCs w:val="22"/>
        </w:rPr>
        <w:t xml:space="preserve"> a 30% incidence rate </w:t>
      </w:r>
      <w:r w:rsidR="00C656F1">
        <w:rPr>
          <w:rFonts w:ascii="Arial" w:hAnsi="Arial" w:cs="Arial"/>
          <w:sz w:val="22"/>
          <w:szCs w:val="22"/>
        </w:rPr>
        <w:t xml:space="preserve">is planned for the full survey fielding </w:t>
      </w:r>
      <w:r w:rsidR="009F6540">
        <w:rPr>
          <w:rFonts w:ascii="Arial" w:hAnsi="Arial" w:cs="Arial"/>
          <w:sz w:val="22"/>
          <w:szCs w:val="22"/>
        </w:rPr>
        <w:t>to ensure an even distribution of completes throughout the entire year and allow for any seasonal variations that might occur.</w:t>
      </w:r>
      <w:r w:rsidR="0075529F">
        <w:rPr>
          <w:rFonts w:ascii="Arial" w:hAnsi="Arial" w:cs="Arial"/>
          <w:sz w:val="22"/>
          <w:szCs w:val="22"/>
        </w:rPr>
        <w:t xml:space="preserve"> </w:t>
      </w:r>
      <w:r w:rsidR="009F6540">
        <w:rPr>
          <w:rFonts w:ascii="Arial" w:hAnsi="Arial" w:cs="Arial"/>
          <w:sz w:val="22"/>
          <w:szCs w:val="22"/>
        </w:rPr>
        <w:t>As such, 60</w:t>
      </w:r>
      <w:r w:rsidR="0075529F" w:rsidRPr="0075529F">
        <w:rPr>
          <w:rFonts w:ascii="Arial" w:hAnsi="Arial" w:cs="Arial"/>
          <w:sz w:val="22"/>
          <w:szCs w:val="22"/>
        </w:rPr>
        <w:t>,</w:t>
      </w:r>
      <w:r w:rsidR="009F6540">
        <w:rPr>
          <w:rFonts w:ascii="Arial" w:hAnsi="Arial" w:cs="Arial"/>
          <w:sz w:val="22"/>
          <w:szCs w:val="22"/>
        </w:rPr>
        <w:t>0</w:t>
      </w:r>
      <w:r w:rsidR="0075529F" w:rsidRPr="0075529F">
        <w:rPr>
          <w:rFonts w:ascii="Arial" w:hAnsi="Arial" w:cs="Arial"/>
          <w:sz w:val="22"/>
          <w:szCs w:val="22"/>
        </w:rPr>
        <w:t xml:space="preserve">00 </w:t>
      </w:r>
      <w:r w:rsidR="004816DF">
        <w:rPr>
          <w:rFonts w:ascii="Arial" w:hAnsi="Arial" w:cs="Arial"/>
          <w:sz w:val="22"/>
          <w:szCs w:val="22"/>
        </w:rPr>
        <w:t xml:space="preserve">participants will need to complete the screening survey in order </w:t>
      </w:r>
      <w:r w:rsidR="009F6540">
        <w:rPr>
          <w:rFonts w:ascii="Arial" w:hAnsi="Arial" w:cs="Arial"/>
          <w:sz w:val="22"/>
          <w:szCs w:val="22"/>
        </w:rPr>
        <w:t>to</w:t>
      </w:r>
      <w:r w:rsidR="0075529F" w:rsidRPr="0075529F">
        <w:rPr>
          <w:rFonts w:ascii="Arial" w:hAnsi="Arial" w:cs="Arial"/>
          <w:sz w:val="22"/>
          <w:szCs w:val="22"/>
        </w:rPr>
        <w:t xml:space="preserve"> acquire 18,000 surveys with at least one tipped transaction.</w:t>
      </w:r>
      <w:r w:rsidR="0092353A">
        <w:rPr>
          <w:rFonts w:ascii="Arial" w:hAnsi="Arial" w:cs="Arial"/>
          <w:sz w:val="22"/>
          <w:szCs w:val="22"/>
        </w:rPr>
        <w:t xml:space="preserve"> </w:t>
      </w:r>
    </w:p>
    <w:p w14:paraId="69A6ACE2" w14:textId="77777777" w:rsidR="0075529F" w:rsidRDefault="0075529F" w:rsidP="00330F43">
      <w:pPr>
        <w:rPr>
          <w:rFonts w:ascii="Arial" w:hAnsi="Arial" w:cs="Arial"/>
          <w:sz w:val="22"/>
          <w:szCs w:val="22"/>
        </w:rPr>
      </w:pPr>
    </w:p>
    <w:p w14:paraId="3A4341A7" w14:textId="77777777" w:rsidR="00270661" w:rsidRPr="00866803" w:rsidRDefault="00F5218A" w:rsidP="00702D6B">
      <w:pPr>
        <w:rPr>
          <w:rFonts w:ascii="Arial" w:hAnsi="Arial" w:cs="Arial"/>
          <w:sz w:val="22"/>
          <w:szCs w:val="22"/>
        </w:rPr>
      </w:pPr>
      <w:r w:rsidRPr="00866803">
        <w:rPr>
          <w:rFonts w:ascii="Arial" w:hAnsi="Arial" w:cs="Arial"/>
          <w:sz w:val="22"/>
          <w:szCs w:val="22"/>
        </w:rPr>
        <w:t>The</w:t>
      </w:r>
      <w:r w:rsidR="00330F43" w:rsidRPr="00866803">
        <w:rPr>
          <w:rFonts w:ascii="Arial" w:hAnsi="Arial" w:cs="Arial"/>
          <w:sz w:val="22"/>
          <w:szCs w:val="22"/>
        </w:rPr>
        <w:t xml:space="preserve"> burden hour estimates </w:t>
      </w:r>
      <w:r w:rsidRPr="00866803">
        <w:rPr>
          <w:rFonts w:ascii="Arial" w:hAnsi="Arial" w:cs="Arial"/>
          <w:sz w:val="22"/>
          <w:szCs w:val="22"/>
        </w:rPr>
        <w:t xml:space="preserve">breakdown </w:t>
      </w:r>
      <w:r w:rsidR="00330F43" w:rsidRPr="00866803">
        <w:rPr>
          <w:rFonts w:ascii="Arial" w:hAnsi="Arial" w:cs="Arial"/>
          <w:sz w:val="22"/>
          <w:szCs w:val="22"/>
        </w:rPr>
        <w:t xml:space="preserve">as follows: </w:t>
      </w:r>
    </w:p>
    <w:p w14:paraId="413A7E8E" w14:textId="77777777" w:rsidR="00ED70F3" w:rsidRPr="00866803" w:rsidRDefault="00ED70F3" w:rsidP="00ED70F3">
      <w:pPr>
        <w:rPr>
          <w:rFonts w:ascii="Arial" w:hAnsi="Arial" w:cs="Arial"/>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217"/>
        <w:gridCol w:w="2444"/>
        <w:gridCol w:w="2125"/>
      </w:tblGrid>
      <w:tr w:rsidR="00ED70F3" w:rsidRPr="00866803" w14:paraId="7141DC69" w14:textId="77777777" w:rsidTr="00C656F1">
        <w:trPr>
          <w:trHeight w:val="470"/>
        </w:trPr>
        <w:tc>
          <w:tcPr>
            <w:tcW w:w="9512" w:type="dxa"/>
            <w:gridSpan w:val="4"/>
            <w:shd w:val="clear" w:color="auto" w:fill="auto"/>
            <w:vAlign w:val="center"/>
          </w:tcPr>
          <w:p w14:paraId="7C15F416" w14:textId="77777777" w:rsidR="00ED70F3" w:rsidRPr="00866803" w:rsidRDefault="00ED70F3" w:rsidP="00702D6B">
            <w:pPr>
              <w:jc w:val="center"/>
              <w:rPr>
                <w:rFonts w:ascii="Arial" w:hAnsi="Arial" w:cs="Arial"/>
                <w:b/>
                <w:sz w:val="20"/>
              </w:rPr>
            </w:pPr>
            <w:r w:rsidRPr="00866803">
              <w:rPr>
                <w:rFonts w:ascii="Arial" w:hAnsi="Arial" w:cs="Arial"/>
                <w:b/>
                <w:sz w:val="20"/>
              </w:rPr>
              <w:t>Non-Probability Sample</w:t>
            </w:r>
          </w:p>
        </w:tc>
      </w:tr>
      <w:tr w:rsidR="00ED70F3" w:rsidRPr="00866803" w14:paraId="78403390" w14:textId="77777777" w:rsidTr="00C656F1">
        <w:trPr>
          <w:trHeight w:val="470"/>
        </w:trPr>
        <w:tc>
          <w:tcPr>
            <w:tcW w:w="2726" w:type="dxa"/>
            <w:shd w:val="clear" w:color="auto" w:fill="auto"/>
            <w:vAlign w:val="center"/>
          </w:tcPr>
          <w:p w14:paraId="06B1A20F" w14:textId="77777777" w:rsidR="00ED70F3" w:rsidRPr="00866803" w:rsidRDefault="00ED70F3" w:rsidP="00C656F1">
            <w:pPr>
              <w:jc w:val="center"/>
              <w:rPr>
                <w:rFonts w:ascii="Arial" w:hAnsi="Arial" w:cs="Arial"/>
                <w:b/>
                <w:sz w:val="20"/>
              </w:rPr>
            </w:pPr>
            <w:r w:rsidRPr="00866803">
              <w:rPr>
                <w:rFonts w:ascii="Arial" w:hAnsi="Arial" w:cs="Arial"/>
                <w:b/>
                <w:sz w:val="20"/>
              </w:rPr>
              <w:t>Category of Respondent/Activity</w:t>
            </w:r>
          </w:p>
        </w:tc>
        <w:tc>
          <w:tcPr>
            <w:tcW w:w="2217" w:type="dxa"/>
            <w:shd w:val="clear" w:color="auto" w:fill="auto"/>
            <w:vAlign w:val="center"/>
          </w:tcPr>
          <w:p w14:paraId="67A2BAF1" w14:textId="77777777" w:rsidR="00ED70F3" w:rsidRPr="00866803" w:rsidRDefault="00ED70F3" w:rsidP="00C656F1">
            <w:pPr>
              <w:jc w:val="center"/>
              <w:rPr>
                <w:rFonts w:ascii="Arial" w:hAnsi="Arial" w:cs="Arial"/>
                <w:b/>
                <w:sz w:val="20"/>
              </w:rPr>
            </w:pPr>
            <w:r w:rsidRPr="00866803">
              <w:rPr>
                <w:rFonts w:ascii="Arial" w:hAnsi="Arial" w:cs="Arial"/>
                <w:b/>
                <w:sz w:val="20"/>
              </w:rPr>
              <w:t>No. of Respondents</w:t>
            </w:r>
          </w:p>
        </w:tc>
        <w:tc>
          <w:tcPr>
            <w:tcW w:w="2444" w:type="dxa"/>
            <w:shd w:val="clear" w:color="auto" w:fill="auto"/>
            <w:vAlign w:val="center"/>
          </w:tcPr>
          <w:p w14:paraId="68EA90CE" w14:textId="77777777" w:rsidR="00ED70F3" w:rsidRPr="00866803" w:rsidRDefault="00ED70F3" w:rsidP="00C656F1">
            <w:pPr>
              <w:jc w:val="center"/>
              <w:rPr>
                <w:rFonts w:ascii="Arial" w:hAnsi="Arial" w:cs="Arial"/>
                <w:b/>
                <w:sz w:val="20"/>
              </w:rPr>
            </w:pPr>
            <w:r w:rsidRPr="00866803">
              <w:rPr>
                <w:rFonts w:ascii="Arial" w:hAnsi="Arial" w:cs="Arial"/>
                <w:b/>
                <w:sz w:val="20"/>
              </w:rPr>
              <w:t>Participation Time</w:t>
            </w:r>
          </w:p>
        </w:tc>
        <w:tc>
          <w:tcPr>
            <w:tcW w:w="2125" w:type="dxa"/>
            <w:shd w:val="clear" w:color="auto" w:fill="auto"/>
            <w:vAlign w:val="center"/>
          </w:tcPr>
          <w:p w14:paraId="09C22633" w14:textId="77777777" w:rsidR="00ED70F3" w:rsidRPr="00866803" w:rsidRDefault="00ED70F3" w:rsidP="00C656F1">
            <w:pPr>
              <w:jc w:val="center"/>
              <w:rPr>
                <w:rFonts w:ascii="Arial" w:hAnsi="Arial" w:cs="Arial"/>
                <w:b/>
                <w:sz w:val="20"/>
              </w:rPr>
            </w:pPr>
            <w:r w:rsidRPr="00866803">
              <w:rPr>
                <w:rFonts w:ascii="Arial" w:hAnsi="Arial" w:cs="Arial"/>
                <w:b/>
                <w:sz w:val="20"/>
              </w:rPr>
              <w:t>Burden Hours</w:t>
            </w:r>
          </w:p>
        </w:tc>
      </w:tr>
      <w:tr w:rsidR="00ED70F3" w:rsidRPr="00866803" w14:paraId="15F53DF2" w14:textId="77777777" w:rsidTr="00C656F1">
        <w:trPr>
          <w:trHeight w:val="259"/>
        </w:trPr>
        <w:tc>
          <w:tcPr>
            <w:tcW w:w="2726" w:type="dxa"/>
            <w:shd w:val="clear" w:color="auto" w:fill="auto"/>
            <w:vAlign w:val="center"/>
          </w:tcPr>
          <w:p w14:paraId="52070EA0" w14:textId="77777777" w:rsidR="00ED70F3" w:rsidRPr="00866803" w:rsidRDefault="00ED70F3" w:rsidP="00C656F1">
            <w:pPr>
              <w:jc w:val="center"/>
              <w:rPr>
                <w:rFonts w:ascii="Arial" w:hAnsi="Arial" w:cs="Arial"/>
                <w:sz w:val="20"/>
              </w:rPr>
            </w:pPr>
            <w:r w:rsidRPr="00866803">
              <w:rPr>
                <w:rFonts w:ascii="Arial" w:hAnsi="Arial" w:cs="Arial"/>
                <w:sz w:val="20"/>
              </w:rPr>
              <w:t>Read Invitation Email</w:t>
            </w:r>
          </w:p>
        </w:tc>
        <w:tc>
          <w:tcPr>
            <w:tcW w:w="2217" w:type="dxa"/>
            <w:shd w:val="clear" w:color="auto" w:fill="auto"/>
            <w:vAlign w:val="center"/>
          </w:tcPr>
          <w:p w14:paraId="73C8FEF1" w14:textId="77777777" w:rsidR="00ED70F3" w:rsidRPr="00866803" w:rsidRDefault="0075529F" w:rsidP="00C656F1">
            <w:pPr>
              <w:jc w:val="center"/>
              <w:rPr>
                <w:rFonts w:ascii="Arial" w:hAnsi="Arial" w:cs="Arial"/>
                <w:sz w:val="20"/>
              </w:rPr>
            </w:pPr>
            <w:r>
              <w:rPr>
                <w:rFonts w:ascii="Arial" w:hAnsi="Arial" w:cs="Arial"/>
                <w:sz w:val="20"/>
              </w:rPr>
              <w:t>4</w:t>
            </w:r>
            <w:r w:rsidR="009F6540">
              <w:rPr>
                <w:rFonts w:ascii="Arial" w:hAnsi="Arial" w:cs="Arial"/>
                <w:sz w:val="20"/>
              </w:rPr>
              <w:t>61</w:t>
            </w:r>
            <w:r w:rsidR="00ED70F3" w:rsidRPr="00866803">
              <w:rPr>
                <w:rFonts w:ascii="Arial" w:hAnsi="Arial" w:cs="Arial"/>
                <w:sz w:val="20"/>
              </w:rPr>
              <w:t>,</w:t>
            </w:r>
            <w:r>
              <w:rPr>
                <w:rFonts w:ascii="Arial" w:hAnsi="Arial" w:cs="Arial"/>
                <w:sz w:val="20"/>
              </w:rPr>
              <w:t>5</w:t>
            </w:r>
            <w:r w:rsidR="009F6540">
              <w:rPr>
                <w:rFonts w:ascii="Arial" w:hAnsi="Arial" w:cs="Arial"/>
                <w:sz w:val="20"/>
              </w:rPr>
              <w:t>4</w:t>
            </w:r>
            <w:r w:rsidR="00ED70F3" w:rsidRPr="00866803">
              <w:rPr>
                <w:rFonts w:ascii="Arial" w:hAnsi="Arial" w:cs="Arial"/>
                <w:sz w:val="20"/>
              </w:rPr>
              <w:t>0</w:t>
            </w:r>
          </w:p>
        </w:tc>
        <w:tc>
          <w:tcPr>
            <w:tcW w:w="2444" w:type="dxa"/>
            <w:shd w:val="clear" w:color="auto" w:fill="auto"/>
            <w:vAlign w:val="center"/>
          </w:tcPr>
          <w:p w14:paraId="00E95632" w14:textId="77777777" w:rsidR="00ED70F3" w:rsidRPr="00866803" w:rsidRDefault="00ED70F3" w:rsidP="00C656F1">
            <w:pPr>
              <w:jc w:val="center"/>
              <w:rPr>
                <w:rFonts w:ascii="Arial" w:hAnsi="Arial" w:cs="Arial"/>
                <w:sz w:val="20"/>
              </w:rPr>
            </w:pPr>
            <w:r w:rsidRPr="00866803">
              <w:rPr>
                <w:rFonts w:ascii="Arial" w:hAnsi="Arial" w:cs="Arial"/>
                <w:sz w:val="20"/>
              </w:rPr>
              <w:t>0.5 minute</w:t>
            </w:r>
          </w:p>
        </w:tc>
        <w:tc>
          <w:tcPr>
            <w:tcW w:w="2125" w:type="dxa"/>
            <w:shd w:val="clear" w:color="auto" w:fill="auto"/>
            <w:vAlign w:val="center"/>
          </w:tcPr>
          <w:p w14:paraId="129C6C59" w14:textId="77777777" w:rsidR="00ED70F3" w:rsidRPr="00866803" w:rsidRDefault="0075529F" w:rsidP="00C656F1">
            <w:pPr>
              <w:jc w:val="center"/>
              <w:rPr>
                <w:rFonts w:ascii="Arial" w:hAnsi="Arial" w:cs="Arial"/>
                <w:sz w:val="20"/>
              </w:rPr>
            </w:pPr>
            <w:r>
              <w:rPr>
                <w:rFonts w:ascii="Arial" w:hAnsi="Arial" w:cs="Arial"/>
                <w:sz w:val="20"/>
              </w:rPr>
              <w:t>3</w:t>
            </w:r>
            <w:r w:rsidR="00ED70F3" w:rsidRPr="00866803">
              <w:rPr>
                <w:rFonts w:ascii="Arial" w:hAnsi="Arial" w:cs="Arial"/>
                <w:sz w:val="20"/>
              </w:rPr>
              <w:t>,</w:t>
            </w:r>
            <w:r w:rsidR="00997BA9">
              <w:rPr>
                <w:rFonts w:ascii="Arial" w:hAnsi="Arial" w:cs="Arial"/>
                <w:sz w:val="20"/>
              </w:rPr>
              <w:t>846</w:t>
            </w:r>
            <w:r w:rsidR="00ED70F3" w:rsidRPr="00866803">
              <w:rPr>
                <w:rFonts w:ascii="Arial" w:hAnsi="Arial" w:cs="Arial"/>
                <w:sz w:val="20"/>
              </w:rPr>
              <w:t xml:space="preserve"> hours</w:t>
            </w:r>
          </w:p>
        </w:tc>
      </w:tr>
      <w:tr w:rsidR="00ED70F3" w:rsidRPr="00866803" w14:paraId="5106808D" w14:textId="77777777" w:rsidTr="00C656F1">
        <w:trPr>
          <w:trHeight w:val="441"/>
        </w:trPr>
        <w:tc>
          <w:tcPr>
            <w:tcW w:w="2726" w:type="dxa"/>
            <w:shd w:val="clear" w:color="auto" w:fill="auto"/>
            <w:vAlign w:val="center"/>
          </w:tcPr>
          <w:p w14:paraId="7C5620F3" w14:textId="77777777" w:rsidR="00ED70F3" w:rsidRPr="00866803" w:rsidRDefault="00ED70F3" w:rsidP="00C656F1">
            <w:pPr>
              <w:jc w:val="center"/>
              <w:rPr>
                <w:rFonts w:ascii="Arial" w:hAnsi="Arial" w:cs="Arial"/>
                <w:sz w:val="20"/>
              </w:rPr>
            </w:pPr>
            <w:r w:rsidRPr="00866803">
              <w:rPr>
                <w:rFonts w:ascii="Arial" w:hAnsi="Arial" w:cs="Arial"/>
                <w:sz w:val="20"/>
              </w:rPr>
              <w:t>Read Reminder Email*</w:t>
            </w:r>
          </w:p>
        </w:tc>
        <w:tc>
          <w:tcPr>
            <w:tcW w:w="2217" w:type="dxa"/>
            <w:shd w:val="clear" w:color="auto" w:fill="auto"/>
            <w:vAlign w:val="center"/>
          </w:tcPr>
          <w:p w14:paraId="0F3AFD09" w14:textId="77777777" w:rsidR="00ED70F3" w:rsidRPr="00866803" w:rsidRDefault="009F6540" w:rsidP="00C656F1">
            <w:pPr>
              <w:jc w:val="center"/>
              <w:rPr>
                <w:rFonts w:ascii="Arial" w:hAnsi="Arial" w:cs="Arial"/>
                <w:sz w:val="20"/>
              </w:rPr>
            </w:pPr>
            <w:r>
              <w:rPr>
                <w:rFonts w:ascii="Arial" w:hAnsi="Arial" w:cs="Arial"/>
                <w:sz w:val="20"/>
              </w:rPr>
              <w:t>431</w:t>
            </w:r>
            <w:r w:rsidR="00ED70F3" w:rsidRPr="00866803">
              <w:rPr>
                <w:rFonts w:ascii="Arial" w:hAnsi="Arial" w:cs="Arial"/>
                <w:sz w:val="20"/>
              </w:rPr>
              <w:t>,</w:t>
            </w:r>
            <w:r>
              <w:rPr>
                <w:rFonts w:ascii="Arial" w:hAnsi="Arial" w:cs="Arial"/>
                <w:sz w:val="20"/>
              </w:rPr>
              <w:t>54</w:t>
            </w:r>
            <w:r w:rsidR="00565E0F">
              <w:rPr>
                <w:rFonts w:ascii="Arial" w:hAnsi="Arial" w:cs="Arial"/>
                <w:sz w:val="20"/>
              </w:rPr>
              <w:t>0</w:t>
            </w:r>
          </w:p>
        </w:tc>
        <w:tc>
          <w:tcPr>
            <w:tcW w:w="2444" w:type="dxa"/>
            <w:shd w:val="clear" w:color="auto" w:fill="auto"/>
            <w:vAlign w:val="center"/>
          </w:tcPr>
          <w:p w14:paraId="6509E99B" w14:textId="77777777" w:rsidR="00ED70F3" w:rsidRPr="00866803" w:rsidRDefault="0075529F" w:rsidP="00C656F1">
            <w:pPr>
              <w:jc w:val="center"/>
              <w:rPr>
                <w:rFonts w:ascii="Arial" w:hAnsi="Arial" w:cs="Arial"/>
                <w:sz w:val="20"/>
              </w:rPr>
            </w:pPr>
            <w:r>
              <w:rPr>
                <w:rFonts w:ascii="Arial" w:hAnsi="Arial" w:cs="Arial"/>
                <w:sz w:val="20"/>
              </w:rPr>
              <w:t>0</w:t>
            </w:r>
            <w:r w:rsidR="00ED70F3" w:rsidRPr="00866803">
              <w:rPr>
                <w:rFonts w:ascii="Arial" w:hAnsi="Arial" w:cs="Arial"/>
                <w:sz w:val="20"/>
              </w:rPr>
              <w:t>.25 minute</w:t>
            </w:r>
          </w:p>
        </w:tc>
        <w:tc>
          <w:tcPr>
            <w:tcW w:w="2125" w:type="dxa"/>
            <w:shd w:val="clear" w:color="auto" w:fill="auto"/>
            <w:vAlign w:val="center"/>
          </w:tcPr>
          <w:p w14:paraId="4853C702" w14:textId="77777777" w:rsidR="00ED70F3" w:rsidRPr="00866803" w:rsidRDefault="0075529F" w:rsidP="00C656F1">
            <w:pPr>
              <w:jc w:val="center"/>
              <w:rPr>
                <w:rFonts w:ascii="Arial" w:hAnsi="Arial" w:cs="Arial"/>
                <w:sz w:val="20"/>
              </w:rPr>
            </w:pPr>
            <w:r>
              <w:rPr>
                <w:rFonts w:ascii="Arial" w:hAnsi="Arial" w:cs="Arial"/>
                <w:sz w:val="20"/>
              </w:rPr>
              <w:t>1</w:t>
            </w:r>
            <w:r w:rsidR="00C66D90" w:rsidRPr="00866803">
              <w:rPr>
                <w:rFonts w:ascii="Arial" w:hAnsi="Arial" w:cs="Arial"/>
                <w:sz w:val="20"/>
              </w:rPr>
              <w:t>,</w:t>
            </w:r>
            <w:r w:rsidR="00997BA9">
              <w:rPr>
                <w:rFonts w:ascii="Arial" w:hAnsi="Arial" w:cs="Arial"/>
                <w:sz w:val="20"/>
              </w:rPr>
              <w:t>798</w:t>
            </w:r>
            <w:r w:rsidR="00ED70F3" w:rsidRPr="00866803">
              <w:rPr>
                <w:rFonts w:ascii="Arial" w:hAnsi="Arial" w:cs="Arial"/>
                <w:sz w:val="20"/>
              </w:rPr>
              <w:t xml:space="preserve"> hours</w:t>
            </w:r>
          </w:p>
        </w:tc>
      </w:tr>
      <w:tr w:rsidR="00ED70F3" w:rsidRPr="00866803" w14:paraId="2EE685B1" w14:textId="77777777" w:rsidTr="00C656F1">
        <w:trPr>
          <w:trHeight w:val="220"/>
        </w:trPr>
        <w:tc>
          <w:tcPr>
            <w:tcW w:w="2726" w:type="dxa"/>
            <w:shd w:val="clear" w:color="auto" w:fill="auto"/>
            <w:vAlign w:val="center"/>
          </w:tcPr>
          <w:p w14:paraId="017E7F7D" w14:textId="77777777" w:rsidR="00ED70F3" w:rsidRPr="00866803" w:rsidRDefault="00ED70F3" w:rsidP="00C656F1">
            <w:pPr>
              <w:jc w:val="center"/>
              <w:rPr>
                <w:rFonts w:ascii="Arial" w:hAnsi="Arial" w:cs="Arial"/>
                <w:sz w:val="20"/>
              </w:rPr>
            </w:pPr>
            <w:r w:rsidRPr="00866803">
              <w:rPr>
                <w:rFonts w:ascii="Arial" w:hAnsi="Arial" w:cs="Arial"/>
                <w:sz w:val="20"/>
              </w:rPr>
              <w:t>Complete Survey</w:t>
            </w:r>
          </w:p>
        </w:tc>
        <w:tc>
          <w:tcPr>
            <w:tcW w:w="2217" w:type="dxa"/>
            <w:shd w:val="clear" w:color="auto" w:fill="auto"/>
            <w:vAlign w:val="center"/>
          </w:tcPr>
          <w:p w14:paraId="6CED7EDA" w14:textId="77777777" w:rsidR="00ED70F3" w:rsidRPr="00866803" w:rsidRDefault="009F6540" w:rsidP="00C656F1">
            <w:pPr>
              <w:jc w:val="center"/>
              <w:rPr>
                <w:rFonts w:ascii="Arial" w:hAnsi="Arial" w:cs="Arial"/>
                <w:sz w:val="20"/>
              </w:rPr>
            </w:pPr>
            <w:r>
              <w:rPr>
                <w:rFonts w:ascii="Arial" w:hAnsi="Arial" w:cs="Arial"/>
                <w:sz w:val="20"/>
              </w:rPr>
              <w:t>60</w:t>
            </w:r>
            <w:r w:rsidR="00ED70F3" w:rsidRPr="00866803">
              <w:rPr>
                <w:rFonts w:ascii="Arial" w:hAnsi="Arial" w:cs="Arial"/>
                <w:sz w:val="20"/>
              </w:rPr>
              <w:t>,</w:t>
            </w:r>
            <w:r>
              <w:rPr>
                <w:rFonts w:ascii="Arial" w:hAnsi="Arial" w:cs="Arial"/>
                <w:sz w:val="20"/>
              </w:rPr>
              <w:t>0</w:t>
            </w:r>
            <w:r w:rsidR="0075529F">
              <w:rPr>
                <w:rFonts w:ascii="Arial" w:hAnsi="Arial" w:cs="Arial"/>
                <w:sz w:val="20"/>
              </w:rPr>
              <w:t>00</w:t>
            </w:r>
          </w:p>
        </w:tc>
        <w:tc>
          <w:tcPr>
            <w:tcW w:w="2444" w:type="dxa"/>
            <w:shd w:val="clear" w:color="auto" w:fill="auto"/>
            <w:vAlign w:val="center"/>
          </w:tcPr>
          <w:p w14:paraId="6E2863FC" w14:textId="77777777" w:rsidR="00ED70F3" w:rsidRPr="00866803" w:rsidRDefault="001305B5" w:rsidP="00C656F1">
            <w:pPr>
              <w:jc w:val="center"/>
              <w:rPr>
                <w:rFonts w:ascii="Arial" w:hAnsi="Arial" w:cs="Arial"/>
                <w:sz w:val="20"/>
              </w:rPr>
            </w:pPr>
            <w:r>
              <w:rPr>
                <w:rFonts w:ascii="Arial" w:hAnsi="Arial" w:cs="Arial"/>
                <w:sz w:val="20"/>
              </w:rPr>
              <w:t>5</w:t>
            </w:r>
            <w:r w:rsidR="00ED70F3" w:rsidRPr="00866803">
              <w:rPr>
                <w:rFonts w:ascii="Arial" w:hAnsi="Arial" w:cs="Arial"/>
                <w:sz w:val="20"/>
              </w:rPr>
              <w:t>.</w:t>
            </w:r>
            <w:r>
              <w:rPr>
                <w:rFonts w:ascii="Arial" w:hAnsi="Arial" w:cs="Arial"/>
                <w:sz w:val="20"/>
              </w:rPr>
              <w:t>5</w:t>
            </w:r>
            <w:r w:rsidR="00ED70F3" w:rsidRPr="00866803">
              <w:rPr>
                <w:rFonts w:ascii="Arial" w:hAnsi="Arial" w:cs="Arial"/>
                <w:sz w:val="20"/>
              </w:rPr>
              <w:t xml:space="preserve"> minutes</w:t>
            </w:r>
            <w:r w:rsidR="00C656F1">
              <w:rPr>
                <w:rFonts w:ascii="Arial" w:hAnsi="Arial" w:cs="Arial"/>
                <w:sz w:val="20"/>
              </w:rPr>
              <w:t>**</w:t>
            </w:r>
          </w:p>
        </w:tc>
        <w:tc>
          <w:tcPr>
            <w:tcW w:w="2125" w:type="dxa"/>
            <w:shd w:val="clear" w:color="auto" w:fill="auto"/>
            <w:vAlign w:val="center"/>
          </w:tcPr>
          <w:p w14:paraId="1E90AA6B" w14:textId="77777777" w:rsidR="00ED70F3" w:rsidRPr="00866803" w:rsidRDefault="009F6540" w:rsidP="00C656F1">
            <w:pPr>
              <w:jc w:val="center"/>
              <w:rPr>
                <w:rFonts w:ascii="Arial" w:hAnsi="Arial" w:cs="Arial"/>
                <w:sz w:val="20"/>
              </w:rPr>
            </w:pPr>
            <w:r>
              <w:rPr>
                <w:rFonts w:ascii="Arial" w:hAnsi="Arial" w:cs="Arial"/>
                <w:sz w:val="20"/>
              </w:rPr>
              <w:t>5</w:t>
            </w:r>
            <w:r w:rsidR="0075529F">
              <w:rPr>
                <w:rFonts w:ascii="Arial" w:hAnsi="Arial" w:cs="Arial"/>
                <w:sz w:val="20"/>
              </w:rPr>
              <w:t>,</w:t>
            </w:r>
            <w:r>
              <w:rPr>
                <w:rFonts w:ascii="Arial" w:hAnsi="Arial" w:cs="Arial"/>
                <w:sz w:val="20"/>
              </w:rPr>
              <w:t>500</w:t>
            </w:r>
            <w:r w:rsidR="00ED70F3" w:rsidRPr="00866803">
              <w:rPr>
                <w:rFonts w:ascii="Arial" w:hAnsi="Arial" w:cs="Arial"/>
                <w:sz w:val="20"/>
              </w:rPr>
              <w:t xml:space="preserve"> hours</w:t>
            </w:r>
          </w:p>
        </w:tc>
      </w:tr>
      <w:tr w:rsidR="00ED70F3" w:rsidRPr="00866803" w14:paraId="3E2BE63B" w14:textId="77777777" w:rsidTr="00C656F1">
        <w:trPr>
          <w:trHeight w:val="470"/>
        </w:trPr>
        <w:tc>
          <w:tcPr>
            <w:tcW w:w="2726" w:type="dxa"/>
            <w:shd w:val="clear" w:color="auto" w:fill="auto"/>
            <w:vAlign w:val="center"/>
          </w:tcPr>
          <w:p w14:paraId="5CA3A154" w14:textId="77777777" w:rsidR="00ED70F3" w:rsidRPr="00866803" w:rsidRDefault="00ED70F3" w:rsidP="00C656F1">
            <w:pPr>
              <w:jc w:val="center"/>
              <w:rPr>
                <w:rFonts w:ascii="Arial" w:hAnsi="Arial" w:cs="Arial"/>
                <w:sz w:val="20"/>
              </w:rPr>
            </w:pPr>
          </w:p>
        </w:tc>
        <w:tc>
          <w:tcPr>
            <w:tcW w:w="2217" w:type="dxa"/>
            <w:shd w:val="clear" w:color="auto" w:fill="auto"/>
            <w:vAlign w:val="center"/>
          </w:tcPr>
          <w:p w14:paraId="0C70FF0B" w14:textId="77777777" w:rsidR="00ED70F3" w:rsidRPr="00866803" w:rsidRDefault="00ED70F3" w:rsidP="00C656F1">
            <w:pPr>
              <w:jc w:val="center"/>
              <w:rPr>
                <w:rFonts w:ascii="Arial" w:hAnsi="Arial" w:cs="Arial"/>
                <w:sz w:val="20"/>
              </w:rPr>
            </w:pPr>
          </w:p>
        </w:tc>
        <w:tc>
          <w:tcPr>
            <w:tcW w:w="2444" w:type="dxa"/>
            <w:shd w:val="clear" w:color="auto" w:fill="auto"/>
            <w:vAlign w:val="center"/>
          </w:tcPr>
          <w:p w14:paraId="65F4EF35" w14:textId="77777777" w:rsidR="00ED70F3" w:rsidRPr="00866803" w:rsidRDefault="00ED70F3" w:rsidP="00C656F1">
            <w:pPr>
              <w:jc w:val="center"/>
              <w:rPr>
                <w:rFonts w:ascii="Arial" w:hAnsi="Arial" w:cs="Arial"/>
                <w:b/>
                <w:sz w:val="20"/>
              </w:rPr>
            </w:pPr>
            <w:r w:rsidRPr="00866803">
              <w:rPr>
                <w:rFonts w:ascii="Arial" w:hAnsi="Arial" w:cs="Arial"/>
                <w:b/>
                <w:sz w:val="20"/>
              </w:rPr>
              <w:t>TOTAL BURDEN HOURS</w:t>
            </w:r>
          </w:p>
        </w:tc>
        <w:tc>
          <w:tcPr>
            <w:tcW w:w="2125" w:type="dxa"/>
            <w:shd w:val="clear" w:color="auto" w:fill="auto"/>
            <w:vAlign w:val="center"/>
          </w:tcPr>
          <w:p w14:paraId="0089B686" w14:textId="77777777" w:rsidR="00ED70F3" w:rsidRPr="00866803" w:rsidRDefault="0075529F" w:rsidP="00136494">
            <w:pPr>
              <w:jc w:val="center"/>
              <w:rPr>
                <w:rFonts w:ascii="Arial" w:hAnsi="Arial" w:cs="Arial"/>
                <w:b/>
                <w:sz w:val="20"/>
              </w:rPr>
            </w:pPr>
            <w:r>
              <w:rPr>
                <w:rFonts w:ascii="Arial" w:hAnsi="Arial" w:cs="Arial"/>
                <w:b/>
                <w:sz w:val="20"/>
              </w:rPr>
              <w:t>1</w:t>
            </w:r>
            <w:r w:rsidR="00997BA9">
              <w:rPr>
                <w:rFonts w:ascii="Arial" w:hAnsi="Arial" w:cs="Arial"/>
                <w:b/>
                <w:sz w:val="20"/>
              </w:rPr>
              <w:t>1</w:t>
            </w:r>
            <w:r w:rsidR="00ED70F3" w:rsidRPr="00866803">
              <w:rPr>
                <w:rFonts w:ascii="Arial" w:hAnsi="Arial" w:cs="Arial"/>
                <w:b/>
                <w:sz w:val="20"/>
              </w:rPr>
              <w:t>,</w:t>
            </w:r>
            <w:r>
              <w:rPr>
                <w:rFonts w:ascii="Arial" w:hAnsi="Arial" w:cs="Arial"/>
                <w:b/>
                <w:sz w:val="20"/>
              </w:rPr>
              <w:t>1</w:t>
            </w:r>
            <w:r w:rsidR="00136494">
              <w:rPr>
                <w:rFonts w:ascii="Arial" w:hAnsi="Arial" w:cs="Arial"/>
                <w:b/>
                <w:sz w:val="20"/>
              </w:rPr>
              <w:t>44</w:t>
            </w:r>
            <w:r w:rsidR="00ED70F3" w:rsidRPr="00866803">
              <w:rPr>
                <w:rFonts w:ascii="Arial" w:hAnsi="Arial" w:cs="Arial"/>
                <w:b/>
                <w:sz w:val="20"/>
              </w:rPr>
              <w:t xml:space="preserve"> hours</w:t>
            </w:r>
          </w:p>
        </w:tc>
      </w:tr>
    </w:tbl>
    <w:p w14:paraId="352C3E13" w14:textId="77777777" w:rsidR="00ED70F3" w:rsidRPr="00866803" w:rsidRDefault="00ED70F3" w:rsidP="00ED70F3">
      <w:pPr>
        <w:rPr>
          <w:rFonts w:ascii="Arial" w:hAnsi="Arial" w:cs="Arial"/>
          <w:i/>
          <w:sz w:val="22"/>
          <w:szCs w:val="22"/>
        </w:rPr>
      </w:pPr>
    </w:p>
    <w:p w14:paraId="7D563FA2" w14:textId="77777777" w:rsidR="00C927DC" w:rsidRDefault="00C927DC" w:rsidP="00C927DC">
      <w:pPr>
        <w:rPr>
          <w:rFonts w:ascii="Arial" w:hAnsi="Arial" w:cs="Arial"/>
          <w:i/>
          <w:sz w:val="18"/>
          <w:szCs w:val="18"/>
        </w:rPr>
      </w:pPr>
      <w:r w:rsidRPr="00C927DC">
        <w:rPr>
          <w:rFonts w:ascii="Arial" w:hAnsi="Arial" w:cs="Arial"/>
          <w:i/>
          <w:sz w:val="18"/>
          <w:szCs w:val="18"/>
        </w:rPr>
        <w:t>* The estimate for the Reminder emails is based on the assumption that 50% of the needed respondents will complete the survey online in time to not receive the Reminder email.</w:t>
      </w:r>
      <w:r w:rsidR="0092353A">
        <w:rPr>
          <w:rFonts w:ascii="Arial" w:hAnsi="Arial" w:cs="Arial"/>
          <w:i/>
          <w:sz w:val="18"/>
          <w:szCs w:val="18"/>
        </w:rPr>
        <w:t xml:space="preserve"> </w:t>
      </w:r>
    </w:p>
    <w:p w14:paraId="70D416CB" w14:textId="77777777" w:rsidR="00C656F1" w:rsidRPr="00866803" w:rsidRDefault="00C656F1" w:rsidP="00C927DC">
      <w:pPr>
        <w:rPr>
          <w:rFonts w:ascii="Arial" w:hAnsi="Arial" w:cs="Arial"/>
          <w:i/>
          <w:sz w:val="18"/>
          <w:szCs w:val="18"/>
        </w:rPr>
      </w:pPr>
      <w:r>
        <w:rPr>
          <w:rFonts w:ascii="Arial" w:hAnsi="Arial" w:cs="Arial"/>
          <w:i/>
          <w:sz w:val="18"/>
          <w:szCs w:val="18"/>
        </w:rPr>
        <w:t xml:space="preserve">** Participant time is based on mean completion time </w:t>
      </w:r>
      <w:r w:rsidR="00673FD0">
        <w:rPr>
          <w:rFonts w:ascii="Arial" w:hAnsi="Arial" w:cs="Arial"/>
          <w:i/>
          <w:sz w:val="18"/>
          <w:szCs w:val="18"/>
        </w:rPr>
        <w:t xml:space="preserve">for </w:t>
      </w:r>
      <w:r w:rsidR="00DC0489">
        <w:rPr>
          <w:rFonts w:ascii="Arial" w:hAnsi="Arial" w:cs="Arial"/>
          <w:i/>
          <w:sz w:val="18"/>
          <w:szCs w:val="18"/>
        </w:rPr>
        <w:t xml:space="preserve">non-probability </w:t>
      </w:r>
      <w:r w:rsidR="00673FD0">
        <w:rPr>
          <w:rFonts w:ascii="Arial" w:hAnsi="Arial" w:cs="Arial"/>
          <w:i/>
          <w:sz w:val="18"/>
          <w:szCs w:val="18"/>
        </w:rPr>
        <w:t xml:space="preserve">panel members </w:t>
      </w:r>
      <w:r>
        <w:rPr>
          <w:rFonts w:ascii="Arial" w:hAnsi="Arial" w:cs="Arial"/>
          <w:i/>
          <w:sz w:val="18"/>
          <w:szCs w:val="18"/>
        </w:rPr>
        <w:t>during pilot survey fielding.</w:t>
      </w:r>
    </w:p>
    <w:p w14:paraId="137B6E26" w14:textId="77777777" w:rsidR="00ED70F3" w:rsidRPr="00866803" w:rsidRDefault="00ED70F3" w:rsidP="00ED70F3">
      <w:pPr>
        <w:rPr>
          <w:rFonts w:ascii="Arial" w:hAnsi="Arial" w:cs="Arial"/>
          <w:sz w:val="22"/>
          <w:szCs w:val="22"/>
        </w:rPr>
      </w:pPr>
    </w:p>
    <w:p w14:paraId="013D59C9" w14:textId="77777777" w:rsidR="00330F43" w:rsidRPr="00866803"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Costs to Respondents</w:t>
      </w:r>
    </w:p>
    <w:p w14:paraId="29AA2D6B" w14:textId="77777777" w:rsidR="00330F43" w:rsidRPr="00866803" w:rsidRDefault="00330F43" w:rsidP="00330F43">
      <w:pPr>
        <w:widowControl/>
        <w:overflowPunct/>
        <w:autoSpaceDE/>
        <w:autoSpaceDN/>
        <w:adjustRightInd/>
        <w:contextualSpacing/>
        <w:textAlignment w:val="auto"/>
        <w:rPr>
          <w:rFonts w:ascii="Arial" w:hAnsi="Arial" w:cs="Arial"/>
          <w:b/>
          <w:sz w:val="22"/>
          <w:szCs w:val="22"/>
        </w:rPr>
      </w:pPr>
    </w:p>
    <w:p w14:paraId="009D1A99" w14:textId="77777777" w:rsidR="00383948" w:rsidRDefault="00383948" w:rsidP="00330F43">
      <w:pPr>
        <w:widowControl/>
        <w:tabs>
          <w:tab w:val="left" w:pos="855"/>
        </w:tabs>
        <w:overflowPunct/>
        <w:autoSpaceDE/>
        <w:autoSpaceDN/>
        <w:adjustRightInd/>
        <w:textAlignment w:val="auto"/>
        <w:rPr>
          <w:rFonts w:ascii="Arial" w:hAnsi="Arial" w:cs="Arial"/>
          <w:sz w:val="22"/>
          <w:szCs w:val="22"/>
        </w:rPr>
      </w:pPr>
      <w:r w:rsidRPr="00383948">
        <w:rPr>
          <w:rFonts w:ascii="Arial" w:hAnsi="Arial" w:cs="Arial"/>
          <w:sz w:val="22"/>
          <w:szCs w:val="22"/>
        </w:rPr>
        <w:t xml:space="preserve">As suggested by OMB, our </w:t>
      </w:r>
      <w:r w:rsidRPr="00383948">
        <w:rPr>
          <w:rFonts w:ascii="Arial" w:hAnsi="Arial" w:cs="Arial"/>
          <w:b/>
          <w:bCs/>
          <w:sz w:val="22"/>
          <w:szCs w:val="22"/>
        </w:rPr>
        <w:t>Federal Register Notice</w:t>
      </w:r>
      <w:r w:rsidRPr="00383948">
        <w:rPr>
          <w:rFonts w:ascii="Arial" w:hAnsi="Arial" w:cs="Arial"/>
          <w:sz w:val="22"/>
          <w:szCs w:val="22"/>
        </w:rPr>
        <w:t xml:space="preserve"> dated </w:t>
      </w:r>
      <w:r w:rsidRPr="00383948">
        <w:rPr>
          <w:rFonts w:ascii="Arial" w:hAnsi="Arial" w:cs="Arial"/>
          <w:b/>
          <w:bCs/>
          <w:sz w:val="22"/>
          <w:szCs w:val="22"/>
        </w:rPr>
        <w:t xml:space="preserve">November </w:t>
      </w:r>
      <w:r>
        <w:rPr>
          <w:rFonts w:ascii="Arial" w:hAnsi="Arial" w:cs="Arial"/>
          <w:b/>
          <w:bCs/>
          <w:sz w:val="22"/>
          <w:szCs w:val="22"/>
        </w:rPr>
        <w:t>2</w:t>
      </w:r>
      <w:r w:rsidRPr="00383948">
        <w:rPr>
          <w:rFonts w:ascii="Arial" w:hAnsi="Arial" w:cs="Arial"/>
          <w:b/>
          <w:bCs/>
          <w:sz w:val="22"/>
          <w:szCs w:val="22"/>
        </w:rPr>
        <w:t xml:space="preserve">, 2015, </w:t>
      </w:r>
      <w:r w:rsidRPr="00383948">
        <w:rPr>
          <w:rFonts w:ascii="Arial" w:hAnsi="Arial" w:cs="Arial"/>
          <w:sz w:val="22"/>
          <w:szCs w:val="22"/>
        </w:rPr>
        <w:t>requested public comments on estimates of cost burden that are not captured in the estimates of burden hours, i.e., estimates of capital or start-up costs and costs of operation, maintenance, and purchase of services to provide information.</w:t>
      </w:r>
      <w:r w:rsidR="0092353A">
        <w:rPr>
          <w:rFonts w:ascii="Arial" w:hAnsi="Arial" w:cs="Arial"/>
          <w:sz w:val="22"/>
          <w:szCs w:val="22"/>
        </w:rPr>
        <w:t xml:space="preserve"> </w:t>
      </w:r>
      <w:r w:rsidRPr="00383948">
        <w:rPr>
          <w:rFonts w:ascii="Arial" w:hAnsi="Arial" w:cs="Arial"/>
          <w:sz w:val="22"/>
          <w:szCs w:val="22"/>
        </w:rPr>
        <w:t>However, we did not receive any responses from taxpayers on this subject.</w:t>
      </w:r>
    </w:p>
    <w:p w14:paraId="26120B74" w14:textId="77777777" w:rsidR="00383948" w:rsidRDefault="00383948" w:rsidP="00330F43">
      <w:pPr>
        <w:widowControl/>
        <w:tabs>
          <w:tab w:val="left" w:pos="855"/>
        </w:tabs>
        <w:overflowPunct/>
        <w:autoSpaceDE/>
        <w:autoSpaceDN/>
        <w:adjustRightInd/>
        <w:textAlignment w:val="auto"/>
        <w:rPr>
          <w:rFonts w:ascii="Arial" w:hAnsi="Arial" w:cs="Arial"/>
          <w:sz w:val="22"/>
          <w:szCs w:val="22"/>
        </w:rPr>
      </w:pPr>
    </w:p>
    <w:p w14:paraId="1D4E3540" w14:textId="77777777" w:rsidR="00330F43" w:rsidRPr="00866803" w:rsidRDefault="00AC02F7" w:rsidP="00330F43">
      <w:pPr>
        <w:widowControl/>
        <w:tabs>
          <w:tab w:val="left" w:pos="855"/>
        </w:tabs>
        <w:overflowPunct/>
        <w:autoSpaceDE/>
        <w:autoSpaceDN/>
        <w:adjustRightInd/>
        <w:textAlignment w:val="auto"/>
        <w:rPr>
          <w:rFonts w:ascii="Arial" w:hAnsi="Arial" w:cs="Arial"/>
          <w:sz w:val="22"/>
          <w:szCs w:val="22"/>
        </w:rPr>
      </w:pPr>
      <w:r w:rsidRPr="00AC02F7">
        <w:rPr>
          <w:rFonts w:ascii="Arial" w:hAnsi="Arial" w:cs="Arial"/>
          <w:sz w:val="22"/>
          <w:szCs w:val="22"/>
        </w:rPr>
        <w:t xml:space="preserve">There are no </w:t>
      </w:r>
      <w:r>
        <w:rPr>
          <w:rFonts w:ascii="Arial" w:hAnsi="Arial" w:cs="Arial"/>
          <w:sz w:val="22"/>
          <w:szCs w:val="22"/>
        </w:rPr>
        <w:t>costs to respondents</w:t>
      </w:r>
      <w:r w:rsidRPr="00AC02F7">
        <w:rPr>
          <w:rFonts w:ascii="Arial" w:hAnsi="Arial" w:cs="Arial"/>
          <w:sz w:val="22"/>
          <w:szCs w:val="22"/>
        </w:rPr>
        <w:t xml:space="preserve"> affected by this collection</w:t>
      </w:r>
      <w:r>
        <w:rPr>
          <w:rFonts w:ascii="Arial" w:hAnsi="Arial" w:cs="Arial"/>
          <w:sz w:val="22"/>
          <w:szCs w:val="22"/>
        </w:rPr>
        <w:t>.</w:t>
      </w:r>
      <w:r w:rsidR="0092353A">
        <w:rPr>
          <w:rFonts w:ascii="Arial" w:hAnsi="Arial" w:cs="Arial"/>
          <w:sz w:val="22"/>
          <w:szCs w:val="22"/>
        </w:rPr>
        <w:t xml:space="preserve"> </w:t>
      </w:r>
      <w:r w:rsidR="00330F43" w:rsidRPr="00866803">
        <w:rPr>
          <w:rFonts w:ascii="Arial" w:hAnsi="Arial" w:cs="Arial"/>
          <w:sz w:val="22"/>
          <w:szCs w:val="22"/>
        </w:rPr>
        <w:tab/>
      </w:r>
    </w:p>
    <w:p w14:paraId="5C5DA640" w14:textId="77777777" w:rsidR="00330F43" w:rsidRPr="00866803" w:rsidRDefault="00330F43" w:rsidP="00330F43">
      <w:pPr>
        <w:pStyle w:val="BodyText"/>
        <w:widowControl/>
        <w:tabs>
          <w:tab w:val="left" w:pos="1080"/>
        </w:tabs>
        <w:rPr>
          <w:rFonts w:ascii="Arial" w:hAnsi="Arial" w:cs="Arial"/>
          <w:b/>
          <w:color w:val="auto"/>
          <w:sz w:val="22"/>
          <w:szCs w:val="22"/>
          <w:u w:val="single"/>
        </w:rPr>
      </w:pPr>
    </w:p>
    <w:p w14:paraId="0FBFC277" w14:textId="77777777" w:rsidR="00330F43" w:rsidRPr="00866803"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Cost to Federal Government</w:t>
      </w:r>
    </w:p>
    <w:p w14:paraId="4A940135" w14:textId="77777777" w:rsidR="00330F43" w:rsidRPr="00866803" w:rsidRDefault="00330F43" w:rsidP="00330F43">
      <w:pPr>
        <w:widowControl/>
        <w:overflowPunct/>
        <w:autoSpaceDE/>
        <w:autoSpaceDN/>
        <w:adjustRightInd/>
        <w:contextualSpacing/>
        <w:textAlignment w:val="auto"/>
        <w:rPr>
          <w:rFonts w:ascii="Arial" w:hAnsi="Arial" w:cs="Arial"/>
          <w:b/>
          <w:sz w:val="22"/>
          <w:szCs w:val="22"/>
        </w:rPr>
      </w:pPr>
    </w:p>
    <w:p w14:paraId="2AFF2E04" w14:textId="77777777" w:rsidR="00330F43" w:rsidRPr="00866803" w:rsidRDefault="00EE6041" w:rsidP="00330F43">
      <w:pPr>
        <w:widowControl/>
        <w:overflowPunct/>
        <w:autoSpaceDE/>
        <w:autoSpaceDN/>
        <w:adjustRightInd/>
        <w:textAlignment w:val="auto"/>
        <w:rPr>
          <w:rFonts w:ascii="Arial" w:hAnsi="Arial" w:cs="Arial"/>
          <w:sz w:val="22"/>
          <w:szCs w:val="22"/>
        </w:rPr>
      </w:pPr>
      <w:r w:rsidRPr="00866803">
        <w:rPr>
          <w:rFonts w:ascii="Arial" w:hAnsi="Arial" w:cs="Arial"/>
          <w:sz w:val="22"/>
          <w:szCs w:val="22"/>
        </w:rPr>
        <w:t xml:space="preserve">The cost is </w:t>
      </w:r>
      <w:r w:rsidR="00D540D6">
        <w:rPr>
          <w:rFonts w:ascii="Arial" w:hAnsi="Arial" w:cs="Arial"/>
          <w:sz w:val="22"/>
          <w:szCs w:val="22"/>
        </w:rPr>
        <w:t>$</w:t>
      </w:r>
      <w:r w:rsidR="004816DF">
        <w:rPr>
          <w:rFonts w:ascii="Arial" w:hAnsi="Arial" w:cs="Arial"/>
          <w:sz w:val="22"/>
          <w:szCs w:val="22"/>
        </w:rPr>
        <w:t>410</w:t>
      </w:r>
      <w:r w:rsidR="004A5145">
        <w:rPr>
          <w:rFonts w:ascii="Arial" w:hAnsi="Arial" w:cs="Arial"/>
          <w:sz w:val="22"/>
          <w:szCs w:val="22"/>
        </w:rPr>
        <w:t>,</w:t>
      </w:r>
      <w:r w:rsidR="004816DF">
        <w:rPr>
          <w:rFonts w:ascii="Arial" w:hAnsi="Arial" w:cs="Arial"/>
          <w:sz w:val="22"/>
          <w:szCs w:val="22"/>
        </w:rPr>
        <w:t>550</w:t>
      </w:r>
      <w:r w:rsidR="004A5145">
        <w:rPr>
          <w:rFonts w:ascii="Arial" w:hAnsi="Arial" w:cs="Arial"/>
          <w:sz w:val="22"/>
          <w:szCs w:val="22"/>
        </w:rPr>
        <w:t>.</w:t>
      </w:r>
      <w:r w:rsidR="004816DF">
        <w:rPr>
          <w:rFonts w:ascii="Arial" w:hAnsi="Arial" w:cs="Arial"/>
          <w:sz w:val="22"/>
          <w:szCs w:val="22"/>
        </w:rPr>
        <w:t xml:space="preserve">63 </w:t>
      </w:r>
      <w:r w:rsidR="00D540D6">
        <w:rPr>
          <w:rFonts w:ascii="Arial" w:hAnsi="Arial" w:cs="Arial"/>
          <w:sz w:val="22"/>
          <w:szCs w:val="22"/>
        </w:rPr>
        <w:t xml:space="preserve">for </w:t>
      </w:r>
      <w:r w:rsidR="00C656F1">
        <w:rPr>
          <w:rFonts w:ascii="Arial" w:hAnsi="Arial" w:cs="Arial"/>
          <w:sz w:val="22"/>
          <w:szCs w:val="22"/>
        </w:rPr>
        <w:t xml:space="preserve">fielding with </w:t>
      </w:r>
      <w:r w:rsidR="00DC0489">
        <w:rPr>
          <w:rFonts w:ascii="Arial" w:hAnsi="Arial" w:cs="Arial"/>
          <w:sz w:val="22"/>
          <w:szCs w:val="22"/>
        </w:rPr>
        <w:t>the non-probability panel</w:t>
      </w:r>
      <w:r w:rsidRPr="00866803">
        <w:rPr>
          <w:rFonts w:ascii="Arial" w:hAnsi="Arial" w:cs="Arial"/>
          <w:sz w:val="22"/>
          <w:szCs w:val="22"/>
        </w:rPr>
        <w:t xml:space="preserve">. This cost </w:t>
      </w:r>
      <w:r w:rsidR="00D540D6">
        <w:rPr>
          <w:rFonts w:ascii="Arial" w:hAnsi="Arial" w:cs="Arial"/>
          <w:sz w:val="22"/>
          <w:szCs w:val="22"/>
        </w:rPr>
        <w:t xml:space="preserve">would be </w:t>
      </w:r>
      <w:r w:rsidRPr="00866803">
        <w:rPr>
          <w:rFonts w:ascii="Arial" w:hAnsi="Arial" w:cs="Arial"/>
          <w:sz w:val="22"/>
          <w:szCs w:val="22"/>
        </w:rPr>
        <w:t xml:space="preserve">a portion of the total contract cost, </w:t>
      </w:r>
      <w:r w:rsidR="00D41CB5">
        <w:rPr>
          <w:rFonts w:ascii="Arial" w:hAnsi="Arial" w:cs="Arial"/>
          <w:sz w:val="22"/>
          <w:szCs w:val="22"/>
        </w:rPr>
        <w:t>which includes analysis and reporting</w:t>
      </w:r>
      <w:r w:rsidRPr="00866803">
        <w:rPr>
          <w:rFonts w:ascii="Arial" w:hAnsi="Arial" w:cs="Arial"/>
          <w:sz w:val="22"/>
          <w:szCs w:val="22"/>
        </w:rPr>
        <w:t>.</w:t>
      </w:r>
      <w:r w:rsidR="00330F43" w:rsidRPr="00866803">
        <w:rPr>
          <w:rFonts w:ascii="Arial" w:hAnsi="Arial" w:cs="Arial"/>
          <w:sz w:val="22"/>
          <w:szCs w:val="22"/>
        </w:rPr>
        <w:t xml:space="preserve"> </w:t>
      </w:r>
    </w:p>
    <w:p w14:paraId="1A95082D" w14:textId="77777777" w:rsidR="00330F43" w:rsidRPr="00866803" w:rsidRDefault="00330F43" w:rsidP="00330F43">
      <w:pPr>
        <w:widowControl/>
        <w:tabs>
          <w:tab w:val="left" w:pos="1785"/>
        </w:tabs>
        <w:overflowPunct/>
        <w:autoSpaceDE/>
        <w:autoSpaceDN/>
        <w:adjustRightInd/>
        <w:textAlignment w:val="auto"/>
        <w:rPr>
          <w:rFonts w:ascii="Arial" w:hAnsi="Arial" w:cs="Arial"/>
          <w:b/>
          <w:sz w:val="22"/>
          <w:szCs w:val="22"/>
        </w:rPr>
      </w:pPr>
      <w:r w:rsidRPr="00866803">
        <w:rPr>
          <w:rFonts w:ascii="Arial" w:hAnsi="Arial" w:cs="Arial"/>
          <w:b/>
          <w:sz w:val="22"/>
          <w:szCs w:val="22"/>
        </w:rPr>
        <w:tab/>
      </w:r>
    </w:p>
    <w:p w14:paraId="62676D14" w14:textId="77777777" w:rsidR="00330F43" w:rsidRPr="00866803"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Reason for Change</w:t>
      </w:r>
    </w:p>
    <w:p w14:paraId="34D08417" w14:textId="77777777" w:rsidR="00BD2B24" w:rsidRPr="00866803" w:rsidRDefault="00BD2B24" w:rsidP="00BD2B24">
      <w:pPr>
        <w:widowControl/>
        <w:overflowPunct/>
        <w:autoSpaceDE/>
        <w:autoSpaceDN/>
        <w:adjustRightInd/>
        <w:contextualSpacing/>
        <w:textAlignment w:val="auto"/>
        <w:rPr>
          <w:rFonts w:ascii="Arial" w:hAnsi="Arial" w:cs="Arial"/>
          <w:b/>
          <w:sz w:val="22"/>
          <w:szCs w:val="22"/>
        </w:rPr>
      </w:pPr>
    </w:p>
    <w:p w14:paraId="3E682871" w14:textId="77777777" w:rsidR="00330F43" w:rsidRDefault="00AC02F7" w:rsidP="00330F43">
      <w:pPr>
        <w:pStyle w:val="BodyText"/>
        <w:widowControl/>
        <w:tabs>
          <w:tab w:val="left" w:pos="1080"/>
        </w:tabs>
        <w:rPr>
          <w:rFonts w:ascii="Arial" w:hAnsi="Arial" w:cs="Arial"/>
          <w:color w:val="auto"/>
          <w:sz w:val="22"/>
          <w:szCs w:val="22"/>
        </w:rPr>
      </w:pPr>
      <w:r w:rsidRPr="00AC02F7">
        <w:rPr>
          <w:rFonts w:ascii="Arial" w:hAnsi="Arial" w:cs="Arial"/>
          <w:color w:val="auto"/>
          <w:sz w:val="22"/>
          <w:szCs w:val="22"/>
        </w:rPr>
        <w:t>The main goal for this survey effort is to generate statistically valid estimates of tipped income in a variety of services for which no such estimates exist, in addition to providing information on other correlates of tipped income and behavior including, but not limited to, regional or seasonal fluctuations in tipped income.</w:t>
      </w:r>
      <w:r w:rsidR="0092353A">
        <w:rPr>
          <w:rFonts w:ascii="Arial" w:hAnsi="Arial" w:cs="Arial"/>
          <w:color w:val="auto"/>
          <w:sz w:val="22"/>
          <w:szCs w:val="22"/>
        </w:rPr>
        <w:t xml:space="preserve"> </w:t>
      </w:r>
      <w:r w:rsidRPr="00AC02F7">
        <w:rPr>
          <w:rFonts w:ascii="Arial" w:hAnsi="Arial" w:cs="Arial"/>
          <w:color w:val="auto"/>
          <w:sz w:val="22"/>
          <w:szCs w:val="22"/>
        </w:rPr>
        <w:t xml:space="preserve">As such, this survey effort requests a full-fielding of the previously tested pilot survey for </w:t>
      </w:r>
      <w:r w:rsidR="0089409B">
        <w:rPr>
          <w:rFonts w:ascii="Arial" w:hAnsi="Arial" w:cs="Arial"/>
          <w:color w:val="auto"/>
          <w:sz w:val="22"/>
          <w:szCs w:val="22"/>
        </w:rPr>
        <w:t xml:space="preserve">a full </w:t>
      </w:r>
      <w:r w:rsidRPr="00AC02F7">
        <w:rPr>
          <w:rFonts w:ascii="Arial" w:hAnsi="Arial" w:cs="Arial"/>
          <w:color w:val="auto"/>
          <w:sz w:val="22"/>
          <w:szCs w:val="22"/>
        </w:rPr>
        <w:t>calendar year.</w:t>
      </w:r>
      <w:r w:rsidR="0092353A">
        <w:rPr>
          <w:rFonts w:ascii="Arial" w:hAnsi="Arial" w:cs="Arial"/>
          <w:color w:val="auto"/>
          <w:sz w:val="22"/>
          <w:szCs w:val="22"/>
        </w:rPr>
        <w:t xml:space="preserve"> </w:t>
      </w:r>
      <w:r w:rsidRPr="00AC02F7">
        <w:rPr>
          <w:rFonts w:ascii="Arial" w:hAnsi="Arial" w:cs="Arial"/>
          <w:color w:val="auto"/>
          <w:sz w:val="22"/>
          <w:szCs w:val="22"/>
        </w:rPr>
        <w:t>This will result in an estimated burden increase of 6,427 hours. This form is being submitted to update the current OMB approval.</w:t>
      </w:r>
    </w:p>
    <w:p w14:paraId="3CE458D5" w14:textId="77777777" w:rsidR="00AC02F7" w:rsidRPr="00866803" w:rsidRDefault="00AC02F7" w:rsidP="00330F43">
      <w:pPr>
        <w:pStyle w:val="BodyText"/>
        <w:widowControl/>
        <w:tabs>
          <w:tab w:val="left" w:pos="1080"/>
        </w:tabs>
        <w:rPr>
          <w:rFonts w:ascii="Arial" w:hAnsi="Arial" w:cs="Arial"/>
          <w:b/>
          <w:color w:val="auto"/>
          <w:sz w:val="22"/>
          <w:szCs w:val="22"/>
          <w:u w:val="single"/>
        </w:rPr>
      </w:pPr>
    </w:p>
    <w:p w14:paraId="1F30BECB" w14:textId="77777777" w:rsidR="00D748C8" w:rsidRPr="00866803" w:rsidRDefault="00D748C8" w:rsidP="00D748C8">
      <w:pPr>
        <w:pStyle w:val="ListParagraph"/>
        <w:numPr>
          <w:ilvl w:val="0"/>
          <w:numId w:val="26"/>
        </w:numPr>
        <w:ind w:left="0"/>
        <w:rPr>
          <w:rFonts w:ascii="Arial" w:hAnsi="Arial" w:cs="Arial"/>
          <w:b/>
          <w:sz w:val="22"/>
          <w:szCs w:val="22"/>
        </w:rPr>
      </w:pPr>
      <w:r w:rsidRPr="00866803">
        <w:rPr>
          <w:rFonts w:ascii="Arial" w:hAnsi="Arial" w:cs="Arial"/>
          <w:b/>
          <w:sz w:val="22"/>
          <w:szCs w:val="22"/>
        </w:rPr>
        <w:t>Tabulation of Results, Schedule, Analysis Plans</w:t>
      </w:r>
    </w:p>
    <w:p w14:paraId="2C143C4D" w14:textId="77777777" w:rsidR="00333882" w:rsidRPr="00866803" w:rsidRDefault="00333882" w:rsidP="004B1BE0">
      <w:pPr>
        <w:rPr>
          <w:rFonts w:ascii="Arial" w:hAnsi="Arial" w:cs="Arial"/>
          <w:bCs/>
          <w:sz w:val="22"/>
          <w:szCs w:val="22"/>
        </w:rPr>
      </w:pPr>
    </w:p>
    <w:p w14:paraId="1F5A258C" w14:textId="77777777" w:rsidR="00873F5C" w:rsidRPr="00866803" w:rsidRDefault="0089409B" w:rsidP="00873F5C">
      <w:pPr>
        <w:rPr>
          <w:rFonts w:ascii="Arial" w:hAnsi="Arial" w:cs="Arial"/>
          <w:bCs/>
          <w:sz w:val="22"/>
          <w:szCs w:val="22"/>
        </w:rPr>
      </w:pPr>
      <w:r>
        <w:rPr>
          <w:rFonts w:ascii="Arial" w:hAnsi="Arial" w:cs="Arial"/>
          <w:bCs/>
          <w:sz w:val="22"/>
          <w:szCs w:val="22"/>
        </w:rPr>
        <w:t xml:space="preserve">The contractor </w:t>
      </w:r>
      <w:r w:rsidR="00EE291F">
        <w:rPr>
          <w:rFonts w:ascii="Arial" w:hAnsi="Arial" w:cs="Arial"/>
          <w:bCs/>
          <w:sz w:val="22"/>
          <w:szCs w:val="22"/>
        </w:rPr>
        <w:t xml:space="preserve">FMG </w:t>
      </w:r>
      <w:r w:rsidR="004B1BE0" w:rsidRPr="00866803">
        <w:rPr>
          <w:rFonts w:ascii="Arial" w:hAnsi="Arial" w:cs="Arial"/>
          <w:bCs/>
          <w:sz w:val="22"/>
          <w:szCs w:val="22"/>
        </w:rPr>
        <w:t xml:space="preserve">will administer </w:t>
      </w:r>
      <w:r w:rsidR="005E34FB" w:rsidRPr="00866803">
        <w:rPr>
          <w:rFonts w:ascii="Arial" w:hAnsi="Arial" w:cs="Arial"/>
          <w:bCs/>
          <w:sz w:val="22"/>
          <w:szCs w:val="22"/>
        </w:rPr>
        <w:t>survey</w:t>
      </w:r>
      <w:r w:rsidR="007B0411" w:rsidRPr="00866803">
        <w:rPr>
          <w:rFonts w:ascii="Arial" w:hAnsi="Arial" w:cs="Arial"/>
          <w:bCs/>
          <w:sz w:val="22"/>
          <w:szCs w:val="22"/>
        </w:rPr>
        <w:t>s</w:t>
      </w:r>
      <w:r w:rsidR="005E34FB" w:rsidRPr="00866803">
        <w:rPr>
          <w:rFonts w:ascii="Arial" w:hAnsi="Arial" w:cs="Arial"/>
          <w:bCs/>
          <w:sz w:val="22"/>
          <w:szCs w:val="22"/>
        </w:rPr>
        <w:t xml:space="preserve"> using an online</w:t>
      </w:r>
      <w:r w:rsidR="00DC0489">
        <w:rPr>
          <w:rFonts w:ascii="Arial" w:hAnsi="Arial" w:cs="Arial"/>
          <w:bCs/>
          <w:sz w:val="22"/>
          <w:szCs w:val="22"/>
        </w:rPr>
        <w:t xml:space="preserve">, </w:t>
      </w:r>
      <w:r w:rsidR="00DC0489">
        <w:rPr>
          <w:rFonts w:ascii="Arial" w:hAnsi="Arial" w:cs="Arial"/>
          <w:sz w:val="22"/>
          <w:szCs w:val="22"/>
        </w:rPr>
        <w:t>non-probability</w:t>
      </w:r>
      <w:r w:rsidR="005E34FB" w:rsidRPr="00866803">
        <w:rPr>
          <w:rFonts w:ascii="Arial" w:hAnsi="Arial" w:cs="Arial"/>
          <w:bCs/>
          <w:sz w:val="22"/>
          <w:szCs w:val="22"/>
        </w:rPr>
        <w:t xml:space="preserve"> panel.</w:t>
      </w:r>
      <w:r w:rsidR="0092353A">
        <w:rPr>
          <w:rFonts w:ascii="Arial" w:hAnsi="Arial" w:cs="Arial"/>
          <w:bCs/>
          <w:sz w:val="22"/>
          <w:szCs w:val="22"/>
        </w:rPr>
        <w:t xml:space="preserve"> </w:t>
      </w:r>
      <w:r w:rsidR="005E34FB" w:rsidRPr="00866803">
        <w:rPr>
          <w:rFonts w:ascii="Arial" w:hAnsi="Arial" w:cs="Arial"/>
          <w:bCs/>
          <w:sz w:val="22"/>
          <w:szCs w:val="22"/>
        </w:rPr>
        <w:t xml:space="preserve">The survey administration will include an initial invitation email with </w:t>
      </w:r>
      <w:r w:rsidR="00267DA6" w:rsidRPr="00866803">
        <w:rPr>
          <w:rFonts w:ascii="Arial" w:hAnsi="Arial" w:cs="Arial"/>
          <w:bCs/>
          <w:sz w:val="22"/>
          <w:szCs w:val="22"/>
        </w:rPr>
        <w:t>a link to the survey as well as</w:t>
      </w:r>
      <w:r w:rsidR="001444E5" w:rsidRPr="00866803">
        <w:rPr>
          <w:rFonts w:ascii="Arial" w:hAnsi="Arial" w:cs="Arial"/>
          <w:bCs/>
          <w:sz w:val="22"/>
          <w:szCs w:val="22"/>
        </w:rPr>
        <w:t xml:space="preserve"> reminder email</w:t>
      </w:r>
      <w:r w:rsidR="00B661D3">
        <w:rPr>
          <w:rFonts w:ascii="Arial" w:hAnsi="Arial" w:cs="Arial"/>
          <w:bCs/>
          <w:sz w:val="22"/>
          <w:szCs w:val="22"/>
        </w:rPr>
        <w:t>s, as necessary</w:t>
      </w:r>
      <w:r w:rsidR="005E34FB" w:rsidRPr="00866803">
        <w:rPr>
          <w:rFonts w:ascii="Arial" w:hAnsi="Arial" w:cs="Arial"/>
          <w:bCs/>
          <w:sz w:val="22"/>
          <w:szCs w:val="22"/>
        </w:rPr>
        <w:t>.</w:t>
      </w:r>
      <w:r w:rsidR="0092353A">
        <w:rPr>
          <w:rFonts w:ascii="Arial" w:hAnsi="Arial" w:cs="Arial"/>
          <w:bCs/>
          <w:sz w:val="22"/>
          <w:szCs w:val="22"/>
        </w:rPr>
        <w:t xml:space="preserve"> </w:t>
      </w:r>
      <w:r w:rsidR="004631B2">
        <w:rPr>
          <w:rFonts w:ascii="Arial" w:hAnsi="Arial" w:cs="Arial"/>
          <w:bCs/>
          <w:sz w:val="22"/>
          <w:szCs w:val="22"/>
        </w:rPr>
        <w:t>The survey will field in a continuous manner throughout the year with sample invitations released at least three times a week.</w:t>
      </w:r>
    </w:p>
    <w:p w14:paraId="605F41F3" w14:textId="77777777" w:rsidR="004B1BE0" w:rsidRPr="00866803" w:rsidRDefault="004B1BE0" w:rsidP="004B1BE0">
      <w:pPr>
        <w:rPr>
          <w:rFonts w:ascii="Arial" w:hAnsi="Arial" w:cs="Arial"/>
          <w:bCs/>
          <w:sz w:val="22"/>
          <w:szCs w:val="22"/>
        </w:rPr>
      </w:pPr>
    </w:p>
    <w:p w14:paraId="4171FC2A" w14:textId="77777777" w:rsidR="002145D6" w:rsidRDefault="00CB13AE" w:rsidP="00975D76">
      <w:pPr>
        <w:rPr>
          <w:rFonts w:ascii="Arial" w:hAnsi="Arial" w:cs="Arial"/>
          <w:bCs/>
          <w:sz w:val="22"/>
          <w:szCs w:val="22"/>
        </w:rPr>
      </w:pPr>
      <w:r w:rsidRPr="00866803">
        <w:rPr>
          <w:rFonts w:ascii="Arial" w:hAnsi="Arial" w:cs="Arial"/>
          <w:bCs/>
          <w:sz w:val="22"/>
          <w:szCs w:val="22"/>
        </w:rPr>
        <w:t xml:space="preserve">Response rates for non-probability samples cannot be calculated since the probability is </w:t>
      </w:r>
      <w:r w:rsidRPr="00D367C3">
        <w:rPr>
          <w:rFonts w:ascii="Arial" w:hAnsi="Arial" w:cs="Arial"/>
          <w:bCs/>
          <w:sz w:val="22"/>
          <w:szCs w:val="22"/>
        </w:rPr>
        <w:t>unknown.</w:t>
      </w:r>
      <w:r w:rsidR="0092353A">
        <w:rPr>
          <w:rFonts w:ascii="Arial" w:hAnsi="Arial" w:cs="Arial"/>
          <w:bCs/>
          <w:sz w:val="22"/>
          <w:szCs w:val="22"/>
        </w:rPr>
        <w:t xml:space="preserve"> </w:t>
      </w:r>
      <w:r w:rsidR="00EB3E97">
        <w:rPr>
          <w:rFonts w:ascii="Arial" w:hAnsi="Arial" w:cs="Arial"/>
          <w:bCs/>
          <w:sz w:val="22"/>
          <w:szCs w:val="22"/>
        </w:rPr>
        <w:t xml:space="preserve">To obtain a representative transaction-average tipping rate by industry, FMG will </w:t>
      </w:r>
      <w:proofErr w:type="spellStart"/>
      <w:r w:rsidR="00EB3E97">
        <w:rPr>
          <w:rFonts w:ascii="Arial" w:hAnsi="Arial" w:cs="Arial"/>
          <w:bCs/>
          <w:sz w:val="22"/>
          <w:szCs w:val="22"/>
        </w:rPr>
        <w:t>weight</w:t>
      </w:r>
      <w:proofErr w:type="spellEnd"/>
      <w:r w:rsidR="00EB3E97">
        <w:rPr>
          <w:rFonts w:ascii="Arial" w:hAnsi="Arial" w:cs="Arial"/>
          <w:bCs/>
          <w:sz w:val="22"/>
          <w:szCs w:val="22"/>
        </w:rPr>
        <w:t xml:space="preserve"> the sample of tipping transactions. This will involve generating transaction-level weights as a function of the number of individuals in a respondent’s particular demographic-geographic strata in the population, taken from the Census or ACS, and the respondent’s predicted number of tipped transactions, obtained from the survey data.</w:t>
      </w:r>
    </w:p>
    <w:p w14:paraId="4CE3BEE2" w14:textId="77777777" w:rsidR="005B4402" w:rsidRDefault="005B4402" w:rsidP="00975D76">
      <w:pPr>
        <w:rPr>
          <w:rFonts w:ascii="Arial" w:hAnsi="Arial" w:cs="Arial"/>
          <w:bCs/>
          <w:sz w:val="22"/>
          <w:szCs w:val="22"/>
        </w:rPr>
      </w:pPr>
    </w:p>
    <w:p w14:paraId="581EC5F5" w14:textId="77777777" w:rsidR="005B4402" w:rsidRDefault="005B4402" w:rsidP="00975D76">
      <w:pPr>
        <w:rPr>
          <w:rFonts w:ascii="Arial" w:hAnsi="Arial" w:cs="Arial"/>
          <w:bCs/>
          <w:sz w:val="22"/>
          <w:szCs w:val="22"/>
        </w:rPr>
      </w:pPr>
      <w:r>
        <w:rPr>
          <w:rFonts w:ascii="Arial" w:hAnsi="Arial" w:cs="Arial"/>
          <w:bCs/>
          <w:sz w:val="22"/>
          <w:szCs w:val="22"/>
        </w:rPr>
        <w:t xml:space="preserve">FMG will provide a </w:t>
      </w:r>
      <w:r w:rsidR="00D76C8B">
        <w:rPr>
          <w:rFonts w:ascii="Arial" w:hAnsi="Arial" w:cs="Arial"/>
          <w:bCs/>
          <w:sz w:val="22"/>
          <w:szCs w:val="22"/>
        </w:rPr>
        <w:t xml:space="preserve">final, </w:t>
      </w:r>
      <w:r>
        <w:rPr>
          <w:rFonts w:ascii="Arial" w:hAnsi="Arial" w:cs="Arial"/>
          <w:bCs/>
          <w:sz w:val="22"/>
          <w:szCs w:val="22"/>
        </w:rPr>
        <w:t xml:space="preserve">detailed technical report to IRS researchers </w:t>
      </w:r>
      <w:r w:rsidR="00D76C8B">
        <w:rPr>
          <w:rFonts w:ascii="Arial" w:hAnsi="Arial" w:cs="Arial"/>
          <w:bCs/>
          <w:sz w:val="22"/>
          <w:szCs w:val="22"/>
        </w:rPr>
        <w:t xml:space="preserve">within five months of </w:t>
      </w:r>
      <w:r>
        <w:rPr>
          <w:rFonts w:ascii="Arial" w:hAnsi="Arial" w:cs="Arial"/>
          <w:bCs/>
          <w:sz w:val="22"/>
          <w:szCs w:val="22"/>
        </w:rPr>
        <w:t>conclusion of the survey effort</w:t>
      </w:r>
      <w:r w:rsidR="00D76C8B">
        <w:rPr>
          <w:rFonts w:ascii="Arial" w:hAnsi="Arial" w:cs="Arial"/>
          <w:bCs/>
          <w:sz w:val="22"/>
          <w:szCs w:val="22"/>
        </w:rPr>
        <w:t>.</w:t>
      </w:r>
      <w:r w:rsidR="0092353A">
        <w:rPr>
          <w:rFonts w:ascii="Arial" w:hAnsi="Arial" w:cs="Arial"/>
          <w:bCs/>
          <w:sz w:val="22"/>
          <w:szCs w:val="22"/>
        </w:rPr>
        <w:t xml:space="preserve"> </w:t>
      </w:r>
      <w:r w:rsidR="00D76C8B">
        <w:rPr>
          <w:rFonts w:ascii="Arial" w:hAnsi="Arial" w:cs="Arial"/>
          <w:bCs/>
          <w:sz w:val="22"/>
          <w:szCs w:val="22"/>
        </w:rPr>
        <w:t>This document will include</w:t>
      </w:r>
      <w:r w:rsidR="00D76C8B" w:rsidRPr="00D76C8B">
        <w:t xml:space="preserve"> </w:t>
      </w:r>
      <w:r w:rsidR="00D76C8B" w:rsidRPr="00D76C8B">
        <w:rPr>
          <w:rFonts w:ascii="Arial" w:hAnsi="Arial" w:cs="Arial"/>
          <w:bCs/>
          <w:sz w:val="22"/>
          <w:szCs w:val="22"/>
        </w:rPr>
        <w:t>description</w:t>
      </w:r>
      <w:r w:rsidR="00D76C8B">
        <w:rPr>
          <w:rFonts w:ascii="Arial" w:hAnsi="Arial" w:cs="Arial"/>
          <w:bCs/>
          <w:sz w:val="22"/>
          <w:szCs w:val="22"/>
        </w:rPr>
        <w:t>s</w:t>
      </w:r>
      <w:r w:rsidR="00D76C8B" w:rsidRPr="00D76C8B">
        <w:rPr>
          <w:rFonts w:ascii="Arial" w:hAnsi="Arial" w:cs="Arial"/>
          <w:bCs/>
          <w:sz w:val="22"/>
          <w:szCs w:val="22"/>
        </w:rPr>
        <w:t xml:space="preserve"> of final dispositions of the sample and outcomes rates; document the construction of questionnaire; outline sample characteristics, including the population of interest and sample description; describe data collection techniques, and procedures related to sampling and weighting</w:t>
      </w:r>
      <w:r w:rsidR="00D76C8B">
        <w:rPr>
          <w:rFonts w:ascii="Arial" w:hAnsi="Arial" w:cs="Arial"/>
          <w:bCs/>
          <w:sz w:val="22"/>
          <w:szCs w:val="22"/>
        </w:rPr>
        <w:t>.</w:t>
      </w:r>
    </w:p>
    <w:p w14:paraId="2F9D2A63" w14:textId="77777777" w:rsidR="00B50376" w:rsidRDefault="00B50376" w:rsidP="00975D76">
      <w:pPr>
        <w:rPr>
          <w:rFonts w:ascii="Arial" w:hAnsi="Arial" w:cs="Arial"/>
          <w:bCs/>
          <w:sz w:val="22"/>
          <w:szCs w:val="22"/>
        </w:rPr>
      </w:pPr>
    </w:p>
    <w:p w14:paraId="3B6FDE66" w14:textId="77777777" w:rsidR="00B50376" w:rsidRPr="00866803" w:rsidRDefault="00B50376" w:rsidP="00975D76">
      <w:pPr>
        <w:rPr>
          <w:rFonts w:ascii="Arial" w:hAnsi="Arial" w:cs="Arial"/>
          <w:bCs/>
          <w:sz w:val="22"/>
          <w:szCs w:val="22"/>
        </w:rPr>
      </w:pPr>
      <w:r w:rsidRPr="00B50376">
        <w:rPr>
          <w:rFonts w:ascii="Arial" w:hAnsi="Arial" w:cs="Arial"/>
          <w:bCs/>
          <w:sz w:val="22"/>
          <w:szCs w:val="22"/>
        </w:rPr>
        <w:t xml:space="preserve">As part of a </w:t>
      </w:r>
      <w:r w:rsidR="00071740">
        <w:rPr>
          <w:rFonts w:ascii="Arial" w:hAnsi="Arial" w:cs="Arial"/>
          <w:bCs/>
          <w:sz w:val="22"/>
          <w:szCs w:val="22"/>
        </w:rPr>
        <w:t>final</w:t>
      </w:r>
      <w:r w:rsidRPr="00B50376">
        <w:rPr>
          <w:rFonts w:ascii="Arial" w:hAnsi="Arial" w:cs="Arial"/>
          <w:bCs/>
          <w:sz w:val="22"/>
          <w:szCs w:val="22"/>
        </w:rPr>
        <w:t xml:space="preserve"> report </w:t>
      </w:r>
      <w:r w:rsidR="00071740">
        <w:rPr>
          <w:rFonts w:ascii="Arial" w:hAnsi="Arial" w:cs="Arial"/>
          <w:bCs/>
          <w:sz w:val="22"/>
          <w:szCs w:val="22"/>
        </w:rPr>
        <w:t>that will be delivered eight and a half months after completion of the survey fielding</w:t>
      </w:r>
      <w:r w:rsidRPr="00B50376">
        <w:rPr>
          <w:rFonts w:ascii="Arial" w:hAnsi="Arial" w:cs="Arial"/>
          <w:bCs/>
          <w:sz w:val="22"/>
          <w:szCs w:val="22"/>
        </w:rPr>
        <w:t>, FMG will conduct a number of analyses to generate summary estimates of tipping behavior on a number of criteria that have been identified as important and relevant to the IRS.</w:t>
      </w:r>
      <w:r w:rsidR="0092353A">
        <w:rPr>
          <w:rFonts w:ascii="Arial" w:hAnsi="Arial" w:cs="Arial"/>
          <w:bCs/>
          <w:sz w:val="22"/>
          <w:szCs w:val="22"/>
        </w:rPr>
        <w:t xml:space="preserve"> </w:t>
      </w:r>
      <w:r w:rsidRPr="00B50376">
        <w:rPr>
          <w:rFonts w:ascii="Arial" w:hAnsi="Arial" w:cs="Arial"/>
          <w:bCs/>
          <w:sz w:val="22"/>
          <w:szCs w:val="22"/>
        </w:rPr>
        <w:t>To mitigate the effect of sampling</w:t>
      </w:r>
      <w:r w:rsidR="0089409B">
        <w:rPr>
          <w:rFonts w:ascii="Arial" w:hAnsi="Arial" w:cs="Arial"/>
          <w:bCs/>
          <w:sz w:val="22"/>
          <w:szCs w:val="22"/>
        </w:rPr>
        <w:t>-</w:t>
      </w:r>
      <w:r w:rsidRPr="00B50376">
        <w:rPr>
          <w:rFonts w:ascii="Arial" w:hAnsi="Arial" w:cs="Arial"/>
          <w:bCs/>
          <w:sz w:val="22"/>
          <w:szCs w:val="22"/>
        </w:rPr>
        <w:t xml:space="preserve">induced error that results from the limited number of observations available per transaction type, we will utilize a modeling and post-stratification approach. This will involve first pooling data across transaction types and using that data to predict the tip rate for an individual transaction, where the tip rate is a function of a limited number of characteristics such as the individual’s level of education, urban/rural status, the </w:t>
      </w:r>
      <w:r w:rsidRPr="00B50376">
        <w:rPr>
          <w:rFonts w:ascii="Arial" w:hAnsi="Arial" w:cs="Arial"/>
          <w:bCs/>
          <w:sz w:val="22"/>
          <w:szCs w:val="22"/>
        </w:rPr>
        <w:lastRenderedPageBreak/>
        <w:t xml:space="preserve">industry of the establishment where the tip took place, etc. Using information on the characteristics of individuals engaging in transactions of a certain type (particular industry, geography, etc.) and the fitted model, predictions for the mean tipping and stiffing rate of all transactions of a given type can be obtained. </w:t>
      </w:r>
    </w:p>
    <w:p w14:paraId="4DB3BF01" w14:textId="77777777" w:rsidR="004B1BE0" w:rsidRPr="00866803" w:rsidRDefault="004B1BE0" w:rsidP="00567595">
      <w:pPr>
        <w:jc w:val="right"/>
        <w:rPr>
          <w:rFonts w:ascii="Arial" w:hAnsi="Arial" w:cs="Arial"/>
          <w:bCs/>
          <w:sz w:val="22"/>
          <w:szCs w:val="22"/>
        </w:rPr>
      </w:pPr>
    </w:p>
    <w:p w14:paraId="03B35BF0" w14:textId="77777777" w:rsidR="006A2122" w:rsidRPr="00866803" w:rsidRDefault="006A2122" w:rsidP="005E76F9">
      <w:pPr>
        <w:keepNext/>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Display of OMB Approval Date</w:t>
      </w:r>
    </w:p>
    <w:p w14:paraId="12DAC01C" w14:textId="77777777" w:rsidR="00D10F70" w:rsidRDefault="00D10F70" w:rsidP="005E76F9">
      <w:pPr>
        <w:keepNext/>
        <w:widowControl/>
        <w:overflowPunct/>
        <w:autoSpaceDE/>
        <w:autoSpaceDN/>
        <w:adjustRightInd/>
        <w:contextualSpacing/>
        <w:textAlignment w:val="auto"/>
        <w:rPr>
          <w:rFonts w:ascii="Arial" w:hAnsi="Arial" w:cs="Arial"/>
          <w:sz w:val="22"/>
          <w:szCs w:val="22"/>
        </w:rPr>
      </w:pPr>
    </w:p>
    <w:p w14:paraId="6D08B54E" w14:textId="77777777" w:rsidR="00AE4623" w:rsidRDefault="00D10F70" w:rsidP="006A2122">
      <w:pPr>
        <w:widowControl/>
        <w:overflowPunct/>
        <w:autoSpaceDE/>
        <w:autoSpaceDN/>
        <w:adjustRightInd/>
        <w:textAlignment w:val="auto"/>
        <w:rPr>
          <w:rFonts w:ascii="Arial" w:hAnsi="Arial" w:cs="Arial"/>
          <w:sz w:val="22"/>
          <w:szCs w:val="22"/>
        </w:rPr>
      </w:pPr>
      <w:r w:rsidRPr="00D10F70">
        <w:rPr>
          <w:rFonts w:ascii="Arial" w:hAnsi="Arial" w:cs="Arial"/>
          <w:sz w:val="22"/>
          <w:szCs w:val="22"/>
        </w:rPr>
        <w:t>We believe that displaying the OMB expiration date is inappropriate because it could cause confusion by leading taxpayers to believe that the regulation sunsets as of the expiration date.</w:t>
      </w:r>
      <w:r w:rsidR="0092353A">
        <w:rPr>
          <w:rFonts w:ascii="Arial" w:hAnsi="Arial" w:cs="Arial"/>
          <w:sz w:val="22"/>
          <w:szCs w:val="22"/>
        </w:rPr>
        <w:t xml:space="preserve"> </w:t>
      </w:r>
      <w:r w:rsidRPr="00D10F70">
        <w:rPr>
          <w:rFonts w:ascii="Arial" w:hAnsi="Arial" w:cs="Arial"/>
          <w:sz w:val="22"/>
          <w:szCs w:val="22"/>
        </w:rPr>
        <w:t>Taxpayers are not likely to be aware that the Service intends to request renewal of OMB approval and obtain a new expiration date before the old one expires</w:t>
      </w:r>
      <w:r>
        <w:rPr>
          <w:rFonts w:ascii="Arial" w:hAnsi="Arial" w:cs="Arial"/>
          <w:sz w:val="22"/>
          <w:szCs w:val="22"/>
        </w:rPr>
        <w:t xml:space="preserve">. </w:t>
      </w:r>
    </w:p>
    <w:p w14:paraId="022067F4" w14:textId="77777777" w:rsidR="00D10F70" w:rsidRPr="00866803" w:rsidRDefault="00D10F70" w:rsidP="006A2122">
      <w:pPr>
        <w:widowControl/>
        <w:overflowPunct/>
        <w:autoSpaceDE/>
        <w:autoSpaceDN/>
        <w:adjustRightInd/>
        <w:textAlignment w:val="auto"/>
        <w:rPr>
          <w:rFonts w:ascii="Arial" w:hAnsi="Arial" w:cs="Arial"/>
          <w:sz w:val="22"/>
          <w:szCs w:val="22"/>
        </w:rPr>
      </w:pPr>
    </w:p>
    <w:p w14:paraId="30409D6F" w14:textId="77777777" w:rsidR="006A2122" w:rsidRPr="00866803" w:rsidRDefault="006A2122" w:rsidP="006A2122">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Exceptions to Certification for Paperwork Reduction Act Submissions</w:t>
      </w:r>
    </w:p>
    <w:p w14:paraId="39E48218" w14:textId="77777777" w:rsidR="006A2122" w:rsidRDefault="006A2122" w:rsidP="006A2122">
      <w:pPr>
        <w:pStyle w:val="ListParagraph"/>
        <w:ind w:left="0"/>
        <w:rPr>
          <w:rFonts w:ascii="Arial" w:hAnsi="Arial" w:cs="Arial"/>
          <w:sz w:val="22"/>
          <w:szCs w:val="22"/>
        </w:rPr>
      </w:pPr>
    </w:p>
    <w:p w14:paraId="0E5FAA3D" w14:textId="77777777" w:rsidR="00D10F70" w:rsidRPr="00D10F70" w:rsidRDefault="00D10F70" w:rsidP="00D10F70">
      <w:pPr>
        <w:pStyle w:val="ListParagraph"/>
        <w:tabs>
          <w:tab w:val="left" w:pos="5648"/>
        </w:tabs>
        <w:ind w:left="0"/>
        <w:rPr>
          <w:rFonts w:ascii="Arial" w:hAnsi="Arial" w:cs="Arial"/>
          <w:sz w:val="22"/>
          <w:szCs w:val="22"/>
        </w:rPr>
      </w:pPr>
      <w:r w:rsidRPr="00D10F70">
        <w:rPr>
          <w:rFonts w:ascii="Arial" w:hAnsi="Arial" w:cs="Arial"/>
          <w:sz w:val="22"/>
          <w:szCs w:val="22"/>
        </w:rPr>
        <w:t>There are no exception</w:t>
      </w:r>
      <w:r>
        <w:rPr>
          <w:rFonts w:ascii="Arial" w:hAnsi="Arial" w:cs="Arial"/>
          <w:sz w:val="22"/>
          <w:szCs w:val="22"/>
        </w:rPr>
        <w:t xml:space="preserve">s to the certification statement. </w:t>
      </w:r>
    </w:p>
    <w:p w14:paraId="07129FA2" w14:textId="77777777" w:rsidR="00AF348D" w:rsidRPr="00866803" w:rsidRDefault="00AF348D" w:rsidP="006A2122">
      <w:pPr>
        <w:pStyle w:val="ListParagraph"/>
        <w:ind w:left="0"/>
        <w:rPr>
          <w:rFonts w:ascii="Arial" w:hAnsi="Arial" w:cs="Arial"/>
          <w:b/>
          <w:sz w:val="22"/>
          <w:szCs w:val="22"/>
        </w:rPr>
      </w:pPr>
    </w:p>
    <w:p w14:paraId="7082C98A" w14:textId="77777777" w:rsidR="006A2122" w:rsidRPr="00866803" w:rsidRDefault="006A2122" w:rsidP="006A2122">
      <w:pPr>
        <w:pStyle w:val="ListParagraph"/>
        <w:numPr>
          <w:ilvl w:val="0"/>
          <w:numId w:val="26"/>
        </w:numPr>
        <w:ind w:left="0"/>
        <w:rPr>
          <w:rFonts w:ascii="Arial" w:hAnsi="Arial" w:cs="Arial"/>
          <w:b/>
          <w:sz w:val="22"/>
          <w:szCs w:val="22"/>
        </w:rPr>
      </w:pPr>
      <w:r w:rsidRPr="00866803">
        <w:rPr>
          <w:rFonts w:ascii="Arial" w:hAnsi="Arial" w:cs="Arial"/>
          <w:b/>
          <w:sz w:val="22"/>
          <w:szCs w:val="22"/>
        </w:rPr>
        <w:t>Dates collection will begin and end</w:t>
      </w:r>
    </w:p>
    <w:p w14:paraId="647A9C1B" w14:textId="77777777" w:rsidR="00B9575C" w:rsidRPr="00866803" w:rsidRDefault="00B9575C" w:rsidP="0010752D">
      <w:pPr>
        <w:rPr>
          <w:rFonts w:ascii="Arial" w:hAnsi="Arial" w:cs="Arial"/>
          <w:sz w:val="22"/>
          <w:szCs w:val="22"/>
        </w:rPr>
      </w:pPr>
    </w:p>
    <w:p w14:paraId="4EC3A414" w14:textId="619BFA84" w:rsidR="00493F1E" w:rsidRDefault="0022185D" w:rsidP="00493F1E">
      <w:pPr>
        <w:pStyle w:val="BodyText"/>
        <w:widowControl/>
        <w:tabs>
          <w:tab w:val="left" w:pos="1080"/>
        </w:tabs>
        <w:rPr>
          <w:rFonts w:ascii="Arial" w:hAnsi="Arial" w:cs="Arial"/>
          <w:color w:val="auto"/>
          <w:sz w:val="22"/>
          <w:szCs w:val="22"/>
        </w:rPr>
      </w:pPr>
      <w:r>
        <w:rPr>
          <w:rFonts w:ascii="Arial" w:hAnsi="Arial" w:cs="Arial"/>
          <w:color w:val="auto"/>
          <w:sz w:val="22"/>
          <w:szCs w:val="22"/>
        </w:rPr>
        <w:t xml:space="preserve">The original target for the </w:t>
      </w:r>
      <w:r w:rsidR="00EE6041" w:rsidRPr="00866803">
        <w:rPr>
          <w:rFonts w:ascii="Arial" w:hAnsi="Arial" w:cs="Arial"/>
          <w:color w:val="auto"/>
          <w:sz w:val="22"/>
          <w:szCs w:val="22"/>
        </w:rPr>
        <w:t xml:space="preserve">data collection period for survey administration </w:t>
      </w:r>
      <w:r w:rsidRPr="001F0EAC">
        <w:rPr>
          <w:rFonts w:ascii="Arial" w:hAnsi="Arial" w:cs="Arial"/>
          <w:color w:val="auto"/>
          <w:sz w:val="22"/>
          <w:szCs w:val="22"/>
        </w:rPr>
        <w:t xml:space="preserve">was </w:t>
      </w:r>
      <w:r w:rsidR="00EE6041" w:rsidRPr="001F0EAC">
        <w:rPr>
          <w:rFonts w:ascii="Arial" w:hAnsi="Arial" w:cs="Arial"/>
          <w:color w:val="auto"/>
          <w:sz w:val="22"/>
          <w:szCs w:val="22"/>
        </w:rPr>
        <w:t xml:space="preserve">from </w:t>
      </w:r>
      <w:r w:rsidR="004E3D3E" w:rsidRPr="001F0EAC">
        <w:rPr>
          <w:rFonts w:ascii="Arial" w:hAnsi="Arial" w:cs="Arial"/>
          <w:color w:val="auto"/>
          <w:sz w:val="22"/>
          <w:szCs w:val="22"/>
        </w:rPr>
        <w:t>January</w:t>
      </w:r>
      <w:r w:rsidR="00EE6041" w:rsidRPr="001F0EAC">
        <w:rPr>
          <w:rFonts w:ascii="Arial" w:hAnsi="Arial" w:cs="Arial"/>
          <w:color w:val="auto"/>
          <w:sz w:val="22"/>
          <w:szCs w:val="22"/>
        </w:rPr>
        <w:t xml:space="preserve"> </w:t>
      </w:r>
      <w:r w:rsidR="005B4402" w:rsidRPr="001F0EAC">
        <w:rPr>
          <w:rFonts w:ascii="Arial" w:hAnsi="Arial" w:cs="Arial"/>
          <w:color w:val="auto"/>
          <w:sz w:val="22"/>
          <w:szCs w:val="22"/>
        </w:rPr>
        <w:t>2</w:t>
      </w:r>
      <w:r w:rsidR="00EE6041" w:rsidRPr="001F0EAC">
        <w:rPr>
          <w:rFonts w:ascii="Arial" w:hAnsi="Arial" w:cs="Arial"/>
          <w:color w:val="auto"/>
          <w:sz w:val="22"/>
          <w:szCs w:val="22"/>
        </w:rPr>
        <w:t>, 201</w:t>
      </w:r>
      <w:r w:rsidR="004E3D3E" w:rsidRPr="001F0EAC">
        <w:rPr>
          <w:rFonts w:ascii="Arial" w:hAnsi="Arial" w:cs="Arial"/>
          <w:color w:val="auto"/>
          <w:sz w:val="22"/>
          <w:szCs w:val="22"/>
        </w:rPr>
        <w:t>6</w:t>
      </w:r>
      <w:r w:rsidR="00EE6041" w:rsidRPr="001F0EAC">
        <w:rPr>
          <w:rFonts w:ascii="Arial" w:hAnsi="Arial" w:cs="Arial"/>
          <w:color w:val="auto"/>
          <w:sz w:val="22"/>
          <w:szCs w:val="22"/>
        </w:rPr>
        <w:t xml:space="preserve"> to </w:t>
      </w:r>
      <w:r w:rsidR="005B4402" w:rsidRPr="001F0EAC">
        <w:rPr>
          <w:rFonts w:ascii="Arial" w:hAnsi="Arial" w:cs="Arial"/>
          <w:color w:val="auto"/>
          <w:sz w:val="22"/>
          <w:szCs w:val="22"/>
        </w:rPr>
        <w:t>January 1</w:t>
      </w:r>
      <w:r w:rsidR="00EE6041" w:rsidRPr="001F0EAC">
        <w:rPr>
          <w:rFonts w:ascii="Arial" w:hAnsi="Arial" w:cs="Arial"/>
          <w:color w:val="auto"/>
          <w:sz w:val="22"/>
          <w:szCs w:val="22"/>
        </w:rPr>
        <w:t>, 201</w:t>
      </w:r>
      <w:r w:rsidR="005B4402" w:rsidRPr="001F0EAC">
        <w:rPr>
          <w:rFonts w:ascii="Arial" w:hAnsi="Arial" w:cs="Arial"/>
          <w:color w:val="auto"/>
          <w:sz w:val="22"/>
          <w:szCs w:val="22"/>
        </w:rPr>
        <w:t>7</w:t>
      </w:r>
      <w:r w:rsidR="00EE6041" w:rsidRPr="001F0EAC">
        <w:rPr>
          <w:rFonts w:ascii="Arial" w:hAnsi="Arial" w:cs="Arial"/>
          <w:color w:val="auto"/>
          <w:sz w:val="22"/>
          <w:szCs w:val="22"/>
        </w:rPr>
        <w:t>.</w:t>
      </w:r>
      <w:r w:rsidRPr="001F0EAC">
        <w:rPr>
          <w:rFonts w:ascii="Arial" w:hAnsi="Arial" w:cs="Arial"/>
          <w:color w:val="auto"/>
          <w:sz w:val="22"/>
          <w:szCs w:val="22"/>
        </w:rPr>
        <w:t xml:space="preserve"> Since this supporting statement is being revised in </w:t>
      </w:r>
      <w:r w:rsidR="00BF12BA">
        <w:rPr>
          <w:rFonts w:ascii="Arial" w:hAnsi="Arial" w:cs="Arial"/>
          <w:color w:val="auto"/>
          <w:sz w:val="22"/>
          <w:szCs w:val="22"/>
        </w:rPr>
        <w:t xml:space="preserve">August </w:t>
      </w:r>
      <w:r w:rsidRPr="001F0EAC">
        <w:rPr>
          <w:rFonts w:ascii="Arial" w:hAnsi="Arial" w:cs="Arial"/>
          <w:color w:val="auto"/>
          <w:sz w:val="22"/>
          <w:szCs w:val="22"/>
        </w:rPr>
        <w:t>2016, the</w:t>
      </w:r>
      <w:r>
        <w:rPr>
          <w:rFonts w:ascii="Arial" w:hAnsi="Arial" w:cs="Arial"/>
          <w:color w:val="auto"/>
          <w:sz w:val="22"/>
          <w:szCs w:val="22"/>
        </w:rPr>
        <w:t xml:space="preserve"> target data collection period will be deferred. The period of data collection will cover one full year and will begin as soon as possible if approved.</w:t>
      </w:r>
    </w:p>
    <w:p w14:paraId="427A7F2A" w14:textId="77777777" w:rsidR="00690811" w:rsidRDefault="00690811" w:rsidP="00493F1E">
      <w:pPr>
        <w:pStyle w:val="BodyText"/>
        <w:widowControl/>
        <w:tabs>
          <w:tab w:val="left" w:pos="1080"/>
        </w:tabs>
        <w:rPr>
          <w:rFonts w:ascii="Arial" w:hAnsi="Arial" w:cs="Arial"/>
          <w:color w:val="auto"/>
          <w:sz w:val="22"/>
          <w:szCs w:val="22"/>
        </w:rPr>
      </w:pPr>
    </w:p>
    <w:p w14:paraId="706D374F" w14:textId="77777777" w:rsidR="002D6404" w:rsidRDefault="002D6404" w:rsidP="00493F1E">
      <w:pPr>
        <w:pStyle w:val="BodyText"/>
        <w:widowControl/>
        <w:tabs>
          <w:tab w:val="left" w:pos="1080"/>
        </w:tabs>
        <w:rPr>
          <w:rFonts w:ascii="Arial" w:hAnsi="Arial" w:cs="Arial"/>
          <w:color w:val="auto"/>
          <w:sz w:val="22"/>
          <w:szCs w:val="22"/>
        </w:rPr>
      </w:pPr>
    </w:p>
    <w:bookmarkEnd w:id="0"/>
    <w:p w14:paraId="28EFD5BA" w14:textId="77777777" w:rsidR="00B9575C" w:rsidRPr="00866803" w:rsidRDefault="00B9575C" w:rsidP="00FE4983">
      <w:pPr>
        <w:rPr>
          <w:rFonts w:ascii="Arial" w:hAnsi="Arial" w:cs="Arial"/>
          <w:sz w:val="22"/>
          <w:szCs w:val="22"/>
        </w:rPr>
      </w:pPr>
    </w:p>
    <w:sectPr w:rsidR="00B9575C" w:rsidRPr="00866803" w:rsidSect="00093AB7">
      <w:headerReference w:type="default" r:id="rId10"/>
      <w:footerReference w:type="even" r:id="rId11"/>
      <w:footerReference w:type="default" r:id="rId12"/>
      <w:headerReference w:type="first" r:id="rId13"/>
      <w:endnotePr>
        <w:numFmt w:val="decimal"/>
      </w:endnotePr>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C283EF" w15:done="0"/>
  <w15:commentEx w15:paraId="3DF2E5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50C63" w14:textId="77777777" w:rsidR="00B5585D" w:rsidRDefault="00B5585D">
      <w:r>
        <w:separator/>
      </w:r>
    </w:p>
  </w:endnote>
  <w:endnote w:type="continuationSeparator" w:id="0">
    <w:p w14:paraId="3687364A" w14:textId="77777777" w:rsidR="00B5585D" w:rsidRDefault="00B5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11197" w14:textId="77777777"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C8D2B" w14:textId="77777777" w:rsidR="003A509D" w:rsidRDefault="003A509D" w:rsidP="000D5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3456" w14:textId="77777777"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E9C">
      <w:rPr>
        <w:rStyle w:val="PageNumber"/>
        <w:noProof/>
      </w:rPr>
      <w:t>3</w:t>
    </w:r>
    <w:r>
      <w:rPr>
        <w:rStyle w:val="PageNumber"/>
      </w:rPr>
      <w:fldChar w:fldCharType="end"/>
    </w:r>
  </w:p>
  <w:p w14:paraId="25FEAA4D" w14:textId="77777777" w:rsidR="003A509D" w:rsidRDefault="002D2A19" w:rsidP="000D552B">
    <w:pPr>
      <w:pStyle w:val="Footer"/>
      <w:widowControl/>
      <w:tabs>
        <w:tab w:val="clear" w:pos="4320"/>
        <w:tab w:val="clear" w:pos="8640"/>
        <w:tab w:val="center" w:pos="4680"/>
        <w:tab w:val="right" w:pos="9360"/>
      </w:tabs>
      <w:ind w:right="360"/>
      <w:rPr>
        <w:rFonts w:ascii="Arial" w:hAnsi="Arial"/>
        <w:sz w:val="18"/>
        <w:szCs w:val="18"/>
      </w:rPr>
    </w:pPr>
    <w:r>
      <w:rPr>
        <w:sz w:val="20"/>
      </w:rPr>
      <w:t>IRS Tipping</w:t>
    </w:r>
    <w:r w:rsidR="00D618FC">
      <w:rPr>
        <w:sz w:val="20"/>
      </w:rPr>
      <w:t xml:space="preserve"> </w:t>
    </w:r>
    <w:r w:rsidR="003A509D" w:rsidRPr="00D84449">
      <w:rPr>
        <w:sz w:val="20"/>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974F2" w14:textId="77777777" w:rsidR="00B5585D" w:rsidRDefault="00B5585D">
      <w:r>
        <w:separator/>
      </w:r>
    </w:p>
  </w:footnote>
  <w:footnote w:type="continuationSeparator" w:id="0">
    <w:p w14:paraId="78327091" w14:textId="77777777" w:rsidR="00B5585D" w:rsidRDefault="00B5585D">
      <w:r>
        <w:continuationSeparator/>
      </w:r>
    </w:p>
  </w:footnote>
  <w:footnote w:id="1">
    <w:p w14:paraId="594D9DA7" w14:textId="77777777" w:rsidR="00371A81" w:rsidRDefault="00371A81">
      <w:pPr>
        <w:pStyle w:val="FootnoteText"/>
      </w:pPr>
      <w:r>
        <w:rPr>
          <w:rStyle w:val="FootnoteReference"/>
        </w:rPr>
        <w:footnoteRef/>
      </w:r>
      <w:r>
        <w:t xml:space="preserve"> See IRS </w:t>
      </w:r>
      <w:r w:rsidRPr="004B5394">
        <w:t xml:space="preserve">Publication 1530 (1990), Tip Income Study, “A Study of Tipping Practices in the Food Service Industry for 1984” and Robert B. Pearl and Kevin F. </w:t>
      </w:r>
      <w:proofErr w:type="spellStart"/>
      <w:r w:rsidRPr="004B5394">
        <w:t>McCrohan</w:t>
      </w:r>
      <w:proofErr w:type="spellEnd"/>
      <w:r w:rsidRPr="004B5394">
        <w:t>, (1983), Estimates of Tip Income in Eating Places, 1982, IRS Research Bulletin, pp. 49-53.</w:t>
      </w:r>
    </w:p>
  </w:footnote>
  <w:footnote w:id="2">
    <w:p w14:paraId="11A6029C" w14:textId="77777777" w:rsidR="00574266" w:rsidRPr="002F6EFA" w:rsidRDefault="00574266" w:rsidP="00574266">
      <w:pPr>
        <w:pStyle w:val="FootnoteText"/>
        <w:rPr>
          <w:rFonts w:cs="Arial"/>
          <w:sz w:val="18"/>
          <w:szCs w:val="18"/>
        </w:rPr>
      </w:pPr>
      <w:r w:rsidRPr="002F6EFA">
        <w:rPr>
          <w:rStyle w:val="FootnoteReference"/>
          <w:rFonts w:cs="Arial"/>
          <w:sz w:val="18"/>
          <w:szCs w:val="18"/>
        </w:rPr>
        <w:footnoteRef/>
      </w:r>
      <w:r w:rsidRPr="002F6EFA">
        <w:rPr>
          <w:rFonts w:cs="Arial"/>
          <w:sz w:val="18"/>
          <w:szCs w:val="18"/>
          <w:vertAlign w:val="superscript"/>
        </w:rPr>
        <w:t xml:space="preserve"> </w:t>
      </w:r>
      <w:r w:rsidRPr="002F6EFA">
        <w:rPr>
          <w:rFonts w:cs="Arial"/>
          <w:sz w:val="18"/>
          <w:szCs w:val="18"/>
        </w:rPr>
        <w:t xml:space="preserve">Pearl, R. B., &amp; </w:t>
      </w:r>
      <w:proofErr w:type="spellStart"/>
      <w:r w:rsidRPr="002F6EFA">
        <w:rPr>
          <w:rFonts w:cs="Arial"/>
          <w:sz w:val="18"/>
          <w:szCs w:val="18"/>
        </w:rPr>
        <w:t>Sudman</w:t>
      </w:r>
      <w:proofErr w:type="spellEnd"/>
      <w:r w:rsidRPr="002F6EFA">
        <w:rPr>
          <w:rFonts w:cs="Arial"/>
          <w:sz w:val="18"/>
          <w:szCs w:val="18"/>
        </w:rPr>
        <w:t xml:space="preserve">, S. (1983, June). </w:t>
      </w:r>
      <w:r w:rsidRPr="002F6EFA">
        <w:rPr>
          <w:rFonts w:cs="Arial"/>
          <w:i/>
          <w:sz w:val="18"/>
          <w:szCs w:val="18"/>
        </w:rPr>
        <w:t>A survey approach to estimating the tipping practices of consumers</w:t>
      </w:r>
      <w:r w:rsidRPr="002F6EFA">
        <w:rPr>
          <w:rFonts w:cs="Arial"/>
          <w:sz w:val="18"/>
          <w:szCs w:val="18"/>
        </w:rPr>
        <w:t xml:space="preserve"> (Final Report to the Internal Revenue Service under Contract TIR 81-52); Pearl, R. B. (1985, July). </w:t>
      </w:r>
      <w:r w:rsidRPr="002F6EFA">
        <w:rPr>
          <w:rFonts w:cs="Arial"/>
          <w:i/>
          <w:sz w:val="18"/>
          <w:szCs w:val="18"/>
        </w:rPr>
        <w:t>Tipping practices of American households: 1984</w:t>
      </w:r>
      <w:r w:rsidRPr="002F6EFA">
        <w:rPr>
          <w:rFonts w:cs="Arial"/>
          <w:sz w:val="18"/>
          <w:szCs w:val="18"/>
        </w:rPr>
        <w:t xml:space="preserve"> (Final Report to the Internal Revenue Service under Contract 82-21).</w:t>
      </w:r>
    </w:p>
  </w:footnote>
  <w:footnote w:id="3">
    <w:p w14:paraId="28BEE693" w14:textId="77777777" w:rsidR="0011613E" w:rsidRDefault="0011613E">
      <w:pPr>
        <w:pStyle w:val="FootnoteText"/>
      </w:pPr>
      <w:r>
        <w:rPr>
          <w:rStyle w:val="FootnoteReference"/>
        </w:rPr>
        <w:footnoteRef/>
      </w:r>
      <w:r>
        <w:t xml:space="preserve"> </w:t>
      </w:r>
      <w:r w:rsidRPr="002F6EFA">
        <w:rPr>
          <w:rFonts w:cs="Arial"/>
          <w:sz w:val="18"/>
          <w:szCs w:val="18"/>
        </w:rPr>
        <w:t xml:space="preserve">Pearl, R. B., &amp; </w:t>
      </w:r>
      <w:proofErr w:type="spellStart"/>
      <w:r>
        <w:rPr>
          <w:rFonts w:cs="Arial"/>
          <w:sz w:val="18"/>
          <w:szCs w:val="18"/>
        </w:rPr>
        <w:t>Vidmar</w:t>
      </w:r>
      <w:proofErr w:type="spellEnd"/>
      <w:r w:rsidRPr="002F6EFA">
        <w:rPr>
          <w:rFonts w:cs="Arial"/>
          <w:sz w:val="18"/>
          <w:szCs w:val="18"/>
        </w:rPr>
        <w:t xml:space="preserve">, </w:t>
      </w:r>
      <w:r>
        <w:rPr>
          <w:rFonts w:cs="Arial"/>
          <w:sz w:val="18"/>
          <w:szCs w:val="18"/>
        </w:rPr>
        <w:t>J</w:t>
      </w:r>
      <w:r w:rsidRPr="002F6EFA">
        <w:rPr>
          <w:rFonts w:cs="Arial"/>
          <w:sz w:val="18"/>
          <w:szCs w:val="18"/>
        </w:rPr>
        <w:t>. (198</w:t>
      </w:r>
      <w:r>
        <w:rPr>
          <w:rFonts w:cs="Arial"/>
          <w:sz w:val="18"/>
          <w:szCs w:val="18"/>
        </w:rPr>
        <w:t>8</w:t>
      </w:r>
      <w:r w:rsidRPr="002F6EFA">
        <w:rPr>
          <w:rFonts w:cs="Arial"/>
          <w:sz w:val="18"/>
          <w:szCs w:val="18"/>
        </w:rPr>
        <w:t xml:space="preserve">, </w:t>
      </w:r>
      <w:r>
        <w:rPr>
          <w:rFonts w:cs="Arial"/>
          <w:sz w:val="18"/>
          <w:szCs w:val="18"/>
        </w:rPr>
        <w:t>February</w:t>
      </w:r>
      <w:r w:rsidRPr="002F6EFA">
        <w:rPr>
          <w:rFonts w:cs="Arial"/>
          <w:sz w:val="18"/>
          <w:szCs w:val="18"/>
        </w:rPr>
        <w:t xml:space="preserve">). </w:t>
      </w:r>
      <w:r>
        <w:rPr>
          <w:rFonts w:cs="Arial"/>
          <w:i/>
          <w:sz w:val="18"/>
          <w:szCs w:val="18"/>
        </w:rPr>
        <w:t xml:space="preserve">Tipping Practice of American Households in Restaurants and other Eating Places: 1985-86 </w:t>
      </w:r>
      <w:r w:rsidRPr="0011613E">
        <w:rPr>
          <w:rFonts w:cs="Arial"/>
          <w:sz w:val="18"/>
          <w:szCs w:val="18"/>
        </w:rPr>
        <w:t>(Summary Report to the Internal Revenue Service un Contract TIR 86-279)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7796" w14:textId="77777777" w:rsidR="003A509D" w:rsidRPr="00D84449" w:rsidRDefault="002D2A19">
    <w:pPr>
      <w:pStyle w:val="Header"/>
      <w:widowControl/>
      <w:rPr>
        <w:sz w:val="20"/>
      </w:rPr>
    </w:pPr>
    <w:r>
      <w:rPr>
        <w:sz w:val="20"/>
      </w:rPr>
      <w:t xml:space="preserve">IRS Tipping </w:t>
    </w:r>
    <w:r w:rsidR="00054711">
      <w:rPr>
        <w:sz w:val="20"/>
      </w:rPr>
      <w:t>Study</w:t>
    </w:r>
    <w:r w:rsidR="00D618FC">
      <w:rPr>
        <w:sz w:val="20"/>
      </w:rPr>
      <w:t xml:space="preserve"> </w:t>
    </w:r>
    <w:r w:rsidR="00305A6B">
      <w:rPr>
        <w:sz w:val="20"/>
      </w:rPr>
      <w:t>-</w:t>
    </w:r>
    <w:r w:rsidR="0045466B">
      <w:rPr>
        <w:sz w:val="20"/>
      </w:rPr>
      <w:t xml:space="preserve"> </w:t>
    </w:r>
    <w:r w:rsidR="009B5D47">
      <w:rPr>
        <w:sz w:val="20"/>
      </w:rPr>
      <w:t>OMB Package</w:t>
    </w:r>
    <w:r w:rsidR="003A509D" w:rsidRPr="00D84449">
      <w:rPr>
        <w:sz w:val="20"/>
      </w:rPr>
      <w:tab/>
    </w:r>
    <w:r w:rsidR="003A509D" w:rsidRPr="00D84449">
      <w:rPr>
        <w:sz w:val="20"/>
      </w:rPr>
      <w:tab/>
      <w:t xml:space="preserve">OMB # </w:t>
    </w:r>
    <w:r w:rsidR="007242C8">
      <w:rPr>
        <w:sz w:val="20"/>
      </w:rPr>
      <w:t>1545</w:t>
    </w:r>
    <w:r w:rsidR="003A509D" w:rsidRPr="00D84449">
      <w:rPr>
        <w:sz w:val="20"/>
      </w:rPr>
      <w:t>-</w:t>
    </w:r>
    <w:r w:rsidR="005F3C64">
      <w:rPr>
        <w:sz w:val="20"/>
      </w:rPr>
      <w:t>2261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D67EA" w14:textId="77777777" w:rsidR="003A509D" w:rsidRPr="00D84449" w:rsidRDefault="003A509D" w:rsidP="00AF0483">
    <w:pPr>
      <w:pStyle w:val="Header"/>
      <w:widowControl/>
      <w:rPr>
        <w:sz w:val="20"/>
      </w:rPr>
    </w:pPr>
    <w:r w:rsidRPr="00D84449">
      <w:rPr>
        <w:sz w:val="20"/>
      </w:rPr>
      <w:t xml:space="preserve">OMB Supporting Statement </w:t>
    </w:r>
  </w:p>
  <w:p w14:paraId="57F851F3" w14:textId="77777777" w:rsidR="003A509D" w:rsidRPr="00D84449" w:rsidRDefault="003A509D" w:rsidP="00AF0483">
    <w:pPr>
      <w:pStyle w:val="Header"/>
      <w:widowControl/>
      <w:rPr>
        <w:sz w:val="20"/>
      </w:rPr>
    </w:pPr>
    <w:r w:rsidRPr="00D84449">
      <w:rPr>
        <w:sz w:val="20"/>
      </w:rPr>
      <w:t>W&amp;I Research</w:t>
    </w:r>
  </w:p>
  <w:p w14:paraId="6C6CBE3A" w14:textId="77777777" w:rsidR="003A509D" w:rsidRPr="00D84449" w:rsidRDefault="003A509D" w:rsidP="00AF0483">
    <w:pPr>
      <w:pStyle w:val="Header"/>
      <w:widowControl/>
      <w:rPr>
        <w:sz w:val="20"/>
      </w:rPr>
    </w:pPr>
    <w:r w:rsidRPr="00D84449">
      <w:rPr>
        <w:sz w:val="20"/>
      </w:rPr>
      <w:t>TAB Conjoint Survey</w:t>
    </w:r>
    <w:r w:rsidRPr="00D84449">
      <w:rPr>
        <w:sz w:val="20"/>
      </w:rPr>
      <w:tab/>
    </w:r>
    <w:r w:rsidRPr="00D84449">
      <w:rPr>
        <w:sz w:val="20"/>
      </w:rPr>
      <w:tab/>
      <w:t>OMB # 1545-1432</w:t>
    </w:r>
  </w:p>
  <w:p w14:paraId="22CAA6F1" w14:textId="77777777" w:rsidR="003A509D" w:rsidRDefault="003A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4607CA"/>
    <w:lvl w:ilvl="0">
      <w:start w:val="2"/>
      <w:numFmt w:val="upperLetter"/>
      <w:pStyle w:val="Heading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77102040"/>
    <w:lvl w:ilvl="0">
      <w:numFmt w:val="bullet"/>
      <w:lvlText w:val="*"/>
      <w:lvlJc w:val="left"/>
    </w:lvl>
  </w:abstractNum>
  <w:abstractNum w:abstractNumId="2">
    <w:nsid w:val="02F348D9"/>
    <w:multiLevelType w:val="hybridMultilevel"/>
    <w:tmpl w:val="2FC4D5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10275"/>
    <w:multiLevelType w:val="hybridMultilevel"/>
    <w:tmpl w:val="FD98773E"/>
    <w:lvl w:ilvl="0" w:tplc="CC6A8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4DFD"/>
    <w:multiLevelType w:val="hybridMultilevel"/>
    <w:tmpl w:val="8326AF18"/>
    <w:lvl w:ilvl="0" w:tplc="FB5EC906">
      <w:start w:val="1"/>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318A3"/>
    <w:multiLevelType w:val="hybridMultilevel"/>
    <w:tmpl w:val="42A40366"/>
    <w:lvl w:ilvl="0" w:tplc="2D706B1A">
      <w:numFmt w:val="bullet"/>
      <w:lvlText w:val="-"/>
      <w:lvlJc w:val="left"/>
      <w:pPr>
        <w:tabs>
          <w:tab w:val="num" w:pos="2880"/>
        </w:tabs>
        <w:ind w:left="2880" w:hanging="360"/>
      </w:pPr>
      <w:rPr>
        <w:rFonts w:ascii="Rockwell" w:eastAsia="Times New Roman" w:hAnsi="Rockwel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7938B6"/>
    <w:multiLevelType w:val="hybridMultilevel"/>
    <w:tmpl w:val="D69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23A5D"/>
    <w:multiLevelType w:val="hybridMultilevel"/>
    <w:tmpl w:val="6012F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55987A79"/>
    <w:multiLevelType w:val="hybridMultilevel"/>
    <w:tmpl w:val="6AC203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71D2B77"/>
    <w:multiLevelType w:val="hybridMultilevel"/>
    <w:tmpl w:val="6B4A8644"/>
    <w:lvl w:ilvl="0" w:tplc="39E09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77DD9"/>
    <w:multiLevelType w:val="hybridMultilevel"/>
    <w:tmpl w:val="712AB116"/>
    <w:lvl w:ilvl="0" w:tplc="4FE8CD4A">
      <w:start w:val="1"/>
      <w:numFmt w:val="bullet"/>
      <w:pStyle w:val="Normal11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1487C"/>
    <w:multiLevelType w:val="multilevel"/>
    <w:tmpl w:val="FF2CB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12705"/>
    <w:multiLevelType w:val="hybridMultilevel"/>
    <w:tmpl w:val="8AF8E722"/>
    <w:lvl w:ilvl="0" w:tplc="B2B8AE6E">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256F9"/>
    <w:multiLevelType w:val="hybridMultilevel"/>
    <w:tmpl w:val="AD1CBC6C"/>
    <w:lvl w:ilvl="0" w:tplc="E51AC8D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3"/>
  </w:num>
  <w:num w:numId="4">
    <w:abstractNumId w:val="22"/>
  </w:num>
  <w:num w:numId="5">
    <w:abstractNumId w:val="11"/>
  </w:num>
  <w:num w:numId="6">
    <w:abstractNumId w:val="28"/>
  </w:num>
  <w:num w:numId="7">
    <w:abstractNumId w:val="6"/>
  </w:num>
  <w:num w:numId="8">
    <w:abstractNumId w:val="26"/>
  </w:num>
  <w:num w:numId="9">
    <w:abstractNumId w:val="12"/>
  </w:num>
  <w:num w:numId="10">
    <w:abstractNumId w:val="7"/>
  </w:num>
  <w:num w:numId="11">
    <w:abstractNumId w:val="29"/>
  </w:num>
  <w:num w:numId="12">
    <w:abstractNumId w:val="19"/>
  </w:num>
  <w:num w:numId="13">
    <w:abstractNumId w:val="13"/>
  </w:num>
  <w:num w:numId="14">
    <w:abstractNumId w:val="24"/>
  </w:num>
  <w:num w:numId="15">
    <w:abstractNumId w:val="3"/>
  </w:num>
  <w:num w:numId="16">
    <w:abstractNumId w:val="14"/>
  </w:num>
  <w:num w:numId="17">
    <w:abstractNumId w:val="4"/>
  </w:num>
  <w:num w:numId="18">
    <w:abstractNumId w:val="10"/>
  </w:num>
  <w:num w:numId="19">
    <w:abstractNumId w:val="30"/>
  </w:num>
  <w:num w:numId="20">
    <w:abstractNumId w:val="15"/>
  </w:num>
  <w:num w:numId="21">
    <w:abstractNumId w:val="25"/>
  </w:num>
  <w:num w:numId="22">
    <w:abstractNumId w:val="21"/>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7"/>
  </w:num>
  <w:num w:numId="31">
    <w:abstractNumId w:val="31"/>
  </w:num>
  <w:num w:numId="32">
    <w:abstractNumId w:val="2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Shagufta">
    <w15:presenceInfo w15:providerId="AD" w15:userId="S-1-5-21-1454471165-117609710-725345543-37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8"/>
    <w:rsid w:val="00000907"/>
    <w:rsid w:val="000056D4"/>
    <w:rsid w:val="000070CF"/>
    <w:rsid w:val="0001430F"/>
    <w:rsid w:val="0002005C"/>
    <w:rsid w:val="000212DD"/>
    <w:rsid w:val="00023D91"/>
    <w:rsid w:val="00025B5F"/>
    <w:rsid w:val="00027C7C"/>
    <w:rsid w:val="00037AA3"/>
    <w:rsid w:val="00054711"/>
    <w:rsid w:val="00063799"/>
    <w:rsid w:val="0007008C"/>
    <w:rsid w:val="00071740"/>
    <w:rsid w:val="00071CCB"/>
    <w:rsid w:val="00074BD4"/>
    <w:rsid w:val="00080EA0"/>
    <w:rsid w:val="0008469C"/>
    <w:rsid w:val="000860C3"/>
    <w:rsid w:val="00086282"/>
    <w:rsid w:val="00091442"/>
    <w:rsid w:val="00093AB7"/>
    <w:rsid w:val="000A51C7"/>
    <w:rsid w:val="000B0544"/>
    <w:rsid w:val="000B1E8E"/>
    <w:rsid w:val="000C1E2E"/>
    <w:rsid w:val="000C5A39"/>
    <w:rsid w:val="000D1772"/>
    <w:rsid w:val="000D3C24"/>
    <w:rsid w:val="000D552B"/>
    <w:rsid w:val="000D5600"/>
    <w:rsid w:val="000F001B"/>
    <w:rsid w:val="000F1311"/>
    <w:rsid w:val="000F68EC"/>
    <w:rsid w:val="000F7EDF"/>
    <w:rsid w:val="001011C2"/>
    <w:rsid w:val="00102C8A"/>
    <w:rsid w:val="001060DF"/>
    <w:rsid w:val="0010752D"/>
    <w:rsid w:val="00107AA7"/>
    <w:rsid w:val="0011241E"/>
    <w:rsid w:val="00113627"/>
    <w:rsid w:val="00115625"/>
    <w:rsid w:val="0011613E"/>
    <w:rsid w:val="00116EFE"/>
    <w:rsid w:val="001205CA"/>
    <w:rsid w:val="00122532"/>
    <w:rsid w:val="001305B5"/>
    <w:rsid w:val="00136494"/>
    <w:rsid w:val="00143861"/>
    <w:rsid w:val="001444E5"/>
    <w:rsid w:val="0015211D"/>
    <w:rsid w:val="001528B7"/>
    <w:rsid w:val="00156095"/>
    <w:rsid w:val="00157151"/>
    <w:rsid w:val="00160639"/>
    <w:rsid w:val="00165D72"/>
    <w:rsid w:val="00170575"/>
    <w:rsid w:val="001741B0"/>
    <w:rsid w:val="001753A0"/>
    <w:rsid w:val="00176DF2"/>
    <w:rsid w:val="00180B2C"/>
    <w:rsid w:val="00184128"/>
    <w:rsid w:val="001861B3"/>
    <w:rsid w:val="00186215"/>
    <w:rsid w:val="001A2C58"/>
    <w:rsid w:val="001A3B1B"/>
    <w:rsid w:val="001A7BD5"/>
    <w:rsid w:val="001B730E"/>
    <w:rsid w:val="001C48FA"/>
    <w:rsid w:val="001C7126"/>
    <w:rsid w:val="001D05CA"/>
    <w:rsid w:val="001D57F8"/>
    <w:rsid w:val="001D5C91"/>
    <w:rsid w:val="001E0352"/>
    <w:rsid w:val="001E0817"/>
    <w:rsid w:val="001E5E02"/>
    <w:rsid w:val="001F0842"/>
    <w:rsid w:val="001F0EAC"/>
    <w:rsid w:val="00205563"/>
    <w:rsid w:val="00206948"/>
    <w:rsid w:val="002145D6"/>
    <w:rsid w:val="002150B9"/>
    <w:rsid w:val="00215321"/>
    <w:rsid w:val="0022185D"/>
    <w:rsid w:val="0022787B"/>
    <w:rsid w:val="002322ED"/>
    <w:rsid w:val="00237348"/>
    <w:rsid w:val="002423EB"/>
    <w:rsid w:val="00245C68"/>
    <w:rsid w:val="00253526"/>
    <w:rsid w:val="00260862"/>
    <w:rsid w:val="00263C19"/>
    <w:rsid w:val="00267DA6"/>
    <w:rsid w:val="00270661"/>
    <w:rsid w:val="00277168"/>
    <w:rsid w:val="00277807"/>
    <w:rsid w:val="002803D3"/>
    <w:rsid w:val="00292CC3"/>
    <w:rsid w:val="002A2800"/>
    <w:rsid w:val="002A5456"/>
    <w:rsid w:val="002B38F3"/>
    <w:rsid w:val="002B54E0"/>
    <w:rsid w:val="002C0F72"/>
    <w:rsid w:val="002C2B2D"/>
    <w:rsid w:val="002C2B4C"/>
    <w:rsid w:val="002D2A19"/>
    <w:rsid w:val="002D486D"/>
    <w:rsid w:val="002D5B76"/>
    <w:rsid w:val="002D5B7C"/>
    <w:rsid w:val="002D6404"/>
    <w:rsid w:val="002D6E0F"/>
    <w:rsid w:val="002E1047"/>
    <w:rsid w:val="002E5067"/>
    <w:rsid w:val="002E558E"/>
    <w:rsid w:val="002E5D76"/>
    <w:rsid w:val="002E6755"/>
    <w:rsid w:val="002F6207"/>
    <w:rsid w:val="002F6769"/>
    <w:rsid w:val="00303881"/>
    <w:rsid w:val="00305A6B"/>
    <w:rsid w:val="00306232"/>
    <w:rsid w:val="003101AC"/>
    <w:rsid w:val="003101D1"/>
    <w:rsid w:val="00311845"/>
    <w:rsid w:val="00313E69"/>
    <w:rsid w:val="0031481C"/>
    <w:rsid w:val="00314FCD"/>
    <w:rsid w:val="003167C7"/>
    <w:rsid w:val="0031759A"/>
    <w:rsid w:val="00320381"/>
    <w:rsid w:val="00330F43"/>
    <w:rsid w:val="0033196C"/>
    <w:rsid w:val="00332175"/>
    <w:rsid w:val="0033330E"/>
    <w:rsid w:val="00333882"/>
    <w:rsid w:val="00346F4B"/>
    <w:rsid w:val="00347685"/>
    <w:rsid w:val="0035678E"/>
    <w:rsid w:val="00360DA9"/>
    <w:rsid w:val="00370013"/>
    <w:rsid w:val="00370087"/>
    <w:rsid w:val="0037127D"/>
    <w:rsid w:val="00371A81"/>
    <w:rsid w:val="00371AEB"/>
    <w:rsid w:val="003753FF"/>
    <w:rsid w:val="00383948"/>
    <w:rsid w:val="00385C21"/>
    <w:rsid w:val="00395377"/>
    <w:rsid w:val="00395FD6"/>
    <w:rsid w:val="003A21B9"/>
    <w:rsid w:val="003A3E9F"/>
    <w:rsid w:val="003A4FE9"/>
    <w:rsid w:val="003A509D"/>
    <w:rsid w:val="003A5111"/>
    <w:rsid w:val="003A5F22"/>
    <w:rsid w:val="003B1ABE"/>
    <w:rsid w:val="003C18EC"/>
    <w:rsid w:val="003C2968"/>
    <w:rsid w:val="003C4370"/>
    <w:rsid w:val="003C5350"/>
    <w:rsid w:val="003C67EE"/>
    <w:rsid w:val="003C70D6"/>
    <w:rsid w:val="003D6B0F"/>
    <w:rsid w:val="003E50AF"/>
    <w:rsid w:val="003F27C9"/>
    <w:rsid w:val="00403874"/>
    <w:rsid w:val="00403EB1"/>
    <w:rsid w:val="00412E8F"/>
    <w:rsid w:val="004133EE"/>
    <w:rsid w:val="004231B7"/>
    <w:rsid w:val="00426624"/>
    <w:rsid w:val="004411B2"/>
    <w:rsid w:val="004537CE"/>
    <w:rsid w:val="0045466B"/>
    <w:rsid w:val="00454D71"/>
    <w:rsid w:val="004631B2"/>
    <w:rsid w:val="00463536"/>
    <w:rsid w:val="00463B9C"/>
    <w:rsid w:val="00474E15"/>
    <w:rsid w:val="0047526C"/>
    <w:rsid w:val="004816DF"/>
    <w:rsid w:val="0048644F"/>
    <w:rsid w:val="00493F1E"/>
    <w:rsid w:val="00495325"/>
    <w:rsid w:val="004A5145"/>
    <w:rsid w:val="004A6B50"/>
    <w:rsid w:val="004A7263"/>
    <w:rsid w:val="004B0361"/>
    <w:rsid w:val="004B1BE0"/>
    <w:rsid w:val="004B5394"/>
    <w:rsid w:val="004C108E"/>
    <w:rsid w:val="004C1AF2"/>
    <w:rsid w:val="004E3D3E"/>
    <w:rsid w:val="004F6F4D"/>
    <w:rsid w:val="00501077"/>
    <w:rsid w:val="00504327"/>
    <w:rsid w:val="005048B1"/>
    <w:rsid w:val="00515097"/>
    <w:rsid w:val="00520A61"/>
    <w:rsid w:val="00527DE1"/>
    <w:rsid w:val="00533079"/>
    <w:rsid w:val="00533B32"/>
    <w:rsid w:val="0053598A"/>
    <w:rsid w:val="00542921"/>
    <w:rsid w:val="00543406"/>
    <w:rsid w:val="005446B2"/>
    <w:rsid w:val="00544C8E"/>
    <w:rsid w:val="00546D5D"/>
    <w:rsid w:val="00555021"/>
    <w:rsid w:val="00556331"/>
    <w:rsid w:val="00561DE5"/>
    <w:rsid w:val="00562222"/>
    <w:rsid w:val="00562774"/>
    <w:rsid w:val="005636AE"/>
    <w:rsid w:val="00563BDC"/>
    <w:rsid w:val="005650D2"/>
    <w:rsid w:val="00565123"/>
    <w:rsid w:val="00565E0F"/>
    <w:rsid w:val="00567595"/>
    <w:rsid w:val="00574266"/>
    <w:rsid w:val="00574D88"/>
    <w:rsid w:val="00575301"/>
    <w:rsid w:val="00582BD6"/>
    <w:rsid w:val="00590506"/>
    <w:rsid w:val="00593437"/>
    <w:rsid w:val="005A09F3"/>
    <w:rsid w:val="005A27F4"/>
    <w:rsid w:val="005A7A8B"/>
    <w:rsid w:val="005B4402"/>
    <w:rsid w:val="005B644C"/>
    <w:rsid w:val="005B6B26"/>
    <w:rsid w:val="005C29AC"/>
    <w:rsid w:val="005C2C5A"/>
    <w:rsid w:val="005C353B"/>
    <w:rsid w:val="005C51E4"/>
    <w:rsid w:val="005E22CD"/>
    <w:rsid w:val="005E3449"/>
    <w:rsid w:val="005E34FB"/>
    <w:rsid w:val="005E76F9"/>
    <w:rsid w:val="005F3C64"/>
    <w:rsid w:val="005F448C"/>
    <w:rsid w:val="00601ED0"/>
    <w:rsid w:val="006023CE"/>
    <w:rsid w:val="006071A3"/>
    <w:rsid w:val="00607483"/>
    <w:rsid w:val="00611004"/>
    <w:rsid w:val="00611859"/>
    <w:rsid w:val="006156BB"/>
    <w:rsid w:val="00616718"/>
    <w:rsid w:val="0061692D"/>
    <w:rsid w:val="00620E76"/>
    <w:rsid w:val="0062145B"/>
    <w:rsid w:val="00622C5D"/>
    <w:rsid w:val="00622D32"/>
    <w:rsid w:val="00625C0F"/>
    <w:rsid w:val="00647ED8"/>
    <w:rsid w:val="00651CEF"/>
    <w:rsid w:val="00653C9F"/>
    <w:rsid w:val="0066232D"/>
    <w:rsid w:val="00665056"/>
    <w:rsid w:val="00670158"/>
    <w:rsid w:val="0067047B"/>
    <w:rsid w:val="00670EF2"/>
    <w:rsid w:val="00671180"/>
    <w:rsid w:val="00673FD0"/>
    <w:rsid w:val="00676B47"/>
    <w:rsid w:val="0068354C"/>
    <w:rsid w:val="00690811"/>
    <w:rsid w:val="0069350B"/>
    <w:rsid w:val="00693D30"/>
    <w:rsid w:val="0069440C"/>
    <w:rsid w:val="0069499A"/>
    <w:rsid w:val="006A2122"/>
    <w:rsid w:val="006A2592"/>
    <w:rsid w:val="006A65B4"/>
    <w:rsid w:val="006A76E1"/>
    <w:rsid w:val="006B76D6"/>
    <w:rsid w:val="006C441D"/>
    <w:rsid w:val="006C72D5"/>
    <w:rsid w:val="006D02A7"/>
    <w:rsid w:val="006D072A"/>
    <w:rsid w:val="006D110A"/>
    <w:rsid w:val="006D30EC"/>
    <w:rsid w:val="006E03B7"/>
    <w:rsid w:val="006E1D66"/>
    <w:rsid w:val="006E73FA"/>
    <w:rsid w:val="006F0970"/>
    <w:rsid w:val="006F1739"/>
    <w:rsid w:val="006F4BCA"/>
    <w:rsid w:val="00700292"/>
    <w:rsid w:val="00701F64"/>
    <w:rsid w:val="00702D6B"/>
    <w:rsid w:val="007128BD"/>
    <w:rsid w:val="00716C24"/>
    <w:rsid w:val="00717844"/>
    <w:rsid w:val="007242C8"/>
    <w:rsid w:val="007257F7"/>
    <w:rsid w:val="00737348"/>
    <w:rsid w:val="007468DC"/>
    <w:rsid w:val="0075027C"/>
    <w:rsid w:val="0075039F"/>
    <w:rsid w:val="00753D58"/>
    <w:rsid w:val="0075529F"/>
    <w:rsid w:val="00767BB5"/>
    <w:rsid w:val="00772303"/>
    <w:rsid w:val="00785E49"/>
    <w:rsid w:val="00792ADA"/>
    <w:rsid w:val="00797926"/>
    <w:rsid w:val="007A1546"/>
    <w:rsid w:val="007A1CC4"/>
    <w:rsid w:val="007A4ACF"/>
    <w:rsid w:val="007A4F13"/>
    <w:rsid w:val="007A6F40"/>
    <w:rsid w:val="007B0411"/>
    <w:rsid w:val="007B09F9"/>
    <w:rsid w:val="007B0F60"/>
    <w:rsid w:val="007B1281"/>
    <w:rsid w:val="007B19F9"/>
    <w:rsid w:val="007C0F68"/>
    <w:rsid w:val="007F1E16"/>
    <w:rsid w:val="008041E2"/>
    <w:rsid w:val="0080585F"/>
    <w:rsid w:val="008155B4"/>
    <w:rsid w:val="008177DE"/>
    <w:rsid w:val="00820376"/>
    <w:rsid w:val="00827992"/>
    <w:rsid w:val="008314D6"/>
    <w:rsid w:val="00831EE6"/>
    <w:rsid w:val="00841B8C"/>
    <w:rsid w:val="00842FAC"/>
    <w:rsid w:val="00847AF4"/>
    <w:rsid w:val="00851FCC"/>
    <w:rsid w:val="00855A84"/>
    <w:rsid w:val="00865D3D"/>
    <w:rsid w:val="00866803"/>
    <w:rsid w:val="0086680B"/>
    <w:rsid w:val="0086685B"/>
    <w:rsid w:val="00870400"/>
    <w:rsid w:val="00873F5C"/>
    <w:rsid w:val="008809B2"/>
    <w:rsid w:val="00880E68"/>
    <w:rsid w:val="00884507"/>
    <w:rsid w:val="0089409B"/>
    <w:rsid w:val="008961AA"/>
    <w:rsid w:val="008A392A"/>
    <w:rsid w:val="008B76F5"/>
    <w:rsid w:val="008B7956"/>
    <w:rsid w:val="008C153D"/>
    <w:rsid w:val="008C66A9"/>
    <w:rsid w:val="008D3989"/>
    <w:rsid w:val="008E15DA"/>
    <w:rsid w:val="008E18B7"/>
    <w:rsid w:val="008E5B95"/>
    <w:rsid w:val="008E5C54"/>
    <w:rsid w:val="008E7296"/>
    <w:rsid w:val="008E7622"/>
    <w:rsid w:val="008F4CB9"/>
    <w:rsid w:val="008F56A5"/>
    <w:rsid w:val="008F6E1C"/>
    <w:rsid w:val="009002D1"/>
    <w:rsid w:val="0090062E"/>
    <w:rsid w:val="00901D5C"/>
    <w:rsid w:val="009101A6"/>
    <w:rsid w:val="0091564C"/>
    <w:rsid w:val="00915998"/>
    <w:rsid w:val="0091642D"/>
    <w:rsid w:val="0092353A"/>
    <w:rsid w:val="0092592E"/>
    <w:rsid w:val="00926FF2"/>
    <w:rsid w:val="00927CFF"/>
    <w:rsid w:val="00932329"/>
    <w:rsid w:val="00932649"/>
    <w:rsid w:val="00934CB4"/>
    <w:rsid w:val="00935609"/>
    <w:rsid w:val="00945E83"/>
    <w:rsid w:val="00946E00"/>
    <w:rsid w:val="00951F74"/>
    <w:rsid w:val="009537DF"/>
    <w:rsid w:val="00955078"/>
    <w:rsid w:val="00960E38"/>
    <w:rsid w:val="009632A2"/>
    <w:rsid w:val="00970B5E"/>
    <w:rsid w:val="009726E9"/>
    <w:rsid w:val="00975D76"/>
    <w:rsid w:val="00981C73"/>
    <w:rsid w:val="00981FAB"/>
    <w:rsid w:val="00983E3D"/>
    <w:rsid w:val="0099147B"/>
    <w:rsid w:val="00991572"/>
    <w:rsid w:val="009931B3"/>
    <w:rsid w:val="00997BA9"/>
    <w:rsid w:val="009A0BB8"/>
    <w:rsid w:val="009A22D2"/>
    <w:rsid w:val="009A4B16"/>
    <w:rsid w:val="009A51BE"/>
    <w:rsid w:val="009B15B6"/>
    <w:rsid w:val="009B389F"/>
    <w:rsid w:val="009B5D47"/>
    <w:rsid w:val="009C3EFD"/>
    <w:rsid w:val="009C4D05"/>
    <w:rsid w:val="009D1DEE"/>
    <w:rsid w:val="009D33E7"/>
    <w:rsid w:val="009D4926"/>
    <w:rsid w:val="009E0BBA"/>
    <w:rsid w:val="009E2CAC"/>
    <w:rsid w:val="009F395B"/>
    <w:rsid w:val="009F6540"/>
    <w:rsid w:val="00A05E9C"/>
    <w:rsid w:val="00A1471B"/>
    <w:rsid w:val="00A16100"/>
    <w:rsid w:val="00A17379"/>
    <w:rsid w:val="00A2085F"/>
    <w:rsid w:val="00A22910"/>
    <w:rsid w:val="00A30663"/>
    <w:rsid w:val="00A30CF0"/>
    <w:rsid w:val="00A32DFC"/>
    <w:rsid w:val="00A37BC7"/>
    <w:rsid w:val="00A435C2"/>
    <w:rsid w:val="00A44C2B"/>
    <w:rsid w:val="00A45530"/>
    <w:rsid w:val="00A45896"/>
    <w:rsid w:val="00A513D6"/>
    <w:rsid w:val="00A628A4"/>
    <w:rsid w:val="00A64A29"/>
    <w:rsid w:val="00A71C65"/>
    <w:rsid w:val="00A73EED"/>
    <w:rsid w:val="00A75371"/>
    <w:rsid w:val="00A75C49"/>
    <w:rsid w:val="00A8358C"/>
    <w:rsid w:val="00A944A2"/>
    <w:rsid w:val="00A95EFF"/>
    <w:rsid w:val="00A96AD3"/>
    <w:rsid w:val="00AA2FDD"/>
    <w:rsid w:val="00AA3AB4"/>
    <w:rsid w:val="00AA4259"/>
    <w:rsid w:val="00AA4B68"/>
    <w:rsid w:val="00AC02F7"/>
    <w:rsid w:val="00AC0BB1"/>
    <w:rsid w:val="00AD29FB"/>
    <w:rsid w:val="00AD7E67"/>
    <w:rsid w:val="00AE4623"/>
    <w:rsid w:val="00AF0483"/>
    <w:rsid w:val="00AF1307"/>
    <w:rsid w:val="00AF348D"/>
    <w:rsid w:val="00AF483B"/>
    <w:rsid w:val="00B0087C"/>
    <w:rsid w:val="00B1089E"/>
    <w:rsid w:val="00B10D6E"/>
    <w:rsid w:val="00B1585E"/>
    <w:rsid w:val="00B3344F"/>
    <w:rsid w:val="00B341A9"/>
    <w:rsid w:val="00B34CCE"/>
    <w:rsid w:val="00B36C48"/>
    <w:rsid w:val="00B44CB7"/>
    <w:rsid w:val="00B50376"/>
    <w:rsid w:val="00B53BA1"/>
    <w:rsid w:val="00B54C1E"/>
    <w:rsid w:val="00B5585D"/>
    <w:rsid w:val="00B61A1E"/>
    <w:rsid w:val="00B62CD3"/>
    <w:rsid w:val="00B661D3"/>
    <w:rsid w:val="00B670ED"/>
    <w:rsid w:val="00B74EAE"/>
    <w:rsid w:val="00B753B4"/>
    <w:rsid w:val="00B81ACA"/>
    <w:rsid w:val="00B83CAA"/>
    <w:rsid w:val="00B856AE"/>
    <w:rsid w:val="00B873C7"/>
    <w:rsid w:val="00B9575C"/>
    <w:rsid w:val="00BA13C6"/>
    <w:rsid w:val="00BA1A43"/>
    <w:rsid w:val="00BA4B60"/>
    <w:rsid w:val="00BA68C1"/>
    <w:rsid w:val="00BB0E67"/>
    <w:rsid w:val="00BB5983"/>
    <w:rsid w:val="00BC195B"/>
    <w:rsid w:val="00BC2D0D"/>
    <w:rsid w:val="00BC3540"/>
    <w:rsid w:val="00BC501D"/>
    <w:rsid w:val="00BC55C8"/>
    <w:rsid w:val="00BD2B24"/>
    <w:rsid w:val="00BE1822"/>
    <w:rsid w:val="00BE5528"/>
    <w:rsid w:val="00BE577C"/>
    <w:rsid w:val="00BF12BA"/>
    <w:rsid w:val="00BF2837"/>
    <w:rsid w:val="00C02C38"/>
    <w:rsid w:val="00C105E3"/>
    <w:rsid w:val="00C11A69"/>
    <w:rsid w:val="00C150F9"/>
    <w:rsid w:val="00C2021A"/>
    <w:rsid w:val="00C214B4"/>
    <w:rsid w:val="00C24D11"/>
    <w:rsid w:val="00C310C3"/>
    <w:rsid w:val="00C32EFA"/>
    <w:rsid w:val="00C35F1C"/>
    <w:rsid w:val="00C37516"/>
    <w:rsid w:val="00C37880"/>
    <w:rsid w:val="00C41E43"/>
    <w:rsid w:val="00C57B49"/>
    <w:rsid w:val="00C57FA1"/>
    <w:rsid w:val="00C57FE3"/>
    <w:rsid w:val="00C63570"/>
    <w:rsid w:val="00C656F1"/>
    <w:rsid w:val="00C66D90"/>
    <w:rsid w:val="00C7170C"/>
    <w:rsid w:val="00C927DC"/>
    <w:rsid w:val="00C94BCF"/>
    <w:rsid w:val="00CA1F9E"/>
    <w:rsid w:val="00CB13AE"/>
    <w:rsid w:val="00CB37BD"/>
    <w:rsid w:val="00CB3968"/>
    <w:rsid w:val="00CB3EFB"/>
    <w:rsid w:val="00CC138A"/>
    <w:rsid w:val="00CC70E1"/>
    <w:rsid w:val="00CE0AD4"/>
    <w:rsid w:val="00CE10F5"/>
    <w:rsid w:val="00CE47F9"/>
    <w:rsid w:val="00CE693A"/>
    <w:rsid w:val="00CF1EBC"/>
    <w:rsid w:val="00CF36F7"/>
    <w:rsid w:val="00CF7790"/>
    <w:rsid w:val="00D000A0"/>
    <w:rsid w:val="00D04D6E"/>
    <w:rsid w:val="00D102A5"/>
    <w:rsid w:val="00D10F70"/>
    <w:rsid w:val="00D15715"/>
    <w:rsid w:val="00D20F48"/>
    <w:rsid w:val="00D2794A"/>
    <w:rsid w:val="00D27A6F"/>
    <w:rsid w:val="00D3039A"/>
    <w:rsid w:val="00D367C3"/>
    <w:rsid w:val="00D41CB5"/>
    <w:rsid w:val="00D4546B"/>
    <w:rsid w:val="00D51C4B"/>
    <w:rsid w:val="00D540D6"/>
    <w:rsid w:val="00D618FC"/>
    <w:rsid w:val="00D620D1"/>
    <w:rsid w:val="00D64C03"/>
    <w:rsid w:val="00D72D5B"/>
    <w:rsid w:val="00D74025"/>
    <w:rsid w:val="00D748C8"/>
    <w:rsid w:val="00D76C8B"/>
    <w:rsid w:val="00D84449"/>
    <w:rsid w:val="00D85C6A"/>
    <w:rsid w:val="00D86417"/>
    <w:rsid w:val="00D91D5A"/>
    <w:rsid w:val="00D92CC7"/>
    <w:rsid w:val="00DA5757"/>
    <w:rsid w:val="00DB438F"/>
    <w:rsid w:val="00DB65F7"/>
    <w:rsid w:val="00DC0489"/>
    <w:rsid w:val="00DC28D6"/>
    <w:rsid w:val="00DC4403"/>
    <w:rsid w:val="00DC699B"/>
    <w:rsid w:val="00DC79DA"/>
    <w:rsid w:val="00DD3FB4"/>
    <w:rsid w:val="00DD46B6"/>
    <w:rsid w:val="00DD4D9C"/>
    <w:rsid w:val="00DE2697"/>
    <w:rsid w:val="00DE2B76"/>
    <w:rsid w:val="00DE30DD"/>
    <w:rsid w:val="00DE4A31"/>
    <w:rsid w:val="00DE7AE0"/>
    <w:rsid w:val="00DF66A3"/>
    <w:rsid w:val="00E02B7A"/>
    <w:rsid w:val="00E02FDE"/>
    <w:rsid w:val="00E219FB"/>
    <w:rsid w:val="00E25B1E"/>
    <w:rsid w:val="00E30422"/>
    <w:rsid w:val="00E3152E"/>
    <w:rsid w:val="00E43115"/>
    <w:rsid w:val="00E454B6"/>
    <w:rsid w:val="00E51CAA"/>
    <w:rsid w:val="00E56F37"/>
    <w:rsid w:val="00E62872"/>
    <w:rsid w:val="00E70D9C"/>
    <w:rsid w:val="00E72051"/>
    <w:rsid w:val="00E72DBB"/>
    <w:rsid w:val="00E7558F"/>
    <w:rsid w:val="00E81D3F"/>
    <w:rsid w:val="00E8527E"/>
    <w:rsid w:val="00E8787E"/>
    <w:rsid w:val="00EA0AA2"/>
    <w:rsid w:val="00EA13E6"/>
    <w:rsid w:val="00EA315E"/>
    <w:rsid w:val="00EB3E97"/>
    <w:rsid w:val="00EB46C2"/>
    <w:rsid w:val="00EB5390"/>
    <w:rsid w:val="00EC250D"/>
    <w:rsid w:val="00EC3A83"/>
    <w:rsid w:val="00ED1689"/>
    <w:rsid w:val="00ED4C37"/>
    <w:rsid w:val="00ED6221"/>
    <w:rsid w:val="00ED70F3"/>
    <w:rsid w:val="00EE10F9"/>
    <w:rsid w:val="00EE291F"/>
    <w:rsid w:val="00EE2ECC"/>
    <w:rsid w:val="00EE336C"/>
    <w:rsid w:val="00EE6041"/>
    <w:rsid w:val="00EF2251"/>
    <w:rsid w:val="00EF5CBF"/>
    <w:rsid w:val="00F07737"/>
    <w:rsid w:val="00F1192A"/>
    <w:rsid w:val="00F2168E"/>
    <w:rsid w:val="00F36AAD"/>
    <w:rsid w:val="00F426A4"/>
    <w:rsid w:val="00F50FD7"/>
    <w:rsid w:val="00F5218A"/>
    <w:rsid w:val="00F57F13"/>
    <w:rsid w:val="00F63326"/>
    <w:rsid w:val="00F6613A"/>
    <w:rsid w:val="00F66ED3"/>
    <w:rsid w:val="00F77C88"/>
    <w:rsid w:val="00F80210"/>
    <w:rsid w:val="00F83FF1"/>
    <w:rsid w:val="00F87CBD"/>
    <w:rsid w:val="00F90CB5"/>
    <w:rsid w:val="00F917A0"/>
    <w:rsid w:val="00F95DDE"/>
    <w:rsid w:val="00F96752"/>
    <w:rsid w:val="00F968F5"/>
    <w:rsid w:val="00FB0571"/>
    <w:rsid w:val="00FB0839"/>
    <w:rsid w:val="00FC17CB"/>
    <w:rsid w:val="00FC36BE"/>
    <w:rsid w:val="00FC3C2C"/>
    <w:rsid w:val="00FC4994"/>
    <w:rsid w:val="00FC58B9"/>
    <w:rsid w:val="00FC5A66"/>
    <w:rsid w:val="00FC6540"/>
    <w:rsid w:val="00FD5D1F"/>
    <w:rsid w:val="00FD69D8"/>
    <w:rsid w:val="00FE3FBF"/>
    <w:rsid w:val="00FE4728"/>
    <w:rsid w:val="00FE4983"/>
    <w:rsid w:val="00FF546B"/>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1E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1266">
      <w:bodyDiv w:val="1"/>
      <w:marLeft w:val="0"/>
      <w:marRight w:val="0"/>
      <w:marTop w:val="0"/>
      <w:marBottom w:val="0"/>
      <w:divBdr>
        <w:top w:val="none" w:sz="0" w:space="0" w:color="auto"/>
        <w:left w:val="none" w:sz="0" w:space="0" w:color="auto"/>
        <w:bottom w:val="none" w:sz="0" w:space="0" w:color="auto"/>
        <w:right w:val="none" w:sz="0" w:space="0" w:color="auto"/>
      </w:divBdr>
    </w:div>
    <w:div w:id="733892795">
      <w:bodyDiv w:val="1"/>
      <w:marLeft w:val="0"/>
      <w:marRight w:val="0"/>
      <w:marTop w:val="0"/>
      <w:marBottom w:val="0"/>
      <w:divBdr>
        <w:top w:val="none" w:sz="0" w:space="0" w:color="auto"/>
        <w:left w:val="none" w:sz="0" w:space="0" w:color="auto"/>
        <w:bottom w:val="none" w:sz="0" w:space="0" w:color="auto"/>
        <w:right w:val="none" w:sz="0" w:space="0" w:color="auto"/>
      </w:divBdr>
    </w:div>
    <w:div w:id="1324167878">
      <w:bodyDiv w:val="1"/>
      <w:marLeft w:val="0"/>
      <w:marRight w:val="0"/>
      <w:marTop w:val="0"/>
      <w:marBottom w:val="0"/>
      <w:divBdr>
        <w:top w:val="none" w:sz="0" w:space="0" w:color="auto"/>
        <w:left w:val="none" w:sz="0" w:space="0" w:color="auto"/>
        <w:bottom w:val="none" w:sz="0" w:space="0" w:color="auto"/>
        <w:right w:val="none" w:sz="0" w:space="0" w:color="auto"/>
      </w:divBdr>
    </w:div>
    <w:div w:id="1569875581">
      <w:bodyDiv w:val="1"/>
      <w:marLeft w:val="0"/>
      <w:marRight w:val="0"/>
      <w:marTop w:val="0"/>
      <w:marBottom w:val="0"/>
      <w:divBdr>
        <w:top w:val="none" w:sz="0" w:space="0" w:color="auto"/>
        <w:left w:val="none" w:sz="0" w:space="0" w:color="auto"/>
        <w:bottom w:val="none" w:sz="0" w:space="0" w:color="auto"/>
        <w:right w:val="none" w:sz="0" w:space="0" w:color="auto"/>
      </w:divBdr>
    </w:div>
    <w:div w:id="1988436775">
      <w:bodyDiv w:val="1"/>
      <w:marLeft w:val="375"/>
      <w:marRight w:val="0"/>
      <w:marTop w:val="375"/>
      <w:marBottom w:val="0"/>
      <w:divBdr>
        <w:top w:val="none" w:sz="0" w:space="0" w:color="auto"/>
        <w:left w:val="none" w:sz="0" w:space="0" w:color="auto"/>
        <w:bottom w:val="none" w:sz="0" w:space="0" w:color="auto"/>
        <w:right w:val="none" w:sz="0" w:space="0" w:color="auto"/>
      </w:divBdr>
      <w:divsChild>
        <w:div w:id="398795090">
          <w:marLeft w:val="0"/>
          <w:marRight w:val="0"/>
          <w:marTop w:val="0"/>
          <w:marBottom w:val="0"/>
          <w:divBdr>
            <w:top w:val="none" w:sz="0" w:space="0" w:color="auto"/>
            <w:left w:val="none" w:sz="0" w:space="0" w:color="auto"/>
            <w:bottom w:val="none" w:sz="0" w:space="0" w:color="auto"/>
            <w:right w:val="none" w:sz="0" w:space="0" w:color="auto"/>
          </w:divBdr>
        </w:div>
        <w:div w:id="917446423">
          <w:marLeft w:val="0"/>
          <w:marRight w:val="0"/>
          <w:marTop w:val="0"/>
          <w:marBottom w:val="0"/>
          <w:divBdr>
            <w:top w:val="none" w:sz="0" w:space="0" w:color="auto"/>
            <w:left w:val="none" w:sz="0" w:space="0" w:color="auto"/>
            <w:bottom w:val="none" w:sz="0" w:space="0" w:color="auto"/>
            <w:right w:val="none" w:sz="0" w:space="0" w:color="auto"/>
          </w:divBdr>
        </w:div>
        <w:div w:id="1014570081">
          <w:marLeft w:val="0"/>
          <w:marRight w:val="0"/>
          <w:marTop w:val="0"/>
          <w:marBottom w:val="0"/>
          <w:divBdr>
            <w:top w:val="none" w:sz="0" w:space="0" w:color="auto"/>
            <w:left w:val="none" w:sz="0" w:space="0" w:color="auto"/>
            <w:bottom w:val="none" w:sz="0" w:space="0" w:color="auto"/>
            <w:right w:val="none" w:sz="0" w:space="0" w:color="auto"/>
          </w:divBdr>
        </w:div>
        <w:div w:id="1424492431">
          <w:marLeft w:val="0"/>
          <w:marRight w:val="0"/>
          <w:marTop w:val="0"/>
          <w:marBottom w:val="0"/>
          <w:divBdr>
            <w:top w:val="none" w:sz="0" w:space="0" w:color="auto"/>
            <w:left w:val="none" w:sz="0" w:space="0" w:color="auto"/>
            <w:bottom w:val="none" w:sz="0" w:space="0" w:color="auto"/>
            <w:right w:val="none" w:sz="0" w:space="0" w:color="auto"/>
          </w:divBdr>
        </w:div>
        <w:div w:id="180777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i-say.com/Footerlinks/PrivacyPolicy/tabid/282/language/en-U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47DB-4AF5-4F3B-B3A2-EA0688C7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3079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STATEMENT OF WORK</vt:lpstr>
    </vt:vector>
  </TitlesOfParts>
  <Company>Micron Electronics, Inc.</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Don Wilt</dc:creator>
  <cp:lastModifiedBy>Department of Treasury</cp:lastModifiedBy>
  <cp:revision>8</cp:revision>
  <cp:lastPrinted>2015-10-07T20:35:00Z</cp:lastPrinted>
  <dcterms:created xsi:type="dcterms:W3CDTF">2016-08-22T15:24:00Z</dcterms:created>
  <dcterms:modified xsi:type="dcterms:W3CDTF">2016-09-20T14:41:00Z</dcterms:modified>
</cp:coreProperties>
</file>