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CC" w:rsidRPr="00F25192" w:rsidRDefault="009C56CC">
      <w:pPr>
        <w:rPr>
          <w:rFonts w:ascii="Arial" w:hAnsi="Arial" w:cs="Arial"/>
          <w:sz w:val="20"/>
          <w:szCs w:val="20"/>
        </w:rPr>
      </w:pPr>
    </w:p>
    <w:p w:rsidR="009C56CC" w:rsidRPr="00F25192" w:rsidRDefault="009C56CC" w:rsidP="009C56CC">
      <w:pPr>
        <w:jc w:val="center"/>
        <w:rPr>
          <w:rFonts w:ascii="Arial" w:hAnsi="Arial" w:cs="Arial"/>
          <w:sz w:val="20"/>
          <w:szCs w:val="20"/>
        </w:rPr>
      </w:pPr>
      <w:r w:rsidRPr="00F25192">
        <w:rPr>
          <w:rFonts w:ascii="Arial" w:hAnsi="Arial" w:cs="Arial"/>
          <w:sz w:val="20"/>
          <w:szCs w:val="20"/>
        </w:rPr>
        <w:t>Department of the Treasury</w:t>
      </w:r>
    </w:p>
    <w:p w:rsidR="009C56CC" w:rsidRPr="00F25192" w:rsidRDefault="009C56CC" w:rsidP="009C56CC">
      <w:pPr>
        <w:jc w:val="center"/>
        <w:rPr>
          <w:rFonts w:ascii="Arial" w:hAnsi="Arial" w:cs="Arial"/>
          <w:sz w:val="20"/>
          <w:szCs w:val="20"/>
        </w:rPr>
      </w:pPr>
      <w:r w:rsidRPr="00F25192">
        <w:rPr>
          <w:rFonts w:ascii="Arial" w:hAnsi="Arial" w:cs="Arial"/>
          <w:sz w:val="20"/>
          <w:szCs w:val="20"/>
        </w:rPr>
        <w:t>Terrorism Risk Insurance Program (TRIP</w:t>
      </w:r>
      <w:r w:rsidR="003E6BB4" w:rsidRPr="00F25192">
        <w:rPr>
          <w:rFonts w:ascii="Arial" w:hAnsi="Arial" w:cs="Arial"/>
          <w:sz w:val="20"/>
          <w:szCs w:val="20"/>
        </w:rPr>
        <w:t>)</w:t>
      </w:r>
    </w:p>
    <w:p w:rsidR="009C56CC" w:rsidRPr="00F25192" w:rsidRDefault="009C56CC" w:rsidP="009C56CC">
      <w:pPr>
        <w:jc w:val="center"/>
        <w:rPr>
          <w:rFonts w:ascii="Arial" w:hAnsi="Arial" w:cs="Arial"/>
          <w:sz w:val="20"/>
          <w:szCs w:val="20"/>
        </w:rPr>
      </w:pPr>
    </w:p>
    <w:p w:rsidR="009C56CC" w:rsidRPr="00F25192" w:rsidRDefault="009C56CC" w:rsidP="009C56CC">
      <w:pPr>
        <w:jc w:val="center"/>
        <w:rPr>
          <w:rFonts w:ascii="Arial" w:hAnsi="Arial" w:cs="Arial"/>
          <w:sz w:val="20"/>
          <w:szCs w:val="20"/>
        </w:rPr>
      </w:pPr>
      <w:r w:rsidRPr="00F25192">
        <w:rPr>
          <w:rFonts w:ascii="Arial" w:hAnsi="Arial" w:cs="Arial"/>
          <w:sz w:val="20"/>
          <w:szCs w:val="20"/>
        </w:rPr>
        <w:t>Supporting Statement – Information Collection Requirement</w:t>
      </w:r>
    </w:p>
    <w:p w:rsidR="009C56CC" w:rsidRPr="00F25192" w:rsidRDefault="009C56CC" w:rsidP="009C56CC">
      <w:pPr>
        <w:jc w:val="center"/>
        <w:rPr>
          <w:rFonts w:ascii="Arial" w:hAnsi="Arial" w:cs="Arial"/>
          <w:sz w:val="20"/>
          <w:szCs w:val="20"/>
        </w:rPr>
      </w:pPr>
    </w:p>
    <w:p w:rsidR="009C56CC" w:rsidRPr="00F25192" w:rsidRDefault="009C56CC" w:rsidP="009C56CC">
      <w:pPr>
        <w:jc w:val="center"/>
        <w:rPr>
          <w:rFonts w:ascii="Arial" w:hAnsi="Arial" w:cs="Arial"/>
          <w:sz w:val="20"/>
          <w:szCs w:val="20"/>
        </w:rPr>
      </w:pPr>
      <w:r w:rsidRPr="00F25192">
        <w:rPr>
          <w:rFonts w:ascii="Arial" w:hAnsi="Arial" w:cs="Arial"/>
          <w:sz w:val="20"/>
          <w:szCs w:val="20"/>
        </w:rPr>
        <w:t xml:space="preserve">OMB Control Number </w:t>
      </w:r>
      <w:r w:rsidR="00293384" w:rsidRPr="00F25192">
        <w:rPr>
          <w:rFonts w:ascii="Arial" w:hAnsi="Arial" w:cs="Arial"/>
          <w:sz w:val="20"/>
          <w:szCs w:val="20"/>
        </w:rPr>
        <w:t xml:space="preserve">- </w:t>
      </w:r>
      <w:r w:rsidR="00D0610D" w:rsidRPr="00F25192">
        <w:rPr>
          <w:rFonts w:ascii="Arial" w:hAnsi="Arial" w:cs="Arial"/>
          <w:sz w:val="20"/>
          <w:szCs w:val="20"/>
        </w:rPr>
        <w:t>1505-</w:t>
      </w:r>
      <w:r w:rsidR="0031107F">
        <w:rPr>
          <w:rFonts w:ascii="Arial" w:hAnsi="Arial" w:cs="Arial"/>
          <w:sz w:val="20"/>
          <w:szCs w:val="20"/>
        </w:rPr>
        <w:t>0208</w:t>
      </w:r>
    </w:p>
    <w:p w:rsidR="009C56CC" w:rsidRPr="00F25192" w:rsidRDefault="009C56CC" w:rsidP="009C56CC">
      <w:pPr>
        <w:jc w:val="center"/>
        <w:rPr>
          <w:rFonts w:ascii="Arial" w:hAnsi="Arial" w:cs="Arial"/>
          <w:sz w:val="20"/>
          <w:szCs w:val="20"/>
        </w:rPr>
      </w:pPr>
    </w:p>
    <w:p w:rsidR="009C56CC" w:rsidRPr="00F25192" w:rsidRDefault="00CC35DF" w:rsidP="009C56CC">
      <w:pPr>
        <w:jc w:val="center"/>
        <w:rPr>
          <w:rFonts w:ascii="Arial" w:hAnsi="Arial" w:cs="Arial"/>
          <w:sz w:val="20"/>
          <w:szCs w:val="20"/>
        </w:rPr>
      </w:pPr>
      <w:r w:rsidRPr="00F25192">
        <w:rPr>
          <w:rFonts w:ascii="Arial" w:hAnsi="Arial" w:cs="Arial"/>
          <w:sz w:val="20"/>
          <w:szCs w:val="20"/>
        </w:rPr>
        <w:t>Terrorism Risk Insurance Act</w:t>
      </w:r>
      <w:r w:rsidR="00C744D6" w:rsidRPr="00F25192">
        <w:rPr>
          <w:rFonts w:ascii="Arial" w:hAnsi="Arial" w:cs="Arial"/>
          <w:sz w:val="20"/>
          <w:szCs w:val="20"/>
        </w:rPr>
        <w:t xml:space="preserve"> Cap on Annual Liability </w:t>
      </w:r>
      <w:r w:rsidR="00E02D20" w:rsidRPr="00F25192">
        <w:rPr>
          <w:rFonts w:ascii="Arial" w:hAnsi="Arial" w:cs="Arial"/>
          <w:sz w:val="20"/>
          <w:szCs w:val="20"/>
        </w:rPr>
        <w:t xml:space="preserve"> </w:t>
      </w:r>
    </w:p>
    <w:p w:rsidR="00D470EC" w:rsidRPr="00F25192" w:rsidRDefault="00D470EC" w:rsidP="009C56CC">
      <w:pPr>
        <w:jc w:val="center"/>
        <w:rPr>
          <w:rFonts w:ascii="Arial" w:hAnsi="Arial" w:cs="Arial"/>
          <w:b/>
          <w:sz w:val="20"/>
          <w:szCs w:val="20"/>
          <w:u w:val="single"/>
        </w:rPr>
      </w:pPr>
    </w:p>
    <w:p w:rsidR="00D470EC" w:rsidRPr="00F25192" w:rsidRDefault="00D470EC" w:rsidP="00AD345B">
      <w:pPr>
        <w:pStyle w:val="Heading1"/>
        <w:rPr>
          <w:rFonts w:cs="Arial"/>
          <w:b/>
          <w:szCs w:val="20"/>
        </w:rPr>
      </w:pPr>
      <w:r w:rsidRPr="00AD345B">
        <w:t>Explain the circumstances that make the collection of information necessary.</w:t>
      </w:r>
    </w:p>
    <w:p w:rsidR="009C56CC" w:rsidRPr="00F25192" w:rsidRDefault="009C56CC" w:rsidP="009C56CC">
      <w:pPr>
        <w:rPr>
          <w:rFonts w:ascii="Arial" w:hAnsi="Arial" w:cs="Arial"/>
          <w:sz w:val="20"/>
          <w:szCs w:val="20"/>
        </w:rPr>
      </w:pPr>
    </w:p>
    <w:p w:rsidR="009C56CC" w:rsidRPr="00F25192" w:rsidRDefault="00E40140" w:rsidP="009C56CC">
      <w:pPr>
        <w:pStyle w:val="Default"/>
        <w:ind w:left="360" w:hanging="360"/>
        <w:rPr>
          <w:rFonts w:ascii="Arial" w:hAnsi="Arial" w:cs="Arial"/>
        </w:rPr>
      </w:pPr>
      <w:r w:rsidRPr="00F25192">
        <w:rPr>
          <w:rFonts w:ascii="Arial" w:hAnsi="Arial" w:cs="Arial"/>
        </w:rPr>
        <w:tab/>
      </w:r>
      <w:r w:rsidRPr="00F25192">
        <w:rPr>
          <w:rFonts w:ascii="Arial" w:hAnsi="Arial" w:cs="Arial"/>
        </w:rPr>
        <w:tab/>
      </w:r>
      <w:r w:rsidR="009C56CC" w:rsidRPr="00F25192">
        <w:rPr>
          <w:rFonts w:ascii="Arial" w:hAnsi="Arial" w:cs="Arial"/>
        </w:rPr>
        <w:t xml:space="preserve"> This </w:t>
      </w:r>
      <w:smartTag w:uri="urn:schemas-microsoft-com:office:smarttags" w:element="PersonName">
        <w:r w:rsidR="009C56CC" w:rsidRPr="00F25192">
          <w:rPr>
            <w:rFonts w:ascii="Arial" w:hAnsi="Arial" w:cs="Arial"/>
          </w:rPr>
          <w:t>info</w:t>
        </w:r>
      </w:smartTag>
      <w:r w:rsidR="009C56CC" w:rsidRPr="00F25192">
        <w:rPr>
          <w:rFonts w:ascii="Arial" w:hAnsi="Arial" w:cs="Arial"/>
        </w:rPr>
        <w:t xml:space="preserve">rmation collection is made necessary by the provisions of the Terrorism Risk Insurance Act of 2002 (the Act) and the Department of Treasury regulations for its implementation.  </w:t>
      </w:r>
    </w:p>
    <w:p w:rsidR="00163417" w:rsidRDefault="00163417" w:rsidP="006002BC">
      <w:pPr>
        <w:rPr>
          <w:rFonts w:ascii="Arial" w:hAnsi="Arial" w:cs="Arial"/>
          <w:sz w:val="20"/>
          <w:szCs w:val="20"/>
        </w:rPr>
      </w:pPr>
    </w:p>
    <w:p w:rsidR="003A696A" w:rsidRDefault="00931C07" w:rsidP="003A696A">
      <w:pPr>
        <w:autoSpaceDE w:val="0"/>
        <w:autoSpaceDN w:val="0"/>
        <w:adjustRightInd w:val="0"/>
        <w:ind w:firstLine="720"/>
        <w:rPr>
          <w:rFonts w:ascii="Arial" w:hAnsi="Arial" w:cs="Arial"/>
          <w:sz w:val="20"/>
          <w:szCs w:val="20"/>
        </w:rPr>
      </w:pPr>
      <w:r w:rsidRPr="006002BC">
        <w:rPr>
          <w:rFonts w:ascii="Arial" w:hAnsi="Arial" w:cs="Arial"/>
          <w:sz w:val="20"/>
          <w:szCs w:val="20"/>
        </w:rPr>
        <w:t xml:space="preserve">The Terrorism Risk Insurance Act of 2002, as amended </w:t>
      </w:r>
      <w:r w:rsidR="006002BC">
        <w:rPr>
          <w:rFonts w:ascii="Arial" w:hAnsi="Arial" w:cs="Arial"/>
          <w:sz w:val="20"/>
          <w:szCs w:val="20"/>
        </w:rPr>
        <w:t>(TRIA) (</w:t>
      </w:r>
      <w:r w:rsidR="006002BC" w:rsidRPr="006002BC">
        <w:rPr>
          <w:rFonts w:ascii="Arial" w:hAnsi="Arial" w:cs="Arial"/>
          <w:sz w:val="20"/>
          <w:szCs w:val="20"/>
        </w:rPr>
        <w:t>15 U.S.C. 6701 note)</w:t>
      </w:r>
      <w:r w:rsidR="006002BC">
        <w:rPr>
          <w:rFonts w:ascii="Arial" w:hAnsi="Arial" w:cs="Arial"/>
          <w:sz w:val="20"/>
          <w:szCs w:val="20"/>
        </w:rPr>
        <w:t>,</w:t>
      </w:r>
      <w:r w:rsidRPr="006002BC">
        <w:rPr>
          <w:rFonts w:ascii="Arial" w:hAnsi="Arial" w:cs="Arial"/>
          <w:sz w:val="20"/>
          <w:szCs w:val="20"/>
        </w:rPr>
        <w:t xml:space="preserve"> established the Terrorism Risk Insurance Program (TRIP)</w:t>
      </w:r>
      <w:r w:rsidR="006002BC">
        <w:rPr>
          <w:rFonts w:ascii="Arial" w:hAnsi="Arial" w:cs="Arial"/>
          <w:sz w:val="20"/>
          <w:szCs w:val="20"/>
        </w:rPr>
        <w:t xml:space="preserve"> (31 CFR part 50</w:t>
      </w:r>
      <w:r w:rsidR="006002BC" w:rsidRPr="006002BC">
        <w:rPr>
          <w:rFonts w:ascii="Arial" w:hAnsi="Arial" w:cs="Arial"/>
          <w:sz w:val="20"/>
          <w:szCs w:val="20"/>
        </w:rPr>
        <w:t>)</w:t>
      </w:r>
      <w:r w:rsidRPr="006002BC">
        <w:rPr>
          <w:rFonts w:ascii="Arial" w:hAnsi="Arial" w:cs="Arial"/>
          <w:sz w:val="20"/>
          <w:szCs w:val="20"/>
        </w:rPr>
        <w:t xml:space="preserve"> which the Secretary of the U.S. Department of the Treasury (Secretary) administers, with the assistance of the Federal Insurance Office</w:t>
      </w:r>
      <w:r w:rsidR="006002BC">
        <w:rPr>
          <w:rFonts w:ascii="Arial" w:hAnsi="Arial" w:cs="Arial"/>
          <w:sz w:val="20"/>
          <w:szCs w:val="20"/>
        </w:rPr>
        <w:t xml:space="preserve"> (</w:t>
      </w:r>
      <w:r w:rsidR="006002BC" w:rsidRPr="006002BC">
        <w:rPr>
          <w:rFonts w:ascii="Arial" w:hAnsi="Arial" w:cs="Arial"/>
          <w:sz w:val="20"/>
          <w:szCs w:val="20"/>
        </w:rPr>
        <w:t>31 U.S.C. 313(c</w:t>
      </w:r>
      <w:r w:rsidR="003A696A" w:rsidRPr="006002BC">
        <w:rPr>
          <w:rFonts w:ascii="Arial" w:hAnsi="Arial" w:cs="Arial"/>
          <w:sz w:val="20"/>
          <w:szCs w:val="20"/>
        </w:rPr>
        <w:t>) (</w:t>
      </w:r>
      <w:r w:rsidR="006002BC" w:rsidRPr="006002BC">
        <w:rPr>
          <w:rFonts w:ascii="Arial" w:hAnsi="Arial" w:cs="Arial"/>
          <w:sz w:val="20"/>
          <w:szCs w:val="20"/>
        </w:rPr>
        <w:t>1</w:t>
      </w:r>
      <w:r w:rsidR="003A696A" w:rsidRPr="006002BC">
        <w:rPr>
          <w:rFonts w:ascii="Arial" w:hAnsi="Arial" w:cs="Arial"/>
          <w:sz w:val="20"/>
          <w:szCs w:val="20"/>
        </w:rPr>
        <w:t>) (</w:t>
      </w:r>
      <w:r w:rsidR="006002BC" w:rsidRPr="006002BC">
        <w:rPr>
          <w:rFonts w:ascii="Arial" w:hAnsi="Arial" w:cs="Arial"/>
          <w:sz w:val="20"/>
          <w:szCs w:val="20"/>
        </w:rPr>
        <w:t>D).)</w:t>
      </w:r>
      <w:r w:rsidRPr="006002BC">
        <w:rPr>
          <w:rFonts w:ascii="Arial" w:hAnsi="Arial" w:cs="Arial"/>
          <w:sz w:val="20"/>
          <w:szCs w:val="20"/>
        </w:rPr>
        <w:t xml:space="preserve">. </w:t>
      </w:r>
    </w:p>
    <w:p w:rsidR="003A696A" w:rsidRDefault="003A696A" w:rsidP="006002BC">
      <w:pPr>
        <w:autoSpaceDE w:val="0"/>
        <w:autoSpaceDN w:val="0"/>
        <w:adjustRightInd w:val="0"/>
        <w:rPr>
          <w:rFonts w:ascii="Arial" w:hAnsi="Arial" w:cs="Arial"/>
          <w:sz w:val="20"/>
          <w:szCs w:val="20"/>
        </w:rPr>
      </w:pPr>
    </w:p>
    <w:p w:rsidR="003A696A" w:rsidRDefault="00931C07" w:rsidP="003A696A">
      <w:pPr>
        <w:autoSpaceDE w:val="0"/>
        <w:autoSpaceDN w:val="0"/>
        <w:adjustRightInd w:val="0"/>
        <w:ind w:firstLine="720"/>
        <w:rPr>
          <w:rFonts w:ascii="Arial" w:hAnsi="Arial" w:cs="Arial"/>
          <w:sz w:val="20"/>
          <w:szCs w:val="20"/>
        </w:rPr>
      </w:pPr>
      <w:r w:rsidRPr="006002BC">
        <w:rPr>
          <w:rFonts w:ascii="Arial" w:hAnsi="Arial" w:cs="Arial"/>
          <w:sz w:val="20"/>
          <w:szCs w:val="20"/>
        </w:rPr>
        <w:t xml:space="preserve">Section 103(e) of TRIA sets a limit on the annual liability for insured losses at $100 billion. This section requires the Secretary to notify Congress not later than 15 days after an act of terrorism as to whether aggregate insured losses are estimated to exceed the cap. TRIA, as amended, also requires the Secretary to determine the pro rata share of insured losses under the Program when insured losses exceed the cap, and to issue regulations for carrying this out. In order to meet these requirements, Treasury may need to obtain loss information from involved insurers. This would be accomplished by the issuance of a ‘‘data call’’ to ascertain insurer losses. In the event of the imposition on insurers of a ‘‘pro rata loss percentage’’, it will be necessary to determine compliance when processing insurer claims for payment of the Federal share of compensation. </w:t>
      </w:r>
    </w:p>
    <w:p w:rsidR="003A696A" w:rsidRDefault="003A696A" w:rsidP="006002BC">
      <w:pPr>
        <w:autoSpaceDE w:val="0"/>
        <w:autoSpaceDN w:val="0"/>
        <w:adjustRightInd w:val="0"/>
        <w:rPr>
          <w:rFonts w:ascii="Arial" w:hAnsi="Arial" w:cs="Arial"/>
          <w:sz w:val="20"/>
          <w:szCs w:val="20"/>
        </w:rPr>
      </w:pPr>
    </w:p>
    <w:p w:rsidR="00931C07" w:rsidRPr="006002BC" w:rsidRDefault="00931C07" w:rsidP="003A696A">
      <w:pPr>
        <w:autoSpaceDE w:val="0"/>
        <w:autoSpaceDN w:val="0"/>
        <w:adjustRightInd w:val="0"/>
        <w:ind w:firstLine="720"/>
        <w:rPr>
          <w:rFonts w:ascii="Arial" w:hAnsi="Arial" w:cs="Arial"/>
          <w:sz w:val="20"/>
          <w:szCs w:val="20"/>
        </w:rPr>
      </w:pPr>
      <w:r w:rsidRPr="006002BC">
        <w:rPr>
          <w:rFonts w:ascii="Arial" w:hAnsi="Arial" w:cs="Arial"/>
          <w:sz w:val="20"/>
          <w:szCs w:val="20"/>
        </w:rPr>
        <w:t>The Terrorism Risk Insurance Program Reauthorization Act of 2015 (Pub. L.114–</w:t>
      </w:r>
      <w:r w:rsidR="003A696A">
        <w:rPr>
          <w:rFonts w:ascii="Arial" w:hAnsi="Arial" w:cs="Arial"/>
          <w:sz w:val="20"/>
          <w:szCs w:val="20"/>
        </w:rPr>
        <w:t xml:space="preserve">1) (2015 </w:t>
      </w:r>
      <w:r w:rsidRPr="006002BC">
        <w:rPr>
          <w:rFonts w:ascii="Arial" w:hAnsi="Arial" w:cs="Arial"/>
          <w:sz w:val="20"/>
          <w:szCs w:val="20"/>
        </w:rPr>
        <w:t>Reauthorization Act) require</w:t>
      </w:r>
      <w:r w:rsidR="006002BC" w:rsidRPr="006002BC">
        <w:rPr>
          <w:rFonts w:ascii="Arial" w:hAnsi="Arial" w:cs="Arial"/>
          <w:sz w:val="20"/>
          <w:szCs w:val="20"/>
        </w:rPr>
        <w:t>s insurers participating in the</w:t>
      </w:r>
      <w:r w:rsidR="006002BC">
        <w:rPr>
          <w:rFonts w:ascii="Arial" w:hAnsi="Arial" w:cs="Arial"/>
          <w:sz w:val="20"/>
          <w:szCs w:val="20"/>
        </w:rPr>
        <w:t xml:space="preserve"> </w:t>
      </w:r>
      <w:r w:rsidRPr="006002BC">
        <w:rPr>
          <w:rFonts w:ascii="Arial" w:hAnsi="Arial" w:cs="Arial"/>
          <w:sz w:val="20"/>
          <w:szCs w:val="20"/>
        </w:rPr>
        <w:t>Program to submit to Treasury certain information regarding the operation of the Program. Treasury is presently considering the information that should be collected under the 2015 Reauthorization Act. It is possible that information that will be collected pursuant to this process under consideration might affect the amount of information that would need to be</w:t>
      </w:r>
      <w:r w:rsidR="006002BC" w:rsidRPr="006002BC">
        <w:rPr>
          <w:rFonts w:ascii="Arial" w:hAnsi="Arial" w:cs="Arial"/>
          <w:sz w:val="20"/>
          <w:szCs w:val="20"/>
        </w:rPr>
        <w:t xml:space="preserve"> collected pursuant to this currently approved data collection. Treasury will address such issues in connection with any notice that it issues concerning data collection under the Terrorism Risk Insurance Program Reauthorization Act of 2015. This extension is sought to maintain the existing approved data collection in place, consistent with the requirements of the Paperwork Reduction Act, pending the proposal by Treasury of any additional data collection in connection with the Program.</w:t>
      </w:r>
    </w:p>
    <w:p w:rsidR="00931C07" w:rsidRPr="00F25192" w:rsidRDefault="00931C07" w:rsidP="00A5473D">
      <w:pPr>
        <w:ind w:firstLine="360"/>
        <w:rPr>
          <w:rFonts w:ascii="Arial" w:hAnsi="Arial" w:cs="Arial"/>
          <w:sz w:val="20"/>
          <w:szCs w:val="20"/>
        </w:rPr>
      </w:pPr>
    </w:p>
    <w:p w:rsidR="00D470EC" w:rsidRPr="00F25192" w:rsidRDefault="00D470EC" w:rsidP="001058DE">
      <w:pPr>
        <w:pStyle w:val="Heading1"/>
      </w:pPr>
      <w:r w:rsidRPr="00F25192">
        <w:rPr>
          <w:lang w:val="en-CA"/>
        </w:rPr>
        <w:fldChar w:fldCharType="begin"/>
      </w:r>
      <w:r w:rsidRPr="00F25192">
        <w:rPr>
          <w:lang w:val="en-CA"/>
        </w:rPr>
        <w:instrText xml:space="preserve"> SEQ CHAPTER \h \r 1</w:instrText>
      </w:r>
      <w:r w:rsidRPr="00F25192">
        <w:rPr>
          <w:lang w:val="en-CA"/>
        </w:rPr>
        <w:fldChar w:fldCharType="end"/>
      </w:r>
      <w:r w:rsidRPr="00F25192">
        <w:t xml:space="preserve">Explain how, by whom, how frequently, and for what purpose the </w:t>
      </w:r>
      <w:smartTag w:uri="urn:schemas-microsoft-com:office:smarttags" w:element="PersonName">
        <w:r w:rsidRPr="00F25192">
          <w:t>info</w:t>
        </w:r>
      </w:smartTag>
      <w:r w:rsidRPr="00F25192">
        <w:t xml:space="preserve">rmation will be used.  </w:t>
      </w:r>
      <w:r w:rsidRPr="00F25192">
        <w:rPr>
          <w:lang w:val="en-CA"/>
        </w:rPr>
        <w:fldChar w:fldCharType="begin"/>
      </w:r>
      <w:r w:rsidRPr="00F25192">
        <w:rPr>
          <w:lang w:val="en-CA"/>
        </w:rPr>
        <w:instrText xml:space="preserve"> SEQ CHAPTER \h \r 1</w:instrText>
      </w:r>
      <w:r w:rsidRPr="00F25192">
        <w:rPr>
          <w:lang w:val="en-CA"/>
        </w:rPr>
        <w:fldChar w:fldCharType="end"/>
      </w:r>
      <w:r w:rsidRPr="00F25192">
        <w:t xml:space="preserve">If the </w:t>
      </w:r>
      <w:smartTag w:uri="urn:schemas-microsoft-com:office:smarttags" w:element="PersonName">
        <w:r w:rsidRPr="00F25192">
          <w:t>info</w:t>
        </w:r>
      </w:smartTag>
      <w:r w:rsidRPr="00F25192">
        <w:t xml:space="preserve">rmation collected will be disseminated to the public or used to support </w:t>
      </w:r>
      <w:smartTag w:uri="urn:schemas-microsoft-com:office:smarttags" w:element="PersonName">
        <w:r w:rsidRPr="00F25192">
          <w:t>info</w:t>
        </w:r>
      </w:smartTag>
      <w:r w:rsidRPr="00F25192">
        <w:t>rmation that will be disseminated to the public, then explain how the collection complies with all applicable Information Quality Guidelines</w:t>
      </w:r>
      <w:r w:rsidR="001058DE">
        <w:t>.</w:t>
      </w:r>
    </w:p>
    <w:p w:rsidR="00D470EC" w:rsidRPr="00F25192" w:rsidRDefault="00D470EC" w:rsidP="009C56CC">
      <w:pPr>
        <w:tabs>
          <w:tab w:val="left" w:pos="3060"/>
        </w:tabs>
        <w:ind w:left="360"/>
        <w:rPr>
          <w:rFonts w:ascii="Arial" w:hAnsi="Arial" w:cs="Arial"/>
          <w:sz w:val="20"/>
          <w:szCs w:val="20"/>
        </w:rPr>
      </w:pPr>
    </w:p>
    <w:p w:rsidR="00597665" w:rsidRDefault="001B5960" w:rsidP="00AF43D0">
      <w:pPr>
        <w:pStyle w:val="Default"/>
        <w:ind w:left="360" w:hanging="360"/>
        <w:rPr>
          <w:rFonts w:ascii="Arial" w:hAnsi="Arial" w:cs="Arial"/>
        </w:rPr>
      </w:pPr>
      <w:r w:rsidRPr="00F25192">
        <w:rPr>
          <w:rFonts w:ascii="Arial" w:hAnsi="Arial" w:cs="Arial"/>
        </w:rPr>
        <w:t xml:space="preserve">  </w:t>
      </w:r>
      <w:r w:rsidR="00623D4E" w:rsidRPr="00F25192">
        <w:rPr>
          <w:rFonts w:ascii="Arial" w:hAnsi="Arial" w:cs="Arial"/>
        </w:rPr>
        <w:t xml:space="preserve"> </w:t>
      </w:r>
      <w:r w:rsidRPr="00F25192">
        <w:rPr>
          <w:rFonts w:ascii="Arial" w:hAnsi="Arial" w:cs="Arial"/>
        </w:rPr>
        <w:t xml:space="preserve">   </w:t>
      </w:r>
      <w:r w:rsidR="00AF43D0" w:rsidRPr="00F25192">
        <w:rPr>
          <w:rFonts w:ascii="Arial" w:hAnsi="Arial" w:cs="Arial"/>
        </w:rPr>
        <w:tab/>
      </w:r>
      <w:r w:rsidR="00C410C4" w:rsidRPr="00F25192">
        <w:rPr>
          <w:rFonts w:ascii="Arial" w:hAnsi="Arial" w:cs="Arial"/>
        </w:rPr>
        <w:tab/>
      </w:r>
      <w:r w:rsidR="00EA2F80" w:rsidRPr="00F25192">
        <w:rPr>
          <w:rFonts w:ascii="Arial" w:hAnsi="Arial" w:cs="Arial"/>
        </w:rPr>
        <w:t xml:space="preserve">In order to comply with the </w:t>
      </w:r>
      <w:r w:rsidR="000F50C4" w:rsidRPr="00F25192">
        <w:rPr>
          <w:rFonts w:ascii="Arial" w:hAnsi="Arial" w:cs="Arial"/>
        </w:rPr>
        <w:t xml:space="preserve">liability cap </w:t>
      </w:r>
      <w:r w:rsidR="00EA2F80" w:rsidRPr="00F25192">
        <w:rPr>
          <w:rFonts w:ascii="Arial" w:hAnsi="Arial" w:cs="Arial"/>
        </w:rPr>
        <w:t xml:space="preserve">provisions of the Act, a data call </w:t>
      </w:r>
      <w:r w:rsidR="00A21939" w:rsidRPr="00F25192">
        <w:rPr>
          <w:rFonts w:ascii="Arial" w:hAnsi="Arial" w:cs="Arial"/>
        </w:rPr>
        <w:t xml:space="preserve">for insured loss and deductible information </w:t>
      </w:r>
      <w:r w:rsidR="00EA2F80" w:rsidRPr="00F25192">
        <w:rPr>
          <w:rFonts w:ascii="Arial" w:hAnsi="Arial" w:cs="Arial"/>
        </w:rPr>
        <w:t xml:space="preserve">may be required </w:t>
      </w:r>
      <w:r w:rsidR="00901624" w:rsidRPr="00F25192">
        <w:rPr>
          <w:rFonts w:ascii="Arial" w:hAnsi="Arial" w:cs="Arial"/>
        </w:rPr>
        <w:t>to</w:t>
      </w:r>
      <w:r w:rsidR="000F50C4" w:rsidRPr="00F25192">
        <w:rPr>
          <w:rFonts w:ascii="Arial" w:hAnsi="Arial" w:cs="Arial"/>
        </w:rPr>
        <w:t xml:space="preserve"> accurately assess</w:t>
      </w:r>
      <w:r w:rsidR="00DF57D6" w:rsidRPr="00F25192">
        <w:rPr>
          <w:rFonts w:ascii="Arial" w:hAnsi="Arial" w:cs="Arial"/>
        </w:rPr>
        <w:t xml:space="preserve"> aggregate industry </w:t>
      </w:r>
      <w:r w:rsidR="000F50C4" w:rsidRPr="00F25192">
        <w:rPr>
          <w:rFonts w:ascii="Arial" w:hAnsi="Arial" w:cs="Arial"/>
        </w:rPr>
        <w:t xml:space="preserve"> losses </w:t>
      </w:r>
      <w:r w:rsidR="00DF57D6" w:rsidRPr="00F25192">
        <w:rPr>
          <w:rFonts w:ascii="Arial" w:hAnsi="Arial" w:cs="Arial"/>
        </w:rPr>
        <w:t xml:space="preserve"> and </w:t>
      </w:r>
      <w:r w:rsidR="00EA2F80" w:rsidRPr="00F25192">
        <w:rPr>
          <w:rFonts w:ascii="Arial" w:hAnsi="Arial" w:cs="Arial"/>
        </w:rPr>
        <w:t>determine</w:t>
      </w:r>
      <w:r w:rsidR="000F50C4" w:rsidRPr="00F25192">
        <w:rPr>
          <w:rFonts w:ascii="Arial" w:hAnsi="Arial" w:cs="Arial"/>
        </w:rPr>
        <w:t xml:space="preserve"> if the $100 billion </w:t>
      </w:r>
      <w:r w:rsidR="001B2D65" w:rsidRPr="00F25192">
        <w:rPr>
          <w:rFonts w:ascii="Arial" w:hAnsi="Arial" w:cs="Arial"/>
        </w:rPr>
        <w:t>cap is to be exceeded</w:t>
      </w:r>
      <w:r w:rsidR="00DB4BF0" w:rsidRPr="00F25192">
        <w:rPr>
          <w:rFonts w:ascii="Arial" w:hAnsi="Arial" w:cs="Arial"/>
        </w:rPr>
        <w:t xml:space="preserve"> </w:t>
      </w:r>
      <w:r w:rsidR="00DF57D6" w:rsidRPr="00F25192">
        <w:rPr>
          <w:rFonts w:ascii="Arial" w:hAnsi="Arial" w:cs="Arial"/>
        </w:rPr>
        <w:t>as well as</w:t>
      </w:r>
      <w:r w:rsidR="001B2D65" w:rsidRPr="00F25192">
        <w:rPr>
          <w:rFonts w:ascii="Arial" w:hAnsi="Arial" w:cs="Arial"/>
        </w:rPr>
        <w:t xml:space="preserve"> to determine and adjust the “</w:t>
      </w:r>
      <w:r w:rsidR="001B2D65" w:rsidRPr="00F25192">
        <w:rPr>
          <w:rFonts w:ascii="Arial" w:hAnsi="Arial" w:cs="Arial"/>
          <w:i/>
        </w:rPr>
        <w:t>pro rata</w:t>
      </w:r>
      <w:r w:rsidR="001B2D65" w:rsidRPr="00F25192">
        <w:rPr>
          <w:rFonts w:ascii="Arial" w:hAnsi="Arial" w:cs="Arial"/>
        </w:rPr>
        <w:t xml:space="preserve"> loss percentage” (PRLP) to be applied against claim payments.  </w:t>
      </w:r>
      <w:r w:rsidR="00DB4BF0" w:rsidRPr="00F25192">
        <w:rPr>
          <w:rFonts w:ascii="Arial" w:hAnsi="Arial" w:cs="Arial"/>
        </w:rPr>
        <w:t xml:space="preserve">In the event of imposition of a PRLP,  </w:t>
      </w:r>
      <w:r w:rsidR="00DE1756" w:rsidRPr="00F25192">
        <w:rPr>
          <w:rFonts w:ascii="Arial" w:hAnsi="Arial" w:cs="Arial"/>
        </w:rPr>
        <w:t xml:space="preserve">loss payment </w:t>
      </w:r>
      <w:r w:rsidR="00DB4BF0" w:rsidRPr="00F25192">
        <w:rPr>
          <w:rFonts w:ascii="Arial" w:hAnsi="Arial" w:cs="Arial"/>
        </w:rPr>
        <w:t>information</w:t>
      </w:r>
      <w:r w:rsidR="00DF57D6" w:rsidRPr="00F25192">
        <w:rPr>
          <w:rFonts w:ascii="Arial" w:hAnsi="Arial" w:cs="Arial"/>
        </w:rPr>
        <w:t xml:space="preserve"> </w:t>
      </w:r>
      <w:r w:rsidR="00DB4BF0" w:rsidRPr="00F25192">
        <w:rPr>
          <w:rFonts w:ascii="Arial" w:hAnsi="Arial" w:cs="Arial"/>
        </w:rPr>
        <w:t xml:space="preserve"> will be collected by a nominal revision to </w:t>
      </w:r>
      <w:r w:rsidR="00DF57D6" w:rsidRPr="00F25192">
        <w:rPr>
          <w:rFonts w:ascii="Arial" w:hAnsi="Arial" w:cs="Arial"/>
        </w:rPr>
        <w:t xml:space="preserve">a currently approved Treasury form, Certification of Loss “Schedule C”, or “Bordereau”  (OMB 1505-0200) </w:t>
      </w:r>
      <w:r w:rsidR="00DE1756" w:rsidRPr="00F25192">
        <w:rPr>
          <w:rFonts w:ascii="Arial" w:hAnsi="Arial" w:cs="Arial"/>
        </w:rPr>
        <w:t>that collects information about individual underlying claims made for the Federal share of compensation for insured losses.</w:t>
      </w:r>
    </w:p>
    <w:p w:rsidR="00EA38B5" w:rsidRDefault="00EA38B5" w:rsidP="00AF43D0">
      <w:pPr>
        <w:pStyle w:val="Default"/>
        <w:ind w:left="360" w:hanging="360"/>
        <w:rPr>
          <w:rFonts w:ascii="Arial" w:hAnsi="Arial" w:cs="Arial"/>
        </w:rPr>
      </w:pPr>
    </w:p>
    <w:p w:rsidR="00EA38B5" w:rsidRPr="00F25192" w:rsidRDefault="00EA38B5" w:rsidP="00AF43D0">
      <w:pPr>
        <w:pStyle w:val="Default"/>
        <w:ind w:left="360" w:hanging="360"/>
        <w:rPr>
          <w:rFonts w:ascii="Arial" w:hAnsi="Arial" w:cs="Arial"/>
        </w:rPr>
      </w:pPr>
      <w:r>
        <w:rPr>
          <w:rFonts w:ascii="Arial" w:hAnsi="Arial" w:cs="Arial"/>
        </w:rPr>
        <w:tab/>
      </w:r>
      <w:r>
        <w:rPr>
          <w:rFonts w:ascii="Arial" w:hAnsi="Arial" w:cs="Arial"/>
        </w:rPr>
        <w:tab/>
        <w:t>The information will be collected through a web portal, set up in the same manner as the form in the Information Collection Instruments field - TRIP 05</w:t>
      </w:r>
      <w:r w:rsidR="00677655">
        <w:rPr>
          <w:rFonts w:ascii="Arial" w:hAnsi="Arial" w:cs="Arial"/>
        </w:rPr>
        <w:t xml:space="preserve"> Data Call Form</w:t>
      </w:r>
      <w:r>
        <w:rPr>
          <w:rFonts w:ascii="Arial" w:hAnsi="Arial" w:cs="Arial"/>
        </w:rPr>
        <w:t>.</w:t>
      </w:r>
    </w:p>
    <w:p w:rsidR="00EB46BC" w:rsidRPr="00F25192" w:rsidRDefault="00EB46BC" w:rsidP="00AF43D0">
      <w:pPr>
        <w:pStyle w:val="Default"/>
        <w:ind w:left="360" w:hanging="360"/>
        <w:rPr>
          <w:rFonts w:ascii="Arial" w:hAnsi="Arial" w:cs="Arial"/>
        </w:rPr>
      </w:pPr>
    </w:p>
    <w:p w:rsidR="00D470EC" w:rsidRPr="00F25192" w:rsidRDefault="00D470EC" w:rsidP="001058DE">
      <w:pPr>
        <w:pStyle w:val="Heading1"/>
      </w:pPr>
      <w:r w:rsidRPr="00F25192">
        <w:lastRenderedPageBreak/>
        <w:t xml:space="preserve">Describe whether, and to what extent, the collection of </w:t>
      </w:r>
      <w:smartTag w:uri="urn:schemas-microsoft-com:office:smarttags" w:element="PersonName">
        <w:r w:rsidRPr="00F25192">
          <w:t>info</w:t>
        </w:r>
      </w:smartTag>
      <w:r w:rsidRPr="00F25192">
        <w:t xml:space="preserve">rmation involves the use of automated, electronic, mechanical, or other technological techniques or other forms of </w:t>
      </w:r>
      <w:smartTag w:uri="urn:schemas-microsoft-com:office:smarttags" w:element="PersonName">
        <w:r w:rsidRPr="00F25192">
          <w:t>info</w:t>
        </w:r>
      </w:smartTag>
      <w:r w:rsidRPr="00F25192">
        <w:t>rmation technology.</w:t>
      </w:r>
    </w:p>
    <w:p w:rsidR="001B5960" w:rsidRPr="00F25192" w:rsidRDefault="001B5960" w:rsidP="001B5960">
      <w:pPr>
        <w:pStyle w:val="Default"/>
        <w:ind w:left="360" w:hanging="360"/>
        <w:rPr>
          <w:rFonts w:ascii="Arial" w:hAnsi="Arial" w:cs="Arial"/>
        </w:rPr>
      </w:pPr>
    </w:p>
    <w:p w:rsidR="00866C50" w:rsidRPr="00F25192" w:rsidRDefault="00866C50" w:rsidP="001B5960">
      <w:pPr>
        <w:pStyle w:val="Default"/>
        <w:ind w:left="360" w:hanging="360"/>
        <w:rPr>
          <w:rFonts w:ascii="Arial" w:hAnsi="Arial" w:cs="Arial"/>
        </w:rPr>
      </w:pPr>
    </w:p>
    <w:p w:rsidR="00866C50" w:rsidRPr="00F25192" w:rsidRDefault="00AF43D0" w:rsidP="001B5960">
      <w:pPr>
        <w:pStyle w:val="Default"/>
        <w:ind w:left="360" w:hanging="360"/>
        <w:rPr>
          <w:rFonts w:ascii="Arial" w:hAnsi="Arial" w:cs="Arial"/>
        </w:rPr>
      </w:pPr>
      <w:r w:rsidRPr="00F25192">
        <w:rPr>
          <w:rFonts w:ascii="Arial" w:hAnsi="Arial" w:cs="Arial"/>
        </w:rPr>
        <w:tab/>
      </w:r>
      <w:r w:rsidRPr="00F25192">
        <w:rPr>
          <w:rFonts w:ascii="Arial" w:hAnsi="Arial" w:cs="Arial"/>
        </w:rPr>
        <w:tab/>
      </w:r>
      <w:r w:rsidR="00866C50" w:rsidRPr="00F25192">
        <w:rPr>
          <w:rFonts w:ascii="Arial" w:hAnsi="Arial" w:cs="Arial"/>
        </w:rPr>
        <w:t xml:space="preserve">Treasury has not prescribed that the records be automated, electronic or mechanical for insurers.  Treasury will accept any such recordkeeping that meets the regulatory requirements as stated in 31 CFR 50 Subpart G and that enable the insurer to maintain these records.  </w:t>
      </w:r>
      <w:r w:rsidR="00BB5B22" w:rsidRPr="00F25192">
        <w:rPr>
          <w:rFonts w:ascii="Arial" w:hAnsi="Arial" w:cs="Arial"/>
        </w:rPr>
        <w:t xml:space="preserve">Regulations will also provide for </w:t>
      </w:r>
      <w:r w:rsidR="00DB6AB9" w:rsidRPr="00F25192">
        <w:rPr>
          <w:rFonts w:ascii="Arial" w:hAnsi="Arial" w:cs="Arial"/>
        </w:rPr>
        <w:t xml:space="preserve">Treasury access to all books, documents, papers and records of an insurer that are pertinent to any </w:t>
      </w:r>
      <w:r w:rsidR="00636C70" w:rsidRPr="00F25192">
        <w:rPr>
          <w:rFonts w:ascii="Arial" w:hAnsi="Arial" w:cs="Arial"/>
        </w:rPr>
        <w:t>Terrorism Risk Insurance Program (TRIP) claims and the application of the PRLP</w:t>
      </w:r>
      <w:r w:rsidR="00DB6AB9" w:rsidRPr="00F25192">
        <w:rPr>
          <w:rFonts w:ascii="Arial" w:hAnsi="Arial" w:cs="Arial"/>
        </w:rPr>
        <w:t xml:space="preserve"> for the purpose of investigation, confirmation, audit and examination.</w:t>
      </w:r>
      <w:r w:rsidR="00866C50" w:rsidRPr="00F25192">
        <w:rPr>
          <w:rFonts w:ascii="Arial" w:hAnsi="Arial" w:cs="Arial"/>
        </w:rPr>
        <w:t xml:space="preserve"> </w:t>
      </w:r>
      <w:r w:rsidR="00AD6923" w:rsidRPr="00F25192">
        <w:rPr>
          <w:rFonts w:ascii="Arial" w:hAnsi="Arial" w:cs="Arial"/>
        </w:rPr>
        <w:t xml:space="preserve">Treasury would approve the use of improved </w:t>
      </w:r>
      <w:smartTag w:uri="urn:schemas-microsoft-com:office:smarttags" w:element="PersonName">
        <w:r w:rsidR="00AD6923" w:rsidRPr="00F25192">
          <w:rPr>
            <w:rFonts w:ascii="Arial" w:hAnsi="Arial" w:cs="Arial"/>
          </w:rPr>
          <w:t>info</w:t>
        </w:r>
      </w:smartTag>
      <w:r w:rsidR="00AD6923" w:rsidRPr="00F25192">
        <w:rPr>
          <w:rFonts w:ascii="Arial" w:hAnsi="Arial" w:cs="Arial"/>
        </w:rPr>
        <w:t>rmation technology for the maintenance of required records.</w:t>
      </w:r>
      <w:r w:rsidR="00A21939" w:rsidRPr="00F25192">
        <w:rPr>
          <w:rFonts w:ascii="Arial" w:hAnsi="Arial" w:cs="Arial"/>
        </w:rPr>
        <w:t xml:space="preserve">  All submissions to Treasury, e.g., the data call,</w:t>
      </w:r>
      <w:r w:rsidR="003071F5" w:rsidRPr="00F25192">
        <w:rPr>
          <w:rFonts w:ascii="Arial" w:hAnsi="Arial" w:cs="Arial"/>
        </w:rPr>
        <w:t xml:space="preserve"> reporting and remittance </w:t>
      </w:r>
      <w:proofErr w:type="gramStart"/>
      <w:r w:rsidR="003071F5" w:rsidRPr="00F25192">
        <w:rPr>
          <w:rFonts w:ascii="Arial" w:hAnsi="Arial" w:cs="Arial"/>
        </w:rPr>
        <w:t>forms,</w:t>
      </w:r>
      <w:proofErr w:type="gramEnd"/>
      <w:r w:rsidR="003071F5" w:rsidRPr="00F25192">
        <w:rPr>
          <w:rFonts w:ascii="Arial" w:hAnsi="Arial" w:cs="Arial"/>
        </w:rPr>
        <w:t xml:space="preserve"> are expected to be fully electronic and web-based.</w:t>
      </w:r>
      <w:r w:rsidR="00677655">
        <w:rPr>
          <w:rFonts w:ascii="Arial" w:hAnsi="Arial" w:cs="Arial"/>
        </w:rPr>
        <w:t xml:space="preserve">  The </w:t>
      </w:r>
      <w:r w:rsidR="009C260C">
        <w:rPr>
          <w:rFonts w:ascii="Arial" w:hAnsi="Arial" w:cs="Arial"/>
        </w:rPr>
        <w:t>applicant will have a unique user name and pas</w:t>
      </w:r>
      <w:bookmarkStart w:id="0" w:name="_GoBack"/>
      <w:bookmarkEnd w:id="0"/>
      <w:r w:rsidR="009C260C">
        <w:rPr>
          <w:rFonts w:ascii="Arial" w:hAnsi="Arial" w:cs="Arial"/>
        </w:rPr>
        <w:t>sword for the web-based portal and will be able to submit their information in that manner.</w:t>
      </w:r>
    </w:p>
    <w:p w:rsidR="00D470EC" w:rsidRPr="00F25192" w:rsidRDefault="00D470EC" w:rsidP="00D470EC">
      <w:pPr>
        <w:rPr>
          <w:rFonts w:ascii="Arial" w:hAnsi="Arial" w:cs="Arial"/>
          <w:bCs/>
          <w:sz w:val="20"/>
          <w:szCs w:val="20"/>
        </w:rPr>
      </w:pPr>
    </w:p>
    <w:p w:rsidR="00D470EC" w:rsidRPr="00F25192" w:rsidRDefault="00D470EC" w:rsidP="00836705">
      <w:pPr>
        <w:pStyle w:val="Heading1"/>
      </w:pPr>
      <w:r w:rsidRPr="00F25192">
        <w:t>Describe efforts to identify duplication.</w:t>
      </w:r>
    </w:p>
    <w:p w:rsidR="00AD6923" w:rsidRPr="00F25192" w:rsidRDefault="00AD6923" w:rsidP="001B5960">
      <w:pPr>
        <w:pStyle w:val="Default"/>
        <w:ind w:left="360" w:hanging="360"/>
        <w:rPr>
          <w:rFonts w:ascii="Arial" w:hAnsi="Arial" w:cs="Arial"/>
        </w:rPr>
      </w:pPr>
    </w:p>
    <w:p w:rsidR="00AD6923" w:rsidRPr="00F25192" w:rsidRDefault="00BB5B22" w:rsidP="001B5960">
      <w:pPr>
        <w:pStyle w:val="Default"/>
        <w:ind w:left="360" w:hanging="360"/>
        <w:rPr>
          <w:rFonts w:ascii="Arial" w:hAnsi="Arial" w:cs="Arial"/>
        </w:rPr>
      </w:pPr>
      <w:r w:rsidRPr="00F25192">
        <w:rPr>
          <w:rFonts w:ascii="Arial" w:hAnsi="Arial" w:cs="Arial"/>
        </w:rPr>
        <w:tab/>
      </w:r>
      <w:r w:rsidRPr="00F25192">
        <w:rPr>
          <w:rFonts w:ascii="Arial" w:hAnsi="Arial" w:cs="Arial"/>
        </w:rPr>
        <w:tab/>
      </w:r>
      <w:r w:rsidR="00AD6923" w:rsidRPr="00F25192">
        <w:rPr>
          <w:rFonts w:ascii="Arial" w:hAnsi="Arial" w:cs="Arial"/>
        </w:rPr>
        <w:t>The required records do not duplicate any existing records</w:t>
      </w:r>
      <w:r w:rsidR="00A950B6" w:rsidRPr="00F25192">
        <w:rPr>
          <w:rFonts w:ascii="Arial" w:hAnsi="Arial" w:cs="Arial"/>
        </w:rPr>
        <w:t xml:space="preserve">.  However, </w:t>
      </w:r>
      <w:r w:rsidR="00A5473D" w:rsidRPr="00F25192">
        <w:rPr>
          <w:rFonts w:ascii="Arial" w:hAnsi="Arial" w:cs="Arial"/>
        </w:rPr>
        <w:t>systems for the generation of these data and the reporting and recordkeeping</w:t>
      </w:r>
      <w:r w:rsidR="00AD6923" w:rsidRPr="00F25192">
        <w:rPr>
          <w:rFonts w:ascii="Arial" w:hAnsi="Arial" w:cs="Arial"/>
        </w:rPr>
        <w:t xml:space="preserve"> are usual and customary for insurers.</w:t>
      </w:r>
    </w:p>
    <w:p w:rsidR="00D470EC" w:rsidRPr="00F25192" w:rsidRDefault="00D470EC" w:rsidP="00D470EC">
      <w:pPr>
        <w:rPr>
          <w:rFonts w:ascii="Arial" w:hAnsi="Arial" w:cs="Arial"/>
          <w:bCs/>
          <w:sz w:val="20"/>
          <w:szCs w:val="20"/>
        </w:rPr>
      </w:pPr>
    </w:p>
    <w:p w:rsidR="00D470EC" w:rsidRPr="00F25192" w:rsidRDefault="00D470EC" w:rsidP="00836705">
      <w:pPr>
        <w:pStyle w:val="Heading1"/>
      </w:pPr>
      <w:r w:rsidRPr="00F25192">
        <w:t xml:space="preserve">If the collection of </w:t>
      </w:r>
      <w:smartTag w:uri="urn:schemas-microsoft-com:office:smarttags" w:element="PersonName">
        <w:r w:rsidRPr="00F25192">
          <w:t>info</w:t>
        </w:r>
      </w:smartTag>
      <w:r w:rsidRPr="00F25192">
        <w:t>rmation involves small businesses or other small entities, describe the methods used to minimize burden.</w:t>
      </w:r>
    </w:p>
    <w:p w:rsidR="00AD6923" w:rsidRPr="00F25192" w:rsidRDefault="00AD6923" w:rsidP="001B5960">
      <w:pPr>
        <w:pStyle w:val="Default"/>
        <w:ind w:left="360" w:hanging="360"/>
        <w:rPr>
          <w:rFonts w:ascii="Arial" w:hAnsi="Arial" w:cs="Arial"/>
        </w:rPr>
      </w:pPr>
    </w:p>
    <w:p w:rsidR="00AD6923" w:rsidRPr="00F25192" w:rsidRDefault="00AF43D0" w:rsidP="001B5960">
      <w:pPr>
        <w:pStyle w:val="Default"/>
        <w:ind w:left="360" w:hanging="360"/>
        <w:rPr>
          <w:rFonts w:ascii="Arial" w:hAnsi="Arial" w:cs="Arial"/>
        </w:rPr>
      </w:pPr>
      <w:r w:rsidRPr="00F25192">
        <w:rPr>
          <w:rFonts w:ascii="Arial" w:hAnsi="Arial" w:cs="Arial"/>
        </w:rPr>
        <w:tab/>
      </w:r>
      <w:r w:rsidR="00BB5B22" w:rsidRPr="00F25192">
        <w:rPr>
          <w:rFonts w:ascii="Arial" w:hAnsi="Arial" w:cs="Arial"/>
        </w:rPr>
        <w:tab/>
      </w:r>
      <w:r w:rsidR="00AD6923" w:rsidRPr="00F25192">
        <w:rPr>
          <w:rFonts w:ascii="Arial" w:hAnsi="Arial" w:cs="Arial"/>
        </w:rPr>
        <w:t xml:space="preserve">The </w:t>
      </w:r>
      <w:r w:rsidR="00AD345B">
        <w:rPr>
          <w:rFonts w:ascii="Arial" w:hAnsi="Arial" w:cs="Arial"/>
        </w:rPr>
        <w:t>recordkeeping</w:t>
      </w:r>
      <w:r w:rsidR="00AD6923" w:rsidRPr="00F25192">
        <w:rPr>
          <w:rFonts w:ascii="Arial" w:hAnsi="Arial" w:cs="Arial"/>
        </w:rPr>
        <w:t xml:space="preserve"> is expected to impact insurers rather than small businesses or other small entities.  Moreover, the recordkeeping can be accomplished using the entity’s normal modes.</w:t>
      </w:r>
    </w:p>
    <w:p w:rsidR="00AD6923" w:rsidRPr="00F25192" w:rsidRDefault="00AD6923" w:rsidP="001B5960">
      <w:pPr>
        <w:pStyle w:val="Default"/>
        <w:ind w:left="360" w:hanging="360"/>
        <w:rPr>
          <w:rFonts w:ascii="Arial" w:hAnsi="Arial" w:cs="Arial"/>
        </w:rPr>
      </w:pPr>
    </w:p>
    <w:p w:rsidR="00D470EC" w:rsidRPr="00F25192" w:rsidRDefault="00D470EC" w:rsidP="00836705">
      <w:pPr>
        <w:pStyle w:val="Heading1"/>
      </w:pPr>
      <w:r w:rsidRPr="00F25192">
        <w:t>Describe the consequences to the Federal program or policy activities if the collection is not conducted or is conducted less frequently.</w:t>
      </w:r>
    </w:p>
    <w:p w:rsidR="00D470EC" w:rsidRPr="00F25192" w:rsidRDefault="00D470EC" w:rsidP="00E40140">
      <w:pPr>
        <w:pStyle w:val="Default"/>
        <w:ind w:left="360" w:hanging="360"/>
        <w:rPr>
          <w:rFonts w:ascii="Arial" w:hAnsi="Arial" w:cs="Arial"/>
        </w:rPr>
      </w:pPr>
    </w:p>
    <w:p w:rsidR="00E40140" w:rsidRPr="00F25192" w:rsidRDefault="00AF43D0" w:rsidP="00E40140">
      <w:pPr>
        <w:pStyle w:val="Default"/>
        <w:ind w:left="360" w:hanging="360"/>
        <w:rPr>
          <w:rFonts w:ascii="Arial" w:hAnsi="Arial" w:cs="Arial"/>
        </w:rPr>
      </w:pPr>
      <w:r w:rsidRPr="00F25192">
        <w:rPr>
          <w:rFonts w:ascii="Arial" w:hAnsi="Arial" w:cs="Arial"/>
        </w:rPr>
        <w:tab/>
      </w:r>
      <w:r w:rsidRPr="00F25192">
        <w:rPr>
          <w:rFonts w:ascii="Arial" w:hAnsi="Arial" w:cs="Arial"/>
        </w:rPr>
        <w:tab/>
      </w:r>
      <w:r w:rsidR="00AB332C" w:rsidRPr="00F25192">
        <w:rPr>
          <w:rFonts w:ascii="Arial" w:hAnsi="Arial" w:cs="Arial"/>
        </w:rPr>
        <w:t xml:space="preserve"> Failure to collect </w:t>
      </w:r>
      <w:r w:rsidR="00367FF8" w:rsidRPr="00F25192">
        <w:rPr>
          <w:rFonts w:ascii="Arial" w:hAnsi="Arial" w:cs="Arial"/>
        </w:rPr>
        <w:t xml:space="preserve">insurer claims and deductible information could make it impossible to determine the need for or to properly </w:t>
      </w:r>
      <w:r w:rsidR="00280846" w:rsidRPr="00F25192">
        <w:rPr>
          <w:rFonts w:ascii="Arial" w:hAnsi="Arial" w:cs="Arial"/>
        </w:rPr>
        <w:t xml:space="preserve">adjust a PRLP and consequently impossible </w:t>
      </w:r>
      <w:r w:rsidR="00703FA9" w:rsidRPr="00F25192">
        <w:rPr>
          <w:rFonts w:ascii="Arial" w:hAnsi="Arial" w:cs="Arial"/>
        </w:rPr>
        <w:t xml:space="preserve">to comply with the Act and </w:t>
      </w:r>
      <w:r w:rsidR="00AD4E10" w:rsidRPr="00F25192">
        <w:rPr>
          <w:rFonts w:ascii="Arial" w:hAnsi="Arial" w:cs="Arial"/>
        </w:rPr>
        <w:t xml:space="preserve">for the Program to properly account for </w:t>
      </w:r>
      <w:r w:rsidR="00280846" w:rsidRPr="00F25192">
        <w:rPr>
          <w:rFonts w:ascii="Arial" w:hAnsi="Arial" w:cs="Arial"/>
        </w:rPr>
        <w:t>payments to insureds</w:t>
      </w:r>
      <w:r w:rsidR="00D72AE5" w:rsidRPr="00F25192">
        <w:rPr>
          <w:rFonts w:ascii="Arial" w:hAnsi="Arial" w:cs="Arial"/>
        </w:rPr>
        <w:t>.</w:t>
      </w:r>
    </w:p>
    <w:p w:rsidR="00E40140" w:rsidRPr="00F25192" w:rsidRDefault="00E40140" w:rsidP="00E40140">
      <w:pPr>
        <w:pStyle w:val="Default"/>
        <w:ind w:left="360" w:hanging="360"/>
        <w:rPr>
          <w:rFonts w:ascii="Arial" w:hAnsi="Arial" w:cs="Arial"/>
        </w:rPr>
      </w:pPr>
    </w:p>
    <w:p w:rsidR="00D470EC" w:rsidRPr="00F25192" w:rsidRDefault="00D470EC" w:rsidP="00836705">
      <w:pPr>
        <w:pStyle w:val="Heading1"/>
      </w:pPr>
      <w:r w:rsidRPr="00F25192">
        <w:t>Explain any special circumstances that require the collection to be conducted in a manner inconsistent with OMB guidelines.</w:t>
      </w:r>
    </w:p>
    <w:p w:rsidR="00D470EC" w:rsidRPr="00F25192" w:rsidRDefault="00D470EC" w:rsidP="00E40140">
      <w:pPr>
        <w:pStyle w:val="Default"/>
        <w:ind w:left="360" w:hanging="360"/>
        <w:rPr>
          <w:rFonts w:ascii="Arial" w:hAnsi="Arial" w:cs="Arial"/>
        </w:rPr>
      </w:pPr>
    </w:p>
    <w:p w:rsidR="00C6677B" w:rsidRPr="00F25192" w:rsidRDefault="00C410C4" w:rsidP="00E40140">
      <w:pPr>
        <w:pStyle w:val="Default"/>
        <w:ind w:left="360" w:hanging="360"/>
        <w:rPr>
          <w:rFonts w:ascii="Arial" w:hAnsi="Arial" w:cs="Arial"/>
        </w:rPr>
      </w:pPr>
      <w:r w:rsidRPr="00F25192">
        <w:rPr>
          <w:rFonts w:ascii="Arial" w:hAnsi="Arial" w:cs="Arial"/>
        </w:rPr>
        <w:tab/>
      </w:r>
      <w:r w:rsidR="00AF43D0" w:rsidRPr="00F25192">
        <w:rPr>
          <w:rFonts w:ascii="Arial" w:hAnsi="Arial" w:cs="Arial"/>
        </w:rPr>
        <w:tab/>
      </w:r>
      <w:r w:rsidR="00D470EC" w:rsidRPr="00F25192">
        <w:rPr>
          <w:rFonts w:ascii="Arial" w:hAnsi="Arial" w:cs="Arial"/>
        </w:rPr>
        <w:t xml:space="preserve">There are no </w:t>
      </w:r>
      <w:r w:rsidR="00D470EC" w:rsidRPr="00F25192">
        <w:rPr>
          <w:rFonts w:ascii="Arial" w:hAnsi="Arial" w:cs="Arial"/>
          <w:bCs/>
        </w:rPr>
        <w:t>special circumstances that require the collection to be conducted in a manner inconsistent with OMB guidelines</w:t>
      </w:r>
      <w:r w:rsidR="00A229D0" w:rsidRPr="00F25192">
        <w:rPr>
          <w:rFonts w:ascii="Arial" w:hAnsi="Arial" w:cs="Arial"/>
          <w:bCs/>
        </w:rPr>
        <w:t xml:space="preserve">. </w:t>
      </w:r>
      <w:r w:rsidR="00574F2B" w:rsidRPr="00F25192">
        <w:rPr>
          <w:rFonts w:ascii="Arial" w:hAnsi="Arial" w:cs="Arial"/>
          <w:bCs/>
        </w:rPr>
        <w:t xml:space="preserve">Data calls are a recognized insurance industry practice. </w:t>
      </w:r>
      <w:r w:rsidR="00A229D0" w:rsidRPr="00F25192">
        <w:rPr>
          <w:rFonts w:ascii="Arial" w:hAnsi="Arial" w:cs="Arial"/>
          <w:bCs/>
        </w:rPr>
        <w:t>Moreover, t</w:t>
      </w:r>
      <w:r w:rsidR="00AD4E10" w:rsidRPr="00F25192">
        <w:rPr>
          <w:rFonts w:ascii="Arial" w:hAnsi="Arial" w:cs="Arial"/>
        </w:rPr>
        <w:t xml:space="preserve">he proposed </w:t>
      </w:r>
      <w:r w:rsidR="005C5184" w:rsidRPr="00F25192">
        <w:rPr>
          <w:rFonts w:ascii="Arial" w:hAnsi="Arial" w:cs="Arial"/>
        </w:rPr>
        <w:t xml:space="preserve">implementation </w:t>
      </w:r>
      <w:r w:rsidR="00AD4E10" w:rsidRPr="00F25192">
        <w:rPr>
          <w:rFonts w:ascii="Arial" w:hAnsi="Arial" w:cs="Arial"/>
        </w:rPr>
        <w:t xml:space="preserve">requirements </w:t>
      </w:r>
      <w:r w:rsidR="00574F2B" w:rsidRPr="00F25192">
        <w:rPr>
          <w:rFonts w:ascii="Arial" w:hAnsi="Arial" w:cs="Arial"/>
        </w:rPr>
        <w:t xml:space="preserve">simply call for the inclusion </w:t>
      </w:r>
      <w:r w:rsidR="00A1328E" w:rsidRPr="00F25192">
        <w:rPr>
          <w:rFonts w:ascii="Arial" w:hAnsi="Arial" w:cs="Arial"/>
        </w:rPr>
        <w:t xml:space="preserve">of three additional data elements </w:t>
      </w:r>
      <w:r w:rsidR="00AD4E10" w:rsidRPr="00F25192">
        <w:rPr>
          <w:rFonts w:ascii="Arial" w:hAnsi="Arial" w:cs="Arial"/>
        </w:rPr>
        <w:t>with</w:t>
      </w:r>
      <w:r w:rsidR="00A1328E" w:rsidRPr="00F25192">
        <w:rPr>
          <w:rFonts w:ascii="Arial" w:hAnsi="Arial" w:cs="Arial"/>
        </w:rPr>
        <w:t xml:space="preserve"> the loss information already required by Treasury.  These added elements should be a simple </w:t>
      </w:r>
      <w:r w:rsidR="00CD6945" w:rsidRPr="00F25192">
        <w:rPr>
          <w:rFonts w:ascii="Arial" w:hAnsi="Arial" w:cs="Arial"/>
        </w:rPr>
        <w:t>transcription</w:t>
      </w:r>
      <w:r w:rsidR="00A1328E" w:rsidRPr="00F25192">
        <w:rPr>
          <w:rFonts w:ascii="Arial" w:hAnsi="Arial" w:cs="Arial"/>
        </w:rPr>
        <w:t xml:space="preserve"> of information in the insurer’s file</w:t>
      </w:r>
      <w:r w:rsidR="00AD4E10" w:rsidRPr="00F25192">
        <w:rPr>
          <w:rFonts w:ascii="Arial" w:hAnsi="Arial" w:cs="Arial"/>
        </w:rPr>
        <w:t xml:space="preserve"> and</w:t>
      </w:r>
      <w:r w:rsidR="007D3EE2" w:rsidRPr="00F25192">
        <w:rPr>
          <w:rFonts w:ascii="Arial" w:hAnsi="Arial" w:cs="Arial"/>
        </w:rPr>
        <w:t xml:space="preserve"> are </w:t>
      </w:r>
      <w:r w:rsidR="00AD4E10" w:rsidRPr="00F25192">
        <w:rPr>
          <w:rFonts w:ascii="Arial" w:hAnsi="Arial" w:cs="Arial"/>
        </w:rPr>
        <w:t xml:space="preserve">needed to permit </w:t>
      </w:r>
      <w:r w:rsidR="00CD6945" w:rsidRPr="00F25192">
        <w:rPr>
          <w:rFonts w:ascii="Arial" w:hAnsi="Arial" w:cs="Arial"/>
        </w:rPr>
        <w:t xml:space="preserve">proper </w:t>
      </w:r>
      <w:r w:rsidR="00AD4E10" w:rsidRPr="00F25192">
        <w:rPr>
          <w:rFonts w:ascii="Arial" w:hAnsi="Arial" w:cs="Arial"/>
        </w:rPr>
        <w:t xml:space="preserve">auditing of </w:t>
      </w:r>
      <w:r w:rsidR="00CD6945" w:rsidRPr="00F25192">
        <w:rPr>
          <w:rFonts w:ascii="Arial" w:hAnsi="Arial" w:cs="Arial"/>
        </w:rPr>
        <w:t>Treasury payments.</w:t>
      </w:r>
    </w:p>
    <w:p w:rsidR="00CB2446" w:rsidRPr="00F25192" w:rsidRDefault="00CB2446" w:rsidP="001B5960">
      <w:pPr>
        <w:pStyle w:val="Default"/>
        <w:ind w:left="360" w:hanging="360"/>
        <w:rPr>
          <w:rFonts w:ascii="Arial" w:hAnsi="Arial" w:cs="Arial"/>
        </w:rPr>
      </w:pPr>
    </w:p>
    <w:p w:rsidR="00A229D0" w:rsidRPr="0031107F" w:rsidRDefault="00A229D0" w:rsidP="00836705">
      <w:pPr>
        <w:pStyle w:val="Heading1"/>
      </w:pPr>
      <w:r w:rsidRPr="0031107F">
        <w:t xml:space="preserve">Provide a copy of the PRA Federal Register notice that solicited public comments on the </w:t>
      </w:r>
      <w:smartTag w:uri="urn:schemas-microsoft-com:office:smarttags" w:element="PersonName">
        <w:r w:rsidRPr="0031107F">
          <w:t>info</w:t>
        </w:r>
      </w:smartTag>
      <w:r w:rsidRPr="0031107F">
        <w:t>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229D0" w:rsidRPr="0031107F" w:rsidRDefault="00A229D0" w:rsidP="001B5960">
      <w:pPr>
        <w:pStyle w:val="Default"/>
        <w:ind w:left="360" w:hanging="360"/>
        <w:rPr>
          <w:rFonts w:ascii="Arial" w:hAnsi="Arial" w:cs="Arial"/>
        </w:rPr>
      </w:pPr>
    </w:p>
    <w:p w:rsidR="0031107F" w:rsidRPr="0031107F" w:rsidRDefault="0031107F" w:rsidP="006641E8">
      <w:pPr>
        <w:ind w:firstLine="720"/>
        <w:rPr>
          <w:rFonts w:ascii="Arial" w:hAnsi="Arial" w:cs="Arial"/>
          <w:sz w:val="20"/>
          <w:szCs w:val="20"/>
        </w:rPr>
      </w:pPr>
      <w:r w:rsidRPr="0031107F">
        <w:rPr>
          <w:rFonts w:ascii="Arial" w:hAnsi="Arial" w:cs="Arial"/>
          <w:sz w:val="20"/>
          <w:szCs w:val="20"/>
        </w:rPr>
        <w:t xml:space="preserve">Treasury published a </w:t>
      </w:r>
      <w:r w:rsidR="00677655">
        <w:rPr>
          <w:rFonts w:ascii="Arial" w:hAnsi="Arial" w:cs="Arial"/>
          <w:sz w:val="20"/>
          <w:szCs w:val="20"/>
        </w:rPr>
        <w:t xml:space="preserve">60 day </w:t>
      </w:r>
      <w:r w:rsidR="00EA38B5">
        <w:rPr>
          <w:rFonts w:ascii="Arial" w:hAnsi="Arial" w:cs="Arial"/>
          <w:sz w:val="20"/>
          <w:szCs w:val="20"/>
        </w:rPr>
        <w:t>notice</w:t>
      </w:r>
      <w:r w:rsidRPr="0031107F">
        <w:rPr>
          <w:rFonts w:ascii="Arial" w:hAnsi="Arial" w:cs="Arial"/>
          <w:sz w:val="20"/>
          <w:szCs w:val="20"/>
        </w:rPr>
        <w:t xml:space="preserve"> in the </w:t>
      </w:r>
      <w:r w:rsidRPr="00836705">
        <w:rPr>
          <w:rFonts w:ascii="Arial" w:hAnsi="Arial" w:cs="Arial"/>
          <w:i/>
          <w:sz w:val="20"/>
          <w:szCs w:val="20"/>
        </w:rPr>
        <w:t>Federal Register</w:t>
      </w:r>
      <w:r w:rsidRPr="0031107F">
        <w:rPr>
          <w:rFonts w:ascii="Arial" w:hAnsi="Arial" w:cs="Arial"/>
          <w:sz w:val="20"/>
          <w:szCs w:val="20"/>
        </w:rPr>
        <w:t xml:space="preserve"> on </w:t>
      </w:r>
      <w:r w:rsidR="00EA38B5">
        <w:rPr>
          <w:rFonts w:ascii="Arial" w:hAnsi="Arial" w:cs="Arial"/>
          <w:sz w:val="20"/>
          <w:szCs w:val="20"/>
        </w:rPr>
        <w:t>November</w:t>
      </w:r>
      <w:r w:rsidR="00EA38B5" w:rsidRPr="0031107F">
        <w:rPr>
          <w:rFonts w:ascii="Arial" w:hAnsi="Arial" w:cs="Arial"/>
          <w:sz w:val="20"/>
          <w:szCs w:val="20"/>
        </w:rPr>
        <w:t xml:space="preserve"> </w:t>
      </w:r>
      <w:r w:rsidR="00EA38B5">
        <w:rPr>
          <w:rFonts w:ascii="Arial" w:hAnsi="Arial" w:cs="Arial"/>
          <w:sz w:val="20"/>
          <w:szCs w:val="20"/>
        </w:rPr>
        <w:t>2</w:t>
      </w:r>
      <w:r w:rsidRPr="0031107F">
        <w:rPr>
          <w:rFonts w:ascii="Arial" w:hAnsi="Arial" w:cs="Arial"/>
          <w:sz w:val="20"/>
          <w:szCs w:val="20"/>
        </w:rPr>
        <w:t>7, 20</w:t>
      </w:r>
      <w:r w:rsidR="00EA38B5">
        <w:rPr>
          <w:rFonts w:ascii="Arial" w:hAnsi="Arial" w:cs="Arial"/>
          <w:sz w:val="20"/>
          <w:szCs w:val="20"/>
        </w:rPr>
        <w:t>15 (</w:t>
      </w:r>
      <w:r w:rsidR="00F54E97">
        <w:rPr>
          <w:rFonts w:ascii="Arial" w:hAnsi="Arial" w:cs="Arial"/>
          <w:sz w:val="20"/>
          <w:szCs w:val="20"/>
        </w:rPr>
        <w:t>80 FR 74218</w:t>
      </w:r>
      <w:r w:rsidR="00677655">
        <w:rPr>
          <w:rFonts w:ascii="Arial" w:hAnsi="Arial" w:cs="Arial"/>
          <w:sz w:val="20"/>
          <w:szCs w:val="20"/>
        </w:rPr>
        <w:t>).  No comments were received.</w:t>
      </w:r>
      <w:r w:rsidRPr="0031107F">
        <w:rPr>
          <w:rFonts w:ascii="Arial" w:hAnsi="Arial" w:cs="Arial"/>
          <w:sz w:val="20"/>
          <w:szCs w:val="20"/>
        </w:rPr>
        <w:t xml:space="preserve"> </w:t>
      </w:r>
    </w:p>
    <w:p w:rsidR="00A229D0" w:rsidRPr="0031107F" w:rsidRDefault="00A229D0" w:rsidP="001B5960">
      <w:pPr>
        <w:pStyle w:val="Default"/>
        <w:ind w:left="360" w:hanging="360"/>
        <w:rPr>
          <w:rFonts w:ascii="Arial" w:hAnsi="Arial" w:cs="Arial"/>
        </w:rPr>
      </w:pPr>
    </w:p>
    <w:p w:rsidR="00A229D0" w:rsidRPr="0031107F" w:rsidRDefault="00A229D0" w:rsidP="00836705">
      <w:pPr>
        <w:pStyle w:val="Heading1"/>
      </w:pPr>
      <w:r w:rsidRPr="0031107F">
        <w:t>Explain any decisions to provide payments or gifts to respondents, other than remuneration of contractors or grantees.</w:t>
      </w:r>
    </w:p>
    <w:p w:rsidR="00A229D0" w:rsidRPr="0031107F" w:rsidRDefault="00A229D0" w:rsidP="001B5960">
      <w:pPr>
        <w:pStyle w:val="Default"/>
        <w:ind w:left="360" w:hanging="360"/>
        <w:rPr>
          <w:rFonts w:ascii="Arial" w:hAnsi="Arial" w:cs="Arial"/>
        </w:rPr>
      </w:pPr>
    </w:p>
    <w:p w:rsidR="00A229D0" w:rsidRPr="0031107F" w:rsidRDefault="00A229D0" w:rsidP="00A229D0">
      <w:pPr>
        <w:rPr>
          <w:rFonts w:ascii="Arial" w:hAnsi="Arial" w:cs="Arial"/>
          <w:bCs/>
          <w:sz w:val="20"/>
          <w:szCs w:val="20"/>
        </w:rPr>
      </w:pPr>
      <w:r w:rsidRPr="0031107F">
        <w:rPr>
          <w:rFonts w:ascii="Arial" w:hAnsi="Arial" w:cs="Arial"/>
          <w:bCs/>
          <w:sz w:val="20"/>
          <w:szCs w:val="20"/>
        </w:rPr>
        <w:lastRenderedPageBreak/>
        <w:tab/>
        <w:t>There will be no payments or gifts to respondents other than claims payments made to those insurers with losses meeting the criteria set by the Act.</w:t>
      </w:r>
    </w:p>
    <w:p w:rsidR="00A229D0" w:rsidRPr="0031107F" w:rsidRDefault="00A229D0" w:rsidP="00A229D0">
      <w:pPr>
        <w:rPr>
          <w:rFonts w:ascii="Arial" w:hAnsi="Arial" w:cs="Arial"/>
          <w:bCs/>
          <w:sz w:val="20"/>
          <w:szCs w:val="20"/>
        </w:rPr>
      </w:pPr>
    </w:p>
    <w:p w:rsidR="00A229D0" w:rsidRPr="0031107F" w:rsidRDefault="00A229D0" w:rsidP="00836705">
      <w:pPr>
        <w:pStyle w:val="Heading1"/>
      </w:pPr>
      <w:r w:rsidRPr="0031107F">
        <w:t>Describe any assurance of confidentiality provided to respondents and the basis for assurance in statute, regulation, or agency policy.</w:t>
      </w:r>
    </w:p>
    <w:p w:rsidR="00052D83" w:rsidRPr="0031107F" w:rsidRDefault="00052D83" w:rsidP="001B5960">
      <w:pPr>
        <w:pStyle w:val="Default"/>
        <w:ind w:left="360" w:hanging="360"/>
        <w:rPr>
          <w:rFonts w:ascii="Arial" w:hAnsi="Arial" w:cs="Arial"/>
        </w:rPr>
      </w:pPr>
    </w:p>
    <w:p w:rsidR="00A229D0" w:rsidRPr="0031107F" w:rsidRDefault="00C410C4" w:rsidP="001B5960">
      <w:pPr>
        <w:pStyle w:val="Default"/>
        <w:ind w:left="360" w:hanging="360"/>
        <w:rPr>
          <w:rFonts w:ascii="Arial" w:hAnsi="Arial" w:cs="Arial"/>
          <w:color w:val="000000"/>
        </w:rPr>
      </w:pPr>
      <w:r w:rsidRPr="0031107F">
        <w:rPr>
          <w:rFonts w:ascii="Arial" w:hAnsi="Arial" w:cs="Arial"/>
        </w:rPr>
        <w:tab/>
      </w:r>
      <w:r w:rsidR="00052D83" w:rsidRPr="0031107F">
        <w:rPr>
          <w:rFonts w:ascii="Arial" w:hAnsi="Arial" w:cs="Arial"/>
        </w:rPr>
        <w:t xml:space="preserve">  </w:t>
      </w:r>
      <w:r w:rsidR="00AF43D0" w:rsidRPr="0031107F">
        <w:rPr>
          <w:rFonts w:ascii="Arial" w:hAnsi="Arial" w:cs="Arial"/>
        </w:rPr>
        <w:tab/>
      </w:r>
      <w:r w:rsidR="00C8585E" w:rsidRPr="0031107F">
        <w:rPr>
          <w:rFonts w:ascii="Arial" w:hAnsi="Arial" w:cs="Arial"/>
          <w:color w:val="000000"/>
        </w:rPr>
        <w:t>No assurances of confidentiality have been made to respondents for submissions that constitute the records to be kept by the insurers.   (However, submissions would not be disclosed as they are considered to be exempt from the provisions of the Freedom of Information Act (FOIA)).</w:t>
      </w:r>
    </w:p>
    <w:p w:rsidR="00C8585E" w:rsidRPr="0031107F" w:rsidRDefault="00C8585E" w:rsidP="001B5960">
      <w:pPr>
        <w:pStyle w:val="Default"/>
        <w:ind w:left="360" w:hanging="360"/>
        <w:rPr>
          <w:rFonts w:ascii="Arial" w:hAnsi="Arial" w:cs="Arial"/>
        </w:rPr>
      </w:pPr>
    </w:p>
    <w:p w:rsidR="00A229D0" w:rsidRPr="0031107F" w:rsidRDefault="00A229D0" w:rsidP="00836705">
      <w:pPr>
        <w:pStyle w:val="Heading1"/>
      </w:pPr>
      <w:r w:rsidRPr="0031107F">
        <w:t>Provide additional justification for any questions of a sensitive nature, such as sexual behavior and attitudes, religious beliefs, and other matters that are commonly considered private.</w:t>
      </w:r>
    </w:p>
    <w:p w:rsidR="00052D83" w:rsidRPr="0031107F" w:rsidRDefault="00052D83" w:rsidP="001B5960">
      <w:pPr>
        <w:pStyle w:val="Default"/>
        <w:ind w:left="360" w:hanging="360"/>
        <w:rPr>
          <w:rFonts w:ascii="Arial" w:hAnsi="Arial" w:cs="Arial"/>
        </w:rPr>
      </w:pPr>
    </w:p>
    <w:p w:rsidR="00AF43D0" w:rsidRPr="0031107F" w:rsidRDefault="00C410C4" w:rsidP="00AF43D0">
      <w:pPr>
        <w:pStyle w:val="Default"/>
        <w:ind w:left="360" w:hanging="360"/>
        <w:rPr>
          <w:rFonts w:ascii="Arial" w:hAnsi="Arial" w:cs="Arial"/>
        </w:rPr>
      </w:pPr>
      <w:r w:rsidRPr="0031107F">
        <w:rPr>
          <w:rFonts w:ascii="Arial" w:hAnsi="Arial" w:cs="Arial"/>
        </w:rPr>
        <w:tab/>
      </w:r>
      <w:r w:rsidR="00AF43D0" w:rsidRPr="0031107F">
        <w:rPr>
          <w:rFonts w:ascii="Arial" w:hAnsi="Arial" w:cs="Arial"/>
        </w:rPr>
        <w:tab/>
      </w:r>
      <w:r w:rsidR="00052D83" w:rsidRPr="0031107F">
        <w:rPr>
          <w:rFonts w:ascii="Arial" w:hAnsi="Arial" w:cs="Arial"/>
        </w:rPr>
        <w:t>Responses of a sensitive nature are not required.</w:t>
      </w:r>
    </w:p>
    <w:p w:rsidR="00A229D0" w:rsidRPr="0031107F" w:rsidRDefault="00A229D0" w:rsidP="00AF43D0">
      <w:pPr>
        <w:pStyle w:val="Default"/>
        <w:ind w:left="360" w:hanging="360"/>
        <w:rPr>
          <w:rFonts w:ascii="Arial" w:hAnsi="Arial" w:cs="Arial"/>
        </w:rPr>
      </w:pPr>
    </w:p>
    <w:p w:rsidR="00AF43D0" w:rsidRPr="0031107F" w:rsidRDefault="00A229D0" w:rsidP="00836705">
      <w:pPr>
        <w:pStyle w:val="Heading1"/>
      </w:pPr>
      <w:r w:rsidRPr="0031107F">
        <w:t xml:space="preserve">Provide an estimate in hours of the burden of the collection of </w:t>
      </w:r>
      <w:smartTag w:uri="urn:schemas-microsoft-com:office:smarttags" w:element="PersonName">
        <w:r w:rsidRPr="0031107F">
          <w:t>info</w:t>
        </w:r>
      </w:smartTag>
      <w:r w:rsidRPr="0031107F">
        <w:t>rmation.</w:t>
      </w:r>
    </w:p>
    <w:p w:rsidR="005C5184" w:rsidRPr="0031107F" w:rsidRDefault="005C5184" w:rsidP="005C5184">
      <w:pPr>
        <w:pStyle w:val="Default"/>
        <w:ind w:left="360" w:hanging="360"/>
        <w:rPr>
          <w:rFonts w:ascii="Arial" w:hAnsi="Arial" w:cs="Arial"/>
        </w:rPr>
      </w:pPr>
    </w:p>
    <w:p w:rsidR="00A229D0" w:rsidRPr="0031107F" w:rsidRDefault="005C5184" w:rsidP="001B5960">
      <w:pPr>
        <w:pStyle w:val="Default"/>
        <w:ind w:left="360" w:hanging="360"/>
        <w:rPr>
          <w:rFonts w:ascii="Arial" w:hAnsi="Arial" w:cs="Arial"/>
        </w:rPr>
      </w:pPr>
      <w:r w:rsidRPr="0031107F">
        <w:rPr>
          <w:rFonts w:ascii="Arial" w:hAnsi="Arial" w:cs="Arial"/>
        </w:rPr>
        <w:tab/>
      </w:r>
      <w:r w:rsidRPr="0031107F">
        <w:rPr>
          <w:rFonts w:ascii="Arial" w:hAnsi="Arial" w:cs="Arial"/>
        </w:rPr>
        <w:tab/>
        <w:t xml:space="preserve">The burden associated with the collection of </w:t>
      </w:r>
      <w:smartTag w:uri="urn:schemas-microsoft-com:office:smarttags" w:element="PersonName">
        <w:r w:rsidRPr="0031107F">
          <w:rPr>
            <w:rFonts w:ascii="Arial" w:hAnsi="Arial" w:cs="Arial"/>
          </w:rPr>
          <w:t>info</w:t>
        </w:r>
      </w:smartTag>
      <w:r w:rsidRPr="0031107F">
        <w:rPr>
          <w:rFonts w:ascii="Arial" w:hAnsi="Arial" w:cs="Arial"/>
        </w:rPr>
        <w:t>rmation in the</w:t>
      </w:r>
      <w:r w:rsidR="006D21B8" w:rsidRPr="0031107F">
        <w:rPr>
          <w:rFonts w:ascii="Arial" w:hAnsi="Arial" w:cs="Arial"/>
        </w:rPr>
        <w:t xml:space="preserve"> proposed rule is comprised of </w:t>
      </w:r>
      <w:r w:rsidR="00791D00" w:rsidRPr="0031107F">
        <w:rPr>
          <w:rFonts w:ascii="Arial" w:hAnsi="Arial" w:cs="Arial"/>
        </w:rPr>
        <w:t>two elements:</w:t>
      </w:r>
      <w:r w:rsidR="006D21B8" w:rsidRPr="0031107F">
        <w:rPr>
          <w:rFonts w:ascii="Arial" w:hAnsi="Arial" w:cs="Arial"/>
        </w:rPr>
        <w:t xml:space="preserve"> </w:t>
      </w:r>
      <w:r w:rsidR="00791D00" w:rsidRPr="0031107F">
        <w:rPr>
          <w:rFonts w:ascii="Arial" w:hAnsi="Arial" w:cs="Arial"/>
        </w:rPr>
        <w:t xml:space="preserve">(1) </w:t>
      </w:r>
      <w:r w:rsidR="006D21B8" w:rsidRPr="0031107F">
        <w:rPr>
          <w:rFonts w:ascii="Arial" w:hAnsi="Arial" w:cs="Arial"/>
        </w:rPr>
        <w:t xml:space="preserve">the “data call” for insured loss and other information; </w:t>
      </w:r>
      <w:r w:rsidR="00791D00" w:rsidRPr="0031107F">
        <w:rPr>
          <w:rFonts w:ascii="Arial" w:hAnsi="Arial" w:cs="Arial"/>
        </w:rPr>
        <w:t xml:space="preserve">and (2) the addition of three data elements to the approved TRIP claims reporting form, “Schedule C” – </w:t>
      </w:r>
      <w:r w:rsidR="00F25192" w:rsidRPr="0031107F">
        <w:rPr>
          <w:rFonts w:ascii="Arial" w:hAnsi="Arial" w:cs="Arial"/>
        </w:rPr>
        <w:t>“</w:t>
      </w:r>
      <w:r w:rsidR="00791D00" w:rsidRPr="0031107F">
        <w:rPr>
          <w:rFonts w:ascii="Arial" w:hAnsi="Arial" w:cs="Arial"/>
        </w:rPr>
        <w:t>Bordereau</w:t>
      </w:r>
      <w:r w:rsidR="00F25192" w:rsidRPr="0031107F">
        <w:rPr>
          <w:rFonts w:ascii="Arial" w:hAnsi="Arial" w:cs="Arial"/>
        </w:rPr>
        <w:t>”</w:t>
      </w:r>
      <w:r w:rsidR="00791D00" w:rsidRPr="0031107F">
        <w:rPr>
          <w:rFonts w:ascii="Arial" w:hAnsi="Arial" w:cs="Arial"/>
        </w:rPr>
        <w:t xml:space="preserve">.  </w:t>
      </w:r>
      <w:r w:rsidR="00F25192" w:rsidRPr="0031107F">
        <w:rPr>
          <w:rFonts w:ascii="Arial" w:hAnsi="Arial" w:cs="Arial"/>
        </w:rPr>
        <w:t xml:space="preserve">It is estimated that 200 insurers would be subject to either requirement.  </w:t>
      </w:r>
      <w:r w:rsidR="00000CC9" w:rsidRPr="0031107F">
        <w:rPr>
          <w:rFonts w:ascii="Arial" w:hAnsi="Arial" w:cs="Arial"/>
        </w:rPr>
        <w:t>Treasury estimates that an insurer would require approximately 5 hours to respond to a dat</w:t>
      </w:r>
      <w:r w:rsidR="00715185" w:rsidRPr="0031107F">
        <w:rPr>
          <w:rFonts w:ascii="Arial" w:hAnsi="Arial" w:cs="Arial"/>
        </w:rPr>
        <w:t>a</w:t>
      </w:r>
      <w:r w:rsidR="00000CC9" w:rsidRPr="0031107F">
        <w:rPr>
          <w:rFonts w:ascii="Arial" w:hAnsi="Arial" w:cs="Arial"/>
        </w:rPr>
        <w:t xml:space="preserve"> call</w:t>
      </w:r>
      <w:r w:rsidR="002B1E84" w:rsidRPr="0031107F">
        <w:rPr>
          <w:rFonts w:ascii="Arial" w:hAnsi="Arial" w:cs="Arial"/>
        </w:rPr>
        <w:t xml:space="preserve"> for a total burden of 1,000 hours (200 insurers X 5 hours)</w:t>
      </w:r>
      <w:r w:rsidR="00000CC9" w:rsidRPr="0031107F">
        <w:rPr>
          <w:rFonts w:ascii="Arial" w:hAnsi="Arial" w:cs="Arial"/>
        </w:rPr>
        <w:t>.</w:t>
      </w:r>
      <w:r w:rsidR="005B5AFF" w:rsidRPr="0031107F">
        <w:rPr>
          <w:rFonts w:ascii="Arial" w:hAnsi="Arial" w:cs="Arial"/>
        </w:rPr>
        <w:t xml:space="preserve">  </w:t>
      </w:r>
      <w:r w:rsidR="00F25192" w:rsidRPr="0031107F">
        <w:rPr>
          <w:rFonts w:ascii="Arial" w:hAnsi="Arial" w:cs="Arial"/>
        </w:rPr>
        <w:t>Treasury believes that there would be virtually no increase in the currently estimated burden for the Schedule. C</w:t>
      </w:r>
    </w:p>
    <w:p w:rsidR="001D6810" w:rsidRPr="0031107F" w:rsidRDefault="001D6810" w:rsidP="001B5960">
      <w:pPr>
        <w:pStyle w:val="Default"/>
        <w:ind w:left="360" w:hanging="360"/>
        <w:rPr>
          <w:rFonts w:ascii="Arial" w:hAnsi="Arial" w:cs="Arial"/>
        </w:rPr>
      </w:pPr>
    </w:p>
    <w:p w:rsidR="00A229D0" w:rsidRPr="0031107F" w:rsidRDefault="00A229D0" w:rsidP="00836705">
      <w:pPr>
        <w:pStyle w:val="Heading1"/>
      </w:pPr>
      <w:r w:rsidRPr="0031107F">
        <w:t>Provide an estimate of the total annual cost burden to the responde</w:t>
      </w:r>
      <w:r w:rsidR="001D6810" w:rsidRPr="0031107F">
        <w:t>nts or record-keepers resulting</w:t>
      </w:r>
      <w:r w:rsidR="00836705">
        <w:t xml:space="preserve"> </w:t>
      </w:r>
      <w:r w:rsidRPr="0031107F">
        <w:t>from the collection (excluding the value of the burden hours in #12 above).</w:t>
      </w:r>
    </w:p>
    <w:p w:rsidR="002C0A12" w:rsidRPr="0031107F" w:rsidRDefault="002C0A12" w:rsidP="001B5960">
      <w:pPr>
        <w:pStyle w:val="Default"/>
        <w:ind w:left="360" w:hanging="360"/>
        <w:rPr>
          <w:rFonts w:ascii="Arial" w:hAnsi="Arial" w:cs="Arial"/>
        </w:rPr>
      </w:pPr>
    </w:p>
    <w:p w:rsidR="00814E54" w:rsidRPr="0031107F" w:rsidRDefault="001D6810" w:rsidP="001B5960">
      <w:pPr>
        <w:pStyle w:val="Default"/>
        <w:ind w:left="360" w:hanging="360"/>
        <w:rPr>
          <w:rFonts w:ascii="Arial" w:hAnsi="Arial" w:cs="Arial"/>
        </w:rPr>
      </w:pPr>
      <w:r w:rsidRPr="0031107F">
        <w:rPr>
          <w:rFonts w:ascii="Arial" w:hAnsi="Arial" w:cs="Arial"/>
        </w:rPr>
        <w:tab/>
      </w:r>
      <w:r w:rsidRPr="0031107F">
        <w:rPr>
          <w:rFonts w:ascii="Arial" w:hAnsi="Arial" w:cs="Arial"/>
        </w:rPr>
        <w:tab/>
      </w:r>
      <w:r w:rsidR="003A598E" w:rsidRPr="0031107F">
        <w:rPr>
          <w:rFonts w:ascii="Arial" w:hAnsi="Arial" w:cs="Arial"/>
        </w:rPr>
        <w:t xml:space="preserve">The cost of a data call, if performed is estimated to be </w:t>
      </w:r>
      <w:r w:rsidR="00122159" w:rsidRPr="0031107F">
        <w:rPr>
          <w:rFonts w:ascii="Arial" w:hAnsi="Arial" w:cs="Arial"/>
        </w:rPr>
        <w:t xml:space="preserve">$85,000, i.e., 1,000 hours at a blended, fully loaded hourly rate of $85. </w:t>
      </w:r>
      <w:r w:rsidR="00997C94" w:rsidRPr="0031107F">
        <w:rPr>
          <w:rFonts w:ascii="Arial" w:hAnsi="Arial" w:cs="Arial"/>
        </w:rPr>
        <w:t xml:space="preserve"> There is thought to be </w:t>
      </w:r>
      <w:r w:rsidR="00F25192" w:rsidRPr="0031107F">
        <w:rPr>
          <w:rFonts w:ascii="Arial" w:hAnsi="Arial" w:cs="Arial"/>
        </w:rPr>
        <w:t xml:space="preserve">essentially </w:t>
      </w:r>
      <w:r w:rsidR="00997C94" w:rsidRPr="0031107F">
        <w:rPr>
          <w:rFonts w:ascii="Arial" w:hAnsi="Arial" w:cs="Arial"/>
        </w:rPr>
        <w:t xml:space="preserve">no cost to the change to claims reporting that would </w:t>
      </w:r>
      <w:r w:rsidR="00367FF8" w:rsidRPr="0031107F">
        <w:rPr>
          <w:rFonts w:ascii="Arial" w:hAnsi="Arial" w:cs="Arial"/>
        </w:rPr>
        <w:t xml:space="preserve">be required </w:t>
      </w:r>
      <w:r w:rsidR="00997C94" w:rsidRPr="0031107F">
        <w:rPr>
          <w:rFonts w:ascii="Arial" w:hAnsi="Arial" w:cs="Arial"/>
        </w:rPr>
        <w:t xml:space="preserve">if a PRLP were </w:t>
      </w:r>
      <w:r w:rsidR="00367FF8" w:rsidRPr="0031107F">
        <w:rPr>
          <w:rFonts w:ascii="Arial" w:hAnsi="Arial" w:cs="Arial"/>
        </w:rPr>
        <w:t xml:space="preserve">put in effect. </w:t>
      </w:r>
      <w:r w:rsidR="00997C94" w:rsidRPr="0031107F">
        <w:rPr>
          <w:rFonts w:ascii="Arial" w:hAnsi="Arial" w:cs="Arial"/>
        </w:rPr>
        <w:t xml:space="preserve"> </w:t>
      </w:r>
    </w:p>
    <w:p w:rsidR="00997C94" w:rsidRPr="0031107F" w:rsidRDefault="00997C94" w:rsidP="001B5960">
      <w:pPr>
        <w:pStyle w:val="Default"/>
        <w:ind w:left="360" w:hanging="360"/>
        <w:rPr>
          <w:rFonts w:ascii="Arial" w:hAnsi="Arial" w:cs="Arial"/>
        </w:rPr>
      </w:pPr>
    </w:p>
    <w:p w:rsidR="001D6810" w:rsidRPr="0031107F" w:rsidRDefault="001D6810" w:rsidP="00836705">
      <w:pPr>
        <w:pStyle w:val="Heading1"/>
      </w:pPr>
      <w:r w:rsidRPr="0031107F">
        <w:t>Provide estimates of annualized cost to the Federal government.</w:t>
      </w:r>
    </w:p>
    <w:p w:rsidR="001D6810" w:rsidRPr="0031107F" w:rsidRDefault="001D6810" w:rsidP="001B5960">
      <w:pPr>
        <w:pStyle w:val="Default"/>
        <w:ind w:left="360" w:hanging="360"/>
        <w:rPr>
          <w:rFonts w:ascii="Arial" w:hAnsi="Arial" w:cs="Arial"/>
        </w:rPr>
      </w:pPr>
    </w:p>
    <w:p w:rsidR="002C0A12" w:rsidRPr="0031107F" w:rsidRDefault="00C410C4" w:rsidP="001B5960">
      <w:pPr>
        <w:pStyle w:val="Default"/>
        <w:ind w:left="360" w:hanging="360"/>
        <w:rPr>
          <w:rFonts w:ascii="Arial" w:hAnsi="Arial" w:cs="Arial"/>
        </w:rPr>
      </w:pPr>
      <w:r w:rsidRPr="0031107F">
        <w:rPr>
          <w:rFonts w:ascii="Arial" w:hAnsi="Arial" w:cs="Arial"/>
        </w:rPr>
        <w:tab/>
      </w:r>
      <w:r w:rsidR="00AF43D0" w:rsidRPr="0031107F">
        <w:rPr>
          <w:rFonts w:ascii="Arial" w:hAnsi="Arial" w:cs="Arial"/>
        </w:rPr>
        <w:tab/>
      </w:r>
      <w:r w:rsidR="002C0A12" w:rsidRPr="0031107F">
        <w:rPr>
          <w:rFonts w:ascii="Arial" w:hAnsi="Arial" w:cs="Arial"/>
        </w:rPr>
        <w:t>There is no</w:t>
      </w:r>
      <w:r w:rsidR="00A950B6" w:rsidRPr="0031107F">
        <w:rPr>
          <w:rFonts w:ascii="Arial" w:hAnsi="Arial" w:cs="Arial"/>
        </w:rPr>
        <w:t xml:space="preserve"> cost to the Federal government of insurer implementation and recordkeeping development.  There will, however, be costs to the Treasury if the </w:t>
      </w:r>
      <w:r w:rsidR="007E5A5B" w:rsidRPr="0031107F">
        <w:rPr>
          <w:rFonts w:ascii="Arial" w:hAnsi="Arial" w:cs="Arial"/>
        </w:rPr>
        <w:t xml:space="preserve">PRLP </w:t>
      </w:r>
      <w:r w:rsidR="00A950B6" w:rsidRPr="0031107F">
        <w:rPr>
          <w:rFonts w:ascii="Arial" w:hAnsi="Arial" w:cs="Arial"/>
        </w:rPr>
        <w:t xml:space="preserve">requirement is imposed on insurers. </w:t>
      </w:r>
    </w:p>
    <w:p w:rsidR="001D6810" w:rsidRPr="0031107F" w:rsidRDefault="001D6810" w:rsidP="001B5960">
      <w:pPr>
        <w:pStyle w:val="Default"/>
        <w:ind w:left="360" w:hanging="360"/>
        <w:rPr>
          <w:rFonts w:ascii="Arial" w:hAnsi="Arial" w:cs="Arial"/>
        </w:rPr>
      </w:pPr>
    </w:p>
    <w:p w:rsidR="001D6810" w:rsidRPr="0031107F" w:rsidRDefault="001D6810" w:rsidP="001D6810">
      <w:pPr>
        <w:rPr>
          <w:rFonts w:ascii="Arial" w:hAnsi="Arial" w:cs="Arial"/>
          <w:sz w:val="20"/>
          <w:szCs w:val="20"/>
        </w:rPr>
      </w:pPr>
    </w:p>
    <w:p w:rsidR="001D6810" w:rsidRPr="0031107F" w:rsidRDefault="001D6810" w:rsidP="00836705">
      <w:pPr>
        <w:pStyle w:val="Heading1"/>
      </w:pPr>
      <w:r w:rsidRPr="0031107F">
        <w:t xml:space="preserve">Explain the reasons for any program changes or adjustments </w:t>
      </w:r>
      <w:r w:rsidR="002831A7" w:rsidRPr="0031107F">
        <w:t>to previously identified annual reporting and recordkeeping burden hours or cost burden.</w:t>
      </w:r>
    </w:p>
    <w:p w:rsidR="002C0A12" w:rsidRPr="0031107F" w:rsidRDefault="002C0A12" w:rsidP="001B5960">
      <w:pPr>
        <w:pStyle w:val="Default"/>
        <w:ind w:left="360" w:hanging="360"/>
        <w:rPr>
          <w:rFonts w:ascii="Arial" w:hAnsi="Arial" w:cs="Arial"/>
        </w:rPr>
      </w:pPr>
    </w:p>
    <w:p w:rsidR="002C0A12" w:rsidRPr="0031107F" w:rsidRDefault="00C410C4" w:rsidP="001B5960">
      <w:pPr>
        <w:pStyle w:val="Default"/>
        <w:ind w:left="360" w:hanging="360"/>
        <w:rPr>
          <w:rFonts w:ascii="Arial" w:hAnsi="Arial" w:cs="Arial"/>
        </w:rPr>
      </w:pPr>
      <w:r w:rsidRPr="0031107F">
        <w:rPr>
          <w:rFonts w:ascii="Arial" w:hAnsi="Arial" w:cs="Arial"/>
        </w:rPr>
        <w:tab/>
      </w:r>
      <w:r w:rsidR="002C0A12" w:rsidRPr="0031107F">
        <w:rPr>
          <w:rFonts w:ascii="Arial" w:hAnsi="Arial" w:cs="Arial"/>
        </w:rPr>
        <w:t xml:space="preserve"> </w:t>
      </w:r>
      <w:r w:rsidR="00BB5B22" w:rsidRPr="0031107F">
        <w:rPr>
          <w:rFonts w:ascii="Arial" w:hAnsi="Arial" w:cs="Arial"/>
        </w:rPr>
        <w:tab/>
      </w:r>
      <w:r w:rsidR="00B607EF" w:rsidRPr="0031107F">
        <w:rPr>
          <w:rFonts w:ascii="Arial" w:hAnsi="Arial" w:cs="Arial"/>
        </w:rPr>
        <w:t>This is a</w:t>
      </w:r>
      <w:r w:rsidR="006641E8">
        <w:rPr>
          <w:rFonts w:ascii="Arial" w:hAnsi="Arial" w:cs="Arial"/>
        </w:rPr>
        <w:t xml:space="preserve">n </w:t>
      </w:r>
      <w:r w:rsidR="00BB4103">
        <w:rPr>
          <w:rFonts w:ascii="Arial" w:hAnsi="Arial" w:cs="Arial"/>
        </w:rPr>
        <w:t>extension</w:t>
      </w:r>
      <w:r w:rsidR="006641E8">
        <w:rPr>
          <w:rFonts w:ascii="Arial" w:hAnsi="Arial" w:cs="Arial"/>
        </w:rPr>
        <w:t xml:space="preserve"> of a previously approved </w:t>
      </w:r>
      <w:r w:rsidR="00B607EF" w:rsidRPr="0031107F">
        <w:rPr>
          <w:rFonts w:ascii="Arial" w:hAnsi="Arial" w:cs="Arial"/>
        </w:rPr>
        <w:t>collection</w:t>
      </w:r>
      <w:r w:rsidR="006641E8">
        <w:rPr>
          <w:rFonts w:ascii="Arial" w:hAnsi="Arial" w:cs="Arial"/>
        </w:rPr>
        <w:t>, without changes</w:t>
      </w:r>
      <w:r w:rsidR="002C0A12" w:rsidRPr="0031107F">
        <w:rPr>
          <w:rFonts w:ascii="Arial" w:hAnsi="Arial" w:cs="Arial"/>
        </w:rPr>
        <w:t>.</w:t>
      </w:r>
    </w:p>
    <w:p w:rsidR="001D6810" w:rsidRPr="0031107F" w:rsidRDefault="001D6810" w:rsidP="001B5960">
      <w:pPr>
        <w:pStyle w:val="Default"/>
        <w:ind w:left="360" w:hanging="360"/>
        <w:rPr>
          <w:rFonts w:ascii="Arial" w:hAnsi="Arial" w:cs="Arial"/>
        </w:rPr>
      </w:pPr>
    </w:p>
    <w:p w:rsidR="001D6810" w:rsidRPr="00F25192" w:rsidRDefault="001D6810" w:rsidP="00836705">
      <w:pPr>
        <w:pStyle w:val="Heading1"/>
      </w:pPr>
      <w:r w:rsidRPr="00F25192">
        <w:t>For collections whose results will be published, outline the plans for tabulation and publication.</w:t>
      </w:r>
    </w:p>
    <w:p w:rsidR="001D6810" w:rsidRPr="00F25192" w:rsidRDefault="001D6810" w:rsidP="001B5960">
      <w:pPr>
        <w:pStyle w:val="Default"/>
        <w:ind w:left="360" w:hanging="360"/>
        <w:rPr>
          <w:rFonts w:ascii="Arial" w:hAnsi="Arial" w:cs="Arial"/>
        </w:rPr>
      </w:pPr>
    </w:p>
    <w:p w:rsidR="002C0A12" w:rsidRPr="00F25192" w:rsidRDefault="002C0A12" w:rsidP="001B5960">
      <w:pPr>
        <w:pStyle w:val="Default"/>
        <w:ind w:left="360" w:hanging="360"/>
        <w:rPr>
          <w:rFonts w:ascii="Arial" w:hAnsi="Arial" w:cs="Arial"/>
        </w:rPr>
      </w:pPr>
    </w:p>
    <w:p w:rsidR="002C0A12" w:rsidRPr="00F25192" w:rsidRDefault="00C410C4" w:rsidP="001B5960">
      <w:pPr>
        <w:pStyle w:val="Default"/>
        <w:ind w:left="360" w:hanging="360"/>
        <w:rPr>
          <w:rFonts w:ascii="Arial" w:hAnsi="Arial" w:cs="Arial"/>
        </w:rPr>
      </w:pPr>
      <w:r w:rsidRPr="00F25192">
        <w:rPr>
          <w:rFonts w:ascii="Arial" w:hAnsi="Arial" w:cs="Arial"/>
        </w:rPr>
        <w:tab/>
      </w:r>
      <w:r w:rsidR="00BB5B22" w:rsidRPr="00F25192">
        <w:rPr>
          <w:rFonts w:ascii="Arial" w:hAnsi="Arial" w:cs="Arial"/>
        </w:rPr>
        <w:tab/>
      </w:r>
      <w:r w:rsidR="002C0A12" w:rsidRPr="00F25192">
        <w:rPr>
          <w:rFonts w:ascii="Arial" w:hAnsi="Arial" w:cs="Arial"/>
        </w:rPr>
        <w:t xml:space="preserve"> The results of this collection of </w:t>
      </w:r>
      <w:smartTag w:uri="urn:schemas-microsoft-com:office:smarttags" w:element="PersonName">
        <w:r w:rsidR="002C0A12" w:rsidRPr="00F25192">
          <w:rPr>
            <w:rFonts w:ascii="Arial" w:hAnsi="Arial" w:cs="Arial"/>
          </w:rPr>
          <w:t>info</w:t>
        </w:r>
      </w:smartTag>
      <w:r w:rsidR="002C0A12" w:rsidRPr="00F25192">
        <w:rPr>
          <w:rFonts w:ascii="Arial" w:hAnsi="Arial" w:cs="Arial"/>
        </w:rPr>
        <w:t>rmation are not to be published.</w:t>
      </w:r>
    </w:p>
    <w:p w:rsidR="001D6810" w:rsidRPr="00F25192" w:rsidRDefault="001D6810" w:rsidP="001B5960">
      <w:pPr>
        <w:pStyle w:val="Default"/>
        <w:ind w:left="360" w:hanging="360"/>
        <w:rPr>
          <w:rFonts w:ascii="Arial" w:hAnsi="Arial" w:cs="Arial"/>
        </w:rPr>
      </w:pPr>
    </w:p>
    <w:p w:rsidR="001D6810" w:rsidRPr="00F25192" w:rsidRDefault="001D6810" w:rsidP="00836705">
      <w:pPr>
        <w:pStyle w:val="Heading1"/>
      </w:pPr>
      <w:r w:rsidRPr="00F25192">
        <w:t xml:space="preserve">If seeking approval to not display the expiration date for OMB approval of the </w:t>
      </w:r>
      <w:smartTag w:uri="urn:schemas-microsoft-com:office:smarttags" w:element="PersonName">
        <w:r w:rsidRPr="00F25192">
          <w:t>info</w:t>
        </w:r>
      </w:smartTag>
      <w:r w:rsidRPr="00F25192">
        <w:t>rmation collection, explain the reasons why display would be inappropriate.</w:t>
      </w:r>
    </w:p>
    <w:p w:rsidR="001D6810" w:rsidRPr="00F25192" w:rsidRDefault="001D6810" w:rsidP="001B5960">
      <w:pPr>
        <w:pStyle w:val="Default"/>
        <w:ind w:left="360" w:hanging="360"/>
        <w:rPr>
          <w:rFonts w:ascii="Arial" w:hAnsi="Arial" w:cs="Arial"/>
        </w:rPr>
      </w:pPr>
    </w:p>
    <w:p w:rsidR="002C0A12" w:rsidRPr="00F25192" w:rsidRDefault="002C0A12" w:rsidP="001B5960">
      <w:pPr>
        <w:pStyle w:val="Default"/>
        <w:ind w:left="360" w:hanging="360"/>
        <w:rPr>
          <w:rFonts w:ascii="Arial" w:hAnsi="Arial" w:cs="Arial"/>
        </w:rPr>
      </w:pPr>
    </w:p>
    <w:p w:rsidR="002C0A12" w:rsidRPr="00F25192" w:rsidRDefault="00C410C4" w:rsidP="001B5960">
      <w:pPr>
        <w:pStyle w:val="Default"/>
        <w:ind w:left="360" w:hanging="360"/>
        <w:rPr>
          <w:rFonts w:ascii="Arial" w:hAnsi="Arial" w:cs="Arial"/>
        </w:rPr>
      </w:pPr>
      <w:r w:rsidRPr="00F25192">
        <w:rPr>
          <w:rFonts w:ascii="Arial" w:hAnsi="Arial" w:cs="Arial"/>
        </w:rPr>
        <w:tab/>
      </w:r>
      <w:r w:rsidR="00AF43D0" w:rsidRPr="00F25192">
        <w:rPr>
          <w:rFonts w:ascii="Arial" w:hAnsi="Arial" w:cs="Arial"/>
        </w:rPr>
        <w:tab/>
      </w:r>
      <w:r w:rsidR="002C0A12" w:rsidRPr="00F25192">
        <w:rPr>
          <w:rFonts w:ascii="Arial" w:hAnsi="Arial" w:cs="Arial"/>
        </w:rPr>
        <w:t>We will display the expiration date of OMB approval for this collection.</w:t>
      </w:r>
    </w:p>
    <w:p w:rsidR="002C0A12" w:rsidRPr="00F25192" w:rsidRDefault="002C0A12" w:rsidP="001B5960">
      <w:pPr>
        <w:pStyle w:val="Default"/>
        <w:ind w:left="360" w:hanging="360"/>
        <w:rPr>
          <w:rFonts w:ascii="Arial" w:hAnsi="Arial" w:cs="Arial"/>
        </w:rPr>
      </w:pPr>
    </w:p>
    <w:p w:rsidR="00D470EC" w:rsidRPr="00F25192" w:rsidRDefault="00D470EC" w:rsidP="00836705">
      <w:pPr>
        <w:pStyle w:val="Heading1"/>
      </w:pPr>
      <w:r w:rsidRPr="00F25192">
        <w:t xml:space="preserve">Explain each exception to the certification </w:t>
      </w:r>
      <w:r w:rsidR="00B22CFD" w:rsidRPr="00F25192">
        <w:t>of compliance with 5 CFR 1320.9 statement.</w:t>
      </w:r>
    </w:p>
    <w:p w:rsidR="00D470EC" w:rsidRPr="00F25192" w:rsidRDefault="00D470EC" w:rsidP="001B5960">
      <w:pPr>
        <w:pStyle w:val="Default"/>
        <w:ind w:left="360" w:hanging="360"/>
        <w:rPr>
          <w:rFonts w:ascii="Arial" w:hAnsi="Arial" w:cs="Arial"/>
        </w:rPr>
      </w:pPr>
    </w:p>
    <w:p w:rsidR="002C0A12" w:rsidRPr="00F25192" w:rsidRDefault="00C410C4" w:rsidP="002C0A12">
      <w:pPr>
        <w:pStyle w:val="Default"/>
        <w:rPr>
          <w:rFonts w:ascii="Arial" w:hAnsi="Arial" w:cs="Arial"/>
        </w:rPr>
      </w:pPr>
      <w:r w:rsidRPr="00F25192">
        <w:rPr>
          <w:rFonts w:ascii="Arial" w:hAnsi="Arial" w:cs="Arial"/>
        </w:rPr>
        <w:lastRenderedPageBreak/>
        <w:tab/>
      </w:r>
      <w:r w:rsidR="002C0A12" w:rsidRPr="00F25192">
        <w:rPr>
          <w:rFonts w:ascii="Arial" w:hAnsi="Arial" w:cs="Arial"/>
        </w:rPr>
        <w:t>There are no exceptions to the certification statement.</w:t>
      </w:r>
    </w:p>
    <w:p w:rsidR="001D6810" w:rsidRPr="00F25192" w:rsidRDefault="001D6810" w:rsidP="001D6810">
      <w:pPr>
        <w:tabs>
          <w:tab w:val="left" w:pos="3060"/>
        </w:tabs>
        <w:ind w:left="360" w:hanging="360"/>
        <w:rPr>
          <w:rFonts w:ascii="Arial" w:hAnsi="Arial" w:cs="Arial"/>
          <w:sz w:val="20"/>
          <w:szCs w:val="20"/>
        </w:rPr>
      </w:pPr>
    </w:p>
    <w:p w:rsidR="001D6810" w:rsidRPr="00F25192" w:rsidRDefault="001D6810" w:rsidP="001D6810">
      <w:pPr>
        <w:pStyle w:val="Default"/>
        <w:rPr>
          <w:rFonts w:ascii="Arial" w:hAnsi="Arial" w:cs="Arial"/>
          <w:u w:val="single"/>
        </w:rPr>
      </w:pPr>
      <w:r w:rsidRPr="00F25192">
        <w:rPr>
          <w:rFonts w:ascii="Arial" w:hAnsi="Arial" w:cs="Arial"/>
        </w:rPr>
        <w:t xml:space="preserve">19.  </w:t>
      </w:r>
      <w:r w:rsidRPr="00F25192">
        <w:rPr>
          <w:rFonts w:ascii="Arial" w:hAnsi="Arial" w:cs="Arial"/>
          <w:u w:val="single"/>
        </w:rPr>
        <w:t xml:space="preserve">Describe </w:t>
      </w:r>
      <w:r w:rsidR="00B22CFD" w:rsidRPr="00F25192">
        <w:rPr>
          <w:rFonts w:ascii="Arial" w:hAnsi="Arial" w:cs="Arial"/>
          <w:u w:val="single"/>
        </w:rPr>
        <w:t>the use of statistical methods such as sampling or imputation.</w:t>
      </w:r>
    </w:p>
    <w:p w:rsidR="001B5960" w:rsidRPr="00F25192" w:rsidRDefault="001B5960" w:rsidP="001B5960">
      <w:pPr>
        <w:tabs>
          <w:tab w:val="left" w:pos="3060"/>
        </w:tabs>
        <w:ind w:left="360" w:hanging="360"/>
        <w:rPr>
          <w:rFonts w:ascii="Arial" w:hAnsi="Arial" w:cs="Arial"/>
          <w:sz w:val="20"/>
          <w:szCs w:val="20"/>
        </w:rPr>
      </w:pPr>
    </w:p>
    <w:p w:rsidR="005B748B" w:rsidRPr="00AF43D0" w:rsidRDefault="005B748B" w:rsidP="00836705">
      <w:pPr>
        <w:tabs>
          <w:tab w:val="left" w:pos="3060"/>
        </w:tabs>
        <w:ind w:left="720"/>
        <w:rPr>
          <w:rFonts w:ascii="Arial" w:hAnsi="Arial" w:cs="Arial"/>
          <w:sz w:val="20"/>
          <w:szCs w:val="20"/>
        </w:rPr>
      </w:pPr>
      <w:r w:rsidRPr="00F25192">
        <w:rPr>
          <w:rFonts w:ascii="Arial" w:hAnsi="Arial" w:cs="Arial"/>
          <w:sz w:val="20"/>
          <w:szCs w:val="20"/>
        </w:rPr>
        <w:t>This collection does not employ statistical methods.</w:t>
      </w:r>
    </w:p>
    <w:p w:rsidR="00605CD6" w:rsidRPr="00100D74" w:rsidRDefault="001D6810" w:rsidP="002101AF">
      <w:pPr>
        <w:tabs>
          <w:tab w:val="left" w:pos="3060"/>
        </w:tabs>
        <w:ind w:left="360" w:hanging="360"/>
      </w:pPr>
      <w:r>
        <w:t xml:space="preserve">  </w:t>
      </w:r>
    </w:p>
    <w:p w:rsidR="00605CD6" w:rsidRDefault="00605CD6" w:rsidP="00605CD6">
      <w:pPr>
        <w:rPr>
          <w:b/>
        </w:rPr>
      </w:pPr>
    </w:p>
    <w:sectPr w:rsidR="00605CD6" w:rsidSect="00B22CFD">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44278"/>
    <w:multiLevelType w:val="hybridMultilevel"/>
    <w:tmpl w:val="797E71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C770442"/>
    <w:multiLevelType w:val="hybridMultilevel"/>
    <w:tmpl w:val="9B4887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9C60090"/>
    <w:multiLevelType w:val="hybridMultilevel"/>
    <w:tmpl w:val="96F812A2"/>
    <w:lvl w:ilvl="0" w:tplc="52B2FBA6">
      <w:start w:val="1"/>
      <w:numFmt w:val="decimal"/>
      <w:pStyle w:val="Heading1"/>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9EF"/>
    <w:rsid w:val="00000CC9"/>
    <w:rsid w:val="00013B90"/>
    <w:rsid w:val="00032098"/>
    <w:rsid w:val="00046A2F"/>
    <w:rsid w:val="00052D83"/>
    <w:rsid w:val="00085E5C"/>
    <w:rsid w:val="000D3422"/>
    <w:rsid w:val="000F50C4"/>
    <w:rsid w:val="001058DE"/>
    <w:rsid w:val="00122159"/>
    <w:rsid w:val="00131AED"/>
    <w:rsid w:val="001321A4"/>
    <w:rsid w:val="00145D5C"/>
    <w:rsid w:val="00163417"/>
    <w:rsid w:val="001B2D65"/>
    <w:rsid w:val="001B5960"/>
    <w:rsid w:val="001D6810"/>
    <w:rsid w:val="002101AF"/>
    <w:rsid w:val="00276804"/>
    <w:rsid w:val="00280846"/>
    <w:rsid w:val="002831A7"/>
    <w:rsid w:val="00293384"/>
    <w:rsid w:val="002B1E84"/>
    <w:rsid w:val="002C0A12"/>
    <w:rsid w:val="002F15B5"/>
    <w:rsid w:val="00300E3E"/>
    <w:rsid w:val="003071F5"/>
    <w:rsid w:val="0031107F"/>
    <w:rsid w:val="00330FC4"/>
    <w:rsid w:val="00351EAF"/>
    <w:rsid w:val="003576A8"/>
    <w:rsid w:val="00367FF8"/>
    <w:rsid w:val="003A598E"/>
    <w:rsid w:val="003A696A"/>
    <w:rsid w:val="003D6F39"/>
    <w:rsid w:val="003E6BB4"/>
    <w:rsid w:val="004030B0"/>
    <w:rsid w:val="00425F1B"/>
    <w:rsid w:val="00535DB2"/>
    <w:rsid w:val="00574F2B"/>
    <w:rsid w:val="00597665"/>
    <w:rsid w:val="005B5AFF"/>
    <w:rsid w:val="005B748B"/>
    <w:rsid w:val="005C5184"/>
    <w:rsid w:val="005F7574"/>
    <w:rsid w:val="006002BC"/>
    <w:rsid w:val="00605CD6"/>
    <w:rsid w:val="00615290"/>
    <w:rsid w:val="00623D4E"/>
    <w:rsid w:val="00636C70"/>
    <w:rsid w:val="00644961"/>
    <w:rsid w:val="006641E8"/>
    <w:rsid w:val="00671319"/>
    <w:rsid w:val="00677655"/>
    <w:rsid w:val="006D21B8"/>
    <w:rsid w:val="00703FA9"/>
    <w:rsid w:val="00715185"/>
    <w:rsid w:val="00716EEE"/>
    <w:rsid w:val="00727BD7"/>
    <w:rsid w:val="0073450A"/>
    <w:rsid w:val="00786739"/>
    <w:rsid w:val="00791D00"/>
    <w:rsid w:val="007D3EE2"/>
    <w:rsid w:val="007E5A5B"/>
    <w:rsid w:val="007E60C2"/>
    <w:rsid w:val="00812E58"/>
    <w:rsid w:val="00814E54"/>
    <w:rsid w:val="00815131"/>
    <w:rsid w:val="00836705"/>
    <w:rsid w:val="0084070A"/>
    <w:rsid w:val="00866C50"/>
    <w:rsid w:val="00874430"/>
    <w:rsid w:val="008816D5"/>
    <w:rsid w:val="00890045"/>
    <w:rsid w:val="008959C9"/>
    <w:rsid w:val="008C0734"/>
    <w:rsid w:val="008C2A71"/>
    <w:rsid w:val="00901624"/>
    <w:rsid w:val="00931C07"/>
    <w:rsid w:val="00932025"/>
    <w:rsid w:val="00997C94"/>
    <w:rsid w:val="009B3CFD"/>
    <w:rsid w:val="009C260C"/>
    <w:rsid w:val="009C56CC"/>
    <w:rsid w:val="00A1328E"/>
    <w:rsid w:val="00A1359C"/>
    <w:rsid w:val="00A21939"/>
    <w:rsid w:val="00A229D0"/>
    <w:rsid w:val="00A3048C"/>
    <w:rsid w:val="00A30BAB"/>
    <w:rsid w:val="00A32267"/>
    <w:rsid w:val="00A37D8E"/>
    <w:rsid w:val="00A5473D"/>
    <w:rsid w:val="00A950B6"/>
    <w:rsid w:val="00AB332C"/>
    <w:rsid w:val="00AC3094"/>
    <w:rsid w:val="00AD28E4"/>
    <w:rsid w:val="00AD345B"/>
    <w:rsid w:val="00AD4E10"/>
    <w:rsid w:val="00AD6923"/>
    <w:rsid w:val="00AF43D0"/>
    <w:rsid w:val="00B21D71"/>
    <w:rsid w:val="00B22CFD"/>
    <w:rsid w:val="00B607EF"/>
    <w:rsid w:val="00BA78FC"/>
    <w:rsid w:val="00BB4103"/>
    <w:rsid w:val="00BB5B22"/>
    <w:rsid w:val="00BF7F01"/>
    <w:rsid w:val="00C022F2"/>
    <w:rsid w:val="00C3396A"/>
    <w:rsid w:val="00C410C4"/>
    <w:rsid w:val="00C509EF"/>
    <w:rsid w:val="00C6171F"/>
    <w:rsid w:val="00C6677B"/>
    <w:rsid w:val="00C744D6"/>
    <w:rsid w:val="00C8585E"/>
    <w:rsid w:val="00CB2446"/>
    <w:rsid w:val="00CB2E8E"/>
    <w:rsid w:val="00CC35DF"/>
    <w:rsid w:val="00CD13A8"/>
    <w:rsid w:val="00CD6945"/>
    <w:rsid w:val="00D0610D"/>
    <w:rsid w:val="00D31213"/>
    <w:rsid w:val="00D33F85"/>
    <w:rsid w:val="00D37017"/>
    <w:rsid w:val="00D470EC"/>
    <w:rsid w:val="00D47AA5"/>
    <w:rsid w:val="00D72335"/>
    <w:rsid w:val="00D72AE5"/>
    <w:rsid w:val="00DA1394"/>
    <w:rsid w:val="00DB4BF0"/>
    <w:rsid w:val="00DB6AB9"/>
    <w:rsid w:val="00DE1756"/>
    <w:rsid w:val="00DF57D6"/>
    <w:rsid w:val="00E02D20"/>
    <w:rsid w:val="00E25186"/>
    <w:rsid w:val="00E33C9E"/>
    <w:rsid w:val="00E40140"/>
    <w:rsid w:val="00E4562C"/>
    <w:rsid w:val="00EA2F80"/>
    <w:rsid w:val="00EA38B5"/>
    <w:rsid w:val="00EA748C"/>
    <w:rsid w:val="00EB46BC"/>
    <w:rsid w:val="00F109E6"/>
    <w:rsid w:val="00F220E9"/>
    <w:rsid w:val="00F25192"/>
    <w:rsid w:val="00F54E97"/>
    <w:rsid w:val="00F952F0"/>
    <w:rsid w:val="00FC40C1"/>
    <w:rsid w:val="00FE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8DE"/>
    <w:rPr>
      <w:sz w:val="24"/>
      <w:szCs w:val="24"/>
    </w:rPr>
  </w:style>
  <w:style w:type="paragraph" w:styleId="Heading1">
    <w:name w:val="heading 1"/>
    <w:basedOn w:val="Normal"/>
    <w:next w:val="Normal"/>
    <w:link w:val="Heading1Char"/>
    <w:qFormat/>
    <w:rsid w:val="001058DE"/>
    <w:pPr>
      <w:keepNext/>
      <w:keepLines/>
      <w:numPr>
        <w:numId w:val="3"/>
      </w:numPr>
      <w:tabs>
        <w:tab w:val="left" w:pos="360"/>
      </w:tabs>
      <w:ind w:left="0" w:firstLine="0"/>
      <w:outlineLvl w:val="0"/>
    </w:pPr>
    <w:rPr>
      <w:rFonts w:ascii="Arial" w:eastAsiaTheme="majorEastAsia" w:hAnsi="Arial" w:cstheme="majorBidi"/>
      <w:bCs/>
      <w:sz w:val="2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paragraph" w:styleId="BalloonText">
    <w:name w:val="Balloon Text"/>
    <w:basedOn w:val="Normal"/>
    <w:semiHidden/>
    <w:rsid w:val="00644961"/>
    <w:rPr>
      <w:rFonts w:ascii="Tahoma" w:hAnsi="Tahoma" w:cs="Tahoma"/>
      <w:sz w:val="16"/>
      <w:szCs w:val="16"/>
    </w:rPr>
  </w:style>
  <w:style w:type="character" w:styleId="CommentReference">
    <w:name w:val="annotation reference"/>
    <w:basedOn w:val="DefaultParagraphFont"/>
    <w:rsid w:val="00AD345B"/>
    <w:rPr>
      <w:sz w:val="16"/>
      <w:szCs w:val="16"/>
    </w:rPr>
  </w:style>
  <w:style w:type="paragraph" w:styleId="CommentText">
    <w:name w:val="annotation text"/>
    <w:basedOn w:val="Normal"/>
    <w:link w:val="CommentTextChar"/>
    <w:rsid w:val="00AD345B"/>
    <w:rPr>
      <w:sz w:val="20"/>
      <w:szCs w:val="20"/>
    </w:rPr>
  </w:style>
  <w:style w:type="character" w:customStyle="1" w:styleId="CommentTextChar">
    <w:name w:val="Comment Text Char"/>
    <w:basedOn w:val="DefaultParagraphFont"/>
    <w:link w:val="CommentText"/>
    <w:rsid w:val="00AD345B"/>
  </w:style>
  <w:style w:type="paragraph" w:styleId="CommentSubject">
    <w:name w:val="annotation subject"/>
    <w:basedOn w:val="CommentText"/>
    <w:next w:val="CommentText"/>
    <w:link w:val="CommentSubjectChar"/>
    <w:rsid w:val="00AD345B"/>
    <w:rPr>
      <w:b/>
      <w:bCs/>
    </w:rPr>
  </w:style>
  <w:style w:type="character" w:customStyle="1" w:styleId="CommentSubjectChar">
    <w:name w:val="Comment Subject Char"/>
    <w:basedOn w:val="CommentTextChar"/>
    <w:link w:val="CommentSubject"/>
    <w:rsid w:val="00AD345B"/>
    <w:rPr>
      <w:b/>
      <w:bCs/>
    </w:rPr>
  </w:style>
  <w:style w:type="character" w:customStyle="1" w:styleId="Heading1Char">
    <w:name w:val="Heading 1 Char"/>
    <w:basedOn w:val="DefaultParagraphFont"/>
    <w:link w:val="Heading1"/>
    <w:rsid w:val="001058DE"/>
    <w:rPr>
      <w:rFonts w:ascii="Arial" w:eastAsiaTheme="majorEastAsia" w:hAnsi="Arial" w:cstheme="majorBidi"/>
      <w:bCs/>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8DE"/>
    <w:rPr>
      <w:sz w:val="24"/>
      <w:szCs w:val="24"/>
    </w:rPr>
  </w:style>
  <w:style w:type="paragraph" w:styleId="Heading1">
    <w:name w:val="heading 1"/>
    <w:basedOn w:val="Normal"/>
    <w:next w:val="Normal"/>
    <w:link w:val="Heading1Char"/>
    <w:qFormat/>
    <w:rsid w:val="001058DE"/>
    <w:pPr>
      <w:keepNext/>
      <w:keepLines/>
      <w:numPr>
        <w:numId w:val="3"/>
      </w:numPr>
      <w:tabs>
        <w:tab w:val="left" w:pos="360"/>
      </w:tabs>
      <w:ind w:left="0" w:firstLine="0"/>
      <w:outlineLvl w:val="0"/>
    </w:pPr>
    <w:rPr>
      <w:rFonts w:ascii="Arial" w:eastAsiaTheme="majorEastAsia" w:hAnsi="Arial" w:cstheme="majorBidi"/>
      <w:bCs/>
      <w:sz w:val="2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paragraph" w:styleId="BalloonText">
    <w:name w:val="Balloon Text"/>
    <w:basedOn w:val="Normal"/>
    <w:semiHidden/>
    <w:rsid w:val="00644961"/>
    <w:rPr>
      <w:rFonts w:ascii="Tahoma" w:hAnsi="Tahoma" w:cs="Tahoma"/>
      <w:sz w:val="16"/>
      <w:szCs w:val="16"/>
    </w:rPr>
  </w:style>
  <w:style w:type="character" w:styleId="CommentReference">
    <w:name w:val="annotation reference"/>
    <w:basedOn w:val="DefaultParagraphFont"/>
    <w:rsid w:val="00AD345B"/>
    <w:rPr>
      <w:sz w:val="16"/>
      <w:szCs w:val="16"/>
    </w:rPr>
  </w:style>
  <w:style w:type="paragraph" w:styleId="CommentText">
    <w:name w:val="annotation text"/>
    <w:basedOn w:val="Normal"/>
    <w:link w:val="CommentTextChar"/>
    <w:rsid w:val="00AD345B"/>
    <w:rPr>
      <w:sz w:val="20"/>
      <w:szCs w:val="20"/>
    </w:rPr>
  </w:style>
  <w:style w:type="character" w:customStyle="1" w:styleId="CommentTextChar">
    <w:name w:val="Comment Text Char"/>
    <w:basedOn w:val="DefaultParagraphFont"/>
    <w:link w:val="CommentText"/>
    <w:rsid w:val="00AD345B"/>
  </w:style>
  <w:style w:type="paragraph" w:styleId="CommentSubject">
    <w:name w:val="annotation subject"/>
    <w:basedOn w:val="CommentText"/>
    <w:next w:val="CommentText"/>
    <w:link w:val="CommentSubjectChar"/>
    <w:rsid w:val="00AD345B"/>
    <w:rPr>
      <w:b/>
      <w:bCs/>
    </w:rPr>
  </w:style>
  <w:style w:type="character" w:customStyle="1" w:styleId="CommentSubjectChar">
    <w:name w:val="Comment Subject Char"/>
    <w:basedOn w:val="CommentTextChar"/>
    <w:link w:val="CommentSubject"/>
    <w:rsid w:val="00AD345B"/>
    <w:rPr>
      <w:b/>
      <w:bCs/>
    </w:rPr>
  </w:style>
  <w:style w:type="character" w:customStyle="1" w:styleId="Heading1Char">
    <w:name w:val="Heading 1 Char"/>
    <w:basedOn w:val="DefaultParagraphFont"/>
    <w:link w:val="Heading1"/>
    <w:rsid w:val="001058DE"/>
    <w:rPr>
      <w:rFonts w:ascii="Arial" w:eastAsiaTheme="majorEastAsia" w:hAnsi="Arial" w:cstheme="majorBidi"/>
      <w:bCs/>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#1505-0208 supporting statement</vt:lpstr>
    </vt:vector>
  </TitlesOfParts>
  <Company>U.S. Treasury Department</Company>
  <LinksUpToDate>false</LinksUpToDate>
  <CharactersWithSpaces>10603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#1505-0208 supporting statement</dc:title>
  <dc:creator>Howard Leikin</dc:creator>
  <dc:description>ICR reference number 201601-1505-004</dc:description>
  <cp:lastModifiedBy>Gustafson, Lindy</cp:lastModifiedBy>
  <cp:revision>4</cp:revision>
  <cp:lastPrinted>2016-01-27T19:06:00Z</cp:lastPrinted>
  <dcterms:created xsi:type="dcterms:W3CDTF">2016-01-28T17:03:00Z</dcterms:created>
  <dcterms:modified xsi:type="dcterms:W3CDTF">2016-01-28T21:56:00Z</dcterms:modified>
</cp:coreProperties>
</file>