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366" w:rsidRPr="00A50EF3" w:rsidRDefault="00A80366" w:rsidP="00714C96">
      <w:pPr>
        <w:keepNext/>
        <w:keepLines/>
        <w:widowControl w:val="0"/>
        <w:jc w:val="center"/>
        <w:rPr>
          <w:b/>
          <w:sz w:val="32"/>
        </w:rPr>
      </w:pPr>
      <w:r w:rsidRPr="00A50EF3">
        <w:rPr>
          <w:b/>
          <w:sz w:val="32"/>
        </w:rPr>
        <w:t xml:space="preserve">SUPPORTING STATEMENT FOR </w:t>
      </w:r>
      <w:r w:rsidRPr="00A50EF3">
        <w:rPr>
          <w:b/>
          <w:sz w:val="32"/>
        </w:rPr>
        <w:br/>
        <w:t>PAPERWORK REDUCTION ACT SUBMISSION</w:t>
      </w:r>
    </w:p>
    <w:p w:rsidR="00EB0663" w:rsidRPr="00A50EF3" w:rsidRDefault="00EB0663" w:rsidP="00714C96">
      <w:pPr>
        <w:keepNext/>
        <w:keepLines/>
        <w:widowControl w:val="0"/>
        <w:jc w:val="center"/>
        <w:rPr>
          <w:b/>
          <w:sz w:val="32"/>
        </w:rPr>
      </w:pPr>
    </w:p>
    <w:p w:rsidR="00EB0663" w:rsidRPr="00A50EF3" w:rsidRDefault="00A80366" w:rsidP="00714C96">
      <w:pPr>
        <w:keepNext/>
        <w:keepLines/>
        <w:widowControl w:val="0"/>
        <w:jc w:val="center"/>
        <w:rPr>
          <w:b/>
          <w:sz w:val="32"/>
        </w:rPr>
      </w:pPr>
      <w:r w:rsidRPr="00A50EF3">
        <w:rPr>
          <w:b/>
          <w:sz w:val="32"/>
        </w:rPr>
        <w:t>Nonimmigrant Visa Application</w:t>
      </w:r>
    </w:p>
    <w:p w:rsidR="00EB0663" w:rsidRPr="00A50EF3" w:rsidRDefault="00EB0663" w:rsidP="00714C96">
      <w:pPr>
        <w:keepNext/>
        <w:keepLines/>
        <w:widowControl w:val="0"/>
        <w:jc w:val="center"/>
        <w:rPr>
          <w:b/>
          <w:sz w:val="32"/>
        </w:rPr>
      </w:pPr>
    </w:p>
    <w:p w:rsidR="00EB0663" w:rsidRPr="00A50EF3" w:rsidRDefault="00D30F43" w:rsidP="00714C96">
      <w:pPr>
        <w:keepNext/>
        <w:keepLines/>
        <w:widowControl w:val="0"/>
        <w:jc w:val="center"/>
        <w:rPr>
          <w:b/>
          <w:sz w:val="32"/>
        </w:rPr>
      </w:pPr>
      <w:r w:rsidRPr="00A50EF3">
        <w:rPr>
          <w:b/>
          <w:sz w:val="32"/>
        </w:rPr>
        <w:t>OMB No. 1405-0018</w:t>
      </w:r>
    </w:p>
    <w:p w:rsidR="00A80366" w:rsidRPr="00A50EF3" w:rsidRDefault="00D30F43" w:rsidP="00714C96">
      <w:pPr>
        <w:keepNext/>
        <w:keepLines/>
        <w:widowControl w:val="0"/>
        <w:jc w:val="center"/>
        <w:rPr>
          <w:b/>
          <w:sz w:val="32"/>
        </w:rPr>
      </w:pPr>
      <w:r w:rsidRPr="00A50EF3">
        <w:rPr>
          <w:b/>
          <w:sz w:val="32"/>
        </w:rPr>
        <w:t>Form DS-156</w:t>
      </w:r>
    </w:p>
    <w:p w:rsidR="00A80366" w:rsidRPr="00A50EF3" w:rsidRDefault="00A80366" w:rsidP="00714C96">
      <w:pPr>
        <w:pStyle w:val="Heading1"/>
        <w:jc w:val="left"/>
        <w:rPr>
          <w:szCs w:val="24"/>
          <w:lang w:val="fr-FR"/>
        </w:rPr>
      </w:pPr>
      <w:r w:rsidRPr="00A50EF3">
        <w:rPr>
          <w:szCs w:val="24"/>
          <w:lang w:val="fr-FR"/>
        </w:rPr>
        <w:t>A.</w:t>
      </w:r>
      <w:r w:rsidRPr="00A50EF3">
        <w:rPr>
          <w:szCs w:val="24"/>
          <w:lang w:val="fr-FR"/>
        </w:rPr>
        <w:tab/>
        <w:t>JUSTIFICATION</w:t>
      </w:r>
    </w:p>
    <w:p w:rsidR="00A80366" w:rsidRPr="00A50EF3" w:rsidRDefault="00A80366" w:rsidP="00714C96">
      <w:pPr>
        <w:pStyle w:val="p6"/>
        <w:widowControl/>
        <w:tabs>
          <w:tab w:val="clear" w:pos="204"/>
        </w:tabs>
        <w:spacing w:line="240" w:lineRule="auto"/>
        <w:rPr>
          <w:szCs w:val="24"/>
          <w:lang w:val="fr-FR"/>
        </w:rPr>
      </w:pPr>
      <w:bookmarkStart w:id="0" w:name="_GoBack"/>
      <w:bookmarkEnd w:id="0"/>
    </w:p>
    <w:p w:rsidR="00A80366" w:rsidRPr="00A50EF3" w:rsidRDefault="00A80366" w:rsidP="00714C96">
      <w:pPr>
        <w:rPr>
          <w:sz w:val="24"/>
          <w:szCs w:val="24"/>
        </w:rPr>
      </w:pPr>
      <w:r w:rsidRPr="00A50EF3">
        <w:rPr>
          <w:sz w:val="24"/>
          <w:szCs w:val="24"/>
        </w:rPr>
        <w:t>1.  The Immigration and Nationality Act (“INA”), 8 U.S.C.</w:t>
      </w:r>
      <w:r w:rsidR="002A5114" w:rsidRPr="00A50EF3">
        <w:rPr>
          <w:sz w:val="24"/>
          <w:szCs w:val="24"/>
        </w:rPr>
        <w:t xml:space="preserve"> §</w:t>
      </w:r>
      <w:r w:rsidRPr="00A50EF3">
        <w:rPr>
          <w:sz w:val="24"/>
          <w:szCs w:val="24"/>
        </w:rPr>
        <w:t xml:space="preserve"> 1101 </w:t>
      </w:r>
      <w:r w:rsidRPr="00A50EF3">
        <w:rPr>
          <w:sz w:val="24"/>
          <w:szCs w:val="24"/>
          <w:u w:val="single"/>
        </w:rPr>
        <w:t>et seq</w:t>
      </w:r>
      <w:r w:rsidRPr="00A50EF3">
        <w:rPr>
          <w:sz w:val="24"/>
          <w:szCs w:val="24"/>
        </w:rPr>
        <w:t xml:space="preserve">., statutorily mandates the application and eligibility requirements for aliens seeking to obtain nonimmigrant visas.  INA </w:t>
      </w:r>
      <w:r w:rsidR="002A5114" w:rsidRPr="00A50EF3">
        <w:rPr>
          <w:sz w:val="24"/>
          <w:szCs w:val="24"/>
        </w:rPr>
        <w:t xml:space="preserve">section </w:t>
      </w:r>
      <w:r w:rsidRPr="00A50EF3">
        <w:rPr>
          <w:sz w:val="24"/>
          <w:szCs w:val="24"/>
        </w:rPr>
        <w:t xml:space="preserve">221(a) [8 U.S.C. </w:t>
      </w:r>
      <w:r w:rsidR="002A5114" w:rsidRPr="00A50EF3">
        <w:rPr>
          <w:sz w:val="24"/>
          <w:szCs w:val="24"/>
        </w:rPr>
        <w:t xml:space="preserve">§ </w:t>
      </w:r>
      <w:r w:rsidRPr="00A50EF3">
        <w:rPr>
          <w:sz w:val="24"/>
          <w:szCs w:val="24"/>
        </w:rPr>
        <w:t>1201</w:t>
      </w:r>
      <w:r w:rsidR="00A42D62" w:rsidRPr="00A50EF3">
        <w:rPr>
          <w:sz w:val="24"/>
          <w:szCs w:val="24"/>
        </w:rPr>
        <w:t>(a)</w:t>
      </w:r>
      <w:r w:rsidRPr="00A50EF3">
        <w:rPr>
          <w:sz w:val="24"/>
          <w:szCs w:val="24"/>
        </w:rPr>
        <w:t>] provides that a consular officer may issue a nonimmigrant visa to an alien who has made proper application therefor.</w:t>
      </w:r>
    </w:p>
    <w:p w:rsidR="00A80366" w:rsidRPr="00A50EF3" w:rsidRDefault="00A80366" w:rsidP="00714C96">
      <w:pPr>
        <w:rPr>
          <w:sz w:val="24"/>
          <w:szCs w:val="24"/>
        </w:rPr>
      </w:pPr>
    </w:p>
    <w:p w:rsidR="0046078A" w:rsidRPr="00A50EF3" w:rsidRDefault="00A80366" w:rsidP="00714C96">
      <w:pPr>
        <w:rPr>
          <w:sz w:val="24"/>
          <w:szCs w:val="24"/>
        </w:rPr>
      </w:pPr>
      <w:r w:rsidRPr="00A50EF3">
        <w:rPr>
          <w:sz w:val="24"/>
          <w:szCs w:val="24"/>
        </w:rPr>
        <w:t xml:space="preserve">INA </w:t>
      </w:r>
      <w:r w:rsidR="002A5114" w:rsidRPr="00A50EF3">
        <w:rPr>
          <w:sz w:val="24"/>
          <w:szCs w:val="24"/>
        </w:rPr>
        <w:t xml:space="preserve">section </w:t>
      </w:r>
      <w:r w:rsidRPr="00A50EF3">
        <w:rPr>
          <w:sz w:val="24"/>
          <w:szCs w:val="24"/>
        </w:rPr>
        <w:t xml:space="preserve">222(c) [8 U.S.C. </w:t>
      </w:r>
      <w:r w:rsidR="002A5114" w:rsidRPr="00A50EF3">
        <w:rPr>
          <w:sz w:val="24"/>
          <w:szCs w:val="24"/>
        </w:rPr>
        <w:t xml:space="preserve">§ </w:t>
      </w:r>
      <w:r w:rsidRPr="00A50EF3">
        <w:rPr>
          <w:sz w:val="24"/>
          <w:szCs w:val="24"/>
        </w:rPr>
        <w:t>1202</w:t>
      </w:r>
      <w:r w:rsidR="00A42D62" w:rsidRPr="00A50EF3">
        <w:rPr>
          <w:sz w:val="24"/>
          <w:szCs w:val="24"/>
        </w:rPr>
        <w:t>(c)</w:t>
      </w:r>
      <w:r w:rsidRPr="00A50EF3">
        <w:rPr>
          <w:sz w:val="24"/>
          <w:szCs w:val="24"/>
        </w:rPr>
        <w:t>] specifically requires that, “Every alien applying for a nonimmigrant visa and for alien registration shall make application therefor</w:t>
      </w:r>
      <w:r w:rsidR="00043D12" w:rsidRPr="00A50EF3">
        <w:rPr>
          <w:sz w:val="24"/>
          <w:szCs w:val="24"/>
        </w:rPr>
        <w:t>e</w:t>
      </w:r>
      <w:r w:rsidRPr="00A50EF3">
        <w:rPr>
          <w:sz w:val="24"/>
          <w:szCs w:val="24"/>
        </w:rPr>
        <w:t xml:space="preserve"> in such form and manner as shall be by regulations prescribed.  In the application the alien shall state his full and true name</w:t>
      </w:r>
      <w:proofErr w:type="gramStart"/>
      <w:r w:rsidRPr="00A50EF3">
        <w:rPr>
          <w:sz w:val="24"/>
          <w:szCs w:val="24"/>
        </w:rPr>
        <w:t>, ..</w:t>
      </w:r>
      <w:proofErr w:type="gramEnd"/>
      <w:r w:rsidR="002A5114" w:rsidRPr="00A50EF3">
        <w:rPr>
          <w:sz w:val="24"/>
          <w:szCs w:val="24"/>
        </w:rPr>
        <w:t xml:space="preserve"> </w:t>
      </w:r>
      <w:proofErr w:type="gramStart"/>
      <w:r w:rsidRPr="00A50EF3">
        <w:rPr>
          <w:sz w:val="24"/>
          <w:szCs w:val="24"/>
        </w:rPr>
        <w:t>and</w:t>
      </w:r>
      <w:proofErr w:type="gramEnd"/>
      <w:r w:rsidRPr="00A50EF3">
        <w:rPr>
          <w:sz w:val="24"/>
          <w:szCs w:val="24"/>
        </w:rPr>
        <w:t xml:space="preserve"> such additional information necessary to the identification of the applicant, the determination of  his eligibility for a nonimmigrant visa, and the enforcement of the immigration and nationality laws as may be by regulations prescribed.”</w:t>
      </w:r>
    </w:p>
    <w:p w:rsidR="00A80366" w:rsidRPr="00A50EF3" w:rsidRDefault="00A80366" w:rsidP="00714C96">
      <w:pPr>
        <w:rPr>
          <w:sz w:val="24"/>
          <w:szCs w:val="24"/>
        </w:rPr>
      </w:pPr>
    </w:p>
    <w:p w:rsidR="00A80366" w:rsidRDefault="00A80366" w:rsidP="00714C96">
      <w:pPr>
        <w:rPr>
          <w:sz w:val="24"/>
          <w:szCs w:val="24"/>
        </w:rPr>
      </w:pPr>
      <w:r w:rsidRPr="00A50EF3">
        <w:rPr>
          <w:sz w:val="24"/>
          <w:szCs w:val="24"/>
        </w:rPr>
        <w:t xml:space="preserve">Department of State regulations pertaining to nonimmigrant visas under the INA are published at 22 CFR </w:t>
      </w:r>
      <w:r w:rsidR="00973D7C">
        <w:rPr>
          <w:sz w:val="24"/>
          <w:szCs w:val="24"/>
        </w:rPr>
        <w:t xml:space="preserve">Part </w:t>
      </w:r>
      <w:r w:rsidRPr="00A50EF3">
        <w:rPr>
          <w:sz w:val="24"/>
          <w:szCs w:val="24"/>
        </w:rPr>
        <w:t xml:space="preserve">41.  The regulations pertaining </w:t>
      </w:r>
      <w:r w:rsidR="00FC68E9" w:rsidRPr="00A50EF3">
        <w:rPr>
          <w:sz w:val="24"/>
          <w:szCs w:val="24"/>
        </w:rPr>
        <w:t xml:space="preserve">specifically </w:t>
      </w:r>
      <w:r w:rsidRPr="00A50EF3">
        <w:rPr>
          <w:sz w:val="24"/>
          <w:szCs w:val="24"/>
        </w:rPr>
        <w:t xml:space="preserve">to the filing of an application using the DS-156 are </w:t>
      </w:r>
      <w:r w:rsidR="00FC68E9" w:rsidRPr="00A50EF3">
        <w:rPr>
          <w:sz w:val="24"/>
          <w:szCs w:val="24"/>
        </w:rPr>
        <w:t>found at</w:t>
      </w:r>
      <w:r w:rsidRPr="00A50EF3">
        <w:rPr>
          <w:sz w:val="24"/>
          <w:szCs w:val="24"/>
        </w:rPr>
        <w:t xml:space="preserve"> 22 CFR 41.103.</w:t>
      </w:r>
    </w:p>
    <w:p w:rsidR="00D04BED" w:rsidRPr="00A50EF3" w:rsidRDefault="00D04BED" w:rsidP="00714C96">
      <w:pPr>
        <w:rPr>
          <w:sz w:val="24"/>
          <w:szCs w:val="24"/>
        </w:rPr>
      </w:pPr>
    </w:p>
    <w:p w:rsidR="007E6031" w:rsidRPr="00A50EF3" w:rsidRDefault="007E6031" w:rsidP="00714C96">
      <w:pPr>
        <w:rPr>
          <w:sz w:val="24"/>
          <w:szCs w:val="24"/>
        </w:rPr>
      </w:pPr>
      <w:r w:rsidRPr="00A50EF3">
        <w:rPr>
          <w:sz w:val="24"/>
          <w:szCs w:val="24"/>
        </w:rPr>
        <w:t xml:space="preserve">Grounds for exclusion of certain aliens are detailed in INA Section 212(a) </w:t>
      </w:r>
      <w:r w:rsidR="00BC2BAD">
        <w:rPr>
          <w:sz w:val="24"/>
          <w:szCs w:val="24"/>
        </w:rPr>
        <w:t>(</w:t>
      </w:r>
      <w:r w:rsidRPr="00A50EF3">
        <w:rPr>
          <w:sz w:val="24"/>
          <w:szCs w:val="24"/>
        </w:rPr>
        <w:t>8.U.S. 1182(a)</w:t>
      </w:r>
      <w:r w:rsidR="00BC2BAD">
        <w:rPr>
          <w:sz w:val="24"/>
          <w:szCs w:val="24"/>
        </w:rPr>
        <w:t>)</w:t>
      </w:r>
      <w:r w:rsidRPr="00A50EF3">
        <w:rPr>
          <w:sz w:val="24"/>
          <w:szCs w:val="24"/>
        </w:rPr>
        <w:t xml:space="preserve"> and several other statues, in particular P.L 107-56.  Among grounds for ineligibility are those related to health, criminal activity, security, public charge, and violations of the </w:t>
      </w:r>
      <w:proofErr w:type="gramStart"/>
      <w:r w:rsidRPr="00A50EF3">
        <w:rPr>
          <w:sz w:val="24"/>
          <w:szCs w:val="24"/>
        </w:rPr>
        <w:t>INA.</w:t>
      </w:r>
      <w:proofErr w:type="gramEnd"/>
      <w:r w:rsidRPr="00A50EF3">
        <w:rPr>
          <w:sz w:val="24"/>
          <w:szCs w:val="24"/>
        </w:rPr>
        <w:t xml:space="preserve">  </w:t>
      </w:r>
    </w:p>
    <w:p w:rsidR="00A80366" w:rsidRPr="00A50EF3" w:rsidRDefault="00A80366" w:rsidP="00714C96">
      <w:pPr>
        <w:rPr>
          <w:sz w:val="24"/>
          <w:szCs w:val="24"/>
        </w:rPr>
      </w:pPr>
    </w:p>
    <w:p w:rsidR="00F649F6" w:rsidRDefault="00A80366" w:rsidP="00714C96">
      <w:pPr>
        <w:pStyle w:val="p6"/>
        <w:widowControl/>
        <w:tabs>
          <w:tab w:val="clear" w:pos="204"/>
        </w:tabs>
        <w:spacing w:line="240" w:lineRule="auto"/>
        <w:rPr>
          <w:szCs w:val="24"/>
        </w:rPr>
      </w:pPr>
      <w:r w:rsidRPr="00A50EF3">
        <w:rPr>
          <w:szCs w:val="24"/>
        </w:rPr>
        <w:t xml:space="preserve">2.  </w:t>
      </w:r>
      <w:r w:rsidR="005A2F09" w:rsidRPr="00A50EF3">
        <w:rPr>
          <w:szCs w:val="24"/>
        </w:rPr>
        <w:t xml:space="preserve">Department of State consular officers use the information provided on Form DS-156 (Nonimmigrant Visa Application) to fulfill the legal requirements identified in </w:t>
      </w:r>
      <w:r w:rsidR="0046078A">
        <w:rPr>
          <w:szCs w:val="24"/>
        </w:rPr>
        <w:t xml:space="preserve">section </w:t>
      </w:r>
      <w:r w:rsidR="005A2F09" w:rsidRPr="00A50EF3">
        <w:rPr>
          <w:szCs w:val="24"/>
        </w:rPr>
        <w:t>1</w:t>
      </w:r>
      <w:r w:rsidR="002A5114" w:rsidRPr="00A50EF3">
        <w:rPr>
          <w:szCs w:val="24"/>
        </w:rPr>
        <w:t>, above</w:t>
      </w:r>
      <w:r w:rsidR="005A2F09" w:rsidRPr="00A50EF3">
        <w:rPr>
          <w:szCs w:val="24"/>
        </w:rPr>
        <w:t>.   The information requested on the form is limited to that which is necessary for consular officers to determine efficiently the eligibility and classification of an alien seeking a nonimmigrant visa to the United States.  A consular officer is unable to approve a nonimmigrant visa without collecting this information.</w:t>
      </w:r>
      <w:r w:rsidR="007E6031" w:rsidRPr="00A50EF3">
        <w:rPr>
          <w:szCs w:val="24"/>
        </w:rPr>
        <w:t xml:space="preserve"> </w:t>
      </w:r>
      <w:r w:rsidR="00BE0B7D" w:rsidRPr="00A50EF3">
        <w:rPr>
          <w:szCs w:val="24"/>
        </w:rPr>
        <w:t>With approval of this collection the DS-156</w:t>
      </w:r>
      <w:r w:rsidR="00DB1C84">
        <w:rPr>
          <w:szCs w:val="24"/>
        </w:rPr>
        <w:t xml:space="preserve"> will</w:t>
      </w:r>
      <w:r w:rsidR="00BE0B7D" w:rsidRPr="00A50EF3">
        <w:rPr>
          <w:szCs w:val="24"/>
        </w:rPr>
        <w:t xml:space="preserve"> have integrated the following collections into the DS-156: DS-156-K, Nonimmigrant </w:t>
      </w:r>
      <w:proofErr w:type="spellStart"/>
      <w:proofErr w:type="gramStart"/>
      <w:r w:rsidR="00BE0B7D" w:rsidRPr="00A50EF3">
        <w:rPr>
          <w:szCs w:val="24"/>
        </w:rPr>
        <w:t>Fiance</w:t>
      </w:r>
      <w:proofErr w:type="spellEnd"/>
      <w:r w:rsidR="00BE0B7D" w:rsidRPr="00A50EF3">
        <w:rPr>
          <w:szCs w:val="24"/>
        </w:rPr>
        <w:t>(</w:t>
      </w:r>
      <w:proofErr w:type="gramEnd"/>
      <w:r w:rsidR="00BE0B7D" w:rsidRPr="00A50EF3">
        <w:rPr>
          <w:szCs w:val="24"/>
        </w:rPr>
        <w:t>e) Visa Application</w:t>
      </w:r>
      <w:r w:rsidR="00973D7C">
        <w:rPr>
          <w:szCs w:val="24"/>
        </w:rPr>
        <w:t>;</w:t>
      </w:r>
      <w:r w:rsidR="00BE0B7D" w:rsidRPr="00A50EF3">
        <w:rPr>
          <w:szCs w:val="24"/>
        </w:rPr>
        <w:t xml:space="preserve"> DS-157, Supplemental Nonimmigrant Visa Application</w:t>
      </w:r>
      <w:r w:rsidR="00973D7C">
        <w:rPr>
          <w:szCs w:val="24"/>
        </w:rPr>
        <w:t>;</w:t>
      </w:r>
      <w:r w:rsidR="00BE0B7D" w:rsidRPr="00A50EF3">
        <w:rPr>
          <w:szCs w:val="24"/>
        </w:rPr>
        <w:t xml:space="preserve"> and DS-158 , Contact Information and Work History for Nonimmigrant Visa Applicant. </w:t>
      </w:r>
    </w:p>
    <w:p w:rsidR="00973D7C" w:rsidRDefault="00973D7C" w:rsidP="00714C96">
      <w:pPr>
        <w:pStyle w:val="p6"/>
        <w:widowControl/>
        <w:tabs>
          <w:tab w:val="clear" w:pos="204"/>
        </w:tabs>
        <w:spacing w:line="240" w:lineRule="auto"/>
        <w:rPr>
          <w:szCs w:val="24"/>
        </w:rPr>
      </w:pPr>
    </w:p>
    <w:p w:rsidR="00A80366" w:rsidRPr="00A50EF3" w:rsidRDefault="00BE0B7D" w:rsidP="00714C96">
      <w:pPr>
        <w:pStyle w:val="p6"/>
        <w:widowControl/>
        <w:tabs>
          <w:tab w:val="clear" w:pos="204"/>
        </w:tabs>
        <w:spacing w:line="240" w:lineRule="auto"/>
        <w:rPr>
          <w:szCs w:val="24"/>
        </w:rPr>
      </w:pPr>
      <w:r w:rsidRPr="00A50EF3">
        <w:rPr>
          <w:szCs w:val="24"/>
        </w:rPr>
        <w:t xml:space="preserve">With the integration of the following collections and forms into the DS-156, the Department can discontinue the individual collections and </w:t>
      </w:r>
      <w:r w:rsidR="00670A03" w:rsidRPr="00A50EF3">
        <w:rPr>
          <w:szCs w:val="24"/>
        </w:rPr>
        <w:t xml:space="preserve">significantly decrease the overall burden time for all applicants. </w:t>
      </w:r>
    </w:p>
    <w:p w:rsidR="005A2F09" w:rsidRPr="00A50EF3" w:rsidRDefault="005A2F09" w:rsidP="00714C96">
      <w:pPr>
        <w:pStyle w:val="p6"/>
        <w:widowControl/>
        <w:tabs>
          <w:tab w:val="clear" w:pos="204"/>
        </w:tabs>
        <w:spacing w:line="240" w:lineRule="auto"/>
        <w:rPr>
          <w:szCs w:val="24"/>
        </w:rPr>
      </w:pPr>
    </w:p>
    <w:p w:rsidR="003E367A" w:rsidRPr="00A50EF3" w:rsidRDefault="00A80366" w:rsidP="00714C96">
      <w:pPr>
        <w:rPr>
          <w:sz w:val="24"/>
          <w:szCs w:val="24"/>
        </w:rPr>
      </w:pPr>
      <w:r w:rsidRPr="00A50EF3">
        <w:rPr>
          <w:sz w:val="24"/>
          <w:szCs w:val="24"/>
        </w:rPr>
        <w:lastRenderedPageBreak/>
        <w:t xml:space="preserve">3.  </w:t>
      </w:r>
      <w:r w:rsidR="00BC59ED" w:rsidRPr="00A50EF3">
        <w:rPr>
          <w:sz w:val="24"/>
          <w:szCs w:val="24"/>
        </w:rPr>
        <w:t xml:space="preserve">The dynamic, user-guided electronic version of the DS-156, the DS-160, is live worldwide.  </w:t>
      </w:r>
      <w:r w:rsidR="005A2F09" w:rsidRPr="00A50EF3">
        <w:rPr>
          <w:sz w:val="24"/>
          <w:szCs w:val="24"/>
        </w:rPr>
        <w:t>However, the Department</w:t>
      </w:r>
      <w:r w:rsidR="00BC59ED" w:rsidRPr="00A50EF3">
        <w:rPr>
          <w:sz w:val="24"/>
          <w:szCs w:val="24"/>
        </w:rPr>
        <w:t xml:space="preserve"> will retain the DS-15</w:t>
      </w:r>
      <w:r w:rsidR="00752DF5">
        <w:rPr>
          <w:sz w:val="24"/>
          <w:szCs w:val="24"/>
        </w:rPr>
        <w:t>6</w:t>
      </w:r>
      <w:r w:rsidR="007F3110">
        <w:rPr>
          <w:sz w:val="24"/>
          <w:szCs w:val="24"/>
        </w:rPr>
        <w:t>, for the following reasons;</w:t>
      </w:r>
      <w:r w:rsidR="00752DF5">
        <w:rPr>
          <w:sz w:val="24"/>
          <w:szCs w:val="24"/>
        </w:rPr>
        <w:t xml:space="preserve"> </w:t>
      </w:r>
      <w:r w:rsidR="00417AA9">
        <w:rPr>
          <w:sz w:val="24"/>
          <w:szCs w:val="24"/>
        </w:rPr>
        <w:t>an applicant has an urgent medical or humanitarian travel and the Consular Officer has received explicit permission from the Visa Office</w:t>
      </w:r>
      <w:r w:rsidR="00752DF5">
        <w:rPr>
          <w:sz w:val="24"/>
          <w:szCs w:val="24"/>
        </w:rPr>
        <w:t xml:space="preserve"> to accept the DS-156</w:t>
      </w:r>
      <w:r w:rsidR="00417AA9">
        <w:rPr>
          <w:sz w:val="24"/>
          <w:szCs w:val="24"/>
        </w:rPr>
        <w:t xml:space="preserve">; </w:t>
      </w:r>
      <w:r w:rsidR="00752DF5">
        <w:rPr>
          <w:sz w:val="24"/>
          <w:szCs w:val="24"/>
        </w:rPr>
        <w:t>or the applicant is a student</w:t>
      </w:r>
      <w:r w:rsidR="00417AA9">
        <w:rPr>
          <w:sz w:val="24"/>
          <w:szCs w:val="24"/>
        </w:rPr>
        <w:t xml:space="preserve"> exchange visitor who must leave immediately in order to arrive on time for his/her course and the Consular Officer has explicit permission from the Visa Office</w:t>
      </w:r>
      <w:r w:rsidR="00752DF5">
        <w:rPr>
          <w:sz w:val="24"/>
          <w:szCs w:val="24"/>
        </w:rPr>
        <w:t xml:space="preserve"> to accept the DS-156</w:t>
      </w:r>
      <w:r w:rsidR="00417AA9">
        <w:rPr>
          <w:sz w:val="24"/>
          <w:szCs w:val="24"/>
        </w:rPr>
        <w:t>; or the applicant is a diplomatic or official traveler with urgent government business</w:t>
      </w:r>
      <w:r w:rsidR="001E70FB">
        <w:rPr>
          <w:sz w:val="24"/>
          <w:szCs w:val="24"/>
        </w:rPr>
        <w:t xml:space="preserve"> </w:t>
      </w:r>
      <w:r w:rsidR="00417AA9">
        <w:rPr>
          <w:sz w:val="24"/>
          <w:szCs w:val="24"/>
        </w:rPr>
        <w:t>and the DS-160 have been unavailable for more than four hours</w:t>
      </w:r>
      <w:r w:rsidR="007F3110">
        <w:rPr>
          <w:sz w:val="24"/>
          <w:szCs w:val="24"/>
        </w:rPr>
        <w:t xml:space="preserve">. If the DS-160 has been unavailable for more than three days; and the officer receives explicit permission from the Visa Office, the DS-156 may be used. </w:t>
      </w:r>
    </w:p>
    <w:p w:rsidR="00A80366" w:rsidRPr="00A50EF3" w:rsidRDefault="00A80366" w:rsidP="00714C96">
      <w:pPr>
        <w:rPr>
          <w:sz w:val="24"/>
          <w:szCs w:val="24"/>
        </w:rPr>
      </w:pPr>
    </w:p>
    <w:p w:rsidR="00F649F6" w:rsidRDefault="00A80366" w:rsidP="00714C96">
      <w:pPr>
        <w:rPr>
          <w:sz w:val="24"/>
          <w:szCs w:val="24"/>
        </w:rPr>
      </w:pPr>
      <w:r w:rsidRPr="00A50EF3">
        <w:rPr>
          <w:sz w:val="24"/>
          <w:szCs w:val="24"/>
        </w:rPr>
        <w:t xml:space="preserve">4.  </w:t>
      </w:r>
      <w:r w:rsidR="00BC2BAD">
        <w:rPr>
          <w:sz w:val="24"/>
          <w:szCs w:val="24"/>
        </w:rPr>
        <w:t>The paper f</w:t>
      </w:r>
      <w:r w:rsidR="00BC59ED" w:rsidRPr="00A50EF3">
        <w:rPr>
          <w:sz w:val="24"/>
          <w:szCs w:val="24"/>
        </w:rPr>
        <w:t xml:space="preserve">orm DS-156 is required by regulation of all nonimmigrant </w:t>
      </w:r>
      <w:r w:rsidR="00973D7C">
        <w:rPr>
          <w:sz w:val="24"/>
          <w:szCs w:val="24"/>
        </w:rPr>
        <w:t xml:space="preserve">visa </w:t>
      </w:r>
      <w:r w:rsidR="00BC59ED" w:rsidRPr="00A50EF3">
        <w:rPr>
          <w:sz w:val="24"/>
          <w:szCs w:val="24"/>
        </w:rPr>
        <w:t xml:space="preserve">applicants </w:t>
      </w:r>
      <w:r w:rsidR="00FC68E9" w:rsidRPr="00A50EF3">
        <w:rPr>
          <w:sz w:val="24"/>
          <w:szCs w:val="24"/>
        </w:rPr>
        <w:t xml:space="preserve">who </w:t>
      </w:r>
      <w:r w:rsidR="00BC59ED" w:rsidRPr="00A50EF3">
        <w:rPr>
          <w:sz w:val="24"/>
          <w:szCs w:val="24"/>
        </w:rPr>
        <w:t>do not use the electronic version (DS-160</w:t>
      </w:r>
      <w:r w:rsidR="00714C96" w:rsidRPr="00A50EF3">
        <w:rPr>
          <w:sz w:val="24"/>
          <w:szCs w:val="24"/>
        </w:rPr>
        <w:t>, Online Application for Nonimmigrant Visa</w:t>
      </w:r>
      <w:r w:rsidR="00BC59ED" w:rsidRPr="00A50EF3">
        <w:rPr>
          <w:sz w:val="24"/>
          <w:szCs w:val="24"/>
        </w:rPr>
        <w:t xml:space="preserve">).  Information collected by the DS-156 is </w:t>
      </w:r>
      <w:r w:rsidR="00670A03" w:rsidRPr="00A50EF3">
        <w:rPr>
          <w:sz w:val="24"/>
          <w:szCs w:val="24"/>
        </w:rPr>
        <w:t>duplicative of information collected by the DS-160</w:t>
      </w:r>
      <w:r w:rsidR="0023762C">
        <w:rPr>
          <w:sz w:val="24"/>
          <w:szCs w:val="24"/>
        </w:rPr>
        <w:t>, but the DS-156 will only be used in lieu of the DS-160</w:t>
      </w:r>
      <w:r w:rsidR="00670A03" w:rsidRPr="00A50EF3">
        <w:rPr>
          <w:sz w:val="24"/>
          <w:szCs w:val="24"/>
        </w:rPr>
        <w:t>. However, with the integration of t</w:t>
      </w:r>
      <w:r w:rsidR="00417AA9">
        <w:rPr>
          <w:sz w:val="24"/>
          <w:szCs w:val="24"/>
        </w:rPr>
        <w:t>he DS-156-K, DS-157, and DS-158 into the DS-156</w:t>
      </w:r>
      <w:r w:rsidR="00F649F6">
        <w:rPr>
          <w:sz w:val="24"/>
          <w:szCs w:val="24"/>
        </w:rPr>
        <w:t xml:space="preserve">, </w:t>
      </w:r>
      <w:r w:rsidR="00F649F6" w:rsidRPr="00A50EF3">
        <w:rPr>
          <w:sz w:val="24"/>
          <w:szCs w:val="24"/>
        </w:rPr>
        <w:t>the</w:t>
      </w:r>
      <w:r w:rsidR="00670A03" w:rsidRPr="00A50EF3">
        <w:rPr>
          <w:sz w:val="24"/>
          <w:szCs w:val="24"/>
        </w:rPr>
        <w:t xml:space="preserve"> Department of State will have eliminated and discontinued four separate </w:t>
      </w:r>
      <w:r w:rsidR="00F649F6" w:rsidRPr="00A50EF3">
        <w:rPr>
          <w:sz w:val="24"/>
          <w:szCs w:val="24"/>
        </w:rPr>
        <w:t>collections</w:t>
      </w:r>
      <w:r w:rsidR="00670A03" w:rsidRPr="00A50EF3">
        <w:rPr>
          <w:sz w:val="24"/>
          <w:szCs w:val="24"/>
        </w:rPr>
        <w:t>.  As a result, nonimmigrant visa applicants will only have to us</w:t>
      </w:r>
      <w:r w:rsidR="0067293D" w:rsidRPr="00A50EF3">
        <w:rPr>
          <w:sz w:val="24"/>
          <w:szCs w:val="24"/>
        </w:rPr>
        <w:t xml:space="preserve">e one paper based </w:t>
      </w:r>
      <w:r w:rsidR="00417AA9" w:rsidRPr="00A50EF3">
        <w:rPr>
          <w:sz w:val="24"/>
          <w:szCs w:val="24"/>
        </w:rPr>
        <w:t>application,</w:t>
      </w:r>
      <w:r w:rsidR="0067293D" w:rsidRPr="00A50EF3">
        <w:rPr>
          <w:sz w:val="24"/>
          <w:szCs w:val="24"/>
        </w:rPr>
        <w:t xml:space="preserve"> if access to the DS-160 is unavailable</w:t>
      </w:r>
      <w:r w:rsidR="00417AA9">
        <w:rPr>
          <w:sz w:val="24"/>
          <w:szCs w:val="24"/>
        </w:rPr>
        <w:t xml:space="preserve"> or for the reasons stated above. </w:t>
      </w:r>
    </w:p>
    <w:p w:rsidR="00A80366" w:rsidRPr="00A50EF3" w:rsidRDefault="00A80366" w:rsidP="00714C96">
      <w:pPr>
        <w:rPr>
          <w:sz w:val="24"/>
          <w:szCs w:val="24"/>
        </w:rPr>
      </w:pPr>
    </w:p>
    <w:p w:rsidR="00A80366" w:rsidRPr="00A50EF3" w:rsidRDefault="00A80366" w:rsidP="00714C96">
      <w:pPr>
        <w:rPr>
          <w:sz w:val="24"/>
          <w:szCs w:val="24"/>
        </w:rPr>
      </w:pPr>
      <w:r w:rsidRPr="00A50EF3">
        <w:rPr>
          <w:sz w:val="24"/>
          <w:szCs w:val="24"/>
        </w:rPr>
        <w:t>5.  The information collection does not involve small businesses or other small entities.</w:t>
      </w:r>
    </w:p>
    <w:p w:rsidR="00A80366" w:rsidRPr="00A50EF3" w:rsidRDefault="00A80366" w:rsidP="00714C96">
      <w:pPr>
        <w:rPr>
          <w:sz w:val="24"/>
          <w:szCs w:val="24"/>
        </w:rPr>
      </w:pPr>
    </w:p>
    <w:p w:rsidR="00A80366" w:rsidRPr="00A50EF3" w:rsidRDefault="00A80366" w:rsidP="00714C96">
      <w:pPr>
        <w:rPr>
          <w:sz w:val="24"/>
          <w:szCs w:val="24"/>
        </w:rPr>
      </w:pPr>
      <w:r w:rsidRPr="00A50EF3">
        <w:rPr>
          <w:sz w:val="24"/>
          <w:szCs w:val="24"/>
        </w:rPr>
        <w:t xml:space="preserve">6.  This information collection is essential for determining whether an applicant is eligible for a nonimmigrant visa.  An applicant fills out the </w:t>
      </w:r>
      <w:r w:rsidR="00BC2BAD">
        <w:rPr>
          <w:sz w:val="24"/>
          <w:szCs w:val="24"/>
        </w:rPr>
        <w:t xml:space="preserve">DS-156 </w:t>
      </w:r>
      <w:r w:rsidRPr="00A50EF3">
        <w:rPr>
          <w:sz w:val="24"/>
          <w:szCs w:val="24"/>
        </w:rPr>
        <w:t>form one time per visa application; it is not possible to collect the information less frequently since consular officers need up to date information to determine efficiently whether an applicant is eligible to receive a visa.</w:t>
      </w:r>
    </w:p>
    <w:p w:rsidR="00A80366" w:rsidRPr="00A50EF3" w:rsidRDefault="00A80366" w:rsidP="00714C96">
      <w:pPr>
        <w:rPr>
          <w:sz w:val="24"/>
          <w:szCs w:val="24"/>
        </w:rPr>
      </w:pPr>
    </w:p>
    <w:p w:rsidR="00A80366" w:rsidRPr="00A50EF3" w:rsidRDefault="00A80366" w:rsidP="00714C96">
      <w:pPr>
        <w:rPr>
          <w:sz w:val="24"/>
          <w:szCs w:val="24"/>
        </w:rPr>
      </w:pPr>
      <w:r w:rsidRPr="00A50EF3">
        <w:rPr>
          <w:sz w:val="24"/>
          <w:szCs w:val="24"/>
        </w:rPr>
        <w:t xml:space="preserve">7.  No </w:t>
      </w:r>
      <w:r w:rsidR="0000367A" w:rsidRPr="00A50EF3">
        <w:rPr>
          <w:sz w:val="24"/>
          <w:szCs w:val="24"/>
        </w:rPr>
        <w:t>special</w:t>
      </w:r>
      <w:r w:rsidRPr="00A50EF3">
        <w:rPr>
          <w:sz w:val="24"/>
          <w:szCs w:val="24"/>
        </w:rPr>
        <w:t xml:space="preserve"> circumstances exist.</w:t>
      </w:r>
    </w:p>
    <w:p w:rsidR="00BC59ED" w:rsidRPr="00A50EF3" w:rsidRDefault="00BC59ED" w:rsidP="00714C96">
      <w:pPr>
        <w:rPr>
          <w:sz w:val="24"/>
          <w:szCs w:val="24"/>
        </w:rPr>
      </w:pPr>
    </w:p>
    <w:p w:rsidR="005A2F09" w:rsidRPr="00A50EF3" w:rsidRDefault="00BC59ED" w:rsidP="00714C96">
      <w:r w:rsidRPr="00A50EF3">
        <w:rPr>
          <w:sz w:val="24"/>
          <w:szCs w:val="24"/>
        </w:rPr>
        <w:t xml:space="preserve">8.  </w:t>
      </w:r>
      <w:r w:rsidR="00714C96" w:rsidRPr="00A50EF3">
        <w:rPr>
          <w:sz w:val="24"/>
          <w:szCs w:val="24"/>
        </w:rPr>
        <w:t xml:space="preserve">The Department of State (Visa Services, Bureau of Consular Affairs) </w:t>
      </w:r>
      <w:r w:rsidR="00312B9F" w:rsidRPr="00A50EF3">
        <w:rPr>
          <w:sz w:val="24"/>
          <w:szCs w:val="24"/>
        </w:rPr>
        <w:t>published a 60 Day Notice on the reauthorization of Form DS-156 in the Federal Register (</w:t>
      </w:r>
      <w:r w:rsidR="00417AA9">
        <w:rPr>
          <w:sz w:val="24"/>
          <w:szCs w:val="24"/>
        </w:rPr>
        <w:t>78</w:t>
      </w:r>
      <w:r w:rsidR="00417AA9" w:rsidRPr="00A50EF3">
        <w:rPr>
          <w:sz w:val="24"/>
          <w:szCs w:val="24"/>
        </w:rPr>
        <w:t xml:space="preserve"> </w:t>
      </w:r>
      <w:r w:rsidR="00312B9F" w:rsidRPr="00A50EF3">
        <w:rPr>
          <w:sz w:val="24"/>
          <w:szCs w:val="24"/>
        </w:rPr>
        <w:t xml:space="preserve">FR </w:t>
      </w:r>
      <w:r w:rsidR="00417AA9">
        <w:rPr>
          <w:sz w:val="24"/>
          <w:szCs w:val="24"/>
        </w:rPr>
        <w:t>247</w:t>
      </w:r>
      <w:r w:rsidR="00312B9F" w:rsidRPr="00A50EF3">
        <w:rPr>
          <w:sz w:val="24"/>
          <w:szCs w:val="24"/>
        </w:rPr>
        <w:t xml:space="preserve">, </w:t>
      </w:r>
      <w:r w:rsidR="003D099D">
        <w:rPr>
          <w:sz w:val="24"/>
          <w:szCs w:val="24"/>
        </w:rPr>
        <w:t>December 24, 2013</w:t>
      </w:r>
      <w:r w:rsidR="00312B9F" w:rsidRPr="00A50EF3">
        <w:rPr>
          <w:sz w:val="24"/>
          <w:szCs w:val="24"/>
        </w:rPr>
        <w:t xml:space="preserve">), as required by 5 CFR 1320.8(d).  No comments were received.    Visa Services meets regularly with immigration experts of the Department of Homeland Security to coordinate policy, and also holds regularly scheduled formal meetings with representatives of the immigration bar, and student, community, and business groups, during which their opinions and suggestions regarding visa procedures and operations are discussed. </w:t>
      </w:r>
    </w:p>
    <w:p w:rsidR="00312B9F" w:rsidRPr="00A50EF3" w:rsidRDefault="00312B9F" w:rsidP="00714C96">
      <w:pPr>
        <w:rPr>
          <w:sz w:val="24"/>
          <w:szCs w:val="24"/>
        </w:rPr>
      </w:pPr>
    </w:p>
    <w:p w:rsidR="00A80366" w:rsidRPr="00A50EF3" w:rsidRDefault="005A2F09" w:rsidP="00714C96">
      <w:pPr>
        <w:rPr>
          <w:sz w:val="24"/>
          <w:szCs w:val="24"/>
        </w:rPr>
      </w:pPr>
      <w:r w:rsidRPr="00A50EF3">
        <w:rPr>
          <w:sz w:val="24"/>
          <w:szCs w:val="24"/>
        </w:rPr>
        <w:t xml:space="preserve">9.   </w:t>
      </w:r>
      <w:r w:rsidR="00A80366" w:rsidRPr="00A50EF3">
        <w:rPr>
          <w:sz w:val="24"/>
          <w:szCs w:val="24"/>
        </w:rPr>
        <w:t xml:space="preserve">No payment or gift is provided to respondents. </w:t>
      </w:r>
    </w:p>
    <w:p w:rsidR="00A80366" w:rsidRPr="00A50EF3" w:rsidRDefault="00A80366" w:rsidP="00714C96">
      <w:pPr>
        <w:rPr>
          <w:sz w:val="24"/>
          <w:szCs w:val="24"/>
        </w:rPr>
      </w:pPr>
    </w:p>
    <w:p w:rsidR="00A80366" w:rsidRPr="00A50EF3" w:rsidRDefault="00A80366" w:rsidP="00714C96">
      <w:pPr>
        <w:pStyle w:val="p6"/>
        <w:tabs>
          <w:tab w:val="clear" w:pos="204"/>
          <w:tab w:val="left" w:pos="720"/>
        </w:tabs>
        <w:spacing w:line="240" w:lineRule="auto"/>
        <w:rPr>
          <w:color w:val="000000"/>
          <w:szCs w:val="24"/>
        </w:rPr>
      </w:pPr>
      <w:r w:rsidRPr="00A50EF3">
        <w:rPr>
          <w:szCs w:val="24"/>
        </w:rPr>
        <w:t xml:space="preserve">10.  </w:t>
      </w:r>
      <w:r w:rsidRPr="00A50EF3">
        <w:rPr>
          <w:color w:val="000000"/>
          <w:szCs w:val="24"/>
        </w:rPr>
        <w:t xml:space="preserve">In accordance with </w:t>
      </w:r>
      <w:r w:rsidR="002A5114" w:rsidRPr="00A50EF3">
        <w:rPr>
          <w:color w:val="000000"/>
          <w:szCs w:val="24"/>
        </w:rPr>
        <w:t xml:space="preserve">section </w:t>
      </w:r>
      <w:r w:rsidRPr="00A50EF3">
        <w:rPr>
          <w:color w:val="000000"/>
          <w:szCs w:val="24"/>
        </w:rPr>
        <w:t>222(f) of the INA</w:t>
      </w:r>
      <w:r w:rsidR="00A42D62" w:rsidRPr="00A50EF3">
        <w:rPr>
          <w:color w:val="000000"/>
          <w:szCs w:val="24"/>
        </w:rPr>
        <w:t xml:space="preserve"> </w:t>
      </w:r>
      <w:r w:rsidR="00F43970">
        <w:rPr>
          <w:szCs w:val="24"/>
        </w:rPr>
        <w:t>(</w:t>
      </w:r>
      <w:r w:rsidR="00A42D62" w:rsidRPr="00A50EF3">
        <w:rPr>
          <w:szCs w:val="24"/>
        </w:rPr>
        <w:t>8 U.S.C. § 1202(f)</w:t>
      </w:r>
      <w:r w:rsidR="00F43970">
        <w:rPr>
          <w:szCs w:val="24"/>
        </w:rPr>
        <w:t>)</w:t>
      </w:r>
      <w:r w:rsidRPr="00A50EF3">
        <w:rPr>
          <w:color w:val="000000"/>
          <w:szCs w:val="24"/>
        </w:rPr>
        <w:t>, information obtained from applicants in the visa process is considered confidential and is to be used only for the formulation, amendment, administration, or enforcement of the immigration, nationality, and other laws of the United States</w:t>
      </w:r>
      <w:r w:rsidR="00013FBD" w:rsidRPr="00A50EF3">
        <w:t xml:space="preserve">.  </w:t>
      </w:r>
      <w:r w:rsidR="00156319" w:rsidRPr="00A50EF3">
        <w:t xml:space="preserve">Failure to provide the requested information may result in denial of the visa.  </w:t>
      </w:r>
    </w:p>
    <w:p w:rsidR="00A80366" w:rsidRPr="00A50EF3" w:rsidRDefault="00A80366" w:rsidP="00714C96">
      <w:pPr>
        <w:pStyle w:val="p6"/>
        <w:tabs>
          <w:tab w:val="clear" w:pos="204"/>
        </w:tabs>
        <w:spacing w:before="240" w:line="240" w:lineRule="auto"/>
        <w:rPr>
          <w:szCs w:val="24"/>
        </w:rPr>
      </w:pPr>
      <w:r w:rsidRPr="00A50EF3">
        <w:rPr>
          <w:szCs w:val="24"/>
        </w:rPr>
        <w:t xml:space="preserve">11.  The questions on the collection are designed to solicit the information necessary to determine whether an applicant is eligible for a visa under </w:t>
      </w:r>
      <w:r w:rsidR="002A5114" w:rsidRPr="00A50EF3">
        <w:rPr>
          <w:szCs w:val="24"/>
        </w:rPr>
        <w:t xml:space="preserve">section </w:t>
      </w:r>
      <w:r w:rsidRPr="00A50EF3">
        <w:rPr>
          <w:szCs w:val="24"/>
        </w:rPr>
        <w:t>101(a</w:t>
      </w:r>
      <w:proofErr w:type="gramStart"/>
      <w:r w:rsidRPr="00A50EF3">
        <w:rPr>
          <w:szCs w:val="24"/>
        </w:rPr>
        <w:t>)(</w:t>
      </w:r>
      <w:proofErr w:type="gramEnd"/>
      <w:r w:rsidRPr="00A50EF3">
        <w:rPr>
          <w:szCs w:val="24"/>
        </w:rPr>
        <w:t>15) of the INA</w:t>
      </w:r>
      <w:r w:rsidR="00A42D62" w:rsidRPr="00A50EF3">
        <w:rPr>
          <w:szCs w:val="24"/>
        </w:rPr>
        <w:t xml:space="preserve"> </w:t>
      </w:r>
      <w:r w:rsidR="00F43970">
        <w:rPr>
          <w:szCs w:val="24"/>
        </w:rPr>
        <w:t>(</w:t>
      </w:r>
      <w:r w:rsidR="00A42D62" w:rsidRPr="00A50EF3">
        <w:rPr>
          <w:szCs w:val="24"/>
        </w:rPr>
        <w:t>8 U.S.C. § 1101(a)(15)</w:t>
      </w:r>
      <w:r w:rsidR="00F43970">
        <w:rPr>
          <w:szCs w:val="24"/>
        </w:rPr>
        <w:t>)</w:t>
      </w:r>
      <w:r w:rsidRPr="00A50EF3">
        <w:rPr>
          <w:szCs w:val="24"/>
        </w:rPr>
        <w:t xml:space="preserve">.  Consular officers may not issue a visa to aliens who are ineligible under </w:t>
      </w:r>
      <w:r w:rsidR="002A5114" w:rsidRPr="00A50EF3">
        <w:rPr>
          <w:szCs w:val="24"/>
        </w:rPr>
        <w:lastRenderedPageBreak/>
        <w:t xml:space="preserve">section </w:t>
      </w:r>
      <w:r w:rsidRPr="00A50EF3">
        <w:rPr>
          <w:szCs w:val="24"/>
        </w:rPr>
        <w:t xml:space="preserve">212(a) of the INA.  In order to enforce this provision of the law, the application form specifically asks for information concerning the alien’s health, criminal offenses, narcotic addiction, political affiliation with subversive organizations, participation in genocide and involvement in Nazi war crimes.  In addition, questions concerning an applicant’s marital status, employment and financial support are necessary to identify an applicant and to assist in determining eligibility for a nonimmigrant visa.  As noted in </w:t>
      </w:r>
      <w:r w:rsidR="002A5114" w:rsidRPr="00A50EF3">
        <w:rPr>
          <w:szCs w:val="24"/>
        </w:rPr>
        <w:t xml:space="preserve">paragraph </w:t>
      </w:r>
      <w:r w:rsidRPr="00A50EF3">
        <w:rPr>
          <w:szCs w:val="24"/>
        </w:rPr>
        <w:t>10</w:t>
      </w:r>
      <w:r w:rsidR="002A5114" w:rsidRPr="00A50EF3">
        <w:rPr>
          <w:szCs w:val="24"/>
        </w:rPr>
        <w:t>,</w:t>
      </w:r>
      <w:r w:rsidRPr="00A50EF3">
        <w:rPr>
          <w:szCs w:val="24"/>
        </w:rPr>
        <w:t xml:space="preserve"> above, such information is considered confidential under </w:t>
      </w:r>
      <w:r w:rsidR="002A5114" w:rsidRPr="00A50EF3">
        <w:rPr>
          <w:szCs w:val="24"/>
        </w:rPr>
        <w:t xml:space="preserve">section </w:t>
      </w:r>
      <w:r w:rsidRPr="00A50EF3">
        <w:rPr>
          <w:szCs w:val="24"/>
        </w:rPr>
        <w:t xml:space="preserve">222(f) of the INA. </w:t>
      </w:r>
    </w:p>
    <w:p w:rsidR="00A80366" w:rsidRPr="00A50EF3" w:rsidRDefault="00A80366" w:rsidP="00714C96">
      <w:pPr>
        <w:pStyle w:val="p6"/>
        <w:spacing w:line="240" w:lineRule="auto"/>
        <w:rPr>
          <w:szCs w:val="24"/>
        </w:rPr>
      </w:pPr>
    </w:p>
    <w:p w:rsidR="00D54FF5" w:rsidRPr="00A50EF3" w:rsidRDefault="00D54FF5" w:rsidP="00714C96">
      <w:pPr>
        <w:pStyle w:val="p6"/>
        <w:widowControl/>
        <w:tabs>
          <w:tab w:val="clear" w:pos="204"/>
        </w:tabs>
        <w:spacing w:line="240" w:lineRule="auto"/>
        <w:rPr>
          <w:szCs w:val="24"/>
        </w:rPr>
      </w:pPr>
      <w:r w:rsidRPr="00A50EF3">
        <w:rPr>
          <w:szCs w:val="24"/>
        </w:rPr>
        <w:t xml:space="preserve">12.  The Department expects that approximately </w:t>
      </w:r>
      <w:r w:rsidR="00F649F6">
        <w:rPr>
          <w:szCs w:val="24"/>
        </w:rPr>
        <w:t>1,000</w:t>
      </w:r>
      <w:r w:rsidR="00F649F6" w:rsidRPr="00A50EF3">
        <w:rPr>
          <w:szCs w:val="24"/>
        </w:rPr>
        <w:t xml:space="preserve"> respondents</w:t>
      </w:r>
      <w:r w:rsidRPr="00A50EF3">
        <w:rPr>
          <w:szCs w:val="24"/>
        </w:rPr>
        <w:t xml:space="preserve"> will complete the DS-156 </w:t>
      </w:r>
      <w:r w:rsidR="00EB0663" w:rsidRPr="00A50EF3">
        <w:rPr>
          <w:szCs w:val="24"/>
        </w:rPr>
        <w:t xml:space="preserve">during fiscal year </w:t>
      </w:r>
      <w:r w:rsidR="002A5114" w:rsidRPr="00A50EF3">
        <w:rPr>
          <w:szCs w:val="24"/>
        </w:rPr>
        <w:t>2014</w:t>
      </w:r>
      <w:r w:rsidRPr="00A50EF3">
        <w:rPr>
          <w:szCs w:val="24"/>
        </w:rPr>
        <w:t xml:space="preserve">.  This is a decrease of </w:t>
      </w:r>
      <w:r w:rsidR="00EB0663" w:rsidRPr="00A50EF3">
        <w:rPr>
          <w:szCs w:val="24"/>
        </w:rPr>
        <w:t>approximately</w:t>
      </w:r>
      <w:r w:rsidR="00A50EF3" w:rsidRPr="00A50EF3">
        <w:rPr>
          <w:szCs w:val="24"/>
        </w:rPr>
        <w:t xml:space="preserve"> </w:t>
      </w:r>
      <w:r w:rsidR="00467CCC">
        <w:rPr>
          <w:szCs w:val="24"/>
        </w:rPr>
        <w:t>799,000</w:t>
      </w:r>
      <w:r w:rsidR="00467CCC" w:rsidRPr="00A50EF3">
        <w:rPr>
          <w:szCs w:val="24"/>
        </w:rPr>
        <w:t xml:space="preserve"> respondents</w:t>
      </w:r>
      <w:r w:rsidRPr="00A50EF3">
        <w:rPr>
          <w:szCs w:val="24"/>
        </w:rPr>
        <w:t xml:space="preserve"> as most applicants have transitioned to using the electronic version of the form, the DS-160.   The DS-156</w:t>
      </w:r>
      <w:r w:rsidR="00155EDB" w:rsidRPr="00A50EF3">
        <w:rPr>
          <w:szCs w:val="24"/>
        </w:rPr>
        <w:t xml:space="preserve"> Nonimmigrant Visa Application</w:t>
      </w:r>
      <w:r w:rsidRPr="00A50EF3">
        <w:rPr>
          <w:szCs w:val="24"/>
        </w:rPr>
        <w:t xml:space="preserve"> will be </w:t>
      </w:r>
      <w:r w:rsidR="00986CBB" w:rsidRPr="00A50EF3">
        <w:rPr>
          <w:szCs w:val="24"/>
        </w:rPr>
        <w:t xml:space="preserve">used only if the DS-160 is unavailable due to </w:t>
      </w:r>
      <w:r w:rsidRPr="00A50EF3">
        <w:rPr>
          <w:szCs w:val="24"/>
        </w:rPr>
        <w:t xml:space="preserve"> </w:t>
      </w:r>
      <w:r w:rsidR="00A237FD">
        <w:rPr>
          <w:szCs w:val="24"/>
        </w:rPr>
        <w:t>an applicant having an urgent medical or humanitarian travel</w:t>
      </w:r>
      <w:r w:rsidR="005A1416">
        <w:rPr>
          <w:szCs w:val="24"/>
        </w:rPr>
        <w:t xml:space="preserve"> need</w:t>
      </w:r>
      <w:r w:rsidR="00A237FD">
        <w:rPr>
          <w:szCs w:val="24"/>
        </w:rPr>
        <w:t xml:space="preserve"> and the Consular Officer has received explicit permission from the Visa Office; or the applicant is a student exchange visitor who must leave immediately in order to arrive on time for his/her course and the Consular Officer has explicit permission from the Visa Office; or the applicant is a diplomatic or official traveler with urgent government business and the DS-160 have been unavailable for more than four hours; or the DS-160 has been unavailable for than three days and </w:t>
      </w:r>
      <w:r w:rsidR="001E70FB">
        <w:rPr>
          <w:szCs w:val="24"/>
        </w:rPr>
        <w:t xml:space="preserve">the </w:t>
      </w:r>
      <w:r w:rsidR="00A237FD">
        <w:rPr>
          <w:szCs w:val="24"/>
        </w:rPr>
        <w:t>officer has explicit permission from the Visa Office to accept the DS-156.</w:t>
      </w:r>
    </w:p>
    <w:p w:rsidR="00D54FF5" w:rsidRPr="00A50EF3" w:rsidRDefault="00D54FF5" w:rsidP="00714C96">
      <w:pPr>
        <w:rPr>
          <w:sz w:val="24"/>
          <w:szCs w:val="24"/>
        </w:rPr>
      </w:pPr>
    </w:p>
    <w:p w:rsidR="00D54FF5" w:rsidRPr="00A50EF3" w:rsidRDefault="00C163F8" w:rsidP="00714C96">
      <w:pPr>
        <w:rPr>
          <w:sz w:val="24"/>
          <w:szCs w:val="24"/>
        </w:rPr>
      </w:pPr>
      <w:r w:rsidRPr="00A50EF3">
        <w:rPr>
          <w:sz w:val="24"/>
          <w:szCs w:val="24"/>
        </w:rPr>
        <w:t xml:space="preserve">It </w:t>
      </w:r>
      <w:r w:rsidR="00D54FF5" w:rsidRPr="00A50EF3">
        <w:rPr>
          <w:sz w:val="24"/>
          <w:szCs w:val="24"/>
        </w:rPr>
        <w:t xml:space="preserve">is estimated that an applicant </w:t>
      </w:r>
      <w:r w:rsidRPr="00A50EF3">
        <w:rPr>
          <w:sz w:val="24"/>
          <w:szCs w:val="24"/>
        </w:rPr>
        <w:t xml:space="preserve">will </w:t>
      </w:r>
      <w:r w:rsidR="00D54FF5" w:rsidRPr="00A50EF3">
        <w:rPr>
          <w:sz w:val="24"/>
          <w:szCs w:val="24"/>
        </w:rPr>
        <w:t xml:space="preserve">spend </w:t>
      </w:r>
      <w:r w:rsidR="00A50EF3" w:rsidRPr="00F649F6">
        <w:rPr>
          <w:sz w:val="24"/>
          <w:szCs w:val="24"/>
        </w:rPr>
        <w:t xml:space="preserve">approximately 75 </w:t>
      </w:r>
      <w:r w:rsidR="009B6DE3">
        <w:rPr>
          <w:sz w:val="24"/>
          <w:szCs w:val="24"/>
        </w:rPr>
        <w:t>minutes</w:t>
      </w:r>
      <w:r w:rsidR="00E062EB">
        <w:rPr>
          <w:sz w:val="24"/>
          <w:szCs w:val="24"/>
        </w:rPr>
        <w:t xml:space="preserve"> </w:t>
      </w:r>
      <w:r w:rsidR="009B6DE3">
        <w:rPr>
          <w:sz w:val="24"/>
          <w:szCs w:val="24"/>
        </w:rPr>
        <w:t>filling out the appropriate section for their applicatio</w:t>
      </w:r>
      <w:r w:rsidR="00A578AB">
        <w:rPr>
          <w:sz w:val="24"/>
          <w:szCs w:val="24"/>
        </w:rPr>
        <w:t>n</w:t>
      </w:r>
      <w:r w:rsidR="00D54FF5" w:rsidRPr="00A50EF3">
        <w:rPr>
          <w:sz w:val="24"/>
          <w:szCs w:val="24"/>
        </w:rPr>
        <w:t xml:space="preserve">.  Therefore the annual hour burden to respondents is estimated to be </w:t>
      </w:r>
      <w:r w:rsidR="00A237FD">
        <w:rPr>
          <w:sz w:val="24"/>
          <w:szCs w:val="24"/>
        </w:rPr>
        <w:t>1,250</w:t>
      </w:r>
      <w:r w:rsidR="00EB0663" w:rsidRPr="00A50EF3">
        <w:rPr>
          <w:sz w:val="24"/>
          <w:szCs w:val="24"/>
        </w:rPr>
        <w:t xml:space="preserve"> </w:t>
      </w:r>
      <w:r w:rsidR="00D54FF5" w:rsidRPr="00A50EF3">
        <w:rPr>
          <w:sz w:val="24"/>
          <w:szCs w:val="24"/>
        </w:rPr>
        <w:t>hours.</w:t>
      </w:r>
    </w:p>
    <w:p w:rsidR="00155EDB" w:rsidRPr="00A50EF3" w:rsidRDefault="00155EDB" w:rsidP="00714C96">
      <w:pPr>
        <w:rPr>
          <w:sz w:val="24"/>
          <w:szCs w:val="24"/>
        </w:rPr>
      </w:pPr>
    </w:p>
    <w:p w:rsidR="00155EDB" w:rsidRPr="00A50EF3" w:rsidRDefault="00155EDB" w:rsidP="00714C96">
      <w:pPr>
        <w:rPr>
          <w:sz w:val="24"/>
          <w:szCs w:val="24"/>
        </w:rPr>
      </w:pPr>
      <w:r w:rsidRPr="00A50EF3">
        <w:rPr>
          <w:sz w:val="24"/>
          <w:szCs w:val="24"/>
        </w:rPr>
        <w:t>Based on an average hourly wage of $21, the weighted wage hour cost burden for this collection is $</w:t>
      </w:r>
      <w:r w:rsidR="00A578AB">
        <w:rPr>
          <w:sz w:val="24"/>
          <w:szCs w:val="24"/>
        </w:rPr>
        <w:t>36,750</w:t>
      </w:r>
      <w:r w:rsidRPr="00A50EF3">
        <w:rPr>
          <w:sz w:val="24"/>
          <w:szCs w:val="24"/>
        </w:rPr>
        <w:t xml:space="preserve">. This is based on the calculation of $21 (average hourly wage) x 1.4 (weighted wage multiplier) x </w:t>
      </w:r>
      <w:r w:rsidR="00A237FD">
        <w:rPr>
          <w:sz w:val="24"/>
          <w:szCs w:val="24"/>
        </w:rPr>
        <w:t>1,</w:t>
      </w:r>
      <w:r w:rsidR="00467CCC">
        <w:rPr>
          <w:sz w:val="24"/>
          <w:szCs w:val="24"/>
        </w:rPr>
        <w:t>25</w:t>
      </w:r>
      <w:r w:rsidR="00A237FD">
        <w:rPr>
          <w:sz w:val="24"/>
          <w:szCs w:val="24"/>
        </w:rPr>
        <w:t>0</w:t>
      </w:r>
      <w:r w:rsidRPr="00A50EF3">
        <w:rPr>
          <w:sz w:val="24"/>
          <w:szCs w:val="24"/>
        </w:rPr>
        <w:t xml:space="preserve"> hours = $</w:t>
      </w:r>
      <w:r w:rsidR="00A578AB">
        <w:rPr>
          <w:sz w:val="24"/>
          <w:szCs w:val="24"/>
        </w:rPr>
        <w:t>36,750</w:t>
      </w:r>
    </w:p>
    <w:p w:rsidR="00A80366" w:rsidRPr="00A50EF3" w:rsidRDefault="00A80366" w:rsidP="00714C96">
      <w:pPr>
        <w:tabs>
          <w:tab w:val="left" w:pos="360"/>
        </w:tabs>
        <w:rPr>
          <w:sz w:val="24"/>
          <w:szCs w:val="24"/>
        </w:rPr>
      </w:pPr>
    </w:p>
    <w:p w:rsidR="00492B2B" w:rsidRPr="00A50EF3" w:rsidRDefault="00A80366" w:rsidP="00714C96">
      <w:pPr>
        <w:pStyle w:val="p6"/>
        <w:widowControl/>
        <w:tabs>
          <w:tab w:val="clear" w:pos="204"/>
        </w:tabs>
        <w:spacing w:line="240" w:lineRule="auto"/>
        <w:rPr>
          <w:szCs w:val="24"/>
        </w:rPr>
      </w:pPr>
      <w:r w:rsidRPr="00A50EF3">
        <w:rPr>
          <w:szCs w:val="24"/>
        </w:rPr>
        <w:t xml:space="preserve">13. </w:t>
      </w:r>
      <w:r w:rsidR="00155EDB" w:rsidRPr="00A50EF3">
        <w:rPr>
          <w:szCs w:val="24"/>
        </w:rPr>
        <w:t>There is no cost burden to respondents</w:t>
      </w:r>
      <w:r w:rsidR="00BC5C60">
        <w:rPr>
          <w:szCs w:val="24"/>
        </w:rPr>
        <w:t xml:space="preserve"> in completing a DS-156</w:t>
      </w:r>
      <w:r w:rsidR="00D54FF5" w:rsidRPr="00A50EF3">
        <w:rPr>
          <w:szCs w:val="24"/>
        </w:rPr>
        <w:t xml:space="preserve">. </w:t>
      </w:r>
    </w:p>
    <w:p w:rsidR="00492B2B" w:rsidRPr="00A50EF3" w:rsidRDefault="00492B2B" w:rsidP="00714C96">
      <w:pPr>
        <w:pStyle w:val="p6"/>
        <w:widowControl/>
        <w:tabs>
          <w:tab w:val="clear" w:pos="204"/>
        </w:tabs>
        <w:spacing w:line="240" w:lineRule="auto"/>
        <w:rPr>
          <w:szCs w:val="24"/>
        </w:rPr>
      </w:pPr>
    </w:p>
    <w:p w:rsidR="00492B2B" w:rsidRPr="00492B2B" w:rsidRDefault="00492B2B" w:rsidP="00492B2B">
      <w:pPr>
        <w:pStyle w:val="p6"/>
        <w:widowControl/>
        <w:tabs>
          <w:tab w:val="clear" w:pos="204"/>
        </w:tabs>
        <w:spacing w:line="240" w:lineRule="auto"/>
      </w:pPr>
      <w:r>
        <w:t xml:space="preserve">14. </w:t>
      </w:r>
      <w:r w:rsidRPr="00492B2B">
        <w:t>The annual cost burden to the federal government for the DS-1</w:t>
      </w:r>
      <w:r>
        <w:t>56</w:t>
      </w:r>
      <w:r w:rsidRPr="00492B2B">
        <w:t xml:space="preserve"> is $1</w:t>
      </w:r>
      <w:r>
        <w:t>60,000</w:t>
      </w:r>
      <w:r w:rsidRPr="00492B2B">
        <w:t>. This estimate is based on the $160 application fee that the Department charges per application to hire and train employee</w:t>
      </w:r>
      <w:r w:rsidRPr="00492B2B">
        <w:t>s and also to process each DS-1</w:t>
      </w:r>
      <w:r>
        <w:t>56</w:t>
      </w:r>
      <w:r w:rsidRPr="00492B2B">
        <w:t xml:space="preserve"> application.  By charging $160 per application, the Department can recoup all fees associated with processing the application. (160 multiplied by </w:t>
      </w:r>
      <w:r>
        <w:t>1000</w:t>
      </w:r>
      <w:r w:rsidRPr="00492B2B">
        <w:t xml:space="preserve"> applicants equal $1</w:t>
      </w:r>
      <w:r>
        <w:t>60,000</w:t>
      </w:r>
      <w:r w:rsidRPr="00492B2B">
        <w:t xml:space="preserve">). The application fee is the cost of recovery for services. </w:t>
      </w:r>
    </w:p>
    <w:p w:rsidR="00A80366" w:rsidRPr="00A50EF3" w:rsidRDefault="00A80366" w:rsidP="00714C96">
      <w:pPr>
        <w:rPr>
          <w:sz w:val="24"/>
          <w:szCs w:val="24"/>
        </w:rPr>
      </w:pPr>
    </w:p>
    <w:p w:rsidR="00A80366" w:rsidRPr="00A50EF3" w:rsidRDefault="00A80366" w:rsidP="00714C96">
      <w:pPr>
        <w:pStyle w:val="p6"/>
        <w:widowControl/>
        <w:tabs>
          <w:tab w:val="clear" w:pos="204"/>
        </w:tabs>
        <w:spacing w:line="240" w:lineRule="auto"/>
        <w:rPr>
          <w:szCs w:val="24"/>
        </w:rPr>
      </w:pPr>
      <w:r w:rsidRPr="00A50EF3">
        <w:rPr>
          <w:szCs w:val="24"/>
        </w:rPr>
        <w:t xml:space="preserve">15.  </w:t>
      </w:r>
      <w:r w:rsidR="008E53B7" w:rsidRPr="00A50EF3">
        <w:t>The collection has been adjusted for annual reporting and recordkeeping to note the decrease of applicants</w:t>
      </w:r>
      <w:r w:rsidR="001E70FB">
        <w:t xml:space="preserve"> using the paper-based form</w:t>
      </w:r>
      <w:r w:rsidR="008E53B7" w:rsidRPr="00A50EF3">
        <w:t>.  Due to the deployment of the DS-16</w:t>
      </w:r>
      <w:r w:rsidR="00010367" w:rsidRPr="00A50EF3">
        <w:t>0</w:t>
      </w:r>
      <w:r w:rsidR="008E53B7" w:rsidRPr="00A50EF3">
        <w:t xml:space="preserve"> </w:t>
      </w:r>
      <w:r w:rsidR="00010367" w:rsidRPr="00A50EF3">
        <w:t>(</w:t>
      </w:r>
      <w:r w:rsidR="008E53B7" w:rsidRPr="00A50EF3">
        <w:t>Electronic Application for a Nonimmigrant Visa</w:t>
      </w:r>
      <w:r w:rsidR="00010367" w:rsidRPr="00A50EF3">
        <w:t>)</w:t>
      </w:r>
      <w:r w:rsidR="001E70FB">
        <w:t>,</w:t>
      </w:r>
      <w:r w:rsidR="008E53B7" w:rsidRPr="00A50EF3">
        <w:t xml:space="preserve"> the number of applicants using the DS-156 has dropped significantly</w:t>
      </w:r>
      <w:r w:rsidR="006D64BA" w:rsidRPr="00A50EF3">
        <w:t xml:space="preserve">, from 800,000 to </w:t>
      </w:r>
      <w:r w:rsidR="00752DF5">
        <w:t>1,000</w:t>
      </w:r>
      <w:r w:rsidR="008E53B7" w:rsidRPr="00A50EF3">
        <w:t>.</w:t>
      </w:r>
      <w:r w:rsidR="009A6ACF" w:rsidRPr="00A50EF3">
        <w:t xml:space="preserve">  The collection has also been adjusted for annual burden cost to note that there is no cost to the respondents for filling out the DS-160, Online Application for Nonimmigrant Visa.  A previous collection stated that there was a cost to the respondents but this inaccuracy has been adjusted. </w:t>
      </w:r>
    </w:p>
    <w:p w:rsidR="00A80366" w:rsidRPr="00A50EF3" w:rsidRDefault="00A80366" w:rsidP="00714C96">
      <w:pPr>
        <w:rPr>
          <w:sz w:val="24"/>
          <w:szCs w:val="24"/>
        </w:rPr>
      </w:pPr>
    </w:p>
    <w:p w:rsidR="00A80366" w:rsidRPr="00A50EF3" w:rsidRDefault="00A80366" w:rsidP="00010367">
      <w:pPr>
        <w:spacing w:after="120"/>
      </w:pPr>
      <w:r w:rsidRPr="00A50EF3">
        <w:rPr>
          <w:sz w:val="24"/>
          <w:szCs w:val="24"/>
        </w:rPr>
        <w:t xml:space="preserve">16.  A quantitative summary of all Department of State visa activities is published in the annual </w:t>
      </w:r>
      <w:r w:rsidRPr="00A50EF3">
        <w:rPr>
          <w:sz w:val="24"/>
          <w:szCs w:val="24"/>
          <w:u w:val="single"/>
        </w:rPr>
        <w:t>Report of the Visa Office</w:t>
      </w:r>
      <w:r w:rsidRPr="00A50EF3">
        <w:rPr>
          <w:sz w:val="24"/>
          <w:szCs w:val="24"/>
        </w:rPr>
        <w:t>.</w:t>
      </w:r>
      <w:r w:rsidR="00C85344" w:rsidRPr="00A50EF3">
        <w:rPr>
          <w:sz w:val="24"/>
          <w:szCs w:val="24"/>
        </w:rPr>
        <w:t xml:space="preserve"> The Report of the Visa Office is an annual report providing statistical </w:t>
      </w:r>
      <w:r w:rsidR="00C85344" w:rsidRPr="00A50EF3">
        <w:rPr>
          <w:sz w:val="24"/>
          <w:szCs w:val="24"/>
        </w:rPr>
        <w:lastRenderedPageBreak/>
        <w:t>information on immigrant and non-immigrant visa issuances by consular office</w:t>
      </w:r>
      <w:r w:rsidR="0023762C">
        <w:rPr>
          <w:sz w:val="24"/>
          <w:szCs w:val="24"/>
        </w:rPr>
        <w:t>r</w:t>
      </w:r>
      <w:r w:rsidR="00C85344" w:rsidRPr="00A50EF3">
        <w:rPr>
          <w:sz w:val="24"/>
          <w:szCs w:val="24"/>
        </w:rPr>
        <w:t xml:space="preserve">s, as well as information on the use of visa numbers in numerically limited categories.  The Visa Office currently has annual reports available from 2000 to </w:t>
      </w:r>
      <w:r w:rsidR="00F649F6" w:rsidRPr="00A50EF3">
        <w:rPr>
          <w:sz w:val="24"/>
          <w:szCs w:val="24"/>
        </w:rPr>
        <w:t>201</w:t>
      </w:r>
      <w:r w:rsidR="00F649F6">
        <w:rPr>
          <w:sz w:val="24"/>
          <w:szCs w:val="24"/>
        </w:rPr>
        <w:t>3</w:t>
      </w:r>
      <w:r w:rsidR="00C85344" w:rsidRPr="00A50EF3">
        <w:rPr>
          <w:sz w:val="24"/>
          <w:szCs w:val="24"/>
        </w:rPr>
        <w:t xml:space="preserve">.  The link to the site is: </w:t>
      </w:r>
      <w:hyperlink r:id="rId12" w:history="1">
        <w:r w:rsidR="00C85344" w:rsidRPr="00A50EF3">
          <w:rPr>
            <w:rStyle w:val="Hyperlink"/>
            <w:sz w:val="24"/>
            <w:szCs w:val="24"/>
          </w:rPr>
          <w:t>http://travel.state.gov/visa/statistics/statistics_1476.html</w:t>
        </w:r>
      </w:hyperlink>
      <w:r w:rsidR="00C85344" w:rsidRPr="00A50EF3">
        <w:rPr>
          <w:sz w:val="24"/>
          <w:szCs w:val="24"/>
        </w:rPr>
        <w:t>.</w:t>
      </w:r>
    </w:p>
    <w:p w:rsidR="00A80366" w:rsidRPr="00A50EF3" w:rsidRDefault="00A80366" w:rsidP="00714C96">
      <w:pPr>
        <w:rPr>
          <w:sz w:val="24"/>
          <w:szCs w:val="24"/>
        </w:rPr>
      </w:pPr>
      <w:r w:rsidRPr="00A50EF3">
        <w:rPr>
          <w:sz w:val="24"/>
          <w:szCs w:val="24"/>
        </w:rPr>
        <w:t xml:space="preserve">17.  The Department </w:t>
      </w:r>
      <w:r w:rsidR="00D30F43" w:rsidRPr="00A50EF3">
        <w:rPr>
          <w:sz w:val="24"/>
          <w:szCs w:val="24"/>
        </w:rPr>
        <w:t xml:space="preserve">will </w:t>
      </w:r>
      <w:r w:rsidRPr="00A50EF3">
        <w:rPr>
          <w:sz w:val="24"/>
          <w:szCs w:val="24"/>
        </w:rPr>
        <w:t xml:space="preserve">display the expiration date for OMB approval of the information collection.  </w:t>
      </w:r>
    </w:p>
    <w:p w:rsidR="00A80366" w:rsidRPr="00A50EF3" w:rsidRDefault="00A80366" w:rsidP="00714C96">
      <w:pPr>
        <w:rPr>
          <w:sz w:val="24"/>
          <w:szCs w:val="24"/>
        </w:rPr>
      </w:pPr>
    </w:p>
    <w:p w:rsidR="00A80366" w:rsidRPr="00A50EF3" w:rsidRDefault="00A80366" w:rsidP="00714C96">
      <w:pPr>
        <w:rPr>
          <w:sz w:val="24"/>
          <w:szCs w:val="24"/>
        </w:rPr>
      </w:pPr>
      <w:r w:rsidRPr="00A50EF3">
        <w:rPr>
          <w:sz w:val="24"/>
          <w:szCs w:val="24"/>
        </w:rPr>
        <w:t>18.  The Department is not requesting any exception to the certification statement</w:t>
      </w:r>
      <w:r w:rsidR="00C85344" w:rsidRPr="00A50EF3">
        <w:rPr>
          <w:sz w:val="24"/>
          <w:szCs w:val="24"/>
        </w:rPr>
        <w:t>.</w:t>
      </w:r>
    </w:p>
    <w:p w:rsidR="00A80366" w:rsidRPr="00A50EF3" w:rsidRDefault="00A80366" w:rsidP="00714C96">
      <w:pPr>
        <w:rPr>
          <w:sz w:val="24"/>
          <w:szCs w:val="24"/>
        </w:rPr>
      </w:pPr>
    </w:p>
    <w:p w:rsidR="0076698D" w:rsidRPr="00A50EF3" w:rsidRDefault="0076698D" w:rsidP="0076698D">
      <w:pPr>
        <w:pStyle w:val="Heading1"/>
      </w:pPr>
      <w:r w:rsidRPr="00A50EF3">
        <w:t>B.</w:t>
      </w:r>
      <w:r w:rsidRPr="00A50EF3">
        <w:tab/>
        <w:t>COLLECTION OF INFORMATION EMPLOYING STATISTICAL METHODS</w:t>
      </w:r>
    </w:p>
    <w:p w:rsidR="00A80366" w:rsidRPr="00A50EF3" w:rsidRDefault="00A80366" w:rsidP="00714C96">
      <w:pPr>
        <w:rPr>
          <w:sz w:val="24"/>
          <w:szCs w:val="24"/>
        </w:rPr>
      </w:pPr>
    </w:p>
    <w:p w:rsidR="00A80366" w:rsidRPr="00010367" w:rsidRDefault="00A80366" w:rsidP="00714C96">
      <w:pPr>
        <w:rPr>
          <w:sz w:val="24"/>
          <w:szCs w:val="24"/>
        </w:rPr>
      </w:pPr>
      <w:r w:rsidRPr="00A50EF3">
        <w:rPr>
          <w:sz w:val="24"/>
          <w:szCs w:val="24"/>
        </w:rPr>
        <w:t>This collection does not employ statistical methods.</w:t>
      </w:r>
    </w:p>
    <w:p w:rsidR="00A80366" w:rsidRPr="00010367" w:rsidRDefault="00A80366" w:rsidP="00714C96">
      <w:pPr>
        <w:rPr>
          <w:sz w:val="24"/>
          <w:szCs w:val="24"/>
        </w:rPr>
      </w:pPr>
    </w:p>
    <w:p w:rsidR="00D46617" w:rsidRDefault="00D46617">
      <w:pPr>
        <w:rPr>
          <w:b/>
          <w:sz w:val="24"/>
          <w:u w:val="single"/>
        </w:rPr>
      </w:pPr>
      <w:bookmarkStart w:id="1" w:name="Document0zzSDUNumber1"/>
      <w:bookmarkStart w:id="2" w:name="last-page"/>
      <w:bookmarkEnd w:id="1"/>
      <w:bookmarkEnd w:id="2"/>
    </w:p>
    <w:sectPr w:rsidR="00D46617" w:rsidSect="00632AB5">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88C" w:rsidRDefault="0049488C">
      <w:r>
        <w:separator/>
      </w:r>
    </w:p>
  </w:endnote>
  <w:endnote w:type="continuationSeparator" w:id="0">
    <w:p w:rsidR="0049488C" w:rsidRDefault="0049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8C" w:rsidRDefault="0049488C">
    <w:pPr>
      <w:widowControl w:val="0"/>
      <w:autoSpaceDE w:val="0"/>
      <w:autoSpaceDN w:val="0"/>
      <w:adjustRightInd w:val="0"/>
      <w:jc w:val="center"/>
      <w:rPr>
        <w:rFonts w:ascii="Arial" w:hAnsi="Arial" w:cs="Arial"/>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88C" w:rsidRDefault="0049488C">
      <w:r>
        <w:separator/>
      </w:r>
    </w:p>
  </w:footnote>
  <w:footnote w:type="continuationSeparator" w:id="0">
    <w:p w:rsidR="0049488C" w:rsidRDefault="00494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8C" w:rsidRDefault="0049488C">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F53CA4A0"/>
    <w:lvl w:ilvl="0">
      <w:start w:val="1"/>
      <w:numFmt w:val="decimal"/>
      <w:lvlText w:val="%1."/>
      <w:lvlJc w:val="left"/>
      <w:pPr>
        <w:tabs>
          <w:tab w:val="num" w:pos="360"/>
        </w:tabs>
        <w:ind w:left="360" w:hanging="360"/>
      </w:pPr>
      <w:rPr>
        <w:strike w:val="0"/>
      </w:rPr>
    </w:lvl>
  </w:abstractNum>
  <w:abstractNum w:abstractNumId="1">
    <w:nsid w:val="05D439D2"/>
    <w:multiLevelType w:val="singleLevel"/>
    <w:tmpl w:val="0409000F"/>
    <w:lvl w:ilvl="0">
      <w:start w:val="11"/>
      <w:numFmt w:val="decimal"/>
      <w:lvlText w:val="%1."/>
      <w:lvlJc w:val="left"/>
      <w:pPr>
        <w:tabs>
          <w:tab w:val="num" w:pos="360"/>
        </w:tabs>
        <w:ind w:left="360" w:hanging="360"/>
      </w:pPr>
      <w:rPr>
        <w:rFonts w:hint="default"/>
      </w:rPr>
    </w:lvl>
  </w:abstractNum>
  <w:abstractNum w:abstractNumId="2">
    <w:nsid w:val="0D7629F9"/>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0DF77AFA"/>
    <w:multiLevelType w:val="singleLevel"/>
    <w:tmpl w:val="933E2958"/>
    <w:lvl w:ilvl="0">
      <w:start w:val="11"/>
      <w:numFmt w:val="decimal"/>
      <w:lvlText w:val="%1."/>
      <w:lvlJc w:val="left"/>
      <w:pPr>
        <w:tabs>
          <w:tab w:val="num" w:pos="420"/>
        </w:tabs>
        <w:ind w:left="420" w:hanging="420"/>
      </w:pPr>
      <w:rPr>
        <w:rFonts w:hint="default"/>
      </w:rPr>
    </w:lvl>
  </w:abstractNum>
  <w:abstractNum w:abstractNumId="4">
    <w:nsid w:val="219B0229"/>
    <w:multiLevelType w:val="singleLevel"/>
    <w:tmpl w:val="0409000F"/>
    <w:lvl w:ilvl="0">
      <w:start w:val="3"/>
      <w:numFmt w:val="decimal"/>
      <w:lvlText w:val="%1."/>
      <w:lvlJc w:val="left"/>
      <w:pPr>
        <w:tabs>
          <w:tab w:val="num" w:pos="360"/>
        </w:tabs>
        <w:ind w:left="360" w:hanging="360"/>
      </w:pPr>
      <w:rPr>
        <w:rFonts w:hint="default"/>
      </w:rPr>
    </w:lvl>
  </w:abstractNum>
  <w:abstractNum w:abstractNumId="5">
    <w:nsid w:val="28CA7DA5"/>
    <w:multiLevelType w:val="hybridMultilevel"/>
    <w:tmpl w:val="ACFA755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227FC"/>
    <w:multiLevelType w:val="multilevel"/>
    <w:tmpl w:val="42C024FE"/>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D3A468D"/>
    <w:multiLevelType w:val="singleLevel"/>
    <w:tmpl w:val="672ECC3E"/>
    <w:lvl w:ilvl="0">
      <w:start w:val="8"/>
      <w:numFmt w:val="decimal"/>
      <w:lvlText w:val="%1."/>
      <w:lvlJc w:val="left"/>
      <w:pPr>
        <w:tabs>
          <w:tab w:val="num" w:pos="360"/>
        </w:tabs>
        <w:ind w:left="360" w:hanging="360"/>
      </w:pPr>
      <w:rPr>
        <w:rFonts w:hint="default"/>
      </w:rPr>
    </w:lvl>
  </w:abstractNum>
  <w:abstractNum w:abstractNumId="8">
    <w:nsid w:val="344337B1"/>
    <w:multiLevelType w:val="hybridMultilevel"/>
    <w:tmpl w:val="81E8197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25303"/>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nsid w:val="4AF1389C"/>
    <w:multiLevelType w:val="singleLevel"/>
    <w:tmpl w:val="0896BB9E"/>
    <w:lvl w:ilvl="0">
      <w:start w:val="13"/>
      <w:numFmt w:val="decimal"/>
      <w:lvlText w:val="%1."/>
      <w:lvlJc w:val="left"/>
      <w:pPr>
        <w:tabs>
          <w:tab w:val="num" w:pos="420"/>
        </w:tabs>
        <w:ind w:left="420" w:hanging="420"/>
      </w:pPr>
      <w:rPr>
        <w:rFonts w:hint="default"/>
      </w:rPr>
    </w:lvl>
  </w:abstractNum>
  <w:abstractNum w:abstractNumId="11">
    <w:nsid w:val="5F9E005F"/>
    <w:multiLevelType w:val="singleLevel"/>
    <w:tmpl w:val="0409000F"/>
    <w:lvl w:ilvl="0">
      <w:start w:val="3"/>
      <w:numFmt w:val="decimal"/>
      <w:lvlText w:val="%1."/>
      <w:lvlJc w:val="left"/>
      <w:pPr>
        <w:tabs>
          <w:tab w:val="num" w:pos="360"/>
        </w:tabs>
        <w:ind w:left="360" w:hanging="360"/>
      </w:pPr>
      <w:rPr>
        <w:rFonts w:hint="default"/>
      </w:rPr>
    </w:lvl>
  </w:abstractNum>
  <w:abstractNum w:abstractNumId="12">
    <w:nsid w:val="659B37BE"/>
    <w:multiLevelType w:val="singleLevel"/>
    <w:tmpl w:val="0409000F"/>
    <w:lvl w:ilvl="0">
      <w:start w:val="3"/>
      <w:numFmt w:val="decimal"/>
      <w:lvlText w:val="%1."/>
      <w:lvlJc w:val="left"/>
      <w:pPr>
        <w:tabs>
          <w:tab w:val="num" w:pos="360"/>
        </w:tabs>
        <w:ind w:left="360" w:hanging="360"/>
      </w:pPr>
      <w:rPr>
        <w:rFonts w:hint="default"/>
      </w:rPr>
    </w:lvl>
  </w:abstractNum>
  <w:abstractNum w:abstractNumId="13">
    <w:nsid w:val="67D51F13"/>
    <w:multiLevelType w:val="hybridMultilevel"/>
    <w:tmpl w:val="F8F2F9B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D40BBE"/>
    <w:multiLevelType w:val="singleLevel"/>
    <w:tmpl w:val="0409000F"/>
    <w:lvl w:ilvl="0">
      <w:start w:val="3"/>
      <w:numFmt w:val="decimal"/>
      <w:lvlText w:val="%1."/>
      <w:lvlJc w:val="left"/>
      <w:pPr>
        <w:tabs>
          <w:tab w:val="num" w:pos="360"/>
        </w:tabs>
        <w:ind w:left="360" w:hanging="360"/>
      </w:pPr>
      <w:rPr>
        <w:rFonts w:hint="default"/>
      </w:rPr>
    </w:lvl>
  </w:abstractNum>
  <w:abstractNum w:abstractNumId="15">
    <w:nsid w:val="6D9E22F1"/>
    <w:multiLevelType w:val="singleLevel"/>
    <w:tmpl w:val="41BEA6EC"/>
    <w:lvl w:ilvl="0">
      <w:start w:val="11"/>
      <w:numFmt w:val="decimal"/>
      <w:lvlText w:val="%1."/>
      <w:lvlJc w:val="left"/>
      <w:pPr>
        <w:tabs>
          <w:tab w:val="num" w:pos="720"/>
        </w:tabs>
        <w:ind w:left="720" w:hanging="720"/>
      </w:pPr>
      <w:rPr>
        <w:rFonts w:hint="default"/>
      </w:rPr>
    </w:lvl>
  </w:abstractNum>
  <w:abstractNum w:abstractNumId="16">
    <w:nsid w:val="70D4463A"/>
    <w:multiLevelType w:val="hybridMultilevel"/>
    <w:tmpl w:val="CCAED8E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392BE3"/>
    <w:multiLevelType w:val="singleLevel"/>
    <w:tmpl w:val="B08A2E28"/>
    <w:lvl w:ilvl="0">
      <w:start w:val="12"/>
      <w:numFmt w:val="decimal"/>
      <w:lvlText w:val="%1."/>
      <w:lvlJc w:val="left"/>
      <w:pPr>
        <w:tabs>
          <w:tab w:val="num" w:pos="420"/>
        </w:tabs>
        <w:ind w:left="420" w:hanging="420"/>
      </w:pPr>
      <w:rPr>
        <w:rFonts w:hint="default"/>
      </w:rPr>
    </w:lvl>
  </w:abstractNum>
  <w:abstractNum w:abstractNumId="18">
    <w:nsid w:val="7BAE11F0"/>
    <w:multiLevelType w:val="singleLevel"/>
    <w:tmpl w:val="C660D960"/>
    <w:lvl w:ilvl="0">
      <w:start w:val="8"/>
      <w:numFmt w:val="decimal"/>
      <w:lvlText w:val="%1."/>
      <w:lvlJc w:val="left"/>
      <w:pPr>
        <w:tabs>
          <w:tab w:val="num" w:pos="720"/>
        </w:tabs>
        <w:ind w:left="720" w:hanging="720"/>
      </w:pPr>
      <w:rPr>
        <w:rFonts w:hint="default"/>
      </w:rPr>
    </w:lvl>
  </w:abstractNum>
  <w:num w:numId="1">
    <w:abstractNumId w:val="18"/>
  </w:num>
  <w:num w:numId="2">
    <w:abstractNumId w:val="15"/>
  </w:num>
  <w:num w:numId="3">
    <w:abstractNumId w:val="2"/>
  </w:num>
  <w:num w:numId="4">
    <w:abstractNumId w:val="12"/>
  </w:num>
  <w:num w:numId="5">
    <w:abstractNumId w:val="7"/>
  </w:num>
  <w:num w:numId="6">
    <w:abstractNumId w:val="1"/>
  </w:num>
  <w:num w:numId="7">
    <w:abstractNumId w:val="3"/>
  </w:num>
  <w:num w:numId="8">
    <w:abstractNumId w:val="9"/>
  </w:num>
  <w:num w:numId="9">
    <w:abstractNumId w:val="10"/>
  </w:num>
  <w:num w:numId="10">
    <w:abstractNumId w:val="11"/>
  </w:num>
  <w:num w:numId="11">
    <w:abstractNumId w:val="14"/>
  </w:num>
  <w:num w:numId="12">
    <w:abstractNumId w:val="4"/>
  </w:num>
  <w:num w:numId="13">
    <w:abstractNumId w:val="17"/>
  </w:num>
  <w:num w:numId="14">
    <w:abstractNumId w:val="6"/>
  </w:num>
  <w:num w:numId="15">
    <w:abstractNumId w:val="5"/>
  </w:num>
  <w:num w:numId="16">
    <w:abstractNumId w:val="8"/>
  </w:num>
  <w:num w:numId="17">
    <w:abstractNumId w:val="13"/>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941EA"/>
    <w:rsid w:val="0000367A"/>
    <w:rsid w:val="000077F1"/>
    <w:rsid w:val="00010367"/>
    <w:rsid w:val="00013FBD"/>
    <w:rsid w:val="00017993"/>
    <w:rsid w:val="00036B45"/>
    <w:rsid w:val="00040B9E"/>
    <w:rsid w:val="00043D12"/>
    <w:rsid w:val="00062CE1"/>
    <w:rsid w:val="00077F57"/>
    <w:rsid w:val="000E60F6"/>
    <w:rsid w:val="00155EDB"/>
    <w:rsid w:val="00156319"/>
    <w:rsid w:val="001906AC"/>
    <w:rsid w:val="00196D59"/>
    <w:rsid w:val="001A3CC6"/>
    <w:rsid w:val="001E70FB"/>
    <w:rsid w:val="00230C6E"/>
    <w:rsid w:val="0023762C"/>
    <w:rsid w:val="002431EF"/>
    <w:rsid w:val="00287146"/>
    <w:rsid w:val="002A5114"/>
    <w:rsid w:val="002E6891"/>
    <w:rsid w:val="00312B9F"/>
    <w:rsid w:val="00321602"/>
    <w:rsid w:val="003371C2"/>
    <w:rsid w:val="00355BB9"/>
    <w:rsid w:val="003D099D"/>
    <w:rsid w:val="003E367A"/>
    <w:rsid w:val="003E398C"/>
    <w:rsid w:val="003F343E"/>
    <w:rsid w:val="0041173D"/>
    <w:rsid w:val="00417AA9"/>
    <w:rsid w:val="004362E3"/>
    <w:rsid w:val="0046078A"/>
    <w:rsid w:val="00467CCC"/>
    <w:rsid w:val="00492B2B"/>
    <w:rsid w:val="004941EA"/>
    <w:rsid w:val="0049488C"/>
    <w:rsid w:val="004B2447"/>
    <w:rsid w:val="00537896"/>
    <w:rsid w:val="00573338"/>
    <w:rsid w:val="005A1416"/>
    <w:rsid w:val="005A2F09"/>
    <w:rsid w:val="00601236"/>
    <w:rsid w:val="00632AB5"/>
    <w:rsid w:val="006501C8"/>
    <w:rsid w:val="00655B65"/>
    <w:rsid w:val="0066525C"/>
    <w:rsid w:val="00670A03"/>
    <w:rsid w:val="0067293D"/>
    <w:rsid w:val="00682EB7"/>
    <w:rsid w:val="00683200"/>
    <w:rsid w:val="006A28F3"/>
    <w:rsid w:val="006D64BA"/>
    <w:rsid w:val="006E097C"/>
    <w:rsid w:val="00714C96"/>
    <w:rsid w:val="007214B4"/>
    <w:rsid w:val="00752DF5"/>
    <w:rsid w:val="0076698D"/>
    <w:rsid w:val="00790D3B"/>
    <w:rsid w:val="0079365B"/>
    <w:rsid w:val="007B0FF0"/>
    <w:rsid w:val="007D4764"/>
    <w:rsid w:val="007E6031"/>
    <w:rsid w:val="007E6B4B"/>
    <w:rsid w:val="007F3110"/>
    <w:rsid w:val="008326EC"/>
    <w:rsid w:val="00845844"/>
    <w:rsid w:val="00866FFF"/>
    <w:rsid w:val="00884248"/>
    <w:rsid w:val="008906CD"/>
    <w:rsid w:val="008B7370"/>
    <w:rsid w:val="008E53B7"/>
    <w:rsid w:val="00920F7E"/>
    <w:rsid w:val="00973D7C"/>
    <w:rsid w:val="00975E45"/>
    <w:rsid w:val="00986CBB"/>
    <w:rsid w:val="009A39DC"/>
    <w:rsid w:val="009A49EE"/>
    <w:rsid w:val="009A6ACF"/>
    <w:rsid w:val="009B6DE3"/>
    <w:rsid w:val="009E2730"/>
    <w:rsid w:val="00A10275"/>
    <w:rsid w:val="00A1156D"/>
    <w:rsid w:val="00A237FD"/>
    <w:rsid w:val="00A2446B"/>
    <w:rsid w:val="00A30A1C"/>
    <w:rsid w:val="00A42D62"/>
    <w:rsid w:val="00A50EF3"/>
    <w:rsid w:val="00A578AB"/>
    <w:rsid w:val="00A63C55"/>
    <w:rsid w:val="00A73715"/>
    <w:rsid w:val="00A80366"/>
    <w:rsid w:val="00A91511"/>
    <w:rsid w:val="00AE3CEB"/>
    <w:rsid w:val="00B1536C"/>
    <w:rsid w:val="00B73B44"/>
    <w:rsid w:val="00B77582"/>
    <w:rsid w:val="00B80135"/>
    <w:rsid w:val="00BC2BAD"/>
    <w:rsid w:val="00BC59ED"/>
    <w:rsid w:val="00BC5C60"/>
    <w:rsid w:val="00BC5F22"/>
    <w:rsid w:val="00BE0B7D"/>
    <w:rsid w:val="00BE77B8"/>
    <w:rsid w:val="00C163F8"/>
    <w:rsid w:val="00C215C1"/>
    <w:rsid w:val="00C24028"/>
    <w:rsid w:val="00C30E97"/>
    <w:rsid w:val="00C80B49"/>
    <w:rsid w:val="00C85344"/>
    <w:rsid w:val="00CA27D5"/>
    <w:rsid w:val="00CF1A43"/>
    <w:rsid w:val="00D005CE"/>
    <w:rsid w:val="00D04BED"/>
    <w:rsid w:val="00D30F43"/>
    <w:rsid w:val="00D33650"/>
    <w:rsid w:val="00D4292F"/>
    <w:rsid w:val="00D46617"/>
    <w:rsid w:val="00D5220B"/>
    <w:rsid w:val="00D54FF5"/>
    <w:rsid w:val="00D60494"/>
    <w:rsid w:val="00D715B7"/>
    <w:rsid w:val="00D877AA"/>
    <w:rsid w:val="00DB1C84"/>
    <w:rsid w:val="00DD655C"/>
    <w:rsid w:val="00DE1017"/>
    <w:rsid w:val="00E03D49"/>
    <w:rsid w:val="00E062EB"/>
    <w:rsid w:val="00E16ABE"/>
    <w:rsid w:val="00E200A0"/>
    <w:rsid w:val="00E73815"/>
    <w:rsid w:val="00E80D84"/>
    <w:rsid w:val="00E93240"/>
    <w:rsid w:val="00EA40E8"/>
    <w:rsid w:val="00EB0663"/>
    <w:rsid w:val="00EF01F0"/>
    <w:rsid w:val="00EF1E4E"/>
    <w:rsid w:val="00EF3A15"/>
    <w:rsid w:val="00F0015C"/>
    <w:rsid w:val="00F43970"/>
    <w:rsid w:val="00F47088"/>
    <w:rsid w:val="00F51EDF"/>
    <w:rsid w:val="00F649F6"/>
    <w:rsid w:val="00F66ED2"/>
    <w:rsid w:val="00FA5C09"/>
    <w:rsid w:val="00FC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AB5"/>
  </w:style>
  <w:style w:type="paragraph" w:styleId="Heading1">
    <w:name w:val="heading 1"/>
    <w:basedOn w:val="Normal"/>
    <w:next w:val="Normal"/>
    <w:qFormat/>
    <w:rsid w:val="00632AB5"/>
    <w:pPr>
      <w:keepNext/>
      <w:jc w:val="center"/>
      <w:outlineLvl w:val="0"/>
    </w:pPr>
    <w:rPr>
      <w:b/>
      <w:sz w:val="24"/>
    </w:rPr>
  </w:style>
  <w:style w:type="paragraph" w:styleId="Heading2">
    <w:name w:val="heading 2"/>
    <w:basedOn w:val="Normal"/>
    <w:next w:val="Normal"/>
    <w:qFormat/>
    <w:rsid w:val="00632AB5"/>
    <w:pPr>
      <w:keepNext/>
      <w:outlineLvl w:val="1"/>
    </w:pPr>
    <w:rPr>
      <w:b/>
      <w:sz w:val="24"/>
      <w:u w:val="single"/>
    </w:rPr>
  </w:style>
  <w:style w:type="paragraph" w:styleId="Heading3">
    <w:name w:val="heading 3"/>
    <w:basedOn w:val="Normal"/>
    <w:next w:val="Normal"/>
    <w:qFormat/>
    <w:rsid w:val="00632AB5"/>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rsid w:val="00632AB5"/>
    <w:pPr>
      <w:widowControl w:val="0"/>
      <w:tabs>
        <w:tab w:val="left" w:pos="204"/>
      </w:tabs>
      <w:spacing w:line="238" w:lineRule="atLeast"/>
    </w:pPr>
    <w:rPr>
      <w:sz w:val="24"/>
    </w:rPr>
  </w:style>
  <w:style w:type="paragraph" w:styleId="Header">
    <w:name w:val="header"/>
    <w:basedOn w:val="Normal"/>
    <w:rsid w:val="00632AB5"/>
    <w:pPr>
      <w:tabs>
        <w:tab w:val="center" w:pos="4320"/>
        <w:tab w:val="right" w:pos="8640"/>
      </w:tabs>
    </w:pPr>
    <w:rPr>
      <w:sz w:val="24"/>
    </w:rPr>
  </w:style>
  <w:style w:type="character" w:styleId="Hyperlink">
    <w:name w:val="Hyperlink"/>
    <w:basedOn w:val="DefaultParagraphFont"/>
    <w:rsid w:val="00632AB5"/>
    <w:rPr>
      <w:color w:val="0000FF"/>
      <w:u w:val="single"/>
    </w:rPr>
  </w:style>
  <w:style w:type="paragraph" w:styleId="BodyText">
    <w:name w:val="Body Text"/>
    <w:basedOn w:val="Normal"/>
    <w:rsid w:val="00632AB5"/>
    <w:rPr>
      <w:sz w:val="16"/>
    </w:rPr>
  </w:style>
  <w:style w:type="paragraph" w:styleId="BodyTextIndent">
    <w:name w:val="Body Text Indent"/>
    <w:basedOn w:val="Normal"/>
    <w:rsid w:val="00632AB5"/>
    <w:pPr>
      <w:ind w:firstLine="720"/>
    </w:pPr>
    <w:rPr>
      <w:sz w:val="24"/>
    </w:rPr>
  </w:style>
  <w:style w:type="paragraph" w:styleId="BalloonText">
    <w:name w:val="Balloon Text"/>
    <w:basedOn w:val="Normal"/>
    <w:semiHidden/>
    <w:rsid w:val="0079365B"/>
    <w:rPr>
      <w:rFonts w:ascii="Tahoma" w:hAnsi="Tahoma" w:cs="Tahoma"/>
      <w:sz w:val="16"/>
      <w:szCs w:val="16"/>
    </w:rPr>
  </w:style>
  <w:style w:type="paragraph" w:styleId="ListParagraph">
    <w:name w:val="List Paragraph"/>
    <w:basedOn w:val="Normal"/>
    <w:uiPriority w:val="34"/>
    <w:qFormat/>
    <w:rsid w:val="00BC59ED"/>
    <w:pPr>
      <w:ind w:left="720"/>
      <w:contextualSpacing/>
    </w:pPr>
  </w:style>
  <w:style w:type="character" w:styleId="CommentReference">
    <w:name w:val="annotation reference"/>
    <w:basedOn w:val="DefaultParagraphFont"/>
    <w:rsid w:val="00E93240"/>
    <w:rPr>
      <w:sz w:val="16"/>
      <w:szCs w:val="16"/>
    </w:rPr>
  </w:style>
  <w:style w:type="paragraph" w:styleId="CommentText">
    <w:name w:val="annotation text"/>
    <w:basedOn w:val="Normal"/>
    <w:link w:val="CommentTextChar"/>
    <w:rsid w:val="00E93240"/>
  </w:style>
  <w:style w:type="character" w:customStyle="1" w:styleId="CommentTextChar">
    <w:name w:val="Comment Text Char"/>
    <w:basedOn w:val="DefaultParagraphFont"/>
    <w:link w:val="CommentText"/>
    <w:rsid w:val="00E93240"/>
  </w:style>
  <w:style w:type="paragraph" w:styleId="CommentSubject">
    <w:name w:val="annotation subject"/>
    <w:basedOn w:val="CommentText"/>
    <w:next w:val="CommentText"/>
    <w:link w:val="CommentSubjectChar"/>
    <w:rsid w:val="00E93240"/>
    <w:rPr>
      <w:b/>
      <w:bCs/>
    </w:rPr>
  </w:style>
  <w:style w:type="character" w:customStyle="1" w:styleId="CommentSubjectChar">
    <w:name w:val="Comment Subject Char"/>
    <w:basedOn w:val="CommentTextChar"/>
    <w:link w:val="CommentSubject"/>
    <w:rsid w:val="00E93240"/>
    <w:rPr>
      <w:b/>
      <w:bCs/>
    </w:rPr>
  </w:style>
  <w:style w:type="character" w:styleId="FollowedHyperlink">
    <w:name w:val="FollowedHyperlink"/>
    <w:basedOn w:val="DefaultParagraphFont"/>
    <w:rsid w:val="002A51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AB5"/>
  </w:style>
  <w:style w:type="paragraph" w:styleId="Heading1">
    <w:name w:val="heading 1"/>
    <w:basedOn w:val="Normal"/>
    <w:next w:val="Normal"/>
    <w:qFormat/>
    <w:rsid w:val="00632AB5"/>
    <w:pPr>
      <w:keepNext/>
      <w:jc w:val="center"/>
      <w:outlineLvl w:val="0"/>
    </w:pPr>
    <w:rPr>
      <w:b/>
      <w:sz w:val="24"/>
    </w:rPr>
  </w:style>
  <w:style w:type="paragraph" w:styleId="Heading2">
    <w:name w:val="heading 2"/>
    <w:basedOn w:val="Normal"/>
    <w:next w:val="Normal"/>
    <w:qFormat/>
    <w:rsid w:val="00632AB5"/>
    <w:pPr>
      <w:keepNext/>
      <w:outlineLvl w:val="1"/>
    </w:pPr>
    <w:rPr>
      <w:b/>
      <w:sz w:val="24"/>
      <w:u w:val="single"/>
    </w:rPr>
  </w:style>
  <w:style w:type="paragraph" w:styleId="Heading3">
    <w:name w:val="heading 3"/>
    <w:basedOn w:val="Normal"/>
    <w:next w:val="Normal"/>
    <w:qFormat/>
    <w:rsid w:val="00632AB5"/>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rsid w:val="00632AB5"/>
    <w:pPr>
      <w:widowControl w:val="0"/>
      <w:tabs>
        <w:tab w:val="left" w:pos="204"/>
      </w:tabs>
      <w:spacing w:line="238" w:lineRule="atLeast"/>
    </w:pPr>
    <w:rPr>
      <w:sz w:val="24"/>
    </w:rPr>
  </w:style>
  <w:style w:type="paragraph" w:styleId="Header">
    <w:name w:val="header"/>
    <w:basedOn w:val="Normal"/>
    <w:rsid w:val="00632AB5"/>
    <w:pPr>
      <w:tabs>
        <w:tab w:val="center" w:pos="4320"/>
        <w:tab w:val="right" w:pos="8640"/>
      </w:tabs>
    </w:pPr>
    <w:rPr>
      <w:sz w:val="24"/>
    </w:rPr>
  </w:style>
  <w:style w:type="character" w:styleId="Hyperlink">
    <w:name w:val="Hyperlink"/>
    <w:basedOn w:val="DefaultParagraphFont"/>
    <w:rsid w:val="00632AB5"/>
    <w:rPr>
      <w:color w:val="0000FF"/>
      <w:u w:val="single"/>
    </w:rPr>
  </w:style>
  <w:style w:type="paragraph" w:styleId="BodyText">
    <w:name w:val="Body Text"/>
    <w:basedOn w:val="Normal"/>
    <w:rsid w:val="00632AB5"/>
    <w:rPr>
      <w:sz w:val="16"/>
    </w:rPr>
  </w:style>
  <w:style w:type="paragraph" w:styleId="BodyTextIndent">
    <w:name w:val="Body Text Indent"/>
    <w:basedOn w:val="Normal"/>
    <w:rsid w:val="00632AB5"/>
    <w:pPr>
      <w:ind w:firstLine="720"/>
    </w:pPr>
    <w:rPr>
      <w:sz w:val="24"/>
    </w:rPr>
  </w:style>
  <w:style w:type="paragraph" w:styleId="BalloonText">
    <w:name w:val="Balloon Text"/>
    <w:basedOn w:val="Normal"/>
    <w:semiHidden/>
    <w:rsid w:val="0079365B"/>
    <w:rPr>
      <w:rFonts w:ascii="Tahoma" w:hAnsi="Tahoma" w:cs="Tahoma"/>
      <w:sz w:val="16"/>
      <w:szCs w:val="16"/>
    </w:rPr>
  </w:style>
  <w:style w:type="paragraph" w:styleId="ListParagraph">
    <w:name w:val="List Paragraph"/>
    <w:basedOn w:val="Normal"/>
    <w:uiPriority w:val="34"/>
    <w:qFormat/>
    <w:rsid w:val="00BC59ED"/>
    <w:pPr>
      <w:ind w:left="720"/>
      <w:contextualSpacing/>
    </w:pPr>
  </w:style>
  <w:style w:type="character" w:styleId="CommentReference">
    <w:name w:val="annotation reference"/>
    <w:basedOn w:val="DefaultParagraphFont"/>
    <w:rsid w:val="00E93240"/>
    <w:rPr>
      <w:sz w:val="16"/>
      <w:szCs w:val="16"/>
    </w:rPr>
  </w:style>
  <w:style w:type="paragraph" w:styleId="CommentText">
    <w:name w:val="annotation text"/>
    <w:basedOn w:val="Normal"/>
    <w:link w:val="CommentTextChar"/>
    <w:rsid w:val="00E93240"/>
  </w:style>
  <w:style w:type="character" w:customStyle="1" w:styleId="CommentTextChar">
    <w:name w:val="Comment Text Char"/>
    <w:basedOn w:val="DefaultParagraphFont"/>
    <w:link w:val="CommentText"/>
    <w:rsid w:val="00E93240"/>
  </w:style>
  <w:style w:type="paragraph" w:styleId="CommentSubject">
    <w:name w:val="annotation subject"/>
    <w:basedOn w:val="CommentText"/>
    <w:next w:val="CommentText"/>
    <w:link w:val="CommentSubjectChar"/>
    <w:rsid w:val="00E93240"/>
    <w:rPr>
      <w:b/>
      <w:bCs/>
    </w:rPr>
  </w:style>
  <w:style w:type="character" w:customStyle="1" w:styleId="CommentSubjectChar">
    <w:name w:val="Comment Subject Char"/>
    <w:basedOn w:val="CommentTextChar"/>
    <w:link w:val="CommentSubject"/>
    <w:rsid w:val="00E93240"/>
    <w:rPr>
      <w:b/>
      <w:bCs/>
    </w:rPr>
  </w:style>
  <w:style w:type="character" w:styleId="FollowedHyperlink">
    <w:name w:val="FollowedHyperlink"/>
    <w:basedOn w:val="DefaultParagraphFont"/>
    <w:rsid w:val="002A51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6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ravel.state.gov/visa/statistics/statistics_1476.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D65575041C144AC00B7A5639C1B3C" ma:contentTypeVersion="1" ma:contentTypeDescription="Create a new document." ma:contentTypeScope="" ma:versionID="69d50b0e2973a00a534d5d65c3b971c1">
  <xsd:schema xmlns:xsd="http://www.w3.org/2001/XMLSchema" xmlns:p="http://schemas.microsoft.com/office/2006/metadata/properties" targetNamespace="http://schemas.microsoft.com/office/2006/metadata/properties" ma:root="true" ma:fieldsID="c321cfdb1bb2ac12195656399fe0b5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1CA19-3582-4179-BC07-0D1311B92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B94AFF-3E74-4789-B293-8CF84BCBA31D}">
  <ds:schemaRef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10A3DB3-CFA2-4B54-940E-BAFDCFCF4C9F}">
  <ds:schemaRefs>
    <ds:schemaRef ds:uri="http://schemas.microsoft.com/sharepoint/v3/contenttype/forms"/>
  </ds:schemaRefs>
</ds:datastoreItem>
</file>

<file path=customXml/itemProps4.xml><?xml version="1.0" encoding="utf-8"?>
<ds:datastoreItem xmlns:ds="http://schemas.openxmlformats.org/officeDocument/2006/customXml" ds:itemID="{77942572-DA21-4E54-AB9F-03B160500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1513</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Attachment to Standard Form 83</vt:lpstr>
    </vt:vector>
  </TitlesOfParts>
  <Company>U.S. Department of State</Company>
  <LinksUpToDate>false</LinksUpToDate>
  <CharactersWithSpaces>10023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Standard Form 83</dc:title>
  <dc:creator>AbasoloJ</dc:creator>
  <cp:lastModifiedBy>Sydney Taylor</cp:lastModifiedBy>
  <cp:revision>4</cp:revision>
  <cp:lastPrinted>2000-04-21T16:36:00Z</cp:lastPrinted>
  <dcterms:created xsi:type="dcterms:W3CDTF">2014-06-04T13:59:00Z</dcterms:created>
  <dcterms:modified xsi:type="dcterms:W3CDTF">2014-06-04T15:26:00Z</dcterms:modified>
</cp:coreProperties>
</file>