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Default="007C6133" w:rsidP="00163140">
      <w:pPr>
        <w:widowControl w:val="0"/>
        <w:spacing w:after="0" w:line="240" w:lineRule="auto"/>
        <w:jc w:val="center"/>
        <w:rPr>
          <w:rFonts w:ascii="Times New Roman" w:eastAsia="Times New Roman" w:hAnsi="Times New Roman" w:cs="Times New Roman"/>
          <w:b/>
          <w:color w:val="000000"/>
          <w:sz w:val="24"/>
        </w:rPr>
      </w:pPr>
      <w:bookmarkStart w:id="0" w:name="_GoBack"/>
      <w:bookmarkEnd w:id="0"/>
      <w:r w:rsidRPr="003339C5">
        <w:rPr>
          <w:rFonts w:ascii="Times New Roman" w:eastAsia="Times New Roman" w:hAnsi="Times New Roman" w:cs="Times New Roman"/>
          <w:b/>
          <w:color w:val="000000"/>
          <w:sz w:val="24"/>
        </w:rPr>
        <w:t xml:space="preserve">Unemployment Insurance (UI) Supplemental Funding </w:t>
      </w:r>
    </w:p>
    <w:p w:rsidR="003339C5" w:rsidRDefault="007C6133" w:rsidP="00411706">
      <w:pPr>
        <w:widowControl w:val="0"/>
        <w:spacing w:after="0" w:line="240" w:lineRule="auto"/>
        <w:jc w:val="center"/>
        <w:rPr>
          <w:rFonts w:ascii="Times New Roman" w:eastAsia="Times New Roman" w:hAnsi="Times New Roman" w:cs="Times New Roman"/>
          <w:b/>
          <w:color w:val="000000"/>
          <w:sz w:val="24"/>
        </w:rPr>
      </w:pPr>
      <w:r w:rsidRPr="003339C5">
        <w:rPr>
          <w:rFonts w:ascii="Times New Roman" w:eastAsia="Times New Roman" w:hAnsi="Times New Roman" w:cs="Times New Roman"/>
          <w:b/>
          <w:color w:val="000000"/>
          <w:sz w:val="24"/>
        </w:rPr>
        <w:t xml:space="preserve">Opportunity for </w:t>
      </w:r>
      <w:r w:rsidR="00F76CB6">
        <w:rPr>
          <w:rFonts w:ascii="Times New Roman" w:eastAsia="Times New Roman" w:hAnsi="Times New Roman" w:cs="Times New Roman"/>
          <w:b/>
          <w:color w:val="000000"/>
          <w:sz w:val="24"/>
        </w:rPr>
        <w:t>State Consortia to Modernize Tax and Benefit Systems</w:t>
      </w:r>
      <w:r w:rsidR="003339C5">
        <w:rPr>
          <w:rFonts w:ascii="Times New Roman" w:eastAsia="Times New Roman" w:hAnsi="Times New Roman" w:cs="Times New Roman"/>
          <w:b/>
          <w:color w:val="000000"/>
          <w:sz w:val="24"/>
        </w:rPr>
        <w:t xml:space="preserve"> </w:t>
      </w:r>
    </w:p>
    <w:p w:rsidR="00C97D02" w:rsidRDefault="00C97D02" w:rsidP="007C6133">
      <w:pPr>
        <w:widowControl w:val="0"/>
        <w:spacing w:after="0" w:line="240" w:lineRule="auto"/>
        <w:jc w:val="center"/>
        <w:rPr>
          <w:rFonts w:ascii="Times New Roman" w:eastAsia="Times New Roman" w:hAnsi="Times New Roman" w:cs="Times New Roman"/>
          <w:b/>
          <w:sz w:val="24"/>
          <w:szCs w:val="24"/>
        </w:rPr>
      </w:pPr>
      <w:r w:rsidRPr="003339C5">
        <w:rPr>
          <w:rFonts w:ascii="Times New Roman" w:eastAsia="Times New Roman" w:hAnsi="Times New Roman" w:cs="Times New Roman"/>
          <w:b/>
          <w:sz w:val="24"/>
          <w:szCs w:val="24"/>
        </w:rPr>
        <w:t xml:space="preserve">Supplemental </w:t>
      </w:r>
      <w:r w:rsidR="00FA175C" w:rsidRPr="003339C5">
        <w:rPr>
          <w:rFonts w:ascii="Times New Roman" w:eastAsia="Times New Roman" w:hAnsi="Times New Roman" w:cs="Times New Roman"/>
          <w:b/>
          <w:sz w:val="24"/>
          <w:szCs w:val="24"/>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76CB6" w:rsidRDefault="00C97D02" w:rsidP="00787438">
      <w:pPr>
        <w:widowControl w:val="0"/>
        <w:spacing w:after="0"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787438">
        <w:rPr>
          <w:rFonts w:ascii="Times New Roman" w:eastAsia="ヒラギノ角ゴ Pro W3" w:hAnsi="Times New Roman" w:cs="Times New Roman"/>
          <w:color w:val="000000"/>
          <w:sz w:val="24"/>
          <w:szCs w:val="24"/>
        </w:rPr>
        <w:t xml:space="preserve">This request seeks OMB approval under the Paperwork Reduction Act for the unique information collection requirements in the </w:t>
      </w:r>
      <w:r w:rsidR="00163140" w:rsidRPr="00787438">
        <w:rPr>
          <w:rFonts w:ascii="Times New Roman" w:eastAsia="ヒラギノ角ゴ Pro W3" w:hAnsi="Times New Roman" w:cs="Times New Roman"/>
          <w:color w:val="000000"/>
          <w:sz w:val="24"/>
          <w:szCs w:val="24"/>
        </w:rPr>
        <w:t>“</w:t>
      </w:r>
      <w:r w:rsidR="007C6133" w:rsidRPr="00787438">
        <w:rPr>
          <w:rFonts w:ascii="Times New Roman" w:eastAsia="ヒラギノ角ゴ Pro W3" w:hAnsi="Times New Roman" w:cs="Times New Roman"/>
          <w:color w:val="000000"/>
          <w:sz w:val="24"/>
          <w:szCs w:val="24"/>
        </w:rPr>
        <w:t xml:space="preserve">UI Supplemental Funding Opportunity for </w:t>
      </w:r>
      <w:r w:rsidR="00F76CB6" w:rsidRPr="00787438">
        <w:rPr>
          <w:rFonts w:ascii="Times New Roman" w:eastAsia="ヒラギノ角ゴ Pro W3" w:hAnsi="Times New Roman" w:cs="Times New Roman"/>
          <w:color w:val="000000"/>
          <w:sz w:val="24"/>
          <w:szCs w:val="24"/>
        </w:rPr>
        <w:t>State Consortia to Modernize Tax and Benefit Systems</w:t>
      </w:r>
      <w:r w:rsidR="00471D5F" w:rsidRPr="00787438">
        <w:rPr>
          <w:rFonts w:ascii="Times New Roman" w:eastAsia="ヒラギノ角ゴ Pro W3" w:hAnsi="Times New Roman" w:cs="Times New Roman"/>
          <w:color w:val="000000"/>
          <w:sz w:val="24"/>
          <w:szCs w:val="24"/>
        </w:rPr>
        <w:t xml:space="preserve">,” </w:t>
      </w:r>
      <w:r w:rsidR="007C6133" w:rsidRPr="00787438">
        <w:rPr>
          <w:rFonts w:ascii="Times New Roman" w:eastAsia="ヒラギノ角ゴ Pro W3" w:hAnsi="Times New Roman" w:cs="Times New Roman"/>
          <w:color w:val="000000"/>
          <w:sz w:val="24"/>
          <w:szCs w:val="24"/>
        </w:rPr>
        <w:t>solicitation</w:t>
      </w:r>
      <w:r w:rsidRPr="00787438">
        <w:rPr>
          <w:rFonts w:ascii="Times New Roman" w:eastAsia="ヒラギノ角ゴ Pro W3" w:hAnsi="Times New Roman" w:cs="Times New Roman"/>
          <w:color w:val="000000"/>
          <w:sz w:val="24"/>
          <w:szCs w:val="24"/>
        </w:rPr>
        <w:t xml:space="preserve">.  </w:t>
      </w:r>
      <w:r w:rsidR="00FA175C" w:rsidRPr="00787438">
        <w:rPr>
          <w:rFonts w:ascii="Times New Roman" w:eastAsia="ヒラギノ角ゴ Pro W3" w:hAnsi="Times New Roman" w:cs="Times New Roman"/>
          <w:color w:val="000000"/>
          <w:sz w:val="24"/>
          <w:szCs w:val="24"/>
        </w:rPr>
        <w:t xml:space="preserve">The Department will notify State Workforce Agencies (SWAs) </w:t>
      </w:r>
      <w:r w:rsidR="005207D2">
        <w:rPr>
          <w:rFonts w:ascii="Times New Roman" w:eastAsia="ヒラギノ角ゴ Pro W3" w:hAnsi="Times New Roman" w:cs="Times New Roman"/>
          <w:color w:val="000000"/>
          <w:sz w:val="24"/>
          <w:szCs w:val="24"/>
        </w:rPr>
        <w:t xml:space="preserve">that </w:t>
      </w:r>
      <w:r w:rsidR="00FA175C" w:rsidRPr="00787438">
        <w:rPr>
          <w:rFonts w:ascii="Times New Roman" w:eastAsia="ヒラギノ角ゴ Pro W3" w:hAnsi="Times New Roman" w:cs="Times New Roman"/>
          <w:color w:val="000000"/>
          <w:sz w:val="24"/>
          <w:szCs w:val="24"/>
        </w:rPr>
        <w:t xml:space="preserve">the </w:t>
      </w:r>
      <w:r w:rsidR="005207D2">
        <w:rPr>
          <w:rFonts w:ascii="Times New Roman" w:eastAsia="ヒラギノ角ゴ Pro W3" w:hAnsi="Times New Roman" w:cs="Times New Roman"/>
          <w:color w:val="000000"/>
          <w:sz w:val="24"/>
          <w:szCs w:val="24"/>
        </w:rPr>
        <w:t xml:space="preserve">enacted Fiscal Year 2017 appropriation makes available </w:t>
      </w:r>
      <w:r w:rsidR="00D745B2">
        <w:rPr>
          <w:rFonts w:ascii="Times New Roman" w:eastAsia="ヒラギノ角ゴ Pro W3" w:hAnsi="Times New Roman" w:cs="Times New Roman"/>
          <w:color w:val="000000"/>
          <w:sz w:val="24"/>
          <w:szCs w:val="24"/>
        </w:rPr>
        <w:t>$50 million</w:t>
      </w:r>
      <w:r w:rsidR="005207D2">
        <w:rPr>
          <w:rFonts w:ascii="Times New Roman" w:eastAsia="ヒラギノ角ゴ Pro W3" w:hAnsi="Times New Roman" w:cs="Times New Roman"/>
          <w:color w:val="000000"/>
          <w:sz w:val="24"/>
          <w:szCs w:val="24"/>
        </w:rPr>
        <w:t xml:space="preserve"> to specifically </w:t>
      </w:r>
      <w:r w:rsidR="00C67A1A" w:rsidRPr="00787438">
        <w:rPr>
          <w:rFonts w:ascii="Times New Roman" w:eastAsia="ヒラギノ角ゴ Pro W3" w:hAnsi="Times New Roman" w:cs="Times New Roman"/>
          <w:color w:val="000000"/>
          <w:sz w:val="24"/>
          <w:szCs w:val="24"/>
        </w:rPr>
        <w:t xml:space="preserve">fund activities </w:t>
      </w:r>
      <w:r w:rsidR="00F76CB6" w:rsidRPr="00787438">
        <w:rPr>
          <w:rFonts w:ascii="Times New Roman" w:eastAsia="ヒラギノ角ゴ Pro W3" w:hAnsi="Times New Roman" w:cs="Times New Roman"/>
          <w:color w:val="000000"/>
          <w:sz w:val="24"/>
          <w:szCs w:val="24"/>
        </w:rPr>
        <w:t xml:space="preserve">for continued support of state consortia efforts to modernize UI tax and benefit systems, including compliance with the requirements of 26 U.S.C. 6103(l)(10)(B).  </w:t>
      </w:r>
      <w:r w:rsidR="005207D2">
        <w:rPr>
          <w:rFonts w:ascii="Times New Roman" w:eastAsia="ヒラギノ角ゴ Pro W3" w:hAnsi="Times New Roman" w:cs="Times New Roman"/>
          <w:color w:val="000000"/>
          <w:sz w:val="24"/>
          <w:szCs w:val="24"/>
        </w:rPr>
        <w:t>For reference, s</w:t>
      </w:r>
      <w:r w:rsidR="00F76CB6" w:rsidRPr="00787438">
        <w:rPr>
          <w:rFonts w:ascii="Times New Roman" w:eastAsia="ヒラギノ角ゴ Pro W3" w:hAnsi="Times New Roman" w:cs="Times New Roman"/>
          <w:color w:val="000000"/>
          <w:sz w:val="24"/>
          <w:szCs w:val="24"/>
        </w:rPr>
        <w:t xml:space="preserve">ee the Report for the Departments of Labor, Health and Human Services, and Education, and Related Agencies, accompanying the Consolidated Appropriations Act of 2017, Public Law No. 115-31 (May 5, 2017) available at </w:t>
      </w:r>
      <w:r w:rsidR="005207D2" w:rsidRPr="005207D2">
        <w:t xml:space="preserve"> </w:t>
      </w:r>
      <w:hyperlink r:id="rId8" w:history="1">
        <w:r w:rsidR="005207D2" w:rsidRPr="00ED581C">
          <w:rPr>
            <w:rFonts w:ascii="Times New Roman" w:eastAsia="ヒラギノ角ゴ Pro W3" w:hAnsi="Times New Roman" w:cs="Times New Roman"/>
            <w:color w:val="0000FF"/>
            <w:sz w:val="24"/>
            <w:szCs w:val="24"/>
            <w:u w:val="single"/>
          </w:rPr>
          <w:t>https://rules.house.gov/sites/republicans.rules.house.gov/files/115/OMNI/DIVISION%20H-%20LABORHHS%20SOM%20OCR%20FY17.pdf</w:t>
        </w:r>
      </w:hyperlink>
      <w:r w:rsidR="005207D2">
        <w:rPr>
          <w:rFonts w:ascii="Times New Roman" w:eastAsia="ヒラギノ角ゴ Pro W3" w:hAnsi="Times New Roman" w:cs="Times New Roman"/>
          <w:color w:val="0000FF"/>
          <w:sz w:val="24"/>
          <w:szCs w:val="24"/>
          <w:u w:val="single"/>
        </w:rPr>
        <w:t>.</w:t>
      </w:r>
    </w:p>
    <w:p w:rsidR="00F910BF" w:rsidRPr="00787438" w:rsidRDefault="00F910BF" w:rsidP="00787438">
      <w:pPr>
        <w:widowControl w:val="0"/>
        <w:spacing w:after="0" w:line="240" w:lineRule="auto"/>
        <w:rPr>
          <w:rFonts w:ascii="Times New Roman" w:eastAsia="ヒラギノ角ゴ Pro W3" w:hAnsi="Times New Roman" w:cs="Times New Roman"/>
          <w:color w:val="000000"/>
          <w:sz w:val="24"/>
          <w:szCs w:val="24"/>
        </w:rPr>
      </w:pPr>
    </w:p>
    <w:p w:rsidR="00ED581C" w:rsidRDefault="00ED581C" w:rsidP="00ED581C">
      <w:pPr>
        <w:widowControl w:val="0"/>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The Employment and Training Administration</w:t>
      </w:r>
      <w:r w:rsidR="0079095A">
        <w:rPr>
          <w:rFonts w:ascii="Times New Roman" w:eastAsia="ヒラギノ角ゴ Pro W3" w:hAnsi="Times New Roman" w:cs="Times New Roman"/>
          <w:color w:val="000000"/>
          <w:sz w:val="24"/>
          <w:szCs w:val="24"/>
        </w:rPr>
        <w:t xml:space="preserve"> (ETA)</w:t>
      </w:r>
      <w:r>
        <w:rPr>
          <w:rFonts w:ascii="Times New Roman" w:eastAsia="ヒラギノ角ゴ Pro W3" w:hAnsi="Times New Roman" w:cs="Times New Roman"/>
          <w:color w:val="000000"/>
          <w:sz w:val="24"/>
          <w:szCs w:val="24"/>
        </w:rPr>
        <w:t xml:space="preserve"> </w:t>
      </w:r>
      <w:r w:rsidR="008676B9">
        <w:rPr>
          <w:rFonts w:ascii="Times New Roman" w:eastAsia="ヒラギノ角ゴ Pro W3" w:hAnsi="Times New Roman" w:cs="Times New Roman"/>
          <w:color w:val="000000"/>
          <w:sz w:val="24"/>
          <w:szCs w:val="24"/>
        </w:rPr>
        <w:t xml:space="preserve">has been working </w:t>
      </w:r>
      <w:r w:rsidRPr="00ED581C">
        <w:rPr>
          <w:rFonts w:ascii="Times New Roman" w:eastAsia="ヒラギノ角ゴ Pro W3" w:hAnsi="Times New Roman" w:cs="Times New Roman"/>
          <w:color w:val="000000"/>
          <w:sz w:val="24"/>
          <w:szCs w:val="24"/>
        </w:rPr>
        <w:t xml:space="preserve">with states to improve UI program performance and modernize outdated </w:t>
      </w:r>
      <w:r w:rsidR="00287B35">
        <w:rPr>
          <w:rFonts w:ascii="Times New Roman" w:eastAsia="ヒラギノ角ゴ Pro W3" w:hAnsi="Times New Roman" w:cs="Times New Roman"/>
          <w:color w:val="000000"/>
          <w:sz w:val="24"/>
          <w:szCs w:val="24"/>
        </w:rPr>
        <w:t>information technology (</w:t>
      </w:r>
      <w:r w:rsidRPr="00ED581C">
        <w:rPr>
          <w:rFonts w:ascii="Times New Roman" w:eastAsia="ヒラギノ角ゴ Pro W3" w:hAnsi="Times New Roman" w:cs="Times New Roman"/>
          <w:color w:val="000000"/>
          <w:sz w:val="24"/>
          <w:szCs w:val="24"/>
        </w:rPr>
        <w:t>IT</w:t>
      </w:r>
      <w:r w:rsidR="00287B35">
        <w:rPr>
          <w:rFonts w:ascii="Times New Roman" w:eastAsia="ヒラギノ角ゴ Pro W3" w:hAnsi="Times New Roman" w:cs="Times New Roman"/>
          <w:color w:val="000000"/>
          <w:sz w:val="24"/>
          <w:szCs w:val="24"/>
        </w:rPr>
        <w:t>)</w:t>
      </w:r>
      <w:r w:rsidRPr="00ED581C">
        <w:rPr>
          <w:rFonts w:ascii="Times New Roman" w:eastAsia="ヒラギノ角ゴ Pro W3" w:hAnsi="Times New Roman" w:cs="Times New Roman"/>
          <w:color w:val="000000"/>
          <w:sz w:val="24"/>
          <w:szCs w:val="24"/>
        </w:rPr>
        <w:t xml:space="preserve"> infrastructures.  Following the initial investment in FY 2009, ETA funded </w:t>
      </w:r>
      <w:r w:rsidR="00067AE0">
        <w:rPr>
          <w:rFonts w:ascii="Times New Roman" w:eastAsia="ヒラギノ角ゴ Pro W3" w:hAnsi="Times New Roman" w:cs="Times New Roman"/>
          <w:color w:val="000000"/>
          <w:sz w:val="24"/>
          <w:szCs w:val="24"/>
        </w:rPr>
        <w:t>Supplemental Budget Request (SBR) grants</w:t>
      </w:r>
      <w:r w:rsidRPr="00ED581C">
        <w:rPr>
          <w:rFonts w:ascii="Times New Roman" w:eastAsia="ヒラギノ角ゴ Pro W3" w:hAnsi="Times New Roman" w:cs="Times New Roman"/>
          <w:color w:val="000000"/>
          <w:sz w:val="24"/>
          <w:szCs w:val="24"/>
        </w:rPr>
        <w:t xml:space="preserve"> for state consortia to modernize their UI tax and benefit systems in FY 2011 (</w:t>
      </w:r>
      <w:r w:rsidR="0079095A">
        <w:rPr>
          <w:rFonts w:ascii="Times New Roman" w:eastAsia="ヒラギノ角ゴ Pro W3" w:hAnsi="Times New Roman" w:cs="Times New Roman"/>
          <w:color w:val="000000"/>
          <w:sz w:val="24"/>
          <w:szCs w:val="24"/>
        </w:rPr>
        <w:t>Unemployment Insurance Program Letter [</w:t>
      </w:r>
      <w:r w:rsidRPr="00ED581C">
        <w:rPr>
          <w:rFonts w:ascii="Times New Roman" w:eastAsia="ヒラギノ角ゴ Pro W3" w:hAnsi="Times New Roman" w:cs="Times New Roman"/>
          <w:color w:val="000000"/>
          <w:sz w:val="24"/>
          <w:szCs w:val="24"/>
        </w:rPr>
        <w:t>UIPL</w:t>
      </w:r>
      <w:r w:rsidR="0079095A">
        <w:rPr>
          <w:rFonts w:ascii="Times New Roman" w:eastAsia="ヒラギノ角ゴ Pro W3" w:hAnsi="Times New Roman" w:cs="Times New Roman"/>
          <w:color w:val="000000"/>
          <w:sz w:val="24"/>
          <w:szCs w:val="24"/>
        </w:rPr>
        <w:t>]</w:t>
      </w:r>
      <w:r w:rsidRPr="00ED581C">
        <w:rPr>
          <w:rFonts w:ascii="Times New Roman" w:eastAsia="ヒラギノ角ゴ Pro W3" w:hAnsi="Times New Roman" w:cs="Times New Roman"/>
          <w:color w:val="000000"/>
          <w:sz w:val="24"/>
          <w:szCs w:val="24"/>
        </w:rPr>
        <w:t xml:space="preserve"> No. 26-11), FY 2012 (UIPL No. 18-12), FY 2013 (UIPL No. 24-13), FY 2014 (UIPL No. 13-14), FY 2015 (UIPL No. 16-15), and FY 2016 (UIPL No. 19-16).  As a condition of funding eligibility, those opportunities required states to implement specific strategies in order to qualify for the additional consortium funding.</w:t>
      </w:r>
    </w:p>
    <w:p w:rsidR="00ED581C" w:rsidRDefault="00ED581C" w:rsidP="00ED581C">
      <w:pPr>
        <w:widowControl w:val="0"/>
        <w:spacing w:after="0" w:line="240" w:lineRule="auto"/>
        <w:rPr>
          <w:rFonts w:ascii="Times New Roman" w:eastAsia="ヒラギノ角ゴ Pro W3" w:hAnsi="Times New Roman" w:cs="Times New Roman"/>
          <w:color w:val="000000"/>
          <w:sz w:val="24"/>
          <w:szCs w:val="24"/>
        </w:rPr>
      </w:pPr>
    </w:p>
    <w:p w:rsidR="00ED581C" w:rsidRPr="00ED581C" w:rsidRDefault="00ED581C" w:rsidP="00ED581C">
      <w:pPr>
        <w:widowControl w:val="0"/>
        <w:spacing w:after="0" w:line="240" w:lineRule="auto"/>
        <w:rPr>
          <w:rFonts w:ascii="Times New Roman" w:eastAsia="ヒラギノ角ゴ Pro W3" w:hAnsi="Times New Roman" w:cs="Times New Roman"/>
          <w:b/>
          <w:color w:val="000000"/>
          <w:sz w:val="24"/>
          <w:szCs w:val="24"/>
          <w:u w:val="single"/>
        </w:rPr>
      </w:pPr>
      <w:r w:rsidRPr="00ED581C">
        <w:rPr>
          <w:rFonts w:ascii="Times New Roman" w:eastAsia="ヒラギノ角ゴ Pro W3" w:hAnsi="Times New Roman" w:cs="Times New Roman"/>
          <w:color w:val="000000"/>
          <w:sz w:val="24"/>
          <w:szCs w:val="24"/>
        </w:rPr>
        <w:t xml:space="preserve">In recent years, </w:t>
      </w:r>
      <w:r w:rsidR="0079095A">
        <w:rPr>
          <w:rFonts w:ascii="Times New Roman" w:eastAsia="ヒラギノ角ゴ Pro W3" w:hAnsi="Times New Roman" w:cs="Times New Roman"/>
          <w:color w:val="000000"/>
          <w:sz w:val="24"/>
          <w:szCs w:val="24"/>
        </w:rPr>
        <w:t xml:space="preserve">ETA offered the SBR grants for IT modernization efforts as a result of </w:t>
      </w:r>
      <w:r w:rsidR="000C1125">
        <w:rPr>
          <w:rFonts w:ascii="Times New Roman" w:eastAsia="ヒラギノ角ゴ Pro W3" w:hAnsi="Times New Roman" w:cs="Times New Roman"/>
          <w:color w:val="000000"/>
          <w:sz w:val="24"/>
          <w:szCs w:val="24"/>
        </w:rPr>
        <w:t xml:space="preserve">appropriated state administration </w:t>
      </w:r>
      <w:r w:rsidRPr="00ED581C">
        <w:rPr>
          <w:rFonts w:ascii="Times New Roman" w:eastAsia="ヒラギノ角ゴ Pro W3" w:hAnsi="Times New Roman" w:cs="Times New Roman"/>
          <w:color w:val="000000"/>
          <w:sz w:val="24"/>
          <w:szCs w:val="24"/>
        </w:rPr>
        <w:t xml:space="preserve">funds </w:t>
      </w:r>
      <w:r w:rsidR="000C1125">
        <w:rPr>
          <w:rFonts w:ascii="Times New Roman" w:eastAsia="ヒラギノ角ゴ Pro W3" w:hAnsi="Times New Roman" w:cs="Times New Roman"/>
          <w:color w:val="000000"/>
          <w:sz w:val="24"/>
          <w:szCs w:val="24"/>
        </w:rPr>
        <w:t>r</w:t>
      </w:r>
      <w:r w:rsidR="0079095A">
        <w:rPr>
          <w:rFonts w:ascii="Times New Roman" w:eastAsia="ヒラギノ角ゴ Pro W3" w:hAnsi="Times New Roman" w:cs="Times New Roman"/>
          <w:color w:val="000000"/>
          <w:sz w:val="24"/>
          <w:szCs w:val="24"/>
        </w:rPr>
        <w:t>emaining</w:t>
      </w:r>
      <w:r w:rsidRPr="00ED581C">
        <w:rPr>
          <w:rFonts w:ascii="Times New Roman" w:eastAsia="ヒラギノ角ゴ Pro W3" w:hAnsi="Times New Roman" w:cs="Times New Roman"/>
          <w:color w:val="000000"/>
          <w:sz w:val="24"/>
          <w:szCs w:val="24"/>
        </w:rPr>
        <w:t xml:space="preserve"> available </w:t>
      </w:r>
      <w:r w:rsidR="0079095A">
        <w:rPr>
          <w:rFonts w:ascii="Times New Roman" w:eastAsia="ヒラギノ角ゴ Pro W3" w:hAnsi="Times New Roman" w:cs="Times New Roman"/>
          <w:color w:val="000000"/>
          <w:sz w:val="24"/>
          <w:szCs w:val="24"/>
        </w:rPr>
        <w:t xml:space="preserve">at the end of the fiscal year </w:t>
      </w:r>
      <w:r w:rsidRPr="00ED581C">
        <w:rPr>
          <w:rFonts w:ascii="Times New Roman" w:eastAsia="ヒラギノ角ゴ Pro W3" w:hAnsi="Times New Roman" w:cs="Times New Roman"/>
          <w:color w:val="000000"/>
          <w:sz w:val="24"/>
          <w:szCs w:val="24"/>
        </w:rPr>
        <w:t xml:space="preserve">due to lower-than-projected workloads.  </w:t>
      </w:r>
      <w:r w:rsidR="00067AE0">
        <w:rPr>
          <w:rFonts w:ascii="Times New Roman" w:eastAsia="ヒラギノ角ゴ Pro W3" w:hAnsi="Times New Roman" w:cs="Times New Roman"/>
          <w:color w:val="000000"/>
          <w:sz w:val="24"/>
          <w:szCs w:val="24"/>
        </w:rPr>
        <w:t xml:space="preserve">The </w:t>
      </w:r>
      <w:r w:rsidR="00E721F4">
        <w:rPr>
          <w:rFonts w:ascii="Times New Roman" w:eastAsia="ヒラギノ角ゴ Pro W3" w:hAnsi="Times New Roman" w:cs="Times New Roman"/>
          <w:color w:val="000000"/>
          <w:sz w:val="24"/>
          <w:szCs w:val="24"/>
        </w:rPr>
        <w:t xml:space="preserve">SBR </w:t>
      </w:r>
      <w:r w:rsidR="00067AE0">
        <w:rPr>
          <w:rFonts w:ascii="Times New Roman" w:eastAsia="ヒラギノ角ゴ Pro W3" w:hAnsi="Times New Roman" w:cs="Times New Roman"/>
          <w:color w:val="000000"/>
          <w:sz w:val="24"/>
          <w:szCs w:val="24"/>
        </w:rPr>
        <w:t>grants</w:t>
      </w:r>
      <w:r w:rsidRPr="00ED581C">
        <w:rPr>
          <w:rFonts w:ascii="Times New Roman" w:eastAsia="ヒラギノ角ゴ Pro W3" w:hAnsi="Times New Roman" w:cs="Times New Roman"/>
          <w:color w:val="000000"/>
          <w:sz w:val="24"/>
          <w:szCs w:val="24"/>
        </w:rPr>
        <w:t xml:space="preserve"> enabled states to implement many of the strategic priorities contained in ETA’s integrity strategic plan and to support modernization of state UI systems.  Specifically, this funding has led to </w:t>
      </w:r>
      <w:r w:rsidR="00781204">
        <w:rPr>
          <w:rFonts w:ascii="Times New Roman" w:eastAsia="ヒラギノ角ゴ Pro W3" w:hAnsi="Times New Roman" w:cs="Times New Roman"/>
          <w:color w:val="000000"/>
          <w:sz w:val="24"/>
          <w:szCs w:val="24"/>
        </w:rPr>
        <w:t xml:space="preserve">the </w:t>
      </w:r>
      <w:r w:rsidRPr="00ED581C">
        <w:rPr>
          <w:rFonts w:ascii="Times New Roman" w:eastAsia="ヒラギノ角ゴ Pro W3" w:hAnsi="Times New Roman" w:cs="Times New Roman"/>
          <w:color w:val="000000"/>
          <w:sz w:val="24"/>
          <w:szCs w:val="24"/>
        </w:rPr>
        <w:t xml:space="preserve">widespread state adoption of strategies such as cross-matching with the National Directory of New Hires (NDNH) for detecting UI claimants who have returned to work, </w:t>
      </w:r>
      <w:r w:rsidR="00781204">
        <w:rPr>
          <w:rFonts w:ascii="Times New Roman" w:eastAsia="ヒラギノ角ゴ Pro W3" w:hAnsi="Times New Roman" w:cs="Times New Roman"/>
          <w:color w:val="000000"/>
          <w:sz w:val="24"/>
          <w:szCs w:val="24"/>
        </w:rPr>
        <w:t>the use of the</w:t>
      </w:r>
      <w:r w:rsidRPr="00ED581C">
        <w:rPr>
          <w:rFonts w:ascii="Times New Roman" w:eastAsia="ヒラギノ角ゴ Pro W3" w:hAnsi="Times New Roman" w:cs="Times New Roman"/>
          <w:color w:val="000000"/>
          <w:sz w:val="24"/>
          <w:szCs w:val="24"/>
        </w:rPr>
        <w:t xml:space="preserve"> Treasury Offset Program (TOP) for the recovery of fraud and certain non-fraud overpayments, and </w:t>
      </w:r>
      <w:r w:rsidR="00781204">
        <w:rPr>
          <w:rFonts w:ascii="Times New Roman" w:eastAsia="ヒラギノ角ゴ Pro W3" w:hAnsi="Times New Roman" w:cs="Times New Roman"/>
          <w:color w:val="000000"/>
          <w:sz w:val="24"/>
          <w:szCs w:val="24"/>
        </w:rPr>
        <w:t xml:space="preserve">the use of </w:t>
      </w:r>
      <w:r w:rsidRPr="00ED581C">
        <w:rPr>
          <w:rFonts w:ascii="Times New Roman" w:eastAsia="ヒラギノ角ゴ Pro W3" w:hAnsi="Times New Roman" w:cs="Times New Roman"/>
          <w:color w:val="000000"/>
          <w:sz w:val="24"/>
          <w:szCs w:val="24"/>
        </w:rPr>
        <w:t>the State Information Data Exchange System (SIDES) for timely and accurate exchange of information required from employers to make benefit eligibility determinations.</w:t>
      </w:r>
    </w:p>
    <w:p w:rsidR="00ED581C" w:rsidRDefault="00ED581C" w:rsidP="00ED581C">
      <w:pPr>
        <w:widowControl w:val="0"/>
        <w:spacing w:after="0" w:line="240" w:lineRule="auto"/>
        <w:rPr>
          <w:rFonts w:ascii="Times New Roman" w:eastAsia="ヒラギノ角ゴ Pro W3" w:hAnsi="Times New Roman" w:cs="Times New Roman"/>
          <w:color w:val="000000"/>
          <w:sz w:val="24"/>
          <w:szCs w:val="24"/>
        </w:rPr>
      </w:pPr>
    </w:p>
    <w:p w:rsidR="00136C2D" w:rsidRDefault="00ED581C" w:rsidP="0079095A">
      <w:pPr>
        <w:widowControl w:val="0"/>
        <w:spacing w:after="0" w:line="240" w:lineRule="auto"/>
        <w:rPr>
          <w:rFonts w:ascii="Times New Roman" w:eastAsia="ヒラギノ角ゴ Pro W3" w:hAnsi="Times New Roman" w:cs="Times New Roman"/>
          <w:color w:val="000000"/>
          <w:sz w:val="24"/>
          <w:szCs w:val="24"/>
        </w:rPr>
      </w:pPr>
      <w:r w:rsidRPr="00ED581C">
        <w:rPr>
          <w:rFonts w:ascii="Times New Roman" w:eastAsia="ヒラギノ角ゴ Pro W3" w:hAnsi="Times New Roman" w:cs="Times New Roman"/>
          <w:color w:val="000000"/>
          <w:sz w:val="24"/>
          <w:szCs w:val="24"/>
        </w:rPr>
        <w:t>For FY 2017, it is still not certain whether state UI administration funding will become available</w:t>
      </w:r>
      <w:r w:rsidR="00287B35">
        <w:rPr>
          <w:rFonts w:ascii="Times New Roman" w:eastAsia="ヒラギノ角ゴ Pro W3" w:hAnsi="Times New Roman" w:cs="Times New Roman"/>
          <w:color w:val="000000"/>
          <w:sz w:val="24"/>
          <w:szCs w:val="24"/>
        </w:rPr>
        <w:t>; therefore,</w:t>
      </w:r>
      <w:r w:rsidRPr="00ED581C">
        <w:rPr>
          <w:rFonts w:ascii="Times New Roman" w:eastAsia="ヒラギノ角ゴ Pro W3" w:hAnsi="Times New Roman" w:cs="Times New Roman"/>
          <w:color w:val="000000"/>
          <w:sz w:val="24"/>
          <w:szCs w:val="24"/>
        </w:rPr>
        <w:t xml:space="preserve"> ETA is unable to offer SBR funding opportunities for improved operations.  </w:t>
      </w:r>
      <w:r w:rsidR="00287B35">
        <w:rPr>
          <w:rFonts w:ascii="Times New Roman" w:eastAsia="ヒラギノ角ゴ Pro W3" w:hAnsi="Times New Roman" w:cs="Times New Roman"/>
          <w:color w:val="000000"/>
          <w:sz w:val="24"/>
          <w:szCs w:val="24"/>
        </w:rPr>
        <w:t>T</w:t>
      </w:r>
      <w:r w:rsidR="00287B35" w:rsidRPr="00287B35">
        <w:rPr>
          <w:rFonts w:ascii="Times New Roman" w:eastAsia="ヒラギノ角ゴ Pro W3" w:hAnsi="Times New Roman" w:cs="Times New Roman"/>
          <w:color w:val="000000"/>
          <w:sz w:val="24"/>
          <w:szCs w:val="24"/>
        </w:rPr>
        <w:t>he current FY 2017 Supplemental Funding Opportunity</w:t>
      </w:r>
      <w:r w:rsidR="00287B35">
        <w:rPr>
          <w:rFonts w:ascii="Times New Roman" w:eastAsia="ヒラギノ角ゴ Pro W3" w:hAnsi="Times New Roman" w:cs="Times New Roman"/>
          <w:color w:val="000000"/>
          <w:sz w:val="24"/>
          <w:szCs w:val="24"/>
        </w:rPr>
        <w:t xml:space="preserve">, however, </w:t>
      </w:r>
      <w:r w:rsidR="00287B35" w:rsidRPr="00287B35">
        <w:rPr>
          <w:rFonts w:ascii="Times New Roman" w:eastAsia="ヒラギノ角ゴ Pro W3" w:hAnsi="Times New Roman" w:cs="Times New Roman"/>
          <w:color w:val="000000"/>
          <w:sz w:val="24"/>
          <w:szCs w:val="24"/>
        </w:rPr>
        <w:t xml:space="preserve">will further the commitment of modernizing </w:t>
      </w:r>
      <w:r w:rsidR="00287B35">
        <w:rPr>
          <w:rFonts w:ascii="Times New Roman" w:eastAsia="ヒラギノ角ゴ Pro W3" w:hAnsi="Times New Roman" w:cs="Times New Roman"/>
          <w:color w:val="000000"/>
          <w:sz w:val="24"/>
          <w:szCs w:val="24"/>
        </w:rPr>
        <w:t xml:space="preserve">states’ IT systems associated with </w:t>
      </w:r>
      <w:r w:rsidR="00287B35" w:rsidRPr="00287B35">
        <w:rPr>
          <w:rFonts w:ascii="Times New Roman" w:eastAsia="ヒラギノ角ゴ Pro W3" w:hAnsi="Times New Roman" w:cs="Times New Roman"/>
          <w:color w:val="000000"/>
          <w:sz w:val="24"/>
          <w:szCs w:val="24"/>
        </w:rPr>
        <w:t>UI program operations.</w:t>
      </w:r>
      <w:r w:rsidR="00287B35">
        <w:rPr>
          <w:rFonts w:ascii="Times New Roman" w:eastAsia="ヒラギノ角ゴ Pro W3" w:hAnsi="Times New Roman" w:cs="Times New Roman"/>
          <w:color w:val="000000"/>
          <w:sz w:val="24"/>
          <w:szCs w:val="24"/>
        </w:rPr>
        <w:t xml:space="preserve">  </w:t>
      </w:r>
      <w:r w:rsidR="000941E2" w:rsidRPr="0079095A">
        <w:rPr>
          <w:rFonts w:ascii="Times New Roman" w:eastAsia="ヒラギノ角ゴ Pro W3" w:hAnsi="Times New Roman" w:cs="Times New Roman"/>
          <w:color w:val="000000"/>
          <w:sz w:val="24"/>
          <w:szCs w:val="24"/>
        </w:rPr>
        <w:t>To receive fu</w:t>
      </w:r>
      <w:r w:rsidR="00035509" w:rsidRPr="0079095A">
        <w:rPr>
          <w:rFonts w:ascii="Times New Roman" w:eastAsia="ヒラギノ角ゴ Pro W3" w:hAnsi="Times New Roman" w:cs="Times New Roman"/>
          <w:color w:val="000000"/>
          <w:sz w:val="24"/>
          <w:szCs w:val="24"/>
        </w:rPr>
        <w:t>nding</w:t>
      </w:r>
      <w:r w:rsidR="000941E2" w:rsidRPr="0079095A">
        <w:rPr>
          <w:rFonts w:ascii="Times New Roman" w:eastAsia="ヒラギノ角ゴ Pro W3" w:hAnsi="Times New Roman" w:cs="Times New Roman"/>
          <w:color w:val="000000"/>
          <w:sz w:val="24"/>
          <w:szCs w:val="24"/>
        </w:rPr>
        <w:t xml:space="preserve"> through this solicitation, </w:t>
      </w:r>
      <w:r w:rsidR="00035509" w:rsidRPr="0079095A">
        <w:rPr>
          <w:rFonts w:ascii="Times New Roman" w:eastAsia="ヒラギノ角ゴ Pro W3" w:hAnsi="Times New Roman" w:cs="Times New Roman"/>
          <w:color w:val="000000"/>
          <w:sz w:val="24"/>
          <w:szCs w:val="24"/>
        </w:rPr>
        <w:t xml:space="preserve">states must attest to the status of SIDES implementation, as well as implement and begin using SIDES Web Services and SIDES e-Response.  In addition, States must submit a proposal </w:t>
      </w:r>
      <w:r w:rsidR="00136C2D" w:rsidRPr="0079095A">
        <w:rPr>
          <w:rFonts w:ascii="Times New Roman" w:eastAsia="ヒラギノ角ゴ Pro W3" w:hAnsi="Times New Roman" w:cs="Times New Roman"/>
          <w:color w:val="000000"/>
          <w:sz w:val="24"/>
          <w:szCs w:val="24"/>
        </w:rPr>
        <w:t xml:space="preserve">containing a realistic timeline, goals, and milestones, </w:t>
      </w:r>
      <w:r w:rsidR="00035509" w:rsidRPr="0079095A">
        <w:rPr>
          <w:rFonts w:ascii="Times New Roman" w:eastAsia="ヒラギノ角ゴ Pro W3" w:hAnsi="Times New Roman" w:cs="Times New Roman"/>
          <w:color w:val="000000"/>
          <w:sz w:val="24"/>
          <w:szCs w:val="24"/>
        </w:rPr>
        <w:t xml:space="preserve">for one of the types of consortium </w:t>
      </w:r>
      <w:r w:rsidR="00136C2D" w:rsidRPr="0079095A">
        <w:rPr>
          <w:rFonts w:ascii="Times New Roman" w:eastAsia="ヒラギノ角ゴ Pro W3" w:hAnsi="Times New Roman" w:cs="Times New Roman"/>
          <w:color w:val="000000"/>
          <w:sz w:val="24"/>
          <w:szCs w:val="24"/>
        </w:rPr>
        <w:t xml:space="preserve">projects outlined in the funding opportunity. </w:t>
      </w:r>
    </w:p>
    <w:p w:rsidR="0079095A" w:rsidRPr="0079095A" w:rsidRDefault="0079095A" w:rsidP="0079095A">
      <w:pPr>
        <w:widowControl w:val="0"/>
        <w:spacing w:after="0" w:line="240" w:lineRule="auto"/>
        <w:rPr>
          <w:rFonts w:ascii="Times New Roman" w:eastAsia="ヒラギノ角ゴ Pro W3" w:hAnsi="Times New Roman" w:cs="Times New Roman"/>
          <w:color w:val="000000"/>
          <w:sz w:val="24"/>
          <w:szCs w:val="24"/>
        </w:rPr>
      </w:pPr>
    </w:p>
    <w:p w:rsidR="001B7B29" w:rsidRPr="00E721F4" w:rsidRDefault="00136C2D" w:rsidP="00ED581C">
      <w:pPr>
        <w:rPr>
          <w:rFonts w:ascii="Times New Roman" w:eastAsia="ヒラギノ角ゴ Pro W3" w:hAnsi="Times New Roman" w:cs="Times New Roman"/>
          <w:color w:val="000000"/>
          <w:sz w:val="24"/>
          <w:szCs w:val="24"/>
        </w:rPr>
      </w:pPr>
      <w:r w:rsidRPr="00E721F4">
        <w:rPr>
          <w:rFonts w:ascii="Times New Roman" w:eastAsia="ヒラギノ角ゴ Pro W3" w:hAnsi="Times New Roman" w:cs="Times New Roman"/>
          <w:color w:val="000000"/>
          <w:sz w:val="24"/>
          <w:szCs w:val="24"/>
        </w:rPr>
        <w:t xml:space="preserve">Applications will include the following information collections:  </w:t>
      </w:r>
    </w:p>
    <w:p w:rsidR="001B7B29" w:rsidRPr="00787438" w:rsidRDefault="00136C2D" w:rsidP="00787438">
      <w:pPr>
        <w:pStyle w:val="ListParagraph"/>
        <w:numPr>
          <w:ilvl w:val="0"/>
          <w:numId w:val="7"/>
        </w:numPr>
        <w:rPr>
          <w:rFonts w:ascii="Times New Roman" w:eastAsia="ヒラギノ角ゴ Pro W3" w:hAnsi="Times New Roman"/>
          <w:color w:val="000000"/>
          <w:szCs w:val="24"/>
        </w:rPr>
      </w:pPr>
      <w:r w:rsidRPr="00787438">
        <w:rPr>
          <w:rFonts w:ascii="Times New Roman" w:eastAsia="ヒラギノ角ゴ Pro W3" w:hAnsi="Times New Roman"/>
          <w:color w:val="000000"/>
          <w:szCs w:val="24"/>
        </w:rPr>
        <w:t xml:space="preserve">2017 Supplemental Budget Request (SBR) Application; </w:t>
      </w:r>
      <w:r w:rsidR="001B7B29" w:rsidRPr="00787438">
        <w:rPr>
          <w:rFonts w:ascii="Times New Roman" w:eastAsia="ヒラギノ角ゴ Pro W3" w:hAnsi="Times New Roman"/>
          <w:color w:val="000000"/>
          <w:szCs w:val="24"/>
        </w:rPr>
        <w:t>(submitted by the lead state in a consortium);</w:t>
      </w:r>
    </w:p>
    <w:p w:rsidR="001B7B29" w:rsidRPr="00787438" w:rsidRDefault="00136C2D" w:rsidP="00787438">
      <w:pPr>
        <w:pStyle w:val="ListParagraph"/>
        <w:numPr>
          <w:ilvl w:val="0"/>
          <w:numId w:val="7"/>
        </w:numPr>
        <w:rPr>
          <w:rFonts w:ascii="Times New Roman" w:eastAsia="ヒラギノ角ゴ Pro W3" w:hAnsi="Times New Roman"/>
          <w:color w:val="000000"/>
          <w:szCs w:val="24"/>
        </w:rPr>
      </w:pPr>
      <w:r w:rsidRPr="00787438">
        <w:rPr>
          <w:rFonts w:ascii="Times New Roman" w:eastAsia="ヒラギノ角ゴ Pro W3" w:hAnsi="Times New Roman"/>
          <w:color w:val="000000"/>
          <w:szCs w:val="24"/>
        </w:rPr>
        <w:t>F</w:t>
      </w:r>
      <w:r w:rsidR="001B7B29" w:rsidRPr="00787438">
        <w:rPr>
          <w:rFonts w:ascii="Times New Roman" w:eastAsia="ヒラギノ角ゴ Pro W3" w:hAnsi="Times New Roman"/>
          <w:color w:val="000000"/>
          <w:szCs w:val="24"/>
        </w:rPr>
        <w:t>orm SF-424 “Application for Federal Assistance,” separately cleared under OMB control number 4040-0004; (submitted by all states in a consortium);</w:t>
      </w:r>
    </w:p>
    <w:p w:rsidR="001B7B29" w:rsidRPr="00787438" w:rsidRDefault="001B7B29" w:rsidP="00787438">
      <w:pPr>
        <w:pStyle w:val="ListParagraph"/>
        <w:numPr>
          <w:ilvl w:val="0"/>
          <w:numId w:val="7"/>
        </w:numPr>
        <w:rPr>
          <w:rFonts w:ascii="Times New Roman" w:eastAsia="ヒラギノ角ゴ Pro W3" w:hAnsi="Times New Roman"/>
          <w:color w:val="000000"/>
          <w:szCs w:val="24"/>
        </w:rPr>
      </w:pPr>
      <w:r w:rsidRPr="00787438">
        <w:rPr>
          <w:rFonts w:ascii="Times New Roman" w:eastAsia="ヒラギノ角ゴ Pro W3" w:hAnsi="Times New Roman"/>
          <w:color w:val="000000"/>
          <w:szCs w:val="24"/>
        </w:rPr>
        <w:t>Form SF-424A Budget Information Form, OMB control number 4040-0006; (submitted by all states in a consortium);</w:t>
      </w:r>
    </w:p>
    <w:p w:rsidR="00136C2D" w:rsidRPr="00787438" w:rsidRDefault="001B7B29" w:rsidP="00787438">
      <w:pPr>
        <w:pStyle w:val="ListParagraph"/>
        <w:numPr>
          <w:ilvl w:val="0"/>
          <w:numId w:val="7"/>
        </w:numPr>
        <w:rPr>
          <w:rFonts w:ascii="Times New Roman" w:eastAsia="ヒラギノ角ゴ Pro W3" w:hAnsi="Times New Roman"/>
          <w:color w:val="000000"/>
          <w:szCs w:val="24"/>
        </w:rPr>
      </w:pPr>
      <w:r w:rsidRPr="00787438">
        <w:rPr>
          <w:rFonts w:ascii="Times New Roman" w:eastAsia="ヒラギノ角ゴ Pro W3" w:hAnsi="Times New Roman"/>
          <w:color w:val="000000"/>
          <w:szCs w:val="24"/>
        </w:rPr>
        <w:t>Budget Narrative, explaining projected costs reflected in each line item of the SF-424A (submitted by all states in a consortium);</w:t>
      </w:r>
    </w:p>
    <w:p w:rsidR="00C97D02" w:rsidRDefault="00C97D02" w:rsidP="00726760">
      <w:pPr>
        <w:widowControl w:val="0"/>
        <w:spacing w:after="0" w:line="240" w:lineRule="auto"/>
        <w:rPr>
          <w:rFonts w:ascii="Times New Roman" w:eastAsia="Times New Roman" w:hAnsi="Times New Roman" w:cs="Times New Roman"/>
          <w:sz w:val="24"/>
          <w:szCs w:val="24"/>
        </w:rPr>
      </w:pPr>
    </w:p>
    <w:bookmarkEnd w:id="1"/>
    <w:bookmarkEnd w:id="2"/>
    <w:bookmarkEnd w:id="3"/>
    <w:bookmarkEnd w:id="4"/>
    <w:p w:rsidR="00C97D02" w:rsidRPr="003339C5" w:rsidRDefault="00C97D02" w:rsidP="00ED581C">
      <w:pPr>
        <w:tabs>
          <w:tab w:val="left" w:pos="1453"/>
        </w:tabs>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Electronic availability: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726760" w:rsidRPr="00726760" w:rsidRDefault="00BD7DA1" w:rsidP="00726760">
      <w:pPr>
        <w:widowControl w:val="0"/>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This grant solicitation is available on the </w:t>
      </w:r>
      <w:hyperlink r:id="rId9" w:history="1">
        <w:r w:rsidRPr="002E5DBD">
          <w:rPr>
            <w:rStyle w:val="Hyperlink"/>
            <w:rFonts w:ascii="Times New Roman" w:eastAsia="ヒラギノ角ゴ Pro W3" w:hAnsi="Times New Roman" w:cs="Times New Roman"/>
            <w:sz w:val="24"/>
            <w:szCs w:val="24"/>
          </w:rPr>
          <w:t>www.doleta.gov</w:t>
        </w:r>
      </w:hyperlink>
      <w:r>
        <w:rPr>
          <w:rFonts w:ascii="Times New Roman" w:eastAsia="ヒラギノ角ゴ Pro W3" w:hAnsi="Times New Roman" w:cs="Times New Roman"/>
          <w:color w:val="000000"/>
          <w:sz w:val="24"/>
          <w:szCs w:val="24"/>
        </w:rPr>
        <w:t xml:space="preserve"> Web site.  Based on past experience, the Department anticipates 100 percent of responses will be submitted electronically.  </w:t>
      </w:r>
    </w:p>
    <w:p w:rsidR="00612771" w:rsidRPr="003339C5"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w:t>
      </w:r>
      <w:r w:rsidR="00726760">
        <w:rPr>
          <w:rFonts w:ascii="Times New Roman" w:eastAsia="Times New Roman" w:hAnsi="Times New Roman" w:cs="Times New Roman"/>
          <w:color w:val="000000"/>
          <w:sz w:val="24"/>
          <w:szCs w:val="24"/>
        </w:rPr>
        <w:t>is</w:t>
      </w:r>
      <w:r w:rsidRPr="003339C5">
        <w:rPr>
          <w:rFonts w:ascii="Times New Roman" w:eastAsia="Times New Roman" w:hAnsi="Times New Roman" w:cs="Times New Roman"/>
          <w:color w:val="000000"/>
          <w:sz w:val="24"/>
          <w:szCs w:val="24"/>
        </w:rPr>
        <w:t xml:space="preserve"> grant solicitation do</w:t>
      </w:r>
      <w:r w:rsidR="00BD7DA1">
        <w:rPr>
          <w:rFonts w:ascii="Times New Roman" w:eastAsia="Times New Roman" w:hAnsi="Times New Roman" w:cs="Times New Roman"/>
          <w:color w:val="000000"/>
          <w:sz w:val="24"/>
          <w:szCs w:val="24"/>
        </w:rPr>
        <w:t>es</w:t>
      </w:r>
      <w:r w:rsidRPr="003339C5">
        <w:rPr>
          <w:rFonts w:ascii="Times New Roman" w:eastAsia="Times New Roman" w:hAnsi="Times New Roman" w:cs="Times New Roman"/>
          <w:color w:val="000000"/>
          <w:sz w:val="24"/>
          <w:szCs w:val="24"/>
        </w:rPr>
        <w:t xml:space="preserve"> not offer applicants 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Special circumstances: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3339C5"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solicitation </w:t>
      </w:r>
      <w:r w:rsidR="00C97D02" w:rsidRPr="003339C5">
        <w:rPr>
          <w:rFonts w:ascii="Times New Roman" w:eastAsia="Times New Roman" w:hAnsi="Times New Roman" w:cs="Times New Roman"/>
          <w:color w:val="000000"/>
          <w:sz w:val="24"/>
          <w:szCs w:val="24"/>
        </w:rPr>
        <w:t>implicates no special circumstances.</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Burden:</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7551B3"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T</w:t>
      </w:r>
      <w:r w:rsidR="00C97D02" w:rsidRPr="003339C5">
        <w:rPr>
          <w:rFonts w:ascii="Times New Roman" w:eastAsia="Calibri" w:hAnsi="Times New Roman" w:cs="Times New Roman"/>
          <w:color w:val="000000"/>
          <w:sz w:val="24"/>
          <w:szCs w:val="24"/>
        </w:rPr>
        <w:t xml:space="preserve">he DOL expects to receive </w:t>
      </w:r>
      <w:r w:rsidR="00C97D02" w:rsidRPr="003339C5">
        <w:rPr>
          <w:rFonts w:ascii="Times New Roman" w:eastAsia="Calibri" w:hAnsi="Times New Roman" w:cs="Times New Roman"/>
          <w:sz w:val="24"/>
          <w:szCs w:val="24"/>
        </w:rPr>
        <w:t xml:space="preserve">approximately </w:t>
      </w:r>
      <w:r w:rsidR="00A86BFB" w:rsidRPr="003339C5">
        <w:rPr>
          <w:rFonts w:ascii="Times New Roman" w:eastAsia="Calibri" w:hAnsi="Times New Roman" w:cs="Times New Roman"/>
          <w:sz w:val="24"/>
          <w:szCs w:val="24"/>
        </w:rPr>
        <w:t>5</w:t>
      </w:r>
      <w:r w:rsidR="004F4ED0" w:rsidRPr="003339C5">
        <w:rPr>
          <w:rFonts w:ascii="Times New Roman" w:eastAsia="Calibri" w:hAnsi="Times New Roman" w:cs="Times New Roman"/>
          <w:sz w:val="24"/>
          <w:szCs w:val="24"/>
        </w:rPr>
        <w:t xml:space="preserve">4 </w:t>
      </w:r>
      <w:r w:rsidR="00C97D02" w:rsidRPr="003339C5">
        <w:rPr>
          <w:rFonts w:ascii="Times New Roman" w:eastAsia="Calibri" w:hAnsi="Times New Roman" w:cs="Times New Roman"/>
          <w:color w:val="000000"/>
          <w:sz w:val="24"/>
          <w:szCs w:val="24"/>
        </w:rPr>
        <w:t>applications from an equal number of respondents.  The public reporting burden for th</w:t>
      </w:r>
      <w:r w:rsidRPr="003339C5">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3339C5">
        <w:rPr>
          <w:rFonts w:ascii="Times New Roman" w:eastAsia="Calibri" w:hAnsi="Times New Roman" w:cs="Times New Roman"/>
          <w:color w:val="000000"/>
          <w:sz w:val="24"/>
          <w:szCs w:val="24"/>
        </w:rPr>
        <w:t>reviewing instructions, searching existing data sources, gathering and maintaining needed data,</w:t>
      </w:r>
      <w:r w:rsidRPr="003339C5">
        <w:rPr>
          <w:rFonts w:ascii="Times New Roman" w:eastAsia="Calibri" w:hAnsi="Times New Roman" w:cs="Times New Roman"/>
          <w:color w:val="000000"/>
          <w:sz w:val="24"/>
          <w:szCs w:val="24"/>
        </w:rPr>
        <w:t xml:space="preserve"> and completing and </w:t>
      </w:r>
      <w:r w:rsidR="00C97D02" w:rsidRPr="003339C5">
        <w:rPr>
          <w:rFonts w:ascii="Times New Roman" w:eastAsia="Calibri" w:hAnsi="Times New Roman" w:cs="Times New Roman"/>
          <w:color w:val="000000"/>
          <w:sz w:val="24"/>
          <w:szCs w:val="24"/>
        </w:rPr>
        <w:t>reviewing the collection of information.</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4F4ED0"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sz w:val="24"/>
          <w:szCs w:val="24"/>
        </w:rPr>
        <w:t>54</w:t>
      </w:r>
      <w:r w:rsidR="00C97D02" w:rsidRPr="003339C5">
        <w:rPr>
          <w:rFonts w:ascii="Times New Roman" w:eastAsia="Calibri" w:hAnsi="Times New Roman" w:cs="Times New Roman"/>
          <w:sz w:val="24"/>
          <w:szCs w:val="24"/>
        </w:rPr>
        <w:t xml:space="preserve"> </w:t>
      </w:r>
      <w:r w:rsidR="00C97D02" w:rsidRPr="003339C5">
        <w:rPr>
          <w:rFonts w:ascii="Times New Roman" w:eastAsia="Calibri" w:hAnsi="Times New Roman" w:cs="Times New Roman"/>
          <w:color w:val="000000"/>
          <w:sz w:val="24"/>
          <w:szCs w:val="24"/>
        </w:rPr>
        <w:t xml:space="preserve">applications x </w:t>
      </w:r>
      <w:r w:rsidR="00C54AA8" w:rsidRPr="003339C5">
        <w:rPr>
          <w:rFonts w:ascii="Times New Roman" w:eastAsia="Calibri" w:hAnsi="Times New Roman" w:cs="Times New Roman"/>
          <w:color w:val="000000"/>
          <w:sz w:val="24"/>
          <w:szCs w:val="24"/>
        </w:rPr>
        <w:t>20</w:t>
      </w:r>
      <w:r w:rsidR="00C97D02" w:rsidRPr="003339C5">
        <w:rPr>
          <w:rFonts w:ascii="Times New Roman" w:eastAsia="Calibri" w:hAnsi="Times New Roman" w:cs="Times New Roman"/>
          <w:color w:val="000000"/>
          <w:sz w:val="24"/>
          <w:szCs w:val="24"/>
        </w:rPr>
        <w:t xml:space="preserve"> hours = </w:t>
      </w:r>
      <w:r w:rsidRPr="003339C5">
        <w:rPr>
          <w:rFonts w:ascii="Times New Roman" w:eastAsia="Calibri" w:hAnsi="Times New Roman" w:cs="Times New Roman"/>
          <w:color w:val="000000"/>
          <w:sz w:val="24"/>
          <w:szCs w:val="24"/>
        </w:rPr>
        <w:t>1</w:t>
      </w:r>
      <w:r w:rsidR="00C54AA8" w:rsidRPr="003339C5">
        <w:rPr>
          <w:rFonts w:ascii="Times New Roman" w:eastAsia="Calibri" w:hAnsi="Times New Roman" w:cs="Times New Roman"/>
          <w:color w:val="000000"/>
          <w:sz w:val="24"/>
          <w:szCs w:val="24"/>
        </w:rPr>
        <w:t>0</w:t>
      </w:r>
      <w:r w:rsidRPr="003339C5">
        <w:rPr>
          <w:rFonts w:ascii="Times New Roman" w:eastAsia="Calibri" w:hAnsi="Times New Roman" w:cs="Times New Roman"/>
          <w:color w:val="000000"/>
          <w:sz w:val="24"/>
          <w:szCs w:val="24"/>
        </w:rPr>
        <w:t>80</w:t>
      </w:r>
      <w:r w:rsidR="007551B3" w:rsidRPr="003339C5">
        <w:rPr>
          <w:rFonts w:ascii="Times New Roman" w:eastAsia="Calibri" w:hAnsi="Times New Roman" w:cs="Times New Roman"/>
          <w:color w:val="000000"/>
          <w:sz w:val="24"/>
          <w:szCs w:val="24"/>
        </w:rPr>
        <w:t xml:space="preserve"> hours</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BD7DA1" w:rsidRPr="00F60199" w:rsidRDefault="00D16E56" w:rsidP="00BD7DA1">
      <w:pPr>
        <w:spacing w:after="0" w:line="240" w:lineRule="auto"/>
        <w:rPr>
          <w:rFonts w:ascii="Times New Roman" w:eastAsia="Calibri" w:hAnsi="Times New Roman" w:cs="Times New Roman"/>
          <w:color w:val="1F497D"/>
          <w:sz w:val="24"/>
          <w:szCs w:val="24"/>
        </w:rPr>
      </w:pPr>
      <w:r w:rsidRPr="003339C5">
        <w:rPr>
          <w:rFonts w:ascii="Times New Roman" w:eastAsia="Calibri" w:hAnsi="Times New Roman" w:cs="Times New Roman"/>
          <w:color w:val="000000"/>
        </w:rPr>
        <w:t>The DOL has increased the average hourly earnings in the professional and business services industry to $</w:t>
      </w:r>
      <w:r w:rsidR="00BD7DA1">
        <w:rPr>
          <w:rFonts w:ascii="Times New Roman" w:eastAsia="Calibri" w:hAnsi="Times New Roman" w:cs="Times New Roman"/>
          <w:color w:val="000000"/>
        </w:rPr>
        <w:t>31.53</w:t>
      </w:r>
      <w:r w:rsidRPr="003339C5">
        <w:rPr>
          <w:rFonts w:ascii="Times New Roman" w:eastAsia="Calibri" w:hAnsi="Times New Roman" w:cs="Times New Roman"/>
          <w:color w:val="000000"/>
        </w:rPr>
        <w:t xml:space="preserve"> per hour to monetize this burden.  See The Employment Situation—</w:t>
      </w:r>
      <w:r w:rsidR="00BD7DA1">
        <w:rPr>
          <w:rFonts w:ascii="Times New Roman" w:eastAsia="Calibri" w:hAnsi="Times New Roman" w:cs="Times New Roman"/>
          <w:color w:val="000000"/>
        </w:rPr>
        <w:t>June 2017</w:t>
      </w:r>
      <w:r w:rsidRPr="003339C5">
        <w:rPr>
          <w:rFonts w:ascii="Times New Roman" w:eastAsia="Calibri" w:hAnsi="Times New Roman" w:cs="Times New Roman"/>
          <w:color w:val="000000"/>
        </w:rPr>
        <w:t xml:space="preserve">, DOL, </w:t>
      </w:r>
      <w:r w:rsidR="00BD7DA1" w:rsidRPr="00F60199">
        <w:rPr>
          <w:rFonts w:ascii="Times New Roman" w:eastAsia="Calibri" w:hAnsi="Times New Roman" w:cs="Times New Roman"/>
          <w:color w:val="000000"/>
          <w:sz w:val="24"/>
          <w:szCs w:val="24"/>
        </w:rPr>
        <w:t xml:space="preserve">Bureau of Labor Statistics, </w:t>
      </w:r>
      <w:hyperlink r:id="rId10" w:history="1">
        <w:r w:rsidR="004B2C53" w:rsidRPr="007C1689">
          <w:rPr>
            <w:rStyle w:val="Hyperlink"/>
            <w:rFonts w:ascii="Times New Roman" w:eastAsia="Calibri" w:hAnsi="Times New Roman" w:cs="Times New Roman"/>
            <w:sz w:val="24"/>
            <w:szCs w:val="24"/>
          </w:rPr>
          <w:t>https://www.bls.gov/news.release/archives/empsit_07072017.pdf</w:t>
        </w:r>
      </w:hyperlink>
      <w:r w:rsidR="004B2C53">
        <w:rPr>
          <w:rFonts w:ascii="Times New Roman" w:eastAsia="Calibri" w:hAnsi="Times New Roman" w:cs="Times New Roman"/>
          <w:color w:val="000000"/>
          <w:sz w:val="24"/>
          <w:szCs w:val="24"/>
        </w:rPr>
        <w:t xml:space="preserve"> </w:t>
      </w:r>
      <w:r w:rsidR="00BD7DA1" w:rsidRPr="00F60199">
        <w:rPr>
          <w:rFonts w:ascii="Times New Roman" w:eastAsia="Calibri" w:hAnsi="Times New Roman" w:cs="Times New Roman"/>
          <w:color w:val="000000"/>
          <w:sz w:val="24"/>
          <w:szCs w:val="24"/>
        </w:rPr>
        <w:t>at page 33.</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A86BFB"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1</w:t>
      </w:r>
      <w:r w:rsidR="00612771" w:rsidRPr="003339C5">
        <w:rPr>
          <w:rFonts w:ascii="Times New Roman" w:eastAsia="Calibri" w:hAnsi="Times New Roman" w:cs="Times New Roman"/>
          <w:color w:val="000000"/>
          <w:sz w:val="24"/>
          <w:szCs w:val="24"/>
        </w:rPr>
        <w:t>080</w:t>
      </w:r>
      <w:r w:rsidR="00C97D02" w:rsidRPr="003339C5">
        <w:rPr>
          <w:rFonts w:ascii="Times New Roman" w:eastAsia="Calibri" w:hAnsi="Times New Roman" w:cs="Times New Roman"/>
          <w:color w:val="000000"/>
          <w:sz w:val="24"/>
          <w:szCs w:val="24"/>
        </w:rPr>
        <w:t xml:space="preserve"> hours x $</w:t>
      </w:r>
      <w:r w:rsidR="00BD7DA1">
        <w:rPr>
          <w:rFonts w:ascii="Times New Roman" w:eastAsia="Calibri" w:hAnsi="Times New Roman" w:cs="Times New Roman"/>
          <w:color w:val="000000"/>
          <w:sz w:val="24"/>
          <w:szCs w:val="24"/>
        </w:rPr>
        <w:t>31.53</w:t>
      </w:r>
      <w:r w:rsidR="00C97D02" w:rsidRPr="003339C5">
        <w:rPr>
          <w:rFonts w:ascii="Times New Roman" w:eastAsia="Calibri" w:hAnsi="Times New Roman" w:cs="Times New Roman"/>
          <w:color w:val="000000"/>
          <w:sz w:val="24"/>
          <w:szCs w:val="24"/>
        </w:rPr>
        <w:t xml:space="preserve"> = $</w:t>
      </w:r>
      <w:r w:rsidR="00BD7DA1">
        <w:rPr>
          <w:rFonts w:ascii="Times New Roman" w:eastAsia="Calibri" w:hAnsi="Times New Roman" w:cs="Times New Roman"/>
          <w:color w:val="000000"/>
          <w:sz w:val="24"/>
          <w:szCs w:val="24"/>
        </w:rPr>
        <w:t>34,052.40</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i/>
          <w:color w:val="000000"/>
          <w:sz w:val="24"/>
          <w:szCs w:val="24"/>
        </w:rPr>
      </w:pPr>
      <w:r w:rsidRPr="003339C5">
        <w:rPr>
          <w:rFonts w:ascii="Times New Roman" w:eastAsia="Times New Roman" w:hAnsi="Times New Roman" w:cs="Times New Roman"/>
          <w:i/>
          <w:color w:val="000000"/>
          <w:sz w:val="24"/>
          <w:szCs w:val="24"/>
        </w:rPr>
        <w:t xml:space="preserve">Total burden: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respondents,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responses,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1080</w:t>
      </w:r>
      <w:r w:rsidRPr="003339C5">
        <w:rPr>
          <w:rFonts w:ascii="Times New Roman" w:eastAsia="Times New Roman" w:hAnsi="Times New Roman" w:cs="Times New Roman"/>
          <w:i/>
          <w:color w:val="000000"/>
          <w:sz w:val="24"/>
          <w:szCs w:val="24"/>
        </w:rPr>
        <w:t xml:space="preserve"> hours, $</w:t>
      </w:r>
      <w:r w:rsidR="000306E2"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other cost burden.</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i/>
          <w:color w:val="000000"/>
          <w:sz w:val="24"/>
          <w:szCs w:val="24"/>
          <w:u w:val="single"/>
        </w:rPr>
      </w:pPr>
      <w:r w:rsidRPr="003339C5">
        <w:rPr>
          <w:rFonts w:ascii="Times New Roman" w:eastAsia="Times New Roman" w:hAnsi="Times New Roman" w:cs="Times New Roman"/>
          <w:b/>
          <w:i/>
          <w:color w:val="000000"/>
          <w:sz w:val="24"/>
          <w:szCs w:val="24"/>
          <w:u w:val="single"/>
        </w:rPr>
        <w:t>Supplemental Supporting Statement B: Statistical Methods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033FCA" w:rsidRPr="00612771" w:rsidRDefault="00C97D02" w:rsidP="00A86BFB">
      <w:pPr>
        <w:spacing w:after="0" w:line="240" w:lineRule="auto"/>
        <w:rPr>
          <w:rFonts w:ascii="Times New Roman" w:hAnsi="Times New Roman" w:cs="Times New Roman"/>
          <w:sz w:val="24"/>
          <w:szCs w:val="24"/>
        </w:rPr>
      </w:pPr>
      <w:r w:rsidRPr="003339C5">
        <w:rPr>
          <w:rFonts w:ascii="Times New Roman" w:eastAsia="Times New Roman" w:hAnsi="Times New Roman" w:cs="Times New Roman"/>
          <w:color w:val="000000"/>
          <w:sz w:val="24"/>
          <w:szCs w:val="24"/>
        </w:rPr>
        <w:t>This information collection does not employ statistical methods.</w:t>
      </w:r>
    </w:p>
    <w:sectPr w:rsidR="00033FCA" w:rsidRPr="006127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77" w:rsidRDefault="005D3277" w:rsidP="00C97D02">
      <w:pPr>
        <w:spacing w:after="0" w:line="240" w:lineRule="auto"/>
      </w:pPr>
      <w:r>
        <w:separator/>
      </w:r>
    </w:p>
  </w:endnote>
  <w:endnote w:type="continuationSeparator" w:id="0">
    <w:p w:rsidR="005D3277" w:rsidRDefault="005D3277"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71F04">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77" w:rsidRDefault="005D3277" w:rsidP="00C97D02">
      <w:pPr>
        <w:spacing w:after="0" w:line="240" w:lineRule="auto"/>
      </w:pPr>
      <w:r>
        <w:separator/>
      </w:r>
    </w:p>
  </w:footnote>
  <w:footnote w:type="continuationSeparator" w:id="0">
    <w:p w:rsidR="005D3277" w:rsidRDefault="005D3277"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46FF5986"/>
    <w:multiLevelType w:val="hybridMultilevel"/>
    <w:tmpl w:val="BC50F0A4"/>
    <w:lvl w:ilvl="0" w:tplc="6564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267E5"/>
    <w:multiLevelType w:val="hybridMultilevel"/>
    <w:tmpl w:val="DD48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C84FB2"/>
    <w:multiLevelType w:val="hybridMultilevel"/>
    <w:tmpl w:val="3166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5509"/>
    <w:rsid w:val="00036333"/>
    <w:rsid w:val="00064E02"/>
    <w:rsid w:val="00067AE0"/>
    <w:rsid w:val="00075A18"/>
    <w:rsid w:val="000941E2"/>
    <w:rsid w:val="00097E0B"/>
    <w:rsid w:val="000A4A71"/>
    <w:rsid w:val="000C1125"/>
    <w:rsid w:val="000C2781"/>
    <w:rsid w:val="000D0095"/>
    <w:rsid w:val="000D13C4"/>
    <w:rsid w:val="000D77F4"/>
    <w:rsid w:val="000E36A8"/>
    <w:rsid w:val="000E6452"/>
    <w:rsid w:val="001127D3"/>
    <w:rsid w:val="001142E2"/>
    <w:rsid w:val="00126CC3"/>
    <w:rsid w:val="00131D17"/>
    <w:rsid w:val="001331CD"/>
    <w:rsid w:val="00136C2D"/>
    <w:rsid w:val="00137E47"/>
    <w:rsid w:val="00143CF1"/>
    <w:rsid w:val="0015387B"/>
    <w:rsid w:val="00160139"/>
    <w:rsid w:val="00163140"/>
    <w:rsid w:val="00167E40"/>
    <w:rsid w:val="00177C8C"/>
    <w:rsid w:val="001B6554"/>
    <w:rsid w:val="001B7B29"/>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87B35"/>
    <w:rsid w:val="00296DDE"/>
    <w:rsid w:val="002B3647"/>
    <w:rsid w:val="002B3B0A"/>
    <w:rsid w:val="002B6BCF"/>
    <w:rsid w:val="002C4631"/>
    <w:rsid w:val="002D1A6C"/>
    <w:rsid w:val="002D1EC1"/>
    <w:rsid w:val="002D2A16"/>
    <w:rsid w:val="002E0740"/>
    <w:rsid w:val="002E49DF"/>
    <w:rsid w:val="002F5387"/>
    <w:rsid w:val="003021B4"/>
    <w:rsid w:val="00320E77"/>
    <w:rsid w:val="00323359"/>
    <w:rsid w:val="0033099A"/>
    <w:rsid w:val="00332BE0"/>
    <w:rsid w:val="003339C5"/>
    <w:rsid w:val="00357969"/>
    <w:rsid w:val="003664FB"/>
    <w:rsid w:val="003719E6"/>
    <w:rsid w:val="00385150"/>
    <w:rsid w:val="003B58AD"/>
    <w:rsid w:val="003C249A"/>
    <w:rsid w:val="003E24A7"/>
    <w:rsid w:val="0041166A"/>
    <w:rsid w:val="00411706"/>
    <w:rsid w:val="00413F86"/>
    <w:rsid w:val="0043347F"/>
    <w:rsid w:val="00471D5F"/>
    <w:rsid w:val="00474DAA"/>
    <w:rsid w:val="00474E78"/>
    <w:rsid w:val="0048667B"/>
    <w:rsid w:val="004A0700"/>
    <w:rsid w:val="004B2C53"/>
    <w:rsid w:val="004B40ED"/>
    <w:rsid w:val="004B5DD0"/>
    <w:rsid w:val="004B760D"/>
    <w:rsid w:val="004C3B63"/>
    <w:rsid w:val="004D3316"/>
    <w:rsid w:val="004D3BA3"/>
    <w:rsid w:val="004E5D51"/>
    <w:rsid w:val="004F00C4"/>
    <w:rsid w:val="004F4A2C"/>
    <w:rsid w:val="004F4ED0"/>
    <w:rsid w:val="0051557A"/>
    <w:rsid w:val="00515A5A"/>
    <w:rsid w:val="00517E2A"/>
    <w:rsid w:val="005207D2"/>
    <w:rsid w:val="00526F79"/>
    <w:rsid w:val="0056684F"/>
    <w:rsid w:val="00587656"/>
    <w:rsid w:val="005934FD"/>
    <w:rsid w:val="005A34DF"/>
    <w:rsid w:val="005B3BCB"/>
    <w:rsid w:val="005B667B"/>
    <w:rsid w:val="005C4DA7"/>
    <w:rsid w:val="005D327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26760"/>
    <w:rsid w:val="00753F76"/>
    <w:rsid w:val="00754A05"/>
    <w:rsid w:val="007551B3"/>
    <w:rsid w:val="00760C81"/>
    <w:rsid w:val="00763E01"/>
    <w:rsid w:val="00776DE2"/>
    <w:rsid w:val="00781204"/>
    <w:rsid w:val="00784C72"/>
    <w:rsid w:val="00787438"/>
    <w:rsid w:val="0079095A"/>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61225"/>
    <w:rsid w:val="008676B9"/>
    <w:rsid w:val="0087015F"/>
    <w:rsid w:val="008766D8"/>
    <w:rsid w:val="00897D92"/>
    <w:rsid w:val="008A44E6"/>
    <w:rsid w:val="008B3547"/>
    <w:rsid w:val="008D0FA9"/>
    <w:rsid w:val="008D179A"/>
    <w:rsid w:val="008D573D"/>
    <w:rsid w:val="008E0B8D"/>
    <w:rsid w:val="008F1C34"/>
    <w:rsid w:val="008F4B48"/>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11471"/>
    <w:rsid w:val="00A249EF"/>
    <w:rsid w:val="00A42B24"/>
    <w:rsid w:val="00A50716"/>
    <w:rsid w:val="00A525EF"/>
    <w:rsid w:val="00A53500"/>
    <w:rsid w:val="00A55AFF"/>
    <w:rsid w:val="00A63065"/>
    <w:rsid w:val="00A86BFB"/>
    <w:rsid w:val="00AA4FB1"/>
    <w:rsid w:val="00AB38F8"/>
    <w:rsid w:val="00AC1A3D"/>
    <w:rsid w:val="00AC23D5"/>
    <w:rsid w:val="00AC6E24"/>
    <w:rsid w:val="00AE2A86"/>
    <w:rsid w:val="00AE691D"/>
    <w:rsid w:val="00AF084F"/>
    <w:rsid w:val="00B0326F"/>
    <w:rsid w:val="00B12344"/>
    <w:rsid w:val="00B137D2"/>
    <w:rsid w:val="00B452CC"/>
    <w:rsid w:val="00B56961"/>
    <w:rsid w:val="00B618CB"/>
    <w:rsid w:val="00B67BC2"/>
    <w:rsid w:val="00B71E96"/>
    <w:rsid w:val="00B71F04"/>
    <w:rsid w:val="00B72F5F"/>
    <w:rsid w:val="00B83CAA"/>
    <w:rsid w:val="00B863FF"/>
    <w:rsid w:val="00BA1A09"/>
    <w:rsid w:val="00BA1C80"/>
    <w:rsid w:val="00BA1DE7"/>
    <w:rsid w:val="00BB0424"/>
    <w:rsid w:val="00BC0E37"/>
    <w:rsid w:val="00BC0F38"/>
    <w:rsid w:val="00BD7DA1"/>
    <w:rsid w:val="00BE355C"/>
    <w:rsid w:val="00BF0768"/>
    <w:rsid w:val="00BF4378"/>
    <w:rsid w:val="00BF792F"/>
    <w:rsid w:val="00C048EC"/>
    <w:rsid w:val="00C11B68"/>
    <w:rsid w:val="00C217F2"/>
    <w:rsid w:val="00C34505"/>
    <w:rsid w:val="00C540E4"/>
    <w:rsid w:val="00C54AA8"/>
    <w:rsid w:val="00C56380"/>
    <w:rsid w:val="00C57116"/>
    <w:rsid w:val="00C67A1A"/>
    <w:rsid w:val="00C80CCE"/>
    <w:rsid w:val="00C820ED"/>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745B2"/>
    <w:rsid w:val="00D94816"/>
    <w:rsid w:val="00DA2F04"/>
    <w:rsid w:val="00DA7C6B"/>
    <w:rsid w:val="00DC095D"/>
    <w:rsid w:val="00DC1648"/>
    <w:rsid w:val="00DD7F4D"/>
    <w:rsid w:val="00DE0FB4"/>
    <w:rsid w:val="00E03DC4"/>
    <w:rsid w:val="00E216E5"/>
    <w:rsid w:val="00E235C6"/>
    <w:rsid w:val="00E242D9"/>
    <w:rsid w:val="00E3370F"/>
    <w:rsid w:val="00E41241"/>
    <w:rsid w:val="00E45924"/>
    <w:rsid w:val="00E5450F"/>
    <w:rsid w:val="00E721F4"/>
    <w:rsid w:val="00E844BC"/>
    <w:rsid w:val="00E9234F"/>
    <w:rsid w:val="00EB2A77"/>
    <w:rsid w:val="00EC46CB"/>
    <w:rsid w:val="00EC62C8"/>
    <w:rsid w:val="00EC686C"/>
    <w:rsid w:val="00ED0C8E"/>
    <w:rsid w:val="00ED581C"/>
    <w:rsid w:val="00ED74FA"/>
    <w:rsid w:val="00EE1F57"/>
    <w:rsid w:val="00EF7F10"/>
    <w:rsid w:val="00F00D9B"/>
    <w:rsid w:val="00F3022A"/>
    <w:rsid w:val="00F327C3"/>
    <w:rsid w:val="00F51508"/>
    <w:rsid w:val="00F5653C"/>
    <w:rsid w:val="00F71A4D"/>
    <w:rsid w:val="00F76CB6"/>
    <w:rsid w:val="00F910BF"/>
    <w:rsid w:val="00F95D02"/>
    <w:rsid w:val="00FA175C"/>
    <w:rsid w:val="00FB757B"/>
    <w:rsid w:val="00FC2066"/>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B2C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B2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es.house.gov/sites/republicans.rules.house.gov/files/115/OMNI/DIVISION%20H-%20LABORHHS%20SOM%20OCR%20FY1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archives/empsit_07072017.pdf" TargetMode="External"/><Relationship Id="rId4" Type="http://schemas.openxmlformats.org/officeDocument/2006/relationships/settings" Target="settings.xml"/><Relationship Id="rId9" Type="http://schemas.openxmlformats.org/officeDocument/2006/relationships/hyperlink" Target="http://www.dole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2017-08-10T14:24:00Z</dcterms:created>
  <dcterms:modified xsi:type="dcterms:W3CDTF">2017-08-10T14:24:00Z</dcterms:modified>
</cp:coreProperties>
</file>