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FE124A"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Pathways to Justice Careers for Youth (PJC)</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E124A" w:rsidRPr="005A6078" w:rsidRDefault="00C97D02" w:rsidP="00FE124A">
      <w:pPr>
        <w:pStyle w:val="NormalWeb"/>
        <w:rPr>
          <w:rFonts w:asciiTheme="majorHAnsi" w:hAnsiTheme="majorHAnsi"/>
          <w:szCs w:val="24"/>
        </w:rPr>
      </w:pPr>
      <w:bookmarkStart w:id="1" w:name="_Toc207778202"/>
      <w:bookmarkStart w:id="2" w:name="_Toc208654602"/>
      <w:bookmarkStart w:id="3" w:name="_Toc228885476"/>
      <w:bookmarkStart w:id="4" w:name="_Toc229889134"/>
      <w:r w:rsidRPr="00C97D02">
        <w:rPr>
          <w:rFonts w:ascii="Times New Roman" w:hAnsi="Times New Roman"/>
          <w:szCs w:val="24"/>
        </w:rPr>
        <w:t xml:space="preserve">This request seeks OMB approval under the Paperwork Reduction Act for the unique information collection requirements in the </w:t>
      </w:r>
      <w:r w:rsidR="00FE124A">
        <w:rPr>
          <w:rFonts w:ascii="Times New Roman" w:hAnsi="Times New Roman"/>
          <w:szCs w:val="24"/>
        </w:rPr>
        <w:t>Pathways to Justice Careers for Youth (PJC)</w:t>
      </w:r>
      <w:r w:rsidR="00471D5F" w:rsidRPr="00471D5F">
        <w:rPr>
          <w:rFonts w:ascii="Times New Roman" w:hAnsi="Times New Roman"/>
          <w:szCs w:val="24"/>
        </w:rPr>
        <w:t xml:space="preserve"> </w:t>
      </w:r>
      <w:r w:rsidRPr="00C97D02">
        <w:rPr>
          <w:rFonts w:ascii="Times New Roman" w:hAnsi="Times New Roman"/>
          <w:szCs w:val="24"/>
        </w:rPr>
        <w:t>Funding Opportunity Announcement (FOA).  The Employment and Training Administration (ETA), U.S. Department of Labor (DOL), announce</w:t>
      </w:r>
      <w:r w:rsidR="00DC1648">
        <w:rPr>
          <w:rFonts w:ascii="Times New Roman" w:hAnsi="Times New Roman"/>
          <w:szCs w:val="24"/>
        </w:rPr>
        <w:t>s</w:t>
      </w:r>
      <w:r w:rsidRPr="00C97D02">
        <w:rPr>
          <w:rFonts w:ascii="Times New Roman" w:hAnsi="Times New Roman"/>
          <w:szCs w:val="24"/>
        </w:rPr>
        <w:t xml:space="preserve"> the availability of </w:t>
      </w:r>
      <w:r w:rsidR="000278E8" w:rsidRPr="00C97D02">
        <w:rPr>
          <w:rFonts w:ascii="Times New Roman" w:hAnsi="Times New Roman"/>
          <w:szCs w:val="24"/>
        </w:rPr>
        <w:t>approximately</w:t>
      </w:r>
      <w:r w:rsidR="00C56380">
        <w:rPr>
          <w:rFonts w:ascii="Times New Roman" w:hAnsi="Times New Roman"/>
          <w:szCs w:val="24"/>
        </w:rPr>
        <w:t xml:space="preserve"> </w:t>
      </w:r>
      <w:r w:rsidR="00C93CEB" w:rsidRPr="00C93CEB">
        <w:rPr>
          <w:rFonts w:ascii="Times New Roman" w:hAnsi="Times New Roman"/>
          <w:szCs w:val="24"/>
        </w:rPr>
        <w:t>$</w:t>
      </w:r>
      <w:r w:rsidR="00FE124A">
        <w:rPr>
          <w:rFonts w:ascii="Times New Roman" w:hAnsi="Times New Roman"/>
          <w:szCs w:val="24"/>
        </w:rPr>
        <w:t>5</w:t>
      </w:r>
      <w:r w:rsidR="00C93CEB" w:rsidRPr="00C93CEB">
        <w:rPr>
          <w:rFonts w:ascii="Times New Roman" w:hAnsi="Times New Roman"/>
          <w:szCs w:val="24"/>
        </w:rPr>
        <w:t>,</w:t>
      </w:r>
      <w:r w:rsidR="00FE124A">
        <w:rPr>
          <w:rFonts w:ascii="Times New Roman" w:hAnsi="Times New Roman"/>
          <w:szCs w:val="24"/>
        </w:rPr>
        <w:t>00</w:t>
      </w:r>
      <w:r w:rsidR="00C93CEB" w:rsidRPr="00C93CEB">
        <w:rPr>
          <w:rFonts w:ascii="Times New Roman" w:hAnsi="Times New Roman"/>
          <w:szCs w:val="24"/>
        </w:rPr>
        <w:t>0,000 in grant funds authorized by the Workforce Innovation and Opportunity Act (WIOA</w:t>
      </w:r>
      <w:r w:rsidR="00EF1BFF">
        <w:rPr>
          <w:rFonts w:ascii="Times New Roman" w:hAnsi="Times New Roman"/>
          <w:szCs w:val="24"/>
        </w:rPr>
        <w:t>)</w:t>
      </w:r>
      <w:r w:rsidR="00EF1BFF" w:rsidRPr="00EF1BFF">
        <w:t xml:space="preserve"> </w:t>
      </w:r>
      <w:r w:rsidR="00FE124A">
        <w:t xml:space="preserve"> </w:t>
      </w:r>
      <w:r w:rsidR="00FE124A" w:rsidRPr="005A6078">
        <w:rPr>
          <w:rFonts w:asciiTheme="majorHAnsi" w:hAnsiTheme="majorHAnsi"/>
          <w:szCs w:val="24"/>
        </w:rPr>
        <w:t>for in-school youth ages 16 to 21, that are eligible to graduate within 2</w:t>
      </w:r>
      <w:r w:rsidR="00FE124A">
        <w:rPr>
          <w:rFonts w:asciiTheme="majorHAnsi" w:hAnsiTheme="majorHAnsi"/>
          <w:szCs w:val="24"/>
        </w:rPr>
        <w:t xml:space="preserve"> </w:t>
      </w:r>
      <w:r w:rsidR="00FE124A" w:rsidRPr="005A6078">
        <w:rPr>
          <w:rFonts w:asciiTheme="majorHAnsi" w:hAnsiTheme="majorHAnsi"/>
          <w:szCs w:val="24"/>
        </w:rPr>
        <w:t xml:space="preserve">years and are at risk of dropping out of </w:t>
      </w:r>
      <w:r w:rsidR="00FE124A">
        <w:rPr>
          <w:rFonts w:asciiTheme="majorHAnsi" w:hAnsiTheme="majorHAnsi"/>
          <w:szCs w:val="24"/>
        </w:rPr>
        <w:t xml:space="preserve">school or at risk of entanglement in the criminal justice system, or both; the eligible youth must be enrolled in a </w:t>
      </w:r>
      <w:r w:rsidR="00FE124A" w:rsidRPr="005A6078">
        <w:rPr>
          <w:rFonts w:asciiTheme="majorHAnsi" w:hAnsiTheme="majorHAnsi"/>
          <w:szCs w:val="24"/>
        </w:rPr>
        <w:t xml:space="preserve">public </w:t>
      </w:r>
      <w:r w:rsidR="00FE124A">
        <w:rPr>
          <w:rFonts w:asciiTheme="majorHAnsi" w:hAnsiTheme="majorHAnsi"/>
          <w:szCs w:val="24"/>
        </w:rPr>
        <w:t>secondary</w:t>
      </w:r>
      <w:r w:rsidR="00FE124A" w:rsidRPr="005A6078">
        <w:rPr>
          <w:rFonts w:asciiTheme="majorHAnsi" w:hAnsiTheme="majorHAnsi"/>
          <w:szCs w:val="24"/>
        </w:rPr>
        <w:t xml:space="preserve"> </w:t>
      </w:r>
      <w:r w:rsidR="00FE124A">
        <w:rPr>
          <w:rFonts w:asciiTheme="majorHAnsi" w:hAnsiTheme="majorHAnsi"/>
          <w:szCs w:val="24"/>
        </w:rPr>
        <w:t xml:space="preserve">school </w:t>
      </w:r>
      <w:r w:rsidR="00FE124A" w:rsidRPr="005A6078">
        <w:rPr>
          <w:rFonts w:asciiTheme="majorHAnsi" w:hAnsiTheme="majorHAnsi"/>
          <w:szCs w:val="24"/>
        </w:rPr>
        <w:t xml:space="preserve">or alternative </w:t>
      </w:r>
      <w:r w:rsidR="00FE124A">
        <w:rPr>
          <w:rFonts w:asciiTheme="majorHAnsi" w:hAnsiTheme="majorHAnsi"/>
          <w:szCs w:val="24"/>
        </w:rPr>
        <w:t>secondary</w:t>
      </w:r>
      <w:r w:rsidR="00FE124A" w:rsidRPr="005A6078">
        <w:rPr>
          <w:rFonts w:asciiTheme="majorHAnsi" w:hAnsiTheme="majorHAnsi"/>
          <w:szCs w:val="24"/>
        </w:rPr>
        <w:t xml:space="preserve"> school. This grant provides these </w:t>
      </w:r>
      <w:r w:rsidR="00FE124A">
        <w:rPr>
          <w:rFonts w:asciiTheme="majorHAnsi" w:hAnsiTheme="majorHAnsi"/>
          <w:szCs w:val="24"/>
        </w:rPr>
        <w:t>in-school</w:t>
      </w:r>
      <w:r w:rsidR="00FE124A" w:rsidRPr="005A6078">
        <w:rPr>
          <w:rFonts w:asciiTheme="majorHAnsi" w:hAnsiTheme="majorHAnsi"/>
          <w:szCs w:val="24"/>
        </w:rPr>
        <w:t xml:space="preserve"> youth the opportunity to work with and be mentored by professionals currently working in justice and emergency services careers.  </w:t>
      </w:r>
    </w:p>
    <w:p w:rsidR="00FE124A" w:rsidRDefault="00FE124A" w:rsidP="00471D5F">
      <w:pPr>
        <w:spacing w:after="0" w:line="240" w:lineRule="auto"/>
        <w:rPr>
          <w:rFonts w:ascii="Times New Roman" w:hAnsi="Times New Roman" w:cs="Times New Roman"/>
          <w:sz w:val="24"/>
          <w:szCs w:val="24"/>
        </w:rPr>
      </w:pPr>
    </w:p>
    <w:p w:rsidR="00FE124A" w:rsidRPr="005A6078" w:rsidRDefault="00AA4FB1" w:rsidP="00FE124A">
      <w:pPr>
        <w:pStyle w:val="NormalWeb"/>
        <w:rPr>
          <w:rFonts w:asciiTheme="majorHAnsi" w:hAnsiTheme="majorHAnsi"/>
          <w:szCs w:val="24"/>
        </w:rPr>
      </w:pPr>
      <w:r>
        <w:rPr>
          <w:rFonts w:ascii="Times New Roman" w:hAnsi="Times New Roman"/>
          <w:szCs w:val="24"/>
        </w:rPr>
        <w:t>W</w:t>
      </w:r>
      <w:r w:rsidR="0051557A">
        <w:rPr>
          <w:rFonts w:ascii="Times New Roman" w:hAnsi="Times New Roman"/>
          <w:szCs w:val="24"/>
        </w:rPr>
        <w:t xml:space="preserve">e expect to </w:t>
      </w:r>
      <w:r w:rsidR="002E0740">
        <w:rPr>
          <w:rFonts w:ascii="Times New Roman" w:hAnsi="Times New Roman"/>
          <w:szCs w:val="24"/>
        </w:rPr>
        <w:t>a</w:t>
      </w:r>
      <w:r w:rsidR="003B58AD">
        <w:rPr>
          <w:rFonts w:ascii="Times New Roman" w:hAnsi="Times New Roman"/>
          <w:szCs w:val="24"/>
        </w:rPr>
        <w:t xml:space="preserve">ward </w:t>
      </w:r>
      <w:r w:rsidR="00D33C49" w:rsidRPr="00D33C49">
        <w:rPr>
          <w:rFonts w:ascii="Times New Roman" w:hAnsi="Times New Roman"/>
          <w:szCs w:val="24"/>
        </w:rPr>
        <w:t xml:space="preserve">approximately </w:t>
      </w:r>
      <w:r w:rsidR="00FE124A">
        <w:rPr>
          <w:rFonts w:ascii="Times New Roman" w:hAnsi="Times New Roman"/>
          <w:szCs w:val="24"/>
        </w:rPr>
        <w:t>five</w:t>
      </w:r>
      <w:r w:rsidR="00D33C49" w:rsidRPr="00D33C49">
        <w:rPr>
          <w:rFonts w:ascii="Times New Roman" w:hAnsi="Times New Roman"/>
          <w:szCs w:val="24"/>
        </w:rPr>
        <w:t xml:space="preserve"> grants of up to $</w:t>
      </w:r>
      <w:r w:rsidR="00FE124A">
        <w:rPr>
          <w:rFonts w:ascii="Times New Roman" w:hAnsi="Times New Roman"/>
          <w:szCs w:val="24"/>
        </w:rPr>
        <w:t>1</w:t>
      </w:r>
      <w:r w:rsidR="00EF1BFF">
        <w:rPr>
          <w:rFonts w:ascii="Times New Roman" w:hAnsi="Times New Roman"/>
          <w:szCs w:val="24"/>
        </w:rPr>
        <w:t>,</w:t>
      </w:r>
      <w:r w:rsidR="00FE124A">
        <w:rPr>
          <w:rFonts w:ascii="Times New Roman" w:hAnsi="Times New Roman"/>
          <w:szCs w:val="24"/>
        </w:rPr>
        <w:t>0</w:t>
      </w:r>
      <w:r w:rsidR="00D33C49" w:rsidRPr="00D33C49">
        <w:rPr>
          <w:rFonts w:ascii="Times New Roman" w:hAnsi="Times New Roman"/>
          <w:szCs w:val="24"/>
        </w:rPr>
        <w:t xml:space="preserve">00,000 each to </w:t>
      </w:r>
      <w:r w:rsidR="00FE124A" w:rsidRPr="00713F9D">
        <w:rPr>
          <w:rFonts w:asciiTheme="majorHAnsi" w:hAnsiTheme="majorHAnsi"/>
          <w:szCs w:val="24"/>
        </w:rPr>
        <w:t xml:space="preserve">(1) units of state, local or tribal government, (2) community- or faith-based organizations with 501(c)(3) non-profit status, including women’s and minority organizations, </w:t>
      </w:r>
      <w:r w:rsidR="00FE124A">
        <w:rPr>
          <w:rFonts w:asciiTheme="majorHAnsi" w:hAnsiTheme="majorHAnsi"/>
          <w:szCs w:val="24"/>
        </w:rPr>
        <w:t>and</w:t>
      </w:r>
      <w:r w:rsidR="00FE124A" w:rsidRPr="00713F9D">
        <w:rPr>
          <w:rFonts w:asciiTheme="majorHAnsi" w:hAnsiTheme="majorHAnsi"/>
          <w:szCs w:val="24"/>
        </w:rPr>
        <w:t xml:space="preserve"> (3) any Indian and Native American entities eligible for grants under Section 166 of WIOA.  Applicants may include current or former DOL grantees; new applicants that have not received previous DOL grants are also encouraged to apply.</w:t>
      </w:r>
      <w:r w:rsidR="00FE124A" w:rsidRPr="005A6078" w:rsidDel="00713F9D">
        <w:rPr>
          <w:rFonts w:asciiTheme="majorHAnsi" w:hAnsiTheme="majorHAnsi"/>
          <w:szCs w:val="24"/>
        </w:rPr>
        <w:t xml:space="preserve"> </w:t>
      </w:r>
      <w:r w:rsidR="00FE124A" w:rsidRPr="005A6078">
        <w:rPr>
          <w:rFonts w:asciiTheme="majorHAnsi" w:hAnsiTheme="majorHAnsi"/>
          <w:szCs w:val="24"/>
        </w:rPr>
        <w:t xml:space="preserve">Each applicant may submit only one application.  Additionally, the grant period for these projects is 33 months.  Up to </w:t>
      </w:r>
      <w:r w:rsidR="00FE124A">
        <w:rPr>
          <w:rFonts w:asciiTheme="majorHAnsi" w:hAnsiTheme="majorHAnsi"/>
          <w:szCs w:val="24"/>
        </w:rPr>
        <w:t>6</w:t>
      </w:r>
      <w:r w:rsidR="00FE124A" w:rsidRPr="005A6078">
        <w:rPr>
          <w:rFonts w:asciiTheme="majorHAnsi" w:hAnsiTheme="majorHAnsi"/>
          <w:szCs w:val="24"/>
        </w:rPr>
        <w:t xml:space="preserve"> months will be for program planning, followed by 24 months of program operation and </w:t>
      </w:r>
      <w:r w:rsidR="00FE124A">
        <w:rPr>
          <w:rFonts w:asciiTheme="majorHAnsi" w:hAnsiTheme="majorHAnsi"/>
          <w:szCs w:val="24"/>
        </w:rPr>
        <w:t>at least</w:t>
      </w:r>
      <w:r w:rsidR="00FE124A" w:rsidRPr="005A6078">
        <w:rPr>
          <w:rFonts w:asciiTheme="majorHAnsi" w:hAnsiTheme="majorHAnsi"/>
          <w:szCs w:val="24"/>
        </w:rPr>
        <w:t xml:space="preserve"> 3 months of follow-up.</w:t>
      </w:r>
    </w:p>
    <w:p w:rsidR="00FE124A" w:rsidRDefault="00FE124A" w:rsidP="00C97D02">
      <w:pPr>
        <w:spacing w:after="0" w:line="240" w:lineRule="auto"/>
        <w:rPr>
          <w:rFonts w:ascii="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277FE2" w:rsidRPr="00C97D02" w:rsidRDefault="00277FE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A86BFB">
        <w:rPr>
          <w:rFonts w:ascii="Times New Roman" w:eastAsia="Calibri" w:hAnsi="Times New Roman" w:cs="Times New Roman"/>
          <w:color w:val="000000"/>
          <w:sz w:val="24"/>
          <w:szCs w:val="24"/>
        </w:rPr>
        <w:t>6</w:t>
      </w:r>
      <w:r w:rsidR="0054705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00547052">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w:t>
      </w:r>
      <w:r w:rsidR="00547052">
        <w:rPr>
          <w:rFonts w:ascii="Times New Roman" w:eastAsia="Calibri" w:hAnsi="Times New Roman" w:cs="Times New Roman"/>
          <w:color w:val="000000"/>
          <w:sz w:val="24"/>
          <w:szCs w:val="24"/>
        </w:rPr>
        <w:t>2</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r w:rsidR="00D70C6D">
        <w:rPr>
          <w:rFonts w:ascii="Times New Roman" w:eastAsia="Calibri" w:hAnsi="Times New Roman" w:cs="Times New Roman"/>
          <w:color w:val="000000"/>
          <w:sz w:val="24"/>
          <w:szCs w:val="24"/>
        </w:rPr>
        <w:t xml:space="preserve"> </w:t>
      </w:r>
      <w:hyperlink r:id="rId8" w:history="1">
        <w:r w:rsidR="00D70C6D" w:rsidRPr="00DD043C">
          <w:rPr>
            <w:rStyle w:val="Hyperlink"/>
            <w:rFonts w:ascii="Book Antiqua" w:eastAsia="Calibri" w:hAnsi="Book Antiqua" w:cs="Times New Roman"/>
            <w:sz w:val="24"/>
            <w:szCs w:val="24"/>
          </w:rPr>
          <w:t>http://www.bls.gov/news.release/archives/empsit_11072014.pdf</w:t>
        </w:r>
      </w:hyperlink>
      <w:r w:rsidR="00D70C6D" w:rsidRPr="00A80C7F">
        <w:rPr>
          <w:rFonts w:ascii="Book Antiqua" w:eastAsia="Calibri" w:hAnsi="Book Antiqua" w:cs="Times New Roman"/>
          <w:sz w:val="24"/>
          <w:szCs w:val="24"/>
        </w:rPr>
        <w:t xml:space="preserve"> </w:t>
      </w:r>
      <w:r w:rsidR="00D70C6D" w:rsidRPr="00A80C7F">
        <w:rPr>
          <w:rFonts w:ascii="Times New Roman" w:eastAsia="Calibri" w:hAnsi="Times New Roman" w:cs="Times New Roman"/>
          <w:sz w:val="24"/>
          <w:szCs w:val="24"/>
        </w:rPr>
        <w:t>at page 32</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547052">
        <w:rPr>
          <w:rFonts w:ascii="Times New Roman" w:eastAsia="Calibri" w:hAnsi="Times New Roman" w:cs="Times New Roman"/>
          <w:color w:val="000000"/>
          <w:sz w:val="24"/>
          <w:szCs w:val="24"/>
        </w:rPr>
        <w:t>2</w:t>
      </w:r>
      <w:r w:rsidR="003B58AD" w:rsidRPr="005A34DF">
        <w:rPr>
          <w:rFonts w:ascii="Times New Roman" w:eastAsia="Calibri" w:hAnsi="Times New Roman" w:cs="Times New Roman"/>
          <w:color w:val="000000"/>
          <w:sz w:val="24"/>
          <w:szCs w:val="24"/>
        </w:rPr>
        <w:t>0</w:t>
      </w:r>
      <w:r w:rsidR="00C54AA8" w:rsidRPr="005A34DF">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sidR="00547052">
        <w:rPr>
          <w:rFonts w:ascii="Times New Roman" w:eastAsia="Calibri" w:hAnsi="Times New Roman" w:cs="Times New Roman"/>
          <w:color w:val="000000"/>
          <w:sz w:val="24"/>
          <w:szCs w:val="24"/>
        </w:rPr>
        <w:t>49</w:t>
      </w:r>
      <w:r>
        <w:rPr>
          <w:rFonts w:ascii="Times New Roman" w:eastAsia="Calibri" w:hAnsi="Times New Roman" w:cs="Times New Roman"/>
          <w:color w:val="000000"/>
          <w:sz w:val="24"/>
          <w:szCs w:val="24"/>
        </w:rPr>
        <w:t>,</w:t>
      </w:r>
      <w:r w:rsidR="00547052">
        <w:rPr>
          <w:rFonts w:ascii="Times New Roman" w:eastAsia="Calibri" w:hAnsi="Times New Roman" w:cs="Times New Roman"/>
          <w:color w:val="000000"/>
          <w:sz w:val="24"/>
          <w:szCs w:val="24"/>
        </w:rPr>
        <w:t>212</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FE124A" w:rsidRDefault="00FE124A"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A86BFB">
        <w:rPr>
          <w:rFonts w:ascii="Times New Roman" w:eastAsia="Times New Roman" w:hAnsi="Times New Roman" w:cs="Times New Roman"/>
          <w:i/>
          <w:color w:val="000000"/>
          <w:sz w:val="24"/>
          <w:szCs w:val="24"/>
        </w:rPr>
        <w:t>6</w:t>
      </w:r>
      <w:r w:rsidR="0054705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6</w:t>
      </w:r>
      <w:r w:rsidR="0054705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1</w:t>
      </w:r>
      <w:r w:rsidR="00547052">
        <w:rPr>
          <w:rFonts w:ascii="Times New Roman" w:eastAsia="Times New Roman" w:hAnsi="Times New Roman" w:cs="Times New Roman"/>
          <w:i/>
          <w:color w:val="000000"/>
          <w:sz w:val="24"/>
          <w:szCs w:val="24"/>
        </w:rPr>
        <w:t>2</w:t>
      </w:r>
      <w:r w:rsidR="00A86BFB">
        <w:rPr>
          <w:rFonts w:ascii="Times New Roman" w:eastAsia="Times New Roman" w:hAnsi="Times New Roman" w:cs="Times New Roman"/>
          <w:i/>
          <w:color w:val="000000"/>
          <w:sz w:val="24"/>
          <w:szCs w:val="24"/>
        </w:rPr>
        <w:t>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A86BFB">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70" w:rsidRDefault="003A4A70" w:rsidP="00C97D02">
      <w:pPr>
        <w:spacing w:after="0" w:line="240" w:lineRule="auto"/>
      </w:pPr>
      <w:r>
        <w:separator/>
      </w:r>
    </w:p>
  </w:endnote>
  <w:endnote w:type="continuationSeparator" w:id="0">
    <w:p w:rsidR="003A4A70" w:rsidRDefault="003A4A7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3938AA">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70" w:rsidRDefault="003A4A70" w:rsidP="00C97D02">
      <w:pPr>
        <w:spacing w:after="0" w:line="240" w:lineRule="auto"/>
      </w:pPr>
      <w:r>
        <w:separator/>
      </w:r>
    </w:p>
  </w:footnote>
  <w:footnote w:type="continuationSeparator" w:id="0">
    <w:p w:rsidR="003A4A70" w:rsidRDefault="003A4A70"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77FE2"/>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938AA"/>
    <w:rsid w:val="003A4A70"/>
    <w:rsid w:val="003B58AD"/>
    <w:rsid w:val="003C249A"/>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47052"/>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B4A51"/>
    <w:rsid w:val="006F3105"/>
    <w:rsid w:val="00715E3B"/>
    <w:rsid w:val="00753F76"/>
    <w:rsid w:val="00754A05"/>
    <w:rsid w:val="00760C81"/>
    <w:rsid w:val="00763E01"/>
    <w:rsid w:val="00776DE2"/>
    <w:rsid w:val="00780A40"/>
    <w:rsid w:val="00784C72"/>
    <w:rsid w:val="007A74DE"/>
    <w:rsid w:val="007A75C7"/>
    <w:rsid w:val="007B283B"/>
    <w:rsid w:val="007B5FDF"/>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E5C3E"/>
    <w:rsid w:val="009F00EE"/>
    <w:rsid w:val="00A02531"/>
    <w:rsid w:val="00A249EF"/>
    <w:rsid w:val="00A50716"/>
    <w:rsid w:val="00A53500"/>
    <w:rsid w:val="00A55AFF"/>
    <w:rsid w:val="00A63065"/>
    <w:rsid w:val="00A80C7F"/>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355C"/>
    <w:rsid w:val="00BF0768"/>
    <w:rsid w:val="00BF4378"/>
    <w:rsid w:val="00BF792F"/>
    <w:rsid w:val="00C048EC"/>
    <w:rsid w:val="00C11B68"/>
    <w:rsid w:val="00C34505"/>
    <w:rsid w:val="00C54AA8"/>
    <w:rsid w:val="00C56380"/>
    <w:rsid w:val="00C57116"/>
    <w:rsid w:val="00C80CCE"/>
    <w:rsid w:val="00C93CEB"/>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043C"/>
    <w:rsid w:val="00DD7F4D"/>
    <w:rsid w:val="00E03DC4"/>
    <w:rsid w:val="00E216E5"/>
    <w:rsid w:val="00E235C6"/>
    <w:rsid w:val="00E242D9"/>
    <w:rsid w:val="00E3370F"/>
    <w:rsid w:val="00E41241"/>
    <w:rsid w:val="00E45924"/>
    <w:rsid w:val="00E5450F"/>
    <w:rsid w:val="00E9234F"/>
    <w:rsid w:val="00EC62C8"/>
    <w:rsid w:val="00EC686C"/>
    <w:rsid w:val="00EC758C"/>
    <w:rsid w:val="00ED0C8E"/>
    <w:rsid w:val="00ED74FA"/>
    <w:rsid w:val="00EE1F57"/>
    <w:rsid w:val="00EF1BFF"/>
    <w:rsid w:val="00EF7F10"/>
    <w:rsid w:val="00F3022A"/>
    <w:rsid w:val="00F327C3"/>
    <w:rsid w:val="00F5653C"/>
    <w:rsid w:val="00F71A4D"/>
    <w:rsid w:val="00F95D02"/>
    <w:rsid w:val="00FB757B"/>
    <w:rsid w:val="00FE124A"/>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 w:type="paragraph" w:styleId="NormalWeb">
    <w:name w:val="Normal (Web)"/>
    <w:basedOn w:val="Normal"/>
    <w:uiPriority w:val="99"/>
    <w:semiHidden/>
    <w:rsid w:val="00FE124A"/>
    <w:pPr>
      <w:spacing w:after="0" w:line="240" w:lineRule="auto"/>
    </w:pPr>
    <w:rPr>
      <w:rFonts w:ascii="Calibri" w:eastAsia="Times New Roman"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 w:type="paragraph" w:styleId="NormalWeb">
    <w:name w:val="Normal (Web)"/>
    <w:basedOn w:val="Normal"/>
    <w:uiPriority w:val="99"/>
    <w:semiHidden/>
    <w:rsid w:val="00FE124A"/>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2016-05-06T16:01:00Z</dcterms:created>
  <dcterms:modified xsi:type="dcterms:W3CDTF">2016-05-06T16:01:00Z</dcterms:modified>
</cp:coreProperties>
</file>