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r w:rsidRPr="0086545A">
        <w:rPr>
          <w:b/>
        </w:rPr>
        <w:t>Supporting Statement for Paperwork Reduction Act Submissions</w:t>
      </w:r>
    </w:p>
    <w:p w:rsidR="00A4604C" w:rsidRPr="0086545A" w:rsidRDefault="000157AD" w:rsidP="00A84F9C">
      <w:pPr>
        <w:ind w:left="1440" w:firstLine="720"/>
        <w:rPr>
          <w:rFonts w:cs="Shruti"/>
          <w:b/>
        </w:rPr>
      </w:pPr>
      <w:r w:rsidRPr="0086545A">
        <w:rPr>
          <w:rFonts w:cs="Shruti"/>
          <w:b/>
        </w:rPr>
        <w:t>Application for Registration</w:t>
      </w:r>
      <w:r w:rsidR="009827F9">
        <w:rPr>
          <w:rFonts w:cs="Shruti"/>
          <w:b/>
        </w:rPr>
        <w:t xml:space="preserve"> under Domestic Chemical Diversion Control Act of 1993</w:t>
      </w:r>
      <w:r w:rsidR="00E73691">
        <w:rPr>
          <w:rFonts w:cs="Shruti"/>
          <w:b/>
        </w:rPr>
        <w:t xml:space="preserve"> (DEA Form </w:t>
      </w:r>
      <w:r w:rsidR="009827F9">
        <w:rPr>
          <w:rFonts w:cs="Shruti"/>
          <w:b/>
        </w:rPr>
        <w:t>510</w:t>
      </w:r>
      <w:r w:rsidR="00A4604C" w:rsidRPr="0086545A">
        <w:rPr>
          <w:rFonts w:cs="Shruti"/>
          <w:b/>
        </w:rPr>
        <w:t>)</w:t>
      </w:r>
    </w:p>
    <w:p w:rsidR="00A4604C" w:rsidRPr="0086545A" w:rsidRDefault="009827F9" w:rsidP="00275719">
      <w:pPr>
        <w:jc w:val="center"/>
        <w:rPr>
          <w:rFonts w:cs="Shruti"/>
          <w:b/>
        </w:rPr>
      </w:pPr>
      <w:r>
        <w:rPr>
          <w:rFonts w:cs="Shruti"/>
          <w:b/>
        </w:rPr>
        <w:t xml:space="preserve"> </w:t>
      </w:r>
      <w:r w:rsidR="00275719" w:rsidRPr="0086545A">
        <w:rPr>
          <w:rFonts w:cs="Shruti"/>
          <w:b/>
        </w:rPr>
        <w:t>Renewal</w:t>
      </w:r>
      <w:r>
        <w:rPr>
          <w:rFonts w:cs="Shruti"/>
          <w:b/>
        </w:rPr>
        <w:t xml:space="preserve"> Application for Registration under Domestic Chemical Diversion Control Act of 1993 (DEA Form 510</w:t>
      </w:r>
      <w:r w:rsidR="00C75DBD">
        <w:rPr>
          <w:rFonts w:cs="Shruti"/>
          <w:b/>
        </w:rPr>
        <w:t>A</w:t>
      </w:r>
      <w:r w:rsidR="00A4604C" w:rsidRPr="0086545A">
        <w:rPr>
          <w:rFonts w:cs="Shruti"/>
          <w:b/>
        </w:rPr>
        <w:t>)</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E73691">
        <w:rPr>
          <w:rFonts w:cs="Shruti"/>
          <w:b/>
        </w:rPr>
        <w:t>1117-00</w:t>
      </w:r>
      <w:r w:rsidR="009827F9">
        <w:rPr>
          <w:rFonts w:cs="Shruti"/>
          <w:b/>
        </w:rPr>
        <w:t>31</w:t>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w:t>
      </w:r>
      <w:r w:rsidR="00110104">
        <w:t>Control No.</w:t>
      </w:r>
      <w:r>
        <w:t>11</w:t>
      </w:r>
      <w:r w:rsidR="00B449EE">
        <w:t>1</w:t>
      </w:r>
      <w:r w:rsidR="00BC5068">
        <w:t>7-0031</w:t>
      </w:r>
      <w:r>
        <w:t>, Application for Registration</w:t>
      </w:r>
      <w:r w:rsidR="00937B1A">
        <w:t xml:space="preserve"> under Domestic Chemical Diversion Control Act of 1993 (DEA Form 510</w:t>
      </w:r>
      <w:r>
        <w:t>)</w:t>
      </w:r>
      <w:r w:rsidR="00774BF7">
        <w:t xml:space="preserve"> and</w:t>
      </w:r>
      <w:r w:rsidR="00937B1A">
        <w:t xml:space="preserve"> Renewal</w:t>
      </w:r>
      <w:r>
        <w:t xml:space="preserve"> Appl</w:t>
      </w:r>
      <w:r w:rsidR="00937B1A">
        <w:t>ication for Registration under Domestic Chemical Diversion Control Act of 1993 (DEA Form 510</w:t>
      </w:r>
      <w:r w:rsidR="00D17397">
        <w:t>A</w:t>
      </w:r>
      <w:r w:rsidR="008737A8">
        <w:t>)</w:t>
      </w:r>
      <w:r w:rsidR="00C73CB2">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A80FB5">
        <w:t xml:space="preserve"> </w:t>
      </w:r>
      <w:r w:rsidR="00F73DE8" w:rsidRPr="0086545A">
        <w:rPr>
          <w:u w:val="single"/>
        </w:rPr>
        <w:t>Necessity of Information</w:t>
      </w:r>
      <w:r w:rsidR="00886498" w:rsidRPr="0086545A">
        <w:rPr>
          <w:u w:val="single"/>
        </w:rPr>
        <w:t>:</w:t>
      </w:r>
      <w:r w:rsidR="00886498">
        <w:t xml:space="preserve"> </w:t>
      </w:r>
    </w:p>
    <w:p w:rsidR="00E76F31" w:rsidRDefault="00E76F31" w:rsidP="005038D3"/>
    <w:p w:rsidR="00F746DB" w:rsidRDefault="00A60B9B" w:rsidP="005038D3">
      <w:r>
        <w:t xml:space="preserve">The DEA implements </w:t>
      </w:r>
      <w:r w:rsidR="00EC2255">
        <w:t>t</w:t>
      </w:r>
      <w:r w:rsidR="00A80FB5">
        <w:t>he Controlled Substances Act</w:t>
      </w:r>
      <w:r w:rsidR="00983B4B">
        <w:t xml:space="preserve"> (CSA)</w:t>
      </w:r>
      <w:r w:rsidR="00C46FD4">
        <w:t xml:space="preserve"> </w:t>
      </w:r>
      <w:r w:rsidR="00EC2255">
        <w:t xml:space="preserve">which </w:t>
      </w:r>
      <w:r w:rsidR="00A80FB5">
        <w:t>require</w:t>
      </w:r>
      <w:r w:rsidR="00EC2255">
        <w:t>s</w:t>
      </w:r>
      <w:r w:rsidR="00A80FB5">
        <w:t xml:space="preserve"> that every person who manufactures or distributes a list I chemical shall annually obtain a registration </w:t>
      </w:r>
      <w:r w:rsidR="00F746DB">
        <w:t xml:space="preserve">for that purpose.  </w:t>
      </w:r>
      <w:r w:rsidR="00983B4B" w:rsidRPr="00983B4B">
        <w:t>21 U.S.C. 822 and 823</w:t>
      </w:r>
      <w:r w:rsidR="00983B4B">
        <w:t>.</w:t>
      </w:r>
      <w:r w:rsidR="00A80FB5">
        <w:t xml:space="preserve">  Additionally, the Controlled Substances Import and Export Act </w:t>
      </w:r>
      <w:r w:rsidR="008D356F">
        <w:t xml:space="preserve">(CSIEA) </w:t>
      </w:r>
      <w:r w:rsidR="00A80FB5">
        <w:t>require</w:t>
      </w:r>
      <w:r w:rsidR="00854C28">
        <w:t>s</w:t>
      </w:r>
      <w:r w:rsidR="00A80FB5">
        <w:t xml:space="preserve"> that persons who import or export </w:t>
      </w:r>
      <w:r w:rsidR="00351D0C">
        <w:t>l</w:t>
      </w:r>
      <w:r w:rsidR="00A80FB5">
        <w:t>ist I chemicals must obtain a registration prior to conducting such activities.</w:t>
      </w:r>
      <w:r w:rsidR="00C46FD4">
        <w:t xml:space="preserve">  </w:t>
      </w:r>
      <w:r w:rsidR="00983B4B" w:rsidRPr="00983B4B">
        <w:t>21 U.S.</w:t>
      </w:r>
      <w:r w:rsidR="00F746DB">
        <w:t>C. 9</w:t>
      </w:r>
      <w:r w:rsidR="00D27F3D">
        <w:t xml:space="preserve">57 and 958.  </w:t>
      </w:r>
    </w:p>
    <w:p w:rsidR="002104E2" w:rsidRDefault="002104E2" w:rsidP="005038D3"/>
    <w:p w:rsidR="00E76F31" w:rsidRDefault="005D6B8B" w:rsidP="00364CDC">
      <w:r>
        <w:t xml:space="preserve">2. </w:t>
      </w:r>
      <w:r w:rsidR="00A80FB5">
        <w:t xml:space="preserve"> </w:t>
      </w:r>
      <w:r w:rsidRPr="0086545A">
        <w:rPr>
          <w:u w:val="single"/>
        </w:rPr>
        <w:t>Needs and Uses</w:t>
      </w:r>
      <w:r w:rsidR="00886498" w:rsidRPr="0086545A">
        <w:rPr>
          <w:u w:val="single"/>
        </w:rPr>
        <w:t>:</w:t>
      </w:r>
      <w:r w:rsidR="00886498">
        <w:t xml:space="preserve"> </w:t>
      </w:r>
    </w:p>
    <w:p w:rsidR="00E76F31" w:rsidRDefault="00E76F31" w:rsidP="00364CDC"/>
    <w:p w:rsidR="00937B1A" w:rsidRDefault="00937B1A" w:rsidP="00364CDC">
      <w:pPr>
        <w:rPr>
          <w:snapToGrid w:val="0"/>
          <w:szCs w:val="20"/>
        </w:rPr>
      </w:pPr>
      <w:r w:rsidRPr="00937B1A">
        <w:rPr>
          <w:snapToGrid w:val="0"/>
          <w:szCs w:val="20"/>
        </w:rPr>
        <w:t>DEA Form 510 is utilized by applicants desiring to manufacture, distribute, impo</w:t>
      </w:r>
      <w:r w:rsidR="00F55EA3">
        <w:rPr>
          <w:snapToGrid w:val="0"/>
          <w:szCs w:val="20"/>
        </w:rPr>
        <w:t xml:space="preserve">rt, and export </w:t>
      </w:r>
      <w:r w:rsidR="00351D0C">
        <w:rPr>
          <w:snapToGrid w:val="0"/>
          <w:szCs w:val="20"/>
        </w:rPr>
        <w:t>l</w:t>
      </w:r>
      <w:r w:rsidR="00F55EA3">
        <w:rPr>
          <w:snapToGrid w:val="0"/>
          <w:szCs w:val="20"/>
        </w:rPr>
        <w:t xml:space="preserve">ist I chemicals.  </w:t>
      </w:r>
      <w:r w:rsidRPr="00937B1A">
        <w:rPr>
          <w:snapToGrid w:val="0"/>
          <w:szCs w:val="20"/>
        </w:rPr>
        <w:t>DEA Form 510</w:t>
      </w:r>
      <w:r w:rsidR="00BC5068">
        <w:rPr>
          <w:snapToGrid w:val="0"/>
          <w:szCs w:val="20"/>
        </w:rPr>
        <w:t>A</w:t>
      </w:r>
      <w:r w:rsidRPr="00937B1A">
        <w:rPr>
          <w:snapToGrid w:val="0"/>
          <w:szCs w:val="20"/>
        </w:rPr>
        <w:t xml:space="preserve"> is utilized for renewal of the </w:t>
      </w:r>
      <w:r w:rsidR="00A80FB5">
        <w:rPr>
          <w:snapToGrid w:val="0"/>
          <w:szCs w:val="20"/>
        </w:rPr>
        <w:t xml:space="preserve">registration on an annual basis.  </w:t>
      </w:r>
      <w:r w:rsidR="00A80FB5">
        <w:t>Th</w:t>
      </w:r>
      <w:r>
        <w:t>is information is also used by</w:t>
      </w:r>
      <w:r w:rsidR="001C70E6">
        <w:t xml:space="preserve"> the</w:t>
      </w:r>
      <w:r>
        <w:t xml:space="preserve"> DEA investigators in evaluating the applicant to determine if the requirements for registration have been met.  Failure to collect such information would prevent evaluation of the applicant prior to registration and would impair </w:t>
      </w:r>
      <w:r w:rsidR="00644694">
        <w:t xml:space="preserve">the </w:t>
      </w:r>
      <w:r>
        <w:t xml:space="preserve">DEA’s enforcement of the </w:t>
      </w:r>
      <w:r w:rsidR="00644694">
        <w:t>CSA</w:t>
      </w:r>
      <w:r w:rsidR="00F55EA3">
        <w:t xml:space="preserve"> </w:t>
      </w:r>
      <w:r w:rsidR="008D356F">
        <w:t xml:space="preserve">and CSIEA </w:t>
      </w:r>
      <w:r w:rsidR="00351D0C">
        <w:t>p</w:t>
      </w:r>
      <w:r w:rsidR="00022A43">
        <w:t>ursuant to</w:t>
      </w:r>
      <w:r w:rsidR="00F55EA3">
        <w:t xml:space="preserve"> </w:t>
      </w:r>
      <w:r w:rsidR="00F14EE4">
        <w:t>21 U.S.C. 8</w:t>
      </w:r>
      <w:r w:rsidR="008F60CE">
        <w:t xml:space="preserve">22, </w:t>
      </w:r>
      <w:r w:rsidR="00F14EE4">
        <w:t>823</w:t>
      </w:r>
      <w:r w:rsidR="008F60CE">
        <w:t xml:space="preserve"> </w:t>
      </w:r>
      <w:r w:rsidR="008F60CE" w:rsidRPr="008F60CE">
        <w:rPr>
          <w:snapToGrid w:val="0"/>
          <w:szCs w:val="20"/>
        </w:rPr>
        <w:t>957, and 958</w:t>
      </w:r>
      <w:r w:rsidR="005E2D75">
        <w:rPr>
          <w:snapToGrid w:val="0"/>
          <w:szCs w:val="20"/>
        </w:rPr>
        <w:t>,</w:t>
      </w:r>
      <w:r w:rsidR="00494AFE">
        <w:rPr>
          <w:snapToGrid w:val="0"/>
          <w:szCs w:val="20"/>
        </w:rPr>
        <w:t xml:space="preserve"> </w:t>
      </w:r>
      <w:r w:rsidR="00022A43">
        <w:t>and in accordance with</w:t>
      </w:r>
      <w:r w:rsidR="00F14EE4">
        <w:t xml:space="preserve"> </w:t>
      </w:r>
      <w:r w:rsidR="008F60CE">
        <w:t>21 CFR 1309.2</w:t>
      </w:r>
      <w:r w:rsidR="00C46FD4">
        <w:t>1</w:t>
      </w:r>
      <w:r w:rsidR="00494AFE">
        <w:t xml:space="preserve"> and </w:t>
      </w:r>
      <w:r w:rsidR="00F14EE4">
        <w:t>1309.32.</w:t>
      </w:r>
      <w:r w:rsidR="00F55EA3">
        <w:t xml:space="preserve"> </w:t>
      </w:r>
    </w:p>
    <w:p w:rsidR="00703A7C" w:rsidRDefault="00937B1A" w:rsidP="00364CDC">
      <w:r>
        <w:t xml:space="preserve"> </w:t>
      </w:r>
    </w:p>
    <w:p w:rsidR="00E76F31" w:rsidRDefault="004150F8" w:rsidP="00364CDC">
      <w:r>
        <w:t>3.</w:t>
      </w:r>
      <w:r w:rsidR="00406453" w:rsidRPr="00406453">
        <w:t xml:space="preserve"> </w:t>
      </w:r>
      <w:r w:rsidR="00A80FB5">
        <w:t xml:space="preserve"> </w:t>
      </w:r>
      <w:r w:rsidR="00406453" w:rsidRPr="005E2D75">
        <w:rPr>
          <w:u w:val="single"/>
        </w:rPr>
        <w:t>Use of</w:t>
      </w:r>
      <w:r w:rsidR="00A84F9C" w:rsidRPr="005E2D75">
        <w:rPr>
          <w:u w:val="single"/>
        </w:rPr>
        <w:t xml:space="preserve"> Information</w:t>
      </w:r>
      <w:r w:rsidR="00406453" w:rsidRPr="005E2D75">
        <w:rPr>
          <w:u w:val="single"/>
        </w:rPr>
        <w:t xml:space="preserve"> Technology</w:t>
      </w:r>
      <w:r w:rsidR="00886498" w:rsidRPr="0086545A">
        <w:rPr>
          <w:u w:val="single"/>
        </w:rPr>
        <w:t>:</w:t>
      </w:r>
      <w:r w:rsidR="00886498">
        <w:t xml:space="preserve"> </w:t>
      </w:r>
    </w:p>
    <w:p w:rsidR="00E76F31" w:rsidRDefault="00E76F31" w:rsidP="00364CDC"/>
    <w:p w:rsidR="000157AD" w:rsidRDefault="006C47B2" w:rsidP="00364CDC">
      <w:r>
        <w:t xml:space="preserve">The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Office of</w:t>
      </w:r>
      <w:r w:rsidR="00B5274C">
        <w:t xml:space="preserve"> Diversion Control </w:t>
      </w:r>
      <w:r w:rsidR="00AA7841">
        <w:t xml:space="preserve">Web </w:t>
      </w:r>
      <w:r w:rsidR="00B5274C">
        <w:t xml:space="preserve">site </w:t>
      </w:r>
      <w:hyperlink r:id="rId9" w:history="1">
        <w:r w:rsidR="00BC5231" w:rsidRPr="00C46FD4">
          <w:rPr>
            <w:rStyle w:val="Hyperlink"/>
            <w:u w:val="none"/>
          </w:rPr>
          <w:t>http://www.deadiversion.usdoj.gov</w:t>
        </w:r>
      </w:hyperlink>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 xml:space="preserve">DEA Forms </w:t>
      </w:r>
      <w:r w:rsidR="00D86159">
        <w:t>510</w:t>
      </w:r>
      <w:r w:rsidR="004C4112">
        <w:t xml:space="preserve"> and </w:t>
      </w:r>
      <w:r w:rsidR="00D86159">
        <w:t>510</w:t>
      </w:r>
      <w:r w:rsidR="00253BBE">
        <w:t>A</w:t>
      </w:r>
      <w:r w:rsidR="004C4112">
        <w:t xml:space="preserve"> </w:t>
      </w:r>
      <w:r w:rsidR="0049560E">
        <w:t>online</w:t>
      </w:r>
      <w:r w:rsidR="00C46FD4">
        <w:t xml:space="preserve"> along with credit card payment.  </w:t>
      </w:r>
      <w:r w:rsidR="00DF4A1B">
        <w:t>Approximately</w:t>
      </w:r>
      <w:r w:rsidR="00694DD2">
        <w:t xml:space="preserve"> </w:t>
      </w:r>
      <w:r w:rsidR="005E0579" w:rsidRPr="005E2D75">
        <w:t>89</w:t>
      </w:r>
      <w:r w:rsidR="004F0B77" w:rsidRPr="00694DD2">
        <w:t>%</w:t>
      </w:r>
      <w:r w:rsidR="004F0B77">
        <w:t xml:space="preserve"> </w:t>
      </w:r>
      <w:r w:rsidR="00767092">
        <w:t>of</w:t>
      </w:r>
      <w:r w:rsidR="00DF4A1B">
        <w:t xml:space="preserve"> </w:t>
      </w:r>
      <w:r w:rsidR="008D5480">
        <w:t>a</w:t>
      </w:r>
      <w:r w:rsidR="00DF4A1B">
        <w:t xml:space="preserve">pplications for initial registration and renewal registration were submitted online during </w:t>
      </w:r>
      <w:r w:rsidR="00543A1B">
        <w:t>calendar year</w:t>
      </w:r>
      <w:r w:rsidR="004F0B77">
        <w:t xml:space="preserve"> 2015</w:t>
      </w:r>
      <w:r w:rsidR="00DF4A1B">
        <w:t>.</w:t>
      </w:r>
      <w:r w:rsidR="0058315F">
        <w:t xml:space="preserve">  </w:t>
      </w:r>
    </w:p>
    <w:p w:rsidR="00412DE6" w:rsidRDefault="00412DE6" w:rsidP="00364CDC"/>
    <w:p w:rsidR="00E76F31" w:rsidRDefault="00A7508F" w:rsidP="00364CDC">
      <w:pPr>
        <w:rPr>
          <w:color w:val="000000"/>
        </w:rPr>
      </w:pPr>
      <w:r>
        <w:rPr>
          <w:color w:val="000000"/>
        </w:rPr>
        <w:t xml:space="preserve">4. </w:t>
      </w:r>
      <w:r w:rsidR="00A80FB5">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7508F" w:rsidRDefault="00362449" w:rsidP="00364CDC">
      <w:r>
        <w:lastRenderedPageBreak/>
        <w:t>The DEA has made efforts to identify and prevent duplication of the collection of information.  The existing DEA Form</w:t>
      </w:r>
      <w:r w:rsidR="00E719E1">
        <w:t>s</w:t>
      </w:r>
      <w:r>
        <w:t xml:space="preserve"> </w:t>
      </w:r>
      <w:r w:rsidR="00D86159">
        <w:t>510</w:t>
      </w:r>
      <w:r w:rsidR="004C4112">
        <w:t xml:space="preserve"> and </w:t>
      </w:r>
      <w:r w:rsidR="00D86159">
        <w:t>510</w:t>
      </w:r>
      <w:r w:rsidR="005E030C">
        <w:t>A</w:t>
      </w:r>
      <w:r w:rsidR="00351EB0">
        <w:t xml:space="preserve"> </w:t>
      </w:r>
      <w:r>
        <w:t>are not duplicative</w:t>
      </w:r>
      <w:r w:rsidR="00046C80">
        <w:t xml:space="preserve"> of any other DEA forms</w:t>
      </w:r>
      <w:r>
        <w:t xml:space="preserve">.  The collection of this information is unique to the DEA.   </w:t>
      </w:r>
    </w:p>
    <w:p w:rsidR="00886498" w:rsidRDefault="00886498" w:rsidP="00364CDC"/>
    <w:p w:rsidR="00E76F31" w:rsidRDefault="00A7508F" w:rsidP="00364CDC">
      <w:r>
        <w:t xml:space="preserve">5. </w:t>
      </w:r>
      <w:r w:rsidR="00A80FB5">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E719E1">
        <w:t>s</w:t>
      </w:r>
      <w:r>
        <w:t xml:space="preserve"> </w:t>
      </w:r>
      <w:r w:rsidR="00D86159">
        <w:t>510</w:t>
      </w:r>
      <w:r w:rsidR="004C4112">
        <w:t xml:space="preserve"> and </w:t>
      </w:r>
      <w:r w:rsidR="00D86159">
        <w:t>510</w:t>
      </w:r>
      <w:r w:rsidR="005E030C">
        <w:t>A</w:t>
      </w:r>
      <w:r>
        <w:t xml:space="preserve">.  The DEA does not anticipate any additional impact on small businesses or other small entities since the </w:t>
      </w:r>
      <w:r w:rsidR="008D356F">
        <w:t xml:space="preserve">last </w:t>
      </w:r>
      <w:r>
        <w:t>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00A80FB5">
        <w:t xml:space="preserve"> </w:t>
      </w:r>
      <w:r w:rsidRPr="0086545A">
        <w:rPr>
          <w:u w:val="single"/>
        </w:rPr>
        <w:t>Consequences of Less Frequent Collection</w:t>
      </w:r>
      <w:r w:rsidR="00886498" w:rsidRPr="0086545A">
        <w:rPr>
          <w:u w:val="single"/>
        </w:rPr>
        <w:t>:</w:t>
      </w:r>
      <w:r w:rsidR="00886498">
        <w:t xml:space="preserve"> </w:t>
      </w:r>
    </w:p>
    <w:p w:rsidR="00E76F31" w:rsidRDefault="00E76F31" w:rsidP="00364CDC"/>
    <w:p w:rsidR="008F60CE" w:rsidRPr="008F60CE" w:rsidRDefault="008F60CE" w:rsidP="008F60CE">
      <w:pPr>
        <w:widowControl w:val="0"/>
        <w:rPr>
          <w:snapToGrid w:val="0"/>
          <w:szCs w:val="20"/>
        </w:rPr>
      </w:pPr>
      <w:r w:rsidRPr="008F60CE">
        <w:rPr>
          <w:snapToGrid w:val="0"/>
          <w:szCs w:val="20"/>
        </w:rPr>
        <w:t xml:space="preserve">DEA Form 510 is utilized on an “as needed” basis by applicants desiring to manufacture, distribute, import, </w:t>
      </w:r>
      <w:r w:rsidR="00344D90">
        <w:rPr>
          <w:snapToGrid w:val="0"/>
          <w:szCs w:val="20"/>
        </w:rPr>
        <w:t>or</w:t>
      </w:r>
      <w:r w:rsidRPr="008F60CE">
        <w:rPr>
          <w:snapToGrid w:val="0"/>
          <w:szCs w:val="20"/>
        </w:rPr>
        <w:t xml:space="preserve"> export </w:t>
      </w:r>
      <w:r w:rsidR="00172CF4">
        <w:rPr>
          <w:snapToGrid w:val="0"/>
          <w:szCs w:val="20"/>
        </w:rPr>
        <w:t>l</w:t>
      </w:r>
      <w:r w:rsidRPr="008F60CE">
        <w:rPr>
          <w:snapToGrid w:val="0"/>
          <w:szCs w:val="20"/>
        </w:rPr>
        <w:t>ist I chemicals.  DEA Form 510a is utilized for the renewal of registration on a yearly basis.  Failure to collect the information would impair</w:t>
      </w:r>
      <w:r w:rsidR="00C81349">
        <w:rPr>
          <w:snapToGrid w:val="0"/>
          <w:szCs w:val="20"/>
        </w:rPr>
        <w:t xml:space="preserve"> the</w:t>
      </w:r>
      <w:r w:rsidRPr="008F60CE">
        <w:rPr>
          <w:snapToGrid w:val="0"/>
          <w:szCs w:val="20"/>
        </w:rPr>
        <w:t xml:space="preserve"> DEA’s enforcement activities and violate 21 U.S.C. 822, 823, 957, and 958 of the </w:t>
      </w:r>
      <w:r w:rsidR="00C81349">
        <w:rPr>
          <w:snapToGrid w:val="0"/>
          <w:szCs w:val="20"/>
        </w:rPr>
        <w:t>CSA</w:t>
      </w:r>
      <w:r w:rsidR="008D356F">
        <w:rPr>
          <w:snapToGrid w:val="0"/>
          <w:szCs w:val="20"/>
        </w:rPr>
        <w:t xml:space="preserve"> and CSIEA</w:t>
      </w:r>
      <w:r w:rsidRPr="008F60CE">
        <w:rPr>
          <w:snapToGrid w:val="0"/>
          <w:szCs w:val="20"/>
        </w:rPr>
        <w:t xml:space="preserve">.  </w:t>
      </w:r>
      <w:r w:rsidR="00436332">
        <w:rPr>
          <w:snapToGrid w:val="0"/>
          <w:szCs w:val="20"/>
        </w:rPr>
        <w:t xml:space="preserve">21 U.S.C. 822(a) requires persons who manufacture or distribute, or propose to manufacture or distribute, any </w:t>
      </w:r>
      <w:r w:rsidR="00172CF4">
        <w:rPr>
          <w:snapToGrid w:val="0"/>
          <w:szCs w:val="20"/>
        </w:rPr>
        <w:t>l</w:t>
      </w:r>
      <w:r w:rsidR="00436332">
        <w:rPr>
          <w:snapToGrid w:val="0"/>
          <w:szCs w:val="20"/>
        </w:rPr>
        <w:t>ist I chemical to register annually</w:t>
      </w:r>
      <w:r w:rsidR="00436332" w:rsidRPr="008F60CE">
        <w:rPr>
          <w:snapToGrid w:val="0"/>
          <w:szCs w:val="20"/>
        </w:rPr>
        <w:t xml:space="preserve">.  </w:t>
      </w:r>
      <w:r w:rsidR="00436332">
        <w:rPr>
          <w:snapToGrid w:val="0"/>
          <w:szCs w:val="20"/>
        </w:rPr>
        <w:t xml:space="preserve">21 U.S.C. 958(e) requires persons who import or export, or propose to import or export, any </w:t>
      </w:r>
      <w:r w:rsidR="00172CF4">
        <w:rPr>
          <w:snapToGrid w:val="0"/>
          <w:szCs w:val="20"/>
        </w:rPr>
        <w:t>l</w:t>
      </w:r>
      <w:r w:rsidR="00436332">
        <w:rPr>
          <w:snapToGrid w:val="0"/>
          <w:szCs w:val="20"/>
        </w:rPr>
        <w:t>ist I chemical to register annually</w:t>
      </w:r>
      <w:r w:rsidR="00D27F3D">
        <w:rPr>
          <w:snapToGrid w:val="0"/>
          <w:szCs w:val="20"/>
        </w:rPr>
        <w:t xml:space="preserve">.  </w:t>
      </w:r>
      <w:r w:rsidR="00344D90">
        <w:rPr>
          <w:snapToGrid w:val="0"/>
          <w:szCs w:val="20"/>
        </w:rPr>
        <w:t>DEA registrants and applicants</w:t>
      </w:r>
      <w:r w:rsidR="00344D90" w:rsidRPr="008F60CE">
        <w:rPr>
          <w:snapToGrid w:val="0"/>
          <w:szCs w:val="20"/>
        </w:rPr>
        <w:t xml:space="preserve"> participating</w:t>
      </w:r>
      <w:r w:rsidRPr="008F60CE">
        <w:rPr>
          <w:snapToGrid w:val="0"/>
          <w:szCs w:val="20"/>
        </w:rPr>
        <w:t xml:space="preserve"> in this information collection maintain the requested data as part of usual and customary business practice.</w:t>
      </w:r>
    </w:p>
    <w:p w:rsidR="00923609" w:rsidRDefault="00923609" w:rsidP="00364CDC"/>
    <w:p w:rsidR="00E76F31" w:rsidRDefault="00A7508F" w:rsidP="00364CDC">
      <w:r>
        <w:t xml:space="preserve">7. </w:t>
      </w:r>
      <w:r w:rsidR="00A80FB5">
        <w:t xml:space="preserve">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0F3874" w:rsidRDefault="000F3874" w:rsidP="00364CDC"/>
    <w:p w:rsidR="00E76F31" w:rsidRDefault="00EA0412" w:rsidP="00364CDC">
      <w:r>
        <w:t xml:space="preserve">8. </w:t>
      </w:r>
      <w:r w:rsidR="00A80FB5">
        <w:t xml:space="preserve">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 xml:space="preserve">f Information Collection, </w:t>
      </w:r>
      <w:r w:rsidR="00D672CF">
        <w:t>81</w:t>
      </w:r>
      <w:r w:rsidR="005924C8" w:rsidRPr="00D27F3D">
        <w:t xml:space="preserve"> FR </w:t>
      </w:r>
      <w:r w:rsidR="00D672CF">
        <w:t>2240</w:t>
      </w:r>
      <w:r w:rsidR="005924C8" w:rsidRPr="00D27F3D">
        <w:t>,</w:t>
      </w:r>
      <w:r w:rsidR="005924C8">
        <w:t xml:space="preserve"> published </w:t>
      </w:r>
      <w:r w:rsidR="00D672CF">
        <w:t>January 15</w:t>
      </w:r>
      <w:r w:rsidR="004F0B77" w:rsidRPr="00D27F3D">
        <w:t>, 2016</w:t>
      </w:r>
      <w:r>
        <w:t xml:space="preserve"> and the 30-day Federal Register Notice of Information Collection, </w:t>
      </w:r>
      <w:r w:rsidR="00D672CF">
        <w:t>81</w:t>
      </w:r>
      <w:r w:rsidR="005C291B" w:rsidRPr="00D27F3D">
        <w:t xml:space="preserve"> FR </w:t>
      </w:r>
      <w:r w:rsidR="007E0A69">
        <w:t>16215</w:t>
      </w:r>
      <w:r w:rsidR="005C291B" w:rsidRPr="00D27F3D">
        <w:t xml:space="preserve">, </w:t>
      </w:r>
      <w:r w:rsidRPr="00D27F3D">
        <w:t xml:space="preserve">published </w:t>
      </w:r>
      <w:r w:rsidR="007E0A69">
        <w:t>March 25</w:t>
      </w:r>
      <w:bookmarkStart w:id="0" w:name="_GoBack"/>
      <w:bookmarkEnd w:id="0"/>
      <w:r w:rsidR="004F0B77" w:rsidRPr="00D27F3D">
        <w:t>, 2016</w:t>
      </w:r>
      <w:r w:rsidRPr="00D27F3D">
        <w:t>.</w:t>
      </w:r>
      <w:r>
        <w:t xml:space="preserve">  The DEA did not receive any comments concerning this collection.</w:t>
      </w:r>
    </w:p>
    <w:p w:rsidR="00015843" w:rsidRDefault="00015843" w:rsidP="00455755"/>
    <w:p w:rsidR="00015843" w:rsidRDefault="00015843" w:rsidP="00455755">
      <w:r>
        <w:t xml:space="preserve">The DEA meets regularly with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00A80FB5">
        <w:t xml:space="preserve">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00A80FB5">
        <w:t xml:space="preserve"> </w:t>
      </w:r>
      <w:r w:rsidRPr="005E2D75">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lastRenderedPageBreak/>
        <w:t xml:space="preserve">Information requested in this collection may be considered confidential business information if marked as such in accordance with </w:t>
      </w:r>
      <w:r w:rsidRPr="005E2D75">
        <w:t>28 CFR 16.8(c)</w:t>
      </w:r>
      <w:r w:rsidRPr="00E719E1">
        <w:t xml:space="preserve">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00A80FB5">
        <w:t xml:space="preserve">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00A80FB5">
        <w:t xml:space="preserve"> </w:t>
      </w:r>
      <w:r w:rsidRPr="005E2D75">
        <w:rPr>
          <w:u w:val="single"/>
        </w:rPr>
        <w:t>Estimate</w:t>
      </w:r>
      <w:r w:rsidR="00451924" w:rsidRPr="005E2D75">
        <w:rPr>
          <w:u w:val="single"/>
        </w:rPr>
        <w:t xml:space="preserve"> of</w:t>
      </w:r>
      <w:r w:rsidRPr="005E2D75">
        <w:rPr>
          <w:u w:val="single"/>
        </w:rPr>
        <w:t xml:space="preserve"> Hour Burden</w:t>
      </w:r>
      <w:r w:rsidRPr="00694DD2">
        <w:t>:</w:t>
      </w:r>
    </w:p>
    <w:p w:rsidR="004F0B77" w:rsidRDefault="004F0B77" w:rsidP="001D161D"/>
    <w:p w:rsidR="00D27F3D" w:rsidRDefault="00D86159" w:rsidP="001D161D">
      <w:r>
        <w:t>DEA Form 510</w:t>
      </w:r>
      <w:r w:rsidR="001D161D" w:rsidRPr="00F117FD">
        <w:t xml:space="preserve"> is submitted on an as</w:t>
      </w:r>
      <w:r w:rsidR="001D161D" w:rsidRPr="00F117FD">
        <w:noBreakHyphen/>
        <w:t xml:space="preserve">needed basis by persons seeking to become registered. </w:t>
      </w:r>
      <w:r>
        <w:t xml:space="preserve"> DEA Form 510</w:t>
      </w:r>
      <w:r w:rsidR="005E030C">
        <w:t>A</w:t>
      </w:r>
      <w:r w:rsidR="008F60CE">
        <w:t xml:space="preserve"> is submitted on </w:t>
      </w:r>
      <w:r w:rsidR="00837B1D">
        <w:t>an</w:t>
      </w:r>
      <w:r w:rsidR="008F60CE">
        <w:t xml:space="preserve"> annual</w:t>
      </w:r>
      <w:r w:rsidR="001D161D" w:rsidRPr="00F117FD">
        <w:t xml:space="preserve"> basis thereafter.</w:t>
      </w:r>
    </w:p>
    <w:p w:rsidR="00D27F3D" w:rsidRDefault="00D27F3D" w:rsidP="001D161D"/>
    <w:tbl>
      <w:tblPr>
        <w:tblStyle w:val="TableGrid1"/>
        <w:tblW w:w="7260" w:type="dxa"/>
        <w:tblInd w:w="108" w:type="dxa"/>
        <w:tblLayout w:type="fixed"/>
        <w:tblLook w:val="01E0" w:firstRow="1" w:lastRow="1" w:firstColumn="1" w:lastColumn="1" w:noHBand="0" w:noVBand="0"/>
      </w:tblPr>
      <w:tblGrid>
        <w:gridCol w:w="2112"/>
        <w:gridCol w:w="1689"/>
        <w:gridCol w:w="1795"/>
        <w:gridCol w:w="1664"/>
      </w:tblGrid>
      <w:tr w:rsidR="005C2888" w:rsidRPr="005C2888" w:rsidTr="005E2D75">
        <w:tc>
          <w:tcPr>
            <w:tcW w:w="2112" w:type="dxa"/>
          </w:tcPr>
          <w:p w:rsidR="005C2888" w:rsidRPr="005E2D75" w:rsidRDefault="005C2888" w:rsidP="001E2DF7">
            <w:pPr>
              <w:rPr>
                <w:sz w:val="20"/>
                <w:szCs w:val="20"/>
              </w:rPr>
            </w:pPr>
          </w:p>
        </w:tc>
        <w:tc>
          <w:tcPr>
            <w:tcW w:w="1689" w:type="dxa"/>
            <w:vAlign w:val="center"/>
          </w:tcPr>
          <w:p w:rsidR="005C2888" w:rsidRPr="005E2D75" w:rsidRDefault="005C2888" w:rsidP="001E2DF7">
            <w:pPr>
              <w:jc w:val="center"/>
              <w:rPr>
                <w:b/>
                <w:sz w:val="20"/>
                <w:szCs w:val="20"/>
              </w:rPr>
            </w:pPr>
            <w:r w:rsidRPr="005E2D75">
              <w:rPr>
                <w:b/>
                <w:sz w:val="20"/>
                <w:szCs w:val="20"/>
              </w:rPr>
              <w:t>Number of Annual Respondents</w:t>
            </w:r>
          </w:p>
        </w:tc>
        <w:tc>
          <w:tcPr>
            <w:tcW w:w="1795" w:type="dxa"/>
            <w:vAlign w:val="center"/>
          </w:tcPr>
          <w:p w:rsidR="005C2888" w:rsidRPr="005E2D75" w:rsidRDefault="005C2888" w:rsidP="001F59FE">
            <w:pPr>
              <w:jc w:val="center"/>
              <w:rPr>
                <w:b/>
                <w:sz w:val="20"/>
                <w:szCs w:val="20"/>
              </w:rPr>
            </w:pPr>
            <w:r w:rsidRPr="005E2D75">
              <w:rPr>
                <w:b/>
                <w:sz w:val="20"/>
                <w:szCs w:val="20"/>
              </w:rPr>
              <w:t>Average Time per Response</w:t>
            </w:r>
          </w:p>
        </w:tc>
        <w:tc>
          <w:tcPr>
            <w:tcW w:w="1664" w:type="dxa"/>
            <w:vAlign w:val="center"/>
          </w:tcPr>
          <w:p w:rsidR="005C2888" w:rsidRPr="005E2D75" w:rsidRDefault="005C2888" w:rsidP="005C2888">
            <w:pPr>
              <w:jc w:val="center"/>
              <w:rPr>
                <w:b/>
                <w:sz w:val="20"/>
                <w:szCs w:val="20"/>
              </w:rPr>
            </w:pPr>
            <w:r w:rsidRPr="005E2D75">
              <w:rPr>
                <w:b/>
                <w:sz w:val="20"/>
                <w:szCs w:val="20"/>
              </w:rPr>
              <w:t>Total Annual Burden Hours</w:t>
            </w:r>
          </w:p>
        </w:tc>
      </w:tr>
      <w:tr w:rsidR="001F59FE" w:rsidRPr="005C2888" w:rsidTr="005E2D75">
        <w:tc>
          <w:tcPr>
            <w:tcW w:w="2112" w:type="dxa"/>
          </w:tcPr>
          <w:p w:rsidR="001F59FE" w:rsidRPr="005E2D75" w:rsidRDefault="001F59FE" w:rsidP="001E2DF7">
            <w:pPr>
              <w:rPr>
                <w:sz w:val="20"/>
                <w:szCs w:val="20"/>
              </w:rPr>
            </w:pPr>
            <w:r w:rsidRPr="005E2D75">
              <w:rPr>
                <w:sz w:val="20"/>
                <w:szCs w:val="20"/>
              </w:rPr>
              <w:t>DEA-510 (paper)</w:t>
            </w:r>
          </w:p>
        </w:tc>
        <w:tc>
          <w:tcPr>
            <w:tcW w:w="1689" w:type="dxa"/>
          </w:tcPr>
          <w:p w:rsidR="001F59FE" w:rsidRPr="005E2D75" w:rsidRDefault="001F59FE" w:rsidP="005E2D75">
            <w:pPr>
              <w:jc w:val="right"/>
              <w:rPr>
                <w:sz w:val="20"/>
                <w:szCs w:val="20"/>
              </w:rPr>
            </w:pPr>
            <w:r w:rsidRPr="005E2D75">
              <w:rPr>
                <w:sz w:val="20"/>
                <w:szCs w:val="20"/>
              </w:rPr>
              <w:t>14</w:t>
            </w:r>
          </w:p>
        </w:tc>
        <w:tc>
          <w:tcPr>
            <w:tcW w:w="1795" w:type="dxa"/>
          </w:tcPr>
          <w:p w:rsidR="001F59FE" w:rsidRPr="005E2D75" w:rsidRDefault="001F59FE" w:rsidP="005C2888">
            <w:pPr>
              <w:rPr>
                <w:sz w:val="20"/>
                <w:szCs w:val="20"/>
              </w:rPr>
            </w:pPr>
            <w:r w:rsidRPr="00004120">
              <w:rPr>
                <w:rFonts w:eastAsia="SimSun"/>
                <w:sz w:val="20"/>
                <w:szCs w:val="20"/>
              </w:rPr>
              <w:t>0.2</w:t>
            </w:r>
            <w:r>
              <w:rPr>
                <w:rFonts w:eastAsia="SimSun"/>
                <w:sz w:val="20"/>
                <w:szCs w:val="20"/>
              </w:rPr>
              <w:t>0</w:t>
            </w:r>
            <w:r w:rsidRPr="00004120">
              <w:rPr>
                <w:rFonts w:eastAsia="SimSun"/>
                <w:sz w:val="20"/>
                <w:szCs w:val="20"/>
              </w:rPr>
              <w:t xml:space="preserve"> hours (12 minutes)</w:t>
            </w:r>
          </w:p>
        </w:tc>
        <w:tc>
          <w:tcPr>
            <w:tcW w:w="1664" w:type="dxa"/>
          </w:tcPr>
          <w:p w:rsidR="001F59FE" w:rsidRPr="005E2D75" w:rsidRDefault="001F59FE" w:rsidP="005E2D75">
            <w:pPr>
              <w:jc w:val="right"/>
              <w:rPr>
                <w:sz w:val="20"/>
                <w:szCs w:val="20"/>
              </w:rPr>
            </w:pPr>
            <w:r>
              <w:rPr>
                <w:sz w:val="20"/>
                <w:szCs w:val="20"/>
              </w:rPr>
              <w:t>2.80</w:t>
            </w:r>
          </w:p>
        </w:tc>
      </w:tr>
      <w:tr w:rsidR="001F59FE" w:rsidRPr="005C2888" w:rsidTr="005E2D75">
        <w:tc>
          <w:tcPr>
            <w:tcW w:w="2112" w:type="dxa"/>
          </w:tcPr>
          <w:p w:rsidR="001F59FE" w:rsidRPr="005E2D75" w:rsidRDefault="001F59FE" w:rsidP="001E2DF7">
            <w:pPr>
              <w:rPr>
                <w:sz w:val="20"/>
                <w:szCs w:val="20"/>
              </w:rPr>
            </w:pPr>
            <w:r w:rsidRPr="005E2D75">
              <w:rPr>
                <w:sz w:val="20"/>
                <w:szCs w:val="20"/>
              </w:rPr>
              <w:t>DEA-510 (electronic)</w:t>
            </w:r>
          </w:p>
        </w:tc>
        <w:tc>
          <w:tcPr>
            <w:tcW w:w="1689" w:type="dxa"/>
          </w:tcPr>
          <w:p w:rsidR="001F59FE" w:rsidRPr="005E2D75" w:rsidRDefault="001F59FE" w:rsidP="005E2D75">
            <w:pPr>
              <w:jc w:val="right"/>
              <w:rPr>
                <w:sz w:val="20"/>
                <w:szCs w:val="20"/>
              </w:rPr>
            </w:pPr>
            <w:r>
              <w:rPr>
                <w:sz w:val="20"/>
                <w:szCs w:val="20"/>
              </w:rPr>
              <w:t>116</w:t>
            </w:r>
          </w:p>
        </w:tc>
        <w:tc>
          <w:tcPr>
            <w:tcW w:w="1795" w:type="dxa"/>
          </w:tcPr>
          <w:p w:rsidR="001F59FE" w:rsidRPr="005E2D75" w:rsidRDefault="001F59FE" w:rsidP="005C2888">
            <w:pPr>
              <w:rPr>
                <w:sz w:val="20"/>
                <w:szCs w:val="20"/>
              </w:rPr>
            </w:pPr>
            <w:r>
              <w:rPr>
                <w:rFonts w:eastAsia="SimSun"/>
                <w:sz w:val="20"/>
                <w:szCs w:val="20"/>
              </w:rPr>
              <w:t>0.17</w:t>
            </w:r>
            <w:r w:rsidRPr="00004120">
              <w:rPr>
                <w:rFonts w:eastAsia="SimSun"/>
                <w:sz w:val="20"/>
                <w:szCs w:val="20"/>
              </w:rPr>
              <w:t xml:space="preserve"> hours (8 minutes)</w:t>
            </w:r>
          </w:p>
        </w:tc>
        <w:tc>
          <w:tcPr>
            <w:tcW w:w="1664" w:type="dxa"/>
          </w:tcPr>
          <w:p w:rsidR="001F59FE" w:rsidRPr="005E2D75" w:rsidRDefault="001F59FE" w:rsidP="005E2D75">
            <w:pPr>
              <w:jc w:val="right"/>
              <w:rPr>
                <w:sz w:val="20"/>
                <w:szCs w:val="20"/>
              </w:rPr>
            </w:pPr>
            <w:r>
              <w:rPr>
                <w:sz w:val="20"/>
                <w:szCs w:val="20"/>
              </w:rPr>
              <w:t>15.47</w:t>
            </w:r>
          </w:p>
        </w:tc>
      </w:tr>
      <w:tr w:rsidR="001F59FE" w:rsidRPr="005C2888" w:rsidTr="005E2D75">
        <w:tc>
          <w:tcPr>
            <w:tcW w:w="2112" w:type="dxa"/>
          </w:tcPr>
          <w:p w:rsidR="001F59FE" w:rsidRPr="005E2D75" w:rsidRDefault="001F59FE" w:rsidP="001F59FE">
            <w:pPr>
              <w:rPr>
                <w:sz w:val="20"/>
                <w:szCs w:val="20"/>
              </w:rPr>
            </w:pPr>
            <w:r w:rsidRPr="005E2D75">
              <w:rPr>
                <w:sz w:val="20"/>
                <w:szCs w:val="20"/>
              </w:rPr>
              <w:t>DEA-510</w:t>
            </w:r>
            <w:r>
              <w:rPr>
                <w:sz w:val="20"/>
                <w:szCs w:val="20"/>
              </w:rPr>
              <w:t>A</w:t>
            </w:r>
            <w:r w:rsidRPr="005E2D75">
              <w:rPr>
                <w:sz w:val="20"/>
                <w:szCs w:val="20"/>
              </w:rPr>
              <w:t xml:space="preserve"> (paper)</w:t>
            </w:r>
          </w:p>
        </w:tc>
        <w:tc>
          <w:tcPr>
            <w:tcW w:w="1689" w:type="dxa"/>
          </w:tcPr>
          <w:p w:rsidR="001F59FE" w:rsidRPr="005E2D75" w:rsidRDefault="001F59FE" w:rsidP="005E2D75">
            <w:pPr>
              <w:jc w:val="right"/>
              <w:rPr>
                <w:sz w:val="20"/>
                <w:szCs w:val="20"/>
              </w:rPr>
            </w:pPr>
            <w:r w:rsidRPr="005E2D75">
              <w:rPr>
                <w:sz w:val="20"/>
                <w:szCs w:val="20"/>
              </w:rPr>
              <w:t>97</w:t>
            </w:r>
          </w:p>
        </w:tc>
        <w:tc>
          <w:tcPr>
            <w:tcW w:w="1795" w:type="dxa"/>
          </w:tcPr>
          <w:p w:rsidR="001F59FE" w:rsidRPr="005E2D75" w:rsidRDefault="001F59FE" w:rsidP="005C2888">
            <w:pPr>
              <w:rPr>
                <w:sz w:val="20"/>
                <w:szCs w:val="20"/>
              </w:rPr>
            </w:pPr>
            <w:r w:rsidRPr="00004120">
              <w:rPr>
                <w:rFonts w:eastAsia="SimSun"/>
                <w:sz w:val="20"/>
                <w:szCs w:val="20"/>
              </w:rPr>
              <w:t>0.2 hours (10 minutes)</w:t>
            </w:r>
          </w:p>
        </w:tc>
        <w:tc>
          <w:tcPr>
            <w:tcW w:w="1664" w:type="dxa"/>
          </w:tcPr>
          <w:p w:rsidR="001F59FE" w:rsidRPr="005E2D75" w:rsidRDefault="001F59FE" w:rsidP="005E2D75">
            <w:pPr>
              <w:jc w:val="right"/>
              <w:rPr>
                <w:sz w:val="20"/>
                <w:szCs w:val="20"/>
              </w:rPr>
            </w:pPr>
            <w:r>
              <w:rPr>
                <w:sz w:val="20"/>
                <w:szCs w:val="20"/>
              </w:rPr>
              <w:t>16.17</w:t>
            </w:r>
          </w:p>
        </w:tc>
      </w:tr>
      <w:tr w:rsidR="001F59FE" w:rsidRPr="005C2888" w:rsidTr="005E2D75">
        <w:tc>
          <w:tcPr>
            <w:tcW w:w="2112" w:type="dxa"/>
          </w:tcPr>
          <w:p w:rsidR="001F59FE" w:rsidRPr="005E2D75" w:rsidRDefault="001F59FE" w:rsidP="001F59FE">
            <w:pPr>
              <w:rPr>
                <w:sz w:val="20"/>
                <w:szCs w:val="20"/>
              </w:rPr>
            </w:pPr>
            <w:r w:rsidRPr="005E2D75">
              <w:rPr>
                <w:sz w:val="20"/>
                <w:szCs w:val="20"/>
              </w:rPr>
              <w:t>DEA-510</w:t>
            </w:r>
            <w:r>
              <w:rPr>
                <w:sz w:val="20"/>
                <w:szCs w:val="20"/>
              </w:rPr>
              <w:t>A</w:t>
            </w:r>
            <w:r w:rsidRPr="005E2D75">
              <w:rPr>
                <w:sz w:val="20"/>
                <w:szCs w:val="20"/>
              </w:rPr>
              <w:t xml:space="preserve"> (electronic)</w:t>
            </w:r>
          </w:p>
        </w:tc>
        <w:tc>
          <w:tcPr>
            <w:tcW w:w="1689" w:type="dxa"/>
          </w:tcPr>
          <w:p w:rsidR="001F59FE" w:rsidRPr="005E2D75" w:rsidRDefault="001F59FE" w:rsidP="005E2D75">
            <w:pPr>
              <w:jc w:val="right"/>
              <w:rPr>
                <w:sz w:val="20"/>
                <w:szCs w:val="20"/>
              </w:rPr>
            </w:pPr>
            <w:r w:rsidRPr="005E2D75">
              <w:rPr>
                <w:sz w:val="20"/>
                <w:szCs w:val="20"/>
              </w:rPr>
              <w:t>827</w:t>
            </w:r>
          </w:p>
        </w:tc>
        <w:tc>
          <w:tcPr>
            <w:tcW w:w="1795" w:type="dxa"/>
          </w:tcPr>
          <w:p w:rsidR="001F59FE" w:rsidRPr="005E2D75" w:rsidRDefault="001F59FE" w:rsidP="005C2888">
            <w:pPr>
              <w:rPr>
                <w:sz w:val="20"/>
                <w:szCs w:val="20"/>
              </w:rPr>
            </w:pPr>
            <w:r w:rsidRPr="00004120">
              <w:rPr>
                <w:rFonts w:eastAsia="SimSun"/>
                <w:sz w:val="20"/>
                <w:szCs w:val="20"/>
              </w:rPr>
              <w:t>0.07 hours (4 minutes)</w:t>
            </w:r>
          </w:p>
        </w:tc>
        <w:tc>
          <w:tcPr>
            <w:tcW w:w="1664" w:type="dxa"/>
          </w:tcPr>
          <w:p w:rsidR="001F59FE" w:rsidRPr="005E2D75" w:rsidRDefault="001F59FE" w:rsidP="005E2D75">
            <w:pPr>
              <w:jc w:val="right"/>
              <w:rPr>
                <w:sz w:val="20"/>
                <w:szCs w:val="20"/>
              </w:rPr>
            </w:pPr>
            <w:r>
              <w:rPr>
                <w:sz w:val="20"/>
                <w:szCs w:val="20"/>
              </w:rPr>
              <w:t>55.13</w:t>
            </w:r>
          </w:p>
        </w:tc>
      </w:tr>
      <w:tr w:rsidR="001F59FE" w:rsidRPr="005C2888" w:rsidTr="005E2D75">
        <w:tc>
          <w:tcPr>
            <w:tcW w:w="2112" w:type="dxa"/>
          </w:tcPr>
          <w:p w:rsidR="001F59FE" w:rsidRPr="005E2D75" w:rsidRDefault="001F59FE" w:rsidP="001E2DF7">
            <w:pPr>
              <w:rPr>
                <w:sz w:val="20"/>
                <w:szCs w:val="20"/>
              </w:rPr>
            </w:pPr>
            <w:r w:rsidRPr="005E2D75">
              <w:rPr>
                <w:sz w:val="20"/>
                <w:szCs w:val="20"/>
              </w:rPr>
              <w:t>Total</w:t>
            </w:r>
          </w:p>
        </w:tc>
        <w:tc>
          <w:tcPr>
            <w:tcW w:w="1689" w:type="dxa"/>
          </w:tcPr>
          <w:p w:rsidR="001F59FE" w:rsidRPr="005E2D75" w:rsidRDefault="001F59FE" w:rsidP="001F59FE">
            <w:pPr>
              <w:jc w:val="right"/>
              <w:rPr>
                <w:sz w:val="20"/>
                <w:szCs w:val="20"/>
              </w:rPr>
            </w:pPr>
            <w:r w:rsidRPr="005E2D75">
              <w:rPr>
                <w:sz w:val="20"/>
                <w:szCs w:val="20"/>
              </w:rPr>
              <w:t>1,</w:t>
            </w:r>
            <w:r>
              <w:rPr>
                <w:sz w:val="20"/>
                <w:szCs w:val="20"/>
              </w:rPr>
              <w:t>054</w:t>
            </w:r>
          </w:p>
        </w:tc>
        <w:tc>
          <w:tcPr>
            <w:tcW w:w="1795" w:type="dxa"/>
          </w:tcPr>
          <w:p w:rsidR="001F59FE" w:rsidRPr="005E2D75" w:rsidRDefault="001F59FE" w:rsidP="001E2DF7">
            <w:pPr>
              <w:rPr>
                <w:sz w:val="20"/>
                <w:szCs w:val="20"/>
              </w:rPr>
            </w:pPr>
          </w:p>
        </w:tc>
        <w:tc>
          <w:tcPr>
            <w:tcW w:w="1664" w:type="dxa"/>
          </w:tcPr>
          <w:p w:rsidR="001F59FE" w:rsidRPr="005E2D75" w:rsidRDefault="004D75A4" w:rsidP="005E2D75">
            <w:pPr>
              <w:jc w:val="right"/>
              <w:rPr>
                <w:sz w:val="20"/>
                <w:szCs w:val="20"/>
              </w:rPr>
            </w:pPr>
            <w:r>
              <w:rPr>
                <w:sz w:val="20"/>
                <w:szCs w:val="20"/>
              </w:rPr>
              <w:t>89.57</w:t>
            </w:r>
          </w:p>
        </w:tc>
      </w:tr>
    </w:tbl>
    <w:p w:rsidR="001D161D" w:rsidRDefault="001D161D" w:rsidP="001D161D"/>
    <w:p w:rsidR="00AE7D18" w:rsidRDefault="00AE7D18" w:rsidP="00AE7D18">
      <w:r>
        <w:t>Total number of respondents:  1,</w:t>
      </w:r>
      <w:r w:rsidR="004D75A4">
        <w:t>054</w:t>
      </w:r>
    </w:p>
    <w:p w:rsidR="00AE7D18" w:rsidRDefault="00AE7D18" w:rsidP="00AE7D18"/>
    <w:p w:rsidR="00AE7D18" w:rsidRDefault="00AE7D18" w:rsidP="00AE7D18">
      <w:r>
        <w:t>Number of responses per respondent per year:  1</w:t>
      </w:r>
    </w:p>
    <w:p w:rsidR="00AE7D18" w:rsidRDefault="00AE7D18" w:rsidP="00AE7D18"/>
    <w:p w:rsidR="00AE7D18" w:rsidRDefault="00AE7D18" w:rsidP="00AE7D18">
      <w:r>
        <w:t>Total annual responses:  1,</w:t>
      </w:r>
      <w:r w:rsidR="004D75A4">
        <w:t>054</w:t>
      </w:r>
    </w:p>
    <w:p w:rsidR="00AE7D18" w:rsidRDefault="00AE7D18" w:rsidP="00AE7D18"/>
    <w:p w:rsidR="00AE7D18" w:rsidRDefault="00AE7D18" w:rsidP="00AE7D18">
      <w:r>
        <w:t xml:space="preserve">Total annual hour burden:  </w:t>
      </w:r>
      <w:r w:rsidR="004D75A4">
        <w:t>89.57</w:t>
      </w:r>
    </w:p>
    <w:p w:rsidR="00AE7D18" w:rsidRDefault="00AE7D18" w:rsidP="00AE7D18"/>
    <w:p w:rsidR="00AE7D18" w:rsidRDefault="00AE7D18" w:rsidP="00AE7D18">
      <w:r>
        <w:t>Average Burden:</w:t>
      </w:r>
      <w:r>
        <w:tab/>
        <w:t>Per Collection:  0.</w:t>
      </w:r>
      <w:r w:rsidR="00F255E8">
        <w:t xml:space="preserve">08 </w:t>
      </w:r>
      <w:r>
        <w:t>hour</w:t>
      </w:r>
    </w:p>
    <w:p w:rsidR="00AE7D18" w:rsidRDefault="00AE7D18" w:rsidP="00AE7D18"/>
    <w:p w:rsidR="00AE7D18" w:rsidRDefault="00AE7D18" w:rsidP="00AE7D18">
      <w:r>
        <w:tab/>
      </w:r>
      <w:r>
        <w:tab/>
      </w:r>
      <w:r>
        <w:tab/>
        <w:t>Per Respondent:  0.</w:t>
      </w:r>
      <w:r w:rsidR="00F255E8">
        <w:t xml:space="preserve">08 </w:t>
      </w:r>
      <w:r>
        <w:t>hour</w:t>
      </w:r>
    </w:p>
    <w:p w:rsidR="00AE7D18" w:rsidRDefault="00AE7D18" w:rsidP="00AE7D18"/>
    <w:p w:rsidR="00AE7D18" w:rsidRDefault="00AE7D18" w:rsidP="00AE7D18">
      <w:r w:rsidRPr="001F5F1F">
        <w:t xml:space="preserve">Total registration applications received on paper:  </w:t>
      </w:r>
      <w:r>
        <w:t>111</w:t>
      </w:r>
    </w:p>
    <w:p w:rsidR="00AE7D18" w:rsidRPr="001F5F1F" w:rsidRDefault="00AE7D18" w:rsidP="00AE7D18">
      <w:r>
        <w:t xml:space="preserve"> </w:t>
      </w:r>
    </w:p>
    <w:p w:rsidR="00AE7D18" w:rsidRPr="001F5F1F" w:rsidRDefault="00AE7D18" w:rsidP="00AE7D18">
      <w:r w:rsidRPr="001F5F1F">
        <w:t xml:space="preserve">Total registration applications received </w:t>
      </w:r>
      <w:r>
        <w:t>online</w:t>
      </w:r>
      <w:r w:rsidRPr="001F5F1F">
        <w:t xml:space="preserve">:  </w:t>
      </w:r>
      <w:r w:rsidR="004D75A4">
        <w:t>943</w:t>
      </w:r>
      <w:r w:rsidR="004D75A4" w:rsidRPr="001F5F1F">
        <w:t xml:space="preserve"> </w:t>
      </w:r>
    </w:p>
    <w:p w:rsidR="00AE7D18" w:rsidRPr="001F5F1F" w:rsidRDefault="00AE7D18" w:rsidP="00AE7D18"/>
    <w:p w:rsidR="00AE7D18" w:rsidRPr="001F5F1F" w:rsidRDefault="00AE7D18" w:rsidP="00AE7D18">
      <w:r w:rsidRPr="001F5F1F">
        <w:t>Percentage of applications received electronically:  8</w:t>
      </w:r>
      <w:r>
        <w:t>9.</w:t>
      </w:r>
      <w:r w:rsidR="004D75A4">
        <w:t>5</w:t>
      </w:r>
      <w:r w:rsidRPr="001F5F1F">
        <w:t>%</w:t>
      </w:r>
    </w:p>
    <w:p w:rsidR="00AE7D18" w:rsidRDefault="00AE7D18" w:rsidP="008F60CE">
      <w:pPr>
        <w:widowControl w:val="0"/>
        <w:rPr>
          <w:snapToGrid w:val="0"/>
          <w:szCs w:val="20"/>
        </w:rPr>
      </w:pPr>
    </w:p>
    <w:p w:rsidR="008F60CE" w:rsidRPr="00ED2800" w:rsidRDefault="008F60CE" w:rsidP="008F60CE">
      <w:pPr>
        <w:widowControl w:val="0"/>
        <w:rPr>
          <w:snapToGrid w:val="0"/>
        </w:rPr>
      </w:pPr>
      <w:r w:rsidRPr="008F60CE">
        <w:rPr>
          <w:snapToGrid w:val="0"/>
          <w:szCs w:val="20"/>
        </w:rPr>
        <w:t xml:space="preserve">Estimates are based on the population of the regulated industry participating in this business activity.  </w:t>
      </w:r>
      <w:r w:rsidR="00C81349">
        <w:rPr>
          <w:snapToGrid w:val="0"/>
          <w:szCs w:val="20"/>
        </w:rPr>
        <w:t xml:space="preserve">The </w:t>
      </w:r>
      <w:r w:rsidRPr="008F60CE">
        <w:rPr>
          <w:snapToGrid w:val="0"/>
          <w:szCs w:val="20"/>
        </w:rPr>
        <w:t xml:space="preserve">DEA assumes that a </w:t>
      </w:r>
      <w:r w:rsidR="00712DCD">
        <w:rPr>
          <w:snapToGrid w:val="0"/>
          <w:szCs w:val="20"/>
        </w:rPr>
        <w:t>“</w:t>
      </w:r>
      <w:r w:rsidRPr="008F60CE">
        <w:rPr>
          <w:snapToGrid w:val="0"/>
          <w:szCs w:val="20"/>
        </w:rPr>
        <w:t>general and operations manager</w:t>
      </w:r>
      <w:r w:rsidR="00712DCD">
        <w:rPr>
          <w:snapToGrid w:val="0"/>
          <w:szCs w:val="20"/>
        </w:rPr>
        <w:t>”</w:t>
      </w:r>
      <w:r w:rsidRPr="008F60CE">
        <w:rPr>
          <w:snapToGrid w:val="0"/>
          <w:szCs w:val="20"/>
        </w:rPr>
        <w:t xml:space="preserve"> (SOC 11-</w:t>
      </w:r>
      <w:r w:rsidR="004B6B95" w:rsidRPr="008F60CE">
        <w:rPr>
          <w:snapToGrid w:val="0"/>
          <w:szCs w:val="20"/>
        </w:rPr>
        <w:t>102</w:t>
      </w:r>
      <w:r w:rsidR="004B6B95">
        <w:rPr>
          <w:snapToGrid w:val="0"/>
          <w:szCs w:val="20"/>
        </w:rPr>
        <w:t>1</w:t>
      </w:r>
      <w:r w:rsidRPr="008F60CE">
        <w:rPr>
          <w:snapToGrid w:val="0"/>
          <w:szCs w:val="20"/>
        </w:rPr>
        <w:t>, 2010 Standard Occupational Classification) (http://www.bls.gov/soc/2010/soc</w:t>
      </w:r>
      <w:r w:rsidR="00EF5C10">
        <w:rPr>
          <w:snapToGrid w:val="0"/>
          <w:szCs w:val="20"/>
        </w:rPr>
        <w:t>111021</w:t>
      </w:r>
      <w:r w:rsidRPr="008F60CE">
        <w:rPr>
          <w:snapToGrid w:val="0"/>
          <w:szCs w:val="20"/>
        </w:rPr>
        <w:t>.htm) will complete the form on behalf of the applicant or registrant.  The median hourly wage for that position according to the Bureau of Labor Statistics</w:t>
      </w:r>
      <w:r w:rsidRPr="008F60CE">
        <w:rPr>
          <w:snapToGrid w:val="0"/>
        </w:rPr>
        <w:t xml:space="preserve">’ </w:t>
      </w:r>
      <w:r w:rsidR="00712DCD">
        <w:rPr>
          <w:snapToGrid w:val="0"/>
        </w:rPr>
        <w:t xml:space="preserve">(BLS) </w:t>
      </w:r>
      <w:r w:rsidR="00EF5C10">
        <w:rPr>
          <w:snapToGrid w:val="0"/>
        </w:rPr>
        <w:t>2014</w:t>
      </w:r>
      <w:r w:rsidR="00EF5C10" w:rsidRPr="008F60CE">
        <w:rPr>
          <w:snapToGrid w:val="0"/>
        </w:rPr>
        <w:t xml:space="preserve"> </w:t>
      </w:r>
      <w:r w:rsidRPr="008F60CE">
        <w:rPr>
          <w:snapToGrid w:val="0"/>
        </w:rPr>
        <w:t>National Occupational Employment and Wage Estimates</w:t>
      </w:r>
      <w:r w:rsidR="00712DCD">
        <w:rPr>
          <w:snapToGrid w:val="0"/>
        </w:rPr>
        <w:t xml:space="preserve"> for</w:t>
      </w:r>
      <w:r w:rsidRPr="008F60CE">
        <w:rPr>
          <w:snapToGrid w:val="0"/>
        </w:rPr>
        <w:t xml:space="preserve"> NAICS 424600 – Chemical and Allied Products Merchant Wholesalers </w:t>
      </w:r>
      <w:r w:rsidR="00712DCD">
        <w:rPr>
          <w:snapToGrid w:val="0"/>
        </w:rPr>
        <w:t xml:space="preserve">industry </w:t>
      </w:r>
      <w:r w:rsidRPr="008F60CE">
        <w:rPr>
          <w:snapToGrid w:val="0"/>
        </w:rPr>
        <w:t>(</w:t>
      </w:r>
      <w:hyperlink r:id="rId10" w:history="1">
        <w:r w:rsidR="00712DCD">
          <w:rPr>
            <w:rStyle w:val="Hyperlink"/>
          </w:rPr>
          <w:t>http://www.bls.gov/oes/current/oes_nat.htm</w:t>
        </w:r>
      </w:hyperlink>
      <w:r w:rsidR="00ED2800">
        <w:rPr>
          <w:snapToGrid w:val="0"/>
        </w:rPr>
        <w:t>)</w:t>
      </w:r>
      <w:r w:rsidRPr="008F60CE">
        <w:rPr>
          <w:snapToGrid w:val="0"/>
        </w:rPr>
        <w:t xml:space="preserve"> is $</w:t>
      </w:r>
      <w:r w:rsidR="00EF5C10">
        <w:rPr>
          <w:snapToGrid w:val="0"/>
        </w:rPr>
        <w:t>52.41</w:t>
      </w:r>
      <w:r w:rsidR="00ED2800">
        <w:rPr>
          <w:snapToGrid w:val="0"/>
        </w:rPr>
        <w:t xml:space="preserve">. </w:t>
      </w:r>
      <w:r w:rsidRPr="008F60CE">
        <w:rPr>
          <w:snapToGrid w:val="0"/>
        </w:rPr>
        <w:t xml:space="preserve"> </w:t>
      </w:r>
      <w:r w:rsidR="00712DCD" w:rsidRPr="00712DCD">
        <w:t xml:space="preserve"> </w:t>
      </w:r>
      <w:r w:rsidR="00712DCD" w:rsidRPr="00BA2672">
        <w:t xml:space="preserve">Based on the BLS report, “Employer Costs for Employee Compensation – </w:t>
      </w:r>
      <w:r w:rsidR="00A31BC9">
        <w:t>September</w:t>
      </w:r>
      <w:r w:rsidR="00712DCD" w:rsidRPr="00BA2672">
        <w:t xml:space="preserve"> 201</w:t>
      </w:r>
      <w:r w:rsidR="00712DCD">
        <w:t>5</w:t>
      </w:r>
      <w:r w:rsidR="00712DCD" w:rsidRPr="00BA2672">
        <w:t xml:space="preserve">,” </w:t>
      </w:r>
      <w:r w:rsidR="00712DCD">
        <w:t xml:space="preserve">(ECEC) </w:t>
      </w:r>
      <w:r w:rsidR="00712DCD" w:rsidRPr="00BA2672">
        <w:t>(</w:t>
      </w:r>
      <w:r w:rsidR="00712DCD" w:rsidRPr="00865051">
        <w:t>http://www.bls.gov/news.release/pdf/ecec.pdf</w:t>
      </w:r>
      <w:r w:rsidR="00712DCD" w:rsidRPr="00BA2672">
        <w:t>) an additional 43.</w:t>
      </w:r>
      <w:r w:rsidR="00A31BC9">
        <w:t>5</w:t>
      </w:r>
      <w:r w:rsidR="00712DCD" w:rsidRPr="00BA2672">
        <w:t xml:space="preserve">% load </w:t>
      </w:r>
      <w:r w:rsidR="00712DCD">
        <w:t xml:space="preserve">(for “private industry”) </w:t>
      </w:r>
      <w:r w:rsidR="00712DCD" w:rsidRPr="00BA2672">
        <w:t xml:space="preserve">is added to the </w:t>
      </w:r>
      <w:r w:rsidR="00712DCD">
        <w:t>wage</w:t>
      </w:r>
      <w:r w:rsidR="00712DCD" w:rsidRPr="00BA2672">
        <w:t xml:space="preserve"> rate to account for benefits.</w:t>
      </w:r>
      <w:r w:rsidR="00712DCD">
        <w:t xml:space="preserve"> Thus, the labor cost of this information collection is </w:t>
      </w:r>
      <w:r w:rsidR="00712DCD" w:rsidRPr="00E54BB2">
        <w:t>$</w:t>
      </w:r>
      <w:r w:rsidR="004D75A4">
        <w:t>6,736</w:t>
      </w:r>
      <w:r w:rsidR="00712DCD">
        <w:t xml:space="preserve"> annually.</w:t>
      </w:r>
      <w:r w:rsidR="004D75A4">
        <w:t xml:space="preserve">  (The average cost per response is $6.39.)</w:t>
      </w:r>
    </w:p>
    <w:p w:rsidR="001D161D" w:rsidRDefault="001D161D" w:rsidP="001D161D"/>
    <w:p w:rsidR="001D161D" w:rsidRPr="00F117FD" w:rsidRDefault="001D161D" w:rsidP="001D161D">
      <w:r w:rsidRPr="00F117FD">
        <w:t xml:space="preserve">13. </w:t>
      </w:r>
      <w:r w:rsidR="00A80FB5">
        <w:t xml:space="preserve"> </w:t>
      </w:r>
      <w:r w:rsidRPr="005E2D75">
        <w:rPr>
          <w:u w:val="single"/>
        </w:rPr>
        <w:t>Estimate of Cost Burden</w:t>
      </w:r>
      <w:r w:rsidRPr="00694DD2">
        <w:t>:</w:t>
      </w:r>
      <w:r w:rsidRPr="00F117FD">
        <w:t xml:space="preserve">  </w:t>
      </w:r>
    </w:p>
    <w:p w:rsidR="008F60CE" w:rsidRDefault="008F60CE" w:rsidP="001D161D"/>
    <w:p w:rsidR="00590CCC" w:rsidRPr="00590CCC" w:rsidRDefault="00A31BC9" w:rsidP="00590CCC">
      <w:pPr>
        <w:widowControl w:val="0"/>
        <w:rPr>
          <w:snapToGrid w:val="0"/>
          <w:szCs w:val="20"/>
        </w:rPr>
      </w:pPr>
      <w:r w:rsidRPr="00A31BC9">
        <w:t xml:space="preserve"> </w:t>
      </w:r>
      <w:r>
        <w:t>The estimated annual cost burden is zero.  Respondents are not estimated to incur any    a) additional start-up cost or capital expenditure, or b) additional operation and maintenance costs or purchase services as a result of this information collection.</w:t>
      </w:r>
    </w:p>
    <w:p w:rsidR="001D161D" w:rsidRDefault="001D161D" w:rsidP="001D161D"/>
    <w:p w:rsidR="001D161D" w:rsidRPr="00F117FD" w:rsidRDefault="001D161D" w:rsidP="001D161D">
      <w:r w:rsidRPr="00F117FD">
        <w:t>14</w:t>
      </w:r>
      <w:r w:rsidRPr="00694DD2">
        <w:t xml:space="preserve">. </w:t>
      </w:r>
      <w:r w:rsidR="00A80FB5" w:rsidRPr="00694DD2">
        <w:t xml:space="preserve"> </w:t>
      </w:r>
      <w:r w:rsidRPr="009D2D94">
        <w:rPr>
          <w:u w:val="single"/>
        </w:rPr>
        <w:t>Estimated Annualized Cost to Federal Government</w:t>
      </w:r>
      <w:r w:rsidRPr="00694DD2">
        <w:t>:</w:t>
      </w:r>
    </w:p>
    <w:p w:rsidR="001D161D" w:rsidRPr="00F117FD" w:rsidRDefault="001D161D" w:rsidP="001D161D">
      <w:bookmarkStart w:id="1" w:name="OLE_LINK17"/>
      <w:bookmarkStart w:id="2" w:name="OLE_LINK18"/>
    </w:p>
    <w:bookmarkEnd w:id="1"/>
    <w:bookmarkEnd w:id="2"/>
    <w:p w:rsidR="004D75A4" w:rsidRPr="008929A7" w:rsidRDefault="004D75A4" w:rsidP="004D75A4">
      <w:pPr>
        <w:rPr>
          <w:color w:val="000000"/>
        </w:rPr>
      </w:pPr>
      <w:r w:rsidRPr="008929A7">
        <w:rPr>
          <w:color w:val="000000"/>
        </w:rPr>
        <w:t>Estimated Annual Production Cost to Government:</w:t>
      </w:r>
    </w:p>
    <w:p w:rsidR="004D75A4" w:rsidRDefault="004D75A4" w:rsidP="004D75A4">
      <w:pPr>
        <w:rPr>
          <w:color w:val="000000"/>
        </w:rPr>
      </w:pPr>
    </w:p>
    <w:tbl>
      <w:tblPr>
        <w:tblW w:w="3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1204"/>
      </w:tblGrid>
      <w:tr w:rsidR="004D75A4" w:rsidRPr="003238C7" w:rsidTr="00E966F4">
        <w:trPr>
          <w:trHeight w:val="315"/>
        </w:trPr>
        <w:tc>
          <w:tcPr>
            <w:tcW w:w="2756" w:type="dxa"/>
            <w:shd w:val="clear" w:color="auto" w:fill="auto"/>
            <w:noWrap/>
            <w:vAlign w:val="bottom"/>
          </w:tcPr>
          <w:p w:rsidR="004D75A4" w:rsidRPr="003238C7" w:rsidRDefault="004D75A4" w:rsidP="00EF0740">
            <w:pPr>
              <w:rPr>
                <w:b/>
                <w:color w:val="000000"/>
              </w:rPr>
            </w:pPr>
            <w:r>
              <w:rPr>
                <w:b/>
                <w:color w:val="000000"/>
              </w:rPr>
              <w:t xml:space="preserve">Production </w:t>
            </w:r>
            <w:r w:rsidRPr="003238C7">
              <w:rPr>
                <w:b/>
                <w:color w:val="000000"/>
              </w:rPr>
              <w:t>Item</w:t>
            </w:r>
          </w:p>
        </w:tc>
        <w:tc>
          <w:tcPr>
            <w:tcW w:w="1204" w:type="dxa"/>
            <w:shd w:val="clear" w:color="auto" w:fill="auto"/>
            <w:noWrap/>
            <w:vAlign w:val="bottom"/>
          </w:tcPr>
          <w:p w:rsidR="004D75A4" w:rsidRPr="003238C7" w:rsidRDefault="004D75A4" w:rsidP="00EF0740">
            <w:pPr>
              <w:jc w:val="center"/>
              <w:rPr>
                <w:b/>
                <w:color w:val="000000"/>
              </w:rPr>
            </w:pPr>
            <w:r w:rsidRPr="003238C7">
              <w:rPr>
                <w:b/>
                <w:color w:val="000000"/>
              </w:rPr>
              <w:t>Cost</w:t>
            </w:r>
            <w:r w:rsidR="00E966F4">
              <w:rPr>
                <w:b/>
                <w:color w:val="000000"/>
              </w:rPr>
              <w:t xml:space="preserve"> ($)</w:t>
            </w:r>
            <w:r>
              <w:rPr>
                <w:b/>
                <w:color w:val="000000"/>
              </w:rPr>
              <w:t>*</w:t>
            </w:r>
          </w:p>
        </w:tc>
      </w:tr>
      <w:tr w:rsidR="00D0477E" w:rsidTr="00E966F4">
        <w:trPr>
          <w:trHeight w:val="315"/>
        </w:trPr>
        <w:tc>
          <w:tcPr>
            <w:tcW w:w="2756" w:type="dxa"/>
            <w:shd w:val="clear" w:color="auto" w:fill="auto"/>
            <w:noWrap/>
            <w:vAlign w:val="bottom"/>
            <w:hideMark/>
          </w:tcPr>
          <w:p w:rsidR="00D0477E" w:rsidRPr="00C244F7" w:rsidRDefault="00D0477E" w:rsidP="00EF0740">
            <w:pPr>
              <w:rPr>
                <w:color w:val="000000"/>
              </w:rPr>
            </w:pPr>
            <w:r w:rsidRPr="00C244F7">
              <w:rPr>
                <w:color w:val="000000"/>
              </w:rPr>
              <w:t>Contract Employees</w:t>
            </w:r>
          </w:p>
        </w:tc>
        <w:tc>
          <w:tcPr>
            <w:tcW w:w="1204" w:type="dxa"/>
            <w:shd w:val="clear" w:color="auto" w:fill="auto"/>
            <w:noWrap/>
            <w:vAlign w:val="bottom"/>
            <w:hideMark/>
          </w:tcPr>
          <w:p w:rsidR="00D0477E" w:rsidRPr="00C244F7" w:rsidRDefault="00D0477E" w:rsidP="00D0477E">
            <w:pPr>
              <w:jc w:val="right"/>
              <w:rPr>
                <w:color w:val="000000"/>
              </w:rPr>
            </w:pPr>
            <w:r>
              <w:rPr>
                <w:color w:val="000000"/>
              </w:rPr>
              <w:t xml:space="preserve">                     98 </w:t>
            </w:r>
          </w:p>
        </w:tc>
      </w:tr>
      <w:tr w:rsidR="00D0477E" w:rsidTr="00E966F4">
        <w:trPr>
          <w:trHeight w:val="315"/>
        </w:trPr>
        <w:tc>
          <w:tcPr>
            <w:tcW w:w="2756" w:type="dxa"/>
            <w:shd w:val="clear" w:color="auto" w:fill="auto"/>
            <w:noWrap/>
            <w:vAlign w:val="bottom"/>
            <w:hideMark/>
          </w:tcPr>
          <w:p w:rsidR="00D0477E" w:rsidRPr="00C244F7" w:rsidRDefault="00D0477E" w:rsidP="00EF0740">
            <w:pPr>
              <w:rPr>
                <w:color w:val="000000"/>
              </w:rPr>
            </w:pPr>
            <w:r w:rsidRPr="00C244F7">
              <w:rPr>
                <w:color w:val="000000"/>
              </w:rPr>
              <w:t>Cost of Paper</w:t>
            </w:r>
          </w:p>
        </w:tc>
        <w:tc>
          <w:tcPr>
            <w:tcW w:w="1204" w:type="dxa"/>
            <w:shd w:val="clear" w:color="auto" w:fill="auto"/>
            <w:noWrap/>
            <w:vAlign w:val="bottom"/>
            <w:hideMark/>
          </w:tcPr>
          <w:p w:rsidR="00D0477E" w:rsidRPr="00C244F7" w:rsidRDefault="00D0477E" w:rsidP="00D0477E">
            <w:pPr>
              <w:jc w:val="right"/>
              <w:rPr>
                <w:color w:val="000000"/>
              </w:rPr>
            </w:pPr>
            <w:r>
              <w:rPr>
                <w:color w:val="000000"/>
              </w:rPr>
              <w:t xml:space="preserve">                     15 </w:t>
            </w:r>
          </w:p>
        </w:tc>
      </w:tr>
      <w:tr w:rsidR="00D0477E" w:rsidTr="00E966F4">
        <w:trPr>
          <w:trHeight w:val="315"/>
        </w:trPr>
        <w:tc>
          <w:tcPr>
            <w:tcW w:w="2756" w:type="dxa"/>
            <w:shd w:val="clear" w:color="auto" w:fill="auto"/>
            <w:noWrap/>
            <w:vAlign w:val="bottom"/>
            <w:hideMark/>
          </w:tcPr>
          <w:p w:rsidR="00D0477E" w:rsidRPr="00C244F7" w:rsidRDefault="00D0477E" w:rsidP="00EF0740">
            <w:pPr>
              <w:rPr>
                <w:color w:val="000000"/>
              </w:rPr>
            </w:pPr>
            <w:r w:rsidRPr="00C244F7">
              <w:rPr>
                <w:color w:val="000000"/>
              </w:rPr>
              <w:t>Mailing (Postage)</w:t>
            </w:r>
          </w:p>
        </w:tc>
        <w:tc>
          <w:tcPr>
            <w:tcW w:w="1204" w:type="dxa"/>
            <w:shd w:val="clear" w:color="auto" w:fill="auto"/>
            <w:noWrap/>
            <w:vAlign w:val="bottom"/>
            <w:hideMark/>
          </w:tcPr>
          <w:p w:rsidR="00D0477E" w:rsidRPr="00C244F7" w:rsidRDefault="00D0477E" w:rsidP="00D0477E">
            <w:pPr>
              <w:jc w:val="right"/>
              <w:rPr>
                <w:color w:val="000000"/>
              </w:rPr>
            </w:pPr>
            <w:r>
              <w:rPr>
                <w:color w:val="000000"/>
              </w:rPr>
              <w:t xml:space="preserve">                   371 </w:t>
            </w:r>
          </w:p>
        </w:tc>
      </w:tr>
      <w:tr w:rsidR="00D0477E" w:rsidTr="00E966F4">
        <w:trPr>
          <w:trHeight w:val="315"/>
        </w:trPr>
        <w:tc>
          <w:tcPr>
            <w:tcW w:w="2756" w:type="dxa"/>
            <w:shd w:val="clear" w:color="auto" w:fill="auto"/>
            <w:noWrap/>
            <w:vAlign w:val="bottom"/>
          </w:tcPr>
          <w:p w:rsidR="00D0477E" w:rsidRPr="00C244F7" w:rsidRDefault="00D0477E" w:rsidP="00EF0740">
            <w:pPr>
              <w:rPr>
                <w:color w:val="000000"/>
              </w:rPr>
            </w:pPr>
            <w:r>
              <w:rPr>
                <w:color w:val="000000"/>
              </w:rPr>
              <w:t>Return Envelopes</w:t>
            </w:r>
          </w:p>
        </w:tc>
        <w:tc>
          <w:tcPr>
            <w:tcW w:w="1204" w:type="dxa"/>
            <w:shd w:val="clear" w:color="auto" w:fill="auto"/>
            <w:noWrap/>
            <w:vAlign w:val="bottom"/>
          </w:tcPr>
          <w:p w:rsidR="00D0477E" w:rsidRDefault="00D0477E" w:rsidP="00D0477E">
            <w:pPr>
              <w:jc w:val="right"/>
              <w:rPr>
                <w:color w:val="000000"/>
              </w:rPr>
            </w:pPr>
            <w:r>
              <w:rPr>
                <w:color w:val="000000"/>
              </w:rPr>
              <w:t xml:space="preserve">                     11 </w:t>
            </w:r>
          </w:p>
        </w:tc>
      </w:tr>
      <w:tr w:rsidR="00D0477E" w:rsidTr="00E966F4">
        <w:trPr>
          <w:trHeight w:val="315"/>
        </w:trPr>
        <w:tc>
          <w:tcPr>
            <w:tcW w:w="2756" w:type="dxa"/>
            <w:shd w:val="clear" w:color="auto" w:fill="auto"/>
            <w:noWrap/>
            <w:vAlign w:val="bottom"/>
            <w:hideMark/>
          </w:tcPr>
          <w:p w:rsidR="00D0477E" w:rsidRPr="00C244F7" w:rsidRDefault="00D0477E" w:rsidP="00EF0740">
            <w:pPr>
              <w:rPr>
                <w:color w:val="000000"/>
              </w:rPr>
            </w:pPr>
            <w:r>
              <w:rPr>
                <w:color w:val="000000"/>
              </w:rPr>
              <w:t>Mailing</w:t>
            </w:r>
            <w:r w:rsidRPr="00C244F7">
              <w:rPr>
                <w:color w:val="000000"/>
              </w:rPr>
              <w:t xml:space="preserve"> Envelopes</w:t>
            </w:r>
          </w:p>
        </w:tc>
        <w:tc>
          <w:tcPr>
            <w:tcW w:w="1204" w:type="dxa"/>
            <w:shd w:val="clear" w:color="auto" w:fill="auto"/>
            <w:noWrap/>
            <w:vAlign w:val="bottom"/>
            <w:hideMark/>
          </w:tcPr>
          <w:p w:rsidR="00D0477E" w:rsidRPr="00C244F7" w:rsidRDefault="00D0477E" w:rsidP="00D0477E">
            <w:pPr>
              <w:jc w:val="right"/>
              <w:rPr>
                <w:color w:val="000000"/>
              </w:rPr>
            </w:pPr>
            <w:r>
              <w:rPr>
                <w:color w:val="000000"/>
              </w:rPr>
              <w:t xml:space="preserve">                     11 </w:t>
            </w:r>
          </w:p>
        </w:tc>
      </w:tr>
      <w:tr w:rsidR="00D0477E" w:rsidTr="00E966F4">
        <w:trPr>
          <w:trHeight w:val="360"/>
        </w:trPr>
        <w:tc>
          <w:tcPr>
            <w:tcW w:w="2756" w:type="dxa"/>
            <w:shd w:val="clear" w:color="auto" w:fill="auto"/>
            <w:noWrap/>
            <w:vAlign w:val="bottom"/>
            <w:hideMark/>
          </w:tcPr>
          <w:p w:rsidR="00D0477E" w:rsidRPr="00C244F7" w:rsidRDefault="00D0477E" w:rsidP="00EF0740">
            <w:pPr>
              <w:rPr>
                <w:color w:val="000000"/>
              </w:rPr>
            </w:pPr>
            <w:r w:rsidRPr="00C244F7">
              <w:rPr>
                <w:color w:val="000000"/>
              </w:rPr>
              <w:t>Equipment Maintenance</w:t>
            </w:r>
          </w:p>
        </w:tc>
        <w:tc>
          <w:tcPr>
            <w:tcW w:w="1204" w:type="dxa"/>
            <w:shd w:val="clear" w:color="auto" w:fill="auto"/>
            <w:noWrap/>
            <w:vAlign w:val="bottom"/>
            <w:hideMark/>
          </w:tcPr>
          <w:p w:rsidR="00D0477E" w:rsidRPr="00C244F7" w:rsidRDefault="00D0477E" w:rsidP="00D0477E">
            <w:pPr>
              <w:jc w:val="right"/>
              <w:rPr>
                <w:color w:val="000000"/>
              </w:rPr>
            </w:pPr>
            <w:r>
              <w:rPr>
                <w:color w:val="000000"/>
              </w:rPr>
              <w:t xml:space="preserve">                     66 </w:t>
            </w:r>
          </w:p>
        </w:tc>
      </w:tr>
      <w:tr w:rsidR="00D0477E" w:rsidTr="00E966F4">
        <w:trPr>
          <w:trHeight w:val="315"/>
        </w:trPr>
        <w:tc>
          <w:tcPr>
            <w:tcW w:w="2756" w:type="dxa"/>
            <w:shd w:val="clear" w:color="auto" w:fill="auto"/>
            <w:noWrap/>
            <w:vAlign w:val="bottom"/>
            <w:hideMark/>
          </w:tcPr>
          <w:p w:rsidR="00D0477E" w:rsidRPr="00C244F7" w:rsidRDefault="00D0477E" w:rsidP="00D0477E">
            <w:pPr>
              <w:rPr>
                <w:color w:val="000000"/>
              </w:rPr>
            </w:pPr>
            <w:r w:rsidRPr="00C244F7">
              <w:rPr>
                <w:color w:val="000000"/>
              </w:rPr>
              <w:t>Equipment</w:t>
            </w:r>
            <w:r>
              <w:rPr>
                <w:color w:val="000000"/>
              </w:rPr>
              <w:t xml:space="preserve"> Cost</w:t>
            </w:r>
          </w:p>
        </w:tc>
        <w:tc>
          <w:tcPr>
            <w:tcW w:w="1204" w:type="dxa"/>
            <w:shd w:val="clear" w:color="auto" w:fill="auto"/>
            <w:noWrap/>
            <w:vAlign w:val="bottom"/>
            <w:hideMark/>
          </w:tcPr>
          <w:p w:rsidR="00D0477E" w:rsidRPr="00E966F4" w:rsidRDefault="00D0477E" w:rsidP="00D0477E">
            <w:pPr>
              <w:jc w:val="right"/>
              <w:rPr>
                <w:color w:val="000000"/>
              </w:rPr>
            </w:pPr>
            <w:r>
              <w:rPr>
                <w:color w:val="000000"/>
              </w:rPr>
              <w:t xml:space="preserve">                     97 </w:t>
            </w:r>
          </w:p>
        </w:tc>
      </w:tr>
      <w:tr w:rsidR="00D0477E" w:rsidTr="00E966F4">
        <w:trPr>
          <w:trHeight w:val="332"/>
        </w:trPr>
        <w:tc>
          <w:tcPr>
            <w:tcW w:w="2756" w:type="dxa"/>
            <w:shd w:val="clear" w:color="auto" w:fill="auto"/>
            <w:noWrap/>
            <w:vAlign w:val="bottom"/>
            <w:hideMark/>
          </w:tcPr>
          <w:p w:rsidR="00D0477E" w:rsidRDefault="00D0477E" w:rsidP="00EF0740">
            <w:pPr>
              <w:rPr>
                <w:b/>
                <w:bCs/>
                <w:color w:val="000000"/>
              </w:rPr>
            </w:pPr>
            <w:r>
              <w:rPr>
                <w:b/>
                <w:bCs/>
                <w:color w:val="000000"/>
              </w:rPr>
              <w:t>Total</w:t>
            </w:r>
          </w:p>
        </w:tc>
        <w:tc>
          <w:tcPr>
            <w:tcW w:w="1204" w:type="dxa"/>
            <w:shd w:val="clear" w:color="auto" w:fill="auto"/>
            <w:noWrap/>
            <w:vAlign w:val="bottom"/>
            <w:hideMark/>
          </w:tcPr>
          <w:p w:rsidR="00D0477E" w:rsidRPr="00D0477E" w:rsidRDefault="00D0477E" w:rsidP="00D0477E">
            <w:pPr>
              <w:jc w:val="right"/>
              <w:rPr>
                <w:b/>
                <w:bCs/>
                <w:color w:val="000000"/>
              </w:rPr>
            </w:pPr>
            <w:r>
              <w:rPr>
                <w:color w:val="000000"/>
              </w:rPr>
              <w:t xml:space="preserve">                   </w:t>
            </w:r>
            <w:r w:rsidRPr="00D0477E">
              <w:rPr>
                <w:b/>
                <w:color w:val="000000"/>
              </w:rPr>
              <w:t xml:space="preserve">669 </w:t>
            </w:r>
          </w:p>
        </w:tc>
      </w:tr>
    </w:tbl>
    <w:p w:rsidR="004D75A4" w:rsidRPr="003238C7" w:rsidRDefault="004D75A4" w:rsidP="004D75A4">
      <w:pPr>
        <w:rPr>
          <w:color w:val="000000"/>
          <w:sz w:val="20"/>
        </w:rPr>
      </w:pPr>
      <w:r>
        <w:rPr>
          <w:color w:val="000000"/>
          <w:sz w:val="20"/>
        </w:rPr>
        <w:t>*</w:t>
      </w:r>
      <w:r w:rsidRPr="003238C7">
        <w:rPr>
          <w:color w:val="000000"/>
          <w:sz w:val="20"/>
        </w:rPr>
        <w:t>Figures are rounded.</w:t>
      </w:r>
      <w:r w:rsidRPr="003238C7">
        <w:rPr>
          <w:color w:val="000000"/>
          <w:sz w:val="20"/>
        </w:rPr>
        <w:tab/>
      </w:r>
    </w:p>
    <w:p w:rsidR="00590CCC" w:rsidRPr="00590CCC" w:rsidRDefault="00590CCC" w:rsidP="00590CCC">
      <w:pPr>
        <w:widowControl w:val="0"/>
        <w:rPr>
          <w:snapToGrid w:val="0"/>
          <w:szCs w:val="20"/>
        </w:rPr>
      </w:pPr>
    </w:p>
    <w:p w:rsidR="00720501" w:rsidRDefault="00720501" w:rsidP="00720501">
      <w:pPr>
        <w:rPr>
          <w:color w:val="000000"/>
        </w:rPr>
      </w:pPr>
      <w:r w:rsidRPr="00720501">
        <w:rPr>
          <w:color w:val="000000"/>
        </w:rPr>
        <w:t xml:space="preserve"> </w:t>
      </w:r>
      <w:r w:rsidRPr="008929A7">
        <w:rPr>
          <w:color w:val="000000"/>
        </w:rPr>
        <w:t>Estimated Annual Labor Cost to Government:</w:t>
      </w:r>
    </w:p>
    <w:tbl>
      <w:tblPr>
        <w:tblW w:w="8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070"/>
        <w:gridCol w:w="1620"/>
      </w:tblGrid>
      <w:tr w:rsidR="00E966F4" w:rsidTr="00E966F4">
        <w:trPr>
          <w:trHeight w:val="315"/>
        </w:trPr>
        <w:tc>
          <w:tcPr>
            <w:tcW w:w="5310" w:type="dxa"/>
            <w:shd w:val="clear" w:color="auto" w:fill="auto"/>
            <w:noWrap/>
            <w:vAlign w:val="bottom"/>
            <w:hideMark/>
          </w:tcPr>
          <w:p w:rsidR="00E966F4" w:rsidRDefault="00E966F4" w:rsidP="00EF0740">
            <w:pPr>
              <w:rPr>
                <w:b/>
                <w:bCs/>
                <w:color w:val="000000"/>
              </w:rPr>
            </w:pPr>
            <w:r>
              <w:rPr>
                <w:b/>
                <w:bCs/>
                <w:color w:val="000000"/>
              </w:rPr>
              <w:lastRenderedPageBreak/>
              <w:t xml:space="preserve">Labor Category </w:t>
            </w:r>
          </w:p>
        </w:tc>
        <w:tc>
          <w:tcPr>
            <w:tcW w:w="1070" w:type="dxa"/>
            <w:shd w:val="clear" w:color="auto" w:fill="auto"/>
            <w:noWrap/>
            <w:vAlign w:val="bottom"/>
            <w:hideMark/>
          </w:tcPr>
          <w:p w:rsidR="00E966F4" w:rsidRDefault="00E966F4" w:rsidP="00F37411">
            <w:pPr>
              <w:rPr>
                <w:b/>
                <w:bCs/>
                <w:color w:val="000000"/>
              </w:rPr>
            </w:pPr>
            <w:r>
              <w:rPr>
                <w:b/>
                <w:bCs/>
                <w:color w:val="000000"/>
              </w:rPr>
              <w:t>Number</w:t>
            </w:r>
          </w:p>
        </w:tc>
        <w:tc>
          <w:tcPr>
            <w:tcW w:w="1620" w:type="dxa"/>
            <w:shd w:val="clear" w:color="auto" w:fill="auto"/>
            <w:noWrap/>
            <w:vAlign w:val="bottom"/>
            <w:hideMark/>
          </w:tcPr>
          <w:p w:rsidR="00E966F4" w:rsidRDefault="00E966F4" w:rsidP="00F37411">
            <w:pPr>
              <w:rPr>
                <w:b/>
                <w:bCs/>
                <w:color w:val="000000"/>
              </w:rPr>
            </w:pPr>
            <w:r>
              <w:rPr>
                <w:b/>
                <w:bCs/>
                <w:color w:val="000000"/>
              </w:rPr>
              <w:t>Cost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Section Chief – GS-15</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1</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402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 xml:space="preserve">Deputy Section Chief – GS-14 </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1</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190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Project Manager/Unit Chief – GS-14</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1</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342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Registration Program Specialists – GS-11 (Field)</w:t>
            </w:r>
            <w:r>
              <w:rPr>
                <w:bCs/>
                <w:color w:val="000000"/>
              </w:rPr>
              <w:t>**</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52</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8,802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Legal Instrument Examiners – GS-9 (HQ)</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6</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839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Legal Instrument Examiner – GS-11 (HQ)</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1</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181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bookmarkStart w:id="3" w:name="RANGE!A103"/>
            <w:r w:rsidRPr="00A74201">
              <w:rPr>
                <w:bCs/>
                <w:color w:val="000000"/>
              </w:rPr>
              <w:t>Diversion Investigators – GS-12 (Field)</w:t>
            </w:r>
            <w:bookmarkEnd w:id="3"/>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468</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6,330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Program Analysts – GS-13 (HQ)</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7</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1,464 </w:t>
            </w:r>
          </w:p>
        </w:tc>
      </w:tr>
      <w:tr w:rsidR="00D0477E" w:rsidTr="00E966F4">
        <w:trPr>
          <w:trHeight w:val="315"/>
        </w:trPr>
        <w:tc>
          <w:tcPr>
            <w:tcW w:w="5310" w:type="dxa"/>
            <w:shd w:val="clear" w:color="auto" w:fill="auto"/>
            <w:noWrap/>
            <w:vAlign w:val="bottom"/>
            <w:hideMark/>
          </w:tcPr>
          <w:p w:rsidR="00D0477E" w:rsidRPr="00A74201" w:rsidRDefault="00D0477E" w:rsidP="005A4517">
            <w:pPr>
              <w:rPr>
                <w:bCs/>
                <w:color w:val="000000"/>
              </w:rPr>
            </w:pPr>
            <w:r w:rsidRPr="00A74201">
              <w:rPr>
                <w:bCs/>
                <w:color w:val="000000"/>
              </w:rPr>
              <w:t>Computer Assistant – GS-9 (HQ)</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1</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177 </w:t>
            </w:r>
          </w:p>
        </w:tc>
      </w:tr>
      <w:tr w:rsidR="00D0477E" w:rsidTr="00E966F4">
        <w:trPr>
          <w:trHeight w:val="315"/>
        </w:trPr>
        <w:tc>
          <w:tcPr>
            <w:tcW w:w="5310" w:type="dxa"/>
            <w:shd w:val="clear" w:color="auto" w:fill="auto"/>
            <w:noWrap/>
            <w:vAlign w:val="bottom"/>
            <w:hideMark/>
          </w:tcPr>
          <w:p w:rsidR="00D0477E" w:rsidRPr="00A74201" w:rsidRDefault="00D0477E" w:rsidP="00EF0740">
            <w:pPr>
              <w:rPr>
                <w:bCs/>
                <w:color w:val="000000"/>
              </w:rPr>
            </w:pPr>
            <w:r w:rsidRPr="00A74201">
              <w:rPr>
                <w:bCs/>
                <w:color w:val="000000"/>
              </w:rPr>
              <w:t>Government Contractor Call Center Employees, 3 Supervisors and 1 Task Manager</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25</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3,237 </w:t>
            </w:r>
          </w:p>
        </w:tc>
      </w:tr>
      <w:tr w:rsidR="00D0477E" w:rsidTr="00E966F4">
        <w:trPr>
          <w:trHeight w:val="315"/>
        </w:trPr>
        <w:tc>
          <w:tcPr>
            <w:tcW w:w="5310" w:type="dxa"/>
            <w:shd w:val="clear" w:color="auto" w:fill="auto"/>
            <w:noWrap/>
            <w:vAlign w:val="bottom"/>
            <w:hideMark/>
          </w:tcPr>
          <w:p w:rsidR="00D0477E" w:rsidRPr="00A74201" w:rsidRDefault="00D0477E" w:rsidP="00EF0740">
            <w:pPr>
              <w:rPr>
                <w:bCs/>
                <w:color w:val="000000"/>
              </w:rPr>
            </w:pPr>
            <w:r w:rsidRPr="00A74201">
              <w:rPr>
                <w:bCs/>
                <w:color w:val="000000"/>
              </w:rPr>
              <w:t>Fee Processing and Mail Room, 6 Government Contractor Employees</w:t>
            </w:r>
          </w:p>
        </w:tc>
        <w:tc>
          <w:tcPr>
            <w:tcW w:w="1070" w:type="dxa"/>
            <w:shd w:val="clear" w:color="auto" w:fill="auto"/>
            <w:noWrap/>
            <w:vAlign w:val="bottom"/>
            <w:hideMark/>
          </w:tcPr>
          <w:p w:rsidR="00D0477E" w:rsidRPr="00A74201" w:rsidRDefault="00D0477E" w:rsidP="00F37411">
            <w:pPr>
              <w:jc w:val="right"/>
              <w:rPr>
                <w:bCs/>
                <w:color w:val="000000"/>
              </w:rPr>
            </w:pPr>
            <w:r w:rsidRPr="00A74201">
              <w:rPr>
                <w:bCs/>
                <w:color w:val="000000"/>
              </w:rPr>
              <w:t>6</w:t>
            </w:r>
          </w:p>
        </w:tc>
        <w:tc>
          <w:tcPr>
            <w:tcW w:w="1620" w:type="dxa"/>
            <w:shd w:val="clear" w:color="auto" w:fill="auto"/>
            <w:noWrap/>
            <w:vAlign w:val="bottom"/>
            <w:hideMark/>
          </w:tcPr>
          <w:p w:rsidR="00D0477E" w:rsidRPr="00A74201" w:rsidRDefault="00D0477E" w:rsidP="00E966F4">
            <w:pPr>
              <w:jc w:val="right"/>
              <w:rPr>
                <w:bCs/>
                <w:color w:val="000000"/>
              </w:rPr>
            </w:pPr>
            <w:r>
              <w:rPr>
                <w:color w:val="000000"/>
              </w:rPr>
              <w:t xml:space="preserve">          960 </w:t>
            </w:r>
          </w:p>
        </w:tc>
      </w:tr>
      <w:tr w:rsidR="00D0477E" w:rsidRPr="00E966F4" w:rsidTr="00E966F4">
        <w:trPr>
          <w:trHeight w:val="315"/>
        </w:trPr>
        <w:tc>
          <w:tcPr>
            <w:tcW w:w="5310" w:type="dxa"/>
            <w:shd w:val="clear" w:color="auto" w:fill="auto"/>
            <w:noWrap/>
            <w:vAlign w:val="bottom"/>
            <w:hideMark/>
          </w:tcPr>
          <w:p w:rsidR="00D0477E" w:rsidRDefault="00D0477E" w:rsidP="00EF0740">
            <w:pPr>
              <w:rPr>
                <w:b/>
                <w:bCs/>
                <w:color w:val="000000"/>
              </w:rPr>
            </w:pPr>
            <w:r>
              <w:rPr>
                <w:b/>
                <w:bCs/>
                <w:color w:val="000000"/>
              </w:rPr>
              <w:t>Total</w:t>
            </w:r>
          </w:p>
        </w:tc>
        <w:tc>
          <w:tcPr>
            <w:tcW w:w="1070" w:type="dxa"/>
            <w:shd w:val="clear" w:color="auto" w:fill="auto"/>
            <w:noWrap/>
            <w:vAlign w:val="bottom"/>
            <w:hideMark/>
          </w:tcPr>
          <w:p w:rsidR="00D0477E" w:rsidRDefault="00D0477E" w:rsidP="00EF0740">
            <w:pPr>
              <w:rPr>
                <w:b/>
                <w:bCs/>
                <w:color w:val="000000"/>
              </w:rPr>
            </w:pPr>
          </w:p>
        </w:tc>
        <w:tc>
          <w:tcPr>
            <w:tcW w:w="1620" w:type="dxa"/>
            <w:shd w:val="clear" w:color="auto" w:fill="auto"/>
            <w:noWrap/>
            <w:vAlign w:val="bottom"/>
            <w:hideMark/>
          </w:tcPr>
          <w:p w:rsidR="00D0477E" w:rsidRPr="00E966F4" w:rsidRDefault="00D0477E" w:rsidP="00E966F4">
            <w:pPr>
              <w:jc w:val="right"/>
              <w:rPr>
                <w:b/>
                <w:bCs/>
                <w:color w:val="000000"/>
              </w:rPr>
            </w:pPr>
            <w:r w:rsidRPr="00D0477E">
              <w:rPr>
                <w:b/>
                <w:color w:val="000000"/>
              </w:rPr>
              <w:t xml:space="preserve">     22,924</w:t>
            </w:r>
            <w:r>
              <w:rPr>
                <w:color w:val="000000"/>
              </w:rPr>
              <w:t xml:space="preserve"> </w:t>
            </w:r>
          </w:p>
        </w:tc>
      </w:tr>
    </w:tbl>
    <w:p w:rsidR="00590CCC" w:rsidRPr="00860BCA" w:rsidRDefault="00720501" w:rsidP="00590CCC">
      <w:pPr>
        <w:widowControl w:val="0"/>
        <w:rPr>
          <w:snapToGrid w:val="0"/>
          <w:color w:val="FF0000"/>
          <w:szCs w:val="20"/>
        </w:rPr>
      </w:pPr>
      <w:r>
        <w:rPr>
          <w:color w:val="000000"/>
          <w:sz w:val="20"/>
        </w:rPr>
        <w:t>*</w:t>
      </w:r>
      <w:r w:rsidRPr="003238C7">
        <w:rPr>
          <w:color w:val="000000"/>
          <w:sz w:val="20"/>
        </w:rPr>
        <w:t>Figures are rounded.</w:t>
      </w:r>
      <w:r w:rsidR="0062561C">
        <w:rPr>
          <w:color w:val="000000"/>
          <w:sz w:val="20"/>
        </w:rPr>
        <w:t xml:space="preserve">  </w:t>
      </w:r>
      <w:r w:rsidR="00E966F4" w:rsidRPr="00E966F4">
        <w:rPr>
          <w:color w:val="000000"/>
          <w:sz w:val="20"/>
        </w:rPr>
        <w:t xml:space="preserve"> </w:t>
      </w:r>
      <w:r w:rsidR="00D0477E">
        <w:rPr>
          <w:color w:val="000000"/>
          <w:sz w:val="20"/>
        </w:rPr>
        <w:t>Cost is 0.2</w:t>
      </w:r>
      <w:r w:rsidR="00E966F4">
        <w:rPr>
          <w:color w:val="000000"/>
          <w:sz w:val="20"/>
        </w:rPr>
        <w:t xml:space="preserve">% of production cost determined for OMB# 1117-0014 in 2015.  Information collection activities </w:t>
      </w:r>
      <w:r w:rsidR="00C138C3">
        <w:rPr>
          <w:color w:val="000000"/>
          <w:sz w:val="20"/>
        </w:rPr>
        <w:t xml:space="preserve">are </w:t>
      </w:r>
      <w:r w:rsidR="00E966F4">
        <w:rPr>
          <w:color w:val="000000"/>
          <w:sz w:val="20"/>
        </w:rPr>
        <w:t xml:space="preserve">performed by the same activity center for both OMB# 1117-0014 and this information collection.  </w:t>
      </w:r>
      <w:r w:rsidR="00025669">
        <w:rPr>
          <w:color w:val="000000"/>
          <w:sz w:val="20"/>
        </w:rPr>
        <w:t>Based on the number of responses, t</w:t>
      </w:r>
      <w:r w:rsidR="00E966F4">
        <w:rPr>
          <w:color w:val="000000"/>
          <w:sz w:val="20"/>
        </w:rPr>
        <w:t>his information collec</w:t>
      </w:r>
      <w:r w:rsidR="00D0477E">
        <w:rPr>
          <w:color w:val="000000"/>
          <w:sz w:val="20"/>
        </w:rPr>
        <w:t>tion requires approximately 0.2</w:t>
      </w:r>
      <w:r w:rsidR="00E966F4">
        <w:rPr>
          <w:color w:val="000000"/>
          <w:sz w:val="20"/>
        </w:rPr>
        <w:t xml:space="preserve">% of resources as required by OMB# 1117-0014.  **Cost for </w:t>
      </w:r>
      <w:r w:rsidR="00E966F4" w:rsidRPr="00E966F4">
        <w:rPr>
          <w:color w:val="000000"/>
          <w:sz w:val="20"/>
        </w:rPr>
        <w:t>Registratio</w:t>
      </w:r>
      <w:r w:rsidR="00E966F4">
        <w:rPr>
          <w:color w:val="000000"/>
          <w:sz w:val="20"/>
        </w:rPr>
        <w:t>n Program Specialists</w:t>
      </w:r>
      <w:r w:rsidR="00E966F4" w:rsidRPr="00E966F4">
        <w:rPr>
          <w:color w:val="000000"/>
          <w:sz w:val="20"/>
        </w:rPr>
        <w:t xml:space="preserve"> (Field)</w:t>
      </w:r>
      <w:r w:rsidR="00E966F4">
        <w:rPr>
          <w:color w:val="000000"/>
          <w:sz w:val="20"/>
        </w:rPr>
        <w:t xml:space="preserve"> was estimated for GS-9 for</w:t>
      </w:r>
      <w:r w:rsidR="00E966F4" w:rsidRPr="00E966F4">
        <w:rPr>
          <w:color w:val="000000"/>
          <w:sz w:val="20"/>
        </w:rPr>
        <w:t xml:space="preserve"> </w:t>
      </w:r>
      <w:r w:rsidR="00E966F4">
        <w:rPr>
          <w:color w:val="000000"/>
          <w:sz w:val="20"/>
        </w:rPr>
        <w:t>OMB# 1117-0014.  For this information collection, the cost was updated for</w:t>
      </w:r>
      <w:r w:rsidR="00C138C3">
        <w:rPr>
          <w:color w:val="000000"/>
          <w:sz w:val="20"/>
        </w:rPr>
        <w:t xml:space="preserve"> GS-11.</w:t>
      </w:r>
      <w:r w:rsidR="00E966F4">
        <w:rPr>
          <w:color w:val="000000"/>
          <w:sz w:val="20"/>
        </w:rPr>
        <w:t xml:space="preserve">   </w:t>
      </w:r>
    </w:p>
    <w:p w:rsidR="00720501" w:rsidRPr="008929A7" w:rsidRDefault="00720501" w:rsidP="00720501">
      <w:pPr>
        <w:rPr>
          <w:color w:val="000000"/>
        </w:rPr>
      </w:pPr>
      <w:r>
        <w:rPr>
          <w:snapToGrid w:val="0"/>
          <w:szCs w:val="20"/>
        </w:rPr>
        <w:tab/>
      </w:r>
    </w:p>
    <w:p w:rsidR="00720501" w:rsidRPr="008073D7" w:rsidRDefault="00720501" w:rsidP="00720501">
      <w:pPr>
        <w:rPr>
          <w:b/>
          <w:color w:val="000000"/>
        </w:rPr>
      </w:pPr>
      <w:r w:rsidRPr="008073D7">
        <w:rPr>
          <w:b/>
          <w:color w:val="000000"/>
        </w:rPr>
        <w:t>Grand Total:</w:t>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Pr>
          <w:b/>
          <w:color w:val="000000"/>
        </w:rPr>
        <w:tab/>
      </w:r>
      <w:r>
        <w:rPr>
          <w:b/>
          <w:color w:val="000000"/>
        </w:rPr>
        <w:tab/>
        <w:t xml:space="preserve">   </w:t>
      </w:r>
      <w:r w:rsidRPr="008073D7">
        <w:rPr>
          <w:b/>
          <w:color w:val="000000"/>
        </w:rPr>
        <w:t>$</w:t>
      </w:r>
      <w:r w:rsidR="00D0477E">
        <w:rPr>
          <w:b/>
          <w:color w:val="000000"/>
        </w:rPr>
        <w:t>23,593</w:t>
      </w:r>
    </w:p>
    <w:p w:rsidR="00590CCC" w:rsidRPr="00590CCC" w:rsidRDefault="00590CCC" w:rsidP="00720501">
      <w:pPr>
        <w:widowControl w:val="0"/>
        <w:tabs>
          <w:tab w:val="left" w:pos="1005"/>
        </w:tabs>
        <w:rPr>
          <w:snapToGrid w:val="0"/>
          <w:szCs w:val="20"/>
        </w:rPr>
      </w:pPr>
    </w:p>
    <w:p w:rsidR="00720501" w:rsidRPr="00F117FD" w:rsidRDefault="00720501" w:rsidP="00720501">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1D161D" w:rsidRPr="00F117FD" w:rsidRDefault="001D161D" w:rsidP="001D161D"/>
    <w:p w:rsidR="001D161D" w:rsidRPr="00F117FD" w:rsidRDefault="001D161D" w:rsidP="001D161D">
      <w:r w:rsidRPr="00F117FD">
        <w:t xml:space="preserve">15. </w:t>
      </w:r>
      <w:r w:rsidR="00A80FB5">
        <w:t xml:space="preserve"> </w:t>
      </w:r>
      <w:r w:rsidRPr="009D2D94">
        <w:rPr>
          <w:u w:val="single"/>
        </w:rPr>
        <w:t>Reasons for Change in Burden</w:t>
      </w:r>
      <w:r w:rsidRPr="00694DD2">
        <w:t>:</w:t>
      </w:r>
    </w:p>
    <w:p w:rsidR="001D161D" w:rsidRPr="00F117FD" w:rsidRDefault="001D161D" w:rsidP="001D161D"/>
    <w:p w:rsidR="0068307B" w:rsidRDefault="0068307B" w:rsidP="0068307B">
      <w:r>
        <w:t xml:space="preserve">Changes </w:t>
      </w:r>
      <w:r w:rsidR="004D75A4">
        <w:t xml:space="preserve">to the annual burden hours </w:t>
      </w:r>
      <w:r>
        <w:t>reflect greater use of online applications, which take less time to complete</w:t>
      </w:r>
      <w:r w:rsidR="00F37411">
        <w:t xml:space="preserve">, and lower estimated </w:t>
      </w:r>
      <w:r w:rsidR="004D75A4">
        <w:t>average time per response</w:t>
      </w:r>
      <w:r>
        <w:t xml:space="preserve">.  Although there is a </w:t>
      </w:r>
      <w:r w:rsidR="00F12590">
        <w:t xml:space="preserve">decrease in annual burden hours there is an increase in annual burden dollars due to a </w:t>
      </w:r>
      <w:r>
        <w:t>change in calculation method.*  There have been no statutory or regulatory changes affecting this information collection.  The table below summarizes the changes since the last renewal of this information collection.</w:t>
      </w:r>
    </w:p>
    <w:p w:rsidR="0068307B" w:rsidRDefault="0068307B" w:rsidP="0068307B"/>
    <w:tbl>
      <w:tblPr>
        <w:tblW w:w="8225" w:type="dxa"/>
        <w:tblInd w:w="103" w:type="dxa"/>
        <w:tblLook w:val="04A0" w:firstRow="1" w:lastRow="0" w:firstColumn="1" w:lastColumn="0" w:noHBand="0" w:noVBand="1"/>
      </w:tblPr>
      <w:tblGrid>
        <w:gridCol w:w="2483"/>
        <w:gridCol w:w="1872"/>
        <w:gridCol w:w="1890"/>
        <w:gridCol w:w="1980"/>
      </w:tblGrid>
      <w:tr w:rsidR="0068307B" w:rsidTr="0068307B">
        <w:trPr>
          <w:trHeight w:val="630"/>
        </w:trPr>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07B" w:rsidRDefault="0068307B" w:rsidP="00D70A39">
            <w:pPr>
              <w:rPr>
                <w:color w:val="000000"/>
              </w:rPr>
            </w:pPr>
            <w:r>
              <w:rPr>
                <w:rFonts w:eastAsia="SimSun"/>
                <w:color w:val="00000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8307B" w:rsidRDefault="0068307B" w:rsidP="00D70A39">
            <w:pPr>
              <w:jc w:val="center"/>
              <w:rPr>
                <w:b/>
                <w:bCs/>
                <w:color w:val="000000"/>
              </w:rPr>
            </w:pPr>
            <w:r>
              <w:rPr>
                <w:rFonts w:eastAsia="SimSun"/>
                <w:b/>
                <w:bCs/>
                <w:color w:val="000000"/>
              </w:rPr>
              <w:t>2012 Approved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8307B" w:rsidRDefault="0068307B" w:rsidP="00D70A39">
            <w:pPr>
              <w:jc w:val="center"/>
              <w:rPr>
                <w:b/>
                <w:bCs/>
                <w:color w:val="000000"/>
              </w:rPr>
            </w:pPr>
            <w:r>
              <w:rPr>
                <w:rFonts w:eastAsia="SimSun"/>
                <w:b/>
                <w:bCs/>
                <w:color w:val="000000"/>
              </w:rPr>
              <w:t>2015 Requested Burden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8307B" w:rsidRDefault="0068307B" w:rsidP="00D70A39">
            <w:pPr>
              <w:jc w:val="center"/>
              <w:rPr>
                <w:b/>
                <w:bCs/>
                <w:color w:val="000000"/>
              </w:rPr>
            </w:pPr>
            <w:r>
              <w:rPr>
                <w:rFonts w:eastAsia="SimSun"/>
                <w:b/>
                <w:bCs/>
                <w:color w:val="000000"/>
              </w:rPr>
              <w:t>Difference</w:t>
            </w:r>
          </w:p>
        </w:tc>
      </w:tr>
      <w:tr w:rsidR="0068307B" w:rsidTr="0068307B">
        <w:trPr>
          <w:trHeight w:val="315"/>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68307B" w:rsidRDefault="0068307B" w:rsidP="0068307B">
            <w:pPr>
              <w:rPr>
                <w:color w:val="000000"/>
              </w:rPr>
            </w:pPr>
            <w:r>
              <w:rPr>
                <w:rFonts w:eastAsia="SimSun"/>
                <w:color w:val="000000"/>
              </w:rPr>
              <w:t>Annual responses</w:t>
            </w:r>
          </w:p>
        </w:tc>
        <w:tc>
          <w:tcPr>
            <w:tcW w:w="1872" w:type="dxa"/>
            <w:tcBorders>
              <w:top w:val="nil"/>
              <w:left w:val="nil"/>
              <w:bottom w:val="single" w:sz="4" w:space="0" w:color="auto"/>
              <w:right w:val="single" w:sz="4" w:space="0" w:color="auto"/>
            </w:tcBorders>
            <w:shd w:val="clear" w:color="auto" w:fill="auto"/>
            <w:vAlign w:val="center"/>
            <w:hideMark/>
          </w:tcPr>
          <w:p w:rsidR="0068307B" w:rsidRDefault="0068307B" w:rsidP="0068307B">
            <w:pPr>
              <w:jc w:val="right"/>
              <w:rPr>
                <w:color w:val="000000"/>
              </w:rPr>
            </w:pPr>
            <w:r>
              <w:rPr>
                <w:color w:val="000000"/>
              </w:rPr>
              <w:t xml:space="preserve">            1,054 </w:t>
            </w:r>
          </w:p>
        </w:tc>
        <w:tc>
          <w:tcPr>
            <w:tcW w:w="1890" w:type="dxa"/>
            <w:tcBorders>
              <w:top w:val="nil"/>
              <w:left w:val="nil"/>
              <w:bottom w:val="single" w:sz="4" w:space="0" w:color="auto"/>
              <w:right w:val="single" w:sz="4" w:space="0" w:color="auto"/>
            </w:tcBorders>
            <w:shd w:val="clear" w:color="auto" w:fill="auto"/>
            <w:noWrap/>
            <w:vAlign w:val="center"/>
            <w:hideMark/>
          </w:tcPr>
          <w:p w:rsidR="0068307B" w:rsidRDefault="0068307B" w:rsidP="004D75A4">
            <w:pPr>
              <w:jc w:val="right"/>
              <w:rPr>
                <w:color w:val="000000"/>
              </w:rPr>
            </w:pPr>
            <w:r>
              <w:rPr>
                <w:color w:val="000000"/>
              </w:rPr>
              <w:t xml:space="preserve">              1,</w:t>
            </w:r>
            <w:r w:rsidR="004D75A4">
              <w:rPr>
                <w:color w:val="000000"/>
              </w:rPr>
              <w:t xml:space="preserve">054 </w:t>
            </w:r>
          </w:p>
        </w:tc>
        <w:tc>
          <w:tcPr>
            <w:tcW w:w="1980" w:type="dxa"/>
            <w:tcBorders>
              <w:top w:val="nil"/>
              <w:left w:val="nil"/>
              <w:bottom w:val="single" w:sz="4" w:space="0" w:color="auto"/>
              <w:right w:val="single" w:sz="4" w:space="0" w:color="auto"/>
            </w:tcBorders>
            <w:shd w:val="clear" w:color="auto" w:fill="auto"/>
            <w:vAlign w:val="center"/>
            <w:hideMark/>
          </w:tcPr>
          <w:p w:rsidR="0068307B" w:rsidRDefault="0068307B" w:rsidP="004D75A4">
            <w:pPr>
              <w:jc w:val="right"/>
              <w:rPr>
                <w:color w:val="000000"/>
              </w:rPr>
            </w:pPr>
            <w:r>
              <w:rPr>
                <w:color w:val="000000"/>
              </w:rPr>
              <w:t xml:space="preserve">                </w:t>
            </w:r>
            <w:r w:rsidR="004D75A4">
              <w:rPr>
                <w:color w:val="000000"/>
              </w:rPr>
              <w:t>0</w:t>
            </w:r>
            <w:r>
              <w:rPr>
                <w:color w:val="000000"/>
              </w:rPr>
              <w:t xml:space="preserve"> </w:t>
            </w:r>
          </w:p>
        </w:tc>
      </w:tr>
      <w:tr w:rsidR="0068307B" w:rsidTr="0068307B">
        <w:trPr>
          <w:trHeight w:val="315"/>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68307B" w:rsidRDefault="0068307B" w:rsidP="00D70A39">
            <w:pPr>
              <w:rPr>
                <w:color w:val="000000"/>
              </w:rPr>
            </w:pPr>
            <w:r>
              <w:rPr>
                <w:rFonts w:eastAsia="SimSun"/>
                <w:color w:val="000000"/>
              </w:rPr>
              <w:t>Annual burden hours</w:t>
            </w:r>
          </w:p>
        </w:tc>
        <w:tc>
          <w:tcPr>
            <w:tcW w:w="1872" w:type="dxa"/>
            <w:tcBorders>
              <w:top w:val="nil"/>
              <w:left w:val="nil"/>
              <w:bottom w:val="single" w:sz="4" w:space="0" w:color="auto"/>
              <w:right w:val="single" w:sz="4" w:space="0" w:color="auto"/>
            </w:tcBorders>
            <w:shd w:val="clear" w:color="auto" w:fill="auto"/>
            <w:vAlign w:val="center"/>
            <w:hideMark/>
          </w:tcPr>
          <w:p w:rsidR="0068307B" w:rsidRDefault="0068307B" w:rsidP="0068307B">
            <w:pPr>
              <w:jc w:val="right"/>
              <w:rPr>
                <w:color w:val="000000"/>
              </w:rPr>
            </w:pPr>
            <w:r>
              <w:rPr>
                <w:color w:val="000000"/>
              </w:rPr>
              <w:t xml:space="preserve">              347 </w:t>
            </w:r>
          </w:p>
        </w:tc>
        <w:tc>
          <w:tcPr>
            <w:tcW w:w="1890" w:type="dxa"/>
            <w:tcBorders>
              <w:top w:val="nil"/>
              <w:left w:val="nil"/>
              <w:bottom w:val="single" w:sz="4" w:space="0" w:color="auto"/>
              <w:right w:val="single" w:sz="4" w:space="0" w:color="auto"/>
            </w:tcBorders>
            <w:shd w:val="clear" w:color="auto" w:fill="auto"/>
            <w:vAlign w:val="center"/>
            <w:hideMark/>
          </w:tcPr>
          <w:p w:rsidR="0068307B" w:rsidRDefault="0068307B" w:rsidP="004D75A4">
            <w:pPr>
              <w:jc w:val="right"/>
              <w:rPr>
                <w:color w:val="000000"/>
              </w:rPr>
            </w:pPr>
            <w:r>
              <w:rPr>
                <w:color w:val="000000"/>
              </w:rPr>
              <w:t xml:space="preserve">                90</w:t>
            </w:r>
          </w:p>
        </w:tc>
        <w:tc>
          <w:tcPr>
            <w:tcW w:w="1980" w:type="dxa"/>
            <w:tcBorders>
              <w:top w:val="nil"/>
              <w:left w:val="nil"/>
              <w:bottom w:val="single" w:sz="4" w:space="0" w:color="auto"/>
              <w:right w:val="single" w:sz="4" w:space="0" w:color="auto"/>
            </w:tcBorders>
            <w:shd w:val="clear" w:color="auto" w:fill="auto"/>
            <w:vAlign w:val="center"/>
            <w:hideMark/>
          </w:tcPr>
          <w:p w:rsidR="0068307B" w:rsidRDefault="0068307B" w:rsidP="0062561C">
            <w:pPr>
              <w:jc w:val="right"/>
              <w:rPr>
                <w:color w:val="000000"/>
              </w:rPr>
            </w:pPr>
            <w:r>
              <w:rPr>
                <w:color w:val="000000"/>
              </w:rPr>
              <w:t xml:space="preserve">                  </w:t>
            </w:r>
            <w:r w:rsidR="0062561C">
              <w:rPr>
                <w:color w:val="000000"/>
              </w:rPr>
              <w:t>(</w:t>
            </w:r>
            <w:r w:rsidR="004D75A4">
              <w:rPr>
                <w:color w:val="000000"/>
              </w:rPr>
              <w:t>2</w:t>
            </w:r>
            <w:r w:rsidR="0062561C">
              <w:rPr>
                <w:color w:val="000000"/>
              </w:rPr>
              <w:t>57)</w:t>
            </w:r>
          </w:p>
        </w:tc>
      </w:tr>
      <w:tr w:rsidR="0068307B" w:rsidTr="0068307B">
        <w:trPr>
          <w:trHeight w:val="315"/>
        </w:trPr>
        <w:tc>
          <w:tcPr>
            <w:tcW w:w="2483" w:type="dxa"/>
            <w:tcBorders>
              <w:top w:val="nil"/>
              <w:left w:val="single" w:sz="4" w:space="0" w:color="auto"/>
              <w:bottom w:val="single" w:sz="4" w:space="0" w:color="auto"/>
              <w:right w:val="single" w:sz="4" w:space="0" w:color="auto"/>
            </w:tcBorders>
            <w:shd w:val="clear" w:color="auto" w:fill="auto"/>
            <w:vAlign w:val="center"/>
          </w:tcPr>
          <w:p w:rsidR="0068307B" w:rsidRDefault="0068307B" w:rsidP="0068307B">
            <w:pPr>
              <w:rPr>
                <w:rFonts w:eastAsia="SimSun"/>
                <w:color w:val="000000"/>
              </w:rPr>
            </w:pPr>
            <w:r>
              <w:rPr>
                <w:rFonts w:eastAsia="SimSun"/>
                <w:color w:val="000000"/>
              </w:rPr>
              <w:t>Annual burden dollars</w:t>
            </w:r>
          </w:p>
        </w:tc>
        <w:tc>
          <w:tcPr>
            <w:tcW w:w="1872" w:type="dxa"/>
            <w:tcBorders>
              <w:top w:val="nil"/>
              <w:left w:val="nil"/>
              <w:bottom w:val="single" w:sz="4" w:space="0" w:color="auto"/>
              <w:right w:val="single" w:sz="4" w:space="0" w:color="auto"/>
            </w:tcBorders>
            <w:shd w:val="clear" w:color="auto" w:fill="auto"/>
            <w:vAlign w:val="center"/>
          </w:tcPr>
          <w:p w:rsidR="0068307B" w:rsidRDefault="0068307B" w:rsidP="00D70A39">
            <w:pPr>
              <w:jc w:val="right"/>
              <w:rPr>
                <w:color w:val="000000"/>
              </w:rPr>
            </w:pPr>
            <w:r>
              <w:rPr>
                <w:color w:val="000000"/>
              </w:rPr>
              <w:t>0</w:t>
            </w:r>
          </w:p>
        </w:tc>
        <w:tc>
          <w:tcPr>
            <w:tcW w:w="1890" w:type="dxa"/>
            <w:tcBorders>
              <w:top w:val="nil"/>
              <w:left w:val="nil"/>
              <w:bottom w:val="single" w:sz="4" w:space="0" w:color="auto"/>
              <w:right w:val="single" w:sz="4" w:space="0" w:color="auto"/>
            </w:tcBorders>
            <w:shd w:val="clear" w:color="auto" w:fill="auto"/>
            <w:vAlign w:val="center"/>
          </w:tcPr>
          <w:p w:rsidR="0068307B" w:rsidRDefault="0068307B" w:rsidP="004D75A4">
            <w:pPr>
              <w:jc w:val="right"/>
              <w:rPr>
                <w:color w:val="000000"/>
              </w:rPr>
            </w:pPr>
            <w:r>
              <w:rPr>
                <w:color w:val="000000"/>
              </w:rPr>
              <w:t xml:space="preserve">           </w:t>
            </w:r>
            <w:r w:rsidR="004D75A4">
              <w:rPr>
                <w:color w:val="000000"/>
              </w:rPr>
              <w:t>6,736</w:t>
            </w:r>
          </w:p>
        </w:tc>
        <w:tc>
          <w:tcPr>
            <w:tcW w:w="1980" w:type="dxa"/>
            <w:tcBorders>
              <w:top w:val="nil"/>
              <w:left w:val="nil"/>
              <w:bottom w:val="single" w:sz="4" w:space="0" w:color="auto"/>
              <w:right w:val="single" w:sz="4" w:space="0" w:color="auto"/>
            </w:tcBorders>
            <w:shd w:val="clear" w:color="auto" w:fill="auto"/>
            <w:vAlign w:val="center"/>
          </w:tcPr>
          <w:p w:rsidR="0068307B" w:rsidRDefault="0068307B" w:rsidP="004D75A4">
            <w:pPr>
              <w:jc w:val="right"/>
              <w:rPr>
                <w:color w:val="000000"/>
              </w:rPr>
            </w:pPr>
            <w:r>
              <w:rPr>
                <w:color w:val="000000"/>
              </w:rPr>
              <w:t xml:space="preserve">     </w:t>
            </w:r>
            <w:r w:rsidR="004D75A4">
              <w:rPr>
                <w:color w:val="000000"/>
              </w:rPr>
              <w:t>6,736</w:t>
            </w:r>
          </w:p>
        </w:tc>
      </w:tr>
    </w:tbl>
    <w:p w:rsidR="0068307B" w:rsidRDefault="0068307B" w:rsidP="0068307B">
      <w:pPr>
        <w:rPr>
          <w:sz w:val="20"/>
        </w:rPr>
      </w:pPr>
      <w:r w:rsidRPr="002C386F">
        <w:rPr>
          <w:sz w:val="20"/>
        </w:rPr>
        <w:t>(* In prior information collection requests, the</w:t>
      </w:r>
      <w:r>
        <w:rPr>
          <w:sz w:val="20"/>
        </w:rPr>
        <w:t xml:space="preserve"> </w:t>
      </w:r>
      <w:r w:rsidR="00F12590">
        <w:rPr>
          <w:sz w:val="20"/>
        </w:rPr>
        <w:t>estimated annual burden dollars was described as “</w:t>
      </w:r>
      <w:r w:rsidR="00F12590" w:rsidRPr="00F12590">
        <w:rPr>
          <w:sz w:val="20"/>
        </w:rPr>
        <w:t>a usual and customary business expense not directly associated with this information collection</w:t>
      </w:r>
      <w:r w:rsidR="00F12590">
        <w:rPr>
          <w:sz w:val="20"/>
        </w:rPr>
        <w:t xml:space="preserve">.” </w:t>
      </w:r>
      <w:r w:rsidRPr="002C386F">
        <w:rPr>
          <w:sz w:val="20"/>
        </w:rPr>
        <w:t xml:space="preserve"> The DEA believes the </w:t>
      </w:r>
      <w:r w:rsidR="00F12590">
        <w:rPr>
          <w:sz w:val="20"/>
        </w:rPr>
        <w:t>estimated annual burden associated with this</w:t>
      </w:r>
      <w:r w:rsidRPr="002C386F">
        <w:rPr>
          <w:sz w:val="20"/>
        </w:rPr>
        <w:t xml:space="preserve"> information collection </w:t>
      </w:r>
      <w:r w:rsidR="00F12590">
        <w:rPr>
          <w:sz w:val="20"/>
        </w:rPr>
        <w:t>should be included</w:t>
      </w:r>
      <w:r w:rsidRPr="002C386F">
        <w:rPr>
          <w:sz w:val="20"/>
        </w:rPr>
        <w:t>.  This change in calculation method is employed in this and future information collection request</w:t>
      </w:r>
      <w:r>
        <w:rPr>
          <w:sz w:val="20"/>
        </w:rPr>
        <w:t>s</w:t>
      </w:r>
      <w:r w:rsidRPr="002C386F">
        <w:rPr>
          <w:sz w:val="20"/>
        </w:rPr>
        <w:t>.)</w:t>
      </w:r>
      <w:r w:rsidR="00F12590">
        <w:rPr>
          <w:sz w:val="20"/>
        </w:rPr>
        <w:t xml:space="preserve"> </w:t>
      </w:r>
    </w:p>
    <w:p w:rsidR="00015C6C" w:rsidRDefault="00015C6C" w:rsidP="00364CDC"/>
    <w:p w:rsidR="00E76F31" w:rsidRDefault="00A34480" w:rsidP="00364CDC">
      <w:r>
        <w:t xml:space="preserve">16. </w:t>
      </w:r>
      <w:r w:rsidR="00A80FB5">
        <w:t xml:space="preserve">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00A80FB5">
        <w:t xml:space="preserve">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00A80FB5">
        <w:t xml:space="preserve">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2A2682" w:rsidRDefault="008C02AA" w:rsidP="00364CDC">
      <w:pPr>
        <w:rPr>
          <w:b/>
        </w:rPr>
      </w:pPr>
      <w:r>
        <w:t xml:space="preserve">The DEA is not seeking an exception to the certification statement “Certification for Paperwork Reduction Act Submissions” for this collection of information.  </w:t>
      </w:r>
    </w:p>
    <w:p w:rsidR="00ED2800" w:rsidRDefault="00ED2800" w:rsidP="00364CDC">
      <w:pPr>
        <w:rPr>
          <w:b/>
        </w:rPr>
      </w:pPr>
    </w:p>
    <w:p w:rsidR="00A34480" w:rsidRPr="0086545A" w:rsidRDefault="00A34480" w:rsidP="00364CDC">
      <w:pPr>
        <w:rPr>
          <w:b/>
        </w:rPr>
      </w:pPr>
      <w:r w:rsidRPr="0086545A">
        <w:rPr>
          <w:b/>
        </w:rPr>
        <w:t>Part B.  Statistical Methods</w:t>
      </w:r>
    </w:p>
    <w:p w:rsidR="008C02AA" w:rsidRDefault="008C02AA"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E00A7B">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2A4" w:rsidRDefault="00A162A4" w:rsidP="00A4604C">
      <w:r>
        <w:separator/>
      </w:r>
    </w:p>
  </w:endnote>
  <w:endnote w:type="continuationSeparator" w:id="0">
    <w:p w:rsidR="00A162A4" w:rsidRDefault="00A162A4"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0A2876" w:rsidRDefault="000A2876">
        <w:pPr>
          <w:pStyle w:val="Footer"/>
          <w:jc w:val="center"/>
        </w:pPr>
        <w:r>
          <w:fldChar w:fldCharType="begin"/>
        </w:r>
        <w:r>
          <w:instrText xml:space="preserve"> PAGE   \* MERGEFORMAT </w:instrText>
        </w:r>
        <w:r>
          <w:fldChar w:fldCharType="separate"/>
        </w:r>
        <w:r w:rsidR="007E0A69">
          <w:rPr>
            <w:noProof/>
          </w:rPr>
          <w:t>2</w:t>
        </w:r>
        <w:r>
          <w:rPr>
            <w:noProof/>
          </w:rPr>
          <w:fldChar w:fldCharType="end"/>
        </w:r>
      </w:p>
    </w:sdtContent>
  </w:sdt>
  <w:p w:rsidR="000A2876" w:rsidRDefault="000A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2A4" w:rsidRDefault="00A162A4" w:rsidP="00A4604C">
      <w:r>
        <w:separator/>
      </w:r>
    </w:p>
  </w:footnote>
  <w:footnote w:type="continuationSeparator" w:id="0">
    <w:p w:rsidR="00A162A4" w:rsidRDefault="00A162A4" w:rsidP="00A46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03433E"/>
    <w:multiLevelType w:val="hybridMultilevel"/>
    <w:tmpl w:val="B97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A239A5"/>
    <w:multiLevelType w:val="hybridMultilevel"/>
    <w:tmpl w:val="3804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6"/>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2"/>
  </w:num>
  <w:num w:numId="12">
    <w:abstractNumId w:val="2"/>
  </w:num>
  <w:num w:numId="13">
    <w:abstractNumId w:val="21"/>
  </w:num>
  <w:num w:numId="14">
    <w:abstractNumId w:val="19"/>
  </w:num>
  <w:num w:numId="15">
    <w:abstractNumId w:val="11"/>
  </w:num>
  <w:num w:numId="16">
    <w:abstractNumId w:val="3"/>
  </w:num>
  <w:num w:numId="17">
    <w:abstractNumId w:val="31"/>
  </w:num>
  <w:num w:numId="18">
    <w:abstractNumId w:val="11"/>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3"/>
  </w:num>
  <w:num w:numId="29">
    <w:abstractNumId w:val="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7"/>
  </w:num>
  <w:num w:numId="35">
    <w:abstractNumId w:val="1"/>
  </w:num>
  <w:num w:numId="36">
    <w:abstractNumId w:val="37"/>
  </w:num>
  <w:num w:numId="37">
    <w:abstractNumId w:val="39"/>
  </w:num>
  <w:num w:numId="38">
    <w:abstractNumId w:val="34"/>
  </w:num>
  <w:num w:numId="39">
    <w:abstractNumId w:val="8"/>
  </w:num>
  <w:num w:numId="40">
    <w:abstractNumId w:val="14"/>
  </w:num>
  <w:num w:numId="41">
    <w:abstractNumId w:val="27"/>
  </w:num>
  <w:num w:numId="42">
    <w:abstractNumId w:val="26"/>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2D"/>
    <w:rsid w:val="000029EE"/>
    <w:rsid w:val="00004120"/>
    <w:rsid w:val="00005D22"/>
    <w:rsid w:val="00012BD0"/>
    <w:rsid w:val="0001368B"/>
    <w:rsid w:val="000157AD"/>
    <w:rsid w:val="00015843"/>
    <w:rsid w:val="00015C6C"/>
    <w:rsid w:val="00022843"/>
    <w:rsid w:val="00022A43"/>
    <w:rsid w:val="0002411E"/>
    <w:rsid w:val="00025669"/>
    <w:rsid w:val="00026489"/>
    <w:rsid w:val="00027249"/>
    <w:rsid w:val="00032C0E"/>
    <w:rsid w:val="00042A55"/>
    <w:rsid w:val="00042B4B"/>
    <w:rsid w:val="000462A3"/>
    <w:rsid w:val="00046701"/>
    <w:rsid w:val="00046C80"/>
    <w:rsid w:val="00047647"/>
    <w:rsid w:val="0005161C"/>
    <w:rsid w:val="000559CE"/>
    <w:rsid w:val="00056526"/>
    <w:rsid w:val="00062089"/>
    <w:rsid w:val="00065AA1"/>
    <w:rsid w:val="0006669F"/>
    <w:rsid w:val="00075D28"/>
    <w:rsid w:val="00077AEE"/>
    <w:rsid w:val="00086A13"/>
    <w:rsid w:val="00086C4E"/>
    <w:rsid w:val="00091222"/>
    <w:rsid w:val="000946E0"/>
    <w:rsid w:val="00095B45"/>
    <w:rsid w:val="00097D46"/>
    <w:rsid w:val="000A0554"/>
    <w:rsid w:val="000A07AE"/>
    <w:rsid w:val="000A08B0"/>
    <w:rsid w:val="000A2876"/>
    <w:rsid w:val="000A765F"/>
    <w:rsid w:val="000B10DF"/>
    <w:rsid w:val="000B3DE6"/>
    <w:rsid w:val="000B4C91"/>
    <w:rsid w:val="000B51AB"/>
    <w:rsid w:val="000C037D"/>
    <w:rsid w:val="000C3192"/>
    <w:rsid w:val="000D0306"/>
    <w:rsid w:val="000D14F8"/>
    <w:rsid w:val="000E00A1"/>
    <w:rsid w:val="000E05DA"/>
    <w:rsid w:val="000E5B77"/>
    <w:rsid w:val="000F0E02"/>
    <w:rsid w:val="000F3874"/>
    <w:rsid w:val="000F5F9C"/>
    <w:rsid w:val="001003BA"/>
    <w:rsid w:val="0010615F"/>
    <w:rsid w:val="00110104"/>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9EF"/>
    <w:rsid w:val="00164BE3"/>
    <w:rsid w:val="0016501C"/>
    <w:rsid w:val="00170FF7"/>
    <w:rsid w:val="00172CF4"/>
    <w:rsid w:val="00180530"/>
    <w:rsid w:val="0018342A"/>
    <w:rsid w:val="00186A88"/>
    <w:rsid w:val="00187052"/>
    <w:rsid w:val="0019243D"/>
    <w:rsid w:val="00193A2A"/>
    <w:rsid w:val="001951FA"/>
    <w:rsid w:val="00196821"/>
    <w:rsid w:val="001A1136"/>
    <w:rsid w:val="001A1D02"/>
    <w:rsid w:val="001A3426"/>
    <w:rsid w:val="001A3D1A"/>
    <w:rsid w:val="001A5790"/>
    <w:rsid w:val="001B03C9"/>
    <w:rsid w:val="001B0CE5"/>
    <w:rsid w:val="001C0719"/>
    <w:rsid w:val="001C70E6"/>
    <w:rsid w:val="001D161D"/>
    <w:rsid w:val="001D3C0E"/>
    <w:rsid w:val="001D57E4"/>
    <w:rsid w:val="001D6D3A"/>
    <w:rsid w:val="001D7C51"/>
    <w:rsid w:val="001E1897"/>
    <w:rsid w:val="001E289B"/>
    <w:rsid w:val="001E6B20"/>
    <w:rsid w:val="001E70DC"/>
    <w:rsid w:val="001E7796"/>
    <w:rsid w:val="001F1F2B"/>
    <w:rsid w:val="001F3478"/>
    <w:rsid w:val="001F59FE"/>
    <w:rsid w:val="002011D1"/>
    <w:rsid w:val="00202776"/>
    <w:rsid w:val="0020472A"/>
    <w:rsid w:val="00206888"/>
    <w:rsid w:val="00206FBD"/>
    <w:rsid w:val="002104E2"/>
    <w:rsid w:val="0021299C"/>
    <w:rsid w:val="00212C00"/>
    <w:rsid w:val="0021362B"/>
    <w:rsid w:val="00221BF3"/>
    <w:rsid w:val="00231982"/>
    <w:rsid w:val="00231A4D"/>
    <w:rsid w:val="00232B29"/>
    <w:rsid w:val="00233550"/>
    <w:rsid w:val="00245D20"/>
    <w:rsid w:val="0025132E"/>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B691D"/>
    <w:rsid w:val="002C132D"/>
    <w:rsid w:val="002C13A1"/>
    <w:rsid w:val="002C386F"/>
    <w:rsid w:val="002C44C3"/>
    <w:rsid w:val="002D26AD"/>
    <w:rsid w:val="002D295A"/>
    <w:rsid w:val="002D2CEC"/>
    <w:rsid w:val="002E3DB6"/>
    <w:rsid w:val="002E4F17"/>
    <w:rsid w:val="002E55EE"/>
    <w:rsid w:val="002E5C71"/>
    <w:rsid w:val="002F0F67"/>
    <w:rsid w:val="002F39E2"/>
    <w:rsid w:val="0030004B"/>
    <w:rsid w:val="003027E6"/>
    <w:rsid w:val="00302C34"/>
    <w:rsid w:val="003062B2"/>
    <w:rsid w:val="00307C6A"/>
    <w:rsid w:val="00312CA5"/>
    <w:rsid w:val="003162F2"/>
    <w:rsid w:val="00320A55"/>
    <w:rsid w:val="00320D44"/>
    <w:rsid w:val="003210C0"/>
    <w:rsid w:val="003239F1"/>
    <w:rsid w:val="00327860"/>
    <w:rsid w:val="00331399"/>
    <w:rsid w:val="0033171D"/>
    <w:rsid w:val="00335F29"/>
    <w:rsid w:val="00341D99"/>
    <w:rsid w:val="00343F10"/>
    <w:rsid w:val="003442C9"/>
    <w:rsid w:val="00344D90"/>
    <w:rsid w:val="00347E26"/>
    <w:rsid w:val="00350948"/>
    <w:rsid w:val="003515A2"/>
    <w:rsid w:val="00351D0C"/>
    <w:rsid w:val="00351EB0"/>
    <w:rsid w:val="00352466"/>
    <w:rsid w:val="00352927"/>
    <w:rsid w:val="0035642D"/>
    <w:rsid w:val="003567F5"/>
    <w:rsid w:val="003603FE"/>
    <w:rsid w:val="00362449"/>
    <w:rsid w:val="00364CDC"/>
    <w:rsid w:val="00365D80"/>
    <w:rsid w:val="00372DB7"/>
    <w:rsid w:val="00376E84"/>
    <w:rsid w:val="00380229"/>
    <w:rsid w:val="00381061"/>
    <w:rsid w:val="003824C9"/>
    <w:rsid w:val="003827F4"/>
    <w:rsid w:val="0038359F"/>
    <w:rsid w:val="003926D3"/>
    <w:rsid w:val="00392BC5"/>
    <w:rsid w:val="00393088"/>
    <w:rsid w:val="00393631"/>
    <w:rsid w:val="0039568F"/>
    <w:rsid w:val="003A4D2E"/>
    <w:rsid w:val="003A7192"/>
    <w:rsid w:val="003B20AB"/>
    <w:rsid w:val="003B28D7"/>
    <w:rsid w:val="003B5737"/>
    <w:rsid w:val="003B65CE"/>
    <w:rsid w:val="003B7124"/>
    <w:rsid w:val="003C71F1"/>
    <w:rsid w:val="003D0831"/>
    <w:rsid w:val="003D2A99"/>
    <w:rsid w:val="003D515F"/>
    <w:rsid w:val="003E0DF7"/>
    <w:rsid w:val="003E1798"/>
    <w:rsid w:val="003E2EE3"/>
    <w:rsid w:val="003E6000"/>
    <w:rsid w:val="003E7902"/>
    <w:rsid w:val="003E7CEA"/>
    <w:rsid w:val="003F64D8"/>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36332"/>
    <w:rsid w:val="004469C9"/>
    <w:rsid w:val="00447D97"/>
    <w:rsid w:val="004515A8"/>
    <w:rsid w:val="00451924"/>
    <w:rsid w:val="00452D0C"/>
    <w:rsid w:val="00455755"/>
    <w:rsid w:val="004639A7"/>
    <w:rsid w:val="004754FA"/>
    <w:rsid w:val="00480329"/>
    <w:rsid w:val="004806A4"/>
    <w:rsid w:val="00481474"/>
    <w:rsid w:val="00486493"/>
    <w:rsid w:val="004872FE"/>
    <w:rsid w:val="00493CC5"/>
    <w:rsid w:val="00494060"/>
    <w:rsid w:val="00494AFE"/>
    <w:rsid w:val="0049560E"/>
    <w:rsid w:val="004A1568"/>
    <w:rsid w:val="004A1C12"/>
    <w:rsid w:val="004A3C90"/>
    <w:rsid w:val="004A3F1F"/>
    <w:rsid w:val="004A4023"/>
    <w:rsid w:val="004A7931"/>
    <w:rsid w:val="004B2158"/>
    <w:rsid w:val="004B3069"/>
    <w:rsid w:val="004B3CE3"/>
    <w:rsid w:val="004B6B95"/>
    <w:rsid w:val="004C1008"/>
    <w:rsid w:val="004C4112"/>
    <w:rsid w:val="004C6073"/>
    <w:rsid w:val="004D07BA"/>
    <w:rsid w:val="004D3F41"/>
    <w:rsid w:val="004D75A4"/>
    <w:rsid w:val="004E244E"/>
    <w:rsid w:val="004E36D0"/>
    <w:rsid w:val="004F0B77"/>
    <w:rsid w:val="004F0FEE"/>
    <w:rsid w:val="004F4E97"/>
    <w:rsid w:val="00500ADE"/>
    <w:rsid w:val="005038D3"/>
    <w:rsid w:val="00505A4C"/>
    <w:rsid w:val="00505C03"/>
    <w:rsid w:val="0051491F"/>
    <w:rsid w:val="0051788D"/>
    <w:rsid w:val="00521682"/>
    <w:rsid w:val="005227F3"/>
    <w:rsid w:val="005231DE"/>
    <w:rsid w:val="00523E6D"/>
    <w:rsid w:val="0053127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4F37"/>
    <w:rsid w:val="00584FDC"/>
    <w:rsid w:val="00586FCD"/>
    <w:rsid w:val="00587B87"/>
    <w:rsid w:val="00590CCC"/>
    <w:rsid w:val="005911A6"/>
    <w:rsid w:val="005911E0"/>
    <w:rsid w:val="0059227E"/>
    <w:rsid w:val="005924C8"/>
    <w:rsid w:val="005966E5"/>
    <w:rsid w:val="00596CD8"/>
    <w:rsid w:val="005A1156"/>
    <w:rsid w:val="005A1F0F"/>
    <w:rsid w:val="005A4517"/>
    <w:rsid w:val="005B0E21"/>
    <w:rsid w:val="005B2A88"/>
    <w:rsid w:val="005B7F2D"/>
    <w:rsid w:val="005C2888"/>
    <w:rsid w:val="005C291B"/>
    <w:rsid w:val="005C4C65"/>
    <w:rsid w:val="005C713B"/>
    <w:rsid w:val="005C7DAC"/>
    <w:rsid w:val="005D22EC"/>
    <w:rsid w:val="005D3ECB"/>
    <w:rsid w:val="005D5AE4"/>
    <w:rsid w:val="005D5B3B"/>
    <w:rsid w:val="005D6B8B"/>
    <w:rsid w:val="005E030C"/>
    <w:rsid w:val="005E0579"/>
    <w:rsid w:val="005E11E3"/>
    <w:rsid w:val="005E2D75"/>
    <w:rsid w:val="006137AD"/>
    <w:rsid w:val="006141AE"/>
    <w:rsid w:val="0061433E"/>
    <w:rsid w:val="0061528D"/>
    <w:rsid w:val="0062322F"/>
    <w:rsid w:val="00623FE9"/>
    <w:rsid w:val="006244C6"/>
    <w:rsid w:val="006246DC"/>
    <w:rsid w:val="00624746"/>
    <w:rsid w:val="0062561C"/>
    <w:rsid w:val="006264C0"/>
    <w:rsid w:val="00626BF9"/>
    <w:rsid w:val="00627475"/>
    <w:rsid w:val="0063143C"/>
    <w:rsid w:val="00633F24"/>
    <w:rsid w:val="0063449E"/>
    <w:rsid w:val="006360DA"/>
    <w:rsid w:val="00637FFD"/>
    <w:rsid w:val="0064411B"/>
    <w:rsid w:val="00644694"/>
    <w:rsid w:val="00645908"/>
    <w:rsid w:val="00650ED9"/>
    <w:rsid w:val="00656C6B"/>
    <w:rsid w:val="00662FDA"/>
    <w:rsid w:val="0066353E"/>
    <w:rsid w:val="00666307"/>
    <w:rsid w:val="00666907"/>
    <w:rsid w:val="00670012"/>
    <w:rsid w:val="0068307B"/>
    <w:rsid w:val="00687388"/>
    <w:rsid w:val="00694429"/>
    <w:rsid w:val="00694C8A"/>
    <w:rsid w:val="00694DD2"/>
    <w:rsid w:val="006A0FFE"/>
    <w:rsid w:val="006A2D28"/>
    <w:rsid w:val="006A352E"/>
    <w:rsid w:val="006B178C"/>
    <w:rsid w:val="006B2A40"/>
    <w:rsid w:val="006C1083"/>
    <w:rsid w:val="006C2659"/>
    <w:rsid w:val="006C3833"/>
    <w:rsid w:val="006C47B2"/>
    <w:rsid w:val="006C6685"/>
    <w:rsid w:val="006D55C0"/>
    <w:rsid w:val="006E0DDD"/>
    <w:rsid w:val="006E6D94"/>
    <w:rsid w:val="006E6E0C"/>
    <w:rsid w:val="006E7516"/>
    <w:rsid w:val="006F3CD1"/>
    <w:rsid w:val="007005F4"/>
    <w:rsid w:val="00700CD7"/>
    <w:rsid w:val="00700DA6"/>
    <w:rsid w:val="00701C6D"/>
    <w:rsid w:val="0070272B"/>
    <w:rsid w:val="00703A7C"/>
    <w:rsid w:val="00704A8B"/>
    <w:rsid w:val="007058D0"/>
    <w:rsid w:val="0070668A"/>
    <w:rsid w:val="007102D0"/>
    <w:rsid w:val="00712DCD"/>
    <w:rsid w:val="00713042"/>
    <w:rsid w:val="00713F2F"/>
    <w:rsid w:val="007143F9"/>
    <w:rsid w:val="007151AE"/>
    <w:rsid w:val="00717016"/>
    <w:rsid w:val="00717F2A"/>
    <w:rsid w:val="00720501"/>
    <w:rsid w:val="0072110C"/>
    <w:rsid w:val="00721EBF"/>
    <w:rsid w:val="0072345B"/>
    <w:rsid w:val="007265C8"/>
    <w:rsid w:val="00727906"/>
    <w:rsid w:val="00733097"/>
    <w:rsid w:val="007333B7"/>
    <w:rsid w:val="00736E03"/>
    <w:rsid w:val="00745496"/>
    <w:rsid w:val="0075354D"/>
    <w:rsid w:val="00755569"/>
    <w:rsid w:val="0076615E"/>
    <w:rsid w:val="00766FB1"/>
    <w:rsid w:val="00767092"/>
    <w:rsid w:val="00767E30"/>
    <w:rsid w:val="00773274"/>
    <w:rsid w:val="00774BF7"/>
    <w:rsid w:val="00780719"/>
    <w:rsid w:val="00784A7E"/>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0A69"/>
    <w:rsid w:val="007E2861"/>
    <w:rsid w:val="007F395D"/>
    <w:rsid w:val="00801C74"/>
    <w:rsid w:val="00803023"/>
    <w:rsid w:val="008043AF"/>
    <w:rsid w:val="00806537"/>
    <w:rsid w:val="008130FA"/>
    <w:rsid w:val="00817898"/>
    <w:rsid w:val="00822272"/>
    <w:rsid w:val="008232D8"/>
    <w:rsid w:val="00824B77"/>
    <w:rsid w:val="00834C96"/>
    <w:rsid w:val="00837B1D"/>
    <w:rsid w:val="0084346A"/>
    <w:rsid w:val="008444A2"/>
    <w:rsid w:val="00851227"/>
    <w:rsid w:val="00852A6F"/>
    <w:rsid w:val="00853E47"/>
    <w:rsid w:val="00854C28"/>
    <w:rsid w:val="0085616F"/>
    <w:rsid w:val="00856CBE"/>
    <w:rsid w:val="00860BCA"/>
    <w:rsid w:val="008610A2"/>
    <w:rsid w:val="00863E5E"/>
    <w:rsid w:val="0086545A"/>
    <w:rsid w:val="00866748"/>
    <w:rsid w:val="00867042"/>
    <w:rsid w:val="0087035E"/>
    <w:rsid w:val="008710B5"/>
    <w:rsid w:val="008737A8"/>
    <w:rsid w:val="00877CED"/>
    <w:rsid w:val="00880363"/>
    <w:rsid w:val="00881086"/>
    <w:rsid w:val="00881D7C"/>
    <w:rsid w:val="00885142"/>
    <w:rsid w:val="00885EF7"/>
    <w:rsid w:val="00886498"/>
    <w:rsid w:val="00890562"/>
    <w:rsid w:val="0089645F"/>
    <w:rsid w:val="008979DC"/>
    <w:rsid w:val="008A0981"/>
    <w:rsid w:val="008A440B"/>
    <w:rsid w:val="008A4F2D"/>
    <w:rsid w:val="008B1B78"/>
    <w:rsid w:val="008B6018"/>
    <w:rsid w:val="008B7D65"/>
    <w:rsid w:val="008C02AA"/>
    <w:rsid w:val="008C2979"/>
    <w:rsid w:val="008C4AA3"/>
    <w:rsid w:val="008C7D63"/>
    <w:rsid w:val="008D1235"/>
    <w:rsid w:val="008D242E"/>
    <w:rsid w:val="008D2F3B"/>
    <w:rsid w:val="008D356F"/>
    <w:rsid w:val="008D3BC8"/>
    <w:rsid w:val="008D5480"/>
    <w:rsid w:val="008E18A3"/>
    <w:rsid w:val="008E36E2"/>
    <w:rsid w:val="008E7F95"/>
    <w:rsid w:val="008F099D"/>
    <w:rsid w:val="008F3973"/>
    <w:rsid w:val="008F3C9F"/>
    <w:rsid w:val="008F60CE"/>
    <w:rsid w:val="008F61BA"/>
    <w:rsid w:val="00911A96"/>
    <w:rsid w:val="009138B2"/>
    <w:rsid w:val="009156E7"/>
    <w:rsid w:val="00915B72"/>
    <w:rsid w:val="009166B0"/>
    <w:rsid w:val="00921343"/>
    <w:rsid w:val="00923609"/>
    <w:rsid w:val="0092529A"/>
    <w:rsid w:val="009255D8"/>
    <w:rsid w:val="0092772A"/>
    <w:rsid w:val="0092785D"/>
    <w:rsid w:val="009304DC"/>
    <w:rsid w:val="00930E48"/>
    <w:rsid w:val="00930F96"/>
    <w:rsid w:val="00933B3B"/>
    <w:rsid w:val="00937B1A"/>
    <w:rsid w:val="00945902"/>
    <w:rsid w:val="00945E01"/>
    <w:rsid w:val="00947EC5"/>
    <w:rsid w:val="00950D4D"/>
    <w:rsid w:val="0095534B"/>
    <w:rsid w:val="00962492"/>
    <w:rsid w:val="009720C2"/>
    <w:rsid w:val="009721D7"/>
    <w:rsid w:val="0097333A"/>
    <w:rsid w:val="009778E1"/>
    <w:rsid w:val="00977C25"/>
    <w:rsid w:val="00981FC3"/>
    <w:rsid w:val="009827F9"/>
    <w:rsid w:val="00983B4B"/>
    <w:rsid w:val="00984FFD"/>
    <w:rsid w:val="00990D4B"/>
    <w:rsid w:val="00992C31"/>
    <w:rsid w:val="0099417A"/>
    <w:rsid w:val="009A20E2"/>
    <w:rsid w:val="009A3212"/>
    <w:rsid w:val="009A45B5"/>
    <w:rsid w:val="009B0EC6"/>
    <w:rsid w:val="009B6DB2"/>
    <w:rsid w:val="009B7731"/>
    <w:rsid w:val="009C0896"/>
    <w:rsid w:val="009C3AC1"/>
    <w:rsid w:val="009D03DE"/>
    <w:rsid w:val="009D0413"/>
    <w:rsid w:val="009D0A9A"/>
    <w:rsid w:val="009D2D94"/>
    <w:rsid w:val="009D68C6"/>
    <w:rsid w:val="009D6AB7"/>
    <w:rsid w:val="009E1F6B"/>
    <w:rsid w:val="009E5AAB"/>
    <w:rsid w:val="009E5FA0"/>
    <w:rsid w:val="009E77FA"/>
    <w:rsid w:val="009E7E3D"/>
    <w:rsid w:val="009F561E"/>
    <w:rsid w:val="009F6490"/>
    <w:rsid w:val="00A01543"/>
    <w:rsid w:val="00A03D5B"/>
    <w:rsid w:val="00A07279"/>
    <w:rsid w:val="00A114AE"/>
    <w:rsid w:val="00A1347C"/>
    <w:rsid w:val="00A15AAF"/>
    <w:rsid w:val="00A162A4"/>
    <w:rsid w:val="00A21F3B"/>
    <w:rsid w:val="00A31BC9"/>
    <w:rsid w:val="00A34480"/>
    <w:rsid w:val="00A345AB"/>
    <w:rsid w:val="00A35402"/>
    <w:rsid w:val="00A36A29"/>
    <w:rsid w:val="00A40982"/>
    <w:rsid w:val="00A45884"/>
    <w:rsid w:val="00A4604C"/>
    <w:rsid w:val="00A5014E"/>
    <w:rsid w:val="00A60203"/>
    <w:rsid w:val="00A60B9B"/>
    <w:rsid w:val="00A60D56"/>
    <w:rsid w:val="00A62026"/>
    <w:rsid w:val="00A64ABA"/>
    <w:rsid w:val="00A701B7"/>
    <w:rsid w:val="00A7034E"/>
    <w:rsid w:val="00A71B57"/>
    <w:rsid w:val="00A72B23"/>
    <w:rsid w:val="00A72B84"/>
    <w:rsid w:val="00A74201"/>
    <w:rsid w:val="00A74C21"/>
    <w:rsid w:val="00A7508F"/>
    <w:rsid w:val="00A80FB5"/>
    <w:rsid w:val="00A8105C"/>
    <w:rsid w:val="00A81316"/>
    <w:rsid w:val="00A83133"/>
    <w:rsid w:val="00A838A0"/>
    <w:rsid w:val="00A84F9C"/>
    <w:rsid w:val="00A9223F"/>
    <w:rsid w:val="00A946C0"/>
    <w:rsid w:val="00AA658E"/>
    <w:rsid w:val="00AA7841"/>
    <w:rsid w:val="00AB0C58"/>
    <w:rsid w:val="00AB2F43"/>
    <w:rsid w:val="00AB401B"/>
    <w:rsid w:val="00AC3D14"/>
    <w:rsid w:val="00AC4C1F"/>
    <w:rsid w:val="00AC78C5"/>
    <w:rsid w:val="00AE0252"/>
    <w:rsid w:val="00AE4694"/>
    <w:rsid w:val="00AE550C"/>
    <w:rsid w:val="00AE7D18"/>
    <w:rsid w:val="00AF19D8"/>
    <w:rsid w:val="00AF1B49"/>
    <w:rsid w:val="00B03934"/>
    <w:rsid w:val="00B049BF"/>
    <w:rsid w:val="00B07133"/>
    <w:rsid w:val="00B10DDE"/>
    <w:rsid w:val="00B15827"/>
    <w:rsid w:val="00B15C47"/>
    <w:rsid w:val="00B17264"/>
    <w:rsid w:val="00B413E6"/>
    <w:rsid w:val="00B449EE"/>
    <w:rsid w:val="00B5274C"/>
    <w:rsid w:val="00B527A1"/>
    <w:rsid w:val="00B55A48"/>
    <w:rsid w:val="00B5681E"/>
    <w:rsid w:val="00B636E8"/>
    <w:rsid w:val="00B718A3"/>
    <w:rsid w:val="00B7364A"/>
    <w:rsid w:val="00B73735"/>
    <w:rsid w:val="00B765CB"/>
    <w:rsid w:val="00B7692D"/>
    <w:rsid w:val="00B771E3"/>
    <w:rsid w:val="00B77A08"/>
    <w:rsid w:val="00B95843"/>
    <w:rsid w:val="00B97CA7"/>
    <w:rsid w:val="00BA4D22"/>
    <w:rsid w:val="00BA6E87"/>
    <w:rsid w:val="00BB36A9"/>
    <w:rsid w:val="00BB50C7"/>
    <w:rsid w:val="00BB7B69"/>
    <w:rsid w:val="00BC4BFD"/>
    <w:rsid w:val="00BC5068"/>
    <w:rsid w:val="00BC5231"/>
    <w:rsid w:val="00BC7FE3"/>
    <w:rsid w:val="00BD282E"/>
    <w:rsid w:val="00BD5AA2"/>
    <w:rsid w:val="00BD78E1"/>
    <w:rsid w:val="00BE022B"/>
    <w:rsid w:val="00BE13E4"/>
    <w:rsid w:val="00BE13F7"/>
    <w:rsid w:val="00BF1951"/>
    <w:rsid w:val="00BF21C2"/>
    <w:rsid w:val="00BF773A"/>
    <w:rsid w:val="00BF7981"/>
    <w:rsid w:val="00C013C9"/>
    <w:rsid w:val="00C01618"/>
    <w:rsid w:val="00C031DD"/>
    <w:rsid w:val="00C05A06"/>
    <w:rsid w:val="00C06F89"/>
    <w:rsid w:val="00C12A7A"/>
    <w:rsid w:val="00C138C3"/>
    <w:rsid w:val="00C17E77"/>
    <w:rsid w:val="00C244F7"/>
    <w:rsid w:val="00C254A4"/>
    <w:rsid w:val="00C256C7"/>
    <w:rsid w:val="00C30F94"/>
    <w:rsid w:val="00C34CD9"/>
    <w:rsid w:val="00C37F02"/>
    <w:rsid w:val="00C40AF9"/>
    <w:rsid w:val="00C4278B"/>
    <w:rsid w:val="00C42A4D"/>
    <w:rsid w:val="00C44D90"/>
    <w:rsid w:val="00C459C6"/>
    <w:rsid w:val="00C46FD4"/>
    <w:rsid w:val="00C54A8A"/>
    <w:rsid w:val="00C551EA"/>
    <w:rsid w:val="00C6223A"/>
    <w:rsid w:val="00C70976"/>
    <w:rsid w:val="00C72F57"/>
    <w:rsid w:val="00C73CB2"/>
    <w:rsid w:val="00C74B91"/>
    <w:rsid w:val="00C75DBD"/>
    <w:rsid w:val="00C81349"/>
    <w:rsid w:val="00C85509"/>
    <w:rsid w:val="00C90703"/>
    <w:rsid w:val="00C90E37"/>
    <w:rsid w:val="00CA1CCF"/>
    <w:rsid w:val="00CA43A8"/>
    <w:rsid w:val="00CA54B7"/>
    <w:rsid w:val="00CB59BE"/>
    <w:rsid w:val="00CB5A30"/>
    <w:rsid w:val="00CB5DF4"/>
    <w:rsid w:val="00CC031C"/>
    <w:rsid w:val="00CC4706"/>
    <w:rsid w:val="00CC5AC0"/>
    <w:rsid w:val="00CC6239"/>
    <w:rsid w:val="00CC6474"/>
    <w:rsid w:val="00CD172B"/>
    <w:rsid w:val="00CD462E"/>
    <w:rsid w:val="00CD6ED6"/>
    <w:rsid w:val="00CE0980"/>
    <w:rsid w:val="00CE387C"/>
    <w:rsid w:val="00CE59E8"/>
    <w:rsid w:val="00CE742E"/>
    <w:rsid w:val="00CF206B"/>
    <w:rsid w:val="00CF4354"/>
    <w:rsid w:val="00D046FC"/>
    <w:rsid w:val="00D0477E"/>
    <w:rsid w:val="00D17397"/>
    <w:rsid w:val="00D24891"/>
    <w:rsid w:val="00D26ED2"/>
    <w:rsid w:val="00D27F3D"/>
    <w:rsid w:val="00D300EB"/>
    <w:rsid w:val="00D30956"/>
    <w:rsid w:val="00D34210"/>
    <w:rsid w:val="00D34B60"/>
    <w:rsid w:val="00D35796"/>
    <w:rsid w:val="00D370E1"/>
    <w:rsid w:val="00D4128B"/>
    <w:rsid w:val="00D45522"/>
    <w:rsid w:val="00D53744"/>
    <w:rsid w:val="00D615C8"/>
    <w:rsid w:val="00D631DE"/>
    <w:rsid w:val="00D6703C"/>
    <w:rsid w:val="00D672CF"/>
    <w:rsid w:val="00D76FEC"/>
    <w:rsid w:val="00D802BB"/>
    <w:rsid w:val="00D8076C"/>
    <w:rsid w:val="00D8320E"/>
    <w:rsid w:val="00D86159"/>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D6D2A"/>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0F6B"/>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7022"/>
    <w:rsid w:val="00E87E71"/>
    <w:rsid w:val="00E91224"/>
    <w:rsid w:val="00E92EB5"/>
    <w:rsid w:val="00E966F4"/>
    <w:rsid w:val="00E97AF0"/>
    <w:rsid w:val="00EA0412"/>
    <w:rsid w:val="00EA598D"/>
    <w:rsid w:val="00EB08B4"/>
    <w:rsid w:val="00EB6B52"/>
    <w:rsid w:val="00EB77F8"/>
    <w:rsid w:val="00EC1D51"/>
    <w:rsid w:val="00EC1F28"/>
    <w:rsid w:val="00EC2255"/>
    <w:rsid w:val="00EC5A2D"/>
    <w:rsid w:val="00EC6337"/>
    <w:rsid w:val="00EC6602"/>
    <w:rsid w:val="00ED2800"/>
    <w:rsid w:val="00ED445A"/>
    <w:rsid w:val="00ED5273"/>
    <w:rsid w:val="00ED786F"/>
    <w:rsid w:val="00EE3B6F"/>
    <w:rsid w:val="00EE6B89"/>
    <w:rsid w:val="00EF04B8"/>
    <w:rsid w:val="00EF128B"/>
    <w:rsid w:val="00EF5C10"/>
    <w:rsid w:val="00F0099A"/>
    <w:rsid w:val="00F0260C"/>
    <w:rsid w:val="00F1145F"/>
    <w:rsid w:val="00F12590"/>
    <w:rsid w:val="00F14EE4"/>
    <w:rsid w:val="00F17CA1"/>
    <w:rsid w:val="00F222E4"/>
    <w:rsid w:val="00F22F6C"/>
    <w:rsid w:val="00F23326"/>
    <w:rsid w:val="00F25233"/>
    <w:rsid w:val="00F255E8"/>
    <w:rsid w:val="00F25937"/>
    <w:rsid w:val="00F339B7"/>
    <w:rsid w:val="00F37411"/>
    <w:rsid w:val="00F41A19"/>
    <w:rsid w:val="00F446CF"/>
    <w:rsid w:val="00F514F7"/>
    <w:rsid w:val="00F55EA3"/>
    <w:rsid w:val="00F56586"/>
    <w:rsid w:val="00F62A23"/>
    <w:rsid w:val="00F63376"/>
    <w:rsid w:val="00F65F74"/>
    <w:rsid w:val="00F73DE8"/>
    <w:rsid w:val="00F746DB"/>
    <w:rsid w:val="00F8740D"/>
    <w:rsid w:val="00F90349"/>
    <w:rsid w:val="00F90F79"/>
    <w:rsid w:val="00FA1C3F"/>
    <w:rsid w:val="00FA2887"/>
    <w:rsid w:val="00FB2124"/>
    <w:rsid w:val="00FB3278"/>
    <w:rsid w:val="00FC55E4"/>
    <w:rsid w:val="00FC64A6"/>
    <w:rsid w:val="00FD3D4C"/>
    <w:rsid w:val="00FD5C16"/>
    <w:rsid w:val="00FE002E"/>
    <w:rsid w:val="00FE0256"/>
    <w:rsid w:val="00FE4688"/>
    <w:rsid w:val="00FE4A2B"/>
    <w:rsid w:val="00FE4A6E"/>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F4BB-242C-438C-B9CE-B9438DF9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2015-12-31T19:23:00Z</cp:lastPrinted>
  <dcterms:created xsi:type="dcterms:W3CDTF">2016-03-29T13:40:00Z</dcterms:created>
  <dcterms:modified xsi:type="dcterms:W3CDTF">2016-03-29T13:40:00Z</dcterms:modified>
</cp:coreProperties>
</file>