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900" w:rsidRPr="005D2900" w:rsidRDefault="00181282"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eastAsia="Times New Roman" w:hAnsi="Arial" w:cs="Arial"/>
          <w:b/>
          <w:bCs/>
          <w:sz w:val="24"/>
          <w:szCs w:val="24"/>
        </w:rPr>
      </w:pPr>
      <w:r w:rsidRPr="005D2900">
        <w:rPr>
          <w:rFonts w:ascii="Arial" w:eastAsia="Times New Roman" w:hAnsi="Arial" w:cs="Arial"/>
          <w:sz w:val="24"/>
          <w:szCs w:val="24"/>
          <w:lang w:val="en-CA"/>
        </w:rPr>
        <w:fldChar w:fldCharType="begin"/>
      </w:r>
      <w:r w:rsidR="005D2900" w:rsidRPr="005D2900">
        <w:rPr>
          <w:rFonts w:ascii="Arial" w:eastAsia="Times New Roman" w:hAnsi="Arial" w:cs="Arial"/>
          <w:sz w:val="24"/>
          <w:szCs w:val="24"/>
          <w:lang w:val="en-CA"/>
        </w:rPr>
        <w:instrText xml:space="preserve"> SEQ CHAPTER \h \r 1</w:instrText>
      </w:r>
      <w:r w:rsidRPr="005D2900">
        <w:rPr>
          <w:rFonts w:ascii="Arial" w:eastAsia="Times New Roman" w:hAnsi="Arial" w:cs="Arial"/>
          <w:sz w:val="24"/>
          <w:szCs w:val="24"/>
          <w:lang w:val="en-CA"/>
        </w:rPr>
        <w:fldChar w:fldCharType="end"/>
      </w:r>
      <w:r w:rsidR="005D2900" w:rsidRPr="005D2900">
        <w:rPr>
          <w:rFonts w:ascii="Arial" w:eastAsia="Times New Roman" w:hAnsi="Arial" w:cs="Arial"/>
          <w:b/>
          <w:bCs/>
          <w:sz w:val="24"/>
          <w:szCs w:val="24"/>
        </w:rPr>
        <w:t>Supporting Statement A for</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eastAsia="Times New Roman" w:hAnsi="Arial" w:cs="Arial"/>
          <w:b/>
          <w:bCs/>
          <w:sz w:val="24"/>
          <w:szCs w:val="24"/>
        </w:rPr>
      </w:pPr>
      <w:r w:rsidRPr="005D2900">
        <w:rPr>
          <w:rFonts w:ascii="Arial" w:eastAsia="Times New Roman" w:hAnsi="Arial" w:cs="Arial"/>
          <w:b/>
          <w:bCs/>
          <w:sz w:val="24"/>
          <w:szCs w:val="24"/>
        </w:rPr>
        <w:t>Paperwork Reduction Act Submission</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eastAsia="Times New Roman" w:hAnsi="Arial" w:cs="Arial"/>
          <w:b/>
          <w:bCs/>
          <w:sz w:val="24"/>
          <w:szCs w:val="24"/>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eastAsia="Times New Roman" w:hAnsi="Arial" w:cs="Arial"/>
          <w:sz w:val="24"/>
          <w:szCs w:val="24"/>
        </w:rPr>
      </w:pPr>
      <w:r w:rsidRPr="005D2900">
        <w:rPr>
          <w:rFonts w:ascii="Arial" w:eastAsia="Times New Roman" w:hAnsi="Arial" w:cs="Arial"/>
          <w:b/>
          <w:bCs/>
          <w:sz w:val="24"/>
          <w:szCs w:val="24"/>
        </w:rPr>
        <w:t>OMB Control Number 1018-</w:t>
      </w:r>
      <w:r w:rsidR="004E6B98">
        <w:rPr>
          <w:rFonts w:ascii="Arial" w:eastAsia="Times New Roman" w:hAnsi="Arial" w:cs="Arial"/>
          <w:b/>
          <w:bCs/>
          <w:sz w:val="24"/>
          <w:szCs w:val="24"/>
        </w:rPr>
        <w:t>XXXX</w:t>
      </w:r>
    </w:p>
    <w:p w:rsidR="005D2900" w:rsidRPr="005D2900" w:rsidRDefault="005D2900" w:rsidP="005D2900">
      <w:pPr>
        <w:spacing w:after="0" w:line="240" w:lineRule="auto"/>
        <w:jc w:val="center"/>
        <w:rPr>
          <w:rFonts w:ascii="Arial" w:eastAsia="Times New Roman" w:hAnsi="Arial" w:cs="Arial"/>
          <w:b/>
          <w:bCs/>
          <w:color w:val="000000"/>
          <w:sz w:val="24"/>
          <w:szCs w:val="24"/>
        </w:rPr>
      </w:pPr>
      <w:r w:rsidRPr="005D2900">
        <w:rPr>
          <w:rFonts w:ascii="Arial" w:eastAsia="Times New Roman" w:hAnsi="Arial" w:cs="Arial"/>
          <w:b/>
          <w:bCs/>
          <w:color w:val="000000"/>
          <w:sz w:val="24"/>
          <w:szCs w:val="24"/>
        </w:rPr>
        <w:t>National Initiative to Understand and Connect Americans and Nature</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sz w:val="24"/>
          <w:szCs w:val="24"/>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rPr>
      </w:pPr>
      <w:r w:rsidRPr="005D2900">
        <w:rPr>
          <w:rFonts w:ascii="Arial" w:eastAsia="Times New Roman" w:hAnsi="Arial" w:cs="Arial"/>
          <w:b/>
        </w:rPr>
        <w:t>Terms of Clearance.</w:t>
      </w:r>
      <w:r w:rsidR="00BD2F55">
        <w:rPr>
          <w:rFonts w:ascii="Arial" w:eastAsia="Times New Roman" w:hAnsi="Arial" w:cs="Arial"/>
          <w:b/>
        </w:rPr>
        <w:t xml:space="preserve"> </w:t>
      </w:r>
      <w:r w:rsidRPr="005D2900">
        <w:rPr>
          <w:rFonts w:ascii="Arial" w:eastAsia="Times New Roman" w:hAnsi="Arial" w:cs="Arial"/>
          <w:b/>
        </w:rPr>
        <w:t>None — this is a new collection</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rPr>
      </w:pPr>
      <w:r w:rsidRPr="005D2900">
        <w:rPr>
          <w:rFonts w:ascii="Arial" w:eastAsia="Times New Roman" w:hAnsi="Arial" w:cs="Arial"/>
          <w:b/>
        </w:rPr>
        <w:t>1.</w:t>
      </w:r>
      <w:r w:rsidR="00BD2F55">
        <w:rPr>
          <w:rFonts w:ascii="Arial" w:eastAsia="Times New Roman" w:hAnsi="Arial" w:cs="Arial"/>
          <w:b/>
        </w:rPr>
        <w:t xml:space="preserve"> </w:t>
      </w:r>
      <w:r w:rsidRPr="005D2900">
        <w:rPr>
          <w:rFonts w:ascii="Arial" w:eastAsia="Times New Roman" w:hAnsi="Arial" w:cs="Arial"/>
          <w:b/>
        </w:rPr>
        <w:t>Explain the circumstances that make the collection of information necessary.</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The U.S. Fish and Wildlife Service’s (USFWS) legislative authority for this information collection is the Fish and Wildlife Act of 1956 (16 U.S.C. 742a-742j, not including 742 d-l; 70 Stat. 1119), as amended.</w:t>
      </w:r>
      <w:r w:rsidR="00BD2F55">
        <w:rPr>
          <w:rFonts w:ascii="Arial" w:eastAsia="Times New Roman" w:hAnsi="Arial" w:cs="Arial"/>
        </w:rPr>
        <w:t xml:space="preserve"> </w:t>
      </w:r>
      <w:r w:rsidRPr="005D2900">
        <w:rPr>
          <w:rFonts w:ascii="Arial" w:eastAsia="Times New Roman" w:hAnsi="Arial" w:cs="Arial"/>
        </w:rPr>
        <w:t>The Act of August 8, 1956, as frequently amended, establishes a comprehensive national fish, shellfish, and wildlife resources policy with emphasis on the commercial fishing industry but also with a direction to administer the Act with regard to the inherent right of every citizen and resident to fish for pleasure, enjoyment, and betterment and to maintain and increase public opportunities for recreational use of fish and wildlife resources.</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The USFWS mission is, working with others, to conserve, protect, and enhance fish, wildlife, plants, and their habitats for the continuing benefit of the American people.</w:t>
      </w:r>
      <w:r w:rsidR="00BD2F55">
        <w:rPr>
          <w:rFonts w:ascii="Arial" w:eastAsia="Times New Roman" w:hAnsi="Arial" w:cs="Arial"/>
        </w:rPr>
        <w:t xml:space="preserve"> </w:t>
      </w:r>
      <w:r w:rsidRPr="005D2900">
        <w:rPr>
          <w:rFonts w:ascii="Arial" w:eastAsia="Times New Roman" w:hAnsi="Arial" w:cs="Arial"/>
        </w:rPr>
        <w:t>The USFWS administers National Wildlife Refuges (NWR), a network of lands and waters for the conservation, management, and where appropriate, restoration of the fish, wildlife, and plant resources and their habitats within the United States for the benefit of present and future generations of Americans. Fishing, hunting, wildlife observation, photography, and environmental education are among the outdoor activities within NWR.</w:t>
      </w:r>
      <w:r w:rsidR="00BD2F55">
        <w:rPr>
          <w:rFonts w:ascii="Arial" w:eastAsia="Times New Roman" w:hAnsi="Arial" w:cs="Arial"/>
        </w:rPr>
        <w:t xml:space="preserve"> </w:t>
      </w:r>
      <w:r w:rsidRPr="005D2900">
        <w:rPr>
          <w:rFonts w:ascii="Arial" w:eastAsia="Times New Roman" w:hAnsi="Arial" w:cs="Arial"/>
        </w:rPr>
        <w:t xml:space="preserve">About 46 million people visit NWR each year, generating almost $1.7 billion in sales for regional economies, and supporting 27,000 jobs and $543 million in employment income (Carver and Caudill, 2013). </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Yet profound changes appear to be occurring in the American public’s relationship to nature and wildlife. Various indicators suggest Americans are becoming increasingly disconnected from nature and the outdoors.</w:t>
      </w:r>
      <w:r w:rsidR="00BD2F55">
        <w:rPr>
          <w:rFonts w:ascii="Arial" w:eastAsia="Times New Roman" w:hAnsi="Arial" w:cs="Arial"/>
        </w:rPr>
        <w:t xml:space="preserve"> </w:t>
      </w:r>
      <w:r w:rsidRPr="005D2900">
        <w:rPr>
          <w:rFonts w:ascii="Arial" w:eastAsia="Times New Roman" w:hAnsi="Arial" w:cs="Arial"/>
        </w:rPr>
        <w:t>Indeed, work published in Proceedings of the National Academy of Sciences of the United States provides strong evidence through various metrics for a “fundamental and pervasive shift away from nature-based recreation” (Pergams and Zaradic, 2008, p. 2295). For example, the U.S. is an increasingly urban nation, where now approximately four of every five Americans live, and an ever more indoor-oriented public, where Americans on average spend 90% of their time (Kellert, 2005).</w:t>
      </w:r>
      <w:r w:rsidR="00BD2F55">
        <w:rPr>
          <w:rFonts w:ascii="Arial" w:eastAsia="Times New Roman" w:hAnsi="Arial" w:cs="Arial"/>
        </w:rPr>
        <w:t xml:space="preserve"> </w:t>
      </w:r>
      <w:r w:rsidRPr="005D2900">
        <w:rPr>
          <w:rFonts w:ascii="Arial" w:eastAsia="Times New Roman" w:hAnsi="Arial" w:cs="Arial"/>
        </w:rPr>
        <w:t>The percentage of the U.S. population 16 years old and older participating in fishing fell from 19% in 1991 to 14% in 2011, the most recent years for which comparative data are available (USDI Fish and Wildlife Service, 2013).</w:t>
      </w:r>
      <w:r w:rsidR="00BD2F55">
        <w:rPr>
          <w:rFonts w:ascii="Arial" w:eastAsia="Times New Roman" w:hAnsi="Arial" w:cs="Arial"/>
        </w:rPr>
        <w:t xml:space="preserve"> </w:t>
      </w:r>
      <w:r w:rsidRPr="005D2900">
        <w:rPr>
          <w:rFonts w:ascii="Arial" w:eastAsia="Times New Roman" w:hAnsi="Arial" w:cs="Arial"/>
        </w:rPr>
        <w:t>Percent of U.S. population participating in hunting fluctuated around 6% from 1991 to 2011, but hunting participation across seven of the nine Census Divisions trended downward from 1991 to 2011.</w:t>
      </w:r>
      <w:r w:rsidR="00BD2F55">
        <w:rPr>
          <w:rFonts w:ascii="Arial" w:eastAsia="Times New Roman" w:hAnsi="Arial" w:cs="Arial"/>
        </w:rPr>
        <w:t xml:space="preserve"> </w:t>
      </w:r>
      <w:r w:rsidRPr="005D2900">
        <w:rPr>
          <w:rFonts w:ascii="Arial" w:eastAsia="Times New Roman" w:hAnsi="Arial" w:cs="Arial"/>
        </w:rPr>
        <w:t>Wildlife-watching around home fell from 39% of the U.S. population in 1991 to 29% in 2011; and wildlife-watching away from home decreased from 16% of the U.S. population in 1991 to 9% in 2011.</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And what of the future?</w:t>
      </w:r>
      <w:r w:rsidR="00BD2F55">
        <w:rPr>
          <w:rFonts w:ascii="Arial" w:eastAsia="Times New Roman" w:hAnsi="Arial" w:cs="Arial"/>
        </w:rPr>
        <w:t xml:space="preserve"> </w:t>
      </w:r>
      <w:r w:rsidRPr="005D2900">
        <w:rPr>
          <w:rFonts w:ascii="Arial" w:eastAsia="Times New Roman" w:hAnsi="Arial" w:cs="Arial"/>
        </w:rPr>
        <w:t>In a study of American children’s time, the largest activity declines from 1997 to 2003 occurred in sports and outdoor activities—in fact, for children aged 6 to 12, there was a 37% decline in participation in outdoor activities, from 16% to 10% (Hofferth, 2009).</w:t>
      </w:r>
      <w:r w:rsidR="00BD2F55">
        <w:rPr>
          <w:rFonts w:ascii="Arial" w:eastAsia="Times New Roman" w:hAnsi="Arial" w:cs="Arial"/>
        </w:rPr>
        <w:t xml:space="preserve">  </w:t>
      </w:r>
      <w:r w:rsidRPr="005D2900">
        <w:rPr>
          <w:rFonts w:ascii="Arial" w:eastAsia="Times New Roman" w:hAnsi="Arial" w:cs="Arial"/>
        </w:rPr>
        <w:t xml:space="preserve"> African-American children spent less time outdoors than their Hispanic and white counterparts, and white children were more likely than their Hispanic- and African-American counterparts to prefer nature-based activities when playing o</w:t>
      </w:r>
      <w:r w:rsidR="004E6B98">
        <w:rPr>
          <w:rFonts w:ascii="Arial" w:eastAsia="Times New Roman" w:hAnsi="Arial" w:cs="Arial"/>
        </w:rPr>
        <w:t xml:space="preserve">utdoors (Larson et al., 2011). </w:t>
      </w:r>
      <w:r w:rsidRPr="005D2900">
        <w:rPr>
          <w:rFonts w:ascii="Arial" w:eastAsia="Times New Roman" w:hAnsi="Arial" w:cs="Arial"/>
        </w:rPr>
        <w:t xml:space="preserve">The potential effects on health and social vitality of decreased time outdoors and variability in racial/ethnic preference </w:t>
      </w:r>
      <w:r w:rsidRPr="005D2900">
        <w:rPr>
          <w:rFonts w:ascii="Arial" w:eastAsia="Times New Roman" w:hAnsi="Arial" w:cs="Arial"/>
        </w:rPr>
        <w:lastRenderedPageBreak/>
        <w:t>for nature-related play are compounded in unknown ways by findings that the average child (aged 8-18 years) engaged in electronic media more than 50 hours in a typical week (Rideout et al., 2010).</w:t>
      </w:r>
      <w:r w:rsidR="00BD2F55">
        <w:rPr>
          <w:rFonts w:ascii="Arial" w:eastAsia="Times New Roman" w:hAnsi="Arial" w:cs="Arial"/>
        </w:rPr>
        <w:t xml:space="preserve"> </w:t>
      </w:r>
      <w:r w:rsidRPr="005D2900">
        <w:rPr>
          <w:rFonts w:ascii="Arial" w:eastAsia="Times New Roman" w:hAnsi="Arial" w:cs="Arial"/>
        </w:rPr>
        <w:t>In addition, many children multi-task—e.g., surf the Internet while listening to music—thus consuming a total daily average of nearly 11 hours of media content in the daily 7.5 hours devoted to electronic devices. Restated, children spent practically every waking minute—apart from time in school—using a smart phone, computer, TV, or other electronic devices (Lewin, 2010).</w:t>
      </w:r>
    </w:p>
    <w:p w:rsidR="004E6B98" w:rsidRPr="005D2900" w:rsidRDefault="004E6B98"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spacing w:after="0" w:line="240" w:lineRule="auto"/>
        <w:rPr>
          <w:rFonts w:ascii="Arial" w:eastAsia="Cambria" w:hAnsi="Arial" w:cs="Arial"/>
          <w:b/>
          <w:u w:val="single"/>
        </w:rPr>
      </w:pPr>
      <w:r w:rsidRPr="005D2900">
        <w:rPr>
          <w:rFonts w:ascii="Arial" w:eastAsia="Cambria" w:hAnsi="Arial" w:cs="Arial"/>
        </w:rPr>
        <w:t>Factors propelling these changes are not well known, though urbanization, loss of open space, a built environment discouraging interaction with nature, increasing isolation from sources of natural production, an aging population, difficulties accessing recreational areas and opportunities, costs of outdoor equipment, lack of training or background in outdoor and nature-oriented activities, primacy of vehicular transportation, fixation on</w:t>
      </w:r>
      <w:r w:rsidR="00BD2F55">
        <w:rPr>
          <w:rFonts w:ascii="Arial" w:eastAsia="Cambria" w:hAnsi="Arial" w:cs="Arial"/>
        </w:rPr>
        <w:t xml:space="preserve"> </w:t>
      </w:r>
      <w:r w:rsidRPr="005D2900">
        <w:rPr>
          <w:rFonts w:ascii="Arial" w:eastAsia="Cambria" w:hAnsi="Arial" w:cs="Arial"/>
        </w:rPr>
        <w:t>numerous and rapidly-evolving modern electronics, fear of letting children play outside on their own, over-structuring of children’s time, and fear of racial or ethnic intimidation in outdoor or natural settings are among candidate variables (Kellert, 2005; Hofferth, 2009; Kellert, 2012).</w:t>
      </w:r>
      <w:r w:rsidR="00BD2F55">
        <w:rPr>
          <w:rFonts w:ascii="Arial" w:eastAsia="Cambria" w:hAnsi="Arial" w:cs="Arial"/>
        </w:rPr>
        <w:t xml:space="preserve"> </w:t>
      </w:r>
      <w:r w:rsidRPr="005D2900">
        <w:rPr>
          <w:rFonts w:ascii="Arial" w:eastAsia="Cambria" w:hAnsi="Arial" w:cs="Arial"/>
        </w:rPr>
        <w:t>Inevitable cultural change and increasing globalization also may be giving rise to profound transformation in how Americans think about and experience the natural world.</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spacing w:after="0" w:line="240" w:lineRule="auto"/>
        <w:rPr>
          <w:rFonts w:ascii="Arial" w:eastAsia="Cambria" w:hAnsi="Arial" w:cs="Arial"/>
        </w:rPr>
      </w:pPr>
      <w:r w:rsidRPr="005D2900">
        <w:rPr>
          <w:rFonts w:ascii="Arial" w:eastAsia="Cambria" w:hAnsi="Arial" w:cs="Arial"/>
        </w:rPr>
        <w:t>Despite the evidence of a growing separation between people and nature in American society, increasing theoretical understanding and scientific evidence have revealed that contact with the natural environment, rather than being a dispensable recreational amenity, is critical to people’s physical and mental health (Wilson, 1984; Kellert and Wilson, 1993).</w:t>
      </w:r>
      <w:r w:rsidR="00BD2F55">
        <w:rPr>
          <w:rFonts w:ascii="Arial" w:eastAsia="Cambria" w:hAnsi="Arial" w:cs="Arial"/>
        </w:rPr>
        <w:t xml:space="preserve"> </w:t>
      </w:r>
      <w:r w:rsidRPr="005D2900">
        <w:rPr>
          <w:rFonts w:ascii="Arial" w:eastAsia="Cambria" w:hAnsi="Arial" w:cs="Arial"/>
        </w:rPr>
        <w:t>This evidence of nature’s contribution to our nation’s wellbeing holds profound importance for current and future management and outreach programs of USFWS.</w:t>
      </w:r>
    </w:p>
    <w:p w:rsidR="005D2900" w:rsidRPr="005D2900" w:rsidRDefault="005D2900" w:rsidP="005D2900">
      <w:pPr>
        <w:spacing w:after="0" w:line="240" w:lineRule="auto"/>
        <w:rPr>
          <w:rFonts w:ascii="Arial" w:eastAsia="Cambria"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The previously cited participation data for fishing, hunting, and wildlife watching were collected in an extraordinary longitudinal study first fielded by the USFWS and Census Bureau in 1956.</w:t>
      </w:r>
      <w:r w:rsidR="00BD2F55">
        <w:rPr>
          <w:rFonts w:ascii="Arial" w:eastAsia="Times New Roman" w:hAnsi="Arial" w:cs="Arial"/>
        </w:rPr>
        <w:t xml:space="preserve"> </w:t>
      </w:r>
      <w:r w:rsidRPr="005D2900">
        <w:rPr>
          <w:rFonts w:ascii="Arial" w:eastAsia="Times New Roman" w:hAnsi="Arial" w:cs="Arial"/>
        </w:rPr>
        <w:t>That year, and every five years since, the USFWS has sponsored the National Survey of Fishing, Hunting, and Wildlife-Associated Recreation.</w:t>
      </w:r>
      <w:r w:rsidR="00BD2F55">
        <w:rPr>
          <w:rFonts w:ascii="Arial" w:eastAsia="Times New Roman" w:hAnsi="Arial" w:cs="Arial"/>
        </w:rPr>
        <w:t xml:space="preserve"> </w:t>
      </w:r>
      <w:r w:rsidRPr="005D2900">
        <w:rPr>
          <w:rFonts w:ascii="Arial" w:eastAsia="Times New Roman" w:hAnsi="Arial" w:cs="Arial"/>
        </w:rPr>
        <w:t xml:space="preserve">Survey content from 1955 to 1975 focused on measuring </w:t>
      </w:r>
      <w:r w:rsidRPr="005D2900">
        <w:rPr>
          <w:rFonts w:ascii="Arial" w:eastAsia="Times New Roman" w:hAnsi="Arial" w:cs="Arial"/>
          <w:i/>
        </w:rPr>
        <w:t>participation</w:t>
      </w:r>
      <w:r w:rsidRPr="005D2900">
        <w:rPr>
          <w:rFonts w:ascii="Arial" w:eastAsia="Times New Roman" w:hAnsi="Arial" w:cs="Arial"/>
        </w:rPr>
        <w:t xml:space="preserve"> in fishing and hunting, with limited attention on respondents’ sentiments toward nature.</w:t>
      </w:r>
      <w:r w:rsidR="00BD2F55">
        <w:rPr>
          <w:rFonts w:ascii="Arial" w:eastAsia="Times New Roman" w:hAnsi="Arial" w:cs="Arial"/>
        </w:rPr>
        <w:t xml:space="preserve"> </w:t>
      </w:r>
      <w:r w:rsidRPr="005D2900">
        <w:rPr>
          <w:rFonts w:ascii="Arial" w:eastAsia="Times New Roman" w:hAnsi="Arial" w:cs="Arial"/>
        </w:rPr>
        <w:t xml:space="preserve">However, from 1980 through the most recent study in 2011, core objectives have been to assess </w:t>
      </w:r>
      <w:r w:rsidRPr="005D2900">
        <w:rPr>
          <w:rFonts w:ascii="Arial" w:eastAsia="Times New Roman" w:hAnsi="Arial" w:cs="Arial"/>
          <w:i/>
        </w:rPr>
        <w:t>participation and expenditures</w:t>
      </w:r>
      <w:r w:rsidRPr="005D2900">
        <w:rPr>
          <w:rFonts w:ascii="Arial" w:eastAsia="Times New Roman" w:hAnsi="Arial" w:cs="Arial"/>
        </w:rPr>
        <w:t xml:space="preserve"> related to fishing, hunting, and wildlife observation, with virtually no inquiry to respondent attitudes toward outdoor involvement or values for nature.</w:t>
      </w:r>
      <w:r w:rsidR="00BD2F55">
        <w:rPr>
          <w:rFonts w:ascii="Arial" w:eastAsia="Times New Roman" w:hAnsi="Arial" w:cs="Arial"/>
        </w:rPr>
        <w:t xml:space="preserve"> </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 xml:space="preserve">In the late 1970s, to help close this gap in our understanding of public perceptions of nature and the outdoors, USFWS supported research by Dr. Stephen R. Kellert of Yale University, resulting in a benchmark characterization and classification of Americans’ perceptions of and sentiments toward wildlife and nature (Kellert, 1979). With later contributions by colleagues such as Dr. E.O. Wilson of Harvard University, these early data made significant contribution to the emergent theory of “biolophila” (Wilson, 1984)—affinity for nature instrumental to people’s health and well-being (Kellert and Wilson, 1993). </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Now, a research team, with Dr. Kellert working as principal investigator and aided by social scientists from D.J. Case and Associates and a sub-contractor (Toluna) on the forefront of contemporary survey methodology, proposes to update and expand this earlier research.</w:t>
      </w:r>
      <w:r w:rsidR="00BD2F55">
        <w:rPr>
          <w:rFonts w:ascii="Arial" w:eastAsia="Times New Roman" w:hAnsi="Arial" w:cs="Arial"/>
        </w:rPr>
        <w:t xml:space="preserve"> </w:t>
      </w:r>
      <w:r w:rsidRPr="005D2900">
        <w:rPr>
          <w:rFonts w:ascii="Arial" w:eastAsia="Times New Roman" w:hAnsi="Arial" w:cs="Arial"/>
        </w:rPr>
        <w:t>This project will build upon seminal research underwritten by USFWS to describe adult Americans’ present values for nature, linking values for nature with perceptions of personal health and wellbeing, with programmatic implications for current and future management and outreach programs of the USFWS.</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u w:val="single"/>
        </w:rPr>
      </w:pPr>
      <w:r w:rsidRPr="005D2900">
        <w:rPr>
          <w:rFonts w:ascii="Arial" w:eastAsia="Times New Roman" w:hAnsi="Arial" w:cs="Arial"/>
          <w:u w:val="single"/>
        </w:rPr>
        <w:t>References</w:t>
      </w:r>
    </w:p>
    <w:p w:rsidR="00087866" w:rsidRPr="005D2900" w:rsidRDefault="00087866"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u w:val="single"/>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Carver, E. and J. Caudill. 2013. Banking on Nature: The Economic Benefits to Local Communities of National Wildlife Refuge Visitation. U.S. Fish and Wildlife Service, Division of Economics, Washington, DC. 373pp.</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Hofferth, S.L., 2009.</w:t>
      </w:r>
      <w:r w:rsidR="00BD2F55">
        <w:rPr>
          <w:rFonts w:ascii="Arial" w:eastAsia="Times New Roman" w:hAnsi="Arial" w:cs="Arial"/>
        </w:rPr>
        <w:t xml:space="preserve"> </w:t>
      </w:r>
      <w:r w:rsidRPr="005D2900">
        <w:rPr>
          <w:rFonts w:ascii="Arial" w:eastAsia="Times New Roman" w:hAnsi="Arial" w:cs="Arial"/>
        </w:rPr>
        <w:t>Changes in American children’s time – 1997 to 2003.</w:t>
      </w:r>
      <w:r w:rsidR="00BD2F55">
        <w:rPr>
          <w:rFonts w:ascii="Arial" w:eastAsia="Times New Roman" w:hAnsi="Arial" w:cs="Arial"/>
        </w:rPr>
        <w:t xml:space="preserve"> </w:t>
      </w:r>
      <w:r w:rsidRPr="005D2900">
        <w:rPr>
          <w:rFonts w:ascii="Arial" w:eastAsia="Times New Roman" w:hAnsi="Arial" w:cs="Arial"/>
        </w:rPr>
        <w:t>Electron. Int. J. Time Use Res., January 1; 6(1): 26–47.</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Kellert, S.R., 1979.</w:t>
      </w:r>
      <w:r w:rsidR="00BD2F55">
        <w:rPr>
          <w:rFonts w:ascii="Arial" w:eastAsia="Times New Roman" w:hAnsi="Arial" w:cs="Arial"/>
        </w:rPr>
        <w:t xml:space="preserve"> </w:t>
      </w:r>
      <w:r w:rsidRPr="005D2900">
        <w:rPr>
          <w:rFonts w:ascii="Arial" w:eastAsia="Times New Roman" w:hAnsi="Arial" w:cs="Arial"/>
        </w:rPr>
        <w:t>American attitudes, knowledge and behaviors toward wildlife and natural habitats, Yale Un. School of Forestry and Environmental Studies, Report to USDI Fish and Wildlife Service, Washington, D.C.: U.S. Govt. Printing Office.</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Kellert, S.R.</w:t>
      </w:r>
      <w:r w:rsidR="00BD2F55">
        <w:rPr>
          <w:rFonts w:ascii="Arial" w:eastAsia="Times New Roman" w:hAnsi="Arial" w:cs="Arial"/>
        </w:rPr>
        <w:t xml:space="preserve"> </w:t>
      </w:r>
      <w:r w:rsidRPr="005D2900">
        <w:rPr>
          <w:rFonts w:ascii="Arial" w:eastAsia="Times New Roman" w:hAnsi="Arial" w:cs="Arial"/>
        </w:rPr>
        <w:t>2005.</w:t>
      </w:r>
      <w:r w:rsidR="00BD2F55">
        <w:rPr>
          <w:rFonts w:ascii="Arial" w:eastAsia="Times New Roman" w:hAnsi="Arial" w:cs="Arial"/>
        </w:rPr>
        <w:t xml:space="preserve"> </w:t>
      </w:r>
      <w:r w:rsidRPr="005D2900">
        <w:rPr>
          <w:rFonts w:ascii="Arial" w:eastAsia="Times New Roman" w:hAnsi="Arial" w:cs="Arial"/>
        </w:rPr>
        <w:t>Building for life: designing and understanding the human-nature connection, Washington, D.C.: Island Press, 250pp.</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Kellert, S. R.</w:t>
      </w:r>
      <w:r w:rsidR="00BD2F55">
        <w:rPr>
          <w:rFonts w:ascii="Arial" w:eastAsia="Times New Roman" w:hAnsi="Arial" w:cs="Arial"/>
        </w:rPr>
        <w:t xml:space="preserve"> </w:t>
      </w:r>
      <w:r w:rsidRPr="005D2900">
        <w:rPr>
          <w:rFonts w:ascii="Arial" w:eastAsia="Times New Roman" w:hAnsi="Arial" w:cs="Arial"/>
        </w:rPr>
        <w:t>2012.</w:t>
      </w:r>
      <w:r w:rsidR="00BD2F55">
        <w:rPr>
          <w:rFonts w:ascii="Arial" w:eastAsia="Times New Roman" w:hAnsi="Arial" w:cs="Arial"/>
        </w:rPr>
        <w:t xml:space="preserve"> </w:t>
      </w:r>
      <w:r w:rsidRPr="005D2900">
        <w:rPr>
          <w:rFonts w:ascii="Arial" w:eastAsia="Times New Roman" w:hAnsi="Arial" w:cs="Arial"/>
        </w:rPr>
        <w:t>Birthright: people and nature in the modern world.</w:t>
      </w:r>
      <w:r w:rsidR="00BD2F55">
        <w:rPr>
          <w:rFonts w:ascii="Arial" w:eastAsia="Times New Roman" w:hAnsi="Arial" w:cs="Arial"/>
        </w:rPr>
        <w:t xml:space="preserve"> </w:t>
      </w:r>
      <w:r w:rsidRPr="005D2900">
        <w:rPr>
          <w:rFonts w:ascii="Arial" w:eastAsia="Times New Roman" w:hAnsi="Arial" w:cs="Arial"/>
        </w:rPr>
        <w:t>New Haven and London: Yale University Press, 242pp.</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Kellert, S.R., and E.O. Wilson.</w:t>
      </w:r>
      <w:r w:rsidR="00BD2F55">
        <w:rPr>
          <w:rFonts w:ascii="Arial" w:eastAsia="Times New Roman" w:hAnsi="Arial" w:cs="Arial"/>
        </w:rPr>
        <w:t xml:space="preserve"> </w:t>
      </w:r>
      <w:r w:rsidRPr="005D2900">
        <w:rPr>
          <w:rFonts w:ascii="Arial" w:eastAsia="Times New Roman" w:hAnsi="Arial" w:cs="Arial"/>
        </w:rPr>
        <w:t>1993.</w:t>
      </w:r>
      <w:r w:rsidR="00BD2F55">
        <w:rPr>
          <w:rFonts w:ascii="Arial" w:eastAsia="Times New Roman" w:hAnsi="Arial" w:cs="Arial"/>
        </w:rPr>
        <w:t xml:space="preserve"> </w:t>
      </w:r>
      <w:r w:rsidRPr="005D2900">
        <w:rPr>
          <w:rFonts w:ascii="Arial" w:eastAsia="Times New Roman" w:hAnsi="Arial" w:cs="Arial"/>
        </w:rPr>
        <w:t>The biophilia hypothesis.</w:t>
      </w:r>
      <w:r w:rsidR="00BD2F55">
        <w:rPr>
          <w:rFonts w:ascii="Arial" w:eastAsia="Times New Roman" w:hAnsi="Arial" w:cs="Arial"/>
        </w:rPr>
        <w:t xml:space="preserve"> </w:t>
      </w:r>
      <w:r w:rsidRPr="005D2900">
        <w:rPr>
          <w:rFonts w:ascii="Arial" w:eastAsia="Times New Roman" w:hAnsi="Arial" w:cs="Arial"/>
        </w:rPr>
        <w:t>Washington, D.C.: Island Press, 138pp+.</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Larson, L.R., H.K. Cordell, C.J. Betz, and G.T. Green.</w:t>
      </w:r>
      <w:r w:rsidR="00BD2F55">
        <w:rPr>
          <w:rFonts w:ascii="Arial" w:eastAsia="Times New Roman" w:hAnsi="Arial" w:cs="Arial"/>
        </w:rPr>
        <w:t xml:space="preserve"> </w:t>
      </w:r>
      <w:r w:rsidRPr="005D2900">
        <w:rPr>
          <w:rFonts w:ascii="Arial" w:eastAsia="Times New Roman" w:hAnsi="Arial" w:cs="Arial"/>
        </w:rPr>
        <w:t>2011.</w:t>
      </w:r>
      <w:r w:rsidR="00BD2F55">
        <w:rPr>
          <w:rFonts w:ascii="Arial" w:eastAsia="Times New Roman" w:hAnsi="Arial" w:cs="Arial"/>
        </w:rPr>
        <w:t xml:space="preserve"> </w:t>
      </w:r>
      <w:r w:rsidRPr="005D2900">
        <w:rPr>
          <w:rFonts w:ascii="Arial" w:eastAsia="Times New Roman" w:hAnsi="Arial" w:cs="Arial"/>
        </w:rPr>
        <w:t>Children’s time outdoors: results from a national survey.</w:t>
      </w:r>
      <w:r w:rsidR="00BD2F55">
        <w:rPr>
          <w:rFonts w:ascii="Arial" w:eastAsia="Times New Roman" w:hAnsi="Arial" w:cs="Arial"/>
        </w:rPr>
        <w:t xml:space="preserve"> </w:t>
      </w:r>
      <w:r w:rsidRPr="005D2900">
        <w:rPr>
          <w:rFonts w:ascii="Arial" w:eastAsia="Times New Roman" w:hAnsi="Arial" w:cs="Arial"/>
        </w:rPr>
        <w:t xml:space="preserve">Proceedings of the Northeastern Recreation Research Symposium, </w:t>
      </w:r>
    </w:p>
    <w:p w:rsidR="005D2900" w:rsidRPr="005D2900" w:rsidRDefault="00B54BAA"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hyperlink r:id="rId7" w:history="1">
        <w:r w:rsidR="005D2900" w:rsidRPr="005D2900">
          <w:rPr>
            <w:rFonts w:ascii="Arial" w:eastAsia="Times New Roman" w:hAnsi="Arial" w:cs="Arial"/>
            <w:color w:val="0000FF"/>
            <w:u w:val="single"/>
          </w:rPr>
          <w:t>http://scholarworks.umass.edu/cgi/viewcontent.cgi?article=1030&amp;context=nerr</w:t>
        </w:r>
      </w:hyperlink>
      <w:r w:rsidR="005D2900" w:rsidRPr="005D2900">
        <w:rPr>
          <w:rFonts w:ascii="Arial" w:eastAsia="Times New Roman" w:hAnsi="Arial" w:cs="Arial"/>
        </w:rPr>
        <w:t>, Retrieved 6-20-15.</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Lewin, T.</w:t>
      </w:r>
      <w:r w:rsidR="00BD2F55">
        <w:rPr>
          <w:rFonts w:ascii="Arial" w:eastAsia="Times New Roman" w:hAnsi="Arial" w:cs="Arial"/>
        </w:rPr>
        <w:t xml:space="preserve"> </w:t>
      </w:r>
      <w:r w:rsidRPr="005D2900">
        <w:rPr>
          <w:rFonts w:ascii="Arial" w:eastAsia="Times New Roman" w:hAnsi="Arial" w:cs="Arial"/>
        </w:rPr>
        <w:t>2010.</w:t>
      </w:r>
      <w:r w:rsidR="00BD2F55">
        <w:rPr>
          <w:rFonts w:ascii="Arial" w:eastAsia="Times New Roman" w:hAnsi="Arial" w:cs="Arial"/>
        </w:rPr>
        <w:t xml:space="preserve"> </w:t>
      </w:r>
      <w:r w:rsidRPr="005D2900">
        <w:rPr>
          <w:rFonts w:ascii="Arial" w:eastAsia="Times New Roman" w:hAnsi="Arial" w:cs="Arial"/>
        </w:rPr>
        <w:t xml:space="preserve">If your kids are awake, they’re probably online. The New York Times, January 20, 2010, pA1. </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Pergams, O.R.W, and Zaradic, P.A .</w:t>
      </w:r>
      <w:r w:rsidR="00BD2F55">
        <w:rPr>
          <w:rFonts w:ascii="Arial" w:eastAsia="Times New Roman" w:hAnsi="Arial" w:cs="Arial"/>
        </w:rPr>
        <w:t xml:space="preserve"> </w:t>
      </w:r>
      <w:r w:rsidRPr="005D2900">
        <w:rPr>
          <w:rFonts w:ascii="Arial" w:eastAsia="Times New Roman" w:hAnsi="Arial" w:cs="Arial"/>
        </w:rPr>
        <w:t>2008. Evidence for a fundamental and pervasive shift away from nature-based recreation.</w:t>
      </w:r>
      <w:r w:rsidR="00BD2F55">
        <w:rPr>
          <w:rFonts w:ascii="Arial" w:eastAsia="Times New Roman" w:hAnsi="Arial" w:cs="Arial"/>
        </w:rPr>
        <w:t xml:space="preserve"> </w:t>
      </w:r>
      <w:r w:rsidRPr="005D2900">
        <w:rPr>
          <w:rFonts w:ascii="Arial" w:eastAsia="Times New Roman" w:hAnsi="Arial" w:cs="Arial"/>
        </w:rPr>
        <w:t>Proceedings of the National Academy of Sciences of the United States of America. 105(7): 2295-2300. doi:10.1073/pnas.0709893105.</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Rideout, V.J., U.G. Foehr, and D.F. Roberts, 2010. Generation M</w:t>
      </w:r>
      <w:r w:rsidRPr="005D2900">
        <w:rPr>
          <w:rFonts w:ascii="Arial" w:eastAsia="Times New Roman" w:hAnsi="Arial" w:cs="Arial"/>
          <w:vertAlign w:val="superscript"/>
        </w:rPr>
        <w:t>2</w:t>
      </w:r>
      <w:r w:rsidRPr="005D2900">
        <w:rPr>
          <w:rFonts w:ascii="Arial" w:eastAsia="Times New Roman" w:hAnsi="Arial" w:cs="Arial"/>
        </w:rPr>
        <w:t>: Media in the lives of 8- to 18-year olds.</w:t>
      </w:r>
      <w:r w:rsidR="00BD2F55">
        <w:rPr>
          <w:rFonts w:ascii="Arial" w:eastAsia="Times New Roman" w:hAnsi="Arial" w:cs="Arial"/>
        </w:rPr>
        <w:t xml:space="preserve"> </w:t>
      </w:r>
      <w:r w:rsidRPr="005D2900">
        <w:rPr>
          <w:rFonts w:ascii="Arial" w:eastAsia="Times New Roman" w:hAnsi="Arial" w:cs="Arial"/>
        </w:rPr>
        <w:t>A Kaiser Family Foundation Study, Menlo Park, California: Kaiser Family Foundation, 85pp.</w:t>
      </w:r>
      <w:r w:rsidR="00BD2F55">
        <w:rPr>
          <w:rFonts w:ascii="Arial" w:eastAsia="Times New Roman" w:hAnsi="Arial" w:cs="Arial"/>
        </w:rPr>
        <w:t xml:space="preserve"> </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USDI Fish and Wildlife Service, 2013.</w:t>
      </w:r>
      <w:r w:rsidR="00BD2F55">
        <w:rPr>
          <w:rFonts w:ascii="Arial" w:eastAsia="Times New Roman" w:hAnsi="Arial" w:cs="Arial"/>
        </w:rPr>
        <w:t xml:space="preserve"> </w:t>
      </w:r>
      <w:r w:rsidRPr="005D2900">
        <w:rPr>
          <w:rFonts w:ascii="Arial" w:eastAsia="Times New Roman" w:hAnsi="Arial" w:cs="Arial"/>
        </w:rPr>
        <w:t>U.S. Department of the Interior, U.S. Fish and Wildlife Service, and U.S. Department of Commerce, U.S. Census Bureau.</w:t>
      </w:r>
      <w:r w:rsidR="00BD2F55">
        <w:rPr>
          <w:rFonts w:ascii="Arial" w:eastAsia="Times New Roman" w:hAnsi="Arial" w:cs="Arial"/>
        </w:rPr>
        <w:t xml:space="preserve"> </w:t>
      </w:r>
      <w:r w:rsidRPr="005D2900">
        <w:rPr>
          <w:rFonts w:ascii="Arial" w:eastAsia="Times New Roman" w:hAnsi="Arial" w:cs="Arial"/>
        </w:rPr>
        <w:t>2011 National Survey of Fishing, Hunting, and Wildlife-Associated Recreation.</w:t>
      </w:r>
      <w:r w:rsidR="00BD2F55">
        <w:rPr>
          <w:rFonts w:ascii="Arial" w:eastAsia="Times New Roman" w:hAnsi="Arial" w:cs="Arial"/>
        </w:rPr>
        <w:t xml:space="preserve"> </w:t>
      </w:r>
      <w:r w:rsidRPr="005D2900">
        <w:rPr>
          <w:rFonts w:ascii="Arial" w:eastAsia="Times New Roman" w:hAnsi="Arial" w:cs="Arial"/>
        </w:rPr>
        <w:t>161pp.</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Wilson, E.O.</w:t>
      </w:r>
      <w:r w:rsidR="00BD2F55">
        <w:rPr>
          <w:rFonts w:ascii="Arial" w:eastAsia="Times New Roman" w:hAnsi="Arial" w:cs="Arial"/>
        </w:rPr>
        <w:t xml:space="preserve"> </w:t>
      </w:r>
      <w:r w:rsidRPr="005D2900">
        <w:rPr>
          <w:rFonts w:ascii="Arial" w:eastAsia="Times New Roman" w:hAnsi="Arial" w:cs="Arial"/>
        </w:rPr>
        <w:t>1984.</w:t>
      </w:r>
      <w:r w:rsidR="00BD2F55">
        <w:rPr>
          <w:rFonts w:ascii="Arial" w:eastAsia="Times New Roman" w:hAnsi="Arial" w:cs="Arial"/>
        </w:rPr>
        <w:t xml:space="preserve"> </w:t>
      </w:r>
      <w:r w:rsidRPr="005D2900">
        <w:rPr>
          <w:rFonts w:ascii="Arial" w:eastAsia="Times New Roman" w:hAnsi="Arial" w:cs="Arial"/>
        </w:rPr>
        <w:t>Biophilia: the human bond with other species, Cambridge: Harvard University Press, 176pp.</w:t>
      </w:r>
    </w:p>
    <w:p w:rsid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2.</w:t>
      </w:r>
      <w:r w:rsidRPr="005D2900">
        <w:rPr>
          <w:rFonts w:ascii="Arial" w:eastAsia="Times New Roman" w:hAnsi="Arial" w:cs="Arial"/>
          <w:b/>
          <w:bCs/>
        </w:rPr>
        <w:tab/>
        <w:t>Indicate how, by whom, how frequently, and for what purpose the information is to be used.</w:t>
      </w:r>
      <w:r w:rsidR="00BD2F55">
        <w:rPr>
          <w:rFonts w:ascii="Arial" w:eastAsia="Times New Roman" w:hAnsi="Arial" w:cs="Arial"/>
          <w:b/>
          <w:bCs/>
        </w:rPr>
        <w:t xml:space="preserve"> </w:t>
      </w:r>
      <w:r w:rsidRPr="005D2900">
        <w:rPr>
          <w:rFonts w:ascii="Arial" w:eastAsia="Times New Roman" w:hAnsi="Arial" w:cs="Arial"/>
          <w:b/>
          <w:bCs/>
        </w:rPr>
        <w:t>If the information collected will be disseminated to the public or used to support information that will be disseminated to the public, explain how the collection complies with all applicable Information Quality Guidelines.</w:t>
      </w:r>
      <w:r w:rsidR="00BD2F55">
        <w:rPr>
          <w:rFonts w:ascii="Arial" w:eastAsia="Times New Roman" w:hAnsi="Arial" w:cs="Arial"/>
          <w:b/>
          <w:bCs/>
        </w:rPr>
        <w:t xml:space="preserve"> </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rPr>
      </w:pPr>
    </w:p>
    <w:p w:rsidR="00776F8C" w:rsidRDefault="00776F8C" w:rsidP="005D2900">
      <w:pPr>
        <w:spacing w:after="0" w:line="240" w:lineRule="auto"/>
        <w:rPr>
          <w:rFonts w:ascii="Arial" w:eastAsia="Times New Roman" w:hAnsi="Arial" w:cs="Arial"/>
        </w:rPr>
      </w:pPr>
      <w:r>
        <w:rPr>
          <w:rFonts w:ascii="Arial" w:eastAsia="Times New Roman" w:hAnsi="Arial" w:cs="Arial"/>
        </w:rPr>
        <w:lastRenderedPageBreak/>
        <w:t>We will conduct a</w:t>
      </w:r>
      <w:r w:rsidR="00771485">
        <w:rPr>
          <w:rFonts w:ascii="Arial" w:eastAsia="Times New Roman" w:hAnsi="Arial" w:cs="Arial"/>
        </w:rPr>
        <w:t xml:space="preserve"> one-time</w:t>
      </w:r>
      <w:r>
        <w:rPr>
          <w:rFonts w:ascii="Arial" w:eastAsia="Times New Roman" w:hAnsi="Arial" w:cs="Arial"/>
        </w:rPr>
        <w:t xml:space="preserve"> online survey </w:t>
      </w:r>
      <w:r w:rsidRPr="00776F8C">
        <w:rPr>
          <w:rFonts w:ascii="Arial" w:eastAsia="Times New Roman" w:hAnsi="Arial" w:cs="Arial"/>
        </w:rPr>
        <w:t>of 8,950 total indiv</w:t>
      </w:r>
      <w:r>
        <w:rPr>
          <w:rFonts w:ascii="Arial" w:eastAsia="Times New Roman" w:hAnsi="Arial" w:cs="Arial"/>
        </w:rPr>
        <w:t>iduals, consisting of three seg</w:t>
      </w:r>
      <w:r w:rsidRPr="00776F8C">
        <w:rPr>
          <w:rFonts w:ascii="Arial" w:eastAsia="Times New Roman" w:hAnsi="Arial" w:cs="Arial"/>
        </w:rPr>
        <w:t>ments</w:t>
      </w:r>
      <w:r w:rsidRPr="00776F8C" w:rsidDel="00E371AF">
        <w:rPr>
          <w:rFonts w:ascii="Arial" w:eastAsia="Times New Roman" w:hAnsi="Arial" w:cs="Arial"/>
        </w:rPr>
        <w:t xml:space="preserve">: </w:t>
      </w:r>
      <w:r w:rsidRPr="00776F8C">
        <w:rPr>
          <w:rFonts w:ascii="Arial" w:eastAsia="Times New Roman" w:hAnsi="Arial" w:cs="Arial"/>
        </w:rPr>
        <w:t xml:space="preserve">(1) a </w:t>
      </w:r>
      <w:r w:rsidR="009C1ED8">
        <w:rPr>
          <w:rFonts w:ascii="Arial" w:eastAsia="Times New Roman" w:hAnsi="Arial" w:cs="Arial"/>
        </w:rPr>
        <w:t>nationwide</w:t>
      </w:r>
      <w:r w:rsidRPr="00776F8C">
        <w:rPr>
          <w:rFonts w:ascii="Arial" w:eastAsia="Times New Roman" w:hAnsi="Arial" w:cs="Arial"/>
        </w:rPr>
        <w:t xml:space="preserve"> survey of English- and Spanish-speaking Americans, including oversamples of African Americans, Asian Americans, and Hispanics; (2) a representative </w:t>
      </w:r>
      <w:r w:rsidR="004D11DA">
        <w:rPr>
          <w:rFonts w:ascii="Arial" w:eastAsia="Times New Roman" w:hAnsi="Arial" w:cs="Arial"/>
        </w:rPr>
        <w:t>S</w:t>
      </w:r>
      <w:r w:rsidRPr="00776F8C">
        <w:rPr>
          <w:rFonts w:ascii="Arial" w:eastAsia="Times New Roman" w:hAnsi="Arial" w:cs="Arial"/>
        </w:rPr>
        <w:t xml:space="preserve">tate-level survey of Florida; </w:t>
      </w:r>
      <w:r w:rsidRPr="00776F8C" w:rsidDel="00E371AF">
        <w:rPr>
          <w:rFonts w:ascii="Arial" w:eastAsia="Times New Roman" w:hAnsi="Arial" w:cs="Arial"/>
        </w:rPr>
        <w:t xml:space="preserve">and </w:t>
      </w:r>
      <w:r w:rsidR="004D11DA">
        <w:rPr>
          <w:rFonts w:ascii="Arial" w:eastAsia="Times New Roman" w:hAnsi="Arial" w:cs="Arial"/>
        </w:rPr>
        <w:t>(3) a representative S</w:t>
      </w:r>
      <w:r w:rsidRPr="00776F8C">
        <w:rPr>
          <w:rFonts w:ascii="Arial" w:eastAsia="Times New Roman" w:hAnsi="Arial" w:cs="Arial"/>
        </w:rPr>
        <w:t>tate-level survey of Texas.</w:t>
      </w:r>
    </w:p>
    <w:p w:rsidR="00776F8C" w:rsidRDefault="00776F8C" w:rsidP="005D2900">
      <w:pPr>
        <w:spacing w:after="0" w:line="240" w:lineRule="auto"/>
        <w:rPr>
          <w:rFonts w:ascii="Arial" w:eastAsia="Times New Roman" w:hAnsi="Arial" w:cs="Arial"/>
        </w:rPr>
      </w:pPr>
    </w:p>
    <w:p w:rsidR="005D2900" w:rsidRPr="005D2900" w:rsidRDefault="00BE6FBB" w:rsidP="005D2900">
      <w:pPr>
        <w:spacing w:after="0" w:line="240" w:lineRule="auto"/>
        <w:rPr>
          <w:rFonts w:ascii="Arial" w:eastAsia="Times New Roman" w:hAnsi="Arial" w:cs="Arial"/>
        </w:rPr>
      </w:pPr>
      <w:r>
        <w:rPr>
          <w:rFonts w:ascii="Arial" w:eastAsia="Times New Roman" w:hAnsi="Arial" w:cs="Arial"/>
        </w:rPr>
        <w:t>Fundamentally, the information collected will be used to better understand and connect Americans and nature. Information will be collected one time, analyzed, and then disseminated in multiple ways. For the USFWS, the</w:t>
      </w:r>
      <w:r w:rsidRPr="005D2900">
        <w:rPr>
          <w:rFonts w:ascii="Arial" w:eastAsia="Times New Roman" w:hAnsi="Arial" w:cs="Arial"/>
        </w:rPr>
        <w:t xml:space="preserve"> </w:t>
      </w:r>
      <w:r w:rsidR="005D2900" w:rsidRPr="005D2900">
        <w:rPr>
          <w:rFonts w:ascii="Arial" w:eastAsia="Times New Roman" w:hAnsi="Arial" w:cs="Arial"/>
        </w:rPr>
        <w:t xml:space="preserve">research team will produce </w:t>
      </w:r>
      <w:r w:rsidR="00EA6912">
        <w:rPr>
          <w:rFonts w:ascii="Arial" w:eastAsia="Times New Roman" w:hAnsi="Arial" w:cs="Arial"/>
        </w:rPr>
        <w:t xml:space="preserve">datasets and </w:t>
      </w:r>
      <w:r w:rsidR="005D2900" w:rsidRPr="005D2900">
        <w:rPr>
          <w:rFonts w:ascii="Arial" w:eastAsia="Times New Roman" w:hAnsi="Arial" w:cs="Arial"/>
        </w:rPr>
        <w:t xml:space="preserve">a final written report </w:t>
      </w:r>
      <w:r w:rsidR="00EA6912">
        <w:rPr>
          <w:rFonts w:ascii="Arial" w:eastAsia="Times New Roman" w:hAnsi="Arial" w:cs="Arial"/>
        </w:rPr>
        <w:t>on the national-level survey</w:t>
      </w:r>
      <w:r w:rsidR="005D2900" w:rsidRPr="005D2900">
        <w:rPr>
          <w:rFonts w:ascii="Arial" w:eastAsia="Times New Roman" w:hAnsi="Arial" w:cs="Arial"/>
        </w:rPr>
        <w:t>.</w:t>
      </w:r>
      <w:r w:rsidR="00BD2F55">
        <w:rPr>
          <w:rFonts w:ascii="Arial" w:eastAsia="Times New Roman" w:hAnsi="Arial" w:cs="Arial"/>
        </w:rPr>
        <w:t xml:space="preserve"> </w:t>
      </w:r>
      <w:r>
        <w:rPr>
          <w:rFonts w:ascii="Arial" w:eastAsia="Times New Roman" w:hAnsi="Arial" w:cs="Arial"/>
        </w:rPr>
        <w:t>We anticipate the i</w:t>
      </w:r>
      <w:r w:rsidR="005D2900" w:rsidRPr="005D2900">
        <w:rPr>
          <w:rFonts w:ascii="Arial" w:eastAsia="Times New Roman" w:hAnsi="Arial" w:cs="Arial"/>
        </w:rPr>
        <w:t>nformation obtained will give USFWS extraordinary insight to the U.S. citizenry’s near-term and evolving sentiments toward nature and the role of nature in our nation’s quality of life and health.</w:t>
      </w:r>
      <w:r w:rsidR="00BD2F55">
        <w:rPr>
          <w:rFonts w:ascii="Arial" w:eastAsia="Times New Roman" w:hAnsi="Arial" w:cs="Arial"/>
        </w:rPr>
        <w:t xml:space="preserve"> </w:t>
      </w:r>
      <w:r w:rsidR="005D2900" w:rsidRPr="005D2900">
        <w:rPr>
          <w:rFonts w:ascii="Arial" w:eastAsia="Times New Roman" w:hAnsi="Arial" w:cs="Arial"/>
        </w:rPr>
        <w:t xml:space="preserve">Moreover, USFWS will gain critical understanding of </w:t>
      </w:r>
      <w:r>
        <w:rPr>
          <w:rFonts w:ascii="Arial" w:eastAsia="Times New Roman" w:hAnsi="Arial" w:cs="Arial"/>
        </w:rPr>
        <w:t xml:space="preserve">the perceptions of the outdoors among a wide array of the public, including </w:t>
      </w:r>
      <w:r w:rsidR="005D2900" w:rsidRPr="005D2900">
        <w:rPr>
          <w:rFonts w:ascii="Arial" w:eastAsia="Times New Roman" w:hAnsi="Arial" w:cs="Arial"/>
        </w:rPr>
        <w:t>wildlife observers, anglers, and hunters.</w:t>
      </w:r>
      <w:r w:rsidR="00BD2F55">
        <w:rPr>
          <w:rFonts w:ascii="Arial" w:eastAsia="Times New Roman" w:hAnsi="Arial" w:cs="Arial"/>
        </w:rPr>
        <w:t xml:space="preserve"> </w:t>
      </w:r>
      <w:r w:rsidR="005D2900" w:rsidRPr="005D2900">
        <w:rPr>
          <w:rFonts w:ascii="Arial" w:eastAsia="Times New Roman" w:hAnsi="Arial" w:cs="Arial"/>
        </w:rPr>
        <w:t>As USFWS deems appropriate, supplemental reports and peer-reviewed papers will be prepared for dissemination to attentive publics such as private and non-governmental organizations and to the public at large.</w:t>
      </w:r>
      <w:r w:rsidR="00BD2F55">
        <w:rPr>
          <w:rFonts w:ascii="Arial" w:eastAsia="Times New Roman" w:hAnsi="Arial" w:cs="Arial"/>
        </w:rPr>
        <w:t xml:space="preserve"> </w:t>
      </w:r>
      <w:r w:rsidR="00020EEB">
        <w:rPr>
          <w:rFonts w:ascii="Arial" w:eastAsia="Times New Roman" w:hAnsi="Arial" w:cs="Arial"/>
        </w:rPr>
        <w:t xml:space="preserve">We will also produce final reports </w:t>
      </w:r>
      <w:r w:rsidR="001D6CC8">
        <w:rPr>
          <w:rFonts w:ascii="Arial" w:eastAsia="Times New Roman" w:hAnsi="Arial" w:cs="Arial"/>
        </w:rPr>
        <w:t xml:space="preserve">of our state-level surveys of Texas and Florida </w:t>
      </w:r>
      <w:r w:rsidR="00020EEB">
        <w:rPr>
          <w:rFonts w:ascii="Arial" w:eastAsia="Times New Roman" w:hAnsi="Arial" w:cs="Arial"/>
        </w:rPr>
        <w:t xml:space="preserve">for </w:t>
      </w:r>
      <w:r w:rsidR="001D6CC8" w:rsidRPr="001D6CC8">
        <w:rPr>
          <w:rFonts w:ascii="Arial" w:eastAsia="Times New Roman" w:hAnsi="Arial" w:cs="Arial"/>
        </w:rPr>
        <w:t>the Texas Parks and Wildlife Department and the Florida Fish and Wildlife Conservation Commission</w:t>
      </w:r>
      <w:r w:rsidR="001D6CC8">
        <w:rPr>
          <w:rFonts w:ascii="Arial" w:eastAsia="Times New Roman" w:hAnsi="Arial" w:cs="Arial"/>
        </w:rPr>
        <w:t>, respectively.</w:t>
      </w:r>
    </w:p>
    <w:p w:rsidR="005D2900" w:rsidRPr="005D2900" w:rsidRDefault="005D2900" w:rsidP="005D2900">
      <w:pPr>
        <w:spacing w:after="0" w:line="240" w:lineRule="auto"/>
        <w:rPr>
          <w:rFonts w:ascii="Arial" w:eastAsia="Times New Roman" w:hAnsi="Arial" w:cs="Arial"/>
        </w:rPr>
      </w:pPr>
    </w:p>
    <w:p w:rsidR="005D2900" w:rsidRPr="005D2900" w:rsidRDefault="005D2900" w:rsidP="005D2900">
      <w:pPr>
        <w:spacing w:after="0" w:line="240" w:lineRule="auto"/>
        <w:rPr>
          <w:rFonts w:ascii="Arial" w:eastAsia="Times New Roman" w:hAnsi="Arial" w:cs="Arial"/>
        </w:rPr>
      </w:pPr>
      <w:r w:rsidRPr="005D2900">
        <w:rPr>
          <w:rFonts w:ascii="Arial" w:eastAsia="Times New Roman" w:hAnsi="Arial" w:cs="Arial"/>
        </w:rPr>
        <w:t>At key points during the data analysis process, the research team will be expected to seek the counsel of, and make progress reports to, USFWS.</w:t>
      </w:r>
      <w:r w:rsidR="00BD2F55">
        <w:rPr>
          <w:rFonts w:ascii="Arial" w:eastAsia="Times New Roman" w:hAnsi="Arial" w:cs="Arial"/>
        </w:rPr>
        <w:t xml:space="preserve"> </w:t>
      </w:r>
      <w:r w:rsidRPr="005D2900">
        <w:rPr>
          <w:rFonts w:ascii="Arial" w:eastAsia="Times New Roman" w:hAnsi="Arial" w:cs="Arial"/>
        </w:rPr>
        <w:t xml:space="preserve">The research team has reviewed Information Quality Guidelines for Department of the Interior and USFWS, and understands that any technical assessments must adhere to these guidelines. The research team’s publication record for books and peer-reviewed articles evidences its understanding of the importance of quality and credibility of scientific information deemed influential. The research team developed and relied on a </w:t>
      </w:r>
      <w:bookmarkStart w:id="0" w:name="_GoBack"/>
      <w:r w:rsidRPr="005D2900">
        <w:rPr>
          <w:rFonts w:ascii="Arial" w:eastAsia="Times New Roman" w:hAnsi="Arial" w:cs="Arial"/>
        </w:rPr>
        <w:t>bio</w:t>
      </w:r>
      <w:bookmarkEnd w:id="0"/>
      <w:r w:rsidRPr="005D2900">
        <w:rPr>
          <w:rFonts w:ascii="Arial" w:eastAsia="Times New Roman" w:hAnsi="Arial" w:cs="Arial"/>
        </w:rPr>
        <w:t>-cultural model of values toward nature (biophilia) that included variable lists (Figure 1).</w:t>
      </w:r>
      <w:r w:rsidR="00BD2F55">
        <w:rPr>
          <w:rFonts w:ascii="Arial" w:eastAsia="Times New Roman" w:hAnsi="Arial" w:cs="Arial"/>
        </w:rPr>
        <w:t xml:space="preserve"> </w:t>
      </w:r>
      <w:r w:rsidRPr="005D2900">
        <w:rPr>
          <w:rFonts w:ascii="Arial" w:eastAsia="Times New Roman" w:hAnsi="Arial" w:cs="Arial"/>
        </w:rPr>
        <w:t>The team, in consultation with other survey experts, developed and tested the survey based on the model.</w:t>
      </w:r>
      <w:r w:rsidR="00BD2F55">
        <w:rPr>
          <w:rFonts w:ascii="Arial" w:eastAsia="Times New Roman" w:hAnsi="Arial" w:cs="Arial"/>
        </w:rPr>
        <w:t xml:space="preserve"> </w:t>
      </w:r>
      <w:r w:rsidRPr="005D2900">
        <w:rPr>
          <w:rFonts w:ascii="Arial" w:eastAsia="Times New Roman" w:hAnsi="Arial" w:cs="Arial"/>
        </w:rPr>
        <w:t>Every question in the survey relates back to specific variables in the model and over the course of survey development, every item or question deemed extraneous was eliminated.</w:t>
      </w:r>
    </w:p>
    <w:p w:rsidR="005D2900" w:rsidRPr="005D2900" w:rsidRDefault="005D2900" w:rsidP="005D2900">
      <w:pPr>
        <w:spacing w:after="0" w:line="240" w:lineRule="auto"/>
        <w:rPr>
          <w:rFonts w:ascii="Arial" w:eastAsia="Times New Roman" w:hAnsi="Arial" w:cs="Arial"/>
        </w:rPr>
      </w:pPr>
    </w:p>
    <w:p w:rsidR="005D2900" w:rsidRPr="005D2900" w:rsidRDefault="005D2900" w:rsidP="005D2900">
      <w:pPr>
        <w:spacing w:after="0" w:line="240" w:lineRule="auto"/>
        <w:rPr>
          <w:rFonts w:ascii="Arial" w:eastAsia="Times New Roman" w:hAnsi="Arial" w:cs="Arial"/>
        </w:rPr>
      </w:pPr>
      <w:r w:rsidRPr="005D2900">
        <w:rPr>
          <w:rFonts w:ascii="Arial" w:eastAsia="Times New Roman" w:hAnsi="Arial" w:cs="Arial"/>
        </w:rPr>
        <w:t>To ensure strong evidence for the bio-cultural model of biophilia—and to help ensure clarity of question presentation—several quality-assurances were undertaken:</w:t>
      </w:r>
    </w:p>
    <w:p w:rsidR="005D2900" w:rsidRPr="005D2900" w:rsidRDefault="005D2900" w:rsidP="005D2900">
      <w:pPr>
        <w:spacing w:after="0" w:line="240" w:lineRule="auto"/>
        <w:rPr>
          <w:rFonts w:ascii="Arial" w:eastAsia="Times New Roman" w:hAnsi="Arial" w:cs="Arial"/>
        </w:rPr>
      </w:pPr>
    </w:p>
    <w:p w:rsidR="005D2900" w:rsidRPr="005D2900" w:rsidRDefault="005D2900" w:rsidP="005D2900">
      <w:pPr>
        <w:numPr>
          <w:ilvl w:val="0"/>
          <w:numId w:val="1"/>
        </w:numPr>
        <w:spacing w:after="0" w:line="240" w:lineRule="auto"/>
        <w:contextualSpacing/>
        <w:rPr>
          <w:rFonts w:ascii="Arial" w:eastAsia="Times New Roman" w:hAnsi="Arial" w:cs="Arial"/>
        </w:rPr>
      </w:pPr>
      <w:r w:rsidRPr="005D2900">
        <w:rPr>
          <w:rFonts w:ascii="Arial" w:eastAsia="Times New Roman" w:hAnsi="Arial" w:cs="Arial"/>
        </w:rPr>
        <w:t>In August, 2011, Dr. Kellert and David J. Case, President, DJ Case &amp; Associates, fielded (</w:t>
      </w:r>
      <w:r w:rsidRPr="005D2900">
        <w:rPr>
          <w:rFonts w:ascii="Arial" w:eastAsia="Times New Roman" w:hAnsi="Arial" w:cs="Arial"/>
          <w:i/>
        </w:rPr>
        <w:t>at private expense</w:t>
      </w:r>
      <w:r w:rsidRPr="005D2900">
        <w:rPr>
          <w:rFonts w:ascii="Arial" w:eastAsia="Times New Roman" w:hAnsi="Arial" w:cs="Arial"/>
        </w:rPr>
        <w:t>) two carefully worded questions (that is, two items deemed likely candidates for dependent variables in the proposed survey) in Opinion Research Corporation’s CARAVAN telephone survey; a nationally-projectable study among a sample of 1,000 adults 18 years of age and older (1/2 male and 1/2 female) living in private households in the continental United States.</w:t>
      </w:r>
      <w:r w:rsidR="00BD2F55">
        <w:rPr>
          <w:rFonts w:ascii="Arial" w:eastAsia="Times New Roman" w:hAnsi="Arial" w:cs="Arial"/>
        </w:rPr>
        <w:t xml:space="preserve"> </w:t>
      </w:r>
      <w:r w:rsidRPr="005D2900">
        <w:rPr>
          <w:rFonts w:ascii="Arial" w:eastAsia="Times New Roman" w:hAnsi="Arial" w:cs="Arial"/>
        </w:rPr>
        <w:t>Responses to these two variables were cross-tabulated by 10 socioeconomic variables measured in the same survey.</w:t>
      </w:r>
      <w:r w:rsidR="00BD2F55">
        <w:rPr>
          <w:rFonts w:ascii="Arial" w:eastAsia="Times New Roman" w:hAnsi="Arial" w:cs="Arial"/>
        </w:rPr>
        <w:t xml:space="preserve"> </w:t>
      </w:r>
      <w:r w:rsidRPr="005D2900">
        <w:rPr>
          <w:rFonts w:ascii="Arial" w:eastAsia="Times New Roman" w:hAnsi="Arial" w:cs="Arial"/>
        </w:rPr>
        <w:t>Findings offered proof of concept for biophilia, as well as affirmation of question wording for key dependent variables, and the importance of measuring selected independent or explanatory socioeconomic variables in the proposed survey.</w:t>
      </w:r>
    </w:p>
    <w:p w:rsidR="005D2900" w:rsidRPr="005D2900" w:rsidRDefault="005D2900" w:rsidP="005D2900">
      <w:pPr>
        <w:spacing w:after="0" w:line="240" w:lineRule="auto"/>
        <w:ind w:left="720"/>
        <w:contextualSpacing/>
        <w:rPr>
          <w:rFonts w:ascii="Arial" w:eastAsia="Times New Roman" w:hAnsi="Arial" w:cs="Arial"/>
        </w:rPr>
      </w:pPr>
    </w:p>
    <w:p w:rsidR="00EB4C2C" w:rsidRDefault="00EB4C2C">
      <w:pPr>
        <w:rPr>
          <w:rFonts w:ascii="Arial" w:eastAsia="Times New Roman" w:hAnsi="Arial" w:cs="Arial"/>
          <w:sz w:val="20"/>
        </w:rPr>
      </w:pPr>
      <w:r>
        <w:rPr>
          <w:rFonts w:ascii="Arial" w:eastAsia="Times New Roman" w:hAnsi="Arial" w:cs="Arial"/>
          <w:sz w:val="20"/>
        </w:rPr>
        <w:br w:type="page"/>
      </w:r>
    </w:p>
    <w:p w:rsidR="005D2900" w:rsidRDefault="005D2900" w:rsidP="005D2900">
      <w:pPr>
        <w:spacing w:after="0" w:line="240" w:lineRule="auto"/>
        <w:rPr>
          <w:rFonts w:ascii="Arial" w:eastAsia="Times New Roman" w:hAnsi="Arial" w:cs="Arial"/>
          <w:sz w:val="20"/>
        </w:rPr>
      </w:pPr>
      <w:r w:rsidRPr="005D2900">
        <w:rPr>
          <w:rFonts w:ascii="Arial" w:eastAsia="Times New Roman" w:hAnsi="Arial" w:cs="Arial"/>
          <w:sz w:val="20"/>
        </w:rPr>
        <w:lastRenderedPageBreak/>
        <w:t>Figure 1.</w:t>
      </w:r>
      <w:r w:rsidR="00BD2F55">
        <w:rPr>
          <w:rFonts w:ascii="Arial" w:eastAsia="Times New Roman" w:hAnsi="Arial" w:cs="Arial"/>
          <w:sz w:val="20"/>
        </w:rPr>
        <w:t xml:space="preserve"> </w:t>
      </w:r>
      <w:r w:rsidRPr="005D2900">
        <w:rPr>
          <w:rFonts w:ascii="Arial" w:eastAsia="Times New Roman" w:hAnsi="Arial" w:cs="Arial"/>
          <w:sz w:val="20"/>
        </w:rPr>
        <w:t>Biophilia: A bio-cultural framework</w:t>
      </w:r>
      <w:r w:rsidRPr="005D2900">
        <w:rPr>
          <w:rFonts w:ascii="Arial" w:eastAsia="Times New Roman" w:hAnsi="Arial" w:cs="Arial"/>
          <w:sz w:val="20"/>
          <w:vertAlign w:val="superscript"/>
        </w:rPr>
        <w:footnoteReference w:id="1"/>
      </w:r>
    </w:p>
    <w:p w:rsidR="005D2900" w:rsidRPr="005D2900" w:rsidRDefault="005D2900" w:rsidP="005D2900">
      <w:pPr>
        <w:spacing w:after="0" w:line="240" w:lineRule="auto"/>
        <w:rPr>
          <w:rFonts w:ascii="Arial" w:eastAsia="Times New Roman" w:hAnsi="Arial" w:cs="Arial"/>
        </w:rPr>
      </w:pPr>
      <w:r w:rsidRPr="005D2900">
        <w:rPr>
          <w:rFonts w:ascii="Arial" w:eastAsia="Times New Roman" w:hAnsi="Arial" w:cs="Arial"/>
          <w:noProof/>
          <w:sz w:val="24"/>
          <w:szCs w:val="24"/>
        </w:rPr>
        <w:drawing>
          <wp:inline distT="0" distB="0" distL="0" distR="0">
            <wp:extent cx="7459596" cy="5695928"/>
            <wp:effectExtent l="5715"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7467484" cy="5701951"/>
                    </a:xfrm>
                    <a:prstGeom prst="rect">
                      <a:avLst/>
                    </a:prstGeom>
                    <a:noFill/>
                    <a:ln>
                      <a:noFill/>
                    </a:ln>
                  </pic:spPr>
                </pic:pic>
              </a:graphicData>
            </a:graphic>
          </wp:inline>
        </w:drawing>
      </w:r>
    </w:p>
    <w:p w:rsidR="00EB4C2C" w:rsidRPr="005D2900" w:rsidRDefault="00EB4C2C" w:rsidP="00EB4C2C">
      <w:pPr>
        <w:numPr>
          <w:ilvl w:val="0"/>
          <w:numId w:val="1"/>
        </w:numPr>
        <w:spacing w:after="0" w:line="240" w:lineRule="auto"/>
        <w:contextualSpacing/>
        <w:rPr>
          <w:rFonts w:ascii="Arial" w:eastAsia="Times New Roman" w:hAnsi="Arial" w:cs="Arial"/>
        </w:rPr>
      </w:pPr>
      <w:r w:rsidRPr="005D2900">
        <w:rPr>
          <w:rFonts w:ascii="Arial" w:eastAsia="Times New Roman" w:hAnsi="Arial" w:cs="Arial"/>
        </w:rPr>
        <w:t>In June and early July, 2015, 15 focus groups were conducted (</w:t>
      </w:r>
      <w:r w:rsidRPr="005D2900">
        <w:rPr>
          <w:rFonts w:ascii="Arial" w:eastAsia="Times New Roman" w:hAnsi="Arial" w:cs="Arial"/>
          <w:u w:val="single"/>
        </w:rPr>
        <w:t>OMB Control No, 1090-0011</w:t>
      </w:r>
      <w:r w:rsidRPr="005D2900">
        <w:rPr>
          <w:rFonts w:ascii="Arial" w:eastAsia="Times New Roman" w:hAnsi="Arial" w:cs="Arial"/>
        </w:rPr>
        <w:t>, expired July 31, 2015) to examine public sentiments toward nature, and in so doing, examine proof of concept for eight biophilic values and allied variables, such as outdoor interests, activities, and knowledge.</w:t>
      </w:r>
      <w:r w:rsidR="00BD2F55">
        <w:rPr>
          <w:rFonts w:ascii="Arial" w:eastAsia="Times New Roman" w:hAnsi="Arial" w:cs="Arial"/>
        </w:rPr>
        <w:t xml:space="preserve"> </w:t>
      </w:r>
      <w:r w:rsidRPr="005D2900">
        <w:rPr>
          <w:rFonts w:ascii="Arial" w:eastAsia="Times New Roman" w:hAnsi="Arial" w:cs="Arial"/>
        </w:rPr>
        <w:t>These focus groups were conducted in</w:t>
      </w:r>
      <w:r w:rsidR="00691C65">
        <w:rPr>
          <w:rFonts w:ascii="Arial" w:eastAsia="Times New Roman" w:hAnsi="Arial" w:cs="Arial"/>
        </w:rPr>
        <w:t xml:space="preserve"> the following cities with a focus on assuring representation of different racial/ethnic groupings (note: “general public” simply denotes that respondents were asked to participate regardless of racial/ethnic identification)</w:t>
      </w:r>
      <w:r w:rsidRPr="005D2900">
        <w:rPr>
          <w:rFonts w:ascii="Arial" w:eastAsia="Times New Roman" w:hAnsi="Arial" w:cs="Arial"/>
        </w:rPr>
        <w:t>:</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Chicago IL (“general public”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Dallas TX 1 (Hispanic-Latino/a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Dallas TX 2 (Hispanic-Latino/a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Houston TX 1 (“general public”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lastRenderedPageBreak/>
        <w:t>Houston TX 2 (African-American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Jacksonville FL 1 (“general public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Jacksonville FL 2 (African-American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Los Angeles CA (Asian-American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Miami FL 1 (Hispanic-Latino/a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Miami FL 2 (Hispanic-Latino/a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New York City NY (“general public”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San Antonio TX 1 (“general public”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San Antonio TX 2 (Hispanic-Latino/a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Tampa FL 1 (Asian-American participants)</w:t>
      </w:r>
    </w:p>
    <w:p w:rsidR="00EB4C2C" w:rsidRPr="005D2900" w:rsidRDefault="00EB4C2C" w:rsidP="00EB4C2C">
      <w:pPr>
        <w:numPr>
          <w:ilvl w:val="1"/>
          <w:numId w:val="2"/>
        </w:numPr>
        <w:spacing w:after="0" w:line="240" w:lineRule="auto"/>
        <w:contextualSpacing/>
        <w:rPr>
          <w:rFonts w:ascii="Arial" w:eastAsia="Times New Roman" w:hAnsi="Arial" w:cs="Arial"/>
        </w:rPr>
      </w:pPr>
      <w:r w:rsidRPr="005D2900">
        <w:rPr>
          <w:rFonts w:ascii="Arial" w:eastAsia="Times New Roman" w:hAnsi="Arial" w:cs="Arial"/>
        </w:rPr>
        <w:t>Tampa FL 2 (Hispanic-Latino/a participants)</w:t>
      </w:r>
    </w:p>
    <w:p w:rsidR="00EB4C2C" w:rsidRPr="005D2900" w:rsidRDefault="00EB4C2C" w:rsidP="00EB4C2C">
      <w:pPr>
        <w:spacing w:after="0" w:line="240" w:lineRule="auto"/>
        <w:ind w:left="1440"/>
        <w:contextualSpacing/>
        <w:rPr>
          <w:rFonts w:ascii="Arial" w:eastAsia="Times New Roman" w:hAnsi="Arial" w:cs="Arial"/>
        </w:rPr>
      </w:pPr>
    </w:p>
    <w:p w:rsidR="00EB4C2C" w:rsidRPr="005D2900" w:rsidRDefault="00EB4C2C" w:rsidP="00EB4C2C">
      <w:pPr>
        <w:numPr>
          <w:ilvl w:val="0"/>
          <w:numId w:val="1"/>
        </w:numPr>
        <w:spacing w:after="0" w:line="240" w:lineRule="auto"/>
        <w:contextualSpacing/>
        <w:rPr>
          <w:rFonts w:ascii="Arial" w:eastAsia="Times New Roman" w:hAnsi="Arial" w:cs="Arial"/>
        </w:rPr>
      </w:pPr>
      <w:r w:rsidRPr="005D2900">
        <w:rPr>
          <w:rFonts w:ascii="Arial" w:eastAsia="Times New Roman" w:hAnsi="Arial" w:cs="Arial"/>
        </w:rPr>
        <w:t>As a check for respondent understanding of survey questions, and as confirmation of time needed for survey completion (estimated at ~20 minutes), a pilot test of the final-draft survey was conducted with five content experts unfamiliar with the study and four members of the general public (</w:t>
      </w:r>
      <w:r w:rsidRPr="007B3603">
        <w:rPr>
          <w:rFonts w:ascii="Arial" w:eastAsia="Times New Roman" w:hAnsi="Arial" w:cs="Arial"/>
          <w:i/>
        </w:rPr>
        <w:t>N</w:t>
      </w:r>
      <w:r w:rsidR="007B3603">
        <w:rPr>
          <w:rFonts w:ascii="Arial" w:eastAsia="Times New Roman" w:hAnsi="Arial" w:cs="Arial"/>
        </w:rPr>
        <w:t xml:space="preserve"> </w:t>
      </w:r>
      <w:r w:rsidRPr="005D2900">
        <w:rPr>
          <w:rFonts w:ascii="Arial" w:eastAsia="Times New Roman" w:hAnsi="Arial" w:cs="Arial"/>
        </w:rPr>
        <w:t>=</w:t>
      </w:r>
      <w:r w:rsidR="007B3603">
        <w:rPr>
          <w:rFonts w:ascii="Arial" w:eastAsia="Times New Roman" w:hAnsi="Arial" w:cs="Arial"/>
        </w:rPr>
        <w:t xml:space="preserve"> </w:t>
      </w:r>
      <w:r w:rsidRPr="005D2900">
        <w:rPr>
          <w:rFonts w:ascii="Arial" w:eastAsia="Times New Roman" w:hAnsi="Arial" w:cs="Arial"/>
        </w:rPr>
        <w:t>9); respondent experiences with the pilot test were solicited.</w:t>
      </w:r>
      <w:r w:rsidR="00BD2F55">
        <w:rPr>
          <w:rFonts w:ascii="Arial" w:eastAsia="Times New Roman" w:hAnsi="Arial" w:cs="Arial"/>
        </w:rPr>
        <w:t xml:space="preserve"> </w:t>
      </w:r>
      <w:r w:rsidRPr="005D2900">
        <w:rPr>
          <w:rFonts w:ascii="Arial" w:eastAsia="Times New Roman" w:hAnsi="Arial" w:cs="Arial"/>
        </w:rPr>
        <w:t>The content experts indicated that the survey items were conceptually solid and clear.</w:t>
      </w:r>
      <w:r w:rsidR="00BD2F55">
        <w:rPr>
          <w:rFonts w:ascii="Arial" w:eastAsia="Times New Roman" w:hAnsi="Arial" w:cs="Arial"/>
        </w:rPr>
        <w:t xml:space="preserve"> </w:t>
      </w:r>
      <w:r w:rsidRPr="005D2900">
        <w:rPr>
          <w:rFonts w:ascii="Arial" w:eastAsia="Times New Roman" w:hAnsi="Arial" w:cs="Arial"/>
        </w:rPr>
        <w:t>Members of the general public affirmed that they understood the survey, and indeed, found the survey items/questions interesting and thought-provoking.</w:t>
      </w:r>
    </w:p>
    <w:p w:rsidR="00EB4C2C" w:rsidRPr="005D2900" w:rsidRDefault="00EB4C2C" w:rsidP="00EB4C2C">
      <w:pPr>
        <w:spacing w:after="0" w:line="240" w:lineRule="auto"/>
        <w:rPr>
          <w:rFonts w:ascii="Arial" w:eastAsia="Times New Roman" w:hAnsi="Arial" w:cs="Arial"/>
          <w:sz w:val="20"/>
        </w:rPr>
      </w:pPr>
    </w:p>
    <w:p w:rsidR="005D2900" w:rsidRPr="005D2900" w:rsidRDefault="005D2900" w:rsidP="00EB4C2C">
      <w:pPr>
        <w:numPr>
          <w:ilvl w:val="0"/>
          <w:numId w:val="1"/>
        </w:numPr>
        <w:spacing w:after="0" w:line="240" w:lineRule="auto"/>
        <w:contextualSpacing/>
        <w:rPr>
          <w:rFonts w:ascii="Arial" w:eastAsia="Times New Roman" w:hAnsi="Arial" w:cs="Arial"/>
        </w:rPr>
      </w:pPr>
      <w:r w:rsidRPr="005D2900">
        <w:rPr>
          <w:rFonts w:ascii="Arial" w:eastAsia="Times New Roman" w:hAnsi="Arial" w:cs="Arial"/>
        </w:rPr>
        <w:t>The research team requested that online-programming staff from Toluna (online survey subcontractor) estimate time for completion of the online survey.</w:t>
      </w:r>
      <w:r w:rsidR="00BD2F55">
        <w:rPr>
          <w:rFonts w:ascii="Arial" w:eastAsia="Times New Roman" w:hAnsi="Arial" w:cs="Arial"/>
        </w:rPr>
        <w:t xml:space="preserve"> </w:t>
      </w:r>
      <w:r w:rsidRPr="005D2900">
        <w:rPr>
          <w:rFonts w:ascii="Arial" w:eastAsia="Times New Roman" w:hAnsi="Arial" w:cs="Arial"/>
        </w:rPr>
        <w:t>Toluna staff estimated survey completion at ~20 minutes; not an inconsequential confirmation by Toluna given that the firm’s pricing varies based on estimated time for completion.</w:t>
      </w:r>
    </w:p>
    <w:p w:rsidR="005D2900" w:rsidRPr="005D2900" w:rsidRDefault="005D2900" w:rsidP="005D2900">
      <w:pPr>
        <w:spacing w:after="0" w:line="240" w:lineRule="auto"/>
        <w:contextualSpacing/>
        <w:rPr>
          <w:rFonts w:ascii="Arial" w:eastAsia="Times New Roman" w:hAnsi="Arial" w:cs="Arial"/>
        </w:rPr>
      </w:pPr>
    </w:p>
    <w:p w:rsidR="005D2900" w:rsidRPr="005D2900" w:rsidRDefault="005D2900" w:rsidP="00EB4C2C">
      <w:pPr>
        <w:numPr>
          <w:ilvl w:val="0"/>
          <w:numId w:val="1"/>
        </w:numPr>
        <w:spacing w:after="0" w:line="240" w:lineRule="auto"/>
        <w:rPr>
          <w:rFonts w:ascii="Arial" w:eastAsia="Cambria" w:hAnsi="Arial" w:cs="Arial"/>
        </w:rPr>
      </w:pPr>
      <w:r w:rsidRPr="005D2900">
        <w:rPr>
          <w:rFonts w:ascii="Arial" w:eastAsia="Times New Roman" w:hAnsi="Arial" w:cs="Arial"/>
        </w:rPr>
        <w:t>The research team submitted the research design (including consent to participate and human subject protocols) to Heartland Institutional Review Board (IRB), which on May 26, 2015, approved and classified the survey as follows: “There is no more than minimal risk to the subjects.”</w:t>
      </w:r>
    </w:p>
    <w:p w:rsidR="005D2900" w:rsidRPr="005D2900" w:rsidRDefault="005D2900" w:rsidP="005D2900">
      <w:pPr>
        <w:spacing w:after="0" w:line="240" w:lineRule="auto"/>
        <w:rPr>
          <w:rFonts w:ascii="Arial" w:eastAsia="Cambria" w:hAnsi="Arial" w:cs="Arial"/>
        </w:rPr>
      </w:pPr>
    </w:p>
    <w:p w:rsidR="005D2900" w:rsidRPr="005D2900" w:rsidRDefault="005D2900" w:rsidP="00EB4C2C">
      <w:pPr>
        <w:numPr>
          <w:ilvl w:val="0"/>
          <w:numId w:val="1"/>
        </w:numPr>
        <w:spacing w:after="0" w:line="240" w:lineRule="auto"/>
        <w:rPr>
          <w:rFonts w:ascii="Arial" w:eastAsia="Cambria" w:hAnsi="Arial" w:cs="Arial"/>
        </w:rPr>
      </w:pPr>
      <w:r w:rsidRPr="005D2900">
        <w:rPr>
          <w:rFonts w:ascii="Arial" w:eastAsia="Cambria" w:hAnsi="Arial" w:cs="Arial"/>
        </w:rPr>
        <w:t>To ensure survey accessibility to all Hispanic-Latino/a subjects, a Spanish (Latin American Spanish) version of the survey was developed (Attachment B).</w:t>
      </w:r>
      <w:r w:rsidR="00BD2F55">
        <w:rPr>
          <w:rFonts w:ascii="Arial" w:eastAsia="Cambria" w:hAnsi="Arial" w:cs="Arial"/>
        </w:rPr>
        <w:t xml:space="preserve"> </w:t>
      </w:r>
      <w:r w:rsidRPr="005D2900">
        <w:rPr>
          <w:rFonts w:ascii="Arial" w:eastAsia="Cambria" w:hAnsi="Arial" w:cs="Arial"/>
        </w:rPr>
        <w:t>The survey was first translated from English to Spanish by a Spanish-as-first-language translator (fluent in English).</w:t>
      </w:r>
      <w:r w:rsidR="00BD2F55">
        <w:rPr>
          <w:rFonts w:ascii="Arial" w:eastAsia="Cambria" w:hAnsi="Arial" w:cs="Arial"/>
        </w:rPr>
        <w:t xml:space="preserve"> </w:t>
      </w:r>
      <w:r w:rsidRPr="005D2900">
        <w:rPr>
          <w:rFonts w:ascii="Arial" w:eastAsia="Cambria" w:hAnsi="Arial" w:cs="Arial"/>
        </w:rPr>
        <w:t>To check for accuracy in translation, this Spanish version was then back-translated to English by a Spanish-as-first-language translator (fluent in English).</w:t>
      </w:r>
    </w:p>
    <w:p w:rsidR="005D2900" w:rsidRPr="005D2900" w:rsidRDefault="005D2900" w:rsidP="005D2900">
      <w:pPr>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70" w:hanging="270"/>
        <w:rPr>
          <w:rFonts w:ascii="Arial" w:eastAsia="Times New Roman" w:hAnsi="Arial" w:cs="Arial"/>
          <w:b/>
          <w:bCs/>
        </w:rPr>
      </w:pPr>
      <w:r w:rsidRPr="005D2900">
        <w:rPr>
          <w:rFonts w:ascii="Arial" w:eastAsia="Times New Roman" w:hAnsi="Arial" w:cs="Arial"/>
          <w:b/>
        </w:rPr>
        <w:t xml:space="preserve">3. </w:t>
      </w:r>
      <w:r w:rsidRPr="005D2900">
        <w:rPr>
          <w:rFonts w:ascii="Arial" w:eastAsia="Times New Roman"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BD2F55">
        <w:rPr>
          <w:rFonts w:ascii="Arial" w:eastAsia="Times New Roman" w:hAnsi="Arial" w:cs="Arial"/>
          <w:b/>
          <w:bCs/>
        </w:rPr>
        <w:t xml:space="preserve"> </w:t>
      </w:r>
      <w:r w:rsidRPr="005D2900">
        <w:rPr>
          <w:rFonts w:ascii="Arial" w:eastAsia="Times New Roman" w:hAnsi="Arial" w:cs="Arial"/>
          <w:b/>
          <w:bCs/>
        </w:rPr>
        <w:t>Also describe any consideration of using information technology to reduce burden [and specifically how this collection meets GPEA requirements.].</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Cs/>
        </w:rPr>
      </w:pPr>
      <w:r w:rsidRPr="005D2900">
        <w:rPr>
          <w:rFonts w:ascii="Arial" w:eastAsia="Times New Roman" w:hAnsi="Arial" w:cs="Arial"/>
          <w:bCs/>
        </w:rPr>
        <w:t>The research team’s sub-contractor, Toluna, will collect all information online via personal computers</w:t>
      </w:r>
      <w:r w:rsidR="00C47D8B">
        <w:rPr>
          <w:rFonts w:ascii="Arial" w:eastAsia="Times New Roman" w:hAnsi="Arial" w:cs="Arial"/>
          <w:bCs/>
        </w:rPr>
        <w:t xml:space="preserve"> or mobile devices</w:t>
      </w:r>
      <w:r w:rsidRPr="005D2900">
        <w:rPr>
          <w:rFonts w:ascii="Arial" w:eastAsia="Times New Roman" w:hAnsi="Arial" w:cs="Arial"/>
          <w:bCs/>
        </w:rPr>
        <w:t>. Individuals contacted via email voluntarily click an Internet link to participate in the survey</w:t>
      </w:r>
      <w:r w:rsidR="00BD2F55">
        <w:rPr>
          <w:rFonts w:ascii="Arial" w:eastAsia="Times New Roman" w:hAnsi="Arial" w:cs="Arial"/>
          <w:bCs/>
        </w:rPr>
        <w:t xml:space="preserve">. Individuals may also </w:t>
      </w:r>
      <w:r w:rsidRPr="005D2900">
        <w:rPr>
          <w:rFonts w:ascii="Arial" w:eastAsia="Times New Roman" w:hAnsi="Arial" w:cs="Arial"/>
          <w:bCs/>
        </w:rPr>
        <w:t>save the email</w:t>
      </w:r>
      <w:r w:rsidR="00BD2F55">
        <w:rPr>
          <w:rFonts w:ascii="Arial" w:eastAsia="Times New Roman" w:hAnsi="Arial" w:cs="Arial"/>
          <w:bCs/>
        </w:rPr>
        <w:t xml:space="preserve"> </w:t>
      </w:r>
      <w:r w:rsidRPr="005D2900">
        <w:rPr>
          <w:rFonts w:ascii="Arial" w:eastAsia="Times New Roman" w:hAnsi="Arial" w:cs="Arial"/>
          <w:bCs/>
        </w:rPr>
        <w:t xml:space="preserve">to complete the survey later, or </w:t>
      </w:r>
      <w:r w:rsidR="00BD2F55">
        <w:rPr>
          <w:rFonts w:ascii="Arial" w:eastAsia="Times New Roman" w:hAnsi="Arial" w:cs="Arial"/>
          <w:bCs/>
        </w:rPr>
        <w:t xml:space="preserve">they may </w:t>
      </w:r>
      <w:r w:rsidRPr="005D2900">
        <w:rPr>
          <w:rFonts w:ascii="Arial" w:eastAsia="Times New Roman" w:hAnsi="Arial" w:cs="Arial"/>
          <w:bCs/>
        </w:rPr>
        <w:t xml:space="preserve">simply delete the email if </w:t>
      </w:r>
      <w:r w:rsidR="00BD2F55">
        <w:rPr>
          <w:rFonts w:ascii="Arial" w:eastAsia="Times New Roman" w:hAnsi="Arial" w:cs="Arial"/>
          <w:bCs/>
        </w:rPr>
        <w:t>they</w:t>
      </w:r>
      <w:r w:rsidRPr="005D2900">
        <w:rPr>
          <w:rFonts w:ascii="Arial" w:eastAsia="Times New Roman" w:hAnsi="Arial" w:cs="Arial"/>
          <w:bCs/>
        </w:rPr>
        <w:t xml:space="preserve"> choose not to participate. </w:t>
      </w:r>
      <w:r w:rsidR="00087866">
        <w:rPr>
          <w:rFonts w:ascii="Arial" w:eastAsia="Times New Roman" w:hAnsi="Arial" w:cs="Arial"/>
          <w:bCs/>
        </w:rPr>
        <w:t xml:space="preserve">If the target number of completed surveys is not achieved after the initial invitation, additional invitation messages are sent to non-respondents. These follow-up messages are identical to the original invitation. </w:t>
      </w:r>
      <w:r w:rsidR="008D2E59">
        <w:rPr>
          <w:rFonts w:ascii="Arial" w:eastAsia="Times New Roman" w:hAnsi="Arial" w:cs="Arial"/>
          <w:bCs/>
        </w:rPr>
        <w:t>(</w:t>
      </w:r>
      <w:r w:rsidR="00087866">
        <w:rPr>
          <w:rFonts w:ascii="Arial" w:eastAsia="Times New Roman" w:hAnsi="Arial" w:cs="Arial"/>
          <w:bCs/>
        </w:rPr>
        <w:t>Toluna has discovered it gets better participation by sending the same message again than it does by creating a “reminder” message.</w:t>
      </w:r>
      <w:r w:rsidR="008D2E59">
        <w:rPr>
          <w:rFonts w:ascii="Arial" w:eastAsia="Times New Roman" w:hAnsi="Arial" w:cs="Arial"/>
          <w:bCs/>
        </w:rPr>
        <w:t>)</w:t>
      </w:r>
      <w:r w:rsidR="00087866">
        <w:rPr>
          <w:rFonts w:ascii="Arial" w:eastAsia="Times New Roman" w:hAnsi="Arial" w:cs="Arial"/>
          <w:bCs/>
        </w:rPr>
        <w:t xml:space="preserve"> </w:t>
      </w:r>
      <w:r w:rsidR="00C47D8B">
        <w:rPr>
          <w:rFonts w:ascii="Arial" w:eastAsia="Times New Roman" w:hAnsi="Arial" w:cs="Arial"/>
          <w:bCs/>
        </w:rPr>
        <w:t>Up to t</w:t>
      </w:r>
      <w:r w:rsidRPr="005D2900">
        <w:rPr>
          <w:rFonts w:ascii="Arial" w:eastAsia="Times New Roman" w:hAnsi="Arial" w:cs="Arial"/>
          <w:bCs/>
        </w:rPr>
        <w:t xml:space="preserve">wo reminders are sent to each non-respondent, </w:t>
      </w:r>
      <w:r w:rsidRPr="005D2900">
        <w:rPr>
          <w:rFonts w:ascii="Arial" w:eastAsia="Times New Roman" w:hAnsi="Arial" w:cs="Arial"/>
          <w:bCs/>
        </w:rPr>
        <w:lastRenderedPageBreak/>
        <w:t>after which communication regarding the survey is terminated.</w:t>
      </w:r>
      <w:r w:rsidR="00BD2F55">
        <w:rPr>
          <w:rFonts w:ascii="Arial" w:eastAsia="Times New Roman" w:hAnsi="Arial" w:cs="Arial"/>
          <w:bCs/>
        </w:rPr>
        <w:t xml:space="preserve"> </w:t>
      </w:r>
      <w:r w:rsidRPr="005D2900">
        <w:rPr>
          <w:rFonts w:ascii="Arial" w:eastAsia="Times New Roman" w:hAnsi="Arial" w:cs="Arial"/>
          <w:bCs/>
        </w:rPr>
        <w:t>This automated information collection achieves enormous efficiencies in reducing contact and response burden on participants, as well as similarly large economies in data collection and entry, while using accepted methodology in survey research.</w:t>
      </w:r>
      <w:r w:rsidR="00BD2F55">
        <w:rPr>
          <w:rFonts w:ascii="Arial" w:eastAsia="Times New Roman" w:hAnsi="Arial" w:cs="Arial"/>
          <w:bCs/>
        </w:rPr>
        <w:t xml:space="preserve"> </w:t>
      </w:r>
      <w:r w:rsidR="008D2E59">
        <w:rPr>
          <w:rFonts w:ascii="Arial" w:eastAsia="Times New Roman" w:hAnsi="Arial" w:cs="Arial"/>
          <w:bCs/>
        </w:rPr>
        <w:t>The precise methods through which Toluna recruits participants and creates representative samples is described in Supporting Statement B.</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rPr>
        <w:t>4.</w:t>
      </w:r>
      <w:r w:rsidRPr="005D2900">
        <w:rPr>
          <w:rFonts w:ascii="Arial" w:eastAsia="Times New Roman" w:hAnsi="Arial" w:cs="Arial"/>
          <w:b/>
          <w:bCs/>
        </w:rPr>
        <w:t xml:space="preserve"> Describe efforts to identify duplication.</w:t>
      </w:r>
      <w:r w:rsidR="00BD2F55">
        <w:rPr>
          <w:rFonts w:ascii="Arial" w:eastAsia="Times New Roman" w:hAnsi="Arial" w:cs="Arial"/>
          <w:b/>
          <w:bCs/>
        </w:rPr>
        <w:t xml:space="preserve"> </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In Phase 1 of this study, the research team spent considerable time and effort discussing the theoretical foundation and proposed methodology with myriad agencies, experts, and individuals, and reviewing other work that has been done in this arena. Although a great (and growing) body of knowledge exists that examines humans and the outdoors at various scales and in various ways, all are much more narrowly defined—focusing on specific aspects of the connection in specific geographic regions, etc. This proposed study is a comprehensive assessment Americans’ varying affinity and connection with nature as a whole and the resulting influences of that connection.</w:t>
      </w: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The National Survey of Fishing, Hunting and Wildlife-Associated Recreation, which has been sponsored by USFWS every five years since 1955, is similar in that it is also a national study.</w:t>
      </w:r>
      <w:r w:rsidR="00BD2F55">
        <w:rPr>
          <w:rFonts w:ascii="Arial" w:eastAsia="Times New Roman" w:hAnsi="Arial" w:cs="Arial"/>
        </w:rPr>
        <w:t xml:space="preserve"> </w:t>
      </w:r>
      <w:r w:rsidRPr="005D2900">
        <w:rPr>
          <w:rFonts w:ascii="Arial" w:eastAsia="Times New Roman" w:hAnsi="Arial" w:cs="Arial"/>
        </w:rPr>
        <w:t>However, that survey primarily measures participation in, and expenditures for, fishing, hunting, and wildlife watching.</w:t>
      </w:r>
      <w:r w:rsidR="00BD2F55">
        <w:rPr>
          <w:rFonts w:ascii="Arial" w:eastAsia="Times New Roman" w:hAnsi="Arial" w:cs="Arial"/>
        </w:rPr>
        <w:t xml:space="preserve"> </w:t>
      </w:r>
      <w:r w:rsidRPr="005D2900">
        <w:rPr>
          <w:rFonts w:ascii="Arial" w:eastAsia="Times New Roman" w:hAnsi="Arial" w:cs="Arial"/>
        </w:rPr>
        <w:t xml:space="preserve">It does not ascertain the citizenry’s values for and knowledge of nature, nor does it attempt to measure perceptions of nature’s impact on one’s health and wellbeing. </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rPr>
        <w:t xml:space="preserve">5. </w:t>
      </w:r>
      <w:r w:rsidRPr="005D2900">
        <w:rPr>
          <w:rFonts w:ascii="Arial" w:eastAsia="Times New Roman" w:hAnsi="Arial" w:cs="Arial"/>
          <w:b/>
          <w:bCs/>
        </w:rPr>
        <w:t>If the collection of information impacts small businesses or other small entities, describe the methods used to minimize burden.</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rPr>
      </w:pPr>
      <w:r w:rsidRPr="005D2900">
        <w:rPr>
          <w:rFonts w:ascii="Arial" w:eastAsia="Times New Roman" w:hAnsi="Arial" w:cs="Arial"/>
        </w:rPr>
        <w:t>No such impacts.</w:t>
      </w:r>
    </w:p>
    <w:p w:rsidR="005D2900" w:rsidRPr="005D2900" w:rsidRDefault="005D2900" w:rsidP="005D2900">
      <w:pPr>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6.</w:t>
      </w:r>
      <w:r w:rsidRPr="005D2900">
        <w:rPr>
          <w:rFonts w:ascii="Arial" w:eastAsia="Times New Roman" w:hAnsi="Arial" w:cs="Arial"/>
          <w:b/>
          <w:bCs/>
        </w:rPr>
        <w:tab/>
        <w:t>Describe the consequence to Federal program or policy activities if the collection is not conducted or is conducted less frequently, as well as any technical or legal obstacles to reducing burden.</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spacing w:after="0" w:line="240" w:lineRule="auto"/>
        <w:rPr>
          <w:rFonts w:ascii="Arial" w:eastAsia="Times New Roman" w:hAnsi="Arial" w:cs="Arial"/>
        </w:rPr>
      </w:pPr>
      <w:r w:rsidRPr="005D2900">
        <w:rPr>
          <w:rFonts w:ascii="Arial" w:eastAsia="Times New Roman" w:hAnsi="Arial" w:cs="Arial"/>
        </w:rPr>
        <w:t>The conduct of this research (or lack thereof) influences the current and future relevance of USFWS programs.</w:t>
      </w:r>
      <w:r w:rsidR="00BD2F55">
        <w:rPr>
          <w:rFonts w:ascii="Arial" w:eastAsia="Times New Roman" w:hAnsi="Arial" w:cs="Arial"/>
        </w:rPr>
        <w:t xml:space="preserve"> </w:t>
      </w:r>
      <w:r w:rsidRPr="005D2900">
        <w:rPr>
          <w:rFonts w:ascii="Arial" w:eastAsia="Times New Roman" w:hAnsi="Arial" w:cs="Arial"/>
        </w:rPr>
        <w:t>Without this information, USFWS understanding of Americans’ sentiment toward nature and nature’s potential impacts on health and quality of life will be more anecdotal and incomplete than if the data are collected and applied. Socio-demographic change in the U.S. is rapid, and USFWS management and outreach programs designed to meet the citizenry’s perceptions of and expectations for nature-oriented programming should attempt to accommodate social change, providing exemplary service to a diverse clientele. There are no known technical or legal obstacles to reducing burden.</w:t>
      </w:r>
    </w:p>
    <w:p w:rsidR="005D2900" w:rsidRPr="005D2900" w:rsidRDefault="005D2900" w:rsidP="005D2900">
      <w:pPr>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7.</w:t>
      </w:r>
      <w:r w:rsidRPr="005D2900">
        <w:rPr>
          <w:rFonts w:ascii="Arial" w:eastAsia="Times New Roman" w:hAnsi="Arial" w:cs="Arial"/>
          <w:b/>
          <w:bCs/>
        </w:rPr>
        <w:tab/>
        <w:t>Explain any special circumstances that would cause an information collection to be conducted in a manner:</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b/>
          <w:bCs/>
        </w:rPr>
      </w:pPr>
      <w:r w:rsidRPr="005D2900">
        <w:rPr>
          <w:rFonts w:ascii="Arial" w:eastAsia="Times New Roman" w:hAnsi="Arial" w:cs="Arial"/>
          <w:b/>
          <w:bCs/>
        </w:rPr>
        <w:tab/>
        <w:t>*</w:t>
      </w:r>
      <w:r w:rsidRPr="005D2900">
        <w:rPr>
          <w:rFonts w:ascii="Arial" w:eastAsia="Times New Roman" w:hAnsi="Arial" w:cs="Arial"/>
          <w:b/>
          <w:bCs/>
        </w:rPr>
        <w:tab/>
        <w:t>requiring respondents to report information to the agency more often than quarterly;</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b/>
          <w:bCs/>
        </w:rPr>
      </w:pPr>
      <w:r w:rsidRPr="005D2900">
        <w:rPr>
          <w:rFonts w:ascii="Arial" w:eastAsia="Times New Roman" w:hAnsi="Arial" w:cs="Arial"/>
          <w:b/>
          <w:bCs/>
        </w:rPr>
        <w:tab/>
        <w:t>*</w:t>
      </w:r>
      <w:r w:rsidRPr="005D2900">
        <w:rPr>
          <w:rFonts w:ascii="Arial" w:eastAsia="Times New Roman" w:hAnsi="Arial" w:cs="Arial"/>
          <w:b/>
          <w:bCs/>
        </w:rPr>
        <w:tab/>
        <w:t>requiring respondents to prepare a written response to a collection of information in fewer than 30 days after receipt of it;</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b/>
          <w:bCs/>
        </w:rPr>
      </w:pPr>
      <w:r w:rsidRPr="005D2900">
        <w:rPr>
          <w:rFonts w:ascii="Arial" w:eastAsia="Times New Roman" w:hAnsi="Arial" w:cs="Arial"/>
          <w:b/>
          <w:bCs/>
        </w:rPr>
        <w:tab/>
        <w:t>*</w:t>
      </w:r>
      <w:r w:rsidRPr="005D2900">
        <w:rPr>
          <w:rFonts w:ascii="Arial" w:eastAsia="Times New Roman" w:hAnsi="Arial" w:cs="Arial"/>
          <w:b/>
          <w:bCs/>
        </w:rPr>
        <w:tab/>
        <w:t>requiring respondents to submit more than an original and two copies of any document;</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b/>
          <w:bCs/>
        </w:rPr>
      </w:pPr>
      <w:r w:rsidRPr="005D2900">
        <w:rPr>
          <w:rFonts w:ascii="Arial" w:eastAsia="Times New Roman" w:hAnsi="Arial" w:cs="Arial"/>
          <w:b/>
          <w:bCs/>
        </w:rPr>
        <w:tab/>
        <w:t>*</w:t>
      </w:r>
      <w:r w:rsidRPr="005D2900">
        <w:rPr>
          <w:rFonts w:ascii="Arial" w:eastAsia="Times New Roman" w:hAnsi="Arial" w:cs="Arial"/>
          <w:b/>
          <w:bCs/>
        </w:rPr>
        <w:tab/>
        <w:t>requiring respondents to retain records, other than health, medical, government contract, grant-in-aid, or tax records, for more than three years;</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b/>
          <w:bCs/>
        </w:rPr>
      </w:pPr>
      <w:r w:rsidRPr="005D2900">
        <w:rPr>
          <w:rFonts w:ascii="Arial" w:eastAsia="Times New Roman" w:hAnsi="Arial" w:cs="Arial"/>
          <w:b/>
          <w:bCs/>
        </w:rPr>
        <w:lastRenderedPageBreak/>
        <w:tab/>
        <w:t>*</w:t>
      </w:r>
      <w:r w:rsidRPr="005D2900">
        <w:rPr>
          <w:rFonts w:ascii="Arial" w:eastAsia="Times New Roman" w:hAnsi="Arial" w:cs="Arial"/>
          <w:b/>
          <w:bCs/>
        </w:rPr>
        <w:tab/>
        <w:t>in connection with a statistical survey, that is not designed to produce valid and reliable results that can be generalized to the universe of study;</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b/>
          <w:bCs/>
        </w:rPr>
      </w:pPr>
      <w:r w:rsidRPr="005D2900">
        <w:rPr>
          <w:rFonts w:ascii="Arial" w:eastAsia="Times New Roman" w:hAnsi="Arial" w:cs="Arial"/>
          <w:b/>
          <w:bCs/>
        </w:rPr>
        <w:tab/>
        <w:t>*</w:t>
      </w:r>
      <w:r w:rsidRPr="005D2900">
        <w:rPr>
          <w:rFonts w:ascii="Arial" w:eastAsia="Times New Roman" w:hAnsi="Arial" w:cs="Arial"/>
          <w:b/>
          <w:bCs/>
        </w:rPr>
        <w:tab/>
        <w:t>requiring the use of a statistical data classification that has not been reviewed and approved by OMB;</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b/>
          <w:bCs/>
        </w:rPr>
      </w:pPr>
      <w:r w:rsidRPr="005D2900">
        <w:rPr>
          <w:rFonts w:ascii="Arial" w:eastAsia="Times New Roman" w:hAnsi="Arial" w:cs="Arial"/>
          <w:b/>
          <w:bCs/>
        </w:rPr>
        <w:tab/>
        <w:t>*</w:t>
      </w:r>
      <w:r w:rsidRPr="005D2900">
        <w:rPr>
          <w:rFonts w:ascii="Arial" w:eastAsia="Times New Roman"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b/>
          <w:bCs/>
        </w:rPr>
      </w:pPr>
      <w:r w:rsidRPr="005D2900">
        <w:rPr>
          <w:rFonts w:ascii="Arial" w:eastAsia="Times New Roman" w:hAnsi="Arial" w:cs="Arial"/>
          <w:b/>
          <w:bCs/>
        </w:rPr>
        <w:tab/>
        <w:t>*</w:t>
      </w:r>
      <w:r w:rsidRPr="005D2900">
        <w:rPr>
          <w:rFonts w:ascii="Arial" w:eastAsia="Times New Roman" w:hAnsi="Arial" w:cs="Arial"/>
          <w:b/>
          <w:bCs/>
        </w:rPr>
        <w:tab/>
        <w:t>requiring respondents to submit proprietary trade secrets, or other confidential information unless the agency can demonstrate that it has instituted procedures to protect the information's confidentiality to the extent permitted by law.</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b/>
          <w:bCs/>
        </w:rPr>
      </w:pPr>
    </w:p>
    <w:p w:rsidR="005D2900" w:rsidRPr="005D2900" w:rsidRDefault="005D2900" w:rsidP="005D2900">
      <w:p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rPr>
      </w:pPr>
      <w:r w:rsidRPr="005D2900">
        <w:rPr>
          <w:rFonts w:ascii="Arial" w:eastAsia="Times New Roman" w:hAnsi="Arial" w:cs="Arial"/>
        </w:rPr>
        <w:t>There are no special circumstances that require the collection to be conducted in a manner inconsistent with OMB guidelines.</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8.</w:t>
      </w:r>
      <w:r w:rsidRPr="005D2900">
        <w:rPr>
          <w:rFonts w:ascii="Arial" w:eastAsia="Times New Roman" w:hAnsi="Arial" w:cs="Arial"/>
          <w:b/>
          <w:bCs/>
        </w:rPr>
        <w:tab/>
        <w:t>Provide the date and page number of publication in the Federal Register of the agency's notice, required by 5 CFR 1320.8(d), soliciting comments on the information collection prior to submission to OMB.</w:t>
      </w:r>
      <w:r w:rsidR="00BD2F55">
        <w:rPr>
          <w:rFonts w:ascii="Arial" w:eastAsia="Times New Roman" w:hAnsi="Arial" w:cs="Arial"/>
          <w:b/>
          <w:bCs/>
        </w:rPr>
        <w:t xml:space="preserve"> </w:t>
      </w:r>
      <w:r w:rsidRPr="005D2900">
        <w:rPr>
          <w:rFonts w:ascii="Arial" w:eastAsia="Times New Roman" w:hAnsi="Arial" w:cs="Arial"/>
          <w:b/>
          <w:bCs/>
        </w:rPr>
        <w:t>Summarize public comments received in response to that notice (or in response to a PRA statement) and describe actions taken by the agency in response to these comments.</w:t>
      </w:r>
      <w:r w:rsidR="00BD2F55">
        <w:rPr>
          <w:rFonts w:ascii="Arial" w:eastAsia="Times New Roman" w:hAnsi="Arial" w:cs="Arial"/>
          <w:b/>
          <w:bCs/>
        </w:rPr>
        <w:t xml:space="preserve"> </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Arial" w:eastAsia="Times New Roman" w:hAnsi="Arial" w:cs="Arial"/>
          <w:b/>
          <w:bCs/>
        </w:rPr>
      </w:pPr>
      <w:r w:rsidRPr="005D2900">
        <w:rPr>
          <w:rFonts w:ascii="Arial" w:eastAsia="Times New Roman"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D2F55">
        <w:rPr>
          <w:rFonts w:ascii="Arial" w:eastAsia="Times New Roman" w:hAnsi="Arial" w:cs="Arial"/>
          <w:b/>
          <w:bCs/>
        </w:rPr>
        <w:t xml:space="preserve"> </w:t>
      </w:r>
      <w:r w:rsidRPr="005D2900">
        <w:rPr>
          <w:rFonts w:ascii="Arial" w:eastAsia="Times New Roman" w:hAnsi="Arial" w:cs="Arial"/>
          <w:b/>
          <w:bCs/>
        </w:rPr>
        <w:t>[Please list the names, titles, addresses, and phone numbers of persons contacted.]</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Arial" w:eastAsia="Times New Roman" w:hAnsi="Arial" w:cs="Arial"/>
          <w:b/>
          <w:bCs/>
        </w:rPr>
      </w:pPr>
    </w:p>
    <w:p w:rsidR="005D2900" w:rsidRPr="005D2900" w:rsidRDefault="005D2900" w:rsidP="005D2900">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
        <w:rPr>
          <w:rFonts w:ascii="Arial" w:eastAsia="Times New Roman" w:hAnsi="Arial" w:cs="Arial"/>
          <w:bCs/>
        </w:rPr>
      </w:pPr>
      <w:r w:rsidRPr="005D2900">
        <w:rPr>
          <w:rFonts w:ascii="Arial" w:eastAsia="Times New Roman" w:hAnsi="Arial" w:cs="Arial"/>
          <w:bCs/>
        </w:rPr>
        <w:t>On May 19,</w:t>
      </w:r>
      <w:r w:rsidRPr="005D2900">
        <w:rPr>
          <w:rFonts w:ascii="Arial" w:eastAsia="Times New Roman" w:hAnsi="Arial" w:cs="Arial"/>
          <w:bCs/>
          <w:vertAlign w:val="superscript"/>
        </w:rPr>
        <w:t xml:space="preserve"> </w:t>
      </w:r>
      <w:r w:rsidRPr="005D2900">
        <w:rPr>
          <w:rFonts w:ascii="Arial" w:eastAsia="Times New Roman" w:hAnsi="Arial" w:cs="Arial"/>
          <w:bCs/>
        </w:rPr>
        <w:t>2015, USFWS published in the Federal Register (Vol. 80, No. 96, Page 28638) a notice soliciting public comment on this information collection for 60 days.</w:t>
      </w:r>
      <w:r w:rsidR="00BD2F55">
        <w:rPr>
          <w:rFonts w:ascii="Arial" w:eastAsia="Times New Roman" w:hAnsi="Arial" w:cs="Arial"/>
          <w:bCs/>
        </w:rPr>
        <w:t xml:space="preserve"> </w:t>
      </w:r>
      <w:r w:rsidRPr="005D2900">
        <w:rPr>
          <w:rFonts w:ascii="Arial" w:eastAsia="Times New Roman" w:hAnsi="Arial" w:cs="Arial"/>
          <w:bCs/>
        </w:rPr>
        <w:t>The comment period ended on July 20, 2015.</w:t>
      </w:r>
      <w:r w:rsidR="00BD2F55">
        <w:rPr>
          <w:rFonts w:ascii="Arial" w:eastAsia="Times New Roman" w:hAnsi="Arial" w:cs="Arial"/>
          <w:bCs/>
        </w:rPr>
        <w:t xml:space="preserve"> </w:t>
      </w:r>
      <w:r w:rsidRPr="005D2900">
        <w:rPr>
          <w:rFonts w:ascii="Arial" w:eastAsia="Times New Roman" w:hAnsi="Arial" w:cs="Arial"/>
          <w:bCs/>
        </w:rPr>
        <w:t>There were no substantive comments.</w:t>
      </w:r>
    </w:p>
    <w:p w:rsidR="005D2900" w:rsidRPr="005D2900" w:rsidRDefault="005D2900" w:rsidP="005D2900">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
        <w:rPr>
          <w:rFonts w:ascii="Arial" w:eastAsia="Times New Roman" w:hAnsi="Arial" w:cs="Arial"/>
          <w:bCs/>
        </w:rPr>
      </w:pPr>
    </w:p>
    <w:p w:rsidR="005D2900" w:rsidRPr="005D2900" w:rsidRDefault="005D2900" w:rsidP="005D2900">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
        <w:rPr>
          <w:rFonts w:ascii="Arial" w:eastAsia="Times New Roman" w:hAnsi="Arial" w:cs="Arial"/>
          <w:bCs/>
        </w:rPr>
      </w:pPr>
      <w:r w:rsidRPr="005D2900">
        <w:rPr>
          <w:rFonts w:ascii="Arial" w:eastAsia="Times New Roman" w:hAnsi="Arial" w:cs="Arial"/>
          <w:bCs/>
        </w:rPr>
        <w:t>The research team consulted with a wide range of experts on data collection parameters. See Supporting Document B, Question 5 for a list of names and agencies.</w:t>
      </w:r>
    </w:p>
    <w:p w:rsidR="005D2900" w:rsidRPr="005D2900" w:rsidRDefault="005D2900" w:rsidP="005D2900">
      <w:pPr>
        <w:spacing w:after="0" w:line="240" w:lineRule="auto"/>
        <w:rPr>
          <w:rFonts w:ascii="Arial" w:eastAsia="Times New Roman" w:hAnsi="Arial" w:cs="Arial"/>
          <w:color w:val="000000"/>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9.</w:t>
      </w:r>
      <w:r w:rsidRPr="005D2900">
        <w:rPr>
          <w:rFonts w:ascii="Arial" w:eastAsia="Times New Roman" w:hAnsi="Arial" w:cs="Arial"/>
          <w:b/>
          <w:bCs/>
        </w:rPr>
        <w:tab/>
        <w:t>Explain any decision to provide any payment or gift to respondents, other than remuneration of contractors or grantees.</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440"/>
          <w:tab w:val="left" w:pos="-720"/>
          <w:tab w:val="left" w:pos="0"/>
          <w:tab w:val="left" w:pos="360"/>
          <w:tab w:val="left" w:pos="720"/>
          <w:tab w:val="left" w:pos="1080"/>
          <w:tab w:val="left" w:pos="1440"/>
          <w:tab w:val="left" w:pos="18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rPr>
      </w:pPr>
      <w:r w:rsidRPr="005D2900">
        <w:rPr>
          <w:rFonts w:ascii="Arial" w:eastAsia="Times New Roman" w:hAnsi="Arial" w:cs="Arial"/>
        </w:rPr>
        <w:t xml:space="preserve">The research team’s sub-contractor, Toluna, uses a “point” system for survey participation. Prior to answering a survey, each prospective respondent is informed via email the number of points s/he will accrue by completing the survey; points can be redeemed in a variety of ways. For this survey, each respondent will be awarded ~7,500 Toluna points. </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10.</w:t>
      </w:r>
      <w:r w:rsidRPr="005D2900">
        <w:rPr>
          <w:rFonts w:ascii="Arial" w:eastAsia="Times New Roman" w:hAnsi="Arial" w:cs="Arial"/>
          <w:b/>
          <w:bCs/>
        </w:rPr>
        <w:tab/>
        <w:t>Describe any assurance of confidentiality provided to respondents and the basis for the assurance in statute, regulation, or agency policy.</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rPr>
      </w:pPr>
    </w:p>
    <w:p w:rsidR="005D2900" w:rsidRPr="005D2900" w:rsidRDefault="005D2900" w:rsidP="005D2900">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Calibri"/>
          <w:color w:val="000000" w:themeColor="text1"/>
        </w:rPr>
      </w:pPr>
      <w:r w:rsidRPr="005D2900">
        <w:rPr>
          <w:rFonts w:ascii="Arial" w:eastAsia="Times New Roman" w:hAnsi="Arial" w:cs="Arial"/>
        </w:rPr>
        <w:t xml:space="preserve">First, the research team’s sub-contractor, Toluna, has privacy policies to which respondents have agreed: </w:t>
      </w:r>
      <w:hyperlink r:id="rId9" w:history="1">
        <w:r w:rsidRPr="005D2900">
          <w:rPr>
            <w:rFonts w:ascii="Arial" w:eastAsia="Times New Roman" w:hAnsi="Arial" w:cs="Arial"/>
            <w:color w:val="0000FF"/>
            <w:u w:val="single" w:color="0000FF"/>
          </w:rPr>
          <w:t>https://us.toluna.com/Privacy</w:t>
        </w:r>
      </w:hyperlink>
      <w:r w:rsidRPr="005D2900">
        <w:rPr>
          <w:rFonts w:ascii="Arial" w:eastAsia="Times New Roman" w:hAnsi="Arial" w:cs="Arial"/>
          <w:color w:val="0000FF"/>
          <w:u w:val="single" w:color="0000FF"/>
        </w:rPr>
        <w:t>.</w:t>
      </w:r>
      <w:r w:rsidR="00BD2F55">
        <w:rPr>
          <w:rFonts w:ascii="Arial" w:eastAsia="Times New Roman" w:hAnsi="Arial" w:cs="Arial"/>
          <w:color w:val="0000FF"/>
        </w:rPr>
        <w:t xml:space="preserve"> </w:t>
      </w:r>
      <w:r w:rsidRPr="005D2900">
        <w:rPr>
          <w:rFonts w:ascii="Times New Roman" w:eastAsia="Times New Roman" w:hAnsi="Times New Roman" w:cs="Calibri"/>
          <w:color w:val="0000FF"/>
        </w:rPr>
        <w:t xml:space="preserve"> </w:t>
      </w:r>
      <w:r w:rsidRPr="005D2900">
        <w:rPr>
          <w:rFonts w:ascii="Arial" w:eastAsia="Times New Roman" w:hAnsi="Arial" w:cs="Arial"/>
          <w:color w:val="000000" w:themeColor="text1"/>
        </w:rPr>
        <w:t>At no point will the research team or USFWS have access to the names or any identifying information of anyone solicited for this survey.</w:t>
      </w:r>
    </w:p>
    <w:p w:rsidR="005D2900" w:rsidRPr="005D2900" w:rsidRDefault="005D2900" w:rsidP="005D2900">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rPr>
      </w:pPr>
      <w:r w:rsidRPr="005D2900">
        <w:rPr>
          <w:rFonts w:ascii="Arial" w:eastAsia="Times New Roman" w:hAnsi="Arial" w:cs="Arial"/>
        </w:rPr>
        <w:t>Second, the research team submitted the research design (including consent to participate and human subject protocols) to Heartland IRB, which on May 26, 2015, approved and classified the survey as follows: “There is no more than minimal risk to the subjects.”</w:t>
      </w:r>
    </w:p>
    <w:p w:rsidR="005D2900" w:rsidRPr="005D2900" w:rsidRDefault="005D2900" w:rsidP="005D2900">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11.</w:t>
      </w:r>
      <w:r w:rsidRPr="005D2900">
        <w:rPr>
          <w:rFonts w:ascii="Arial" w:eastAsia="Times New Roman" w:hAnsi="Arial" w:cs="Arial"/>
          <w:b/>
          <w:bCs/>
        </w:rPr>
        <w:tab/>
        <w:t>Provide additional justification for any questions of a sensitive nature, such as sexual behavior and attitudes, religious beliefs, and other matters that are commonly considered private.</w:t>
      </w:r>
      <w:r w:rsidR="00BD2F55">
        <w:rPr>
          <w:rFonts w:ascii="Arial" w:eastAsia="Times New Roman" w:hAnsi="Arial" w:cs="Arial"/>
          <w:b/>
          <w:bCs/>
        </w:rPr>
        <w:t xml:space="preserve"> </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p>
    <w:p w:rsidR="005D2900" w:rsidRPr="005D2900" w:rsidRDefault="005D2900" w:rsidP="005D2900">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rPr>
      </w:pPr>
      <w:r w:rsidRPr="005D2900">
        <w:rPr>
          <w:rFonts w:ascii="Arial" w:eastAsia="Times New Roman" w:hAnsi="Arial" w:cs="Arial"/>
        </w:rPr>
        <w:t>There are no questions of a sensitive nature.</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b/>
          <w:bCs/>
        </w:rPr>
      </w:pPr>
      <w:r w:rsidRPr="005D2900">
        <w:rPr>
          <w:rFonts w:ascii="Arial" w:eastAsia="Times New Roman" w:hAnsi="Arial" w:cs="Arial"/>
          <w:b/>
          <w:bCs/>
        </w:rPr>
        <w:t>12.</w:t>
      </w:r>
      <w:r w:rsidRPr="005D2900">
        <w:rPr>
          <w:rFonts w:ascii="Arial" w:eastAsia="Times New Roman" w:hAnsi="Arial" w:cs="Arial"/>
          <w:b/>
          <w:bCs/>
        </w:rPr>
        <w:tab/>
        <w:t>Provide estimates of the hour burden of the collection of information.</w:t>
      </w:r>
      <w:r w:rsidR="00BD2F55">
        <w:rPr>
          <w:rFonts w:ascii="Arial" w:eastAsia="Times New Roman" w:hAnsi="Arial" w:cs="Arial"/>
          <w:b/>
          <w:bCs/>
        </w:rPr>
        <w:t xml:space="preserve"> </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Arial" w:eastAsia="Times New Roman" w:hAnsi="Arial" w:cs="Arial"/>
        </w:rPr>
      </w:pPr>
    </w:p>
    <w:p w:rsidR="005D2900" w:rsidRPr="005D2900" w:rsidRDefault="005D2900" w:rsidP="005D2900">
      <w:pPr>
        <w:spacing w:after="0" w:line="240" w:lineRule="auto"/>
        <w:rPr>
          <w:rFonts w:ascii="Arial" w:eastAsia="Times New Roman" w:hAnsi="Arial" w:cs="Arial"/>
        </w:rPr>
      </w:pPr>
      <w:r w:rsidRPr="005D2900">
        <w:rPr>
          <w:rFonts w:ascii="Arial" w:eastAsia="Times New Roman" w:hAnsi="Arial" w:cs="Arial"/>
        </w:rPr>
        <w:t xml:space="preserve">The National Initiative to Understand and Connect Americans to Nature is a one-time data collection and we estimate 8,950 responses at twenty minutes each = 2,983 annual burden hours contained in this request. </w:t>
      </w:r>
    </w:p>
    <w:p w:rsidR="005D2900" w:rsidRPr="005D2900" w:rsidRDefault="005D2900" w:rsidP="005D2900">
      <w:pPr>
        <w:spacing w:after="0" w:line="240" w:lineRule="auto"/>
        <w:rPr>
          <w:rFonts w:ascii="Arial" w:eastAsia="Times New Roman" w:hAnsi="Arial" w:cs="Arial"/>
        </w:rPr>
      </w:pPr>
    </w:p>
    <w:p w:rsidR="005D2900" w:rsidRPr="005D2900" w:rsidRDefault="005D2900" w:rsidP="005D2900">
      <w:pPr>
        <w:spacing w:after="0" w:line="240" w:lineRule="auto"/>
        <w:rPr>
          <w:rFonts w:ascii="Arial" w:eastAsia="Times New Roman" w:hAnsi="Arial" w:cs="Arial"/>
        </w:rPr>
      </w:pPr>
      <w:r w:rsidRPr="005D2900">
        <w:rPr>
          <w:rFonts w:ascii="Arial" w:eastAsia="Times New Roman" w:hAnsi="Arial" w:cs="Arial"/>
        </w:rPr>
        <w:t>We estimate the total dollar value for this collection to be $99,900.67.</w:t>
      </w:r>
      <w:r w:rsidR="00BD2F55">
        <w:rPr>
          <w:rFonts w:ascii="Arial" w:eastAsia="Times New Roman" w:hAnsi="Arial" w:cs="Arial"/>
        </w:rPr>
        <w:t xml:space="preserve"> </w:t>
      </w:r>
      <w:r w:rsidRPr="005D2900">
        <w:rPr>
          <w:rFonts w:ascii="Arial" w:eastAsia="Times New Roman" w:hAnsi="Arial" w:cs="Arial"/>
        </w:rPr>
        <w:t>We used BLS Bulletin USDL-15-1132 (</w:t>
      </w:r>
      <w:hyperlink r:id="rId10" w:history="1">
        <w:r w:rsidRPr="005D2900">
          <w:rPr>
            <w:rFonts w:ascii="Arial" w:eastAsia="Times New Roman" w:hAnsi="Arial" w:cs="Arial"/>
            <w:color w:val="0000FF"/>
            <w:u w:val="single"/>
          </w:rPr>
          <w:t>http://www.bls.gov/news.release/pdf/ecec.pdf</w:t>
        </w:r>
      </w:hyperlink>
      <w:r w:rsidRPr="005D2900">
        <w:rPr>
          <w:rFonts w:ascii="Arial" w:eastAsia="Times New Roman" w:hAnsi="Arial" w:cs="Arial"/>
        </w:rPr>
        <w:t>) to estimate hourly wages and benefits.</w:t>
      </w:r>
      <w:r w:rsidR="00BD2F55">
        <w:rPr>
          <w:rFonts w:ascii="Arial" w:eastAsia="Times New Roman" w:hAnsi="Arial" w:cs="Arial"/>
        </w:rPr>
        <w:t xml:space="preserve"> </w:t>
      </w:r>
      <w:r w:rsidRPr="005D2900">
        <w:rPr>
          <w:rFonts w:ascii="Arial" w:eastAsia="Times New Roman" w:hAnsi="Arial" w:cs="Arial"/>
        </w:rPr>
        <w:t>According to the BLS Bulletin, employer costs for employee compensation averaged $33.49 per hour worked.</w:t>
      </w:r>
      <w:r w:rsidR="00BD2F55">
        <w:rPr>
          <w:rFonts w:ascii="Arial" w:eastAsia="Times New Roman" w:hAnsi="Arial" w:cs="Arial"/>
        </w:rPr>
        <w:t xml:space="preserve"> </w:t>
      </w:r>
      <w:r w:rsidRPr="005D2900">
        <w:rPr>
          <w:rFonts w:ascii="Arial" w:eastAsia="Times New Roman" w:hAnsi="Arial" w:cs="Arial"/>
        </w:rPr>
        <w:t>This is calculated by adding average wages and salaries at $22.88 per hour worked and average benefits at $10.61 per hour.</w:t>
      </w:r>
    </w:p>
    <w:p w:rsidR="005D2900" w:rsidRPr="005D2900" w:rsidRDefault="005D2900" w:rsidP="005D2900">
      <w:pPr>
        <w:spacing w:after="0" w:line="240" w:lineRule="auto"/>
        <w:rPr>
          <w:rFonts w:ascii="Arial" w:eastAsia="Times New Roman" w:hAnsi="Arial" w:cs="Arial"/>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2"/>
        <w:gridCol w:w="1772"/>
      </w:tblGrid>
      <w:tr w:rsidR="005D2900" w:rsidRPr="005D2900">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Times New Roman"/>
                <w:b/>
                <w:color w:val="000000" w:themeColor="text1"/>
                <w:sz w:val="20"/>
                <w:szCs w:val="24"/>
              </w:rPr>
            </w:pPr>
            <w:r w:rsidRPr="001F3A00">
              <w:rPr>
                <w:rFonts w:ascii="Arial" w:eastAsia="Times New Roman" w:hAnsi="Arial" w:cs="Times New Roman"/>
                <w:b/>
                <w:color w:val="000000" w:themeColor="text1"/>
                <w:sz w:val="20"/>
                <w:szCs w:val="24"/>
              </w:rPr>
              <w:t>ACTIVITY</w:t>
            </w:r>
          </w:p>
        </w:tc>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Times New Roman"/>
                <w:b/>
                <w:color w:val="000000" w:themeColor="text1"/>
                <w:sz w:val="20"/>
                <w:szCs w:val="24"/>
              </w:rPr>
            </w:pPr>
            <w:r w:rsidRPr="001F3A00">
              <w:rPr>
                <w:rFonts w:ascii="Arial" w:eastAsia="Times New Roman" w:hAnsi="Arial" w:cs="Times New Roman"/>
                <w:b/>
                <w:color w:val="000000" w:themeColor="text1"/>
                <w:sz w:val="20"/>
                <w:szCs w:val="24"/>
              </w:rPr>
              <w:t>NUMBER OF RESPONSES</w:t>
            </w:r>
          </w:p>
        </w:tc>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Times New Roman"/>
                <w:b/>
                <w:color w:val="000000" w:themeColor="text1"/>
                <w:sz w:val="20"/>
                <w:szCs w:val="24"/>
              </w:rPr>
            </w:pPr>
            <w:r w:rsidRPr="001F3A00">
              <w:rPr>
                <w:rFonts w:ascii="Arial" w:eastAsia="Times New Roman" w:hAnsi="Arial" w:cs="Times New Roman"/>
                <w:b/>
                <w:color w:val="000000" w:themeColor="text1"/>
                <w:sz w:val="20"/>
                <w:szCs w:val="24"/>
              </w:rPr>
              <w:t>COMPLETION TIME PER RESPONSE</w:t>
            </w:r>
          </w:p>
        </w:tc>
        <w:tc>
          <w:tcPr>
            <w:tcW w:w="1772"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Times New Roman"/>
                <w:b/>
                <w:color w:val="000000" w:themeColor="text1"/>
                <w:sz w:val="20"/>
                <w:szCs w:val="24"/>
              </w:rPr>
            </w:pPr>
            <w:r w:rsidRPr="001F3A00">
              <w:rPr>
                <w:rFonts w:ascii="Arial" w:eastAsia="Times New Roman" w:hAnsi="Arial" w:cs="Times New Roman"/>
                <w:b/>
                <w:color w:val="000000" w:themeColor="text1"/>
                <w:sz w:val="20"/>
                <w:szCs w:val="24"/>
              </w:rPr>
              <w:t>TOTAL ANNUAL BURDEN HOURS</w:t>
            </w:r>
          </w:p>
        </w:tc>
        <w:tc>
          <w:tcPr>
            <w:tcW w:w="1772" w:type="dxa"/>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Times New Roman"/>
                <w:b/>
                <w:color w:val="000000" w:themeColor="text1"/>
                <w:sz w:val="20"/>
                <w:szCs w:val="24"/>
              </w:rPr>
            </w:pPr>
            <w:r w:rsidRPr="001F3A00">
              <w:rPr>
                <w:rFonts w:ascii="Arial" w:eastAsia="Times New Roman" w:hAnsi="Arial" w:cs="Times New Roman"/>
                <w:b/>
                <w:color w:val="000000" w:themeColor="text1"/>
                <w:sz w:val="20"/>
                <w:szCs w:val="24"/>
              </w:rPr>
              <w:t>$ VALUE OF ANNUAL BURDEN HOURS</w:t>
            </w:r>
            <w:r w:rsidR="00BD2F55" w:rsidRPr="001F3A00">
              <w:rPr>
                <w:rFonts w:ascii="Arial" w:eastAsia="Times New Roman" w:hAnsi="Arial" w:cs="Times New Roman"/>
                <w:b/>
                <w:color w:val="000000" w:themeColor="text1"/>
                <w:sz w:val="20"/>
                <w:szCs w:val="24"/>
              </w:rPr>
              <w:t xml:space="preserve"> </w:t>
            </w:r>
            <w:r w:rsidRPr="001F3A00">
              <w:rPr>
                <w:rFonts w:ascii="Arial" w:eastAsia="Times New Roman" w:hAnsi="Arial" w:cs="Times New Roman"/>
                <w:b/>
                <w:color w:val="000000" w:themeColor="text1"/>
                <w:sz w:val="20"/>
                <w:szCs w:val="24"/>
              </w:rPr>
              <w:t>($33.49/hr)</w:t>
            </w:r>
          </w:p>
        </w:tc>
      </w:tr>
      <w:tr w:rsidR="005D2900" w:rsidRPr="005D2900">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Times New Roman"/>
                <w:color w:val="000000" w:themeColor="text1"/>
                <w:sz w:val="20"/>
                <w:szCs w:val="24"/>
              </w:rPr>
            </w:pPr>
            <w:r w:rsidRPr="001F3A00">
              <w:rPr>
                <w:rFonts w:ascii="Arial" w:eastAsia="Times New Roman" w:hAnsi="Arial" w:cs="Times New Roman"/>
                <w:color w:val="000000" w:themeColor="text1"/>
                <w:sz w:val="20"/>
                <w:szCs w:val="24"/>
              </w:rPr>
              <w:t>Initial Contact</w:t>
            </w:r>
          </w:p>
        </w:tc>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c>
          <w:tcPr>
            <w:tcW w:w="1772"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c>
          <w:tcPr>
            <w:tcW w:w="1772" w:type="dxa"/>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r>
      <w:tr w:rsidR="005D2900" w:rsidRPr="005D2900">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Times New Roman"/>
                <w:color w:val="000000" w:themeColor="text1"/>
                <w:sz w:val="20"/>
                <w:szCs w:val="24"/>
              </w:rPr>
            </w:pPr>
            <w:r w:rsidRPr="001F3A00">
              <w:rPr>
                <w:rFonts w:ascii="Arial" w:eastAsia="Times New Roman" w:hAnsi="Arial" w:cs="Times New Roman"/>
                <w:color w:val="000000" w:themeColor="text1"/>
                <w:sz w:val="20"/>
                <w:szCs w:val="24"/>
              </w:rPr>
              <w:t>Complete Survey</w:t>
            </w:r>
          </w:p>
        </w:tc>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r w:rsidRPr="001F3A00">
              <w:rPr>
                <w:rFonts w:ascii="Arial" w:eastAsia="Times New Roman" w:hAnsi="Arial" w:cs="Times New Roman"/>
                <w:color w:val="000000" w:themeColor="text1"/>
                <w:sz w:val="20"/>
                <w:szCs w:val="24"/>
              </w:rPr>
              <w:t>8,950</w:t>
            </w:r>
          </w:p>
        </w:tc>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r w:rsidRPr="001F3A00">
              <w:rPr>
                <w:rFonts w:ascii="Arial" w:eastAsia="Times New Roman" w:hAnsi="Arial" w:cs="Times New Roman"/>
                <w:color w:val="000000" w:themeColor="text1"/>
                <w:sz w:val="20"/>
                <w:szCs w:val="24"/>
              </w:rPr>
              <w:t>20 minutes</w:t>
            </w:r>
          </w:p>
        </w:tc>
        <w:tc>
          <w:tcPr>
            <w:tcW w:w="1772"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r w:rsidRPr="001F3A00">
              <w:rPr>
                <w:rFonts w:ascii="Arial" w:eastAsia="Times New Roman" w:hAnsi="Arial" w:cs="Times New Roman"/>
                <w:color w:val="000000" w:themeColor="text1"/>
                <w:sz w:val="20"/>
                <w:szCs w:val="24"/>
              </w:rPr>
              <w:t>2,983</w:t>
            </w:r>
          </w:p>
        </w:tc>
        <w:tc>
          <w:tcPr>
            <w:tcW w:w="1772" w:type="dxa"/>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r w:rsidRPr="001F3A00">
              <w:rPr>
                <w:rFonts w:ascii="Arial" w:eastAsia="Times New Roman" w:hAnsi="Arial" w:cs="Times New Roman"/>
                <w:color w:val="000000" w:themeColor="text1"/>
                <w:sz w:val="20"/>
                <w:szCs w:val="24"/>
              </w:rPr>
              <w:t>$99,900.67</w:t>
            </w:r>
          </w:p>
        </w:tc>
      </w:tr>
      <w:tr w:rsidR="005D2900" w:rsidRPr="005D2900">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Times New Roman"/>
                <w:color w:val="000000" w:themeColor="text1"/>
                <w:sz w:val="20"/>
                <w:szCs w:val="24"/>
              </w:rPr>
            </w:pPr>
            <w:r w:rsidRPr="001F3A00">
              <w:rPr>
                <w:rFonts w:ascii="Arial" w:eastAsia="Times New Roman" w:hAnsi="Arial" w:cs="Times New Roman"/>
                <w:color w:val="000000" w:themeColor="text1"/>
                <w:sz w:val="20"/>
                <w:szCs w:val="24"/>
              </w:rPr>
              <w:t>Reminders</w:t>
            </w:r>
          </w:p>
        </w:tc>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c>
          <w:tcPr>
            <w:tcW w:w="1772"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c>
          <w:tcPr>
            <w:tcW w:w="1772" w:type="dxa"/>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r>
      <w:tr w:rsidR="005D2900" w:rsidRPr="005D2900">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Times New Roman"/>
                <w:b/>
                <w:color w:val="000000" w:themeColor="text1"/>
                <w:sz w:val="20"/>
                <w:szCs w:val="24"/>
              </w:rPr>
            </w:pPr>
            <w:r w:rsidRPr="001F3A00">
              <w:rPr>
                <w:rFonts w:ascii="Arial" w:eastAsia="Times New Roman" w:hAnsi="Arial" w:cs="Times New Roman"/>
                <w:b/>
                <w:color w:val="000000" w:themeColor="text1"/>
                <w:sz w:val="20"/>
                <w:szCs w:val="24"/>
              </w:rPr>
              <w:t>TOTALS</w:t>
            </w:r>
          </w:p>
        </w:tc>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c>
          <w:tcPr>
            <w:tcW w:w="1771"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c>
          <w:tcPr>
            <w:tcW w:w="1772" w:type="dxa"/>
            <w:shd w:val="clear" w:color="auto" w:fill="auto"/>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c>
          <w:tcPr>
            <w:tcW w:w="1772" w:type="dxa"/>
          </w:tcPr>
          <w:p w:rsidR="005D2900" w:rsidRPr="001F3A00" w:rsidRDefault="005D2900" w:rsidP="005D2900">
            <w:pPr>
              <w:widowControl w:val="0"/>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Arial" w:eastAsia="Times New Roman" w:hAnsi="Arial" w:cs="Times New Roman"/>
                <w:color w:val="000000" w:themeColor="text1"/>
                <w:sz w:val="20"/>
                <w:szCs w:val="24"/>
              </w:rPr>
            </w:pPr>
          </w:p>
        </w:tc>
      </w:tr>
    </w:tbl>
    <w:p w:rsidR="005D2900" w:rsidRPr="005D2900" w:rsidRDefault="005D2900" w:rsidP="005D2900">
      <w:pPr>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z w:val="24"/>
          <w:szCs w:val="24"/>
        </w:rPr>
      </w:pPr>
    </w:p>
    <w:p w:rsidR="005D2900" w:rsidRPr="005D2900" w:rsidRDefault="005D2900" w:rsidP="005D29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13.</w:t>
      </w:r>
      <w:r w:rsidRPr="005D2900">
        <w:rPr>
          <w:rFonts w:ascii="Arial" w:eastAsia="Times New Roman" w:hAnsi="Arial" w:cs="Arial"/>
          <w:b/>
          <w:bCs/>
        </w:rPr>
        <w:tab/>
        <w:t>Provide an estimate of the total annual [nonhour] cost burden to respondents or recordkeepers resulting from the collection of information.</w:t>
      </w:r>
      <w:r w:rsidR="00BD2F55">
        <w:rPr>
          <w:rFonts w:ascii="Arial" w:eastAsia="Times New Roman" w:hAnsi="Arial" w:cs="Arial"/>
          <w:b/>
          <w:bCs/>
        </w:rPr>
        <w:t xml:space="preserve"> </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rPr>
      </w:pPr>
      <w:r w:rsidRPr="005D2900">
        <w:rPr>
          <w:rFonts w:ascii="Arial" w:eastAsia="Times New Roman" w:hAnsi="Arial" w:cs="Arial"/>
        </w:rPr>
        <w:t>This survey is conducted online.</w:t>
      </w:r>
      <w:r w:rsidR="00BD2F55">
        <w:rPr>
          <w:rFonts w:ascii="Arial" w:eastAsia="Times New Roman" w:hAnsi="Arial" w:cs="Arial"/>
        </w:rPr>
        <w:t xml:space="preserve"> </w:t>
      </w:r>
      <w:r w:rsidRPr="005D2900">
        <w:rPr>
          <w:rFonts w:ascii="Arial" w:eastAsia="Times New Roman" w:hAnsi="Arial" w:cs="Arial"/>
        </w:rPr>
        <w:t>There is no non-hour cost burden to respondents.</w:t>
      </w:r>
      <w:r w:rsidR="00BD2F55">
        <w:rPr>
          <w:rFonts w:ascii="Arial" w:eastAsia="Times New Roman" w:hAnsi="Arial" w:cs="Arial"/>
        </w:rPr>
        <w:t xml:space="preserve"> </w:t>
      </w:r>
      <w:r w:rsidRPr="005D2900">
        <w:rPr>
          <w:rFonts w:ascii="Arial" w:eastAsia="Times New Roman" w:hAnsi="Arial" w:cs="Arial"/>
        </w:rPr>
        <w:t>There is no fee for completing the survey or any other costs associated with responding to this survey.</w:t>
      </w:r>
      <w:r w:rsidR="00BD2F55">
        <w:rPr>
          <w:rFonts w:ascii="Arial" w:eastAsia="Times New Roman" w:hAnsi="Arial" w:cs="Arial"/>
        </w:rPr>
        <w:t xml:space="preserve"> </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14.</w:t>
      </w:r>
      <w:r w:rsidRPr="005D2900">
        <w:rPr>
          <w:rFonts w:ascii="Arial" w:eastAsia="Times New Roman" w:hAnsi="Arial" w:cs="Arial"/>
          <w:b/>
          <w:bCs/>
        </w:rPr>
        <w:tab/>
        <w:t>Provide estimates of annualized costs to the Federal Government.</w:t>
      </w:r>
      <w:r w:rsidR="00BD2F55">
        <w:rPr>
          <w:rFonts w:ascii="Arial" w:eastAsia="Times New Roman" w:hAnsi="Arial" w:cs="Arial"/>
          <w:b/>
          <w:bCs/>
        </w:rPr>
        <w:t xml:space="preserve"> </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highlight w:val="yellow"/>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We estimate the total one-time cost to the Federal Government to be $2</w:t>
      </w:r>
      <w:r w:rsidR="00D64D70">
        <w:rPr>
          <w:rFonts w:ascii="Arial" w:eastAsia="Times New Roman" w:hAnsi="Arial" w:cs="Arial"/>
        </w:rPr>
        <w:t>82</w:t>
      </w:r>
      <w:r w:rsidRPr="005D2900">
        <w:rPr>
          <w:rFonts w:ascii="Arial" w:eastAsia="Times New Roman" w:hAnsi="Arial" w:cs="Arial"/>
        </w:rPr>
        <w:t>,150.</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The portion of our contract (Order#F14PC00250) with DJ Case and Associates supporting the on-line survey, administration, data analysis, and report writing is $2</w:t>
      </w:r>
      <w:r w:rsidR="00D64D70">
        <w:rPr>
          <w:rFonts w:ascii="Arial" w:eastAsia="Times New Roman" w:hAnsi="Arial" w:cs="Arial"/>
        </w:rPr>
        <w:t>75</w:t>
      </w:r>
      <w:r w:rsidRPr="005D2900">
        <w:rPr>
          <w:rFonts w:ascii="Arial" w:eastAsia="Times New Roman" w:hAnsi="Arial" w:cs="Arial"/>
        </w:rPr>
        <w:t>,000.</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Additionally, the Federal Government will incur approximately $7,150 (rounded) in staff time for support of this information collection and review of resultant analyses and reports.</w:t>
      </w:r>
      <w:r w:rsidR="00BD2F55">
        <w:rPr>
          <w:rFonts w:ascii="Arial" w:eastAsia="Times New Roman" w:hAnsi="Arial" w:cs="Arial"/>
        </w:rPr>
        <w:t xml:space="preserve"> </w:t>
      </w:r>
      <w:r w:rsidRPr="005D2900">
        <w:rPr>
          <w:rFonts w:ascii="Arial" w:eastAsia="Times New Roman" w:hAnsi="Arial" w:cs="Arial"/>
        </w:rPr>
        <w:t>We estimate approximately 120 hours of a GS-12/Step 8 Biologist’s time to assist DJ Case and Associates with this portion of the contract.</w:t>
      </w:r>
      <w:r w:rsidR="00BD2F55">
        <w:rPr>
          <w:rFonts w:ascii="Arial" w:eastAsia="Times New Roman" w:hAnsi="Arial" w:cs="Arial"/>
        </w:rPr>
        <w:t xml:space="preserve"> </w:t>
      </w:r>
      <w:r w:rsidRPr="005D2900">
        <w:rPr>
          <w:rFonts w:ascii="Arial" w:eastAsia="Times New Roman" w:hAnsi="Arial" w:cs="Arial"/>
        </w:rPr>
        <w:t>We used the Office of Personnel Management’s Salary Table 2015-DCB to determine salary costs.</w:t>
      </w:r>
      <w:r w:rsidR="00BD2F55">
        <w:rPr>
          <w:rFonts w:ascii="Arial" w:eastAsia="Times New Roman" w:hAnsi="Arial" w:cs="Arial"/>
        </w:rPr>
        <w:t xml:space="preserve"> </w:t>
      </w:r>
      <w:r w:rsidRPr="005D2900">
        <w:rPr>
          <w:rFonts w:ascii="Arial" w:eastAsia="Times New Roman" w:hAnsi="Arial" w:cs="Arial"/>
        </w:rPr>
        <w:t>The hourly wage for a GS-12/Step 8 is $45.14.</w:t>
      </w:r>
      <w:r w:rsidR="00BD2F55">
        <w:rPr>
          <w:rFonts w:ascii="Arial" w:eastAsia="Times New Roman" w:hAnsi="Arial" w:cs="Arial"/>
        </w:rPr>
        <w:t xml:space="preserve"> </w:t>
      </w:r>
      <w:r w:rsidRPr="005D2900">
        <w:rPr>
          <w:rFonts w:ascii="Arial" w:eastAsia="Times New Roman" w:hAnsi="Arial" w:cs="Arial"/>
        </w:rPr>
        <w:t>We multiplied this rate times 1.32 to account for benefits, resulting in an hourly wage of $59.58 (rounded).</w:t>
      </w:r>
      <w:r w:rsidR="00BD2F55">
        <w:rPr>
          <w:rFonts w:ascii="Arial" w:eastAsia="Times New Roman" w:hAnsi="Arial" w:cs="Arial"/>
        </w:rPr>
        <w:t xml:space="preserve"> </w:t>
      </w:r>
      <w:r w:rsidRPr="005D2900">
        <w:rPr>
          <w:rFonts w:ascii="Arial" w:eastAsia="Times New Roman" w:hAnsi="Arial" w:cs="Arial"/>
        </w:rPr>
        <w:t>We used BLS Bulletin USDL-15-1132 (</w:t>
      </w:r>
      <w:hyperlink r:id="rId11" w:history="1">
        <w:r w:rsidRPr="005D2900">
          <w:rPr>
            <w:rFonts w:ascii="Arial" w:eastAsia="Times New Roman" w:hAnsi="Arial" w:cs="Arial"/>
            <w:color w:val="0000FF"/>
            <w:u w:val="single"/>
          </w:rPr>
          <w:t>http://www.bls.gov/news.release/pdf/ecec.pdf</w:t>
        </w:r>
      </w:hyperlink>
      <w:r w:rsidRPr="005D2900">
        <w:rPr>
          <w:rFonts w:ascii="Arial" w:eastAsia="Times New Roman" w:hAnsi="Arial" w:cs="Arial"/>
        </w:rPr>
        <w:t>) to calculate benefits.</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highlight w:val="yellow"/>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lastRenderedPageBreak/>
        <w:t>15A.</w:t>
      </w:r>
      <w:r w:rsidRPr="005D2900">
        <w:rPr>
          <w:rFonts w:ascii="Arial" w:eastAsia="Times New Roman" w:hAnsi="Arial" w:cs="Arial"/>
          <w:b/>
          <w:bCs/>
        </w:rPr>
        <w:tab/>
        <w:t>Explain the reasons for any program changes or adjustments.</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5D2900">
        <w:rPr>
          <w:rFonts w:ascii="Arial" w:eastAsia="Times New Roman" w:hAnsi="Arial" w:cs="Arial"/>
        </w:rPr>
        <w:t>This is a new collection.</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16.</w:t>
      </w:r>
      <w:r w:rsidRPr="005D2900">
        <w:rPr>
          <w:rFonts w:ascii="Arial" w:eastAsia="Times New Roman" w:hAnsi="Arial" w:cs="Arial"/>
          <w:b/>
          <w:bCs/>
        </w:rPr>
        <w:tab/>
        <w:t>For collections of information whose results will be published, outline plans for tabulation and publication.</w:t>
      </w:r>
      <w:r w:rsidR="00BD2F55">
        <w:rPr>
          <w:rFonts w:ascii="Arial" w:eastAsia="Times New Roman" w:hAnsi="Arial" w:cs="Arial"/>
          <w:b/>
          <w:bCs/>
        </w:rPr>
        <w:t xml:space="preserve"> </w:t>
      </w:r>
    </w:p>
    <w:p w:rsidR="005D2900" w:rsidRPr="005D2900" w:rsidRDefault="005D2900" w:rsidP="005D2900">
      <w:pPr>
        <w:tabs>
          <w:tab w:val="left" w:pos="-1440"/>
          <w:tab w:val="left" w:pos="-720"/>
          <w:tab w:val="left" w:pos="0"/>
          <w:tab w:val="left" w:pos="360"/>
          <w:tab w:val="left" w:pos="810"/>
          <w:tab w:val="left" w:pos="1440"/>
          <w:tab w:val="left" w:pos="189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24"/>
          <w:szCs w:val="24"/>
        </w:rPr>
      </w:pPr>
    </w:p>
    <w:p w:rsidR="005D2900" w:rsidRPr="005D2900" w:rsidRDefault="005D2900" w:rsidP="005D2900">
      <w:pPr>
        <w:tabs>
          <w:tab w:val="left" w:pos="-1440"/>
          <w:tab w:val="left" w:pos="-720"/>
          <w:tab w:val="left" w:pos="360"/>
          <w:tab w:val="left" w:pos="810"/>
          <w:tab w:val="left" w:pos="1440"/>
          <w:tab w:val="left" w:pos="1530"/>
          <w:tab w:val="left" w:pos="18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rPr>
      </w:pPr>
      <w:r w:rsidRPr="005D2900">
        <w:rPr>
          <w:rFonts w:ascii="Arial" w:eastAsia="Times New Roman" w:hAnsi="Arial" w:cs="Arial"/>
        </w:rPr>
        <w:t>Data will be compiled, checked or “cleaned” to ensure accuracy, and analyzed using standard statistics appropriate for nominal-, ordinal-, and where appropriate, interval-level data.</w:t>
      </w:r>
      <w:r w:rsidR="00BD2F55">
        <w:rPr>
          <w:rFonts w:ascii="Arial" w:eastAsia="Times New Roman" w:hAnsi="Arial" w:cs="Arial"/>
        </w:rPr>
        <w:t xml:space="preserve"> </w:t>
      </w:r>
      <w:r w:rsidRPr="005D2900">
        <w:rPr>
          <w:rFonts w:ascii="Arial" w:eastAsia="Times New Roman" w:hAnsi="Arial" w:cs="Arial"/>
        </w:rPr>
        <w:t>The USFWS will receive a final report, revised in a collaborative process with the research team, with USFWS sanctioning any subsequent distribution of data and submission of papers to peer reviewed journals.</w:t>
      </w:r>
      <w:r w:rsidR="00BD2F55">
        <w:rPr>
          <w:rFonts w:ascii="Arial" w:eastAsia="Times New Roman" w:hAnsi="Arial" w:cs="Arial"/>
        </w:rPr>
        <w:t xml:space="preserve"> </w:t>
      </w:r>
    </w:p>
    <w:p w:rsidR="005D2900" w:rsidRPr="005D2900" w:rsidRDefault="005D2900" w:rsidP="005D2900">
      <w:pPr>
        <w:tabs>
          <w:tab w:val="left" w:pos="-1440"/>
          <w:tab w:val="left" w:pos="-720"/>
          <w:tab w:val="left" w:pos="327"/>
          <w:tab w:val="left" w:pos="360"/>
          <w:tab w:val="left" w:pos="873"/>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17.</w:t>
      </w:r>
      <w:r w:rsidRPr="005D2900">
        <w:rPr>
          <w:rFonts w:ascii="Arial" w:eastAsia="Times New Roman" w:hAnsi="Arial" w:cs="Arial"/>
          <w:b/>
          <w:bCs/>
        </w:rPr>
        <w:tab/>
        <w:t>If seeking approval to not display the expiration date for OMB approval of the information collection, explain the reasons that display would be inappropriate.</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p>
    <w:p w:rsidR="005D2900" w:rsidRPr="005D2900" w:rsidRDefault="005D2900" w:rsidP="005D2900">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rPr>
      </w:pPr>
      <w:r w:rsidRPr="005D2900">
        <w:rPr>
          <w:rFonts w:ascii="Arial" w:eastAsia="Times New Roman" w:hAnsi="Arial" w:cs="Arial"/>
        </w:rPr>
        <w:t>The OMB control number and expiration date will be displayed on the survey.</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bCs/>
        </w:rPr>
      </w:pPr>
      <w:r w:rsidRPr="005D2900">
        <w:rPr>
          <w:rFonts w:ascii="Arial" w:eastAsia="Times New Roman" w:hAnsi="Arial" w:cs="Arial"/>
          <w:b/>
          <w:bCs/>
        </w:rPr>
        <w:t>18A.</w:t>
      </w:r>
      <w:r w:rsidRPr="005D2900">
        <w:rPr>
          <w:rFonts w:ascii="Arial" w:eastAsia="Times New Roman" w:hAnsi="Arial" w:cs="Arial"/>
          <w:b/>
          <w:bCs/>
        </w:rPr>
        <w:tab/>
        <w:t>Explain each exception to the certification statement identified in Item 19, "Certification for Paperwork Reduction Act Submissions," of OMB Form 83-I.</w:t>
      </w:r>
    </w:p>
    <w:p w:rsidR="005D2900" w:rsidRPr="005D2900" w:rsidRDefault="005D2900" w:rsidP="005D29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rPr>
      </w:pPr>
    </w:p>
    <w:p w:rsidR="005D2900" w:rsidRPr="005D2900" w:rsidRDefault="005D2900" w:rsidP="005D2900">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rPr>
      </w:pPr>
      <w:r w:rsidRPr="005D2900">
        <w:rPr>
          <w:rFonts w:ascii="Arial" w:eastAsia="Times New Roman" w:hAnsi="Arial" w:cs="Arial"/>
        </w:rPr>
        <w:t>There are no exceptions to the certification statement.</w:t>
      </w:r>
    </w:p>
    <w:p w:rsidR="00020EEB" w:rsidRDefault="00020EEB"/>
    <w:sectPr w:rsidR="00020EEB" w:rsidSect="00EB4C2C">
      <w:footerReference w:type="even" r:id="rId12"/>
      <w:footerReference w:type="default" r:id="rId13"/>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BAA" w:rsidRDefault="00B54BAA" w:rsidP="005D2900">
      <w:pPr>
        <w:spacing w:after="0" w:line="240" w:lineRule="auto"/>
      </w:pPr>
      <w:r>
        <w:separator/>
      </w:r>
    </w:p>
  </w:endnote>
  <w:endnote w:type="continuationSeparator" w:id="0">
    <w:p w:rsidR="00B54BAA" w:rsidRDefault="00B54BAA" w:rsidP="005D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312" w:rsidRDefault="00D81312" w:rsidP="002B2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1312" w:rsidRDefault="00D81312" w:rsidP="00D813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312" w:rsidRDefault="00D81312" w:rsidP="002B2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11DA">
      <w:rPr>
        <w:rStyle w:val="PageNumber"/>
        <w:noProof/>
      </w:rPr>
      <w:t>4</w:t>
    </w:r>
    <w:r>
      <w:rPr>
        <w:rStyle w:val="PageNumber"/>
      </w:rPr>
      <w:fldChar w:fldCharType="end"/>
    </w:r>
  </w:p>
  <w:p w:rsidR="00D81312" w:rsidRDefault="00D81312" w:rsidP="00D813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BAA" w:rsidRDefault="00B54BAA" w:rsidP="005D2900">
      <w:pPr>
        <w:spacing w:after="0" w:line="240" w:lineRule="auto"/>
      </w:pPr>
      <w:r>
        <w:separator/>
      </w:r>
    </w:p>
  </w:footnote>
  <w:footnote w:type="continuationSeparator" w:id="0">
    <w:p w:rsidR="00B54BAA" w:rsidRDefault="00B54BAA" w:rsidP="005D2900">
      <w:pPr>
        <w:spacing w:after="0" w:line="240" w:lineRule="auto"/>
      </w:pPr>
      <w:r>
        <w:continuationSeparator/>
      </w:r>
    </w:p>
  </w:footnote>
  <w:footnote w:id="1">
    <w:p w:rsidR="00776F8C" w:rsidRDefault="00776F8C" w:rsidP="005D2900">
      <w:pPr>
        <w:rPr>
          <w:rFonts w:ascii="Arial" w:hAnsi="Arial" w:cs="Arial"/>
          <w:sz w:val="16"/>
          <w:szCs w:val="16"/>
        </w:rPr>
      </w:pPr>
      <w:r>
        <w:rPr>
          <w:rStyle w:val="FootnoteReference"/>
        </w:rPr>
        <w:footnoteRef/>
      </w:r>
      <w:r w:rsidRPr="004B1487">
        <w:rPr>
          <w:rFonts w:ascii="Arial" w:hAnsi="Arial" w:cs="Arial"/>
          <w:sz w:val="16"/>
          <w:szCs w:val="16"/>
        </w:rPr>
        <w:t>Kellert, S. R.</w:t>
      </w:r>
      <w:r>
        <w:rPr>
          <w:rFonts w:ascii="Arial" w:hAnsi="Arial" w:cs="Arial"/>
          <w:sz w:val="16"/>
          <w:szCs w:val="16"/>
        </w:rPr>
        <w:t xml:space="preserve"> </w:t>
      </w:r>
      <w:r w:rsidRPr="004B1487">
        <w:rPr>
          <w:rFonts w:ascii="Arial" w:hAnsi="Arial" w:cs="Arial"/>
          <w:sz w:val="16"/>
          <w:szCs w:val="16"/>
        </w:rPr>
        <w:t>2012.</w:t>
      </w:r>
      <w:r>
        <w:rPr>
          <w:rFonts w:ascii="Arial" w:hAnsi="Arial" w:cs="Arial"/>
          <w:sz w:val="16"/>
          <w:szCs w:val="16"/>
        </w:rPr>
        <w:t xml:space="preserve"> </w:t>
      </w:r>
      <w:r w:rsidRPr="004B1487">
        <w:rPr>
          <w:rFonts w:ascii="Arial" w:hAnsi="Arial" w:cs="Arial"/>
          <w:sz w:val="16"/>
          <w:szCs w:val="16"/>
        </w:rPr>
        <w:t>Birthright: people and nature in the modern world.</w:t>
      </w:r>
      <w:r>
        <w:rPr>
          <w:rFonts w:ascii="Arial" w:hAnsi="Arial" w:cs="Arial"/>
          <w:sz w:val="16"/>
          <w:szCs w:val="16"/>
        </w:rPr>
        <w:t xml:space="preserve"> </w:t>
      </w:r>
      <w:r w:rsidRPr="004B1487">
        <w:rPr>
          <w:rFonts w:ascii="Arial" w:hAnsi="Arial" w:cs="Arial"/>
          <w:sz w:val="16"/>
          <w:szCs w:val="16"/>
        </w:rPr>
        <w:t>New Haven and London: Yale University Press, 242pp.</w:t>
      </w:r>
    </w:p>
    <w:p w:rsidR="00776F8C" w:rsidRDefault="00776F8C" w:rsidP="005D29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A6B90"/>
    <w:multiLevelType w:val="hybridMultilevel"/>
    <w:tmpl w:val="734CAA94"/>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2D5A57"/>
    <w:multiLevelType w:val="hybridMultilevel"/>
    <w:tmpl w:val="850C9E64"/>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2900"/>
    <w:rsid w:val="00020EEB"/>
    <w:rsid w:val="00087866"/>
    <w:rsid w:val="00136970"/>
    <w:rsid w:val="00181282"/>
    <w:rsid w:val="001D6CC8"/>
    <w:rsid w:val="001E486A"/>
    <w:rsid w:val="001F3A00"/>
    <w:rsid w:val="001F5545"/>
    <w:rsid w:val="004D11DA"/>
    <w:rsid w:val="004E6B98"/>
    <w:rsid w:val="005077C2"/>
    <w:rsid w:val="00570203"/>
    <w:rsid w:val="005D2900"/>
    <w:rsid w:val="00691C65"/>
    <w:rsid w:val="00771485"/>
    <w:rsid w:val="00776F8C"/>
    <w:rsid w:val="007A5885"/>
    <w:rsid w:val="007B3603"/>
    <w:rsid w:val="007C1F03"/>
    <w:rsid w:val="007F78AB"/>
    <w:rsid w:val="008476EE"/>
    <w:rsid w:val="008D2E59"/>
    <w:rsid w:val="009C1ED8"/>
    <w:rsid w:val="00A52DA6"/>
    <w:rsid w:val="00AF158E"/>
    <w:rsid w:val="00B02E5C"/>
    <w:rsid w:val="00B54BAA"/>
    <w:rsid w:val="00BD2F55"/>
    <w:rsid w:val="00BE6FBB"/>
    <w:rsid w:val="00C22D11"/>
    <w:rsid w:val="00C47D8B"/>
    <w:rsid w:val="00CF3447"/>
    <w:rsid w:val="00D64D70"/>
    <w:rsid w:val="00D81312"/>
    <w:rsid w:val="00EA6912"/>
    <w:rsid w:val="00EB4C2C"/>
    <w:rsid w:val="00F926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7703"/>
  <w15:docId w15:val="{1AFC0655-DFFC-4B7E-85A2-025BD4FC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2">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52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E6B9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51BB9"/>
    <w:rPr>
      <w:rFonts w:ascii="Lucida Grande" w:hAnsi="Lucida Grande"/>
      <w:sz w:val="18"/>
      <w:szCs w:val="18"/>
    </w:rPr>
  </w:style>
  <w:style w:type="paragraph" w:styleId="FootnoteText">
    <w:name w:val="footnote text"/>
    <w:basedOn w:val="Normal"/>
    <w:link w:val="FootnoteTextChar"/>
    <w:uiPriority w:val="99"/>
    <w:unhideWhenUsed/>
    <w:rsid w:val="005D29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D290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D2900"/>
    <w:rPr>
      <w:vertAlign w:val="superscript"/>
    </w:rPr>
  </w:style>
  <w:style w:type="character" w:customStyle="1" w:styleId="BalloonTextChar1">
    <w:name w:val="Balloon Text Char1"/>
    <w:basedOn w:val="DefaultParagraphFont"/>
    <w:link w:val="BalloonText"/>
    <w:uiPriority w:val="99"/>
    <w:semiHidden/>
    <w:rsid w:val="004E6B98"/>
    <w:rPr>
      <w:rFonts w:ascii="Tahoma" w:hAnsi="Tahoma" w:cs="Tahoma"/>
      <w:sz w:val="16"/>
      <w:szCs w:val="16"/>
    </w:rPr>
  </w:style>
  <w:style w:type="character" w:styleId="CommentReference">
    <w:name w:val="annotation reference"/>
    <w:basedOn w:val="DefaultParagraphFont"/>
    <w:semiHidden/>
    <w:unhideWhenUsed/>
    <w:rsid w:val="00AF158E"/>
    <w:rPr>
      <w:sz w:val="16"/>
      <w:szCs w:val="16"/>
    </w:rPr>
  </w:style>
  <w:style w:type="paragraph" w:styleId="CommentText">
    <w:name w:val="annotation text"/>
    <w:basedOn w:val="Normal"/>
    <w:link w:val="CommentTextChar"/>
    <w:semiHidden/>
    <w:unhideWhenUsed/>
    <w:rsid w:val="00AF158E"/>
    <w:pPr>
      <w:spacing w:line="240" w:lineRule="auto"/>
    </w:pPr>
    <w:rPr>
      <w:sz w:val="20"/>
      <w:szCs w:val="20"/>
    </w:rPr>
  </w:style>
  <w:style w:type="character" w:customStyle="1" w:styleId="CommentTextChar">
    <w:name w:val="Comment Text Char"/>
    <w:basedOn w:val="DefaultParagraphFont"/>
    <w:link w:val="CommentText"/>
    <w:semiHidden/>
    <w:rsid w:val="00AF158E"/>
    <w:rPr>
      <w:sz w:val="20"/>
      <w:szCs w:val="20"/>
    </w:rPr>
  </w:style>
  <w:style w:type="paragraph" w:styleId="CommentSubject">
    <w:name w:val="annotation subject"/>
    <w:basedOn w:val="CommentText"/>
    <w:next w:val="CommentText"/>
    <w:link w:val="CommentSubjectChar"/>
    <w:semiHidden/>
    <w:unhideWhenUsed/>
    <w:rsid w:val="00AF158E"/>
    <w:rPr>
      <w:b/>
      <w:bCs/>
    </w:rPr>
  </w:style>
  <w:style w:type="character" w:customStyle="1" w:styleId="CommentSubjectChar">
    <w:name w:val="Comment Subject Char"/>
    <w:basedOn w:val="CommentTextChar"/>
    <w:link w:val="CommentSubject"/>
    <w:semiHidden/>
    <w:rsid w:val="00AF158E"/>
    <w:rPr>
      <w:b/>
      <w:bCs/>
      <w:sz w:val="20"/>
      <w:szCs w:val="20"/>
    </w:rPr>
  </w:style>
  <w:style w:type="paragraph" w:styleId="Footer">
    <w:name w:val="footer"/>
    <w:basedOn w:val="Normal"/>
    <w:link w:val="FooterChar"/>
    <w:semiHidden/>
    <w:unhideWhenUsed/>
    <w:rsid w:val="00D81312"/>
    <w:pPr>
      <w:tabs>
        <w:tab w:val="center" w:pos="4320"/>
        <w:tab w:val="right" w:pos="8640"/>
      </w:tabs>
      <w:spacing w:after="0" w:line="240" w:lineRule="auto"/>
    </w:pPr>
  </w:style>
  <w:style w:type="character" w:customStyle="1" w:styleId="FooterChar">
    <w:name w:val="Footer Char"/>
    <w:basedOn w:val="DefaultParagraphFont"/>
    <w:link w:val="Footer"/>
    <w:semiHidden/>
    <w:rsid w:val="00D81312"/>
  </w:style>
  <w:style w:type="character" w:styleId="PageNumber">
    <w:name w:val="page number"/>
    <w:basedOn w:val="DefaultParagraphFont"/>
    <w:semiHidden/>
    <w:unhideWhenUsed/>
    <w:rsid w:val="00D8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holarworks.umass.edu/cgi/viewcontent.cgi?article=1030&amp;context=ner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pdf/ecec.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webSettings" Target="webSettings.xml"/><Relationship Id="rId9" Type="http://schemas.openxmlformats.org/officeDocument/2006/relationships/hyperlink" Target="https://us.toluna.com/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4196</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McCleaf, Tracy</dc:creator>
  <cp:lastModifiedBy>Hope Grey</cp:lastModifiedBy>
  <cp:revision>2</cp:revision>
  <dcterms:created xsi:type="dcterms:W3CDTF">2016-04-24T18:59:00Z</dcterms:created>
  <dcterms:modified xsi:type="dcterms:W3CDTF">2016-04-24T18:59:00Z</dcterms:modified>
</cp:coreProperties>
</file>