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213" w:rsidRDefault="00F107B7"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Supporting Statement for </w:t>
      </w:r>
      <w:r w:rsidR="008F4213">
        <w:rPr>
          <w:rFonts w:ascii="Times New Roman" w:hAnsi="Times New Roman" w:cs="Times New Roman"/>
        </w:rPr>
        <w:t>Form SSA-604</w:t>
      </w:r>
    </w:p>
    <w:p w:rsidR="008F4213" w:rsidRDefault="008F4213" w:rsidP="00B34FAF">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Certificate of Incapacity</w:t>
      </w:r>
    </w:p>
    <w:p w:rsidR="00146275" w:rsidRPr="000065A9" w:rsidRDefault="008F4213" w:rsidP="000065A9">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5 CFR 890.302(d)</w:t>
      </w:r>
    </w:p>
    <w:p w:rsidR="000065A9" w:rsidRPr="000065A9" w:rsidRDefault="008B6774" w:rsidP="000065A9">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sidR="002321B0">
        <w:rPr>
          <w:rFonts w:ascii="Times New Roman" w:hAnsi="Times New Roman" w:cs="Times New Roman"/>
        </w:rPr>
        <w:t>No.</w:t>
      </w:r>
      <w:r w:rsidRPr="00BC7F42">
        <w:rPr>
          <w:rFonts w:ascii="Times New Roman" w:hAnsi="Times New Roman" w:cs="Times New Roman"/>
        </w:rPr>
        <w:t xml:space="preserve"> 0960-</w:t>
      </w:r>
      <w:r w:rsidR="008F4213">
        <w:rPr>
          <w:rFonts w:ascii="Times New Roman" w:hAnsi="Times New Roman" w:cs="Times New Roman"/>
        </w:rPr>
        <w:t>0739</w:t>
      </w:r>
      <w:r w:rsidR="00146275" w:rsidRPr="00BC7F42">
        <w:rPr>
          <w:rFonts w:ascii="Times New Roman" w:hAnsi="Times New Roman" w:cs="Times New Roman"/>
        </w:rPr>
        <w:t xml:space="preserve"> </w:t>
      </w:r>
    </w:p>
    <w:p w:rsidR="00A45D82" w:rsidRPr="00BC7F42" w:rsidRDefault="00A45D82" w:rsidP="00A45D82">
      <w:pPr>
        <w:pStyle w:val="Header"/>
        <w:tabs>
          <w:tab w:val="clear" w:pos="4320"/>
          <w:tab w:val="clear" w:pos="8640"/>
        </w:tabs>
        <w:rPr>
          <w:rFonts w:ascii="Times New Roman" w:hAnsi="Times New Roman"/>
        </w:rPr>
      </w:pPr>
    </w:p>
    <w:p w:rsidR="000065A9" w:rsidRDefault="00A45D82" w:rsidP="000065A9">
      <w:pPr>
        <w:numPr>
          <w:ilvl w:val="0"/>
          <w:numId w:val="6"/>
        </w:numPr>
        <w:tabs>
          <w:tab w:val="clear" w:pos="1080"/>
          <w:tab w:val="num" w:pos="720"/>
        </w:tabs>
        <w:ind w:left="720" w:hanging="360"/>
        <w:rPr>
          <w:rFonts w:ascii="Times New Roman" w:hAnsi="Times New Roman"/>
          <w:b/>
          <w:u w:val="single"/>
        </w:rPr>
      </w:pPr>
      <w:r w:rsidRPr="002321B0">
        <w:rPr>
          <w:rFonts w:ascii="Times New Roman" w:hAnsi="Times New Roman"/>
          <w:b/>
          <w:u w:val="single"/>
        </w:rPr>
        <w:t>Justification</w:t>
      </w:r>
    </w:p>
    <w:p w:rsidR="000065A9" w:rsidRDefault="000065A9" w:rsidP="000065A9">
      <w:pPr>
        <w:ind w:left="720"/>
        <w:rPr>
          <w:rFonts w:ascii="Times New Roman" w:hAnsi="Times New Roman"/>
          <w:b/>
          <w:u w:val="single"/>
        </w:rPr>
      </w:pPr>
    </w:p>
    <w:p w:rsidR="000065A9" w:rsidRPr="000065A9" w:rsidRDefault="000065A9" w:rsidP="000065A9">
      <w:pPr>
        <w:numPr>
          <w:ilvl w:val="0"/>
          <w:numId w:val="8"/>
        </w:numPr>
        <w:rPr>
          <w:rFonts w:ascii="Times New Roman" w:hAnsi="Times New Roman"/>
          <w:b/>
          <w:u w:val="single"/>
        </w:rPr>
      </w:pPr>
      <w:r w:rsidRPr="000065A9">
        <w:rPr>
          <w:rFonts w:ascii="Times New Roman" w:hAnsi="Times New Roman"/>
          <w:b/>
        </w:rPr>
        <w:t>Introduction/Authoring Laws and Regulations</w:t>
      </w:r>
    </w:p>
    <w:p w:rsidR="000065A9" w:rsidRPr="000065A9" w:rsidRDefault="000065A9" w:rsidP="000065A9">
      <w:pPr>
        <w:ind w:left="1080"/>
        <w:rPr>
          <w:rFonts w:ascii="Times New Roman" w:hAnsi="Times New Roman"/>
          <w:bCs/>
        </w:rPr>
      </w:pPr>
      <w:r w:rsidRPr="008F4213">
        <w:rPr>
          <w:rFonts w:ascii="Times New Roman" w:hAnsi="Times New Roman"/>
          <w:bCs/>
        </w:rPr>
        <w:t>The Federal Employee Health Benefits (FEHB) Program allows dependent children of Federal employees to continue receiving health care benefits as cov</w:t>
      </w:r>
      <w:r>
        <w:rPr>
          <w:rFonts w:ascii="Times New Roman" w:hAnsi="Times New Roman"/>
          <w:bCs/>
        </w:rPr>
        <w:t>ered family members until age 26.  At age 26</w:t>
      </w:r>
      <w:r w:rsidRPr="008F4213">
        <w:rPr>
          <w:rFonts w:ascii="Times New Roman" w:hAnsi="Times New Roman"/>
          <w:bCs/>
        </w:rPr>
        <w:t>, children</w:t>
      </w:r>
      <w:r>
        <w:rPr>
          <w:rFonts w:ascii="Times New Roman" w:hAnsi="Times New Roman"/>
          <w:bCs/>
        </w:rPr>
        <w:t>’s FEHB coverage terminates.  However, as stated in</w:t>
      </w:r>
      <w:r w:rsidRPr="008F4213">
        <w:rPr>
          <w:rFonts w:ascii="Times New Roman" w:hAnsi="Times New Roman"/>
          <w:bCs/>
        </w:rPr>
        <w:t xml:space="preserve"> section </w:t>
      </w:r>
      <w:r w:rsidRPr="008F4213">
        <w:rPr>
          <w:rFonts w:ascii="Times New Roman" w:hAnsi="Times New Roman"/>
          <w:bCs/>
          <w:i/>
        </w:rPr>
        <w:t xml:space="preserve">5 CFR 890.302(d) </w:t>
      </w:r>
      <w:r w:rsidRPr="008F4213">
        <w:rPr>
          <w:rFonts w:ascii="Times New Roman" w:hAnsi="Times New Roman"/>
          <w:bCs/>
        </w:rPr>
        <w:t xml:space="preserve">of the </w:t>
      </w:r>
      <w:r w:rsidRPr="008F4213">
        <w:rPr>
          <w:rFonts w:ascii="Times New Roman" w:hAnsi="Times New Roman"/>
          <w:bCs/>
          <w:i/>
        </w:rPr>
        <w:t xml:space="preserve">Code of Federal Regulations, </w:t>
      </w:r>
      <w:r>
        <w:rPr>
          <w:rFonts w:ascii="Times New Roman" w:hAnsi="Times New Roman"/>
          <w:bCs/>
        </w:rPr>
        <w:t>children ages 26</w:t>
      </w:r>
      <w:r w:rsidRPr="008F4213">
        <w:rPr>
          <w:rFonts w:ascii="Times New Roman" w:hAnsi="Times New Roman"/>
          <w:bCs/>
        </w:rPr>
        <w:t xml:space="preserve"> and older can continue to receive health benefits under the FEHB</w:t>
      </w:r>
      <w:r>
        <w:rPr>
          <w:rFonts w:ascii="Times New Roman" w:hAnsi="Times New Roman"/>
          <w:bCs/>
        </w:rPr>
        <w:t xml:space="preserve"> Program</w:t>
      </w:r>
      <w:r w:rsidRPr="008F4213">
        <w:rPr>
          <w:rFonts w:ascii="Times New Roman" w:hAnsi="Times New Roman"/>
          <w:bCs/>
        </w:rPr>
        <w:t xml:space="preserve"> if they are incapable of self-support due to a disability</w:t>
      </w:r>
      <w:r>
        <w:rPr>
          <w:rFonts w:ascii="Times New Roman" w:hAnsi="Times New Roman"/>
          <w:bCs/>
        </w:rPr>
        <w:t>.  FEHB rules</w:t>
      </w:r>
      <w:r w:rsidRPr="001C3753">
        <w:rPr>
          <w:rFonts w:ascii="Times New Roman" w:hAnsi="Times New Roman"/>
          <w:bCs/>
        </w:rPr>
        <w:t xml:space="preserve"> require a physician </w:t>
      </w:r>
      <w:r>
        <w:rPr>
          <w:rFonts w:ascii="Times New Roman" w:hAnsi="Times New Roman"/>
          <w:bCs/>
        </w:rPr>
        <w:t xml:space="preserve">to </w:t>
      </w:r>
      <w:r w:rsidRPr="001C3753">
        <w:rPr>
          <w:rFonts w:ascii="Times New Roman" w:hAnsi="Times New Roman"/>
          <w:bCs/>
        </w:rPr>
        <w:t>verify the disability of Federal employees’ children ages 26 and over to retain health benefits under the employees’ plans.  The physician must verify the adult child has a disability that mee</w:t>
      </w:r>
      <w:r>
        <w:rPr>
          <w:rFonts w:ascii="Times New Roman" w:hAnsi="Times New Roman"/>
          <w:bCs/>
        </w:rPr>
        <w:t>ts the following criteria:  (1) p</w:t>
      </w:r>
      <w:r w:rsidRPr="001C3753">
        <w:rPr>
          <w:rFonts w:ascii="Times New Roman" w:hAnsi="Times New Roman"/>
          <w:bCs/>
        </w:rPr>
        <w:t xml:space="preserve">re-dates the child’s 26th birthday; (2) is very serious; and (3) </w:t>
      </w:r>
      <w:r w:rsidR="00E6642E">
        <w:rPr>
          <w:rFonts w:ascii="Times New Roman" w:hAnsi="Times New Roman"/>
          <w:bCs/>
        </w:rPr>
        <w:t>we expect</w:t>
      </w:r>
      <w:r>
        <w:rPr>
          <w:rFonts w:ascii="Times New Roman" w:hAnsi="Times New Roman"/>
          <w:bCs/>
        </w:rPr>
        <w:t xml:space="preserve"> to last at least one year.  The Social Security Administration (SSA)</w:t>
      </w:r>
      <w:r w:rsidRPr="001C3753">
        <w:rPr>
          <w:rFonts w:ascii="Times New Roman" w:hAnsi="Times New Roman"/>
          <w:bCs/>
        </w:rPr>
        <w:t xml:space="preserve"> uses the information to determine </w:t>
      </w:r>
      <w:r>
        <w:rPr>
          <w:rFonts w:ascii="Times New Roman" w:hAnsi="Times New Roman"/>
          <w:bCs/>
        </w:rPr>
        <w:t>adult</w:t>
      </w:r>
      <w:r w:rsidRPr="001C3753">
        <w:rPr>
          <w:rFonts w:ascii="Times New Roman" w:hAnsi="Times New Roman"/>
          <w:bCs/>
        </w:rPr>
        <w:t xml:space="preserve"> children’s (age 26 and above) eligibility for coverage under a parent’s FEHB plan</w:t>
      </w:r>
      <w:r>
        <w:rPr>
          <w:rFonts w:ascii="Times New Roman" w:hAnsi="Times New Roman"/>
          <w:bCs/>
        </w:rPr>
        <w:t>.</w:t>
      </w:r>
    </w:p>
    <w:p w:rsidR="000065A9" w:rsidRPr="000065A9" w:rsidRDefault="000065A9" w:rsidP="000065A9">
      <w:pPr>
        <w:ind w:left="1080"/>
        <w:rPr>
          <w:rFonts w:ascii="Times New Roman" w:hAnsi="Times New Roman"/>
          <w:b/>
          <w:u w:val="single"/>
        </w:rPr>
      </w:pPr>
    </w:p>
    <w:p w:rsidR="000065A9" w:rsidRPr="00E6642E" w:rsidRDefault="00E6642E" w:rsidP="000065A9">
      <w:pPr>
        <w:numPr>
          <w:ilvl w:val="0"/>
          <w:numId w:val="8"/>
        </w:numPr>
        <w:rPr>
          <w:rFonts w:ascii="Times New Roman" w:hAnsi="Times New Roman"/>
          <w:b/>
          <w:u w:val="single"/>
        </w:rPr>
      </w:pPr>
      <w:r>
        <w:rPr>
          <w:rFonts w:ascii="Times New Roman" w:hAnsi="Times New Roman"/>
          <w:b/>
        </w:rPr>
        <w:t>Description of Collection</w:t>
      </w:r>
    </w:p>
    <w:p w:rsidR="00E6642E" w:rsidRDefault="00E6642E" w:rsidP="00E6642E">
      <w:pPr>
        <w:ind w:left="1080"/>
        <w:rPr>
          <w:rFonts w:ascii="Times New Roman" w:hAnsi="Times New Roman"/>
          <w:b/>
        </w:rPr>
      </w:pPr>
      <w:r>
        <w:rPr>
          <w:rFonts w:ascii="Times New Roman" w:hAnsi="Times New Roman"/>
          <w:snapToGrid/>
        </w:rPr>
        <w:t>Physicians use Form SSA-</w:t>
      </w:r>
      <w:r w:rsidRPr="00C33F85">
        <w:rPr>
          <w:rFonts w:ascii="Times New Roman" w:hAnsi="Times New Roman"/>
          <w:snapToGrid/>
        </w:rPr>
        <w:t>604, the</w:t>
      </w:r>
      <w:r>
        <w:rPr>
          <w:rFonts w:ascii="Times New Roman" w:hAnsi="Times New Roman"/>
          <w:snapToGrid/>
        </w:rPr>
        <w:t xml:space="preserve"> </w:t>
      </w:r>
      <w:r w:rsidRPr="00C33F85">
        <w:rPr>
          <w:rFonts w:ascii="Times New Roman" w:hAnsi="Times New Roman"/>
          <w:snapToGrid/>
        </w:rPr>
        <w:t>Certificate of Incapacity, to document</w:t>
      </w:r>
      <w:r>
        <w:rPr>
          <w:rFonts w:ascii="Times New Roman" w:hAnsi="Times New Roman"/>
          <w:snapToGrid/>
        </w:rPr>
        <w:t xml:space="preserve"> and</w:t>
      </w:r>
      <w:r w:rsidRPr="00C33F85">
        <w:rPr>
          <w:rFonts w:ascii="Times New Roman" w:hAnsi="Times New Roman"/>
          <w:snapToGrid/>
        </w:rPr>
        <w:t xml:space="preserve"> certify the disability of children</w:t>
      </w:r>
      <w:r>
        <w:rPr>
          <w:rFonts w:ascii="Times New Roman" w:hAnsi="Times New Roman"/>
          <w:snapToGrid/>
        </w:rPr>
        <w:t xml:space="preserve"> ages 26</w:t>
      </w:r>
      <w:r w:rsidRPr="00C33F85">
        <w:rPr>
          <w:rFonts w:ascii="Times New Roman" w:hAnsi="Times New Roman"/>
          <w:snapToGrid/>
        </w:rPr>
        <w:t xml:space="preserve"> and over</w:t>
      </w:r>
      <w:r w:rsidR="005E7549">
        <w:rPr>
          <w:rFonts w:ascii="Times New Roman" w:hAnsi="Times New Roman"/>
          <w:snapToGrid/>
        </w:rPr>
        <w:t>,</w:t>
      </w:r>
      <w:bookmarkStart w:id="0" w:name="_GoBack"/>
      <w:bookmarkEnd w:id="0"/>
      <w:r w:rsidRPr="00C33F85">
        <w:rPr>
          <w:rFonts w:ascii="Times New Roman" w:hAnsi="Times New Roman"/>
          <w:snapToGrid/>
        </w:rPr>
        <w:t xml:space="preserve"> whose parents are SSA</w:t>
      </w:r>
      <w:r>
        <w:rPr>
          <w:rFonts w:ascii="Times New Roman" w:hAnsi="Times New Roman"/>
          <w:snapToGrid/>
        </w:rPr>
        <w:t xml:space="preserve"> employees.  </w:t>
      </w:r>
      <w:r w:rsidRPr="00C33F85">
        <w:rPr>
          <w:rFonts w:ascii="Times New Roman" w:hAnsi="Times New Roman"/>
          <w:snapToGrid/>
        </w:rPr>
        <w:t>SSA uses the information to</w:t>
      </w:r>
      <w:r>
        <w:rPr>
          <w:rFonts w:ascii="Times New Roman" w:hAnsi="Times New Roman"/>
          <w:snapToGrid/>
        </w:rPr>
        <w:t xml:space="preserve"> </w:t>
      </w:r>
      <w:r w:rsidRPr="00C33F85">
        <w:rPr>
          <w:rFonts w:ascii="Times New Roman" w:hAnsi="Times New Roman"/>
          <w:snapToGrid/>
        </w:rPr>
        <w:t>de</w:t>
      </w:r>
      <w:r>
        <w:rPr>
          <w:rFonts w:ascii="Times New Roman" w:hAnsi="Times New Roman"/>
          <w:snapToGrid/>
        </w:rPr>
        <w:t>termine adult children’s (age 26</w:t>
      </w:r>
      <w:r w:rsidRPr="00C33F85">
        <w:rPr>
          <w:rFonts w:ascii="Times New Roman" w:hAnsi="Times New Roman"/>
          <w:snapToGrid/>
        </w:rPr>
        <w:t xml:space="preserve"> and</w:t>
      </w:r>
      <w:r>
        <w:rPr>
          <w:rFonts w:ascii="Times New Roman" w:hAnsi="Times New Roman"/>
          <w:snapToGrid/>
        </w:rPr>
        <w:t xml:space="preserve"> </w:t>
      </w:r>
      <w:r w:rsidRPr="00C33F85">
        <w:rPr>
          <w:rFonts w:ascii="Times New Roman" w:hAnsi="Times New Roman"/>
          <w:snapToGrid/>
        </w:rPr>
        <w:t>above) eligibility for coverage under a</w:t>
      </w:r>
      <w:r>
        <w:rPr>
          <w:rFonts w:ascii="Times New Roman" w:hAnsi="Times New Roman"/>
          <w:snapToGrid/>
        </w:rPr>
        <w:t xml:space="preserve"> </w:t>
      </w:r>
      <w:r w:rsidRPr="00C33F85">
        <w:rPr>
          <w:rFonts w:ascii="Times New Roman" w:hAnsi="Times New Roman"/>
          <w:snapToGrid/>
        </w:rPr>
        <w:t xml:space="preserve">parent’s FEHB plan. </w:t>
      </w:r>
      <w:r>
        <w:rPr>
          <w:rFonts w:ascii="Times New Roman" w:hAnsi="Times New Roman"/>
          <w:snapToGrid/>
        </w:rPr>
        <w:t xml:space="preserve"> </w:t>
      </w:r>
      <w:r w:rsidRPr="00C33F85">
        <w:rPr>
          <w:rFonts w:ascii="Times New Roman" w:hAnsi="Times New Roman"/>
          <w:snapToGrid/>
        </w:rPr>
        <w:t>The respondents</w:t>
      </w:r>
      <w:r>
        <w:rPr>
          <w:rFonts w:ascii="Times New Roman" w:hAnsi="Times New Roman"/>
          <w:snapToGrid/>
        </w:rPr>
        <w:t xml:space="preserve"> </w:t>
      </w:r>
      <w:r w:rsidRPr="00C33F85">
        <w:rPr>
          <w:rFonts w:ascii="Times New Roman" w:hAnsi="Times New Roman"/>
          <w:snapToGrid/>
        </w:rPr>
        <w:t>are physicians of SSA employees’</w:t>
      </w:r>
      <w:r>
        <w:rPr>
          <w:rFonts w:ascii="Times New Roman" w:hAnsi="Times New Roman"/>
          <w:snapToGrid/>
        </w:rPr>
        <w:t xml:space="preserve"> children, ages 26</w:t>
      </w:r>
      <w:r w:rsidRPr="00C33F85">
        <w:rPr>
          <w:rFonts w:ascii="Times New Roman" w:hAnsi="Times New Roman"/>
          <w:snapToGrid/>
        </w:rPr>
        <w:t xml:space="preserve"> or over</w:t>
      </w:r>
      <w:r>
        <w:rPr>
          <w:rFonts w:ascii="Times New Roman" w:hAnsi="Times New Roman"/>
          <w:snapToGrid/>
        </w:rPr>
        <w:t>,</w:t>
      </w:r>
      <w:r w:rsidRPr="00C33F85">
        <w:rPr>
          <w:rFonts w:ascii="Times New Roman" w:hAnsi="Times New Roman"/>
          <w:snapToGrid/>
        </w:rPr>
        <w:t xml:space="preserve"> who are seeking</w:t>
      </w:r>
      <w:r>
        <w:rPr>
          <w:rFonts w:ascii="Times New Roman" w:hAnsi="Times New Roman"/>
          <w:snapToGrid/>
        </w:rPr>
        <w:t xml:space="preserve"> </w:t>
      </w:r>
      <w:r w:rsidRPr="00C33F85">
        <w:rPr>
          <w:rFonts w:ascii="Times New Roman" w:hAnsi="Times New Roman"/>
          <w:snapToGrid/>
        </w:rPr>
        <w:t>to retain health benefits under their</w:t>
      </w:r>
      <w:r>
        <w:rPr>
          <w:rFonts w:ascii="Times New Roman" w:hAnsi="Times New Roman"/>
          <w:snapToGrid/>
        </w:rPr>
        <w:t xml:space="preserve"> </w:t>
      </w:r>
      <w:r w:rsidRPr="00C33F85">
        <w:rPr>
          <w:rFonts w:ascii="Times New Roman" w:hAnsi="Times New Roman"/>
          <w:snapToGrid/>
        </w:rPr>
        <w:t>parent’s FEHB coverage</w:t>
      </w:r>
      <w:r>
        <w:rPr>
          <w:rFonts w:ascii="Times New Roman" w:hAnsi="Times New Roman"/>
          <w:snapToGrid/>
        </w:rPr>
        <w:t>.</w:t>
      </w:r>
    </w:p>
    <w:p w:rsidR="00E6642E" w:rsidRPr="000065A9" w:rsidRDefault="00E6642E" w:rsidP="00E6642E">
      <w:pPr>
        <w:ind w:left="1080"/>
        <w:rPr>
          <w:rFonts w:ascii="Times New Roman" w:hAnsi="Times New Roman"/>
          <w:b/>
          <w:u w:val="single"/>
        </w:rPr>
      </w:pPr>
    </w:p>
    <w:p w:rsidR="000065A9" w:rsidRPr="00E6642E" w:rsidRDefault="00E6642E" w:rsidP="000065A9">
      <w:pPr>
        <w:numPr>
          <w:ilvl w:val="0"/>
          <w:numId w:val="8"/>
        </w:numPr>
        <w:rPr>
          <w:rFonts w:ascii="Times New Roman" w:hAnsi="Times New Roman"/>
          <w:b/>
          <w:u w:val="single"/>
        </w:rPr>
      </w:pPr>
      <w:r w:rsidRPr="00BC7F42">
        <w:rPr>
          <w:rFonts w:ascii="Times New Roman" w:hAnsi="Times New Roman"/>
          <w:b/>
        </w:rPr>
        <w:t>Use of Information Technology to Collect the Information</w:t>
      </w:r>
    </w:p>
    <w:p w:rsidR="00E6642E" w:rsidRDefault="00E6642E" w:rsidP="00E6642E">
      <w:pPr>
        <w:ind w:left="1080"/>
        <w:rPr>
          <w:rFonts w:ascii="Times New Roman" w:hAnsi="Times New Roman"/>
          <w:b/>
        </w:rPr>
      </w:pPr>
      <w:r>
        <w:rPr>
          <w:rFonts w:ascii="Times New Roman" w:hAnsi="Times New Roman"/>
        </w:rPr>
        <w:t xml:space="preserve">Form SSA-604 is available as a print-only PDF on SSA’s website.  </w:t>
      </w:r>
      <w:r w:rsidRPr="00790B5C">
        <w:rPr>
          <w:rFonts w:ascii="Times New Roman" w:hAnsi="Times New Roman"/>
        </w:rPr>
        <w:t>SSA did not c</w:t>
      </w:r>
      <w:r>
        <w:rPr>
          <w:rFonts w:ascii="Times New Roman" w:hAnsi="Times New Roman"/>
        </w:rPr>
        <w:t>reate an electronic version of F</w:t>
      </w:r>
      <w:r w:rsidRPr="00790B5C">
        <w:rPr>
          <w:rFonts w:ascii="Times New Roman" w:hAnsi="Times New Roman"/>
        </w:rPr>
        <w:t xml:space="preserve">orm </w:t>
      </w:r>
      <w:r>
        <w:rPr>
          <w:rFonts w:ascii="Times New Roman" w:hAnsi="Times New Roman"/>
        </w:rPr>
        <w:t>SSA-604</w:t>
      </w:r>
      <w:r w:rsidRPr="00790B5C">
        <w:rPr>
          <w:rFonts w:ascii="Times New Roman" w:hAnsi="Times New Roman"/>
        </w:rPr>
        <w:t xml:space="preserve"> under the agency’s Government Pa</w:t>
      </w:r>
      <w:r>
        <w:rPr>
          <w:rFonts w:ascii="Times New Roman" w:hAnsi="Times New Roman"/>
        </w:rPr>
        <w:t>perwork Elimination Act</w:t>
      </w:r>
      <w:r w:rsidRPr="00790B5C">
        <w:rPr>
          <w:rFonts w:ascii="Times New Roman" w:hAnsi="Times New Roman"/>
        </w:rPr>
        <w:t xml:space="preserve"> plan because only </w:t>
      </w:r>
      <w:r>
        <w:rPr>
          <w:rFonts w:ascii="Times New Roman" w:hAnsi="Times New Roman"/>
        </w:rPr>
        <w:t>50 respondents complete the form annually.</w:t>
      </w:r>
    </w:p>
    <w:p w:rsidR="00E6642E" w:rsidRPr="000065A9" w:rsidRDefault="00E6642E" w:rsidP="00E6642E">
      <w:pPr>
        <w:ind w:left="1080"/>
        <w:rPr>
          <w:rFonts w:ascii="Times New Roman" w:hAnsi="Times New Roman"/>
          <w:b/>
          <w:u w:val="single"/>
        </w:rPr>
      </w:pPr>
    </w:p>
    <w:p w:rsidR="000065A9" w:rsidRPr="00E6642E" w:rsidRDefault="00E6642E" w:rsidP="000065A9">
      <w:pPr>
        <w:numPr>
          <w:ilvl w:val="0"/>
          <w:numId w:val="8"/>
        </w:numPr>
        <w:rPr>
          <w:rFonts w:ascii="Times New Roman" w:hAnsi="Times New Roman"/>
          <w:b/>
          <w:u w:val="single"/>
        </w:rPr>
      </w:pPr>
      <w:r w:rsidRPr="00BC7F42">
        <w:rPr>
          <w:rFonts w:ascii="Times New Roman" w:hAnsi="Times New Roman"/>
          <w:b/>
        </w:rPr>
        <w:t xml:space="preserve">Why </w:t>
      </w:r>
      <w:r>
        <w:rPr>
          <w:rFonts w:ascii="Times New Roman" w:hAnsi="Times New Roman"/>
          <w:b/>
        </w:rPr>
        <w:t>We Cannot Use Duplicate Information</w:t>
      </w:r>
    </w:p>
    <w:p w:rsidR="00E6642E" w:rsidRDefault="00E6642E" w:rsidP="00E6642E">
      <w:pPr>
        <w:ind w:left="1080"/>
        <w:rPr>
          <w:rFonts w:ascii="Times New Roman" w:hAnsi="Times New Roman"/>
          <w:b/>
        </w:rPr>
      </w:pPr>
      <w:r w:rsidRPr="00790B5C">
        <w:rPr>
          <w:rFonts w:ascii="Times New Roman" w:hAnsi="Times New Roman"/>
        </w:rPr>
        <w:t>The n</w:t>
      </w:r>
      <w:r>
        <w:rPr>
          <w:rFonts w:ascii="Times New Roman" w:hAnsi="Times New Roman"/>
        </w:rPr>
        <w:t xml:space="preserve">ature of the information we collect and the manner in which we </w:t>
      </w:r>
      <w:r w:rsidRPr="00790B5C">
        <w:rPr>
          <w:rFonts w:ascii="Times New Roman" w:hAnsi="Times New Roman"/>
        </w:rPr>
        <w:t>coll</w:t>
      </w:r>
      <w:r>
        <w:rPr>
          <w:rFonts w:ascii="Times New Roman" w:hAnsi="Times New Roman"/>
        </w:rPr>
        <w:t>ect</w:t>
      </w:r>
      <w:r w:rsidRPr="00790B5C">
        <w:rPr>
          <w:rFonts w:ascii="Times New Roman" w:hAnsi="Times New Roman"/>
        </w:rPr>
        <w:t xml:space="preserve"> it preclude duplication.  SSA does not use another collection instrument to obtain similar data</w:t>
      </w:r>
      <w:r>
        <w:rPr>
          <w:rFonts w:ascii="Times New Roman" w:hAnsi="Times New Roman"/>
        </w:rPr>
        <w:t>.</w:t>
      </w:r>
    </w:p>
    <w:p w:rsidR="00E6642E" w:rsidRPr="000065A9" w:rsidRDefault="00E6642E" w:rsidP="00E6642E">
      <w:pPr>
        <w:ind w:left="1080"/>
        <w:rPr>
          <w:rFonts w:ascii="Times New Roman" w:hAnsi="Times New Roman"/>
          <w:b/>
          <w:u w:val="single"/>
        </w:rPr>
      </w:pPr>
    </w:p>
    <w:p w:rsidR="000065A9" w:rsidRPr="00EC56F9" w:rsidRDefault="00EC56F9" w:rsidP="000065A9">
      <w:pPr>
        <w:numPr>
          <w:ilvl w:val="0"/>
          <w:numId w:val="8"/>
        </w:numPr>
        <w:rPr>
          <w:rFonts w:ascii="Times New Roman" w:hAnsi="Times New Roman"/>
          <w:b/>
          <w:u w:val="single"/>
        </w:rPr>
      </w:pPr>
      <w:r>
        <w:rPr>
          <w:rFonts w:ascii="Times New Roman" w:hAnsi="Times New Roman"/>
          <w:b/>
        </w:rPr>
        <w:t>Minimizing Burden on Small Respondents</w:t>
      </w:r>
    </w:p>
    <w:p w:rsidR="00EC56F9" w:rsidRDefault="00EC56F9" w:rsidP="00EC56F9">
      <w:pPr>
        <w:ind w:left="1080"/>
        <w:rPr>
          <w:rFonts w:ascii="Times New Roman" w:hAnsi="Times New Roman"/>
        </w:rPr>
      </w:pPr>
      <w:r w:rsidRPr="000C4C65">
        <w:rPr>
          <w:rFonts w:ascii="Times New Roman" w:hAnsi="Times New Roman"/>
        </w:rPr>
        <w:t>This collection does not affect small businesses or other small entities</w:t>
      </w:r>
      <w:r>
        <w:rPr>
          <w:rFonts w:ascii="Times New Roman" w:hAnsi="Times New Roman"/>
        </w:rPr>
        <w:t>.</w:t>
      </w:r>
    </w:p>
    <w:p w:rsidR="00EC56F9" w:rsidRPr="000065A9" w:rsidRDefault="00EC56F9" w:rsidP="00EC56F9">
      <w:pPr>
        <w:ind w:left="1080"/>
        <w:rPr>
          <w:rFonts w:ascii="Times New Roman" w:hAnsi="Times New Roman"/>
          <w:b/>
          <w:u w:val="single"/>
        </w:rPr>
      </w:pPr>
    </w:p>
    <w:p w:rsidR="000065A9" w:rsidRPr="00EC56F9" w:rsidRDefault="00EC56F9" w:rsidP="000065A9">
      <w:pPr>
        <w:numPr>
          <w:ilvl w:val="0"/>
          <w:numId w:val="8"/>
        </w:numPr>
        <w:rPr>
          <w:rFonts w:ascii="Times New Roman" w:hAnsi="Times New Roman"/>
          <w:b/>
          <w:u w:val="single"/>
        </w:rPr>
      </w:pPr>
      <w:r w:rsidRPr="00BC7F42">
        <w:rPr>
          <w:rFonts w:ascii="Times New Roman" w:hAnsi="Times New Roman"/>
          <w:b/>
        </w:rPr>
        <w:t>Consequence of Not Collecting Information or Collecting it Less Frequently</w:t>
      </w:r>
    </w:p>
    <w:p w:rsidR="00EC56F9" w:rsidRDefault="00EC56F9" w:rsidP="00EC56F9">
      <w:pPr>
        <w:ind w:left="1080"/>
        <w:rPr>
          <w:rFonts w:ascii="Times New Roman" w:hAnsi="Times New Roman"/>
          <w:b/>
        </w:rPr>
      </w:pPr>
      <w:r>
        <w:rPr>
          <w:rFonts w:ascii="Times New Roman" w:hAnsi="Times New Roman"/>
          <w:bCs/>
        </w:rPr>
        <w:t xml:space="preserve">If SSA did not collect the information, </w:t>
      </w:r>
      <w:r w:rsidRPr="000C4C65">
        <w:rPr>
          <w:rFonts w:ascii="Times New Roman" w:hAnsi="Times New Roman"/>
          <w:bCs/>
        </w:rPr>
        <w:t>SSA</w:t>
      </w:r>
      <w:r>
        <w:rPr>
          <w:rFonts w:ascii="Times New Roman" w:hAnsi="Times New Roman"/>
          <w:bCs/>
        </w:rPr>
        <w:t xml:space="preserve"> employees with children ages 26</w:t>
      </w:r>
      <w:r w:rsidRPr="000C4C65">
        <w:rPr>
          <w:rFonts w:ascii="Times New Roman" w:hAnsi="Times New Roman"/>
          <w:bCs/>
        </w:rPr>
        <w:t xml:space="preserve"> and over who qualify for the FEHB program because of their disabilities would have no </w:t>
      </w:r>
      <w:r w:rsidRPr="000C4C65">
        <w:rPr>
          <w:rFonts w:ascii="Times New Roman" w:hAnsi="Times New Roman"/>
          <w:bCs/>
        </w:rPr>
        <w:lastRenderedPageBreak/>
        <w:t>means of applying to retain their health coverage</w:t>
      </w:r>
      <w:r>
        <w:rPr>
          <w:rFonts w:ascii="Times New Roman" w:hAnsi="Times New Roman"/>
          <w:bCs/>
        </w:rPr>
        <w:t xml:space="preserve">.  Because the physicians only complete the form once, we cannot collect it less frequently.  </w:t>
      </w:r>
      <w:r w:rsidRPr="000C4C65">
        <w:rPr>
          <w:rFonts w:ascii="Times New Roman" w:hAnsi="Times New Roman"/>
          <w:bCs/>
        </w:rPr>
        <w:t xml:space="preserve">There are no technical or legal obstacles </w:t>
      </w:r>
      <w:r>
        <w:rPr>
          <w:rFonts w:ascii="Times New Roman" w:hAnsi="Times New Roman"/>
          <w:bCs/>
        </w:rPr>
        <w:t xml:space="preserve">to </w:t>
      </w:r>
      <w:r w:rsidRPr="000C4C65">
        <w:rPr>
          <w:rFonts w:ascii="Times New Roman" w:hAnsi="Times New Roman"/>
          <w:bCs/>
        </w:rPr>
        <w:t>burden reduction</w:t>
      </w:r>
      <w:r>
        <w:rPr>
          <w:rFonts w:ascii="Times New Roman" w:hAnsi="Times New Roman"/>
          <w:bCs/>
        </w:rPr>
        <w:t>.</w:t>
      </w:r>
    </w:p>
    <w:p w:rsidR="00EC56F9" w:rsidRPr="000065A9" w:rsidRDefault="00EC56F9" w:rsidP="00EC56F9">
      <w:pPr>
        <w:ind w:left="1080"/>
        <w:rPr>
          <w:rFonts w:ascii="Times New Roman" w:hAnsi="Times New Roman"/>
          <w:b/>
          <w:u w:val="single"/>
        </w:rPr>
      </w:pPr>
    </w:p>
    <w:p w:rsidR="000065A9" w:rsidRPr="00EC56F9" w:rsidRDefault="00EC56F9" w:rsidP="000065A9">
      <w:pPr>
        <w:numPr>
          <w:ilvl w:val="0"/>
          <w:numId w:val="8"/>
        </w:numPr>
        <w:rPr>
          <w:rFonts w:ascii="Times New Roman" w:hAnsi="Times New Roman"/>
          <w:b/>
          <w:u w:val="single"/>
        </w:rPr>
      </w:pPr>
      <w:r w:rsidRPr="00BC7F42">
        <w:rPr>
          <w:rFonts w:ascii="Times New Roman" w:hAnsi="Times New Roman"/>
          <w:b/>
        </w:rPr>
        <w:t>Special Circumstances</w:t>
      </w:r>
    </w:p>
    <w:p w:rsidR="00EC56F9" w:rsidRDefault="00EC56F9" w:rsidP="00EC56F9">
      <w:pPr>
        <w:ind w:left="1080"/>
        <w:rPr>
          <w:rFonts w:ascii="Times New Roman" w:hAnsi="Times New Roman"/>
          <w:b/>
        </w:rPr>
      </w:pPr>
      <w:r w:rsidRPr="0049289F">
        <w:rPr>
          <w:rFonts w:ascii="Times New Roman" w:hAnsi="Times New Roman"/>
        </w:rPr>
        <w:t xml:space="preserve">There are no special circumstances that would cause SSA to conduct this information collection in a manner inconsistent with </w:t>
      </w:r>
      <w:proofErr w:type="gramStart"/>
      <w:r w:rsidRPr="001C3753">
        <w:rPr>
          <w:rFonts w:ascii="Times New Roman" w:hAnsi="Times New Roman"/>
          <w:i/>
        </w:rPr>
        <w:t>5</w:t>
      </w:r>
      <w:proofErr w:type="gramEnd"/>
      <w:r w:rsidRPr="001C3753">
        <w:rPr>
          <w:rFonts w:ascii="Times New Roman" w:hAnsi="Times New Roman"/>
          <w:i/>
        </w:rPr>
        <w:t xml:space="preserve"> CFR 1320.5</w:t>
      </w:r>
      <w:r>
        <w:rPr>
          <w:rFonts w:ascii="Times New Roman" w:hAnsi="Times New Roman"/>
          <w:i/>
        </w:rPr>
        <w:t>.</w:t>
      </w:r>
    </w:p>
    <w:p w:rsidR="00EC56F9" w:rsidRPr="000065A9" w:rsidRDefault="00EC56F9" w:rsidP="00EC56F9">
      <w:pPr>
        <w:ind w:left="1080"/>
        <w:rPr>
          <w:rFonts w:ascii="Times New Roman" w:hAnsi="Times New Roman"/>
          <w:b/>
          <w:u w:val="single"/>
        </w:rPr>
      </w:pPr>
    </w:p>
    <w:p w:rsidR="000065A9" w:rsidRPr="00EC56F9" w:rsidRDefault="00EC56F9" w:rsidP="000065A9">
      <w:pPr>
        <w:numPr>
          <w:ilvl w:val="0"/>
          <w:numId w:val="8"/>
        </w:numPr>
        <w:rPr>
          <w:rFonts w:ascii="Times New Roman" w:hAnsi="Times New Roman"/>
          <w:b/>
          <w:u w:val="single"/>
        </w:rPr>
      </w:pPr>
      <w:r w:rsidRPr="00BC7F42">
        <w:rPr>
          <w:rFonts w:ascii="Times New Roman" w:hAnsi="Times New Roman"/>
          <w:b/>
        </w:rPr>
        <w:t>Solicitation of Public Comment and Other Consultations with the Public</w:t>
      </w:r>
    </w:p>
    <w:p w:rsidR="00EC56F9" w:rsidRPr="00EC56F9" w:rsidRDefault="00EC56F9" w:rsidP="00EC56F9">
      <w:pPr>
        <w:ind w:left="1080"/>
        <w:rPr>
          <w:rFonts w:ascii="Times New Roman" w:hAnsi="Times New Roman"/>
          <w:b/>
          <w:u w:val="single"/>
        </w:rPr>
      </w:pPr>
      <w:r>
        <w:rPr>
          <w:rFonts w:ascii="Times New Roman" w:hAnsi="Times New Roman"/>
        </w:rPr>
        <w:t>SSA published the</w:t>
      </w:r>
      <w:r w:rsidRPr="005B6D64">
        <w:rPr>
          <w:rFonts w:ascii="Times New Roman" w:hAnsi="Times New Roman"/>
        </w:rPr>
        <w:t xml:space="preserve"> 60-day advance Federal Register Notice published on</w:t>
      </w:r>
      <w:r>
        <w:rPr>
          <w:rFonts w:ascii="Times New Roman" w:hAnsi="Times New Roman"/>
        </w:rPr>
        <w:t xml:space="preserve"> January 19, 2016, at 81</w:t>
      </w:r>
      <w:r w:rsidRPr="005B6D64">
        <w:rPr>
          <w:rFonts w:ascii="Times New Roman" w:hAnsi="Times New Roman"/>
        </w:rPr>
        <w:t xml:space="preserve"> FR</w:t>
      </w:r>
      <w:r>
        <w:rPr>
          <w:rFonts w:ascii="Times New Roman" w:hAnsi="Times New Roman"/>
        </w:rPr>
        <w:t xml:space="preserve"> 2938</w:t>
      </w:r>
      <w:r w:rsidRPr="005B6D64">
        <w:rPr>
          <w:rFonts w:ascii="Times New Roman" w:hAnsi="Times New Roman"/>
        </w:rPr>
        <w:t xml:space="preserve">, and </w:t>
      </w:r>
      <w:r>
        <w:rPr>
          <w:rFonts w:ascii="Times New Roman" w:hAnsi="Times New Roman"/>
        </w:rPr>
        <w:t>we</w:t>
      </w:r>
      <w:r w:rsidRPr="005B6D64">
        <w:rPr>
          <w:rFonts w:ascii="Times New Roman" w:hAnsi="Times New Roman"/>
        </w:rPr>
        <w:t xml:space="preserve"> re</w:t>
      </w:r>
      <w:r>
        <w:rPr>
          <w:rFonts w:ascii="Times New Roman" w:hAnsi="Times New Roman"/>
        </w:rPr>
        <w:t>ceived no public comments.  SSA published the second Notice</w:t>
      </w:r>
      <w:r w:rsidRPr="005B6D64">
        <w:rPr>
          <w:rFonts w:ascii="Times New Roman" w:hAnsi="Times New Roman"/>
        </w:rPr>
        <w:t xml:space="preserve"> on</w:t>
      </w:r>
      <w:r>
        <w:rPr>
          <w:rFonts w:ascii="Times New Roman" w:hAnsi="Times New Roman"/>
        </w:rPr>
        <w:t xml:space="preserve"> </w:t>
      </w:r>
      <w:r w:rsidR="005E7549">
        <w:rPr>
          <w:rFonts w:ascii="Times New Roman" w:hAnsi="Times New Roman"/>
        </w:rPr>
        <w:t>March 24, 2016</w:t>
      </w:r>
      <w:r>
        <w:rPr>
          <w:rFonts w:ascii="Times New Roman" w:hAnsi="Times New Roman"/>
        </w:rPr>
        <w:t>, at 81</w:t>
      </w:r>
      <w:r w:rsidRPr="005B6D64">
        <w:rPr>
          <w:rFonts w:ascii="Times New Roman" w:hAnsi="Times New Roman"/>
        </w:rPr>
        <w:t xml:space="preserve"> FR</w:t>
      </w:r>
      <w:r>
        <w:rPr>
          <w:rFonts w:ascii="Times New Roman" w:hAnsi="Times New Roman"/>
        </w:rPr>
        <w:t xml:space="preserve"> </w:t>
      </w:r>
      <w:r w:rsidR="005E7549">
        <w:rPr>
          <w:rFonts w:ascii="Times New Roman" w:hAnsi="Times New Roman"/>
        </w:rPr>
        <w:t>15774</w:t>
      </w:r>
      <w:r>
        <w:rPr>
          <w:rFonts w:ascii="Times New Roman" w:hAnsi="Times New Roman"/>
        </w:rPr>
        <w:t>.  If we receive any comments in response to our second Notice, we will forward them to OMB.  There have been no outside consultations with members of the public.</w:t>
      </w:r>
    </w:p>
    <w:p w:rsidR="00EC56F9" w:rsidRPr="000065A9" w:rsidRDefault="00EC56F9" w:rsidP="00EC56F9">
      <w:pPr>
        <w:ind w:left="1080"/>
        <w:rPr>
          <w:rFonts w:ascii="Times New Roman" w:hAnsi="Times New Roman"/>
          <w:b/>
          <w:u w:val="single"/>
        </w:rPr>
      </w:pPr>
    </w:p>
    <w:p w:rsidR="000065A9" w:rsidRPr="00EC56F9" w:rsidRDefault="00EC56F9" w:rsidP="000065A9">
      <w:pPr>
        <w:numPr>
          <w:ilvl w:val="0"/>
          <w:numId w:val="8"/>
        </w:numPr>
        <w:rPr>
          <w:rFonts w:ascii="Times New Roman" w:hAnsi="Times New Roman"/>
          <w:b/>
          <w:u w:val="single"/>
        </w:rPr>
      </w:pPr>
      <w:r w:rsidRPr="00BC7F42">
        <w:rPr>
          <w:rFonts w:ascii="Times New Roman" w:hAnsi="Times New Roman"/>
          <w:b/>
        </w:rPr>
        <w:t>Payment or Gifts to Respondents</w:t>
      </w:r>
    </w:p>
    <w:p w:rsidR="00EC56F9" w:rsidRPr="00EC56F9" w:rsidRDefault="00EC56F9" w:rsidP="00EC56F9">
      <w:pPr>
        <w:ind w:left="1080"/>
        <w:rPr>
          <w:rFonts w:ascii="Times New Roman" w:hAnsi="Times New Roman"/>
          <w:b/>
        </w:rPr>
      </w:pPr>
      <w:r w:rsidRPr="000C4C65">
        <w:rPr>
          <w:rFonts w:ascii="Times New Roman" w:hAnsi="Times New Roman"/>
        </w:rPr>
        <w:t>SSA does not provide payments or gifts to the respondents</w:t>
      </w:r>
      <w:r>
        <w:rPr>
          <w:rFonts w:ascii="Times New Roman" w:hAnsi="Times New Roman"/>
          <w:b/>
        </w:rPr>
        <w:t>.</w:t>
      </w:r>
    </w:p>
    <w:p w:rsidR="00EC56F9" w:rsidRPr="000065A9" w:rsidRDefault="00EC56F9" w:rsidP="00EC56F9">
      <w:pPr>
        <w:ind w:left="1080"/>
        <w:rPr>
          <w:rFonts w:ascii="Times New Roman" w:hAnsi="Times New Roman"/>
          <w:b/>
          <w:u w:val="single"/>
        </w:rPr>
      </w:pPr>
    </w:p>
    <w:p w:rsidR="000065A9" w:rsidRPr="00EC56F9" w:rsidRDefault="00EC56F9" w:rsidP="000065A9">
      <w:pPr>
        <w:numPr>
          <w:ilvl w:val="0"/>
          <w:numId w:val="8"/>
        </w:numPr>
        <w:rPr>
          <w:rFonts w:ascii="Times New Roman" w:hAnsi="Times New Roman"/>
          <w:b/>
          <w:u w:val="single"/>
        </w:rPr>
      </w:pPr>
      <w:r w:rsidRPr="00BC7F42">
        <w:rPr>
          <w:rFonts w:ascii="Times New Roman" w:hAnsi="Times New Roman"/>
          <w:b/>
        </w:rPr>
        <w:t>Assurances of Confidentiality</w:t>
      </w:r>
    </w:p>
    <w:p w:rsidR="00EC56F9" w:rsidRDefault="00EC56F9" w:rsidP="00EC56F9">
      <w:pPr>
        <w:ind w:left="1080"/>
        <w:rPr>
          <w:rFonts w:ascii="Times New Roman" w:hAnsi="Times New Roman"/>
          <w:b/>
        </w:rPr>
      </w:pPr>
      <w:r w:rsidRPr="0049289F">
        <w:rPr>
          <w:rFonts w:ascii="Times New Roman" w:hAnsi="Times New Roman"/>
        </w:rPr>
        <w:t xml:space="preserve">SSA protects and holds confidential the information it collects in accordance with </w:t>
      </w:r>
      <w:r>
        <w:rPr>
          <w:rFonts w:ascii="Times New Roman" w:hAnsi="Times New Roman"/>
          <w:i/>
        </w:rPr>
        <w:t>42 </w:t>
      </w:r>
      <w:r w:rsidRPr="008E45C0">
        <w:rPr>
          <w:rFonts w:ascii="Times New Roman" w:hAnsi="Times New Roman"/>
          <w:i/>
        </w:rPr>
        <w:t>U.S.C. 1306, 20 CFR 401</w:t>
      </w:r>
      <w:r w:rsidRPr="0049289F">
        <w:rPr>
          <w:rFonts w:ascii="Times New Roman" w:hAnsi="Times New Roman"/>
        </w:rPr>
        <w:t xml:space="preserve"> and </w:t>
      </w:r>
      <w:r w:rsidRPr="008E45C0">
        <w:rPr>
          <w:rFonts w:ascii="Times New Roman" w:hAnsi="Times New Roman"/>
          <w:i/>
        </w:rPr>
        <w:t>402, 5 U.S.C. 552 (Fre</w:t>
      </w:r>
      <w:r>
        <w:rPr>
          <w:rFonts w:ascii="Times New Roman" w:hAnsi="Times New Roman"/>
          <w:i/>
        </w:rPr>
        <w:t>edom of Information Act), 5 </w:t>
      </w:r>
      <w:r w:rsidRPr="008E45C0">
        <w:rPr>
          <w:rFonts w:ascii="Times New Roman" w:hAnsi="Times New Roman"/>
          <w:i/>
        </w:rPr>
        <w:t>U.S.C. 552a (Privacy Act of 1974),</w:t>
      </w:r>
      <w:r w:rsidRPr="0049289F">
        <w:rPr>
          <w:rFonts w:ascii="Times New Roman" w:hAnsi="Times New Roman"/>
        </w:rPr>
        <w:t xml:space="preserve"> and OMB Circular No</w:t>
      </w:r>
      <w:proofErr w:type="gramStart"/>
      <w:r w:rsidRPr="0049289F">
        <w:rPr>
          <w:rFonts w:ascii="Times New Roman" w:hAnsi="Times New Roman"/>
        </w:rPr>
        <w:t>. A-130</w:t>
      </w:r>
      <w:r>
        <w:rPr>
          <w:rFonts w:ascii="Times New Roman" w:hAnsi="Times New Roman"/>
        </w:rPr>
        <w:t>.</w:t>
      </w:r>
      <w:proofErr w:type="gramEnd"/>
    </w:p>
    <w:p w:rsidR="00EC56F9" w:rsidRPr="000065A9" w:rsidRDefault="00EC56F9" w:rsidP="00EC56F9">
      <w:pPr>
        <w:ind w:left="1080"/>
        <w:rPr>
          <w:rFonts w:ascii="Times New Roman" w:hAnsi="Times New Roman"/>
          <w:b/>
          <w:u w:val="single"/>
        </w:rPr>
      </w:pPr>
    </w:p>
    <w:p w:rsidR="000065A9" w:rsidRPr="00EC56F9" w:rsidRDefault="00EC56F9" w:rsidP="000065A9">
      <w:pPr>
        <w:numPr>
          <w:ilvl w:val="0"/>
          <w:numId w:val="8"/>
        </w:numPr>
        <w:rPr>
          <w:rFonts w:ascii="Times New Roman" w:hAnsi="Times New Roman"/>
          <w:b/>
          <w:u w:val="single"/>
        </w:rPr>
      </w:pPr>
      <w:r w:rsidRPr="00BC7F42">
        <w:rPr>
          <w:rFonts w:ascii="Times New Roman" w:hAnsi="Times New Roman"/>
          <w:b/>
        </w:rPr>
        <w:t>Justification for Sensitive Questions</w:t>
      </w:r>
    </w:p>
    <w:p w:rsidR="00EC56F9" w:rsidRPr="00EC56F9" w:rsidRDefault="00EC56F9" w:rsidP="00EC56F9">
      <w:pPr>
        <w:ind w:left="1080"/>
        <w:rPr>
          <w:rFonts w:ascii="Times New Roman" w:hAnsi="Times New Roman"/>
        </w:rPr>
      </w:pPr>
      <w:r w:rsidRPr="00EC56F9">
        <w:rPr>
          <w:rFonts w:ascii="Times New Roman" w:hAnsi="Times New Roman"/>
        </w:rPr>
        <w:t>The information collection does not contain any questions of a sensitive nature.</w:t>
      </w:r>
    </w:p>
    <w:p w:rsidR="00EC56F9" w:rsidRPr="00EC56F9" w:rsidRDefault="00EC56F9" w:rsidP="00EC56F9">
      <w:pPr>
        <w:ind w:left="1080"/>
        <w:rPr>
          <w:rFonts w:ascii="Times New Roman" w:hAnsi="Times New Roman"/>
          <w:u w:val="single"/>
        </w:rPr>
      </w:pPr>
    </w:p>
    <w:p w:rsidR="000065A9" w:rsidRPr="00EC56F9" w:rsidRDefault="00EC56F9" w:rsidP="000065A9">
      <w:pPr>
        <w:numPr>
          <w:ilvl w:val="0"/>
          <w:numId w:val="8"/>
        </w:numPr>
        <w:rPr>
          <w:rFonts w:ascii="Times New Roman" w:hAnsi="Times New Roman"/>
          <w:b/>
          <w:u w:val="single"/>
        </w:rPr>
      </w:pPr>
      <w:r w:rsidRPr="00BC7F42">
        <w:rPr>
          <w:rFonts w:ascii="Times New Roman" w:hAnsi="Times New Roman"/>
          <w:b/>
        </w:rPr>
        <w:t>Estimates of Public Reporting Burden</w:t>
      </w:r>
    </w:p>
    <w:p w:rsidR="00EC56F9" w:rsidRDefault="00EC56F9" w:rsidP="00EC56F9">
      <w:pPr>
        <w:ind w:left="1080"/>
        <w:rPr>
          <w:rFonts w:ascii="Times New Roman" w:hAnsi="Times New Roman"/>
          <w:b/>
        </w:rPr>
      </w:pPr>
      <w:r>
        <w:rPr>
          <w:rFonts w:ascii="Times New Roman" w:hAnsi="Times New Roman"/>
          <w:bCs/>
        </w:rPr>
        <w:t>Approximately 50</w:t>
      </w:r>
      <w:r w:rsidRPr="000C4C65">
        <w:rPr>
          <w:rFonts w:ascii="Times New Roman" w:hAnsi="Times New Roman"/>
          <w:bCs/>
        </w:rPr>
        <w:t xml:space="preserve"> physicians take 45 minutes each to complete</w:t>
      </w:r>
      <w:r>
        <w:rPr>
          <w:rFonts w:ascii="Times New Roman" w:hAnsi="Times New Roman"/>
          <w:bCs/>
        </w:rPr>
        <w:t xml:space="preserve"> F</w:t>
      </w:r>
      <w:r w:rsidRPr="000C4C65">
        <w:rPr>
          <w:rFonts w:ascii="Times New Roman" w:hAnsi="Times New Roman"/>
          <w:bCs/>
        </w:rPr>
        <w:t xml:space="preserve">orm SSA-604 each year, resulting in a burden of </w:t>
      </w:r>
      <w:r>
        <w:rPr>
          <w:rFonts w:ascii="Times New Roman" w:hAnsi="Times New Roman"/>
          <w:bCs/>
        </w:rPr>
        <w:t>38</w:t>
      </w:r>
      <w:r w:rsidRPr="000C4C65">
        <w:rPr>
          <w:rFonts w:ascii="Times New Roman" w:hAnsi="Times New Roman"/>
          <w:bCs/>
        </w:rPr>
        <w:t xml:space="preserve"> hours.  </w:t>
      </w:r>
      <w:r>
        <w:rPr>
          <w:rFonts w:ascii="Times New Roman" w:hAnsi="Times New Roman"/>
          <w:bCs/>
        </w:rPr>
        <w:t xml:space="preserve">This figure represents burden hours, and we did not calculate </w:t>
      </w:r>
      <w:r w:rsidRPr="000C4C65">
        <w:rPr>
          <w:rFonts w:ascii="Times New Roman" w:hAnsi="Times New Roman"/>
          <w:bCs/>
        </w:rPr>
        <w:t>separate cost burden</w:t>
      </w:r>
      <w:r>
        <w:rPr>
          <w:rFonts w:ascii="Times New Roman" w:hAnsi="Times New Roman"/>
          <w:bCs/>
        </w:rPr>
        <w:t>.</w:t>
      </w:r>
    </w:p>
    <w:p w:rsidR="00EC56F9" w:rsidRPr="000065A9" w:rsidRDefault="00EC56F9" w:rsidP="00EC56F9">
      <w:pPr>
        <w:ind w:left="1080"/>
        <w:rPr>
          <w:rFonts w:ascii="Times New Roman" w:hAnsi="Times New Roman"/>
          <w:b/>
          <w:u w:val="single"/>
        </w:rPr>
      </w:pPr>
    </w:p>
    <w:p w:rsidR="000065A9" w:rsidRPr="00EC56F9" w:rsidRDefault="00EC56F9" w:rsidP="000065A9">
      <w:pPr>
        <w:numPr>
          <w:ilvl w:val="0"/>
          <w:numId w:val="8"/>
        </w:numPr>
        <w:rPr>
          <w:rFonts w:ascii="Times New Roman" w:hAnsi="Times New Roman"/>
          <w:b/>
          <w:u w:val="single"/>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p>
    <w:p w:rsidR="00EC56F9" w:rsidRPr="00EC56F9" w:rsidRDefault="00EC56F9" w:rsidP="00EC56F9">
      <w:pPr>
        <w:ind w:left="1080"/>
        <w:rPr>
          <w:rFonts w:ascii="Times New Roman" w:hAnsi="Times New Roman"/>
          <w:b/>
          <w:u w:val="single"/>
        </w:rPr>
      </w:pPr>
      <w:r>
        <w:rPr>
          <w:rFonts w:ascii="Times New Roman" w:hAnsi="Times New Roman"/>
        </w:rPr>
        <w:t>This collection does not impose a known cost burden to the respondents.</w:t>
      </w:r>
    </w:p>
    <w:p w:rsidR="00EC56F9" w:rsidRPr="000065A9" w:rsidRDefault="00EC56F9" w:rsidP="00EC56F9">
      <w:pPr>
        <w:ind w:left="1080"/>
        <w:rPr>
          <w:rFonts w:ascii="Times New Roman" w:hAnsi="Times New Roman"/>
          <w:b/>
          <w:u w:val="single"/>
        </w:rPr>
      </w:pPr>
    </w:p>
    <w:p w:rsidR="000065A9" w:rsidRPr="00EC56F9" w:rsidRDefault="00EC56F9" w:rsidP="000065A9">
      <w:pPr>
        <w:numPr>
          <w:ilvl w:val="0"/>
          <w:numId w:val="8"/>
        </w:numPr>
        <w:rPr>
          <w:rFonts w:ascii="Times New Roman" w:hAnsi="Times New Roman"/>
          <w:b/>
          <w:u w:val="single"/>
        </w:rPr>
      </w:pPr>
      <w:r w:rsidRPr="00BC7F42">
        <w:rPr>
          <w:rFonts w:ascii="Times New Roman" w:hAnsi="Times New Roman"/>
          <w:b/>
        </w:rPr>
        <w:t>Annual Cost To Federal Government</w:t>
      </w:r>
    </w:p>
    <w:p w:rsidR="00EC56F9" w:rsidRDefault="00EC56F9" w:rsidP="00EC56F9">
      <w:pPr>
        <w:ind w:left="1080"/>
        <w:rPr>
          <w:rFonts w:ascii="Times New Roman" w:hAnsi="Times New Roman"/>
          <w:b/>
        </w:rPr>
      </w:pPr>
      <w:r w:rsidRPr="00941AEC">
        <w:rPr>
          <w:rFonts w:ascii="Times New Roman" w:hAnsi="Times New Roman"/>
        </w:rPr>
        <w:t>The annual cost to the Federal Government is approximately $</w:t>
      </w:r>
      <w:r>
        <w:rPr>
          <w:rFonts w:ascii="Times New Roman" w:hAnsi="Times New Roman"/>
        </w:rPr>
        <w:t xml:space="preserve">5,263.  </w:t>
      </w:r>
      <w:r w:rsidRPr="00941AEC">
        <w:rPr>
          <w:rFonts w:ascii="Times New Roman" w:hAnsi="Times New Roman"/>
        </w:rPr>
        <w:t xml:space="preserve">This </w:t>
      </w:r>
      <w:r>
        <w:rPr>
          <w:rFonts w:ascii="Times New Roman" w:hAnsi="Times New Roman"/>
        </w:rPr>
        <w:t>cost is an estimate of the fees paid to SSA physicians for reviewing the form.</w:t>
      </w:r>
    </w:p>
    <w:p w:rsidR="00EC56F9" w:rsidRPr="000065A9" w:rsidRDefault="00EC56F9" w:rsidP="00EC56F9">
      <w:pPr>
        <w:ind w:left="1080"/>
        <w:rPr>
          <w:rFonts w:ascii="Times New Roman" w:hAnsi="Times New Roman"/>
          <w:b/>
          <w:u w:val="single"/>
        </w:rPr>
      </w:pPr>
    </w:p>
    <w:p w:rsidR="000065A9" w:rsidRPr="00EC56F9" w:rsidRDefault="00EC56F9" w:rsidP="000065A9">
      <w:pPr>
        <w:numPr>
          <w:ilvl w:val="0"/>
          <w:numId w:val="8"/>
        </w:numPr>
        <w:rPr>
          <w:rFonts w:ascii="Times New Roman" w:hAnsi="Times New Roman"/>
          <w:b/>
          <w:u w:val="single"/>
        </w:rPr>
      </w:pPr>
      <w:r w:rsidRPr="00BC7F42">
        <w:rPr>
          <w:rFonts w:ascii="Times New Roman" w:hAnsi="Times New Roman"/>
          <w:b/>
        </w:rPr>
        <w:t xml:space="preserve">Program Changes or Adjustments to the Information Collection </w:t>
      </w:r>
      <w:r>
        <w:rPr>
          <w:rFonts w:ascii="Times New Roman" w:hAnsi="Times New Roman"/>
          <w:b/>
        </w:rPr>
        <w:t>Request</w:t>
      </w:r>
    </w:p>
    <w:p w:rsidR="00EC56F9" w:rsidRDefault="00EC56F9" w:rsidP="00EC56F9">
      <w:pPr>
        <w:ind w:left="1080"/>
        <w:rPr>
          <w:rFonts w:ascii="Times New Roman" w:hAnsi="Times New Roman"/>
          <w:b/>
        </w:rPr>
      </w:pPr>
      <w:r>
        <w:rPr>
          <w:rFonts w:ascii="Times New Roman" w:hAnsi="Times New Roman"/>
        </w:rPr>
        <w:t>There are not changes to the public reporting burden.</w:t>
      </w:r>
    </w:p>
    <w:p w:rsidR="00EC56F9" w:rsidRPr="000065A9" w:rsidRDefault="00EC56F9" w:rsidP="00EC56F9">
      <w:pPr>
        <w:ind w:left="1080"/>
        <w:rPr>
          <w:rFonts w:ascii="Times New Roman" w:hAnsi="Times New Roman"/>
          <w:b/>
          <w:u w:val="single"/>
        </w:rPr>
      </w:pPr>
    </w:p>
    <w:p w:rsidR="000065A9" w:rsidRPr="00EC56F9" w:rsidRDefault="00EC56F9" w:rsidP="000065A9">
      <w:pPr>
        <w:numPr>
          <w:ilvl w:val="0"/>
          <w:numId w:val="8"/>
        </w:numPr>
        <w:rPr>
          <w:rFonts w:ascii="Times New Roman" w:hAnsi="Times New Roman"/>
          <w:b/>
          <w:u w:val="single"/>
        </w:rPr>
      </w:pPr>
      <w:r w:rsidRPr="00BC7F42">
        <w:rPr>
          <w:rFonts w:ascii="Times New Roman" w:hAnsi="Times New Roman"/>
          <w:b/>
        </w:rPr>
        <w:t>Plans for Publication Information Collection</w:t>
      </w:r>
      <w:r>
        <w:rPr>
          <w:rFonts w:ascii="Times New Roman" w:hAnsi="Times New Roman"/>
          <w:b/>
        </w:rPr>
        <w:t xml:space="preserve"> Results</w:t>
      </w:r>
    </w:p>
    <w:p w:rsidR="00EC56F9" w:rsidRPr="00EC56F9" w:rsidRDefault="00EC56F9" w:rsidP="00EC56F9">
      <w:pPr>
        <w:ind w:left="1080"/>
        <w:rPr>
          <w:rFonts w:ascii="Times New Roman" w:hAnsi="Times New Roman"/>
          <w:b/>
        </w:rPr>
      </w:pPr>
      <w:r w:rsidRPr="00EC56F9">
        <w:rPr>
          <w:rFonts w:ascii="Times New Roman" w:hAnsi="Times New Roman"/>
          <w:bCs/>
          <w:iCs/>
        </w:rPr>
        <w:t>SSA will not publish the results of the information collection.</w:t>
      </w:r>
    </w:p>
    <w:p w:rsidR="00EC56F9" w:rsidRPr="000065A9" w:rsidRDefault="00EC56F9" w:rsidP="00EC56F9">
      <w:pPr>
        <w:ind w:left="1080"/>
        <w:rPr>
          <w:rFonts w:ascii="Times New Roman" w:hAnsi="Times New Roman"/>
          <w:b/>
          <w:u w:val="single"/>
        </w:rPr>
      </w:pPr>
    </w:p>
    <w:p w:rsidR="000065A9" w:rsidRPr="00EC56F9" w:rsidRDefault="00EC56F9" w:rsidP="000065A9">
      <w:pPr>
        <w:numPr>
          <w:ilvl w:val="0"/>
          <w:numId w:val="8"/>
        </w:numPr>
        <w:rPr>
          <w:rFonts w:ascii="Times New Roman" w:hAnsi="Times New Roman"/>
          <w:b/>
          <w:u w:val="single"/>
        </w:rPr>
      </w:pPr>
      <w:r>
        <w:rPr>
          <w:rFonts w:ascii="Times New Roman" w:hAnsi="Times New Roman"/>
          <w:b/>
        </w:rPr>
        <w:t>Displaying the OMB Approval Expiration Date</w:t>
      </w:r>
    </w:p>
    <w:p w:rsidR="00EC56F9" w:rsidRPr="00EC56F9" w:rsidRDefault="00EC56F9" w:rsidP="00EC56F9">
      <w:pPr>
        <w:ind w:left="1080"/>
        <w:rPr>
          <w:rFonts w:ascii="Times New Roman" w:hAnsi="Times New Roman"/>
          <w:b/>
        </w:rPr>
      </w:pPr>
      <w:r w:rsidRPr="00EC56F9">
        <w:rPr>
          <w:rFonts w:ascii="Times New Roman" w:hAnsi="Times New Roman"/>
          <w:bCs/>
          <w:iCs/>
        </w:rPr>
        <w:t xml:space="preserve">OMB granted SSA an exemption from the requirement to print the OMB expiration </w:t>
      </w:r>
      <w:r w:rsidRPr="00EC56F9">
        <w:rPr>
          <w:rFonts w:ascii="Times New Roman" w:hAnsi="Times New Roman"/>
          <w:bCs/>
          <w:iCs/>
        </w:rPr>
        <w:lastRenderedPageBreak/>
        <w:t>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EC56F9" w:rsidRPr="000065A9" w:rsidRDefault="00EC56F9" w:rsidP="00EC56F9">
      <w:pPr>
        <w:ind w:left="1080"/>
        <w:rPr>
          <w:rFonts w:ascii="Times New Roman" w:hAnsi="Times New Roman"/>
          <w:b/>
          <w:u w:val="single"/>
        </w:rPr>
      </w:pPr>
    </w:p>
    <w:p w:rsidR="000065A9" w:rsidRPr="00EC56F9" w:rsidRDefault="00EC56F9" w:rsidP="000065A9">
      <w:pPr>
        <w:numPr>
          <w:ilvl w:val="0"/>
          <w:numId w:val="8"/>
        </w:numPr>
        <w:rPr>
          <w:rFonts w:ascii="Times New Roman" w:hAnsi="Times New Roman"/>
          <w:b/>
          <w:u w:val="single"/>
        </w:rPr>
      </w:pPr>
      <w:r w:rsidRPr="00BC7F42">
        <w:rPr>
          <w:rFonts w:ascii="Times New Roman" w:hAnsi="Times New Roman"/>
          <w:b/>
        </w:rPr>
        <w:t>Exceptions to Certification Statement</w:t>
      </w:r>
    </w:p>
    <w:p w:rsidR="00EC56F9" w:rsidRPr="00EC56F9" w:rsidRDefault="00EC56F9" w:rsidP="00EC56F9">
      <w:pPr>
        <w:ind w:left="1080"/>
        <w:rPr>
          <w:rFonts w:ascii="Times New Roman" w:hAnsi="Times New Roman"/>
        </w:rPr>
      </w:pPr>
      <w:r w:rsidRPr="00EC56F9">
        <w:rPr>
          <w:rFonts w:ascii="Times New Roman" w:hAnsi="Times New Roman"/>
        </w:rPr>
        <w:t xml:space="preserve">SSA is not requesting an exception to the certification requirements at </w:t>
      </w:r>
      <w:r w:rsidRPr="00EC56F9">
        <w:rPr>
          <w:rFonts w:ascii="Times New Roman" w:hAnsi="Times New Roman"/>
          <w:i/>
        </w:rPr>
        <w:t>5 CFR 1320.9</w:t>
      </w:r>
      <w:r w:rsidRPr="00EC56F9">
        <w:rPr>
          <w:rFonts w:ascii="Times New Roman" w:hAnsi="Times New Roman"/>
        </w:rPr>
        <w:t xml:space="preserve"> and related provisions at </w:t>
      </w:r>
      <w:r w:rsidRPr="00EC56F9">
        <w:rPr>
          <w:rFonts w:ascii="Times New Roman" w:hAnsi="Times New Roman"/>
          <w:i/>
        </w:rPr>
        <w:t>5 CFR 1320.8(b</w:t>
      </w:r>
      <w:proofErr w:type="gramStart"/>
      <w:r w:rsidRPr="00EC56F9">
        <w:rPr>
          <w:rFonts w:ascii="Times New Roman" w:hAnsi="Times New Roman"/>
          <w:i/>
        </w:rPr>
        <w:t>)(</w:t>
      </w:r>
      <w:proofErr w:type="gramEnd"/>
      <w:r w:rsidRPr="00EC56F9">
        <w:rPr>
          <w:rFonts w:ascii="Times New Roman" w:hAnsi="Times New Roman"/>
          <w:i/>
        </w:rPr>
        <w:t>3)</w:t>
      </w:r>
      <w:r w:rsidRPr="00EC56F9">
        <w:rPr>
          <w:rFonts w:ascii="Times New Roman" w:hAnsi="Times New Roman"/>
        </w:rPr>
        <w:t>.</w:t>
      </w:r>
    </w:p>
    <w:p w:rsidR="000065A9" w:rsidRDefault="000065A9" w:rsidP="000065A9">
      <w:pPr>
        <w:ind w:left="720"/>
        <w:rPr>
          <w:rFonts w:ascii="Times New Roman" w:hAnsi="Times New Roman"/>
          <w:b/>
          <w:u w:val="single"/>
        </w:rPr>
      </w:pPr>
    </w:p>
    <w:p w:rsidR="00A45D82" w:rsidRPr="00EC56F9" w:rsidRDefault="00A45D82" w:rsidP="00A45D82">
      <w:pPr>
        <w:numPr>
          <w:ilvl w:val="0"/>
          <w:numId w:val="6"/>
        </w:numPr>
        <w:tabs>
          <w:tab w:val="clear" w:pos="1080"/>
          <w:tab w:val="num" w:pos="720"/>
        </w:tabs>
        <w:ind w:left="720" w:hanging="360"/>
        <w:rPr>
          <w:rFonts w:ascii="Times New Roman" w:hAnsi="Times New Roman"/>
          <w:b/>
          <w:u w:val="single"/>
        </w:rPr>
      </w:pPr>
      <w:r w:rsidRPr="00EC56F9">
        <w:rPr>
          <w:rFonts w:ascii="Times New Roman" w:hAnsi="Times New Roman"/>
          <w:b/>
          <w:u w:val="single"/>
        </w:rPr>
        <w:t>Collections of Information Employing Statistical Methods</w:t>
      </w:r>
    </w:p>
    <w:p w:rsidR="008E45C0" w:rsidRDefault="008E45C0" w:rsidP="00A45D82">
      <w:pPr>
        <w:rPr>
          <w:rFonts w:ascii="Times New Roman" w:hAnsi="Times New Roman"/>
          <w:b/>
          <w:u w:val="single"/>
        </w:rPr>
      </w:pPr>
    </w:p>
    <w:p w:rsidR="0041131C" w:rsidRPr="00C34E5D" w:rsidRDefault="0041131C" w:rsidP="00C34E5D">
      <w:pPr>
        <w:rPr>
          <w:rFonts w:ascii="Times New Roman" w:hAnsi="Times New Roman"/>
        </w:rPr>
      </w:pPr>
      <w:r>
        <w:tab/>
      </w:r>
      <w:r w:rsidRPr="00C34E5D">
        <w:rPr>
          <w:rFonts w:ascii="Times New Roman" w:hAnsi="Times New Roman"/>
        </w:rPr>
        <w:t xml:space="preserve">SSA does not use statistical methods for this information collection. </w:t>
      </w:r>
    </w:p>
    <w:p w:rsidR="0041131C" w:rsidRPr="00BC7F42" w:rsidRDefault="0041131C" w:rsidP="0041131C">
      <w:pPr>
        <w:rPr>
          <w:rFonts w:ascii="Times New Roman" w:hAnsi="Times New Roman"/>
        </w:rPr>
      </w:pPr>
    </w:p>
    <w:p w:rsidR="00A65227" w:rsidRDefault="00A65227" w:rsidP="00A65227"/>
    <w:sectPr w:rsidR="00A65227" w:rsidSect="000065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D02" w:rsidRDefault="00552D02">
      <w:r>
        <w:separator/>
      </w:r>
    </w:p>
  </w:endnote>
  <w:endnote w:type="continuationSeparator" w:id="0">
    <w:p w:rsidR="00552D02" w:rsidRDefault="00552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D02" w:rsidRDefault="00552D02">
      <w:r>
        <w:separator/>
      </w:r>
    </w:p>
  </w:footnote>
  <w:footnote w:type="continuationSeparator" w:id="0">
    <w:p w:rsidR="00552D02" w:rsidRDefault="00552D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73701AD"/>
    <w:multiLevelType w:val="hybridMultilevel"/>
    <w:tmpl w:val="3F98104A"/>
    <w:lvl w:ilvl="0" w:tplc="4D1461A4">
      <w:start w:val="1"/>
      <w:numFmt w:val="upp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9A70B45"/>
    <w:multiLevelType w:val="hybridMultilevel"/>
    <w:tmpl w:val="2FBC96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4">
    <w:nsid w:val="6EE51C44"/>
    <w:multiLevelType w:val="hybridMultilevel"/>
    <w:tmpl w:val="14B6DA3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6">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7">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7"/>
  </w:num>
  <w:num w:numId="2">
    <w:abstractNumId w:val="6"/>
  </w:num>
  <w:num w:numId="3">
    <w:abstractNumId w:val="5"/>
  </w:num>
  <w:num w:numId="4">
    <w:abstractNumId w:val="3"/>
  </w:num>
  <w:num w:numId="5">
    <w:abstractNumId w:val="0"/>
  </w:num>
  <w:num w:numId="6">
    <w:abstractNumId w:val="1"/>
  </w:num>
  <w:num w:numId="7">
    <w:abstractNumId w:val="4"/>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026B0"/>
    <w:rsid w:val="000065A9"/>
    <w:rsid w:val="000222A7"/>
    <w:rsid w:val="00025216"/>
    <w:rsid w:val="0002677F"/>
    <w:rsid w:val="00063A05"/>
    <w:rsid w:val="000643F3"/>
    <w:rsid w:val="0006715D"/>
    <w:rsid w:val="0007189E"/>
    <w:rsid w:val="00077720"/>
    <w:rsid w:val="00077E0E"/>
    <w:rsid w:val="00086E84"/>
    <w:rsid w:val="000958AA"/>
    <w:rsid w:val="000A6AE3"/>
    <w:rsid w:val="000B2B68"/>
    <w:rsid w:val="000B3B12"/>
    <w:rsid w:val="000C1D18"/>
    <w:rsid w:val="000C4C65"/>
    <w:rsid w:val="000D5F5C"/>
    <w:rsid w:val="000E5CB9"/>
    <w:rsid w:val="000F2925"/>
    <w:rsid w:val="00113917"/>
    <w:rsid w:val="00121032"/>
    <w:rsid w:val="00122EE2"/>
    <w:rsid w:val="00124736"/>
    <w:rsid w:val="00127980"/>
    <w:rsid w:val="00146275"/>
    <w:rsid w:val="0015576E"/>
    <w:rsid w:val="00192897"/>
    <w:rsid w:val="001A3317"/>
    <w:rsid w:val="001A5AFA"/>
    <w:rsid w:val="001B7CF4"/>
    <w:rsid w:val="001C3753"/>
    <w:rsid w:val="001C6D3A"/>
    <w:rsid w:val="001E1076"/>
    <w:rsid w:val="002321B0"/>
    <w:rsid w:val="00236C21"/>
    <w:rsid w:val="002507D4"/>
    <w:rsid w:val="0025799C"/>
    <w:rsid w:val="0026052B"/>
    <w:rsid w:val="00262891"/>
    <w:rsid w:val="00276AAF"/>
    <w:rsid w:val="002A4C30"/>
    <w:rsid w:val="002B0820"/>
    <w:rsid w:val="002B5578"/>
    <w:rsid w:val="002E05A3"/>
    <w:rsid w:val="002E18CF"/>
    <w:rsid w:val="002F1C11"/>
    <w:rsid w:val="002F536B"/>
    <w:rsid w:val="00302545"/>
    <w:rsid w:val="00331821"/>
    <w:rsid w:val="003465DC"/>
    <w:rsid w:val="003469CA"/>
    <w:rsid w:val="0036696D"/>
    <w:rsid w:val="0038050B"/>
    <w:rsid w:val="00384C13"/>
    <w:rsid w:val="003A5626"/>
    <w:rsid w:val="003B15EC"/>
    <w:rsid w:val="003B30B4"/>
    <w:rsid w:val="003C10BD"/>
    <w:rsid w:val="003E145C"/>
    <w:rsid w:val="003F5E9F"/>
    <w:rsid w:val="00405548"/>
    <w:rsid w:val="0041131C"/>
    <w:rsid w:val="0041142D"/>
    <w:rsid w:val="00447EE9"/>
    <w:rsid w:val="0045065A"/>
    <w:rsid w:val="004509AD"/>
    <w:rsid w:val="00475350"/>
    <w:rsid w:val="00481B44"/>
    <w:rsid w:val="00484662"/>
    <w:rsid w:val="004915B5"/>
    <w:rsid w:val="0049289F"/>
    <w:rsid w:val="004C4645"/>
    <w:rsid w:val="004E146D"/>
    <w:rsid w:val="0050197F"/>
    <w:rsid w:val="005040EC"/>
    <w:rsid w:val="00506486"/>
    <w:rsid w:val="0052212D"/>
    <w:rsid w:val="00552D02"/>
    <w:rsid w:val="005576C5"/>
    <w:rsid w:val="0056163C"/>
    <w:rsid w:val="005721D4"/>
    <w:rsid w:val="00593A36"/>
    <w:rsid w:val="005A1198"/>
    <w:rsid w:val="005B15E5"/>
    <w:rsid w:val="005C2C39"/>
    <w:rsid w:val="005C7A57"/>
    <w:rsid w:val="005D4107"/>
    <w:rsid w:val="005E7549"/>
    <w:rsid w:val="005F208A"/>
    <w:rsid w:val="006002DD"/>
    <w:rsid w:val="006013A3"/>
    <w:rsid w:val="006160ED"/>
    <w:rsid w:val="00626C22"/>
    <w:rsid w:val="0063304D"/>
    <w:rsid w:val="00637AF5"/>
    <w:rsid w:val="00640A26"/>
    <w:rsid w:val="00663881"/>
    <w:rsid w:val="00664553"/>
    <w:rsid w:val="006806E1"/>
    <w:rsid w:val="006816C2"/>
    <w:rsid w:val="0069667B"/>
    <w:rsid w:val="006B06DA"/>
    <w:rsid w:val="006B173F"/>
    <w:rsid w:val="006B17EF"/>
    <w:rsid w:val="006B297F"/>
    <w:rsid w:val="006F4D0F"/>
    <w:rsid w:val="00712F1B"/>
    <w:rsid w:val="007245C9"/>
    <w:rsid w:val="007256B3"/>
    <w:rsid w:val="00742B56"/>
    <w:rsid w:val="00745462"/>
    <w:rsid w:val="00790B5C"/>
    <w:rsid w:val="00795BAB"/>
    <w:rsid w:val="007A08D1"/>
    <w:rsid w:val="007A2DEE"/>
    <w:rsid w:val="007B34AC"/>
    <w:rsid w:val="007B73C0"/>
    <w:rsid w:val="007D061D"/>
    <w:rsid w:val="007E17BD"/>
    <w:rsid w:val="00806984"/>
    <w:rsid w:val="00810485"/>
    <w:rsid w:val="0081449E"/>
    <w:rsid w:val="00814772"/>
    <w:rsid w:val="00817A9D"/>
    <w:rsid w:val="00824D72"/>
    <w:rsid w:val="00825B97"/>
    <w:rsid w:val="0084775D"/>
    <w:rsid w:val="0086463A"/>
    <w:rsid w:val="008754ED"/>
    <w:rsid w:val="00891CA8"/>
    <w:rsid w:val="00892E12"/>
    <w:rsid w:val="008B5488"/>
    <w:rsid w:val="008B54FD"/>
    <w:rsid w:val="008B6774"/>
    <w:rsid w:val="008D158E"/>
    <w:rsid w:val="008E3A3A"/>
    <w:rsid w:val="008E45C0"/>
    <w:rsid w:val="008F4213"/>
    <w:rsid w:val="00906892"/>
    <w:rsid w:val="00935365"/>
    <w:rsid w:val="00941AEC"/>
    <w:rsid w:val="0094608C"/>
    <w:rsid w:val="00951258"/>
    <w:rsid w:val="00952C5B"/>
    <w:rsid w:val="00955EC4"/>
    <w:rsid w:val="009748B6"/>
    <w:rsid w:val="00975DD8"/>
    <w:rsid w:val="00995878"/>
    <w:rsid w:val="009A0B16"/>
    <w:rsid w:val="009B11D8"/>
    <w:rsid w:val="009E3C50"/>
    <w:rsid w:val="009F23D6"/>
    <w:rsid w:val="009F7BB3"/>
    <w:rsid w:val="009F7C01"/>
    <w:rsid w:val="00A0567D"/>
    <w:rsid w:val="00A337E4"/>
    <w:rsid w:val="00A33C65"/>
    <w:rsid w:val="00A34222"/>
    <w:rsid w:val="00A45D82"/>
    <w:rsid w:val="00A651A7"/>
    <w:rsid w:val="00A65227"/>
    <w:rsid w:val="00A67D76"/>
    <w:rsid w:val="00AA06A4"/>
    <w:rsid w:val="00AA0858"/>
    <w:rsid w:val="00AA0C27"/>
    <w:rsid w:val="00AB0CA7"/>
    <w:rsid w:val="00AD0977"/>
    <w:rsid w:val="00AE0527"/>
    <w:rsid w:val="00AE2702"/>
    <w:rsid w:val="00B007C5"/>
    <w:rsid w:val="00B01D57"/>
    <w:rsid w:val="00B34FAF"/>
    <w:rsid w:val="00B741F6"/>
    <w:rsid w:val="00B92550"/>
    <w:rsid w:val="00B92E20"/>
    <w:rsid w:val="00BA1653"/>
    <w:rsid w:val="00BA401A"/>
    <w:rsid w:val="00BA480A"/>
    <w:rsid w:val="00BC5531"/>
    <w:rsid w:val="00BC7F42"/>
    <w:rsid w:val="00BF026F"/>
    <w:rsid w:val="00C0290B"/>
    <w:rsid w:val="00C22097"/>
    <w:rsid w:val="00C23D87"/>
    <w:rsid w:val="00C25FDC"/>
    <w:rsid w:val="00C33F85"/>
    <w:rsid w:val="00C34A91"/>
    <w:rsid w:val="00C34E5D"/>
    <w:rsid w:val="00C377BC"/>
    <w:rsid w:val="00C5104E"/>
    <w:rsid w:val="00C60E61"/>
    <w:rsid w:val="00C67C8A"/>
    <w:rsid w:val="00C67F83"/>
    <w:rsid w:val="00CA0B15"/>
    <w:rsid w:val="00CA5F75"/>
    <w:rsid w:val="00CA6CAE"/>
    <w:rsid w:val="00CB7253"/>
    <w:rsid w:val="00CB7557"/>
    <w:rsid w:val="00CD667A"/>
    <w:rsid w:val="00D0011E"/>
    <w:rsid w:val="00D03E8A"/>
    <w:rsid w:val="00D04311"/>
    <w:rsid w:val="00D42EFE"/>
    <w:rsid w:val="00D44900"/>
    <w:rsid w:val="00D52EC6"/>
    <w:rsid w:val="00D5531A"/>
    <w:rsid w:val="00D775CA"/>
    <w:rsid w:val="00DB1DB4"/>
    <w:rsid w:val="00DD21FE"/>
    <w:rsid w:val="00DD39EE"/>
    <w:rsid w:val="00DD494D"/>
    <w:rsid w:val="00DE6186"/>
    <w:rsid w:val="00E0137B"/>
    <w:rsid w:val="00E437C5"/>
    <w:rsid w:val="00E6642E"/>
    <w:rsid w:val="00E75DB0"/>
    <w:rsid w:val="00E80456"/>
    <w:rsid w:val="00E956F3"/>
    <w:rsid w:val="00EB17F6"/>
    <w:rsid w:val="00EC56F9"/>
    <w:rsid w:val="00EC7EFD"/>
    <w:rsid w:val="00ED36D8"/>
    <w:rsid w:val="00EE6086"/>
    <w:rsid w:val="00EF4071"/>
    <w:rsid w:val="00EF765F"/>
    <w:rsid w:val="00F028DE"/>
    <w:rsid w:val="00F0585C"/>
    <w:rsid w:val="00F107B7"/>
    <w:rsid w:val="00F11F57"/>
    <w:rsid w:val="00F33691"/>
    <w:rsid w:val="00F36E53"/>
    <w:rsid w:val="00F46176"/>
    <w:rsid w:val="00F46F0E"/>
    <w:rsid w:val="00F5149E"/>
    <w:rsid w:val="00F56A74"/>
    <w:rsid w:val="00F57AD9"/>
    <w:rsid w:val="00F832E5"/>
    <w:rsid w:val="00F870A3"/>
    <w:rsid w:val="00F91762"/>
    <w:rsid w:val="00F9405B"/>
    <w:rsid w:val="00FA34E8"/>
    <w:rsid w:val="00FD549D"/>
    <w:rsid w:val="00FD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889123</cp:lastModifiedBy>
  <cp:revision>2</cp:revision>
  <cp:lastPrinted>2013-01-17T17:59:00Z</cp:lastPrinted>
  <dcterms:created xsi:type="dcterms:W3CDTF">2016-05-17T18:13:00Z</dcterms:created>
  <dcterms:modified xsi:type="dcterms:W3CDTF">2016-05-17T18:13:00Z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