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65EE3" w14:textId="77777777" w:rsidR="000A3DD8" w:rsidRDefault="000A3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bookmarkStart w:id="0" w:name="_GoBack"/>
      <w:bookmarkEnd w:id="0"/>
    </w:p>
    <w:p w14:paraId="47130760" w14:textId="77777777" w:rsidR="00FE333E" w:rsidRPr="00DC39D3" w:rsidRDefault="00FE333E" w:rsidP="00DC39D3">
      <w:pPr>
        <w:jc w:val="center"/>
        <w:rPr>
          <w:b/>
          <w:sz w:val="24"/>
        </w:rPr>
      </w:pPr>
      <w:r w:rsidRPr="00524B3E">
        <w:rPr>
          <w:b/>
          <w:sz w:val="24"/>
        </w:rPr>
        <w:t>CMS-10526 (O</w:t>
      </w:r>
      <w:r w:rsidR="00DB74D4">
        <w:rPr>
          <w:b/>
          <w:sz w:val="24"/>
        </w:rPr>
        <w:t>MB Control Number:</w:t>
      </w:r>
      <w:r w:rsidRPr="00524B3E">
        <w:rPr>
          <w:b/>
          <w:sz w:val="24"/>
        </w:rPr>
        <w:t xml:space="preserve"> 0938-</w:t>
      </w:r>
      <w:r w:rsidR="00281267">
        <w:rPr>
          <w:b/>
          <w:sz w:val="24"/>
        </w:rPr>
        <w:t>1266</w:t>
      </w:r>
      <w:r w:rsidRPr="00524B3E">
        <w:rPr>
          <w:b/>
          <w:sz w:val="24"/>
        </w:rPr>
        <w:t>)</w:t>
      </w:r>
    </w:p>
    <w:p w14:paraId="400ED0B5" w14:textId="77777777" w:rsidR="00FE333E" w:rsidRDefault="00FE33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136979A3"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b/>
          <w:bCs/>
          <w:sz w:val="24"/>
          <w:u w:val="single"/>
        </w:rPr>
        <w:t>A.</w:t>
      </w:r>
      <w:r w:rsidRPr="00E614D2">
        <w:rPr>
          <w:b/>
          <w:bCs/>
          <w:sz w:val="24"/>
        </w:rPr>
        <w:tab/>
      </w:r>
      <w:r w:rsidRPr="00E614D2">
        <w:rPr>
          <w:b/>
          <w:bCs/>
          <w:sz w:val="24"/>
          <w:u w:val="single"/>
        </w:rPr>
        <w:t>Background</w:t>
      </w:r>
    </w:p>
    <w:p w14:paraId="506C197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18B281" w14:textId="77777777" w:rsidR="00D76FA8" w:rsidRDefault="007A7507" w:rsidP="00784CBE">
      <w:pPr>
        <w:widowControl/>
        <w:ind w:firstLine="446"/>
        <w:rPr>
          <w:sz w:val="24"/>
        </w:rPr>
      </w:pPr>
      <w:r w:rsidRPr="00E614D2">
        <w:rPr>
          <w:sz w:val="24"/>
        </w:rPr>
        <w:t>The Patient Protection and Affordable Care Act, Public Law 111-148, enacted on March 23, 2010, and the Health Care and Education Reconciliation Act, Public Law 111-152, enacted on March 30, 2010</w:t>
      </w:r>
      <w:r>
        <w:rPr>
          <w:sz w:val="24"/>
        </w:rPr>
        <w:t xml:space="preserve"> (collectively, the “Affordable Care Act”)</w:t>
      </w:r>
      <w:r w:rsidRPr="00E614D2">
        <w:rPr>
          <w:sz w:val="24"/>
        </w:rPr>
        <w:t xml:space="preserve">, provides </w:t>
      </w:r>
      <w:r>
        <w:rPr>
          <w:sz w:val="24"/>
        </w:rPr>
        <w:t>for reduced cost sharing for eligible individuals who pu</w:t>
      </w:r>
      <w:r w:rsidR="001F5E84">
        <w:rPr>
          <w:sz w:val="24"/>
        </w:rPr>
        <w:t>rchase health insurance from a qualified health p</w:t>
      </w:r>
      <w:r>
        <w:rPr>
          <w:sz w:val="24"/>
        </w:rPr>
        <w:t>lan</w:t>
      </w:r>
      <w:r w:rsidR="00EA7B09">
        <w:rPr>
          <w:sz w:val="24"/>
        </w:rPr>
        <w:t xml:space="preserve"> (QHP)</w:t>
      </w:r>
      <w:r>
        <w:rPr>
          <w:sz w:val="24"/>
        </w:rPr>
        <w:t xml:space="preserve"> through a Marketplace.</w:t>
      </w:r>
      <w:r w:rsidR="005B2E08">
        <w:rPr>
          <w:rStyle w:val="EndnoteReference"/>
          <w:sz w:val="24"/>
        </w:rPr>
        <w:endnoteReference w:id="1"/>
      </w:r>
      <w:r w:rsidR="001F5579">
        <w:rPr>
          <w:sz w:val="24"/>
        </w:rPr>
        <w:t xml:space="preserve"> </w:t>
      </w:r>
    </w:p>
    <w:p w14:paraId="7484F060" w14:textId="5F933185" w:rsidR="00E64E03" w:rsidRDefault="00BD7161" w:rsidP="00F23E38">
      <w:pPr>
        <w:widowControl/>
        <w:ind w:firstLine="446"/>
        <w:rPr>
          <w:sz w:val="24"/>
        </w:rPr>
      </w:pPr>
      <w:r>
        <w:rPr>
          <w:sz w:val="24"/>
        </w:rPr>
        <w:t>Under this law, c</w:t>
      </w:r>
      <w:r w:rsidR="00596122">
        <w:rPr>
          <w:sz w:val="24"/>
        </w:rPr>
        <w:t>ost-</w:t>
      </w:r>
      <w:r w:rsidR="00D76FA8">
        <w:rPr>
          <w:sz w:val="24"/>
        </w:rPr>
        <w:t xml:space="preserve">sharing reductions </w:t>
      </w:r>
      <w:r>
        <w:rPr>
          <w:sz w:val="24"/>
        </w:rPr>
        <w:t>(CSRs) are paid</w:t>
      </w:r>
      <w:r w:rsidR="00D76FA8">
        <w:rPr>
          <w:sz w:val="24"/>
        </w:rPr>
        <w:t xml:space="preserve"> by issuers to health </w:t>
      </w:r>
      <w:r>
        <w:rPr>
          <w:sz w:val="24"/>
        </w:rPr>
        <w:t>care providers to lower the out-of-</w:t>
      </w:r>
      <w:r w:rsidR="00D76FA8">
        <w:rPr>
          <w:sz w:val="24"/>
        </w:rPr>
        <w:t>pocket cost to en</w:t>
      </w:r>
      <w:r>
        <w:rPr>
          <w:sz w:val="24"/>
        </w:rPr>
        <w:t>rollees at the time of service</w:t>
      </w:r>
      <w:r w:rsidR="00493FF1">
        <w:rPr>
          <w:sz w:val="24"/>
        </w:rPr>
        <w:t>. The goal is</w:t>
      </w:r>
      <w:r>
        <w:rPr>
          <w:sz w:val="24"/>
        </w:rPr>
        <w:t xml:space="preserve"> to make health care more accessible</w:t>
      </w:r>
      <w:r w:rsidR="00596122">
        <w:rPr>
          <w:sz w:val="24"/>
        </w:rPr>
        <w:t xml:space="preserve"> by reducing its</w:t>
      </w:r>
      <w:r w:rsidR="00493FF1">
        <w:rPr>
          <w:sz w:val="24"/>
        </w:rPr>
        <w:t xml:space="preserve"> cost</w:t>
      </w:r>
      <w:r>
        <w:rPr>
          <w:sz w:val="24"/>
        </w:rPr>
        <w:t xml:space="preserve">. </w:t>
      </w:r>
      <w:r w:rsidR="00553832">
        <w:rPr>
          <w:sz w:val="24"/>
        </w:rPr>
        <w:t xml:space="preserve">Issuers are reimbursed </w:t>
      </w:r>
      <w:r w:rsidR="00493FF1">
        <w:rPr>
          <w:sz w:val="24"/>
        </w:rPr>
        <w:t>dollar amo</w:t>
      </w:r>
      <w:r w:rsidR="00596122">
        <w:rPr>
          <w:sz w:val="24"/>
        </w:rPr>
        <w:t>unts for cost-</w:t>
      </w:r>
      <w:r w:rsidR="00493FF1">
        <w:rPr>
          <w:sz w:val="24"/>
        </w:rPr>
        <w:t>sharing reductions</w:t>
      </w:r>
      <w:r>
        <w:rPr>
          <w:sz w:val="24"/>
        </w:rPr>
        <w:t xml:space="preserve">. </w:t>
      </w:r>
      <w:r w:rsidR="00065CCC">
        <w:rPr>
          <w:sz w:val="24"/>
        </w:rPr>
        <w:t>In</w:t>
      </w:r>
      <w:r>
        <w:rPr>
          <w:sz w:val="24"/>
        </w:rPr>
        <w:t xml:space="preserve"> </w:t>
      </w:r>
      <w:r w:rsidR="00596122">
        <w:rPr>
          <w:sz w:val="24"/>
        </w:rPr>
        <w:t>45 CFR 156.430</w:t>
      </w:r>
      <w:r w:rsidRPr="00BD7161">
        <w:rPr>
          <w:sz w:val="24"/>
        </w:rPr>
        <w:t>(c)</w:t>
      </w:r>
      <w:r w:rsidR="00596122">
        <w:rPr>
          <w:sz w:val="24"/>
        </w:rPr>
        <w:t>,</w:t>
      </w:r>
      <w:r w:rsidRPr="00BD7161">
        <w:rPr>
          <w:sz w:val="24"/>
        </w:rPr>
        <w:t xml:space="preserve"> issuers must report</w:t>
      </w:r>
      <w:r w:rsidR="00065CCC">
        <w:rPr>
          <w:sz w:val="24"/>
        </w:rPr>
        <w:t xml:space="preserve"> to HHS</w:t>
      </w:r>
      <w:r w:rsidR="00596122">
        <w:rPr>
          <w:sz w:val="24"/>
        </w:rPr>
        <w:t xml:space="preserve"> the amount of cost-</w:t>
      </w:r>
      <w:r w:rsidRPr="00BD7161">
        <w:rPr>
          <w:sz w:val="24"/>
        </w:rPr>
        <w:t xml:space="preserve">sharing </w:t>
      </w:r>
      <w:r w:rsidR="00065CCC">
        <w:rPr>
          <w:sz w:val="24"/>
        </w:rPr>
        <w:t>reductions provided during the benefit year</w:t>
      </w:r>
      <w:r w:rsidRPr="00BD7161">
        <w:rPr>
          <w:sz w:val="24"/>
        </w:rPr>
        <w:t xml:space="preserve">. </w:t>
      </w:r>
      <w:r w:rsidR="00065CCC">
        <w:rPr>
          <w:sz w:val="24"/>
        </w:rPr>
        <w:t>In</w:t>
      </w:r>
      <w:r w:rsidR="00596122">
        <w:rPr>
          <w:sz w:val="24"/>
        </w:rPr>
        <w:t xml:space="preserve"> 45 CFR 156.430</w:t>
      </w:r>
      <w:r w:rsidRPr="00BD7161">
        <w:rPr>
          <w:sz w:val="24"/>
        </w:rPr>
        <w:t>(d)</w:t>
      </w:r>
      <w:r w:rsidR="00596122">
        <w:rPr>
          <w:sz w:val="24"/>
        </w:rPr>
        <w:t>,</w:t>
      </w:r>
      <w:r w:rsidRPr="00BD7161">
        <w:rPr>
          <w:sz w:val="24"/>
        </w:rPr>
        <w:t xml:space="preserve"> HHS will reconcile the amount of adva</w:t>
      </w:r>
      <w:r w:rsidR="00065CCC">
        <w:rPr>
          <w:sz w:val="24"/>
        </w:rPr>
        <w:t xml:space="preserve">nce payments </w:t>
      </w:r>
      <w:r w:rsidRPr="00BD7161">
        <w:rPr>
          <w:sz w:val="24"/>
        </w:rPr>
        <w:t xml:space="preserve">for cost-sharing reductions </w:t>
      </w:r>
      <w:r w:rsidR="00553832">
        <w:rPr>
          <w:sz w:val="24"/>
        </w:rPr>
        <w:t>to reflect</w:t>
      </w:r>
      <w:r w:rsidR="00596122">
        <w:rPr>
          <w:sz w:val="24"/>
        </w:rPr>
        <w:t xml:space="preserve"> the amount of cost-</w:t>
      </w:r>
      <w:r w:rsidRPr="00BD7161">
        <w:rPr>
          <w:sz w:val="24"/>
        </w:rPr>
        <w:t xml:space="preserve">sharing reductions issuers made to health care providers on behalf of enrollees.  </w:t>
      </w:r>
    </w:p>
    <w:p w14:paraId="2B069A32" w14:textId="3E45D01D" w:rsidR="007C6938" w:rsidRDefault="007A7507" w:rsidP="007C6938">
      <w:pPr>
        <w:widowControl/>
        <w:ind w:firstLine="288"/>
        <w:rPr>
          <w:sz w:val="24"/>
        </w:rPr>
      </w:pPr>
      <w:r>
        <w:rPr>
          <w:sz w:val="24"/>
        </w:rPr>
        <w:t>The 2014 Notice of Payment and Benefit Parameters</w:t>
      </w:r>
      <w:r w:rsidR="001F5579">
        <w:rPr>
          <w:sz w:val="24"/>
        </w:rPr>
        <w:t xml:space="preserve"> rule</w:t>
      </w:r>
      <w:r>
        <w:rPr>
          <w:sz w:val="24"/>
        </w:rPr>
        <w:t xml:space="preserve"> </w:t>
      </w:r>
      <w:r w:rsidR="00784CBE">
        <w:rPr>
          <w:sz w:val="24"/>
        </w:rPr>
        <w:t>(</w:t>
      </w:r>
      <w:r w:rsidR="00596122">
        <w:rPr>
          <w:sz w:val="24"/>
        </w:rPr>
        <w:t>the “Payment N</w:t>
      </w:r>
      <w:r w:rsidR="001F5579">
        <w:rPr>
          <w:sz w:val="24"/>
        </w:rPr>
        <w:t>otice</w:t>
      </w:r>
      <w:r w:rsidR="00596122">
        <w:rPr>
          <w:sz w:val="24"/>
        </w:rPr>
        <w:t>”</w:t>
      </w:r>
      <w:r w:rsidR="00784CBE">
        <w:rPr>
          <w:sz w:val="24"/>
        </w:rPr>
        <w:t xml:space="preserve">) </w:t>
      </w:r>
      <w:r>
        <w:rPr>
          <w:sz w:val="24"/>
        </w:rPr>
        <w:t>published March 11, 2013</w:t>
      </w:r>
      <w:r w:rsidR="002C7837">
        <w:rPr>
          <w:sz w:val="24"/>
        </w:rPr>
        <w:t>,</w:t>
      </w:r>
      <w:r>
        <w:rPr>
          <w:sz w:val="24"/>
        </w:rPr>
        <w:t xml:space="preserve"> detailed a plan in which monthly payments </w:t>
      </w:r>
      <w:r w:rsidR="00553832">
        <w:rPr>
          <w:sz w:val="24"/>
        </w:rPr>
        <w:t xml:space="preserve">would be advanced </w:t>
      </w:r>
      <w:r>
        <w:rPr>
          <w:sz w:val="24"/>
        </w:rPr>
        <w:t>to issuers for e</w:t>
      </w:r>
      <w:r w:rsidR="00F23E38">
        <w:rPr>
          <w:sz w:val="24"/>
        </w:rPr>
        <w:t>stimated CSRs</w:t>
      </w:r>
      <w:r>
        <w:rPr>
          <w:sz w:val="24"/>
        </w:rPr>
        <w:t xml:space="preserve"> and then reconcile</w:t>
      </w:r>
      <w:r w:rsidR="00553832">
        <w:rPr>
          <w:sz w:val="24"/>
        </w:rPr>
        <w:t xml:space="preserve">d against </w:t>
      </w:r>
      <w:r w:rsidR="001F5579">
        <w:rPr>
          <w:sz w:val="24"/>
        </w:rPr>
        <w:t xml:space="preserve">CSRs </w:t>
      </w:r>
      <w:r>
        <w:rPr>
          <w:sz w:val="24"/>
        </w:rPr>
        <w:t xml:space="preserve">provided </w:t>
      </w:r>
      <w:r w:rsidR="005E0152">
        <w:rPr>
          <w:sz w:val="24"/>
        </w:rPr>
        <w:t xml:space="preserve">by issuers to </w:t>
      </w:r>
      <w:r w:rsidR="00784CBE">
        <w:rPr>
          <w:sz w:val="24"/>
        </w:rPr>
        <w:t xml:space="preserve">eligible </w:t>
      </w:r>
      <w:r w:rsidR="005E0152">
        <w:rPr>
          <w:sz w:val="24"/>
        </w:rPr>
        <w:t xml:space="preserve">enrollees </w:t>
      </w:r>
      <w:r>
        <w:rPr>
          <w:sz w:val="24"/>
        </w:rPr>
        <w:t xml:space="preserve">during the benefit year. The </w:t>
      </w:r>
      <w:r w:rsidR="00596122">
        <w:rPr>
          <w:sz w:val="24"/>
        </w:rPr>
        <w:t>Payment N</w:t>
      </w:r>
      <w:r w:rsidR="001F5579">
        <w:rPr>
          <w:sz w:val="24"/>
        </w:rPr>
        <w:t>otice</w:t>
      </w:r>
      <w:r>
        <w:rPr>
          <w:sz w:val="24"/>
        </w:rPr>
        <w:t xml:space="preserve"> detailed a methodology for issuers to use when calculating and submitting to HHS the CSR amounts provided enrollees in a benefit year.  In response to comments </w:t>
      </w:r>
      <w:r w:rsidR="00B50866">
        <w:rPr>
          <w:sz w:val="24"/>
        </w:rPr>
        <w:t xml:space="preserve">on the proposed </w:t>
      </w:r>
      <w:r w:rsidR="00BE5BEA">
        <w:rPr>
          <w:sz w:val="24"/>
        </w:rPr>
        <w:t xml:space="preserve">rule </w:t>
      </w:r>
      <w:r>
        <w:rPr>
          <w:sz w:val="24"/>
        </w:rPr>
        <w:t xml:space="preserve">that the </w:t>
      </w:r>
      <w:r w:rsidR="00A07158">
        <w:rPr>
          <w:sz w:val="24"/>
        </w:rPr>
        <w:t xml:space="preserve">“standard </w:t>
      </w:r>
      <w:r>
        <w:rPr>
          <w:sz w:val="24"/>
        </w:rPr>
        <w:t>methodology</w:t>
      </w:r>
      <w:r w:rsidR="00A07158">
        <w:rPr>
          <w:sz w:val="24"/>
        </w:rPr>
        <w:t>”</w:t>
      </w:r>
      <w:r>
        <w:rPr>
          <w:sz w:val="24"/>
        </w:rPr>
        <w:t xml:space="preserve"> to identify </w:t>
      </w:r>
      <w:r w:rsidR="00553832">
        <w:rPr>
          <w:sz w:val="24"/>
        </w:rPr>
        <w:t>these amounts</w:t>
      </w:r>
      <w:r w:rsidR="001F5579">
        <w:rPr>
          <w:sz w:val="24"/>
        </w:rPr>
        <w:t xml:space="preserve"> </w:t>
      </w:r>
      <w:r w:rsidR="00BE5BEA">
        <w:rPr>
          <w:sz w:val="24"/>
        </w:rPr>
        <w:t>was too complex for timely</w:t>
      </w:r>
      <w:r>
        <w:rPr>
          <w:sz w:val="24"/>
        </w:rPr>
        <w:t xml:space="preserve"> imp</w:t>
      </w:r>
      <w:r w:rsidR="00BE5BEA">
        <w:rPr>
          <w:sz w:val="24"/>
        </w:rPr>
        <w:t>lementation</w:t>
      </w:r>
      <w:r w:rsidR="002C7837">
        <w:rPr>
          <w:sz w:val="24"/>
        </w:rPr>
        <w:t>, HHS in the final Payment N</w:t>
      </w:r>
      <w:r w:rsidR="001F5579">
        <w:rPr>
          <w:sz w:val="24"/>
        </w:rPr>
        <w:t>otice said it would provide a second</w:t>
      </w:r>
      <w:r w:rsidR="002C7837">
        <w:rPr>
          <w:sz w:val="24"/>
        </w:rPr>
        <w:t>,</w:t>
      </w:r>
      <w:r w:rsidR="00B2452B">
        <w:rPr>
          <w:sz w:val="24"/>
        </w:rPr>
        <w:t xml:space="preserve"> optional</w:t>
      </w:r>
      <w:r w:rsidR="001F5579">
        <w:rPr>
          <w:sz w:val="24"/>
        </w:rPr>
        <w:t xml:space="preserve"> method for estimating CSRs provided</w:t>
      </w:r>
      <w:r w:rsidR="00EA7B09">
        <w:rPr>
          <w:sz w:val="24"/>
        </w:rPr>
        <w:t xml:space="preserve"> by issuers</w:t>
      </w:r>
      <w:r w:rsidR="00B2452B">
        <w:rPr>
          <w:sz w:val="24"/>
        </w:rPr>
        <w:t>.  An interim final rule with comment, “Amendment to the HHS Notice of Benefit and Payment Parameters for 2014,” published co</w:t>
      </w:r>
      <w:r w:rsidR="002C7837">
        <w:rPr>
          <w:sz w:val="24"/>
        </w:rPr>
        <w:t>ncurrently with the final 2014 Payment Notice</w:t>
      </w:r>
      <w:r w:rsidR="00B2452B">
        <w:rPr>
          <w:sz w:val="24"/>
        </w:rPr>
        <w:t xml:space="preserve"> described in detail</w:t>
      </w:r>
      <w:r w:rsidR="00A07158">
        <w:rPr>
          <w:sz w:val="24"/>
        </w:rPr>
        <w:t xml:space="preserve"> a second</w:t>
      </w:r>
      <w:r w:rsidR="00B2452B">
        <w:rPr>
          <w:sz w:val="24"/>
        </w:rPr>
        <w:t xml:space="preserve"> </w:t>
      </w:r>
      <w:r w:rsidR="00A07158">
        <w:rPr>
          <w:sz w:val="24"/>
        </w:rPr>
        <w:t>“s</w:t>
      </w:r>
      <w:r w:rsidR="00B2452B">
        <w:rPr>
          <w:sz w:val="24"/>
        </w:rPr>
        <w:t>implified method</w:t>
      </w:r>
      <w:r w:rsidR="00A07158">
        <w:rPr>
          <w:sz w:val="24"/>
        </w:rPr>
        <w:t>ology</w:t>
      </w:r>
      <w:r w:rsidR="00B2452B">
        <w:rPr>
          <w:sz w:val="24"/>
        </w:rPr>
        <w:t>.</w:t>
      </w:r>
      <w:r w:rsidR="00A07158">
        <w:rPr>
          <w:sz w:val="24"/>
        </w:rPr>
        <w:t>”</w:t>
      </w:r>
      <w:r w:rsidR="00B2452B">
        <w:rPr>
          <w:sz w:val="24"/>
        </w:rPr>
        <w:t xml:space="preserve"> </w:t>
      </w:r>
      <w:r w:rsidR="007C6938">
        <w:rPr>
          <w:sz w:val="24"/>
        </w:rPr>
        <w:t xml:space="preserve">As a result, </w:t>
      </w:r>
      <w:r w:rsidR="00EA7B09">
        <w:rPr>
          <w:sz w:val="24"/>
        </w:rPr>
        <w:t>QHP</w:t>
      </w:r>
      <w:r w:rsidR="00B2452B">
        <w:rPr>
          <w:sz w:val="24"/>
        </w:rPr>
        <w:t xml:space="preserve"> issuers may</w:t>
      </w:r>
      <w:r w:rsidR="00A07158">
        <w:rPr>
          <w:sz w:val="24"/>
        </w:rPr>
        <w:t xml:space="preserve"> </w:t>
      </w:r>
      <w:r w:rsidR="007C6938">
        <w:rPr>
          <w:sz w:val="24"/>
        </w:rPr>
        <w:t>elect to use a</w:t>
      </w:r>
      <w:r w:rsidR="00A07158">
        <w:rPr>
          <w:sz w:val="24"/>
        </w:rPr>
        <w:t xml:space="preserve"> </w:t>
      </w:r>
      <w:r w:rsidR="00B2452B">
        <w:rPr>
          <w:sz w:val="24"/>
        </w:rPr>
        <w:t xml:space="preserve">simplified formula during </w:t>
      </w:r>
      <w:r w:rsidR="00A07158">
        <w:rPr>
          <w:sz w:val="24"/>
        </w:rPr>
        <w:t>the first three</w:t>
      </w:r>
      <w:r w:rsidR="00B2452B">
        <w:rPr>
          <w:sz w:val="24"/>
        </w:rPr>
        <w:t xml:space="preserve"> years </w:t>
      </w:r>
      <w:r w:rsidR="00A07158">
        <w:rPr>
          <w:sz w:val="24"/>
        </w:rPr>
        <w:t>of the program</w:t>
      </w:r>
      <w:r w:rsidR="007C6938">
        <w:rPr>
          <w:sz w:val="24"/>
        </w:rPr>
        <w:t>, from 2014 through 2016,</w:t>
      </w:r>
      <w:r w:rsidR="00A07158">
        <w:rPr>
          <w:sz w:val="24"/>
        </w:rPr>
        <w:t xml:space="preserve"> </w:t>
      </w:r>
      <w:r w:rsidR="00B2452B">
        <w:rPr>
          <w:sz w:val="24"/>
        </w:rPr>
        <w:t>to estimate cost sharing reductions</w:t>
      </w:r>
      <w:r w:rsidR="00B2452B" w:rsidRPr="00DD27C6">
        <w:rPr>
          <w:b/>
          <w:sz w:val="24"/>
        </w:rPr>
        <w:t xml:space="preserve"> </w:t>
      </w:r>
      <w:r w:rsidR="00B2452B">
        <w:rPr>
          <w:sz w:val="24"/>
        </w:rPr>
        <w:t xml:space="preserve">provided to enrollees. </w:t>
      </w:r>
    </w:p>
    <w:p w14:paraId="37564BCD" w14:textId="77777777" w:rsidR="00964B01" w:rsidRDefault="002C7837" w:rsidP="007C6938">
      <w:pPr>
        <w:widowControl/>
        <w:ind w:firstLine="288"/>
        <w:rPr>
          <w:sz w:val="24"/>
        </w:rPr>
      </w:pPr>
      <w:r>
        <w:rPr>
          <w:sz w:val="24"/>
        </w:rPr>
        <w:t>In 45 CFR 156.430(c)</w:t>
      </w:r>
      <w:r w:rsidR="00333679">
        <w:rPr>
          <w:sz w:val="24"/>
        </w:rPr>
        <w:t>(1)</w:t>
      </w:r>
      <w:r>
        <w:rPr>
          <w:sz w:val="24"/>
        </w:rPr>
        <w:t>,</w:t>
      </w:r>
      <w:r w:rsidR="00333679">
        <w:rPr>
          <w:sz w:val="24"/>
        </w:rPr>
        <w:t xml:space="preserve"> we established</w:t>
      </w:r>
      <w:r w:rsidR="00065CCC">
        <w:rPr>
          <w:sz w:val="24"/>
        </w:rPr>
        <w:t xml:space="preserve"> the</w:t>
      </w:r>
      <w:r w:rsidR="00FF003B">
        <w:rPr>
          <w:sz w:val="24"/>
        </w:rPr>
        <w:t xml:space="preserve"> standard method</w:t>
      </w:r>
      <w:r w:rsidR="00065CCC">
        <w:rPr>
          <w:sz w:val="24"/>
        </w:rPr>
        <w:t>ology</w:t>
      </w:r>
      <w:r w:rsidR="00333679">
        <w:rPr>
          <w:sz w:val="24"/>
        </w:rPr>
        <w:t xml:space="preserve"> for QHP issuers</w:t>
      </w:r>
      <w:r w:rsidR="00065CCC">
        <w:rPr>
          <w:sz w:val="24"/>
        </w:rPr>
        <w:t xml:space="preserve"> to submit data to HHS showing</w:t>
      </w:r>
      <w:r w:rsidR="00333679">
        <w:rPr>
          <w:sz w:val="24"/>
        </w:rPr>
        <w:t xml:space="preserve"> the amount of cost sharing paid by enrollees in each plan variation, as well as the amount of cost sharing the enrollees would have paid under t</w:t>
      </w:r>
      <w:r w:rsidR="007C6938">
        <w:rPr>
          <w:sz w:val="24"/>
        </w:rPr>
        <w:t xml:space="preserve">he standard plan. The value of </w:t>
      </w:r>
      <w:r w:rsidR="00333679">
        <w:rPr>
          <w:sz w:val="24"/>
        </w:rPr>
        <w:t>the cost sharing provided is the differ</w:t>
      </w:r>
      <w:r w:rsidR="00A07158">
        <w:rPr>
          <w:sz w:val="24"/>
        </w:rPr>
        <w:t xml:space="preserve">ence between those two amounts. </w:t>
      </w:r>
    </w:p>
    <w:p w14:paraId="04A6D6EF" w14:textId="77777777" w:rsidR="007C6938" w:rsidRDefault="007C6938" w:rsidP="007C6938">
      <w:pPr>
        <w:widowControl/>
        <w:ind w:firstLine="288"/>
        <w:rPr>
          <w:sz w:val="24"/>
        </w:rPr>
      </w:pPr>
      <w:r>
        <w:rPr>
          <w:sz w:val="24"/>
        </w:rPr>
        <w:t>To calculate what the enrollees would have paid under the standard plan</w:t>
      </w:r>
      <w:r w:rsidR="00EA7B09">
        <w:rPr>
          <w:sz w:val="24"/>
        </w:rPr>
        <w:t>,</w:t>
      </w:r>
      <w:r w:rsidR="00C25F23">
        <w:rPr>
          <w:sz w:val="24"/>
        </w:rPr>
        <w:t xml:space="preserve"> </w:t>
      </w:r>
      <w:r w:rsidR="001A5B33">
        <w:rPr>
          <w:sz w:val="24"/>
        </w:rPr>
        <w:t>QHP issuers</w:t>
      </w:r>
      <w:r>
        <w:rPr>
          <w:sz w:val="24"/>
        </w:rPr>
        <w:t xml:space="preserve"> </w:t>
      </w:r>
      <w:r w:rsidR="00065CCC">
        <w:rPr>
          <w:sz w:val="24"/>
        </w:rPr>
        <w:t>using the standard methodo</w:t>
      </w:r>
      <w:r w:rsidR="002C7837">
        <w:rPr>
          <w:sz w:val="24"/>
        </w:rPr>
        <w:t xml:space="preserve">logy detailed in 45 CFR 156.430(c)(2) </w:t>
      </w:r>
      <w:r>
        <w:rPr>
          <w:sz w:val="24"/>
        </w:rPr>
        <w:t>are required</w:t>
      </w:r>
      <w:r w:rsidR="001A5B33">
        <w:rPr>
          <w:sz w:val="24"/>
        </w:rPr>
        <w:t xml:space="preserve"> to apply the</w:t>
      </w:r>
      <w:r w:rsidR="00C25F23">
        <w:rPr>
          <w:sz w:val="24"/>
        </w:rPr>
        <w:t xml:space="preserve"> </w:t>
      </w:r>
      <w:r w:rsidR="00FF003B">
        <w:rPr>
          <w:sz w:val="24"/>
        </w:rPr>
        <w:t xml:space="preserve">actual </w:t>
      </w:r>
      <w:r w:rsidR="00C25F23">
        <w:rPr>
          <w:sz w:val="24"/>
        </w:rPr>
        <w:t xml:space="preserve">cost </w:t>
      </w:r>
      <w:r w:rsidR="005C4903">
        <w:rPr>
          <w:sz w:val="24"/>
        </w:rPr>
        <w:t xml:space="preserve">sharing amount for the standard plan to the </w:t>
      </w:r>
      <w:r w:rsidR="001A5B33" w:rsidRPr="00B8008E">
        <w:rPr>
          <w:sz w:val="24"/>
        </w:rPr>
        <w:t xml:space="preserve">total </w:t>
      </w:r>
      <w:r w:rsidR="005C4903" w:rsidRPr="00B8008E">
        <w:rPr>
          <w:sz w:val="24"/>
        </w:rPr>
        <w:t xml:space="preserve">allowed </w:t>
      </w:r>
      <w:r w:rsidR="005D06E4" w:rsidRPr="00916D83">
        <w:rPr>
          <w:sz w:val="24"/>
        </w:rPr>
        <w:t>costs for essential health benefits (EHB</w:t>
      </w:r>
      <w:r w:rsidR="005D06E4">
        <w:rPr>
          <w:sz w:val="24"/>
        </w:rPr>
        <w:t>)</w:t>
      </w:r>
      <w:r w:rsidR="005C4903">
        <w:rPr>
          <w:sz w:val="24"/>
        </w:rPr>
        <w:t xml:space="preserve"> </w:t>
      </w:r>
      <w:r w:rsidR="00EA7B09">
        <w:rPr>
          <w:sz w:val="24"/>
        </w:rPr>
        <w:t>for each plan variation policy.</w:t>
      </w:r>
      <w:r w:rsidR="009B5236">
        <w:rPr>
          <w:sz w:val="24"/>
        </w:rPr>
        <w:t xml:space="preserve"> Essentially</w:t>
      </w:r>
      <w:r w:rsidR="002C7837">
        <w:rPr>
          <w:sz w:val="24"/>
        </w:rPr>
        <w:t>,</w:t>
      </w:r>
      <w:r w:rsidR="009B5236">
        <w:rPr>
          <w:sz w:val="24"/>
        </w:rPr>
        <w:t xml:space="preserve"> </w:t>
      </w:r>
      <w:r w:rsidR="005C4903">
        <w:rPr>
          <w:sz w:val="24"/>
        </w:rPr>
        <w:t xml:space="preserve">the issuer </w:t>
      </w:r>
      <w:r w:rsidR="00EA7B09">
        <w:rPr>
          <w:sz w:val="24"/>
        </w:rPr>
        <w:t>first process</w:t>
      </w:r>
      <w:r w:rsidR="009B5236">
        <w:rPr>
          <w:sz w:val="24"/>
        </w:rPr>
        <w:t>es</w:t>
      </w:r>
      <w:r w:rsidR="005C4903">
        <w:rPr>
          <w:sz w:val="24"/>
        </w:rPr>
        <w:t xml:space="preserve"> a clai</w:t>
      </w:r>
      <w:r w:rsidR="00EA7B09">
        <w:rPr>
          <w:sz w:val="24"/>
        </w:rPr>
        <w:t xml:space="preserve">m using </w:t>
      </w:r>
      <w:r w:rsidR="005C4903">
        <w:rPr>
          <w:sz w:val="24"/>
        </w:rPr>
        <w:t>standard cost sharing</w:t>
      </w:r>
      <w:r w:rsidR="009B5236">
        <w:rPr>
          <w:sz w:val="24"/>
        </w:rPr>
        <w:t>,</w:t>
      </w:r>
      <w:r w:rsidR="005C4903">
        <w:rPr>
          <w:sz w:val="24"/>
        </w:rPr>
        <w:t xml:space="preserve"> and </w:t>
      </w:r>
      <w:r w:rsidR="00EA7B09">
        <w:rPr>
          <w:sz w:val="24"/>
        </w:rPr>
        <w:t>then re-process</w:t>
      </w:r>
      <w:r w:rsidR="009B5236">
        <w:rPr>
          <w:sz w:val="24"/>
        </w:rPr>
        <w:t>es</w:t>
      </w:r>
      <w:r w:rsidR="005C4903">
        <w:rPr>
          <w:sz w:val="24"/>
        </w:rPr>
        <w:t xml:space="preserve"> the claim</w:t>
      </w:r>
      <w:r w:rsidR="002C7837">
        <w:rPr>
          <w:sz w:val="24"/>
        </w:rPr>
        <w:t>,</w:t>
      </w:r>
      <w:r w:rsidR="005C4903">
        <w:rPr>
          <w:sz w:val="24"/>
        </w:rPr>
        <w:t xml:space="preserve"> appl</w:t>
      </w:r>
      <w:r>
        <w:rPr>
          <w:sz w:val="24"/>
        </w:rPr>
        <w:t>ying the reduced cost sharing</w:t>
      </w:r>
      <w:r w:rsidR="00C25F23">
        <w:rPr>
          <w:sz w:val="24"/>
        </w:rPr>
        <w:t xml:space="preserve"> to establish the CSR amount.</w:t>
      </w:r>
      <w:r>
        <w:rPr>
          <w:sz w:val="24"/>
        </w:rPr>
        <w:t xml:space="preserve"> </w:t>
      </w:r>
    </w:p>
    <w:p w14:paraId="0F90520A" w14:textId="77777777" w:rsidR="007C6938" w:rsidRDefault="005E0152" w:rsidP="007C6938">
      <w:pPr>
        <w:widowControl/>
        <w:ind w:firstLine="288"/>
        <w:rPr>
          <w:sz w:val="24"/>
        </w:rPr>
      </w:pPr>
      <w:r>
        <w:rPr>
          <w:sz w:val="24"/>
        </w:rPr>
        <w:t xml:space="preserve">The simplified </w:t>
      </w:r>
      <w:r w:rsidRPr="00B8008E">
        <w:rPr>
          <w:sz w:val="24"/>
        </w:rPr>
        <w:t>method</w:t>
      </w:r>
      <w:r w:rsidR="007C6938" w:rsidRPr="00B8008E">
        <w:rPr>
          <w:sz w:val="24"/>
        </w:rPr>
        <w:t>ology</w:t>
      </w:r>
      <w:r w:rsidRPr="00B8008E">
        <w:rPr>
          <w:sz w:val="24"/>
        </w:rPr>
        <w:t xml:space="preserve"> </w:t>
      </w:r>
      <w:r w:rsidR="00065CCC" w:rsidRPr="00B8008E">
        <w:rPr>
          <w:sz w:val="24"/>
        </w:rPr>
        <w:t xml:space="preserve">provided </w:t>
      </w:r>
      <w:r w:rsidR="003423DD" w:rsidRPr="00B8008E">
        <w:rPr>
          <w:sz w:val="24"/>
        </w:rPr>
        <w:t>in 45 CFR 156.430(c</w:t>
      </w:r>
      <w:proofErr w:type="gramStart"/>
      <w:r w:rsidR="003423DD" w:rsidRPr="00B8008E">
        <w:rPr>
          <w:sz w:val="24"/>
        </w:rPr>
        <w:t>)(</w:t>
      </w:r>
      <w:proofErr w:type="gramEnd"/>
      <w:r w:rsidR="003423DD" w:rsidRPr="00B8008E">
        <w:rPr>
          <w:sz w:val="24"/>
        </w:rPr>
        <w:t xml:space="preserve">4) </w:t>
      </w:r>
      <w:r w:rsidR="005C4903" w:rsidRPr="00B8008E">
        <w:rPr>
          <w:sz w:val="24"/>
        </w:rPr>
        <w:t>does not require complex re-adjudication of claims. Instead</w:t>
      </w:r>
      <w:r w:rsidR="009B5236">
        <w:rPr>
          <w:sz w:val="24"/>
        </w:rPr>
        <w:t>,</w:t>
      </w:r>
      <w:r w:rsidR="005C4903" w:rsidRPr="00B8008E">
        <w:rPr>
          <w:sz w:val="24"/>
        </w:rPr>
        <w:t xml:space="preserve"> issuers are required</w:t>
      </w:r>
      <w:r w:rsidR="006E76AC" w:rsidRPr="00B8008E">
        <w:rPr>
          <w:sz w:val="24"/>
        </w:rPr>
        <w:t xml:space="preserve"> to </w:t>
      </w:r>
      <w:r w:rsidR="005C4903" w:rsidRPr="00B8008E">
        <w:rPr>
          <w:sz w:val="24"/>
        </w:rPr>
        <w:t xml:space="preserve">calculate the amount enrollees would have paid under the standard plan by </w:t>
      </w:r>
      <w:r w:rsidR="002A294D" w:rsidRPr="00B8008E">
        <w:rPr>
          <w:sz w:val="24"/>
        </w:rPr>
        <w:t>applying four cost-sharing parameters for the standard plan to the total allowed costs paid for EHB under the policy with cost sh</w:t>
      </w:r>
      <w:r w:rsidR="002C7837">
        <w:rPr>
          <w:sz w:val="24"/>
        </w:rPr>
        <w:t>aring reductions. The four cost-</w:t>
      </w:r>
      <w:r w:rsidR="002A294D" w:rsidRPr="00B8008E">
        <w:rPr>
          <w:sz w:val="24"/>
        </w:rPr>
        <w:t>sharing parameters are: the effective deductible, the effective pre-deductible coinsurance</w:t>
      </w:r>
      <w:r w:rsidR="009B5236">
        <w:rPr>
          <w:sz w:val="24"/>
        </w:rPr>
        <w:t xml:space="preserve"> rate, the effective post-</w:t>
      </w:r>
      <w:r w:rsidR="002A294D">
        <w:rPr>
          <w:sz w:val="24"/>
        </w:rPr>
        <w:t>deductible coinsurance rate, an</w:t>
      </w:r>
      <w:r w:rsidR="001952AF">
        <w:rPr>
          <w:sz w:val="24"/>
        </w:rPr>
        <w:t>d the effective claims ceiling.</w:t>
      </w:r>
    </w:p>
    <w:p w14:paraId="2EA7FA7D" w14:textId="77777777" w:rsidR="003423DD" w:rsidRDefault="003423DD" w:rsidP="00065CCC">
      <w:pPr>
        <w:ind w:firstLine="360"/>
        <w:rPr>
          <w:sz w:val="24"/>
        </w:rPr>
      </w:pPr>
      <w:r>
        <w:rPr>
          <w:sz w:val="24"/>
        </w:rPr>
        <w:t xml:space="preserve">QHP issuers will </w:t>
      </w:r>
      <w:r w:rsidR="009B5236">
        <w:rPr>
          <w:sz w:val="24"/>
        </w:rPr>
        <w:t>have already notified HHS of their</w:t>
      </w:r>
      <w:r>
        <w:rPr>
          <w:sz w:val="24"/>
        </w:rPr>
        <w:t xml:space="preserve"> selection of methodology as required under</w:t>
      </w:r>
      <w:r w:rsidR="00912CAC">
        <w:rPr>
          <w:sz w:val="24"/>
        </w:rPr>
        <w:t xml:space="preserve"> 45 CFR </w:t>
      </w:r>
      <w:r w:rsidR="002C7837">
        <w:rPr>
          <w:sz w:val="24"/>
        </w:rPr>
        <w:t>156.430</w:t>
      </w:r>
      <w:r>
        <w:rPr>
          <w:sz w:val="24"/>
        </w:rPr>
        <w:t>(c</w:t>
      </w:r>
      <w:proofErr w:type="gramStart"/>
      <w:r>
        <w:rPr>
          <w:sz w:val="24"/>
        </w:rPr>
        <w:t>)(</w:t>
      </w:r>
      <w:proofErr w:type="gramEnd"/>
      <w:r>
        <w:rPr>
          <w:sz w:val="24"/>
        </w:rPr>
        <w:t>3) prior to the b</w:t>
      </w:r>
      <w:r w:rsidR="00A12ABC">
        <w:rPr>
          <w:sz w:val="24"/>
        </w:rPr>
        <w:t xml:space="preserve">enefit year. A QHP that selected the simplified </w:t>
      </w:r>
      <w:r w:rsidR="00A12ABC">
        <w:rPr>
          <w:sz w:val="24"/>
        </w:rPr>
        <w:lastRenderedPageBreak/>
        <w:t xml:space="preserve">methodology must apply the methodology to all plan variations it offers on the Exchange for the benefit year under </w:t>
      </w:r>
      <w:r w:rsidR="00912CAC">
        <w:rPr>
          <w:sz w:val="24"/>
        </w:rPr>
        <w:t xml:space="preserve">45 CFR </w:t>
      </w:r>
      <w:r w:rsidR="002C7837">
        <w:rPr>
          <w:sz w:val="24"/>
        </w:rPr>
        <w:t>156.430</w:t>
      </w:r>
      <w:r w:rsidR="00A12ABC">
        <w:rPr>
          <w:sz w:val="24"/>
        </w:rPr>
        <w:t>(c</w:t>
      </w:r>
      <w:proofErr w:type="gramStart"/>
      <w:r w:rsidR="00A12ABC">
        <w:rPr>
          <w:sz w:val="24"/>
        </w:rPr>
        <w:t>)(</w:t>
      </w:r>
      <w:proofErr w:type="gramEnd"/>
      <w:r w:rsidR="00A12ABC">
        <w:rPr>
          <w:sz w:val="24"/>
        </w:rPr>
        <w:t xml:space="preserve">3)(ii). </w:t>
      </w:r>
    </w:p>
    <w:p w14:paraId="2D8109DF" w14:textId="77777777" w:rsidR="000B3A92" w:rsidRDefault="000B3A92" w:rsidP="00065CCC">
      <w:pPr>
        <w:ind w:firstLine="360"/>
        <w:rPr>
          <w:sz w:val="24"/>
        </w:rPr>
      </w:pPr>
    </w:p>
    <w:p w14:paraId="1C5FE6A8" w14:textId="16975110" w:rsidR="000B3A92" w:rsidRDefault="00BA2432" w:rsidP="00D61DAF">
      <w:pPr>
        <w:widowControl/>
        <w:ind w:firstLine="288"/>
      </w:pPr>
      <w:r>
        <w:rPr>
          <w:sz w:val="24"/>
        </w:rPr>
        <w:t xml:space="preserve"> </w:t>
      </w:r>
      <w:r w:rsidR="00281267">
        <w:rPr>
          <w:sz w:val="24"/>
        </w:rPr>
        <w:t xml:space="preserve">The </w:t>
      </w:r>
      <w:r w:rsidR="00AA4801">
        <w:rPr>
          <w:sz w:val="24"/>
        </w:rPr>
        <w:t xml:space="preserve">initial </w:t>
      </w:r>
      <w:r w:rsidR="00281267">
        <w:rPr>
          <w:sz w:val="24"/>
        </w:rPr>
        <w:t xml:space="preserve">approved information collection request </w:t>
      </w:r>
      <w:r>
        <w:rPr>
          <w:sz w:val="24"/>
        </w:rPr>
        <w:t xml:space="preserve">proposed to collect the necessary data elements for both methodologies using an HHS created CSR Reconciliation Data Template.  For efficiency in transmitting the necessary volume of data for this collection, and to more closely resemble other data collections that issuers currently participate in with the Marketplace, we </w:t>
      </w:r>
      <w:r w:rsidR="00AA4801">
        <w:rPr>
          <w:sz w:val="24"/>
        </w:rPr>
        <w:t xml:space="preserve">changed </w:t>
      </w:r>
      <w:r>
        <w:rPr>
          <w:sz w:val="24"/>
        </w:rPr>
        <w:t>the method of collection from a template to a standard electronic file format</w:t>
      </w:r>
      <w:r w:rsidR="00AA4801">
        <w:rPr>
          <w:sz w:val="24"/>
        </w:rPr>
        <w:t xml:space="preserve"> following the comment period for that request</w:t>
      </w:r>
      <w:r>
        <w:rPr>
          <w:sz w:val="24"/>
        </w:rPr>
        <w:t xml:space="preserve">.  </w:t>
      </w:r>
      <w:r w:rsidR="00EF648F" w:rsidRPr="001B63D0">
        <w:rPr>
          <w:sz w:val="24"/>
        </w:rPr>
        <w:t xml:space="preserve">The </w:t>
      </w:r>
      <w:r w:rsidR="00EF648F" w:rsidRPr="00D61DAF">
        <w:rPr>
          <w:sz w:val="24"/>
        </w:rPr>
        <w:t>initial dat</w:t>
      </w:r>
      <w:r w:rsidR="00565E1B" w:rsidRPr="00565E1B">
        <w:rPr>
          <w:sz w:val="24"/>
        </w:rPr>
        <w:t xml:space="preserve">a collection was approved </w:t>
      </w:r>
      <w:r w:rsidR="00565E1B">
        <w:rPr>
          <w:sz w:val="24"/>
        </w:rPr>
        <w:t>on</w:t>
      </w:r>
      <w:r w:rsidR="00EF648F" w:rsidRPr="00D61DAF">
        <w:rPr>
          <w:sz w:val="24"/>
        </w:rPr>
        <w:t xml:space="preserve"> Dec</w:t>
      </w:r>
      <w:r w:rsidR="001B63D0" w:rsidRPr="00D61DAF">
        <w:rPr>
          <w:sz w:val="24"/>
        </w:rPr>
        <w:t>ember</w:t>
      </w:r>
      <w:r w:rsidR="00EF648F" w:rsidRPr="00D61DAF">
        <w:rPr>
          <w:sz w:val="24"/>
        </w:rPr>
        <w:t xml:space="preserve"> 30</w:t>
      </w:r>
      <w:r w:rsidR="001B63D0" w:rsidRPr="00D61DAF">
        <w:rPr>
          <w:sz w:val="24"/>
        </w:rPr>
        <w:t xml:space="preserve">, </w:t>
      </w:r>
      <w:r w:rsidR="00EF648F" w:rsidRPr="00D61DAF">
        <w:rPr>
          <w:sz w:val="24"/>
        </w:rPr>
        <w:t>2014</w:t>
      </w:r>
      <w:r w:rsidR="001B63D0">
        <w:rPr>
          <w:sz w:val="24"/>
        </w:rPr>
        <w:t>,</w:t>
      </w:r>
      <w:r w:rsidR="00EF648F" w:rsidRPr="00D61DAF">
        <w:rPr>
          <w:sz w:val="24"/>
        </w:rPr>
        <w:t xml:space="preserve"> under OM</w:t>
      </w:r>
      <w:r w:rsidR="00EF648F" w:rsidRPr="00EF648F">
        <w:rPr>
          <w:sz w:val="24"/>
        </w:rPr>
        <w:t>B control number 0938-1266</w:t>
      </w:r>
      <w:r w:rsidR="00EF648F" w:rsidRPr="00D61DAF">
        <w:rPr>
          <w:sz w:val="24"/>
        </w:rPr>
        <w:t>.</w:t>
      </w:r>
      <w:r w:rsidR="00EF648F">
        <w:t xml:space="preserve"> </w:t>
      </w:r>
      <w:r>
        <w:rPr>
          <w:sz w:val="24"/>
        </w:rPr>
        <w:t xml:space="preserve">HHS will release additional information on the file structure and transfer protocols through separate technical guidance </w:t>
      </w:r>
      <w:r w:rsidR="009E439C">
        <w:rPr>
          <w:sz w:val="24"/>
        </w:rPr>
        <w:t xml:space="preserve">shortly.  </w:t>
      </w:r>
      <w:r w:rsidR="00EF648F">
        <w:rPr>
          <w:sz w:val="24"/>
        </w:rPr>
        <w:t xml:space="preserve">In this revised collection </w:t>
      </w:r>
      <w:r w:rsidR="009E439C">
        <w:rPr>
          <w:sz w:val="24"/>
        </w:rPr>
        <w:t>and in technical guidance, w</w:t>
      </w:r>
      <w:r w:rsidR="009E439C" w:rsidRPr="00D61DAF">
        <w:rPr>
          <w:sz w:val="24"/>
        </w:rPr>
        <w:t xml:space="preserve">e </w:t>
      </w:r>
      <w:r w:rsidR="009E439C">
        <w:rPr>
          <w:sz w:val="24"/>
        </w:rPr>
        <w:t xml:space="preserve">are </w:t>
      </w:r>
      <w:r w:rsidR="009E439C" w:rsidRPr="009E439C">
        <w:rPr>
          <w:sz w:val="24"/>
        </w:rPr>
        <w:t>consolidat</w:t>
      </w:r>
      <w:r w:rsidR="009E439C">
        <w:rPr>
          <w:sz w:val="24"/>
        </w:rPr>
        <w:t>ing</w:t>
      </w:r>
      <w:r w:rsidR="009E439C" w:rsidRPr="00D61DAF">
        <w:rPr>
          <w:sz w:val="24"/>
        </w:rPr>
        <w:t xml:space="preserve"> summary, plan, and policy reporting for all issuers regardless of methodology and </w:t>
      </w:r>
      <w:r w:rsidR="009E439C" w:rsidRPr="009E439C">
        <w:rPr>
          <w:sz w:val="24"/>
        </w:rPr>
        <w:t>eliminat</w:t>
      </w:r>
      <w:r w:rsidR="009E439C">
        <w:rPr>
          <w:sz w:val="24"/>
        </w:rPr>
        <w:t>ing</w:t>
      </w:r>
      <w:r w:rsidR="009E439C" w:rsidRPr="00D61DAF">
        <w:rPr>
          <w:sz w:val="24"/>
        </w:rPr>
        <w:t xml:space="preserve"> a number of data elements</w:t>
      </w:r>
      <w:r w:rsidR="00854572">
        <w:rPr>
          <w:sz w:val="24"/>
        </w:rPr>
        <w:t>.  H</w:t>
      </w:r>
      <w:r w:rsidR="009E439C" w:rsidRPr="00D61DAF">
        <w:rPr>
          <w:sz w:val="24"/>
        </w:rPr>
        <w:t xml:space="preserve">owever, since issuers </w:t>
      </w:r>
      <w:r w:rsidR="00854572">
        <w:rPr>
          <w:sz w:val="24"/>
        </w:rPr>
        <w:t>must</w:t>
      </w:r>
      <w:r w:rsidR="009E439C" w:rsidRPr="00D61DAF">
        <w:rPr>
          <w:sz w:val="24"/>
        </w:rPr>
        <w:t xml:space="preserve"> file separate reports in the event of a merger with or acquisition of an issuer with a different methodology, we are adding data elements to allow </w:t>
      </w:r>
      <w:r w:rsidR="00854572">
        <w:rPr>
          <w:sz w:val="24"/>
        </w:rPr>
        <w:t>these</w:t>
      </w:r>
      <w:r w:rsidR="009E439C" w:rsidRPr="00D61DAF">
        <w:rPr>
          <w:sz w:val="24"/>
        </w:rPr>
        <w:t xml:space="preserve"> issuers to cross reference their HIOS IDs with those of the acquired issuer(s) or merger partner(s).</w:t>
      </w:r>
      <w:r w:rsidR="009E439C">
        <w:t xml:space="preserve"> </w:t>
      </w:r>
    </w:p>
    <w:p w14:paraId="46C8F10D" w14:textId="77777777" w:rsidR="000B3A92" w:rsidRDefault="000B3A92" w:rsidP="00D61DAF">
      <w:pPr>
        <w:widowControl/>
        <w:ind w:firstLine="288"/>
      </w:pPr>
    </w:p>
    <w:p w14:paraId="7CD559B3" w14:textId="6BAF991F" w:rsidR="006E785B" w:rsidRDefault="000B3A92" w:rsidP="00065CCC">
      <w:pPr>
        <w:widowControl/>
        <w:ind w:firstLine="288"/>
        <w:rPr>
          <w:sz w:val="24"/>
        </w:rPr>
      </w:pPr>
      <w:r>
        <w:rPr>
          <w:sz w:val="24"/>
        </w:rPr>
        <w:t xml:space="preserve">This </w:t>
      </w:r>
      <w:r w:rsidR="00EF648F">
        <w:rPr>
          <w:sz w:val="24"/>
        </w:rPr>
        <w:t xml:space="preserve">revised </w:t>
      </w:r>
      <w:r>
        <w:rPr>
          <w:sz w:val="24"/>
        </w:rPr>
        <w:t xml:space="preserve">PRA package was published in the Federal Register on </w:t>
      </w:r>
      <w:r w:rsidR="00EF648F">
        <w:rPr>
          <w:sz w:val="24"/>
        </w:rPr>
        <w:t xml:space="preserve">September 14, 2015. </w:t>
      </w:r>
      <w:r>
        <w:rPr>
          <w:sz w:val="24"/>
        </w:rPr>
        <w:t xml:space="preserve">The </w:t>
      </w:r>
      <w:r w:rsidR="00EF648F">
        <w:rPr>
          <w:sz w:val="24"/>
        </w:rPr>
        <w:t>6</w:t>
      </w:r>
      <w:r>
        <w:rPr>
          <w:sz w:val="24"/>
        </w:rPr>
        <w:t xml:space="preserve">0-day notice and comment period for this PRA package ended on </w:t>
      </w:r>
      <w:r w:rsidR="00EF648F">
        <w:rPr>
          <w:sz w:val="24"/>
        </w:rPr>
        <w:t>November 13, 2015.</w:t>
      </w:r>
      <w:r>
        <w:rPr>
          <w:sz w:val="24"/>
        </w:rPr>
        <w:t xml:space="preserve">   </w:t>
      </w:r>
      <w:r w:rsidR="009E439C">
        <w:rPr>
          <w:sz w:val="24"/>
        </w:rPr>
        <w:t xml:space="preserve">We </w:t>
      </w:r>
      <w:r>
        <w:rPr>
          <w:sz w:val="24"/>
        </w:rPr>
        <w:t xml:space="preserve">received and are </w:t>
      </w:r>
      <w:r w:rsidR="009E439C">
        <w:rPr>
          <w:sz w:val="24"/>
        </w:rPr>
        <w:t>respond</w:t>
      </w:r>
      <w:r>
        <w:rPr>
          <w:sz w:val="24"/>
        </w:rPr>
        <w:t>ing</w:t>
      </w:r>
      <w:r w:rsidR="009E439C">
        <w:rPr>
          <w:sz w:val="24"/>
        </w:rPr>
        <w:t xml:space="preserve"> to </w:t>
      </w:r>
      <w:r w:rsidR="00B3154A">
        <w:rPr>
          <w:sz w:val="24"/>
        </w:rPr>
        <w:t xml:space="preserve">specific </w:t>
      </w:r>
      <w:r w:rsidR="009E439C">
        <w:rPr>
          <w:sz w:val="24"/>
        </w:rPr>
        <w:t>comments on this collection in an accompanying document.</w:t>
      </w:r>
      <w:r w:rsidR="00B3154A">
        <w:rPr>
          <w:sz w:val="24"/>
        </w:rPr>
        <w:t xml:space="preserve">  </w:t>
      </w:r>
    </w:p>
    <w:p w14:paraId="4DBE40B3" w14:textId="77777777" w:rsidR="006E785B" w:rsidRDefault="006E785B" w:rsidP="00065CCC">
      <w:pPr>
        <w:widowControl/>
        <w:ind w:firstLine="288"/>
        <w:rPr>
          <w:sz w:val="24"/>
        </w:rPr>
      </w:pPr>
    </w:p>
    <w:p w14:paraId="77D81632" w14:textId="1FDF1F3E" w:rsidR="00964B01" w:rsidRDefault="001B6A6B" w:rsidP="00065CCC">
      <w:pPr>
        <w:widowControl/>
        <w:ind w:firstLine="288"/>
        <w:rPr>
          <w:sz w:val="24"/>
        </w:rPr>
      </w:pPr>
      <w:r w:rsidRPr="00E614D2">
        <w:rPr>
          <w:sz w:val="24"/>
        </w:rPr>
        <w:t xml:space="preserve">The reporting and data collection </w:t>
      </w:r>
      <w:r w:rsidR="00065CCC">
        <w:rPr>
          <w:sz w:val="24"/>
        </w:rPr>
        <w:t>provisions described here</w:t>
      </w:r>
      <w:r>
        <w:rPr>
          <w:sz w:val="24"/>
        </w:rPr>
        <w:t xml:space="preserve"> apply </w:t>
      </w:r>
      <w:r w:rsidR="00964B01">
        <w:rPr>
          <w:sz w:val="24"/>
        </w:rPr>
        <w:t>to issuers of QHPs</w:t>
      </w:r>
      <w:r w:rsidRPr="00E614D2">
        <w:rPr>
          <w:sz w:val="24"/>
        </w:rPr>
        <w:t xml:space="preserve"> inside an Exchange</w:t>
      </w:r>
      <w:r w:rsidR="00964B01">
        <w:rPr>
          <w:sz w:val="24"/>
        </w:rPr>
        <w:t>.</w:t>
      </w:r>
      <w:r>
        <w:rPr>
          <w:sz w:val="24"/>
        </w:rPr>
        <w:t xml:space="preserve"> </w:t>
      </w:r>
      <w:r w:rsidR="002C7837">
        <w:rPr>
          <w:sz w:val="24"/>
        </w:rPr>
        <w:t>(Cost-</w:t>
      </w:r>
      <w:r w:rsidR="00065CCC">
        <w:rPr>
          <w:sz w:val="24"/>
        </w:rPr>
        <w:t xml:space="preserve">sharing reductions are only available through Exchange-based products.) </w:t>
      </w:r>
      <w:r w:rsidR="004C7ACF">
        <w:rPr>
          <w:sz w:val="24"/>
        </w:rPr>
        <w:t xml:space="preserve">All </w:t>
      </w:r>
      <w:r w:rsidR="00065CCC">
        <w:rPr>
          <w:sz w:val="24"/>
        </w:rPr>
        <w:t xml:space="preserve">such </w:t>
      </w:r>
      <w:r w:rsidR="00964B01">
        <w:rPr>
          <w:sz w:val="24"/>
        </w:rPr>
        <w:t xml:space="preserve">QHP </w:t>
      </w:r>
      <w:r w:rsidR="004C7ACF">
        <w:rPr>
          <w:sz w:val="24"/>
        </w:rPr>
        <w:t xml:space="preserve">issuers would be required to </w:t>
      </w:r>
      <w:r w:rsidR="00BA2432">
        <w:rPr>
          <w:sz w:val="24"/>
        </w:rPr>
        <w:t>report the data elements</w:t>
      </w:r>
      <w:r w:rsidR="004C7ACF">
        <w:rPr>
          <w:sz w:val="24"/>
        </w:rPr>
        <w:t xml:space="preserve"> </w:t>
      </w:r>
      <w:r w:rsidR="00BA2432">
        <w:rPr>
          <w:sz w:val="24"/>
        </w:rPr>
        <w:t xml:space="preserve">contained in </w:t>
      </w:r>
      <w:r w:rsidR="004C7ACF">
        <w:rPr>
          <w:sz w:val="24"/>
        </w:rPr>
        <w:t>the Issuer Summary Report</w:t>
      </w:r>
      <w:r w:rsidR="00524B3E">
        <w:rPr>
          <w:sz w:val="24"/>
        </w:rPr>
        <w:t xml:space="preserve"> described in Part I</w:t>
      </w:r>
      <w:r w:rsidR="004C7ACF">
        <w:rPr>
          <w:sz w:val="24"/>
        </w:rPr>
        <w:t xml:space="preserve">. </w:t>
      </w:r>
      <w:r w:rsidR="00964B01">
        <w:rPr>
          <w:sz w:val="24"/>
        </w:rPr>
        <w:t xml:space="preserve">Depending on whether they selected the standard or simplified </w:t>
      </w:r>
      <w:r w:rsidR="009B5236">
        <w:rPr>
          <w:sz w:val="24"/>
        </w:rPr>
        <w:t xml:space="preserve">CSR </w:t>
      </w:r>
      <w:r w:rsidR="00065CCC">
        <w:rPr>
          <w:sz w:val="24"/>
        </w:rPr>
        <w:t xml:space="preserve">reconciliation </w:t>
      </w:r>
      <w:r w:rsidR="00964B01">
        <w:rPr>
          <w:sz w:val="24"/>
        </w:rPr>
        <w:t>methodology</w:t>
      </w:r>
      <w:r w:rsidR="009C376E">
        <w:rPr>
          <w:sz w:val="24"/>
        </w:rPr>
        <w:t xml:space="preserve">, </w:t>
      </w:r>
      <w:r>
        <w:rPr>
          <w:sz w:val="24"/>
        </w:rPr>
        <w:t xml:space="preserve">QHP </w:t>
      </w:r>
      <w:r w:rsidR="00FA07FF">
        <w:rPr>
          <w:sz w:val="24"/>
        </w:rPr>
        <w:t>i</w:t>
      </w:r>
      <w:r w:rsidR="004C7ACF">
        <w:rPr>
          <w:sz w:val="24"/>
        </w:rPr>
        <w:t xml:space="preserve">ssuers then would be required to </w:t>
      </w:r>
      <w:r w:rsidR="00BA2432">
        <w:rPr>
          <w:sz w:val="24"/>
        </w:rPr>
        <w:t xml:space="preserve">report elements from </w:t>
      </w:r>
      <w:r w:rsidR="00065CCC">
        <w:rPr>
          <w:sz w:val="24"/>
        </w:rPr>
        <w:t xml:space="preserve">the following </w:t>
      </w:r>
      <w:r w:rsidR="00FA07FF">
        <w:rPr>
          <w:sz w:val="24"/>
        </w:rPr>
        <w:t xml:space="preserve">additional sections of the CSR </w:t>
      </w:r>
      <w:r w:rsidR="00BA2432">
        <w:rPr>
          <w:sz w:val="24"/>
        </w:rPr>
        <w:t>reconciliation reports</w:t>
      </w:r>
      <w:r w:rsidR="00065CCC">
        <w:rPr>
          <w:sz w:val="24"/>
        </w:rPr>
        <w:t>:</w:t>
      </w:r>
      <w:r w:rsidR="009C376E">
        <w:rPr>
          <w:sz w:val="24"/>
        </w:rPr>
        <w:t xml:space="preserve"> </w:t>
      </w:r>
    </w:p>
    <w:p w14:paraId="37D88462" w14:textId="77777777" w:rsidR="00065CCC" w:rsidRPr="00065CCC" w:rsidRDefault="00EC3823" w:rsidP="00065CCC">
      <w:pPr>
        <w:pStyle w:val="ListParagraph"/>
        <w:widowControl/>
        <w:numPr>
          <w:ilvl w:val="0"/>
          <w:numId w:val="23"/>
        </w:numPr>
        <w:rPr>
          <w:sz w:val="24"/>
        </w:rPr>
      </w:pPr>
      <w:r w:rsidRPr="00065CCC">
        <w:rPr>
          <w:sz w:val="24"/>
        </w:rPr>
        <w:t>Issuers us</w:t>
      </w:r>
      <w:r w:rsidR="001F5579" w:rsidRPr="00065CCC">
        <w:rPr>
          <w:sz w:val="24"/>
        </w:rPr>
        <w:t xml:space="preserve">ing the standard </w:t>
      </w:r>
      <w:r w:rsidR="001B6A6B" w:rsidRPr="00065CCC">
        <w:rPr>
          <w:sz w:val="24"/>
        </w:rPr>
        <w:t xml:space="preserve">CSR reconciliation </w:t>
      </w:r>
      <w:r w:rsidR="001F5579" w:rsidRPr="00065CCC">
        <w:rPr>
          <w:sz w:val="24"/>
        </w:rPr>
        <w:t xml:space="preserve">methodology </w:t>
      </w:r>
      <w:r w:rsidRPr="00065CCC">
        <w:rPr>
          <w:sz w:val="24"/>
        </w:rPr>
        <w:t xml:space="preserve">would be required to </w:t>
      </w:r>
      <w:r w:rsidR="00BA2432">
        <w:rPr>
          <w:sz w:val="24"/>
        </w:rPr>
        <w:t>report</w:t>
      </w:r>
      <w:r w:rsidR="00BA2432" w:rsidRPr="00065CCC">
        <w:rPr>
          <w:sz w:val="24"/>
        </w:rPr>
        <w:t xml:space="preserve"> </w:t>
      </w:r>
      <w:r w:rsidR="00BA2432">
        <w:rPr>
          <w:sz w:val="24"/>
        </w:rPr>
        <w:t xml:space="preserve">the elements in the </w:t>
      </w:r>
      <w:r w:rsidRPr="00065CCC">
        <w:rPr>
          <w:sz w:val="24"/>
        </w:rPr>
        <w:t>Plan and Policy Report</w:t>
      </w:r>
      <w:r w:rsidR="00524B3E">
        <w:rPr>
          <w:sz w:val="24"/>
        </w:rPr>
        <w:t xml:space="preserve"> (Part II</w:t>
      </w:r>
      <w:r w:rsidR="00065CCC">
        <w:rPr>
          <w:sz w:val="24"/>
        </w:rPr>
        <w:t>)</w:t>
      </w:r>
      <w:r w:rsidRPr="00065CCC">
        <w:rPr>
          <w:sz w:val="24"/>
        </w:rPr>
        <w:t xml:space="preserve">. </w:t>
      </w:r>
    </w:p>
    <w:p w14:paraId="085B8623" w14:textId="77777777" w:rsidR="00065CCC" w:rsidRDefault="00EC3823" w:rsidP="00065CCC">
      <w:pPr>
        <w:pStyle w:val="ListParagraph"/>
        <w:widowControl/>
        <w:numPr>
          <w:ilvl w:val="0"/>
          <w:numId w:val="23"/>
        </w:numPr>
        <w:rPr>
          <w:sz w:val="24"/>
        </w:rPr>
      </w:pPr>
      <w:r w:rsidRPr="00065CCC">
        <w:rPr>
          <w:sz w:val="24"/>
        </w:rPr>
        <w:t xml:space="preserve">Issuers using the simplified </w:t>
      </w:r>
      <w:r w:rsidR="00065CCC" w:rsidRPr="00065CCC">
        <w:rPr>
          <w:sz w:val="24"/>
        </w:rPr>
        <w:t xml:space="preserve">CSR reconciliation </w:t>
      </w:r>
      <w:r w:rsidRPr="00065CCC">
        <w:rPr>
          <w:sz w:val="24"/>
        </w:rPr>
        <w:t xml:space="preserve">methodology </w:t>
      </w:r>
      <w:r w:rsidR="005D514B">
        <w:rPr>
          <w:sz w:val="24"/>
        </w:rPr>
        <w:t>with at least</w:t>
      </w:r>
      <w:r w:rsidR="001B6A6B" w:rsidRPr="00065CCC">
        <w:rPr>
          <w:sz w:val="24"/>
        </w:rPr>
        <w:t xml:space="preserve"> </w:t>
      </w:r>
      <w:r w:rsidR="00A7738E">
        <w:rPr>
          <w:sz w:val="24"/>
        </w:rPr>
        <w:t xml:space="preserve">12,000 member months per year </w:t>
      </w:r>
      <w:r w:rsidR="001B6A6B" w:rsidRPr="00065CCC">
        <w:rPr>
          <w:sz w:val="24"/>
        </w:rPr>
        <w:t>in the associated standard</w:t>
      </w:r>
      <w:r w:rsidRPr="00065CCC">
        <w:rPr>
          <w:sz w:val="24"/>
        </w:rPr>
        <w:t xml:space="preserve"> plan would be required to </w:t>
      </w:r>
      <w:r w:rsidR="00BA2432">
        <w:rPr>
          <w:sz w:val="24"/>
        </w:rPr>
        <w:t>report</w:t>
      </w:r>
      <w:r w:rsidRPr="00065CCC">
        <w:rPr>
          <w:sz w:val="24"/>
        </w:rPr>
        <w:t xml:space="preserve"> the</w:t>
      </w:r>
      <w:r w:rsidR="00BA2432">
        <w:rPr>
          <w:sz w:val="24"/>
        </w:rPr>
        <w:t xml:space="preserve"> elements in the</w:t>
      </w:r>
      <w:r w:rsidRPr="00065CCC">
        <w:rPr>
          <w:sz w:val="24"/>
        </w:rPr>
        <w:t xml:space="preserve"> Effective Parameters Report and a</w:t>
      </w:r>
      <w:r w:rsidR="001F5579" w:rsidRPr="00065CCC">
        <w:rPr>
          <w:sz w:val="24"/>
        </w:rPr>
        <w:t xml:space="preserve"> </w:t>
      </w:r>
      <w:r w:rsidRPr="00065CCC">
        <w:rPr>
          <w:sz w:val="24"/>
        </w:rPr>
        <w:t>Plan and Policy Report</w:t>
      </w:r>
      <w:r w:rsidR="00524B3E">
        <w:rPr>
          <w:sz w:val="24"/>
        </w:rPr>
        <w:t xml:space="preserve"> (Parts III and IV</w:t>
      </w:r>
      <w:r w:rsidRPr="00065CCC">
        <w:rPr>
          <w:sz w:val="24"/>
        </w:rPr>
        <w:t>.</w:t>
      </w:r>
      <w:r w:rsidR="00065CCC">
        <w:rPr>
          <w:sz w:val="24"/>
        </w:rPr>
        <w:t>)</w:t>
      </w:r>
    </w:p>
    <w:p w14:paraId="3A359AB9" w14:textId="77777777" w:rsidR="00221F4A" w:rsidRDefault="00EC3823" w:rsidP="00065CCC">
      <w:pPr>
        <w:pStyle w:val="ListParagraph"/>
        <w:widowControl/>
        <w:numPr>
          <w:ilvl w:val="0"/>
          <w:numId w:val="23"/>
        </w:numPr>
        <w:rPr>
          <w:sz w:val="24"/>
        </w:rPr>
      </w:pPr>
      <w:r w:rsidRPr="00065CCC">
        <w:rPr>
          <w:sz w:val="24"/>
        </w:rPr>
        <w:t xml:space="preserve">Issuers using the simplified </w:t>
      </w:r>
      <w:r w:rsidR="00065CCC" w:rsidRPr="00065CCC">
        <w:rPr>
          <w:sz w:val="24"/>
        </w:rPr>
        <w:t xml:space="preserve">CSR reconciliation </w:t>
      </w:r>
      <w:r w:rsidRPr="00065CCC">
        <w:rPr>
          <w:sz w:val="24"/>
        </w:rPr>
        <w:t xml:space="preserve">methodology </w:t>
      </w:r>
      <w:r w:rsidR="001B6A6B" w:rsidRPr="00065CCC">
        <w:rPr>
          <w:sz w:val="24"/>
        </w:rPr>
        <w:t xml:space="preserve">with </w:t>
      </w:r>
      <w:r w:rsidR="00A7738E">
        <w:rPr>
          <w:sz w:val="24"/>
        </w:rPr>
        <w:t>fewer than</w:t>
      </w:r>
      <w:r w:rsidR="00CE4932">
        <w:rPr>
          <w:sz w:val="24"/>
        </w:rPr>
        <w:t xml:space="preserve"> </w:t>
      </w:r>
      <w:r w:rsidR="00A7738E">
        <w:rPr>
          <w:sz w:val="24"/>
        </w:rPr>
        <w:t>12,000</w:t>
      </w:r>
      <w:r w:rsidR="00CE4932">
        <w:rPr>
          <w:sz w:val="24"/>
        </w:rPr>
        <w:t xml:space="preserve"> </w:t>
      </w:r>
      <w:r w:rsidR="00A7738E">
        <w:rPr>
          <w:sz w:val="24"/>
        </w:rPr>
        <w:t>member months per year</w:t>
      </w:r>
      <w:r w:rsidR="00A7738E" w:rsidRPr="00065CCC">
        <w:rPr>
          <w:sz w:val="24"/>
        </w:rPr>
        <w:t xml:space="preserve"> </w:t>
      </w:r>
      <w:r w:rsidR="001B6A6B" w:rsidRPr="00065CCC">
        <w:rPr>
          <w:sz w:val="24"/>
        </w:rPr>
        <w:t xml:space="preserve">in the associated standard plan would be required to </w:t>
      </w:r>
      <w:r w:rsidR="00BA2432">
        <w:rPr>
          <w:sz w:val="24"/>
        </w:rPr>
        <w:t>report</w:t>
      </w:r>
      <w:r w:rsidR="00BA2432" w:rsidRPr="00065CCC">
        <w:rPr>
          <w:sz w:val="24"/>
        </w:rPr>
        <w:t xml:space="preserve"> </w:t>
      </w:r>
      <w:r w:rsidR="00BA2432">
        <w:rPr>
          <w:sz w:val="24"/>
        </w:rPr>
        <w:t>the elements in the</w:t>
      </w:r>
      <w:r w:rsidR="001B6A6B" w:rsidRPr="00065CCC">
        <w:rPr>
          <w:sz w:val="24"/>
        </w:rPr>
        <w:t xml:space="preserve"> Simplified Actuarial Value Met</w:t>
      </w:r>
      <w:r w:rsidR="00221F4A">
        <w:rPr>
          <w:sz w:val="24"/>
        </w:rPr>
        <w:t>hodology Plan and Policy Report</w:t>
      </w:r>
      <w:r w:rsidR="001B6A6B" w:rsidRPr="00065CCC">
        <w:rPr>
          <w:sz w:val="24"/>
        </w:rPr>
        <w:t xml:space="preserve"> </w:t>
      </w:r>
      <w:r w:rsidR="00524B3E">
        <w:rPr>
          <w:sz w:val="24"/>
        </w:rPr>
        <w:t>(Part V</w:t>
      </w:r>
      <w:r w:rsidR="00221F4A">
        <w:rPr>
          <w:sz w:val="24"/>
        </w:rPr>
        <w:t>).</w:t>
      </w:r>
    </w:p>
    <w:p w14:paraId="357D72EA" w14:textId="77777777" w:rsidR="00221F4A" w:rsidRDefault="00221F4A" w:rsidP="00221F4A">
      <w:pPr>
        <w:widowControl/>
        <w:rPr>
          <w:sz w:val="24"/>
        </w:rPr>
      </w:pPr>
    </w:p>
    <w:p w14:paraId="28AE4E54" w14:textId="77777777" w:rsidR="00221F4A" w:rsidRPr="00221F4A" w:rsidRDefault="00221F4A" w:rsidP="00221F4A">
      <w:pPr>
        <w:widowControl/>
        <w:ind w:firstLine="288"/>
        <w:rPr>
          <w:sz w:val="24"/>
        </w:rPr>
      </w:pPr>
      <w:r w:rsidRPr="00221F4A">
        <w:rPr>
          <w:sz w:val="24"/>
        </w:rPr>
        <w:t xml:space="preserve">The data elements </w:t>
      </w:r>
      <w:r w:rsidR="002C7837">
        <w:rPr>
          <w:sz w:val="24"/>
        </w:rPr>
        <w:t xml:space="preserve">required for </w:t>
      </w:r>
      <w:r w:rsidRPr="00221F4A">
        <w:rPr>
          <w:sz w:val="24"/>
        </w:rPr>
        <w:t xml:space="preserve">these reports are described at length below. </w:t>
      </w:r>
    </w:p>
    <w:p w14:paraId="41FFC5C1" w14:textId="38BA64D1" w:rsidR="00221F4A" w:rsidRDefault="00B50866" w:rsidP="00221F4A">
      <w:pPr>
        <w:widowControl/>
        <w:ind w:firstLine="288"/>
        <w:rPr>
          <w:sz w:val="24"/>
        </w:rPr>
      </w:pPr>
      <w:r>
        <w:rPr>
          <w:sz w:val="24"/>
        </w:rPr>
        <w:t>This information collection allows HHS to collec</w:t>
      </w:r>
      <w:r w:rsidR="00785571">
        <w:rPr>
          <w:sz w:val="24"/>
        </w:rPr>
        <w:t>t data necessary</w:t>
      </w:r>
      <w:r>
        <w:rPr>
          <w:sz w:val="24"/>
        </w:rPr>
        <w:t xml:space="preserve"> to reconcile</w:t>
      </w:r>
      <w:r w:rsidR="001B6A6B">
        <w:rPr>
          <w:sz w:val="24"/>
        </w:rPr>
        <w:t xml:space="preserve"> </w:t>
      </w:r>
      <w:r w:rsidR="00553832">
        <w:rPr>
          <w:sz w:val="24"/>
        </w:rPr>
        <w:t xml:space="preserve">payments </w:t>
      </w:r>
      <w:r w:rsidR="001B6A6B">
        <w:rPr>
          <w:sz w:val="24"/>
        </w:rPr>
        <w:t xml:space="preserve">advanced to QHP </w:t>
      </w:r>
      <w:r>
        <w:rPr>
          <w:sz w:val="24"/>
        </w:rPr>
        <w:t>issuer</w:t>
      </w:r>
      <w:r w:rsidR="001B6A6B">
        <w:rPr>
          <w:sz w:val="24"/>
        </w:rPr>
        <w:t>s</w:t>
      </w:r>
      <w:r>
        <w:rPr>
          <w:sz w:val="24"/>
        </w:rPr>
        <w:t xml:space="preserve"> </w:t>
      </w:r>
      <w:r w:rsidR="001B6A6B">
        <w:rPr>
          <w:sz w:val="24"/>
        </w:rPr>
        <w:t>with</w:t>
      </w:r>
      <w:r>
        <w:rPr>
          <w:sz w:val="24"/>
        </w:rPr>
        <w:t xml:space="preserve"> </w:t>
      </w:r>
      <w:r w:rsidR="001B6A6B">
        <w:rPr>
          <w:sz w:val="24"/>
        </w:rPr>
        <w:t xml:space="preserve">dollar amounts paid by </w:t>
      </w:r>
      <w:r>
        <w:rPr>
          <w:sz w:val="24"/>
        </w:rPr>
        <w:t>the issuer on behalf of an enrollee</w:t>
      </w:r>
      <w:r w:rsidR="001B6A6B">
        <w:rPr>
          <w:sz w:val="24"/>
        </w:rPr>
        <w:t>, and recoup or remit the balance</w:t>
      </w:r>
      <w:r w:rsidR="00221F4A">
        <w:rPr>
          <w:sz w:val="24"/>
        </w:rPr>
        <w:t xml:space="preserve">. </w:t>
      </w:r>
    </w:p>
    <w:p w14:paraId="0C5263C5" w14:textId="77777777" w:rsidR="00221F4A" w:rsidRDefault="00221F4A" w:rsidP="00964B01">
      <w:pPr>
        <w:widowControl/>
        <w:ind w:firstLine="288"/>
        <w:rPr>
          <w:sz w:val="24"/>
        </w:rPr>
      </w:pPr>
    </w:p>
    <w:p w14:paraId="4FCA2A32"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C1B1C2"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b/>
          <w:bCs/>
          <w:sz w:val="24"/>
          <w:u w:val="single"/>
        </w:rPr>
        <w:t>B.</w:t>
      </w:r>
      <w:r w:rsidRPr="00E614D2">
        <w:rPr>
          <w:b/>
          <w:bCs/>
          <w:sz w:val="24"/>
        </w:rPr>
        <w:tab/>
      </w:r>
      <w:r w:rsidRPr="00E614D2">
        <w:rPr>
          <w:b/>
          <w:bCs/>
          <w:sz w:val="24"/>
          <w:u w:val="single"/>
        </w:rPr>
        <w:t>Justification</w:t>
      </w:r>
      <w:r w:rsidR="00891199">
        <w:rPr>
          <w:b/>
          <w:bCs/>
          <w:sz w:val="24"/>
          <w:u w:val="single"/>
        </w:rPr>
        <w:t xml:space="preserve"> </w:t>
      </w:r>
    </w:p>
    <w:p w14:paraId="36CD210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7953F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w:t>
      </w:r>
      <w:r w:rsidRPr="00E614D2">
        <w:rPr>
          <w:sz w:val="24"/>
        </w:rPr>
        <w:tab/>
      </w:r>
      <w:r w:rsidR="00891199" w:rsidRPr="00891199">
        <w:rPr>
          <w:sz w:val="24"/>
          <w:u w:val="single"/>
        </w:rPr>
        <w:t>Circumstances Making the Collection of Information Necessary</w:t>
      </w:r>
      <w:r w:rsidR="00891199">
        <w:rPr>
          <w:sz w:val="24"/>
        </w:rPr>
        <w:t xml:space="preserve"> </w:t>
      </w:r>
      <w:r w:rsidR="00AB5521">
        <w:rPr>
          <w:sz w:val="24"/>
        </w:rPr>
        <w:t xml:space="preserve"> </w:t>
      </w:r>
    </w:p>
    <w:p w14:paraId="279855E6" w14:textId="77777777" w:rsidR="00B45FCB" w:rsidRPr="00E614D2" w:rsidRDefault="00B45FCB" w:rsidP="00B45FCB">
      <w:pPr>
        <w:tabs>
          <w:tab w:val="left" w:pos="0"/>
        </w:tabs>
        <w:rPr>
          <w:sz w:val="24"/>
        </w:rPr>
      </w:pPr>
      <w:r w:rsidRPr="00E614D2">
        <w:rPr>
          <w:sz w:val="24"/>
        </w:rPr>
        <w:lastRenderedPageBreak/>
        <w:tab/>
      </w:r>
      <w:r w:rsidRPr="00E614D2">
        <w:rPr>
          <w:sz w:val="24"/>
        </w:rPr>
        <w:tab/>
      </w:r>
    </w:p>
    <w:p w14:paraId="1A242090" w14:textId="14D6983A" w:rsidR="00B50866" w:rsidRDefault="00553832" w:rsidP="00CB23BD">
      <w:pPr>
        <w:widowControl/>
        <w:ind w:firstLine="288"/>
        <w:rPr>
          <w:sz w:val="24"/>
        </w:rPr>
      </w:pPr>
      <w:r>
        <w:rPr>
          <w:sz w:val="24"/>
        </w:rPr>
        <w:t>T</w:t>
      </w:r>
      <w:r w:rsidR="007A7507">
        <w:rPr>
          <w:sz w:val="24"/>
        </w:rPr>
        <w:t>he Affordable Care Act</w:t>
      </w:r>
      <w:r w:rsidR="007A7507" w:rsidRPr="00E614D2">
        <w:rPr>
          <w:sz w:val="24"/>
        </w:rPr>
        <w:t xml:space="preserve"> provides </w:t>
      </w:r>
      <w:r w:rsidR="002C7837">
        <w:rPr>
          <w:sz w:val="24"/>
        </w:rPr>
        <w:t>cost-</w:t>
      </w:r>
      <w:r w:rsidR="007A7507">
        <w:rPr>
          <w:sz w:val="24"/>
        </w:rPr>
        <w:t>sharing reductions for certain eligible individuals to help them afford out-of-pocket expenses associated with health care purchase</w:t>
      </w:r>
      <w:r w:rsidR="002C7837">
        <w:rPr>
          <w:sz w:val="24"/>
        </w:rPr>
        <w:t xml:space="preserve">d through </w:t>
      </w:r>
      <w:r w:rsidR="009B5236">
        <w:rPr>
          <w:sz w:val="24"/>
        </w:rPr>
        <w:t>QHP</w:t>
      </w:r>
      <w:r w:rsidR="002C7837">
        <w:rPr>
          <w:sz w:val="24"/>
        </w:rPr>
        <w:t>s</w:t>
      </w:r>
      <w:r w:rsidR="007A7507">
        <w:rPr>
          <w:sz w:val="24"/>
        </w:rPr>
        <w:t xml:space="preserve"> offere</w:t>
      </w:r>
      <w:r w:rsidR="00E473F4">
        <w:rPr>
          <w:sz w:val="24"/>
        </w:rPr>
        <w:t>d on Exchanges</w:t>
      </w:r>
      <w:r w:rsidR="007A7507">
        <w:rPr>
          <w:sz w:val="24"/>
        </w:rPr>
        <w:t xml:space="preserve">. </w:t>
      </w:r>
      <w:r w:rsidR="00785571">
        <w:rPr>
          <w:sz w:val="24"/>
        </w:rPr>
        <w:t>S</w:t>
      </w:r>
      <w:r w:rsidR="00CA3144">
        <w:rPr>
          <w:sz w:val="24"/>
        </w:rPr>
        <w:t xml:space="preserve">pecifically, </w:t>
      </w:r>
      <w:r w:rsidR="00785571" w:rsidRPr="00FE3EF9">
        <w:rPr>
          <w:sz w:val="24"/>
        </w:rPr>
        <w:t>the Affordable Care Act provide</w:t>
      </w:r>
      <w:r w:rsidR="00CA3144">
        <w:rPr>
          <w:sz w:val="24"/>
        </w:rPr>
        <w:t>s</w:t>
      </w:r>
      <w:r w:rsidR="00785571" w:rsidRPr="00FE3EF9">
        <w:rPr>
          <w:sz w:val="24"/>
        </w:rPr>
        <w:t xml:space="preserve"> for reductions in cost sharing </w:t>
      </w:r>
      <w:r w:rsidR="00785571" w:rsidRPr="00524B3E">
        <w:rPr>
          <w:sz w:val="24"/>
        </w:rPr>
        <w:t xml:space="preserve">on </w:t>
      </w:r>
      <w:r w:rsidR="00676A30" w:rsidRPr="00524B3E">
        <w:rPr>
          <w:sz w:val="24"/>
        </w:rPr>
        <w:t>EHB</w:t>
      </w:r>
      <w:r w:rsidR="00785571" w:rsidRPr="00524B3E">
        <w:rPr>
          <w:sz w:val="24"/>
        </w:rPr>
        <w:t xml:space="preserve"> for</w:t>
      </w:r>
      <w:r w:rsidR="00785571" w:rsidRPr="00FE3EF9">
        <w:rPr>
          <w:sz w:val="24"/>
        </w:rPr>
        <w:t xml:space="preserve"> low and moderate income enrollees in silver level health plans sold on individual market Exchan</w:t>
      </w:r>
      <w:r w:rsidR="00EA7B09">
        <w:rPr>
          <w:sz w:val="24"/>
        </w:rPr>
        <w:t xml:space="preserve">ges. </w:t>
      </w:r>
      <w:r w:rsidR="00CA3144">
        <w:rPr>
          <w:sz w:val="24"/>
        </w:rPr>
        <w:t>T</w:t>
      </w:r>
      <w:r w:rsidR="00FE3EF9" w:rsidRPr="00FE3EF9">
        <w:rPr>
          <w:sz w:val="24"/>
        </w:rPr>
        <w:t xml:space="preserve">he </w:t>
      </w:r>
      <w:r w:rsidR="005E74A3">
        <w:rPr>
          <w:sz w:val="24"/>
        </w:rPr>
        <w:t xml:space="preserve">law </w:t>
      </w:r>
      <w:r w:rsidR="00FE3EF9" w:rsidRPr="00FE3EF9">
        <w:rPr>
          <w:sz w:val="24"/>
        </w:rPr>
        <w:t xml:space="preserve">directs QHP issuers to notify the Secretary of </w:t>
      </w:r>
      <w:r w:rsidR="005E74A3" w:rsidRPr="00FE3EF9">
        <w:rPr>
          <w:sz w:val="24"/>
        </w:rPr>
        <w:t xml:space="preserve">Health and Human Services </w:t>
      </w:r>
      <w:r w:rsidR="00FE3EF9" w:rsidRPr="00FE3EF9">
        <w:rPr>
          <w:sz w:val="24"/>
        </w:rPr>
        <w:t xml:space="preserve">of cost-sharing reductions made under the statute for qualified individuals, and </w:t>
      </w:r>
      <w:r w:rsidR="00B87940">
        <w:rPr>
          <w:sz w:val="24"/>
        </w:rPr>
        <w:t xml:space="preserve">provides for </w:t>
      </w:r>
      <w:r w:rsidR="00FE3EF9" w:rsidRPr="00FE3EF9">
        <w:rPr>
          <w:sz w:val="24"/>
        </w:rPr>
        <w:t>periodic and timely payments to the QHP issuer equal to the value of those reductions.  Further, the law permits advance payment of the cost-sharing reduction amounts to QHP issuers</w:t>
      </w:r>
      <w:r w:rsidR="00CA3144">
        <w:rPr>
          <w:sz w:val="24"/>
        </w:rPr>
        <w:t>.</w:t>
      </w:r>
      <w:r w:rsidR="00FE3EF9" w:rsidRPr="00FE3EF9">
        <w:rPr>
          <w:sz w:val="24"/>
        </w:rPr>
        <w:t xml:space="preserve"> </w:t>
      </w:r>
    </w:p>
    <w:p w14:paraId="7701FD24" w14:textId="51C7D4C8" w:rsidR="00E473F4" w:rsidRDefault="00B50866" w:rsidP="00DC39D3">
      <w:pPr>
        <w:widowControl/>
        <w:ind w:firstLine="288"/>
        <w:rPr>
          <w:sz w:val="24"/>
        </w:rPr>
      </w:pPr>
      <w:r>
        <w:rPr>
          <w:sz w:val="24"/>
        </w:rPr>
        <w:t xml:space="preserve">To ensure the appropriate use of federal funds, HHS needs to compare </w:t>
      </w:r>
      <w:r w:rsidR="00E473F4">
        <w:rPr>
          <w:sz w:val="24"/>
        </w:rPr>
        <w:t xml:space="preserve">and reconcile </w:t>
      </w:r>
      <w:r>
        <w:rPr>
          <w:sz w:val="24"/>
        </w:rPr>
        <w:t>the estimated monthly payments advanced t</w:t>
      </w:r>
      <w:r w:rsidR="00221F4A">
        <w:rPr>
          <w:sz w:val="24"/>
        </w:rPr>
        <w:t>o a QHP</w:t>
      </w:r>
      <w:r>
        <w:rPr>
          <w:sz w:val="24"/>
        </w:rPr>
        <w:t xml:space="preserve"> issuer with </w:t>
      </w:r>
      <w:r w:rsidR="00E473F4">
        <w:rPr>
          <w:sz w:val="24"/>
        </w:rPr>
        <w:t xml:space="preserve">cost sharing reductions </w:t>
      </w:r>
      <w:r>
        <w:rPr>
          <w:sz w:val="24"/>
        </w:rPr>
        <w:t xml:space="preserve">made by the issuer for medical services for each eligible enrollee in a benefit year. </w:t>
      </w:r>
    </w:p>
    <w:p w14:paraId="22593D33" w14:textId="77777777" w:rsidR="00DC39D3" w:rsidRDefault="00DC39D3" w:rsidP="00DC39D3">
      <w:pPr>
        <w:widowControl/>
        <w:ind w:firstLine="288"/>
        <w:rPr>
          <w:sz w:val="24"/>
        </w:rPr>
      </w:pPr>
    </w:p>
    <w:p w14:paraId="548D8F63" w14:textId="77777777" w:rsidR="00B45FCB" w:rsidRPr="00891199" w:rsidRDefault="00B45FCB" w:rsidP="00E473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614D2">
        <w:rPr>
          <w:sz w:val="24"/>
        </w:rPr>
        <w:t>2.</w:t>
      </w:r>
      <w:r w:rsidRPr="00E614D2">
        <w:rPr>
          <w:sz w:val="24"/>
        </w:rPr>
        <w:tab/>
      </w:r>
      <w:r w:rsidR="00891199" w:rsidRPr="00DC39D3">
        <w:rPr>
          <w:sz w:val="24"/>
          <w:u w:val="single"/>
        </w:rPr>
        <w:t>Purpose and Use of Information</w:t>
      </w:r>
      <w:r w:rsidR="00891199" w:rsidRPr="00891199">
        <w:rPr>
          <w:b/>
          <w:sz w:val="24"/>
        </w:rPr>
        <w:t xml:space="preserve"> </w:t>
      </w:r>
    </w:p>
    <w:p w14:paraId="55C2BC34" w14:textId="77777777" w:rsidR="00B45FCB"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2ABAFEAB" w14:textId="66011FDC" w:rsidR="00B45FCB" w:rsidRPr="00AA4801"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t xml:space="preserve">The data collection and reporting requirements </w:t>
      </w:r>
      <w:r>
        <w:rPr>
          <w:sz w:val="24"/>
        </w:rPr>
        <w:t xml:space="preserve">described below </w:t>
      </w:r>
      <w:r w:rsidRPr="00E614D2">
        <w:rPr>
          <w:sz w:val="24"/>
        </w:rPr>
        <w:t xml:space="preserve">will </w:t>
      </w:r>
      <w:r w:rsidR="005D028B">
        <w:rPr>
          <w:sz w:val="24"/>
        </w:rPr>
        <w:t xml:space="preserve">enable </w:t>
      </w:r>
      <w:r w:rsidR="005E74A3">
        <w:rPr>
          <w:sz w:val="24"/>
        </w:rPr>
        <w:t xml:space="preserve">HHS to </w:t>
      </w:r>
      <w:r w:rsidR="00F66631">
        <w:rPr>
          <w:sz w:val="24"/>
        </w:rPr>
        <w:t xml:space="preserve">review </w:t>
      </w:r>
      <w:r w:rsidR="00E473F4">
        <w:rPr>
          <w:sz w:val="24"/>
        </w:rPr>
        <w:t>actual</w:t>
      </w:r>
      <w:r w:rsidR="001B6A6B">
        <w:rPr>
          <w:sz w:val="24"/>
        </w:rPr>
        <w:t xml:space="preserve"> medical c</w:t>
      </w:r>
      <w:r w:rsidR="00CE4932">
        <w:rPr>
          <w:sz w:val="24"/>
        </w:rPr>
        <w:t>ost</w:t>
      </w:r>
      <w:r w:rsidR="001B6A6B">
        <w:rPr>
          <w:sz w:val="24"/>
        </w:rPr>
        <w:t>s</w:t>
      </w:r>
      <w:r w:rsidR="00F66631">
        <w:rPr>
          <w:sz w:val="24"/>
        </w:rPr>
        <w:t xml:space="preserve"> </w:t>
      </w:r>
      <w:r w:rsidR="001B6A6B">
        <w:rPr>
          <w:sz w:val="24"/>
        </w:rPr>
        <w:t xml:space="preserve">incurred by enrollees </w:t>
      </w:r>
      <w:r w:rsidR="00F66631">
        <w:rPr>
          <w:sz w:val="24"/>
        </w:rPr>
        <w:t xml:space="preserve">for </w:t>
      </w:r>
      <w:r w:rsidR="00524B3E">
        <w:rPr>
          <w:sz w:val="24"/>
        </w:rPr>
        <w:t>EHB</w:t>
      </w:r>
      <w:r w:rsidR="001B6A6B">
        <w:rPr>
          <w:sz w:val="24"/>
        </w:rPr>
        <w:t xml:space="preserve"> and</w:t>
      </w:r>
      <w:r w:rsidR="005E2F88">
        <w:rPr>
          <w:sz w:val="24"/>
        </w:rPr>
        <w:t xml:space="preserve"> </w:t>
      </w:r>
      <w:r w:rsidR="001B6A6B">
        <w:rPr>
          <w:sz w:val="24"/>
        </w:rPr>
        <w:t xml:space="preserve">CSRs provided by issuers </w:t>
      </w:r>
      <w:r w:rsidR="00CE4932">
        <w:rPr>
          <w:sz w:val="24"/>
        </w:rPr>
        <w:t>on behalf of</w:t>
      </w:r>
      <w:r w:rsidR="001B6A6B">
        <w:rPr>
          <w:sz w:val="24"/>
        </w:rPr>
        <w:t xml:space="preserve"> these enrollees</w:t>
      </w:r>
      <w:r w:rsidR="00E473F4">
        <w:rPr>
          <w:sz w:val="24"/>
        </w:rPr>
        <w:t xml:space="preserve"> for these services</w:t>
      </w:r>
      <w:r w:rsidR="001B6A6B">
        <w:rPr>
          <w:sz w:val="24"/>
        </w:rPr>
        <w:t xml:space="preserve">, </w:t>
      </w:r>
      <w:r w:rsidR="005E74A3">
        <w:rPr>
          <w:sz w:val="24"/>
        </w:rPr>
        <w:t xml:space="preserve">and </w:t>
      </w:r>
      <w:r w:rsidR="001B6A6B">
        <w:rPr>
          <w:sz w:val="24"/>
        </w:rPr>
        <w:t xml:space="preserve">to </w:t>
      </w:r>
      <w:r w:rsidR="005E74A3">
        <w:rPr>
          <w:sz w:val="24"/>
        </w:rPr>
        <w:t xml:space="preserve">compare </w:t>
      </w:r>
      <w:r w:rsidR="00F66631">
        <w:rPr>
          <w:sz w:val="24"/>
        </w:rPr>
        <w:t xml:space="preserve">this information to </w:t>
      </w:r>
      <w:r w:rsidR="005E74A3">
        <w:rPr>
          <w:sz w:val="24"/>
        </w:rPr>
        <w:t xml:space="preserve">the </w:t>
      </w:r>
      <w:r w:rsidR="00F66631">
        <w:rPr>
          <w:sz w:val="24"/>
        </w:rPr>
        <w:t xml:space="preserve">dollar amount of </w:t>
      </w:r>
      <w:r w:rsidR="005E74A3">
        <w:rPr>
          <w:sz w:val="24"/>
        </w:rPr>
        <w:t>estimated</w:t>
      </w:r>
      <w:r w:rsidR="00F66631">
        <w:rPr>
          <w:sz w:val="24"/>
        </w:rPr>
        <w:t xml:space="preserve"> payments </w:t>
      </w:r>
      <w:r w:rsidR="005E74A3">
        <w:rPr>
          <w:sz w:val="24"/>
        </w:rPr>
        <w:t>advanced to issuers</w:t>
      </w:r>
      <w:r w:rsidR="00F66631">
        <w:rPr>
          <w:sz w:val="24"/>
        </w:rPr>
        <w:t xml:space="preserve">. This comparison will allow HHS to determine whether the advance payment to the issuer was </w:t>
      </w:r>
      <w:r w:rsidR="002A294D">
        <w:rPr>
          <w:sz w:val="24"/>
        </w:rPr>
        <w:t>greater or less</w:t>
      </w:r>
      <w:r w:rsidR="001B6A6B">
        <w:rPr>
          <w:sz w:val="24"/>
        </w:rPr>
        <w:t xml:space="preserve"> than the CSR amount</w:t>
      </w:r>
      <w:r w:rsidR="002C7837">
        <w:rPr>
          <w:sz w:val="24"/>
        </w:rPr>
        <w:t xml:space="preserve">s </w:t>
      </w:r>
      <w:r w:rsidR="00CE4932">
        <w:rPr>
          <w:sz w:val="24"/>
        </w:rPr>
        <w:t>provided on behalf of</w:t>
      </w:r>
      <w:r w:rsidR="002C7837">
        <w:rPr>
          <w:sz w:val="24"/>
        </w:rPr>
        <w:t xml:space="preserve"> enrollees</w:t>
      </w:r>
      <w:r w:rsidR="00F66631">
        <w:rPr>
          <w:sz w:val="24"/>
        </w:rPr>
        <w:t>.</w:t>
      </w:r>
      <w:r w:rsidR="007C2284">
        <w:rPr>
          <w:sz w:val="24"/>
        </w:rPr>
        <w:t xml:space="preserve"> Using this data, HHS </w:t>
      </w:r>
      <w:r w:rsidR="001074C7">
        <w:rPr>
          <w:sz w:val="24"/>
        </w:rPr>
        <w:t>will calculate the difference betwee</w:t>
      </w:r>
      <w:r w:rsidR="002C7837">
        <w:rPr>
          <w:sz w:val="24"/>
        </w:rPr>
        <w:t xml:space="preserve">n the </w:t>
      </w:r>
      <w:r w:rsidR="00553832">
        <w:rPr>
          <w:sz w:val="24"/>
        </w:rPr>
        <w:t xml:space="preserve">estimated </w:t>
      </w:r>
      <w:r w:rsidR="001074C7">
        <w:rPr>
          <w:sz w:val="24"/>
        </w:rPr>
        <w:t xml:space="preserve">advanced </w:t>
      </w:r>
      <w:r w:rsidR="002C7837">
        <w:rPr>
          <w:sz w:val="24"/>
        </w:rPr>
        <w:t xml:space="preserve">CSR payments </w:t>
      </w:r>
      <w:r w:rsidR="007C2284">
        <w:rPr>
          <w:sz w:val="24"/>
        </w:rPr>
        <w:t>and the</w:t>
      </w:r>
      <w:r w:rsidR="001074C7">
        <w:rPr>
          <w:sz w:val="24"/>
        </w:rPr>
        <w:t xml:space="preserve"> amou</w:t>
      </w:r>
      <w:r w:rsidR="002C7837">
        <w:rPr>
          <w:sz w:val="24"/>
        </w:rPr>
        <w:t>nt actually provided</w:t>
      </w:r>
      <w:r w:rsidR="001074C7">
        <w:rPr>
          <w:sz w:val="24"/>
        </w:rPr>
        <w:t xml:space="preserve"> </w:t>
      </w:r>
      <w:r w:rsidR="002C7837">
        <w:rPr>
          <w:sz w:val="24"/>
        </w:rPr>
        <w:t xml:space="preserve">during the benefit year, </w:t>
      </w:r>
      <w:r w:rsidR="001074C7">
        <w:rPr>
          <w:sz w:val="24"/>
        </w:rPr>
        <w:t xml:space="preserve">and either </w:t>
      </w:r>
      <w:r w:rsidR="00F66631" w:rsidRPr="00AA4801">
        <w:rPr>
          <w:sz w:val="24"/>
        </w:rPr>
        <w:t xml:space="preserve">a </w:t>
      </w:r>
      <w:r w:rsidR="001074C7" w:rsidRPr="00AA4801">
        <w:rPr>
          <w:sz w:val="24"/>
        </w:rPr>
        <w:t xml:space="preserve">payment </w:t>
      </w:r>
      <w:r w:rsidR="00CA3144">
        <w:rPr>
          <w:sz w:val="24"/>
        </w:rPr>
        <w:t xml:space="preserve">will be made </w:t>
      </w:r>
      <w:r w:rsidR="001074C7" w:rsidRPr="00AA4801">
        <w:rPr>
          <w:sz w:val="24"/>
        </w:rPr>
        <w:t xml:space="preserve">to an issuer or </w:t>
      </w:r>
      <w:r w:rsidR="00F66631" w:rsidRPr="00AA4801">
        <w:rPr>
          <w:sz w:val="24"/>
        </w:rPr>
        <w:t xml:space="preserve">the issuer </w:t>
      </w:r>
      <w:r w:rsidR="00CA3144">
        <w:rPr>
          <w:sz w:val="24"/>
        </w:rPr>
        <w:t xml:space="preserve">will be invoiced </w:t>
      </w:r>
      <w:r w:rsidR="00F66631" w:rsidRPr="00AA4801">
        <w:rPr>
          <w:sz w:val="24"/>
        </w:rPr>
        <w:t xml:space="preserve">for </w:t>
      </w:r>
      <w:r w:rsidR="007C2284" w:rsidRPr="00AA4801">
        <w:rPr>
          <w:sz w:val="24"/>
        </w:rPr>
        <w:t>amounts not spent on behalf of</w:t>
      </w:r>
      <w:r w:rsidR="001074C7" w:rsidRPr="00AA4801">
        <w:rPr>
          <w:sz w:val="24"/>
        </w:rPr>
        <w:t xml:space="preserve"> the enrollee</w:t>
      </w:r>
      <w:r w:rsidR="00F66631" w:rsidRPr="00AA4801">
        <w:rPr>
          <w:sz w:val="24"/>
        </w:rPr>
        <w:t xml:space="preserve">. </w:t>
      </w:r>
      <w:r w:rsidR="005E74A3" w:rsidRPr="00AA4801">
        <w:rPr>
          <w:sz w:val="24"/>
        </w:rPr>
        <w:t xml:space="preserve"> </w:t>
      </w:r>
      <w:r w:rsidR="00265BAC">
        <w:rPr>
          <w:sz w:val="24"/>
        </w:rPr>
        <w:t>Because of a new timetable for reconciling CSR advance payments, f</w:t>
      </w:r>
      <w:r w:rsidR="002C7837" w:rsidRPr="00AA4801">
        <w:rPr>
          <w:sz w:val="24"/>
        </w:rPr>
        <w:t xml:space="preserve">or </w:t>
      </w:r>
      <w:r w:rsidR="002A294D" w:rsidRPr="00AA4801">
        <w:rPr>
          <w:sz w:val="24"/>
        </w:rPr>
        <w:t>benefit year</w:t>
      </w:r>
      <w:r w:rsidR="00AA4801">
        <w:rPr>
          <w:sz w:val="24"/>
        </w:rPr>
        <w:t>s</w:t>
      </w:r>
      <w:r w:rsidR="002A294D" w:rsidRPr="00AA4801">
        <w:rPr>
          <w:sz w:val="24"/>
        </w:rPr>
        <w:t xml:space="preserve"> 2014</w:t>
      </w:r>
      <w:r w:rsidR="00AA4801">
        <w:rPr>
          <w:sz w:val="24"/>
        </w:rPr>
        <w:t xml:space="preserve"> and 2015</w:t>
      </w:r>
      <w:r w:rsidR="002A294D" w:rsidRPr="00AA4801">
        <w:rPr>
          <w:sz w:val="24"/>
        </w:rPr>
        <w:t xml:space="preserve">, issuers must submit </w:t>
      </w:r>
      <w:r w:rsidR="002C7837" w:rsidRPr="00AA4801">
        <w:rPr>
          <w:sz w:val="24"/>
        </w:rPr>
        <w:t xml:space="preserve">CSR </w:t>
      </w:r>
      <w:r w:rsidR="002A294D" w:rsidRPr="00AA4801">
        <w:rPr>
          <w:sz w:val="24"/>
        </w:rPr>
        <w:t>data to HHS by</w:t>
      </w:r>
      <w:r w:rsidR="00B31FBC" w:rsidRPr="00AA4801">
        <w:rPr>
          <w:sz w:val="24"/>
        </w:rPr>
        <w:t xml:space="preserve"> </w:t>
      </w:r>
      <w:r w:rsidR="00243CD5" w:rsidRPr="00AA4801">
        <w:rPr>
          <w:sz w:val="24"/>
        </w:rPr>
        <w:t>April 30</w:t>
      </w:r>
      <w:r w:rsidR="002A294D" w:rsidRPr="00AA4801">
        <w:rPr>
          <w:sz w:val="24"/>
        </w:rPr>
        <w:t>, 201</w:t>
      </w:r>
      <w:r w:rsidR="00AA4801">
        <w:rPr>
          <w:sz w:val="24"/>
        </w:rPr>
        <w:t>6</w:t>
      </w:r>
      <w:r w:rsidR="002A294D" w:rsidRPr="00AA4801">
        <w:rPr>
          <w:sz w:val="24"/>
        </w:rPr>
        <w:t xml:space="preserve">. </w:t>
      </w:r>
    </w:p>
    <w:p w14:paraId="62C8AF8D" w14:textId="77777777" w:rsidR="00B45FCB" w:rsidRPr="00265BAC"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038E5C"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65BAC">
        <w:rPr>
          <w:sz w:val="24"/>
        </w:rPr>
        <w:t>3.</w:t>
      </w:r>
      <w:r w:rsidRPr="00265BAC">
        <w:rPr>
          <w:sz w:val="24"/>
        </w:rPr>
        <w:tab/>
      </w:r>
      <w:r w:rsidRPr="00265BAC">
        <w:rPr>
          <w:sz w:val="24"/>
          <w:u w:val="single"/>
        </w:rPr>
        <w:t>Use of Information Technology</w:t>
      </w:r>
    </w:p>
    <w:p w14:paraId="4B794CF7"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8A8F01" w14:textId="77777777" w:rsidR="00B45FCB" w:rsidRPr="00E614D2" w:rsidRDefault="00B45FCB" w:rsidP="00B45FCB">
      <w:pPr>
        <w:ind w:firstLine="360"/>
        <w:rPr>
          <w:sz w:val="24"/>
        </w:rPr>
      </w:pPr>
      <w:r>
        <w:rPr>
          <w:sz w:val="24"/>
        </w:rPr>
        <w:t>I</w:t>
      </w:r>
      <w:r w:rsidRPr="00E614D2">
        <w:rPr>
          <w:sz w:val="24"/>
        </w:rPr>
        <w:t xml:space="preserve">nformation </w:t>
      </w:r>
      <w:r w:rsidR="002C7837">
        <w:rPr>
          <w:sz w:val="24"/>
        </w:rPr>
        <w:t>gathered</w:t>
      </w:r>
      <w:r>
        <w:rPr>
          <w:sz w:val="24"/>
        </w:rPr>
        <w:t xml:space="preserve"> </w:t>
      </w:r>
      <w:r w:rsidR="002C7837">
        <w:rPr>
          <w:sz w:val="24"/>
        </w:rPr>
        <w:t>through this collection</w:t>
      </w:r>
      <w:r w:rsidRPr="00E614D2">
        <w:rPr>
          <w:sz w:val="24"/>
        </w:rPr>
        <w:t xml:space="preserve"> will be submitted electronically.  HHS staff will communicate with States and the District of Columbia using </w:t>
      </w:r>
      <w:r>
        <w:rPr>
          <w:sz w:val="24"/>
        </w:rPr>
        <w:t xml:space="preserve">standardized reporting, </w:t>
      </w:r>
      <w:r w:rsidRPr="00E614D2">
        <w:rPr>
          <w:sz w:val="24"/>
        </w:rPr>
        <w:t xml:space="preserve">e-mail or telephone.  </w:t>
      </w:r>
    </w:p>
    <w:p w14:paraId="699CC2B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E7173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4.</w:t>
      </w:r>
      <w:r w:rsidRPr="00E614D2">
        <w:rPr>
          <w:sz w:val="24"/>
        </w:rPr>
        <w:tab/>
      </w:r>
      <w:r w:rsidRPr="00E614D2">
        <w:rPr>
          <w:sz w:val="24"/>
          <w:u w:val="single"/>
        </w:rPr>
        <w:t>Duplication of Efforts</w:t>
      </w:r>
    </w:p>
    <w:p w14:paraId="65734571"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3BE86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This information collection does not duplicate any other Federal effort. </w:t>
      </w:r>
    </w:p>
    <w:p w14:paraId="1F50786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2833A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5.</w:t>
      </w:r>
      <w:r w:rsidRPr="00E614D2">
        <w:rPr>
          <w:sz w:val="24"/>
        </w:rPr>
        <w:tab/>
      </w:r>
      <w:r w:rsidRPr="00E614D2">
        <w:rPr>
          <w:sz w:val="24"/>
          <w:u w:val="single"/>
        </w:rPr>
        <w:t>Small Businesses</w:t>
      </w:r>
    </w:p>
    <w:p w14:paraId="3A53646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3F2393" w14:textId="77777777" w:rsidR="00B45FCB" w:rsidRPr="00E64E03"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4E03">
        <w:rPr>
          <w:sz w:val="24"/>
        </w:rPr>
        <w:t xml:space="preserve">This information collection will </w:t>
      </w:r>
      <w:r w:rsidR="008843FB" w:rsidRPr="00E64E03">
        <w:rPr>
          <w:sz w:val="24"/>
        </w:rPr>
        <w:t xml:space="preserve">not </w:t>
      </w:r>
      <w:r w:rsidRPr="00E64E03">
        <w:rPr>
          <w:sz w:val="24"/>
        </w:rPr>
        <w:t xml:space="preserve">have </w:t>
      </w:r>
      <w:r w:rsidR="008843FB" w:rsidRPr="00E64E03">
        <w:rPr>
          <w:sz w:val="24"/>
        </w:rPr>
        <w:t xml:space="preserve">a significant </w:t>
      </w:r>
      <w:r w:rsidRPr="00E64E03">
        <w:rPr>
          <w:sz w:val="24"/>
        </w:rPr>
        <w:t xml:space="preserve">impact on small businesses. </w:t>
      </w:r>
    </w:p>
    <w:p w14:paraId="0D4490AD" w14:textId="77777777" w:rsidR="00B45FCB" w:rsidRPr="001074C7"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14:paraId="1A6F0143"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6.</w:t>
      </w:r>
      <w:r w:rsidRPr="00E614D2">
        <w:rPr>
          <w:sz w:val="24"/>
        </w:rPr>
        <w:tab/>
      </w:r>
      <w:r w:rsidRPr="00E614D2">
        <w:rPr>
          <w:sz w:val="24"/>
          <w:u w:val="single"/>
        </w:rPr>
        <w:t>Less Frequent Collection</w:t>
      </w:r>
    </w:p>
    <w:p w14:paraId="2F90149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730055" w14:textId="58E051BA" w:rsidR="00B45FCB" w:rsidRPr="00E614D2" w:rsidRDefault="00B56A28"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Reconciliation of </w:t>
      </w:r>
      <w:r w:rsidR="007C2284">
        <w:rPr>
          <w:sz w:val="24"/>
        </w:rPr>
        <w:t>advance payment</w:t>
      </w:r>
      <w:r w:rsidR="002C7837">
        <w:rPr>
          <w:sz w:val="24"/>
        </w:rPr>
        <w:t>s</w:t>
      </w:r>
      <w:r w:rsidR="007C2284">
        <w:rPr>
          <w:sz w:val="24"/>
        </w:rPr>
        <w:t xml:space="preserve"> of </w:t>
      </w:r>
      <w:r w:rsidR="002C7837">
        <w:rPr>
          <w:sz w:val="24"/>
        </w:rPr>
        <w:t>cost-</w:t>
      </w:r>
      <w:r>
        <w:rPr>
          <w:sz w:val="24"/>
        </w:rPr>
        <w:t>sharing</w:t>
      </w:r>
      <w:r w:rsidR="007C2284">
        <w:rPr>
          <w:sz w:val="24"/>
        </w:rPr>
        <w:t xml:space="preserve"> reductions</w:t>
      </w:r>
      <w:r>
        <w:rPr>
          <w:sz w:val="24"/>
        </w:rPr>
        <w:t xml:space="preserve"> is an annual process</w:t>
      </w:r>
      <w:r w:rsidR="00E55F33">
        <w:rPr>
          <w:sz w:val="24"/>
        </w:rPr>
        <w:t xml:space="preserve"> beginning in 2016</w:t>
      </w:r>
      <w:r>
        <w:rPr>
          <w:sz w:val="24"/>
        </w:rPr>
        <w:t xml:space="preserve">. </w:t>
      </w:r>
      <w:r w:rsidR="00B45FCB">
        <w:rPr>
          <w:sz w:val="24"/>
        </w:rPr>
        <w:t xml:space="preserve">A less </w:t>
      </w:r>
      <w:r w:rsidR="00B45FCB" w:rsidRPr="00E614D2">
        <w:rPr>
          <w:sz w:val="24"/>
        </w:rPr>
        <w:t>frequen</w:t>
      </w:r>
      <w:r w:rsidR="00B45FCB">
        <w:rPr>
          <w:sz w:val="24"/>
        </w:rPr>
        <w:t>t</w:t>
      </w:r>
      <w:r w:rsidR="00B45FCB" w:rsidRPr="00E614D2">
        <w:rPr>
          <w:sz w:val="24"/>
        </w:rPr>
        <w:t xml:space="preserve"> </w:t>
      </w:r>
      <w:r w:rsidR="00B45FCB">
        <w:rPr>
          <w:sz w:val="24"/>
        </w:rPr>
        <w:t xml:space="preserve">collection could </w:t>
      </w:r>
      <w:r w:rsidR="00B45FCB" w:rsidRPr="00E614D2">
        <w:rPr>
          <w:sz w:val="24"/>
        </w:rPr>
        <w:t xml:space="preserve">result </w:t>
      </w:r>
      <w:r w:rsidR="00B45FCB">
        <w:rPr>
          <w:sz w:val="24"/>
        </w:rPr>
        <w:t xml:space="preserve">in </w:t>
      </w:r>
      <w:r w:rsidR="00BA73FF">
        <w:rPr>
          <w:sz w:val="24"/>
        </w:rPr>
        <w:t xml:space="preserve">a loss of funds to the U.S. </w:t>
      </w:r>
      <w:r>
        <w:rPr>
          <w:sz w:val="24"/>
        </w:rPr>
        <w:t>Treasury from uncollected receivab</w:t>
      </w:r>
      <w:r w:rsidR="00785571">
        <w:rPr>
          <w:sz w:val="24"/>
        </w:rPr>
        <w:t>les and interest. F</w:t>
      </w:r>
      <w:r>
        <w:rPr>
          <w:sz w:val="24"/>
        </w:rPr>
        <w:t>ailure to reimburse i</w:t>
      </w:r>
      <w:r w:rsidR="00785571">
        <w:rPr>
          <w:sz w:val="24"/>
        </w:rPr>
        <w:t>ssuers for</w:t>
      </w:r>
      <w:r w:rsidR="002C7837">
        <w:rPr>
          <w:sz w:val="24"/>
        </w:rPr>
        <w:t xml:space="preserve"> cost-</w:t>
      </w:r>
      <w:r w:rsidR="001074C7">
        <w:rPr>
          <w:sz w:val="24"/>
        </w:rPr>
        <w:t xml:space="preserve">sharing reduction amounts in excess of the amount advanced at least once yearly </w:t>
      </w:r>
      <w:r>
        <w:rPr>
          <w:sz w:val="24"/>
        </w:rPr>
        <w:t xml:space="preserve">could </w:t>
      </w:r>
      <w:r w:rsidR="002C7837">
        <w:rPr>
          <w:sz w:val="24"/>
        </w:rPr>
        <w:t>result in cash flow difficultie</w:t>
      </w:r>
      <w:r w:rsidR="00785571">
        <w:rPr>
          <w:sz w:val="24"/>
        </w:rPr>
        <w:t>s</w:t>
      </w:r>
      <w:r w:rsidR="009B5236">
        <w:rPr>
          <w:sz w:val="24"/>
        </w:rPr>
        <w:t xml:space="preserve"> for issuers</w:t>
      </w:r>
      <w:r>
        <w:rPr>
          <w:sz w:val="24"/>
        </w:rPr>
        <w:t xml:space="preserve">. </w:t>
      </w:r>
      <w:r w:rsidR="008843FB">
        <w:rPr>
          <w:sz w:val="24"/>
        </w:rPr>
        <w:t xml:space="preserve"> </w:t>
      </w:r>
    </w:p>
    <w:p w14:paraId="67E0930B"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7608DB"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7.</w:t>
      </w:r>
      <w:r w:rsidRPr="00E614D2">
        <w:rPr>
          <w:sz w:val="24"/>
        </w:rPr>
        <w:tab/>
      </w:r>
      <w:r w:rsidRPr="00E614D2">
        <w:rPr>
          <w:sz w:val="24"/>
          <w:u w:val="single"/>
        </w:rPr>
        <w:t>Special Circumstances</w:t>
      </w:r>
    </w:p>
    <w:p w14:paraId="243E76B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5C9343" w14:textId="77777777" w:rsidR="001074C7" w:rsidRDefault="001074C7" w:rsidP="00B45F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There are no special circumstances associated with this collection. </w:t>
      </w:r>
    </w:p>
    <w:p w14:paraId="798A29D5" w14:textId="77777777" w:rsidR="001074C7" w:rsidRDefault="001074C7" w:rsidP="00B45F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4473CEEF" w14:textId="77777777" w:rsidR="00276FFD" w:rsidRDefault="00276FFD" w:rsidP="00B45F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29D678B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8.</w:t>
      </w:r>
      <w:r w:rsidRPr="00E614D2">
        <w:rPr>
          <w:sz w:val="24"/>
        </w:rPr>
        <w:tab/>
      </w:r>
      <w:r w:rsidRPr="00E614D2">
        <w:rPr>
          <w:sz w:val="24"/>
          <w:u w:val="single"/>
        </w:rPr>
        <w:t>Federal Register/Outside Consultation</w:t>
      </w:r>
    </w:p>
    <w:p w14:paraId="23E2192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EB3BF1" w14:textId="1ACB47E3" w:rsidR="00783ABC" w:rsidRPr="00B31FBC" w:rsidRDefault="007E4318" w:rsidP="00B31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This collection of information will be available for comment </w:t>
      </w:r>
      <w:r w:rsidRPr="00F16E0E">
        <w:rPr>
          <w:sz w:val="24"/>
        </w:rPr>
        <w:t>for</w:t>
      </w:r>
      <w:r w:rsidR="00D205F0" w:rsidRPr="00F16E0E">
        <w:rPr>
          <w:sz w:val="24"/>
        </w:rPr>
        <w:t xml:space="preserve"> </w:t>
      </w:r>
      <w:r w:rsidR="00471AFB">
        <w:rPr>
          <w:sz w:val="24"/>
        </w:rPr>
        <w:t>30</w:t>
      </w:r>
      <w:r w:rsidR="00265BAC">
        <w:rPr>
          <w:color w:val="FF0000"/>
          <w:sz w:val="24"/>
        </w:rPr>
        <w:t xml:space="preserve"> </w:t>
      </w:r>
      <w:r>
        <w:rPr>
          <w:sz w:val="24"/>
        </w:rPr>
        <w:t>days</w:t>
      </w:r>
      <w:r w:rsidR="00281267">
        <w:rPr>
          <w:sz w:val="24"/>
        </w:rPr>
        <w:t xml:space="preserve"> beginning </w:t>
      </w:r>
      <w:r w:rsidR="001825FF">
        <w:rPr>
          <w:sz w:val="24"/>
        </w:rPr>
        <w:t xml:space="preserve">around </w:t>
      </w:r>
      <w:r w:rsidR="00D44F49">
        <w:rPr>
          <w:sz w:val="24"/>
        </w:rPr>
        <w:t>January 4</w:t>
      </w:r>
      <w:r w:rsidR="00281267">
        <w:rPr>
          <w:sz w:val="24"/>
        </w:rPr>
        <w:t>, 201</w:t>
      </w:r>
      <w:r w:rsidR="00D44F49">
        <w:rPr>
          <w:sz w:val="24"/>
        </w:rPr>
        <w:t>6</w:t>
      </w:r>
      <w:r>
        <w:rPr>
          <w:sz w:val="24"/>
        </w:rPr>
        <w:t xml:space="preserve">. </w:t>
      </w:r>
      <w:r w:rsidRPr="00E614D2">
        <w:rPr>
          <w:sz w:val="24"/>
        </w:rPr>
        <w:t xml:space="preserve"> We have consulted with contractors, </w:t>
      </w:r>
      <w:r>
        <w:rPr>
          <w:sz w:val="24"/>
        </w:rPr>
        <w:t>States, and</w:t>
      </w:r>
      <w:r w:rsidRPr="00E614D2">
        <w:rPr>
          <w:sz w:val="24"/>
        </w:rPr>
        <w:t xml:space="preserve"> industry o</w:t>
      </w:r>
      <w:r>
        <w:rPr>
          <w:sz w:val="24"/>
        </w:rPr>
        <w:t>n</w:t>
      </w:r>
      <w:r w:rsidRPr="00E614D2">
        <w:rPr>
          <w:sz w:val="24"/>
        </w:rPr>
        <w:t xml:space="preserve"> the feasibility of this information collection.  We have based many of the requirements in this information collection </w:t>
      </w:r>
      <w:r>
        <w:rPr>
          <w:sz w:val="24"/>
        </w:rPr>
        <w:t xml:space="preserve">on </w:t>
      </w:r>
      <w:r w:rsidRPr="00E614D2">
        <w:rPr>
          <w:sz w:val="24"/>
        </w:rPr>
        <w:t>th</w:t>
      </w:r>
      <w:r>
        <w:rPr>
          <w:sz w:val="24"/>
        </w:rPr>
        <w:t>os</w:t>
      </w:r>
      <w:r w:rsidRPr="00E614D2">
        <w:rPr>
          <w:sz w:val="24"/>
        </w:rPr>
        <w:t xml:space="preserve">e consultations. </w:t>
      </w:r>
    </w:p>
    <w:p w14:paraId="6267596D" w14:textId="77777777" w:rsidR="007E4318" w:rsidRPr="00E614D2" w:rsidRDefault="007E4318" w:rsidP="007E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31DE926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9.</w:t>
      </w:r>
      <w:r w:rsidRPr="00E614D2">
        <w:rPr>
          <w:sz w:val="24"/>
        </w:rPr>
        <w:tab/>
      </w:r>
      <w:r w:rsidRPr="00E614D2">
        <w:rPr>
          <w:sz w:val="24"/>
          <w:u w:val="single"/>
        </w:rPr>
        <w:t>Payments/Gifts to Respondents</w:t>
      </w:r>
    </w:p>
    <w:p w14:paraId="42A2364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0A2879"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No payments or gifts will be provided to respondents.  </w:t>
      </w:r>
    </w:p>
    <w:p w14:paraId="74BF978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23F8C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10.</w:t>
      </w:r>
      <w:r w:rsidRPr="00E614D2">
        <w:rPr>
          <w:sz w:val="24"/>
        </w:rPr>
        <w:tab/>
      </w:r>
      <w:r w:rsidRPr="00E614D2">
        <w:rPr>
          <w:sz w:val="24"/>
          <w:u w:val="single"/>
        </w:rPr>
        <w:t>Confidentiality</w:t>
      </w:r>
    </w:p>
    <w:p w14:paraId="000B6D5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6F73DB" w14:textId="77777777" w:rsidR="00B45FCB" w:rsidRPr="00E614D2"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W</w:t>
      </w:r>
      <w:r w:rsidRPr="00E614D2">
        <w:rPr>
          <w:sz w:val="24"/>
        </w:rPr>
        <w:t>e will maintain respondent privacy with respect to the information collected</w:t>
      </w:r>
      <w:r>
        <w:rPr>
          <w:sz w:val="24"/>
        </w:rPr>
        <w:t xml:space="preserve"> to the extent required by applicable law </w:t>
      </w:r>
      <w:r w:rsidRPr="00E614D2">
        <w:rPr>
          <w:sz w:val="24"/>
        </w:rPr>
        <w:t xml:space="preserve">and </w:t>
      </w:r>
      <w:r>
        <w:rPr>
          <w:sz w:val="24"/>
        </w:rPr>
        <w:t xml:space="preserve">HHS </w:t>
      </w:r>
      <w:r w:rsidRPr="00E614D2">
        <w:rPr>
          <w:sz w:val="24"/>
        </w:rPr>
        <w:t>policies.</w:t>
      </w:r>
    </w:p>
    <w:p w14:paraId="3BBC880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ABC4CF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11.</w:t>
      </w:r>
      <w:r w:rsidRPr="00E614D2">
        <w:rPr>
          <w:sz w:val="24"/>
        </w:rPr>
        <w:tab/>
      </w:r>
      <w:r w:rsidRPr="00E614D2">
        <w:rPr>
          <w:sz w:val="24"/>
          <w:u w:val="single"/>
        </w:rPr>
        <w:t>Sensitive Questions</w:t>
      </w:r>
    </w:p>
    <w:p w14:paraId="34E25FD3"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82FA4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There are no sensitive questions included in this information collection effort.</w:t>
      </w:r>
    </w:p>
    <w:p w14:paraId="1AC8E48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F36AB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614D2">
        <w:rPr>
          <w:sz w:val="24"/>
        </w:rPr>
        <w:t>12.</w:t>
      </w:r>
      <w:r w:rsidRPr="00E614D2">
        <w:rPr>
          <w:sz w:val="24"/>
        </w:rPr>
        <w:tab/>
      </w:r>
      <w:r w:rsidRPr="00E614D2">
        <w:rPr>
          <w:sz w:val="24"/>
          <w:u w:val="single"/>
        </w:rPr>
        <w:t>Burden Estimates (Hours &amp; Wages)</w:t>
      </w:r>
    </w:p>
    <w:p w14:paraId="4051518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AB2B072" w14:textId="037B3FCB" w:rsidR="00B45FCB" w:rsidRDefault="00B45FCB" w:rsidP="00CB23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Our </w:t>
      </w:r>
      <w:r w:rsidRPr="00E614D2">
        <w:rPr>
          <w:sz w:val="24"/>
        </w:rPr>
        <w:t xml:space="preserve">estimate of paperwork burden for </w:t>
      </w:r>
      <w:r w:rsidR="007A29CE">
        <w:rPr>
          <w:sz w:val="24"/>
        </w:rPr>
        <w:t xml:space="preserve">issuers </w:t>
      </w:r>
      <w:r w:rsidR="00221F4A">
        <w:rPr>
          <w:sz w:val="24"/>
        </w:rPr>
        <w:t>is based on responses from 295</w:t>
      </w:r>
      <w:r w:rsidR="007A29CE">
        <w:rPr>
          <w:sz w:val="24"/>
        </w:rPr>
        <w:t xml:space="preserve"> issuers and whether they elected the standard or simplified method</w:t>
      </w:r>
      <w:r w:rsidR="007F0C13">
        <w:rPr>
          <w:sz w:val="24"/>
        </w:rPr>
        <w:t xml:space="preserve"> for calculating</w:t>
      </w:r>
      <w:r w:rsidR="00986421">
        <w:rPr>
          <w:sz w:val="24"/>
        </w:rPr>
        <w:t xml:space="preserve"> am</w:t>
      </w:r>
      <w:r w:rsidR="00BD0C0B">
        <w:rPr>
          <w:sz w:val="24"/>
        </w:rPr>
        <w:t>ounts of CSRs</w:t>
      </w:r>
      <w:r w:rsidR="00986421">
        <w:rPr>
          <w:sz w:val="24"/>
        </w:rPr>
        <w:t xml:space="preserve"> provided</w:t>
      </w:r>
      <w:r w:rsidR="007A29CE">
        <w:rPr>
          <w:sz w:val="24"/>
        </w:rPr>
        <w:t>. Additionally</w:t>
      </w:r>
      <w:r w:rsidR="00986421">
        <w:rPr>
          <w:sz w:val="24"/>
        </w:rPr>
        <w:t>,</w:t>
      </w:r>
      <w:r w:rsidR="007A29CE">
        <w:rPr>
          <w:sz w:val="24"/>
        </w:rPr>
        <w:t xml:space="preserve"> </w:t>
      </w:r>
      <w:r w:rsidR="00986421">
        <w:rPr>
          <w:sz w:val="24"/>
        </w:rPr>
        <w:t>issuers electing</w:t>
      </w:r>
      <w:r w:rsidR="007A29CE">
        <w:rPr>
          <w:sz w:val="24"/>
        </w:rPr>
        <w:t xml:space="preserve"> the simplified method</w:t>
      </w:r>
      <w:r w:rsidR="00F0455B">
        <w:rPr>
          <w:sz w:val="24"/>
        </w:rPr>
        <w:t xml:space="preserve"> must use the</w:t>
      </w:r>
      <w:r w:rsidR="00986421">
        <w:rPr>
          <w:sz w:val="24"/>
        </w:rPr>
        <w:t xml:space="preserve"> </w:t>
      </w:r>
      <w:r w:rsidR="00841DD3">
        <w:rPr>
          <w:sz w:val="24"/>
        </w:rPr>
        <w:t xml:space="preserve">simplified </w:t>
      </w:r>
      <w:r w:rsidR="00986421">
        <w:rPr>
          <w:sz w:val="24"/>
        </w:rPr>
        <w:t xml:space="preserve">actuarial </w:t>
      </w:r>
      <w:r w:rsidR="00221F4A">
        <w:rPr>
          <w:sz w:val="24"/>
        </w:rPr>
        <w:t xml:space="preserve">value </w:t>
      </w:r>
      <w:r w:rsidR="00986421">
        <w:rPr>
          <w:sz w:val="24"/>
        </w:rPr>
        <w:t>methodology for determining the value o</w:t>
      </w:r>
      <w:r w:rsidR="00221F4A">
        <w:rPr>
          <w:sz w:val="24"/>
        </w:rPr>
        <w:t>f CSRs provided for enrollees when calculating cost sharing for standard</w:t>
      </w:r>
      <w:r w:rsidR="00986421">
        <w:rPr>
          <w:sz w:val="24"/>
        </w:rPr>
        <w:t xml:space="preserve"> plans with </w:t>
      </w:r>
      <w:r w:rsidR="00807E5A">
        <w:rPr>
          <w:sz w:val="24"/>
        </w:rPr>
        <w:t>fewer than</w:t>
      </w:r>
      <w:r w:rsidR="00CE4932">
        <w:rPr>
          <w:sz w:val="24"/>
        </w:rPr>
        <w:t xml:space="preserve"> </w:t>
      </w:r>
      <w:r w:rsidR="00807E5A">
        <w:rPr>
          <w:sz w:val="24"/>
        </w:rPr>
        <w:t>12,</w:t>
      </w:r>
      <w:r w:rsidR="00A7738E">
        <w:rPr>
          <w:sz w:val="24"/>
        </w:rPr>
        <w:t xml:space="preserve">000 member months </w:t>
      </w:r>
      <w:r w:rsidR="00C725AC">
        <w:rPr>
          <w:sz w:val="24"/>
        </w:rPr>
        <w:t>in a benefit year</w:t>
      </w:r>
      <w:r w:rsidR="00986421">
        <w:rPr>
          <w:sz w:val="24"/>
        </w:rPr>
        <w:t xml:space="preserve">. </w:t>
      </w:r>
    </w:p>
    <w:p w14:paraId="0427C28F" w14:textId="77777777" w:rsidR="0098227C" w:rsidRPr="00E614D2" w:rsidRDefault="00B45FCB" w:rsidP="00B45FC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E614D2">
        <w:rPr>
          <w:sz w:val="24"/>
        </w:rPr>
        <w:t>A number of assumptions are made regarding the wages of personnel needed to accomplish the proposed collection of information. Wage rates are based on the Employer Costs for Employee Compensation report by U.S</w:t>
      </w:r>
      <w:r w:rsidR="00C725AC">
        <w:rPr>
          <w:sz w:val="24"/>
        </w:rPr>
        <w:t>.</w:t>
      </w:r>
      <w:r w:rsidRPr="00E614D2">
        <w:rPr>
          <w:sz w:val="24"/>
        </w:rPr>
        <w:t xml:space="preserve"> Bureau of Labor Statistics </w:t>
      </w:r>
      <w:r w:rsidRPr="00BA73FF">
        <w:rPr>
          <w:sz w:val="24"/>
        </w:rPr>
        <w:t xml:space="preserve">and represent a national average. Some </w:t>
      </w:r>
      <w:r w:rsidR="00227D8E" w:rsidRPr="00BA73FF">
        <w:rPr>
          <w:sz w:val="24"/>
        </w:rPr>
        <w:t>S</w:t>
      </w:r>
      <w:r w:rsidRPr="00BA73FF">
        <w:rPr>
          <w:sz w:val="24"/>
        </w:rPr>
        <w:t xml:space="preserve">tates or employers may face higher or lower wage burdens. Wage rates estimates include a 35% </w:t>
      </w:r>
      <w:r w:rsidR="00E66701" w:rsidRPr="00BA73FF">
        <w:rPr>
          <w:sz w:val="24"/>
        </w:rPr>
        <w:t xml:space="preserve">increase to account for employee </w:t>
      </w:r>
      <w:r w:rsidRPr="00BA73FF">
        <w:rPr>
          <w:sz w:val="24"/>
        </w:rPr>
        <w:t>fringe benefit</w:t>
      </w:r>
      <w:r w:rsidR="00E66701" w:rsidRPr="00BA73FF">
        <w:rPr>
          <w:sz w:val="24"/>
        </w:rPr>
        <w:t>s</w:t>
      </w:r>
      <w:r w:rsidRPr="00BA73FF">
        <w:rPr>
          <w:sz w:val="24"/>
        </w:rPr>
        <w:t>.</w:t>
      </w:r>
      <w:r w:rsidRPr="00E614D2">
        <w:rPr>
          <w:sz w:val="24"/>
        </w:rPr>
        <w:t xml:space="preserve"> </w:t>
      </w:r>
    </w:p>
    <w:p w14:paraId="045FA3D2" w14:textId="77777777" w:rsidR="00BD0C0B" w:rsidRDefault="00BD0C0B" w:rsidP="00BD0C0B">
      <w:pPr>
        <w:pStyle w:val="ColorfulList-Accent11"/>
        <w:ind w:left="0" w:firstLine="360"/>
        <w:rPr>
          <w:b/>
          <w:sz w:val="24"/>
        </w:rPr>
      </w:pPr>
    </w:p>
    <w:p w14:paraId="641C67C8" w14:textId="77777777" w:rsidR="00B45FCB" w:rsidRPr="00E7295D" w:rsidRDefault="00B45FCB" w:rsidP="0098227C">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14:paraId="30C66236" w14:textId="77777777" w:rsidR="00BD0C0B" w:rsidRDefault="005E3F08" w:rsidP="00BD0C0B">
      <w:pPr>
        <w:ind w:left="720"/>
        <w:rPr>
          <w:b/>
          <w:sz w:val="24"/>
        </w:rPr>
      </w:pPr>
      <w:r w:rsidRPr="00E7295D">
        <w:rPr>
          <w:sz w:val="24"/>
        </w:rPr>
        <w:t xml:space="preserve">I.  </w:t>
      </w:r>
      <w:r w:rsidR="00BD0C0B">
        <w:rPr>
          <w:b/>
          <w:sz w:val="24"/>
        </w:rPr>
        <w:t xml:space="preserve">Issuer Summary Report </w:t>
      </w:r>
    </w:p>
    <w:p w14:paraId="45B28370" w14:textId="77777777" w:rsidR="00BD0C0B" w:rsidRPr="00BD0C0B" w:rsidRDefault="00BD0C0B" w:rsidP="00BD0C0B">
      <w:pPr>
        <w:ind w:left="720"/>
        <w:rPr>
          <w:b/>
          <w:sz w:val="24"/>
        </w:rPr>
      </w:pPr>
    </w:p>
    <w:p w14:paraId="6C694703" w14:textId="77777777" w:rsidR="00F0455B" w:rsidRDefault="00FA3C31" w:rsidP="00F0455B">
      <w:pPr>
        <w:ind w:firstLine="360"/>
        <w:rPr>
          <w:sz w:val="24"/>
        </w:rPr>
      </w:pPr>
      <w:r>
        <w:rPr>
          <w:sz w:val="24"/>
        </w:rPr>
        <w:t>Within Part 156, subpart E</w:t>
      </w:r>
      <w:r w:rsidRPr="000F50F9">
        <w:rPr>
          <w:sz w:val="24"/>
        </w:rPr>
        <w:t xml:space="preserve"> we described </w:t>
      </w:r>
      <w:r>
        <w:rPr>
          <w:sz w:val="24"/>
        </w:rPr>
        <w:t>Health Insurance Issuer re</w:t>
      </w:r>
      <w:r w:rsidR="00142CC9">
        <w:rPr>
          <w:sz w:val="24"/>
        </w:rPr>
        <w:t>sponsibilities with respect to advance p</w:t>
      </w:r>
      <w:r>
        <w:rPr>
          <w:sz w:val="24"/>
        </w:rPr>
        <w:t>ayment</w:t>
      </w:r>
      <w:r w:rsidR="00142CC9">
        <w:rPr>
          <w:sz w:val="24"/>
        </w:rPr>
        <w:t>s of CSR</w:t>
      </w:r>
      <w:r>
        <w:rPr>
          <w:sz w:val="24"/>
        </w:rPr>
        <w:t xml:space="preserve">s. </w:t>
      </w:r>
    </w:p>
    <w:p w14:paraId="1DD62A70" w14:textId="77777777" w:rsidR="00221F4A" w:rsidRDefault="00F0455B" w:rsidP="00C134D0">
      <w:pPr>
        <w:ind w:firstLine="360"/>
        <w:rPr>
          <w:sz w:val="24"/>
        </w:rPr>
      </w:pPr>
      <w:r>
        <w:rPr>
          <w:sz w:val="24"/>
        </w:rPr>
        <w:t xml:space="preserve">Under 45 CFR </w:t>
      </w:r>
      <w:r w:rsidRPr="003423DD">
        <w:rPr>
          <w:sz w:val="24"/>
        </w:rPr>
        <w:t>156.430(c</w:t>
      </w:r>
      <w:proofErr w:type="gramStart"/>
      <w:r w:rsidRPr="003423DD">
        <w:rPr>
          <w:sz w:val="24"/>
        </w:rPr>
        <w:t>)(</w:t>
      </w:r>
      <w:proofErr w:type="gramEnd"/>
      <w:r w:rsidRPr="003423DD">
        <w:rPr>
          <w:sz w:val="24"/>
        </w:rPr>
        <w:t>1)</w:t>
      </w:r>
      <w:r w:rsidR="00142CC9">
        <w:rPr>
          <w:sz w:val="24"/>
        </w:rPr>
        <w:t>,</w:t>
      </w:r>
      <w:r>
        <w:rPr>
          <w:sz w:val="24"/>
        </w:rPr>
        <w:t xml:space="preserve"> each QHP </w:t>
      </w:r>
      <w:r w:rsidR="00912CAC">
        <w:rPr>
          <w:sz w:val="24"/>
        </w:rPr>
        <w:t xml:space="preserve">each year must submit to HHS </w:t>
      </w:r>
      <w:r>
        <w:rPr>
          <w:sz w:val="24"/>
        </w:rPr>
        <w:t xml:space="preserve">for every plan variation it sells on the Exchange the total allowed costs </w:t>
      </w:r>
      <w:r w:rsidRPr="007035AC">
        <w:rPr>
          <w:sz w:val="24"/>
        </w:rPr>
        <w:t xml:space="preserve">for </w:t>
      </w:r>
      <w:r w:rsidR="007035AC">
        <w:rPr>
          <w:sz w:val="24"/>
        </w:rPr>
        <w:t xml:space="preserve">EHB </w:t>
      </w:r>
      <w:r w:rsidR="00912CAC">
        <w:rPr>
          <w:sz w:val="24"/>
        </w:rPr>
        <w:t>provided</w:t>
      </w:r>
      <w:r>
        <w:rPr>
          <w:sz w:val="24"/>
        </w:rPr>
        <w:t xml:space="preserve"> for the policy for the benefit year</w:t>
      </w:r>
      <w:r w:rsidR="00C134D0">
        <w:rPr>
          <w:sz w:val="24"/>
        </w:rPr>
        <w:t>, broken dow</w:t>
      </w:r>
      <w:r w:rsidR="007035AC">
        <w:rPr>
          <w:sz w:val="24"/>
        </w:rPr>
        <w:t>n by the amount the issuer paid,</w:t>
      </w:r>
      <w:r w:rsidR="00C134D0">
        <w:rPr>
          <w:sz w:val="24"/>
        </w:rPr>
        <w:t xml:space="preserve"> t</w:t>
      </w:r>
      <w:r>
        <w:rPr>
          <w:sz w:val="24"/>
        </w:rPr>
        <w:t>he amou</w:t>
      </w:r>
      <w:r w:rsidR="00C134D0">
        <w:rPr>
          <w:sz w:val="24"/>
        </w:rPr>
        <w:t>nt the enrollee(s) paid, and t</w:t>
      </w:r>
      <w:r>
        <w:rPr>
          <w:sz w:val="24"/>
        </w:rPr>
        <w:t>he amount the issuer would have paid under</w:t>
      </w:r>
      <w:r w:rsidR="00142CC9">
        <w:rPr>
          <w:sz w:val="24"/>
        </w:rPr>
        <w:t xml:space="preserve"> the standard plan without cost-</w:t>
      </w:r>
      <w:r>
        <w:rPr>
          <w:sz w:val="24"/>
        </w:rPr>
        <w:t xml:space="preserve">sharing reductions. </w:t>
      </w:r>
    </w:p>
    <w:p w14:paraId="3C26D757" w14:textId="03918844" w:rsidR="00F0455B" w:rsidRDefault="00F0455B" w:rsidP="00F0455B">
      <w:pPr>
        <w:pStyle w:val="ColorfulList-Accent11"/>
        <w:ind w:left="0" w:firstLine="360"/>
        <w:rPr>
          <w:sz w:val="24"/>
        </w:rPr>
      </w:pPr>
      <w:r>
        <w:rPr>
          <w:sz w:val="24"/>
        </w:rPr>
        <w:lastRenderedPageBreak/>
        <w:t xml:space="preserve">In this collection, HHS proposes to require each issuer to </w:t>
      </w:r>
      <w:r w:rsidR="003A71AC">
        <w:rPr>
          <w:sz w:val="24"/>
        </w:rPr>
        <w:t>submit the data elements contained in the</w:t>
      </w:r>
      <w:r>
        <w:rPr>
          <w:sz w:val="24"/>
        </w:rPr>
        <w:t xml:space="preserve"> </w:t>
      </w:r>
      <w:r w:rsidRPr="008206BA">
        <w:rPr>
          <w:sz w:val="24"/>
        </w:rPr>
        <w:t>Issuer Summary Report</w:t>
      </w:r>
      <w:r>
        <w:rPr>
          <w:sz w:val="24"/>
        </w:rPr>
        <w:t>, which includes the total</w:t>
      </w:r>
      <w:r w:rsidR="00142CC9">
        <w:rPr>
          <w:sz w:val="24"/>
        </w:rPr>
        <w:t xml:space="preserve"> number of policies paying cost-</w:t>
      </w:r>
      <w:r>
        <w:rPr>
          <w:sz w:val="24"/>
        </w:rPr>
        <w:t xml:space="preserve">sharing reductions and the total </w:t>
      </w:r>
      <w:r w:rsidR="00912CAC">
        <w:rPr>
          <w:sz w:val="24"/>
        </w:rPr>
        <w:t>amount of CSRs</w:t>
      </w:r>
      <w:r>
        <w:rPr>
          <w:sz w:val="24"/>
        </w:rPr>
        <w:t xml:space="preserve"> provided under those policies. </w:t>
      </w:r>
      <w:r w:rsidRPr="008206BA">
        <w:rPr>
          <w:sz w:val="24"/>
        </w:rPr>
        <w:t xml:space="preserve">All QHP issuers </w:t>
      </w:r>
      <w:r>
        <w:rPr>
          <w:sz w:val="24"/>
        </w:rPr>
        <w:t xml:space="preserve">offering individual market plans in the Exchange </w:t>
      </w:r>
      <w:r w:rsidRPr="008206BA">
        <w:rPr>
          <w:sz w:val="24"/>
        </w:rPr>
        <w:t>are subject to this</w:t>
      </w:r>
      <w:r w:rsidR="00912CAC">
        <w:rPr>
          <w:sz w:val="24"/>
        </w:rPr>
        <w:t xml:space="preserve"> annual</w:t>
      </w:r>
      <w:r w:rsidRPr="008206BA">
        <w:rPr>
          <w:sz w:val="24"/>
        </w:rPr>
        <w:t xml:space="preserve"> data collection requi</w:t>
      </w:r>
      <w:r>
        <w:rPr>
          <w:sz w:val="24"/>
        </w:rPr>
        <w:t>rement</w:t>
      </w:r>
      <w:r w:rsidR="004342A6">
        <w:rPr>
          <w:sz w:val="24"/>
        </w:rPr>
        <w:t xml:space="preserve"> and would be required to complete this </w:t>
      </w:r>
      <w:r w:rsidR="003A71AC">
        <w:rPr>
          <w:sz w:val="24"/>
        </w:rPr>
        <w:t>report</w:t>
      </w:r>
      <w:r>
        <w:rPr>
          <w:sz w:val="24"/>
        </w:rPr>
        <w:t xml:space="preserve">. </w:t>
      </w:r>
    </w:p>
    <w:p w14:paraId="391FF77A" w14:textId="0125400B" w:rsidR="006C7BBD" w:rsidRDefault="00BD0C0B" w:rsidP="00CB23BD">
      <w:pPr>
        <w:pStyle w:val="ColorfulList-Accent11"/>
        <w:ind w:left="0" w:firstLine="360"/>
        <w:rPr>
          <w:sz w:val="24"/>
        </w:rPr>
      </w:pPr>
      <w:r>
        <w:rPr>
          <w:sz w:val="24"/>
        </w:rPr>
        <w:t xml:space="preserve">This </w:t>
      </w:r>
      <w:r w:rsidR="003A71AC">
        <w:rPr>
          <w:sz w:val="24"/>
        </w:rPr>
        <w:t>report</w:t>
      </w:r>
      <w:r w:rsidR="00C134D0">
        <w:rPr>
          <w:sz w:val="24"/>
        </w:rPr>
        <w:t xml:space="preserve"> </w:t>
      </w:r>
      <w:r w:rsidR="009321FD">
        <w:rPr>
          <w:sz w:val="24"/>
        </w:rPr>
        <w:t xml:space="preserve">also </w:t>
      </w:r>
      <w:r w:rsidR="00680693">
        <w:rPr>
          <w:sz w:val="24"/>
        </w:rPr>
        <w:t xml:space="preserve">requires issuers to attest that the CSR amounts paid were paid only for </w:t>
      </w:r>
      <w:r w:rsidR="00680693" w:rsidRPr="00142CC9">
        <w:rPr>
          <w:sz w:val="24"/>
        </w:rPr>
        <w:t>EHB,</w:t>
      </w:r>
      <w:r w:rsidR="00142CC9" w:rsidRPr="00142CC9">
        <w:rPr>
          <w:sz w:val="24"/>
        </w:rPr>
        <w:t xml:space="preserve"> not including certain benefits for which Federal funds may not be used, as described in Section 1301</w:t>
      </w:r>
      <w:r w:rsidR="00142CC9">
        <w:rPr>
          <w:sz w:val="24"/>
        </w:rPr>
        <w:t xml:space="preserve"> of the ACA</w:t>
      </w:r>
      <w:r w:rsidR="00680693">
        <w:rPr>
          <w:sz w:val="24"/>
        </w:rPr>
        <w:t>.</w:t>
      </w:r>
      <w:r w:rsidR="00C134D0">
        <w:rPr>
          <w:sz w:val="24"/>
        </w:rPr>
        <w:t xml:space="preserve"> A</w:t>
      </w:r>
      <w:r w:rsidR="006A7AB8">
        <w:rPr>
          <w:sz w:val="24"/>
        </w:rPr>
        <w:t>dditionally, as</w:t>
      </w:r>
      <w:r w:rsidR="00C134D0">
        <w:rPr>
          <w:sz w:val="24"/>
        </w:rPr>
        <w:t xml:space="preserve"> required under 45 CFR 156.430(c)(4)(iii)(E</w:t>
      </w:r>
      <w:r w:rsidR="006E5E75">
        <w:rPr>
          <w:sz w:val="24"/>
        </w:rPr>
        <w:t>)</w:t>
      </w:r>
      <w:r w:rsidR="006A7AB8">
        <w:rPr>
          <w:sz w:val="24"/>
        </w:rPr>
        <w:t>,</w:t>
      </w:r>
      <w:r w:rsidR="00C134D0">
        <w:rPr>
          <w:sz w:val="24"/>
        </w:rPr>
        <w:t xml:space="preserve"> i</w:t>
      </w:r>
      <w:r w:rsidR="00680693">
        <w:rPr>
          <w:sz w:val="24"/>
        </w:rPr>
        <w:t>ssuers that elect</w:t>
      </w:r>
      <w:r w:rsidR="00912CAC">
        <w:rPr>
          <w:sz w:val="24"/>
        </w:rPr>
        <w:t xml:space="preserve"> the simplified methodology </w:t>
      </w:r>
      <w:r w:rsidR="00C134D0">
        <w:rPr>
          <w:sz w:val="24"/>
        </w:rPr>
        <w:t xml:space="preserve">must </w:t>
      </w:r>
      <w:r w:rsidR="006A7AB8">
        <w:rPr>
          <w:sz w:val="24"/>
        </w:rPr>
        <w:t xml:space="preserve">submit </w:t>
      </w:r>
      <w:r w:rsidR="00912CAC">
        <w:rPr>
          <w:sz w:val="24"/>
        </w:rPr>
        <w:t xml:space="preserve">a memorandum and </w:t>
      </w:r>
      <w:r w:rsidR="00680693">
        <w:rPr>
          <w:sz w:val="24"/>
        </w:rPr>
        <w:t>actuarial attestation to the method of calculation for each ef</w:t>
      </w:r>
      <w:r w:rsidR="00F0455B">
        <w:rPr>
          <w:sz w:val="24"/>
        </w:rPr>
        <w:t xml:space="preserve">fective cost sharing parameter </w:t>
      </w:r>
      <w:r w:rsidR="006C7BBD" w:rsidRPr="00F0455B">
        <w:rPr>
          <w:sz w:val="24"/>
        </w:rPr>
        <w:t>for each applicable</w:t>
      </w:r>
      <w:r w:rsidR="00C134D0">
        <w:rPr>
          <w:sz w:val="24"/>
        </w:rPr>
        <w:t xml:space="preserve"> subgroup in the standard </w:t>
      </w:r>
      <w:r w:rsidR="00C134D0" w:rsidRPr="00CE4932">
        <w:rPr>
          <w:sz w:val="24"/>
        </w:rPr>
        <w:t xml:space="preserve">plan. </w:t>
      </w:r>
      <w:r w:rsidR="00493FF1" w:rsidRPr="00CE4932">
        <w:rPr>
          <w:sz w:val="24"/>
        </w:rPr>
        <w:t xml:space="preserve">This </w:t>
      </w:r>
      <w:r w:rsidR="007035AC" w:rsidRPr="00CE4932">
        <w:rPr>
          <w:sz w:val="24"/>
        </w:rPr>
        <w:t xml:space="preserve">signed </w:t>
      </w:r>
      <w:r w:rsidR="00493FF1" w:rsidRPr="00CE4932">
        <w:rPr>
          <w:sz w:val="24"/>
        </w:rPr>
        <w:t>m</w:t>
      </w:r>
      <w:r w:rsidR="007035AC" w:rsidRPr="00CE4932">
        <w:rPr>
          <w:sz w:val="24"/>
        </w:rPr>
        <w:t xml:space="preserve">emo would be </w:t>
      </w:r>
      <w:r w:rsidR="00CE4932">
        <w:rPr>
          <w:sz w:val="24"/>
        </w:rPr>
        <w:t xml:space="preserve">submitted electronically concurrent with the CSR cost report. </w:t>
      </w:r>
    </w:p>
    <w:p w14:paraId="1A65D91E" w14:textId="5B0AF327" w:rsidR="00D237AA" w:rsidRPr="00D237AA" w:rsidRDefault="006243C2" w:rsidP="00CB23BD">
      <w:pPr>
        <w:pStyle w:val="ColorfulList-Accent11"/>
        <w:ind w:left="0" w:firstLine="360"/>
        <w:rPr>
          <w:sz w:val="24"/>
          <w:szCs w:val="24"/>
        </w:rPr>
      </w:pPr>
      <w:r>
        <w:rPr>
          <w:sz w:val="24"/>
          <w:szCs w:val="24"/>
        </w:rPr>
        <w:t xml:space="preserve">Finally, </w:t>
      </w:r>
      <w:r w:rsidR="00266B57">
        <w:rPr>
          <w:sz w:val="24"/>
          <w:szCs w:val="24"/>
        </w:rPr>
        <w:t xml:space="preserve">under  this revised collection, </w:t>
      </w:r>
      <w:r w:rsidR="001B63D0">
        <w:rPr>
          <w:sz w:val="24"/>
          <w:szCs w:val="24"/>
        </w:rPr>
        <w:t xml:space="preserve">we are removing data elements that would have required issuers </w:t>
      </w:r>
      <w:r w:rsidR="00265BAC">
        <w:rPr>
          <w:sz w:val="24"/>
          <w:szCs w:val="24"/>
        </w:rPr>
        <w:t xml:space="preserve">in </w:t>
      </w:r>
      <w:r w:rsidR="00D92757">
        <w:rPr>
          <w:sz w:val="24"/>
          <w:szCs w:val="24"/>
        </w:rPr>
        <w:t xml:space="preserve">spring </w:t>
      </w:r>
      <w:r w:rsidR="00265BAC">
        <w:rPr>
          <w:sz w:val="24"/>
          <w:szCs w:val="24"/>
        </w:rPr>
        <w:t xml:space="preserve">2016, when </w:t>
      </w:r>
      <w:r w:rsidR="00D92757">
        <w:rPr>
          <w:sz w:val="24"/>
          <w:szCs w:val="24"/>
        </w:rPr>
        <w:t>CMS will reconcile</w:t>
      </w:r>
      <w:r w:rsidR="00265BAC">
        <w:rPr>
          <w:sz w:val="24"/>
          <w:szCs w:val="24"/>
        </w:rPr>
        <w:t xml:space="preserve"> </w:t>
      </w:r>
      <w:r w:rsidR="00D92757">
        <w:rPr>
          <w:sz w:val="24"/>
          <w:szCs w:val="24"/>
        </w:rPr>
        <w:t xml:space="preserve">advance payments for </w:t>
      </w:r>
      <w:r w:rsidR="00265BAC">
        <w:rPr>
          <w:sz w:val="24"/>
          <w:szCs w:val="24"/>
        </w:rPr>
        <w:t>the 2014 benefit year</w:t>
      </w:r>
      <w:r w:rsidR="00D92757">
        <w:rPr>
          <w:sz w:val="24"/>
          <w:szCs w:val="24"/>
        </w:rPr>
        <w:t>,</w:t>
      </w:r>
      <w:r w:rsidR="00265BAC">
        <w:rPr>
          <w:sz w:val="24"/>
          <w:szCs w:val="24"/>
        </w:rPr>
        <w:t xml:space="preserve"> </w:t>
      </w:r>
      <w:r w:rsidR="001B63D0">
        <w:rPr>
          <w:sz w:val="24"/>
          <w:szCs w:val="24"/>
        </w:rPr>
        <w:t>to</w:t>
      </w:r>
      <w:r w:rsidR="00D237AA" w:rsidRPr="00D237AA">
        <w:rPr>
          <w:sz w:val="24"/>
          <w:szCs w:val="24"/>
        </w:rPr>
        <w:t xml:space="preserve"> report the total actual CSR amount submitted in 2014 Medical Loss Ratio reporting and whether th</w:t>
      </w:r>
      <w:r w:rsidR="00D237AA">
        <w:rPr>
          <w:sz w:val="24"/>
          <w:szCs w:val="24"/>
        </w:rPr>
        <w:t>e</w:t>
      </w:r>
      <w:r w:rsidR="00D237AA" w:rsidRPr="00D237AA">
        <w:rPr>
          <w:sz w:val="24"/>
          <w:szCs w:val="24"/>
        </w:rPr>
        <w:t xml:space="preserve"> </w:t>
      </w:r>
      <w:r w:rsidR="00D237AA">
        <w:rPr>
          <w:sz w:val="24"/>
          <w:szCs w:val="24"/>
        </w:rPr>
        <w:t xml:space="preserve">submitted </w:t>
      </w:r>
      <w:r w:rsidR="00EA55EA">
        <w:rPr>
          <w:sz w:val="24"/>
          <w:szCs w:val="24"/>
        </w:rPr>
        <w:t>amount is the 2014 CSR</w:t>
      </w:r>
      <w:r w:rsidR="00D237AA" w:rsidRPr="00D237AA">
        <w:rPr>
          <w:sz w:val="24"/>
          <w:szCs w:val="24"/>
        </w:rPr>
        <w:t xml:space="preserve"> advance </w:t>
      </w:r>
      <w:r w:rsidR="00EA55EA">
        <w:rPr>
          <w:sz w:val="24"/>
          <w:szCs w:val="24"/>
        </w:rPr>
        <w:t xml:space="preserve">payment amount </w:t>
      </w:r>
      <w:r w:rsidR="00D237AA" w:rsidRPr="00D237AA">
        <w:rPr>
          <w:sz w:val="24"/>
          <w:szCs w:val="24"/>
        </w:rPr>
        <w:t xml:space="preserve">or a certified estimate. </w:t>
      </w:r>
    </w:p>
    <w:p w14:paraId="5047068D" w14:textId="724021E4" w:rsidR="00BA73FF" w:rsidRDefault="00137FD4" w:rsidP="00CB23BD">
      <w:pPr>
        <w:pStyle w:val="ColorfulList-Accent11"/>
        <w:ind w:left="0" w:firstLine="360"/>
        <w:rPr>
          <w:sz w:val="24"/>
        </w:rPr>
      </w:pPr>
      <w:r>
        <w:rPr>
          <w:sz w:val="24"/>
        </w:rPr>
        <w:t xml:space="preserve">Approximately </w:t>
      </w:r>
      <w:r w:rsidR="00537D02">
        <w:rPr>
          <w:sz w:val="24"/>
        </w:rPr>
        <w:t>295</w:t>
      </w:r>
      <w:r w:rsidR="00651CAC">
        <w:rPr>
          <w:sz w:val="24"/>
        </w:rPr>
        <w:t xml:space="preserve"> QHP issuers</w:t>
      </w:r>
      <w:r w:rsidR="006A7AB8">
        <w:rPr>
          <w:sz w:val="24"/>
        </w:rPr>
        <w:t xml:space="preserve"> on Exchanges</w:t>
      </w:r>
      <w:r w:rsidR="004342A6">
        <w:rPr>
          <w:sz w:val="24"/>
        </w:rPr>
        <w:t xml:space="preserve"> </w:t>
      </w:r>
      <w:r>
        <w:rPr>
          <w:sz w:val="24"/>
        </w:rPr>
        <w:t xml:space="preserve">are </w:t>
      </w:r>
      <w:r w:rsidR="004342A6">
        <w:rPr>
          <w:sz w:val="24"/>
        </w:rPr>
        <w:t>subjec</w:t>
      </w:r>
      <w:r w:rsidR="006A7AB8">
        <w:rPr>
          <w:sz w:val="24"/>
        </w:rPr>
        <w:t xml:space="preserve">t to this data collection. </w:t>
      </w:r>
      <w:r w:rsidR="004342A6">
        <w:rPr>
          <w:sz w:val="24"/>
        </w:rPr>
        <w:t>Additionally, a</w:t>
      </w:r>
      <w:r w:rsidR="00661422">
        <w:rPr>
          <w:sz w:val="24"/>
        </w:rPr>
        <w:t>s described under 45 CFR 156.430(c)(iv), i</w:t>
      </w:r>
      <w:r w:rsidR="00421B2F">
        <w:rPr>
          <w:sz w:val="24"/>
        </w:rPr>
        <w:t>n the case of a merger or acquisition, an issuer may be required to file reports under both standard a</w:t>
      </w:r>
      <w:r w:rsidR="00BA73FF">
        <w:rPr>
          <w:sz w:val="24"/>
        </w:rPr>
        <w:t>nd simplified methodologies. Assuming</w:t>
      </w:r>
      <w:r w:rsidR="00566AF1">
        <w:rPr>
          <w:sz w:val="24"/>
        </w:rPr>
        <w:t>,</w:t>
      </w:r>
      <w:r w:rsidR="00BA73FF">
        <w:rPr>
          <w:sz w:val="24"/>
        </w:rPr>
        <w:t xml:space="preserve"> on average</w:t>
      </w:r>
      <w:r w:rsidR="00566AF1">
        <w:rPr>
          <w:sz w:val="24"/>
        </w:rPr>
        <w:t>,</w:t>
      </w:r>
      <w:r w:rsidR="00BA73FF">
        <w:rPr>
          <w:sz w:val="24"/>
        </w:rPr>
        <w:t xml:space="preserve"> that </w:t>
      </w:r>
      <w:r w:rsidR="00421B2F">
        <w:rPr>
          <w:sz w:val="24"/>
        </w:rPr>
        <w:t xml:space="preserve">one issuer </w:t>
      </w:r>
      <w:r w:rsidR="00BA73FF">
        <w:rPr>
          <w:sz w:val="24"/>
        </w:rPr>
        <w:t xml:space="preserve">would need to </w:t>
      </w:r>
      <w:r w:rsidR="00421B2F">
        <w:rPr>
          <w:sz w:val="24"/>
        </w:rPr>
        <w:t>complete</w:t>
      </w:r>
      <w:r w:rsidR="00566AF1">
        <w:rPr>
          <w:sz w:val="24"/>
        </w:rPr>
        <w:t xml:space="preserve"> an additional</w:t>
      </w:r>
      <w:r w:rsidR="00421B2F">
        <w:rPr>
          <w:sz w:val="24"/>
        </w:rPr>
        <w:t xml:space="preserve"> </w:t>
      </w:r>
      <w:r w:rsidR="00912CAC">
        <w:rPr>
          <w:sz w:val="24"/>
        </w:rPr>
        <w:t xml:space="preserve">Issuer Summary Report </w:t>
      </w:r>
      <w:r w:rsidR="00BA73FF">
        <w:rPr>
          <w:sz w:val="24"/>
        </w:rPr>
        <w:t>in any given year</w:t>
      </w:r>
      <w:r w:rsidR="00375773">
        <w:rPr>
          <w:sz w:val="24"/>
        </w:rPr>
        <w:t xml:space="preserve"> due to a merger or acquisition</w:t>
      </w:r>
      <w:r w:rsidR="00BA73FF">
        <w:rPr>
          <w:sz w:val="24"/>
        </w:rPr>
        <w:t xml:space="preserve">, we estimate </w:t>
      </w:r>
      <w:r w:rsidR="00537D02">
        <w:rPr>
          <w:sz w:val="24"/>
        </w:rPr>
        <w:t>296</w:t>
      </w:r>
      <w:r w:rsidR="009321FD">
        <w:rPr>
          <w:sz w:val="24"/>
        </w:rPr>
        <w:t xml:space="preserve"> reports </w:t>
      </w:r>
      <w:r w:rsidR="00566AF1">
        <w:rPr>
          <w:sz w:val="24"/>
        </w:rPr>
        <w:t xml:space="preserve">(295 reports (1 per QHP issuer) + 1 additional report for an issuer who must complete 2 reports in the event of a merger or acquisition) </w:t>
      </w:r>
      <w:r w:rsidR="00912CAC">
        <w:rPr>
          <w:sz w:val="24"/>
        </w:rPr>
        <w:t xml:space="preserve">would be </w:t>
      </w:r>
      <w:r w:rsidR="009321FD">
        <w:rPr>
          <w:sz w:val="24"/>
        </w:rPr>
        <w:t>filed</w:t>
      </w:r>
      <w:r w:rsidR="004342A6">
        <w:rPr>
          <w:sz w:val="24"/>
        </w:rPr>
        <w:t xml:space="preserve"> each year</w:t>
      </w:r>
      <w:r w:rsidR="009321FD">
        <w:rPr>
          <w:sz w:val="24"/>
        </w:rPr>
        <w:t>.</w:t>
      </w:r>
      <w:r w:rsidR="00421B2F">
        <w:rPr>
          <w:sz w:val="24"/>
        </w:rPr>
        <w:t xml:space="preserve"> </w:t>
      </w:r>
    </w:p>
    <w:p w14:paraId="4FD320F8" w14:textId="77777777" w:rsidR="00651CAC" w:rsidRDefault="00916D83" w:rsidP="00916D83">
      <w:pPr>
        <w:pStyle w:val="ColorfulList-Accent11"/>
        <w:ind w:left="0" w:firstLine="360"/>
        <w:rPr>
          <w:sz w:val="24"/>
        </w:rPr>
      </w:pPr>
      <w:r w:rsidRPr="005B2E1E">
        <w:rPr>
          <w:sz w:val="24"/>
        </w:rPr>
        <w:t>We</w:t>
      </w:r>
      <w:r w:rsidR="00841DD3">
        <w:rPr>
          <w:sz w:val="24"/>
        </w:rPr>
        <w:t xml:space="preserve"> previously</w:t>
      </w:r>
      <w:r w:rsidRPr="005B2E1E">
        <w:rPr>
          <w:sz w:val="24"/>
        </w:rPr>
        <w:t xml:space="preserve"> estimated the cost</w:t>
      </w:r>
      <w:r w:rsidR="005B2E1E" w:rsidRPr="005B2E1E">
        <w:rPr>
          <w:sz w:val="24"/>
        </w:rPr>
        <w:t xml:space="preserve"> of establishing information technology to use</w:t>
      </w:r>
      <w:r w:rsidRPr="005B2E1E">
        <w:rPr>
          <w:sz w:val="24"/>
        </w:rPr>
        <w:t xml:space="preserve"> this methodology in the Information Collection associated with the 2014 Payment Notice and the final Program Integrity rule. </w:t>
      </w:r>
      <w:r w:rsidR="00884BF7" w:rsidRPr="005B2E1E">
        <w:rPr>
          <w:sz w:val="24"/>
        </w:rPr>
        <w:t>We assume these reports will be automatically generated on a regular basis as a normal part of business, and</w:t>
      </w:r>
      <w:r w:rsidRPr="005B2E1E">
        <w:rPr>
          <w:sz w:val="24"/>
        </w:rPr>
        <w:t xml:space="preserve"> below </w:t>
      </w:r>
      <w:r w:rsidR="00884BF7" w:rsidRPr="005B2E1E">
        <w:rPr>
          <w:sz w:val="24"/>
        </w:rPr>
        <w:t>we estimate capital costs for all data ex</w:t>
      </w:r>
      <w:r w:rsidRPr="005B2E1E">
        <w:rPr>
          <w:sz w:val="24"/>
        </w:rPr>
        <w:t>traction for th</w:t>
      </w:r>
      <w:r w:rsidR="003A71AC">
        <w:rPr>
          <w:sz w:val="24"/>
        </w:rPr>
        <w:t>is file transfer</w:t>
      </w:r>
      <w:r w:rsidR="00C725AC" w:rsidRPr="005B2E1E">
        <w:rPr>
          <w:sz w:val="24"/>
        </w:rPr>
        <w:t>.</w:t>
      </w:r>
      <w:r w:rsidRPr="005B2E1E">
        <w:rPr>
          <w:sz w:val="24"/>
        </w:rPr>
        <w:t xml:space="preserve"> Therefore</w:t>
      </w:r>
      <w:r w:rsidR="001D2A61">
        <w:rPr>
          <w:sz w:val="24"/>
        </w:rPr>
        <w:t>,</w:t>
      </w:r>
      <w:r w:rsidRPr="005B2E1E">
        <w:rPr>
          <w:sz w:val="24"/>
        </w:rPr>
        <w:t xml:space="preserve"> our </w:t>
      </w:r>
      <w:r w:rsidRPr="00783ABC">
        <w:rPr>
          <w:sz w:val="24"/>
        </w:rPr>
        <w:t xml:space="preserve">estimate here is limited to </w:t>
      </w:r>
      <w:r w:rsidR="003A71AC" w:rsidRPr="00783ABC">
        <w:rPr>
          <w:sz w:val="24"/>
        </w:rPr>
        <w:t xml:space="preserve">performing the extraction and </w:t>
      </w:r>
      <w:r w:rsidRPr="00783ABC">
        <w:rPr>
          <w:sz w:val="24"/>
        </w:rPr>
        <w:t xml:space="preserve">reviewing data in this </w:t>
      </w:r>
      <w:r w:rsidR="003A71AC" w:rsidRPr="00783ABC">
        <w:rPr>
          <w:sz w:val="24"/>
        </w:rPr>
        <w:t>file</w:t>
      </w:r>
      <w:r w:rsidRPr="00783ABC">
        <w:rPr>
          <w:sz w:val="24"/>
        </w:rPr>
        <w:t>.</w:t>
      </w:r>
      <w:r w:rsidRPr="005B2E1E">
        <w:rPr>
          <w:sz w:val="24"/>
        </w:rPr>
        <w:t xml:space="preserve"> W</w:t>
      </w:r>
      <w:r w:rsidR="00884BF7" w:rsidRPr="005B2E1E">
        <w:rPr>
          <w:sz w:val="24"/>
        </w:rPr>
        <w:t>e estimate that on average,</w:t>
      </w:r>
      <w:r w:rsidR="00C725AC" w:rsidRPr="005B2E1E">
        <w:rPr>
          <w:sz w:val="24"/>
        </w:rPr>
        <w:t xml:space="preserve"> for each issuer,</w:t>
      </w:r>
      <w:r w:rsidR="00912CAC" w:rsidRPr="005B2E1E">
        <w:rPr>
          <w:sz w:val="24"/>
        </w:rPr>
        <w:t xml:space="preserve"> </w:t>
      </w:r>
      <w:r w:rsidR="003423DD" w:rsidRPr="005B2E1E">
        <w:rPr>
          <w:sz w:val="24"/>
        </w:rPr>
        <w:t xml:space="preserve">it will </w:t>
      </w:r>
      <w:r w:rsidR="00912CAC" w:rsidRPr="005B2E1E">
        <w:rPr>
          <w:sz w:val="24"/>
        </w:rPr>
        <w:t xml:space="preserve">take an operations analyst </w:t>
      </w:r>
      <w:r w:rsidR="006A7AB8" w:rsidRPr="005B2E1E">
        <w:rPr>
          <w:sz w:val="24"/>
        </w:rPr>
        <w:t>30</w:t>
      </w:r>
      <w:r w:rsidR="003423DD" w:rsidRPr="005B2E1E">
        <w:rPr>
          <w:sz w:val="24"/>
        </w:rPr>
        <w:t xml:space="preserve"> minutes </w:t>
      </w:r>
      <w:r w:rsidR="00C725AC" w:rsidRPr="005B2E1E">
        <w:rPr>
          <w:sz w:val="24"/>
        </w:rPr>
        <w:t>(at a</w:t>
      </w:r>
      <w:r w:rsidR="00651CAC" w:rsidRPr="005B2E1E">
        <w:rPr>
          <w:sz w:val="24"/>
        </w:rPr>
        <w:t xml:space="preserve"> wage rate of </w:t>
      </w:r>
      <w:r w:rsidR="0074074C" w:rsidRPr="005B2E1E">
        <w:rPr>
          <w:sz w:val="24"/>
        </w:rPr>
        <w:t>$55</w:t>
      </w:r>
      <w:r w:rsidR="00651CAC" w:rsidRPr="005B2E1E">
        <w:rPr>
          <w:sz w:val="24"/>
        </w:rPr>
        <w:t xml:space="preserve"> an hour) and a </w:t>
      </w:r>
      <w:r w:rsidR="00112BA5" w:rsidRPr="005B2E1E">
        <w:rPr>
          <w:sz w:val="24"/>
        </w:rPr>
        <w:t>senior manager (at $79.08</w:t>
      </w:r>
      <w:r w:rsidR="003423DD" w:rsidRPr="005B2E1E">
        <w:rPr>
          <w:sz w:val="24"/>
        </w:rPr>
        <w:t xml:space="preserve"> an hour) </w:t>
      </w:r>
      <w:r w:rsidR="00912CAC" w:rsidRPr="005B2E1E">
        <w:rPr>
          <w:sz w:val="24"/>
        </w:rPr>
        <w:t>15 minutes</w:t>
      </w:r>
      <w:r w:rsidR="003423DD" w:rsidRPr="005B2E1E">
        <w:rPr>
          <w:sz w:val="24"/>
        </w:rPr>
        <w:t xml:space="preserve"> </w:t>
      </w:r>
      <w:r w:rsidR="00C725AC" w:rsidRPr="005B2E1E">
        <w:rPr>
          <w:sz w:val="24"/>
        </w:rPr>
        <w:t xml:space="preserve">to oversee and review the Issuer Summary Report section of this </w:t>
      </w:r>
      <w:r w:rsidR="003A71AC">
        <w:rPr>
          <w:sz w:val="24"/>
        </w:rPr>
        <w:t>file</w:t>
      </w:r>
      <w:r w:rsidR="00C725AC" w:rsidRPr="005B2E1E">
        <w:rPr>
          <w:sz w:val="24"/>
        </w:rPr>
        <w:t>, for</w:t>
      </w:r>
      <w:r w:rsidR="00137FD4">
        <w:rPr>
          <w:sz w:val="24"/>
        </w:rPr>
        <w:t xml:space="preserve"> a total estimated burden of 222</w:t>
      </w:r>
      <w:r w:rsidR="00C725AC" w:rsidRPr="005B2E1E">
        <w:rPr>
          <w:sz w:val="24"/>
        </w:rPr>
        <w:t xml:space="preserve"> hours per year. </w:t>
      </w:r>
      <w:r w:rsidR="003423DD" w:rsidRPr="005B2E1E">
        <w:rPr>
          <w:sz w:val="24"/>
        </w:rPr>
        <w:t xml:space="preserve">The </w:t>
      </w:r>
      <w:r w:rsidR="006A7AB8" w:rsidRPr="005B2E1E">
        <w:rPr>
          <w:sz w:val="24"/>
        </w:rPr>
        <w:t xml:space="preserve">average </w:t>
      </w:r>
      <w:r w:rsidR="003423DD" w:rsidRPr="005B2E1E">
        <w:rPr>
          <w:sz w:val="24"/>
        </w:rPr>
        <w:t xml:space="preserve">cost estimate for each </w:t>
      </w:r>
      <w:r w:rsidR="006A7AB8" w:rsidRPr="005B2E1E">
        <w:rPr>
          <w:sz w:val="24"/>
        </w:rPr>
        <w:t xml:space="preserve">issuer </w:t>
      </w:r>
      <w:r w:rsidR="00651CAC" w:rsidRPr="005B2E1E">
        <w:rPr>
          <w:sz w:val="24"/>
        </w:rPr>
        <w:t>is $</w:t>
      </w:r>
      <w:r w:rsidR="0074074C" w:rsidRPr="005B2E1E">
        <w:rPr>
          <w:sz w:val="24"/>
        </w:rPr>
        <w:t>47.28</w:t>
      </w:r>
      <w:r w:rsidR="003423DD" w:rsidRPr="005B2E1E">
        <w:rPr>
          <w:sz w:val="24"/>
        </w:rPr>
        <w:t xml:space="preserve"> </w:t>
      </w:r>
      <w:r w:rsidR="00871879" w:rsidRPr="005B2E1E">
        <w:rPr>
          <w:sz w:val="24"/>
        </w:rPr>
        <w:t xml:space="preserve">and the </w:t>
      </w:r>
      <w:r w:rsidR="00651CAC" w:rsidRPr="005B2E1E">
        <w:rPr>
          <w:sz w:val="24"/>
        </w:rPr>
        <w:t xml:space="preserve">estimated </w:t>
      </w:r>
      <w:r w:rsidR="00871879" w:rsidRPr="005B2E1E">
        <w:rPr>
          <w:sz w:val="24"/>
        </w:rPr>
        <w:t xml:space="preserve">aggregated </w:t>
      </w:r>
      <w:r w:rsidR="00651CAC" w:rsidRPr="005B2E1E">
        <w:rPr>
          <w:sz w:val="24"/>
        </w:rPr>
        <w:t>cost b</w:t>
      </w:r>
      <w:r w:rsidR="00871879" w:rsidRPr="005B2E1E">
        <w:rPr>
          <w:sz w:val="24"/>
        </w:rPr>
        <w:t xml:space="preserve">urden is </w:t>
      </w:r>
      <w:r w:rsidR="00651CAC" w:rsidRPr="005B2E1E">
        <w:rPr>
          <w:sz w:val="24"/>
        </w:rPr>
        <w:t>$</w:t>
      </w:r>
      <w:r w:rsidR="0074074C" w:rsidRPr="005B2E1E">
        <w:rPr>
          <w:sz w:val="24"/>
        </w:rPr>
        <w:t>13,994</w:t>
      </w:r>
      <w:r w:rsidR="00871879" w:rsidRPr="005B2E1E">
        <w:rPr>
          <w:sz w:val="24"/>
        </w:rPr>
        <w:t>.8</w:t>
      </w:r>
      <w:r w:rsidR="0074074C" w:rsidRPr="005B2E1E">
        <w:rPr>
          <w:sz w:val="24"/>
        </w:rPr>
        <w:t>8</w:t>
      </w:r>
      <w:r w:rsidR="00651CAC" w:rsidRPr="005B2E1E">
        <w:rPr>
          <w:sz w:val="24"/>
        </w:rPr>
        <w:t>.</w:t>
      </w:r>
      <w:r w:rsidR="00651CAC">
        <w:rPr>
          <w:sz w:val="24"/>
        </w:rPr>
        <w:t xml:space="preserve"> </w:t>
      </w:r>
      <w:r w:rsidR="00421B2F">
        <w:rPr>
          <w:sz w:val="24"/>
        </w:rPr>
        <w:t xml:space="preserve"> </w:t>
      </w:r>
    </w:p>
    <w:p w14:paraId="71A4AA73" w14:textId="77777777" w:rsidR="008206BA" w:rsidRDefault="008206BA" w:rsidP="00CB23BD">
      <w:pPr>
        <w:pStyle w:val="ColorfulList-Accent11"/>
        <w:ind w:left="0"/>
        <w:rPr>
          <w:b/>
          <w:sz w:val="24"/>
        </w:rPr>
      </w:pPr>
    </w:p>
    <w:p w14:paraId="552BEE3E" w14:textId="77777777" w:rsidR="00AE5E62" w:rsidRPr="003423DD" w:rsidRDefault="003423DD" w:rsidP="00AE5E6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sidRPr="003423DD">
        <w:rPr>
          <w:b/>
          <w:sz w:val="24"/>
        </w:rPr>
        <w:t>II. Standard Methodology Plan and Policy Report</w:t>
      </w:r>
      <w:r w:rsidR="00AE5E62" w:rsidRPr="003423DD">
        <w:rPr>
          <w:b/>
          <w:sz w:val="24"/>
        </w:rPr>
        <w:t xml:space="preserve"> </w:t>
      </w:r>
    </w:p>
    <w:p w14:paraId="115FB318" w14:textId="77777777" w:rsidR="00651CAC" w:rsidRDefault="00651CAC" w:rsidP="00B45FC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14:paraId="1F6648C8" w14:textId="77777777" w:rsidR="00125519" w:rsidRDefault="004342A6" w:rsidP="007F0C13">
      <w:pPr>
        <w:pStyle w:val="ColorfulList-Accent11"/>
        <w:ind w:left="0" w:firstLine="360"/>
        <w:rPr>
          <w:sz w:val="24"/>
        </w:rPr>
      </w:pPr>
      <w:r>
        <w:rPr>
          <w:sz w:val="24"/>
        </w:rPr>
        <w:t>Only i</w:t>
      </w:r>
      <w:r w:rsidR="00421B2F" w:rsidRPr="00421B2F">
        <w:rPr>
          <w:sz w:val="24"/>
        </w:rPr>
        <w:t>ssuers using</w:t>
      </w:r>
      <w:r w:rsidR="0012112C" w:rsidRPr="00421B2F">
        <w:rPr>
          <w:sz w:val="24"/>
        </w:rPr>
        <w:t xml:space="preserve"> the standard methodology </w:t>
      </w:r>
      <w:r w:rsidR="00FA3C31">
        <w:rPr>
          <w:sz w:val="24"/>
        </w:rPr>
        <w:t xml:space="preserve">would be required </w:t>
      </w:r>
      <w:r w:rsidR="00421B2F">
        <w:rPr>
          <w:sz w:val="24"/>
        </w:rPr>
        <w:t xml:space="preserve">to </w:t>
      </w:r>
      <w:r w:rsidR="003A71AC">
        <w:rPr>
          <w:sz w:val="24"/>
        </w:rPr>
        <w:t>report</w:t>
      </w:r>
      <w:r w:rsidR="003A71AC" w:rsidRPr="00421B2F">
        <w:rPr>
          <w:sz w:val="24"/>
        </w:rPr>
        <w:t xml:space="preserve"> </w:t>
      </w:r>
      <w:r w:rsidR="0012112C" w:rsidRPr="00421B2F">
        <w:rPr>
          <w:sz w:val="24"/>
        </w:rPr>
        <w:t xml:space="preserve">this </w:t>
      </w:r>
      <w:r>
        <w:rPr>
          <w:sz w:val="24"/>
        </w:rPr>
        <w:t xml:space="preserve">section of the </w:t>
      </w:r>
      <w:r w:rsidR="003A71AC">
        <w:rPr>
          <w:sz w:val="24"/>
        </w:rPr>
        <w:t>reports</w:t>
      </w:r>
      <w:r>
        <w:rPr>
          <w:sz w:val="24"/>
        </w:rPr>
        <w:t xml:space="preserve">. </w:t>
      </w:r>
      <w:r w:rsidR="007F0C13">
        <w:rPr>
          <w:sz w:val="24"/>
        </w:rPr>
        <w:t>As required under</w:t>
      </w:r>
      <w:r w:rsidR="007F0C13" w:rsidRPr="00421B2F">
        <w:rPr>
          <w:sz w:val="24"/>
        </w:rPr>
        <w:t xml:space="preserve"> §156.430(c)(2)</w:t>
      </w:r>
      <w:r w:rsidR="007F0C13">
        <w:rPr>
          <w:sz w:val="24"/>
        </w:rPr>
        <w:t>, QHP i</w:t>
      </w:r>
      <w:r w:rsidR="00C725AC">
        <w:rPr>
          <w:sz w:val="24"/>
        </w:rPr>
        <w:t>ssuers in this section</w:t>
      </w:r>
      <w:r w:rsidR="007F0C13">
        <w:rPr>
          <w:sz w:val="24"/>
        </w:rPr>
        <w:t xml:space="preserve"> must calculate the value of the amount the enrollee would have paid under</w:t>
      </w:r>
      <w:r w:rsidR="001D2A61">
        <w:rPr>
          <w:sz w:val="24"/>
        </w:rPr>
        <w:t xml:space="preserve"> the standard plan without cost-</w:t>
      </w:r>
      <w:r w:rsidR="007F0C13">
        <w:rPr>
          <w:sz w:val="24"/>
        </w:rPr>
        <w:t>sharing red</w:t>
      </w:r>
      <w:r w:rsidR="001D2A61">
        <w:rPr>
          <w:sz w:val="24"/>
        </w:rPr>
        <w:t>uctions by applying actual cost-</w:t>
      </w:r>
      <w:r w:rsidR="007F0C13">
        <w:rPr>
          <w:sz w:val="24"/>
        </w:rPr>
        <w:t xml:space="preserve">sharing requirements for the standard plan to the allowed costs for EHB under the enrollee’s policy for the benefit year. </w:t>
      </w:r>
      <w:r w:rsidR="00125519" w:rsidRPr="006A7AB8">
        <w:rPr>
          <w:sz w:val="24"/>
        </w:rPr>
        <w:t xml:space="preserve">The Plan and Policy Report includes identifying numbers for each </w:t>
      </w:r>
      <w:r w:rsidR="00A403B5">
        <w:rPr>
          <w:sz w:val="24"/>
        </w:rPr>
        <w:t>subscriber</w:t>
      </w:r>
      <w:r w:rsidR="00125519" w:rsidRPr="006A7AB8">
        <w:rPr>
          <w:sz w:val="24"/>
        </w:rPr>
        <w:t xml:space="preserve">, </w:t>
      </w:r>
      <w:r w:rsidR="006A7AB8" w:rsidRPr="006A7AB8">
        <w:rPr>
          <w:sz w:val="24"/>
        </w:rPr>
        <w:t>total allowed costs for EHB,</w:t>
      </w:r>
      <w:r w:rsidR="00125519" w:rsidRPr="006A7AB8">
        <w:rPr>
          <w:sz w:val="24"/>
        </w:rPr>
        <w:t xml:space="preserve"> amounts the issuer and enrollee paid, and the amounts the enrollee(s) would have paid under the standard plan. </w:t>
      </w:r>
      <w:r w:rsidR="009520DC">
        <w:rPr>
          <w:sz w:val="24"/>
        </w:rPr>
        <w:t xml:space="preserve">It also includes total monthly premium for the policy. </w:t>
      </w:r>
      <w:r w:rsidR="00D237AA">
        <w:rPr>
          <w:sz w:val="24"/>
        </w:rPr>
        <w:t xml:space="preserve">Additionally, for each QHP, issuers would </w:t>
      </w:r>
      <w:r w:rsidR="009520DC">
        <w:rPr>
          <w:sz w:val="24"/>
        </w:rPr>
        <w:t xml:space="preserve">the </w:t>
      </w:r>
      <w:r w:rsidR="00D237AA">
        <w:rPr>
          <w:sz w:val="24"/>
        </w:rPr>
        <w:t>aggregate amount of annual premium, allowed costs for EHB, actual amounts paid by the issuer for EHB, actual amounts paid by enrollees for EHB, and the total value of CSR provided.</w:t>
      </w:r>
    </w:p>
    <w:p w14:paraId="3202E8D0" w14:textId="77777777" w:rsidR="00120165" w:rsidRPr="005B2E1E" w:rsidRDefault="00C725AC" w:rsidP="00916D83">
      <w:pPr>
        <w:pStyle w:val="ColorfulList-Accent11"/>
        <w:ind w:left="0" w:firstLine="360"/>
        <w:rPr>
          <w:sz w:val="24"/>
        </w:rPr>
      </w:pPr>
      <w:r w:rsidRPr="005B2E1E">
        <w:rPr>
          <w:sz w:val="24"/>
        </w:rPr>
        <w:t>As noted above, we separately estim</w:t>
      </w:r>
      <w:r w:rsidR="00916D83" w:rsidRPr="005B2E1E">
        <w:rPr>
          <w:sz w:val="24"/>
        </w:rPr>
        <w:t>at</w:t>
      </w:r>
      <w:r w:rsidR="005B2E1E" w:rsidRPr="005B2E1E">
        <w:rPr>
          <w:sz w:val="24"/>
        </w:rPr>
        <w:t>e capital costs related to</w:t>
      </w:r>
      <w:r w:rsidR="00916D83" w:rsidRPr="005B2E1E">
        <w:rPr>
          <w:sz w:val="24"/>
        </w:rPr>
        <w:t xml:space="preserve"> data extraction</w:t>
      </w:r>
      <w:r w:rsidR="00B31FBC">
        <w:rPr>
          <w:sz w:val="24"/>
        </w:rPr>
        <w:t xml:space="preserve"> required </w:t>
      </w:r>
      <w:proofErr w:type="gramStart"/>
      <w:r w:rsidR="00B31FBC">
        <w:rPr>
          <w:sz w:val="24"/>
        </w:rPr>
        <w:t xml:space="preserve">to </w:t>
      </w:r>
      <w:r w:rsidRPr="005B2E1E">
        <w:rPr>
          <w:sz w:val="24"/>
        </w:rPr>
        <w:t>complete</w:t>
      </w:r>
      <w:proofErr w:type="gramEnd"/>
      <w:r w:rsidR="00916D83" w:rsidRPr="005B2E1E">
        <w:rPr>
          <w:sz w:val="24"/>
        </w:rPr>
        <w:t xml:space="preserve"> all sections of the</w:t>
      </w:r>
      <w:r w:rsidR="003A71AC">
        <w:rPr>
          <w:sz w:val="24"/>
        </w:rPr>
        <w:t xml:space="preserve"> file submission</w:t>
      </w:r>
      <w:r w:rsidR="005E24D7">
        <w:rPr>
          <w:sz w:val="24"/>
        </w:rPr>
        <w:t>, and we assume an automated information system</w:t>
      </w:r>
      <w:r w:rsidR="00916D83" w:rsidRPr="005B2E1E">
        <w:rPr>
          <w:sz w:val="24"/>
        </w:rPr>
        <w:t xml:space="preserve">. </w:t>
      </w:r>
      <w:r w:rsidR="00916D83" w:rsidRPr="005B2E1E">
        <w:rPr>
          <w:sz w:val="24"/>
        </w:rPr>
        <w:lastRenderedPageBreak/>
        <w:t xml:space="preserve">Therefore our estimate here is limited to </w:t>
      </w:r>
      <w:r w:rsidR="003A71AC">
        <w:rPr>
          <w:sz w:val="24"/>
        </w:rPr>
        <w:t xml:space="preserve">performing the extraction and </w:t>
      </w:r>
      <w:r w:rsidR="00916D83" w:rsidRPr="005B2E1E">
        <w:rPr>
          <w:sz w:val="24"/>
        </w:rPr>
        <w:t xml:space="preserve">reviewing </w:t>
      </w:r>
      <w:r w:rsidR="003A71AC">
        <w:rPr>
          <w:sz w:val="24"/>
        </w:rPr>
        <w:t xml:space="preserve">the </w:t>
      </w:r>
      <w:r w:rsidR="00916D83" w:rsidRPr="005B2E1E">
        <w:rPr>
          <w:sz w:val="24"/>
        </w:rPr>
        <w:t>data in th</w:t>
      </w:r>
      <w:r w:rsidR="003A71AC">
        <w:rPr>
          <w:sz w:val="24"/>
        </w:rPr>
        <w:t>e file</w:t>
      </w:r>
      <w:r w:rsidR="00916D83" w:rsidRPr="005B2E1E">
        <w:rPr>
          <w:sz w:val="24"/>
        </w:rPr>
        <w:t>.</w:t>
      </w:r>
    </w:p>
    <w:p w14:paraId="34AA4A55" w14:textId="77777777" w:rsidR="00120165" w:rsidRDefault="00120165" w:rsidP="00120165">
      <w:pPr>
        <w:pStyle w:val="ColorfulList-Accent11"/>
        <w:ind w:left="0" w:firstLine="360"/>
        <w:rPr>
          <w:sz w:val="24"/>
        </w:rPr>
      </w:pPr>
      <w:r w:rsidRPr="005B2E1E">
        <w:rPr>
          <w:sz w:val="24"/>
        </w:rPr>
        <w:t xml:space="preserve"> In the aggregate, we</w:t>
      </w:r>
      <w:r w:rsidR="00C725AC" w:rsidRPr="005B2E1E">
        <w:rPr>
          <w:sz w:val="24"/>
        </w:rPr>
        <w:t xml:space="preserve"> estimate that</w:t>
      </w:r>
      <w:r w:rsidRPr="005B2E1E">
        <w:rPr>
          <w:sz w:val="24"/>
        </w:rPr>
        <w:t xml:space="preserve"> 295</w:t>
      </w:r>
      <w:r w:rsidR="00C725AC" w:rsidRPr="005B2E1E">
        <w:rPr>
          <w:sz w:val="24"/>
        </w:rPr>
        <w:t xml:space="preserve"> </w:t>
      </w:r>
      <w:r w:rsidRPr="005B2E1E">
        <w:rPr>
          <w:sz w:val="24"/>
        </w:rPr>
        <w:t>issuers will</w:t>
      </w:r>
      <w:r>
        <w:rPr>
          <w:sz w:val="24"/>
        </w:rPr>
        <w:t xml:space="preserve"> report reconciliation data for approximately 4 million policies in various sections of this template. A review of HHS data shows that 104 QHP issuers, or approximately 35 percent of</w:t>
      </w:r>
      <w:r w:rsidRPr="004342A6">
        <w:rPr>
          <w:sz w:val="24"/>
        </w:rPr>
        <w:t xml:space="preserve"> QHP</w:t>
      </w:r>
      <w:r>
        <w:rPr>
          <w:sz w:val="24"/>
        </w:rPr>
        <w:t xml:space="preserve"> issuers required to report CSR data, selected the standard methodology and would submit data </w:t>
      </w:r>
      <w:r w:rsidR="003A71AC">
        <w:rPr>
          <w:sz w:val="24"/>
        </w:rPr>
        <w:t>for this section of the report</w:t>
      </w:r>
      <w:r>
        <w:rPr>
          <w:sz w:val="24"/>
        </w:rPr>
        <w:t xml:space="preserve">. </w:t>
      </w:r>
    </w:p>
    <w:p w14:paraId="03F25F65" w14:textId="77777777" w:rsidR="003A718C" w:rsidRDefault="002D0568" w:rsidP="003A718C">
      <w:pPr>
        <w:pStyle w:val="ColorfulList-Accent11"/>
        <w:ind w:left="0" w:firstLine="360"/>
        <w:rPr>
          <w:sz w:val="24"/>
        </w:rPr>
      </w:pPr>
      <w:r w:rsidRPr="009361F9">
        <w:rPr>
          <w:sz w:val="24"/>
        </w:rPr>
        <w:t xml:space="preserve">Assuming 35 percent of policies (or </w:t>
      </w:r>
      <w:r w:rsidR="008A27A5" w:rsidRPr="009361F9">
        <w:rPr>
          <w:sz w:val="24"/>
        </w:rPr>
        <w:t>1,4</w:t>
      </w:r>
      <w:r w:rsidR="00D9589D" w:rsidRPr="009361F9">
        <w:rPr>
          <w:sz w:val="24"/>
        </w:rPr>
        <w:t>0</w:t>
      </w:r>
      <w:r w:rsidR="008A27A5" w:rsidRPr="009361F9">
        <w:rPr>
          <w:sz w:val="24"/>
        </w:rPr>
        <w:t>0,000</w:t>
      </w:r>
      <w:r w:rsidRPr="009361F9">
        <w:rPr>
          <w:sz w:val="24"/>
        </w:rPr>
        <w:t xml:space="preserve"> policies)</w:t>
      </w:r>
      <w:r w:rsidR="008A27A5" w:rsidRPr="009361F9">
        <w:rPr>
          <w:sz w:val="24"/>
        </w:rPr>
        <w:t xml:space="preserve"> </w:t>
      </w:r>
      <w:r w:rsidR="00120165" w:rsidRPr="009361F9">
        <w:rPr>
          <w:sz w:val="24"/>
        </w:rPr>
        <w:t xml:space="preserve">also fall under the standard methodology, each issuer </w:t>
      </w:r>
      <w:r w:rsidR="008A27A5" w:rsidRPr="009361F9">
        <w:rPr>
          <w:sz w:val="24"/>
        </w:rPr>
        <w:t xml:space="preserve">completing this section of the </w:t>
      </w:r>
      <w:r w:rsidR="003A71AC">
        <w:rPr>
          <w:sz w:val="24"/>
        </w:rPr>
        <w:t>report</w:t>
      </w:r>
      <w:r w:rsidR="003A71AC" w:rsidRPr="009361F9">
        <w:rPr>
          <w:sz w:val="24"/>
        </w:rPr>
        <w:t xml:space="preserve"> </w:t>
      </w:r>
      <w:r w:rsidR="008A27A5" w:rsidRPr="009361F9">
        <w:rPr>
          <w:sz w:val="24"/>
        </w:rPr>
        <w:t xml:space="preserve">would </w:t>
      </w:r>
      <w:r w:rsidR="003A71AC">
        <w:rPr>
          <w:sz w:val="24"/>
        </w:rPr>
        <w:t>submit</w:t>
      </w:r>
      <w:r w:rsidR="003A71AC" w:rsidRPr="009361F9">
        <w:rPr>
          <w:sz w:val="24"/>
        </w:rPr>
        <w:t xml:space="preserve"> </w:t>
      </w:r>
      <w:r w:rsidR="008A27A5" w:rsidRPr="009361F9">
        <w:rPr>
          <w:sz w:val="24"/>
        </w:rPr>
        <w:t>data for approximately 13,</w:t>
      </w:r>
      <w:r w:rsidR="00D9589D" w:rsidRPr="009361F9">
        <w:rPr>
          <w:sz w:val="24"/>
        </w:rPr>
        <w:t>461</w:t>
      </w:r>
      <w:r w:rsidR="008A27A5" w:rsidRPr="009361F9">
        <w:rPr>
          <w:sz w:val="24"/>
        </w:rPr>
        <w:t xml:space="preserve"> policies</w:t>
      </w:r>
      <w:r w:rsidR="008A27A5">
        <w:rPr>
          <w:sz w:val="24"/>
        </w:rPr>
        <w:t xml:space="preserve">. </w:t>
      </w:r>
      <w:r w:rsidR="00916D83">
        <w:rPr>
          <w:sz w:val="24"/>
        </w:rPr>
        <w:t>To submit and review</w:t>
      </w:r>
      <w:r w:rsidR="007F0C13">
        <w:rPr>
          <w:sz w:val="24"/>
        </w:rPr>
        <w:t xml:space="preserve"> this data collection, </w:t>
      </w:r>
      <w:r w:rsidR="008A27A5">
        <w:rPr>
          <w:sz w:val="24"/>
        </w:rPr>
        <w:t xml:space="preserve">we estimate on average for each issuer it would </w:t>
      </w:r>
      <w:r w:rsidR="00C053A9" w:rsidRPr="006F7197">
        <w:rPr>
          <w:sz w:val="24"/>
        </w:rPr>
        <w:t xml:space="preserve">take </w:t>
      </w:r>
      <w:r w:rsidR="008A27A5">
        <w:rPr>
          <w:sz w:val="24"/>
        </w:rPr>
        <w:t>an</w:t>
      </w:r>
      <w:r w:rsidR="00C053A9" w:rsidRPr="006F7197">
        <w:rPr>
          <w:sz w:val="24"/>
        </w:rPr>
        <w:t xml:space="preserve"> operations </w:t>
      </w:r>
      <w:r w:rsidR="00C053A9" w:rsidRPr="00A64E18">
        <w:rPr>
          <w:sz w:val="24"/>
        </w:rPr>
        <w:t>analyst</w:t>
      </w:r>
      <w:r w:rsidR="00DA7971" w:rsidRPr="00A64E18">
        <w:rPr>
          <w:sz w:val="24"/>
        </w:rPr>
        <w:t xml:space="preserve"> </w:t>
      </w:r>
      <w:r w:rsidR="00E47CB4">
        <w:rPr>
          <w:sz w:val="24"/>
        </w:rPr>
        <w:t>10</w:t>
      </w:r>
      <w:r w:rsidR="00636AA5" w:rsidRPr="00A64E18">
        <w:rPr>
          <w:sz w:val="24"/>
        </w:rPr>
        <w:t xml:space="preserve"> hour</w:t>
      </w:r>
      <w:r w:rsidR="00DA7971" w:rsidRPr="00A64E18">
        <w:rPr>
          <w:sz w:val="24"/>
        </w:rPr>
        <w:t xml:space="preserve">s </w:t>
      </w:r>
      <w:r w:rsidR="00636AA5" w:rsidRPr="00A64E18">
        <w:rPr>
          <w:sz w:val="24"/>
        </w:rPr>
        <w:t>(at</w:t>
      </w:r>
      <w:r w:rsidR="00636AA5" w:rsidRPr="006F7197">
        <w:rPr>
          <w:sz w:val="24"/>
        </w:rPr>
        <w:t xml:space="preserve"> an average wage rate of $55</w:t>
      </w:r>
      <w:r w:rsidR="00C053A9" w:rsidRPr="006F7197">
        <w:rPr>
          <w:sz w:val="24"/>
        </w:rPr>
        <w:t xml:space="preserve"> a</w:t>
      </w:r>
      <w:r w:rsidR="00DA7971" w:rsidRPr="006F7197">
        <w:rPr>
          <w:sz w:val="24"/>
        </w:rPr>
        <w:t xml:space="preserve">n hour) and a senior manager </w:t>
      </w:r>
      <w:r w:rsidR="00E47CB4">
        <w:rPr>
          <w:sz w:val="24"/>
        </w:rPr>
        <w:t>five</w:t>
      </w:r>
      <w:r w:rsidR="00112BA5" w:rsidRPr="006F7197">
        <w:rPr>
          <w:sz w:val="24"/>
        </w:rPr>
        <w:t xml:space="preserve"> hour</w:t>
      </w:r>
      <w:r w:rsidR="00E47CB4">
        <w:rPr>
          <w:sz w:val="24"/>
        </w:rPr>
        <w:t>s</w:t>
      </w:r>
      <w:r w:rsidR="00112BA5" w:rsidRPr="006F7197">
        <w:rPr>
          <w:sz w:val="24"/>
        </w:rPr>
        <w:t xml:space="preserve"> (at $79.08</w:t>
      </w:r>
      <w:r w:rsidR="00636AA5" w:rsidRPr="006F7197">
        <w:rPr>
          <w:sz w:val="24"/>
        </w:rPr>
        <w:t xml:space="preserve"> an hour) to meet these requirements.  </w:t>
      </w:r>
      <w:r w:rsidR="00A64E18">
        <w:rPr>
          <w:sz w:val="24"/>
        </w:rPr>
        <w:t>Therefore we estim</w:t>
      </w:r>
      <w:r w:rsidR="005D1E39">
        <w:rPr>
          <w:sz w:val="24"/>
        </w:rPr>
        <w:t xml:space="preserve">ate on average each issuer would need </w:t>
      </w:r>
      <w:r w:rsidR="00E47CB4">
        <w:rPr>
          <w:sz w:val="24"/>
        </w:rPr>
        <w:t>15</w:t>
      </w:r>
      <w:r w:rsidR="005D1E39">
        <w:rPr>
          <w:sz w:val="24"/>
        </w:rPr>
        <w:t xml:space="preserve"> hours to complete this section, for an estimated aggregate burden of </w:t>
      </w:r>
      <w:r w:rsidR="00E47CB4">
        <w:rPr>
          <w:sz w:val="24"/>
        </w:rPr>
        <w:t>1,560</w:t>
      </w:r>
      <w:r w:rsidR="005D1E39">
        <w:rPr>
          <w:sz w:val="24"/>
        </w:rPr>
        <w:t xml:space="preserve"> hours</w:t>
      </w:r>
      <w:r w:rsidR="00A64E18">
        <w:rPr>
          <w:sz w:val="24"/>
        </w:rPr>
        <w:t xml:space="preserve">. </w:t>
      </w:r>
      <w:r w:rsidR="0074074C" w:rsidRPr="006F7197">
        <w:rPr>
          <w:sz w:val="24"/>
        </w:rPr>
        <w:t xml:space="preserve">We estimate the </w:t>
      </w:r>
      <w:r w:rsidR="00A64E18">
        <w:rPr>
          <w:sz w:val="24"/>
        </w:rPr>
        <w:t xml:space="preserve">average </w:t>
      </w:r>
      <w:r w:rsidR="00636AA5" w:rsidRPr="006F7197">
        <w:rPr>
          <w:sz w:val="24"/>
        </w:rPr>
        <w:t xml:space="preserve">cost </w:t>
      </w:r>
      <w:r w:rsidR="00FF166C" w:rsidRPr="006F7197">
        <w:rPr>
          <w:sz w:val="24"/>
        </w:rPr>
        <w:t xml:space="preserve">to </w:t>
      </w:r>
      <w:r w:rsidR="0074074C" w:rsidRPr="006F7197">
        <w:rPr>
          <w:sz w:val="24"/>
        </w:rPr>
        <w:t xml:space="preserve">each issuer would </w:t>
      </w:r>
      <w:r w:rsidR="0074074C" w:rsidRPr="00A64E18">
        <w:rPr>
          <w:sz w:val="24"/>
        </w:rPr>
        <w:t>be $</w:t>
      </w:r>
      <w:r w:rsidR="00E47CB4">
        <w:rPr>
          <w:sz w:val="24"/>
        </w:rPr>
        <w:t>945.40</w:t>
      </w:r>
      <w:r w:rsidR="006F7197" w:rsidRPr="00A64E18">
        <w:rPr>
          <w:sz w:val="24"/>
        </w:rPr>
        <w:t xml:space="preserve">, for an aggregated </w:t>
      </w:r>
      <w:r w:rsidR="00636AA5" w:rsidRPr="00A64E18">
        <w:rPr>
          <w:sz w:val="24"/>
        </w:rPr>
        <w:t>estimated cost burden of $</w:t>
      </w:r>
      <w:r w:rsidR="00E47CB4">
        <w:rPr>
          <w:sz w:val="24"/>
        </w:rPr>
        <w:t>98,321.60</w:t>
      </w:r>
      <w:r w:rsidR="00636AA5" w:rsidRPr="00A64E18">
        <w:rPr>
          <w:sz w:val="24"/>
        </w:rPr>
        <w:t>.</w:t>
      </w:r>
      <w:r w:rsidR="003A718C">
        <w:rPr>
          <w:sz w:val="24"/>
        </w:rPr>
        <w:t xml:space="preserve"> Since issuers will have already gathered and reported policy level information for this report, we do not anticipate that reporting aggregate plan amounts for each QHP plan would result in any additional burden.</w:t>
      </w:r>
    </w:p>
    <w:p w14:paraId="0442683B" w14:textId="77777777" w:rsidR="00636AA5" w:rsidRDefault="00636AA5" w:rsidP="003C7678">
      <w:pPr>
        <w:pStyle w:val="ColorfulList-Accent11"/>
        <w:ind w:left="0" w:firstLine="360"/>
        <w:rPr>
          <w:sz w:val="24"/>
        </w:rPr>
      </w:pPr>
    </w:p>
    <w:p w14:paraId="02A55E4D" w14:textId="77777777" w:rsidR="00BA4547" w:rsidRDefault="00BA4547" w:rsidP="00BA4547">
      <w:pPr>
        <w:pStyle w:val="ColorfulList-Accent11"/>
        <w:ind w:left="0" w:firstLine="360"/>
        <w:rPr>
          <w:sz w:val="24"/>
        </w:rPr>
      </w:pPr>
      <w:r w:rsidRPr="00157043">
        <w:rPr>
          <w:sz w:val="24"/>
        </w:rPr>
        <w:t>We anticipate that more issuers will use this method in</w:t>
      </w:r>
      <w:r>
        <w:rPr>
          <w:sz w:val="24"/>
        </w:rPr>
        <w:t xml:space="preserve"> future years. </w:t>
      </w:r>
      <w:r w:rsidR="00266B57" w:rsidRPr="00266B57">
        <w:rPr>
          <w:sz w:val="24"/>
        </w:rPr>
        <w:t>Indeed</w:t>
      </w:r>
      <w:r w:rsidR="00266B57">
        <w:rPr>
          <w:sz w:val="24"/>
        </w:rPr>
        <w:t xml:space="preserve">, because of a one-year delay in the initial reconciliation cycle,  </w:t>
      </w:r>
      <w:r w:rsidR="000719BF">
        <w:rPr>
          <w:sz w:val="24"/>
        </w:rPr>
        <w:t>more</w:t>
      </w:r>
      <w:r w:rsidR="00266B57">
        <w:rPr>
          <w:sz w:val="24"/>
        </w:rPr>
        <w:t xml:space="preserve"> issuers are likely to be prepared to use the standard reconciliation methodology by spring 2016, when CMS reconciles cost-sharing reductions for the first time (advance payments provided in benefit years 2014 and 2015). </w:t>
      </w:r>
      <w:r w:rsidR="00266B57" w:rsidRPr="00266B57">
        <w:rPr>
          <w:sz w:val="24"/>
        </w:rPr>
        <w:t>Therefore, a</w:t>
      </w:r>
      <w:r w:rsidRPr="00266B57">
        <w:rPr>
          <w:sz w:val="24"/>
        </w:rPr>
        <w:t xml:space="preserve">ssuming that the number of policies reported under this section in the first year would </w:t>
      </w:r>
      <w:r w:rsidR="00493615">
        <w:rPr>
          <w:sz w:val="24"/>
        </w:rPr>
        <w:t>triple</w:t>
      </w:r>
      <w:r w:rsidRPr="00266B57">
        <w:rPr>
          <w:sz w:val="24"/>
        </w:rPr>
        <w:t xml:space="preserve"> in subsequent years, the estimated aggregate hourly burden and cost in benefit years 201</w:t>
      </w:r>
      <w:r w:rsidR="00266B57" w:rsidRPr="00276FFD">
        <w:rPr>
          <w:sz w:val="24"/>
        </w:rPr>
        <w:t>6</w:t>
      </w:r>
      <w:r w:rsidRPr="00266B57">
        <w:rPr>
          <w:sz w:val="24"/>
        </w:rPr>
        <w:t xml:space="preserve"> and 201</w:t>
      </w:r>
      <w:r w:rsidR="00266B57" w:rsidRPr="00276FFD">
        <w:rPr>
          <w:sz w:val="24"/>
        </w:rPr>
        <w:t>7</w:t>
      </w:r>
      <w:r w:rsidRPr="00266B57">
        <w:rPr>
          <w:sz w:val="24"/>
        </w:rPr>
        <w:t xml:space="preserve"> would also </w:t>
      </w:r>
      <w:r w:rsidR="00493615">
        <w:rPr>
          <w:sz w:val="24"/>
        </w:rPr>
        <w:t>triple</w:t>
      </w:r>
      <w:r w:rsidRPr="00266B57">
        <w:rPr>
          <w:sz w:val="24"/>
        </w:rPr>
        <w:t>.</w:t>
      </w:r>
      <w:r>
        <w:rPr>
          <w:sz w:val="24"/>
        </w:rPr>
        <w:t xml:space="preserve"> </w:t>
      </w:r>
    </w:p>
    <w:p w14:paraId="1D1F72A9" w14:textId="77777777" w:rsidR="00BD0C0B" w:rsidRDefault="00BD0C0B" w:rsidP="00CB23BD">
      <w:pPr>
        <w:rPr>
          <w:sz w:val="24"/>
        </w:rPr>
      </w:pPr>
    </w:p>
    <w:p w14:paraId="5A7E8A32" w14:textId="77777777" w:rsidR="00841DD3" w:rsidRDefault="00B145D1"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sidRPr="003423DD">
        <w:rPr>
          <w:b/>
          <w:sz w:val="24"/>
        </w:rPr>
        <w:t>II</w:t>
      </w:r>
      <w:r>
        <w:rPr>
          <w:b/>
          <w:sz w:val="24"/>
        </w:rPr>
        <w:t>I</w:t>
      </w:r>
      <w:r w:rsidRPr="003423DD">
        <w:rPr>
          <w:b/>
          <w:sz w:val="24"/>
        </w:rPr>
        <w:t>.</w:t>
      </w:r>
      <w:r>
        <w:rPr>
          <w:b/>
          <w:sz w:val="24"/>
        </w:rPr>
        <w:t xml:space="preserve"> Simplified</w:t>
      </w:r>
      <w:r w:rsidRPr="003423DD">
        <w:rPr>
          <w:b/>
          <w:sz w:val="24"/>
        </w:rPr>
        <w:t xml:space="preserve"> Methodology </w:t>
      </w:r>
      <w:r>
        <w:rPr>
          <w:b/>
          <w:sz w:val="24"/>
        </w:rPr>
        <w:t xml:space="preserve">Effective Parameters Report </w:t>
      </w:r>
      <w:r w:rsidR="00841DD3">
        <w:rPr>
          <w:b/>
          <w:sz w:val="24"/>
        </w:rPr>
        <w:t xml:space="preserve"> </w:t>
      </w:r>
    </w:p>
    <w:p w14:paraId="438897F9" w14:textId="77777777" w:rsidR="00841DD3" w:rsidRDefault="00841DD3"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Pr>
          <w:b/>
          <w:sz w:val="24"/>
        </w:rPr>
        <w:t>IV. Simplified Methodology Plan and Policy Report</w:t>
      </w:r>
      <w:r w:rsidRPr="00E614D2">
        <w:rPr>
          <w:b/>
          <w:sz w:val="24"/>
        </w:rPr>
        <w:t xml:space="preserve"> </w:t>
      </w:r>
    </w:p>
    <w:p w14:paraId="6A3B164D" w14:textId="77777777" w:rsidR="00661422" w:rsidRDefault="00661422"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7D388EC" w14:textId="77777777" w:rsidR="00A12ABC" w:rsidRDefault="00B145D1" w:rsidP="00A4414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Only </w:t>
      </w:r>
      <w:r w:rsidR="00762967">
        <w:rPr>
          <w:sz w:val="24"/>
        </w:rPr>
        <w:t xml:space="preserve">QHP </w:t>
      </w:r>
      <w:r>
        <w:rPr>
          <w:sz w:val="24"/>
        </w:rPr>
        <w:t>issuers that sele</w:t>
      </w:r>
      <w:r w:rsidR="005D54F5">
        <w:rPr>
          <w:sz w:val="24"/>
        </w:rPr>
        <w:t xml:space="preserve">cted the simplified methodology </w:t>
      </w:r>
      <w:r w:rsidR="00A12ABC">
        <w:rPr>
          <w:sz w:val="24"/>
        </w:rPr>
        <w:t xml:space="preserve">and whose associated standard plan meets the credibility standard established in </w:t>
      </w:r>
      <w:r w:rsidR="00A12ABC" w:rsidRPr="00421B2F">
        <w:rPr>
          <w:sz w:val="24"/>
        </w:rPr>
        <w:t>§</w:t>
      </w:r>
      <w:r w:rsidR="00A12ABC">
        <w:rPr>
          <w:sz w:val="24"/>
        </w:rPr>
        <w:t>156.430(c)(4)(iv</w:t>
      </w:r>
      <w:r w:rsidR="000B4B76">
        <w:rPr>
          <w:sz w:val="24"/>
        </w:rPr>
        <w:t>)</w:t>
      </w:r>
      <w:r w:rsidR="00A12ABC">
        <w:rPr>
          <w:sz w:val="24"/>
        </w:rPr>
        <w:t xml:space="preserve"> are required to </w:t>
      </w:r>
      <w:r>
        <w:rPr>
          <w:sz w:val="24"/>
        </w:rPr>
        <w:t xml:space="preserve">complete </w:t>
      </w:r>
      <w:r w:rsidR="00841DD3">
        <w:rPr>
          <w:sz w:val="24"/>
        </w:rPr>
        <w:t xml:space="preserve">Sections III and IV </w:t>
      </w:r>
      <w:r w:rsidR="00E836FD">
        <w:rPr>
          <w:sz w:val="24"/>
        </w:rPr>
        <w:t xml:space="preserve">of the CSR Reconciliation Data </w:t>
      </w:r>
      <w:r w:rsidR="003A71AC">
        <w:rPr>
          <w:sz w:val="24"/>
        </w:rPr>
        <w:t>Reports</w:t>
      </w:r>
      <w:r>
        <w:rPr>
          <w:sz w:val="24"/>
        </w:rPr>
        <w:t>.</w:t>
      </w:r>
      <w:r w:rsidR="009321FD">
        <w:rPr>
          <w:sz w:val="24"/>
        </w:rPr>
        <w:t xml:space="preserve"> </w:t>
      </w:r>
      <w:r w:rsidR="00DC39D3">
        <w:rPr>
          <w:sz w:val="24"/>
        </w:rPr>
        <w:t>The simplified</w:t>
      </w:r>
      <w:r w:rsidR="0015156F">
        <w:rPr>
          <w:sz w:val="24"/>
        </w:rPr>
        <w:t xml:space="preserve"> method</w:t>
      </w:r>
      <w:r w:rsidR="00DC39D3">
        <w:rPr>
          <w:sz w:val="24"/>
        </w:rPr>
        <w:t>ology</w:t>
      </w:r>
      <w:r w:rsidR="0015156F">
        <w:rPr>
          <w:sz w:val="24"/>
        </w:rPr>
        <w:t xml:space="preserve"> may be use</w:t>
      </w:r>
      <w:r w:rsidR="00DC39D3">
        <w:rPr>
          <w:sz w:val="24"/>
        </w:rPr>
        <w:t xml:space="preserve">d </w:t>
      </w:r>
      <w:r w:rsidR="00266B57">
        <w:rPr>
          <w:sz w:val="24"/>
        </w:rPr>
        <w:t xml:space="preserve">to reconcile advance payments received </w:t>
      </w:r>
      <w:r w:rsidR="0015156F">
        <w:rPr>
          <w:sz w:val="24"/>
        </w:rPr>
        <w:t xml:space="preserve">for benefit years 2014, 2015, and 2016, and only </w:t>
      </w:r>
      <w:r w:rsidR="00871879">
        <w:rPr>
          <w:sz w:val="24"/>
        </w:rPr>
        <w:t>by issuers that selected it beginning in</w:t>
      </w:r>
      <w:r w:rsidR="0015156F">
        <w:rPr>
          <w:sz w:val="24"/>
        </w:rPr>
        <w:t xml:space="preserve"> the initial year.</w:t>
      </w:r>
    </w:p>
    <w:p w14:paraId="0938B6BB" w14:textId="77777777" w:rsidR="00CC4366" w:rsidRPr="00157043" w:rsidRDefault="00CC4366" w:rsidP="00A4414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p>
    <w:p w14:paraId="5FC6D41C" w14:textId="77777777" w:rsidR="00E8734E" w:rsidRDefault="00A12ABC" w:rsidP="00841DD3">
      <w:pPr>
        <w:widowControl/>
        <w:ind w:firstLine="288"/>
        <w:rPr>
          <w:sz w:val="24"/>
        </w:rPr>
      </w:pPr>
      <w:r w:rsidRPr="00157043">
        <w:rPr>
          <w:sz w:val="24"/>
        </w:rPr>
        <w:t>The simplified</w:t>
      </w:r>
      <w:r w:rsidR="006A0026" w:rsidRPr="00157043">
        <w:rPr>
          <w:sz w:val="24"/>
        </w:rPr>
        <w:t xml:space="preserve"> methodology requires QHP issuers to estimate cost sharing for the standard plan </w:t>
      </w:r>
      <w:r w:rsidRPr="00157043">
        <w:rPr>
          <w:sz w:val="24"/>
        </w:rPr>
        <w:t xml:space="preserve">associated with each plan variation </w:t>
      </w:r>
      <w:r w:rsidR="00A814C3" w:rsidRPr="00157043">
        <w:rPr>
          <w:sz w:val="24"/>
        </w:rPr>
        <w:t xml:space="preserve">in part by </w:t>
      </w:r>
      <w:r w:rsidR="006A0026" w:rsidRPr="00157043">
        <w:rPr>
          <w:sz w:val="24"/>
        </w:rPr>
        <w:t xml:space="preserve">developing a set of parameters from </w:t>
      </w:r>
      <w:r w:rsidR="006A0026" w:rsidRPr="00627432">
        <w:rPr>
          <w:sz w:val="24"/>
        </w:rPr>
        <w:t>the</w:t>
      </w:r>
      <w:r w:rsidR="006A0026">
        <w:rPr>
          <w:sz w:val="24"/>
        </w:rPr>
        <w:t xml:space="preserve"> claims population for that standard plan for the year</w:t>
      </w:r>
      <w:r w:rsidR="006A0026" w:rsidRPr="00DC39D3">
        <w:rPr>
          <w:sz w:val="24"/>
        </w:rPr>
        <w:t>. For</w:t>
      </w:r>
      <w:r w:rsidR="009C151B" w:rsidRPr="00DC39D3">
        <w:rPr>
          <w:sz w:val="24"/>
        </w:rPr>
        <w:t xml:space="preserve"> these</w:t>
      </w:r>
      <w:r w:rsidR="005828FF" w:rsidRPr="00DC39D3">
        <w:rPr>
          <w:sz w:val="24"/>
        </w:rPr>
        <w:t xml:space="preserve"> </w:t>
      </w:r>
      <w:r w:rsidR="00A4414C" w:rsidRPr="00DC39D3">
        <w:rPr>
          <w:sz w:val="24"/>
        </w:rPr>
        <w:t>calculation</w:t>
      </w:r>
      <w:r w:rsidR="005828FF" w:rsidRPr="00DC39D3">
        <w:rPr>
          <w:sz w:val="24"/>
        </w:rPr>
        <w:t>s</w:t>
      </w:r>
      <w:r w:rsidR="00A4414C" w:rsidRPr="00DC39D3">
        <w:rPr>
          <w:sz w:val="24"/>
        </w:rPr>
        <w:t xml:space="preserve"> to be meaningful</w:t>
      </w:r>
      <w:r w:rsidR="006A0026" w:rsidRPr="00DC39D3">
        <w:rPr>
          <w:sz w:val="24"/>
        </w:rPr>
        <w:t>, the standard plan would need to have at least 1</w:t>
      </w:r>
      <w:r w:rsidR="009C151B" w:rsidRPr="00DC39D3">
        <w:rPr>
          <w:sz w:val="24"/>
        </w:rPr>
        <w:t>2,000 member months each year</w:t>
      </w:r>
      <w:r w:rsidR="00A814C3" w:rsidRPr="00DC39D3">
        <w:rPr>
          <w:sz w:val="24"/>
        </w:rPr>
        <w:t>, in and out of the Exchange</w:t>
      </w:r>
      <w:r w:rsidR="009C151B" w:rsidRPr="00DC39D3">
        <w:rPr>
          <w:sz w:val="24"/>
        </w:rPr>
        <w:t xml:space="preserve">. </w:t>
      </w:r>
      <w:r w:rsidR="00841DD3" w:rsidRPr="00DC39D3">
        <w:rPr>
          <w:sz w:val="24"/>
        </w:rPr>
        <w:t>S</w:t>
      </w:r>
      <w:r w:rsidR="00135616" w:rsidRPr="00DC39D3">
        <w:rPr>
          <w:sz w:val="24"/>
        </w:rPr>
        <w:t xml:space="preserve">ection </w:t>
      </w:r>
      <w:r w:rsidR="00841DD3" w:rsidRPr="00DC39D3">
        <w:rPr>
          <w:sz w:val="24"/>
        </w:rPr>
        <w:t xml:space="preserve">III of this </w:t>
      </w:r>
      <w:r w:rsidR="003A71AC">
        <w:rPr>
          <w:sz w:val="24"/>
        </w:rPr>
        <w:t>report</w:t>
      </w:r>
      <w:r w:rsidR="003A71AC" w:rsidRPr="00DC39D3">
        <w:rPr>
          <w:sz w:val="24"/>
        </w:rPr>
        <w:t xml:space="preserve"> </w:t>
      </w:r>
      <w:r w:rsidR="00135616" w:rsidRPr="00DC39D3">
        <w:rPr>
          <w:sz w:val="24"/>
        </w:rPr>
        <w:t>would requir</w:t>
      </w:r>
      <w:r w:rsidR="00DC39D3">
        <w:rPr>
          <w:sz w:val="24"/>
        </w:rPr>
        <w:t>e issuers to submit formulas in accord with</w:t>
      </w:r>
      <w:r w:rsidR="00627432" w:rsidRPr="00DC39D3">
        <w:rPr>
          <w:sz w:val="24"/>
        </w:rPr>
        <w:t xml:space="preserve"> 45 CFR 156.430</w:t>
      </w:r>
      <w:r w:rsidR="00135616" w:rsidRPr="00DC39D3">
        <w:rPr>
          <w:sz w:val="24"/>
        </w:rPr>
        <w:t>(c)(4)(iii)(A)-(</w:t>
      </w:r>
      <w:r w:rsidR="00135616">
        <w:rPr>
          <w:sz w:val="24"/>
        </w:rPr>
        <w:t>D) for</w:t>
      </w:r>
      <w:r w:rsidR="001952AF">
        <w:rPr>
          <w:sz w:val="24"/>
        </w:rPr>
        <w:t xml:space="preserve"> </w:t>
      </w:r>
      <w:r w:rsidR="00627432">
        <w:rPr>
          <w:sz w:val="24"/>
        </w:rPr>
        <w:t>four cost sharing parameters</w:t>
      </w:r>
      <w:r w:rsidR="001952AF">
        <w:rPr>
          <w:sz w:val="24"/>
        </w:rPr>
        <w:t>: the effective deductible, the effective pre-deductible coinsurance rate, the effective post-deductible coinsurance rate, a</w:t>
      </w:r>
      <w:r w:rsidR="00627432">
        <w:rPr>
          <w:sz w:val="24"/>
        </w:rPr>
        <w:t>nd the effective claims ceiling</w:t>
      </w:r>
      <w:r w:rsidR="00627432" w:rsidRPr="00FE73F7">
        <w:rPr>
          <w:sz w:val="24"/>
        </w:rPr>
        <w:t>,</w:t>
      </w:r>
      <w:r w:rsidR="001952AF" w:rsidRPr="00FE73F7">
        <w:rPr>
          <w:sz w:val="24"/>
        </w:rPr>
        <w:t xml:space="preserve"> for each standard plan, for </w:t>
      </w:r>
      <w:r w:rsidR="001952AF">
        <w:rPr>
          <w:sz w:val="24"/>
        </w:rPr>
        <w:t>both self-on</w:t>
      </w:r>
      <w:r w:rsidR="00A814C3">
        <w:rPr>
          <w:sz w:val="24"/>
        </w:rPr>
        <w:t>ly coverage and other than self-</w:t>
      </w:r>
      <w:r w:rsidR="001952AF">
        <w:rPr>
          <w:sz w:val="24"/>
        </w:rPr>
        <w:t>only coverage</w:t>
      </w:r>
      <w:r w:rsidR="00627432">
        <w:rPr>
          <w:sz w:val="24"/>
        </w:rPr>
        <w:t>.</w:t>
      </w:r>
      <w:r w:rsidR="00841DD3">
        <w:rPr>
          <w:sz w:val="24"/>
        </w:rPr>
        <w:t xml:space="preserve"> S</w:t>
      </w:r>
      <w:r w:rsidR="00135616">
        <w:rPr>
          <w:sz w:val="24"/>
        </w:rPr>
        <w:t>ection</w:t>
      </w:r>
      <w:r w:rsidR="00E836FD">
        <w:rPr>
          <w:sz w:val="24"/>
        </w:rPr>
        <w:t xml:space="preserve"> </w:t>
      </w:r>
      <w:r w:rsidR="00841DD3">
        <w:rPr>
          <w:sz w:val="24"/>
        </w:rPr>
        <w:t xml:space="preserve">III also </w:t>
      </w:r>
      <w:r w:rsidR="009C151B">
        <w:rPr>
          <w:sz w:val="24"/>
        </w:rPr>
        <w:t xml:space="preserve">requires </w:t>
      </w:r>
      <w:r w:rsidR="009C151B" w:rsidRPr="008A045C">
        <w:rPr>
          <w:sz w:val="24"/>
        </w:rPr>
        <w:t>issuer</w:t>
      </w:r>
      <w:r w:rsidR="00E836FD" w:rsidRPr="008A045C">
        <w:rPr>
          <w:sz w:val="24"/>
        </w:rPr>
        <w:t>s to provide</w:t>
      </w:r>
      <w:r w:rsidR="009C151B" w:rsidRPr="008A045C">
        <w:rPr>
          <w:sz w:val="24"/>
        </w:rPr>
        <w:t xml:space="preserve"> plan variation level information that describes</w:t>
      </w:r>
      <w:r w:rsidR="005828FF" w:rsidRPr="008A045C">
        <w:rPr>
          <w:sz w:val="24"/>
        </w:rPr>
        <w:t xml:space="preserve"> </w:t>
      </w:r>
      <w:r w:rsidR="005828FF" w:rsidRPr="00B8008E">
        <w:rPr>
          <w:sz w:val="24"/>
        </w:rPr>
        <w:t>whether the plan has</w:t>
      </w:r>
      <w:r w:rsidR="005828FF" w:rsidRPr="008A045C">
        <w:rPr>
          <w:sz w:val="24"/>
        </w:rPr>
        <w:t xml:space="preserve"> separate cost-sharing parameters for self only and other than self, and for medical and pharmaceutical services</w:t>
      </w:r>
      <w:r w:rsidR="005F595E">
        <w:rPr>
          <w:sz w:val="24"/>
        </w:rPr>
        <w:t>. Issuers also must provide this information for HMO-like plans</w:t>
      </w:r>
      <w:r w:rsidR="00841D1E" w:rsidRPr="008A045C">
        <w:rPr>
          <w:sz w:val="24"/>
        </w:rPr>
        <w:t xml:space="preserve"> </w:t>
      </w:r>
      <w:r w:rsidR="005F595E">
        <w:rPr>
          <w:sz w:val="24"/>
        </w:rPr>
        <w:t>where</w:t>
      </w:r>
      <w:r w:rsidR="005828FF" w:rsidRPr="008A045C">
        <w:rPr>
          <w:sz w:val="24"/>
        </w:rPr>
        <w:t xml:space="preserve"> 80 percent </w:t>
      </w:r>
      <w:r w:rsidR="005F595E">
        <w:rPr>
          <w:sz w:val="24"/>
        </w:rPr>
        <w:t xml:space="preserve">or more </w:t>
      </w:r>
      <w:r w:rsidR="005828FF" w:rsidRPr="008A045C">
        <w:rPr>
          <w:sz w:val="24"/>
        </w:rPr>
        <w:t>of</w:t>
      </w:r>
      <w:r w:rsidR="005828FF">
        <w:rPr>
          <w:sz w:val="24"/>
        </w:rPr>
        <w:t xml:space="preserve"> the total allowed costs for </w:t>
      </w:r>
      <w:r w:rsidR="00E8734E">
        <w:rPr>
          <w:sz w:val="24"/>
        </w:rPr>
        <w:t xml:space="preserve">EHB under a standard plan </w:t>
      </w:r>
      <w:r w:rsidR="005F595E">
        <w:rPr>
          <w:sz w:val="24"/>
        </w:rPr>
        <w:t xml:space="preserve">are not subject to the deductible, since these require </w:t>
      </w:r>
      <w:r w:rsidR="00E8734E">
        <w:rPr>
          <w:sz w:val="24"/>
        </w:rPr>
        <w:t>a sep</w:t>
      </w:r>
      <w:r w:rsidR="005F595E">
        <w:rPr>
          <w:sz w:val="24"/>
        </w:rPr>
        <w:t>a</w:t>
      </w:r>
      <w:r w:rsidR="00E8734E">
        <w:rPr>
          <w:sz w:val="24"/>
        </w:rPr>
        <w:t>rate set of effective cost sharing parameters</w:t>
      </w:r>
      <w:r w:rsidR="005F595E">
        <w:rPr>
          <w:sz w:val="24"/>
        </w:rPr>
        <w:t>.</w:t>
      </w:r>
      <w:r w:rsidR="00E8734E">
        <w:rPr>
          <w:sz w:val="24"/>
        </w:rPr>
        <w:t xml:space="preserve"> </w:t>
      </w:r>
    </w:p>
    <w:p w14:paraId="69C42E81" w14:textId="77777777" w:rsidR="00CC4366" w:rsidRDefault="00CC4366" w:rsidP="00841DD3">
      <w:pPr>
        <w:widowControl/>
        <w:ind w:firstLine="288"/>
        <w:rPr>
          <w:sz w:val="24"/>
        </w:rPr>
      </w:pPr>
    </w:p>
    <w:p w14:paraId="26390021" w14:textId="77777777" w:rsidR="009520DC" w:rsidRDefault="00841DD3" w:rsidP="009520DC">
      <w:pPr>
        <w:pStyle w:val="ColorfulList-Accent11"/>
        <w:ind w:left="0" w:firstLine="360"/>
        <w:rPr>
          <w:sz w:val="24"/>
        </w:rPr>
      </w:pPr>
      <w:r>
        <w:rPr>
          <w:sz w:val="24"/>
        </w:rPr>
        <w:lastRenderedPageBreak/>
        <w:t xml:space="preserve">In Section IV, QHP </w:t>
      </w:r>
      <w:r w:rsidRPr="00CB23BD">
        <w:rPr>
          <w:sz w:val="24"/>
        </w:rPr>
        <w:t>issuers</w:t>
      </w:r>
      <w:r w:rsidR="00CB23BD" w:rsidRPr="00CB23BD">
        <w:rPr>
          <w:sz w:val="24"/>
        </w:rPr>
        <w:t xml:space="preserve"> </w:t>
      </w:r>
      <w:r w:rsidRPr="00CB23BD">
        <w:rPr>
          <w:sz w:val="24"/>
        </w:rPr>
        <w:t>would b</w:t>
      </w:r>
      <w:r w:rsidR="00CB23BD" w:rsidRPr="00CB23BD">
        <w:rPr>
          <w:sz w:val="24"/>
        </w:rPr>
        <w:t>e required to report the amount of cost sharing the enrollee would have paid under the standard plan, as calculated by applying summary cost sharing parameters</w:t>
      </w:r>
      <w:r w:rsidRPr="00CB23BD">
        <w:rPr>
          <w:sz w:val="24"/>
        </w:rPr>
        <w:t xml:space="preserve"> </w:t>
      </w:r>
      <w:r w:rsidR="00CB23BD" w:rsidRPr="00CB23BD">
        <w:rPr>
          <w:sz w:val="24"/>
        </w:rPr>
        <w:t xml:space="preserve">in Section III </w:t>
      </w:r>
      <w:r w:rsidRPr="00CB23BD">
        <w:rPr>
          <w:sz w:val="24"/>
        </w:rPr>
        <w:t>to plan variation policy claims</w:t>
      </w:r>
      <w:r>
        <w:rPr>
          <w:sz w:val="24"/>
        </w:rPr>
        <w:t xml:space="preserve"> data</w:t>
      </w:r>
      <w:r w:rsidR="00CB23BD">
        <w:rPr>
          <w:sz w:val="24"/>
        </w:rPr>
        <w:t xml:space="preserve">. </w:t>
      </w:r>
      <w:r w:rsidR="00DC39D3">
        <w:rPr>
          <w:sz w:val="24"/>
        </w:rPr>
        <w:t>I</w:t>
      </w:r>
      <w:r w:rsidRPr="00137FD4">
        <w:rPr>
          <w:sz w:val="24"/>
        </w:rPr>
        <w:t>ssuers</w:t>
      </w:r>
      <w:r>
        <w:rPr>
          <w:sz w:val="24"/>
        </w:rPr>
        <w:t xml:space="preserve"> would </w:t>
      </w:r>
      <w:r w:rsidR="003A71AC">
        <w:rPr>
          <w:sz w:val="24"/>
        </w:rPr>
        <w:t xml:space="preserve">report </w:t>
      </w:r>
      <w:r>
        <w:rPr>
          <w:sz w:val="24"/>
        </w:rPr>
        <w:t>Level 3 subsection</w:t>
      </w:r>
      <w:r w:rsidR="00DC39D3">
        <w:rPr>
          <w:sz w:val="24"/>
        </w:rPr>
        <w:t>s</w:t>
      </w:r>
      <w:r>
        <w:rPr>
          <w:sz w:val="24"/>
        </w:rPr>
        <w:t xml:space="preserve"> </w:t>
      </w:r>
      <w:r w:rsidR="00DC39D3">
        <w:rPr>
          <w:sz w:val="24"/>
        </w:rPr>
        <w:t>depending on whether the policy is self only or other than self only, and whether it falls under formulas A, B, or C</w:t>
      </w:r>
      <w:r>
        <w:rPr>
          <w:sz w:val="24"/>
        </w:rPr>
        <w:t xml:space="preserve">. </w:t>
      </w:r>
      <w:r w:rsidR="009520DC">
        <w:rPr>
          <w:sz w:val="24"/>
        </w:rPr>
        <w:t xml:space="preserve">Additionally, for each QHP, issuers would </w:t>
      </w:r>
      <w:r w:rsidR="00EA52EF">
        <w:rPr>
          <w:sz w:val="24"/>
        </w:rPr>
        <w:t xml:space="preserve">report </w:t>
      </w:r>
      <w:r w:rsidR="009520DC">
        <w:rPr>
          <w:sz w:val="24"/>
        </w:rPr>
        <w:t>the aggregate amount of annual premium, allowed costs for EHB, actual amounts paid by the issuer for EHB, actual amounts paid by enrollees for EHB, and the total value of CSR provided.</w:t>
      </w:r>
    </w:p>
    <w:p w14:paraId="73C6AFBA" w14:textId="77777777" w:rsidR="00841DD3" w:rsidRDefault="00841DD3" w:rsidP="00CB23BD">
      <w:pPr>
        <w:pStyle w:val="ColorfulList-Accent11"/>
        <w:ind w:left="0" w:firstLine="360"/>
        <w:rPr>
          <w:sz w:val="24"/>
        </w:rPr>
      </w:pPr>
    </w:p>
    <w:p w14:paraId="28506630" w14:textId="77777777" w:rsidR="00841DD3" w:rsidRDefault="00DD593F" w:rsidP="00B51E87">
      <w:pPr>
        <w:pStyle w:val="ColorfulList-Accent11"/>
        <w:ind w:left="0" w:firstLine="360"/>
        <w:rPr>
          <w:sz w:val="24"/>
        </w:rPr>
      </w:pPr>
      <w:r w:rsidRPr="005B2E1E">
        <w:rPr>
          <w:sz w:val="24"/>
        </w:rPr>
        <w:t xml:space="preserve">As noted above, we separately estimate capital costs related to data extraction required </w:t>
      </w:r>
      <w:proofErr w:type="gramStart"/>
      <w:r w:rsidRPr="005B2E1E">
        <w:rPr>
          <w:sz w:val="24"/>
        </w:rPr>
        <w:t>to</w:t>
      </w:r>
      <w:r w:rsidR="00B31FBC">
        <w:rPr>
          <w:sz w:val="24"/>
        </w:rPr>
        <w:t xml:space="preserve"> </w:t>
      </w:r>
      <w:r w:rsidRPr="005B2E1E">
        <w:rPr>
          <w:sz w:val="24"/>
        </w:rPr>
        <w:t>complete</w:t>
      </w:r>
      <w:proofErr w:type="gramEnd"/>
      <w:r w:rsidRPr="005B2E1E">
        <w:rPr>
          <w:sz w:val="24"/>
        </w:rPr>
        <w:t xml:space="preserve"> all sections of the</w:t>
      </w:r>
      <w:r>
        <w:rPr>
          <w:sz w:val="24"/>
        </w:rPr>
        <w:t xml:space="preserve"> file submission, and we assume an automated information system</w:t>
      </w:r>
      <w:r w:rsidRPr="005B2E1E">
        <w:rPr>
          <w:sz w:val="24"/>
        </w:rPr>
        <w:t xml:space="preserve">. Therefore our estimate here is limited to </w:t>
      </w:r>
      <w:r>
        <w:rPr>
          <w:sz w:val="24"/>
        </w:rPr>
        <w:t xml:space="preserve">performing the extraction and </w:t>
      </w:r>
      <w:r w:rsidRPr="005B2E1E">
        <w:rPr>
          <w:sz w:val="24"/>
        </w:rPr>
        <w:t xml:space="preserve">reviewing </w:t>
      </w:r>
      <w:r>
        <w:rPr>
          <w:sz w:val="24"/>
        </w:rPr>
        <w:t xml:space="preserve">the </w:t>
      </w:r>
      <w:r w:rsidRPr="005B2E1E">
        <w:rPr>
          <w:sz w:val="24"/>
        </w:rPr>
        <w:t>data in th</w:t>
      </w:r>
      <w:r>
        <w:rPr>
          <w:sz w:val="24"/>
        </w:rPr>
        <w:t>e file</w:t>
      </w:r>
      <w:r w:rsidRPr="005B2E1E">
        <w:rPr>
          <w:sz w:val="24"/>
        </w:rPr>
        <w:t>.</w:t>
      </w:r>
      <w:r>
        <w:rPr>
          <w:sz w:val="24"/>
        </w:rPr>
        <w:t xml:space="preserve">  </w:t>
      </w:r>
      <w:r w:rsidR="00195119">
        <w:rPr>
          <w:sz w:val="24"/>
        </w:rPr>
        <w:t xml:space="preserve">Approximately </w:t>
      </w:r>
      <w:r w:rsidR="00D520C0">
        <w:rPr>
          <w:sz w:val="24"/>
        </w:rPr>
        <w:t xml:space="preserve">65 </w:t>
      </w:r>
      <w:r w:rsidR="00D520C0" w:rsidRPr="001D7383">
        <w:rPr>
          <w:sz w:val="24"/>
        </w:rPr>
        <w:t xml:space="preserve">percent or </w:t>
      </w:r>
      <w:r w:rsidR="00195119" w:rsidRPr="001D7383">
        <w:rPr>
          <w:sz w:val="24"/>
        </w:rPr>
        <w:t>191</w:t>
      </w:r>
      <w:r w:rsidR="00537D02" w:rsidRPr="001D7383">
        <w:rPr>
          <w:sz w:val="24"/>
        </w:rPr>
        <w:t xml:space="preserve"> </w:t>
      </w:r>
      <w:r w:rsidR="00A26058" w:rsidRPr="001D7383">
        <w:rPr>
          <w:sz w:val="24"/>
        </w:rPr>
        <w:t xml:space="preserve">QHP issuers </w:t>
      </w:r>
      <w:r w:rsidR="00537D02" w:rsidRPr="001D7383">
        <w:rPr>
          <w:sz w:val="24"/>
        </w:rPr>
        <w:t>sel</w:t>
      </w:r>
      <w:r w:rsidR="00195119" w:rsidRPr="001D7383">
        <w:rPr>
          <w:sz w:val="24"/>
        </w:rPr>
        <w:t xml:space="preserve">ected the </w:t>
      </w:r>
      <w:r w:rsidR="00A12ABC" w:rsidRPr="001D7383">
        <w:rPr>
          <w:sz w:val="24"/>
        </w:rPr>
        <w:t>simplified methodology</w:t>
      </w:r>
      <w:r w:rsidR="00D520C0" w:rsidRPr="001D7383">
        <w:rPr>
          <w:sz w:val="24"/>
        </w:rPr>
        <w:t>. However, according to HHS data</w:t>
      </w:r>
      <w:r w:rsidR="002D0568" w:rsidRPr="001D7383">
        <w:rPr>
          <w:sz w:val="24"/>
        </w:rPr>
        <w:t>, of the</w:t>
      </w:r>
      <w:r w:rsidR="00051424">
        <w:rPr>
          <w:sz w:val="24"/>
        </w:rPr>
        <w:t xml:space="preserve"> 2,234</w:t>
      </w:r>
      <w:r w:rsidR="002D0568" w:rsidRPr="001D7383">
        <w:rPr>
          <w:sz w:val="24"/>
        </w:rPr>
        <w:t xml:space="preserve"> standard plans</w:t>
      </w:r>
      <w:r w:rsidR="002D0568">
        <w:rPr>
          <w:sz w:val="24"/>
        </w:rPr>
        <w:t xml:space="preserve"> offered by issuers that chose to report using the simplified methodology, only </w:t>
      </w:r>
      <w:r w:rsidR="00051424">
        <w:rPr>
          <w:sz w:val="24"/>
        </w:rPr>
        <w:t>222</w:t>
      </w:r>
      <w:r w:rsidR="001D7383">
        <w:rPr>
          <w:sz w:val="24"/>
        </w:rPr>
        <w:t xml:space="preserve"> plans or about </w:t>
      </w:r>
      <w:r w:rsidR="00051424">
        <w:rPr>
          <w:sz w:val="24"/>
        </w:rPr>
        <w:t>10</w:t>
      </w:r>
      <w:r w:rsidR="001D7383">
        <w:rPr>
          <w:sz w:val="24"/>
        </w:rPr>
        <w:t xml:space="preserve"> percent</w:t>
      </w:r>
      <w:r w:rsidR="003966AD">
        <w:rPr>
          <w:sz w:val="24"/>
        </w:rPr>
        <w:t xml:space="preserve"> </w:t>
      </w:r>
      <w:r w:rsidR="002D0568">
        <w:rPr>
          <w:sz w:val="24"/>
        </w:rPr>
        <w:t xml:space="preserve">meet the credibility standard required to estimate parameters under this section. </w:t>
      </w:r>
      <w:r w:rsidR="003966AD">
        <w:rPr>
          <w:sz w:val="24"/>
        </w:rPr>
        <w:t xml:space="preserve">Therefore we estimate that each issuer would submit data on, at most, one standard plan </w:t>
      </w:r>
      <w:r w:rsidR="002D3612">
        <w:rPr>
          <w:sz w:val="24"/>
        </w:rPr>
        <w:t xml:space="preserve">and associated plan variation </w:t>
      </w:r>
      <w:r w:rsidR="00B51E87">
        <w:rPr>
          <w:sz w:val="24"/>
        </w:rPr>
        <w:t xml:space="preserve">under Section III. </w:t>
      </w:r>
      <w:r w:rsidR="00841DD3" w:rsidRPr="00B51E87">
        <w:rPr>
          <w:sz w:val="24"/>
        </w:rPr>
        <w:t xml:space="preserve">Assuming </w:t>
      </w:r>
      <w:r w:rsidR="00B51E87">
        <w:rPr>
          <w:sz w:val="24"/>
        </w:rPr>
        <w:t xml:space="preserve">calculations for </w:t>
      </w:r>
      <w:r w:rsidR="00051424">
        <w:rPr>
          <w:sz w:val="24"/>
        </w:rPr>
        <w:t>10</w:t>
      </w:r>
      <w:r w:rsidR="00841DD3" w:rsidRPr="00B51E87">
        <w:rPr>
          <w:sz w:val="24"/>
        </w:rPr>
        <w:t xml:space="preserve"> percent of the remaining 2.6 million policie</w:t>
      </w:r>
      <w:r w:rsidR="00B51E87" w:rsidRPr="00B51E87">
        <w:rPr>
          <w:sz w:val="24"/>
        </w:rPr>
        <w:t>s would be reported under Section IV</w:t>
      </w:r>
      <w:r w:rsidR="00841DD3" w:rsidRPr="00B51E87">
        <w:rPr>
          <w:sz w:val="24"/>
        </w:rPr>
        <w:t xml:space="preserve">, we estimate </w:t>
      </w:r>
      <w:r w:rsidR="00B51E87">
        <w:rPr>
          <w:sz w:val="24"/>
        </w:rPr>
        <w:t>that for Sections III and IV</w:t>
      </w:r>
      <w:r w:rsidR="00B51E87" w:rsidRPr="00B51E87">
        <w:rPr>
          <w:sz w:val="24"/>
        </w:rPr>
        <w:t xml:space="preserve">, </w:t>
      </w:r>
      <w:r w:rsidR="00841DD3" w:rsidRPr="00C36240">
        <w:rPr>
          <w:sz w:val="24"/>
        </w:rPr>
        <w:t xml:space="preserve">issuers would submit data for </w:t>
      </w:r>
      <w:r w:rsidR="00B51E87" w:rsidRPr="00C36240">
        <w:rPr>
          <w:sz w:val="24"/>
        </w:rPr>
        <w:t xml:space="preserve">a total of </w:t>
      </w:r>
      <w:r w:rsidR="00051424" w:rsidRPr="00C36240">
        <w:rPr>
          <w:sz w:val="24"/>
        </w:rPr>
        <w:t>222</w:t>
      </w:r>
      <w:r w:rsidR="00B51E87" w:rsidRPr="00C36240">
        <w:rPr>
          <w:sz w:val="24"/>
        </w:rPr>
        <w:t xml:space="preserve"> standard plans</w:t>
      </w:r>
      <w:r w:rsidR="005E24D7" w:rsidRPr="00C36240">
        <w:rPr>
          <w:sz w:val="24"/>
        </w:rPr>
        <w:t xml:space="preserve">, </w:t>
      </w:r>
      <w:r w:rsidR="00051424" w:rsidRPr="00C36240">
        <w:rPr>
          <w:sz w:val="24"/>
        </w:rPr>
        <w:t>222</w:t>
      </w:r>
      <w:r w:rsidR="005E24D7" w:rsidRPr="00C36240">
        <w:rPr>
          <w:sz w:val="24"/>
        </w:rPr>
        <w:t xml:space="preserve"> plan variations,</w:t>
      </w:r>
      <w:r w:rsidR="00B51E87" w:rsidRPr="00C36240">
        <w:rPr>
          <w:sz w:val="24"/>
        </w:rPr>
        <w:t xml:space="preserve"> and </w:t>
      </w:r>
      <w:r w:rsidR="00051424" w:rsidRPr="00C36240">
        <w:rPr>
          <w:sz w:val="24"/>
        </w:rPr>
        <w:t>260,</w:t>
      </w:r>
      <w:r w:rsidR="005E0736" w:rsidRPr="00C36240">
        <w:rPr>
          <w:sz w:val="24"/>
        </w:rPr>
        <w:t>142</w:t>
      </w:r>
      <w:r w:rsidR="00841DD3" w:rsidRPr="00C36240">
        <w:rPr>
          <w:sz w:val="24"/>
        </w:rPr>
        <w:t xml:space="preserve"> policies</w:t>
      </w:r>
      <w:r w:rsidR="001D2A61" w:rsidRPr="00C36240">
        <w:rPr>
          <w:sz w:val="24"/>
        </w:rPr>
        <w:t xml:space="preserve">. </w:t>
      </w:r>
      <w:r w:rsidR="00841DD3" w:rsidRPr="00C36240">
        <w:rPr>
          <w:sz w:val="24"/>
        </w:rPr>
        <w:t>On average, for each issuer with one standard plan</w:t>
      </w:r>
      <w:r w:rsidR="00B51E87" w:rsidRPr="00C36240">
        <w:rPr>
          <w:sz w:val="24"/>
        </w:rPr>
        <w:t xml:space="preserve">, </w:t>
      </w:r>
      <w:r w:rsidR="001D2A61" w:rsidRPr="00C36240">
        <w:rPr>
          <w:sz w:val="24"/>
        </w:rPr>
        <w:t xml:space="preserve">one </w:t>
      </w:r>
      <w:r w:rsidR="00B51E87" w:rsidRPr="00C36240">
        <w:rPr>
          <w:sz w:val="24"/>
        </w:rPr>
        <w:t>associated plan variation,</w:t>
      </w:r>
      <w:r w:rsidR="00841DD3" w:rsidRPr="00C36240">
        <w:rPr>
          <w:sz w:val="24"/>
        </w:rPr>
        <w:t xml:space="preserve"> and an estimated </w:t>
      </w:r>
      <w:r w:rsidR="00051424" w:rsidRPr="00C36240">
        <w:rPr>
          <w:sz w:val="24"/>
        </w:rPr>
        <w:t>1,</w:t>
      </w:r>
      <w:r w:rsidR="00EC1082" w:rsidRPr="00C36240">
        <w:rPr>
          <w:sz w:val="24"/>
        </w:rPr>
        <w:t>36</w:t>
      </w:r>
      <w:r w:rsidR="005E0736" w:rsidRPr="00C36240">
        <w:rPr>
          <w:sz w:val="24"/>
        </w:rPr>
        <w:t>2</w:t>
      </w:r>
      <w:r w:rsidR="00841DD3" w:rsidRPr="00C36240">
        <w:rPr>
          <w:sz w:val="24"/>
        </w:rPr>
        <w:t xml:space="preserve"> policies</w:t>
      </w:r>
      <w:r w:rsidR="00841DD3" w:rsidRPr="005E0736">
        <w:rPr>
          <w:sz w:val="24"/>
        </w:rPr>
        <w:t>,</w:t>
      </w:r>
      <w:r w:rsidR="00841DD3" w:rsidRPr="00B80B6F">
        <w:rPr>
          <w:sz w:val="24"/>
        </w:rPr>
        <w:t xml:space="preserve"> we estimate it will take </w:t>
      </w:r>
      <w:r w:rsidR="001D2A61">
        <w:rPr>
          <w:sz w:val="24"/>
        </w:rPr>
        <w:t xml:space="preserve">an actuary </w:t>
      </w:r>
      <w:r w:rsidR="00E47CB4">
        <w:rPr>
          <w:sz w:val="24"/>
        </w:rPr>
        <w:t>10</w:t>
      </w:r>
      <w:r w:rsidR="001D2A61">
        <w:rPr>
          <w:sz w:val="24"/>
        </w:rPr>
        <w:t xml:space="preserve"> hours </w:t>
      </w:r>
      <w:r w:rsidR="00D048C2">
        <w:rPr>
          <w:sz w:val="24"/>
        </w:rPr>
        <w:t>(at $69.93</w:t>
      </w:r>
      <w:r w:rsidR="001D2A61">
        <w:rPr>
          <w:sz w:val="24"/>
        </w:rPr>
        <w:t xml:space="preserve"> an hour),</w:t>
      </w:r>
      <w:r w:rsidR="001D2A61" w:rsidRPr="00B51E87">
        <w:rPr>
          <w:sz w:val="24"/>
        </w:rPr>
        <w:t xml:space="preserve"> </w:t>
      </w:r>
      <w:r w:rsidR="00841DD3" w:rsidRPr="00B80B6F">
        <w:rPr>
          <w:sz w:val="24"/>
        </w:rPr>
        <w:t>an</w:t>
      </w:r>
      <w:r w:rsidR="00841DD3">
        <w:rPr>
          <w:sz w:val="24"/>
        </w:rPr>
        <w:t xml:space="preserve"> operations analyst 1</w:t>
      </w:r>
      <w:r w:rsidR="00E47CB4">
        <w:rPr>
          <w:sz w:val="24"/>
        </w:rPr>
        <w:t>0</w:t>
      </w:r>
      <w:r w:rsidR="00841DD3">
        <w:rPr>
          <w:sz w:val="24"/>
        </w:rPr>
        <w:t xml:space="preserve"> hour</w:t>
      </w:r>
      <w:r w:rsidR="00E47CB4">
        <w:rPr>
          <w:sz w:val="24"/>
        </w:rPr>
        <w:t>s</w:t>
      </w:r>
      <w:r w:rsidR="00841DD3">
        <w:rPr>
          <w:sz w:val="24"/>
        </w:rPr>
        <w:t xml:space="preserve"> </w:t>
      </w:r>
      <w:r w:rsidR="00841DD3" w:rsidRPr="00B80B6F">
        <w:rPr>
          <w:sz w:val="24"/>
        </w:rPr>
        <w:t xml:space="preserve">(at an average wage rate of $55 </w:t>
      </w:r>
      <w:r w:rsidR="00841DD3">
        <w:rPr>
          <w:sz w:val="24"/>
        </w:rPr>
        <w:t xml:space="preserve">an hour) and a senior manager </w:t>
      </w:r>
      <w:r w:rsidR="00E47CB4">
        <w:rPr>
          <w:sz w:val="24"/>
        </w:rPr>
        <w:t>5</w:t>
      </w:r>
      <w:r w:rsidR="00D00675">
        <w:rPr>
          <w:sz w:val="24"/>
        </w:rPr>
        <w:t xml:space="preserve"> </w:t>
      </w:r>
      <w:r w:rsidR="00E47CB4">
        <w:rPr>
          <w:sz w:val="24"/>
        </w:rPr>
        <w:t>hours</w:t>
      </w:r>
      <w:r w:rsidR="00841DD3">
        <w:rPr>
          <w:sz w:val="24"/>
        </w:rPr>
        <w:t xml:space="preserve"> </w:t>
      </w:r>
      <w:r w:rsidR="00841DD3" w:rsidRPr="00B80B6F">
        <w:rPr>
          <w:sz w:val="24"/>
        </w:rPr>
        <w:t xml:space="preserve">(at $79.08 an hour) to </w:t>
      </w:r>
      <w:r w:rsidR="00841DD3">
        <w:rPr>
          <w:sz w:val="24"/>
        </w:rPr>
        <w:t>oversee the data submissions required in this section</w:t>
      </w:r>
      <w:r w:rsidR="00D00675">
        <w:rPr>
          <w:sz w:val="24"/>
        </w:rPr>
        <w:t>, for an average per issuer cost of $1,644.70</w:t>
      </w:r>
      <w:r w:rsidR="00841DD3">
        <w:rPr>
          <w:sz w:val="24"/>
        </w:rPr>
        <w:t xml:space="preserve">. </w:t>
      </w:r>
      <w:r w:rsidR="00B51E87">
        <w:rPr>
          <w:sz w:val="24"/>
        </w:rPr>
        <w:t>For 191 issuers, the aggregate hourly burden is</w:t>
      </w:r>
      <w:r w:rsidR="00841DD3" w:rsidRPr="00157043">
        <w:rPr>
          <w:sz w:val="24"/>
        </w:rPr>
        <w:t xml:space="preserve"> </w:t>
      </w:r>
      <w:r w:rsidR="00E47CB4">
        <w:rPr>
          <w:sz w:val="24"/>
        </w:rPr>
        <w:t>4,775</w:t>
      </w:r>
      <w:r w:rsidR="00841DD3" w:rsidRPr="00157043">
        <w:rPr>
          <w:sz w:val="24"/>
        </w:rPr>
        <w:t xml:space="preserve"> hours and the </w:t>
      </w:r>
      <w:r w:rsidR="00B51E87">
        <w:rPr>
          <w:sz w:val="24"/>
        </w:rPr>
        <w:t xml:space="preserve">aggregate </w:t>
      </w:r>
      <w:r w:rsidR="00841DD3" w:rsidRPr="00157043">
        <w:rPr>
          <w:sz w:val="24"/>
        </w:rPr>
        <w:t>wage</w:t>
      </w:r>
      <w:r w:rsidR="00BA4547">
        <w:rPr>
          <w:sz w:val="24"/>
        </w:rPr>
        <w:t xml:space="preserve"> burden</w:t>
      </w:r>
      <w:r w:rsidR="00841DD3" w:rsidRPr="00157043">
        <w:rPr>
          <w:sz w:val="24"/>
        </w:rPr>
        <w:t xml:space="preserve"> is $</w:t>
      </w:r>
      <w:r w:rsidR="009F30CA">
        <w:rPr>
          <w:sz w:val="24"/>
        </w:rPr>
        <w:t>314,137.7</w:t>
      </w:r>
      <w:r w:rsidR="00841DD3" w:rsidRPr="00157043">
        <w:rPr>
          <w:sz w:val="24"/>
        </w:rPr>
        <w:t>.</w:t>
      </w:r>
      <w:r w:rsidR="003A718C">
        <w:rPr>
          <w:sz w:val="24"/>
        </w:rPr>
        <w:t xml:space="preserve"> Since issuers will have already gathered and reported policy level information for this report, we do not anticipate that reporting aggregate plan amounts for each QHP plan would result in any additional burden.</w:t>
      </w:r>
    </w:p>
    <w:p w14:paraId="2F6CFD68" w14:textId="77777777" w:rsidR="00CC4366" w:rsidRDefault="00CC4366" w:rsidP="00B51E87">
      <w:pPr>
        <w:pStyle w:val="ColorfulList-Accent11"/>
        <w:ind w:left="0" w:firstLine="360"/>
        <w:rPr>
          <w:sz w:val="24"/>
        </w:rPr>
      </w:pPr>
    </w:p>
    <w:p w14:paraId="03423A94" w14:textId="77777777" w:rsidR="00BA4547" w:rsidRDefault="00BA4547" w:rsidP="00BA4547">
      <w:pPr>
        <w:ind w:firstLine="360"/>
        <w:rPr>
          <w:sz w:val="24"/>
        </w:rPr>
      </w:pPr>
      <w:r w:rsidRPr="000719BF">
        <w:rPr>
          <w:sz w:val="24"/>
        </w:rPr>
        <w:t xml:space="preserve">We anticipate that fewer issuers will use this method in future years. Assuming that only half of all plan variations reported under this section in the first year would be reported here in subsequent years, we estimate the aggregate cost burden </w:t>
      </w:r>
      <w:r w:rsidR="0013236D">
        <w:rPr>
          <w:sz w:val="24"/>
        </w:rPr>
        <w:t xml:space="preserve">to reconcile advance payments for </w:t>
      </w:r>
      <w:r w:rsidRPr="000719BF">
        <w:rPr>
          <w:sz w:val="24"/>
        </w:rPr>
        <w:t>benefit year 201</w:t>
      </w:r>
      <w:r w:rsidR="000719BF" w:rsidRPr="00276FFD">
        <w:rPr>
          <w:sz w:val="24"/>
        </w:rPr>
        <w:t>6</w:t>
      </w:r>
      <w:r w:rsidR="00493615">
        <w:rPr>
          <w:sz w:val="24"/>
        </w:rPr>
        <w:t xml:space="preserve">, the last benefit year for which </w:t>
      </w:r>
      <w:r w:rsidR="000719BF">
        <w:rPr>
          <w:sz w:val="24"/>
        </w:rPr>
        <w:t>this method may be used,</w:t>
      </w:r>
      <w:r w:rsidRPr="000719BF">
        <w:rPr>
          <w:sz w:val="24"/>
        </w:rPr>
        <w:t xml:space="preserve"> would decline by half.</w:t>
      </w:r>
      <w:r>
        <w:rPr>
          <w:sz w:val="24"/>
        </w:rPr>
        <w:t xml:space="preserve"> </w:t>
      </w:r>
    </w:p>
    <w:p w14:paraId="1ECDF14C" w14:textId="77777777" w:rsidR="002D0568" w:rsidRDefault="002D0568" w:rsidP="00B45FCB">
      <w:pPr>
        <w:rPr>
          <w:b/>
          <w:sz w:val="24"/>
        </w:rPr>
      </w:pPr>
    </w:p>
    <w:p w14:paraId="5DAEA68F" w14:textId="77777777" w:rsidR="00EF2760" w:rsidRDefault="00EF2760" w:rsidP="00EF2760">
      <w:pPr>
        <w:ind w:left="1080" w:hanging="360"/>
        <w:rPr>
          <w:b/>
          <w:sz w:val="24"/>
        </w:rPr>
      </w:pPr>
      <w:r>
        <w:rPr>
          <w:b/>
          <w:sz w:val="24"/>
        </w:rPr>
        <w:t>V</w:t>
      </w:r>
      <w:r w:rsidR="005E3F08">
        <w:rPr>
          <w:b/>
          <w:sz w:val="24"/>
        </w:rPr>
        <w:t xml:space="preserve">.  </w:t>
      </w:r>
      <w:r>
        <w:rPr>
          <w:b/>
          <w:sz w:val="24"/>
        </w:rPr>
        <w:t xml:space="preserve">Simplified </w:t>
      </w:r>
      <w:r w:rsidR="00765762">
        <w:rPr>
          <w:b/>
          <w:sz w:val="24"/>
        </w:rPr>
        <w:t>A</w:t>
      </w:r>
      <w:r w:rsidR="00C97A22">
        <w:rPr>
          <w:b/>
          <w:sz w:val="24"/>
        </w:rPr>
        <w:t xml:space="preserve">ctuarial </w:t>
      </w:r>
      <w:r w:rsidR="00765762">
        <w:rPr>
          <w:b/>
          <w:sz w:val="24"/>
        </w:rPr>
        <w:t>V</w:t>
      </w:r>
      <w:r w:rsidR="00C97A22">
        <w:rPr>
          <w:b/>
          <w:sz w:val="24"/>
        </w:rPr>
        <w:t>alue</w:t>
      </w:r>
      <w:r w:rsidR="00765762">
        <w:rPr>
          <w:b/>
          <w:sz w:val="24"/>
        </w:rPr>
        <w:t xml:space="preserve"> </w:t>
      </w:r>
      <w:r>
        <w:rPr>
          <w:b/>
          <w:sz w:val="24"/>
        </w:rPr>
        <w:t>Methodology Plan and Policy Report</w:t>
      </w:r>
      <w:r w:rsidRPr="00E614D2">
        <w:rPr>
          <w:b/>
          <w:sz w:val="24"/>
        </w:rPr>
        <w:t xml:space="preserve"> </w:t>
      </w:r>
    </w:p>
    <w:p w14:paraId="1038A467" w14:textId="77777777" w:rsidR="005D514B" w:rsidRPr="00E614D2" w:rsidRDefault="005D514B" w:rsidP="005D514B">
      <w:pPr>
        <w:rPr>
          <w:b/>
          <w:sz w:val="24"/>
        </w:rPr>
      </w:pPr>
    </w:p>
    <w:p w14:paraId="6807BED6" w14:textId="77777777" w:rsidR="009628E6" w:rsidRDefault="009628E6" w:rsidP="009628E6">
      <w:pPr>
        <w:pStyle w:val="ColorfulList-Accent11"/>
        <w:ind w:left="0" w:firstLine="360"/>
        <w:rPr>
          <w:sz w:val="24"/>
        </w:rPr>
      </w:pPr>
      <w:r>
        <w:rPr>
          <w:sz w:val="24"/>
        </w:rPr>
        <w:t xml:space="preserve">This section of the </w:t>
      </w:r>
      <w:r w:rsidR="00DD593F">
        <w:rPr>
          <w:sz w:val="24"/>
        </w:rPr>
        <w:t xml:space="preserve">report </w:t>
      </w:r>
      <w:r>
        <w:rPr>
          <w:sz w:val="24"/>
        </w:rPr>
        <w:t xml:space="preserve">must be completed by </w:t>
      </w:r>
      <w:r w:rsidR="00765762">
        <w:rPr>
          <w:sz w:val="24"/>
        </w:rPr>
        <w:t>QHP issuers that selected</w:t>
      </w:r>
      <w:r w:rsidR="00D607CE">
        <w:rPr>
          <w:sz w:val="24"/>
        </w:rPr>
        <w:t xml:space="preserve"> the simplified methodology </w:t>
      </w:r>
      <w:r>
        <w:rPr>
          <w:sz w:val="24"/>
        </w:rPr>
        <w:t xml:space="preserve">to calculate CSRs </w:t>
      </w:r>
      <w:r w:rsidR="00477AC6">
        <w:rPr>
          <w:sz w:val="24"/>
        </w:rPr>
        <w:t xml:space="preserve">but that enrolled fewer </w:t>
      </w:r>
      <w:r w:rsidR="00D607CE">
        <w:rPr>
          <w:sz w:val="24"/>
        </w:rPr>
        <w:t xml:space="preserve">than </w:t>
      </w:r>
      <w:r w:rsidR="00A7738E">
        <w:rPr>
          <w:sz w:val="24"/>
        </w:rPr>
        <w:t xml:space="preserve">12,000 member months </w:t>
      </w:r>
      <w:r w:rsidR="00477AC6">
        <w:rPr>
          <w:sz w:val="24"/>
        </w:rPr>
        <w:t>for a benefit year</w:t>
      </w:r>
      <w:r w:rsidR="00765762">
        <w:rPr>
          <w:sz w:val="24"/>
        </w:rPr>
        <w:t xml:space="preserve"> </w:t>
      </w:r>
      <w:r w:rsidR="00477AC6">
        <w:rPr>
          <w:sz w:val="24"/>
        </w:rPr>
        <w:t>in an associated standard plan</w:t>
      </w:r>
      <w:r w:rsidR="00C97A22">
        <w:rPr>
          <w:sz w:val="24"/>
        </w:rPr>
        <w:t xml:space="preserve">. </w:t>
      </w:r>
    </w:p>
    <w:p w14:paraId="0C30F328" w14:textId="77777777" w:rsidR="009628E6" w:rsidRDefault="00477AC6" w:rsidP="00E1359E">
      <w:pPr>
        <w:pStyle w:val="ColorfulList-Accent11"/>
        <w:ind w:left="0" w:firstLine="360"/>
        <w:rPr>
          <w:sz w:val="24"/>
        </w:rPr>
      </w:pPr>
      <w:r>
        <w:rPr>
          <w:sz w:val="24"/>
        </w:rPr>
        <w:t xml:space="preserve">Under </w:t>
      </w:r>
      <w:r w:rsidR="005068D8" w:rsidRPr="005068D8">
        <w:rPr>
          <w:sz w:val="24"/>
        </w:rPr>
        <w:t>CFR 156.430(c)(4)(v)</w:t>
      </w:r>
      <w:r w:rsidR="001A4398" w:rsidRPr="005068D8">
        <w:rPr>
          <w:sz w:val="24"/>
        </w:rPr>
        <w:t>,</w:t>
      </w:r>
      <w:r w:rsidR="00866942">
        <w:rPr>
          <w:sz w:val="24"/>
        </w:rPr>
        <w:t xml:space="preserve"> </w:t>
      </w:r>
      <w:r>
        <w:rPr>
          <w:sz w:val="24"/>
        </w:rPr>
        <w:t xml:space="preserve">issuers whose </w:t>
      </w:r>
      <w:r w:rsidR="009628E6">
        <w:rPr>
          <w:sz w:val="24"/>
        </w:rPr>
        <w:t xml:space="preserve">standard </w:t>
      </w:r>
      <w:r w:rsidR="00866942">
        <w:rPr>
          <w:sz w:val="24"/>
        </w:rPr>
        <w:t xml:space="preserve">plans </w:t>
      </w:r>
      <w:r>
        <w:rPr>
          <w:sz w:val="24"/>
        </w:rPr>
        <w:t>lack</w:t>
      </w:r>
      <w:r w:rsidR="00866942">
        <w:rPr>
          <w:sz w:val="24"/>
        </w:rPr>
        <w:t xml:space="preserve"> sufficient</w:t>
      </w:r>
      <w:r w:rsidR="001A4398">
        <w:rPr>
          <w:sz w:val="24"/>
        </w:rPr>
        <w:t xml:space="preserve"> enrollment</w:t>
      </w:r>
      <w:r w:rsidR="00866942">
        <w:rPr>
          <w:sz w:val="24"/>
        </w:rPr>
        <w:t xml:space="preserve"> to provide a credible estimate of avera</w:t>
      </w:r>
      <w:r w:rsidR="005068D8">
        <w:rPr>
          <w:sz w:val="24"/>
        </w:rPr>
        <w:t xml:space="preserve">ge claims data </w:t>
      </w:r>
      <w:r w:rsidR="001A4398">
        <w:rPr>
          <w:sz w:val="24"/>
        </w:rPr>
        <w:t xml:space="preserve">must use the standard plan actuarial value from the AV calculator to estimate cost </w:t>
      </w:r>
      <w:r w:rsidR="003805F6">
        <w:rPr>
          <w:sz w:val="24"/>
        </w:rPr>
        <w:t>sharing under the standard plan.</w:t>
      </w:r>
      <w:r w:rsidR="005D514B">
        <w:rPr>
          <w:sz w:val="24"/>
        </w:rPr>
        <w:t xml:space="preserve"> </w:t>
      </w:r>
      <w:r w:rsidR="005B2E1E">
        <w:rPr>
          <w:sz w:val="24"/>
        </w:rPr>
        <w:t>This is calculated as the lesser of the annual limit on cost sharing for the standard plan, or the product of (x) one minus the standard plan’s actuarial value, as calculated under 45 CFR 156.135, and (y) the total allowed cost for EHB.</w:t>
      </w:r>
      <w:r w:rsidR="009520DC">
        <w:rPr>
          <w:sz w:val="24"/>
        </w:rPr>
        <w:t xml:space="preserve"> Additionally, for each QHP, issuers would the aggregate amount of annual premium, allowed costs for EHB, actual amounts paid by the issuer for EHB, actual amounts paid by enrollees for EHB, and the total value of CSR provided.</w:t>
      </w:r>
    </w:p>
    <w:p w14:paraId="4CED1016" w14:textId="77777777" w:rsidR="00CC4366" w:rsidRDefault="00CC4366" w:rsidP="00E1359E">
      <w:pPr>
        <w:pStyle w:val="ColorfulList-Accent11"/>
        <w:ind w:left="0" w:firstLine="360"/>
        <w:rPr>
          <w:sz w:val="24"/>
        </w:rPr>
      </w:pPr>
    </w:p>
    <w:p w14:paraId="3D8EEB91" w14:textId="77777777" w:rsidR="005B2E1E" w:rsidRDefault="005D514B" w:rsidP="00A848E1">
      <w:pPr>
        <w:ind w:firstLine="360"/>
        <w:rPr>
          <w:sz w:val="24"/>
        </w:rPr>
      </w:pPr>
      <w:r>
        <w:rPr>
          <w:sz w:val="24"/>
        </w:rPr>
        <w:t>HHS estimates that 9</w:t>
      </w:r>
      <w:r w:rsidR="00D9589D">
        <w:rPr>
          <w:sz w:val="24"/>
        </w:rPr>
        <w:t>0</w:t>
      </w:r>
      <w:r>
        <w:rPr>
          <w:sz w:val="24"/>
        </w:rPr>
        <w:t xml:space="preserve"> percent </w:t>
      </w:r>
      <w:r w:rsidR="00256B0C">
        <w:rPr>
          <w:sz w:val="24"/>
        </w:rPr>
        <w:t xml:space="preserve">or 2,012 </w:t>
      </w:r>
      <w:r>
        <w:rPr>
          <w:sz w:val="24"/>
        </w:rPr>
        <w:t>standar</w:t>
      </w:r>
      <w:r w:rsidR="009628E6">
        <w:rPr>
          <w:sz w:val="24"/>
        </w:rPr>
        <w:t xml:space="preserve">d plans offered by issuers selecting the </w:t>
      </w:r>
      <w:r>
        <w:rPr>
          <w:sz w:val="24"/>
        </w:rPr>
        <w:lastRenderedPageBreak/>
        <w:t>simplified methodology do n</w:t>
      </w:r>
      <w:r w:rsidR="00DC39D3">
        <w:rPr>
          <w:sz w:val="24"/>
        </w:rPr>
        <w:t>ot meet the threshold required for</w:t>
      </w:r>
      <w:r>
        <w:rPr>
          <w:sz w:val="24"/>
        </w:rPr>
        <w:t xml:space="preserve"> the simplified method and, therefore, to</w:t>
      </w:r>
      <w:r w:rsidR="009628E6">
        <w:rPr>
          <w:sz w:val="24"/>
        </w:rPr>
        <w:t xml:space="preserve"> calculate CSR for </w:t>
      </w:r>
      <w:r>
        <w:rPr>
          <w:sz w:val="24"/>
        </w:rPr>
        <w:t>policies associated with these plans</w:t>
      </w:r>
      <w:r w:rsidR="009628E6">
        <w:rPr>
          <w:sz w:val="24"/>
        </w:rPr>
        <w:t xml:space="preserve">, </w:t>
      </w:r>
      <w:r w:rsidR="00A848E1">
        <w:rPr>
          <w:sz w:val="24"/>
        </w:rPr>
        <w:t xml:space="preserve">these issuers must use the </w:t>
      </w:r>
      <w:r>
        <w:rPr>
          <w:sz w:val="24"/>
        </w:rPr>
        <w:t>simplifi</w:t>
      </w:r>
      <w:r w:rsidR="00A848E1">
        <w:rPr>
          <w:sz w:val="24"/>
        </w:rPr>
        <w:t>ed actuarial value methodology</w:t>
      </w:r>
      <w:r w:rsidR="005B2E1E">
        <w:rPr>
          <w:sz w:val="24"/>
        </w:rPr>
        <w:t xml:space="preserve">. </w:t>
      </w:r>
    </w:p>
    <w:p w14:paraId="2EEFEFC5" w14:textId="77777777" w:rsidR="00CC4366" w:rsidRDefault="00CC4366" w:rsidP="00A848E1">
      <w:pPr>
        <w:ind w:firstLine="360"/>
        <w:rPr>
          <w:sz w:val="24"/>
        </w:rPr>
      </w:pPr>
    </w:p>
    <w:p w14:paraId="45CE2717" w14:textId="77777777" w:rsidR="00A848E1" w:rsidRDefault="009628E6" w:rsidP="00A848E1">
      <w:pPr>
        <w:ind w:firstLine="360"/>
        <w:rPr>
          <w:sz w:val="24"/>
        </w:rPr>
      </w:pPr>
      <w:r>
        <w:rPr>
          <w:sz w:val="24"/>
        </w:rPr>
        <w:t>Assuming 9</w:t>
      </w:r>
      <w:r w:rsidR="00D9589D">
        <w:rPr>
          <w:sz w:val="24"/>
        </w:rPr>
        <w:t>0</w:t>
      </w:r>
      <w:r>
        <w:rPr>
          <w:sz w:val="24"/>
        </w:rPr>
        <w:t xml:space="preserve"> percent of the</w:t>
      </w:r>
      <w:r w:rsidR="00A848E1">
        <w:rPr>
          <w:sz w:val="24"/>
        </w:rPr>
        <w:t xml:space="preserve"> </w:t>
      </w:r>
      <w:r w:rsidR="00C97835">
        <w:rPr>
          <w:sz w:val="24"/>
        </w:rPr>
        <w:t>2.6 million policies to be reconciled under the simplified methodology will</w:t>
      </w:r>
      <w:r w:rsidR="00A848E1">
        <w:rPr>
          <w:sz w:val="24"/>
        </w:rPr>
        <w:t xml:space="preserve"> use the actuarial value </w:t>
      </w:r>
      <w:r w:rsidR="00A848E1" w:rsidRPr="00157043">
        <w:rPr>
          <w:sz w:val="24"/>
        </w:rPr>
        <w:t>methodology</w:t>
      </w:r>
      <w:r w:rsidR="00413A54" w:rsidRPr="00157043">
        <w:rPr>
          <w:sz w:val="24"/>
        </w:rPr>
        <w:t xml:space="preserve"> and complete this section</w:t>
      </w:r>
      <w:r w:rsidRPr="00157043">
        <w:rPr>
          <w:sz w:val="24"/>
        </w:rPr>
        <w:t xml:space="preserve">, we estimate </w:t>
      </w:r>
      <w:r w:rsidR="00396024" w:rsidRPr="00157043">
        <w:rPr>
          <w:sz w:val="24"/>
        </w:rPr>
        <w:t>on average that eac</w:t>
      </w:r>
      <w:r w:rsidR="00413A54" w:rsidRPr="00157043">
        <w:rPr>
          <w:sz w:val="24"/>
        </w:rPr>
        <w:t>h issuer</w:t>
      </w:r>
      <w:r w:rsidR="00396024" w:rsidRPr="00157043">
        <w:rPr>
          <w:sz w:val="24"/>
        </w:rPr>
        <w:t xml:space="preserve"> would submit data for 12,</w:t>
      </w:r>
      <w:r w:rsidR="00D9589D">
        <w:rPr>
          <w:sz w:val="24"/>
        </w:rPr>
        <w:t>251</w:t>
      </w:r>
      <w:r w:rsidR="00396024" w:rsidRPr="00157043">
        <w:rPr>
          <w:sz w:val="24"/>
        </w:rPr>
        <w:t xml:space="preserve"> policies. </w:t>
      </w:r>
      <w:r w:rsidR="00A848E1" w:rsidRPr="00157043">
        <w:rPr>
          <w:sz w:val="24"/>
        </w:rPr>
        <w:t xml:space="preserve">On average, </w:t>
      </w:r>
      <w:r w:rsidR="00396024" w:rsidRPr="00157043">
        <w:rPr>
          <w:sz w:val="24"/>
        </w:rPr>
        <w:t>we estimate</w:t>
      </w:r>
      <w:r w:rsidR="00A848E1" w:rsidRPr="00157043">
        <w:rPr>
          <w:sz w:val="24"/>
        </w:rPr>
        <w:t xml:space="preserve"> </w:t>
      </w:r>
      <w:r w:rsidR="00396024" w:rsidRPr="00157043">
        <w:rPr>
          <w:sz w:val="24"/>
        </w:rPr>
        <w:t xml:space="preserve">it will take an operations analyst 1 hour (at an average wage rate of $55 an hour) and a senior manager 1 hour (at $79.08 an hour) to oversee the data submissions required in this section. </w:t>
      </w:r>
      <w:r w:rsidR="00157043" w:rsidRPr="00157043">
        <w:rPr>
          <w:sz w:val="24"/>
        </w:rPr>
        <w:t>The total burden for 191 QHP issuers is therefore 382 hours</w:t>
      </w:r>
      <w:r w:rsidR="00FE73F7">
        <w:rPr>
          <w:sz w:val="24"/>
        </w:rPr>
        <w:t xml:space="preserve"> and</w:t>
      </w:r>
      <w:r w:rsidR="00157043" w:rsidRPr="00157043">
        <w:rPr>
          <w:sz w:val="24"/>
        </w:rPr>
        <w:t xml:space="preserve"> the aggregated</w:t>
      </w:r>
      <w:r w:rsidR="00FE73F7">
        <w:rPr>
          <w:sz w:val="24"/>
        </w:rPr>
        <w:t xml:space="preserve"> cost burden would</w:t>
      </w:r>
      <w:r w:rsidR="00157043">
        <w:rPr>
          <w:sz w:val="24"/>
        </w:rPr>
        <w:t xml:space="preserve"> be $25,609.20.</w:t>
      </w:r>
      <w:r w:rsidR="003A718C">
        <w:rPr>
          <w:sz w:val="24"/>
        </w:rPr>
        <w:t xml:space="preserve"> Since issuers will have already gathered and reported policy level information for this report, we do not anticipate that reporting aggregate plan amounts for each QHP plan would result in any additional burden.</w:t>
      </w:r>
    </w:p>
    <w:p w14:paraId="10BE84FC" w14:textId="77777777" w:rsidR="00CC4366" w:rsidRDefault="00CC4366" w:rsidP="00A848E1">
      <w:pPr>
        <w:ind w:firstLine="360"/>
        <w:rPr>
          <w:sz w:val="24"/>
        </w:rPr>
      </w:pPr>
    </w:p>
    <w:p w14:paraId="78007309" w14:textId="77777777" w:rsidR="00860DD3" w:rsidRDefault="005B2E1E" w:rsidP="003C036E">
      <w:pPr>
        <w:ind w:firstLine="360"/>
        <w:rPr>
          <w:sz w:val="24"/>
        </w:rPr>
      </w:pPr>
      <w:r w:rsidRPr="00D51CFC">
        <w:rPr>
          <w:sz w:val="24"/>
        </w:rPr>
        <w:t>We anticipate that fewer issuers will use this me</w:t>
      </w:r>
      <w:r w:rsidR="003C036E" w:rsidRPr="00D51CFC">
        <w:rPr>
          <w:sz w:val="24"/>
        </w:rPr>
        <w:t>thod in future years</w:t>
      </w:r>
      <w:r w:rsidRPr="00D51CFC">
        <w:rPr>
          <w:sz w:val="24"/>
        </w:rPr>
        <w:t xml:space="preserve">. </w:t>
      </w:r>
      <w:r w:rsidR="00C82E01" w:rsidRPr="00D51CFC">
        <w:rPr>
          <w:sz w:val="24"/>
        </w:rPr>
        <w:t xml:space="preserve">Assuming </w:t>
      </w:r>
      <w:r w:rsidR="0041459B" w:rsidRPr="00D51CFC">
        <w:rPr>
          <w:sz w:val="24"/>
        </w:rPr>
        <w:t xml:space="preserve">that only </w:t>
      </w:r>
      <w:r w:rsidR="00493615">
        <w:rPr>
          <w:sz w:val="24"/>
        </w:rPr>
        <w:t>5</w:t>
      </w:r>
      <w:r w:rsidR="000719BF">
        <w:rPr>
          <w:sz w:val="24"/>
        </w:rPr>
        <w:t xml:space="preserve"> percent </w:t>
      </w:r>
      <w:r w:rsidR="0041459B" w:rsidRPr="00D51CFC">
        <w:rPr>
          <w:sz w:val="24"/>
        </w:rPr>
        <w:t xml:space="preserve">of all plan variations </w:t>
      </w:r>
      <w:r w:rsidR="003C036E" w:rsidRPr="00265BAC">
        <w:rPr>
          <w:sz w:val="24"/>
        </w:rPr>
        <w:t>reported under</w:t>
      </w:r>
      <w:r w:rsidR="0041459B" w:rsidRPr="00265BAC">
        <w:rPr>
          <w:sz w:val="24"/>
        </w:rPr>
        <w:t xml:space="preserve"> this section</w:t>
      </w:r>
      <w:r w:rsidR="003C036E" w:rsidRPr="00265BAC">
        <w:rPr>
          <w:sz w:val="24"/>
        </w:rPr>
        <w:t xml:space="preserve"> in</w:t>
      </w:r>
      <w:r w:rsidR="00157043" w:rsidRPr="00265BAC">
        <w:rPr>
          <w:sz w:val="24"/>
        </w:rPr>
        <w:t xml:space="preserve"> the first year </w:t>
      </w:r>
      <w:r w:rsidR="003C036E" w:rsidRPr="00265BAC">
        <w:rPr>
          <w:sz w:val="24"/>
        </w:rPr>
        <w:t>would be reported here in subsequent years</w:t>
      </w:r>
      <w:r w:rsidR="0041459B" w:rsidRPr="00265BAC">
        <w:rPr>
          <w:sz w:val="24"/>
        </w:rPr>
        <w:t xml:space="preserve">, </w:t>
      </w:r>
      <w:r w:rsidR="00C82E01" w:rsidRPr="00265BAC">
        <w:rPr>
          <w:sz w:val="24"/>
        </w:rPr>
        <w:t xml:space="preserve">we estimate the aggregate cost burden in benefit years 2015 and 2016 </w:t>
      </w:r>
      <w:r w:rsidR="003C036E" w:rsidRPr="00265BAC">
        <w:rPr>
          <w:sz w:val="24"/>
        </w:rPr>
        <w:t xml:space="preserve">would </w:t>
      </w:r>
      <w:r w:rsidR="00C82E01" w:rsidRPr="00265BAC">
        <w:rPr>
          <w:sz w:val="24"/>
        </w:rPr>
        <w:t>decline b</w:t>
      </w:r>
      <w:r w:rsidR="00C97835" w:rsidRPr="00D92757">
        <w:rPr>
          <w:sz w:val="24"/>
        </w:rPr>
        <w:t xml:space="preserve">y </w:t>
      </w:r>
      <w:r w:rsidR="00493615">
        <w:rPr>
          <w:sz w:val="24"/>
        </w:rPr>
        <w:t>95</w:t>
      </w:r>
      <w:r w:rsidR="000719BF">
        <w:rPr>
          <w:sz w:val="24"/>
        </w:rPr>
        <w:t xml:space="preserve"> percent.</w:t>
      </w:r>
      <w:r w:rsidR="00D51CFC">
        <w:rPr>
          <w:sz w:val="24"/>
        </w:rPr>
        <w:t xml:space="preserve"> </w:t>
      </w:r>
    </w:p>
    <w:p w14:paraId="1C6CEECF" w14:textId="77777777" w:rsidR="00A3750B" w:rsidRDefault="00A3750B" w:rsidP="003C036E">
      <w:pPr>
        <w:ind w:firstLine="360"/>
        <w:rPr>
          <w:sz w:val="24"/>
        </w:rPr>
      </w:pPr>
    </w:p>
    <w:p w14:paraId="6C1444F5" w14:textId="77777777" w:rsidR="002C5544" w:rsidRDefault="002C5544" w:rsidP="003C036E">
      <w:pPr>
        <w:ind w:firstLine="360"/>
        <w:rPr>
          <w:b/>
          <w:sz w:val="24"/>
        </w:rPr>
      </w:pPr>
      <w:r>
        <w:rPr>
          <w:b/>
          <w:sz w:val="24"/>
        </w:rPr>
        <w:t>Aggregate</w:t>
      </w:r>
      <w:r w:rsidRPr="002C5544">
        <w:rPr>
          <w:b/>
          <w:sz w:val="24"/>
        </w:rPr>
        <w:t xml:space="preserve"> burden</w:t>
      </w:r>
    </w:p>
    <w:p w14:paraId="60A66848" w14:textId="77777777" w:rsidR="00EB2987" w:rsidRPr="002C5544" w:rsidRDefault="00EB2987" w:rsidP="003C036E">
      <w:pPr>
        <w:ind w:firstLine="360"/>
        <w:rPr>
          <w:b/>
          <w:sz w:val="24"/>
        </w:rPr>
      </w:pPr>
    </w:p>
    <w:p w14:paraId="0A56120D" w14:textId="062A5251" w:rsidR="00A3750B" w:rsidRDefault="00474E75" w:rsidP="00A3750B">
      <w:pPr>
        <w:ind w:firstLine="360"/>
        <w:rPr>
          <w:sz w:val="24"/>
        </w:rPr>
      </w:pPr>
      <w:r>
        <w:rPr>
          <w:sz w:val="24"/>
        </w:rPr>
        <w:t xml:space="preserve">As noted above, each QHP issuer must complete only two </w:t>
      </w:r>
      <w:r w:rsidR="00DD593F">
        <w:rPr>
          <w:sz w:val="24"/>
        </w:rPr>
        <w:t>reports</w:t>
      </w:r>
      <w:r>
        <w:rPr>
          <w:sz w:val="24"/>
        </w:rPr>
        <w:t xml:space="preserve">: the Issuer Summary Report (Section I) and the </w:t>
      </w:r>
      <w:r w:rsidR="00DD593F">
        <w:rPr>
          <w:sz w:val="24"/>
        </w:rPr>
        <w:t>report</w:t>
      </w:r>
      <w:r>
        <w:rPr>
          <w:sz w:val="24"/>
        </w:rPr>
        <w:t xml:space="preserve"> that corresponds to the</w:t>
      </w:r>
      <w:r w:rsidR="002C5544">
        <w:rPr>
          <w:sz w:val="24"/>
        </w:rPr>
        <w:t>ir</w:t>
      </w:r>
      <w:r>
        <w:rPr>
          <w:sz w:val="24"/>
        </w:rPr>
        <w:t xml:space="preserve"> methodology. </w:t>
      </w:r>
      <w:r w:rsidR="00BA4547">
        <w:rPr>
          <w:sz w:val="24"/>
        </w:rPr>
        <w:t>T</w:t>
      </w:r>
      <w:r w:rsidR="00B60EC1" w:rsidRPr="00BA4547">
        <w:rPr>
          <w:sz w:val="24"/>
        </w:rPr>
        <w:t>he aggregate burden for iss</w:t>
      </w:r>
      <w:r w:rsidR="00BA4547">
        <w:rPr>
          <w:sz w:val="24"/>
        </w:rPr>
        <w:t xml:space="preserve">uers completing </w:t>
      </w:r>
      <w:r w:rsidR="00DD593F">
        <w:rPr>
          <w:sz w:val="24"/>
        </w:rPr>
        <w:t>this file</w:t>
      </w:r>
      <w:r w:rsidR="008F6FAD">
        <w:rPr>
          <w:sz w:val="24"/>
        </w:rPr>
        <w:t xml:space="preserve"> is as follows</w:t>
      </w:r>
      <w:r w:rsidR="009A5289">
        <w:rPr>
          <w:sz w:val="24"/>
        </w:rPr>
        <w:t>:</w:t>
      </w:r>
    </w:p>
    <w:p w14:paraId="4E75B8C0" w14:textId="77777777" w:rsidR="001E0D7D" w:rsidRDefault="001E0D7D" w:rsidP="00276FFD">
      <w:pPr>
        <w:rPr>
          <w:sz w:val="24"/>
        </w:rPr>
      </w:pPr>
    </w:p>
    <w:p w14:paraId="0877BC8B" w14:textId="77777777" w:rsidR="00A3750B" w:rsidRDefault="00A3750B" w:rsidP="00276FFD">
      <w:pPr>
        <w:rPr>
          <w:sz w:val="24"/>
        </w:rPr>
      </w:pPr>
    </w:p>
    <w:p w14:paraId="7488D970" w14:textId="77777777" w:rsidR="00A3750B" w:rsidRDefault="00A3750B" w:rsidP="00276FFD">
      <w:pPr>
        <w:rPr>
          <w:sz w:val="24"/>
        </w:rPr>
      </w:pPr>
    </w:p>
    <w:p w14:paraId="410A9FB0" w14:textId="77777777" w:rsidR="00A3750B" w:rsidRDefault="00A3750B" w:rsidP="00276FFD">
      <w:pPr>
        <w:rPr>
          <w:sz w:val="24"/>
        </w:rPr>
      </w:pPr>
    </w:p>
    <w:p w14:paraId="4F9D0278" w14:textId="77777777" w:rsidR="00A3750B" w:rsidRDefault="00A3750B" w:rsidP="00276FFD">
      <w:pPr>
        <w:rPr>
          <w:sz w:val="24"/>
        </w:rPr>
      </w:pPr>
    </w:p>
    <w:p w14:paraId="5574A623" w14:textId="77777777" w:rsidR="00A3750B" w:rsidRDefault="00A3750B" w:rsidP="00276FFD">
      <w:pPr>
        <w:rPr>
          <w:sz w:val="24"/>
        </w:rPr>
      </w:pPr>
    </w:p>
    <w:p w14:paraId="77165FCF" w14:textId="77777777" w:rsidR="00A3750B" w:rsidRDefault="00A3750B" w:rsidP="00276FFD">
      <w:pPr>
        <w:rPr>
          <w:sz w:val="24"/>
        </w:rPr>
      </w:pPr>
    </w:p>
    <w:p w14:paraId="306672E6" w14:textId="77777777" w:rsidR="00A3750B" w:rsidRDefault="00A3750B" w:rsidP="00276FFD">
      <w:pPr>
        <w:rPr>
          <w:sz w:val="24"/>
        </w:rPr>
      </w:pPr>
    </w:p>
    <w:p w14:paraId="6552AE34" w14:textId="77777777" w:rsidR="00A3750B" w:rsidRDefault="00A3750B" w:rsidP="00276FFD">
      <w:pPr>
        <w:rPr>
          <w:sz w:val="24"/>
        </w:rPr>
      </w:pPr>
    </w:p>
    <w:p w14:paraId="2FF1FA20" w14:textId="77777777" w:rsidR="00A3750B" w:rsidRDefault="00A3750B" w:rsidP="00276FFD">
      <w:pPr>
        <w:rPr>
          <w:sz w:val="24"/>
        </w:rPr>
      </w:pPr>
    </w:p>
    <w:p w14:paraId="7115736A" w14:textId="77777777" w:rsidR="00A3750B" w:rsidRDefault="00A3750B" w:rsidP="00276FFD">
      <w:pPr>
        <w:rPr>
          <w:sz w:val="24"/>
        </w:rPr>
      </w:pPr>
    </w:p>
    <w:p w14:paraId="5EF9A8E2" w14:textId="77777777" w:rsidR="00A3750B" w:rsidRDefault="00A3750B" w:rsidP="00276FFD">
      <w:pPr>
        <w:rPr>
          <w:sz w:val="24"/>
        </w:rPr>
      </w:pPr>
    </w:p>
    <w:p w14:paraId="2AD0DE37" w14:textId="77777777" w:rsidR="00A3750B" w:rsidRDefault="00A3750B" w:rsidP="00276FFD">
      <w:pPr>
        <w:rPr>
          <w:sz w:val="24"/>
        </w:rPr>
      </w:pPr>
    </w:p>
    <w:p w14:paraId="29E99DFA" w14:textId="77777777" w:rsidR="00A3750B" w:rsidRDefault="00A3750B" w:rsidP="00276FFD">
      <w:pPr>
        <w:rPr>
          <w:sz w:val="24"/>
        </w:rPr>
      </w:pPr>
    </w:p>
    <w:p w14:paraId="025E49EE" w14:textId="77777777" w:rsidR="00A3750B" w:rsidRDefault="00A3750B" w:rsidP="00276FFD">
      <w:pPr>
        <w:rPr>
          <w:sz w:val="24"/>
        </w:rPr>
      </w:pPr>
    </w:p>
    <w:p w14:paraId="7646D539" w14:textId="77777777" w:rsidR="00A3750B" w:rsidRDefault="00A3750B" w:rsidP="00276FFD">
      <w:pPr>
        <w:rPr>
          <w:sz w:val="24"/>
        </w:rPr>
      </w:pPr>
    </w:p>
    <w:p w14:paraId="166EDA88" w14:textId="77777777" w:rsidR="00A3750B" w:rsidRDefault="00A3750B" w:rsidP="00276FFD">
      <w:pPr>
        <w:rPr>
          <w:sz w:val="24"/>
        </w:rPr>
      </w:pPr>
    </w:p>
    <w:p w14:paraId="35C25053" w14:textId="77777777" w:rsidR="00A3750B" w:rsidRDefault="00A3750B" w:rsidP="00276FFD">
      <w:pPr>
        <w:rPr>
          <w:sz w:val="24"/>
        </w:rPr>
      </w:pPr>
    </w:p>
    <w:p w14:paraId="7A904D7A" w14:textId="77777777" w:rsidR="00A3750B" w:rsidRDefault="00A3750B" w:rsidP="00276FFD">
      <w:pPr>
        <w:rPr>
          <w:sz w:val="24"/>
        </w:rPr>
      </w:pPr>
    </w:p>
    <w:p w14:paraId="2FCE6AA5" w14:textId="77777777" w:rsidR="00A3750B" w:rsidRDefault="00A3750B" w:rsidP="00276FFD">
      <w:pPr>
        <w:rPr>
          <w:sz w:val="24"/>
        </w:rPr>
      </w:pPr>
    </w:p>
    <w:p w14:paraId="1CDDF976" w14:textId="77777777" w:rsidR="00A3750B" w:rsidRDefault="00A3750B" w:rsidP="00276FFD">
      <w:pPr>
        <w:rPr>
          <w:sz w:val="24"/>
        </w:rPr>
      </w:pPr>
    </w:p>
    <w:p w14:paraId="0AB7DC38" w14:textId="77777777" w:rsidR="00A3750B" w:rsidRDefault="00A3750B" w:rsidP="00276FFD">
      <w:pPr>
        <w:rPr>
          <w:sz w:val="24"/>
        </w:rPr>
      </w:pPr>
    </w:p>
    <w:p w14:paraId="153D83E1" w14:textId="77777777" w:rsidR="001E0D7D" w:rsidRPr="001E0D7D" w:rsidRDefault="001E0D7D" w:rsidP="001E0D7D">
      <w:pPr>
        <w:rPr>
          <w:b/>
          <w:sz w:val="24"/>
        </w:rPr>
      </w:pPr>
      <w:r w:rsidRPr="001E0D7D">
        <w:rPr>
          <w:b/>
          <w:sz w:val="24"/>
        </w:rPr>
        <w:t>12A</w:t>
      </w:r>
      <w:r>
        <w:rPr>
          <w:b/>
          <w:sz w:val="24"/>
        </w:rPr>
        <w:t>.</w:t>
      </w:r>
      <w:r w:rsidRPr="001E0D7D">
        <w:rPr>
          <w:b/>
          <w:sz w:val="24"/>
        </w:rPr>
        <w:t xml:space="preserve"> Estimated Annualized Burden Hours</w:t>
      </w:r>
    </w:p>
    <w:p w14:paraId="73F91851" w14:textId="77777777" w:rsidR="001E0D7D" w:rsidRDefault="001E0D7D" w:rsidP="00D607CE">
      <w:pPr>
        <w:ind w:firstLine="360"/>
        <w:rPr>
          <w:sz w:val="24"/>
        </w:rPr>
      </w:pPr>
    </w:p>
    <w:tbl>
      <w:tblPr>
        <w:tblpPr w:leftFromText="180" w:rightFromText="180" w:vertAnchor="text" w:horzAnchor="margin" w:tblpX="-18" w:tblpY="14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47"/>
        <w:gridCol w:w="1341"/>
        <w:gridCol w:w="1349"/>
        <w:gridCol w:w="1532"/>
        <w:gridCol w:w="1534"/>
        <w:gridCol w:w="1324"/>
        <w:gridCol w:w="993"/>
      </w:tblGrid>
      <w:tr w:rsidR="00D607CE" w:rsidRPr="00E614D2" w14:paraId="73C43687" w14:textId="77777777" w:rsidTr="00C134D0">
        <w:trPr>
          <w:trHeight w:val="1073"/>
          <w:tblHeader/>
        </w:trPr>
        <w:tc>
          <w:tcPr>
            <w:tcW w:w="847" w:type="pct"/>
            <w:shd w:val="clear" w:color="auto" w:fill="auto"/>
          </w:tcPr>
          <w:p w14:paraId="3626C381" w14:textId="77777777" w:rsidR="00D607CE" w:rsidRPr="00E614D2" w:rsidRDefault="00D607CE" w:rsidP="00C134D0">
            <w:pPr>
              <w:ind w:left="-90" w:right="-106"/>
              <w:jc w:val="center"/>
              <w:rPr>
                <w:b/>
                <w:color w:val="000000"/>
                <w:sz w:val="24"/>
              </w:rPr>
            </w:pPr>
            <w:r w:rsidRPr="00A35732">
              <w:rPr>
                <w:b/>
                <w:color w:val="000000"/>
                <w:sz w:val="24"/>
              </w:rPr>
              <w:lastRenderedPageBreak/>
              <w:t>Information Collection Requirement</w:t>
            </w:r>
          </w:p>
        </w:tc>
        <w:tc>
          <w:tcPr>
            <w:tcW w:w="690" w:type="pct"/>
            <w:shd w:val="clear" w:color="auto" w:fill="auto"/>
          </w:tcPr>
          <w:p w14:paraId="0826EAE2" w14:textId="77777777" w:rsidR="00D607CE" w:rsidRPr="00E614D2" w:rsidRDefault="00D607CE" w:rsidP="00C134D0">
            <w:pPr>
              <w:ind w:left="-108" w:right="-141" w:firstLine="18"/>
              <w:jc w:val="center"/>
              <w:rPr>
                <w:b/>
                <w:color w:val="000000"/>
                <w:sz w:val="24"/>
              </w:rPr>
            </w:pPr>
            <w:r w:rsidRPr="00E614D2">
              <w:rPr>
                <w:b/>
                <w:color w:val="000000"/>
                <w:sz w:val="24"/>
              </w:rPr>
              <w:t>Type of Respondent</w:t>
            </w:r>
          </w:p>
        </w:tc>
        <w:tc>
          <w:tcPr>
            <w:tcW w:w="694" w:type="pct"/>
          </w:tcPr>
          <w:p w14:paraId="580D8A5C" w14:textId="77777777" w:rsidR="00D607CE" w:rsidRPr="00E614D2" w:rsidRDefault="00D607CE" w:rsidP="00C134D0">
            <w:pPr>
              <w:jc w:val="center"/>
              <w:rPr>
                <w:b/>
                <w:color w:val="000000"/>
                <w:sz w:val="24"/>
              </w:rPr>
            </w:pPr>
            <w:r>
              <w:rPr>
                <w:b/>
                <w:color w:val="000000"/>
                <w:sz w:val="24"/>
              </w:rPr>
              <w:t>Frequency and Duration</w:t>
            </w:r>
          </w:p>
        </w:tc>
        <w:tc>
          <w:tcPr>
            <w:tcW w:w="788" w:type="pct"/>
          </w:tcPr>
          <w:p w14:paraId="1A81D659" w14:textId="77777777" w:rsidR="00D607CE" w:rsidRPr="00E614D2" w:rsidRDefault="00D607CE" w:rsidP="00C134D0">
            <w:pPr>
              <w:jc w:val="center"/>
              <w:rPr>
                <w:b/>
                <w:color w:val="000000"/>
                <w:sz w:val="24"/>
              </w:rPr>
            </w:pPr>
            <w:r w:rsidRPr="00E614D2">
              <w:rPr>
                <w:b/>
                <w:color w:val="000000"/>
                <w:sz w:val="24"/>
              </w:rPr>
              <w:t>Number of Respondents</w:t>
            </w:r>
          </w:p>
        </w:tc>
        <w:tc>
          <w:tcPr>
            <w:tcW w:w="789" w:type="pct"/>
            <w:shd w:val="clear" w:color="auto" w:fill="auto"/>
          </w:tcPr>
          <w:p w14:paraId="0208CF88" w14:textId="77777777" w:rsidR="00D607CE" w:rsidRPr="00E614D2" w:rsidRDefault="00D607CE" w:rsidP="00C134D0">
            <w:pPr>
              <w:jc w:val="center"/>
              <w:rPr>
                <w:b/>
                <w:color w:val="000000"/>
                <w:sz w:val="24"/>
              </w:rPr>
            </w:pPr>
            <w:r w:rsidRPr="00E614D2">
              <w:rPr>
                <w:b/>
                <w:color w:val="000000"/>
                <w:sz w:val="24"/>
              </w:rPr>
              <w:t>Number of Responses  per Respondent</w:t>
            </w:r>
          </w:p>
        </w:tc>
        <w:tc>
          <w:tcPr>
            <w:tcW w:w="681" w:type="pct"/>
            <w:shd w:val="clear" w:color="auto" w:fill="auto"/>
          </w:tcPr>
          <w:p w14:paraId="270E348D" w14:textId="77777777" w:rsidR="00D607CE" w:rsidRPr="002453E5" w:rsidRDefault="00D607CE" w:rsidP="00C134D0">
            <w:pPr>
              <w:jc w:val="center"/>
              <w:rPr>
                <w:b/>
                <w:color w:val="000000"/>
                <w:sz w:val="24"/>
              </w:rPr>
            </w:pPr>
            <w:r w:rsidRPr="002453E5">
              <w:rPr>
                <w:b/>
                <w:color w:val="000000"/>
                <w:sz w:val="24"/>
              </w:rPr>
              <w:t>Average Burden Hours per Response</w:t>
            </w:r>
          </w:p>
        </w:tc>
        <w:tc>
          <w:tcPr>
            <w:tcW w:w="511" w:type="pct"/>
            <w:shd w:val="clear" w:color="auto" w:fill="auto"/>
          </w:tcPr>
          <w:p w14:paraId="6702DC24" w14:textId="77777777" w:rsidR="00D607CE" w:rsidRPr="00E614D2" w:rsidRDefault="00D607CE" w:rsidP="00C134D0">
            <w:pPr>
              <w:jc w:val="center"/>
              <w:rPr>
                <w:b/>
                <w:color w:val="000000"/>
                <w:sz w:val="24"/>
              </w:rPr>
            </w:pPr>
            <w:r w:rsidRPr="00E614D2">
              <w:rPr>
                <w:b/>
                <w:color w:val="000000"/>
                <w:sz w:val="24"/>
              </w:rPr>
              <w:t>Total Burden Hours</w:t>
            </w:r>
          </w:p>
        </w:tc>
      </w:tr>
      <w:tr w:rsidR="00D607CE" w:rsidRPr="00E614D2" w14:paraId="5CA6ED09" w14:textId="77777777" w:rsidTr="00C134D0">
        <w:trPr>
          <w:trHeight w:val="600"/>
        </w:trPr>
        <w:tc>
          <w:tcPr>
            <w:tcW w:w="847" w:type="pct"/>
            <w:shd w:val="clear" w:color="auto" w:fill="auto"/>
            <w:vAlign w:val="center"/>
          </w:tcPr>
          <w:p w14:paraId="496CD6FF" w14:textId="77777777" w:rsidR="00D607CE" w:rsidRPr="00E614D2" w:rsidRDefault="00D607CE" w:rsidP="00C134D0">
            <w:pPr>
              <w:ind w:left="-90" w:right="-106"/>
              <w:jc w:val="center"/>
              <w:rPr>
                <w:color w:val="000000"/>
                <w:sz w:val="24"/>
              </w:rPr>
            </w:pPr>
            <w:r>
              <w:rPr>
                <w:color w:val="000000"/>
                <w:sz w:val="24"/>
              </w:rPr>
              <w:t>Issuer Summary Report</w:t>
            </w:r>
          </w:p>
        </w:tc>
        <w:tc>
          <w:tcPr>
            <w:tcW w:w="690" w:type="pct"/>
            <w:shd w:val="clear" w:color="auto" w:fill="auto"/>
            <w:noWrap/>
            <w:vAlign w:val="center"/>
          </w:tcPr>
          <w:p w14:paraId="6F80DB83" w14:textId="77777777" w:rsidR="00D607CE" w:rsidRPr="00E614D2" w:rsidRDefault="00D607CE" w:rsidP="00C134D0">
            <w:pPr>
              <w:jc w:val="center"/>
              <w:rPr>
                <w:color w:val="000000"/>
                <w:sz w:val="24"/>
              </w:rPr>
            </w:pPr>
            <w:r>
              <w:rPr>
                <w:color w:val="000000"/>
                <w:sz w:val="24"/>
              </w:rPr>
              <w:t>Issuer</w:t>
            </w:r>
          </w:p>
        </w:tc>
        <w:tc>
          <w:tcPr>
            <w:tcW w:w="694" w:type="pct"/>
            <w:vAlign w:val="center"/>
          </w:tcPr>
          <w:p w14:paraId="3D72197D" w14:textId="77777777" w:rsidR="00D607CE" w:rsidRPr="00E614D2" w:rsidRDefault="00D607CE" w:rsidP="00C134D0">
            <w:pPr>
              <w:jc w:val="center"/>
              <w:rPr>
                <w:color w:val="000000"/>
                <w:sz w:val="24"/>
              </w:rPr>
            </w:pPr>
            <w:r>
              <w:rPr>
                <w:color w:val="000000"/>
                <w:sz w:val="24"/>
              </w:rPr>
              <w:t>Annually, Permanent</w:t>
            </w:r>
          </w:p>
        </w:tc>
        <w:tc>
          <w:tcPr>
            <w:tcW w:w="788" w:type="pct"/>
            <w:vAlign w:val="center"/>
          </w:tcPr>
          <w:p w14:paraId="5D48B5A3" w14:textId="77777777" w:rsidR="00D607CE" w:rsidRPr="00E614D2" w:rsidRDefault="00D607CE" w:rsidP="00C134D0">
            <w:pPr>
              <w:jc w:val="center"/>
              <w:rPr>
                <w:color w:val="000000"/>
                <w:sz w:val="24"/>
              </w:rPr>
            </w:pPr>
            <w:r>
              <w:rPr>
                <w:color w:val="000000"/>
                <w:sz w:val="24"/>
              </w:rPr>
              <w:t>29</w:t>
            </w:r>
            <w:r w:rsidR="00D66380">
              <w:rPr>
                <w:color w:val="000000"/>
                <w:sz w:val="24"/>
              </w:rPr>
              <w:t>6</w:t>
            </w:r>
          </w:p>
        </w:tc>
        <w:tc>
          <w:tcPr>
            <w:tcW w:w="789" w:type="pct"/>
            <w:shd w:val="clear" w:color="auto" w:fill="auto"/>
            <w:noWrap/>
            <w:vAlign w:val="center"/>
          </w:tcPr>
          <w:p w14:paraId="496D1744" w14:textId="77777777" w:rsidR="00D607CE" w:rsidRPr="00E614D2" w:rsidRDefault="00474E75" w:rsidP="00C134D0">
            <w:pPr>
              <w:jc w:val="center"/>
              <w:rPr>
                <w:color w:val="000000"/>
                <w:sz w:val="24"/>
              </w:rPr>
            </w:pPr>
            <w:r>
              <w:rPr>
                <w:color w:val="000000"/>
                <w:sz w:val="24"/>
              </w:rPr>
              <w:t>1</w:t>
            </w:r>
          </w:p>
        </w:tc>
        <w:tc>
          <w:tcPr>
            <w:tcW w:w="681" w:type="pct"/>
            <w:shd w:val="clear" w:color="auto" w:fill="auto"/>
            <w:noWrap/>
            <w:vAlign w:val="center"/>
          </w:tcPr>
          <w:p w14:paraId="79225880" w14:textId="77777777" w:rsidR="00D607CE" w:rsidRPr="00E614D2" w:rsidRDefault="003D360F" w:rsidP="00C134D0">
            <w:pPr>
              <w:jc w:val="center"/>
              <w:rPr>
                <w:color w:val="000000"/>
                <w:sz w:val="24"/>
              </w:rPr>
            </w:pPr>
            <w:r>
              <w:rPr>
                <w:color w:val="000000"/>
                <w:sz w:val="24"/>
              </w:rPr>
              <w:t>.75</w:t>
            </w:r>
          </w:p>
        </w:tc>
        <w:tc>
          <w:tcPr>
            <w:tcW w:w="511" w:type="pct"/>
            <w:shd w:val="clear" w:color="auto" w:fill="auto"/>
            <w:noWrap/>
            <w:vAlign w:val="center"/>
          </w:tcPr>
          <w:p w14:paraId="35AA2DAC" w14:textId="77777777" w:rsidR="00D607CE" w:rsidRPr="00E614D2" w:rsidRDefault="00D66380" w:rsidP="00C134D0">
            <w:pPr>
              <w:jc w:val="center"/>
              <w:rPr>
                <w:color w:val="000000"/>
                <w:sz w:val="24"/>
              </w:rPr>
            </w:pPr>
            <w:r>
              <w:rPr>
                <w:color w:val="000000"/>
                <w:sz w:val="24"/>
              </w:rPr>
              <w:t>222</w:t>
            </w:r>
          </w:p>
        </w:tc>
      </w:tr>
      <w:tr w:rsidR="00D607CE" w:rsidRPr="00E614D2" w14:paraId="34C642A7" w14:textId="77777777" w:rsidTr="00C134D0">
        <w:trPr>
          <w:trHeight w:val="300"/>
        </w:trPr>
        <w:tc>
          <w:tcPr>
            <w:tcW w:w="847" w:type="pct"/>
            <w:shd w:val="clear" w:color="auto" w:fill="auto"/>
            <w:vAlign w:val="center"/>
          </w:tcPr>
          <w:p w14:paraId="0AE04C0A" w14:textId="77777777" w:rsidR="00D607CE" w:rsidRPr="00E614D2" w:rsidRDefault="00D607CE" w:rsidP="00C134D0">
            <w:pPr>
              <w:ind w:left="-90" w:right="-106"/>
              <w:jc w:val="center"/>
              <w:rPr>
                <w:color w:val="000000"/>
                <w:sz w:val="24"/>
              </w:rPr>
            </w:pPr>
            <w:r>
              <w:rPr>
                <w:color w:val="000000"/>
                <w:sz w:val="24"/>
              </w:rPr>
              <w:t xml:space="preserve">Standard Methodology Plan and Policy Report </w:t>
            </w:r>
          </w:p>
        </w:tc>
        <w:tc>
          <w:tcPr>
            <w:tcW w:w="690" w:type="pct"/>
            <w:shd w:val="clear" w:color="auto" w:fill="auto"/>
            <w:noWrap/>
            <w:vAlign w:val="center"/>
          </w:tcPr>
          <w:p w14:paraId="59D1BFF9" w14:textId="77777777" w:rsidR="00D607CE" w:rsidRPr="00E614D2" w:rsidRDefault="00D607CE" w:rsidP="00C134D0">
            <w:pPr>
              <w:jc w:val="center"/>
              <w:rPr>
                <w:color w:val="000000"/>
                <w:sz w:val="24"/>
              </w:rPr>
            </w:pPr>
            <w:r>
              <w:rPr>
                <w:color w:val="000000"/>
                <w:sz w:val="24"/>
              </w:rPr>
              <w:t xml:space="preserve">Issuer </w:t>
            </w:r>
          </w:p>
        </w:tc>
        <w:tc>
          <w:tcPr>
            <w:tcW w:w="694" w:type="pct"/>
            <w:vAlign w:val="center"/>
          </w:tcPr>
          <w:p w14:paraId="5EBE90F7" w14:textId="77777777" w:rsidR="00D607CE" w:rsidRDefault="00D607CE" w:rsidP="00C134D0">
            <w:pPr>
              <w:jc w:val="center"/>
              <w:rPr>
                <w:color w:val="000000"/>
                <w:sz w:val="24"/>
              </w:rPr>
            </w:pPr>
            <w:r>
              <w:rPr>
                <w:color w:val="000000"/>
                <w:sz w:val="24"/>
              </w:rPr>
              <w:t>Annually, Permanent</w:t>
            </w:r>
          </w:p>
        </w:tc>
        <w:tc>
          <w:tcPr>
            <w:tcW w:w="788" w:type="pct"/>
            <w:vAlign w:val="center"/>
          </w:tcPr>
          <w:p w14:paraId="4FCC47F2" w14:textId="77777777" w:rsidR="00D607CE" w:rsidRDefault="00D607CE" w:rsidP="00C134D0">
            <w:pPr>
              <w:jc w:val="center"/>
              <w:rPr>
                <w:color w:val="000000"/>
                <w:sz w:val="24"/>
              </w:rPr>
            </w:pPr>
            <w:r>
              <w:rPr>
                <w:color w:val="000000"/>
                <w:sz w:val="24"/>
              </w:rPr>
              <w:t>104</w:t>
            </w:r>
          </w:p>
        </w:tc>
        <w:tc>
          <w:tcPr>
            <w:tcW w:w="789" w:type="pct"/>
            <w:shd w:val="clear" w:color="auto" w:fill="auto"/>
            <w:noWrap/>
            <w:vAlign w:val="center"/>
          </w:tcPr>
          <w:p w14:paraId="6AF0DE30" w14:textId="77777777" w:rsidR="00D607CE" w:rsidRPr="00E614D2" w:rsidRDefault="00D66380" w:rsidP="00256B0C">
            <w:pPr>
              <w:jc w:val="center"/>
              <w:rPr>
                <w:color w:val="000000"/>
                <w:sz w:val="24"/>
              </w:rPr>
            </w:pPr>
            <w:r>
              <w:rPr>
                <w:color w:val="000000"/>
                <w:sz w:val="24"/>
              </w:rPr>
              <w:t>13,</w:t>
            </w:r>
            <w:r w:rsidR="00256B0C">
              <w:rPr>
                <w:color w:val="000000"/>
                <w:sz w:val="24"/>
              </w:rPr>
              <w:t>461</w:t>
            </w:r>
          </w:p>
        </w:tc>
        <w:tc>
          <w:tcPr>
            <w:tcW w:w="681" w:type="pct"/>
            <w:shd w:val="clear" w:color="auto" w:fill="auto"/>
            <w:noWrap/>
            <w:vAlign w:val="center"/>
          </w:tcPr>
          <w:p w14:paraId="3588B805" w14:textId="77777777" w:rsidR="00D607CE" w:rsidRPr="00E614D2" w:rsidDel="006274E0" w:rsidRDefault="00171ADD" w:rsidP="00A80E32">
            <w:pPr>
              <w:jc w:val="center"/>
              <w:rPr>
                <w:color w:val="000000"/>
                <w:sz w:val="24"/>
              </w:rPr>
            </w:pPr>
            <w:r>
              <w:rPr>
                <w:color w:val="000000"/>
                <w:sz w:val="24"/>
              </w:rPr>
              <w:t>0.</w:t>
            </w:r>
            <w:r w:rsidR="00A80E32">
              <w:rPr>
                <w:color w:val="000000"/>
                <w:sz w:val="24"/>
              </w:rPr>
              <w:t>0011</w:t>
            </w:r>
          </w:p>
        </w:tc>
        <w:tc>
          <w:tcPr>
            <w:tcW w:w="511" w:type="pct"/>
            <w:shd w:val="clear" w:color="auto" w:fill="auto"/>
            <w:noWrap/>
            <w:vAlign w:val="center"/>
          </w:tcPr>
          <w:p w14:paraId="590876E6" w14:textId="77777777" w:rsidR="00D607CE" w:rsidRPr="00E614D2" w:rsidRDefault="00A80E32" w:rsidP="00A80E32">
            <w:pPr>
              <w:jc w:val="center"/>
              <w:rPr>
                <w:color w:val="000000"/>
                <w:sz w:val="24"/>
              </w:rPr>
            </w:pPr>
            <w:r>
              <w:rPr>
                <w:color w:val="000000"/>
                <w:sz w:val="24"/>
              </w:rPr>
              <w:t>1,560</w:t>
            </w:r>
          </w:p>
        </w:tc>
      </w:tr>
      <w:tr w:rsidR="00D607CE" w:rsidRPr="00E614D2" w14:paraId="010B7CFD" w14:textId="77777777" w:rsidTr="00C134D0">
        <w:trPr>
          <w:trHeight w:val="300"/>
        </w:trPr>
        <w:tc>
          <w:tcPr>
            <w:tcW w:w="847" w:type="pct"/>
            <w:shd w:val="clear" w:color="auto" w:fill="auto"/>
            <w:vAlign w:val="center"/>
          </w:tcPr>
          <w:p w14:paraId="34F7C621" w14:textId="77777777" w:rsidR="00D607CE" w:rsidRDefault="00D607CE" w:rsidP="00C134D0">
            <w:pPr>
              <w:ind w:left="-90" w:right="-106"/>
              <w:jc w:val="center"/>
              <w:rPr>
                <w:color w:val="000000"/>
                <w:sz w:val="24"/>
              </w:rPr>
            </w:pPr>
            <w:r>
              <w:rPr>
                <w:color w:val="000000"/>
                <w:sz w:val="24"/>
              </w:rPr>
              <w:t xml:space="preserve">Simplified Methodology </w:t>
            </w:r>
            <w:r w:rsidR="002D3612">
              <w:rPr>
                <w:color w:val="000000"/>
                <w:sz w:val="24"/>
              </w:rPr>
              <w:t>Effective Parameters</w:t>
            </w:r>
            <w:r>
              <w:rPr>
                <w:color w:val="000000"/>
                <w:sz w:val="24"/>
              </w:rPr>
              <w:t xml:space="preserve"> </w:t>
            </w:r>
            <w:r w:rsidR="00FE73F7">
              <w:rPr>
                <w:color w:val="000000"/>
                <w:sz w:val="24"/>
              </w:rPr>
              <w:t>and</w:t>
            </w:r>
            <w:r w:rsidR="000A3DD8">
              <w:rPr>
                <w:color w:val="000000"/>
                <w:sz w:val="24"/>
              </w:rPr>
              <w:t xml:space="preserve"> Plan and Policy Report</w:t>
            </w:r>
            <w:r w:rsidR="00E62C3B">
              <w:rPr>
                <w:color w:val="000000"/>
                <w:sz w:val="24"/>
              </w:rPr>
              <w:t>s</w:t>
            </w:r>
          </w:p>
        </w:tc>
        <w:tc>
          <w:tcPr>
            <w:tcW w:w="690" w:type="pct"/>
            <w:shd w:val="clear" w:color="auto" w:fill="auto"/>
            <w:noWrap/>
            <w:vAlign w:val="center"/>
          </w:tcPr>
          <w:p w14:paraId="2078A214" w14:textId="77777777" w:rsidR="00D607CE" w:rsidRDefault="00D607CE" w:rsidP="00C134D0">
            <w:pPr>
              <w:jc w:val="center"/>
              <w:rPr>
                <w:color w:val="000000"/>
                <w:sz w:val="24"/>
              </w:rPr>
            </w:pPr>
            <w:r>
              <w:rPr>
                <w:color w:val="000000"/>
                <w:sz w:val="24"/>
              </w:rPr>
              <w:t>Issuer</w:t>
            </w:r>
          </w:p>
        </w:tc>
        <w:tc>
          <w:tcPr>
            <w:tcW w:w="694" w:type="pct"/>
            <w:vAlign w:val="center"/>
          </w:tcPr>
          <w:p w14:paraId="4EEE94AF" w14:textId="77777777" w:rsidR="00D607CE" w:rsidRDefault="00D607CE" w:rsidP="00C134D0">
            <w:pPr>
              <w:jc w:val="center"/>
              <w:rPr>
                <w:color w:val="000000"/>
                <w:sz w:val="24"/>
              </w:rPr>
            </w:pPr>
            <w:r>
              <w:rPr>
                <w:color w:val="000000"/>
                <w:sz w:val="24"/>
              </w:rPr>
              <w:t xml:space="preserve">Annually, </w:t>
            </w:r>
            <w:r w:rsidR="004F40EE">
              <w:rPr>
                <w:color w:val="000000"/>
                <w:sz w:val="24"/>
              </w:rPr>
              <w:t>2014,2015,2016 only</w:t>
            </w:r>
          </w:p>
        </w:tc>
        <w:tc>
          <w:tcPr>
            <w:tcW w:w="788" w:type="pct"/>
            <w:vAlign w:val="center"/>
          </w:tcPr>
          <w:p w14:paraId="31CAD8FD" w14:textId="77777777" w:rsidR="00D607CE" w:rsidRDefault="00A848E1" w:rsidP="00A848E1">
            <w:pPr>
              <w:jc w:val="center"/>
              <w:rPr>
                <w:color w:val="000000"/>
                <w:sz w:val="24"/>
              </w:rPr>
            </w:pPr>
            <w:r w:rsidRPr="002453E5">
              <w:rPr>
                <w:color w:val="000000"/>
                <w:sz w:val="24"/>
              </w:rPr>
              <w:t>191</w:t>
            </w:r>
          </w:p>
        </w:tc>
        <w:tc>
          <w:tcPr>
            <w:tcW w:w="789" w:type="pct"/>
            <w:shd w:val="clear" w:color="auto" w:fill="auto"/>
            <w:noWrap/>
            <w:vAlign w:val="center"/>
          </w:tcPr>
          <w:p w14:paraId="4DF32C77" w14:textId="77777777" w:rsidR="00D607CE" w:rsidRDefault="00EB4967" w:rsidP="00D308F0">
            <w:pPr>
              <w:jc w:val="center"/>
              <w:rPr>
                <w:color w:val="000000"/>
                <w:sz w:val="24"/>
              </w:rPr>
            </w:pPr>
            <w:r w:rsidRPr="00C36240">
              <w:rPr>
                <w:color w:val="000000"/>
                <w:sz w:val="24"/>
              </w:rPr>
              <w:t>1,36</w:t>
            </w:r>
            <w:r w:rsidR="005E0736" w:rsidRPr="00C36240">
              <w:rPr>
                <w:color w:val="000000"/>
                <w:sz w:val="24"/>
              </w:rPr>
              <w:t>2</w:t>
            </w:r>
          </w:p>
        </w:tc>
        <w:tc>
          <w:tcPr>
            <w:tcW w:w="681" w:type="pct"/>
            <w:shd w:val="clear" w:color="auto" w:fill="auto"/>
            <w:noWrap/>
            <w:vAlign w:val="center"/>
          </w:tcPr>
          <w:p w14:paraId="04FDA0CF" w14:textId="77777777" w:rsidR="00EB4967" w:rsidRDefault="00EB4967" w:rsidP="00C134D0">
            <w:pPr>
              <w:jc w:val="center"/>
              <w:rPr>
                <w:color w:val="000000"/>
                <w:sz w:val="24"/>
              </w:rPr>
            </w:pPr>
            <w:r>
              <w:rPr>
                <w:rStyle w:val="cwcot"/>
                <w:rFonts w:ascii="Arial" w:hAnsi="Arial" w:cs="Arial"/>
                <w:color w:val="222222"/>
                <w:lang w:val="en"/>
              </w:rPr>
              <w:t>0.0</w:t>
            </w:r>
            <w:r w:rsidR="00A80E32">
              <w:rPr>
                <w:rStyle w:val="cwcot"/>
                <w:rFonts w:ascii="Arial" w:hAnsi="Arial" w:cs="Arial"/>
                <w:color w:val="222222"/>
                <w:lang w:val="en"/>
              </w:rPr>
              <w:t>183</w:t>
            </w:r>
          </w:p>
        </w:tc>
        <w:tc>
          <w:tcPr>
            <w:tcW w:w="511" w:type="pct"/>
            <w:shd w:val="clear" w:color="auto" w:fill="auto"/>
            <w:noWrap/>
            <w:vAlign w:val="center"/>
          </w:tcPr>
          <w:p w14:paraId="110ED4EF" w14:textId="77777777" w:rsidR="00D607CE" w:rsidRDefault="00A80E32" w:rsidP="00C134D0">
            <w:pPr>
              <w:jc w:val="center"/>
              <w:rPr>
                <w:color w:val="000000"/>
                <w:sz w:val="24"/>
              </w:rPr>
            </w:pPr>
            <w:r>
              <w:rPr>
                <w:sz w:val="24"/>
              </w:rPr>
              <w:t>4,775</w:t>
            </w:r>
          </w:p>
        </w:tc>
      </w:tr>
      <w:tr w:rsidR="00D607CE" w:rsidRPr="00E614D2" w14:paraId="14E77334" w14:textId="77777777" w:rsidTr="00C134D0">
        <w:trPr>
          <w:trHeight w:val="300"/>
        </w:trPr>
        <w:tc>
          <w:tcPr>
            <w:tcW w:w="847" w:type="pct"/>
            <w:shd w:val="clear" w:color="auto" w:fill="auto"/>
            <w:vAlign w:val="center"/>
          </w:tcPr>
          <w:p w14:paraId="30C6B72D" w14:textId="77777777" w:rsidR="00D607CE" w:rsidRDefault="00D607CE" w:rsidP="00C134D0">
            <w:pPr>
              <w:ind w:left="-90" w:right="-106"/>
              <w:jc w:val="center"/>
              <w:rPr>
                <w:color w:val="000000"/>
                <w:sz w:val="24"/>
              </w:rPr>
            </w:pPr>
            <w:r>
              <w:rPr>
                <w:color w:val="000000"/>
                <w:sz w:val="24"/>
              </w:rPr>
              <w:t xml:space="preserve">Simplified </w:t>
            </w:r>
            <w:r w:rsidR="004F40EE">
              <w:rPr>
                <w:color w:val="000000"/>
                <w:sz w:val="24"/>
              </w:rPr>
              <w:t>Actuarial Value Plan and Policy Report</w:t>
            </w:r>
          </w:p>
        </w:tc>
        <w:tc>
          <w:tcPr>
            <w:tcW w:w="690" w:type="pct"/>
            <w:shd w:val="clear" w:color="auto" w:fill="auto"/>
            <w:noWrap/>
            <w:vAlign w:val="center"/>
          </w:tcPr>
          <w:p w14:paraId="526DF4D7" w14:textId="77777777" w:rsidR="00D607CE" w:rsidRDefault="00D607CE" w:rsidP="00C134D0">
            <w:pPr>
              <w:jc w:val="center"/>
              <w:rPr>
                <w:color w:val="000000"/>
                <w:sz w:val="24"/>
              </w:rPr>
            </w:pPr>
            <w:r>
              <w:rPr>
                <w:color w:val="000000"/>
                <w:sz w:val="24"/>
              </w:rPr>
              <w:t xml:space="preserve">Issuer </w:t>
            </w:r>
          </w:p>
        </w:tc>
        <w:tc>
          <w:tcPr>
            <w:tcW w:w="694" w:type="pct"/>
            <w:vAlign w:val="center"/>
          </w:tcPr>
          <w:p w14:paraId="5F56C9FC" w14:textId="77777777" w:rsidR="00D607CE" w:rsidRDefault="004F40EE" w:rsidP="00C134D0">
            <w:pPr>
              <w:jc w:val="center"/>
              <w:rPr>
                <w:color w:val="000000"/>
                <w:sz w:val="24"/>
              </w:rPr>
            </w:pPr>
            <w:r>
              <w:rPr>
                <w:color w:val="000000"/>
                <w:sz w:val="24"/>
              </w:rPr>
              <w:t xml:space="preserve">Annually, 2014,2015,2016 only </w:t>
            </w:r>
            <w:r w:rsidR="00D607CE">
              <w:rPr>
                <w:color w:val="000000"/>
                <w:sz w:val="24"/>
              </w:rPr>
              <w:t xml:space="preserve"> </w:t>
            </w:r>
          </w:p>
        </w:tc>
        <w:tc>
          <w:tcPr>
            <w:tcW w:w="788" w:type="pct"/>
            <w:vAlign w:val="center"/>
          </w:tcPr>
          <w:p w14:paraId="1F8FC408" w14:textId="77777777" w:rsidR="00D607CE" w:rsidRDefault="00477AC6" w:rsidP="00C134D0">
            <w:pPr>
              <w:jc w:val="center"/>
              <w:rPr>
                <w:color w:val="000000"/>
                <w:sz w:val="24"/>
              </w:rPr>
            </w:pPr>
            <w:r w:rsidRPr="002453E5">
              <w:rPr>
                <w:color w:val="000000"/>
                <w:sz w:val="24"/>
              </w:rPr>
              <w:t>191</w:t>
            </w:r>
          </w:p>
        </w:tc>
        <w:tc>
          <w:tcPr>
            <w:tcW w:w="789" w:type="pct"/>
            <w:shd w:val="clear" w:color="auto" w:fill="auto"/>
            <w:noWrap/>
            <w:vAlign w:val="center"/>
          </w:tcPr>
          <w:p w14:paraId="69602791" w14:textId="77777777" w:rsidR="00D607CE" w:rsidRDefault="00413A54" w:rsidP="00D308F0">
            <w:pPr>
              <w:jc w:val="center"/>
              <w:rPr>
                <w:color w:val="000000"/>
                <w:sz w:val="24"/>
              </w:rPr>
            </w:pPr>
            <w:r>
              <w:rPr>
                <w:color w:val="000000"/>
                <w:sz w:val="24"/>
              </w:rPr>
              <w:t>12,</w:t>
            </w:r>
            <w:r w:rsidR="00D308F0">
              <w:rPr>
                <w:color w:val="000000"/>
                <w:sz w:val="24"/>
              </w:rPr>
              <w:t>251</w:t>
            </w:r>
          </w:p>
        </w:tc>
        <w:tc>
          <w:tcPr>
            <w:tcW w:w="681" w:type="pct"/>
            <w:shd w:val="clear" w:color="auto" w:fill="auto"/>
            <w:noWrap/>
            <w:vAlign w:val="center"/>
          </w:tcPr>
          <w:p w14:paraId="28DADC84" w14:textId="77777777" w:rsidR="00171ADD" w:rsidRDefault="00171ADD" w:rsidP="00805A84">
            <w:pPr>
              <w:jc w:val="center"/>
              <w:rPr>
                <w:color w:val="000000"/>
                <w:sz w:val="24"/>
              </w:rPr>
            </w:pPr>
            <w:r>
              <w:rPr>
                <w:color w:val="000000"/>
                <w:sz w:val="24"/>
              </w:rPr>
              <w:t>0.0001</w:t>
            </w:r>
          </w:p>
        </w:tc>
        <w:tc>
          <w:tcPr>
            <w:tcW w:w="511" w:type="pct"/>
            <w:shd w:val="clear" w:color="auto" w:fill="auto"/>
            <w:noWrap/>
            <w:vAlign w:val="center"/>
          </w:tcPr>
          <w:p w14:paraId="6F4A6A93" w14:textId="77777777" w:rsidR="00D607CE" w:rsidRDefault="005D1E39" w:rsidP="00C134D0">
            <w:pPr>
              <w:jc w:val="center"/>
              <w:rPr>
                <w:color w:val="000000"/>
                <w:sz w:val="24"/>
              </w:rPr>
            </w:pPr>
            <w:r>
              <w:rPr>
                <w:color w:val="000000"/>
                <w:sz w:val="24"/>
              </w:rPr>
              <w:t>382</w:t>
            </w:r>
          </w:p>
        </w:tc>
      </w:tr>
      <w:tr w:rsidR="00E62C3B" w:rsidRPr="00E614D2" w14:paraId="1725B15B" w14:textId="77777777" w:rsidTr="00C134D0">
        <w:trPr>
          <w:trHeight w:val="300"/>
        </w:trPr>
        <w:tc>
          <w:tcPr>
            <w:tcW w:w="847" w:type="pct"/>
            <w:shd w:val="clear" w:color="auto" w:fill="auto"/>
            <w:vAlign w:val="center"/>
          </w:tcPr>
          <w:p w14:paraId="0E3B57A7" w14:textId="77777777" w:rsidR="00E62C3B" w:rsidRDefault="00E62C3B" w:rsidP="00C134D0">
            <w:pPr>
              <w:ind w:left="-90" w:right="-106"/>
              <w:jc w:val="center"/>
              <w:rPr>
                <w:color w:val="000000"/>
                <w:sz w:val="24"/>
              </w:rPr>
            </w:pPr>
            <w:r>
              <w:rPr>
                <w:color w:val="000000"/>
                <w:sz w:val="24"/>
              </w:rPr>
              <w:t>Total</w:t>
            </w:r>
          </w:p>
        </w:tc>
        <w:tc>
          <w:tcPr>
            <w:tcW w:w="690" w:type="pct"/>
            <w:shd w:val="clear" w:color="auto" w:fill="auto"/>
            <w:noWrap/>
            <w:vAlign w:val="center"/>
          </w:tcPr>
          <w:p w14:paraId="159E5945" w14:textId="77777777" w:rsidR="00E62C3B" w:rsidRDefault="00E62C3B" w:rsidP="00C134D0">
            <w:pPr>
              <w:jc w:val="center"/>
              <w:rPr>
                <w:color w:val="000000"/>
                <w:sz w:val="24"/>
              </w:rPr>
            </w:pPr>
          </w:p>
        </w:tc>
        <w:tc>
          <w:tcPr>
            <w:tcW w:w="694" w:type="pct"/>
            <w:vAlign w:val="center"/>
          </w:tcPr>
          <w:p w14:paraId="76D356FF" w14:textId="77777777" w:rsidR="00E62C3B" w:rsidRDefault="00E62C3B" w:rsidP="00C134D0">
            <w:pPr>
              <w:jc w:val="center"/>
              <w:rPr>
                <w:color w:val="000000"/>
                <w:sz w:val="24"/>
              </w:rPr>
            </w:pPr>
          </w:p>
        </w:tc>
        <w:tc>
          <w:tcPr>
            <w:tcW w:w="788" w:type="pct"/>
            <w:vAlign w:val="center"/>
          </w:tcPr>
          <w:p w14:paraId="24BD77EA" w14:textId="77777777" w:rsidR="00E62C3B" w:rsidRPr="00474E75" w:rsidRDefault="00E62C3B" w:rsidP="00805A84">
            <w:pPr>
              <w:rPr>
                <w:color w:val="000000"/>
                <w:sz w:val="24"/>
              </w:rPr>
            </w:pPr>
          </w:p>
        </w:tc>
        <w:tc>
          <w:tcPr>
            <w:tcW w:w="789" w:type="pct"/>
            <w:shd w:val="clear" w:color="auto" w:fill="auto"/>
            <w:noWrap/>
            <w:vAlign w:val="center"/>
          </w:tcPr>
          <w:p w14:paraId="13AE087A" w14:textId="77777777" w:rsidR="00E62C3B" w:rsidRPr="00474E75" w:rsidRDefault="00E62C3B" w:rsidP="00C134D0">
            <w:pPr>
              <w:jc w:val="center"/>
              <w:rPr>
                <w:color w:val="000000"/>
                <w:sz w:val="24"/>
              </w:rPr>
            </w:pPr>
          </w:p>
        </w:tc>
        <w:tc>
          <w:tcPr>
            <w:tcW w:w="681" w:type="pct"/>
            <w:shd w:val="clear" w:color="auto" w:fill="auto"/>
            <w:noWrap/>
            <w:vAlign w:val="center"/>
          </w:tcPr>
          <w:p w14:paraId="1687FA34" w14:textId="77777777" w:rsidR="00E62C3B" w:rsidRDefault="00E62C3B" w:rsidP="00C134D0">
            <w:pPr>
              <w:jc w:val="center"/>
              <w:rPr>
                <w:color w:val="000000"/>
                <w:sz w:val="24"/>
              </w:rPr>
            </w:pPr>
          </w:p>
        </w:tc>
        <w:tc>
          <w:tcPr>
            <w:tcW w:w="511" w:type="pct"/>
            <w:shd w:val="clear" w:color="auto" w:fill="auto"/>
            <w:noWrap/>
            <w:vAlign w:val="center"/>
          </w:tcPr>
          <w:p w14:paraId="7996541C" w14:textId="77777777" w:rsidR="00E62C3B" w:rsidRDefault="00BF637A" w:rsidP="00BF637A">
            <w:pPr>
              <w:jc w:val="center"/>
              <w:rPr>
                <w:color w:val="000000"/>
                <w:sz w:val="24"/>
              </w:rPr>
            </w:pPr>
            <w:r>
              <w:rPr>
                <w:color w:val="000000"/>
                <w:sz w:val="24"/>
              </w:rPr>
              <w:t>6,939</w:t>
            </w:r>
          </w:p>
        </w:tc>
      </w:tr>
    </w:tbl>
    <w:p w14:paraId="1C11BB37" w14:textId="77777777" w:rsidR="002D1BA0" w:rsidRDefault="002D1BA0" w:rsidP="00276FFD">
      <w:pPr>
        <w:rPr>
          <w:sz w:val="24"/>
        </w:rPr>
      </w:pPr>
    </w:p>
    <w:p w14:paraId="0B57702A" w14:textId="77777777" w:rsidR="00A3750B" w:rsidRDefault="00A3750B" w:rsidP="005B1D97">
      <w:pPr>
        <w:rPr>
          <w:sz w:val="24"/>
        </w:rPr>
      </w:pPr>
    </w:p>
    <w:p w14:paraId="348BCDE4" w14:textId="77777777" w:rsidR="00B60EC1" w:rsidRPr="001E0D7D" w:rsidRDefault="001E0D7D" w:rsidP="005B1D97">
      <w:pPr>
        <w:rPr>
          <w:b/>
          <w:sz w:val="24"/>
        </w:rPr>
      </w:pPr>
      <w:r w:rsidRPr="001E0D7D">
        <w:rPr>
          <w:b/>
          <w:sz w:val="24"/>
        </w:rPr>
        <w:t xml:space="preserve">12B. Cost Estimate for All Respondents Completing each Form </w:t>
      </w:r>
    </w:p>
    <w:p w14:paraId="7266756C" w14:textId="77777777" w:rsidR="005D1E39" w:rsidRPr="001E0D7D" w:rsidRDefault="005D1E39" w:rsidP="005B1D97">
      <w:pPr>
        <w:rPr>
          <w:b/>
          <w:sz w:val="24"/>
        </w:rPr>
      </w:pPr>
    </w:p>
    <w:tbl>
      <w:tblPr>
        <w:tblW w:w="503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88"/>
        <w:gridCol w:w="1711"/>
        <w:gridCol w:w="989"/>
        <w:gridCol w:w="1621"/>
        <w:gridCol w:w="1443"/>
        <w:gridCol w:w="1936"/>
      </w:tblGrid>
      <w:tr w:rsidR="00B45FCB" w:rsidRPr="00E614D2" w14:paraId="48105735" w14:textId="77777777">
        <w:trPr>
          <w:trHeight w:val="609"/>
        </w:trPr>
        <w:tc>
          <w:tcPr>
            <w:tcW w:w="1067" w:type="pct"/>
            <w:tcBorders>
              <w:bottom w:val="single" w:sz="6" w:space="0" w:color="auto"/>
              <w:right w:val="single" w:sz="4" w:space="0" w:color="auto"/>
            </w:tcBorders>
            <w:shd w:val="clear" w:color="auto" w:fill="auto"/>
            <w:vAlign w:val="center"/>
          </w:tcPr>
          <w:p w14:paraId="5FB3A904" w14:textId="77777777" w:rsidR="00B45FCB" w:rsidRPr="00E614D2" w:rsidRDefault="00B45FCB" w:rsidP="00B45FCB">
            <w:pPr>
              <w:widowControl/>
              <w:autoSpaceDE/>
              <w:autoSpaceDN/>
              <w:adjustRightInd/>
              <w:jc w:val="center"/>
              <w:rPr>
                <w:b/>
                <w:color w:val="000000"/>
                <w:sz w:val="24"/>
              </w:rPr>
            </w:pPr>
            <w:r w:rsidRPr="00E614D2">
              <w:rPr>
                <w:b/>
                <w:color w:val="000000"/>
                <w:sz w:val="24"/>
              </w:rPr>
              <w:t>Type of Respondent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A67F72B" w14:textId="77777777" w:rsidR="00B45FCB" w:rsidRPr="00E614D2" w:rsidRDefault="00B45FCB" w:rsidP="00B45FCB">
            <w:pPr>
              <w:widowControl/>
              <w:autoSpaceDE/>
              <w:autoSpaceDN/>
              <w:adjustRightInd/>
              <w:jc w:val="center"/>
              <w:rPr>
                <w:b/>
                <w:color w:val="000000"/>
                <w:sz w:val="24"/>
              </w:rPr>
            </w:pPr>
            <w:r w:rsidRPr="00E614D2">
              <w:rPr>
                <w:b/>
                <w:color w:val="000000"/>
                <w:sz w:val="24"/>
              </w:rPr>
              <w:t>Hourly Labor Cost of Reporting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181D1A3" w14:textId="77777777" w:rsidR="00B45FCB" w:rsidRPr="00E614D2" w:rsidRDefault="00B45FCB" w:rsidP="00B45FCB">
            <w:pPr>
              <w:widowControl/>
              <w:autoSpaceDE/>
              <w:autoSpaceDN/>
              <w:adjustRightInd/>
              <w:ind w:left="-90" w:right="-127"/>
              <w:jc w:val="center"/>
              <w:rPr>
                <w:b/>
                <w:color w:val="000000"/>
                <w:sz w:val="24"/>
              </w:rPr>
            </w:pPr>
            <w:r w:rsidRPr="00E614D2">
              <w:rPr>
                <w:b/>
                <w:color w:val="000000"/>
                <w:sz w:val="24"/>
              </w:rPr>
              <w:t>Total Burden Hours</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C5429B6" w14:textId="77777777" w:rsidR="00B45FCB" w:rsidRPr="00E614D2" w:rsidRDefault="00B45FCB" w:rsidP="00B45FCB">
            <w:pPr>
              <w:widowControl/>
              <w:autoSpaceDE/>
              <w:autoSpaceDN/>
              <w:adjustRightInd/>
              <w:jc w:val="center"/>
              <w:rPr>
                <w:b/>
                <w:color w:val="000000"/>
                <w:sz w:val="24"/>
              </w:rPr>
            </w:pPr>
            <w:r w:rsidRPr="00E614D2">
              <w:rPr>
                <w:b/>
                <w:color w:val="000000"/>
                <w:sz w:val="24"/>
              </w:rPr>
              <w:t>Average Labor Cost per Response</w:t>
            </w:r>
          </w:p>
        </w:tc>
        <w:tc>
          <w:tcPr>
            <w:tcW w:w="737" w:type="pct"/>
            <w:tcBorders>
              <w:top w:val="single" w:sz="4" w:space="0" w:color="auto"/>
              <w:left w:val="single" w:sz="4" w:space="0" w:color="auto"/>
              <w:bottom w:val="single" w:sz="4" w:space="0" w:color="auto"/>
              <w:right w:val="single" w:sz="4" w:space="0" w:color="auto"/>
            </w:tcBorders>
            <w:vAlign w:val="center"/>
          </w:tcPr>
          <w:p w14:paraId="43D1209B" w14:textId="77777777" w:rsidR="00B45FCB" w:rsidRPr="00E614D2" w:rsidRDefault="00B45FCB" w:rsidP="00B45FCB">
            <w:pPr>
              <w:widowControl/>
              <w:autoSpaceDE/>
              <w:autoSpaceDN/>
              <w:adjustRightInd/>
              <w:ind w:left="-109" w:right="-106"/>
              <w:jc w:val="center"/>
              <w:rPr>
                <w:b/>
                <w:color w:val="000000"/>
                <w:sz w:val="24"/>
              </w:rPr>
            </w:pPr>
            <w:r w:rsidRPr="00E614D2">
              <w:rPr>
                <w:b/>
                <w:color w:val="000000"/>
                <w:sz w:val="24"/>
              </w:rPr>
              <w:t>Number of Respondents</w:t>
            </w:r>
          </w:p>
        </w:tc>
        <w:tc>
          <w:tcPr>
            <w:tcW w:w="989" w:type="pct"/>
            <w:tcBorders>
              <w:left w:val="single" w:sz="4" w:space="0" w:color="auto"/>
              <w:bottom w:val="single" w:sz="6" w:space="0" w:color="auto"/>
            </w:tcBorders>
            <w:shd w:val="clear" w:color="auto" w:fill="auto"/>
            <w:noWrap/>
            <w:vAlign w:val="center"/>
          </w:tcPr>
          <w:p w14:paraId="48DCACF4" w14:textId="77777777" w:rsidR="00B45FCB" w:rsidRPr="00E614D2" w:rsidRDefault="00B45FCB" w:rsidP="00B45FCB">
            <w:pPr>
              <w:widowControl/>
              <w:autoSpaceDE/>
              <w:autoSpaceDN/>
              <w:adjustRightInd/>
              <w:ind w:left="-110" w:right="-58"/>
              <w:jc w:val="center"/>
              <w:rPr>
                <w:b/>
                <w:color w:val="000000"/>
                <w:sz w:val="24"/>
              </w:rPr>
            </w:pPr>
            <w:r w:rsidRPr="00E614D2">
              <w:rPr>
                <w:b/>
                <w:color w:val="000000"/>
                <w:sz w:val="24"/>
              </w:rPr>
              <w:t>Total Labor Costs</w:t>
            </w:r>
          </w:p>
          <w:p w14:paraId="54E3F3E4" w14:textId="77777777" w:rsidR="00B45FCB" w:rsidRPr="00E614D2" w:rsidRDefault="00B45FCB" w:rsidP="00B45FCB">
            <w:pPr>
              <w:widowControl/>
              <w:autoSpaceDE/>
              <w:autoSpaceDN/>
              <w:adjustRightInd/>
              <w:jc w:val="center"/>
              <w:rPr>
                <w:b/>
                <w:color w:val="000000"/>
                <w:sz w:val="24"/>
              </w:rPr>
            </w:pPr>
            <w:r w:rsidRPr="00E614D2">
              <w:rPr>
                <w:b/>
                <w:color w:val="000000"/>
                <w:sz w:val="24"/>
              </w:rPr>
              <w:t>(All Respondents)</w:t>
            </w:r>
          </w:p>
        </w:tc>
      </w:tr>
      <w:tr w:rsidR="00B45FCB" w:rsidRPr="003E1357" w14:paraId="146DE84D" w14:textId="77777777">
        <w:trPr>
          <w:trHeight w:val="305"/>
        </w:trPr>
        <w:tc>
          <w:tcPr>
            <w:tcW w:w="5000" w:type="pct"/>
            <w:gridSpan w:val="6"/>
            <w:shd w:val="clear" w:color="auto" w:fill="auto"/>
            <w:noWrap/>
            <w:vAlign w:val="bottom"/>
          </w:tcPr>
          <w:p w14:paraId="35EE5CE1" w14:textId="77777777" w:rsidR="00B45FCB" w:rsidRPr="001159E9" w:rsidRDefault="00C050E5" w:rsidP="00B45FCB">
            <w:pPr>
              <w:rPr>
                <w:i/>
                <w:color w:val="000000"/>
                <w:sz w:val="24"/>
              </w:rPr>
            </w:pPr>
            <w:r>
              <w:rPr>
                <w:i/>
                <w:color w:val="000000"/>
                <w:sz w:val="24"/>
              </w:rPr>
              <w:t>Issuer Summary Report</w:t>
            </w:r>
            <w:r w:rsidR="0041459B">
              <w:rPr>
                <w:i/>
                <w:color w:val="000000"/>
                <w:sz w:val="24"/>
              </w:rPr>
              <w:t xml:space="preserve"> </w:t>
            </w:r>
          </w:p>
        </w:tc>
      </w:tr>
      <w:tr w:rsidR="00B45FCB" w:rsidRPr="00E614D2" w14:paraId="1F193A47" w14:textId="77777777">
        <w:trPr>
          <w:trHeight w:val="305"/>
        </w:trPr>
        <w:tc>
          <w:tcPr>
            <w:tcW w:w="1067" w:type="pct"/>
            <w:shd w:val="clear" w:color="auto" w:fill="auto"/>
            <w:noWrap/>
            <w:vAlign w:val="bottom"/>
          </w:tcPr>
          <w:p w14:paraId="57758D2A" w14:textId="77777777" w:rsidR="00B45FCB" w:rsidRPr="00E614D2" w:rsidRDefault="00B45FCB" w:rsidP="00B45FCB">
            <w:pPr>
              <w:rPr>
                <w:color w:val="000000"/>
                <w:sz w:val="24"/>
              </w:rPr>
            </w:pPr>
            <w:r w:rsidRPr="00E614D2">
              <w:rPr>
                <w:color w:val="000000"/>
                <w:sz w:val="24"/>
              </w:rPr>
              <w:t xml:space="preserve">Operations Analyst </w:t>
            </w:r>
          </w:p>
        </w:tc>
        <w:tc>
          <w:tcPr>
            <w:tcW w:w="874" w:type="pct"/>
            <w:shd w:val="clear" w:color="auto" w:fill="auto"/>
            <w:noWrap/>
            <w:vAlign w:val="bottom"/>
          </w:tcPr>
          <w:p w14:paraId="53B57121" w14:textId="77777777" w:rsidR="00B45FCB" w:rsidRPr="00E614D2" w:rsidRDefault="00B45FCB" w:rsidP="00B45FCB">
            <w:pPr>
              <w:jc w:val="right"/>
              <w:rPr>
                <w:color w:val="000000"/>
                <w:sz w:val="24"/>
              </w:rPr>
            </w:pPr>
            <w:r w:rsidRPr="00E614D2">
              <w:rPr>
                <w:color w:val="000000"/>
                <w:sz w:val="24"/>
              </w:rPr>
              <w:t>$55.00</w:t>
            </w:r>
          </w:p>
        </w:tc>
        <w:tc>
          <w:tcPr>
            <w:tcW w:w="505" w:type="pct"/>
            <w:shd w:val="clear" w:color="auto" w:fill="auto"/>
            <w:noWrap/>
            <w:vAlign w:val="bottom"/>
          </w:tcPr>
          <w:p w14:paraId="72C1D5E7" w14:textId="77777777" w:rsidR="00B45FCB" w:rsidRPr="00E614D2" w:rsidRDefault="00C050E5" w:rsidP="00B45FCB">
            <w:pPr>
              <w:jc w:val="right"/>
              <w:rPr>
                <w:color w:val="000000"/>
                <w:sz w:val="24"/>
              </w:rPr>
            </w:pPr>
            <w:r>
              <w:rPr>
                <w:color w:val="000000"/>
                <w:sz w:val="24"/>
              </w:rPr>
              <w:t>.50</w:t>
            </w:r>
          </w:p>
        </w:tc>
        <w:tc>
          <w:tcPr>
            <w:tcW w:w="828" w:type="pct"/>
            <w:shd w:val="clear" w:color="auto" w:fill="auto"/>
            <w:noWrap/>
            <w:vAlign w:val="bottom"/>
          </w:tcPr>
          <w:p w14:paraId="1137F3BC" w14:textId="77777777" w:rsidR="00B45FCB" w:rsidRPr="00E614D2" w:rsidRDefault="00B45FCB" w:rsidP="00B45FCB">
            <w:pPr>
              <w:jc w:val="right"/>
              <w:rPr>
                <w:color w:val="000000"/>
                <w:sz w:val="24"/>
              </w:rPr>
            </w:pPr>
            <w:r w:rsidRPr="00E614D2">
              <w:rPr>
                <w:color w:val="000000"/>
                <w:sz w:val="24"/>
              </w:rPr>
              <w:t>$</w:t>
            </w:r>
            <w:r w:rsidR="00C050E5">
              <w:rPr>
                <w:color w:val="000000"/>
                <w:sz w:val="24"/>
              </w:rPr>
              <w:t>27.50</w:t>
            </w:r>
          </w:p>
        </w:tc>
        <w:tc>
          <w:tcPr>
            <w:tcW w:w="737" w:type="pct"/>
            <w:vAlign w:val="center"/>
          </w:tcPr>
          <w:p w14:paraId="2A8E2DAB" w14:textId="77777777" w:rsidR="00B45FCB" w:rsidRPr="00E614D2" w:rsidRDefault="00C050E5" w:rsidP="00B45FCB">
            <w:pPr>
              <w:jc w:val="right"/>
              <w:rPr>
                <w:color w:val="000000"/>
                <w:sz w:val="24"/>
              </w:rPr>
            </w:pPr>
            <w:r>
              <w:rPr>
                <w:color w:val="000000"/>
                <w:sz w:val="24"/>
              </w:rPr>
              <w:t>29</w:t>
            </w:r>
            <w:r w:rsidR="00B054A9">
              <w:rPr>
                <w:color w:val="000000"/>
                <w:sz w:val="24"/>
              </w:rPr>
              <w:t>6</w:t>
            </w:r>
          </w:p>
        </w:tc>
        <w:tc>
          <w:tcPr>
            <w:tcW w:w="989" w:type="pct"/>
            <w:shd w:val="clear" w:color="auto" w:fill="auto"/>
            <w:noWrap/>
            <w:vAlign w:val="center"/>
          </w:tcPr>
          <w:p w14:paraId="2B7ABFB5" w14:textId="77777777" w:rsidR="00B45FCB" w:rsidRPr="00E614D2" w:rsidRDefault="00B45FCB" w:rsidP="00B45FCB">
            <w:pPr>
              <w:jc w:val="right"/>
              <w:rPr>
                <w:color w:val="000000"/>
                <w:sz w:val="24"/>
              </w:rPr>
            </w:pPr>
            <w:r w:rsidRPr="00E614D2">
              <w:rPr>
                <w:color w:val="000000"/>
                <w:sz w:val="24"/>
              </w:rPr>
              <w:t>$</w:t>
            </w:r>
            <w:r w:rsidR="00B054A9">
              <w:rPr>
                <w:color w:val="000000"/>
                <w:sz w:val="24"/>
              </w:rPr>
              <w:t>8,140</w:t>
            </w:r>
          </w:p>
        </w:tc>
      </w:tr>
      <w:tr w:rsidR="00B45FCB" w:rsidRPr="00E614D2" w14:paraId="148C4F19" w14:textId="77777777">
        <w:trPr>
          <w:trHeight w:val="305"/>
        </w:trPr>
        <w:tc>
          <w:tcPr>
            <w:tcW w:w="1067" w:type="pct"/>
            <w:shd w:val="clear" w:color="auto" w:fill="auto"/>
            <w:noWrap/>
            <w:vAlign w:val="bottom"/>
          </w:tcPr>
          <w:p w14:paraId="25DD8020" w14:textId="77777777" w:rsidR="00B45FCB" w:rsidRPr="00E614D2" w:rsidRDefault="00B45FCB" w:rsidP="00B45FCB">
            <w:pPr>
              <w:rPr>
                <w:color w:val="000000"/>
                <w:sz w:val="24"/>
              </w:rPr>
            </w:pPr>
            <w:r w:rsidRPr="00E614D2">
              <w:rPr>
                <w:color w:val="000000"/>
                <w:sz w:val="24"/>
              </w:rPr>
              <w:t>Senior Manager</w:t>
            </w:r>
          </w:p>
        </w:tc>
        <w:tc>
          <w:tcPr>
            <w:tcW w:w="874" w:type="pct"/>
            <w:shd w:val="clear" w:color="auto" w:fill="auto"/>
            <w:noWrap/>
            <w:vAlign w:val="bottom"/>
          </w:tcPr>
          <w:p w14:paraId="3D89064B" w14:textId="77777777" w:rsidR="00B45FCB" w:rsidRPr="00E614D2" w:rsidRDefault="00C050E5" w:rsidP="00B45FCB">
            <w:pPr>
              <w:jc w:val="right"/>
              <w:rPr>
                <w:color w:val="000000"/>
                <w:sz w:val="24"/>
              </w:rPr>
            </w:pPr>
            <w:r>
              <w:rPr>
                <w:color w:val="000000"/>
                <w:sz w:val="24"/>
              </w:rPr>
              <w:t>$79.09</w:t>
            </w:r>
          </w:p>
        </w:tc>
        <w:tc>
          <w:tcPr>
            <w:tcW w:w="505" w:type="pct"/>
            <w:shd w:val="clear" w:color="auto" w:fill="auto"/>
            <w:noWrap/>
            <w:vAlign w:val="bottom"/>
          </w:tcPr>
          <w:p w14:paraId="4CC34DB4" w14:textId="77777777" w:rsidR="00B45FCB" w:rsidRPr="00E614D2" w:rsidRDefault="00C050E5" w:rsidP="00B45FCB">
            <w:pPr>
              <w:jc w:val="right"/>
              <w:rPr>
                <w:color w:val="000000"/>
                <w:sz w:val="24"/>
              </w:rPr>
            </w:pPr>
            <w:r>
              <w:rPr>
                <w:color w:val="000000"/>
                <w:sz w:val="24"/>
              </w:rPr>
              <w:t>.25</w:t>
            </w:r>
          </w:p>
        </w:tc>
        <w:tc>
          <w:tcPr>
            <w:tcW w:w="828" w:type="pct"/>
            <w:shd w:val="clear" w:color="auto" w:fill="auto"/>
            <w:noWrap/>
            <w:vAlign w:val="bottom"/>
          </w:tcPr>
          <w:p w14:paraId="7B88BFCA" w14:textId="77777777" w:rsidR="00B45FCB" w:rsidRPr="00E614D2" w:rsidRDefault="00B45FCB" w:rsidP="00B45FCB">
            <w:pPr>
              <w:jc w:val="right"/>
              <w:rPr>
                <w:color w:val="000000"/>
                <w:sz w:val="24"/>
              </w:rPr>
            </w:pPr>
            <w:r w:rsidRPr="00E614D2">
              <w:rPr>
                <w:color w:val="000000"/>
                <w:sz w:val="24"/>
              </w:rPr>
              <w:t>$</w:t>
            </w:r>
            <w:r w:rsidR="00C050E5">
              <w:rPr>
                <w:color w:val="000000"/>
                <w:sz w:val="24"/>
              </w:rPr>
              <w:t>19.78</w:t>
            </w:r>
          </w:p>
        </w:tc>
        <w:tc>
          <w:tcPr>
            <w:tcW w:w="737" w:type="pct"/>
            <w:vAlign w:val="center"/>
          </w:tcPr>
          <w:p w14:paraId="48329A93" w14:textId="77777777" w:rsidR="00B45FCB" w:rsidRPr="00E614D2" w:rsidRDefault="00C050E5" w:rsidP="00B45FCB">
            <w:pPr>
              <w:jc w:val="right"/>
              <w:rPr>
                <w:color w:val="000000"/>
                <w:sz w:val="24"/>
              </w:rPr>
            </w:pPr>
            <w:r>
              <w:rPr>
                <w:color w:val="000000"/>
                <w:sz w:val="24"/>
              </w:rPr>
              <w:t>29</w:t>
            </w:r>
            <w:r w:rsidR="00B054A9">
              <w:rPr>
                <w:color w:val="000000"/>
                <w:sz w:val="24"/>
              </w:rPr>
              <w:t>6</w:t>
            </w:r>
          </w:p>
        </w:tc>
        <w:tc>
          <w:tcPr>
            <w:tcW w:w="989" w:type="pct"/>
            <w:shd w:val="clear" w:color="auto" w:fill="auto"/>
            <w:noWrap/>
            <w:vAlign w:val="center"/>
          </w:tcPr>
          <w:p w14:paraId="5860CC59" w14:textId="77777777" w:rsidR="00B45FCB" w:rsidRPr="00E614D2" w:rsidRDefault="00B45FCB" w:rsidP="00B45FCB">
            <w:pPr>
              <w:jc w:val="right"/>
              <w:rPr>
                <w:color w:val="000000"/>
                <w:sz w:val="24"/>
              </w:rPr>
            </w:pPr>
            <w:r w:rsidRPr="00E614D2">
              <w:rPr>
                <w:color w:val="000000"/>
                <w:sz w:val="24"/>
              </w:rPr>
              <w:t>$</w:t>
            </w:r>
            <w:r w:rsidR="00B054A9">
              <w:rPr>
                <w:color w:val="000000"/>
                <w:sz w:val="24"/>
              </w:rPr>
              <w:t>5,854.88</w:t>
            </w:r>
          </w:p>
        </w:tc>
      </w:tr>
      <w:tr w:rsidR="00B45FCB" w:rsidRPr="003E1357" w14:paraId="66575904" w14:textId="77777777">
        <w:trPr>
          <w:trHeight w:val="259"/>
        </w:trPr>
        <w:tc>
          <w:tcPr>
            <w:tcW w:w="1067" w:type="pct"/>
            <w:shd w:val="clear" w:color="auto" w:fill="auto"/>
            <w:vAlign w:val="bottom"/>
          </w:tcPr>
          <w:p w14:paraId="65C3209C" w14:textId="77777777" w:rsidR="00B45FCB" w:rsidRPr="003E1357" w:rsidRDefault="00B45FCB" w:rsidP="00B45FCB">
            <w:pPr>
              <w:widowControl/>
              <w:autoSpaceDE/>
              <w:autoSpaceDN/>
              <w:adjustRightInd/>
              <w:rPr>
                <w:b/>
                <w:color w:val="000000"/>
                <w:sz w:val="24"/>
              </w:rPr>
            </w:pPr>
            <w:r w:rsidRPr="003E1357">
              <w:rPr>
                <w:b/>
                <w:color w:val="000000"/>
                <w:sz w:val="24"/>
              </w:rPr>
              <w:t>Total</w:t>
            </w:r>
          </w:p>
        </w:tc>
        <w:tc>
          <w:tcPr>
            <w:tcW w:w="874" w:type="pct"/>
            <w:shd w:val="clear" w:color="auto" w:fill="auto"/>
            <w:noWrap/>
            <w:vAlign w:val="bottom"/>
          </w:tcPr>
          <w:p w14:paraId="09C6F929" w14:textId="77777777" w:rsidR="00B45FCB" w:rsidRPr="003E1357" w:rsidRDefault="00B45FCB" w:rsidP="00B45FCB">
            <w:pPr>
              <w:widowControl/>
              <w:autoSpaceDE/>
              <w:autoSpaceDN/>
              <w:adjustRightInd/>
              <w:rPr>
                <w:b/>
                <w:color w:val="000000"/>
                <w:sz w:val="24"/>
              </w:rPr>
            </w:pPr>
          </w:p>
        </w:tc>
        <w:tc>
          <w:tcPr>
            <w:tcW w:w="505" w:type="pct"/>
            <w:shd w:val="clear" w:color="auto" w:fill="auto"/>
            <w:noWrap/>
            <w:vAlign w:val="bottom"/>
          </w:tcPr>
          <w:p w14:paraId="3151505E" w14:textId="77777777" w:rsidR="00B45FCB" w:rsidRPr="003E1357" w:rsidRDefault="00C050E5" w:rsidP="00B45FCB">
            <w:pPr>
              <w:jc w:val="right"/>
              <w:rPr>
                <w:b/>
                <w:color w:val="000000"/>
                <w:sz w:val="24"/>
              </w:rPr>
            </w:pPr>
            <w:r>
              <w:rPr>
                <w:b/>
                <w:color w:val="000000"/>
                <w:sz w:val="24"/>
              </w:rPr>
              <w:t>.75</w:t>
            </w:r>
          </w:p>
        </w:tc>
        <w:tc>
          <w:tcPr>
            <w:tcW w:w="828" w:type="pct"/>
            <w:shd w:val="clear" w:color="auto" w:fill="auto"/>
            <w:noWrap/>
            <w:vAlign w:val="bottom"/>
          </w:tcPr>
          <w:p w14:paraId="17850203" w14:textId="77777777" w:rsidR="00B45FCB" w:rsidRPr="003E1357" w:rsidRDefault="00B45FCB" w:rsidP="00B45FCB">
            <w:pPr>
              <w:jc w:val="right"/>
              <w:rPr>
                <w:b/>
                <w:color w:val="000000"/>
                <w:sz w:val="24"/>
              </w:rPr>
            </w:pPr>
            <w:r w:rsidRPr="003E1357">
              <w:rPr>
                <w:b/>
                <w:color w:val="000000"/>
                <w:sz w:val="24"/>
              </w:rPr>
              <w:t>$</w:t>
            </w:r>
            <w:r w:rsidR="00C050E5">
              <w:rPr>
                <w:b/>
                <w:color w:val="000000"/>
                <w:sz w:val="24"/>
              </w:rPr>
              <w:t>47.28</w:t>
            </w:r>
          </w:p>
        </w:tc>
        <w:tc>
          <w:tcPr>
            <w:tcW w:w="737" w:type="pct"/>
          </w:tcPr>
          <w:p w14:paraId="64AAFB17" w14:textId="77777777" w:rsidR="00B45FCB" w:rsidRPr="003E1357" w:rsidRDefault="00B45FCB" w:rsidP="00B45FCB">
            <w:pPr>
              <w:jc w:val="right"/>
              <w:rPr>
                <w:b/>
                <w:color w:val="000000"/>
                <w:sz w:val="24"/>
              </w:rPr>
            </w:pPr>
          </w:p>
        </w:tc>
        <w:tc>
          <w:tcPr>
            <w:tcW w:w="989" w:type="pct"/>
            <w:shd w:val="clear" w:color="auto" w:fill="auto"/>
            <w:noWrap/>
            <w:vAlign w:val="bottom"/>
          </w:tcPr>
          <w:p w14:paraId="0E6F7E92" w14:textId="77777777" w:rsidR="00B45FCB" w:rsidRPr="003E1357" w:rsidRDefault="00B45FCB" w:rsidP="00B45FCB">
            <w:pPr>
              <w:jc w:val="right"/>
              <w:rPr>
                <w:b/>
                <w:color w:val="000000"/>
                <w:sz w:val="24"/>
              </w:rPr>
            </w:pPr>
            <w:r w:rsidRPr="003E1357">
              <w:rPr>
                <w:b/>
                <w:color w:val="000000"/>
                <w:sz w:val="24"/>
              </w:rPr>
              <w:t>$</w:t>
            </w:r>
            <w:r w:rsidR="00B054A9">
              <w:rPr>
                <w:b/>
                <w:color w:val="000000"/>
                <w:sz w:val="24"/>
              </w:rPr>
              <w:t>13,994</w:t>
            </w:r>
            <w:r w:rsidR="00C42A23">
              <w:rPr>
                <w:b/>
                <w:color w:val="000000"/>
                <w:sz w:val="24"/>
              </w:rPr>
              <w:t>.</w:t>
            </w:r>
            <w:r w:rsidR="00B054A9">
              <w:rPr>
                <w:b/>
                <w:color w:val="000000"/>
                <w:sz w:val="24"/>
              </w:rPr>
              <w:t>88</w:t>
            </w:r>
          </w:p>
        </w:tc>
      </w:tr>
    </w:tbl>
    <w:p w14:paraId="3FFECE36" w14:textId="77777777" w:rsidR="00B45FCB" w:rsidRDefault="00B45FCB" w:rsidP="00B45FCB">
      <w:pPr>
        <w:rPr>
          <w:sz w:val="24"/>
        </w:rPr>
      </w:pPr>
    </w:p>
    <w:p w14:paraId="2D39CCB4" w14:textId="77777777" w:rsidR="001E0D7D" w:rsidRDefault="001E0D7D" w:rsidP="00B45FCB">
      <w:pPr>
        <w:rPr>
          <w:sz w:val="24"/>
        </w:rPr>
      </w:pPr>
    </w:p>
    <w:tbl>
      <w:tblPr>
        <w:tblpPr w:leftFromText="180" w:rightFromText="180" w:vertAnchor="text" w:horzAnchor="page" w:tblpX="1577" w:tblpY="-80"/>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15"/>
        <w:gridCol w:w="1532"/>
        <w:gridCol w:w="1078"/>
        <w:gridCol w:w="1532"/>
        <w:gridCol w:w="1530"/>
        <w:gridCol w:w="2145"/>
      </w:tblGrid>
      <w:tr w:rsidR="005D1E39" w:rsidRPr="00E614D2" w14:paraId="4BBFC2DB" w14:textId="77777777" w:rsidTr="005D1E39">
        <w:trPr>
          <w:trHeight w:val="600"/>
          <w:tblHeader/>
        </w:trPr>
        <w:tc>
          <w:tcPr>
            <w:tcW w:w="984" w:type="pct"/>
            <w:shd w:val="clear" w:color="auto" w:fill="auto"/>
          </w:tcPr>
          <w:p w14:paraId="1D6EDC20" w14:textId="77777777" w:rsidR="005D1E39" w:rsidRPr="00E614D2" w:rsidRDefault="005D1E39" w:rsidP="005D1E39">
            <w:pPr>
              <w:widowControl/>
              <w:autoSpaceDE/>
              <w:autoSpaceDN/>
              <w:adjustRightInd/>
              <w:jc w:val="center"/>
              <w:rPr>
                <w:b/>
                <w:color w:val="000000"/>
                <w:sz w:val="24"/>
              </w:rPr>
            </w:pPr>
            <w:r w:rsidRPr="00E614D2">
              <w:rPr>
                <w:b/>
                <w:color w:val="000000"/>
                <w:sz w:val="24"/>
              </w:rPr>
              <w:lastRenderedPageBreak/>
              <w:t>Type of Respondent</w:t>
            </w:r>
          </w:p>
        </w:tc>
        <w:tc>
          <w:tcPr>
            <w:tcW w:w="787" w:type="pct"/>
            <w:shd w:val="clear" w:color="auto" w:fill="auto"/>
          </w:tcPr>
          <w:p w14:paraId="40FF7D15" w14:textId="77777777" w:rsidR="005D1E39" w:rsidRPr="00E614D2" w:rsidRDefault="005D1E39" w:rsidP="005D1E39">
            <w:pPr>
              <w:widowControl/>
              <w:autoSpaceDE/>
              <w:autoSpaceDN/>
              <w:adjustRightInd/>
              <w:ind w:left="-116" w:right="-115"/>
              <w:jc w:val="center"/>
              <w:rPr>
                <w:b/>
                <w:color w:val="000000"/>
                <w:sz w:val="24"/>
              </w:rPr>
            </w:pPr>
            <w:r>
              <w:rPr>
                <w:b/>
                <w:color w:val="000000"/>
                <w:sz w:val="24"/>
              </w:rPr>
              <w:t xml:space="preserve">Hourly Labor Cost of </w:t>
            </w:r>
            <w:r w:rsidRPr="00E614D2">
              <w:rPr>
                <w:b/>
                <w:color w:val="000000"/>
                <w:sz w:val="24"/>
              </w:rPr>
              <w:t>Reporting ($)</w:t>
            </w:r>
          </w:p>
        </w:tc>
        <w:tc>
          <w:tcPr>
            <w:tcW w:w="554" w:type="pct"/>
            <w:shd w:val="clear" w:color="auto" w:fill="auto"/>
          </w:tcPr>
          <w:p w14:paraId="246E7715" w14:textId="77777777" w:rsidR="005D1E39" w:rsidRPr="00E614D2" w:rsidRDefault="005D1E39" w:rsidP="005D1E39">
            <w:pPr>
              <w:widowControl/>
              <w:autoSpaceDE/>
              <w:autoSpaceDN/>
              <w:adjustRightInd/>
              <w:jc w:val="center"/>
              <w:rPr>
                <w:b/>
                <w:color w:val="000000"/>
                <w:sz w:val="24"/>
              </w:rPr>
            </w:pPr>
            <w:r w:rsidRPr="00E614D2">
              <w:rPr>
                <w:b/>
                <w:color w:val="000000"/>
                <w:sz w:val="24"/>
              </w:rPr>
              <w:t>Total Burden Hours</w:t>
            </w:r>
          </w:p>
        </w:tc>
        <w:tc>
          <w:tcPr>
            <w:tcW w:w="787" w:type="pct"/>
            <w:shd w:val="clear" w:color="auto" w:fill="auto"/>
          </w:tcPr>
          <w:p w14:paraId="3CDB1C0C" w14:textId="77777777" w:rsidR="005D1E39" w:rsidRPr="00E614D2" w:rsidRDefault="005D1E39" w:rsidP="005D1E39">
            <w:pPr>
              <w:widowControl/>
              <w:autoSpaceDE/>
              <w:autoSpaceDN/>
              <w:adjustRightInd/>
              <w:ind w:left="-115" w:right="-113"/>
              <w:jc w:val="center"/>
              <w:rPr>
                <w:b/>
                <w:color w:val="000000"/>
                <w:sz w:val="24"/>
              </w:rPr>
            </w:pPr>
            <w:r w:rsidRPr="00E614D2">
              <w:rPr>
                <w:b/>
                <w:color w:val="000000"/>
                <w:sz w:val="24"/>
              </w:rPr>
              <w:t>Average Labor Cost per Response</w:t>
            </w:r>
          </w:p>
        </w:tc>
        <w:tc>
          <w:tcPr>
            <w:tcW w:w="786" w:type="pct"/>
          </w:tcPr>
          <w:p w14:paraId="3CCFD3C6" w14:textId="77777777" w:rsidR="005D1E39" w:rsidRPr="00E614D2" w:rsidRDefault="005D1E39" w:rsidP="005D1E39">
            <w:pPr>
              <w:widowControl/>
              <w:autoSpaceDE/>
              <w:autoSpaceDN/>
              <w:adjustRightInd/>
              <w:ind w:left="-117" w:right="-113"/>
              <w:jc w:val="center"/>
              <w:rPr>
                <w:b/>
                <w:color w:val="000000"/>
                <w:sz w:val="24"/>
              </w:rPr>
            </w:pPr>
            <w:r w:rsidRPr="00E614D2">
              <w:rPr>
                <w:b/>
                <w:color w:val="000000"/>
                <w:sz w:val="24"/>
              </w:rPr>
              <w:t>Number of Respondents</w:t>
            </w:r>
          </w:p>
        </w:tc>
        <w:tc>
          <w:tcPr>
            <w:tcW w:w="1102" w:type="pct"/>
            <w:shd w:val="clear" w:color="auto" w:fill="auto"/>
            <w:noWrap/>
          </w:tcPr>
          <w:p w14:paraId="0BFC1D7D" w14:textId="77777777" w:rsidR="005D1E39" w:rsidRPr="00E614D2" w:rsidRDefault="005D1E39" w:rsidP="005D1E39">
            <w:pPr>
              <w:widowControl/>
              <w:autoSpaceDE/>
              <w:autoSpaceDN/>
              <w:adjustRightInd/>
              <w:jc w:val="center"/>
              <w:rPr>
                <w:b/>
                <w:color w:val="000000"/>
                <w:sz w:val="24"/>
              </w:rPr>
            </w:pPr>
            <w:r w:rsidRPr="00E614D2">
              <w:rPr>
                <w:b/>
                <w:color w:val="000000"/>
                <w:sz w:val="24"/>
              </w:rPr>
              <w:t>Total Labor Costs</w:t>
            </w:r>
          </w:p>
          <w:p w14:paraId="6203ED9E" w14:textId="77777777" w:rsidR="005D1E39" w:rsidRPr="00E614D2" w:rsidRDefault="005D1E39" w:rsidP="005D1E39">
            <w:pPr>
              <w:widowControl/>
              <w:autoSpaceDE/>
              <w:autoSpaceDN/>
              <w:adjustRightInd/>
              <w:jc w:val="center"/>
              <w:rPr>
                <w:b/>
                <w:color w:val="000000"/>
                <w:sz w:val="24"/>
              </w:rPr>
            </w:pPr>
            <w:r w:rsidRPr="00E614D2">
              <w:rPr>
                <w:b/>
                <w:color w:val="000000"/>
                <w:sz w:val="24"/>
              </w:rPr>
              <w:t>(All Respondents)</w:t>
            </w:r>
          </w:p>
        </w:tc>
      </w:tr>
      <w:tr w:rsidR="005D1E39" w:rsidRPr="006747C9" w14:paraId="0A2C7F42" w14:textId="77777777" w:rsidTr="005D1E39">
        <w:trPr>
          <w:trHeight w:val="300"/>
        </w:trPr>
        <w:tc>
          <w:tcPr>
            <w:tcW w:w="5000" w:type="pct"/>
            <w:gridSpan w:val="6"/>
            <w:shd w:val="clear" w:color="auto" w:fill="auto"/>
            <w:noWrap/>
            <w:vAlign w:val="bottom"/>
          </w:tcPr>
          <w:p w14:paraId="16A31A16" w14:textId="77777777" w:rsidR="005D1E39" w:rsidRPr="006747C9" w:rsidRDefault="005D1E39" w:rsidP="005D1E39">
            <w:pPr>
              <w:rPr>
                <w:i/>
                <w:color w:val="000000"/>
                <w:sz w:val="24"/>
              </w:rPr>
            </w:pPr>
            <w:r>
              <w:rPr>
                <w:i/>
                <w:color w:val="000000"/>
                <w:sz w:val="24"/>
              </w:rPr>
              <w:t xml:space="preserve">Standard Methodology Plan and Policy Report </w:t>
            </w:r>
          </w:p>
        </w:tc>
      </w:tr>
      <w:tr w:rsidR="005D1E39" w:rsidRPr="00E614D2" w14:paraId="4DDDCE1A" w14:textId="77777777" w:rsidTr="005D1E39">
        <w:trPr>
          <w:trHeight w:val="300"/>
        </w:trPr>
        <w:tc>
          <w:tcPr>
            <w:tcW w:w="984" w:type="pct"/>
            <w:shd w:val="clear" w:color="auto" w:fill="auto"/>
            <w:noWrap/>
            <w:vAlign w:val="bottom"/>
          </w:tcPr>
          <w:p w14:paraId="681AC278" w14:textId="77777777" w:rsidR="005D1E39" w:rsidRPr="00E614D2" w:rsidRDefault="005D1E39" w:rsidP="005D1E39">
            <w:pPr>
              <w:ind w:left="-90" w:right="-115"/>
              <w:rPr>
                <w:color w:val="000000"/>
                <w:sz w:val="24"/>
              </w:rPr>
            </w:pPr>
            <w:r>
              <w:rPr>
                <w:color w:val="000000"/>
                <w:sz w:val="24"/>
              </w:rPr>
              <w:t>Operations Analyst</w:t>
            </w:r>
          </w:p>
        </w:tc>
        <w:tc>
          <w:tcPr>
            <w:tcW w:w="787" w:type="pct"/>
            <w:shd w:val="clear" w:color="auto" w:fill="auto"/>
            <w:noWrap/>
            <w:vAlign w:val="bottom"/>
          </w:tcPr>
          <w:p w14:paraId="65A357F9" w14:textId="77777777" w:rsidR="005D1E39" w:rsidRPr="00E614D2" w:rsidRDefault="005D1E39" w:rsidP="005D1E39">
            <w:pPr>
              <w:jc w:val="right"/>
              <w:rPr>
                <w:color w:val="000000"/>
                <w:sz w:val="24"/>
              </w:rPr>
            </w:pPr>
            <w:r>
              <w:rPr>
                <w:color w:val="000000"/>
                <w:sz w:val="24"/>
              </w:rPr>
              <w:t>$55</w:t>
            </w:r>
            <w:r w:rsidRPr="00E614D2">
              <w:rPr>
                <w:color w:val="000000"/>
                <w:sz w:val="24"/>
              </w:rPr>
              <w:t>.00</w:t>
            </w:r>
          </w:p>
        </w:tc>
        <w:tc>
          <w:tcPr>
            <w:tcW w:w="554" w:type="pct"/>
            <w:shd w:val="clear" w:color="auto" w:fill="auto"/>
            <w:noWrap/>
            <w:vAlign w:val="center"/>
          </w:tcPr>
          <w:p w14:paraId="4672D841" w14:textId="77777777" w:rsidR="005D1E39" w:rsidRPr="00927CBC" w:rsidRDefault="00D00675" w:rsidP="00D00675">
            <w:pPr>
              <w:jc w:val="right"/>
              <w:rPr>
                <w:color w:val="000000"/>
                <w:sz w:val="24"/>
              </w:rPr>
            </w:pPr>
            <w:r>
              <w:rPr>
                <w:color w:val="000000"/>
                <w:sz w:val="24"/>
              </w:rPr>
              <w:t>10</w:t>
            </w:r>
          </w:p>
        </w:tc>
        <w:tc>
          <w:tcPr>
            <w:tcW w:w="787" w:type="pct"/>
            <w:shd w:val="clear" w:color="auto" w:fill="auto"/>
            <w:noWrap/>
            <w:vAlign w:val="center"/>
          </w:tcPr>
          <w:p w14:paraId="3EDF0590" w14:textId="77777777" w:rsidR="005D1E39" w:rsidRPr="00E614D2" w:rsidRDefault="00B054A9" w:rsidP="00D00675">
            <w:pPr>
              <w:jc w:val="right"/>
              <w:rPr>
                <w:color w:val="000000"/>
                <w:sz w:val="24"/>
              </w:rPr>
            </w:pPr>
            <w:r>
              <w:rPr>
                <w:color w:val="000000"/>
                <w:sz w:val="24"/>
              </w:rPr>
              <w:t>$</w:t>
            </w:r>
            <w:r w:rsidR="00D00675">
              <w:rPr>
                <w:color w:val="000000"/>
                <w:sz w:val="24"/>
              </w:rPr>
              <w:t>550</w:t>
            </w:r>
            <w:r w:rsidR="00971C32">
              <w:rPr>
                <w:color w:val="000000"/>
                <w:sz w:val="24"/>
              </w:rPr>
              <w:t>.00</w:t>
            </w:r>
          </w:p>
        </w:tc>
        <w:tc>
          <w:tcPr>
            <w:tcW w:w="786" w:type="pct"/>
          </w:tcPr>
          <w:p w14:paraId="0CE537E3" w14:textId="77777777" w:rsidR="005D1E39" w:rsidRPr="00E614D2" w:rsidRDefault="005D1E39" w:rsidP="005D1E39">
            <w:pPr>
              <w:jc w:val="right"/>
              <w:rPr>
                <w:color w:val="000000"/>
                <w:sz w:val="24"/>
              </w:rPr>
            </w:pPr>
            <w:r>
              <w:rPr>
                <w:color w:val="000000"/>
                <w:sz w:val="24"/>
              </w:rPr>
              <w:t>104</w:t>
            </w:r>
          </w:p>
        </w:tc>
        <w:tc>
          <w:tcPr>
            <w:tcW w:w="1102" w:type="pct"/>
            <w:shd w:val="clear" w:color="auto" w:fill="auto"/>
            <w:noWrap/>
            <w:vAlign w:val="center"/>
          </w:tcPr>
          <w:p w14:paraId="509DB962" w14:textId="77777777" w:rsidR="005D1E39" w:rsidRPr="00E614D2" w:rsidRDefault="001D7383" w:rsidP="00D00675">
            <w:pPr>
              <w:jc w:val="right"/>
              <w:rPr>
                <w:color w:val="000000"/>
                <w:sz w:val="24"/>
              </w:rPr>
            </w:pPr>
            <w:r>
              <w:rPr>
                <w:color w:val="000000"/>
                <w:sz w:val="24"/>
              </w:rPr>
              <w:t>$</w:t>
            </w:r>
            <w:r w:rsidR="00D00675">
              <w:rPr>
                <w:color w:val="000000"/>
                <w:sz w:val="24"/>
              </w:rPr>
              <w:t>57.200</w:t>
            </w:r>
          </w:p>
        </w:tc>
      </w:tr>
      <w:tr w:rsidR="005D1E39" w:rsidRPr="00E614D2" w14:paraId="636EA6A0" w14:textId="77777777" w:rsidTr="005D1E39">
        <w:trPr>
          <w:trHeight w:val="300"/>
        </w:trPr>
        <w:tc>
          <w:tcPr>
            <w:tcW w:w="984" w:type="pct"/>
            <w:shd w:val="clear" w:color="auto" w:fill="auto"/>
            <w:noWrap/>
            <w:vAlign w:val="bottom"/>
          </w:tcPr>
          <w:p w14:paraId="51388BB1" w14:textId="77777777" w:rsidR="005D1E39" w:rsidRPr="00E614D2" w:rsidRDefault="005D1E39" w:rsidP="005D1E39">
            <w:pPr>
              <w:ind w:left="-90" w:right="-115"/>
              <w:rPr>
                <w:color w:val="000000"/>
                <w:sz w:val="24"/>
              </w:rPr>
            </w:pPr>
            <w:r>
              <w:rPr>
                <w:color w:val="000000"/>
                <w:sz w:val="24"/>
              </w:rPr>
              <w:t xml:space="preserve">Senior manager </w:t>
            </w:r>
          </w:p>
        </w:tc>
        <w:tc>
          <w:tcPr>
            <w:tcW w:w="787" w:type="pct"/>
            <w:shd w:val="clear" w:color="auto" w:fill="auto"/>
            <w:noWrap/>
            <w:vAlign w:val="bottom"/>
          </w:tcPr>
          <w:p w14:paraId="0153F3C0" w14:textId="77777777" w:rsidR="005D1E39" w:rsidRPr="00E614D2" w:rsidRDefault="005D1E39" w:rsidP="005D1E39">
            <w:pPr>
              <w:jc w:val="right"/>
              <w:rPr>
                <w:color w:val="000000"/>
                <w:sz w:val="24"/>
              </w:rPr>
            </w:pPr>
            <w:r>
              <w:rPr>
                <w:color w:val="000000"/>
                <w:sz w:val="24"/>
              </w:rPr>
              <w:t>$79.08</w:t>
            </w:r>
          </w:p>
        </w:tc>
        <w:tc>
          <w:tcPr>
            <w:tcW w:w="554" w:type="pct"/>
            <w:shd w:val="clear" w:color="auto" w:fill="auto"/>
            <w:noWrap/>
            <w:vAlign w:val="center"/>
          </w:tcPr>
          <w:p w14:paraId="0CBAB630" w14:textId="77777777" w:rsidR="005D1E39" w:rsidRPr="00927CBC" w:rsidRDefault="00D00675" w:rsidP="00D00675">
            <w:pPr>
              <w:jc w:val="right"/>
              <w:rPr>
                <w:color w:val="000000"/>
                <w:sz w:val="24"/>
              </w:rPr>
            </w:pPr>
            <w:r>
              <w:rPr>
                <w:color w:val="000000"/>
                <w:sz w:val="24"/>
              </w:rPr>
              <w:t>5</w:t>
            </w:r>
          </w:p>
        </w:tc>
        <w:tc>
          <w:tcPr>
            <w:tcW w:w="787" w:type="pct"/>
            <w:shd w:val="clear" w:color="auto" w:fill="auto"/>
            <w:noWrap/>
            <w:vAlign w:val="center"/>
          </w:tcPr>
          <w:p w14:paraId="71EC1412" w14:textId="77777777" w:rsidR="005D1E39" w:rsidRPr="00E614D2" w:rsidRDefault="005D1E39" w:rsidP="00D00675">
            <w:pPr>
              <w:jc w:val="right"/>
              <w:rPr>
                <w:color w:val="000000"/>
                <w:sz w:val="24"/>
              </w:rPr>
            </w:pPr>
            <w:r>
              <w:rPr>
                <w:color w:val="000000"/>
                <w:sz w:val="24"/>
              </w:rPr>
              <w:t>$</w:t>
            </w:r>
            <w:r w:rsidR="00D00675">
              <w:rPr>
                <w:color w:val="000000"/>
                <w:sz w:val="24"/>
              </w:rPr>
              <w:t>395.40</w:t>
            </w:r>
          </w:p>
        </w:tc>
        <w:tc>
          <w:tcPr>
            <w:tcW w:w="786" w:type="pct"/>
          </w:tcPr>
          <w:p w14:paraId="08CAEA92" w14:textId="77777777" w:rsidR="005D1E39" w:rsidRPr="00E614D2" w:rsidRDefault="005D1E39" w:rsidP="005D1E39">
            <w:pPr>
              <w:jc w:val="right"/>
              <w:rPr>
                <w:color w:val="000000"/>
                <w:sz w:val="24"/>
              </w:rPr>
            </w:pPr>
            <w:r>
              <w:rPr>
                <w:color w:val="000000"/>
                <w:sz w:val="24"/>
              </w:rPr>
              <w:t>104</w:t>
            </w:r>
          </w:p>
        </w:tc>
        <w:tc>
          <w:tcPr>
            <w:tcW w:w="1102" w:type="pct"/>
            <w:shd w:val="clear" w:color="auto" w:fill="auto"/>
            <w:noWrap/>
            <w:vAlign w:val="center"/>
          </w:tcPr>
          <w:p w14:paraId="6B958DD2" w14:textId="77777777" w:rsidR="005D1E39" w:rsidRPr="00E614D2" w:rsidRDefault="001D7383" w:rsidP="00D00675">
            <w:pPr>
              <w:jc w:val="right"/>
              <w:rPr>
                <w:color w:val="000000"/>
                <w:sz w:val="24"/>
              </w:rPr>
            </w:pPr>
            <w:r>
              <w:rPr>
                <w:color w:val="000000"/>
                <w:sz w:val="24"/>
              </w:rPr>
              <w:t>$</w:t>
            </w:r>
            <w:r w:rsidR="00D00675">
              <w:rPr>
                <w:color w:val="000000"/>
                <w:sz w:val="24"/>
              </w:rPr>
              <w:t>41,121.6</w:t>
            </w:r>
          </w:p>
        </w:tc>
      </w:tr>
      <w:tr w:rsidR="005D1E39" w:rsidRPr="003E1357" w14:paraId="0A132D34" w14:textId="77777777" w:rsidTr="005D1E39">
        <w:trPr>
          <w:trHeight w:val="318"/>
        </w:trPr>
        <w:tc>
          <w:tcPr>
            <w:tcW w:w="984" w:type="pct"/>
            <w:shd w:val="clear" w:color="auto" w:fill="auto"/>
            <w:vAlign w:val="bottom"/>
          </w:tcPr>
          <w:p w14:paraId="26FB3359" w14:textId="77777777" w:rsidR="005D1E39" w:rsidRPr="003E1357" w:rsidRDefault="005D1E39" w:rsidP="005D1E39">
            <w:pPr>
              <w:widowControl/>
              <w:autoSpaceDE/>
              <w:autoSpaceDN/>
              <w:adjustRightInd/>
              <w:ind w:left="-90" w:right="-115"/>
              <w:rPr>
                <w:b/>
                <w:color w:val="000000"/>
                <w:sz w:val="24"/>
              </w:rPr>
            </w:pPr>
            <w:r>
              <w:rPr>
                <w:b/>
                <w:color w:val="000000"/>
                <w:sz w:val="24"/>
              </w:rPr>
              <w:t xml:space="preserve">Total </w:t>
            </w:r>
          </w:p>
        </w:tc>
        <w:tc>
          <w:tcPr>
            <w:tcW w:w="787" w:type="pct"/>
            <w:shd w:val="clear" w:color="auto" w:fill="auto"/>
            <w:noWrap/>
            <w:vAlign w:val="bottom"/>
          </w:tcPr>
          <w:p w14:paraId="0DEDB467" w14:textId="77777777" w:rsidR="005D1E39" w:rsidRPr="003E1357" w:rsidRDefault="005D1E39" w:rsidP="005D1E39">
            <w:pPr>
              <w:widowControl/>
              <w:autoSpaceDE/>
              <w:autoSpaceDN/>
              <w:adjustRightInd/>
              <w:rPr>
                <w:b/>
                <w:color w:val="000000"/>
                <w:sz w:val="24"/>
              </w:rPr>
            </w:pPr>
          </w:p>
        </w:tc>
        <w:tc>
          <w:tcPr>
            <w:tcW w:w="554" w:type="pct"/>
            <w:shd w:val="clear" w:color="auto" w:fill="auto"/>
            <w:noWrap/>
            <w:vAlign w:val="center"/>
          </w:tcPr>
          <w:p w14:paraId="732E8970" w14:textId="77777777" w:rsidR="005D1E39" w:rsidRPr="00805A84" w:rsidRDefault="005D1E39" w:rsidP="005D1E39">
            <w:pPr>
              <w:jc w:val="right"/>
              <w:rPr>
                <w:b/>
                <w:color w:val="000000"/>
                <w:sz w:val="24"/>
              </w:rPr>
            </w:pPr>
          </w:p>
        </w:tc>
        <w:tc>
          <w:tcPr>
            <w:tcW w:w="787" w:type="pct"/>
            <w:shd w:val="clear" w:color="auto" w:fill="auto"/>
            <w:noWrap/>
            <w:vAlign w:val="center"/>
          </w:tcPr>
          <w:p w14:paraId="5B5B8C77" w14:textId="77777777" w:rsidR="005D1E39" w:rsidRPr="00805A84" w:rsidRDefault="005D1E39" w:rsidP="00D00675">
            <w:pPr>
              <w:jc w:val="right"/>
              <w:rPr>
                <w:b/>
                <w:color w:val="000000"/>
                <w:sz w:val="24"/>
              </w:rPr>
            </w:pPr>
            <w:r w:rsidRPr="00805A84">
              <w:rPr>
                <w:b/>
                <w:color w:val="000000"/>
                <w:sz w:val="24"/>
              </w:rPr>
              <w:t>$</w:t>
            </w:r>
            <w:r w:rsidR="00D00675">
              <w:rPr>
                <w:b/>
                <w:color w:val="000000"/>
                <w:sz w:val="24"/>
              </w:rPr>
              <w:t>945.40</w:t>
            </w:r>
          </w:p>
        </w:tc>
        <w:tc>
          <w:tcPr>
            <w:tcW w:w="786" w:type="pct"/>
          </w:tcPr>
          <w:p w14:paraId="622897F5" w14:textId="77777777" w:rsidR="005D1E39" w:rsidRPr="003E1357" w:rsidRDefault="005D1E39" w:rsidP="005D1E39">
            <w:pPr>
              <w:rPr>
                <w:b/>
                <w:color w:val="000000"/>
                <w:sz w:val="24"/>
              </w:rPr>
            </w:pPr>
          </w:p>
        </w:tc>
        <w:tc>
          <w:tcPr>
            <w:tcW w:w="1102" w:type="pct"/>
            <w:shd w:val="clear" w:color="auto" w:fill="auto"/>
            <w:noWrap/>
            <w:vAlign w:val="center"/>
          </w:tcPr>
          <w:p w14:paraId="4A5A6CF7" w14:textId="77777777" w:rsidR="005D1E39" w:rsidRPr="003E1357" w:rsidRDefault="00B054A9" w:rsidP="00D00675">
            <w:pPr>
              <w:jc w:val="right"/>
              <w:rPr>
                <w:b/>
                <w:color w:val="000000"/>
                <w:sz w:val="24"/>
              </w:rPr>
            </w:pPr>
            <w:r>
              <w:rPr>
                <w:b/>
                <w:color w:val="000000"/>
                <w:sz w:val="24"/>
              </w:rPr>
              <w:t>$</w:t>
            </w:r>
            <w:r w:rsidR="00D00675">
              <w:rPr>
                <w:b/>
                <w:color w:val="000000"/>
                <w:sz w:val="24"/>
              </w:rPr>
              <w:t>98,321.6</w:t>
            </w:r>
          </w:p>
        </w:tc>
      </w:tr>
      <w:tr w:rsidR="005D1E39" w:rsidRPr="0043704C" w14:paraId="22B2C9DD" w14:textId="77777777" w:rsidTr="005D1E39">
        <w:trPr>
          <w:trHeight w:val="318"/>
        </w:trPr>
        <w:tc>
          <w:tcPr>
            <w:tcW w:w="5000" w:type="pct"/>
            <w:gridSpan w:val="6"/>
            <w:shd w:val="clear" w:color="auto" w:fill="auto"/>
            <w:vAlign w:val="bottom"/>
          </w:tcPr>
          <w:p w14:paraId="1CB9E5D4" w14:textId="77777777" w:rsidR="005D1E39" w:rsidRPr="0043704C" w:rsidRDefault="005D1E39" w:rsidP="005D1E39">
            <w:pPr>
              <w:ind w:left="-90" w:right="-115"/>
              <w:rPr>
                <w:i/>
                <w:color w:val="000000"/>
                <w:sz w:val="24"/>
              </w:rPr>
            </w:pPr>
            <w:r>
              <w:rPr>
                <w:i/>
                <w:color w:val="000000"/>
                <w:sz w:val="24"/>
              </w:rPr>
              <w:t>Simplified Methodology Effective Parameters Report and Plan and Policy Report</w:t>
            </w:r>
          </w:p>
        </w:tc>
      </w:tr>
      <w:tr w:rsidR="007261A2" w:rsidRPr="00E614D2" w14:paraId="6C59C585" w14:textId="77777777" w:rsidTr="005D1E39">
        <w:trPr>
          <w:trHeight w:val="318"/>
        </w:trPr>
        <w:tc>
          <w:tcPr>
            <w:tcW w:w="984" w:type="pct"/>
            <w:shd w:val="clear" w:color="auto" w:fill="auto"/>
            <w:vAlign w:val="bottom"/>
          </w:tcPr>
          <w:p w14:paraId="3FF6E094" w14:textId="77777777" w:rsidR="007261A2" w:rsidRDefault="007261A2" w:rsidP="00B054A9">
            <w:pPr>
              <w:widowControl/>
              <w:autoSpaceDE/>
              <w:autoSpaceDN/>
              <w:adjustRightInd/>
              <w:ind w:left="-90" w:right="-115"/>
              <w:rPr>
                <w:color w:val="000000"/>
                <w:sz w:val="24"/>
              </w:rPr>
            </w:pPr>
            <w:r>
              <w:rPr>
                <w:color w:val="000000"/>
                <w:sz w:val="24"/>
              </w:rPr>
              <w:t>Actuary</w:t>
            </w:r>
          </w:p>
        </w:tc>
        <w:tc>
          <w:tcPr>
            <w:tcW w:w="787" w:type="pct"/>
            <w:shd w:val="clear" w:color="auto" w:fill="auto"/>
            <w:noWrap/>
            <w:vAlign w:val="bottom"/>
          </w:tcPr>
          <w:p w14:paraId="7D125791" w14:textId="77777777" w:rsidR="007261A2" w:rsidRDefault="007261A2" w:rsidP="00B054A9">
            <w:pPr>
              <w:jc w:val="right"/>
              <w:rPr>
                <w:color w:val="000000"/>
                <w:sz w:val="24"/>
              </w:rPr>
            </w:pPr>
            <w:r>
              <w:rPr>
                <w:color w:val="000000"/>
                <w:sz w:val="24"/>
              </w:rPr>
              <w:t>$69.93</w:t>
            </w:r>
          </w:p>
        </w:tc>
        <w:tc>
          <w:tcPr>
            <w:tcW w:w="554" w:type="pct"/>
            <w:shd w:val="clear" w:color="auto" w:fill="auto"/>
            <w:noWrap/>
            <w:vAlign w:val="center"/>
          </w:tcPr>
          <w:p w14:paraId="43B652A8" w14:textId="77777777" w:rsidR="007261A2" w:rsidRDefault="007261A2" w:rsidP="00D00675">
            <w:pPr>
              <w:jc w:val="right"/>
              <w:rPr>
                <w:color w:val="000000"/>
                <w:sz w:val="24"/>
              </w:rPr>
            </w:pPr>
            <w:r>
              <w:rPr>
                <w:color w:val="000000"/>
                <w:sz w:val="24"/>
              </w:rPr>
              <w:t xml:space="preserve">  </w:t>
            </w:r>
            <w:r w:rsidR="00D00675">
              <w:rPr>
                <w:color w:val="000000"/>
                <w:sz w:val="24"/>
              </w:rPr>
              <w:t>10</w:t>
            </w:r>
          </w:p>
        </w:tc>
        <w:tc>
          <w:tcPr>
            <w:tcW w:w="787" w:type="pct"/>
            <w:shd w:val="clear" w:color="auto" w:fill="auto"/>
            <w:noWrap/>
            <w:vAlign w:val="center"/>
          </w:tcPr>
          <w:p w14:paraId="448DCFF9" w14:textId="77777777" w:rsidR="007261A2" w:rsidRDefault="007261A2" w:rsidP="00D00675">
            <w:pPr>
              <w:jc w:val="right"/>
              <w:rPr>
                <w:color w:val="000000"/>
                <w:sz w:val="24"/>
              </w:rPr>
            </w:pPr>
            <w:r>
              <w:rPr>
                <w:color w:val="000000"/>
                <w:sz w:val="24"/>
              </w:rPr>
              <w:t>$</w:t>
            </w:r>
            <w:r w:rsidR="00D00675">
              <w:rPr>
                <w:color w:val="000000"/>
                <w:sz w:val="24"/>
              </w:rPr>
              <w:t>699.3</w:t>
            </w:r>
          </w:p>
        </w:tc>
        <w:tc>
          <w:tcPr>
            <w:tcW w:w="786" w:type="pct"/>
          </w:tcPr>
          <w:p w14:paraId="0F704E3D" w14:textId="77777777" w:rsidR="007261A2" w:rsidRDefault="007261A2" w:rsidP="00B054A9">
            <w:pPr>
              <w:jc w:val="right"/>
              <w:rPr>
                <w:color w:val="000000"/>
                <w:sz w:val="24"/>
              </w:rPr>
            </w:pPr>
            <w:r>
              <w:rPr>
                <w:color w:val="000000"/>
                <w:sz w:val="24"/>
              </w:rPr>
              <w:t>191</w:t>
            </w:r>
          </w:p>
        </w:tc>
        <w:tc>
          <w:tcPr>
            <w:tcW w:w="1102" w:type="pct"/>
            <w:shd w:val="clear" w:color="auto" w:fill="auto"/>
            <w:noWrap/>
            <w:vAlign w:val="center"/>
          </w:tcPr>
          <w:p w14:paraId="62763846" w14:textId="77777777" w:rsidR="007261A2" w:rsidRPr="00E614D2" w:rsidRDefault="007261A2" w:rsidP="00D00675">
            <w:pPr>
              <w:jc w:val="right"/>
              <w:rPr>
                <w:color w:val="000000"/>
                <w:sz w:val="24"/>
              </w:rPr>
            </w:pPr>
            <w:r>
              <w:rPr>
                <w:color w:val="000000"/>
                <w:sz w:val="24"/>
              </w:rPr>
              <w:t>$</w:t>
            </w:r>
            <w:r w:rsidR="00D00675">
              <w:rPr>
                <w:color w:val="000000"/>
                <w:sz w:val="24"/>
              </w:rPr>
              <w:t>133,566.30</w:t>
            </w:r>
          </w:p>
        </w:tc>
      </w:tr>
      <w:tr w:rsidR="00B054A9" w:rsidRPr="00E614D2" w14:paraId="7777BA22" w14:textId="77777777" w:rsidTr="005D1E39">
        <w:trPr>
          <w:trHeight w:val="318"/>
        </w:trPr>
        <w:tc>
          <w:tcPr>
            <w:tcW w:w="984" w:type="pct"/>
            <w:shd w:val="clear" w:color="auto" w:fill="auto"/>
            <w:vAlign w:val="bottom"/>
          </w:tcPr>
          <w:p w14:paraId="4AFB7554" w14:textId="77777777" w:rsidR="00B054A9" w:rsidRPr="00E614D2" w:rsidRDefault="00B054A9" w:rsidP="00B054A9">
            <w:pPr>
              <w:widowControl/>
              <w:autoSpaceDE/>
              <w:autoSpaceDN/>
              <w:adjustRightInd/>
              <w:ind w:left="-90" w:right="-115"/>
              <w:rPr>
                <w:color w:val="000000"/>
                <w:sz w:val="24"/>
              </w:rPr>
            </w:pPr>
            <w:r>
              <w:rPr>
                <w:color w:val="000000"/>
                <w:sz w:val="24"/>
              </w:rPr>
              <w:t>Operations Analyst</w:t>
            </w:r>
          </w:p>
        </w:tc>
        <w:tc>
          <w:tcPr>
            <w:tcW w:w="787" w:type="pct"/>
            <w:shd w:val="clear" w:color="auto" w:fill="auto"/>
            <w:noWrap/>
            <w:vAlign w:val="bottom"/>
          </w:tcPr>
          <w:p w14:paraId="2BD0F4A7" w14:textId="77777777" w:rsidR="00B054A9" w:rsidRPr="00E614D2" w:rsidRDefault="00B054A9" w:rsidP="00B054A9">
            <w:pPr>
              <w:jc w:val="right"/>
              <w:rPr>
                <w:color w:val="000000"/>
                <w:sz w:val="24"/>
              </w:rPr>
            </w:pPr>
            <w:r>
              <w:rPr>
                <w:color w:val="000000"/>
                <w:sz w:val="24"/>
              </w:rPr>
              <w:t>$55</w:t>
            </w:r>
            <w:r w:rsidRPr="00E614D2">
              <w:rPr>
                <w:color w:val="000000"/>
                <w:sz w:val="24"/>
              </w:rPr>
              <w:t>.00</w:t>
            </w:r>
          </w:p>
        </w:tc>
        <w:tc>
          <w:tcPr>
            <w:tcW w:w="554" w:type="pct"/>
            <w:shd w:val="clear" w:color="auto" w:fill="auto"/>
            <w:noWrap/>
            <w:vAlign w:val="center"/>
          </w:tcPr>
          <w:p w14:paraId="0A467C0B" w14:textId="77777777" w:rsidR="00B054A9" w:rsidRPr="00E614D2" w:rsidRDefault="00D00675" w:rsidP="00D00675">
            <w:pPr>
              <w:jc w:val="right"/>
              <w:rPr>
                <w:color w:val="000000"/>
                <w:sz w:val="24"/>
              </w:rPr>
            </w:pPr>
            <w:r>
              <w:rPr>
                <w:color w:val="000000"/>
                <w:sz w:val="24"/>
              </w:rPr>
              <w:t>10</w:t>
            </w:r>
          </w:p>
        </w:tc>
        <w:tc>
          <w:tcPr>
            <w:tcW w:w="787" w:type="pct"/>
            <w:shd w:val="clear" w:color="auto" w:fill="auto"/>
            <w:noWrap/>
            <w:vAlign w:val="center"/>
          </w:tcPr>
          <w:p w14:paraId="4D116F83" w14:textId="77777777" w:rsidR="00B054A9" w:rsidRPr="00E614D2" w:rsidRDefault="001D7383" w:rsidP="00D00675">
            <w:pPr>
              <w:jc w:val="right"/>
              <w:rPr>
                <w:color w:val="000000"/>
                <w:sz w:val="24"/>
              </w:rPr>
            </w:pPr>
            <w:r>
              <w:rPr>
                <w:color w:val="000000"/>
                <w:sz w:val="24"/>
              </w:rPr>
              <w:t>$</w:t>
            </w:r>
            <w:r w:rsidR="00D00675">
              <w:rPr>
                <w:color w:val="000000"/>
                <w:sz w:val="24"/>
              </w:rPr>
              <w:t>550</w:t>
            </w:r>
            <w:r>
              <w:rPr>
                <w:color w:val="000000"/>
                <w:sz w:val="24"/>
              </w:rPr>
              <w:t>.00</w:t>
            </w:r>
          </w:p>
        </w:tc>
        <w:tc>
          <w:tcPr>
            <w:tcW w:w="786" w:type="pct"/>
          </w:tcPr>
          <w:p w14:paraId="30EFD34D" w14:textId="77777777" w:rsidR="00B054A9" w:rsidRPr="00E614D2" w:rsidRDefault="00971C32" w:rsidP="00B054A9">
            <w:pPr>
              <w:jc w:val="right"/>
              <w:rPr>
                <w:color w:val="000000"/>
                <w:sz w:val="24"/>
              </w:rPr>
            </w:pPr>
            <w:r>
              <w:rPr>
                <w:color w:val="000000"/>
                <w:sz w:val="24"/>
              </w:rPr>
              <w:t>191</w:t>
            </w:r>
          </w:p>
        </w:tc>
        <w:tc>
          <w:tcPr>
            <w:tcW w:w="1102" w:type="pct"/>
            <w:shd w:val="clear" w:color="auto" w:fill="auto"/>
            <w:noWrap/>
            <w:vAlign w:val="center"/>
          </w:tcPr>
          <w:p w14:paraId="7B89FB39" w14:textId="77777777" w:rsidR="00B054A9" w:rsidRPr="006B5F77" w:rsidRDefault="006B5F77" w:rsidP="00D00675">
            <w:pPr>
              <w:jc w:val="right"/>
              <w:rPr>
                <w:sz w:val="24"/>
              </w:rPr>
            </w:pPr>
            <w:r w:rsidRPr="006B5F77">
              <w:rPr>
                <w:sz w:val="24"/>
              </w:rPr>
              <w:t>$10</w:t>
            </w:r>
            <w:r w:rsidR="00D00675">
              <w:rPr>
                <w:sz w:val="24"/>
              </w:rPr>
              <w:t>5</w:t>
            </w:r>
            <w:r w:rsidRPr="006B5F77">
              <w:rPr>
                <w:sz w:val="24"/>
              </w:rPr>
              <w:t>,</w:t>
            </w:r>
            <w:r w:rsidR="00D00675">
              <w:rPr>
                <w:sz w:val="24"/>
              </w:rPr>
              <w:t>0</w:t>
            </w:r>
            <w:r w:rsidRPr="006B5F77">
              <w:rPr>
                <w:sz w:val="24"/>
              </w:rPr>
              <w:t>50.00</w:t>
            </w:r>
          </w:p>
        </w:tc>
      </w:tr>
      <w:tr w:rsidR="00B054A9" w:rsidRPr="00E614D2" w14:paraId="487F135A" w14:textId="77777777" w:rsidTr="005D1E39">
        <w:trPr>
          <w:trHeight w:val="345"/>
        </w:trPr>
        <w:tc>
          <w:tcPr>
            <w:tcW w:w="984" w:type="pct"/>
            <w:shd w:val="clear" w:color="auto" w:fill="auto"/>
            <w:vAlign w:val="bottom"/>
          </w:tcPr>
          <w:p w14:paraId="472C9114" w14:textId="77777777" w:rsidR="00B054A9" w:rsidRPr="00E614D2" w:rsidRDefault="00B054A9" w:rsidP="00B054A9">
            <w:pPr>
              <w:widowControl/>
              <w:autoSpaceDE/>
              <w:autoSpaceDN/>
              <w:adjustRightInd/>
              <w:rPr>
                <w:color w:val="000000"/>
                <w:sz w:val="24"/>
              </w:rPr>
            </w:pPr>
            <w:r>
              <w:rPr>
                <w:color w:val="000000"/>
                <w:sz w:val="24"/>
              </w:rPr>
              <w:t xml:space="preserve">Senior Manager </w:t>
            </w:r>
          </w:p>
        </w:tc>
        <w:tc>
          <w:tcPr>
            <w:tcW w:w="787" w:type="pct"/>
            <w:shd w:val="clear" w:color="auto" w:fill="auto"/>
            <w:noWrap/>
            <w:vAlign w:val="bottom"/>
          </w:tcPr>
          <w:p w14:paraId="13C6874E" w14:textId="77777777" w:rsidR="00B054A9" w:rsidRPr="00E614D2" w:rsidRDefault="00B054A9" w:rsidP="00B054A9">
            <w:pPr>
              <w:jc w:val="right"/>
              <w:rPr>
                <w:color w:val="000000"/>
                <w:sz w:val="24"/>
              </w:rPr>
            </w:pPr>
            <w:r>
              <w:rPr>
                <w:color w:val="000000"/>
                <w:sz w:val="24"/>
              </w:rPr>
              <w:t>$79.08</w:t>
            </w:r>
          </w:p>
        </w:tc>
        <w:tc>
          <w:tcPr>
            <w:tcW w:w="554" w:type="pct"/>
            <w:shd w:val="clear" w:color="auto" w:fill="auto"/>
            <w:noWrap/>
            <w:vAlign w:val="center"/>
          </w:tcPr>
          <w:p w14:paraId="42418969" w14:textId="77777777" w:rsidR="00B054A9" w:rsidRPr="00E614D2" w:rsidRDefault="00D00675" w:rsidP="00D00675">
            <w:pPr>
              <w:jc w:val="right"/>
              <w:rPr>
                <w:color w:val="000000"/>
                <w:sz w:val="24"/>
              </w:rPr>
            </w:pPr>
            <w:r>
              <w:rPr>
                <w:color w:val="000000"/>
                <w:sz w:val="24"/>
              </w:rPr>
              <w:t>5</w:t>
            </w:r>
          </w:p>
        </w:tc>
        <w:tc>
          <w:tcPr>
            <w:tcW w:w="787" w:type="pct"/>
            <w:shd w:val="clear" w:color="auto" w:fill="auto"/>
            <w:noWrap/>
            <w:vAlign w:val="center"/>
          </w:tcPr>
          <w:p w14:paraId="67416552" w14:textId="77777777" w:rsidR="00B054A9" w:rsidRPr="00E614D2" w:rsidRDefault="001D7383" w:rsidP="005E580C">
            <w:pPr>
              <w:jc w:val="right"/>
              <w:rPr>
                <w:color w:val="000000"/>
                <w:sz w:val="24"/>
              </w:rPr>
            </w:pPr>
            <w:r>
              <w:rPr>
                <w:color w:val="000000"/>
                <w:sz w:val="24"/>
              </w:rPr>
              <w:t>$39</w:t>
            </w:r>
            <w:r w:rsidR="005E580C">
              <w:rPr>
                <w:color w:val="000000"/>
                <w:sz w:val="24"/>
              </w:rPr>
              <w:t>4</w:t>
            </w:r>
            <w:r>
              <w:rPr>
                <w:color w:val="000000"/>
                <w:sz w:val="24"/>
              </w:rPr>
              <w:t>.</w:t>
            </w:r>
            <w:r w:rsidR="005E580C" w:rsidDel="005E580C">
              <w:rPr>
                <w:color w:val="000000"/>
                <w:sz w:val="24"/>
              </w:rPr>
              <w:t xml:space="preserve"> </w:t>
            </w:r>
            <w:r>
              <w:rPr>
                <w:color w:val="000000"/>
                <w:sz w:val="24"/>
              </w:rPr>
              <w:t>4</w:t>
            </w:r>
            <w:r w:rsidR="005E580C">
              <w:rPr>
                <w:color w:val="000000"/>
                <w:sz w:val="24"/>
              </w:rPr>
              <w:t>0</w:t>
            </w:r>
          </w:p>
        </w:tc>
        <w:tc>
          <w:tcPr>
            <w:tcW w:w="786" w:type="pct"/>
          </w:tcPr>
          <w:p w14:paraId="52D8F55F" w14:textId="77777777" w:rsidR="00B054A9" w:rsidRPr="00E614D2" w:rsidRDefault="00971C32" w:rsidP="00B054A9">
            <w:pPr>
              <w:jc w:val="right"/>
              <w:rPr>
                <w:color w:val="000000"/>
                <w:sz w:val="24"/>
              </w:rPr>
            </w:pPr>
            <w:r>
              <w:rPr>
                <w:color w:val="000000"/>
                <w:sz w:val="24"/>
              </w:rPr>
              <w:t>191</w:t>
            </w:r>
          </w:p>
        </w:tc>
        <w:tc>
          <w:tcPr>
            <w:tcW w:w="1102" w:type="pct"/>
            <w:shd w:val="clear" w:color="auto" w:fill="auto"/>
            <w:noWrap/>
            <w:vAlign w:val="center"/>
          </w:tcPr>
          <w:p w14:paraId="684A1DA5" w14:textId="77777777" w:rsidR="006B5F77" w:rsidRPr="006B5F77" w:rsidRDefault="006B5F77" w:rsidP="006B5F77">
            <w:pPr>
              <w:jc w:val="right"/>
              <w:rPr>
                <w:sz w:val="24"/>
              </w:rPr>
            </w:pPr>
            <w:r w:rsidRPr="006B5F77">
              <w:rPr>
                <w:sz w:val="24"/>
              </w:rPr>
              <w:t>75</w:t>
            </w:r>
            <w:r w:rsidR="00D00675">
              <w:rPr>
                <w:sz w:val="24"/>
              </w:rPr>
              <w:t>,</w:t>
            </w:r>
            <w:r w:rsidRPr="006B5F77">
              <w:rPr>
                <w:sz w:val="24"/>
              </w:rPr>
              <w:t>52</w:t>
            </w:r>
            <w:r w:rsidR="00D00675">
              <w:rPr>
                <w:sz w:val="24"/>
              </w:rPr>
              <w:t>1</w:t>
            </w:r>
            <w:r w:rsidRPr="006B5F77">
              <w:rPr>
                <w:sz w:val="24"/>
              </w:rPr>
              <w:t>.</w:t>
            </w:r>
            <w:r w:rsidR="00D00675">
              <w:rPr>
                <w:sz w:val="24"/>
              </w:rPr>
              <w:t>40</w:t>
            </w:r>
            <w:r w:rsidRPr="006B5F77">
              <w:rPr>
                <w:sz w:val="24"/>
              </w:rPr>
              <w:t>4</w:t>
            </w:r>
          </w:p>
          <w:p w14:paraId="7E601E80" w14:textId="77777777" w:rsidR="00B054A9" w:rsidRPr="00805A84" w:rsidRDefault="00B054A9" w:rsidP="00B054A9">
            <w:pPr>
              <w:jc w:val="right"/>
              <w:rPr>
                <w:sz w:val="24"/>
              </w:rPr>
            </w:pPr>
          </w:p>
        </w:tc>
      </w:tr>
      <w:tr w:rsidR="00B054A9" w:rsidRPr="003E1357" w14:paraId="528A2E30" w14:textId="77777777" w:rsidTr="005D1E39">
        <w:trPr>
          <w:trHeight w:val="300"/>
        </w:trPr>
        <w:tc>
          <w:tcPr>
            <w:tcW w:w="984" w:type="pct"/>
            <w:shd w:val="clear" w:color="auto" w:fill="auto"/>
            <w:vAlign w:val="bottom"/>
          </w:tcPr>
          <w:p w14:paraId="4E165177" w14:textId="77777777" w:rsidR="00B054A9" w:rsidRPr="003E1357" w:rsidRDefault="00B054A9" w:rsidP="00B054A9">
            <w:pPr>
              <w:widowControl/>
              <w:autoSpaceDE/>
              <w:autoSpaceDN/>
              <w:adjustRightInd/>
              <w:ind w:left="-90" w:right="-115"/>
              <w:rPr>
                <w:b/>
                <w:color w:val="000000"/>
                <w:sz w:val="24"/>
              </w:rPr>
            </w:pPr>
            <w:r>
              <w:rPr>
                <w:b/>
                <w:color w:val="000000"/>
                <w:sz w:val="24"/>
              </w:rPr>
              <w:t xml:space="preserve">Total </w:t>
            </w:r>
          </w:p>
        </w:tc>
        <w:tc>
          <w:tcPr>
            <w:tcW w:w="787" w:type="pct"/>
            <w:shd w:val="clear" w:color="auto" w:fill="auto"/>
            <w:noWrap/>
            <w:vAlign w:val="bottom"/>
          </w:tcPr>
          <w:p w14:paraId="4940200A" w14:textId="77777777" w:rsidR="00B054A9" w:rsidRPr="003E1357" w:rsidRDefault="00B054A9" w:rsidP="00B054A9">
            <w:pPr>
              <w:widowControl/>
              <w:autoSpaceDE/>
              <w:autoSpaceDN/>
              <w:adjustRightInd/>
              <w:rPr>
                <w:b/>
                <w:color w:val="000000"/>
                <w:sz w:val="24"/>
              </w:rPr>
            </w:pPr>
          </w:p>
        </w:tc>
        <w:tc>
          <w:tcPr>
            <w:tcW w:w="554" w:type="pct"/>
            <w:shd w:val="clear" w:color="auto" w:fill="auto"/>
            <w:noWrap/>
            <w:vAlign w:val="center"/>
          </w:tcPr>
          <w:p w14:paraId="3C1A095B" w14:textId="77777777" w:rsidR="00B054A9" w:rsidRPr="003E1357" w:rsidRDefault="00B054A9" w:rsidP="00B054A9">
            <w:pPr>
              <w:jc w:val="right"/>
              <w:rPr>
                <w:b/>
                <w:color w:val="000000"/>
                <w:sz w:val="24"/>
              </w:rPr>
            </w:pPr>
          </w:p>
        </w:tc>
        <w:tc>
          <w:tcPr>
            <w:tcW w:w="787" w:type="pct"/>
            <w:shd w:val="clear" w:color="auto" w:fill="auto"/>
            <w:noWrap/>
            <w:vAlign w:val="center"/>
          </w:tcPr>
          <w:p w14:paraId="4DE5CD36" w14:textId="77777777" w:rsidR="00B054A9" w:rsidRPr="003E1357" w:rsidRDefault="001D7383" w:rsidP="00D27B5B">
            <w:pPr>
              <w:jc w:val="right"/>
              <w:rPr>
                <w:b/>
                <w:color w:val="000000"/>
                <w:sz w:val="24"/>
              </w:rPr>
            </w:pPr>
            <w:r>
              <w:rPr>
                <w:b/>
                <w:color w:val="000000"/>
                <w:sz w:val="24"/>
              </w:rPr>
              <w:t>$</w:t>
            </w:r>
            <w:r w:rsidR="00D00675">
              <w:rPr>
                <w:b/>
                <w:color w:val="000000"/>
                <w:sz w:val="24"/>
              </w:rPr>
              <w:t>1,644.70</w:t>
            </w:r>
          </w:p>
        </w:tc>
        <w:tc>
          <w:tcPr>
            <w:tcW w:w="786" w:type="pct"/>
          </w:tcPr>
          <w:p w14:paraId="03FE72B4" w14:textId="77777777" w:rsidR="00B054A9" w:rsidRPr="003E1357" w:rsidRDefault="00B054A9" w:rsidP="00B054A9">
            <w:pPr>
              <w:rPr>
                <w:b/>
                <w:color w:val="000000"/>
                <w:sz w:val="24"/>
              </w:rPr>
            </w:pPr>
          </w:p>
        </w:tc>
        <w:tc>
          <w:tcPr>
            <w:tcW w:w="1102" w:type="pct"/>
            <w:shd w:val="clear" w:color="auto" w:fill="auto"/>
            <w:noWrap/>
            <w:vAlign w:val="center"/>
          </w:tcPr>
          <w:p w14:paraId="53830DF3" w14:textId="77777777" w:rsidR="006B5F77" w:rsidRPr="006B5F77" w:rsidRDefault="006B5F77" w:rsidP="006B5F77">
            <w:pPr>
              <w:jc w:val="right"/>
              <w:rPr>
                <w:b/>
                <w:bCs/>
                <w:color w:val="000000"/>
                <w:sz w:val="24"/>
              </w:rPr>
            </w:pPr>
            <w:r w:rsidRPr="006B5F77">
              <w:rPr>
                <w:b/>
                <w:bCs/>
                <w:color w:val="000000"/>
                <w:sz w:val="24"/>
              </w:rPr>
              <w:t>$</w:t>
            </w:r>
            <w:r w:rsidR="00D00675">
              <w:rPr>
                <w:b/>
                <w:bCs/>
                <w:color w:val="000000"/>
                <w:sz w:val="24"/>
              </w:rPr>
              <w:t>314,137.70</w:t>
            </w:r>
            <w:r w:rsidRPr="006B5F77">
              <w:rPr>
                <w:b/>
                <w:bCs/>
                <w:color w:val="000000"/>
                <w:sz w:val="24"/>
              </w:rPr>
              <w:t xml:space="preserve"> </w:t>
            </w:r>
          </w:p>
          <w:p w14:paraId="65BB03B5" w14:textId="77777777" w:rsidR="00B054A9" w:rsidRPr="006B5F77" w:rsidRDefault="00B054A9" w:rsidP="00B054A9">
            <w:pPr>
              <w:jc w:val="right"/>
              <w:rPr>
                <w:b/>
                <w:color w:val="000000"/>
                <w:sz w:val="24"/>
              </w:rPr>
            </w:pPr>
          </w:p>
        </w:tc>
      </w:tr>
    </w:tbl>
    <w:p w14:paraId="1A1AD5CF" w14:textId="77777777" w:rsidR="00D607CE" w:rsidRDefault="00D607CE" w:rsidP="00F45442">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sz w:val="24"/>
        </w:rPr>
      </w:pPr>
    </w:p>
    <w:tbl>
      <w:tblPr>
        <w:tblpPr w:leftFromText="180" w:rightFromText="180" w:vertAnchor="text" w:horzAnchor="page" w:tblpX="1577" w:tblpY="-80"/>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15"/>
        <w:gridCol w:w="1532"/>
        <w:gridCol w:w="1078"/>
        <w:gridCol w:w="1532"/>
        <w:gridCol w:w="1530"/>
        <w:gridCol w:w="2145"/>
      </w:tblGrid>
      <w:tr w:rsidR="00D607CE" w:rsidRPr="00E614D2" w14:paraId="33DE0EAA" w14:textId="77777777" w:rsidTr="00C134D0">
        <w:trPr>
          <w:trHeight w:val="300"/>
        </w:trPr>
        <w:tc>
          <w:tcPr>
            <w:tcW w:w="5000" w:type="pct"/>
            <w:gridSpan w:val="6"/>
            <w:shd w:val="clear" w:color="auto" w:fill="auto"/>
            <w:noWrap/>
            <w:vAlign w:val="bottom"/>
          </w:tcPr>
          <w:p w14:paraId="12892F08" w14:textId="77777777" w:rsidR="00D607CE" w:rsidRPr="006747C9" w:rsidRDefault="00971C32" w:rsidP="00971C32">
            <w:pPr>
              <w:rPr>
                <w:i/>
                <w:color w:val="000000"/>
                <w:sz w:val="24"/>
              </w:rPr>
            </w:pPr>
            <w:r>
              <w:rPr>
                <w:i/>
                <w:color w:val="000000"/>
                <w:sz w:val="24"/>
              </w:rPr>
              <w:t>Simplified Actuarial Value Methodology Report</w:t>
            </w:r>
          </w:p>
        </w:tc>
      </w:tr>
      <w:tr w:rsidR="00971C32" w:rsidRPr="00E614D2" w14:paraId="437EB69B" w14:textId="77777777" w:rsidTr="00C134D0">
        <w:trPr>
          <w:trHeight w:val="300"/>
        </w:trPr>
        <w:tc>
          <w:tcPr>
            <w:tcW w:w="984" w:type="pct"/>
            <w:shd w:val="clear" w:color="auto" w:fill="auto"/>
            <w:noWrap/>
            <w:vAlign w:val="bottom"/>
          </w:tcPr>
          <w:p w14:paraId="68E5518B" w14:textId="77777777" w:rsidR="00971C32" w:rsidRPr="00E614D2" w:rsidRDefault="00971C32" w:rsidP="00971C32">
            <w:pPr>
              <w:widowControl/>
              <w:autoSpaceDE/>
              <w:autoSpaceDN/>
              <w:adjustRightInd/>
              <w:ind w:left="-90" w:right="-115"/>
              <w:rPr>
                <w:color w:val="000000"/>
                <w:sz w:val="24"/>
              </w:rPr>
            </w:pPr>
            <w:r>
              <w:rPr>
                <w:color w:val="000000"/>
                <w:sz w:val="24"/>
              </w:rPr>
              <w:t>Operations Analyst</w:t>
            </w:r>
          </w:p>
        </w:tc>
        <w:tc>
          <w:tcPr>
            <w:tcW w:w="787" w:type="pct"/>
            <w:shd w:val="clear" w:color="auto" w:fill="auto"/>
            <w:noWrap/>
            <w:vAlign w:val="bottom"/>
          </w:tcPr>
          <w:p w14:paraId="40762DC5" w14:textId="77777777" w:rsidR="00971C32" w:rsidRPr="00E614D2" w:rsidRDefault="00971C32" w:rsidP="00971C32">
            <w:pPr>
              <w:jc w:val="right"/>
              <w:rPr>
                <w:color w:val="000000"/>
                <w:sz w:val="24"/>
              </w:rPr>
            </w:pPr>
            <w:r>
              <w:rPr>
                <w:color w:val="000000"/>
                <w:sz w:val="24"/>
              </w:rPr>
              <w:t>$55</w:t>
            </w:r>
            <w:r w:rsidRPr="00E614D2">
              <w:rPr>
                <w:color w:val="000000"/>
                <w:sz w:val="24"/>
              </w:rPr>
              <w:t>.00</w:t>
            </w:r>
          </w:p>
        </w:tc>
        <w:tc>
          <w:tcPr>
            <w:tcW w:w="554" w:type="pct"/>
            <w:shd w:val="clear" w:color="auto" w:fill="auto"/>
            <w:noWrap/>
            <w:vAlign w:val="center"/>
          </w:tcPr>
          <w:p w14:paraId="10C6A41A" w14:textId="77777777" w:rsidR="00971C32" w:rsidRPr="00E614D2" w:rsidRDefault="00927CBC" w:rsidP="00927CBC">
            <w:pPr>
              <w:jc w:val="right"/>
              <w:rPr>
                <w:color w:val="000000"/>
                <w:sz w:val="24"/>
              </w:rPr>
            </w:pPr>
            <w:r>
              <w:rPr>
                <w:color w:val="000000"/>
                <w:sz w:val="24"/>
              </w:rPr>
              <w:t>1</w:t>
            </w:r>
          </w:p>
        </w:tc>
        <w:tc>
          <w:tcPr>
            <w:tcW w:w="787" w:type="pct"/>
            <w:shd w:val="clear" w:color="auto" w:fill="auto"/>
            <w:noWrap/>
            <w:vAlign w:val="center"/>
          </w:tcPr>
          <w:p w14:paraId="2F924280" w14:textId="77777777" w:rsidR="00971C32" w:rsidRPr="00E614D2" w:rsidRDefault="00971C32" w:rsidP="00971C32">
            <w:pPr>
              <w:jc w:val="right"/>
              <w:rPr>
                <w:color w:val="000000"/>
                <w:sz w:val="24"/>
              </w:rPr>
            </w:pPr>
            <w:r>
              <w:rPr>
                <w:color w:val="000000"/>
                <w:sz w:val="24"/>
              </w:rPr>
              <w:t>$</w:t>
            </w:r>
            <w:r w:rsidR="00927CBC">
              <w:rPr>
                <w:color w:val="000000"/>
                <w:sz w:val="24"/>
              </w:rPr>
              <w:t>55.00</w:t>
            </w:r>
          </w:p>
        </w:tc>
        <w:tc>
          <w:tcPr>
            <w:tcW w:w="786" w:type="pct"/>
          </w:tcPr>
          <w:p w14:paraId="190E062A" w14:textId="77777777" w:rsidR="00971C32" w:rsidRPr="00E614D2" w:rsidRDefault="00971C32" w:rsidP="00971C32">
            <w:pPr>
              <w:jc w:val="right"/>
              <w:rPr>
                <w:color w:val="000000"/>
                <w:sz w:val="24"/>
              </w:rPr>
            </w:pPr>
            <w:r>
              <w:rPr>
                <w:color w:val="000000"/>
                <w:sz w:val="24"/>
              </w:rPr>
              <w:t>191</w:t>
            </w:r>
          </w:p>
        </w:tc>
        <w:tc>
          <w:tcPr>
            <w:tcW w:w="1102" w:type="pct"/>
            <w:shd w:val="clear" w:color="auto" w:fill="auto"/>
            <w:noWrap/>
            <w:vAlign w:val="center"/>
          </w:tcPr>
          <w:p w14:paraId="4A0F2EAE" w14:textId="77777777" w:rsidR="00971C32" w:rsidRPr="00E614D2" w:rsidRDefault="00927CBC" w:rsidP="00971C32">
            <w:pPr>
              <w:jc w:val="right"/>
              <w:rPr>
                <w:color w:val="000000"/>
                <w:sz w:val="24"/>
              </w:rPr>
            </w:pPr>
            <w:r>
              <w:rPr>
                <w:color w:val="000000"/>
                <w:sz w:val="24"/>
              </w:rPr>
              <w:t>$10,505</w:t>
            </w:r>
          </w:p>
        </w:tc>
      </w:tr>
      <w:tr w:rsidR="00971C32" w:rsidRPr="00E614D2" w14:paraId="03EE5FED" w14:textId="77777777" w:rsidTr="00C134D0">
        <w:trPr>
          <w:trHeight w:val="300"/>
        </w:trPr>
        <w:tc>
          <w:tcPr>
            <w:tcW w:w="984" w:type="pct"/>
            <w:shd w:val="clear" w:color="auto" w:fill="auto"/>
            <w:noWrap/>
            <w:vAlign w:val="bottom"/>
          </w:tcPr>
          <w:p w14:paraId="6F3039A3" w14:textId="77777777" w:rsidR="00971C32" w:rsidRPr="00E614D2" w:rsidRDefault="00971C32" w:rsidP="00971C32">
            <w:pPr>
              <w:widowControl/>
              <w:autoSpaceDE/>
              <w:autoSpaceDN/>
              <w:adjustRightInd/>
              <w:rPr>
                <w:color w:val="000000"/>
                <w:sz w:val="24"/>
              </w:rPr>
            </w:pPr>
            <w:r>
              <w:rPr>
                <w:color w:val="000000"/>
                <w:sz w:val="24"/>
              </w:rPr>
              <w:t xml:space="preserve">Senior Manager </w:t>
            </w:r>
          </w:p>
        </w:tc>
        <w:tc>
          <w:tcPr>
            <w:tcW w:w="787" w:type="pct"/>
            <w:shd w:val="clear" w:color="auto" w:fill="auto"/>
            <w:noWrap/>
            <w:vAlign w:val="bottom"/>
          </w:tcPr>
          <w:p w14:paraId="2820208C" w14:textId="77777777" w:rsidR="00971C32" w:rsidRPr="00E614D2" w:rsidRDefault="00971C32" w:rsidP="00971C32">
            <w:pPr>
              <w:jc w:val="right"/>
              <w:rPr>
                <w:color w:val="000000"/>
                <w:sz w:val="24"/>
              </w:rPr>
            </w:pPr>
            <w:r>
              <w:rPr>
                <w:color w:val="000000"/>
                <w:sz w:val="24"/>
              </w:rPr>
              <w:t>$79.08</w:t>
            </w:r>
          </w:p>
        </w:tc>
        <w:tc>
          <w:tcPr>
            <w:tcW w:w="554" w:type="pct"/>
            <w:shd w:val="clear" w:color="auto" w:fill="auto"/>
            <w:noWrap/>
            <w:vAlign w:val="center"/>
          </w:tcPr>
          <w:p w14:paraId="738D57EC" w14:textId="77777777" w:rsidR="00971C32" w:rsidRPr="00E614D2" w:rsidRDefault="00927CBC" w:rsidP="00927CBC">
            <w:pPr>
              <w:jc w:val="right"/>
              <w:rPr>
                <w:color w:val="000000"/>
                <w:sz w:val="24"/>
              </w:rPr>
            </w:pPr>
            <w:r>
              <w:rPr>
                <w:color w:val="000000"/>
                <w:sz w:val="24"/>
              </w:rPr>
              <w:t>1</w:t>
            </w:r>
          </w:p>
        </w:tc>
        <w:tc>
          <w:tcPr>
            <w:tcW w:w="787" w:type="pct"/>
            <w:shd w:val="clear" w:color="auto" w:fill="auto"/>
            <w:noWrap/>
            <w:vAlign w:val="center"/>
          </w:tcPr>
          <w:p w14:paraId="1072FA5D" w14:textId="77777777" w:rsidR="00971C32" w:rsidRPr="00E614D2" w:rsidRDefault="00971C32" w:rsidP="00971C32">
            <w:pPr>
              <w:jc w:val="right"/>
              <w:rPr>
                <w:color w:val="000000"/>
                <w:sz w:val="24"/>
              </w:rPr>
            </w:pPr>
            <w:r>
              <w:rPr>
                <w:color w:val="000000"/>
                <w:sz w:val="24"/>
              </w:rPr>
              <w:t>$79.08</w:t>
            </w:r>
          </w:p>
        </w:tc>
        <w:tc>
          <w:tcPr>
            <w:tcW w:w="786" w:type="pct"/>
          </w:tcPr>
          <w:p w14:paraId="25FB7E8E" w14:textId="77777777" w:rsidR="00971C32" w:rsidRPr="00E614D2" w:rsidRDefault="00971C32" w:rsidP="00971C32">
            <w:pPr>
              <w:jc w:val="right"/>
              <w:rPr>
                <w:color w:val="000000"/>
                <w:sz w:val="24"/>
              </w:rPr>
            </w:pPr>
            <w:r>
              <w:rPr>
                <w:color w:val="000000"/>
                <w:sz w:val="24"/>
              </w:rPr>
              <w:t>191</w:t>
            </w:r>
          </w:p>
        </w:tc>
        <w:tc>
          <w:tcPr>
            <w:tcW w:w="1102" w:type="pct"/>
            <w:shd w:val="clear" w:color="auto" w:fill="auto"/>
            <w:noWrap/>
            <w:vAlign w:val="center"/>
          </w:tcPr>
          <w:p w14:paraId="3C32CCFA" w14:textId="77777777" w:rsidR="00971C32" w:rsidRPr="00E614D2" w:rsidRDefault="00927CBC" w:rsidP="00971C32">
            <w:pPr>
              <w:jc w:val="right"/>
              <w:rPr>
                <w:color w:val="000000"/>
                <w:sz w:val="24"/>
              </w:rPr>
            </w:pPr>
            <w:r>
              <w:rPr>
                <w:color w:val="000000"/>
                <w:sz w:val="24"/>
              </w:rPr>
              <w:t>$15,104.28</w:t>
            </w:r>
          </w:p>
        </w:tc>
      </w:tr>
      <w:tr w:rsidR="00D607CE" w:rsidRPr="00E614D2" w14:paraId="304C147E" w14:textId="77777777" w:rsidTr="00C134D0">
        <w:trPr>
          <w:trHeight w:val="318"/>
        </w:trPr>
        <w:tc>
          <w:tcPr>
            <w:tcW w:w="984" w:type="pct"/>
            <w:shd w:val="clear" w:color="auto" w:fill="auto"/>
            <w:vAlign w:val="bottom"/>
          </w:tcPr>
          <w:p w14:paraId="6AE2B70D" w14:textId="77777777" w:rsidR="00D607CE" w:rsidRPr="003E1357" w:rsidRDefault="00971C32" w:rsidP="00C134D0">
            <w:pPr>
              <w:widowControl/>
              <w:autoSpaceDE/>
              <w:autoSpaceDN/>
              <w:adjustRightInd/>
              <w:ind w:left="-90" w:right="-115"/>
              <w:rPr>
                <w:b/>
                <w:color w:val="000000"/>
                <w:sz w:val="24"/>
              </w:rPr>
            </w:pPr>
            <w:r>
              <w:rPr>
                <w:b/>
                <w:color w:val="000000"/>
                <w:sz w:val="24"/>
              </w:rPr>
              <w:t>Total</w:t>
            </w:r>
          </w:p>
        </w:tc>
        <w:tc>
          <w:tcPr>
            <w:tcW w:w="787" w:type="pct"/>
            <w:shd w:val="clear" w:color="auto" w:fill="auto"/>
            <w:noWrap/>
            <w:vAlign w:val="bottom"/>
          </w:tcPr>
          <w:p w14:paraId="16955128" w14:textId="77777777" w:rsidR="00D607CE" w:rsidRPr="003E1357" w:rsidRDefault="00D607CE" w:rsidP="00C134D0">
            <w:pPr>
              <w:widowControl/>
              <w:autoSpaceDE/>
              <w:autoSpaceDN/>
              <w:adjustRightInd/>
              <w:rPr>
                <w:b/>
                <w:color w:val="000000"/>
                <w:sz w:val="24"/>
              </w:rPr>
            </w:pPr>
          </w:p>
        </w:tc>
        <w:tc>
          <w:tcPr>
            <w:tcW w:w="554" w:type="pct"/>
            <w:shd w:val="clear" w:color="auto" w:fill="auto"/>
            <w:noWrap/>
            <w:vAlign w:val="center"/>
          </w:tcPr>
          <w:p w14:paraId="79572081" w14:textId="77777777" w:rsidR="00D607CE" w:rsidRPr="003E1357" w:rsidRDefault="00D607CE" w:rsidP="00C134D0">
            <w:pPr>
              <w:jc w:val="right"/>
              <w:rPr>
                <w:b/>
                <w:color w:val="000000"/>
                <w:sz w:val="24"/>
              </w:rPr>
            </w:pPr>
          </w:p>
        </w:tc>
        <w:tc>
          <w:tcPr>
            <w:tcW w:w="787" w:type="pct"/>
            <w:shd w:val="clear" w:color="auto" w:fill="auto"/>
            <w:noWrap/>
            <w:vAlign w:val="center"/>
          </w:tcPr>
          <w:p w14:paraId="1E86DED0" w14:textId="77777777" w:rsidR="00D607CE" w:rsidRPr="003E1357" w:rsidRDefault="00927CBC" w:rsidP="00C134D0">
            <w:pPr>
              <w:jc w:val="right"/>
              <w:rPr>
                <w:b/>
                <w:color w:val="000000"/>
                <w:sz w:val="24"/>
              </w:rPr>
            </w:pPr>
            <w:r>
              <w:rPr>
                <w:b/>
                <w:color w:val="000000"/>
                <w:sz w:val="24"/>
              </w:rPr>
              <w:t>$134.08</w:t>
            </w:r>
          </w:p>
        </w:tc>
        <w:tc>
          <w:tcPr>
            <w:tcW w:w="786" w:type="pct"/>
          </w:tcPr>
          <w:p w14:paraId="371EA568" w14:textId="77777777" w:rsidR="00D607CE" w:rsidRPr="003E1357" w:rsidRDefault="00D607CE" w:rsidP="00C134D0">
            <w:pPr>
              <w:rPr>
                <w:b/>
                <w:color w:val="000000"/>
                <w:sz w:val="24"/>
              </w:rPr>
            </w:pPr>
          </w:p>
        </w:tc>
        <w:tc>
          <w:tcPr>
            <w:tcW w:w="1102" w:type="pct"/>
            <w:shd w:val="clear" w:color="auto" w:fill="auto"/>
            <w:noWrap/>
            <w:vAlign w:val="center"/>
          </w:tcPr>
          <w:p w14:paraId="2DBC6A70" w14:textId="77777777" w:rsidR="00D607CE" w:rsidRPr="003E1357" w:rsidRDefault="00927CBC" w:rsidP="00C134D0">
            <w:pPr>
              <w:jc w:val="right"/>
              <w:rPr>
                <w:b/>
                <w:color w:val="000000"/>
                <w:sz w:val="24"/>
              </w:rPr>
            </w:pPr>
            <w:r>
              <w:rPr>
                <w:b/>
                <w:color w:val="000000"/>
                <w:sz w:val="24"/>
              </w:rPr>
              <w:t>$25,609.28</w:t>
            </w:r>
          </w:p>
        </w:tc>
      </w:tr>
    </w:tbl>
    <w:p w14:paraId="71BAFC63" w14:textId="77777777" w:rsidR="002D1BA0" w:rsidRPr="00E614D2" w:rsidRDefault="002D1B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716145" w14:textId="77777777" w:rsidR="00B7159B" w:rsidRDefault="00B45FCB" w:rsidP="00B715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13.</w:t>
      </w:r>
      <w:r w:rsidRPr="00E614D2">
        <w:rPr>
          <w:sz w:val="24"/>
        </w:rPr>
        <w:tab/>
      </w:r>
      <w:r w:rsidRPr="00E614D2">
        <w:rPr>
          <w:sz w:val="24"/>
          <w:u w:val="single"/>
        </w:rPr>
        <w:t>Capital Costs</w:t>
      </w:r>
    </w:p>
    <w:p w14:paraId="71AD5EEB" w14:textId="77777777" w:rsidR="00B7159B" w:rsidRDefault="00B7159B" w:rsidP="00B715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1F48D2" w14:textId="77777777" w:rsidR="00B7159B" w:rsidRDefault="00B7159B" w:rsidP="00B7159B">
      <w:pPr>
        <w:ind w:firstLine="360"/>
        <w:rPr>
          <w:sz w:val="24"/>
        </w:rPr>
      </w:pPr>
      <w:r>
        <w:rPr>
          <w:sz w:val="24"/>
        </w:rPr>
        <w:t>I</w:t>
      </w:r>
      <w:r w:rsidR="000B4E1D">
        <w:rPr>
          <w:sz w:val="24"/>
        </w:rPr>
        <w:t xml:space="preserve">n the 2014 HHS Notice of Benefit and Payment Parameters, we estimated </w:t>
      </w:r>
      <w:r w:rsidR="002C5544">
        <w:rPr>
          <w:sz w:val="24"/>
        </w:rPr>
        <w:t xml:space="preserve">that </w:t>
      </w:r>
      <w:r w:rsidR="000B4E1D">
        <w:rPr>
          <w:sz w:val="24"/>
        </w:rPr>
        <w:t xml:space="preserve">the information </w:t>
      </w:r>
      <w:r w:rsidR="000B4E1D" w:rsidRPr="005A2B58">
        <w:rPr>
          <w:sz w:val="24"/>
        </w:rPr>
        <w:t xml:space="preserve">technology associated with </w:t>
      </w:r>
      <w:r w:rsidR="000B4E1D" w:rsidRPr="002C5544">
        <w:rPr>
          <w:sz w:val="24"/>
        </w:rPr>
        <w:t>implementing the standard methodology</w:t>
      </w:r>
      <w:r w:rsidR="000B4E1D" w:rsidRPr="005A2B58">
        <w:rPr>
          <w:sz w:val="24"/>
        </w:rPr>
        <w:t xml:space="preserve"> would be developed by three vendors at a cost of approximately $6</w:t>
      </w:r>
      <w:r w:rsidR="000B4E1D">
        <w:rPr>
          <w:sz w:val="24"/>
        </w:rPr>
        <w:t xml:space="preserve"> </w:t>
      </w:r>
      <w:r w:rsidR="000B4E1D" w:rsidRPr="005A2B58">
        <w:rPr>
          <w:sz w:val="24"/>
        </w:rPr>
        <w:t>million per vendor, for total costs of</w:t>
      </w:r>
      <w:r w:rsidR="000B4E1D">
        <w:rPr>
          <w:sz w:val="24"/>
        </w:rPr>
        <w:t xml:space="preserve"> </w:t>
      </w:r>
      <w:r w:rsidR="000B4E1D" w:rsidRPr="005A2B58">
        <w:rPr>
          <w:sz w:val="24"/>
        </w:rPr>
        <w:t>approximately $18 million. We also</w:t>
      </w:r>
      <w:r w:rsidR="000B4E1D">
        <w:rPr>
          <w:sz w:val="24"/>
        </w:rPr>
        <w:t xml:space="preserve"> estimated each </w:t>
      </w:r>
      <w:r w:rsidR="000B4E1D" w:rsidRPr="005A2B58">
        <w:rPr>
          <w:sz w:val="24"/>
        </w:rPr>
        <w:t xml:space="preserve">issuer </w:t>
      </w:r>
      <w:r w:rsidR="000B4E1D">
        <w:rPr>
          <w:sz w:val="24"/>
        </w:rPr>
        <w:t xml:space="preserve">would </w:t>
      </w:r>
      <w:r w:rsidR="000B4E1D" w:rsidRPr="005A2B58">
        <w:rPr>
          <w:sz w:val="24"/>
        </w:rPr>
        <w:t>need to</w:t>
      </w:r>
      <w:r w:rsidR="000B4E1D">
        <w:rPr>
          <w:sz w:val="24"/>
        </w:rPr>
        <w:t xml:space="preserve"> </w:t>
      </w:r>
      <w:r w:rsidR="000B4E1D" w:rsidRPr="005A2B58">
        <w:rPr>
          <w:sz w:val="24"/>
        </w:rPr>
        <w:t>spend approximately $100,000 to</w:t>
      </w:r>
      <w:r w:rsidR="000B4E1D">
        <w:rPr>
          <w:sz w:val="24"/>
        </w:rPr>
        <w:t xml:space="preserve"> </w:t>
      </w:r>
      <w:r w:rsidR="000B4E1D" w:rsidRPr="005A2B58">
        <w:rPr>
          <w:sz w:val="24"/>
        </w:rPr>
        <w:t>customize the vendor solution</w:t>
      </w:r>
      <w:r w:rsidR="000B4E1D">
        <w:rPr>
          <w:sz w:val="24"/>
        </w:rPr>
        <w:t xml:space="preserve"> </w:t>
      </w:r>
      <w:r w:rsidR="001D2A61">
        <w:rPr>
          <w:sz w:val="24"/>
        </w:rPr>
        <w:t>technology and</w:t>
      </w:r>
      <w:r w:rsidR="000B4E1D" w:rsidRPr="005A2B58">
        <w:rPr>
          <w:sz w:val="24"/>
        </w:rPr>
        <w:t xml:space="preserve"> modify their claims system</w:t>
      </w:r>
      <w:r w:rsidR="000B4E1D">
        <w:rPr>
          <w:sz w:val="24"/>
        </w:rPr>
        <w:t xml:space="preserve"> to extract data</w:t>
      </w:r>
      <w:r w:rsidR="000B4E1D" w:rsidRPr="005A2B58">
        <w:rPr>
          <w:sz w:val="24"/>
        </w:rPr>
        <w:t xml:space="preserve">. </w:t>
      </w:r>
      <w:r w:rsidR="000B4E1D">
        <w:rPr>
          <w:sz w:val="24"/>
        </w:rPr>
        <w:t>Our estimate for total administrative costs was $138 million</w:t>
      </w:r>
      <w:r w:rsidR="000B4E1D" w:rsidRPr="0034243D">
        <w:rPr>
          <w:sz w:val="24"/>
        </w:rPr>
        <w:t xml:space="preserve">. </w:t>
      </w:r>
      <w:r w:rsidR="009361F9" w:rsidRPr="0034243D">
        <w:rPr>
          <w:sz w:val="24"/>
        </w:rPr>
        <w:t>We revised our estimate in t</w:t>
      </w:r>
      <w:r w:rsidR="006B5F77" w:rsidRPr="0034243D">
        <w:rPr>
          <w:sz w:val="24"/>
        </w:rPr>
        <w:t xml:space="preserve">he Program Integrity Rule </w:t>
      </w:r>
      <w:r w:rsidR="009361F9" w:rsidRPr="0034243D">
        <w:rPr>
          <w:sz w:val="24"/>
        </w:rPr>
        <w:t>on</w:t>
      </w:r>
      <w:r w:rsidR="006B5F77" w:rsidRPr="0034243D">
        <w:rPr>
          <w:sz w:val="24"/>
        </w:rPr>
        <w:t xml:space="preserve"> the assumption that half of an estimated 1,200</w:t>
      </w:r>
      <w:r w:rsidR="009361F9" w:rsidRPr="0034243D">
        <w:rPr>
          <w:sz w:val="24"/>
        </w:rPr>
        <w:t xml:space="preserve"> issuers would use the simplified methodology</w:t>
      </w:r>
      <w:r w:rsidR="006D71D6" w:rsidRPr="0034243D">
        <w:rPr>
          <w:sz w:val="24"/>
        </w:rPr>
        <w:t>.</w:t>
      </w:r>
      <w:r w:rsidR="009361F9" w:rsidRPr="0034243D">
        <w:rPr>
          <w:sz w:val="24"/>
        </w:rPr>
        <w:t xml:space="preserve"> We included in that estimat</w:t>
      </w:r>
      <w:r w:rsidR="006D71D6" w:rsidRPr="0034243D">
        <w:rPr>
          <w:sz w:val="24"/>
        </w:rPr>
        <w:t>e 42</w:t>
      </w:r>
      <w:r w:rsidR="009361F9" w:rsidRPr="0034243D">
        <w:rPr>
          <w:sz w:val="24"/>
        </w:rPr>
        <w:t xml:space="preserve"> hours </w:t>
      </w:r>
      <w:r w:rsidR="006D71D6" w:rsidRPr="0034243D">
        <w:rPr>
          <w:sz w:val="24"/>
        </w:rPr>
        <w:t xml:space="preserve">of </w:t>
      </w:r>
      <w:r w:rsidR="009361F9" w:rsidRPr="0034243D">
        <w:rPr>
          <w:sz w:val="24"/>
        </w:rPr>
        <w:t xml:space="preserve">work by an actuary and </w:t>
      </w:r>
      <w:r w:rsidR="006D71D6" w:rsidRPr="0034243D">
        <w:rPr>
          <w:sz w:val="24"/>
        </w:rPr>
        <w:t xml:space="preserve">22 hours of work by an insurance </w:t>
      </w:r>
      <w:r w:rsidR="009361F9" w:rsidRPr="0034243D">
        <w:rPr>
          <w:sz w:val="24"/>
        </w:rPr>
        <w:t xml:space="preserve">manager </w:t>
      </w:r>
      <w:r w:rsidR="006D71D6" w:rsidRPr="0034243D">
        <w:rPr>
          <w:sz w:val="24"/>
        </w:rPr>
        <w:t>to develop and calculate cost-sharing parameters for the simplified method</w:t>
      </w:r>
      <w:r w:rsidR="009361F9" w:rsidRPr="0034243D">
        <w:rPr>
          <w:sz w:val="24"/>
        </w:rPr>
        <w:t xml:space="preserve">.  </w:t>
      </w:r>
      <w:r w:rsidR="006B5F77" w:rsidRPr="0034243D">
        <w:rPr>
          <w:sz w:val="24"/>
        </w:rPr>
        <w:t>W</w:t>
      </w:r>
      <w:r w:rsidR="000B4E1D" w:rsidRPr="0034243D">
        <w:rPr>
          <w:sz w:val="24"/>
        </w:rPr>
        <w:t xml:space="preserve">e are revising our estimate </w:t>
      </w:r>
      <w:r w:rsidR="0034243D" w:rsidRPr="0034243D">
        <w:rPr>
          <w:sz w:val="24"/>
        </w:rPr>
        <w:t xml:space="preserve">further </w:t>
      </w:r>
      <w:r w:rsidR="000B4E1D" w:rsidRPr="0034243D">
        <w:rPr>
          <w:sz w:val="24"/>
        </w:rPr>
        <w:t xml:space="preserve">to reflect current </w:t>
      </w:r>
      <w:r w:rsidR="0034243D" w:rsidRPr="0034243D">
        <w:rPr>
          <w:sz w:val="24"/>
        </w:rPr>
        <w:t xml:space="preserve">HHS expectations </w:t>
      </w:r>
      <w:r w:rsidR="006D71D6" w:rsidRPr="0034243D">
        <w:rPr>
          <w:sz w:val="24"/>
        </w:rPr>
        <w:t xml:space="preserve">that 90 percent </w:t>
      </w:r>
      <w:r w:rsidR="000B4E1D" w:rsidRPr="0034243D">
        <w:rPr>
          <w:sz w:val="24"/>
        </w:rPr>
        <w:t>of 295 issu</w:t>
      </w:r>
      <w:r w:rsidR="008F115D" w:rsidRPr="0034243D">
        <w:rPr>
          <w:sz w:val="24"/>
        </w:rPr>
        <w:t>ers</w:t>
      </w:r>
      <w:r w:rsidR="006B5F77" w:rsidRPr="0034243D">
        <w:rPr>
          <w:sz w:val="24"/>
        </w:rPr>
        <w:t xml:space="preserve"> </w:t>
      </w:r>
      <w:r w:rsidR="006D71D6" w:rsidRPr="0034243D">
        <w:rPr>
          <w:sz w:val="24"/>
        </w:rPr>
        <w:t xml:space="preserve">will </w:t>
      </w:r>
      <w:r w:rsidR="006B5F77" w:rsidRPr="0034243D">
        <w:rPr>
          <w:sz w:val="24"/>
        </w:rPr>
        <w:t>use one of the simplified methods</w:t>
      </w:r>
      <w:r w:rsidR="008F115D" w:rsidRPr="0034243D">
        <w:rPr>
          <w:sz w:val="24"/>
        </w:rPr>
        <w:t>.</w:t>
      </w:r>
      <w:r w:rsidR="002C5544" w:rsidRPr="0034243D">
        <w:rPr>
          <w:sz w:val="24"/>
        </w:rPr>
        <w:t xml:space="preserve"> The new estimate is $</w:t>
      </w:r>
      <w:r w:rsidR="006D71D6" w:rsidRPr="0034243D">
        <w:rPr>
          <w:sz w:val="24"/>
        </w:rPr>
        <w:t>47</w:t>
      </w:r>
      <w:r w:rsidR="002C5544" w:rsidRPr="0034243D">
        <w:rPr>
          <w:sz w:val="24"/>
        </w:rPr>
        <w:t>.5 million and includes systems development for all methodologies</w:t>
      </w:r>
      <w:r w:rsidR="009361F9" w:rsidRPr="0034243D">
        <w:rPr>
          <w:sz w:val="24"/>
        </w:rPr>
        <w:t>.</w:t>
      </w:r>
    </w:p>
    <w:p w14:paraId="0239660D" w14:textId="77777777" w:rsidR="00B7159B" w:rsidRDefault="008F115D" w:rsidP="00B7159B">
      <w:pPr>
        <w:ind w:firstLine="360"/>
        <w:rPr>
          <w:sz w:val="24"/>
        </w:rPr>
      </w:pPr>
      <w:r w:rsidRPr="00813A1D">
        <w:rPr>
          <w:sz w:val="24"/>
        </w:rPr>
        <w:t xml:space="preserve">Here </w:t>
      </w:r>
      <w:r w:rsidR="00E3446A" w:rsidRPr="00813A1D">
        <w:rPr>
          <w:sz w:val="24"/>
        </w:rPr>
        <w:t>we estimate the burden</w:t>
      </w:r>
      <w:r w:rsidRPr="00813A1D">
        <w:rPr>
          <w:sz w:val="24"/>
        </w:rPr>
        <w:t xml:space="preserve"> of extracting </w:t>
      </w:r>
      <w:r w:rsidR="00813A1D" w:rsidRPr="00813A1D">
        <w:rPr>
          <w:sz w:val="24"/>
        </w:rPr>
        <w:t xml:space="preserve">and reporting </w:t>
      </w:r>
      <w:r w:rsidRPr="00813A1D">
        <w:rPr>
          <w:sz w:val="24"/>
        </w:rPr>
        <w:t xml:space="preserve">data from the information technology </w:t>
      </w:r>
      <w:r w:rsidR="00E3446A" w:rsidRPr="00813A1D">
        <w:rPr>
          <w:sz w:val="24"/>
        </w:rPr>
        <w:t>accounted for ab</w:t>
      </w:r>
      <w:r w:rsidRPr="00813A1D">
        <w:rPr>
          <w:sz w:val="24"/>
        </w:rPr>
        <w:t>ove</w:t>
      </w:r>
      <w:r w:rsidR="00813A1D" w:rsidRPr="00813A1D">
        <w:rPr>
          <w:sz w:val="24"/>
        </w:rPr>
        <w:t>, as well as maintenance</w:t>
      </w:r>
      <w:r>
        <w:rPr>
          <w:sz w:val="24"/>
        </w:rPr>
        <w:t xml:space="preserve">. </w:t>
      </w:r>
      <w:r w:rsidR="00E3446A">
        <w:rPr>
          <w:sz w:val="24"/>
        </w:rPr>
        <w:t>For an issuer using the standard methodology, we estimate on average it would take each QHP</w:t>
      </w:r>
      <w:r w:rsidR="00CA45E8">
        <w:rPr>
          <w:sz w:val="24"/>
        </w:rPr>
        <w:t xml:space="preserve"> using automated </w:t>
      </w:r>
      <w:r w:rsidR="00CA45E8" w:rsidRPr="001D2A61">
        <w:rPr>
          <w:sz w:val="24"/>
        </w:rPr>
        <w:t>systems</w:t>
      </w:r>
      <w:r w:rsidR="00EB2987" w:rsidRPr="001D2A61">
        <w:rPr>
          <w:sz w:val="24"/>
        </w:rPr>
        <w:t xml:space="preserve"> </w:t>
      </w:r>
      <w:r w:rsidR="001D2A61" w:rsidRPr="00E131FC">
        <w:rPr>
          <w:sz w:val="24"/>
        </w:rPr>
        <w:t xml:space="preserve">10 </w:t>
      </w:r>
      <w:r w:rsidR="0034243D">
        <w:rPr>
          <w:sz w:val="24"/>
        </w:rPr>
        <w:t xml:space="preserve">hours </w:t>
      </w:r>
      <w:r w:rsidR="00CA45E8">
        <w:rPr>
          <w:sz w:val="24"/>
        </w:rPr>
        <w:t>a year</w:t>
      </w:r>
      <w:r w:rsidR="00E3446A">
        <w:rPr>
          <w:sz w:val="24"/>
        </w:rPr>
        <w:t xml:space="preserve"> to </w:t>
      </w:r>
      <w:r w:rsidR="00CA45E8">
        <w:rPr>
          <w:sz w:val="24"/>
        </w:rPr>
        <w:t>provide</w:t>
      </w:r>
      <w:r w:rsidR="00E3446A">
        <w:rPr>
          <w:sz w:val="24"/>
        </w:rPr>
        <w:t xml:space="preserve"> the information requi</w:t>
      </w:r>
      <w:r w:rsidR="00EB2987">
        <w:rPr>
          <w:sz w:val="24"/>
        </w:rPr>
        <w:t xml:space="preserve">red </w:t>
      </w:r>
      <w:r w:rsidR="00DD593F">
        <w:rPr>
          <w:sz w:val="24"/>
        </w:rPr>
        <w:t>in these reports</w:t>
      </w:r>
      <w:r w:rsidR="00EB2987">
        <w:rPr>
          <w:sz w:val="24"/>
        </w:rPr>
        <w:t>.</w:t>
      </w:r>
      <w:r w:rsidR="00E3446A">
        <w:rPr>
          <w:sz w:val="24"/>
        </w:rPr>
        <w:t xml:space="preserve"> Therefore for all issuers using this methodology, </w:t>
      </w:r>
      <w:r>
        <w:rPr>
          <w:sz w:val="24"/>
        </w:rPr>
        <w:t>we estim</w:t>
      </w:r>
      <w:r w:rsidR="00EB2987">
        <w:rPr>
          <w:sz w:val="24"/>
        </w:rPr>
        <w:t xml:space="preserve">ate it would take </w:t>
      </w:r>
      <w:r w:rsidR="00E131FC" w:rsidRPr="0034243D">
        <w:rPr>
          <w:sz w:val="24"/>
        </w:rPr>
        <w:t>1,040</w:t>
      </w:r>
      <w:r w:rsidRPr="0034243D">
        <w:rPr>
          <w:sz w:val="24"/>
        </w:rPr>
        <w:t xml:space="preserve"> hours</w:t>
      </w:r>
      <w:r>
        <w:rPr>
          <w:sz w:val="24"/>
        </w:rPr>
        <w:t xml:space="preserve"> to </w:t>
      </w:r>
      <w:r w:rsidR="00E3446A">
        <w:rPr>
          <w:sz w:val="24"/>
        </w:rPr>
        <w:t>produce</w:t>
      </w:r>
      <w:r>
        <w:rPr>
          <w:sz w:val="24"/>
        </w:rPr>
        <w:t xml:space="preserve"> </w:t>
      </w:r>
      <w:r w:rsidR="00EB2987">
        <w:rPr>
          <w:sz w:val="24"/>
        </w:rPr>
        <w:t>summary data for 1.4</w:t>
      </w:r>
      <w:r>
        <w:rPr>
          <w:sz w:val="24"/>
        </w:rPr>
        <w:t xml:space="preserve"> million policies. </w:t>
      </w:r>
      <w:r w:rsidR="00B7159B">
        <w:rPr>
          <w:sz w:val="24"/>
        </w:rPr>
        <w:t>The cost of this capital requirement is approximately $</w:t>
      </w:r>
      <w:r w:rsidR="00E131FC">
        <w:rPr>
          <w:sz w:val="24"/>
        </w:rPr>
        <w:t>1,500</w:t>
      </w:r>
      <w:r w:rsidR="00B7159B">
        <w:rPr>
          <w:sz w:val="24"/>
        </w:rPr>
        <w:t xml:space="preserve"> per issuer, including maintenance and depreciation, for a total estimated burden of $</w:t>
      </w:r>
      <w:r w:rsidR="00E131FC">
        <w:rPr>
          <w:sz w:val="24"/>
        </w:rPr>
        <w:t>156,000</w:t>
      </w:r>
      <w:r w:rsidR="00B7159B">
        <w:rPr>
          <w:sz w:val="24"/>
        </w:rPr>
        <w:t xml:space="preserve">. </w:t>
      </w:r>
    </w:p>
    <w:p w14:paraId="6F0CB851" w14:textId="77777777" w:rsidR="00B7159B" w:rsidRDefault="007475A2" w:rsidP="00B7159B">
      <w:pPr>
        <w:ind w:firstLine="360"/>
        <w:rPr>
          <w:sz w:val="24"/>
        </w:rPr>
      </w:pPr>
      <w:r>
        <w:rPr>
          <w:sz w:val="24"/>
        </w:rPr>
        <w:t>The time required</w:t>
      </w:r>
      <w:r w:rsidR="006C6FD8">
        <w:rPr>
          <w:sz w:val="24"/>
        </w:rPr>
        <w:t xml:space="preserve"> to produce reports using </w:t>
      </w:r>
      <w:r>
        <w:rPr>
          <w:sz w:val="24"/>
        </w:rPr>
        <w:t xml:space="preserve">the simplified methodology is expected to be </w:t>
      </w:r>
      <w:r w:rsidR="00B7159B">
        <w:rPr>
          <w:sz w:val="24"/>
        </w:rPr>
        <w:t xml:space="preserve">slightly </w:t>
      </w:r>
      <w:r w:rsidR="006C6FD8">
        <w:rPr>
          <w:sz w:val="24"/>
        </w:rPr>
        <w:t>greater</w:t>
      </w:r>
      <w:r>
        <w:rPr>
          <w:sz w:val="24"/>
        </w:rPr>
        <w:t xml:space="preserve"> than </w:t>
      </w:r>
      <w:r w:rsidR="006C6FD8">
        <w:rPr>
          <w:sz w:val="24"/>
        </w:rPr>
        <w:t xml:space="preserve">that required for </w:t>
      </w:r>
      <w:r>
        <w:rPr>
          <w:sz w:val="24"/>
        </w:rPr>
        <w:t xml:space="preserve">the standard methodology. </w:t>
      </w:r>
      <w:r w:rsidR="006C6FD8">
        <w:rPr>
          <w:sz w:val="24"/>
        </w:rPr>
        <w:t>We estimate each issuer</w:t>
      </w:r>
      <w:r w:rsidR="00EB2987">
        <w:rPr>
          <w:sz w:val="24"/>
        </w:rPr>
        <w:t xml:space="preserve"> </w:t>
      </w:r>
      <w:r w:rsidR="006C6FD8">
        <w:rPr>
          <w:sz w:val="24"/>
        </w:rPr>
        <w:t xml:space="preserve">using this method </w:t>
      </w:r>
      <w:r w:rsidR="00EB2987">
        <w:rPr>
          <w:sz w:val="24"/>
        </w:rPr>
        <w:t>would take two</w:t>
      </w:r>
      <w:r w:rsidR="008F115D">
        <w:rPr>
          <w:sz w:val="24"/>
        </w:rPr>
        <w:t xml:space="preserve"> hours to provide data for </w:t>
      </w:r>
      <w:r w:rsidR="00EB2987">
        <w:rPr>
          <w:sz w:val="24"/>
        </w:rPr>
        <w:t>1,</w:t>
      </w:r>
      <w:r w:rsidR="0074563F">
        <w:rPr>
          <w:sz w:val="24"/>
        </w:rPr>
        <w:t>171</w:t>
      </w:r>
      <w:r w:rsidR="00EB2987">
        <w:rPr>
          <w:sz w:val="24"/>
        </w:rPr>
        <w:t xml:space="preserve"> policies</w:t>
      </w:r>
      <w:r>
        <w:rPr>
          <w:sz w:val="24"/>
        </w:rPr>
        <w:t xml:space="preserve"> once a year. Therefore </w:t>
      </w:r>
      <w:r w:rsidR="00EB2987">
        <w:rPr>
          <w:sz w:val="24"/>
        </w:rPr>
        <w:t xml:space="preserve">the </w:t>
      </w:r>
      <w:r w:rsidR="006C6FD8">
        <w:rPr>
          <w:sz w:val="24"/>
        </w:rPr>
        <w:t xml:space="preserve">estimated </w:t>
      </w:r>
      <w:r w:rsidR="00EB2987">
        <w:rPr>
          <w:sz w:val="24"/>
        </w:rPr>
        <w:t>aggregate</w:t>
      </w:r>
      <w:r>
        <w:rPr>
          <w:sz w:val="24"/>
        </w:rPr>
        <w:t xml:space="preserve"> annual</w:t>
      </w:r>
      <w:r w:rsidR="00EB2987">
        <w:rPr>
          <w:sz w:val="24"/>
        </w:rPr>
        <w:t xml:space="preserve"> burden </w:t>
      </w:r>
      <w:r w:rsidR="006C6FD8">
        <w:rPr>
          <w:sz w:val="24"/>
        </w:rPr>
        <w:t>to submit</w:t>
      </w:r>
      <w:r w:rsidR="00EB2987">
        <w:rPr>
          <w:sz w:val="24"/>
        </w:rPr>
        <w:t xml:space="preserve"> </w:t>
      </w:r>
      <w:r w:rsidR="00EB2987" w:rsidRPr="00C36240">
        <w:rPr>
          <w:sz w:val="24"/>
        </w:rPr>
        <w:t xml:space="preserve">data for </w:t>
      </w:r>
      <w:r w:rsidR="0074563F" w:rsidRPr="00C36240">
        <w:rPr>
          <w:sz w:val="24"/>
        </w:rPr>
        <w:t>260,</w:t>
      </w:r>
      <w:r w:rsidR="00C36240" w:rsidRPr="00C36240">
        <w:rPr>
          <w:sz w:val="24"/>
        </w:rPr>
        <w:t>142</w:t>
      </w:r>
      <w:r w:rsidR="0074563F" w:rsidRPr="00C36240">
        <w:rPr>
          <w:sz w:val="24"/>
        </w:rPr>
        <w:t xml:space="preserve"> </w:t>
      </w:r>
      <w:r w:rsidR="00EB2987" w:rsidRPr="00C36240">
        <w:rPr>
          <w:sz w:val="24"/>
        </w:rPr>
        <w:t>policies</w:t>
      </w:r>
      <w:r w:rsidR="00EB2987">
        <w:rPr>
          <w:sz w:val="24"/>
        </w:rPr>
        <w:t xml:space="preserve"> is 382 hours.</w:t>
      </w:r>
      <w:r w:rsidR="00B7159B" w:rsidRPr="00B7159B">
        <w:rPr>
          <w:sz w:val="24"/>
        </w:rPr>
        <w:t xml:space="preserve"> The cost of </w:t>
      </w:r>
      <w:r w:rsidR="00B7159B" w:rsidRPr="00B7159B">
        <w:rPr>
          <w:sz w:val="24"/>
        </w:rPr>
        <w:lastRenderedPageBreak/>
        <w:t>this capita</w:t>
      </w:r>
      <w:r w:rsidR="00B7159B">
        <w:rPr>
          <w:sz w:val="24"/>
        </w:rPr>
        <w:t>l requirement is approximately $300</w:t>
      </w:r>
      <w:r w:rsidR="00B7159B" w:rsidRPr="00B7159B">
        <w:rPr>
          <w:sz w:val="24"/>
        </w:rPr>
        <w:t xml:space="preserve"> per issuer, f</w:t>
      </w:r>
      <w:r w:rsidR="00B7159B">
        <w:rPr>
          <w:sz w:val="24"/>
        </w:rPr>
        <w:t xml:space="preserve">or a total estimated burden of $57,300. </w:t>
      </w:r>
    </w:p>
    <w:p w14:paraId="5607F316" w14:textId="77777777" w:rsidR="002D1BA0" w:rsidRDefault="006C6F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Issuers using </w:t>
      </w:r>
      <w:r w:rsidR="007475A2">
        <w:rPr>
          <w:sz w:val="24"/>
        </w:rPr>
        <w:t>the simplified actuarial va</w:t>
      </w:r>
      <w:r>
        <w:rPr>
          <w:sz w:val="24"/>
        </w:rPr>
        <w:t xml:space="preserve">lue methodology </w:t>
      </w:r>
      <w:r w:rsidR="007475A2">
        <w:rPr>
          <w:sz w:val="24"/>
        </w:rPr>
        <w:t>wou</w:t>
      </w:r>
      <w:r>
        <w:rPr>
          <w:sz w:val="24"/>
        </w:rPr>
        <w:t>ld require</w:t>
      </w:r>
      <w:r w:rsidR="007475A2">
        <w:rPr>
          <w:sz w:val="24"/>
        </w:rPr>
        <w:t xml:space="preserve"> </w:t>
      </w:r>
      <w:r>
        <w:rPr>
          <w:sz w:val="24"/>
        </w:rPr>
        <w:t xml:space="preserve">slightly less time than those reporting under the standard methodology to calculate parameters and produce reports.  </w:t>
      </w:r>
      <w:r w:rsidR="00CA45E8">
        <w:rPr>
          <w:sz w:val="24"/>
        </w:rPr>
        <w:t xml:space="preserve">Using previously gathered information and an automated information system, we estimate it would take </w:t>
      </w:r>
      <w:r>
        <w:rPr>
          <w:sz w:val="24"/>
        </w:rPr>
        <w:t>each QHP issuer on average one hour</w:t>
      </w:r>
      <w:r w:rsidR="00CA45E8">
        <w:rPr>
          <w:sz w:val="24"/>
        </w:rPr>
        <w:t xml:space="preserve"> to complete this report for </w:t>
      </w:r>
      <w:r>
        <w:rPr>
          <w:sz w:val="24"/>
        </w:rPr>
        <w:t>12,</w:t>
      </w:r>
      <w:r w:rsidR="0074563F">
        <w:rPr>
          <w:sz w:val="24"/>
        </w:rPr>
        <w:t>251</w:t>
      </w:r>
      <w:r>
        <w:rPr>
          <w:sz w:val="24"/>
        </w:rPr>
        <w:t xml:space="preserve"> policies </w:t>
      </w:r>
      <w:r w:rsidR="00CA45E8">
        <w:rPr>
          <w:sz w:val="24"/>
        </w:rPr>
        <w:t xml:space="preserve">once a year. </w:t>
      </w:r>
      <w:r w:rsidR="00CA45E8" w:rsidRPr="00B7159B">
        <w:rPr>
          <w:sz w:val="24"/>
        </w:rPr>
        <w:t xml:space="preserve">Therefore, for </w:t>
      </w:r>
      <w:r w:rsidRPr="00B7159B">
        <w:rPr>
          <w:sz w:val="24"/>
        </w:rPr>
        <w:t xml:space="preserve">2.3 </w:t>
      </w:r>
      <w:r w:rsidR="00CA45E8" w:rsidRPr="00B7159B">
        <w:rPr>
          <w:sz w:val="24"/>
        </w:rPr>
        <w:t>million policies the estimated aggregate annual time burden for issuers complet</w:t>
      </w:r>
      <w:r w:rsidR="00B7159B" w:rsidRPr="00B7159B">
        <w:rPr>
          <w:sz w:val="24"/>
        </w:rPr>
        <w:t>ing this section would be 183.5</w:t>
      </w:r>
      <w:r w:rsidR="00CA45E8" w:rsidRPr="00B7159B">
        <w:rPr>
          <w:sz w:val="24"/>
        </w:rPr>
        <w:t xml:space="preserve"> hours. </w:t>
      </w:r>
      <w:r w:rsidR="00B7159B" w:rsidRPr="00B7159B">
        <w:rPr>
          <w:sz w:val="24"/>
        </w:rPr>
        <w:t>The cost of this capita</w:t>
      </w:r>
      <w:r w:rsidR="00B7159B">
        <w:rPr>
          <w:sz w:val="24"/>
        </w:rPr>
        <w:t>l requirement is approximately $150</w:t>
      </w:r>
      <w:r w:rsidR="00B7159B" w:rsidRPr="00B7159B">
        <w:rPr>
          <w:sz w:val="24"/>
        </w:rPr>
        <w:t xml:space="preserve"> per issuer, f</w:t>
      </w:r>
      <w:r w:rsidR="00B7159B">
        <w:rPr>
          <w:sz w:val="24"/>
        </w:rPr>
        <w:t xml:space="preserve">or a total estimated burden of $28,650. </w:t>
      </w:r>
    </w:p>
    <w:p w14:paraId="0A0586E9" w14:textId="77777777" w:rsidR="002D1BA0" w:rsidRPr="00E614D2" w:rsidRDefault="002D1B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154C0C"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14.</w:t>
      </w:r>
      <w:r w:rsidRPr="00E614D2">
        <w:rPr>
          <w:sz w:val="24"/>
        </w:rPr>
        <w:tab/>
      </w:r>
      <w:r w:rsidRPr="00E614D2">
        <w:rPr>
          <w:sz w:val="24"/>
          <w:u w:val="single"/>
        </w:rPr>
        <w:t>Cost to Federal Government</w:t>
      </w:r>
    </w:p>
    <w:p w14:paraId="7913330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9ACA52"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ab/>
        <w:t xml:space="preserve">The initial burden to the Federal Government for the </w:t>
      </w:r>
      <w:r w:rsidRPr="00E614D2">
        <w:rPr>
          <w:bCs/>
          <w:sz w:val="24"/>
        </w:rPr>
        <w:t xml:space="preserve">establishment </w:t>
      </w:r>
      <w:r w:rsidR="0014219B">
        <w:rPr>
          <w:bCs/>
          <w:sz w:val="24"/>
        </w:rPr>
        <w:t>of the</w:t>
      </w:r>
      <w:r w:rsidR="004D6DD6">
        <w:rPr>
          <w:bCs/>
          <w:sz w:val="24"/>
        </w:rPr>
        <w:t xml:space="preserve"> CSR Reconciliation program</w:t>
      </w:r>
      <w:r w:rsidRPr="00E614D2">
        <w:rPr>
          <w:bCs/>
          <w:sz w:val="24"/>
        </w:rPr>
        <w:t xml:space="preserve"> </w:t>
      </w:r>
      <w:r w:rsidR="00C20037" w:rsidRPr="0034243D">
        <w:rPr>
          <w:sz w:val="24"/>
        </w:rPr>
        <w:t xml:space="preserve">is </w:t>
      </w:r>
      <w:r w:rsidR="00E3446A" w:rsidRPr="0034243D">
        <w:rPr>
          <w:sz w:val="24"/>
        </w:rPr>
        <w:t>$</w:t>
      </w:r>
      <w:r w:rsidR="00B7159B" w:rsidRPr="0034243D">
        <w:rPr>
          <w:sz w:val="24"/>
        </w:rPr>
        <w:t>1</w:t>
      </w:r>
      <w:r w:rsidR="007F3A5D" w:rsidRPr="0034243D">
        <w:rPr>
          <w:sz w:val="24"/>
        </w:rPr>
        <w:t>4,552</w:t>
      </w:r>
      <w:r w:rsidR="00B7159B" w:rsidRPr="0034243D">
        <w:rPr>
          <w:sz w:val="24"/>
        </w:rPr>
        <w:t>.64</w:t>
      </w:r>
      <w:r w:rsidRPr="0034243D">
        <w:rPr>
          <w:sz w:val="24"/>
        </w:rPr>
        <w:t>. The</w:t>
      </w:r>
      <w:r w:rsidRPr="00E614D2">
        <w:rPr>
          <w:sz w:val="24"/>
        </w:rPr>
        <w:t xml:space="preserve"> calculations for CCIIO employees’ hourly salary was obtained from the OPM website: </w:t>
      </w:r>
      <w:r w:rsidR="00500F13" w:rsidRPr="00500F13">
        <w:rPr>
          <w:sz w:val="24"/>
        </w:rPr>
        <w:t>http://www.opm.gov/oca/10tables/html/dcb_h.asp</w:t>
      </w:r>
      <w:r w:rsidRPr="00E614D2">
        <w:rPr>
          <w:sz w:val="24"/>
        </w:rPr>
        <w:t xml:space="preserve">. </w:t>
      </w:r>
    </w:p>
    <w:p w14:paraId="7D50A00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312"/>
      </w:tblGrid>
      <w:tr w:rsidR="00B45FCB" w:rsidRPr="00E614D2" w14:paraId="581030E1" w14:textId="77777777" w:rsidTr="00BB0149">
        <w:tc>
          <w:tcPr>
            <w:tcW w:w="6300" w:type="dxa"/>
          </w:tcPr>
          <w:p w14:paraId="191715B7"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Task</w:t>
            </w:r>
          </w:p>
        </w:tc>
        <w:tc>
          <w:tcPr>
            <w:tcW w:w="3312" w:type="dxa"/>
          </w:tcPr>
          <w:p w14:paraId="25A8CEBF"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Estimated Cost</w:t>
            </w:r>
          </w:p>
        </w:tc>
      </w:tr>
      <w:tr w:rsidR="00B45FCB" w:rsidRPr="00E614D2" w14:paraId="1977359E" w14:textId="77777777" w:rsidTr="00BB0149">
        <w:tc>
          <w:tcPr>
            <w:tcW w:w="6300" w:type="dxa"/>
          </w:tcPr>
          <w:p w14:paraId="00300A20" w14:textId="77777777" w:rsidR="00B45FCB" w:rsidRPr="00E614D2" w:rsidRDefault="00B45FCB" w:rsidP="008446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4"/>
              </w:rPr>
            </w:pPr>
            <w:r>
              <w:rPr>
                <w:sz w:val="24"/>
              </w:rPr>
              <w:t xml:space="preserve">Development of </w:t>
            </w:r>
            <w:r w:rsidR="004D6DD6">
              <w:rPr>
                <w:sz w:val="24"/>
              </w:rPr>
              <w:t xml:space="preserve">HHS CSR reconciliation </w:t>
            </w:r>
            <w:r w:rsidR="0084467F">
              <w:rPr>
                <w:sz w:val="24"/>
              </w:rPr>
              <w:t>template</w:t>
            </w:r>
          </w:p>
        </w:tc>
        <w:tc>
          <w:tcPr>
            <w:tcW w:w="3312" w:type="dxa"/>
            <w:vAlign w:val="center"/>
          </w:tcPr>
          <w:p w14:paraId="4E010DB2"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14:paraId="63E7515C" w14:textId="77777777" w:rsidTr="00BB0149">
        <w:tc>
          <w:tcPr>
            <w:tcW w:w="6300" w:type="dxa"/>
          </w:tcPr>
          <w:p w14:paraId="0D50A8FF" w14:textId="77777777" w:rsidR="00B45FCB" w:rsidRPr="00E614D2" w:rsidRDefault="0084467F"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B7159B">
              <w:rPr>
                <w:sz w:val="24"/>
              </w:rPr>
              <w:t>3 GS-13: 3 x $42.66 x 30</w:t>
            </w:r>
            <w:r w:rsidR="00B45FCB" w:rsidRPr="00E614D2">
              <w:rPr>
                <w:sz w:val="24"/>
              </w:rPr>
              <w:t xml:space="preserve"> hours</w:t>
            </w:r>
          </w:p>
        </w:tc>
        <w:tc>
          <w:tcPr>
            <w:tcW w:w="3312" w:type="dxa"/>
            <w:vAlign w:val="center"/>
          </w:tcPr>
          <w:p w14:paraId="6A6FF3C2" w14:textId="77777777" w:rsidR="00B45FCB" w:rsidRPr="00E614D2" w:rsidRDefault="00B7159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$3,839.</w:t>
            </w:r>
            <w:r w:rsidR="00C20037">
              <w:rPr>
                <w:sz w:val="24"/>
              </w:rPr>
              <w:t>4</w:t>
            </w:r>
            <w:r>
              <w:rPr>
                <w:sz w:val="24"/>
              </w:rPr>
              <w:t>0</w:t>
            </w:r>
          </w:p>
        </w:tc>
      </w:tr>
      <w:tr w:rsidR="00B45FCB" w:rsidRPr="00E614D2" w14:paraId="2C15257E" w14:textId="77777777" w:rsidTr="00BB0149">
        <w:tc>
          <w:tcPr>
            <w:tcW w:w="6300" w:type="dxa"/>
          </w:tcPr>
          <w:p w14:paraId="3C29283D"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14:paraId="11F982A1"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47AED918" w14:textId="77777777" w:rsidTr="00BB0149">
        <w:tc>
          <w:tcPr>
            <w:tcW w:w="6300" w:type="dxa"/>
          </w:tcPr>
          <w:p w14:paraId="424C25CB" w14:textId="77777777" w:rsidR="009B26ED" w:rsidRPr="00E614D2" w:rsidRDefault="009B26ED" w:rsidP="009B2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4"/>
              </w:rPr>
            </w:pPr>
            <w:r>
              <w:rPr>
                <w:sz w:val="24"/>
              </w:rPr>
              <w:t>Collection of HHS CSR reconciliation data</w:t>
            </w:r>
          </w:p>
        </w:tc>
        <w:tc>
          <w:tcPr>
            <w:tcW w:w="3312" w:type="dxa"/>
            <w:vAlign w:val="center"/>
          </w:tcPr>
          <w:p w14:paraId="7E52C079" w14:textId="77777777" w:rsidR="009B26ED" w:rsidRPr="00E614D2"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7E8D99A5" w14:textId="77777777" w:rsidTr="00BB0149">
        <w:tc>
          <w:tcPr>
            <w:tcW w:w="6300" w:type="dxa"/>
          </w:tcPr>
          <w:p w14:paraId="19CB405E" w14:textId="77777777" w:rsidR="009B26ED" w:rsidRPr="00E614D2"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5 GS-13: 5 x $42.66 </w:t>
            </w:r>
            <w:r w:rsidRPr="007F3A5D">
              <w:rPr>
                <w:sz w:val="24"/>
              </w:rPr>
              <w:t>x 40 hours</w:t>
            </w:r>
          </w:p>
        </w:tc>
        <w:tc>
          <w:tcPr>
            <w:tcW w:w="3312" w:type="dxa"/>
            <w:vAlign w:val="center"/>
          </w:tcPr>
          <w:p w14:paraId="2571170A" w14:textId="77777777" w:rsidR="009B26ED" w:rsidRPr="00E614D2"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$8,532</w:t>
            </w:r>
          </w:p>
        </w:tc>
      </w:tr>
      <w:tr w:rsidR="009B26ED" w:rsidRPr="00E614D2" w14:paraId="52F3215F" w14:textId="77777777" w:rsidTr="00BB0149">
        <w:tc>
          <w:tcPr>
            <w:tcW w:w="6300" w:type="dxa"/>
          </w:tcPr>
          <w:p w14:paraId="194C45EE"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14:paraId="1E238006"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3A2440C4" w14:textId="77777777" w:rsidTr="00BB0149">
        <w:tc>
          <w:tcPr>
            <w:tcW w:w="6300" w:type="dxa"/>
          </w:tcPr>
          <w:p w14:paraId="54542662"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 xml:space="preserve">Technical Assistance to </w:t>
            </w:r>
            <w:r>
              <w:rPr>
                <w:sz w:val="24"/>
              </w:rPr>
              <w:t>Issuers</w:t>
            </w:r>
          </w:p>
        </w:tc>
        <w:tc>
          <w:tcPr>
            <w:tcW w:w="3312" w:type="dxa"/>
            <w:vAlign w:val="center"/>
          </w:tcPr>
          <w:p w14:paraId="3B515485"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040A5991" w14:textId="77777777" w:rsidTr="00BB0149">
        <w:tc>
          <w:tcPr>
            <w:tcW w:w="6300" w:type="dxa"/>
          </w:tcPr>
          <w:p w14:paraId="1BD57FDD"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5 GS-13: 5</w:t>
            </w:r>
            <w:r w:rsidRPr="00E614D2">
              <w:rPr>
                <w:sz w:val="24"/>
              </w:rPr>
              <w:t xml:space="preserve"> x $42.66 x </w:t>
            </w:r>
            <w:r>
              <w:rPr>
                <w:sz w:val="24"/>
              </w:rPr>
              <w:t xml:space="preserve">8 </w:t>
            </w:r>
            <w:r w:rsidRPr="00E614D2">
              <w:rPr>
                <w:sz w:val="24"/>
              </w:rPr>
              <w:t>hours</w:t>
            </w:r>
          </w:p>
        </w:tc>
        <w:tc>
          <w:tcPr>
            <w:tcW w:w="3312" w:type="dxa"/>
            <w:vAlign w:val="center"/>
          </w:tcPr>
          <w:p w14:paraId="689700E6" w14:textId="77777777" w:rsidR="009B26ED" w:rsidRPr="00E614D2" w:rsidRDefault="009B26ED"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$1706.40</w:t>
            </w:r>
          </w:p>
        </w:tc>
      </w:tr>
      <w:tr w:rsidR="009B26ED" w:rsidRPr="00E614D2" w14:paraId="33B4E0AD" w14:textId="77777777" w:rsidTr="00BB0149">
        <w:tc>
          <w:tcPr>
            <w:tcW w:w="6300" w:type="dxa"/>
          </w:tcPr>
          <w:p w14:paraId="1C1AB345"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14:paraId="475C1C42"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2045DBF2" w14:textId="77777777" w:rsidTr="00BB0149">
        <w:tc>
          <w:tcPr>
            <w:tcW w:w="6300" w:type="dxa"/>
          </w:tcPr>
          <w:p w14:paraId="3D1C1860"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Managerial Review and Oversight</w:t>
            </w:r>
          </w:p>
        </w:tc>
        <w:tc>
          <w:tcPr>
            <w:tcW w:w="3312" w:type="dxa"/>
            <w:vAlign w:val="center"/>
          </w:tcPr>
          <w:p w14:paraId="79DFF84F"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70B5EE97" w14:textId="77777777" w:rsidTr="00BB0149">
        <w:tc>
          <w:tcPr>
            <w:tcW w:w="6300" w:type="dxa"/>
          </w:tcPr>
          <w:p w14:paraId="3313A676"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2 GS-15: 2 x $59.30 x 4</w:t>
            </w:r>
            <w:r w:rsidRPr="00E614D2">
              <w:rPr>
                <w:sz w:val="24"/>
              </w:rPr>
              <w:t xml:space="preserve"> hours</w:t>
            </w:r>
          </w:p>
        </w:tc>
        <w:tc>
          <w:tcPr>
            <w:tcW w:w="3312" w:type="dxa"/>
            <w:vAlign w:val="center"/>
          </w:tcPr>
          <w:p w14:paraId="13E5C4A7" w14:textId="77777777" w:rsidR="009B26ED" w:rsidRPr="00E614D2" w:rsidRDefault="009B26ED" w:rsidP="00C200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$474.40</w:t>
            </w:r>
          </w:p>
        </w:tc>
      </w:tr>
      <w:tr w:rsidR="009B26ED" w:rsidRPr="00E614D2" w14:paraId="4410AB8A" w14:textId="77777777" w:rsidTr="00BB0149">
        <w:tc>
          <w:tcPr>
            <w:tcW w:w="6300" w:type="dxa"/>
          </w:tcPr>
          <w:p w14:paraId="0E8F1257"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14:paraId="21BF5445"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9B26ED" w:rsidRPr="00E614D2" w14:paraId="16CADACA" w14:textId="77777777" w:rsidTr="00BB0149">
        <w:trPr>
          <w:trHeight w:val="80"/>
        </w:trPr>
        <w:tc>
          <w:tcPr>
            <w:tcW w:w="6300" w:type="dxa"/>
          </w:tcPr>
          <w:p w14:paraId="4E91AA1E" w14:textId="77777777" w:rsidR="009B26ED" w:rsidRPr="00E614D2"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614D2">
              <w:rPr>
                <w:b/>
                <w:sz w:val="24"/>
              </w:rPr>
              <w:t>Total Costs to Government</w:t>
            </w:r>
          </w:p>
        </w:tc>
        <w:tc>
          <w:tcPr>
            <w:tcW w:w="3312" w:type="dxa"/>
            <w:vAlign w:val="center"/>
          </w:tcPr>
          <w:p w14:paraId="45382AB2" w14:textId="77777777" w:rsidR="009B26ED" w:rsidRPr="00E614D2" w:rsidRDefault="009B26ED"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7F3A5D">
              <w:rPr>
                <w:b/>
                <w:sz w:val="24"/>
              </w:rPr>
              <w:t>$</w:t>
            </w:r>
            <w:r w:rsidR="007F3A5D" w:rsidRPr="007F3A5D">
              <w:rPr>
                <w:b/>
                <w:sz w:val="24"/>
              </w:rPr>
              <w:t>14</w:t>
            </w:r>
            <w:r w:rsidRPr="007F3A5D">
              <w:rPr>
                <w:b/>
                <w:sz w:val="24"/>
              </w:rPr>
              <w:t>,</w:t>
            </w:r>
            <w:r w:rsidR="007F3A5D" w:rsidRPr="007F3A5D">
              <w:rPr>
                <w:b/>
                <w:sz w:val="24"/>
              </w:rPr>
              <w:t>552</w:t>
            </w:r>
            <w:r w:rsidRPr="007F3A5D">
              <w:rPr>
                <w:b/>
                <w:sz w:val="24"/>
              </w:rPr>
              <w:t>.</w:t>
            </w:r>
            <w:r w:rsidR="007F3A5D" w:rsidRPr="007F3A5D">
              <w:rPr>
                <w:b/>
                <w:sz w:val="24"/>
              </w:rPr>
              <w:t>22</w:t>
            </w:r>
          </w:p>
        </w:tc>
      </w:tr>
    </w:tbl>
    <w:p w14:paraId="7F382EFA"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6F247C" w14:textId="77777777" w:rsidR="00276FFD" w:rsidRPr="00E614D2" w:rsidRDefault="00276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D75FAC" w14:textId="77777777" w:rsidR="00B45FCB" w:rsidRPr="00E614D2" w:rsidRDefault="00B45FCB" w:rsidP="00B45FCB">
      <w:pPr>
        <w:rPr>
          <w:b/>
          <w:sz w:val="24"/>
        </w:rPr>
      </w:pPr>
      <w:r w:rsidRPr="00E614D2">
        <w:rPr>
          <w:sz w:val="24"/>
        </w:rPr>
        <w:t xml:space="preserve">15. </w:t>
      </w:r>
      <w:r w:rsidRPr="00E614D2">
        <w:rPr>
          <w:sz w:val="24"/>
          <w:u w:val="single"/>
        </w:rPr>
        <w:t>Explanation for Program Changes or Adjustments</w:t>
      </w:r>
    </w:p>
    <w:p w14:paraId="0C7E0CEC"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AC27F7E" w14:textId="3C0B9BA3" w:rsidR="002F2A3F" w:rsidRDefault="00266B57" w:rsidP="00EB76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was previously approved</w:t>
      </w:r>
      <w:r w:rsidR="006E785B">
        <w:rPr>
          <w:sz w:val="24"/>
        </w:rPr>
        <w:t xml:space="preserve"> </w:t>
      </w:r>
      <w:r w:rsidR="005D5C0E">
        <w:rPr>
          <w:sz w:val="24"/>
        </w:rPr>
        <w:t>on</w:t>
      </w:r>
      <w:r w:rsidR="006E785B" w:rsidRPr="00D61DAF">
        <w:rPr>
          <w:sz w:val="24"/>
        </w:rPr>
        <w:t xml:space="preserve"> December 30, 2014</w:t>
      </w:r>
      <w:r w:rsidR="006E785B" w:rsidRPr="00764DCC">
        <w:rPr>
          <w:sz w:val="24"/>
        </w:rPr>
        <w:t xml:space="preserve"> under OMB control </w:t>
      </w:r>
      <w:r w:rsidR="006E785B" w:rsidRPr="00EF648F">
        <w:rPr>
          <w:sz w:val="24"/>
        </w:rPr>
        <w:t>number 0938-1266</w:t>
      </w:r>
      <w:r w:rsidR="006E785B" w:rsidRPr="00EF5556">
        <w:rPr>
          <w:sz w:val="24"/>
        </w:rPr>
        <w:t>.</w:t>
      </w:r>
      <w:r>
        <w:rPr>
          <w:sz w:val="24"/>
        </w:rPr>
        <w:t xml:space="preserve"> Changes here are limited to the removal of certain data elements and the addition of others. All </w:t>
      </w:r>
      <w:r w:rsidR="002F2A3F">
        <w:rPr>
          <w:sz w:val="24"/>
        </w:rPr>
        <w:t xml:space="preserve">added </w:t>
      </w:r>
      <w:r>
        <w:rPr>
          <w:sz w:val="24"/>
        </w:rPr>
        <w:t>information would have been previously collected; therefore this results in no change of burden.</w:t>
      </w:r>
      <w:r w:rsidR="002F2A3F">
        <w:rPr>
          <w:sz w:val="24"/>
        </w:rPr>
        <w:t xml:space="preserve"> For example, </w:t>
      </w:r>
      <w:r w:rsidR="006243C2">
        <w:rPr>
          <w:sz w:val="24"/>
        </w:rPr>
        <w:t xml:space="preserve">we will require issuers to report the total number of CSR variant plans under their QHP ID, and </w:t>
      </w:r>
      <w:r w:rsidR="00EA1769">
        <w:rPr>
          <w:sz w:val="24"/>
        </w:rPr>
        <w:t>we will no longer require</w:t>
      </w:r>
      <w:r w:rsidR="00764DCC" w:rsidRPr="00764DCC">
        <w:rPr>
          <w:sz w:val="24"/>
        </w:rPr>
        <w:t xml:space="preserve"> </w:t>
      </w:r>
      <w:r w:rsidR="00EA1769">
        <w:rPr>
          <w:sz w:val="24"/>
        </w:rPr>
        <w:t xml:space="preserve">issuers </w:t>
      </w:r>
      <w:r w:rsidR="002F2A3F">
        <w:rPr>
          <w:sz w:val="24"/>
        </w:rPr>
        <w:t>to report</w:t>
      </w:r>
      <w:r w:rsidR="002F2A3F" w:rsidRPr="00D237AA">
        <w:rPr>
          <w:sz w:val="24"/>
        </w:rPr>
        <w:t xml:space="preserve"> the total actual CSR amount submitted in 2014 Medical Loss Ratio reporting and whether th</w:t>
      </w:r>
      <w:r w:rsidR="002F2A3F">
        <w:rPr>
          <w:sz w:val="24"/>
        </w:rPr>
        <w:t>e</w:t>
      </w:r>
      <w:r w:rsidR="002F2A3F" w:rsidRPr="00D237AA">
        <w:rPr>
          <w:sz w:val="24"/>
        </w:rPr>
        <w:t xml:space="preserve"> </w:t>
      </w:r>
      <w:r w:rsidR="002F2A3F">
        <w:rPr>
          <w:sz w:val="24"/>
        </w:rPr>
        <w:t>submitted amount is the 2014 CSR</w:t>
      </w:r>
      <w:r w:rsidR="002F2A3F" w:rsidRPr="00D237AA">
        <w:rPr>
          <w:sz w:val="24"/>
        </w:rPr>
        <w:t xml:space="preserve"> advance </w:t>
      </w:r>
      <w:r w:rsidR="002F2A3F">
        <w:rPr>
          <w:sz w:val="24"/>
        </w:rPr>
        <w:t xml:space="preserve">payment amount </w:t>
      </w:r>
      <w:r w:rsidR="002F2A3F" w:rsidRPr="00D237AA">
        <w:rPr>
          <w:sz w:val="24"/>
        </w:rPr>
        <w:t>or a certified estimate</w:t>
      </w:r>
      <w:r w:rsidR="00764DCC">
        <w:rPr>
          <w:sz w:val="24"/>
        </w:rPr>
        <w:t>.</w:t>
      </w:r>
      <w:r w:rsidR="006243C2">
        <w:rPr>
          <w:sz w:val="24"/>
        </w:rPr>
        <w:t xml:space="preserve"> </w:t>
      </w:r>
      <w:r w:rsidR="00EB765C">
        <w:rPr>
          <w:sz w:val="24"/>
        </w:rPr>
        <w:t xml:space="preserve">At the same time, </w:t>
      </w:r>
      <w:r w:rsidR="000719BF">
        <w:rPr>
          <w:sz w:val="24"/>
        </w:rPr>
        <w:t>at the request of issuers,</w:t>
      </w:r>
      <w:r w:rsidR="00EB765C">
        <w:rPr>
          <w:sz w:val="24"/>
        </w:rPr>
        <w:t xml:space="preserve"> this collection </w:t>
      </w:r>
      <w:r w:rsidR="006E785B">
        <w:rPr>
          <w:sz w:val="24"/>
        </w:rPr>
        <w:t xml:space="preserve">adds </w:t>
      </w:r>
      <w:r w:rsidR="00764DCC">
        <w:rPr>
          <w:sz w:val="24"/>
        </w:rPr>
        <w:t xml:space="preserve">a data element </w:t>
      </w:r>
      <w:r w:rsidR="005D5C0E">
        <w:rPr>
          <w:sz w:val="24"/>
        </w:rPr>
        <w:t>(</w:t>
      </w:r>
      <w:r w:rsidR="005D5C0E" w:rsidRPr="00EF5556">
        <w:rPr>
          <w:sz w:val="24"/>
        </w:rPr>
        <w:t>QHP ID</w:t>
      </w:r>
      <w:r w:rsidR="005D5C0E">
        <w:rPr>
          <w:sz w:val="24"/>
        </w:rPr>
        <w:t xml:space="preserve">) </w:t>
      </w:r>
      <w:r w:rsidR="00764DCC">
        <w:rPr>
          <w:sz w:val="24"/>
        </w:rPr>
        <w:t xml:space="preserve">already collected at the plan level to the policy level collection </w:t>
      </w:r>
      <w:r w:rsidR="001D1F07">
        <w:rPr>
          <w:sz w:val="24"/>
        </w:rPr>
        <w:t xml:space="preserve">so that data may be mapped. To comply with this collection, we added </w:t>
      </w:r>
      <w:r w:rsidR="001D1F07" w:rsidRPr="00764DCC">
        <w:rPr>
          <w:sz w:val="24"/>
        </w:rPr>
        <w:t>data</w:t>
      </w:r>
      <w:r w:rsidR="001D1F07" w:rsidRPr="00EF5556">
        <w:rPr>
          <w:sz w:val="24"/>
        </w:rPr>
        <w:t xml:space="preserve"> elements to allow issuers to cross reference their HIOS IDs with those</w:t>
      </w:r>
      <w:r w:rsidR="00EA1769">
        <w:rPr>
          <w:sz w:val="24"/>
        </w:rPr>
        <w:t xml:space="preserve"> of any</w:t>
      </w:r>
      <w:r w:rsidR="001D1F07" w:rsidRPr="00EF5556">
        <w:rPr>
          <w:sz w:val="24"/>
        </w:rPr>
        <w:t xml:space="preserve"> acquired issuer(s) or merger partner(s)</w:t>
      </w:r>
      <w:r w:rsidR="001D1F07">
        <w:rPr>
          <w:sz w:val="24"/>
        </w:rPr>
        <w:t>, and to</w:t>
      </w:r>
      <w:r w:rsidR="00EA1769">
        <w:rPr>
          <w:sz w:val="24"/>
        </w:rPr>
        <w:t xml:space="preserve"> provide</w:t>
      </w:r>
      <w:r w:rsidR="001D1F07">
        <w:rPr>
          <w:sz w:val="24"/>
        </w:rPr>
        <w:t xml:space="preserve"> names, emails, and phones</w:t>
      </w:r>
      <w:r w:rsidR="001B63D0">
        <w:rPr>
          <w:sz w:val="24"/>
        </w:rPr>
        <w:t xml:space="preserve"> for</w:t>
      </w:r>
      <w:r w:rsidR="001D1F07">
        <w:rPr>
          <w:sz w:val="24"/>
        </w:rPr>
        <w:t xml:space="preserve"> the technical and business company officers</w:t>
      </w:r>
      <w:r w:rsidR="001B63D0">
        <w:rPr>
          <w:sz w:val="24"/>
        </w:rPr>
        <w:t xml:space="preserve"> filing</w:t>
      </w:r>
      <w:r w:rsidR="001D1F07">
        <w:rPr>
          <w:sz w:val="24"/>
        </w:rPr>
        <w:t xml:space="preserve"> data </w:t>
      </w:r>
      <w:r w:rsidR="001B63D0">
        <w:rPr>
          <w:sz w:val="24"/>
        </w:rPr>
        <w:t xml:space="preserve">for this collection </w:t>
      </w:r>
      <w:r w:rsidR="001D1F07">
        <w:rPr>
          <w:sz w:val="24"/>
        </w:rPr>
        <w:t xml:space="preserve">to CMS.  </w:t>
      </w:r>
      <w:r w:rsidR="002F2A3F">
        <w:rPr>
          <w:sz w:val="24"/>
        </w:rPr>
        <w:t xml:space="preserve">Since the new data elements are already available as a result of the reconciliation process and accessed and reported electronically in seconds, we estimate no </w:t>
      </w:r>
      <w:r w:rsidR="002F2A3F">
        <w:rPr>
          <w:sz w:val="24"/>
        </w:rPr>
        <w:lastRenderedPageBreak/>
        <w:t xml:space="preserve">change in burden. </w:t>
      </w:r>
    </w:p>
    <w:p w14:paraId="72A1E2BB" w14:textId="77777777" w:rsidR="00493615" w:rsidRDefault="004936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7841798"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16.</w:t>
      </w:r>
      <w:r w:rsidRPr="00E614D2">
        <w:rPr>
          <w:sz w:val="24"/>
        </w:rPr>
        <w:tab/>
      </w:r>
      <w:r w:rsidRPr="00E614D2">
        <w:rPr>
          <w:sz w:val="24"/>
          <w:u w:val="single"/>
        </w:rPr>
        <w:t>Publication/Tabulation Dates</w:t>
      </w:r>
    </w:p>
    <w:p w14:paraId="3189FF35"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1057B1" w14:textId="77777777" w:rsidR="003A5A64" w:rsidRDefault="004D6DD6" w:rsidP="004D6D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14:paraId="0C00E710" w14:textId="77777777" w:rsidR="003A5A64" w:rsidRDefault="003A5A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AD086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287572"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614D2">
        <w:rPr>
          <w:sz w:val="24"/>
        </w:rPr>
        <w:t>17.</w:t>
      </w:r>
      <w:r w:rsidRPr="00E614D2">
        <w:rPr>
          <w:sz w:val="24"/>
        </w:rPr>
        <w:tab/>
      </w:r>
      <w:r w:rsidRPr="00E614D2">
        <w:rPr>
          <w:sz w:val="24"/>
          <w:u w:val="single"/>
        </w:rPr>
        <w:t>Expiration Date</w:t>
      </w:r>
    </w:p>
    <w:p w14:paraId="112E4CF7" w14:textId="77777777" w:rsidR="004F624F" w:rsidRPr="00E614D2" w:rsidRDefault="004F62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84B5C33" w14:textId="77777777" w:rsidR="00B45FCB" w:rsidRPr="00E614D2" w:rsidRDefault="004F62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14:paraId="3E1CDA68"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F3A55D" w14:textId="77777777" w:rsidR="001F5579" w:rsidRDefault="001F5579" w:rsidP="00916D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36"/>
          <w:szCs w:val="36"/>
          <w:u w:val="single"/>
        </w:rPr>
      </w:pPr>
    </w:p>
    <w:sectPr w:rsidR="001F5579" w:rsidSect="00BB0149">
      <w:headerReference w:type="default" r:id="rId10"/>
      <w:footerReference w:type="default" r:id="rId11"/>
      <w:endnotePr>
        <w:numFmt w:val="decimal"/>
      </w:endnotePr>
      <w:type w:val="continuous"/>
      <w:pgSz w:w="12240" w:h="15840"/>
      <w:pgMar w:top="1872" w:right="1296" w:bottom="630" w:left="1440" w:header="547" w:footer="258"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F55FB7" w15:done="0"/>
  <w15:commentEx w15:paraId="48C5071F" w15:done="0"/>
  <w15:commentEx w15:paraId="2B5201EC" w15:done="0"/>
  <w15:commentEx w15:paraId="46C5B4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6BFE7" w14:textId="77777777" w:rsidR="007B4B23" w:rsidRDefault="007B4B23">
      <w:r>
        <w:separator/>
      </w:r>
    </w:p>
    <w:p w14:paraId="674CDB5B" w14:textId="77777777" w:rsidR="007B4B23" w:rsidRDefault="007B4B23"/>
  </w:endnote>
  <w:endnote w:type="continuationSeparator" w:id="0">
    <w:p w14:paraId="219ED852" w14:textId="77777777" w:rsidR="007B4B23" w:rsidRDefault="007B4B23">
      <w:r>
        <w:continuationSeparator/>
      </w:r>
    </w:p>
    <w:p w14:paraId="65DD9302" w14:textId="77777777" w:rsidR="007B4B23" w:rsidRDefault="007B4B23"/>
  </w:endnote>
  <w:endnote w:id="1">
    <w:p w14:paraId="41809E85" w14:textId="77777777" w:rsidR="005B2E08" w:rsidRPr="001F5579" w:rsidRDefault="005B2E08" w:rsidP="005B2E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6"/>
          <w:szCs w:val="16"/>
          <w:u w:val="single"/>
        </w:rPr>
      </w:pPr>
      <w:r>
        <w:rPr>
          <w:rStyle w:val="EndnoteReference"/>
        </w:rPr>
        <w:endnoteRef/>
      </w:r>
      <w:r>
        <w:t xml:space="preserve"> </w:t>
      </w:r>
      <w:r w:rsidRPr="001F5579">
        <w:rPr>
          <w:sz w:val="16"/>
          <w:szCs w:val="16"/>
        </w:rPr>
        <w:t>QHP issuers must reduce cost sharing for individuals with household incomes between 100 percent and 250 percent of the federal poverty level (FPL) who are enrolled in a silver level QHP in the individual market on an Exchange. In addition, issuers must eliminate cost sharing for Indians with household incomes under 300 percent of FPL who are enrolled in a QHP in the individual market on an Exchange. Finally, issuers must eliminate cost sharing for Indians enrolled in a QHP in the individual market on the Exchange, regardless of income, when services are provided by the Indian Health Service, an Indian Tribe, Tribal Organization, or Urban Indian Organization, or through referral under contract health services.</w:t>
      </w:r>
    </w:p>
    <w:p w14:paraId="7E4E332C" w14:textId="77777777" w:rsidR="005B2E08" w:rsidRDefault="005B2E08" w:rsidP="005B2E08">
      <w:pPr>
        <w:pStyle w:val="FootnoteText"/>
      </w:pPr>
    </w:p>
    <w:p w14:paraId="190E1D8A" w14:textId="77777777" w:rsidR="005B2E08" w:rsidRDefault="005B2E0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8C8C7" w14:textId="77777777" w:rsidR="006C6FD8" w:rsidRDefault="006C6F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FCBDF" w14:textId="77777777" w:rsidR="007B4B23" w:rsidRDefault="007B4B23">
      <w:r>
        <w:separator/>
      </w:r>
    </w:p>
    <w:p w14:paraId="1A9D17B6" w14:textId="77777777" w:rsidR="007B4B23" w:rsidRDefault="007B4B23"/>
  </w:footnote>
  <w:footnote w:type="continuationSeparator" w:id="0">
    <w:p w14:paraId="6F7E2210" w14:textId="77777777" w:rsidR="007B4B23" w:rsidRDefault="007B4B23">
      <w:r>
        <w:continuationSeparator/>
      </w:r>
    </w:p>
    <w:p w14:paraId="54EDA497" w14:textId="77777777" w:rsidR="007B4B23" w:rsidRDefault="007B4B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709DC" w14:textId="77777777" w:rsidR="006C6FD8" w:rsidRPr="0098227C" w:rsidRDefault="006C6FD8" w:rsidP="0098227C">
    <w:pPr>
      <w:tabs>
        <w:tab w:val="center" w:pos="4752"/>
        <w:tab w:val="left" w:pos="5040"/>
        <w:tab w:val="left" w:pos="5760"/>
        <w:tab w:val="left" w:pos="6480"/>
        <w:tab w:val="left" w:pos="7200"/>
        <w:tab w:val="left" w:pos="7920"/>
        <w:tab w:val="left" w:pos="8640"/>
        <w:tab w:val="left" w:pos="9360"/>
      </w:tabs>
      <w:jc w:val="center"/>
    </w:pPr>
    <w:r w:rsidRPr="00406631">
      <w:rPr>
        <w:b/>
        <w:sz w:val="32"/>
        <w:szCs w:val="32"/>
        <w:u w:val="single"/>
      </w:rPr>
      <w:t xml:space="preserve">Supporting Statement For Paperwork Reduction Act Submissions: </w:t>
    </w:r>
    <w:r>
      <w:rPr>
        <w:b/>
        <w:sz w:val="32"/>
        <w:szCs w:val="32"/>
        <w:u w:val="single"/>
      </w:rPr>
      <w:t>Cost Sharing Reduction Reconciliation Data Template</w:t>
    </w:r>
  </w:p>
  <w:p w14:paraId="4B82066D" w14:textId="77777777" w:rsidR="006C6FD8" w:rsidRDefault="006C6FD8"/>
  <w:p w14:paraId="563D7317" w14:textId="77777777" w:rsidR="001E0D7D" w:rsidRDefault="001E0D7D" w:rsidP="001E0D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29F"/>
    <w:multiLevelType w:val="hybridMultilevel"/>
    <w:tmpl w:val="F1F4ABA2"/>
    <w:lvl w:ilvl="0" w:tplc="FC3C56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130A4"/>
    <w:multiLevelType w:val="hybridMultilevel"/>
    <w:tmpl w:val="8424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606F8"/>
    <w:multiLevelType w:val="hybridMultilevel"/>
    <w:tmpl w:val="363C0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032554"/>
    <w:multiLevelType w:val="hybridMultilevel"/>
    <w:tmpl w:val="66AC3CC8"/>
    <w:lvl w:ilvl="0" w:tplc="A1246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E4C36"/>
    <w:multiLevelType w:val="hybridMultilevel"/>
    <w:tmpl w:val="58AE7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7E4D18">
      <w:start w:val="1"/>
      <w:numFmt w:val="decimal"/>
      <w:lvlText w:val="%3)"/>
      <w:lvlJc w:val="left"/>
      <w:pPr>
        <w:ind w:left="2340" w:hanging="360"/>
      </w:pPr>
      <w:rPr>
        <w:rFonts w:hint="default"/>
      </w:rPr>
    </w:lvl>
    <w:lvl w:ilvl="3" w:tplc="11C8AA8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C6C34"/>
    <w:multiLevelType w:val="hybridMultilevel"/>
    <w:tmpl w:val="0F74306A"/>
    <w:lvl w:ilvl="0" w:tplc="5008C8AC">
      <w:start w:val="1"/>
      <w:numFmt w:val="bullet"/>
      <w:lvlText w:val="-"/>
      <w:lvlJc w:val="left"/>
      <w:pPr>
        <w:ind w:left="720" w:hanging="360"/>
      </w:pPr>
      <w:rPr>
        <w:rFonts w:ascii="Calibri" w:eastAsia="Calibri" w:hAnsi="Calibri"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6634B9"/>
    <w:multiLevelType w:val="hybridMultilevel"/>
    <w:tmpl w:val="ABCA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406E3E"/>
    <w:multiLevelType w:val="hybridMultilevel"/>
    <w:tmpl w:val="220A5F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39E72309"/>
    <w:multiLevelType w:val="hybridMultilevel"/>
    <w:tmpl w:val="7988CA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Symbo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Symbol"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54684E5D"/>
    <w:multiLevelType w:val="hybridMultilevel"/>
    <w:tmpl w:val="2E221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9201A"/>
    <w:multiLevelType w:val="hybridMultilevel"/>
    <w:tmpl w:val="6B16C6E8"/>
    <w:lvl w:ilvl="0" w:tplc="0409000F">
      <w:start w:val="1"/>
      <w:numFmt w:val="decimal"/>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5A8C7F5A"/>
    <w:multiLevelType w:val="hybridMultilevel"/>
    <w:tmpl w:val="015A1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E66215"/>
    <w:multiLevelType w:val="hybridMultilevel"/>
    <w:tmpl w:val="177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141A2"/>
    <w:multiLevelType w:val="hybridMultilevel"/>
    <w:tmpl w:val="6982178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65194A5D"/>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995383"/>
    <w:multiLevelType w:val="hybridMultilevel"/>
    <w:tmpl w:val="02F270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69A40B44"/>
    <w:multiLevelType w:val="hybridMultilevel"/>
    <w:tmpl w:val="8690C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932623"/>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1552796"/>
    <w:multiLevelType w:val="hybridMultilevel"/>
    <w:tmpl w:val="DC3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DE06C1"/>
    <w:multiLevelType w:val="hybridMultilevel"/>
    <w:tmpl w:val="53D4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23427"/>
    <w:multiLevelType w:val="hybridMultilevel"/>
    <w:tmpl w:val="D1DE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BB35E68"/>
    <w:multiLevelType w:val="hybridMultilevel"/>
    <w:tmpl w:val="BD6A346A"/>
    <w:lvl w:ilvl="0" w:tplc="5E0663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9"/>
  </w:num>
  <w:num w:numId="2">
    <w:abstractNumId w:val="8"/>
  </w:num>
  <w:num w:numId="3">
    <w:abstractNumId w:val="1"/>
  </w:num>
  <w:num w:numId="4">
    <w:abstractNumId w:val="9"/>
  </w:num>
  <w:num w:numId="5">
    <w:abstractNumId w:val="6"/>
  </w:num>
  <w:num w:numId="6">
    <w:abstractNumId w:val="13"/>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17"/>
  </w:num>
  <w:num w:numId="12">
    <w:abstractNumId w:val="2"/>
  </w:num>
  <w:num w:numId="13">
    <w:abstractNumId w:val="3"/>
  </w:num>
  <w:num w:numId="14">
    <w:abstractNumId w:val="18"/>
  </w:num>
  <w:num w:numId="15">
    <w:abstractNumId w:val="0"/>
  </w:num>
  <w:num w:numId="16">
    <w:abstractNumId w:val="7"/>
  </w:num>
  <w:num w:numId="17">
    <w:abstractNumId w:val="11"/>
  </w:num>
  <w:num w:numId="18">
    <w:abstractNumId w:val="12"/>
  </w:num>
  <w:num w:numId="19">
    <w:abstractNumId w:val="21"/>
  </w:num>
  <w:num w:numId="20">
    <w:abstractNumId w:val="14"/>
  </w:num>
  <w:num w:numId="21">
    <w:abstractNumId w:val="20"/>
  </w:num>
  <w:num w:numId="22">
    <w:abstractNumId w:val="15"/>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Grossman">
    <w15:presenceInfo w15:providerId="AD" w15:userId="S-1-5-21-4095628063-3556742122-3606576086-7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2BC"/>
    <w:rsid w:val="0000469A"/>
    <w:rsid w:val="0001458B"/>
    <w:rsid w:val="00015A04"/>
    <w:rsid w:val="00016476"/>
    <w:rsid w:val="000207CC"/>
    <w:rsid w:val="00023985"/>
    <w:rsid w:val="00027D01"/>
    <w:rsid w:val="000344E5"/>
    <w:rsid w:val="00040C6F"/>
    <w:rsid w:val="0004375A"/>
    <w:rsid w:val="00051424"/>
    <w:rsid w:val="000562AF"/>
    <w:rsid w:val="00065CCC"/>
    <w:rsid w:val="000719BF"/>
    <w:rsid w:val="00086B4D"/>
    <w:rsid w:val="0008767B"/>
    <w:rsid w:val="000879E6"/>
    <w:rsid w:val="000914E0"/>
    <w:rsid w:val="00093425"/>
    <w:rsid w:val="00096A39"/>
    <w:rsid w:val="00096D7A"/>
    <w:rsid w:val="000A3DD8"/>
    <w:rsid w:val="000A5E5B"/>
    <w:rsid w:val="000B3A92"/>
    <w:rsid w:val="000B4B76"/>
    <w:rsid w:val="000B4E1D"/>
    <w:rsid w:val="000C4D7C"/>
    <w:rsid w:val="000E6E24"/>
    <w:rsid w:val="000F3AF4"/>
    <w:rsid w:val="00102035"/>
    <w:rsid w:val="001074C7"/>
    <w:rsid w:val="00112BA5"/>
    <w:rsid w:val="001155C9"/>
    <w:rsid w:val="0011782C"/>
    <w:rsid w:val="00120165"/>
    <w:rsid w:val="0012112C"/>
    <w:rsid w:val="00125519"/>
    <w:rsid w:val="0013236D"/>
    <w:rsid w:val="00135616"/>
    <w:rsid w:val="00137FD4"/>
    <w:rsid w:val="00140213"/>
    <w:rsid w:val="0014168F"/>
    <w:rsid w:val="0014219B"/>
    <w:rsid w:val="00142CC9"/>
    <w:rsid w:val="0015156F"/>
    <w:rsid w:val="00157043"/>
    <w:rsid w:val="00161697"/>
    <w:rsid w:val="00166F3B"/>
    <w:rsid w:val="00171ADD"/>
    <w:rsid w:val="0017372D"/>
    <w:rsid w:val="00176278"/>
    <w:rsid w:val="0018253C"/>
    <w:rsid w:val="001825FF"/>
    <w:rsid w:val="00187E38"/>
    <w:rsid w:val="00195119"/>
    <w:rsid w:val="001952AF"/>
    <w:rsid w:val="00196B03"/>
    <w:rsid w:val="001A4398"/>
    <w:rsid w:val="001A5B33"/>
    <w:rsid w:val="001A664B"/>
    <w:rsid w:val="001B63D0"/>
    <w:rsid w:val="001B6A6B"/>
    <w:rsid w:val="001C7F13"/>
    <w:rsid w:val="001D0BEF"/>
    <w:rsid w:val="001D1F07"/>
    <w:rsid w:val="001D2A61"/>
    <w:rsid w:val="001D7383"/>
    <w:rsid w:val="001E0D7D"/>
    <w:rsid w:val="001E7000"/>
    <w:rsid w:val="001E707D"/>
    <w:rsid w:val="001F016A"/>
    <w:rsid w:val="001F2C35"/>
    <w:rsid w:val="001F5579"/>
    <w:rsid w:val="001F5E84"/>
    <w:rsid w:val="002050B0"/>
    <w:rsid w:val="002156FB"/>
    <w:rsid w:val="00221F4A"/>
    <w:rsid w:val="00227D8E"/>
    <w:rsid w:val="00240D21"/>
    <w:rsid w:val="00243CD5"/>
    <w:rsid w:val="002453E5"/>
    <w:rsid w:val="00250FCE"/>
    <w:rsid w:val="00256B0C"/>
    <w:rsid w:val="0026132C"/>
    <w:rsid w:val="00264D0D"/>
    <w:rsid w:val="00265BAC"/>
    <w:rsid w:val="00266B57"/>
    <w:rsid w:val="00267A81"/>
    <w:rsid w:val="00276FFD"/>
    <w:rsid w:val="00281267"/>
    <w:rsid w:val="002812BE"/>
    <w:rsid w:val="00291063"/>
    <w:rsid w:val="0029185D"/>
    <w:rsid w:val="00292B1E"/>
    <w:rsid w:val="00297EB3"/>
    <w:rsid w:val="002A294D"/>
    <w:rsid w:val="002A46DE"/>
    <w:rsid w:val="002A669E"/>
    <w:rsid w:val="002C4DE0"/>
    <w:rsid w:val="002C5544"/>
    <w:rsid w:val="002C7837"/>
    <w:rsid w:val="002D0568"/>
    <w:rsid w:val="002D1BA0"/>
    <w:rsid w:val="002D1FF8"/>
    <w:rsid w:val="002D3612"/>
    <w:rsid w:val="002D4E98"/>
    <w:rsid w:val="002E536B"/>
    <w:rsid w:val="002E59D2"/>
    <w:rsid w:val="002F01BF"/>
    <w:rsid w:val="002F2A3F"/>
    <w:rsid w:val="002F6111"/>
    <w:rsid w:val="00313798"/>
    <w:rsid w:val="0031555A"/>
    <w:rsid w:val="00316BB7"/>
    <w:rsid w:val="00317AF1"/>
    <w:rsid w:val="003235C2"/>
    <w:rsid w:val="003255BD"/>
    <w:rsid w:val="0032657D"/>
    <w:rsid w:val="00333679"/>
    <w:rsid w:val="00341B08"/>
    <w:rsid w:val="003423DD"/>
    <w:rsid w:val="0034243D"/>
    <w:rsid w:val="00375773"/>
    <w:rsid w:val="003805F6"/>
    <w:rsid w:val="00386F7D"/>
    <w:rsid w:val="00396024"/>
    <w:rsid w:val="003966AD"/>
    <w:rsid w:val="003A32B0"/>
    <w:rsid w:val="003A5A64"/>
    <w:rsid w:val="003A718C"/>
    <w:rsid w:val="003A71AC"/>
    <w:rsid w:val="003B7933"/>
    <w:rsid w:val="003C036E"/>
    <w:rsid w:val="003C30AF"/>
    <w:rsid w:val="003C7678"/>
    <w:rsid w:val="003D196E"/>
    <w:rsid w:val="003D360F"/>
    <w:rsid w:val="003D6611"/>
    <w:rsid w:val="003E055E"/>
    <w:rsid w:val="003E2367"/>
    <w:rsid w:val="003E3686"/>
    <w:rsid w:val="003F638F"/>
    <w:rsid w:val="003F7B5E"/>
    <w:rsid w:val="00400842"/>
    <w:rsid w:val="004059B1"/>
    <w:rsid w:val="00413A54"/>
    <w:rsid w:val="0041459B"/>
    <w:rsid w:val="00421B2F"/>
    <w:rsid w:val="0042611C"/>
    <w:rsid w:val="0042699A"/>
    <w:rsid w:val="00426FD9"/>
    <w:rsid w:val="00427B49"/>
    <w:rsid w:val="00427D02"/>
    <w:rsid w:val="004342A6"/>
    <w:rsid w:val="00443F41"/>
    <w:rsid w:val="00450680"/>
    <w:rsid w:val="00450CFF"/>
    <w:rsid w:val="00460C8F"/>
    <w:rsid w:val="004626F6"/>
    <w:rsid w:val="0046409C"/>
    <w:rsid w:val="0046559D"/>
    <w:rsid w:val="00471AFB"/>
    <w:rsid w:val="00474E75"/>
    <w:rsid w:val="00477AC6"/>
    <w:rsid w:val="0048101E"/>
    <w:rsid w:val="00486AEC"/>
    <w:rsid w:val="0049335C"/>
    <w:rsid w:val="00493615"/>
    <w:rsid w:val="00493FF1"/>
    <w:rsid w:val="004971BF"/>
    <w:rsid w:val="00497244"/>
    <w:rsid w:val="00497F28"/>
    <w:rsid w:val="004A1036"/>
    <w:rsid w:val="004A11FF"/>
    <w:rsid w:val="004A1BBE"/>
    <w:rsid w:val="004A3B36"/>
    <w:rsid w:val="004B0737"/>
    <w:rsid w:val="004B36E7"/>
    <w:rsid w:val="004C7ACF"/>
    <w:rsid w:val="004D2069"/>
    <w:rsid w:val="004D2DC6"/>
    <w:rsid w:val="004D6DD6"/>
    <w:rsid w:val="004E5CB7"/>
    <w:rsid w:val="004F40EE"/>
    <w:rsid w:val="004F624F"/>
    <w:rsid w:val="00500CB4"/>
    <w:rsid w:val="00500F13"/>
    <w:rsid w:val="005068D8"/>
    <w:rsid w:val="005109D6"/>
    <w:rsid w:val="00510E60"/>
    <w:rsid w:val="005243E1"/>
    <w:rsid w:val="00524B3E"/>
    <w:rsid w:val="00537D02"/>
    <w:rsid w:val="00553832"/>
    <w:rsid w:val="00555E7B"/>
    <w:rsid w:val="00561994"/>
    <w:rsid w:val="005657B3"/>
    <w:rsid w:val="00565E1B"/>
    <w:rsid w:val="00566AF1"/>
    <w:rsid w:val="0057275E"/>
    <w:rsid w:val="005759C0"/>
    <w:rsid w:val="00575A5C"/>
    <w:rsid w:val="005828FF"/>
    <w:rsid w:val="0058398A"/>
    <w:rsid w:val="00596122"/>
    <w:rsid w:val="005961C2"/>
    <w:rsid w:val="005A06C7"/>
    <w:rsid w:val="005B0A9B"/>
    <w:rsid w:val="005B1439"/>
    <w:rsid w:val="005B1D97"/>
    <w:rsid w:val="005B2E08"/>
    <w:rsid w:val="005B2E1E"/>
    <w:rsid w:val="005B7149"/>
    <w:rsid w:val="005B73B9"/>
    <w:rsid w:val="005C1F5F"/>
    <w:rsid w:val="005C4903"/>
    <w:rsid w:val="005D028B"/>
    <w:rsid w:val="005D06E4"/>
    <w:rsid w:val="005D1E39"/>
    <w:rsid w:val="005D514B"/>
    <w:rsid w:val="005D54F5"/>
    <w:rsid w:val="005D5C0E"/>
    <w:rsid w:val="005D7932"/>
    <w:rsid w:val="005E0152"/>
    <w:rsid w:val="005E0736"/>
    <w:rsid w:val="005E24D7"/>
    <w:rsid w:val="005E2F88"/>
    <w:rsid w:val="005E3F08"/>
    <w:rsid w:val="005E580C"/>
    <w:rsid w:val="005E74A3"/>
    <w:rsid w:val="005F595E"/>
    <w:rsid w:val="006243C2"/>
    <w:rsid w:val="00627432"/>
    <w:rsid w:val="00631E87"/>
    <w:rsid w:val="00635288"/>
    <w:rsid w:val="00636AA5"/>
    <w:rsid w:val="00636B95"/>
    <w:rsid w:val="00640FDE"/>
    <w:rsid w:val="00646B4A"/>
    <w:rsid w:val="0065113E"/>
    <w:rsid w:val="00651CAC"/>
    <w:rsid w:val="00656456"/>
    <w:rsid w:val="00661422"/>
    <w:rsid w:val="006620B5"/>
    <w:rsid w:val="0066426D"/>
    <w:rsid w:val="00676A30"/>
    <w:rsid w:val="00680693"/>
    <w:rsid w:val="00697DD7"/>
    <w:rsid w:val="006A0026"/>
    <w:rsid w:val="006A7AB8"/>
    <w:rsid w:val="006B0C88"/>
    <w:rsid w:val="006B5D64"/>
    <w:rsid w:val="006B5F77"/>
    <w:rsid w:val="006B64EC"/>
    <w:rsid w:val="006C6FD8"/>
    <w:rsid w:val="006C7BBD"/>
    <w:rsid w:val="006D2DBE"/>
    <w:rsid w:val="006D71D6"/>
    <w:rsid w:val="006E32C2"/>
    <w:rsid w:val="006E5E75"/>
    <w:rsid w:val="006E76AC"/>
    <w:rsid w:val="006E785B"/>
    <w:rsid w:val="006F7197"/>
    <w:rsid w:val="007035AC"/>
    <w:rsid w:val="007261A2"/>
    <w:rsid w:val="007343C0"/>
    <w:rsid w:val="0074074C"/>
    <w:rsid w:val="0074563F"/>
    <w:rsid w:val="007475A2"/>
    <w:rsid w:val="007624DD"/>
    <w:rsid w:val="00762967"/>
    <w:rsid w:val="00764149"/>
    <w:rsid w:val="00764DCC"/>
    <w:rsid w:val="00765762"/>
    <w:rsid w:val="007658F5"/>
    <w:rsid w:val="00771E68"/>
    <w:rsid w:val="00783ABC"/>
    <w:rsid w:val="00784CBE"/>
    <w:rsid w:val="00785571"/>
    <w:rsid w:val="007A18BB"/>
    <w:rsid w:val="007A29CE"/>
    <w:rsid w:val="007A7507"/>
    <w:rsid w:val="007A75FF"/>
    <w:rsid w:val="007B4B23"/>
    <w:rsid w:val="007C2284"/>
    <w:rsid w:val="007C6938"/>
    <w:rsid w:val="007D358F"/>
    <w:rsid w:val="007D3695"/>
    <w:rsid w:val="007D69D7"/>
    <w:rsid w:val="007E3E2F"/>
    <w:rsid w:val="007E4318"/>
    <w:rsid w:val="007E436F"/>
    <w:rsid w:val="007F0C13"/>
    <w:rsid w:val="007F3A5D"/>
    <w:rsid w:val="007F48A2"/>
    <w:rsid w:val="00802435"/>
    <w:rsid w:val="00805A84"/>
    <w:rsid w:val="00807E5A"/>
    <w:rsid w:val="00813A1D"/>
    <w:rsid w:val="008206BA"/>
    <w:rsid w:val="00823EB4"/>
    <w:rsid w:val="00834D13"/>
    <w:rsid w:val="00841D1E"/>
    <w:rsid w:val="00841DD3"/>
    <w:rsid w:val="0084467F"/>
    <w:rsid w:val="00854572"/>
    <w:rsid w:val="00860DD3"/>
    <w:rsid w:val="00866942"/>
    <w:rsid w:val="00871879"/>
    <w:rsid w:val="00871E2B"/>
    <w:rsid w:val="00872887"/>
    <w:rsid w:val="00873BFB"/>
    <w:rsid w:val="00875F84"/>
    <w:rsid w:val="008843FB"/>
    <w:rsid w:val="00884BF7"/>
    <w:rsid w:val="00891199"/>
    <w:rsid w:val="008A045C"/>
    <w:rsid w:val="008A27A5"/>
    <w:rsid w:val="008B285A"/>
    <w:rsid w:val="008B74DD"/>
    <w:rsid w:val="008C2CFD"/>
    <w:rsid w:val="008D5ACE"/>
    <w:rsid w:val="008E7D4D"/>
    <w:rsid w:val="008F0357"/>
    <w:rsid w:val="008F115D"/>
    <w:rsid w:val="008F6FAD"/>
    <w:rsid w:val="00902BE6"/>
    <w:rsid w:val="0090768C"/>
    <w:rsid w:val="009117AE"/>
    <w:rsid w:val="00912CAC"/>
    <w:rsid w:val="009133F1"/>
    <w:rsid w:val="00916D83"/>
    <w:rsid w:val="00927CBC"/>
    <w:rsid w:val="009321FD"/>
    <w:rsid w:val="009361F9"/>
    <w:rsid w:val="00943073"/>
    <w:rsid w:val="009471F0"/>
    <w:rsid w:val="009508EC"/>
    <w:rsid w:val="009517D2"/>
    <w:rsid w:val="009520DC"/>
    <w:rsid w:val="009549EE"/>
    <w:rsid w:val="009628E6"/>
    <w:rsid w:val="00964B01"/>
    <w:rsid w:val="00971C32"/>
    <w:rsid w:val="0098227C"/>
    <w:rsid w:val="00986421"/>
    <w:rsid w:val="009905CD"/>
    <w:rsid w:val="00992CD9"/>
    <w:rsid w:val="009A5289"/>
    <w:rsid w:val="009A6404"/>
    <w:rsid w:val="009B1A92"/>
    <w:rsid w:val="009B26ED"/>
    <w:rsid w:val="009B5236"/>
    <w:rsid w:val="009C151B"/>
    <w:rsid w:val="009C376E"/>
    <w:rsid w:val="009C3DB4"/>
    <w:rsid w:val="009D7126"/>
    <w:rsid w:val="009E439C"/>
    <w:rsid w:val="009F30CA"/>
    <w:rsid w:val="00A04023"/>
    <w:rsid w:val="00A07158"/>
    <w:rsid w:val="00A12390"/>
    <w:rsid w:val="00A12ABC"/>
    <w:rsid w:val="00A26058"/>
    <w:rsid w:val="00A35732"/>
    <w:rsid w:val="00A3750B"/>
    <w:rsid w:val="00A375D2"/>
    <w:rsid w:val="00A403B5"/>
    <w:rsid w:val="00A4414C"/>
    <w:rsid w:val="00A4784D"/>
    <w:rsid w:val="00A64E18"/>
    <w:rsid w:val="00A736B5"/>
    <w:rsid w:val="00A762CD"/>
    <w:rsid w:val="00A7738E"/>
    <w:rsid w:val="00A80E32"/>
    <w:rsid w:val="00A814C3"/>
    <w:rsid w:val="00A848E1"/>
    <w:rsid w:val="00A86FA5"/>
    <w:rsid w:val="00A90066"/>
    <w:rsid w:val="00A971F0"/>
    <w:rsid w:val="00AA4801"/>
    <w:rsid w:val="00AA7062"/>
    <w:rsid w:val="00AB4F81"/>
    <w:rsid w:val="00AB5521"/>
    <w:rsid w:val="00AC3568"/>
    <w:rsid w:val="00AC7408"/>
    <w:rsid w:val="00AD2EA6"/>
    <w:rsid w:val="00AE5E62"/>
    <w:rsid w:val="00AF0579"/>
    <w:rsid w:val="00AF2D56"/>
    <w:rsid w:val="00B01785"/>
    <w:rsid w:val="00B0299B"/>
    <w:rsid w:val="00B054A9"/>
    <w:rsid w:val="00B145D1"/>
    <w:rsid w:val="00B212B4"/>
    <w:rsid w:val="00B2452B"/>
    <w:rsid w:val="00B2625B"/>
    <w:rsid w:val="00B2727A"/>
    <w:rsid w:val="00B3154A"/>
    <w:rsid w:val="00B31FBC"/>
    <w:rsid w:val="00B3252D"/>
    <w:rsid w:val="00B45FCB"/>
    <w:rsid w:val="00B50866"/>
    <w:rsid w:val="00B51E87"/>
    <w:rsid w:val="00B56A28"/>
    <w:rsid w:val="00B60740"/>
    <w:rsid w:val="00B60EC1"/>
    <w:rsid w:val="00B7159B"/>
    <w:rsid w:val="00B768E1"/>
    <w:rsid w:val="00B8008E"/>
    <w:rsid w:val="00B80B6F"/>
    <w:rsid w:val="00B83ADC"/>
    <w:rsid w:val="00B87940"/>
    <w:rsid w:val="00B91743"/>
    <w:rsid w:val="00BA2432"/>
    <w:rsid w:val="00BA4547"/>
    <w:rsid w:val="00BA73FF"/>
    <w:rsid w:val="00BB0149"/>
    <w:rsid w:val="00BB298D"/>
    <w:rsid w:val="00BD0C0B"/>
    <w:rsid w:val="00BD3405"/>
    <w:rsid w:val="00BD7161"/>
    <w:rsid w:val="00BE0967"/>
    <w:rsid w:val="00BE154C"/>
    <w:rsid w:val="00BE3444"/>
    <w:rsid w:val="00BE5BEA"/>
    <w:rsid w:val="00BF2CD0"/>
    <w:rsid w:val="00BF4E04"/>
    <w:rsid w:val="00BF4FD6"/>
    <w:rsid w:val="00BF637A"/>
    <w:rsid w:val="00C00008"/>
    <w:rsid w:val="00C01048"/>
    <w:rsid w:val="00C01235"/>
    <w:rsid w:val="00C050E5"/>
    <w:rsid w:val="00C053A9"/>
    <w:rsid w:val="00C07F20"/>
    <w:rsid w:val="00C11B9C"/>
    <w:rsid w:val="00C134D0"/>
    <w:rsid w:val="00C20037"/>
    <w:rsid w:val="00C25F23"/>
    <w:rsid w:val="00C262B5"/>
    <w:rsid w:val="00C301FE"/>
    <w:rsid w:val="00C31C25"/>
    <w:rsid w:val="00C326AA"/>
    <w:rsid w:val="00C34392"/>
    <w:rsid w:val="00C36240"/>
    <w:rsid w:val="00C42A23"/>
    <w:rsid w:val="00C71AEC"/>
    <w:rsid w:val="00C725AC"/>
    <w:rsid w:val="00C7285A"/>
    <w:rsid w:val="00C82E01"/>
    <w:rsid w:val="00C84B1C"/>
    <w:rsid w:val="00C8725F"/>
    <w:rsid w:val="00C9671C"/>
    <w:rsid w:val="00C97835"/>
    <w:rsid w:val="00C97A22"/>
    <w:rsid w:val="00CA3144"/>
    <w:rsid w:val="00CA38CC"/>
    <w:rsid w:val="00CA45E8"/>
    <w:rsid w:val="00CA52F4"/>
    <w:rsid w:val="00CA6639"/>
    <w:rsid w:val="00CA781F"/>
    <w:rsid w:val="00CB23BD"/>
    <w:rsid w:val="00CB5918"/>
    <w:rsid w:val="00CC4366"/>
    <w:rsid w:val="00CD493C"/>
    <w:rsid w:val="00CD4C2D"/>
    <w:rsid w:val="00CE02CE"/>
    <w:rsid w:val="00CE4932"/>
    <w:rsid w:val="00CE7598"/>
    <w:rsid w:val="00CF7DD0"/>
    <w:rsid w:val="00D00675"/>
    <w:rsid w:val="00D048C2"/>
    <w:rsid w:val="00D14ED3"/>
    <w:rsid w:val="00D165DB"/>
    <w:rsid w:val="00D205F0"/>
    <w:rsid w:val="00D237AA"/>
    <w:rsid w:val="00D27B5B"/>
    <w:rsid w:val="00D308F0"/>
    <w:rsid w:val="00D3098E"/>
    <w:rsid w:val="00D30E5D"/>
    <w:rsid w:val="00D3145C"/>
    <w:rsid w:val="00D34E49"/>
    <w:rsid w:val="00D43EF8"/>
    <w:rsid w:val="00D44F49"/>
    <w:rsid w:val="00D452A3"/>
    <w:rsid w:val="00D51CFC"/>
    <w:rsid w:val="00D520C0"/>
    <w:rsid w:val="00D56D49"/>
    <w:rsid w:val="00D607CE"/>
    <w:rsid w:val="00D61DAF"/>
    <w:rsid w:val="00D6549F"/>
    <w:rsid w:val="00D66380"/>
    <w:rsid w:val="00D71C8D"/>
    <w:rsid w:val="00D7635D"/>
    <w:rsid w:val="00D76FA8"/>
    <w:rsid w:val="00D8356F"/>
    <w:rsid w:val="00D92757"/>
    <w:rsid w:val="00D92E6C"/>
    <w:rsid w:val="00D932BA"/>
    <w:rsid w:val="00D9492D"/>
    <w:rsid w:val="00D9589D"/>
    <w:rsid w:val="00DA7534"/>
    <w:rsid w:val="00DA7971"/>
    <w:rsid w:val="00DB74D4"/>
    <w:rsid w:val="00DC185F"/>
    <w:rsid w:val="00DC39C4"/>
    <w:rsid w:val="00DC39D3"/>
    <w:rsid w:val="00DC400F"/>
    <w:rsid w:val="00DD27C6"/>
    <w:rsid w:val="00DD593F"/>
    <w:rsid w:val="00DF2376"/>
    <w:rsid w:val="00E069FD"/>
    <w:rsid w:val="00E10572"/>
    <w:rsid w:val="00E131FC"/>
    <w:rsid w:val="00E1359E"/>
    <w:rsid w:val="00E33AD8"/>
    <w:rsid w:val="00E3446A"/>
    <w:rsid w:val="00E473F4"/>
    <w:rsid w:val="00E47CB4"/>
    <w:rsid w:val="00E54BBC"/>
    <w:rsid w:val="00E55F33"/>
    <w:rsid w:val="00E575DE"/>
    <w:rsid w:val="00E576D7"/>
    <w:rsid w:val="00E62C3B"/>
    <w:rsid w:val="00E64E03"/>
    <w:rsid w:val="00E66701"/>
    <w:rsid w:val="00E7295D"/>
    <w:rsid w:val="00E80D33"/>
    <w:rsid w:val="00E829F5"/>
    <w:rsid w:val="00E836FD"/>
    <w:rsid w:val="00E8734E"/>
    <w:rsid w:val="00EA04FF"/>
    <w:rsid w:val="00EA1769"/>
    <w:rsid w:val="00EA52EF"/>
    <w:rsid w:val="00EA55EA"/>
    <w:rsid w:val="00EA7B09"/>
    <w:rsid w:val="00EB0CC3"/>
    <w:rsid w:val="00EB2987"/>
    <w:rsid w:val="00EB36E6"/>
    <w:rsid w:val="00EB4967"/>
    <w:rsid w:val="00EB765C"/>
    <w:rsid w:val="00EC1082"/>
    <w:rsid w:val="00EC3823"/>
    <w:rsid w:val="00EE4A59"/>
    <w:rsid w:val="00EF1385"/>
    <w:rsid w:val="00EF2760"/>
    <w:rsid w:val="00EF34DA"/>
    <w:rsid w:val="00EF648F"/>
    <w:rsid w:val="00F0455B"/>
    <w:rsid w:val="00F162FB"/>
    <w:rsid w:val="00F16E0E"/>
    <w:rsid w:val="00F23E38"/>
    <w:rsid w:val="00F279AF"/>
    <w:rsid w:val="00F331AA"/>
    <w:rsid w:val="00F45442"/>
    <w:rsid w:val="00F45CCC"/>
    <w:rsid w:val="00F57B98"/>
    <w:rsid w:val="00F64134"/>
    <w:rsid w:val="00F66631"/>
    <w:rsid w:val="00F6732C"/>
    <w:rsid w:val="00F730F5"/>
    <w:rsid w:val="00F91951"/>
    <w:rsid w:val="00F93B9D"/>
    <w:rsid w:val="00FA07FF"/>
    <w:rsid w:val="00FA3C31"/>
    <w:rsid w:val="00FB40F7"/>
    <w:rsid w:val="00FC3DD5"/>
    <w:rsid w:val="00FC61EB"/>
    <w:rsid w:val="00FD215C"/>
    <w:rsid w:val="00FE333E"/>
    <w:rsid w:val="00FE3697"/>
    <w:rsid w:val="00FE3EF9"/>
    <w:rsid w:val="00FE73F7"/>
    <w:rsid w:val="00FF003B"/>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618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A7062"/>
    <w:pPr>
      <w:widowControl w:val="0"/>
      <w:autoSpaceDE w:val="0"/>
      <w:autoSpaceDN w:val="0"/>
      <w:adjustRightInd w:val="0"/>
    </w:pPr>
    <w:rPr>
      <w:szCs w:val="24"/>
    </w:rPr>
  </w:style>
  <w:style w:type="paragraph" w:styleId="Heading2">
    <w:name w:val="heading 2"/>
    <w:basedOn w:val="Normal"/>
    <w:next w:val="Normal"/>
    <w:link w:val="Heading2Char"/>
    <w:unhideWhenUsed/>
    <w:qFormat/>
    <w:rsid w:val="00FE33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7062"/>
  </w:style>
  <w:style w:type="paragraph" w:styleId="Header">
    <w:name w:val="header"/>
    <w:basedOn w:val="Normal"/>
    <w:link w:val="HeaderChar"/>
    <w:rsid w:val="00FE395E"/>
    <w:pPr>
      <w:tabs>
        <w:tab w:val="center" w:pos="4680"/>
        <w:tab w:val="right" w:pos="9360"/>
      </w:tabs>
    </w:pPr>
  </w:style>
  <w:style w:type="character" w:customStyle="1" w:styleId="HeaderChar">
    <w:name w:val="Header Char"/>
    <w:link w:val="Header"/>
    <w:rsid w:val="00FE395E"/>
    <w:rPr>
      <w:szCs w:val="24"/>
    </w:rPr>
  </w:style>
  <w:style w:type="paragraph" w:styleId="Footer">
    <w:name w:val="footer"/>
    <w:basedOn w:val="Normal"/>
    <w:link w:val="FooterChar"/>
    <w:rsid w:val="00FE395E"/>
    <w:pPr>
      <w:tabs>
        <w:tab w:val="center" w:pos="4680"/>
        <w:tab w:val="right" w:pos="9360"/>
      </w:tabs>
    </w:pPr>
  </w:style>
  <w:style w:type="character" w:customStyle="1" w:styleId="FooterChar">
    <w:name w:val="Footer Char"/>
    <w:link w:val="Footer"/>
    <w:rsid w:val="00FE395E"/>
    <w:rPr>
      <w:szCs w:val="24"/>
    </w:rPr>
  </w:style>
  <w:style w:type="paragraph" w:customStyle="1" w:styleId="ColorfulList-Accent11">
    <w:name w:val="Colorful List - Accent 11"/>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24C"/>
    <w:rPr>
      <w:color w:val="0000FF"/>
      <w:u w:val="single"/>
    </w:rPr>
  </w:style>
  <w:style w:type="paragraph" w:styleId="BalloonText">
    <w:name w:val="Balloon Text"/>
    <w:basedOn w:val="Normal"/>
    <w:link w:val="BalloonTextChar"/>
    <w:rsid w:val="004E2F90"/>
    <w:rPr>
      <w:rFonts w:ascii="Tahoma" w:hAnsi="Tahoma"/>
      <w:sz w:val="16"/>
      <w:szCs w:val="16"/>
    </w:rPr>
  </w:style>
  <w:style w:type="character" w:customStyle="1" w:styleId="BalloonTextChar">
    <w:name w:val="Balloon Text Char"/>
    <w:link w:val="BalloonText"/>
    <w:rsid w:val="004E2F90"/>
    <w:rPr>
      <w:rFonts w:ascii="Tahoma" w:hAnsi="Tahoma" w:cs="Tahoma"/>
      <w:sz w:val="16"/>
      <w:szCs w:val="16"/>
    </w:rPr>
  </w:style>
  <w:style w:type="character" w:styleId="FollowedHyperlink">
    <w:name w:val="FollowedHyperlink"/>
    <w:rsid w:val="005B0FE7"/>
    <w:rPr>
      <w:color w:val="800080"/>
      <w:u w:val="single"/>
    </w:rPr>
  </w:style>
  <w:style w:type="character" w:styleId="CommentReference">
    <w:name w:val="annotation reference"/>
    <w:rsid w:val="00CD0523"/>
    <w:rPr>
      <w:sz w:val="16"/>
      <w:szCs w:val="16"/>
    </w:rPr>
  </w:style>
  <w:style w:type="paragraph" w:styleId="CommentText">
    <w:name w:val="annotation text"/>
    <w:basedOn w:val="Normal"/>
    <w:link w:val="CommentTextChar"/>
    <w:rsid w:val="00CD0523"/>
    <w:rPr>
      <w:szCs w:val="20"/>
    </w:rPr>
  </w:style>
  <w:style w:type="character" w:customStyle="1" w:styleId="CommentTextChar">
    <w:name w:val="Comment Text Char"/>
    <w:basedOn w:val="DefaultParagraphFont"/>
    <w:link w:val="CommentText"/>
    <w:rsid w:val="00CD0523"/>
  </w:style>
  <w:style w:type="paragraph" w:styleId="CommentSubject">
    <w:name w:val="annotation subject"/>
    <w:basedOn w:val="CommentText"/>
    <w:next w:val="CommentText"/>
    <w:link w:val="CommentSubjectChar"/>
    <w:rsid w:val="00CD0523"/>
    <w:rPr>
      <w:b/>
      <w:bCs/>
    </w:rPr>
  </w:style>
  <w:style w:type="character" w:customStyle="1" w:styleId="CommentSubjectChar">
    <w:name w:val="Comment Subject Char"/>
    <w:link w:val="CommentSubject"/>
    <w:rsid w:val="00CD0523"/>
    <w:rPr>
      <w:b/>
      <w:bCs/>
    </w:rPr>
  </w:style>
  <w:style w:type="paragraph" w:customStyle="1" w:styleId="ColorfulShading-Accent11">
    <w:name w:val="Colorful Shading - Accent 11"/>
    <w:hidden/>
    <w:uiPriority w:val="99"/>
    <w:semiHidden/>
    <w:rsid w:val="00F43D9C"/>
    <w:rPr>
      <w:szCs w:val="24"/>
    </w:rPr>
  </w:style>
  <w:style w:type="paragraph" w:styleId="Revision">
    <w:name w:val="Revision"/>
    <w:hidden/>
    <w:rsid w:val="00BF4E04"/>
    <w:rPr>
      <w:szCs w:val="24"/>
    </w:rPr>
  </w:style>
  <w:style w:type="paragraph" w:styleId="FootnoteText">
    <w:name w:val="footnote text"/>
    <w:basedOn w:val="Normal"/>
    <w:link w:val="FootnoteTextChar"/>
    <w:rsid w:val="0046559D"/>
    <w:rPr>
      <w:szCs w:val="20"/>
    </w:rPr>
  </w:style>
  <w:style w:type="character" w:customStyle="1" w:styleId="FootnoteTextChar">
    <w:name w:val="Footnote Text Char"/>
    <w:basedOn w:val="DefaultParagraphFont"/>
    <w:link w:val="FootnoteText"/>
    <w:rsid w:val="0046559D"/>
  </w:style>
  <w:style w:type="paragraph" w:styleId="EndnoteText">
    <w:name w:val="endnote text"/>
    <w:basedOn w:val="Normal"/>
    <w:link w:val="EndnoteTextChar"/>
    <w:rsid w:val="00636B95"/>
    <w:rPr>
      <w:szCs w:val="20"/>
    </w:rPr>
  </w:style>
  <w:style w:type="character" w:customStyle="1" w:styleId="EndnoteTextChar">
    <w:name w:val="Endnote Text Char"/>
    <w:basedOn w:val="DefaultParagraphFont"/>
    <w:link w:val="EndnoteText"/>
    <w:rsid w:val="00636B95"/>
  </w:style>
  <w:style w:type="character" w:styleId="EndnoteReference">
    <w:name w:val="endnote reference"/>
    <w:basedOn w:val="DefaultParagraphFont"/>
    <w:rsid w:val="00636B95"/>
    <w:rPr>
      <w:vertAlign w:val="superscript"/>
    </w:rPr>
  </w:style>
  <w:style w:type="paragraph" w:styleId="ListParagraph">
    <w:name w:val="List Paragraph"/>
    <w:basedOn w:val="Normal"/>
    <w:qFormat/>
    <w:rsid w:val="00065CCC"/>
    <w:pPr>
      <w:ind w:left="720"/>
      <w:contextualSpacing/>
    </w:pPr>
  </w:style>
  <w:style w:type="character" w:customStyle="1" w:styleId="Heading2Char">
    <w:name w:val="Heading 2 Char"/>
    <w:basedOn w:val="DefaultParagraphFont"/>
    <w:link w:val="Heading2"/>
    <w:rsid w:val="00FE333E"/>
    <w:rPr>
      <w:rFonts w:asciiTheme="majorHAnsi" w:eastAsiaTheme="majorEastAsia" w:hAnsiTheme="majorHAnsi" w:cstheme="majorBidi"/>
      <w:b/>
      <w:bCs/>
      <w:color w:val="4F81BD" w:themeColor="accent1"/>
      <w:sz w:val="26"/>
      <w:szCs w:val="26"/>
    </w:rPr>
  </w:style>
  <w:style w:type="character" w:customStyle="1" w:styleId="cwcot">
    <w:name w:val="cwcot"/>
    <w:basedOn w:val="DefaultParagraphFont"/>
    <w:rsid w:val="00EB4967"/>
  </w:style>
  <w:style w:type="character" w:customStyle="1" w:styleId="volume">
    <w:name w:val="volume"/>
    <w:basedOn w:val="DefaultParagraphFont"/>
    <w:rsid w:val="00023985"/>
  </w:style>
  <w:style w:type="character" w:customStyle="1" w:styleId="page">
    <w:name w:val="page"/>
    <w:basedOn w:val="DefaultParagraphFont"/>
    <w:rsid w:val="00023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A7062"/>
    <w:pPr>
      <w:widowControl w:val="0"/>
      <w:autoSpaceDE w:val="0"/>
      <w:autoSpaceDN w:val="0"/>
      <w:adjustRightInd w:val="0"/>
    </w:pPr>
    <w:rPr>
      <w:szCs w:val="24"/>
    </w:rPr>
  </w:style>
  <w:style w:type="paragraph" w:styleId="Heading2">
    <w:name w:val="heading 2"/>
    <w:basedOn w:val="Normal"/>
    <w:next w:val="Normal"/>
    <w:link w:val="Heading2Char"/>
    <w:unhideWhenUsed/>
    <w:qFormat/>
    <w:rsid w:val="00FE33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7062"/>
  </w:style>
  <w:style w:type="paragraph" w:styleId="Header">
    <w:name w:val="header"/>
    <w:basedOn w:val="Normal"/>
    <w:link w:val="HeaderChar"/>
    <w:rsid w:val="00FE395E"/>
    <w:pPr>
      <w:tabs>
        <w:tab w:val="center" w:pos="4680"/>
        <w:tab w:val="right" w:pos="9360"/>
      </w:tabs>
    </w:pPr>
  </w:style>
  <w:style w:type="character" w:customStyle="1" w:styleId="HeaderChar">
    <w:name w:val="Header Char"/>
    <w:link w:val="Header"/>
    <w:rsid w:val="00FE395E"/>
    <w:rPr>
      <w:szCs w:val="24"/>
    </w:rPr>
  </w:style>
  <w:style w:type="paragraph" w:styleId="Footer">
    <w:name w:val="footer"/>
    <w:basedOn w:val="Normal"/>
    <w:link w:val="FooterChar"/>
    <w:rsid w:val="00FE395E"/>
    <w:pPr>
      <w:tabs>
        <w:tab w:val="center" w:pos="4680"/>
        <w:tab w:val="right" w:pos="9360"/>
      </w:tabs>
    </w:pPr>
  </w:style>
  <w:style w:type="character" w:customStyle="1" w:styleId="FooterChar">
    <w:name w:val="Footer Char"/>
    <w:link w:val="Footer"/>
    <w:rsid w:val="00FE395E"/>
    <w:rPr>
      <w:szCs w:val="24"/>
    </w:rPr>
  </w:style>
  <w:style w:type="paragraph" w:customStyle="1" w:styleId="ColorfulList-Accent11">
    <w:name w:val="Colorful List - Accent 11"/>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24C"/>
    <w:rPr>
      <w:color w:val="0000FF"/>
      <w:u w:val="single"/>
    </w:rPr>
  </w:style>
  <w:style w:type="paragraph" w:styleId="BalloonText">
    <w:name w:val="Balloon Text"/>
    <w:basedOn w:val="Normal"/>
    <w:link w:val="BalloonTextChar"/>
    <w:rsid w:val="004E2F90"/>
    <w:rPr>
      <w:rFonts w:ascii="Tahoma" w:hAnsi="Tahoma"/>
      <w:sz w:val="16"/>
      <w:szCs w:val="16"/>
    </w:rPr>
  </w:style>
  <w:style w:type="character" w:customStyle="1" w:styleId="BalloonTextChar">
    <w:name w:val="Balloon Text Char"/>
    <w:link w:val="BalloonText"/>
    <w:rsid w:val="004E2F90"/>
    <w:rPr>
      <w:rFonts w:ascii="Tahoma" w:hAnsi="Tahoma" w:cs="Tahoma"/>
      <w:sz w:val="16"/>
      <w:szCs w:val="16"/>
    </w:rPr>
  </w:style>
  <w:style w:type="character" w:styleId="FollowedHyperlink">
    <w:name w:val="FollowedHyperlink"/>
    <w:rsid w:val="005B0FE7"/>
    <w:rPr>
      <w:color w:val="800080"/>
      <w:u w:val="single"/>
    </w:rPr>
  </w:style>
  <w:style w:type="character" w:styleId="CommentReference">
    <w:name w:val="annotation reference"/>
    <w:rsid w:val="00CD0523"/>
    <w:rPr>
      <w:sz w:val="16"/>
      <w:szCs w:val="16"/>
    </w:rPr>
  </w:style>
  <w:style w:type="paragraph" w:styleId="CommentText">
    <w:name w:val="annotation text"/>
    <w:basedOn w:val="Normal"/>
    <w:link w:val="CommentTextChar"/>
    <w:rsid w:val="00CD0523"/>
    <w:rPr>
      <w:szCs w:val="20"/>
    </w:rPr>
  </w:style>
  <w:style w:type="character" w:customStyle="1" w:styleId="CommentTextChar">
    <w:name w:val="Comment Text Char"/>
    <w:basedOn w:val="DefaultParagraphFont"/>
    <w:link w:val="CommentText"/>
    <w:rsid w:val="00CD0523"/>
  </w:style>
  <w:style w:type="paragraph" w:styleId="CommentSubject">
    <w:name w:val="annotation subject"/>
    <w:basedOn w:val="CommentText"/>
    <w:next w:val="CommentText"/>
    <w:link w:val="CommentSubjectChar"/>
    <w:rsid w:val="00CD0523"/>
    <w:rPr>
      <w:b/>
      <w:bCs/>
    </w:rPr>
  </w:style>
  <w:style w:type="character" w:customStyle="1" w:styleId="CommentSubjectChar">
    <w:name w:val="Comment Subject Char"/>
    <w:link w:val="CommentSubject"/>
    <w:rsid w:val="00CD0523"/>
    <w:rPr>
      <w:b/>
      <w:bCs/>
    </w:rPr>
  </w:style>
  <w:style w:type="paragraph" w:customStyle="1" w:styleId="ColorfulShading-Accent11">
    <w:name w:val="Colorful Shading - Accent 11"/>
    <w:hidden/>
    <w:uiPriority w:val="99"/>
    <w:semiHidden/>
    <w:rsid w:val="00F43D9C"/>
    <w:rPr>
      <w:szCs w:val="24"/>
    </w:rPr>
  </w:style>
  <w:style w:type="paragraph" w:styleId="Revision">
    <w:name w:val="Revision"/>
    <w:hidden/>
    <w:rsid w:val="00BF4E04"/>
    <w:rPr>
      <w:szCs w:val="24"/>
    </w:rPr>
  </w:style>
  <w:style w:type="paragraph" w:styleId="FootnoteText">
    <w:name w:val="footnote text"/>
    <w:basedOn w:val="Normal"/>
    <w:link w:val="FootnoteTextChar"/>
    <w:rsid w:val="0046559D"/>
    <w:rPr>
      <w:szCs w:val="20"/>
    </w:rPr>
  </w:style>
  <w:style w:type="character" w:customStyle="1" w:styleId="FootnoteTextChar">
    <w:name w:val="Footnote Text Char"/>
    <w:basedOn w:val="DefaultParagraphFont"/>
    <w:link w:val="FootnoteText"/>
    <w:rsid w:val="0046559D"/>
  </w:style>
  <w:style w:type="paragraph" w:styleId="EndnoteText">
    <w:name w:val="endnote text"/>
    <w:basedOn w:val="Normal"/>
    <w:link w:val="EndnoteTextChar"/>
    <w:rsid w:val="00636B95"/>
    <w:rPr>
      <w:szCs w:val="20"/>
    </w:rPr>
  </w:style>
  <w:style w:type="character" w:customStyle="1" w:styleId="EndnoteTextChar">
    <w:name w:val="Endnote Text Char"/>
    <w:basedOn w:val="DefaultParagraphFont"/>
    <w:link w:val="EndnoteText"/>
    <w:rsid w:val="00636B95"/>
  </w:style>
  <w:style w:type="character" w:styleId="EndnoteReference">
    <w:name w:val="endnote reference"/>
    <w:basedOn w:val="DefaultParagraphFont"/>
    <w:rsid w:val="00636B95"/>
    <w:rPr>
      <w:vertAlign w:val="superscript"/>
    </w:rPr>
  </w:style>
  <w:style w:type="paragraph" w:styleId="ListParagraph">
    <w:name w:val="List Paragraph"/>
    <w:basedOn w:val="Normal"/>
    <w:qFormat/>
    <w:rsid w:val="00065CCC"/>
    <w:pPr>
      <w:ind w:left="720"/>
      <w:contextualSpacing/>
    </w:pPr>
  </w:style>
  <w:style w:type="character" w:customStyle="1" w:styleId="Heading2Char">
    <w:name w:val="Heading 2 Char"/>
    <w:basedOn w:val="DefaultParagraphFont"/>
    <w:link w:val="Heading2"/>
    <w:rsid w:val="00FE333E"/>
    <w:rPr>
      <w:rFonts w:asciiTheme="majorHAnsi" w:eastAsiaTheme="majorEastAsia" w:hAnsiTheme="majorHAnsi" w:cstheme="majorBidi"/>
      <w:b/>
      <w:bCs/>
      <w:color w:val="4F81BD" w:themeColor="accent1"/>
      <w:sz w:val="26"/>
      <w:szCs w:val="26"/>
    </w:rPr>
  </w:style>
  <w:style w:type="character" w:customStyle="1" w:styleId="cwcot">
    <w:name w:val="cwcot"/>
    <w:basedOn w:val="DefaultParagraphFont"/>
    <w:rsid w:val="00EB4967"/>
  </w:style>
  <w:style w:type="character" w:customStyle="1" w:styleId="volume">
    <w:name w:val="volume"/>
    <w:basedOn w:val="DefaultParagraphFont"/>
    <w:rsid w:val="00023985"/>
  </w:style>
  <w:style w:type="character" w:customStyle="1" w:styleId="page">
    <w:name w:val="page"/>
    <w:basedOn w:val="DefaultParagraphFont"/>
    <w:rsid w:val="0002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7265">
      <w:bodyDiv w:val="1"/>
      <w:marLeft w:val="0"/>
      <w:marRight w:val="0"/>
      <w:marTop w:val="0"/>
      <w:marBottom w:val="0"/>
      <w:divBdr>
        <w:top w:val="none" w:sz="0" w:space="0" w:color="auto"/>
        <w:left w:val="none" w:sz="0" w:space="0" w:color="auto"/>
        <w:bottom w:val="none" w:sz="0" w:space="0" w:color="auto"/>
        <w:right w:val="none" w:sz="0" w:space="0" w:color="auto"/>
      </w:divBdr>
    </w:div>
    <w:div w:id="393166580">
      <w:bodyDiv w:val="1"/>
      <w:marLeft w:val="0"/>
      <w:marRight w:val="0"/>
      <w:marTop w:val="0"/>
      <w:marBottom w:val="0"/>
      <w:divBdr>
        <w:top w:val="none" w:sz="0" w:space="0" w:color="auto"/>
        <w:left w:val="none" w:sz="0" w:space="0" w:color="auto"/>
        <w:bottom w:val="none" w:sz="0" w:space="0" w:color="auto"/>
        <w:right w:val="none" w:sz="0" w:space="0" w:color="auto"/>
      </w:divBdr>
    </w:div>
    <w:div w:id="748774782">
      <w:bodyDiv w:val="1"/>
      <w:marLeft w:val="0"/>
      <w:marRight w:val="0"/>
      <w:marTop w:val="0"/>
      <w:marBottom w:val="0"/>
      <w:divBdr>
        <w:top w:val="none" w:sz="0" w:space="0" w:color="auto"/>
        <w:left w:val="none" w:sz="0" w:space="0" w:color="auto"/>
        <w:bottom w:val="none" w:sz="0" w:space="0" w:color="auto"/>
        <w:right w:val="none" w:sz="0" w:space="0" w:color="auto"/>
      </w:divBdr>
    </w:div>
    <w:div w:id="1028488069">
      <w:bodyDiv w:val="1"/>
      <w:marLeft w:val="0"/>
      <w:marRight w:val="0"/>
      <w:marTop w:val="0"/>
      <w:marBottom w:val="0"/>
      <w:divBdr>
        <w:top w:val="none" w:sz="0" w:space="0" w:color="auto"/>
        <w:left w:val="none" w:sz="0" w:space="0" w:color="auto"/>
        <w:bottom w:val="none" w:sz="0" w:space="0" w:color="auto"/>
        <w:right w:val="none" w:sz="0" w:space="0" w:color="auto"/>
      </w:divBdr>
    </w:div>
    <w:div w:id="1120342990">
      <w:bodyDiv w:val="1"/>
      <w:marLeft w:val="0"/>
      <w:marRight w:val="0"/>
      <w:marTop w:val="0"/>
      <w:marBottom w:val="0"/>
      <w:divBdr>
        <w:top w:val="none" w:sz="0" w:space="0" w:color="auto"/>
        <w:left w:val="none" w:sz="0" w:space="0" w:color="auto"/>
        <w:bottom w:val="none" w:sz="0" w:space="0" w:color="auto"/>
        <w:right w:val="none" w:sz="0" w:space="0" w:color="auto"/>
      </w:divBdr>
    </w:div>
    <w:div w:id="1226062136">
      <w:bodyDiv w:val="1"/>
      <w:marLeft w:val="0"/>
      <w:marRight w:val="0"/>
      <w:marTop w:val="0"/>
      <w:marBottom w:val="0"/>
      <w:divBdr>
        <w:top w:val="none" w:sz="0" w:space="0" w:color="auto"/>
        <w:left w:val="none" w:sz="0" w:space="0" w:color="auto"/>
        <w:bottom w:val="none" w:sz="0" w:space="0" w:color="auto"/>
        <w:right w:val="none" w:sz="0" w:space="0" w:color="auto"/>
      </w:divBdr>
    </w:div>
    <w:div w:id="1650669590">
      <w:bodyDiv w:val="1"/>
      <w:marLeft w:val="0"/>
      <w:marRight w:val="0"/>
      <w:marTop w:val="0"/>
      <w:marBottom w:val="0"/>
      <w:divBdr>
        <w:top w:val="none" w:sz="0" w:space="0" w:color="auto"/>
        <w:left w:val="none" w:sz="0" w:space="0" w:color="auto"/>
        <w:bottom w:val="none" w:sz="0" w:space="0" w:color="auto"/>
        <w:right w:val="none" w:sz="0" w:space="0" w:color="auto"/>
      </w:divBdr>
    </w:div>
    <w:div w:id="1874533801">
      <w:bodyDiv w:val="1"/>
      <w:marLeft w:val="0"/>
      <w:marRight w:val="0"/>
      <w:marTop w:val="0"/>
      <w:marBottom w:val="0"/>
      <w:divBdr>
        <w:top w:val="none" w:sz="0" w:space="0" w:color="auto"/>
        <w:left w:val="none" w:sz="0" w:space="0" w:color="auto"/>
        <w:bottom w:val="none" w:sz="0" w:space="0" w:color="auto"/>
        <w:right w:val="none" w:sz="0" w:space="0" w:color="auto"/>
      </w:divBdr>
    </w:div>
    <w:div w:id="2103598368">
      <w:bodyDiv w:val="1"/>
      <w:marLeft w:val="0"/>
      <w:marRight w:val="0"/>
      <w:marTop w:val="0"/>
      <w:marBottom w:val="0"/>
      <w:divBdr>
        <w:top w:val="none" w:sz="0" w:space="0" w:color="auto"/>
        <w:left w:val="none" w:sz="0" w:space="0" w:color="auto"/>
        <w:bottom w:val="none" w:sz="0" w:space="0" w:color="auto"/>
        <w:right w:val="none" w:sz="0" w:space="0" w:color="auto"/>
      </w:divBdr>
    </w:div>
    <w:div w:id="21309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C651-A7DA-4F5F-AB37-35B5286E6C7D}">
  <ds:schemaRefs>
    <ds:schemaRef ds:uri="http://schemas.openxmlformats.org/officeDocument/2006/bibliography"/>
  </ds:schemaRefs>
</ds:datastoreItem>
</file>

<file path=customXml/itemProps2.xml><?xml version="1.0" encoding="utf-8"?>
<ds:datastoreItem xmlns:ds="http://schemas.openxmlformats.org/officeDocument/2006/customXml" ds:itemID="{D761E02D-8882-4BD9-A387-2C55B69E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4975</Words>
  <Characters>27152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PATRICIA MEISOL</cp:lastModifiedBy>
  <cp:revision>2</cp:revision>
  <cp:lastPrinted>2015-09-02T17:05:00Z</cp:lastPrinted>
  <dcterms:created xsi:type="dcterms:W3CDTF">2016-01-12T22:53:00Z</dcterms:created>
  <dcterms:modified xsi:type="dcterms:W3CDTF">2016-01-12T22:53:00Z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-366699901</vt:i4>
  </property>
  <property fmtid="{D5CDD505-2E9C-101B-9397-08002B2CF9AE}" pid="3" name="_NewReviewCycle">
    <vt:lpwstr/>
  </property>
  <property fmtid="{D5CDD505-2E9C-101B-9397-08002B2CF9AE}" pid="4" name="_EmailSubject">
    <vt:lpwstr>CSR recon PRA package (CMS 10526)  </vt:lpwstr>
  </property>
  <property fmtid="{D5CDD505-2E9C-101B-9397-08002B2CF9AE}" pid="5" name="_AuthorEmail">
    <vt:lpwstr>Patricia.Meisol@cms.hhs.gov</vt:lpwstr>
  </property>
  <property fmtid="{D5CDD505-2E9C-101B-9397-08002B2CF9AE}" pid="6" name="_AuthorEmailDisplayName">
    <vt:lpwstr>Meisol, Patricia (CMS/CCIIO)</vt:lpwstr>
  </property>
  <property fmtid="{D5CDD505-2E9C-101B-9397-08002B2CF9AE}" pid="7" name="_PreviousAdHocReviewCycleID">
    <vt:i4>-1808019805</vt:i4>
  </property>
</Properties>
</file>