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A24C" w14:textId="77777777" w:rsidR="00282A3A" w:rsidRDefault="00282A3A" w:rsidP="00282A3A">
      <w:pPr>
        <w:pStyle w:val="Heading1"/>
        <w:jc w:val="center"/>
      </w:pPr>
      <w:bookmarkStart w:id="0" w:name="_Toc428872912"/>
      <w:r>
        <w:t>screening, brief intervention, and referral to treatment (sbirt) cross-site evaluation</w:t>
      </w:r>
    </w:p>
    <w:p w14:paraId="0193FAAE" w14:textId="77777777" w:rsidR="00282A3A" w:rsidRDefault="00282A3A" w:rsidP="00282A3A"/>
    <w:p w14:paraId="25049A1D" w14:textId="77777777" w:rsidR="00282A3A" w:rsidRDefault="00282A3A" w:rsidP="00282A3A">
      <w:pPr>
        <w:pStyle w:val="Heading1"/>
        <w:jc w:val="center"/>
      </w:pPr>
      <w:r>
        <w:t xml:space="preserve"> supporting statement</w:t>
      </w:r>
    </w:p>
    <w:p w14:paraId="3C990727" w14:textId="77777777" w:rsidR="00282A3A" w:rsidRPr="00282A3A" w:rsidRDefault="00282A3A" w:rsidP="00282A3A">
      <w:bookmarkStart w:id="1" w:name="_GoBack"/>
      <w:bookmarkEnd w:id="1"/>
    </w:p>
    <w:p w14:paraId="6876FD78" w14:textId="77777777" w:rsidR="00197E62" w:rsidRPr="001B1E03" w:rsidRDefault="00197E62" w:rsidP="00197E62">
      <w:pPr>
        <w:pStyle w:val="Heading1"/>
      </w:pPr>
      <w:r w:rsidRPr="001B1E03">
        <w:t>B.</w:t>
      </w:r>
      <w:r w:rsidRPr="001B1E03">
        <w:tab/>
        <w:t>C</w:t>
      </w:r>
      <w:r>
        <w:t>OLLECTION OF INFORMATION EMPLOYING STATISTICAL METHODS</w:t>
      </w:r>
      <w:bookmarkEnd w:id="0"/>
    </w:p>
    <w:p w14:paraId="37E6E1BA" w14:textId="77777777" w:rsidR="00197E62" w:rsidRPr="001B1E03" w:rsidRDefault="00197E62" w:rsidP="00197E62">
      <w:pPr>
        <w:pStyle w:val="Heading2"/>
      </w:pPr>
      <w:bookmarkStart w:id="2" w:name="_Toc428872913"/>
      <w:bookmarkStart w:id="3" w:name="_Toc8007732"/>
      <w:bookmarkStart w:id="4" w:name="_Toc131564381"/>
      <w:r w:rsidRPr="001B1E03">
        <w:t>1.</w:t>
      </w:r>
      <w:r w:rsidRPr="001B1E03">
        <w:tab/>
        <w:t>Respondent Universe and Sampling Methods</w:t>
      </w:r>
      <w:bookmarkEnd w:id="2"/>
      <w:r>
        <w:t xml:space="preserve"> </w:t>
      </w:r>
    </w:p>
    <w:p w14:paraId="2F6E5D16" w14:textId="0971FAFD" w:rsidR="00197E62" w:rsidRPr="00F54023" w:rsidRDefault="00197E62" w:rsidP="001947FA">
      <w:pPr>
        <w:pStyle w:val="BodyText2"/>
      </w:pPr>
      <w:bookmarkStart w:id="5" w:name="_Toc8007710"/>
      <w:bookmarkStart w:id="6" w:name="_Toc131564372"/>
      <w:r>
        <w:t>T</w:t>
      </w:r>
      <w:r w:rsidRPr="00F54023">
        <w:t>o evaluate the success of SBIRT implementation at the</w:t>
      </w:r>
      <w:r>
        <w:t xml:space="preserve"> organizational</w:t>
      </w:r>
      <w:r w:rsidRPr="00F54023">
        <w:t xml:space="preserve"> level, </w:t>
      </w:r>
      <w:r>
        <w:t xml:space="preserve">a web-based </w:t>
      </w:r>
      <w:r w:rsidRPr="00E60D55">
        <w:t xml:space="preserve">survey will be administered to </w:t>
      </w:r>
      <w:r>
        <w:t>staff</w:t>
      </w:r>
      <w:r w:rsidRPr="00E60D55">
        <w:t xml:space="preserve"> </w:t>
      </w:r>
      <w:r>
        <w:t xml:space="preserve">in sites where </w:t>
      </w:r>
      <w:r w:rsidRPr="00E60D55">
        <w:t>SBIRT services</w:t>
      </w:r>
      <w:r>
        <w:t xml:space="preserve"> are being delivered—referred to as performance sites.  The Performance Site Survey will </w:t>
      </w:r>
      <w:r w:rsidR="001947FA">
        <w:t>target</w:t>
      </w:r>
      <w:r>
        <w:t xml:space="preserve"> individuals who directly provide SBIRT services and staff who interact with SBIRT providers and SBIRT patients regularly.  The types of</w:t>
      </w:r>
      <w:r w:rsidRPr="00F54023">
        <w:t xml:space="preserve"> </w:t>
      </w:r>
      <w:r>
        <w:t>staff</w:t>
      </w:r>
      <w:r w:rsidRPr="00F54023">
        <w:t xml:space="preserve"> </w:t>
      </w:r>
      <w:r>
        <w:t>surveyed</w:t>
      </w:r>
      <w:r w:rsidRPr="00F54023">
        <w:t xml:space="preserve"> will include </w:t>
      </w:r>
      <w:r>
        <w:t>intake staff</w:t>
      </w:r>
      <w:r w:rsidRPr="00F54023">
        <w:t xml:space="preserve">, </w:t>
      </w:r>
      <w:r>
        <w:t xml:space="preserve">medical providers, behavioral health providers, social workers, and managerial and administrative staff who oversee these staff.  </w:t>
      </w:r>
      <w:r w:rsidRPr="00F54023">
        <w:t xml:space="preserve">Since </w:t>
      </w:r>
      <w:r>
        <w:t xml:space="preserve">cross-site </w:t>
      </w:r>
      <w:r w:rsidRPr="00F54023">
        <w:t xml:space="preserve">evaluation team members will be traveling to selected </w:t>
      </w:r>
      <w:r>
        <w:t xml:space="preserve">SBIRT </w:t>
      </w:r>
      <w:r w:rsidRPr="00F54023">
        <w:t xml:space="preserve">providers </w:t>
      </w:r>
      <w:r>
        <w:t>and coordinating</w:t>
      </w:r>
      <w:r w:rsidRPr="00F54023">
        <w:t xml:space="preserve"> </w:t>
      </w:r>
      <w:r>
        <w:t>with state and site administrators on a yearly basis</w:t>
      </w:r>
      <w:r w:rsidRPr="00F54023">
        <w:t xml:space="preserve">, there is an opportunity to </w:t>
      </w:r>
      <w:r>
        <w:t xml:space="preserve">complete a near-census of all SBIRT-related staff at performance sites </w:t>
      </w:r>
      <w:r w:rsidRPr="00F54023">
        <w:t>with a minimal level of burden</w:t>
      </w:r>
      <w:r>
        <w:t xml:space="preserve">.  </w:t>
      </w:r>
    </w:p>
    <w:p w14:paraId="37F5D788" w14:textId="77777777" w:rsidR="00197E62" w:rsidRPr="001B1E03" w:rsidRDefault="00197E62" w:rsidP="00197E62">
      <w:pPr>
        <w:pStyle w:val="Heading2"/>
      </w:pPr>
      <w:bookmarkStart w:id="7" w:name="_Toc428872914"/>
      <w:r w:rsidRPr="001B1E03">
        <w:t>2.</w:t>
      </w:r>
      <w:r w:rsidRPr="001B1E03">
        <w:tab/>
      </w:r>
      <w:bookmarkEnd w:id="5"/>
      <w:r w:rsidRPr="001B1E03">
        <w:t>Information Collection Procedures</w:t>
      </w:r>
      <w:bookmarkEnd w:id="6"/>
      <w:bookmarkEnd w:id="7"/>
      <w:r>
        <w:t xml:space="preserve"> </w:t>
      </w:r>
    </w:p>
    <w:p w14:paraId="6D5A3B45" w14:textId="25671C59" w:rsidR="00197E62" w:rsidRPr="0066462A" w:rsidRDefault="00197E62" w:rsidP="00197E62">
      <w:pPr>
        <w:pStyle w:val="BodyText2"/>
      </w:pPr>
      <w:r>
        <w:t xml:space="preserve">Individual site administrators will be contacted approximately 8 weeks ahead of the planned distribution to inform and remind them of the survey and to ask for their help to obtain a roster of </w:t>
      </w:r>
      <w:r w:rsidR="00E100B4">
        <w:t xml:space="preserve">SBIRT </w:t>
      </w:r>
      <w:r>
        <w:t xml:space="preserve">staff and to inform and remind staff about the survey’s intent.  Before the planned distribution of the survey, administrators will </w:t>
      </w:r>
      <w:r w:rsidRPr="0066462A">
        <w:t xml:space="preserve">again </w:t>
      </w:r>
      <w:r>
        <w:t>be contacted to</w:t>
      </w:r>
      <w:r w:rsidRPr="0066462A">
        <w:t xml:space="preserve"> coordinate </w:t>
      </w:r>
      <w:r>
        <w:t>and confirm survey distribution</w:t>
      </w:r>
      <w:r w:rsidRPr="0066462A">
        <w:t xml:space="preserve"> with </w:t>
      </w:r>
      <w:r>
        <w:t xml:space="preserve">all those eligible to be surveyed.  </w:t>
      </w:r>
      <w:r w:rsidRPr="0066462A">
        <w:t xml:space="preserve">To protect </w:t>
      </w:r>
      <w:r>
        <w:t>the privacy of responses</w:t>
      </w:r>
      <w:r w:rsidRPr="0066462A">
        <w:t>, the site administrators will not</w:t>
      </w:r>
      <w:r>
        <w:t xml:space="preserve"> be informed of</w:t>
      </w:r>
      <w:r w:rsidRPr="0066462A">
        <w:t xml:space="preserve"> which </w:t>
      </w:r>
      <w:r>
        <w:t>staff</w:t>
      </w:r>
      <w:r w:rsidRPr="0066462A">
        <w:t xml:space="preserve"> eventually </w:t>
      </w:r>
      <w:r>
        <w:t>participate in the</w:t>
      </w:r>
      <w:r w:rsidRPr="0066462A">
        <w:t xml:space="preserve"> survey</w:t>
      </w:r>
      <w:r>
        <w:t xml:space="preserve">.  </w:t>
      </w:r>
    </w:p>
    <w:p w14:paraId="39A0AF1E" w14:textId="24D30330" w:rsidR="00197E62" w:rsidRPr="0066462A" w:rsidRDefault="00197E62" w:rsidP="00197E62">
      <w:pPr>
        <w:pStyle w:val="BodyText2"/>
      </w:pPr>
      <w:r>
        <w:t>The cross-site evaluation team</w:t>
      </w:r>
      <w:r w:rsidRPr="0066462A">
        <w:t xml:space="preserve"> will </w:t>
      </w:r>
      <w:r>
        <w:t>administer</w:t>
      </w:r>
      <w:r w:rsidRPr="0066462A">
        <w:t xml:space="preserve"> paper</w:t>
      </w:r>
      <w:r>
        <w:t>-</w:t>
      </w:r>
      <w:r w:rsidRPr="0066462A">
        <w:t>and</w:t>
      </w:r>
      <w:r>
        <w:t>-</w:t>
      </w:r>
      <w:r w:rsidRPr="0066462A">
        <w:t>pencil versions of the survey to be returned in sealed envelopes</w:t>
      </w:r>
      <w:r>
        <w:t xml:space="preserve"> if the web survey is not feasible.  Paper-based distribution of the survey will occur in concordance with an approved process negotiated with the site administrator.  This could occur during a site visit or during a regular staff meeting.  Pre-paid envelopes will contain no information that can uniquely identify the respondent.  The surveys </w:t>
      </w:r>
      <w:r>
        <w:lastRenderedPageBreak/>
        <w:t>distributed will only be identified by number.  The SBIRT cross-site evaluation team will keep the names of respondents in a secured separate file.  T</w:t>
      </w:r>
      <w:r w:rsidRPr="0066462A">
        <w:t xml:space="preserve">eam members will </w:t>
      </w:r>
      <w:r>
        <w:t xml:space="preserve">use the cross-walk of surveys to respondent names only to </w:t>
      </w:r>
      <w:r w:rsidRPr="0066462A">
        <w:t>follow</w:t>
      </w:r>
      <w:r>
        <w:t xml:space="preserve"> </w:t>
      </w:r>
      <w:r w:rsidRPr="0066462A">
        <w:t xml:space="preserve">up with </w:t>
      </w:r>
      <w:r>
        <w:t>staff</w:t>
      </w:r>
      <w:r w:rsidRPr="0066462A">
        <w:t xml:space="preserve"> to encourage them to complete the survey</w:t>
      </w:r>
      <w:r>
        <w:t xml:space="preserve">.  </w:t>
      </w:r>
      <w:r w:rsidR="00DC3CB7">
        <w:t>R</w:t>
      </w:r>
      <w:r>
        <w:t>eminders</w:t>
      </w:r>
      <w:r w:rsidR="00DC3CB7">
        <w:t xml:space="preserve"> to staff</w:t>
      </w:r>
      <w:r>
        <w:t xml:space="preserve"> to return the survey </w:t>
      </w:r>
      <w:r w:rsidR="00DC3CB7">
        <w:t xml:space="preserve">will stop </w:t>
      </w:r>
      <w:r>
        <w:t xml:space="preserve">within 4 weeks of the survey launch.  </w:t>
      </w:r>
    </w:p>
    <w:p w14:paraId="646ADED9" w14:textId="77777777" w:rsidR="00197E62" w:rsidRPr="00241701" w:rsidRDefault="00197E62" w:rsidP="00197E62">
      <w:pPr>
        <w:pStyle w:val="Heading2"/>
      </w:pPr>
      <w:bookmarkStart w:id="8" w:name="_Toc8007720"/>
      <w:bookmarkStart w:id="9" w:name="_Toc131564375"/>
      <w:bookmarkStart w:id="10" w:name="_Toc428872915"/>
      <w:r w:rsidRPr="00241701">
        <w:t>3.</w:t>
      </w:r>
      <w:r w:rsidRPr="00241701">
        <w:tab/>
      </w:r>
      <w:bookmarkEnd w:id="8"/>
      <w:r w:rsidRPr="00241701">
        <w:t>Methods to Maximize Response Rates</w:t>
      </w:r>
      <w:bookmarkEnd w:id="9"/>
      <w:bookmarkEnd w:id="10"/>
      <w:r>
        <w:t xml:space="preserve"> </w:t>
      </w:r>
    </w:p>
    <w:p w14:paraId="72F41993" w14:textId="77777777" w:rsidR="00197E62" w:rsidRDefault="00197E62" w:rsidP="00197E62">
      <w:pPr>
        <w:pStyle w:val="BodyText2"/>
      </w:pPr>
      <w:r>
        <w:t xml:space="preserve">The SBIRT cross-site evaluation team expects an 80 percent or greater response rate on the Performance Site Survey.  </w:t>
      </w:r>
      <w:r w:rsidRPr="008C607D">
        <w:t xml:space="preserve">To maximize response rates, the </w:t>
      </w:r>
      <w:r>
        <w:t>SBIRT cross-site evaluation team</w:t>
      </w:r>
      <w:r w:rsidRPr="008C607D">
        <w:t xml:space="preserve"> will follow protocols that</w:t>
      </w:r>
      <w:r>
        <w:t xml:space="preserve"> have been used successfully on other projects to achieve a greater than 80 percent response rate on similar surveys.  The focus will be on </w:t>
      </w:r>
      <w:r w:rsidRPr="008C607D">
        <w:t>reduc</w:t>
      </w:r>
      <w:r>
        <w:t>ing the burden on staff.  The web survey will be compatible with any device capable of web browsing.  Using a web survey will allow staff to take the survey at their convenience and avoid interrupting patient interactions.</w:t>
      </w:r>
    </w:p>
    <w:p w14:paraId="19860814" w14:textId="77777777" w:rsidR="00197E62" w:rsidRPr="004A078C" w:rsidRDefault="00197E62" w:rsidP="00197E62">
      <w:pPr>
        <w:pStyle w:val="BodyText2"/>
      </w:pPr>
      <w:r>
        <w:t>For the paper survey, the</w:t>
      </w:r>
      <w:r w:rsidRPr="008C607D">
        <w:t xml:space="preserve"> protocols include proper timing and location of survey administration to accommodate the practitioners</w:t>
      </w:r>
      <w:r>
        <w:t xml:space="preserve">.  Survey staff will work with site administrators to ensure that the survey is distributed at a </w:t>
      </w:r>
      <w:r w:rsidRPr="004A078C">
        <w:t>staff meeting</w:t>
      </w:r>
      <w:r>
        <w:t xml:space="preserve"> or scheduled briefing to increase the overall response rate and decrease individual burden.  </w:t>
      </w:r>
    </w:p>
    <w:p w14:paraId="45F09B7E" w14:textId="77777777" w:rsidR="00197E62" w:rsidRDefault="00197E62" w:rsidP="00197E62">
      <w:pPr>
        <w:pStyle w:val="BodyText2"/>
      </w:pPr>
      <w:r>
        <w:t xml:space="preserve">The survey launch will occur around a site visit as timing and scheduling permit to increase the likelihood of response.  Survey staff will work with key staff at these sites at least 3 months before the survey to lay the groundwork for seamless data collection and to obtain buy-in from staff who act as local champions.  All staff at these performance </w:t>
      </w:r>
      <w:r w:rsidRPr="008C607D">
        <w:t xml:space="preserve">sites will be informed, in advance, of the </w:t>
      </w:r>
      <w:r>
        <w:t xml:space="preserve">purpose </w:t>
      </w:r>
      <w:r w:rsidRPr="008C607D">
        <w:t>and significance of the survey</w:t>
      </w:r>
      <w:r>
        <w:t xml:space="preserve"> to encourage their participation in this survey.  </w:t>
      </w:r>
      <w:r w:rsidRPr="008C607D">
        <w:t xml:space="preserve">Finally, the efficiency of the survey and the assurance of </w:t>
      </w:r>
      <w:r>
        <w:t>privacy</w:t>
      </w:r>
      <w:r w:rsidRPr="008C607D">
        <w:t xml:space="preserve"> will make survey completion more amenable to </w:t>
      </w:r>
      <w:r>
        <w:t xml:space="preserve">performance site staff.  </w:t>
      </w:r>
    </w:p>
    <w:p w14:paraId="3A89FB67" w14:textId="77777777" w:rsidR="00197E62" w:rsidRPr="00241701" w:rsidRDefault="00197E62" w:rsidP="00197E62">
      <w:pPr>
        <w:pStyle w:val="Heading2"/>
      </w:pPr>
      <w:bookmarkStart w:id="11" w:name="_Toc8007728"/>
      <w:bookmarkStart w:id="12" w:name="_Toc131564378"/>
      <w:bookmarkStart w:id="13" w:name="_Toc428872916"/>
      <w:r w:rsidRPr="00241701">
        <w:t>4.</w:t>
      </w:r>
      <w:r w:rsidRPr="00241701">
        <w:tab/>
      </w:r>
      <w:bookmarkEnd w:id="11"/>
      <w:r w:rsidRPr="00241701">
        <w:t>Test of Procedures</w:t>
      </w:r>
      <w:bookmarkEnd w:id="12"/>
      <w:bookmarkEnd w:id="13"/>
    </w:p>
    <w:p w14:paraId="5A7E74F5" w14:textId="77777777" w:rsidR="00197E62" w:rsidRDefault="00197E62" w:rsidP="00197E62">
      <w:pPr>
        <w:pStyle w:val="BodyText2"/>
      </w:pPr>
      <w:r w:rsidRPr="008C607D">
        <w:t xml:space="preserve">The </w:t>
      </w:r>
      <w:r>
        <w:t xml:space="preserve">cross-site evaluation team </w:t>
      </w:r>
      <w:r w:rsidRPr="008C607D">
        <w:t xml:space="preserve">tested a pencil-and-paper version of the </w:t>
      </w:r>
      <w:r>
        <w:t>Performance Site</w:t>
      </w:r>
      <w:r w:rsidRPr="008C607D">
        <w:t xml:space="preserve"> </w:t>
      </w:r>
      <w:r>
        <w:t>S</w:t>
      </w:r>
      <w:r w:rsidRPr="008C607D">
        <w:t xml:space="preserve">urvey with </w:t>
      </w:r>
      <w:r>
        <w:t>17</w:t>
      </w:r>
      <w:r w:rsidRPr="008C607D">
        <w:t xml:space="preserve"> respondents and found that it takes approximately 1</w:t>
      </w:r>
      <w:r>
        <w:t>3</w:t>
      </w:r>
      <w:r w:rsidRPr="008C607D">
        <w:t xml:space="preserve"> minutes to complete</w:t>
      </w:r>
      <w:r>
        <w:t xml:space="preserve">.  </w:t>
      </w:r>
    </w:p>
    <w:p w14:paraId="4059D357" w14:textId="77777777" w:rsidR="00197E62" w:rsidRDefault="00197E62" w:rsidP="00197E62">
      <w:pPr>
        <w:pStyle w:val="BodyText2"/>
      </w:pPr>
      <w:r w:rsidRPr="0050286E">
        <w:t>The 78 question</w:t>
      </w:r>
      <w:r w:rsidRPr="00863DC8">
        <w:t xml:space="preserve"> web survey includes the collection of basic demographic information, questions about the organization’s readiness to implement SBIRT, and questions about the use of </w:t>
      </w:r>
      <w:r>
        <w:t>HIT</w:t>
      </w:r>
      <w:r w:rsidRPr="00863DC8">
        <w:t xml:space="preserve"> to deliver SBIRT services</w:t>
      </w:r>
      <w:r>
        <w:t xml:space="preserve">.  </w:t>
      </w:r>
      <w:r w:rsidRPr="00863DC8">
        <w:t>The demographic questions were tailored from a previous cross-</w:t>
      </w:r>
      <w:r w:rsidRPr="00863DC8">
        <w:lastRenderedPageBreak/>
        <w:t>site evaluation survey to fit the current set of cross-site grantees</w:t>
      </w:r>
      <w:r>
        <w:t xml:space="preserve">.  </w:t>
      </w:r>
      <w:r w:rsidRPr="00863DC8">
        <w:t xml:space="preserve">The organizational readiness questions were developed through a review of the extant implementation science research literature (e.g., </w:t>
      </w:r>
      <w:proofErr w:type="spellStart"/>
      <w:r w:rsidRPr="00863DC8">
        <w:t>Chaudoir</w:t>
      </w:r>
      <w:proofErr w:type="spellEnd"/>
      <w:r w:rsidRPr="00863DC8">
        <w:t xml:space="preserve">, Dugan, &amp; Barr, 2013; </w:t>
      </w:r>
      <w:proofErr w:type="spellStart"/>
      <w:r w:rsidRPr="00863DC8">
        <w:t>Damschroder</w:t>
      </w:r>
      <w:proofErr w:type="spellEnd"/>
      <w:r w:rsidRPr="00863DC8">
        <w:t xml:space="preserve"> et al., 2009; Garner, 2009; </w:t>
      </w:r>
      <w:proofErr w:type="spellStart"/>
      <w:r w:rsidRPr="00863DC8">
        <w:t>Greenhalgh</w:t>
      </w:r>
      <w:proofErr w:type="spellEnd"/>
      <w:r w:rsidRPr="00863DC8">
        <w:t xml:space="preserve">, MacFarlane, &amp; </w:t>
      </w:r>
      <w:proofErr w:type="spellStart"/>
      <w:r w:rsidRPr="00863DC8">
        <w:t>Kyriakidou</w:t>
      </w:r>
      <w:proofErr w:type="spellEnd"/>
      <w:r w:rsidRPr="00863DC8">
        <w:t xml:space="preserve">, 2004; Weiner, 2009; Weiner, Belden, </w:t>
      </w:r>
      <w:proofErr w:type="spellStart"/>
      <w:r w:rsidRPr="00863DC8">
        <w:t>Bergmire</w:t>
      </w:r>
      <w:proofErr w:type="spellEnd"/>
      <w:r w:rsidRPr="00863DC8">
        <w:t>, &amp; Johnston, 2011)</w:t>
      </w:r>
      <w:r>
        <w:t xml:space="preserve">.  </w:t>
      </w:r>
      <w:r w:rsidRPr="00863DC8">
        <w:t>Based on this review, the Organizational Readiness for Implementation Change (</w:t>
      </w:r>
      <w:proofErr w:type="spellStart"/>
      <w:r w:rsidRPr="00863DC8">
        <w:t>Shea</w:t>
      </w:r>
      <w:proofErr w:type="spellEnd"/>
      <w:r w:rsidRPr="00863DC8">
        <w:t xml:space="preserve">, Jacobs, </w:t>
      </w:r>
      <w:proofErr w:type="spellStart"/>
      <w:r w:rsidRPr="00863DC8">
        <w:t>Esserman</w:t>
      </w:r>
      <w:proofErr w:type="spellEnd"/>
      <w:r w:rsidRPr="00863DC8">
        <w:t>, Bruce, &amp; Weiner, 2014) and the Implementation Climate Scale (Jacobs, Weiner, &amp; Bunger, 2014) were identified as the two most appropriate instruments</w:t>
      </w:r>
      <w:r>
        <w:t xml:space="preserve">.  </w:t>
      </w:r>
      <w:r w:rsidRPr="00863DC8">
        <w:t xml:space="preserve">In addition to </w:t>
      </w:r>
      <w:r>
        <w:t xml:space="preserve">questions from </w:t>
      </w:r>
      <w:r w:rsidRPr="00863DC8">
        <w:t xml:space="preserve">these two instruments, the survey includes questions to assess satisfaction, capacity, and infrastructure to implement screening, </w:t>
      </w:r>
      <w:r>
        <w:t>brief intervention</w:t>
      </w:r>
      <w:r w:rsidRPr="00863DC8">
        <w:t xml:space="preserve">, </w:t>
      </w:r>
      <w:r>
        <w:t xml:space="preserve">brief treatment, and referral to treatment.  </w:t>
      </w:r>
    </w:p>
    <w:p w14:paraId="510D7F81" w14:textId="77777777" w:rsidR="00197E62" w:rsidRPr="0014453B" w:rsidRDefault="00197E62" w:rsidP="00197E62">
      <w:pPr>
        <w:pStyle w:val="BodyText2"/>
      </w:pPr>
      <w:r w:rsidRPr="0014453B">
        <w:t xml:space="preserve">To identify relevant </w:t>
      </w:r>
      <w:r>
        <w:t>HIT</w:t>
      </w:r>
      <w:r w:rsidRPr="0014453B">
        <w:t xml:space="preserve"> measures</w:t>
      </w:r>
      <w:r>
        <w:t>,</w:t>
      </w:r>
      <w:r w:rsidRPr="0014453B">
        <w:t xml:space="preserve"> the </w:t>
      </w:r>
      <w:r>
        <w:t>c</w:t>
      </w:r>
      <w:r w:rsidRPr="0014453B">
        <w:t>ross-</w:t>
      </w:r>
      <w:r>
        <w:t>s</w:t>
      </w:r>
      <w:r w:rsidRPr="0014453B">
        <w:t xml:space="preserve">ite </w:t>
      </w:r>
      <w:r>
        <w:t xml:space="preserve">evaluation </w:t>
      </w:r>
      <w:r w:rsidRPr="0014453B">
        <w:t xml:space="preserve">team modified measures from socio-technical frameworks (Kling, </w:t>
      </w:r>
      <w:r>
        <w:t>1980</w:t>
      </w:r>
      <w:r w:rsidRPr="0014453B">
        <w:t>)</w:t>
      </w:r>
      <w:r>
        <w:t>,</w:t>
      </w:r>
      <w:r w:rsidRPr="0014453B">
        <w:t xml:space="preserve"> including the </w:t>
      </w:r>
      <w:proofErr w:type="spellStart"/>
      <w:r w:rsidRPr="0014453B">
        <w:t>De</w:t>
      </w:r>
      <w:r>
        <w:t>L</w:t>
      </w:r>
      <w:r w:rsidRPr="0014453B">
        <w:t>one</w:t>
      </w:r>
      <w:proofErr w:type="spellEnd"/>
      <w:r w:rsidRPr="0014453B">
        <w:t xml:space="preserve"> and </w:t>
      </w:r>
      <w:proofErr w:type="spellStart"/>
      <w:r w:rsidRPr="0014453B">
        <w:t>McClean</w:t>
      </w:r>
      <w:proofErr w:type="spellEnd"/>
      <w:r w:rsidRPr="0014453B">
        <w:t xml:space="preserve"> framework (</w:t>
      </w:r>
      <w:proofErr w:type="spellStart"/>
      <w:r w:rsidRPr="0014453B">
        <w:t>DeLone</w:t>
      </w:r>
      <w:proofErr w:type="spellEnd"/>
      <w:r w:rsidRPr="0014453B">
        <w:t xml:space="preserve"> </w:t>
      </w:r>
      <w:r>
        <w:t>&amp;</w:t>
      </w:r>
      <w:r w:rsidRPr="0014453B">
        <w:t xml:space="preserve"> McLean, 2004), the Public Health Informatics Institute Framework (PHII, 2005)</w:t>
      </w:r>
      <w:r>
        <w:t xml:space="preserve">, </w:t>
      </w:r>
      <w:r w:rsidRPr="0014453B">
        <w:t>and the Human Organization and Technology (</w:t>
      </w:r>
      <w:r>
        <w:t>HOT</w:t>
      </w:r>
      <w:r w:rsidRPr="0014453B">
        <w:t>)-</w:t>
      </w:r>
      <w:r>
        <w:t>Fit</w:t>
      </w:r>
      <w:r w:rsidRPr="0014453B">
        <w:t xml:space="preserve"> Framework (</w:t>
      </w:r>
      <w:proofErr w:type="spellStart"/>
      <w:r w:rsidRPr="0014453B">
        <w:t>Yusof</w:t>
      </w:r>
      <w:proofErr w:type="spellEnd"/>
      <w:r w:rsidRPr="0014453B">
        <w:t>, 2008)</w:t>
      </w:r>
      <w:r>
        <w:t xml:space="preserve">.  </w:t>
      </w:r>
      <w:r w:rsidRPr="0014453B">
        <w:t>Across these three frameworks, the survey captures measures of system availability, information availability, organizational structure and environment, utilization, and user satisfaction</w:t>
      </w:r>
      <w:r>
        <w:t xml:space="preserve">.  </w:t>
      </w:r>
    </w:p>
    <w:p w14:paraId="0DE15BF9" w14:textId="77777777" w:rsidR="00197E62" w:rsidRPr="00241701" w:rsidRDefault="00197E62" w:rsidP="00197E62">
      <w:pPr>
        <w:pStyle w:val="Heading2"/>
      </w:pPr>
      <w:bookmarkStart w:id="14" w:name="_Toc428872917"/>
      <w:r w:rsidRPr="00241701">
        <w:t>5.</w:t>
      </w:r>
      <w:r w:rsidRPr="00241701">
        <w:tab/>
      </w:r>
      <w:bookmarkEnd w:id="3"/>
      <w:r w:rsidRPr="00241701">
        <w:t>Statistical Consultants</w:t>
      </w:r>
      <w:bookmarkEnd w:id="4"/>
      <w:bookmarkEnd w:id="14"/>
      <w:r>
        <w:t xml:space="preserve"> </w:t>
      </w:r>
    </w:p>
    <w:p w14:paraId="19920659" w14:textId="4E2E0906" w:rsidR="00197E62" w:rsidRPr="008C607D" w:rsidRDefault="00197E62" w:rsidP="00197E62">
      <w:pPr>
        <w:pStyle w:val="BodyText2"/>
      </w:pPr>
      <w:r w:rsidRPr="008C607D">
        <w:t xml:space="preserve">As noted in Section A.8, the SBIRT </w:t>
      </w:r>
      <w:r>
        <w:t>cross-site evaluation team</w:t>
      </w:r>
      <w:r w:rsidRPr="008C607D">
        <w:t xml:space="preserve"> has consulted extensively with an expert panel that has reviewed and approved all data collection and analysis methodologies outlined in this package</w:t>
      </w:r>
      <w:r>
        <w:t>.  Panel members</w:t>
      </w:r>
      <w:r w:rsidRPr="008C607D">
        <w:t xml:space="preserve"> will also continue to provide expert advice throughout the course of the program</w:t>
      </w:r>
      <w:r>
        <w:t xml:space="preserve">.  </w:t>
      </w:r>
      <w:r w:rsidRPr="008C607D">
        <w:t>In addition, several in-house experts will be consulted throughout the program on statistical aspects of the design, methodological issues, economic analysis, database management, and data analysis</w:t>
      </w:r>
      <w:r>
        <w:t xml:space="preserve"> (</w:t>
      </w:r>
      <w:r w:rsidRPr="008C607D">
        <w:t xml:space="preserve">Exhibit </w:t>
      </w:r>
      <w:r w:rsidR="008E2819">
        <w:t>5</w:t>
      </w:r>
      <w:r>
        <w:t xml:space="preserve">).  </w:t>
      </w:r>
    </w:p>
    <w:p w14:paraId="120A423A" w14:textId="77777777" w:rsidR="00197E62" w:rsidRDefault="00197E62" w:rsidP="00197E62">
      <w:pPr>
        <w:rPr>
          <w:b/>
          <w:szCs w:val="20"/>
        </w:rPr>
      </w:pPr>
      <w:bookmarkStart w:id="15" w:name="_Toc93987698"/>
      <w:bookmarkStart w:id="16" w:name="_Toc131566262"/>
      <w:r>
        <w:br w:type="page"/>
      </w:r>
    </w:p>
    <w:p w14:paraId="2E9B5FE5" w14:textId="571D1B0C" w:rsidR="00197E62" w:rsidRPr="008C0E8A" w:rsidRDefault="00197E62" w:rsidP="00197E62">
      <w:pPr>
        <w:pStyle w:val="FigureTitle"/>
      </w:pPr>
      <w:bookmarkStart w:id="17" w:name="_Toc430752916"/>
      <w:bookmarkStart w:id="18" w:name="_Toc430753003"/>
      <w:r w:rsidRPr="008C0E8A">
        <w:lastRenderedPageBreak/>
        <w:t xml:space="preserve">Exhibit </w:t>
      </w:r>
      <w:r w:rsidR="008E2819">
        <w:t>5</w:t>
      </w:r>
      <w:r w:rsidRPr="008C0E8A">
        <w:t>.</w:t>
      </w:r>
      <w:r w:rsidRPr="008C0E8A">
        <w:tab/>
        <w:t>Senior Advisors</w:t>
      </w:r>
      <w:bookmarkEnd w:id="15"/>
      <w:bookmarkEnd w:id="16"/>
      <w:bookmarkEnd w:id="17"/>
      <w:bookmarkEnd w:id="18"/>
    </w:p>
    <w:tbl>
      <w:tblPr>
        <w:tblW w:w="9090" w:type="dxa"/>
        <w:tblBorders>
          <w:top w:val="double" w:sz="6" w:space="0" w:color="auto"/>
          <w:bottom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700"/>
        <w:gridCol w:w="3510"/>
        <w:gridCol w:w="2880"/>
      </w:tblGrid>
      <w:tr w:rsidR="00197E62" w:rsidRPr="008C607D" w14:paraId="5F05F7A3" w14:textId="77777777" w:rsidTr="000C48B0">
        <w:trPr>
          <w:cantSplit/>
          <w:tblHeader/>
        </w:trPr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9BAB035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fldChar w:fldCharType="begin"/>
            </w:r>
            <w:r w:rsidRPr="00241701">
              <w:rPr>
                <w:sz w:val="20"/>
                <w:szCs w:val="20"/>
              </w:rPr>
              <w:instrText xml:space="preserve"> SEQ CHAPTER \h \r 1</w:instrText>
            </w:r>
            <w:r w:rsidRPr="00241701">
              <w:rPr>
                <w:sz w:val="20"/>
                <w:szCs w:val="20"/>
              </w:rPr>
              <w:fldChar w:fldCharType="end"/>
            </w:r>
            <w:r w:rsidRPr="00241701">
              <w:rPr>
                <w:b/>
                <w:bCs/>
                <w:sz w:val="20"/>
                <w:szCs w:val="20"/>
              </w:rPr>
              <w:t>Expert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A0696D4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9D517FC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b/>
                <w:bCs/>
                <w:sz w:val="20"/>
                <w:szCs w:val="20"/>
              </w:rPr>
              <w:t>Contact Information</w:t>
            </w:r>
          </w:p>
        </w:tc>
      </w:tr>
      <w:tr w:rsidR="00197E62" w:rsidRPr="008C607D" w14:paraId="528519CC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2FA00EF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t>Jeremy W</w:t>
            </w:r>
            <w:r>
              <w:rPr>
                <w:sz w:val="20"/>
                <w:szCs w:val="20"/>
              </w:rPr>
              <w:t xml:space="preserve">. </w:t>
            </w:r>
            <w:r w:rsidRPr="00241701">
              <w:rPr>
                <w:sz w:val="20"/>
                <w:szCs w:val="20"/>
              </w:rPr>
              <w:t>Bray, PhD</w:t>
            </w:r>
            <w:r w:rsidRPr="0024170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Senior Advisor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C0286B2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Professor and Department Head</w:t>
            </w:r>
          </w:p>
          <w:p w14:paraId="17F64B83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Department of Economics</w:t>
            </w:r>
          </w:p>
          <w:p w14:paraId="5EBB99D5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Bryan School of Business and Economics</w:t>
            </w:r>
          </w:p>
          <w:p w14:paraId="5E0977E3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462 Bryan Building</w:t>
            </w:r>
          </w:p>
          <w:p w14:paraId="2C4934CE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PO Box 26170</w:t>
            </w:r>
          </w:p>
          <w:p w14:paraId="0F7B878C" w14:textId="77777777" w:rsidR="00197E62" w:rsidRPr="00685623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UNCG</w:t>
            </w:r>
          </w:p>
          <w:p w14:paraId="110BCEFE" w14:textId="77777777" w:rsidR="00197E62" w:rsidRPr="00241701" w:rsidRDefault="00197E62" w:rsidP="0034746C">
            <w:pPr>
              <w:tabs>
                <w:tab w:val="center" w:pos="1663"/>
              </w:tabs>
              <w:rPr>
                <w:sz w:val="20"/>
                <w:szCs w:val="20"/>
              </w:rPr>
            </w:pPr>
            <w:r w:rsidRPr="00685623">
              <w:rPr>
                <w:sz w:val="20"/>
                <w:szCs w:val="20"/>
              </w:rPr>
              <w:t>Greensboro</w:t>
            </w:r>
            <w:r>
              <w:rPr>
                <w:sz w:val="20"/>
                <w:szCs w:val="20"/>
              </w:rPr>
              <w:t>,</w:t>
            </w:r>
            <w:r w:rsidRPr="00685623">
              <w:rPr>
                <w:sz w:val="20"/>
                <w:szCs w:val="20"/>
              </w:rPr>
              <w:t xml:space="preserve"> NC 27402-6170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D10A48B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t>Phone:</w:t>
            </w:r>
            <w:r w:rsidRPr="0024170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336-334-</w:t>
            </w:r>
            <w:r w:rsidRPr="001C4909">
              <w:rPr>
                <w:sz w:val="20"/>
                <w:szCs w:val="20"/>
              </w:rPr>
              <w:t>3910</w:t>
            </w:r>
            <w:r w:rsidRPr="00241701">
              <w:rPr>
                <w:sz w:val="20"/>
                <w:szCs w:val="20"/>
              </w:rPr>
              <w:br/>
              <w:t>E-mail:</w:t>
            </w:r>
            <w:r w:rsidRPr="00241701">
              <w:rPr>
                <w:sz w:val="20"/>
                <w:szCs w:val="20"/>
              </w:rPr>
              <w:tab/>
            </w:r>
            <w:hyperlink r:id="rId7" w:history="1">
              <w:r w:rsidRPr="00DA483F">
                <w:rPr>
                  <w:rStyle w:val="Hyperlink"/>
                  <w:sz w:val="20"/>
                  <w:szCs w:val="20"/>
                </w:rPr>
                <w:t>jwbray@uncg.edu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97E62" w:rsidRPr="008C607D" w14:paraId="20A8EE49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73B94E1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Garner</w:t>
            </w:r>
            <w:r w:rsidRPr="00241701">
              <w:rPr>
                <w:sz w:val="20"/>
                <w:szCs w:val="20"/>
              </w:rPr>
              <w:t>, PhD</w:t>
            </w:r>
            <w:r w:rsidRPr="00241701">
              <w:rPr>
                <w:sz w:val="20"/>
                <w:szCs w:val="20"/>
              </w:rPr>
              <w:br/>
              <w:t>Advisor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3CB598D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Implementation </w:t>
            </w:r>
            <w:r w:rsidRPr="00241701">
              <w:rPr>
                <w:sz w:val="20"/>
                <w:szCs w:val="20"/>
              </w:rPr>
              <w:t xml:space="preserve">Research </w:t>
            </w:r>
            <w:r>
              <w:rPr>
                <w:sz w:val="20"/>
                <w:szCs w:val="20"/>
              </w:rPr>
              <w:t>Scientist</w:t>
            </w:r>
            <w:r w:rsidRPr="00241701">
              <w:rPr>
                <w:sz w:val="20"/>
                <w:szCs w:val="20"/>
              </w:rPr>
              <w:br/>
              <w:t xml:space="preserve">Behavioral Health </w:t>
            </w:r>
            <w:r>
              <w:rPr>
                <w:sz w:val="20"/>
                <w:szCs w:val="20"/>
              </w:rPr>
              <w:t xml:space="preserve">and Criminal Justice Research </w:t>
            </w:r>
            <w:r w:rsidRPr="00241701">
              <w:rPr>
                <w:sz w:val="20"/>
                <w:szCs w:val="20"/>
              </w:rPr>
              <w:t>Division</w:t>
            </w:r>
            <w:r w:rsidRPr="00241701">
              <w:rPr>
                <w:sz w:val="20"/>
                <w:szCs w:val="20"/>
              </w:rPr>
              <w:br/>
            </w:r>
            <w:smartTag w:uri="urn:schemas-microsoft-com:office:smarttags" w:element="stockticker">
              <w:r w:rsidRPr="00241701">
                <w:rPr>
                  <w:sz w:val="20"/>
                  <w:szCs w:val="20"/>
                </w:rPr>
                <w:t>RTI</w:t>
              </w:r>
            </w:smartTag>
            <w:r w:rsidRPr="00241701">
              <w:rPr>
                <w:sz w:val="20"/>
                <w:szCs w:val="20"/>
              </w:rPr>
              <w:t xml:space="preserve"> International</w:t>
            </w:r>
            <w:r w:rsidRPr="00241701">
              <w:rPr>
                <w:sz w:val="20"/>
                <w:szCs w:val="20"/>
              </w:rPr>
              <w:br/>
              <w:t xml:space="preserve">3040 </w:t>
            </w:r>
            <w:r>
              <w:rPr>
                <w:sz w:val="20"/>
                <w:szCs w:val="20"/>
              </w:rPr>
              <w:t xml:space="preserve">E. </w:t>
            </w:r>
            <w:r w:rsidRPr="00241701">
              <w:rPr>
                <w:sz w:val="20"/>
                <w:szCs w:val="20"/>
              </w:rPr>
              <w:t>Cornwallis Road</w:t>
            </w:r>
            <w:r w:rsidRPr="00241701">
              <w:rPr>
                <w:sz w:val="20"/>
                <w:szCs w:val="20"/>
              </w:rPr>
              <w:br/>
              <w:t>Research Triangle Park, NC 27709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4B373995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iCs/>
                <w:sz w:val="20"/>
                <w:szCs w:val="20"/>
              </w:rPr>
              <w:t>Phone:</w:t>
            </w:r>
            <w:r w:rsidRPr="00241701">
              <w:rPr>
                <w:iCs/>
                <w:sz w:val="20"/>
                <w:szCs w:val="20"/>
              </w:rPr>
              <w:tab/>
            </w:r>
            <w:r w:rsidRPr="001C4909">
              <w:rPr>
                <w:iCs/>
                <w:sz w:val="20"/>
                <w:szCs w:val="20"/>
              </w:rPr>
              <w:t>919-597-5159</w:t>
            </w:r>
            <w:r w:rsidRPr="00241701">
              <w:rPr>
                <w:iCs/>
                <w:sz w:val="20"/>
                <w:szCs w:val="20"/>
              </w:rPr>
              <w:br/>
              <w:t>E-mail:</w:t>
            </w:r>
            <w:r w:rsidRPr="00241701">
              <w:rPr>
                <w:iCs/>
                <w:sz w:val="20"/>
                <w:szCs w:val="20"/>
              </w:rPr>
              <w:tab/>
            </w:r>
            <w:hyperlink r:id="rId8" w:history="1">
              <w:r w:rsidRPr="00DA483F">
                <w:rPr>
                  <w:rStyle w:val="Hyperlink"/>
                  <w:sz w:val="20"/>
                  <w:szCs w:val="20"/>
                </w:rPr>
                <w:t>bgarner@rti.org</w:t>
              </w:r>
            </w:hyperlink>
            <w:r>
              <w:rPr>
                <w:iCs/>
                <w:sz w:val="20"/>
                <w:szCs w:val="20"/>
              </w:rPr>
              <w:t xml:space="preserve"> </w:t>
            </w:r>
            <w:r w:rsidRPr="00241701">
              <w:rPr>
                <w:iCs/>
                <w:sz w:val="20"/>
                <w:szCs w:val="20"/>
              </w:rPr>
              <w:br/>
            </w:r>
          </w:p>
        </w:tc>
      </w:tr>
      <w:tr w:rsidR="00197E62" w:rsidRPr="008C607D" w14:paraId="41666BE3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CA223E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t>Gary A</w:t>
            </w:r>
            <w:r>
              <w:rPr>
                <w:sz w:val="20"/>
                <w:szCs w:val="20"/>
              </w:rPr>
              <w:t xml:space="preserve">. </w:t>
            </w:r>
            <w:r w:rsidRPr="00241701">
              <w:rPr>
                <w:sz w:val="20"/>
                <w:szCs w:val="20"/>
              </w:rPr>
              <w:t>Zarkin, PhD</w:t>
            </w:r>
            <w:r w:rsidRPr="00241701">
              <w:rPr>
                <w:sz w:val="20"/>
                <w:szCs w:val="20"/>
              </w:rPr>
              <w:br/>
              <w:t>Advisor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4904F15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 President</w:t>
            </w:r>
            <w:r w:rsidRPr="00241701">
              <w:rPr>
                <w:sz w:val="20"/>
                <w:szCs w:val="20"/>
              </w:rPr>
              <w:br/>
              <w:t xml:space="preserve">Behavioral Health </w:t>
            </w:r>
            <w:r>
              <w:rPr>
                <w:sz w:val="20"/>
                <w:szCs w:val="20"/>
              </w:rPr>
              <w:t xml:space="preserve">and Criminal Justice Research </w:t>
            </w:r>
            <w:r w:rsidRPr="00241701">
              <w:rPr>
                <w:sz w:val="20"/>
                <w:szCs w:val="20"/>
              </w:rPr>
              <w:t>Division</w:t>
            </w:r>
            <w:r w:rsidRPr="00241701">
              <w:rPr>
                <w:sz w:val="20"/>
                <w:szCs w:val="20"/>
              </w:rPr>
              <w:br/>
            </w:r>
            <w:smartTag w:uri="urn:schemas-microsoft-com:office:smarttags" w:element="stockticker">
              <w:r w:rsidRPr="00241701">
                <w:rPr>
                  <w:sz w:val="20"/>
                  <w:szCs w:val="20"/>
                </w:rPr>
                <w:t>RTI</w:t>
              </w:r>
            </w:smartTag>
            <w:r w:rsidRPr="00241701">
              <w:rPr>
                <w:sz w:val="20"/>
                <w:szCs w:val="20"/>
              </w:rPr>
              <w:t xml:space="preserve"> International</w:t>
            </w:r>
            <w:r w:rsidRPr="00241701">
              <w:rPr>
                <w:sz w:val="20"/>
                <w:szCs w:val="20"/>
              </w:rPr>
              <w:br/>
              <w:t xml:space="preserve">3040 </w:t>
            </w:r>
            <w:r>
              <w:rPr>
                <w:sz w:val="20"/>
                <w:szCs w:val="20"/>
              </w:rPr>
              <w:t xml:space="preserve">E. </w:t>
            </w:r>
            <w:r w:rsidRPr="00241701">
              <w:rPr>
                <w:sz w:val="20"/>
                <w:szCs w:val="20"/>
              </w:rPr>
              <w:t>Cornwallis Road</w:t>
            </w:r>
            <w:r w:rsidRPr="00241701">
              <w:rPr>
                <w:sz w:val="20"/>
                <w:szCs w:val="20"/>
              </w:rPr>
              <w:br/>
              <w:t>Research Triangle Park, NC 27709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F36B911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t>Phone:</w:t>
            </w:r>
            <w:r w:rsidRPr="00241701">
              <w:rPr>
                <w:sz w:val="20"/>
                <w:szCs w:val="20"/>
              </w:rPr>
              <w:tab/>
              <w:t>919-541-5858</w:t>
            </w:r>
            <w:r w:rsidRPr="00241701">
              <w:rPr>
                <w:sz w:val="20"/>
                <w:szCs w:val="20"/>
              </w:rPr>
              <w:br/>
              <w:t>Fax:</w:t>
            </w:r>
            <w:r w:rsidRPr="00241701">
              <w:rPr>
                <w:sz w:val="20"/>
                <w:szCs w:val="20"/>
              </w:rPr>
              <w:tab/>
              <w:t>919-541-6683</w:t>
            </w:r>
            <w:r w:rsidRPr="00241701">
              <w:rPr>
                <w:sz w:val="20"/>
                <w:szCs w:val="20"/>
              </w:rPr>
              <w:br/>
              <w:t>E-mail:</w:t>
            </w:r>
            <w:r w:rsidRPr="00241701">
              <w:rPr>
                <w:sz w:val="20"/>
                <w:szCs w:val="20"/>
              </w:rPr>
              <w:tab/>
            </w:r>
            <w:hyperlink r:id="rId9" w:history="1">
              <w:r w:rsidRPr="00DF0DC3">
                <w:rPr>
                  <w:rStyle w:val="Hyperlink"/>
                  <w:sz w:val="20"/>
                  <w:szCs w:val="20"/>
                </w:rPr>
                <w:t>gaz@rti.org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97E62" w:rsidRPr="008C607D" w14:paraId="46C64DDD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145AB79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Dunlap</w:t>
            </w:r>
            <w:r w:rsidRPr="00241701">
              <w:rPr>
                <w:sz w:val="20"/>
                <w:szCs w:val="20"/>
              </w:rPr>
              <w:t>, PhD</w:t>
            </w:r>
            <w:r w:rsidRPr="00241701">
              <w:rPr>
                <w:sz w:val="20"/>
                <w:szCs w:val="20"/>
              </w:rPr>
              <w:br/>
              <w:t>Advisor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8D009CA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  <w:r w:rsidRPr="0024170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Behavioral Health Economics Program</w:t>
            </w:r>
            <w:r w:rsidRPr="00241701">
              <w:rPr>
                <w:sz w:val="20"/>
                <w:szCs w:val="20"/>
              </w:rPr>
              <w:br/>
            </w:r>
            <w:smartTag w:uri="urn:schemas-microsoft-com:office:smarttags" w:element="stockticker">
              <w:r w:rsidRPr="00241701">
                <w:rPr>
                  <w:sz w:val="20"/>
                  <w:szCs w:val="20"/>
                </w:rPr>
                <w:t>RTI</w:t>
              </w:r>
            </w:smartTag>
            <w:r w:rsidRPr="00241701">
              <w:rPr>
                <w:sz w:val="20"/>
                <w:szCs w:val="20"/>
              </w:rPr>
              <w:t xml:space="preserve"> International</w:t>
            </w:r>
            <w:r w:rsidRPr="00241701">
              <w:rPr>
                <w:sz w:val="20"/>
                <w:szCs w:val="20"/>
              </w:rPr>
              <w:br/>
              <w:t xml:space="preserve">3040 </w:t>
            </w:r>
            <w:r>
              <w:rPr>
                <w:sz w:val="20"/>
                <w:szCs w:val="20"/>
              </w:rPr>
              <w:t xml:space="preserve">E. </w:t>
            </w:r>
            <w:r w:rsidRPr="00241701">
              <w:rPr>
                <w:sz w:val="20"/>
                <w:szCs w:val="20"/>
              </w:rPr>
              <w:t>Cornwallis Road</w:t>
            </w:r>
            <w:r w:rsidRPr="00241701">
              <w:rPr>
                <w:sz w:val="20"/>
                <w:szCs w:val="20"/>
              </w:rPr>
              <w:br/>
              <w:t>Research Triangle Park, NC 27709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0145324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 w:rsidRPr="00241701">
              <w:rPr>
                <w:sz w:val="20"/>
                <w:szCs w:val="20"/>
              </w:rPr>
              <w:t>Phone:</w:t>
            </w:r>
            <w:r w:rsidRPr="00241701">
              <w:rPr>
                <w:sz w:val="20"/>
                <w:szCs w:val="20"/>
              </w:rPr>
              <w:tab/>
            </w:r>
            <w:r w:rsidRPr="001C4909">
              <w:rPr>
                <w:sz w:val="20"/>
                <w:szCs w:val="20"/>
              </w:rPr>
              <w:t>919-541-7310</w:t>
            </w:r>
            <w:r w:rsidRPr="00241701">
              <w:rPr>
                <w:sz w:val="20"/>
                <w:szCs w:val="20"/>
              </w:rPr>
              <w:br/>
              <w:t>Fax:</w:t>
            </w:r>
            <w:r w:rsidRPr="00241701">
              <w:rPr>
                <w:sz w:val="20"/>
                <w:szCs w:val="20"/>
              </w:rPr>
              <w:tab/>
              <w:t>919-485-5555</w:t>
            </w:r>
            <w:r w:rsidRPr="00241701">
              <w:rPr>
                <w:sz w:val="20"/>
                <w:szCs w:val="20"/>
              </w:rPr>
              <w:br/>
              <w:t>E-mail:</w:t>
            </w:r>
            <w:r w:rsidRPr="00241701">
              <w:rPr>
                <w:sz w:val="20"/>
                <w:szCs w:val="20"/>
              </w:rPr>
              <w:tab/>
            </w:r>
            <w:hyperlink r:id="rId10" w:history="1">
              <w:r w:rsidRPr="00DA483F">
                <w:rPr>
                  <w:rStyle w:val="Hyperlink"/>
                  <w:sz w:val="20"/>
                  <w:szCs w:val="20"/>
                </w:rPr>
                <w:t>ljd@rti.org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97E62" w:rsidRPr="008C607D" w14:paraId="2681031C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0A6038F" w14:textId="77777777" w:rsidR="00197E62" w:rsidRPr="00241701" w:rsidRDefault="00197E62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Morgan-Lopez</w:t>
            </w:r>
            <w:r w:rsidRPr="00241701">
              <w:rPr>
                <w:sz w:val="20"/>
                <w:szCs w:val="20"/>
              </w:rPr>
              <w:t>, PhD</w:t>
            </w:r>
            <w:r w:rsidRPr="00241701">
              <w:rPr>
                <w:sz w:val="20"/>
                <w:szCs w:val="20"/>
              </w:rPr>
              <w:br/>
              <w:t>Advisor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3BE34A7C" w14:textId="77777777" w:rsidR="00197E62" w:rsidRPr="00241701" w:rsidRDefault="00197E62" w:rsidP="0034746C">
            <w:pPr>
              <w:rPr>
                <w:b/>
                <w:sz w:val="20"/>
                <w:szCs w:val="20"/>
                <w:highlight w:val="yellow"/>
              </w:rPr>
            </w:pPr>
            <w:r w:rsidRPr="006D7D0D">
              <w:rPr>
                <w:sz w:val="20"/>
                <w:szCs w:val="20"/>
              </w:rPr>
              <w:t>Senior Research Quantitative Psychologist</w:t>
            </w:r>
            <w:r w:rsidRPr="00241701">
              <w:rPr>
                <w:sz w:val="20"/>
                <w:szCs w:val="20"/>
              </w:rPr>
              <w:br/>
              <w:t xml:space="preserve">Behavioral Health </w:t>
            </w:r>
            <w:r>
              <w:rPr>
                <w:sz w:val="20"/>
                <w:szCs w:val="20"/>
              </w:rPr>
              <w:t xml:space="preserve">and Criminal Justice Research </w:t>
            </w:r>
            <w:r w:rsidRPr="00241701">
              <w:rPr>
                <w:sz w:val="20"/>
                <w:szCs w:val="20"/>
              </w:rPr>
              <w:t>Division</w:t>
            </w:r>
            <w:r w:rsidRPr="00241701">
              <w:rPr>
                <w:sz w:val="20"/>
                <w:szCs w:val="20"/>
              </w:rPr>
              <w:br/>
            </w:r>
            <w:smartTag w:uri="urn:schemas-microsoft-com:office:smarttags" w:element="stockticker">
              <w:r w:rsidRPr="00241701">
                <w:rPr>
                  <w:sz w:val="20"/>
                  <w:szCs w:val="20"/>
                </w:rPr>
                <w:t>RTI</w:t>
              </w:r>
            </w:smartTag>
            <w:r w:rsidRPr="00241701">
              <w:rPr>
                <w:sz w:val="20"/>
                <w:szCs w:val="20"/>
              </w:rPr>
              <w:t xml:space="preserve"> International</w:t>
            </w:r>
            <w:r w:rsidRPr="00241701">
              <w:rPr>
                <w:sz w:val="20"/>
                <w:szCs w:val="20"/>
              </w:rPr>
              <w:br/>
              <w:t xml:space="preserve">3040 </w:t>
            </w:r>
            <w:r>
              <w:rPr>
                <w:sz w:val="20"/>
                <w:szCs w:val="20"/>
              </w:rPr>
              <w:t xml:space="preserve">E. </w:t>
            </w:r>
            <w:r w:rsidRPr="00241701">
              <w:rPr>
                <w:sz w:val="20"/>
                <w:szCs w:val="20"/>
              </w:rPr>
              <w:t>Cornwallis Road</w:t>
            </w:r>
            <w:r w:rsidRPr="00241701">
              <w:rPr>
                <w:sz w:val="20"/>
                <w:szCs w:val="20"/>
              </w:rPr>
              <w:br/>
              <w:t>Research Triangle Park, NC 27709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AD401B" w14:textId="77777777" w:rsidR="00197E62" w:rsidRPr="00241701" w:rsidRDefault="00197E62" w:rsidP="0034746C">
            <w:pPr>
              <w:rPr>
                <w:b/>
                <w:sz w:val="20"/>
                <w:szCs w:val="20"/>
                <w:highlight w:val="yellow"/>
              </w:rPr>
            </w:pPr>
            <w:r w:rsidRPr="00241701">
              <w:rPr>
                <w:sz w:val="20"/>
                <w:szCs w:val="20"/>
              </w:rPr>
              <w:t>Phone:</w:t>
            </w:r>
            <w:r w:rsidRPr="00241701">
              <w:rPr>
                <w:sz w:val="20"/>
                <w:szCs w:val="20"/>
              </w:rPr>
              <w:tab/>
            </w:r>
            <w:r w:rsidRPr="001C4909">
              <w:rPr>
                <w:sz w:val="20"/>
                <w:szCs w:val="20"/>
              </w:rPr>
              <w:t>919-316-3436</w:t>
            </w:r>
            <w:r w:rsidRPr="00241701">
              <w:rPr>
                <w:sz w:val="20"/>
                <w:szCs w:val="20"/>
              </w:rPr>
              <w:br/>
              <w:t>Fax:</w:t>
            </w:r>
            <w:r w:rsidRPr="00241701">
              <w:rPr>
                <w:sz w:val="20"/>
                <w:szCs w:val="20"/>
              </w:rPr>
              <w:tab/>
              <w:t>919-485-5555</w:t>
            </w:r>
            <w:r w:rsidRPr="00241701">
              <w:rPr>
                <w:sz w:val="20"/>
                <w:szCs w:val="20"/>
              </w:rPr>
              <w:br/>
              <w:t>E-mail:</w:t>
            </w:r>
            <w:r w:rsidRPr="00241701">
              <w:rPr>
                <w:sz w:val="20"/>
                <w:szCs w:val="20"/>
              </w:rPr>
              <w:tab/>
            </w:r>
            <w:hyperlink r:id="rId11" w:history="1">
              <w:r w:rsidRPr="001C4909">
                <w:rPr>
                  <w:rStyle w:val="Hyperlink"/>
                  <w:sz w:val="20"/>
                  <w:szCs w:val="20"/>
                </w:rPr>
                <w:t>amorganlopez</w:t>
              </w:r>
              <w:r w:rsidRPr="002D2AD7">
                <w:rPr>
                  <w:rStyle w:val="Hyperlink"/>
                  <w:sz w:val="20"/>
                  <w:szCs w:val="20"/>
                </w:rPr>
                <w:t>@rti.org</w:t>
              </w:r>
            </w:hyperlink>
          </w:p>
        </w:tc>
      </w:tr>
      <w:tr w:rsidR="00D6159B" w:rsidRPr="008C607D" w14:paraId="3DC9FAC1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D8FB266" w14:textId="2CBBA2EF" w:rsidR="00D6159B" w:rsidRDefault="00D6159B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Ndiangui</w:t>
            </w:r>
          </w:p>
          <w:p w14:paraId="5C4EA0CD" w14:textId="1BF83ED8" w:rsidR="00D6159B" w:rsidRDefault="00D6159B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SAMHSA Contracting Officer’s Representative (COR)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7AE0E34" w14:textId="77777777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Advisor</w:t>
            </w:r>
          </w:p>
          <w:p w14:paraId="23DA1F14" w14:textId="77C42D0B" w:rsidR="00D6159B" w:rsidRPr="00D6159B" w:rsidRDefault="00D6159B" w:rsidP="00D6159B">
            <w:pPr>
              <w:rPr>
                <w:sz w:val="20"/>
                <w:szCs w:val="20"/>
              </w:rPr>
            </w:pPr>
            <w:r w:rsidRPr="00D6159B">
              <w:rPr>
                <w:sz w:val="20"/>
                <w:szCs w:val="20"/>
              </w:rPr>
              <w:t>SAMHSA</w:t>
            </w:r>
            <w:r>
              <w:rPr>
                <w:sz w:val="20"/>
                <w:szCs w:val="20"/>
              </w:rPr>
              <w:t xml:space="preserve"> CSAT</w:t>
            </w:r>
          </w:p>
          <w:p w14:paraId="01E6FAD7" w14:textId="77777777" w:rsidR="00D6159B" w:rsidRPr="00D6159B" w:rsidRDefault="00D6159B" w:rsidP="00D6159B">
            <w:pPr>
              <w:rPr>
                <w:sz w:val="20"/>
                <w:szCs w:val="20"/>
              </w:rPr>
            </w:pPr>
            <w:r w:rsidRPr="00D6159B">
              <w:rPr>
                <w:sz w:val="20"/>
                <w:szCs w:val="20"/>
              </w:rPr>
              <w:t>1 Choke Cherry Rd</w:t>
            </w:r>
          </w:p>
          <w:p w14:paraId="4F7BB9CE" w14:textId="52D5D72C" w:rsidR="00D6159B" w:rsidRPr="006D7D0D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Rockville, MD 20857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3C00E772" w14:textId="1D201CC5" w:rsidR="00D6159B" w:rsidRDefault="00D6159B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  <w:r w:rsidRPr="00D6159B">
              <w:rPr>
                <w:sz w:val="20"/>
                <w:szCs w:val="20"/>
              </w:rPr>
              <w:t>240-276-2918</w:t>
            </w:r>
          </w:p>
          <w:p w14:paraId="332A4325" w14:textId="7FAFC82F" w:rsidR="00D6159B" w:rsidRDefault="00D6159B" w:rsidP="0034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2" w:history="1">
              <w:r w:rsidR="000C48B0" w:rsidRPr="00A83640">
                <w:rPr>
                  <w:rStyle w:val="Hyperlink"/>
                  <w:sz w:val="20"/>
                  <w:szCs w:val="20"/>
                </w:rPr>
                <w:t>Sarah.Ndiangui@samhsa.hhs.gov</w:t>
              </w:r>
            </w:hyperlink>
          </w:p>
          <w:p w14:paraId="5893EBCD" w14:textId="12A37C78" w:rsidR="000C48B0" w:rsidRPr="00241701" w:rsidRDefault="000C48B0" w:rsidP="0034746C">
            <w:pPr>
              <w:rPr>
                <w:sz w:val="20"/>
                <w:szCs w:val="20"/>
              </w:rPr>
            </w:pPr>
          </w:p>
        </w:tc>
      </w:tr>
      <w:tr w:rsidR="00D6159B" w:rsidRPr="008C607D" w14:paraId="26AFC548" w14:textId="77777777" w:rsidTr="000C48B0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</w:tcPr>
          <w:p w14:paraId="35668749" w14:textId="5DBD8E3B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Guileine Kraft, PhD, </w:t>
            </w:r>
            <w:r w:rsidRPr="00D6159B">
              <w:rPr>
                <w:sz w:val="20"/>
                <w:szCs w:val="20"/>
              </w:rPr>
              <w:t>LCSW-C</w:t>
            </w:r>
          </w:p>
          <w:p w14:paraId="67738180" w14:textId="3960DAE7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SAMHSA Alternate COR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12" w:space="0" w:color="auto"/>
            </w:tcBorders>
          </w:tcPr>
          <w:p w14:paraId="0FA4EBB6" w14:textId="77777777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Advisor</w:t>
            </w:r>
          </w:p>
          <w:p w14:paraId="44F36D7F" w14:textId="77777777" w:rsidR="00D6159B" w:rsidRPr="00D6159B" w:rsidRDefault="00D6159B" w:rsidP="00D6159B">
            <w:pPr>
              <w:rPr>
                <w:sz w:val="20"/>
                <w:szCs w:val="20"/>
              </w:rPr>
            </w:pPr>
            <w:r w:rsidRPr="00D6159B">
              <w:rPr>
                <w:sz w:val="20"/>
                <w:szCs w:val="20"/>
              </w:rPr>
              <w:t>SAMHSA</w:t>
            </w:r>
            <w:r>
              <w:rPr>
                <w:sz w:val="20"/>
                <w:szCs w:val="20"/>
              </w:rPr>
              <w:t xml:space="preserve"> CSAT</w:t>
            </w:r>
          </w:p>
          <w:p w14:paraId="49BC8CCF" w14:textId="77777777" w:rsidR="00D6159B" w:rsidRPr="00D6159B" w:rsidRDefault="00D6159B" w:rsidP="00D6159B">
            <w:pPr>
              <w:rPr>
                <w:sz w:val="20"/>
                <w:szCs w:val="20"/>
              </w:rPr>
            </w:pPr>
            <w:r w:rsidRPr="00D6159B">
              <w:rPr>
                <w:sz w:val="20"/>
                <w:szCs w:val="20"/>
              </w:rPr>
              <w:t>1 Choke Cherry Rd</w:t>
            </w:r>
          </w:p>
          <w:p w14:paraId="553C0A47" w14:textId="6172BBB6" w:rsidR="00D6159B" w:rsidRPr="006D7D0D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Rockville, MD 20857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12" w:space="0" w:color="auto"/>
            </w:tcBorders>
          </w:tcPr>
          <w:p w14:paraId="09981F25" w14:textId="2792DDFC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240-276-2915</w:t>
            </w:r>
          </w:p>
          <w:p w14:paraId="159FA4BE" w14:textId="633F136C" w:rsidR="00D6159B" w:rsidRDefault="00D6159B" w:rsidP="00D61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13" w:history="1">
              <w:r w:rsidR="000C48B0" w:rsidRPr="00A83640">
                <w:rPr>
                  <w:rStyle w:val="Hyperlink"/>
                  <w:sz w:val="20"/>
                  <w:szCs w:val="20"/>
                </w:rPr>
                <w:t>Guileine.Kraft@samhsa.hhs.gov</w:t>
              </w:r>
            </w:hyperlink>
          </w:p>
          <w:p w14:paraId="7B632C84" w14:textId="0D086BC8" w:rsidR="000C48B0" w:rsidRPr="00241701" w:rsidRDefault="000C48B0" w:rsidP="00D6159B">
            <w:pPr>
              <w:rPr>
                <w:sz w:val="20"/>
                <w:szCs w:val="20"/>
              </w:rPr>
            </w:pPr>
          </w:p>
        </w:tc>
      </w:tr>
    </w:tbl>
    <w:p w14:paraId="3E60FE99" w14:textId="77777777" w:rsidR="00197E62" w:rsidRPr="00F20138" w:rsidRDefault="00197E62" w:rsidP="00197E62">
      <w:pPr>
        <w:pStyle w:val="Heading1"/>
      </w:pPr>
      <w:bookmarkStart w:id="19" w:name="_Toc131564382"/>
      <w:r>
        <w:br w:type="page"/>
      </w:r>
      <w:bookmarkStart w:id="20" w:name="_Toc428872918"/>
      <w:bookmarkEnd w:id="19"/>
      <w:r w:rsidRPr="00F20138">
        <w:lastRenderedPageBreak/>
        <w:t>References</w:t>
      </w:r>
      <w:bookmarkEnd w:id="20"/>
    </w:p>
    <w:p w14:paraId="2A13FA9E" w14:textId="77777777" w:rsidR="00197E62" w:rsidRPr="00F20138" w:rsidRDefault="00197E62" w:rsidP="00197E62">
      <w:pPr>
        <w:pStyle w:val="biblio"/>
        <w:rPr>
          <w:szCs w:val="24"/>
          <w:lang w:val="fr-FR"/>
        </w:rPr>
      </w:pPr>
      <w:r w:rsidRPr="00F20138">
        <w:rPr>
          <w:szCs w:val="24"/>
          <w:lang w:val="fr-FR"/>
        </w:rPr>
        <w:t>Amaral, M</w:t>
      </w:r>
      <w:r>
        <w:rPr>
          <w:szCs w:val="24"/>
          <w:lang w:val="fr-FR"/>
        </w:rPr>
        <w:t xml:space="preserve">. </w:t>
      </w:r>
      <w:r w:rsidRPr="00F20138">
        <w:rPr>
          <w:szCs w:val="24"/>
          <w:lang w:val="fr-FR"/>
        </w:rPr>
        <w:t xml:space="preserve">B., </w:t>
      </w:r>
      <w:proofErr w:type="spellStart"/>
      <w:r w:rsidRPr="00F20138">
        <w:rPr>
          <w:szCs w:val="24"/>
          <w:lang w:val="fr-FR"/>
        </w:rPr>
        <w:t>Ronzani</w:t>
      </w:r>
      <w:proofErr w:type="spellEnd"/>
      <w:r w:rsidRPr="00F20138">
        <w:rPr>
          <w:szCs w:val="24"/>
          <w:lang w:val="fr-FR"/>
        </w:rPr>
        <w:t>, T</w:t>
      </w:r>
      <w:r>
        <w:rPr>
          <w:szCs w:val="24"/>
          <w:lang w:val="fr-FR"/>
        </w:rPr>
        <w:t xml:space="preserve">. </w:t>
      </w:r>
      <w:r w:rsidRPr="00F20138">
        <w:rPr>
          <w:szCs w:val="24"/>
          <w:lang w:val="fr-FR"/>
        </w:rPr>
        <w:t xml:space="preserve">M., &amp; </w:t>
      </w:r>
      <w:proofErr w:type="spellStart"/>
      <w:r w:rsidRPr="00F20138">
        <w:rPr>
          <w:szCs w:val="24"/>
          <w:lang w:val="fr-FR"/>
        </w:rPr>
        <w:t>Souza-Formigoni</w:t>
      </w:r>
      <w:proofErr w:type="spellEnd"/>
      <w:r w:rsidRPr="00F20138">
        <w:rPr>
          <w:szCs w:val="24"/>
          <w:lang w:val="fr-FR"/>
        </w:rPr>
        <w:t>, M</w:t>
      </w:r>
      <w:r>
        <w:rPr>
          <w:szCs w:val="24"/>
          <w:lang w:val="fr-FR"/>
        </w:rPr>
        <w:t xml:space="preserve">. </w:t>
      </w:r>
      <w:r w:rsidRPr="00F20138">
        <w:rPr>
          <w:szCs w:val="24"/>
          <w:lang w:val="fr-FR"/>
        </w:rPr>
        <w:t>L</w:t>
      </w:r>
      <w:r>
        <w:rPr>
          <w:szCs w:val="24"/>
          <w:lang w:val="fr-FR"/>
        </w:rPr>
        <w:t xml:space="preserve">. </w:t>
      </w:r>
      <w:r w:rsidRPr="00F20138">
        <w:rPr>
          <w:szCs w:val="24"/>
          <w:lang w:val="fr-FR"/>
        </w:rPr>
        <w:t>(2010)</w:t>
      </w:r>
      <w:r>
        <w:rPr>
          <w:szCs w:val="24"/>
          <w:lang w:val="fr-FR"/>
        </w:rPr>
        <w:t xml:space="preserve">. </w:t>
      </w:r>
      <w:proofErr w:type="spellStart"/>
      <w:r w:rsidRPr="00F20138">
        <w:rPr>
          <w:szCs w:val="24"/>
          <w:lang w:val="fr-FR"/>
        </w:rPr>
        <w:t>Process</w:t>
      </w:r>
      <w:proofErr w:type="spellEnd"/>
      <w:r w:rsidRPr="00F20138">
        <w:rPr>
          <w:szCs w:val="24"/>
          <w:lang w:val="fr-FR"/>
        </w:rPr>
        <w:t xml:space="preserve"> </w:t>
      </w:r>
      <w:proofErr w:type="spellStart"/>
      <w:r w:rsidRPr="00F20138">
        <w:rPr>
          <w:szCs w:val="24"/>
          <w:lang w:val="fr-FR"/>
        </w:rPr>
        <w:t>evaluation</w:t>
      </w:r>
      <w:proofErr w:type="spellEnd"/>
      <w:r w:rsidRPr="00F20138">
        <w:rPr>
          <w:szCs w:val="24"/>
          <w:lang w:val="fr-FR"/>
        </w:rPr>
        <w:t xml:space="preserve"> of the </w:t>
      </w:r>
      <w:proofErr w:type="spellStart"/>
      <w:r w:rsidRPr="00F20138">
        <w:rPr>
          <w:szCs w:val="24"/>
          <w:lang w:val="fr-FR"/>
        </w:rPr>
        <w:t>implementation</w:t>
      </w:r>
      <w:proofErr w:type="spellEnd"/>
      <w:r w:rsidRPr="00F20138">
        <w:rPr>
          <w:szCs w:val="24"/>
          <w:lang w:val="fr-FR"/>
        </w:rPr>
        <w:t xml:space="preserve"> of a screening and </w:t>
      </w:r>
      <w:proofErr w:type="spellStart"/>
      <w:r w:rsidRPr="00F20138">
        <w:rPr>
          <w:szCs w:val="24"/>
          <w:lang w:val="fr-FR"/>
        </w:rPr>
        <w:t>brief</w:t>
      </w:r>
      <w:proofErr w:type="spellEnd"/>
      <w:r w:rsidRPr="00F20138">
        <w:rPr>
          <w:szCs w:val="24"/>
          <w:lang w:val="fr-FR"/>
        </w:rPr>
        <w:t xml:space="preserve"> intervention program for </w:t>
      </w:r>
      <w:proofErr w:type="spellStart"/>
      <w:r w:rsidRPr="00F20138">
        <w:rPr>
          <w:szCs w:val="24"/>
          <w:lang w:val="fr-FR"/>
        </w:rPr>
        <w:t>alcohol</w:t>
      </w:r>
      <w:proofErr w:type="spellEnd"/>
      <w:r w:rsidRPr="00F20138">
        <w:rPr>
          <w:szCs w:val="24"/>
          <w:lang w:val="fr-FR"/>
        </w:rPr>
        <w:t xml:space="preserve"> </w:t>
      </w:r>
      <w:proofErr w:type="spellStart"/>
      <w:r w:rsidRPr="00F20138">
        <w:rPr>
          <w:szCs w:val="24"/>
          <w:lang w:val="fr-FR"/>
        </w:rPr>
        <w:t>risk</w:t>
      </w:r>
      <w:proofErr w:type="spellEnd"/>
      <w:r w:rsidRPr="00F20138">
        <w:rPr>
          <w:szCs w:val="24"/>
          <w:lang w:val="fr-FR"/>
        </w:rPr>
        <w:t xml:space="preserve"> in </w:t>
      </w:r>
      <w:proofErr w:type="spellStart"/>
      <w:r w:rsidRPr="00F20138">
        <w:rPr>
          <w:szCs w:val="24"/>
          <w:lang w:val="fr-FR"/>
        </w:rPr>
        <w:t>primary</w:t>
      </w:r>
      <w:proofErr w:type="spellEnd"/>
      <w:r w:rsidRPr="00F20138">
        <w:rPr>
          <w:szCs w:val="24"/>
          <w:lang w:val="fr-FR"/>
        </w:rPr>
        <w:t xml:space="preserve"> </w:t>
      </w:r>
      <w:proofErr w:type="spellStart"/>
      <w:r w:rsidRPr="00F20138">
        <w:rPr>
          <w:szCs w:val="24"/>
          <w:lang w:val="fr-FR"/>
        </w:rPr>
        <w:t>health</w:t>
      </w:r>
      <w:proofErr w:type="spellEnd"/>
      <w:r w:rsidRPr="00F20138">
        <w:rPr>
          <w:szCs w:val="24"/>
          <w:lang w:val="fr-FR"/>
        </w:rPr>
        <w:t xml:space="preserve"> care: An </w:t>
      </w:r>
      <w:proofErr w:type="spellStart"/>
      <w:r w:rsidRPr="00F20138">
        <w:rPr>
          <w:szCs w:val="24"/>
          <w:lang w:val="fr-FR"/>
        </w:rPr>
        <w:t>experience</w:t>
      </w:r>
      <w:proofErr w:type="spellEnd"/>
      <w:r w:rsidRPr="00F20138">
        <w:rPr>
          <w:szCs w:val="24"/>
          <w:lang w:val="fr-FR"/>
        </w:rPr>
        <w:t xml:space="preserve"> in </w:t>
      </w:r>
      <w:proofErr w:type="spellStart"/>
      <w:r w:rsidRPr="00F20138">
        <w:rPr>
          <w:szCs w:val="24"/>
          <w:lang w:val="fr-FR"/>
        </w:rPr>
        <w:t>Brazil</w:t>
      </w:r>
      <w:proofErr w:type="spellEnd"/>
      <w:r>
        <w:rPr>
          <w:szCs w:val="24"/>
          <w:lang w:val="fr-FR"/>
        </w:rPr>
        <w:t xml:space="preserve">. </w:t>
      </w:r>
      <w:r w:rsidRPr="00A80B6A">
        <w:rPr>
          <w:i/>
          <w:iCs/>
          <w:szCs w:val="24"/>
          <w:lang w:val="fr-FR"/>
        </w:rPr>
        <w:t xml:space="preserve">Drug and </w:t>
      </w:r>
      <w:proofErr w:type="spellStart"/>
      <w:r w:rsidRPr="00A80B6A">
        <w:rPr>
          <w:i/>
          <w:iCs/>
          <w:szCs w:val="24"/>
          <w:lang w:val="fr-FR"/>
        </w:rPr>
        <w:t>Alcohol</w:t>
      </w:r>
      <w:proofErr w:type="spellEnd"/>
      <w:r w:rsidRPr="00A80B6A">
        <w:rPr>
          <w:i/>
          <w:iCs/>
          <w:szCs w:val="24"/>
          <w:lang w:val="fr-FR"/>
        </w:rPr>
        <w:t xml:space="preserve"> </w:t>
      </w:r>
      <w:proofErr w:type="spellStart"/>
      <w:r w:rsidRPr="00A80B6A">
        <w:rPr>
          <w:i/>
          <w:iCs/>
          <w:szCs w:val="24"/>
          <w:lang w:val="fr-FR"/>
        </w:rPr>
        <w:t>Review</w:t>
      </w:r>
      <w:proofErr w:type="spellEnd"/>
      <w:r w:rsidRPr="00F20138">
        <w:rPr>
          <w:szCs w:val="24"/>
          <w:lang w:val="fr-FR"/>
        </w:rPr>
        <w:t xml:space="preserve">, </w:t>
      </w:r>
      <w:r w:rsidRPr="00A80B6A">
        <w:rPr>
          <w:i/>
          <w:iCs/>
          <w:szCs w:val="24"/>
          <w:lang w:val="fr-FR"/>
        </w:rPr>
        <w:t>29</w:t>
      </w:r>
      <w:r w:rsidRPr="00F20138">
        <w:rPr>
          <w:szCs w:val="24"/>
          <w:lang w:val="fr-FR"/>
        </w:rPr>
        <w:t>(2), 162–168.</w:t>
      </w:r>
    </w:p>
    <w:p w14:paraId="5B823A5E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Berends</w:t>
      </w:r>
      <w:proofErr w:type="spellEnd"/>
      <w:r w:rsidRPr="00F20138">
        <w:rPr>
          <w:szCs w:val="24"/>
        </w:rPr>
        <w:t xml:space="preserve">, L., MacLean, S., Hunter, B., </w:t>
      </w:r>
      <w:proofErr w:type="spellStart"/>
      <w:r w:rsidRPr="00F20138">
        <w:rPr>
          <w:szCs w:val="24"/>
        </w:rPr>
        <w:t>Mugavin</w:t>
      </w:r>
      <w:proofErr w:type="spellEnd"/>
      <w:r w:rsidRPr="00F20138">
        <w:rPr>
          <w:szCs w:val="24"/>
        </w:rPr>
        <w:t>, J., &amp; Carswell, S</w:t>
      </w:r>
      <w:r>
        <w:rPr>
          <w:szCs w:val="24"/>
        </w:rPr>
        <w:t xml:space="preserve">. </w:t>
      </w:r>
      <w:r w:rsidRPr="00F20138">
        <w:rPr>
          <w:szCs w:val="24"/>
        </w:rPr>
        <w:t>(2011)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Implementing alcohol and other drug interventions effectively: How does location matter? </w:t>
      </w:r>
      <w:r w:rsidRPr="00A80B6A">
        <w:rPr>
          <w:i/>
          <w:iCs/>
          <w:szCs w:val="24"/>
        </w:rPr>
        <w:t>Australian Journal of Rural Health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19</w:t>
      </w:r>
      <w:r w:rsidRPr="00F20138">
        <w:rPr>
          <w:szCs w:val="24"/>
        </w:rPr>
        <w:t>, 211–217.</w:t>
      </w:r>
    </w:p>
    <w:p w14:paraId="2E06001E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 xml:space="preserve">Bernstein, E., Edwards, E., </w:t>
      </w:r>
      <w:proofErr w:type="spellStart"/>
      <w:r w:rsidRPr="00F20138">
        <w:rPr>
          <w:szCs w:val="24"/>
        </w:rPr>
        <w:t>Dorfman</w:t>
      </w:r>
      <w:proofErr w:type="spellEnd"/>
      <w:r w:rsidRPr="00F20138">
        <w:rPr>
          <w:szCs w:val="24"/>
        </w:rPr>
        <w:t xml:space="preserve">, D., </w:t>
      </w:r>
      <w:proofErr w:type="spellStart"/>
      <w:r w:rsidRPr="00F20138">
        <w:rPr>
          <w:szCs w:val="24"/>
        </w:rPr>
        <w:t>Heeren</w:t>
      </w:r>
      <w:proofErr w:type="spellEnd"/>
      <w:r w:rsidRPr="00F20138">
        <w:rPr>
          <w:szCs w:val="24"/>
        </w:rPr>
        <w:t>, T., Bliss, C., &amp; Bernstein, J</w:t>
      </w:r>
      <w:r>
        <w:rPr>
          <w:szCs w:val="24"/>
        </w:rPr>
        <w:t xml:space="preserve">. </w:t>
      </w:r>
      <w:r w:rsidRPr="00F20138">
        <w:rPr>
          <w:szCs w:val="24"/>
        </w:rPr>
        <w:t>(2009)</w:t>
      </w:r>
      <w:r>
        <w:rPr>
          <w:szCs w:val="24"/>
        </w:rPr>
        <w:t xml:space="preserve">. </w:t>
      </w:r>
      <w:r w:rsidRPr="00F20138">
        <w:rPr>
          <w:szCs w:val="24"/>
        </w:rPr>
        <w:t>Screening and brief intervention to reduce marijuana use among youth and young adults in a pediatric emergency department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Academic Emergency Medicine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16</w:t>
      </w:r>
      <w:r w:rsidRPr="00F20138">
        <w:rPr>
          <w:szCs w:val="24"/>
        </w:rPr>
        <w:t>(11), 1174–1185.</w:t>
      </w:r>
    </w:p>
    <w:p w14:paraId="373F3BD1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Chaudoir</w:t>
      </w:r>
      <w:proofErr w:type="spellEnd"/>
      <w:r w:rsidRPr="00F20138">
        <w:rPr>
          <w:szCs w:val="24"/>
        </w:rPr>
        <w:t>, S</w:t>
      </w:r>
      <w:r>
        <w:rPr>
          <w:szCs w:val="24"/>
        </w:rPr>
        <w:t xml:space="preserve">. </w:t>
      </w:r>
      <w:r w:rsidRPr="00F20138">
        <w:rPr>
          <w:szCs w:val="24"/>
        </w:rPr>
        <w:t>R., Dugan, A</w:t>
      </w:r>
      <w:r>
        <w:rPr>
          <w:szCs w:val="24"/>
        </w:rPr>
        <w:t xml:space="preserve">. </w:t>
      </w:r>
      <w:r w:rsidRPr="00F20138">
        <w:rPr>
          <w:szCs w:val="24"/>
        </w:rPr>
        <w:t>G., &amp; Barr, C</w:t>
      </w:r>
      <w:r>
        <w:rPr>
          <w:szCs w:val="24"/>
        </w:rPr>
        <w:t xml:space="preserve">. </w:t>
      </w:r>
      <w:r w:rsidRPr="00F20138">
        <w:rPr>
          <w:szCs w:val="24"/>
        </w:rPr>
        <w:t>H</w:t>
      </w:r>
      <w:r>
        <w:rPr>
          <w:szCs w:val="24"/>
        </w:rPr>
        <w:t xml:space="preserve">. </w:t>
      </w:r>
      <w:r w:rsidRPr="00F20138">
        <w:rPr>
          <w:szCs w:val="24"/>
        </w:rPr>
        <w:t>(2013)</w:t>
      </w:r>
      <w:r>
        <w:rPr>
          <w:szCs w:val="24"/>
        </w:rPr>
        <w:t xml:space="preserve">. </w:t>
      </w:r>
      <w:r w:rsidRPr="00F20138">
        <w:rPr>
          <w:szCs w:val="24"/>
        </w:rPr>
        <w:t>Measuring factors affecting implementation of health innovations: A systematic review of structural, organizational, provider, patient, and innovation level measures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Implementation Science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8</w:t>
      </w:r>
      <w:r w:rsidRPr="00F20138">
        <w:rPr>
          <w:szCs w:val="24"/>
        </w:rPr>
        <w:t>(1), 22.</w:t>
      </w:r>
    </w:p>
    <w:p w14:paraId="0FE68E41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Chen, I</w:t>
      </w:r>
      <w:r>
        <w:rPr>
          <w:szCs w:val="24"/>
        </w:rPr>
        <w:t xml:space="preserve">. </w:t>
      </w:r>
      <w:r w:rsidRPr="00F20138">
        <w:rPr>
          <w:szCs w:val="24"/>
        </w:rPr>
        <w:t>J., &amp; Popovich, K</w:t>
      </w:r>
      <w:r>
        <w:rPr>
          <w:szCs w:val="24"/>
        </w:rPr>
        <w:t xml:space="preserve">. </w:t>
      </w:r>
      <w:r w:rsidRPr="00F20138">
        <w:rPr>
          <w:szCs w:val="24"/>
        </w:rPr>
        <w:t>(2003)</w:t>
      </w:r>
      <w:r>
        <w:rPr>
          <w:szCs w:val="24"/>
        </w:rPr>
        <w:t xml:space="preserve">. </w:t>
      </w:r>
      <w:r w:rsidRPr="00F20138">
        <w:rPr>
          <w:szCs w:val="24"/>
        </w:rPr>
        <w:t>Understanding customer relationship management (CRM): People, process and technology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Business Process Management Journal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9</w:t>
      </w:r>
      <w:r w:rsidRPr="00F20138">
        <w:rPr>
          <w:szCs w:val="24"/>
        </w:rPr>
        <w:t>(5), 672–688.</w:t>
      </w:r>
    </w:p>
    <w:p w14:paraId="1AEC187A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Damschroder</w:t>
      </w:r>
      <w:proofErr w:type="spellEnd"/>
      <w:r w:rsidRPr="00F20138">
        <w:rPr>
          <w:szCs w:val="24"/>
        </w:rPr>
        <w:t>, L</w:t>
      </w:r>
      <w:r>
        <w:rPr>
          <w:szCs w:val="24"/>
        </w:rPr>
        <w:t xml:space="preserve">. </w:t>
      </w:r>
      <w:r w:rsidRPr="00F20138">
        <w:rPr>
          <w:szCs w:val="24"/>
        </w:rPr>
        <w:t>J., Aron, D</w:t>
      </w:r>
      <w:r>
        <w:rPr>
          <w:szCs w:val="24"/>
        </w:rPr>
        <w:t xml:space="preserve">. </w:t>
      </w:r>
      <w:r w:rsidRPr="00F20138">
        <w:rPr>
          <w:szCs w:val="24"/>
        </w:rPr>
        <w:t>C., Keith, R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E., </w:t>
      </w:r>
      <w:proofErr w:type="spellStart"/>
      <w:r w:rsidRPr="00F20138">
        <w:rPr>
          <w:szCs w:val="24"/>
        </w:rPr>
        <w:t>Kirsh</w:t>
      </w:r>
      <w:proofErr w:type="spellEnd"/>
      <w:r w:rsidRPr="00F20138">
        <w:rPr>
          <w:szCs w:val="24"/>
        </w:rPr>
        <w:t>, S</w:t>
      </w:r>
      <w:r>
        <w:rPr>
          <w:szCs w:val="24"/>
        </w:rPr>
        <w:t xml:space="preserve">. </w:t>
      </w:r>
      <w:r w:rsidRPr="00F20138">
        <w:rPr>
          <w:szCs w:val="24"/>
        </w:rPr>
        <w:t>R., Alexander, J</w:t>
      </w:r>
      <w:r>
        <w:rPr>
          <w:szCs w:val="24"/>
        </w:rPr>
        <w:t xml:space="preserve">. </w:t>
      </w:r>
      <w:r w:rsidRPr="00F20138">
        <w:rPr>
          <w:szCs w:val="24"/>
        </w:rPr>
        <w:t>A., &amp; Lowery, J</w:t>
      </w:r>
      <w:r>
        <w:rPr>
          <w:szCs w:val="24"/>
        </w:rPr>
        <w:t xml:space="preserve">. </w:t>
      </w:r>
      <w:r w:rsidRPr="00F20138">
        <w:rPr>
          <w:szCs w:val="24"/>
        </w:rPr>
        <w:t>C</w:t>
      </w:r>
      <w:r>
        <w:rPr>
          <w:szCs w:val="24"/>
        </w:rPr>
        <w:t xml:space="preserve">. </w:t>
      </w:r>
      <w:r w:rsidRPr="00F20138">
        <w:rPr>
          <w:szCs w:val="24"/>
        </w:rPr>
        <w:t>(2009)</w:t>
      </w:r>
      <w:r>
        <w:rPr>
          <w:szCs w:val="24"/>
        </w:rPr>
        <w:t xml:space="preserve">. </w:t>
      </w:r>
      <w:r w:rsidRPr="00F20138">
        <w:rPr>
          <w:szCs w:val="24"/>
        </w:rPr>
        <w:t>Fostering implementation of health services research findings into practice: A consolidated framework for advancing implementation science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Implementation Science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4</w:t>
      </w:r>
      <w:r w:rsidRPr="00F20138">
        <w:rPr>
          <w:szCs w:val="24"/>
        </w:rPr>
        <w:t>(1), 50.</w:t>
      </w:r>
    </w:p>
    <w:p w14:paraId="6E73B105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DeLone</w:t>
      </w:r>
      <w:proofErr w:type="spellEnd"/>
      <w:r w:rsidRPr="00F20138">
        <w:rPr>
          <w:szCs w:val="24"/>
        </w:rPr>
        <w:t>, W</w:t>
      </w:r>
      <w:r>
        <w:rPr>
          <w:szCs w:val="24"/>
        </w:rPr>
        <w:t xml:space="preserve">. </w:t>
      </w:r>
      <w:r w:rsidRPr="00F20138">
        <w:rPr>
          <w:szCs w:val="24"/>
        </w:rPr>
        <w:t>H., &amp; McLean, E</w:t>
      </w:r>
      <w:r>
        <w:rPr>
          <w:szCs w:val="24"/>
        </w:rPr>
        <w:t xml:space="preserve">. </w:t>
      </w:r>
      <w:r w:rsidRPr="00F20138">
        <w:rPr>
          <w:szCs w:val="24"/>
        </w:rPr>
        <w:t>R</w:t>
      </w:r>
      <w:r>
        <w:rPr>
          <w:szCs w:val="24"/>
        </w:rPr>
        <w:t xml:space="preserve">. </w:t>
      </w:r>
      <w:r w:rsidRPr="00F20138">
        <w:rPr>
          <w:szCs w:val="24"/>
        </w:rPr>
        <w:t>(2004)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Measuring e-commerce success: Applying the </w:t>
      </w:r>
      <w:proofErr w:type="spellStart"/>
      <w:r w:rsidRPr="00F20138">
        <w:rPr>
          <w:szCs w:val="24"/>
        </w:rPr>
        <w:t>DeLone</w:t>
      </w:r>
      <w:proofErr w:type="spellEnd"/>
      <w:r w:rsidRPr="00F20138">
        <w:rPr>
          <w:szCs w:val="24"/>
        </w:rPr>
        <w:t xml:space="preserve"> &amp; McLean information systems success model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International Journal of Electronic Commerce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9</w:t>
      </w:r>
      <w:r w:rsidRPr="00F20138">
        <w:rPr>
          <w:szCs w:val="24"/>
        </w:rPr>
        <w:t>(1), 31–47.</w:t>
      </w:r>
    </w:p>
    <w:p w14:paraId="675B0F90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Fiore, M</w:t>
      </w:r>
      <w:r>
        <w:rPr>
          <w:szCs w:val="24"/>
        </w:rPr>
        <w:t xml:space="preserve">. </w:t>
      </w:r>
      <w:r w:rsidRPr="00F20138">
        <w:rPr>
          <w:szCs w:val="24"/>
        </w:rPr>
        <w:t>C., Bailey, W</w:t>
      </w:r>
      <w:r>
        <w:rPr>
          <w:szCs w:val="24"/>
        </w:rPr>
        <w:t xml:space="preserve">. </w:t>
      </w:r>
      <w:r w:rsidRPr="00F20138">
        <w:rPr>
          <w:szCs w:val="24"/>
        </w:rPr>
        <w:t>C., Cohen, S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J., </w:t>
      </w:r>
      <w:proofErr w:type="spellStart"/>
      <w:r w:rsidRPr="00F20138">
        <w:rPr>
          <w:szCs w:val="24"/>
        </w:rPr>
        <w:t>Dorfman</w:t>
      </w:r>
      <w:proofErr w:type="spellEnd"/>
      <w:r w:rsidRPr="00F20138">
        <w:rPr>
          <w:szCs w:val="24"/>
        </w:rPr>
        <w:t>, S</w:t>
      </w:r>
      <w:r>
        <w:rPr>
          <w:szCs w:val="24"/>
        </w:rPr>
        <w:t xml:space="preserve">. </w:t>
      </w:r>
      <w:r w:rsidRPr="00F20138">
        <w:rPr>
          <w:szCs w:val="24"/>
        </w:rPr>
        <w:t>F., Goldstein, M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G., </w:t>
      </w:r>
      <w:proofErr w:type="spellStart"/>
      <w:r w:rsidRPr="00F20138">
        <w:rPr>
          <w:szCs w:val="24"/>
        </w:rPr>
        <w:t>Gritz</w:t>
      </w:r>
      <w:proofErr w:type="spellEnd"/>
      <w:r w:rsidRPr="00F20138">
        <w:rPr>
          <w:szCs w:val="24"/>
        </w:rPr>
        <w:t>, E</w:t>
      </w:r>
      <w:r>
        <w:rPr>
          <w:szCs w:val="24"/>
        </w:rPr>
        <w:t xml:space="preserve">. </w:t>
      </w:r>
      <w:r w:rsidRPr="00F20138">
        <w:rPr>
          <w:szCs w:val="24"/>
        </w:rPr>
        <w:t>R., et al</w:t>
      </w:r>
      <w:r>
        <w:rPr>
          <w:szCs w:val="24"/>
        </w:rPr>
        <w:t xml:space="preserve">. </w:t>
      </w:r>
      <w:r w:rsidRPr="00F20138">
        <w:rPr>
          <w:szCs w:val="24"/>
        </w:rPr>
        <w:t>(2000)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Treating tobacco use and dependence</w:t>
      </w:r>
      <w:r>
        <w:rPr>
          <w:i/>
          <w:iCs/>
          <w:szCs w:val="24"/>
        </w:rPr>
        <w:t xml:space="preserve">. </w:t>
      </w:r>
      <w:r w:rsidRPr="00A80B6A">
        <w:rPr>
          <w:i/>
          <w:iCs/>
          <w:szCs w:val="24"/>
        </w:rPr>
        <w:t>Clinical practice guideline</w:t>
      </w:r>
      <w:r>
        <w:rPr>
          <w:szCs w:val="24"/>
        </w:rPr>
        <w:t xml:space="preserve">. </w:t>
      </w:r>
      <w:r w:rsidRPr="00F20138">
        <w:rPr>
          <w:szCs w:val="24"/>
        </w:rPr>
        <w:t>Rockville, MD: U.S</w:t>
      </w:r>
      <w:r>
        <w:rPr>
          <w:szCs w:val="24"/>
        </w:rPr>
        <w:t xml:space="preserve">. </w:t>
      </w:r>
      <w:r w:rsidRPr="00F20138">
        <w:rPr>
          <w:szCs w:val="24"/>
        </w:rPr>
        <w:t>Department of Health and Human Services, Public Health Service.</w:t>
      </w:r>
    </w:p>
    <w:p w14:paraId="2B71062B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Garner, B</w:t>
      </w:r>
      <w:r>
        <w:rPr>
          <w:szCs w:val="24"/>
        </w:rPr>
        <w:t xml:space="preserve">. </w:t>
      </w:r>
      <w:r w:rsidRPr="00F20138">
        <w:rPr>
          <w:szCs w:val="24"/>
        </w:rPr>
        <w:t>R</w:t>
      </w:r>
      <w:r>
        <w:rPr>
          <w:szCs w:val="24"/>
        </w:rPr>
        <w:t xml:space="preserve">. </w:t>
      </w:r>
      <w:r w:rsidRPr="00F20138">
        <w:rPr>
          <w:szCs w:val="24"/>
        </w:rPr>
        <w:t>(2009)</w:t>
      </w:r>
      <w:r>
        <w:rPr>
          <w:szCs w:val="24"/>
        </w:rPr>
        <w:t xml:space="preserve">. </w:t>
      </w:r>
      <w:r w:rsidRPr="00F20138">
        <w:rPr>
          <w:szCs w:val="24"/>
        </w:rPr>
        <w:t>Research on the diffusion of evidence-based treatments within substance abuse treatment: A systematic review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Journal of Substance Abuse Treatment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36</w:t>
      </w:r>
      <w:r w:rsidRPr="00F20138">
        <w:rPr>
          <w:szCs w:val="24"/>
        </w:rPr>
        <w:t>(4), 376–399.</w:t>
      </w:r>
    </w:p>
    <w:p w14:paraId="2A0666F4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Gassman</w:t>
      </w:r>
      <w:proofErr w:type="spellEnd"/>
      <w:r w:rsidRPr="00F20138">
        <w:rPr>
          <w:szCs w:val="24"/>
        </w:rPr>
        <w:t>, R</w:t>
      </w:r>
      <w:r>
        <w:rPr>
          <w:szCs w:val="24"/>
        </w:rPr>
        <w:t xml:space="preserve">. </w:t>
      </w:r>
      <w:r w:rsidRPr="00F20138">
        <w:rPr>
          <w:szCs w:val="24"/>
        </w:rPr>
        <w:t>A</w:t>
      </w:r>
      <w:r>
        <w:rPr>
          <w:szCs w:val="24"/>
        </w:rPr>
        <w:t xml:space="preserve">. </w:t>
      </w:r>
      <w:r w:rsidRPr="00F20138">
        <w:rPr>
          <w:szCs w:val="24"/>
        </w:rPr>
        <w:t>(2003)</w:t>
      </w:r>
      <w:r>
        <w:rPr>
          <w:szCs w:val="24"/>
        </w:rPr>
        <w:t xml:space="preserve">. </w:t>
      </w:r>
      <w:r w:rsidRPr="00F20138">
        <w:rPr>
          <w:szCs w:val="24"/>
        </w:rPr>
        <w:t>Medicaid specialization, profession, and mediating beliefs that predict stated likelihood of alcohol screening and brief intervention: Targeting educational interventions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Substance Abuse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24</w:t>
      </w:r>
      <w:r w:rsidRPr="00F20138">
        <w:rPr>
          <w:szCs w:val="24"/>
        </w:rPr>
        <w:t>(3), 141–156.</w:t>
      </w:r>
    </w:p>
    <w:p w14:paraId="52A8757B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Greenhalgh</w:t>
      </w:r>
      <w:proofErr w:type="spellEnd"/>
      <w:r w:rsidRPr="00F20138">
        <w:rPr>
          <w:szCs w:val="24"/>
        </w:rPr>
        <w:t xml:space="preserve">, T., Glenn, R., Macfarlane, F., Bate, P., &amp; </w:t>
      </w:r>
      <w:proofErr w:type="spellStart"/>
      <w:r w:rsidRPr="00F20138">
        <w:rPr>
          <w:szCs w:val="24"/>
        </w:rPr>
        <w:t>Kyriakidou</w:t>
      </w:r>
      <w:proofErr w:type="spellEnd"/>
      <w:r w:rsidRPr="00F20138">
        <w:rPr>
          <w:szCs w:val="24"/>
        </w:rPr>
        <w:t>, O</w:t>
      </w:r>
      <w:r>
        <w:rPr>
          <w:szCs w:val="24"/>
        </w:rPr>
        <w:t xml:space="preserve">. </w:t>
      </w:r>
      <w:r w:rsidRPr="00F20138">
        <w:rPr>
          <w:szCs w:val="24"/>
        </w:rPr>
        <w:t>(2004)</w:t>
      </w:r>
      <w:r>
        <w:rPr>
          <w:szCs w:val="24"/>
        </w:rPr>
        <w:t xml:space="preserve">. </w:t>
      </w:r>
      <w:r w:rsidRPr="00F20138">
        <w:rPr>
          <w:szCs w:val="24"/>
        </w:rPr>
        <w:t>Diffusion of innovations in service organizations: Systematic literature review and recommendations for future research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The Milbank Quarterly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82</w:t>
      </w:r>
      <w:r w:rsidRPr="00F20138">
        <w:rPr>
          <w:szCs w:val="24"/>
        </w:rPr>
        <w:t>(4), 581–629.</w:t>
      </w:r>
    </w:p>
    <w:p w14:paraId="23AFDD88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Jacobs, S</w:t>
      </w:r>
      <w:r>
        <w:rPr>
          <w:szCs w:val="24"/>
        </w:rPr>
        <w:t xml:space="preserve">. </w:t>
      </w:r>
      <w:r w:rsidRPr="00F20138">
        <w:rPr>
          <w:szCs w:val="24"/>
        </w:rPr>
        <w:t>R., Weiner, B</w:t>
      </w:r>
      <w:r>
        <w:rPr>
          <w:szCs w:val="24"/>
        </w:rPr>
        <w:t xml:space="preserve">. </w:t>
      </w:r>
      <w:r w:rsidRPr="00F20138">
        <w:rPr>
          <w:szCs w:val="24"/>
        </w:rPr>
        <w:t>J., &amp; Bunger, A</w:t>
      </w:r>
      <w:r>
        <w:rPr>
          <w:szCs w:val="24"/>
        </w:rPr>
        <w:t xml:space="preserve">. </w:t>
      </w:r>
      <w:r w:rsidRPr="00F20138">
        <w:rPr>
          <w:szCs w:val="24"/>
        </w:rPr>
        <w:t>C</w:t>
      </w:r>
      <w:r>
        <w:rPr>
          <w:szCs w:val="24"/>
        </w:rPr>
        <w:t xml:space="preserve">. </w:t>
      </w:r>
      <w:r w:rsidRPr="00F20138">
        <w:rPr>
          <w:szCs w:val="24"/>
        </w:rPr>
        <w:t>(2014)</w:t>
      </w:r>
      <w:r>
        <w:rPr>
          <w:szCs w:val="24"/>
        </w:rPr>
        <w:t xml:space="preserve">. </w:t>
      </w:r>
      <w:r w:rsidRPr="00F20138">
        <w:rPr>
          <w:szCs w:val="24"/>
        </w:rPr>
        <w:t>Context matters: Measuring implementation climate among individuals and groups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Implementation Science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9</w:t>
      </w:r>
      <w:r w:rsidRPr="00F20138">
        <w:rPr>
          <w:szCs w:val="24"/>
        </w:rPr>
        <w:t>, 46.</w:t>
      </w:r>
    </w:p>
    <w:p w14:paraId="2CD268D3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lastRenderedPageBreak/>
        <w:t>Jonas, D</w:t>
      </w:r>
      <w:r>
        <w:rPr>
          <w:szCs w:val="24"/>
        </w:rPr>
        <w:t xml:space="preserve">. </w:t>
      </w:r>
      <w:r w:rsidRPr="00F20138">
        <w:rPr>
          <w:szCs w:val="24"/>
        </w:rPr>
        <w:t>E., Garbutt, J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C., </w:t>
      </w:r>
      <w:proofErr w:type="spellStart"/>
      <w:r w:rsidRPr="00F20138">
        <w:rPr>
          <w:szCs w:val="24"/>
        </w:rPr>
        <w:t>Amick</w:t>
      </w:r>
      <w:proofErr w:type="spellEnd"/>
      <w:r w:rsidRPr="00F20138">
        <w:rPr>
          <w:szCs w:val="24"/>
        </w:rPr>
        <w:t>, H</w:t>
      </w:r>
      <w:r>
        <w:rPr>
          <w:szCs w:val="24"/>
        </w:rPr>
        <w:t xml:space="preserve">. </w:t>
      </w:r>
      <w:r w:rsidRPr="00F20138">
        <w:rPr>
          <w:szCs w:val="24"/>
        </w:rPr>
        <w:t>R., Brown, J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M., </w:t>
      </w:r>
      <w:proofErr w:type="spellStart"/>
      <w:r w:rsidRPr="00F20138">
        <w:rPr>
          <w:szCs w:val="24"/>
        </w:rPr>
        <w:t>Brownley</w:t>
      </w:r>
      <w:proofErr w:type="spellEnd"/>
      <w:r w:rsidRPr="00F20138">
        <w:rPr>
          <w:szCs w:val="24"/>
        </w:rPr>
        <w:t>, K</w:t>
      </w:r>
      <w:r>
        <w:rPr>
          <w:szCs w:val="24"/>
        </w:rPr>
        <w:t xml:space="preserve">. </w:t>
      </w:r>
      <w:r w:rsidRPr="00F20138">
        <w:rPr>
          <w:szCs w:val="24"/>
        </w:rPr>
        <w:t>A., Council, C</w:t>
      </w:r>
      <w:r>
        <w:rPr>
          <w:szCs w:val="24"/>
        </w:rPr>
        <w:t xml:space="preserve">. </w:t>
      </w:r>
      <w:r w:rsidRPr="00F20138">
        <w:rPr>
          <w:szCs w:val="24"/>
        </w:rPr>
        <w:t>L., et al</w:t>
      </w:r>
      <w:r>
        <w:rPr>
          <w:szCs w:val="24"/>
        </w:rPr>
        <w:t xml:space="preserve">. </w:t>
      </w:r>
      <w:r w:rsidRPr="00F20138">
        <w:rPr>
          <w:szCs w:val="24"/>
        </w:rPr>
        <w:t>(2012)</w:t>
      </w:r>
      <w:r>
        <w:rPr>
          <w:szCs w:val="24"/>
        </w:rPr>
        <w:t xml:space="preserve">. </w:t>
      </w:r>
      <w:r w:rsidRPr="00F20138">
        <w:rPr>
          <w:szCs w:val="24"/>
        </w:rPr>
        <w:t>Behavioral counseling after screening for alcohol misuse in primary care: A systematic review and meta-analysis for the U.S</w:t>
      </w:r>
      <w:r>
        <w:rPr>
          <w:szCs w:val="24"/>
        </w:rPr>
        <w:t xml:space="preserve">. </w:t>
      </w:r>
      <w:r w:rsidRPr="00F20138">
        <w:rPr>
          <w:szCs w:val="24"/>
        </w:rPr>
        <w:t>Preventive Services Task Force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Annals of Internal Medicine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157</w:t>
      </w:r>
      <w:r w:rsidRPr="00F20138">
        <w:rPr>
          <w:szCs w:val="24"/>
        </w:rPr>
        <w:t>(9), 645–654.</w:t>
      </w:r>
    </w:p>
    <w:p w14:paraId="1F0C25E5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Katon</w:t>
      </w:r>
      <w:proofErr w:type="spellEnd"/>
      <w:r w:rsidRPr="00F20138">
        <w:rPr>
          <w:szCs w:val="24"/>
        </w:rPr>
        <w:t>, W</w:t>
      </w:r>
      <w:r>
        <w:rPr>
          <w:szCs w:val="24"/>
        </w:rPr>
        <w:t xml:space="preserve">. </w:t>
      </w:r>
      <w:r w:rsidRPr="00F20138">
        <w:rPr>
          <w:szCs w:val="24"/>
        </w:rPr>
        <w:t>J</w:t>
      </w:r>
      <w:r>
        <w:rPr>
          <w:szCs w:val="24"/>
        </w:rPr>
        <w:t xml:space="preserve">. </w:t>
      </w:r>
      <w:r w:rsidRPr="00F20138">
        <w:rPr>
          <w:szCs w:val="24"/>
        </w:rPr>
        <w:t>(2003)</w:t>
      </w:r>
      <w:r>
        <w:rPr>
          <w:szCs w:val="24"/>
        </w:rPr>
        <w:t xml:space="preserve">. </w:t>
      </w:r>
      <w:r w:rsidRPr="00F20138">
        <w:rPr>
          <w:szCs w:val="24"/>
        </w:rPr>
        <w:t>Clinical and health services relationships between major depression, depressive symptoms, and general medical illness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Biological Psychiatry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54</w:t>
      </w:r>
      <w:r w:rsidRPr="00F20138">
        <w:rPr>
          <w:szCs w:val="24"/>
        </w:rPr>
        <w:t>(3), 216–226.</w:t>
      </w:r>
    </w:p>
    <w:p w14:paraId="3016815B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Kling, R</w:t>
      </w:r>
      <w:r>
        <w:rPr>
          <w:szCs w:val="24"/>
        </w:rPr>
        <w:t xml:space="preserve">. </w:t>
      </w:r>
      <w:r w:rsidRPr="00F20138">
        <w:rPr>
          <w:szCs w:val="24"/>
        </w:rPr>
        <w:t>(1980)</w:t>
      </w:r>
      <w:r>
        <w:rPr>
          <w:szCs w:val="24"/>
        </w:rPr>
        <w:t xml:space="preserve">. </w:t>
      </w:r>
      <w:r w:rsidRPr="00F20138">
        <w:rPr>
          <w:szCs w:val="24"/>
        </w:rPr>
        <w:t>Social analyses of computing: Theoretical perspectives in recent empirical research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ACM Computing Surveys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12</w:t>
      </w:r>
      <w:r w:rsidRPr="00F20138">
        <w:rPr>
          <w:szCs w:val="24"/>
        </w:rPr>
        <w:t>(1), 61–110.</w:t>
      </w:r>
    </w:p>
    <w:p w14:paraId="6A6D5E9E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 xml:space="preserve">MacLean, S., </w:t>
      </w:r>
      <w:proofErr w:type="spellStart"/>
      <w:r w:rsidRPr="00F20138">
        <w:rPr>
          <w:szCs w:val="24"/>
        </w:rPr>
        <w:t>Berends</w:t>
      </w:r>
      <w:proofErr w:type="spellEnd"/>
      <w:r w:rsidRPr="00F20138">
        <w:rPr>
          <w:szCs w:val="24"/>
        </w:rPr>
        <w:t xml:space="preserve">, L., Hunter, B., Roberts, B., &amp; </w:t>
      </w:r>
      <w:proofErr w:type="spellStart"/>
      <w:r w:rsidRPr="00F20138">
        <w:rPr>
          <w:szCs w:val="24"/>
        </w:rPr>
        <w:t>Mugavin</w:t>
      </w:r>
      <w:proofErr w:type="spellEnd"/>
      <w:r w:rsidRPr="00F20138">
        <w:rPr>
          <w:szCs w:val="24"/>
        </w:rPr>
        <w:t>, J</w:t>
      </w:r>
      <w:r>
        <w:rPr>
          <w:szCs w:val="24"/>
        </w:rPr>
        <w:t xml:space="preserve">. </w:t>
      </w:r>
      <w:r w:rsidRPr="00F20138">
        <w:rPr>
          <w:szCs w:val="24"/>
        </w:rPr>
        <w:t>(2012)</w:t>
      </w:r>
      <w:r>
        <w:rPr>
          <w:szCs w:val="24"/>
        </w:rPr>
        <w:t xml:space="preserve">. </w:t>
      </w:r>
      <w:r w:rsidRPr="00F20138">
        <w:rPr>
          <w:szCs w:val="24"/>
        </w:rPr>
        <w:t>Factors that enable and hinder the implementation of projects in the alcohol and other drug field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Australian and New Zealand Journal of Public Health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36</w:t>
      </w:r>
      <w:r w:rsidRPr="00F20138">
        <w:rPr>
          <w:szCs w:val="24"/>
        </w:rPr>
        <w:t>(1), 61–68.</w:t>
      </w:r>
    </w:p>
    <w:p w14:paraId="00D3B615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PHII</w:t>
      </w:r>
      <w:r>
        <w:rPr>
          <w:szCs w:val="24"/>
        </w:rPr>
        <w:t xml:space="preserve">. </w:t>
      </w:r>
      <w:r w:rsidRPr="00F20138">
        <w:rPr>
          <w:szCs w:val="24"/>
        </w:rPr>
        <w:t>(2005)</w:t>
      </w:r>
      <w:r>
        <w:rPr>
          <w:szCs w:val="24"/>
        </w:rPr>
        <w:t xml:space="preserve">. </w:t>
      </w:r>
      <w:r w:rsidRPr="00F20138">
        <w:rPr>
          <w:szCs w:val="24"/>
        </w:rPr>
        <w:t>Toward Measuring Value</w:t>
      </w:r>
      <w:r>
        <w:rPr>
          <w:szCs w:val="24"/>
        </w:rPr>
        <w:t xml:space="preserve">. </w:t>
      </w:r>
      <w:r w:rsidRPr="00F20138">
        <w:rPr>
          <w:szCs w:val="24"/>
        </w:rPr>
        <w:t>Retrieved from https://phii.org/sites/default/files/resource/pdfs/TowardsMeasuringValueBrief.pdf</w:t>
      </w:r>
    </w:p>
    <w:p w14:paraId="54FCFF92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 xml:space="preserve">Prince, M., Patel, V., </w:t>
      </w:r>
      <w:proofErr w:type="spellStart"/>
      <w:r w:rsidRPr="00F20138">
        <w:rPr>
          <w:szCs w:val="24"/>
        </w:rPr>
        <w:t>Saxena</w:t>
      </w:r>
      <w:proofErr w:type="spellEnd"/>
      <w:r w:rsidRPr="00F20138">
        <w:rPr>
          <w:szCs w:val="24"/>
        </w:rPr>
        <w:t xml:space="preserve">, S., Maj, M., </w:t>
      </w:r>
      <w:proofErr w:type="spellStart"/>
      <w:r w:rsidRPr="00F20138">
        <w:rPr>
          <w:szCs w:val="24"/>
        </w:rPr>
        <w:t>Maselko</w:t>
      </w:r>
      <w:proofErr w:type="spellEnd"/>
      <w:r w:rsidRPr="00F20138">
        <w:rPr>
          <w:szCs w:val="24"/>
        </w:rPr>
        <w:t>, J., Phillips, M</w:t>
      </w:r>
      <w:r>
        <w:rPr>
          <w:szCs w:val="24"/>
        </w:rPr>
        <w:t xml:space="preserve">. </w:t>
      </w:r>
      <w:r w:rsidRPr="00F20138">
        <w:rPr>
          <w:szCs w:val="24"/>
        </w:rPr>
        <w:t>R., &amp; Rahman, A</w:t>
      </w:r>
      <w:r>
        <w:rPr>
          <w:szCs w:val="24"/>
        </w:rPr>
        <w:t xml:space="preserve">. </w:t>
      </w:r>
      <w:r w:rsidRPr="00F20138">
        <w:rPr>
          <w:szCs w:val="24"/>
        </w:rPr>
        <w:t>(2007, September 8)</w:t>
      </w:r>
      <w:r>
        <w:rPr>
          <w:szCs w:val="24"/>
        </w:rPr>
        <w:t xml:space="preserve">. </w:t>
      </w:r>
      <w:r w:rsidRPr="00F20138">
        <w:rPr>
          <w:szCs w:val="24"/>
        </w:rPr>
        <w:t>No health without mental health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Lancet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370</w:t>
      </w:r>
      <w:r w:rsidRPr="00F20138">
        <w:rPr>
          <w:szCs w:val="24"/>
        </w:rPr>
        <w:t>(9590), 859–877.</w:t>
      </w:r>
    </w:p>
    <w:p w14:paraId="08E569DF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Robson, D., &amp; Gray, R</w:t>
      </w:r>
      <w:r>
        <w:rPr>
          <w:szCs w:val="24"/>
        </w:rPr>
        <w:t xml:space="preserve">. </w:t>
      </w:r>
      <w:r w:rsidRPr="00F20138">
        <w:rPr>
          <w:szCs w:val="24"/>
        </w:rPr>
        <w:t>(2007)</w:t>
      </w:r>
      <w:r>
        <w:rPr>
          <w:szCs w:val="24"/>
        </w:rPr>
        <w:t xml:space="preserve">. </w:t>
      </w:r>
      <w:r w:rsidRPr="00F20138">
        <w:rPr>
          <w:szCs w:val="24"/>
        </w:rPr>
        <w:t>Serious mental illness and physical health problems: A discussion paper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International Journal of Nursing Studies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44</w:t>
      </w:r>
      <w:r w:rsidRPr="00F20138">
        <w:rPr>
          <w:szCs w:val="24"/>
        </w:rPr>
        <w:t>(3), 457–466.</w:t>
      </w:r>
    </w:p>
    <w:p w14:paraId="641B492E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Shaw, E</w:t>
      </w:r>
      <w:r>
        <w:rPr>
          <w:szCs w:val="24"/>
        </w:rPr>
        <w:t xml:space="preserve">. </w:t>
      </w:r>
      <w:r w:rsidRPr="00F20138">
        <w:rPr>
          <w:szCs w:val="24"/>
        </w:rPr>
        <w:t>K., Howard, J., West, D</w:t>
      </w:r>
      <w:r>
        <w:rPr>
          <w:szCs w:val="24"/>
        </w:rPr>
        <w:t xml:space="preserve">. </w:t>
      </w:r>
      <w:r w:rsidRPr="00F20138">
        <w:rPr>
          <w:szCs w:val="24"/>
        </w:rPr>
        <w:t>R., Crabtree, B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F., </w:t>
      </w:r>
      <w:proofErr w:type="spellStart"/>
      <w:r w:rsidRPr="00F20138">
        <w:rPr>
          <w:szCs w:val="24"/>
        </w:rPr>
        <w:t>Nease</w:t>
      </w:r>
      <w:proofErr w:type="spellEnd"/>
      <w:r w:rsidRPr="00F20138">
        <w:rPr>
          <w:szCs w:val="24"/>
        </w:rPr>
        <w:t>, D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E., </w:t>
      </w:r>
      <w:proofErr w:type="spellStart"/>
      <w:r w:rsidRPr="00F20138">
        <w:rPr>
          <w:szCs w:val="24"/>
        </w:rPr>
        <w:t>Tutt</w:t>
      </w:r>
      <w:proofErr w:type="spellEnd"/>
      <w:r w:rsidRPr="00F20138">
        <w:rPr>
          <w:szCs w:val="24"/>
        </w:rPr>
        <w:t>, B., &amp; Nutting, P</w:t>
      </w:r>
      <w:r>
        <w:rPr>
          <w:szCs w:val="24"/>
        </w:rPr>
        <w:t xml:space="preserve">. </w:t>
      </w:r>
      <w:r w:rsidRPr="00F20138">
        <w:rPr>
          <w:szCs w:val="24"/>
        </w:rPr>
        <w:t>A</w:t>
      </w:r>
      <w:r>
        <w:rPr>
          <w:szCs w:val="24"/>
        </w:rPr>
        <w:t xml:space="preserve">. </w:t>
      </w:r>
      <w:r w:rsidRPr="00F20138">
        <w:rPr>
          <w:szCs w:val="24"/>
        </w:rPr>
        <w:t>(2012)</w:t>
      </w:r>
      <w:r>
        <w:rPr>
          <w:szCs w:val="24"/>
        </w:rPr>
        <w:t xml:space="preserve">. </w:t>
      </w:r>
      <w:r w:rsidRPr="00F20138">
        <w:rPr>
          <w:szCs w:val="24"/>
        </w:rPr>
        <w:t>The role of the champion in primary care change efforts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Journal of the American Board of Family Medicine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25</w:t>
      </w:r>
      <w:r w:rsidRPr="00F20138">
        <w:rPr>
          <w:szCs w:val="24"/>
        </w:rPr>
        <w:t>(5), 676–685.</w:t>
      </w:r>
    </w:p>
    <w:p w14:paraId="05D35A42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Shea</w:t>
      </w:r>
      <w:proofErr w:type="spellEnd"/>
      <w:r w:rsidRPr="00F20138">
        <w:rPr>
          <w:szCs w:val="24"/>
        </w:rPr>
        <w:t>, C</w:t>
      </w:r>
      <w:r>
        <w:rPr>
          <w:szCs w:val="24"/>
        </w:rPr>
        <w:t xml:space="preserve">. </w:t>
      </w:r>
      <w:r w:rsidRPr="00F20138">
        <w:rPr>
          <w:szCs w:val="24"/>
        </w:rPr>
        <w:t>M., Jacobs, S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R., </w:t>
      </w:r>
      <w:proofErr w:type="spellStart"/>
      <w:r w:rsidRPr="00F20138">
        <w:rPr>
          <w:szCs w:val="24"/>
        </w:rPr>
        <w:t>Esserman</w:t>
      </w:r>
      <w:proofErr w:type="spellEnd"/>
      <w:r w:rsidRPr="00F20138">
        <w:rPr>
          <w:szCs w:val="24"/>
        </w:rPr>
        <w:t>, D</w:t>
      </w:r>
      <w:r>
        <w:rPr>
          <w:szCs w:val="24"/>
        </w:rPr>
        <w:t xml:space="preserve">. </w:t>
      </w:r>
      <w:r w:rsidRPr="00F20138">
        <w:rPr>
          <w:szCs w:val="24"/>
        </w:rPr>
        <w:t>A., Bruce, K., &amp; Weiner, B</w:t>
      </w:r>
      <w:r>
        <w:rPr>
          <w:szCs w:val="24"/>
        </w:rPr>
        <w:t xml:space="preserve">. </w:t>
      </w:r>
      <w:r w:rsidRPr="00F20138">
        <w:rPr>
          <w:szCs w:val="24"/>
        </w:rPr>
        <w:t>J</w:t>
      </w:r>
      <w:r>
        <w:rPr>
          <w:szCs w:val="24"/>
        </w:rPr>
        <w:t xml:space="preserve">. </w:t>
      </w:r>
      <w:r w:rsidRPr="00F20138">
        <w:rPr>
          <w:szCs w:val="24"/>
        </w:rPr>
        <w:t>(2014)</w:t>
      </w:r>
      <w:r>
        <w:rPr>
          <w:szCs w:val="24"/>
        </w:rPr>
        <w:t xml:space="preserve">. </w:t>
      </w:r>
      <w:r w:rsidRPr="00F20138">
        <w:rPr>
          <w:szCs w:val="24"/>
        </w:rPr>
        <w:t>Organizational readiness for implementing change: A psychometric assessment of a new measure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Implementation Science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9</w:t>
      </w:r>
      <w:r w:rsidRPr="00F20138">
        <w:rPr>
          <w:szCs w:val="24"/>
        </w:rPr>
        <w:t>(7), 1–15.</w:t>
      </w:r>
    </w:p>
    <w:p w14:paraId="183A42B6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Solberg, L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I., </w:t>
      </w:r>
      <w:proofErr w:type="spellStart"/>
      <w:r w:rsidRPr="00F20138">
        <w:rPr>
          <w:szCs w:val="24"/>
        </w:rPr>
        <w:t>Maciosek</w:t>
      </w:r>
      <w:proofErr w:type="spellEnd"/>
      <w:r w:rsidRPr="00F20138">
        <w:rPr>
          <w:szCs w:val="24"/>
        </w:rPr>
        <w:t>, M</w:t>
      </w:r>
      <w:r>
        <w:rPr>
          <w:szCs w:val="24"/>
        </w:rPr>
        <w:t xml:space="preserve">. </w:t>
      </w:r>
      <w:r w:rsidRPr="00F20138">
        <w:rPr>
          <w:szCs w:val="24"/>
        </w:rPr>
        <w:t>V., &amp; Edwards, N</w:t>
      </w:r>
      <w:r>
        <w:rPr>
          <w:szCs w:val="24"/>
        </w:rPr>
        <w:t xml:space="preserve">. </w:t>
      </w:r>
      <w:r w:rsidRPr="00F20138">
        <w:rPr>
          <w:szCs w:val="24"/>
        </w:rPr>
        <w:t>M</w:t>
      </w:r>
      <w:r>
        <w:rPr>
          <w:szCs w:val="24"/>
        </w:rPr>
        <w:t xml:space="preserve">. </w:t>
      </w:r>
      <w:r w:rsidRPr="00F20138">
        <w:rPr>
          <w:szCs w:val="24"/>
        </w:rPr>
        <w:t>(2008)</w:t>
      </w:r>
      <w:r>
        <w:rPr>
          <w:szCs w:val="24"/>
        </w:rPr>
        <w:t xml:space="preserve">. </w:t>
      </w:r>
      <w:r w:rsidRPr="00F20138">
        <w:rPr>
          <w:szCs w:val="24"/>
        </w:rPr>
        <w:t>Primary care intervention to reduce alcohol misuse ranking its health impact and cost effectiveness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American Journal of Preventive Medicine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34</w:t>
      </w:r>
      <w:r w:rsidRPr="00F20138">
        <w:rPr>
          <w:szCs w:val="24"/>
        </w:rPr>
        <w:t>(2), 143–152.e3.</w:t>
      </w:r>
    </w:p>
    <w:p w14:paraId="0E1E0475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Substance Abuse and Mental Health Services Administration (SAMHSA)</w:t>
      </w:r>
      <w:r>
        <w:rPr>
          <w:szCs w:val="24"/>
        </w:rPr>
        <w:t xml:space="preserve">. </w:t>
      </w:r>
      <w:r w:rsidRPr="00F20138">
        <w:rPr>
          <w:szCs w:val="24"/>
        </w:rPr>
        <w:t>(2009)</w:t>
      </w:r>
      <w:r>
        <w:rPr>
          <w:szCs w:val="24"/>
        </w:rPr>
        <w:t xml:space="preserve">. </w:t>
      </w:r>
      <w:r w:rsidRPr="00F20138">
        <w:rPr>
          <w:szCs w:val="24"/>
        </w:rPr>
        <w:t>Screening, Brief Intervention, and Referral to Treatment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Available at: </w:t>
      </w:r>
      <w:hyperlink r:id="rId14" w:history="1">
        <w:r w:rsidRPr="00F20138">
          <w:rPr>
            <w:rStyle w:val="Hyperlink"/>
            <w:szCs w:val="24"/>
          </w:rPr>
          <w:t>http://sbirt.samhsa.gov/index.htm</w:t>
        </w:r>
      </w:hyperlink>
    </w:p>
    <w:p w14:paraId="309DA2CB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Substance Abuse and Mental Health Services Administration (SAMHSA)</w:t>
      </w:r>
      <w:r>
        <w:rPr>
          <w:szCs w:val="24"/>
        </w:rPr>
        <w:t xml:space="preserve">. </w:t>
      </w:r>
      <w:r w:rsidRPr="00F20138">
        <w:rPr>
          <w:szCs w:val="24"/>
        </w:rPr>
        <w:t>(2013)</w:t>
      </w:r>
      <w:r>
        <w:rPr>
          <w:szCs w:val="24"/>
        </w:rPr>
        <w:t xml:space="preserve">. </w:t>
      </w:r>
      <w:r w:rsidRPr="00F20138">
        <w:rPr>
          <w:i/>
          <w:iCs/>
          <w:szCs w:val="24"/>
        </w:rPr>
        <w:t>Results from the 2012 National Survey on Drug Use and Health: Summary of national findings</w:t>
      </w:r>
      <w:r>
        <w:rPr>
          <w:szCs w:val="24"/>
        </w:rPr>
        <w:t xml:space="preserve">. </w:t>
      </w:r>
      <w:r w:rsidRPr="00F20138">
        <w:rPr>
          <w:szCs w:val="24"/>
        </w:rPr>
        <w:t>NSDUH Series H-46, HHS Publication No</w:t>
      </w:r>
      <w:r>
        <w:rPr>
          <w:szCs w:val="24"/>
        </w:rPr>
        <w:t xml:space="preserve">. </w:t>
      </w:r>
      <w:r w:rsidRPr="00F20138">
        <w:rPr>
          <w:szCs w:val="24"/>
        </w:rPr>
        <w:t>(SMA) 13-4795</w:t>
      </w:r>
      <w:r>
        <w:rPr>
          <w:szCs w:val="24"/>
        </w:rPr>
        <w:t xml:space="preserve">. </w:t>
      </w:r>
      <w:r w:rsidRPr="00F20138">
        <w:rPr>
          <w:szCs w:val="24"/>
        </w:rPr>
        <w:t>Rockville, MD: SAMHSA.</w:t>
      </w:r>
    </w:p>
    <w:p w14:paraId="2A7B189E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Substance Abuse and Mental Health Services Administration (SAMHSA)</w:t>
      </w:r>
      <w:r>
        <w:rPr>
          <w:szCs w:val="24"/>
        </w:rPr>
        <w:t xml:space="preserve">. </w:t>
      </w:r>
      <w:r w:rsidRPr="00F20138">
        <w:rPr>
          <w:szCs w:val="24"/>
        </w:rPr>
        <w:t>(2014)</w:t>
      </w:r>
      <w:r>
        <w:rPr>
          <w:szCs w:val="24"/>
        </w:rPr>
        <w:t xml:space="preserve">. </w:t>
      </w:r>
      <w:r w:rsidRPr="00F20138">
        <w:rPr>
          <w:szCs w:val="24"/>
        </w:rPr>
        <w:t>Substance Abuse and Mental Health Data Archive</w:t>
      </w:r>
      <w:r>
        <w:rPr>
          <w:szCs w:val="24"/>
        </w:rPr>
        <w:t xml:space="preserve">. </w:t>
      </w:r>
      <w:r w:rsidRPr="00F20138">
        <w:rPr>
          <w:szCs w:val="24"/>
        </w:rPr>
        <w:t>Retrieved May 31, 2014, from http://www.icpsr.umich.edu/icpsrweb/SAMHDA</w:t>
      </w:r>
    </w:p>
    <w:p w14:paraId="4F6C3B31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lastRenderedPageBreak/>
        <w:t>Weiner, B</w:t>
      </w:r>
      <w:r>
        <w:rPr>
          <w:szCs w:val="24"/>
        </w:rPr>
        <w:t xml:space="preserve">. </w:t>
      </w:r>
      <w:r w:rsidRPr="00F20138">
        <w:rPr>
          <w:szCs w:val="24"/>
        </w:rPr>
        <w:t>J., Lewis, M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A., </w:t>
      </w:r>
      <w:r>
        <w:rPr>
          <w:szCs w:val="24"/>
        </w:rPr>
        <w:t xml:space="preserve">&amp; </w:t>
      </w:r>
      <w:proofErr w:type="spellStart"/>
      <w:r w:rsidRPr="00F20138">
        <w:rPr>
          <w:szCs w:val="24"/>
        </w:rPr>
        <w:t>Linnan</w:t>
      </w:r>
      <w:proofErr w:type="spellEnd"/>
      <w:r w:rsidRPr="00F20138">
        <w:rPr>
          <w:szCs w:val="24"/>
        </w:rPr>
        <w:t>, L</w:t>
      </w:r>
      <w:r>
        <w:rPr>
          <w:szCs w:val="24"/>
        </w:rPr>
        <w:t xml:space="preserve">. </w:t>
      </w:r>
      <w:r w:rsidRPr="00F20138">
        <w:rPr>
          <w:szCs w:val="24"/>
        </w:rPr>
        <w:t>A</w:t>
      </w:r>
      <w:r>
        <w:rPr>
          <w:szCs w:val="24"/>
        </w:rPr>
        <w:t xml:space="preserve">. </w:t>
      </w:r>
      <w:r w:rsidRPr="00F20138">
        <w:rPr>
          <w:szCs w:val="24"/>
        </w:rPr>
        <w:t>(2009)</w:t>
      </w:r>
      <w:r>
        <w:rPr>
          <w:szCs w:val="24"/>
        </w:rPr>
        <w:t xml:space="preserve">. </w:t>
      </w:r>
      <w:r w:rsidRPr="00F20138">
        <w:rPr>
          <w:szCs w:val="24"/>
        </w:rPr>
        <w:t>Using organization theory to understand the determinants of effective implementation of worksite health promotion programs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Health Education Research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24</w:t>
      </w:r>
      <w:r w:rsidRPr="00F20138">
        <w:rPr>
          <w:szCs w:val="24"/>
        </w:rPr>
        <w:t>(2), 292–305.</w:t>
      </w:r>
    </w:p>
    <w:p w14:paraId="06279FD2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Weiner, B</w:t>
      </w:r>
      <w:r>
        <w:rPr>
          <w:szCs w:val="24"/>
        </w:rPr>
        <w:t xml:space="preserve">. </w:t>
      </w:r>
      <w:r w:rsidRPr="00F20138">
        <w:rPr>
          <w:szCs w:val="24"/>
        </w:rPr>
        <w:t>J., Belden, C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M., </w:t>
      </w:r>
      <w:proofErr w:type="spellStart"/>
      <w:r w:rsidRPr="00F20138">
        <w:rPr>
          <w:szCs w:val="24"/>
        </w:rPr>
        <w:t>Bergmire</w:t>
      </w:r>
      <w:proofErr w:type="spellEnd"/>
      <w:r w:rsidRPr="00F20138">
        <w:rPr>
          <w:szCs w:val="24"/>
        </w:rPr>
        <w:t>, D</w:t>
      </w:r>
      <w:r>
        <w:rPr>
          <w:szCs w:val="24"/>
        </w:rPr>
        <w:t xml:space="preserve">. </w:t>
      </w:r>
      <w:r w:rsidRPr="00F20138">
        <w:rPr>
          <w:szCs w:val="24"/>
        </w:rPr>
        <w:t>M., &amp; Johnston, M</w:t>
      </w:r>
      <w:r>
        <w:rPr>
          <w:szCs w:val="24"/>
        </w:rPr>
        <w:t xml:space="preserve">. </w:t>
      </w:r>
      <w:r w:rsidRPr="00F20138">
        <w:rPr>
          <w:szCs w:val="24"/>
        </w:rPr>
        <w:t>(2011)</w:t>
      </w:r>
      <w:r>
        <w:rPr>
          <w:szCs w:val="24"/>
        </w:rPr>
        <w:t xml:space="preserve">. </w:t>
      </w:r>
      <w:r w:rsidRPr="00F20138">
        <w:rPr>
          <w:szCs w:val="24"/>
        </w:rPr>
        <w:t>The meaning and measurement of implementation climate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Implementation Science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6</w:t>
      </w:r>
      <w:r w:rsidRPr="00F20138">
        <w:rPr>
          <w:szCs w:val="24"/>
        </w:rPr>
        <w:t>(78), 1–12.</w:t>
      </w:r>
    </w:p>
    <w:p w14:paraId="392AE6AC" w14:textId="77777777" w:rsidR="00197E62" w:rsidRPr="00F20138" w:rsidRDefault="00197E62" w:rsidP="00197E62">
      <w:pPr>
        <w:pStyle w:val="biblio"/>
        <w:rPr>
          <w:szCs w:val="24"/>
        </w:rPr>
      </w:pPr>
      <w:r w:rsidRPr="00F20138">
        <w:rPr>
          <w:szCs w:val="24"/>
        </w:rPr>
        <w:t>World Health Organization (WHO)</w:t>
      </w:r>
      <w:r>
        <w:rPr>
          <w:szCs w:val="24"/>
        </w:rPr>
        <w:t xml:space="preserve">. </w:t>
      </w:r>
      <w:r w:rsidRPr="00F20138">
        <w:rPr>
          <w:szCs w:val="24"/>
        </w:rPr>
        <w:t>(2008)</w:t>
      </w:r>
      <w:r>
        <w:rPr>
          <w:szCs w:val="24"/>
        </w:rPr>
        <w:t xml:space="preserve">. </w:t>
      </w:r>
      <w:r w:rsidRPr="00F20138">
        <w:rPr>
          <w:szCs w:val="24"/>
        </w:rPr>
        <w:t>The effectiveness of a brief intervention for illicit drugs linked to the alcohol, smoking, and substance involvement screening test (ASSIST) in primary health care settings: A technical report of phase III findings of the WHO ASSIST Randomized control trial</w:t>
      </w:r>
      <w:r>
        <w:rPr>
          <w:szCs w:val="24"/>
        </w:rPr>
        <w:t xml:space="preserve">. </w:t>
      </w:r>
      <w:r w:rsidRPr="00F20138">
        <w:rPr>
          <w:szCs w:val="24"/>
        </w:rPr>
        <w:t>Retrieved October 7, 2011, from http://www.who.int/substance_abuse/activities/assist_technicalreport_phase3_final.pdf</w:t>
      </w:r>
    </w:p>
    <w:p w14:paraId="3DE034D8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Yoast</w:t>
      </w:r>
      <w:proofErr w:type="spellEnd"/>
      <w:r w:rsidRPr="00F20138">
        <w:rPr>
          <w:szCs w:val="24"/>
        </w:rPr>
        <w:t>, R</w:t>
      </w:r>
      <w:r>
        <w:rPr>
          <w:szCs w:val="24"/>
        </w:rPr>
        <w:t xml:space="preserve">. </w:t>
      </w:r>
      <w:r w:rsidRPr="00F20138">
        <w:rPr>
          <w:szCs w:val="24"/>
        </w:rPr>
        <w:t>A., Wilford, B</w:t>
      </w:r>
      <w:r>
        <w:rPr>
          <w:szCs w:val="24"/>
        </w:rPr>
        <w:t xml:space="preserve">. </w:t>
      </w:r>
      <w:r w:rsidRPr="00F20138">
        <w:rPr>
          <w:szCs w:val="24"/>
        </w:rPr>
        <w:t>B., &amp; Hayashi, S</w:t>
      </w:r>
      <w:r>
        <w:rPr>
          <w:szCs w:val="24"/>
        </w:rPr>
        <w:t xml:space="preserve">. </w:t>
      </w:r>
      <w:r w:rsidRPr="00F20138">
        <w:rPr>
          <w:szCs w:val="24"/>
        </w:rPr>
        <w:t>W</w:t>
      </w:r>
      <w:r>
        <w:rPr>
          <w:szCs w:val="24"/>
        </w:rPr>
        <w:t xml:space="preserve">. </w:t>
      </w:r>
      <w:r w:rsidRPr="00F20138">
        <w:rPr>
          <w:szCs w:val="24"/>
        </w:rPr>
        <w:t>(2008)</w:t>
      </w:r>
      <w:r>
        <w:rPr>
          <w:szCs w:val="24"/>
        </w:rPr>
        <w:t xml:space="preserve">. </w:t>
      </w:r>
      <w:r w:rsidRPr="00F20138">
        <w:rPr>
          <w:szCs w:val="24"/>
        </w:rPr>
        <w:t>Encouraging physicians to screen for and intervene in substance use disorders: Obstacles and strategies for change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Journal of Addictive Diseases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27</w:t>
      </w:r>
      <w:r w:rsidRPr="00F20138">
        <w:rPr>
          <w:szCs w:val="24"/>
        </w:rPr>
        <w:t>(3), 77–97.</w:t>
      </w:r>
    </w:p>
    <w:p w14:paraId="5D580C92" w14:textId="77777777" w:rsidR="00197E62" w:rsidRPr="00F20138" w:rsidRDefault="00197E62" w:rsidP="00197E62">
      <w:pPr>
        <w:pStyle w:val="biblio"/>
        <w:rPr>
          <w:szCs w:val="24"/>
        </w:rPr>
      </w:pPr>
      <w:proofErr w:type="spellStart"/>
      <w:r w:rsidRPr="00F20138">
        <w:rPr>
          <w:szCs w:val="24"/>
        </w:rPr>
        <w:t>Yusof</w:t>
      </w:r>
      <w:proofErr w:type="spellEnd"/>
      <w:r w:rsidRPr="00F20138">
        <w:rPr>
          <w:szCs w:val="24"/>
        </w:rPr>
        <w:t>, M</w:t>
      </w:r>
      <w:r>
        <w:rPr>
          <w:szCs w:val="24"/>
        </w:rPr>
        <w:t xml:space="preserve">. </w:t>
      </w:r>
      <w:r w:rsidRPr="00F20138">
        <w:rPr>
          <w:szCs w:val="24"/>
        </w:rPr>
        <w:t xml:space="preserve">M., </w:t>
      </w:r>
      <w:proofErr w:type="spellStart"/>
      <w:r w:rsidRPr="00F20138">
        <w:rPr>
          <w:szCs w:val="24"/>
        </w:rPr>
        <w:t>Kuljis</w:t>
      </w:r>
      <w:proofErr w:type="spellEnd"/>
      <w:r w:rsidRPr="00F20138">
        <w:rPr>
          <w:szCs w:val="24"/>
        </w:rPr>
        <w:t xml:space="preserve">, J., </w:t>
      </w:r>
      <w:proofErr w:type="spellStart"/>
      <w:r w:rsidRPr="00F20138">
        <w:rPr>
          <w:szCs w:val="24"/>
        </w:rPr>
        <w:t>Papazafeiropoulou</w:t>
      </w:r>
      <w:proofErr w:type="spellEnd"/>
      <w:r w:rsidRPr="00F20138">
        <w:rPr>
          <w:szCs w:val="24"/>
        </w:rPr>
        <w:t>, A., et al</w:t>
      </w:r>
      <w:r>
        <w:rPr>
          <w:szCs w:val="24"/>
        </w:rPr>
        <w:t xml:space="preserve">. </w:t>
      </w:r>
      <w:r w:rsidRPr="00F20138">
        <w:rPr>
          <w:szCs w:val="24"/>
        </w:rPr>
        <w:t>(2008)</w:t>
      </w:r>
      <w:r>
        <w:rPr>
          <w:szCs w:val="24"/>
        </w:rPr>
        <w:t xml:space="preserve">. </w:t>
      </w:r>
      <w:r w:rsidRPr="00F20138">
        <w:rPr>
          <w:szCs w:val="24"/>
        </w:rPr>
        <w:t>An evaluation framework for Health Information Systems: Human, organization and technology-fit factors (HOT-fit)</w:t>
      </w:r>
      <w:r>
        <w:rPr>
          <w:szCs w:val="24"/>
        </w:rPr>
        <w:t xml:space="preserve">. </w:t>
      </w:r>
      <w:r w:rsidRPr="00A80B6A">
        <w:rPr>
          <w:i/>
          <w:iCs/>
          <w:szCs w:val="24"/>
        </w:rPr>
        <w:t>International Journal of Medical Informatics</w:t>
      </w:r>
      <w:r w:rsidRPr="00F20138">
        <w:rPr>
          <w:szCs w:val="24"/>
        </w:rPr>
        <w:t xml:space="preserve">, </w:t>
      </w:r>
      <w:r w:rsidRPr="00A80B6A">
        <w:rPr>
          <w:i/>
          <w:iCs/>
          <w:szCs w:val="24"/>
        </w:rPr>
        <w:t>77</w:t>
      </w:r>
      <w:r w:rsidRPr="00F20138">
        <w:rPr>
          <w:szCs w:val="24"/>
        </w:rPr>
        <w:t>(6), 386–398.</w:t>
      </w:r>
    </w:p>
    <w:p w14:paraId="15E72F88" w14:textId="77777777" w:rsidR="00197E62" w:rsidRPr="00F20138" w:rsidRDefault="00197E62" w:rsidP="00197E62">
      <w:pPr>
        <w:pStyle w:val="biblio"/>
        <w:rPr>
          <w:szCs w:val="24"/>
        </w:rPr>
      </w:pPr>
    </w:p>
    <w:p w14:paraId="61173CDC" w14:textId="77777777" w:rsidR="00197E62" w:rsidRDefault="00197E62" w:rsidP="00197E62">
      <w:pPr>
        <w:pStyle w:val="Heading1"/>
        <w:jc w:val="center"/>
        <w:rPr>
          <w:sz w:val="20"/>
          <w:szCs w:val="20"/>
        </w:rPr>
      </w:pPr>
    </w:p>
    <w:p w14:paraId="5386B690" w14:textId="77777777" w:rsidR="00197E62" w:rsidRDefault="00197E62" w:rsidP="00197E62">
      <w:pPr>
        <w:rPr>
          <w:color w:val="1F497D"/>
        </w:rPr>
      </w:pPr>
      <w:r>
        <w:rPr>
          <w:color w:val="1F497D"/>
        </w:rPr>
        <w:t>.</w:t>
      </w:r>
    </w:p>
    <w:p w14:paraId="721688B4" w14:textId="77777777" w:rsidR="00197E62" w:rsidRPr="003E25EA" w:rsidRDefault="00197E62" w:rsidP="00197E62">
      <w:pPr>
        <w:spacing w:before="100" w:beforeAutospacing="1" w:after="100" w:afterAutospacing="1"/>
        <w:ind w:left="720" w:hanging="720"/>
        <w:rPr>
          <w:sz w:val="20"/>
          <w:szCs w:val="20"/>
        </w:rPr>
      </w:pPr>
    </w:p>
    <w:p w14:paraId="65874BC9" w14:textId="77777777" w:rsidR="00197E62" w:rsidRPr="00B15F2F" w:rsidRDefault="00197E62" w:rsidP="00197E62">
      <w:pPr>
        <w:spacing w:before="100" w:beforeAutospacing="1" w:after="100" w:afterAutospacing="1"/>
        <w:ind w:left="720" w:hanging="720"/>
        <w:jc w:val="center"/>
        <w:rPr>
          <w:sz w:val="20"/>
          <w:szCs w:val="20"/>
        </w:rPr>
      </w:pPr>
      <w:r>
        <w:rPr>
          <w:b/>
        </w:rPr>
        <w:br w:type="page"/>
      </w:r>
      <w:r w:rsidRPr="00EF425B">
        <w:rPr>
          <w:b/>
        </w:rPr>
        <w:lastRenderedPageBreak/>
        <w:t>ATTACHMENTS</w:t>
      </w:r>
    </w:p>
    <w:p w14:paraId="6E8B0708" w14:textId="729DCB1C" w:rsidR="00197E62" w:rsidRDefault="00197E62" w:rsidP="00197E62">
      <w:pPr>
        <w:tabs>
          <w:tab w:val="left" w:pos="1800"/>
        </w:tabs>
        <w:spacing w:before="100" w:beforeAutospacing="1" w:after="100" w:afterAutospacing="1"/>
      </w:pPr>
      <w:r>
        <w:t xml:space="preserve">Attachment </w:t>
      </w:r>
      <w:r w:rsidR="008E2819">
        <w:t>1</w:t>
      </w:r>
      <w:r>
        <w:t>:</w:t>
      </w:r>
      <w:r>
        <w:tab/>
        <w:t>Performance site survey</w:t>
      </w:r>
    </w:p>
    <w:p w14:paraId="6699B890" w14:textId="2A85E0AB" w:rsidR="00197E62" w:rsidRDefault="00197E62" w:rsidP="00197E62">
      <w:pPr>
        <w:tabs>
          <w:tab w:val="left" w:pos="1800"/>
        </w:tabs>
        <w:spacing w:before="100" w:beforeAutospacing="1" w:after="100" w:afterAutospacing="1"/>
      </w:pPr>
      <w:r>
        <w:t xml:space="preserve">Attachment </w:t>
      </w:r>
      <w:r w:rsidR="008E2819">
        <w:t>2</w:t>
      </w:r>
      <w:r>
        <w:t>:</w:t>
      </w:r>
      <w:r>
        <w:tab/>
        <w:t>Network security at RTI International</w:t>
      </w:r>
    </w:p>
    <w:p w14:paraId="324A537D" w14:textId="6D08BE62" w:rsidR="00197E62" w:rsidRDefault="00197E62" w:rsidP="00197E62">
      <w:pPr>
        <w:tabs>
          <w:tab w:val="left" w:pos="1800"/>
        </w:tabs>
        <w:spacing w:before="100" w:beforeAutospacing="1" w:after="100" w:afterAutospacing="1"/>
      </w:pPr>
      <w:r>
        <w:t xml:space="preserve">Attachment </w:t>
      </w:r>
      <w:r w:rsidR="008E2819">
        <w:t>3</w:t>
      </w:r>
      <w:r>
        <w:t>:</w:t>
      </w:r>
      <w:r>
        <w:tab/>
        <w:t>Privacy pledge</w:t>
      </w:r>
    </w:p>
    <w:p w14:paraId="6871C0D1" w14:textId="037CB3A3" w:rsidR="00197E62" w:rsidRDefault="00197E62" w:rsidP="00197E62">
      <w:pPr>
        <w:tabs>
          <w:tab w:val="left" w:pos="1800"/>
        </w:tabs>
        <w:spacing w:before="100" w:beforeAutospacing="1" w:after="100" w:afterAutospacing="1"/>
      </w:pPr>
      <w:r>
        <w:t xml:space="preserve">Attachment </w:t>
      </w:r>
      <w:r w:rsidR="008E2819">
        <w:t>4</w:t>
      </w:r>
      <w:r>
        <w:t>:</w:t>
      </w:r>
      <w:r>
        <w:tab/>
        <w:t>Performance site survey consent script</w:t>
      </w:r>
    </w:p>
    <w:p w14:paraId="6EFF0D08" w14:textId="62041568" w:rsidR="00197E62" w:rsidRDefault="00197E62" w:rsidP="00197E62">
      <w:pPr>
        <w:tabs>
          <w:tab w:val="left" w:pos="1800"/>
        </w:tabs>
        <w:spacing w:before="100" w:beforeAutospacing="1" w:after="100" w:afterAutospacing="1"/>
      </w:pPr>
      <w:r>
        <w:t xml:space="preserve">Attachment </w:t>
      </w:r>
      <w:r w:rsidR="008E2819">
        <w:t>5</w:t>
      </w:r>
      <w:r>
        <w:t>:</w:t>
      </w:r>
      <w:r>
        <w:tab/>
        <w:t>Table shells for descriptive results</w:t>
      </w:r>
    </w:p>
    <w:p w14:paraId="49A3D674" w14:textId="77777777" w:rsidR="00BA380E" w:rsidRDefault="00BA380E"/>
    <w:sectPr w:rsidR="00BA38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FF148" w14:textId="77777777" w:rsidR="008A0B88" w:rsidRDefault="008A0B88" w:rsidP="00197E62">
      <w:r>
        <w:separator/>
      </w:r>
    </w:p>
  </w:endnote>
  <w:endnote w:type="continuationSeparator" w:id="0">
    <w:p w14:paraId="1AF85D78" w14:textId="77777777" w:rsidR="008A0B88" w:rsidRDefault="008A0B88" w:rsidP="0019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93149" w14:textId="77777777" w:rsidR="00197E62" w:rsidRDefault="00197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381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270EC" w14:textId="77777777" w:rsidR="00197E62" w:rsidRDefault="00197E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A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52DBBC" w14:textId="77777777" w:rsidR="00197E62" w:rsidRDefault="00197E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A9669" w14:textId="77777777" w:rsidR="00197E62" w:rsidRDefault="00197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BC439" w14:textId="77777777" w:rsidR="008A0B88" w:rsidRDefault="008A0B88" w:rsidP="00197E62">
      <w:r>
        <w:separator/>
      </w:r>
    </w:p>
  </w:footnote>
  <w:footnote w:type="continuationSeparator" w:id="0">
    <w:p w14:paraId="63D968E3" w14:textId="77777777" w:rsidR="008A0B88" w:rsidRDefault="008A0B88" w:rsidP="0019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C9E4" w14:textId="77777777" w:rsidR="00197E62" w:rsidRDefault="00197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142B1" w14:textId="77777777" w:rsidR="00197E62" w:rsidRDefault="00197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B8B91" w14:textId="77777777" w:rsidR="00197E62" w:rsidRDefault="00197E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67"/>
    <w:rsid w:val="000C48B0"/>
    <w:rsid w:val="001947FA"/>
    <w:rsid w:val="00197E62"/>
    <w:rsid w:val="00275E67"/>
    <w:rsid w:val="00282A3A"/>
    <w:rsid w:val="008A0B88"/>
    <w:rsid w:val="008E2819"/>
    <w:rsid w:val="00A465BC"/>
    <w:rsid w:val="00BA380E"/>
    <w:rsid w:val="00C56833"/>
    <w:rsid w:val="00D6159B"/>
    <w:rsid w:val="00DC3CB7"/>
    <w:rsid w:val="00E06422"/>
    <w:rsid w:val="00E1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F579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E6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197E6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E62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7E62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styleId="Hyperlink">
    <w:name w:val="Hyperlink"/>
    <w:basedOn w:val="DefaultParagraphFont"/>
    <w:uiPriority w:val="99"/>
    <w:rsid w:val="00197E62"/>
    <w:rPr>
      <w:color w:val="0000FF"/>
      <w:u w:val="single"/>
    </w:rPr>
  </w:style>
  <w:style w:type="paragraph" w:customStyle="1" w:styleId="biblio">
    <w:name w:val="biblio"/>
    <w:basedOn w:val="Normal"/>
    <w:rsid w:val="00197E62"/>
    <w:pPr>
      <w:keepLines/>
      <w:spacing w:after="240"/>
      <w:ind w:left="720" w:hanging="720"/>
    </w:pPr>
    <w:rPr>
      <w:szCs w:val="20"/>
    </w:rPr>
  </w:style>
  <w:style w:type="paragraph" w:customStyle="1" w:styleId="FigureTitle">
    <w:name w:val="Figure Title"/>
    <w:basedOn w:val="Normal"/>
    <w:rsid w:val="00197E62"/>
    <w:pPr>
      <w:keepNext/>
      <w:keepLines/>
      <w:spacing w:before="240" w:after="240"/>
    </w:pPr>
    <w:rPr>
      <w:b/>
      <w:szCs w:val="20"/>
    </w:rPr>
  </w:style>
  <w:style w:type="paragraph" w:customStyle="1" w:styleId="BodyText2">
    <w:name w:val="Body Text2"/>
    <w:basedOn w:val="Normal"/>
    <w:rsid w:val="00197E62"/>
    <w:pPr>
      <w:spacing w:after="120" w:line="360" w:lineRule="auto"/>
      <w:ind w:firstLine="72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197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6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8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8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7E62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197E62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7E62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7E62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styleId="Hyperlink">
    <w:name w:val="Hyperlink"/>
    <w:basedOn w:val="DefaultParagraphFont"/>
    <w:uiPriority w:val="99"/>
    <w:rsid w:val="00197E62"/>
    <w:rPr>
      <w:color w:val="0000FF"/>
      <w:u w:val="single"/>
    </w:rPr>
  </w:style>
  <w:style w:type="paragraph" w:customStyle="1" w:styleId="biblio">
    <w:name w:val="biblio"/>
    <w:basedOn w:val="Normal"/>
    <w:rsid w:val="00197E62"/>
    <w:pPr>
      <w:keepLines/>
      <w:spacing w:after="240"/>
      <w:ind w:left="720" w:hanging="720"/>
    </w:pPr>
    <w:rPr>
      <w:szCs w:val="20"/>
    </w:rPr>
  </w:style>
  <w:style w:type="paragraph" w:customStyle="1" w:styleId="FigureTitle">
    <w:name w:val="Figure Title"/>
    <w:basedOn w:val="Normal"/>
    <w:rsid w:val="00197E62"/>
    <w:pPr>
      <w:keepNext/>
      <w:keepLines/>
      <w:spacing w:before="240" w:after="240"/>
    </w:pPr>
    <w:rPr>
      <w:b/>
      <w:szCs w:val="20"/>
    </w:rPr>
  </w:style>
  <w:style w:type="paragraph" w:customStyle="1" w:styleId="BodyText2">
    <w:name w:val="Body Text2"/>
    <w:basedOn w:val="Normal"/>
    <w:rsid w:val="00197E62"/>
    <w:pPr>
      <w:spacing w:after="120" w:line="360" w:lineRule="auto"/>
      <w:ind w:firstLine="72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197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6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2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8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8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8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arner@rti.org" TargetMode="External"/><Relationship Id="rId13" Type="http://schemas.openxmlformats.org/officeDocument/2006/relationships/hyperlink" Target="mailto:Guileine.Kraft@samhsa.hhs.go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wbray@uncg.edu" TargetMode="External"/><Relationship Id="rId12" Type="http://schemas.openxmlformats.org/officeDocument/2006/relationships/hyperlink" Target="mailto:Sarah.Ndiangui@samhsa.hhs.gov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williams@rti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jd@rti.org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gaz@rti.org" TargetMode="External"/><Relationship Id="rId14" Type="http://schemas.openxmlformats.org/officeDocument/2006/relationships/hyperlink" Target="http://sbirt.samhsa.gov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Mallonee, Erin</dc:creator>
  <cp:lastModifiedBy>Windows User</cp:lastModifiedBy>
  <cp:revision>5</cp:revision>
  <dcterms:created xsi:type="dcterms:W3CDTF">2015-10-19T19:39:00Z</dcterms:created>
  <dcterms:modified xsi:type="dcterms:W3CDTF">2015-10-27T15:27:00Z</dcterms:modified>
</cp:coreProperties>
</file>