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B2C56" w14:textId="77777777" w:rsidR="00AE4011" w:rsidRPr="00AE4011" w:rsidRDefault="00AE4011" w:rsidP="00AE40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78B2C57" w14:textId="77777777" w:rsidR="00AE4011" w:rsidRPr="00AE4011" w:rsidRDefault="00AE4011" w:rsidP="00442A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8B2C58" w14:textId="77777777" w:rsidR="00DC57CC" w:rsidRPr="00AE4011" w:rsidRDefault="00AE4011" w:rsidP="00442A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011">
        <w:rPr>
          <w:rFonts w:ascii="Times New Roman" w:hAnsi="Times New Roman" w:cs="Times New Roman"/>
          <w:b/>
          <w:sz w:val="24"/>
          <w:szCs w:val="24"/>
        </w:rPr>
        <w:t>Undetermined cause of cardiac arrest during hemodialysis – Connecticut 2015-2016</w:t>
      </w:r>
    </w:p>
    <w:p w14:paraId="178B2C59" w14:textId="77777777" w:rsidR="00AE4011" w:rsidRPr="00AE4011" w:rsidRDefault="00AE4011" w:rsidP="00442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011">
        <w:rPr>
          <w:rFonts w:ascii="Times New Roman" w:hAnsi="Times New Roman" w:cs="Times New Roman"/>
          <w:sz w:val="24"/>
          <w:szCs w:val="24"/>
        </w:rPr>
        <w:t>Request for OMB Approval of a New Emergency Information Collection</w:t>
      </w:r>
    </w:p>
    <w:p w14:paraId="178B2C5A" w14:textId="77777777" w:rsidR="00442AA9" w:rsidRDefault="00442AA9" w:rsidP="00442A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8B2C5B" w14:textId="77777777" w:rsidR="00442AA9" w:rsidRDefault="00442AA9" w:rsidP="00442A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8B2C5C" w14:textId="77777777" w:rsidR="00AE4011" w:rsidRPr="00AE4011" w:rsidRDefault="00AE4011" w:rsidP="00442A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011">
        <w:rPr>
          <w:rFonts w:ascii="Times New Roman" w:hAnsi="Times New Roman" w:cs="Times New Roman"/>
          <w:b/>
          <w:sz w:val="24"/>
          <w:szCs w:val="24"/>
        </w:rPr>
        <w:t>January 26, 2016</w:t>
      </w:r>
    </w:p>
    <w:p w14:paraId="178B2C5D" w14:textId="77777777" w:rsidR="00AE4011" w:rsidRPr="00AE4011" w:rsidRDefault="00AE4011" w:rsidP="00442A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011">
        <w:rPr>
          <w:rFonts w:ascii="Times New Roman" w:hAnsi="Times New Roman" w:cs="Times New Roman"/>
          <w:b/>
          <w:sz w:val="24"/>
          <w:szCs w:val="24"/>
        </w:rPr>
        <w:t>Supporting Statement B</w:t>
      </w:r>
    </w:p>
    <w:p w14:paraId="178B2C5E" w14:textId="77777777" w:rsidR="00AE4011" w:rsidRDefault="00AE4011" w:rsidP="00AE40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8B2C5F" w14:textId="77777777" w:rsidR="00442AA9" w:rsidRPr="00AE4011" w:rsidRDefault="00442AA9" w:rsidP="00AE40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u w:val="single"/>
        </w:rPr>
        <w:id w:val="-1292741396"/>
        <w:docPartObj>
          <w:docPartGallery w:val="Table of Contents"/>
          <w:docPartUnique/>
        </w:docPartObj>
      </w:sdtPr>
      <w:sdtEndPr>
        <w:rPr>
          <w:bCs/>
          <w:noProof/>
          <w:u w:val="none"/>
        </w:rPr>
      </w:sdtEndPr>
      <w:sdtContent>
        <w:p w14:paraId="178B2C60" w14:textId="77777777" w:rsidR="00AE4011" w:rsidRPr="00E921D4" w:rsidRDefault="00AE4011" w:rsidP="00AE4011">
          <w:pPr>
            <w:pStyle w:val="TOCHeading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  <w:u w:val="single"/>
            </w:rPr>
          </w:pPr>
          <w:r w:rsidRPr="00E921D4">
            <w:rPr>
              <w:rFonts w:ascii="Times New Roman" w:hAnsi="Times New Roman" w:cs="Times New Roman"/>
              <w:b/>
              <w:color w:val="auto"/>
              <w:sz w:val="24"/>
              <w:szCs w:val="24"/>
              <w:u w:val="single"/>
            </w:rPr>
            <w:t>Table of Contents</w:t>
          </w:r>
        </w:p>
        <w:p w14:paraId="178B2C61" w14:textId="77777777" w:rsidR="00AE4011" w:rsidRPr="00AE4011" w:rsidRDefault="00AE4011" w:rsidP="00AE4011"/>
        <w:p w14:paraId="178B2C62" w14:textId="77777777" w:rsidR="00AE4011" w:rsidRPr="00AE4011" w:rsidRDefault="00AE4011">
          <w:pPr>
            <w:pStyle w:val="TOC2"/>
            <w:tabs>
              <w:tab w:val="right" w:leader="dot" w:pos="1007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AE401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AE4011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AE401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441230544" w:history="1">
            <w:r w:rsidRPr="00AE4011">
              <w:rPr>
                <w:rStyle w:val="Hyperlink"/>
                <w:rFonts w:ascii="Times New Roman" w:eastAsia="Times New Roman" w:hAnsi="Times New Roman" w:cs="Times New Roman"/>
                <w:b/>
                <w:bCs/>
                <w:iCs/>
                <w:noProof/>
                <w:color w:val="auto"/>
                <w:sz w:val="24"/>
                <w:szCs w:val="24"/>
              </w:rPr>
              <w:t>1. Respondent Universe and Sampling Methods</w:t>
            </w:r>
            <w:r w:rsidRPr="00AE401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E401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E401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_Toc441230544 \h </w:instrText>
            </w:r>
            <w:r w:rsidRPr="00AE401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E401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05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AE401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8B2C63" w14:textId="77777777" w:rsidR="00AE4011" w:rsidRPr="00AE4011" w:rsidRDefault="00015000">
          <w:pPr>
            <w:pStyle w:val="TOC2"/>
            <w:tabs>
              <w:tab w:val="right" w:leader="dot" w:pos="1007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41230545" w:history="1">
            <w:r w:rsidR="00AE4011" w:rsidRPr="00AE4011">
              <w:rPr>
                <w:rStyle w:val="Hyperlink"/>
                <w:rFonts w:ascii="Times New Roman" w:eastAsia="Times New Roman" w:hAnsi="Times New Roman" w:cs="Times New Roman"/>
                <w:b/>
                <w:bCs/>
                <w:iCs/>
                <w:noProof/>
                <w:color w:val="auto"/>
                <w:sz w:val="24"/>
                <w:szCs w:val="24"/>
              </w:rPr>
              <w:t>2. Procedures for the Collection of Information</w:t>
            </w:r>
            <w:r w:rsidR="00AE4011" w:rsidRPr="00AE401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E4011" w:rsidRPr="00AE401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E4011" w:rsidRPr="00AE401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_Toc441230545 \h </w:instrText>
            </w:r>
            <w:r w:rsidR="00AE4011" w:rsidRPr="00AE401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E4011" w:rsidRPr="00AE401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05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E4011" w:rsidRPr="00AE401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8B2C64" w14:textId="77777777" w:rsidR="00AE4011" w:rsidRPr="00AE4011" w:rsidRDefault="00015000">
          <w:pPr>
            <w:pStyle w:val="TOC2"/>
            <w:tabs>
              <w:tab w:val="right" w:leader="dot" w:pos="1007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41230546" w:history="1">
            <w:r w:rsidR="00AE4011" w:rsidRPr="00AE4011">
              <w:rPr>
                <w:rStyle w:val="Hyperlink"/>
                <w:rFonts w:ascii="Times New Roman" w:eastAsia="Times New Roman" w:hAnsi="Times New Roman" w:cs="Times New Roman"/>
                <w:b/>
                <w:bCs/>
                <w:iCs/>
                <w:noProof/>
                <w:color w:val="auto"/>
                <w:sz w:val="24"/>
                <w:szCs w:val="24"/>
              </w:rPr>
              <w:t>3. Methods to Maximize Response Rates and Deal with No Response</w:t>
            </w:r>
            <w:r w:rsidR="00AE4011" w:rsidRPr="00AE401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E4011" w:rsidRPr="00AE401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E4011" w:rsidRPr="00AE401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_Toc441230546 \h </w:instrText>
            </w:r>
            <w:r w:rsidR="00AE4011" w:rsidRPr="00AE401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E4011" w:rsidRPr="00AE401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05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E4011" w:rsidRPr="00AE401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8B2C65" w14:textId="77777777" w:rsidR="00AE4011" w:rsidRPr="00AE4011" w:rsidRDefault="00015000">
          <w:pPr>
            <w:pStyle w:val="TOC2"/>
            <w:tabs>
              <w:tab w:val="right" w:leader="dot" w:pos="1007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41230547" w:history="1">
            <w:r w:rsidR="00AE4011" w:rsidRPr="00AE4011">
              <w:rPr>
                <w:rStyle w:val="Hyperlink"/>
                <w:rFonts w:ascii="Times New Roman" w:eastAsia="Times New Roman" w:hAnsi="Times New Roman" w:cs="Times New Roman"/>
                <w:b/>
                <w:bCs/>
                <w:iCs/>
                <w:noProof/>
                <w:color w:val="auto"/>
                <w:sz w:val="24"/>
                <w:szCs w:val="24"/>
              </w:rPr>
              <w:t>4. Tests of Procedures or Methods to be Undertaken</w:t>
            </w:r>
            <w:r w:rsidR="00AE4011" w:rsidRPr="00AE401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E4011" w:rsidRPr="00AE401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E4011" w:rsidRPr="00AE401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_Toc441230547 \h </w:instrText>
            </w:r>
            <w:r w:rsidR="00AE4011" w:rsidRPr="00AE401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E4011" w:rsidRPr="00AE401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05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E4011" w:rsidRPr="00AE401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8B2C66" w14:textId="77777777" w:rsidR="00AE4011" w:rsidRPr="00AE4011" w:rsidRDefault="00015000">
          <w:pPr>
            <w:pStyle w:val="TOC2"/>
            <w:tabs>
              <w:tab w:val="right" w:leader="dot" w:pos="1007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41230548" w:history="1">
            <w:r w:rsidR="00AE4011" w:rsidRPr="00AE4011">
              <w:rPr>
                <w:rStyle w:val="Hyperlink"/>
                <w:rFonts w:ascii="Times New Roman" w:eastAsia="Times New Roman" w:hAnsi="Times New Roman" w:cs="Times New Roman"/>
                <w:b/>
                <w:iCs/>
                <w:noProof/>
                <w:color w:val="auto"/>
                <w:kern w:val="32"/>
                <w:sz w:val="24"/>
                <w:szCs w:val="24"/>
              </w:rPr>
              <w:t>5. Individuals Consulted on Statistical Aspects and Individuals Collecting and/or</w:t>
            </w:r>
            <w:r w:rsidR="00AE4011" w:rsidRPr="00AE4011">
              <w:rPr>
                <w:rStyle w:val="Hyperlink"/>
                <w:rFonts w:ascii="Times New Roman" w:eastAsia="Times New Roman" w:hAnsi="Times New Roman" w:cs="Times New Roman"/>
                <w:b/>
                <w:bCs/>
                <w:iCs/>
                <w:noProof/>
                <w:color w:val="auto"/>
                <w:sz w:val="24"/>
                <w:szCs w:val="24"/>
              </w:rPr>
              <w:t xml:space="preserve"> Analyzing Data</w:t>
            </w:r>
            <w:r w:rsidR="00AE4011" w:rsidRPr="00AE401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E4011" w:rsidRPr="00AE401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E4011" w:rsidRPr="00AE401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_Toc441230548 \h </w:instrText>
            </w:r>
            <w:r w:rsidR="00AE4011" w:rsidRPr="00AE401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E4011" w:rsidRPr="00AE401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05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E4011" w:rsidRPr="00AE401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8B2C67" w14:textId="77777777" w:rsidR="00AE4011" w:rsidRDefault="00AE4011">
          <w:r w:rsidRPr="00AE4011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178B2C68" w14:textId="77777777" w:rsidR="00AE4011" w:rsidRPr="00AE4011" w:rsidRDefault="00AE4011" w:rsidP="00AE40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8B2C69" w14:textId="77777777" w:rsidR="00AE4011" w:rsidRPr="00AE4011" w:rsidRDefault="00AE4011" w:rsidP="00AE40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8B2C6A" w14:textId="77777777" w:rsidR="00AE4011" w:rsidRPr="00AE4011" w:rsidRDefault="00AE4011" w:rsidP="00AE40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8B2C6B" w14:textId="77777777" w:rsidR="00AE4011" w:rsidRPr="00AE4011" w:rsidRDefault="00AE4011" w:rsidP="00AE40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8B2C6C" w14:textId="77777777" w:rsidR="00AE4011" w:rsidRPr="00AE4011" w:rsidRDefault="00AE4011" w:rsidP="00AE40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8B2C6D" w14:textId="77777777" w:rsidR="00AE4011" w:rsidRPr="00AE4011" w:rsidRDefault="00AE4011" w:rsidP="00AE40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8B2C6E" w14:textId="77777777" w:rsidR="00AE4011" w:rsidRPr="00AE4011" w:rsidRDefault="00AE4011" w:rsidP="00AE40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8B2C6F" w14:textId="77777777" w:rsidR="00442AA9" w:rsidRDefault="00442AA9" w:rsidP="00E921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AFF2E8" w14:textId="77777777" w:rsidR="003101E7" w:rsidRDefault="003101E7" w:rsidP="00E921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8B2C70" w14:textId="77777777" w:rsidR="00E921D4" w:rsidRPr="000429BA" w:rsidRDefault="00E921D4" w:rsidP="00E921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29BA">
        <w:rPr>
          <w:rFonts w:ascii="Times New Roman" w:eastAsia="Times New Roman" w:hAnsi="Times New Roman" w:cs="Times New Roman"/>
          <w:b/>
          <w:sz w:val="24"/>
          <w:szCs w:val="24"/>
        </w:rPr>
        <w:t>Contact:</w:t>
      </w:r>
    </w:p>
    <w:p w14:paraId="178B2C71" w14:textId="14577B89" w:rsidR="00E921D4" w:rsidRPr="000429BA" w:rsidRDefault="003101E7" w:rsidP="00E921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Lee Samuel</w:t>
      </w:r>
    </w:p>
    <w:p w14:paraId="178B2C72" w14:textId="77777777" w:rsidR="00E921D4" w:rsidRPr="000429BA" w:rsidRDefault="00E921D4" w:rsidP="00E921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29BA">
        <w:rPr>
          <w:rFonts w:ascii="Times New Roman" w:eastAsia="Times New Roman" w:hAnsi="Times New Roman" w:cs="Times New Roman"/>
          <w:b/>
          <w:sz w:val="24"/>
          <w:szCs w:val="24"/>
        </w:rPr>
        <w:t>National Center for Emerging and Zoonotic Infectious Diseases</w:t>
      </w:r>
    </w:p>
    <w:p w14:paraId="178B2C73" w14:textId="77777777" w:rsidR="00E921D4" w:rsidRPr="000429BA" w:rsidRDefault="00E921D4" w:rsidP="00E921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29BA">
        <w:rPr>
          <w:rFonts w:ascii="Times New Roman" w:eastAsia="Times New Roman" w:hAnsi="Times New Roman" w:cs="Times New Roman"/>
          <w:b/>
          <w:sz w:val="24"/>
          <w:szCs w:val="24"/>
        </w:rPr>
        <w:t>Centers for Disease Control and Prevention</w:t>
      </w:r>
    </w:p>
    <w:p w14:paraId="178B2C74" w14:textId="77777777" w:rsidR="00E921D4" w:rsidRPr="000429BA" w:rsidRDefault="00E921D4" w:rsidP="00E921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29BA">
        <w:rPr>
          <w:rFonts w:ascii="Times New Roman" w:eastAsia="Times New Roman" w:hAnsi="Times New Roman" w:cs="Times New Roman"/>
          <w:b/>
          <w:sz w:val="24"/>
          <w:szCs w:val="24"/>
        </w:rPr>
        <w:t>1600 Clifton Road, N.E.</w:t>
      </w:r>
    </w:p>
    <w:p w14:paraId="178B2C75" w14:textId="77777777" w:rsidR="00E921D4" w:rsidRPr="000429BA" w:rsidRDefault="00E921D4" w:rsidP="00E921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29BA">
        <w:rPr>
          <w:rFonts w:ascii="Times New Roman" w:eastAsia="Times New Roman" w:hAnsi="Times New Roman" w:cs="Times New Roman"/>
          <w:b/>
          <w:sz w:val="24"/>
          <w:szCs w:val="24"/>
        </w:rPr>
        <w:t>Atlanta, Georgia 30333</w:t>
      </w:r>
    </w:p>
    <w:p w14:paraId="178B2C77" w14:textId="4E11E819" w:rsidR="00E921D4" w:rsidRPr="000429BA" w:rsidRDefault="00E921D4" w:rsidP="00E921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0429B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Phone: (404) </w:t>
      </w:r>
      <w:r w:rsidR="003101E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718-1616</w:t>
      </w:r>
    </w:p>
    <w:p w14:paraId="55274596" w14:textId="7100B86C" w:rsidR="003101E7" w:rsidRDefault="00E921D4" w:rsidP="000C2C80">
      <w:pPr>
        <w:tabs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29BA">
        <w:rPr>
          <w:rFonts w:ascii="Times New Roman" w:eastAsia="Times New Roman" w:hAnsi="Times New Roman" w:cs="Times New Roman"/>
          <w:b/>
          <w:sz w:val="24"/>
          <w:szCs w:val="24"/>
        </w:rPr>
        <w:t xml:space="preserve">Email: </w:t>
      </w:r>
      <w:hyperlink r:id="rId11" w:history="1">
        <w:r w:rsidR="003101E7" w:rsidRPr="004062C3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llj3@cdc.gov</w:t>
        </w:r>
      </w:hyperlink>
    </w:p>
    <w:p w14:paraId="178B2C79" w14:textId="77777777" w:rsidR="00AE4011" w:rsidRDefault="00AE4011" w:rsidP="00AE40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01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No statistical methods are used in this data collection.</w:t>
      </w:r>
    </w:p>
    <w:p w14:paraId="178B2C7A" w14:textId="77777777" w:rsidR="00AE4011" w:rsidRPr="00AE4011" w:rsidRDefault="00AE4011" w:rsidP="00AE40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8B2C7B" w14:textId="77777777" w:rsidR="00AE4011" w:rsidRPr="00AE4011" w:rsidRDefault="00AE4011" w:rsidP="00AE4011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bookmarkStart w:id="1" w:name="_Toc431279244"/>
      <w:bookmarkStart w:id="2" w:name="_Toc441230544"/>
      <w:r w:rsidRPr="00AE401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1. Respondent Universe and Sampling Methods</w:t>
      </w:r>
      <w:bookmarkEnd w:id="1"/>
      <w:bookmarkEnd w:id="2"/>
    </w:p>
    <w:p w14:paraId="3E9219A0" w14:textId="77777777" w:rsidR="006D6AFF" w:rsidRDefault="006D6AFF" w:rsidP="00CD2D2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78B2C7C" w14:textId="05EDE6CC" w:rsidR="007B5193" w:rsidRDefault="007B5193" w:rsidP="00CD2D2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Respondents include: (1) </w:t>
      </w:r>
      <w:r w:rsidRPr="007B5193">
        <w:rPr>
          <w:rFonts w:ascii="Times New Roman" w:eastAsia="Times New Roman" w:hAnsi="Times New Roman" w:cs="Times New Roman"/>
          <w:bCs/>
          <w:sz w:val="24"/>
          <w:szCs w:val="24"/>
        </w:rPr>
        <w:t xml:space="preserve">case patients who </w:t>
      </w:r>
      <w:r w:rsidR="006D6AFF">
        <w:rPr>
          <w:rFonts w:ascii="Times New Roman" w:eastAsia="Times New Roman" w:hAnsi="Times New Roman" w:cs="Times New Roman"/>
          <w:bCs/>
          <w:sz w:val="24"/>
          <w:szCs w:val="24"/>
        </w:rPr>
        <w:t>suffered</w:t>
      </w:r>
      <w:r w:rsidRPr="007B5193">
        <w:rPr>
          <w:rFonts w:ascii="Times New Roman" w:eastAsia="Times New Roman" w:hAnsi="Times New Roman" w:cs="Times New Roman"/>
          <w:bCs/>
          <w:sz w:val="24"/>
          <w:szCs w:val="24"/>
        </w:rPr>
        <w:t xml:space="preserve"> cardiac arrests</w:t>
      </w:r>
      <w:r w:rsidR="006D6AFF">
        <w:rPr>
          <w:rFonts w:ascii="Times New Roman" w:eastAsia="Times New Roman" w:hAnsi="Times New Roman" w:cs="Times New Roman"/>
          <w:bCs/>
          <w:sz w:val="24"/>
          <w:szCs w:val="24"/>
        </w:rPr>
        <w:t>, (2)</w:t>
      </w:r>
      <w:r w:rsidRPr="007B5193">
        <w:rPr>
          <w:rFonts w:ascii="Times New Roman" w:eastAsia="Times New Roman" w:hAnsi="Times New Roman" w:cs="Times New Roman"/>
          <w:bCs/>
          <w:sz w:val="24"/>
          <w:szCs w:val="24"/>
        </w:rPr>
        <w:t xml:space="preserve"> patients who were receiving dialysis treatment at the same clinics at the times when the c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ase patients </w:t>
      </w:r>
      <w:r w:rsidR="006D6AFF">
        <w:rPr>
          <w:rFonts w:ascii="Times New Roman" w:eastAsia="Times New Roman" w:hAnsi="Times New Roman" w:cs="Times New Roman"/>
          <w:bCs/>
          <w:sz w:val="24"/>
          <w:szCs w:val="24"/>
        </w:rPr>
        <w:t>suffered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cardiac arrest</w:t>
      </w:r>
      <w:r w:rsidR="006D6AFF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 (</w:t>
      </w:r>
      <w:r w:rsidR="006D6AFF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Pr="007B5193">
        <w:rPr>
          <w:rFonts w:ascii="Times New Roman" w:eastAsia="Times New Roman" w:hAnsi="Times New Roman" w:cs="Times New Roman"/>
          <w:bCs/>
          <w:sz w:val="24"/>
          <w:szCs w:val="24"/>
        </w:rPr>
        <w:t>healthcare workers at outpatient hemodialysis clinics, including clinic managers, nurses, dialysis technicians, physicians, infection preventionists, and other staff</w:t>
      </w:r>
      <w:r w:rsidR="0099416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78B2C7D" w14:textId="77777777" w:rsidR="007B5193" w:rsidRDefault="007B5193" w:rsidP="00CD2D2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78B2C7E" w14:textId="6EB299B1" w:rsidR="00CD2D2E" w:rsidRPr="00CD2D2E" w:rsidRDefault="00CD2D2E" w:rsidP="00CD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D2E">
        <w:rPr>
          <w:rFonts w:ascii="Times New Roman" w:eastAsia="Times New Roman" w:hAnsi="Times New Roman" w:cs="Times New Roman"/>
          <w:sz w:val="24"/>
          <w:szCs w:val="24"/>
        </w:rPr>
        <w:t xml:space="preserve">Patients who experienced cardiac arrests </w:t>
      </w:r>
      <w:r w:rsidRPr="00CD2D2E">
        <w:rPr>
          <w:rFonts w:ascii="Times New Roman" w:eastAsia="Times New Roman" w:hAnsi="Times New Roman" w:cs="Times New Roman"/>
          <w:bCs/>
          <w:sz w:val="24"/>
          <w:szCs w:val="24"/>
        </w:rPr>
        <w:t>and patients who were receiving dialysis treatment at the same clinics at the times when the case patients had cardiac arrest</w:t>
      </w:r>
      <w:r w:rsidR="006D6AFF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CD2D2E">
        <w:rPr>
          <w:rFonts w:ascii="Times New Roman" w:eastAsia="Times New Roman" w:hAnsi="Times New Roman" w:cs="Times New Roman"/>
          <w:sz w:val="24"/>
          <w:szCs w:val="24"/>
        </w:rPr>
        <w:t xml:space="preserve"> will be selected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this activity</w:t>
      </w:r>
      <w:r w:rsidRPr="00CD2D2E">
        <w:rPr>
          <w:rFonts w:ascii="Times New Roman" w:eastAsia="Times New Roman" w:hAnsi="Times New Roman" w:cs="Times New Roman"/>
          <w:sz w:val="24"/>
          <w:szCs w:val="24"/>
        </w:rPr>
        <w:t>. The patient list at each clinic will be used to select eligible patients.</w:t>
      </w:r>
    </w:p>
    <w:p w14:paraId="6691721B" w14:textId="77777777" w:rsidR="006D6AFF" w:rsidRDefault="006D6AFF" w:rsidP="00CD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05D16B" w14:textId="3E5ADB0B" w:rsidR="006D6AFF" w:rsidRPr="00AE4011" w:rsidRDefault="00CD2D2E" w:rsidP="00CD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D2E">
        <w:rPr>
          <w:rFonts w:ascii="Times New Roman" w:eastAsia="Times New Roman" w:hAnsi="Times New Roman" w:cs="Times New Roman"/>
          <w:sz w:val="24"/>
          <w:szCs w:val="24"/>
        </w:rPr>
        <w:t>All clinic staff who presented at the clinics during the events will be selected.</w:t>
      </w:r>
      <w:r w:rsidR="006D6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2D2E">
        <w:rPr>
          <w:rFonts w:ascii="Times New Roman" w:eastAsia="Times New Roman" w:hAnsi="Times New Roman" w:cs="Times New Roman"/>
          <w:sz w:val="24"/>
          <w:szCs w:val="24"/>
        </w:rPr>
        <w:t xml:space="preserve">Nationwide case finding will be implemented (through Epi-X or professional list serve). Any additional cases identified through case finding will be included in the </w:t>
      </w:r>
      <w:r>
        <w:rPr>
          <w:rFonts w:ascii="Times New Roman" w:eastAsia="Times New Roman" w:hAnsi="Times New Roman" w:cs="Times New Roman"/>
          <w:sz w:val="24"/>
          <w:szCs w:val="24"/>
        </w:rPr>
        <w:t>activity</w:t>
      </w:r>
      <w:r w:rsidRPr="00CD2D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8B2C82" w14:textId="196F86DF" w:rsidR="003627BE" w:rsidRPr="006D6AFF" w:rsidRDefault="00AE4011" w:rsidP="006D6AFF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bookmarkStart w:id="3" w:name="_Toc431279245"/>
      <w:bookmarkStart w:id="4" w:name="_Toc441230545"/>
      <w:r w:rsidRPr="00AE401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2. Procedures for the Collection of Information</w:t>
      </w:r>
      <w:bookmarkEnd w:id="3"/>
      <w:bookmarkEnd w:id="4"/>
    </w:p>
    <w:p w14:paraId="112ECF6C" w14:textId="77777777" w:rsidR="006D6AFF" w:rsidRDefault="006D6AFF" w:rsidP="00AE4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8B2C83" w14:textId="4BD826F1" w:rsidR="003627BE" w:rsidRDefault="003627BE" w:rsidP="00AE4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Medical </w:t>
      </w:r>
      <w:r w:rsidRPr="003627BE">
        <w:rPr>
          <w:rFonts w:ascii="Times New Roman" w:eastAsia="Times New Roman" w:hAnsi="Times New Roman" w:cs="Times New Roman"/>
          <w:sz w:val="24"/>
          <w:szCs w:val="24"/>
        </w:rPr>
        <w:t xml:space="preserve">charts of case patients </w:t>
      </w:r>
      <w:r w:rsidR="006D6AFF">
        <w:rPr>
          <w:rFonts w:ascii="Times New Roman" w:eastAsia="Times New Roman" w:hAnsi="Times New Roman" w:cs="Times New Roman"/>
          <w:sz w:val="24"/>
          <w:szCs w:val="24"/>
        </w:rPr>
        <w:t>who suffered</w:t>
      </w:r>
      <w:r w:rsidRPr="003627BE">
        <w:rPr>
          <w:rFonts w:ascii="Times New Roman" w:eastAsia="Times New Roman" w:hAnsi="Times New Roman" w:cs="Times New Roman"/>
          <w:sz w:val="24"/>
          <w:szCs w:val="24"/>
        </w:rPr>
        <w:t xml:space="preserve"> cardiac arrest will be reviewed and abstracted onto a standardized form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8B2C84" w14:textId="77777777" w:rsidR="003627BE" w:rsidRDefault="003627BE" w:rsidP="00AE4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8B2C85" w14:textId="0B606A85" w:rsidR="003627BE" w:rsidRDefault="003627BE" w:rsidP="00AE4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Case </w:t>
      </w:r>
      <w:r w:rsidRPr="003627BE">
        <w:rPr>
          <w:rFonts w:ascii="Times New Roman" w:eastAsia="Times New Roman" w:hAnsi="Times New Roman" w:cs="Times New Roman"/>
          <w:sz w:val="24"/>
          <w:szCs w:val="24"/>
        </w:rPr>
        <w:t>patients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who survived, other patients at clinics during time of events</w:t>
      </w:r>
      <w:r w:rsidR="006D6AF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627BE">
        <w:rPr>
          <w:rFonts w:ascii="Times New Roman" w:eastAsia="Times New Roman" w:hAnsi="Times New Roman" w:cs="Times New Roman"/>
          <w:sz w:val="24"/>
          <w:szCs w:val="24"/>
        </w:rPr>
        <w:t xml:space="preserve"> and healthcare staff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clinics will be interviewed </w:t>
      </w:r>
      <w:r w:rsidRPr="003627BE">
        <w:rPr>
          <w:rFonts w:ascii="Times New Roman" w:eastAsia="Times New Roman" w:hAnsi="Times New Roman" w:cs="Times New Roman"/>
          <w:sz w:val="24"/>
          <w:szCs w:val="24"/>
        </w:rPr>
        <w:t>using standardized questionnaires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8B2C86" w14:textId="77777777" w:rsidR="003627BE" w:rsidRDefault="003627BE" w:rsidP="00AE4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8B2C88" w14:textId="09C3AA8C" w:rsidR="003627BE" w:rsidRDefault="003627BE" w:rsidP="00AE4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7BE">
        <w:rPr>
          <w:rFonts w:ascii="Times New Roman" w:eastAsia="Times New Roman" w:hAnsi="Times New Roman" w:cs="Times New Roman"/>
          <w:sz w:val="24"/>
          <w:szCs w:val="24"/>
        </w:rPr>
        <w:t>For any additional cases identified through case finding, information of those cases provided by healthcare workers who report them will be collected onto a data collection 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627BE">
        <w:rPr>
          <w:rFonts w:ascii="Times New Roman" w:eastAsia="Times New Roman" w:hAnsi="Times New Roman" w:cs="Times New Roman"/>
          <w:sz w:val="24"/>
          <w:szCs w:val="24"/>
        </w:rPr>
        <w:t>Depending on the nature of each case, CDC may reach out to relevant healthcare facilities or healthcare staff for additional 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(using chart abstraction form).</w:t>
      </w:r>
    </w:p>
    <w:p w14:paraId="178B2C89" w14:textId="77777777" w:rsidR="00AE4011" w:rsidRPr="00AE4011" w:rsidRDefault="00AE4011" w:rsidP="00AE4011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bookmarkStart w:id="5" w:name="_Toc431279246"/>
      <w:bookmarkStart w:id="6" w:name="_Toc441230546"/>
      <w:r w:rsidRPr="00AE401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3. Methods to Maximize Response Rates and Deal with No Response</w:t>
      </w:r>
      <w:bookmarkEnd w:id="5"/>
      <w:bookmarkEnd w:id="6"/>
    </w:p>
    <w:p w14:paraId="7850B3E2" w14:textId="77777777" w:rsidR="006D6AFF" w:rsidRDefault="006D6AFF" w:rsidP="00AE40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8B2C8B" w14:textId="4177B2C4" w:rsidR="00AE4011" w:rsidRPr="00AE4011" w:rsidRDefault="00994169" w:rsidP="00AE40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expect to abstract all charts of case-patients. </w:t>
      </w:r>
      <w:r w:rsidR="00AE4011" w:rsidRPr="00AE4011">
        <w:rPr>
          <w:rFonts w:ascii="Times New Roman" w:eastAsia="Times New Roman" w:hAnsi="Times New Roman" w:cs="Times New Roman"/>
          <w:sz w:val="24"/>
          <w:szCs w:val="24"/>
        </w:rPr>
        <w:t xml:space="preserve">Response to </w:t>
      </w:r>
      <w:r>
        <w:rPr>
          <w:rFonts w:ascii="Times New Roman" w:eastAsia="Times New Roman" w:hAnsi="Times New Roman" w:cs="Times New Roman"/>
          <w:sz w:val="24"/>
          <w:szCs w:val="24"/>
        </w:rPr>
        <w:t>the interview</w:t>
      </w:r>
      <w:r w:rsidR="00AE4011" w:rsidRPr="00AE4011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eastAsia="Times New Roman" w:hAnsi="Times New Roman" w:cs="Times New Roman"/>
          <w:sz w:val="24"/>
          <w:szCs w:val="24"/>
        </w:rPr>
        <w:t>voluntary</w:t>
      </w:r>
      <w:r w:rsidR="00AE4011" w:rsidRPr="00AE401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Given the severity of the events, CDC will work with local health departments and facility staff to achieve highest response rate possible. We expect to have 100% response rate from healthcare staff and 90% response rate from patients.</w:t>
      </w:r>
      <w:r w:rsidR="001F7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AE4011" w:rsidRPr="00AE4011">
        <w:rPr>
          <w:rFonts w:ascii="Times New Roman" w:eastAsia="Times New Roman" w:hAnsi="Times New Roman" w:cs="Times New Roman"/>
          <w:sz w:val="24"/>
          <w:szCs w:val="24"/>
        </w:rPr>
        <w:t xml:space="preserve">he information requested has been kept to the absolute minimum in order to minimize the public burden.  </w:t>
      </w:r>
    </w:p>
    <w:p w14:paraId="178B2C8C" w14:textId="77777777" w:rsidR="00AE4011" w:rsidRPr="00AE4011" w:rsidRDefault="00AE4011" w:rsidP="00AE4011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bookmarkStart w:id="7" w:name="_Toc431279247"/>
      <w:bookmarkStart w:id="8" w:name="_Toc441230547"/>
      <w:r w:rsidRPr="00AE401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4. Tests of Procedures or Methods to be Undertaken</w:t>
      </w:r>
      <w:bookmarkEnd w:id="7"/>
      <w:bookmarkEnd w:id="8"/>
      <w:r w:rsidRPr="00AE401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1169A217" w14:textId="77777777" w:rsidR="006D6AFF" w:rsidRDefault="006D6AFF" w:rsidP="00AE4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8B2C8E" w14:textId="071B8BB1" w:rsidR="00AE4011" w:rsidRPr="00AE4011" w:rsidRDefault="001F7BE5" w:rsidP="00AE4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do not perform a</w:t>
      </w:r>
      <w:r w:rsidR="009D082A">
        <w:rPr>
          <w:rFonts w:ascii="Times New Roman" w:eastAsia="Times New Roman" w:hAnsi="Times New Roman" w:cs="Times New Roman"/>
          <w:sz w:val="24"/>
          <w:szCs w:val="24"/>
        </w:rPr>
        <w:t xml:space="preserve"> test of the abstraction forms or interview questions. The Division of Healthcare Quality Promotion has</w:t>
      </w:r>
      <w:r w:rsidR="003101E7">
        <w:rPr>
          <w:rFonts w:ascii="Times New Roman" w:eastAsia="Times New Roman" w:hAnsi="Times New Roman" w:cs="Times New Roman"/>
          <w:sz w:val="24"/>
          <w:szCs w:val="24"/>
        </w:rPr>
        <w:t xml:space="preserve"> extensive experience carrying </w:t>
      </w:r>
      <w:r w:rsidR="00413EDA">
        <w:rPr>
          <w:rFonts w:ascii="Times New Roman" w:eastAsia="Times New Roman" w:hAnsi="Times New Roman" w:cs="Times New Roman"/>
          <w:sz w:val="24"/>
          <w:szCs w:val="24"/>
        </w:rPr>
        <w:t xml:space="preserve">out </w:t>
      </w:r>
      <w:r w:rsidR="003101E7">
        <w:rPr>
          <w:rFonts w:ascii="Times New Roman" w:eastAsia="Times New Roman" w:hAnsi="Times New Roman" w:cs="Times New Roman"/>
          <w:sz w:val="24"/>
          <w:szCs w:val="24"/>
        </w:rPr>
        <w:t>investigations of this type</w:t>
      </w:r>
      <w:r w:rsidR="009D082A">
        <w:rPr>
          <w:rFonts w:ascii="Times New Roman" w:eastAsia="Times New Roman" w:hAnsi="Times New Roman" w:cs="Times New Roman"/>
          <w:sz w:val="24"/>
          <w:szCs w:val="24"/>
        </w:rPr>
        <w:t xml:space="preserve"> (i.e., investigations of healthcare-associated infections or healthcare-related adverse events in dialysis facilities).</w:t>
      </w:r>
    </w:p>
    <w:p w14:paraId="178B2C8F" w14:textId="77777777" w:rsidR="00AE4011" w:rsidRPr="00AE4011" w:rsidRDefault="00AE4011" w:rsidP="00AE4011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bookmarkStart w:id="9" w:name="_Toc431279248"/>
      <w:bookmarkStart w:id="10" w:name="_Toc441230548"/>
      <w:r w:rsidRPr="00AE4011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</w:rPr>
        <w:t>5. Individuals Consulted on Statistical Aspects and Individuals Collecting and/or</w:t>
      </w:r>
      <w:r w:rsidRPr="00AE401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Analyzing Data</w:t>
      </w:r>
      <w:bookmarkEnd w:id="9"/>
      <w:bookmarkEnd w:id="10"/>
    </w:p>
    <w:p w14:paraId="734D84EC" w14:textId="77777777" w:rsidR="006D6AFF" w:rsidRDefault="006D6AFF" w:rsidP="00AE4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8B2C91" w14:textId="1916AD13" w:rsidR="00AE4011" w:rsidRPr="001F7BE5" w:rsidRDefault="00AE4011" w:rsidP="001F7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011">
        <w:rPr>
          <w:rFonts w:ascii="Times New Roman" w:eastAsia="Times New Roman" w:hAnsi="Times New Roman" w:cs="Times New Roman"/>
          <w:sz w:val="24"/>
          <w:szCs w:val="24"/>
        </w:rPr>
        <w:t xml:space="preserve">There are no statistical aspects of this information and therefore </w:t>
      </w:r>
      <w:r w:rsidR="001F7BE5">
        <w:rPr>
          <w:rFonts w:ascii="Times New Roman" w:eastAsia="Times New Roman" w:hAnsi="Times New Roman" w:cs="Times New Roman"/>
          <w:sz w:val="24"/>
          <w:szCs w:val="24"/>
        </w:rPr>
        <w:t>no individuals were consulted.</w:t>
      </w:r>
    </w:p>
    <w:sectPr w:rsidR="00AE4011" w:rsidRPr="001F7BE5" w:rsidSect="000C2C80">
      <w:footerReference w:type="default" r:id="rId12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B2C94" w14:textId="77777777" w:rsidR="00AE7418" w:rsidRDefault="00AE7418" w:rsidP="008B5D54">
      <w:pPr>
        <w:spacing w:after="0" w:line="240" w:lineRule="auto"/>
      </w:pPr>
      <w:r>
        <w:separator/>
      </w:r>
    </w:p>
  </w:endnote>
  <w:endnote w:type="continuationSeparator" w:id="0">
    <w:p w14:paraId="178B2C95" w14:textId="77777777" w:rsidR="00AE7418" w:rsidRDefault="00AE7418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704482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B2C96" w14:textId="77777777" w:rsidR="000C2C80" w:rsidRPr="000C2C80" w:rsidRDefault="000C2C80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C2C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C2C8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C2C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500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C2C8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78B2C97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B2C92" w14:textId="77777777" w:rsidR="00AE7418" w:rsidRDefault="00AE7418" w:rsidP="008B5D54">
      <w:pPr>
        <w:spacing w:after="0" w:line="240" w:lineRule="auto"/>
      </w:pPr>
      <w:r>
        <w:separator/>
      </w:r>
    </w:p>
  </w:footnote>
  <w:footnote w:type="continuationSeparator" w:id="0">
    <w:p w14:paraId="178B2C93" w14:textId="77777777" w:rsidR="00AE7418" w:rsidRDefault="00AE7418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011"/>
    <w:rsid w:val="00015000"/>
    <w:rsid w:val="000C2C80"/>
    <w:rsid w:val="001B12E8"/>
    <w:rsid w:val="001E410D"/>
    <w:rsid w:val="001F7BE5"/>
    <w:rsid w:val="003101E7"/>
    <w:rsid w:val="003627BE"/>
    <w:rsid w:val="00413EDA"/>
    <w:rsid w:val="00442AA9"/>
    <w:rsid w:val="004E28F0"/>
    <w:rsid w:val="006C6578"/>
    <w:rsid w:val="006D6AFF"/>
    <w:rsid w:val="006F42C9"/>
    <w:rsid w:val="007B5193"/>
    <w:rsid w:val="00870571"/>
    <w:rsid w:val="008B5D54"/>
    <w:rsid w:val="00994169"/>
    <w:rsid w:val="009D082A"/>
    <w:rsid w:val="00AE4011"/>
    <w:rsid w:val="00AE7418"/>
    <w:rsid w:val="00B55735"/>
    <w:rsid w:val="00B608AC"/>
    <w:rsid w:val="00CD2D2E"/>
    <w:rsid w:val="00DC57CC"/>
    <w:rsid w:val="00E9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78B2C56"/>
  <w15:docId w15:val="{56FC0258-AF7C-45D1-9DBD-90FD46E6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40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AE40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E4011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AE401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AE40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40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lj3@cdc.gov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PFY6PPX2AYTS-2589-399</_dlc_DocId>
    <_dlc_DocIdUrl xmlns="81daf041-c113-401c-bf82-107f5d396711">
      <Url>https://esp.cdc.gov/sites/ncezid/OD/policy/PRA/_layouts/15/DocIdRedir.aspx?ID=PFY6PPX2AYTS-2589-399</Url>
      <Description>PFY6PPX2AYTS-2589-399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9E10A-DA5E-4288-B77F-EAE81A3AD7D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2B39537-B70B-47C4-82AE-1B3766B135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BEFDB2-DC1E-45C2-8C3D-9DD500B0E4A5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81daf041-c113-401c-bf82-107f5d396711"/>
    <ds:schemaRef ds:uri="http://schemas.microsoft.com/office/2006/documentManagement/types"/>
    <ds:schemaRef ds:uri="http://purl.org/dc/elements/1.1/"/>
    <ds:schemaRef ds:uri="d335559b-c20a-4874-978e-77d2be77e01f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AAF24B4-DDD7-4B9E-A1F6-38C356751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d335559b-c20a-4874-978e-77d2be77e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492AE6-86F0-4995-92F7-C52C535C6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Samuel, Lee (CDC/OID/NCEZID)</dc:creator>
  <cp:lastModifiedBy>Zirger, Jeffrey (CDC/OD/OADS)</cp:lastModifiedBy>
  <cp:revision>13</cp:revision>
  <dcterms:created xsi:type="dcterms:W3CDTF">2016-01-22T19:52:00Z</dcterms:created>
  <dcterms:modified xsi:type="dcterms:W3CDTF">2016-01-26T20:00:00Z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0dc15945-106f-4a5b-963a-3001d14f83e8</vt:lpwstr>
  </property>
</Properties>
</file>