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91FE5" w14:textId="77777777" w:rsidR="00CD51FE" w:rsidRPr="005147A4" w:rsidRDefault="00CD51FE" w:rsidP="00CD51FE">
      <w:pPr>
        <w:pStyle w:val="Heading2"/>
        <w:jc w:val="center"/>
        <w:rPr>
          <w:rFonts w:ascii="Arial" w:hAnsi="Arial" w:cs="Arial"/>
          <w:sz w:val="20"/>
          <w:szCs w:val="20"/>
        </w:rPr>
      </w:pPr>
      <w:bookmarkStart w:id="0" w:name="_Toc397441107"/>
      <w:r w:rsidRPr="005147A4">
        <w:rPr>
          <w:rFonts w:ascii="Arial" w:hAnsi="Arial" w:cs="Arial"/>
          <w:color w:val="auto"/>
        </w:rPr>
        <w:t>Template for 60</w:t>
      </w:r>
      <w:r>
        <w:rPr>
          <w:rFonts w:ascii="Arial" w:hAnsi="Arial" w:cs="Arial"/>
          <w:color w:val="auto"/>
        </w:rPr>
        <w:t>-D</w:t>
      </w:r>
      <w:r w:rsidRPr="005147A4">
        <w:rPr>
          <w:rFonts w:ascii="Arial" w:hAnsi="Arial" w:cs="Arial"/>
          <w:color w:val="auto"/>
        </w:rPr>
        <w:t>ay FRN</w:t>
      </w:r>
      <w:bookmarkEnd w:id="0"/>
    </w:p>
    <w:p w14:paraId="79D91FE6" w14:textId="77777777" w:rsidR="00CD51FE" w:rsidRDefault="00CD51FE" w:rsidP="00CD51FE">
      <w:pPr>
        <w:widowControl/>
        <w:tabs>
          <w:tab w:val="left" w:pos="-1440"/>
          <w:tab w:val="left" w:pos="-720"/>
        </w:tabs>
        <w:rPr>
          <w:rFonts w:ascii="Arial" w:hAnsi="Arial" w:cs="Arial"/>
          <w:sz w:val="20"/>
          <w:szCs w:val="20"/>
        </w:rPr>
      </w:pPr>
    </w:p>
    <w:p w14:paraId="79D91FE7" w14:textId="77777777" w:rsidR="00CD51FE" w:rsidRPr="00F56B61" w:rsidRDefault="00CD51FE" w:rsidP="00CD51FE">
      <w:pPr>
        <w:widowControl/>
        <w:tabs>
          <w:tab w:val="left" w:pos="-1440"/>
          <w:tab w:val="left" w:pos="-720"/>
        </w:tabs>
        <w:rPr>
          <w:rFonts w:ascii="Arial" w:hAnsi="Arial" w:cs="Arial"/>
          <w:sz w:val="20"/>
          <w:szCs w:val="20"/>
        </w:rPr>
      </w:pPr>
    </w:p>
    <w:p w14:paraId="79D91FE8"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79D91FE9" w14:textId="77777777" w:rsidR="00CD51FE" w:rsidRDefault="00CD51FE" w:rsidP="00CD51FE">
      <w:pPr>
        <w:spacing w:line="480" w:lineRule="auto"/>
        <w:rPr>
          <w:rFonts w:cs="Courier New"/>
          <w:b/>
        </w:rPr>
      </w:pPr>
    </w:p>
    <w:p w14:paraId="79D91FEA" w14:textId="77777777" w:rsidR="00CD51FE" w:rsidRDefault="00CD51FE" w:rsidP="00CD51FE">
      <w:pPr>
        <w:spacing w:line="480" w:lineRule="auto"/>
        <w:rPr>
          <w:rFonts w:cs="Courier New"/>
          <w:b/>
        </w:rPr>
      </w:pPr>
      <w:r>
        <w:rPr>
          <w:rFonts w:cs="Courier New"/>
          <w:b/>
        </w:rPr>
        <w:t>DEPARTMENT OF HEALTH AND HUMAN SERVICES</w:t>
      </w:r>
    </w:p>
    <w:p w14:paraId="79D91FEB" w14:textId="77777777" w:rsidR="00CD51FE" w:rsidRDefault="00CD51FE" w:rsidP="00CD51FE">
      <w:pPr>
        <w:spacing w:line="480" w:lineRule="auto"/>
        <w:rPr>
          <w:rFonts w:cs="Courier New"/>
          <w:b/>
        </w:rPr>
      </w:pPr>
      <w:r>
        <w:rPr>
          <w:rFonts w:cs="Courier New"/>
          <w:b/>
        </w:rPr>
        <w:t>Centers for Disease Control and Prevention</w:t>
      </w:r>
    </w:p>
    <w:p w14:paraId="79D91FEC" w14:textId="77777777" w:rsidR="00CD51FE" w:rsidRPr="00351DE6" w:rsidRDefault="00CD51FE" w:rsidP="00CD51FE">
      <w:pPr>
        <w:spacing w:line="480" w:lineRule="auto"/>
        <w:rPr>
          <w:rFonts w:cs="Courier New"/>
          <w:b/>
        </w:rPr>
      </w:pPr>
      <w:r>
        <w:rPr>
          <w:rFonts w:cs="Courier New"/>
          <w:b/>
        </w:rPr>
        <w:t>[60Day-</w:t>
      </w:r>
      <w:r w:rsidR="00964F42">
        <w:rPr>
          <w:rFonts w:cs="Courier New"/>
          <w:b/>
          <w:highlight w:val="yellow"/>
        </w:rPr>
        <w:t>16</w:t>
      </w:r>
      <w:r w:rsidRPr="00CD51FE">
        <w:rPr>
          <w:rFonts w:cs="Courier New"/>
          <w:b/>
          <w:highlight w:val="yellow"/>
        </w:rPr>
        <w:t>-xxxx</w:t>
      </w:r>
      <w:r>
        <w:rPr>
          <w:rFonts w:cs="Courier New"/>
          <w:b/>
        </w:rPr>
        <w:t>]</w:t>
      </w:r>
    </w:p>
    <w:p w14:paraId="79D91FED" w14:textId="77777777" w:rsidR="00CD51FE" w:rsidRDefault="00CD51FE" w:rsidP="00CD51FE">
      <w:pPr>
        <w:spacing w:line="480" w:lineRule="auto"/>
        <w:rPr>
          <w:rFonts w:cs="Courier New"/>
          <w:b/>
        </w:rPr>
      </w:pPr>
      <w:r>
        <w:rPr>
          <w:rFonts w:cs="Courier New"/>
          <w:b/>
        </w:rPr>
        <w:t>[Docket No. CDC-</w:t>
      </w:r>
      <w:r w:rsidRPr="00CD51FE">
        <w:rPr>
          <w:rFonts w:cs="Courier New"/>
          <w:b/>
          <w:highlight w:val="yellow"/>
        </w:rPr>
        <w:t>201x-xxxx</w:t>
      </w:r>
      <w:r>
        <w:rPr>
          <w:rFonts w:cs="Courier New"/>
          <w:b/>
        </w:rPr>
        <w:t>]</w:t>
      </w:r>
    </w:p>
    <w:p w14:paraId="79D91FEE" w14:textId="77777777" w:rsidR="00CD51FE" w:rsidRDefault="00CD51FE" w:rsidP="00CD51FE">
      <w:pPr>
        <w:spacing w:line="480" w:lineRule="auto"/>
        <w:rPr>
          <w:rFonts w:cs="Courier New"/>
          <w:b/>
        </w:rPr>
      </w:pPr>
    </w:p>
    <w:p w14:paraId="79D91FEF"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79D91FF0" w14:textId="77777777" w:rsidR="00CD51FE" w:rsidRDefault="00CD51FE" w:rsidP="00CD51FE">
      <w:pPr>
        <w:spacing w:line="480" w:lineRule="auto"/>
        <w:rPr>
          <w:rFonts w:cs="Courier New"/>
          <w:b/>
        </w:rPr>
      </w:pPr>
    </w:p>
    <w:p w14:paraId="79D91FF1"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79D91FF2" w14:textId="77777777" w:rsidR="00CD51FE" w:rsidRDefault="00CD51FE" w:rsidP="00CD51FE">
      <w:pPr>
        <w:spacing w:line="480" w:lineRule="auto"/>
        <w:rPr>
          <w:rFonts w:cs="Courier New"/>
        </w:rPr>
      </w:pPr>
    </w:p>
    <w:p w14:paraId="79D91FF3"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79D91FF4" w14:textId="77777777" w:rsidR="00CD51FE" w:rsidRDefault="00CD51FE" w:rsidP="00CD51FE">
      <w:pPr>
        <w:spacing w:line="480" w:lineRule="auto"/>
        <w:rPr>
          <w:rFonts w:cs="Courier New"/>
        </w:rPr>
      </w:pPr>
    </w:p>
    <w:p w14:paraId="79D91FF5" w14:textId="77777777"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w:t>
      </w:r>
      <w:r w:rsidR="00964F42">
        <w:rPr>
          <w:rFonts w:cs="Courier New"/>
        </w:rPr>
        <w:t xml:space="preserve"> </w:t>
      </w:r>
      <w:r w:rsidR="00964F42" w:rsidRPr="00964F42">
        <w:rPr>
          <w:rFonts w:cs="Courier New"/>
        </w:rPr>
        <w:t xml:space="preserve">Undetermined cause of cardiac </w:t>
      </w:r>
      <w:r w:rsidR="00964F42" w:rsidRPr="00964F42">
        <w:rPr>
          <w:rFonts w:cs="Courier New"/>
        </w:rPr>
        <w:lastRenderedPageBreak/>
        <w:t xml:space="preserve">arrest during hemodialysis — Connecticut 2015-2016 </w:t>
      </w:r>
      <w:r w:rsidR="00964F42">
        <w:rPr>
          <w:rFonts w:cs="Courier New"/>
        </w:rPr>
        <w:t>to</w:t>
      </w:r>
      <w:r w:rsidR="00964F42">
        <w:t xml:space="preserve"> perform expanded case-finding in order to </w:t>
      </w:r>
      <w:r w:rsidR="00964F42" w:rsidRPr="005833E2">
        <w:t>determine the baseline frequency of cardiac arrest during dialysis</w:t>
      </w:r>
      <w:r w:rsidR="004F0E55">
        <w:t xml:space="preserve"> following a cluster of occurrences</w:t>
      </w:r>
      <w:r>
        <w:rPr>
          <w:rFonts w:cs="Courier New"/>
        </w:rPr>
        <w:t>.</w:t>
      </w:r>
    </w:p>
    <w:p w14:paraId="79D91FF6" w14:textId="77777777" w:rsidR="00CD51FE" w:rsidRDefault="00CD51FE" w:rsidP="00CD51FE">
      <w:pPr>
        <w:spacing w:line="480" w:lineRule="auto"/>
        <w:rPr>
          <w:rFonts w:cs="Courier New"/>
        </w:rPr>
      </w:pPr>
    </w:p>
    <w:p w14:paraId="79D91FF7"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79D91FF8" w14:textId="77777777" w:rsidR="00CD51FE" w:rsidRDefault="00CD51FE" w:rsidP="00CD51FE">
      <w:pPr>
        <w:spacing w:line="480" w:lineRule="auto"/>
        <w:rPr>
          <w:rFonts w:cs="Courier New"/>
        </w:rPr>
      </w:pPr>
    </w:p>
    <w:p w14:paraId="79D91FF9" w14:textId="77777777"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201x-xxxx</w:t>
      </w:r>
      <w:r>
        <w:rPr>
          <w:rFonts w:cs="Courier New"/>
        </w:rPr>
        <w:t xml:space="preserve"> by any of the following methods:</w:t>
      </w:r>
    </w:p>
    <w:p w14:paraId="79D91FFA"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79D91FFB"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79D91FFC"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79D91FFD" w14:textId="77777777" w:rsidR="00CD51FE" w:rsidRDefault="00CD51FE" w:rsidP="00CD51FE">
      <w:pPr>
        <w:spacing w:line="480" w:lineRule="auto"/>
        <w:rPr>
          <w:rFonts w:cs="Courier New"/>
        </w:rPr>
      </w:pPr>
    </w:p>
    <w:p w14:paraId="79D91FFE"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xml:space="preserve">) or by U.S. mail to </w:t>
      </w:r>
      <w:r>
        <w:rPr>
          <w:rFonts w:cs="Courier New"/>
          <w:u w:val="single"/>
        </w:rPr>
        <w:lastRenderedPageBreak/>
        <w:t>the address listed above.</w:t>
      </w:r>
    </w:p>
    <w:p w14:paraId="79D91FFF" w14:textId="77777777" w:rsidR="00CD51FE" w:rsidRPr="00870754" w:rsidRDefault="00CD51FE" w:rsidP="00CD51FE">
      <w:pPr>
        <w:spacing w:line="480" w:lineRule="auto"/>
        <w:rPr>
          <w:rFonts w:cs="Courier New"/>
        </w:rPr>
      </w:pPr>
    </w:p>
    <w:p w14:paraId="79D92000"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79D92001" w14:textId="77777777" w:rsidR="00CD51FE" w:rsidRDefault="00CD51FE" w:rsidP="00CD51FE">
      <w:pPr>
        <w:spacing w:line="480" w:lineRule="auto"/>
        <w:rPr>
          <w:rFonts w:cs="Courier New"/>
          <w:b/>
        </w:rPr>
      </w:pPr>
    </w:p>
    <w:p w14:paraId="79D92002" w14:textId="77777777" w:rsidR="00CD51FE" w:rsidRDefault="00CD51FE" w:rsidP="00CD51FE">
      <w:pPr>
        <w:spacing w:line="480" w:lineRule="auto"/>
        <w:rPr>
          <w:rFonts w:cs="Courier New"/>
          <w:b/>
        </w:rPr>
      </w:pPr>
      <w:r>
        <w:rPr>
          <w:rFonts w:cs="Courier New"/>
          <w:b/>
        </w:rPr>
        <w:t>SUPPLEMENTARY INFORMATION:</w:t>
      </w:r>
    </w:p>
    <w:p w14:paraId="79D92003"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79D92004"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w:t>
      </w:r>
      <w:r w:rsidRPr="008D1C7C">
        <w:rPr>
          <w:rFonts w:cs="Courier New"/>
        </w:rPr>
        <w:lastRenderedPageBreak/>
        <w:t xml:space="preserve">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79D92005" w14:textId="77777777" w:rsidR="00CD51FE" w:rsidRPr="00F75F02" w:rsidRDefault="00CD51FE" w:rsidP="00CD51FE">
      <w:pPr>
        <w:spacing w:line="480" w:lineRule="auto"/>
        <w:rPr>
          <w:rFonts w:cs="Courier New"/>
        </w:rPr>
      </w:pPr>
    </w:p>
    <w:p w14:paraId="79D92006" w14:textId="77777777" w:rsidR="00CD51FE" w:rsidRDefault="00CD51FE" w:rsidP="00CD51FE">
      <w:pPr>
        <w:spacing w:line="480" w:lineRule="auto"/>
        <w:rPr>
          <w:rFonts w:cs="Courier New"/>
          <w:b/>
        </w:rPr>
      </w:pPr>
      <w:r>
        <w:rPr>
          <w:rFonts w:cs="Courier New"/>
          <w:b/>
        </w:rPr>
        <w:t>Proposed Project</w:t>
      </w:r>
    </w:p>
    <w:p w14:paraId="79D92007" w14:textId="77777777" w:rsidR="00CD51FE" w:rsidRDefault="00CD51FE" w:rsidP="00CD51FE">
      <w:pPr>
        <w:spacing w:line="480" w:lineRule="auto"/>
        <w:rPr>
          <w:rFonts w:cs="Courier New"/>
          <w:b/>
        </w:rPr>
      </w:pPr>
    </w:p>
    <w:p w14:paraId="79D92008" w14:textId="3B6B16EC" w:rsidR="00CD51FE" w:rsidRDefault="004F0E55" w:rsidP="00CD51FE">
      <w:pPr>
        <w:spacing w:line="480" w:lineRule="auto"/>
        <w:rPr>
          <w:rFonts w:cs="Courier New"/>
          <w:b/>
        </w:rPr>
      </w:pPr>
      <w:r w:rsidRPr="004F0E55">
        <w:rPr>
          <w:rFonts w:cs="Courier New"/>
          <w:b/>
        </w:rPr>
        <w:lastRenderedPageBreak/>
        <w:t>Undetermined cause of car</w:t>
      </w:r>
      <w:r w:rsidR="00D46109">
        <w:rPr>
          <w:rFonts w:cs="Courier New"/>
          <w:b/>
        </w:rPr>
        <w:t>diac arrest during hemodialysis</w:t>
      </w:r>
      <w:r w:rsidRPr="004F0E55">
        <w:rPr>
          <w:rFonts w:cs="Courier New"/>
          <w:b/>
        </w:rPr>
        <w:t>—</w:t>
      </w:r>
      <w:bookmarkStart w:id="1" w:name="_GoBack"/>
      <w:bookmarkEnd w:id="1"/>
      <w:r w:rsidRPr="004F0E55">
        <w:rPr>
          <w:rFonts w:cs="Courier New"/>
          <w:b/>
        </w:rPr>
        <w:t>Connecticut 2015-2016</w:t>
      </w:r>
      <w:r w:rsidR="00CD51FE">
        <w:rPr>
          <w:rFonts w:cs="Courier New"/>
          <w:b/>
        </w:rPr>
        <w:t xml:space="preserve"> –</w:t>
      </w:r>
      <w:r w:rsidR="00CD51FE" w:rsidRPr="00D77E80">
        <w:rPr>
          <w:rFonts w:cs="Courier New"/>
          <w:b/>
        </w:rPr>
        <w:t xml:space="preserve"> </w:t>
      </w:r>
      <w:r>
        <w:rPr>
          <w:rFonts w:cs="Courier New"/>
          <w:b/>
        </w:rPr>
        <w:t>New</w:t>
      </w:r>
      <w:r w:rsidR="00CD51FE" w:rsidRPr="00D77E80">
        <w:rPr>
          <w:rFonts w:cs="Courier New"/>
          <w:b/>
        </w:rPr>
        <w:t xml:space="preserve"> –</w:t>
      </w:r>
      <w:r w:rsidR="00CD51FE">
        <w:rPr>
          <w:rFonts w:cs="Courier New"/>
          <w:b/>
        </w:rPr>
        <w:t xml:space="preserve"> </w:t>
      </w:r>
      <w:r>
        <w:rPr>
          <w:rFonts w:cs="Courier New"/>
          <w:b/>
        </w:rPr>
        <w:t>National Center for Emerging and Zoonotic Infectious Diseases (NCEZID)</w:t>
      </w:r>
      <w:r w:rsidR="00CD51FE" w:rsidRPr="00D77E80">
        <w:rPr>
          <w:rFonts w:cs="Courier New"/>
          <w:b/>
        </w:rPr>
        <w:t>, Centers for Disease Control and Prevention (CDC).</w:t>
      </w:r>
    </w:p>
    <w:p w14:paraId="79D92009" w14:textId="77777777" w:rsidR="00CD51FE" w:rsidRDefault="00CD51FE" w:rsidP="00CD51FE">
      <w:pPr>
        <w:spacing w:line="480" w:lineRule="auto"/>
        <w:rPr>
          <w:rFonts w:cs="Courier New"/>
          <w:b/>
        </w:rPr>
      </w:pPr>
    </w:p>
    <w:p w14:paraId="79D9200A"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79D9200B" w14:textId="77777777" w:rsidR="004F0E55" w:rsidRPr="00A955CC" w:rsidRDefault="004F0E55" w:rsidP="004F0E55">
      <w:pPr>
        <w:spacing w:line="480" w:lineRule="auto"/>
        <w:ind w:firstLine="720"/>
        <w:jc w:val="both"/>
        <w:rPr>
          <w:rFonts w:cs="Courier New"/>
        </w:rPr>
      </w:pPr>
      <w:r w:rsidRPr="00A955CC">
        <w:rPr>
          <w:rFonts w:cs="Courier New"/>
        </w:rPr>
        <w:t>Dialysis patients have higher mortality rates than the general population. According to the United States Renal Data System, sudden cardiac death is one of the leading causes of death among dialysis patients. However, sudden cardiac deaths and cardiac arrests that occur during dialysis treatment and are witnessed by dialysis clinic staff are not common. Published data reported a rate of 7 episodes per 1,000 patients-years for witnessed sudden cardiac arrest among dialysis patients.</w:t>
      </w:r>
    </w:p>
    <w:p w14:paraId="79D9200C" w14:textId="77777777" w:rsidR="004F0E55" w:rsidRDefault="004F0E55" w:rsidP="004F0E55">
      <w:pPr>
        <w:spacing w:line="480" w:lineRule="auto"/>
        <w:ind w:firstLine="720"/>
        <w:jc w:val="both"/>
        <w:rPr>
          <w:rFonts w:cs="Courier New"/>
        </w:rPr>
      </w:pPr>
    </w:p>
    <w:p w14:paraId="79D9200D" w14:textId="77777777" w:rsidR="004F0E55" w:rsidRPr="00A955CC" w:rsidRDefault="004F0E55" w:rsidP="004F0E55">
      <w:pPr>
        <w:spacing w:line="480" w:lineRule="auto"/>
        <w:ind w:firstLine="720"/>
        <w:jc w:val="both"/>
        <w:rPr>
          <w:rFonts w:cs="Courier New"/>
        </w:rPr>
      </w:pPr>
      <w:r w:rsidRPr="00A955CC">
        <w:rPr>
          <w:rFonts w:cs="Courier New"/>
        </w:rPr>
        <w:t xml:space="preserve">In December 2015 and January 2016, the Connecticut Department of Public Health (CT DOH) received reports of six patients who experienced sudden and unexpected cardiovascular collapse and/or cardiac arrest during routine outpatient hemodialysis; three of the six expired. Four of these events occurred in one clinic: two on 12/18/2015, one on 12/19/2015 and one on 1/12/2016. The remaining two events occurred at two separate clinics: one on 12/18/2015 and one on 12/30/2015. These events occurred 30 to 135 minutes after the initiation of the dialysis treatment and not </w:t>
      </w:r>
      <w:r w:rsidRPr="00A955CC">
        <w:rPr>
          <w:rFonts w:cs="Courier New"/>
        </w:rPr>
        <w:lastRenderedPageBreak/>
        <w:t>immediately following administration of a medication.  Three of the affected patients had findings suggestive of possible anaphylactic reaction (airway edema noted clinically and/or during autopsy and elevated serum tryptase level). Preliminary investigation has not implicated a common medication or healthcare de</w:t>
      </w:r>
      <w:r>
        <w:rPr>
          <w:rFonts w:cs="Courier New"/>
        </w:rPr>
        <w:t>vice used by affected patients.</w:t>
      </w:r>
    </w:p>
    <w:p w14:paraId="79D9200E" w14:textId="77777777" w:rsidR="004F0E55" w:rsidRDefault="004F0E55" w:rsidP="004F0E55">
      <w:pPr>
        <w:spacing w:line="480" w:lineRule="auto"/>
        <w:ind w:firstLine="720"/>
        <w:jc w:val="both"/>
        <w:rPr>
          <w:rFonts w:cs="Courier New"/>
        </w:rPr>
      </w:pPr>
    </w:p>
    <w:p w14:paraId="79D9200F" w14:textId="77777777" w:rsidR="004F0E55" w:rsidRPr="00A955CC" w:rsidRDefault="004F0E55" w:rsidP="004F0E55">
      <w:pPr>
        <w:spacing w:line="480" w:lineRule="auto"/>
        <w:ind w:firstLine="720"/>
        <w:jc w:val="both"/>
        <w:rPr>
          <w:rFonts w:cs="Courier New"/>
        </w:rPr>
      </w:pPr>
      <w:r w:rsidRPr="00A955CC">
        <w:rPr>
          <w:rFonts w:cs="Courier New"/>
        </w:rPr>
        <w:t>Given the severity and urgency of the problem and potential for additional cases, The Connecticut Department of Public Health requested assistance fro</w:t>
      </w:r>
      <w:r>
        <w:rPr>
          <w:rFonts w:cs="Courier New"/>
        </w:rPr>
        <w:t>m CDC to investigate the issue.</w:t>
      </w:r>
    </w:p>
    <w:p w14:paraId="79D92010" w14:textId="77777777" w:rsidR="004F0E55" w:rsidRPr="00A955CC" w:rsidRDefault="004F0E55" w:rsidP="004F0E55">
      <w:pPr>
        <w:spacing w:line="480" w:lineRule="auto"/>
        <w:jc w:val="both"/>
        <w:rPr>
          <w:rFonts w:cs="Courier New"/>
        </w:rPr>
      </w:pPr>
      <w:r w:rsidRPr="00A955CC">
        <w:rPr>
          <w:rFonts w:cs="Courier New"/>
        </w:rPr>
        <w:t>CDC is currently conducting an epi-aid to support the Connecticut Department of Public Health (CT DPH) with their investigation of these events. Because these events could be linked to a healthcare product (e.g., medical device or pharmaceutical) with widespread distribution, broad case-finding efforts are needed.</w:t>
      </w:r>
    </w:p>
    <w:p w14:paraId="79D92011" w14:textId="77777777" w:rsidR="004F0E55" w:rsidRDefault="004F0E55" w:rsidP="004F0E55">
      <w:pPr>
        <w:spacing w:line="480" w:lineRule="auto"/>
        <w:ind w:firstLine="720"/>
        <w:jc w:val="both"/>
        <w:rPr>
          <w:rFonts w:cs="Courier New"/>
        </w:rPr>
      </w:pPr>
    </w:p>
    <w:p w14:paraId="79D92012" w14:textId="77777777" w:rsidR="004F0E55" w:rsidRPr="00A955CC" w:rsidRDefault="004F0E55" w:rsidP="004F0E55">
      <w:pPr>
        <w:spacing w:line="480" w:lineRule="auto"/>
        <w:ind w:firstLine="720"/>
        <w:jc w:val="both"/>
        <w:rPr>
          <w:rFonts w:cs="Courier New"/>
        </w:rPr>
      </w:pPr>
      <w:r w:rsidRPr="00A955CC">
        <w:rPr>
          <w:rFonts w:cs="Courier New"/>
        </w:rPr>
        <w:t>This information is essential to the CDC’s ability to identify a cause of these events and prevent additional events from occurring.</w:t>
      </w:r>
    </w:p>
    <w:p w14:paraId="79D92013" w14:textId="77777777" w:rsidR="004F0E55" w:rsidRDefault="004F0E55" w:rsidP="004F0E55">
      <w:pPr>
        <w:spacing w:line="480" w:lineRule="auto"/>
        <w:ind w:firstLine="720"/>
        <w:jc w:val="both"/>
        <w:rPr>
          <w:rFonts w:cs="Courier New"/>
        </w:rPr>
      </w:pPr>
    </w:p>
    <w:p w14:paraId="79D92014" w14:textId="77777777" w:rsidR="004F0E55" w:rsidRPr="00A955CC" w:rsidRDefault="004F0E55" w:rsidP="004F0E55">
      <w:pPr>
        <w:spacing w:line="480" w:lineRule="auto"/>
        <w:ind w:firstLine="720"/>
        <w:jc w:val="both"/>
        <w:rPr>
          <w:rFonts w:cs="Courier New"/>
        </w:rPr>
      </w:pPr>
      <w:r w:rsidRPr="00A955CC">
        <w:rPr>
          <w:rFonts w:cs="Courier New"/>
        </w:rPr>
        <w:t xml:space="preserve">Nationwide case finding will be implemented (through Epi-X or professional list serve). The target audience of the case finding will include, but not be limited to, state and local health departments, medical examiners, dialysis providers, and </w:t>
      </w:r>
      <w:r w:rsidRPr="00A955CC">
        <w:rPr>
          <w:rFonts w:cs="Courier New"/>
        </w:rPr>
        <w:lastRenderedPageBreak/>
        <w:t>nephrologists. They will be asked to report any potential cases to CDC. Information on each case will be collected using a data collection form. Depending on the nature of each case, CDC may reach out to relevant healthcare facilities or healthcare staff for additional information and any prevention measures.</w:t>
      </w:r>
      <w:r>
        <w:rPr>
          <w:rFonts w:cs="Courier New"/>
        </w:rPr>
        <w:t xml:space="preserve"> </w:t>
      </w:r>
      <w:r w:rsidRPr="00BF1D38">
        <w:rPr>
          <w:rFonts w:cs="Courier New"/>
        </w:rPr>
        <w:t>The data collected from the investigation will be used to identify potential risk factors leading to sudden cardiac arrest among dialysis patients in order to prevent further adverse events.</w:t>
      </w:r>
    </w:p>
    <w:p w14:paraId="79D92015" w14:textId="77777777" w:rsidR="00CD51FE" w:rsidRDefault="00CD51FE" w:rsidP="00CD51FE">
      <w:pPr>
        <w:spacing w:line="480" w:lineRule="auto"/>
        <w:rPr>
          <w:rFonts w:cs="Courier New"/>
          <w:b/>
          <w:u w:val="single"/>
        </w:rPr>
      </w:pPr>
    </w:p>
    <w:p w14:paraId="79D92016" w14:textId="77777777" w:rsidR="00CD51FE" w:rsidRPr="00995394" w:rsidRDefault="00CD51FE" w:rsidP="00CD51FE">
      <w:pPr>
        <w:spacing w:line="480" w:lineRule="auto"/>
        <w:rPr>
          <w:rFonts w:cs="Courier New"/>
          <w:b/>
          <w:u w:val="single"/>
        </w:rPr>
      </w:pPr>
    </w:p>
    <w:p w14:paraId="79D92017"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2237"/>
        <w:gridCol w:w="1471"/>
        <w:gridCol w:w="1581"/>
        <w:gridCol w:w="1308"/>
        <w:gridCol w:w="1035"/>
      </w:tblGrid>
      <w:tr w:rsidR="00CD51FE" w:rsidRPr="008E1BA4" w14:paraId="79D9201E" w14:textId="77777777" w:rsidTr="00D22C18">
        <w:tc>
          <w:tcPr>
            <w:tcW w:w="1718" w:type="dxa"/>
            <w:shd w:val="clear" w:color="auto" w:fill="auto"/>
          </w:tcPr>
          <w:p w14:paraId="79D92018" w14:textId="77777777" w:rsidR="00CD51FE" w:rsidRPr="008E1BA4" w:rsidRDefault="00CD51FE" w:rsidP="0008461D">
            <w:pPr>
              <w:tabs>
                <w:tab w:val="left" w:pos="0"/>
              </w:tabs>
              <w:rPr>
                <w:rFonts w:cs="EEAGN D+ Melior"/>
                <w:color w:val="000000"/>
              </w:rPr>
            </w:pPr>
            <w:r w:rsidRPr="008E1BA4">
              <w:rPr>
                <w:rFonts w:cs="EEAGN D+ Melior"/>
                <w:color w:val="000000"/>
              </w:rPr>
              <w:t>Type of Respondents</w:t>
            </w:r>
          </w:p>
        </w:tc>
        <w:tc>
          <w:tcPr>
            <w:tcW w:w="2237" w:type="dxa"/>
            <w:shd w:val="clear" w:color="auto" w:fill="auto"/>
          </w:tcPr>
          <w:p w14:paraId="79D92019"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471" w:type="dxa"/>
            <w:shd w:val="clear" w:color="auto" w:fill="auto"/>
          </w:tcPr>
          <w:p w14:paraId="79D9201A"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581" w:type="dxa"/>
            <w:shd w:val="clear" w:color="auto" w:fill="auto"/>
          </w:tcPr>
          <w:p w14:paraId="79D9201B"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308" w:type="dxa"/>
            <w:shd w:val="clear" w:color="auto" w:fill="auto"/>
          </w:tcPr>
          <w:p w14:paraId="79D9201C" w14:textId="77777777" w:rsidR="00CD51FE" w:rsidRPr="008E1BA4" w:rsidRDefault="00CD51FE" w:rsidP="0008461D">
            <w:pPr>
              <w:tabs>
                <w:tab w:val="left" w:pos="0"/>
              </w:tabs>
              <w:rPr>
                <w:rFonts w:cs="EEAGN D+ Melior"/>
                <w:color w:val="000000"/>
              </w:rPr>
            </w:pPr>
            <w:r w:rsidRPr="008E1BA4">
              <w:rPr>
                <w:rFonts w:cs="EEAGN D+ Melior"/>
                <w:color w:val="000000"/>
              </w:rPr>
              <w:t>Avg. Burden per Response (in hrs.)</w:t>
            </w:r>
          </w:p>
        </w:tc>
        <w:tc>
          <w:tcPr>
            <w:tcW w:w="1035" w:type="dxa"/>
            <w:shd w:val="clear" w:color="auto" w:fill="auto"/>
          </w:tcPr>
          <w:p w14:paraId="79D9201D"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D22C18" w:rsidRPr="008E1BA4" w14:paraId="79D92025" w14:textId="77777777" w:rsidTr="00D22C18">
        <w:tc>
          <w:tcPr>
            <w:tcW w:w="1718" w:type="dxa"/>
            <w:vMerge w:val="restart"/>
            <w:shd w:val="clear" w:color="auto" w:fill="auto"/>
          </w:tcPr>
          <w:p w14:paraId="79D9201F" w14:textId="77777777" w:rsidR="00D22C18" w:rsidRPr="008E1BA4" w:rsidRDefault="00D22C18" w:rsidP="00D22C18">
            <w:pPr>
              <w:tabs>
                <w:tab w:val="left" w:pos="0"/>
              </w:tabs>
              <w:rPr>
                <w:rFonts w:cs="EEAGN D+ Melior"/>
                <w:color w:val="000000"/>
              </w:rPr>
            </w:pPr>
            <w:r>
              <w:rPr>
                <w:rFonts w:cs="EEAGN D+ Melior"/>
                <w:color w:val="000000"/>
              </w:rPr>
              <w:t>Patients</w:t>
            </w:r>
          </w:p>
        </w:tc>
        <w:tc>
          <w:tcPr>
            <w:tcW w:w="2237" w:type="dxa"/>
            <w:shd w:val="clear" w:color="auto" w:fill="auto"/>
          </w:tcPr>
          <w:p w14:paraId="79D92020" w14:textId="77777777" w:rsidR="00D22C18" w:rsidRPr="005A1D72" w:rsidRDefault="00D22C18" w:rsidP="00D22C18">
            <w:pPr>
              <w:spacing w:before="120" w:after="120"/>
            </w:pPr>
            <w:r>
              <w:t>Questionnaire for patients who suffered from cardiac arrest but survived</w:t>
            </w:r>
          </w:p>
        </w:tc>
        <w:tc>
          <w:tcPr>
            <w:tcW w:w="1471" w:type="dxa"/>
            <w:shd w:val="clear" w:color="auto" w:fill="auto"/>
          </w:tcPr>
          <w:p w14:paraId="79D92021" w14:textId="77777777" w:rsidR="00D22C18" w:rsidRPr="008E1BA4" w:rsidRDefault="00D22C18" w:rsidP="00D22C18">
            <w:pPr>
              <w:tabs>
                <w:tab w:val="left" w:pos="0"/>
              </w:tabs>
              <w:rPr>
                <w:rFonts w:cs="EEAGN D+ Melior"/>
                <w:color w:val="000000"/>
              </w:rPr>
            </w:pPr>
            <w:r>
              <w:rPr>
                <w:rFonts w:cs="EEAGN D+ Melior"/>
                <w:color w:val="000000"/>
              </w:rPr>
              <w:t>4</w:t>
            </w:r>
          </w:p>
        </w:tc>
        <w:tc>
          <w:tcPr>
            <w:tcW w:w="1581" w:type="dxa"/>
            <w:shd w:val="clear" w:color="auto" w:fill="auto"/>
          </w:tcPr>
          <w:p w14:paraId="79D92022" w14:textId="77777777" w:rsidR="00D22C18" w:rsidRPr="008E1BA4" w:rsidRDefault="00D22C18" w:rsidP="00D22C18">
            <w:pPr>
              <w:tabs>
                <w:tab w:val="left" w:pos="0"/>
              </w:tabs>
              <w:rPr>
                <w:rFonts w:cs="EEAGN D+ Melior"/>
                <w:color w:val="000000"/>
              </w:rPr>
            </w:pPr>
            <w:r>
              <w:rPr>
                <w:rFonts w:cs="EEAGN D+ Melior"/>
                <w:color w:val="000000"/>
              </w:rPr>
              <w:t>1</w:t>
            </w:r>
          </w:p>
        </w:tc>
        <w:tc>
          <w:tcPr>
            <w:tcW w:w="1308" w:type="dxa"/>
            <w:shd w:val="clear" w:color="auto" w:fill="auto"/>
          </w:tcPr>
          <w:p w14:paraId="79D92023" w14:textId="77777777" w:rsidR="00D22C18" w:rsidRPr="008E1BA4" w:rsidRDefault="00D22C18" w:rsidP="00D22C18">
            <w:pPr>
              <w:tabs>
                <w:tab w:val="left" w:pos="0"/>
              </w:tabs>
              <w:rPr>
                <w:rFonts w:cs="EEAGN D+ Melior"/>
                <w:color w:val="000000"/>
              </w:rPr>
            </w:pPr>
            <w:r>
              <w:rPr>
                <w:rFonts w:cs="EEAGN D+ Melior"/>
                <w:color w:val="000000"/>
              </w:rPr>
              <w:t>30/60</w:t>
            </w:r>
          </w:p>
        </w:tc>
        <w:tc>
          <w:tcPr>
            <w:tcW w:w="1035" w:type="dxa"/>
            <w:shd w:val="clear" w:color="auto" w:fill="auto"/>
          </w:tcPr>
          <w:p w14:paraId="79D92024" w14:textId="77777777" w:rsidR="00D22C18" w:rsidRPr="008E1BA4" w:rsidRDefault="00D22C18" w:rsidP="00D22C18">
            <w:pPr>
              <w:tabs>
                <w:tab w:val="left" w:pos="0"/>
              </w:tabs>
              <w:rPr>
                <w:rFonts w:cs="EEAGN D+ Melior"/>
                <w:color w:val="000000"/>
              </w:rPr>
            </w:pPr>
            <w:r>
              <w:rPr>
                <w:rFonts w:cs="EEAGN D+ Melior"/>
                <w:color w:val="000000"/>
              </w:rPr>
              <w:t>2</w:t>
            </w:r>
          </w:p>
        </w:tc>
      </w:tr>
      <w:tr w:rsidR="00D22C18" w:rsidRPr="008E1BA4" w14:paraId="79D9202C" w14:textId="77777777" w:rsidTr="00D22C18">
        <w:tc>
          <w:tcPr>
            <w:tcW w:w="1718" w:type="dxa"/>
            <w:vMerge/>
            <w:shd w:val="clear" w:color="auto" w:fill="auto"/>
          </w:tcPr>
          <w:p w14:paraId="79D92026" w14:textId="77777777" w:rsidR="00D22C18" w:rsidRPr="008E1BA4" w:rsidRDefault="00D22C18" w:rsidP="00D22C18">
            <w:pPr>
              <w:tabs>
                <w:tab w:val="left" w:pos="0"/>
              </w:tabs>
              <w:rPr>
                <w:rFonts w:cs="EEAGN D+ Melior"/>
                <w:color w:val="000000"/>
              </w:rPr>
            </w:pPr>
          </w:p>
        </w:tc>
        <w:tc>
          <w:tcPr>
            <w:tcW w:w="2237" w:type="dxa"/>
            <w:shd w:val="clear" w:color="auto" w:fill="auto"/>
          </w:tcPr>
          <w:p w14:paraId="79D92027" w14:textId="77777777" w:rsidR="00D22C18" w:rsidRPr="005A1D72" w:rsidRDefault="00D22C18" w:rsidP="00D22C18">
            <w:pPr>
              <w:spacing w:before="120" w:after="120"/>
            </w:pPr>
            <w:r>
              <w:t>Questionnaire for other patients</w:t>
            </w:r>
          </w:p>
        </w:tc>
        <w:tc>
          <w:tcPr>
            <w:tcW w:w="1471" w:type="dxa"/>
            <w:shd w:val="clear" w:color="auto" w:fill="auto"/>
          </w:tcPr>
          <w:p w14:paraId="79D92028" w14:textId="77777777" w:rsidR="00D22C18" w:rsidRPr="008E1BA4" w:rsidRDefault="00D22C18" w:rsidP="00D22C18">
            <w:pPr>
              <w:tabs>
                <w:tab w:val="left" w:pos="0"/>
              </w:tabs>
              <w:rPr>
                <w:rFonts w:cs="EEAGN D+ Melior"/>
                <w:color w:val="000000"/>
              </w:rPr>
            </w:pPr>
            <w:r>
              <w:rPr>
                <w:rFonts w:cs="EEAGN D+ Melior"/>
                <w:color w:val="000000"/>
              </w:rPr>
              <w:t>40</w:t>
            </w:r>
          </w:p>
        </w:tc>
        <w:tc>
          <w:tcPr>
            <w:tcW w:w="1581" w:type="dxa"/>
            <w:shd w:val="clear" w:color="auto" w:fill="auto"/>
          </w:tcPr>
          <w:p w14:paraId="79D92029" w14:textId="77777777" w:rsidR="00D22C18" w:rsidRPr="008E1BA4" w:rsidRDefault="00D22C18" w:rsidP="00D22C18">
            <w:pPr>
              <w:tabs>
                <w:tab w:val="left" w:pos="0"/>
              </w:tabs>
              <w:rPr>
                <w:rFonts w:cs="EEAGN D+ Melior"/>
                <w:color w:val="000000"/>
              </w:rPr>
            </w:pPr>
            <w:r>
              <w:rPr>
                <w:rFonts w:cs="EEAGN D+ Melior"/>
                <w:color w:val="000000"/>
              </w:rPr>
              <w:t>1</w:t>
            </w:r>
          </w:p>
        </w:tc>
        <w:tc>
          <w:tcPr>
            <w:tcW w:w="1308" w:type="dxa"/>
            <w:shd w:val="clear" w:color="auto" w:fill="auto"/>
          </w:tcPr>
          <w:p w14:paraId="79D9202A" w14:textId="77777777" w:rsidR="00D22C18" w:rsidRPr="008E1BA4" w:rsidRDefault="00D22C18" w:rsidP="00D22C18">
            <w:pPr>
              <w:tabs>
                <w:tab w:val="left" w:pos="0"/>
              </w:tabs>
              <w:rPr>
                <w:rFonts w:cs="EEAGN D+ Melior"/>
                <w:color w:val="000000"/>
              </w:rPr>
            </w:pPr>
            <w:r>
              <w:rPr>
                <w:rFonts w:cs="EEAGN D+ Melior"/>
                <w:color w:val="000000"/>
              </w:rPr>
              <w:t>30/60</w:t>
            </w:r>
          </w:p>
        </w:tc>
        <w:tc>
          <w:tcPr>
            <w:tcW w:w="1035" w:type="dxa"/>
            <w:shd w:val="clear" w:color="auto" w:fill="auto"/>
          </w:tcPr>
          <w:p w14:paraId="79D9202B" w14:textId="77777777" w:rsidR="00D22C18" w:rsidRPr="008E1BA4" w:rsidRDefault="00D22C18" w:rsidP="00D22C18">
            <w:pPr>
              <w:tabs>
                <w:tab w:val="left" w:pos="0"/>
              </w:tabs>
              <w:rPr>
                <w:rFonts w:cs="EEAGN D+ Melior"/>
                <w:color w:val="000000"/>
              </w:rPr>
            </w:pPr>
            <w:r>
              <w:rPr>
                <w:rFonts w:cs="EEAGN D+ Melior"/>
                <w:color w:val="000000"/>
              </w:rPr>
              <w:t>20</w:t>
            </w:r>
          </w:p>
        </w:tc>
      </w:tr>
      <w:tr w:rsidR="00D22C18" w:rsidRPr="008E1BA4" w14:paraId="79D92033" w14:textId="77777777" w:rsidTr="00D22C18">
        <w:tc>
          <w:tcPr>
            <w:tcW w:w="1718" w:type="dxa"/>
            <w:vMerge w:val="restart"/>
            <w:shd w:val="clear" w:color="auto" w:fill="auto"/>
          </w:tcPr>
          <w:p w14:paraId="79D9202D" w14:textId="77777777" w:rsidR="00D22C18" w:rsidRPr="008E1BA4" w:rsidRDefault="00D22C18" w:rsidP="00D22C18">
            <w:pPr>
              <w:tabs>
                <w:tab w:val="left" w:pos="0"/>
              </w:tabs>
              <w:rPr>
                <w:rFonts w:cs="EEAGN D+ Melior"/>
                <w:color w:val="000000"/>
              </w:rPr>
            </w:pPr>
            <w:r>
              <w:rPr>
                <w:rFonts w:cs="EEAGN D+ Melior"/>
                <w:color w:val="000000"/>
              </w:rPr>
              <w:t>Healthcare staff</w:t>
            </w:r>
          </w:p>
        </w:tc>
        <w:tc>
          <w:tcPr>
            <w:tcW w:w="2237" w:type="dxa"/>
            <w:shd w:val="clear" w:color="auto" w:fill="auto"/>
          </w:tcPr>
          <w:p w14:paraId="79D9202E" w14:textId="77777777" w:rsidR="00D22C18" w:rsidRPr="005A1D72" w:rsidRDefault="00D22C18" w:rsidP="00D22C18">
            <w:pPr>
              <w:spacing w:before="120" w:after="120"/>
            </w:pPr>
            <w:r>
              <w:t>Questionnaire for staff at the clinic</w:t>
            </w:r>
          </w:p>
        </w:tc>
        <w:tc>
          <w:tcPr>
            <w:tcW w:w="1471" w:type="dxa"/>
            <w:shd w:val="clear" w:color="auto" w:fill="auto"/>
          </w:tcPr>
          <w:p w14:paraId="79D9202F" w14:textId="77777777" w:rsidR="00D22C18" w:rsidRPr="008E1BA4" w:rsidRDefault="00D22C18" w:rsidP="00D22C18">
            <w:pPr>
              <w:tabs>
                <w:tab w:val="left" w:pos="0"/>
              </w:tabs>
              <w:rPr>
                <w:rFonts w:cs="EEAGN D+ Melior"/>
                <w:color w:val="000000"/>
              </w:rPr>
            </w:pPr>
            <w:r>
              <w:rPr>
                <w:rFonts w:cs="EEAGN D+ Melior"/>
                <w:color w:val="000000"/>
              </w:rPr>
              <w:t>60</w:t>
            </w:r>
          </w:p>
        </w:tc>
        <w:tc>
          <w:tcPr>
            <w:tcW w:w="1581" w:type="dxa"/>
            <w:shd w:val="clear" w:color="auto" w:fill="auto"/>
          </w:tcPr>
          <w:p w14:paraId="79D92030" w14:textId="77777777" w:rsidR="00D22C18" w:rsidRPr="008E1BA4" w:rsidRDefault="00D22C18" w:rsidP="00D22C18">
            <w:pPr>
              <w:tabs>
                <w:tab w:val="left" w:pos="0"/>
              </w:tabs>
              <w:rPr>
                <w:rFonts w:cs="EEAGN D+ Melior"/>
                <w:color w:val="000000"/>
              </w:rPr>
            </w:pPr>
            <w:r>
              <w:rPr>
                <w:rFonts w:cs="EEAGN D+ Melior"/>
                <w:color w:val="000000"/>
              </w:rPr>
              <w:t>1</w:t>
            </w:r>
          </w:p>
        </w:tc>
        <w:tc>
          <w:tcPr>
            <w:tcW w:w="1308" w:type="dxa"/>
            <w:shd w:val="clear" w:color="auto" w:fill="auto"/>
          </w:tcPr>
          <w:p w14:paraId="79D92031" w14:textId="77777777" w:rsidR="00D22C18" w:rsidRPr="008E1BA4" w:rsidRDefault="00D22C18" w:rsidP="00D22C18">
            <w:pPr>
              <w:tabs>
                <w:tab w:val="left" w:pos="0"/>
              </w:tabs>
              <w:rPr>
                <w:rFonts w:cs="EEAGN D+ Melior"/>
                <w:color w:val="000000"/>
              </w:rPr>
            </w:pPr>
            <w:r>
              <w:rPr>
                <w:rFonts w:cs="EEAGN D+ Melior"/>
                <w:color w:val="000000"/>
              </w:rPr>
              <w:t>30/60</w:t>
            </w:r>
          </w:p>
        </w:tc>
        <w:tc>
          <w:tcPr>
            <w:tcW w:w="1035" w:type="dxa"/>
            <w:shd w:val="clear" w:color="auto" w:fill="auto"/>
          </w:tcPr>
          <w:p w14:paraId="79D92032" w14:textId="77777777" w:rsidR="00D22C18" w:rsidRPr="008E1BA4" w:rsidRDefault="00D22C18" w:rsidP="00D22C18">
            <w:pPr>
              <w:tabs>
                <w:tab w:val="left" w:pos="0"/>
              </w:tabs>
              <w:rPr>
                <w:rFonts w:cs="EEAGN D+ Melior"/>
                <w:color w:val="000000"/>
              </w:rPr>
            </w:pPr>
            <w:r>
              <w:rPr>
                <w:rFonts w:cs="EEAGN D+ Melior"/>
                <w:color w:val="000000"/>
              </w:rPr>
              <w:t>30</w:t>
            </w:r>
          </w:p>
        </w:tc>
      </w:tr>
      <w:tr w:rsidR="00D22C18" w:rsidRPr="008E1BA4" w14:paraId="79D9203A" w14:textId="77777777" w:rsidTr="00D22C18">
        <w:tc>
          <w:tcPr>
            <w:tcW w:w="1718" w:type="dxa"/>
            <w:vMerge/>
            <w:shd w:val="clear" w:color="auto" w:fill="auto"/>
          </w:tcPr>
          <w:p w14:paraId="79D92034" w14:textId="77777777" w:rsidR="00D22C18" w:rsidRPr="008E1BA4" w:rsidRDefault="00D22C18" w:rsidP="00D22C18">
            <w:pPr>
              <w:tabs>
                <w:tab w:val="left" w:pos="0"/>
              </w:tabs>
              <w:rPr>
                <w:rFonts w:cs="EEAGN D+ Melior"/>
                <w:color w:val="000000"/>
              </w:rPr>
            </w:pPr>
          </w:p>
        </w:tc>
        <w:tc>
          <w:tcPr>
            <w:tcW w:w="2237" w:type="dxa"/>
            <w:shd w:val="clear" w:color="auto" w:fill="auto"/>
          </w:tcPr>
          <w:p w14:paraId="79D92035" w14:textId="77777777" w:rsidR="00D22C18" w:rsidRPr="005A1D72" w:rsidRDefault="00D22C18" w:rsidP="00D22C18">
            <w:pPr>
              <w:spacing w:before="120" w:after="120"/>
            </w:pPr>
            <w:r>
              <w:t>Case finding for data collection</w:t>
            </w:r>
          </w:p>
        </w:tc>
        <w:tc>
          <w:tcPr>
            <w:tcW w:w="1471" w:type="dxa"/>
            <w:shd w:val="clear" w:color="auto" w:fill="auto"/>
          </w:tcPr>
          <w:p w14:paraId="79D92036" w14:textId="77777777" w:rsidR="00D22C18" w:rsidRPr="008E1BA4" w:rsidRDefault="00D22C18" w:rsidP="00D22C18">
            <w:pPr>
              <w:tabs>
                <w:tab w:val="left" w:pos="0"/>
              </w:tabs>
              <w:rPr>
                <w:rFonts w:cs="EEAGN D+ Melior"/>
                <w:color w:val="000000"/>
              </w:rPr>
            </w:pPr>
            <w:r>
              <w:rPr>
                <w:rFonts w:cs="EEAGN D+ Melior"/>
                <w:color w:val="000000"/>
              </w:rPr>
              <w:t>10</w:t>
            </w:r>
          </w:p>
        </w:tc>
        <w:tc>
          <w:tcPr>
            <w:tcW w:w="1581" w:type="dxa"/>
            <w:shd w:val="clear" w:color="auto" w:fill="auto"/>
          </w:tcPr>
          <w:p w14:paraId="79D92037" w14:textId="77777777" w:rsidR="00D22C18" w:rsidRPr="008E1BA4" w:rsidRDefault="00D22C18" w:rsidP="00D22C18">
            <w:pPr>
              <w:tabs>
                <w:tab w:val="left" w:pos="0"/>
              </w:tabs>
              <w:rPr>
                <w:rFonts w:cs="EEAGN D+ Melior"/>
                <w:color w:val="000000"/>
              </w:rPr>
            </w:pPr>
            <w:r>
              <w:rPr>
                <w:rFonts w:cs="EEAGN D+ Melior"/>
                <w:color w:val="000000"/>
              </w:rPr>
              <w:t>1</w:t>
            </w:r>
          </w:p>
        </w:tc>
        <w:tc>
          <w:tcPr>
            <w:tcW w:w="1308" w:type="dxa"/>
            <w:shd w:val="clear" w:color="auto" w:fill="auto"/>
          </w:tcPr>
          <w:p w14:paraId="79D92038" w14:textId="77777777" w:rsidR="00D22C18" w:rsidRPr="008E1BA4" w:rsidRDefault="00D22C18" w:rsidP="00D22C18">
            <w:pPr>
              <w:tabs>
                <w:tab w:val="left" w:pos="0"/>
              </w:tabs>
              <w:rPr>
                <w:rFonts w:cs="EEAGN D+ Melior"/>
                <w:color w:val="000000"/>
              </w:rPr>
            </w:pPr>
            <w:r>
              <w:rPr>
                <w:rFonts w:cs="EEAGN D+ Melior"/>
                <w:color w:val="000000"/>
              </w:rPr>
              <w:t>30/60</w:t>
            </w:r>
          </w:p>
        </w:tc>
        <w:tc>
          <w:tcPr>
            <w:tcW w:w="1035" w:type="dxa"/>
            <w:shd w:val="clear" w:color="auto" w:fill="auto"/>
          </w:tcPr>
          <w:p w14:paraId="79D92039" w14:textId="77777777" w:rsidR="00D22C18" w:rsidRPr="008E1BA4" w:rsidRDefault="00D22C18" w:rsidP="00D22C18">
            <w:pPr>
              <w:tabs>
                <w:tab w:val="left" w:pos="0"/>
              </w:tabs>
              <w:rPr>
                <w:rFonts w:cs="EEAGN D+ Melior"/>
                <w:color w:val="000000"/>
              </w:rPr>
            </w:pPr>
            <w:r>
              <w:rPr>
                <w:rFonts w:cs="EEAGN D+ Melior"/>
                <w:color w:val="000000"/>
              </w:rPr>
              <w:t>5</w:t>
            </w:r>
          </w:p>
        </w:tc>
      </w:tr>
      <w:tr w:rsidR="00CD51FE" w:rsidRPr="008E1BA4" w14:paraId="79D9203E" w14:textId="77777777" w:rsidTr="00D22C18">
        <w:tc>
          <w:tcPr>
            <w:tcW w:w="1718" w:type="dxa"/>
            <w:shd w:val="clear" w:color="auto" w:fill="auto"/>
          </w:tcPr>
          <w:p w14:paraId="79D9203B" w14:textId="77777777" w:rsidR="00CD51FE" w:rsidRPr="008E1BA4" w:rsidRDefault="007213EB" w:rsidP="0008461D">
            <w:pPr>
              <w:tabs>
                <w:tab w:val="left" w:pos="0"/>
              </w:tabs>
              <w:rPr>
                <w:rFonts w:cs="EEAGN D+ Melior"/>
                <w:color w:val="000000"/>
              </w:rPr>
            </w:pPr>
            <w:r w:rsidRPr="008E1BA4">
              <w:rPr>
                <w:rFonts w:cs="EEAGN D+ Melior"/>
                <w:color w:val="000000"/>
              </w:rPr>
              <w:lastRenderedPageBreak/>
              <w:t>Total</w:t>
            </w:r>
          </w:p>
        </w:tc>
        <w:tc>
          <w:tcPr>
            <w:tcW w:w="6597" w:type="dxa"/>
            <w:gridSpan w:val="4"/>
            <w:shd w:val="clear" w:color="auto" w:fill="auto"/>
          </w:tcPr>
          <w:p w14:paraId="79D9203C" w14:textId="77777777" w:rsidR="00CD51FE" w:rsidRPr="008E1BA4" w:rsidRDefault="00CD51FE" w:rsidP="0008461D">
            <w:pPr>
              <w:tabs>
                <w:tab w:val="left" w:pos="0"/>
              </w:tabs>
              <w:rPr>
                <w:rFonts w:cs="EEAGN D+ Melior"/>
                <w:color w:val="000000"/>
              </w:rPr>
            </w:pPr>
          </w:p>
        </w:tc>
        <w:tc>
          <w:tcPr>
            <w:tcW w:w="1035" w:type="dxa"/>
            <w:shd w:val="clear" w:color="auto" w:fill="auto"/>
          </w:tcPr>
          <w:p w14:paraId="79D9203D" w14:textId="77777777" w:rsidR="00CD51FE" w:rsidRPr="008E1BA4" w:rsidRDefault="00D22C18" w:rsidP="0008461D">
            <w:pPr>
              <w:tabs>
                <w:tab w:val="left" w:pos="0"/>
              </w:tabs>
              <w:rPr>
                <w:rFonts w:cs="EEAGN D+ Melior"/>
                <w:color w:val="000000"/>
              </w:rPr>
            </w:pPr>
            <w:r>
              <w:rPr>
                <w:rFonts w:cs="EEAGN D+ Melior"/>
                <w:color w:val="000000"/>
              </w:rPr>
              <w:t>57</w:t>
            </w:r>
          </w:p>
        </w:tc>
      </w:tr>
    </w:tbl>
    <w:p w14:paraId="79D9203F" w14:textId="77777777" w:rsidR="00CD51FE" w:rsidRDefault="00CD51FE" w:rsidP="00CD51FE">
      <w:pPr>
        <w:tabs>
          <w:tab w:val="left" w:pos="0"/>
        </w:tabs>
        <w:spacing w:line="480" w:lineRule="auto"/>
        <w:rPr>
          <w:rFonts w:cs="EEAGN D+ Melior"/>
          <w:color w:val="000000"/>
        </w:rPr>
      </w:pPr>
    </w:p>
    <w:p w14:paraId="79D92040" w14:textId="77777777" w:rsidR="00CD51FE" w:rsidRDefault="00CD51FE" w:rsidP="00CD51FE">
      <w:pPr>
        <w:spacing w:line="480" w:lineRule="auto"/>
        <w:rPr>
          <w:rFonts w:cs="Courier New"/>
        </w:rPr>
      </w:pPr>
      <w:r>
        <w:rPr>
          <w:rFonts w:cs="Courier New"/>
        </w:rPr>
        <w:t>Dated:</w:t>
      </w:r>
    </w:p>
    <w:p w14:paraId="79D92041" w14:textId="77777777" w:rsidR="00CD51FE" w:rsidRDefault="00CD51FE" w:rsidP="00CD51FE">
      <w:pPr>
        <w:spacing w:line="480" w:lineRule="auto"/>
        <w:rPr>
          <w:rFonts w:cs="Courier New"/>
        </w:rPr>
      </w:pPr>
    </w:p>
    <w:p w14:paraId="79D92042" w14:textId="77777777" w:rsidR="00CD51FE" w:rsidRDefault="00CD51FE" w:rsidP="00CD51FE">
      <w:pPr>
        <w:ind w:left="2160" w:firstLine="720"/>
        <w:rPr>
          <w:rFonts w:cs="Courier New"/>
        </w:rPr>
      </w:pPr>
      <w:r>
        <w:rPr>
          <w:rFonts w:cs="Courier New"/>
        </w:rPr>
        <w:t>__________________________________</w:t>
      </w:r>
    </w:p>
    <w:p w14:paraId="79D92043"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79D92044"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79D92045"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79D92046"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79D92047"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79D92048"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79D92049"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204C" w14:textId="77777777" w:rsidR="00E01652" w:rsidRDefault="00E01652" w:rsidP="00CD51FE">
      <w:r>
        <w:separator/>
      </w:r>
    </w:p>
  </w:endnote>
  <w:endnote w:type="continuationSeparator" w:id="0">
    <w:p w14:paraId="79D9204D" w14:textId="77777777" w:rsidR="00E01652" w:rsidRDefault="00E01652"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79D9204E" w14:textId="77777777" w:rsidR="00CD51FE" w:rsidRDefault="00CD51FE">
        <w:pPr>
          <w:pStyle w:val="Footer"/>
          <w:jc w:val="center"/>
        </w:pPr>
        <w:r>
          <w:fldChar w:fldCharType="begin"/>
        </w:r>
        <w:r>
          <w:instrText xml:space="preserve"> PAGE   \* MERGEFORMAT </w:instrText>
        </w:r>
        <w:r>
          <w:fldChar w:fldCharType="separate"/>
        </w:r>
        <w:r w:rsidR="00D46109">
          <w:rPr>
            <w:noProof/>
          </w:rPr>
          <w:t>4</w:t>
        </w:r>
        <w:r>
          <w:rPr>
            <w:noProof/>
          </w:rPr>
          <w:fldChar w:fldCharType="end"/>
        </w:r>
      </w:p>
    </w:sdtContent>
  </w:sdt>
  <w:p w14:paraId="79D9204F"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9204A" w14:textId="77777777" w:rsidR="00E01652" w:rsidRDefault="00E01652" w:rsidP="00CD51FE">
      <w:r>
        <w:separator/>
      </w:r>
    </w:p>
  </w:footnote>
  <w:footnote w:type="continuationSeparator" w:id="0">
    <w:p w14:paraId="79D9204B" w14:textId="77777777" w:rsidR="00E01652" w:rsidRDefault="00E01652"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273A1C"/>
    <w:rsid w:val="00472BB5"/>
    <w:rsid w:val="004F0E55"/>
    <w:rsid w:val="007213EB"/>
    <w:rsid w:val="00964F42"/>
    <w:rsid w:val="00A372DC"/>
    <w:rsid w:val="00CD51FE"/>
    <w:rsid w:val="00D22C18"/>
    <w:rsid w:val="00D46109"/>
    <w:rsid w:val="00E01652"/>
    <w:rsid w:val="00E3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1FE5"/>
  <w15:docId w15:val="{4CAC62BB-4593-4CCF-9424-8CBD3362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PFY6PPX2AYTS-2589-397</_dlc_DocId>
    <ydlv xmlns="d335559b-c20a-4874-978e-77d2be77e01f" xsi:nil="true"/>
    <_dlc_DocIdUrl xmlns="81daf041-c113-401c-bf82-107f5d396711">
      <Url>https://esp.cdc.gov/sites/ncezid/OD/policy/PRA/_layouts/15/DocIdRedir.aspx?ID=PFY6PPX2AYTS-2589-397</Url>
      <Description>PFY6PPX2AYTS-2589-397</Description>
    </_dlc_DocIdUrl>
  </documentManagement>
</p:properties>
</file>

<file path=customXml/itemProps1.xml><?xml version="1.0" encoding="utf-8"?>
<ds:datastoreItem xmlns:ds="http://schemas.openxmlformats.org/officeDocument/2006/customXml" ds:itemID="{5A9C1596-2443-4DF5-A026-2E511A5C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EA29A-CD7A-41B1-97CC-D51263C252A0}">
  <ds:schemaRefs>
    <ds:schemaRef ds:uri="http://schemas.microsoft.com/sharepoint/events"/>
  </ds:schemaRefs>
</ds:datastoreItem>
</file>

<file path=customXml/itemProps3.xml><?xml version="1.0" encoding="utf-8"?>
<ds:datastoreItem xmlns:ds="http://schemas.openxmlformats.org/officeDocument/2006/customXml" ds:itemID="{CFC7AB2F-9B29-49D4-92D3-C5A3467CE6DD}">
  <ds:schemaRefs>
    <ds:schemaRef ds:uri="http://schemas.microsoft.com/sharepoint/v3/contenttype/forms"/>
  </ds:schemaRefs>
</ds:datastoreItem>
</file>

<file path=customXml/itemProps4.xml><?xml version="1.0" encoding="utf-8"?>
<ds:datastoreItem xmlns:ds="http://schemas.openxmlformats.org/officeDocument/2006/customXml" ds:itemID="{A0D82F8A-8270-4F52-9E74-15B62D7EA329}">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1daf041-c113-401c-bf82-107f5d396711"/>
    <ds:schemaRef ds:uri="d335559b-c20a-4874-978e-77d2be77e01f"/>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Samuel, Lee (CDC/OID/NCEZID)</cp:lastModifiedBy>
  <cp:revision>4</cp:revision>
  <dcterms:created xsi:type="dcterms:W3CDTF">2016-01-25T14:23:00Z</dcterms:created>
  <dcterms:modified xsi:type="dcterms:W3CDTF">2016-01-25T14:35:00Z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f8b2d2a2-8546-41d6-b7ed-48835376b188</vt:lpwstr>
  </property>
  <property fmtid="{D5CDD505-2E9C-101B-9397-08002B2CF9AE}" pid="3" name="ContentTypeId">
    <vt:lpwstr>0x01010008E1675BCD6DD14785997454A76BE123</vt:lpwstr>
  </property>
</Properties>
</file>