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E2ACC" w14:textId="77777777" w:rsidR="00125E11" w:rsidRDefault="00125E11" w:rsidP="00DD5ACA">
      <w:pPr>
        <w:jc w:val="center"/>
        <w:rPr>
          <w:b/>
        </w:rPr>
      </w:pPr>
    </w:p>
    <w:p w14:paraId="52C91982" w14:textId="77777777" w:rsidR="00125E11" w:rsidRDefault="00125E11" w:rsidP="00DD5ACA">
      <w:pPr>
        <w:jc w:val="center"/>
        <w:rPr>
          <w:b/>
        </w:rPr>
      </w:pPr>
    </w:p>
    <w:p w14:paraId="5F6E283B" w14:textId="77777777" w:rsidR="00125E11" w:rsidRDefault="00125E11" w:rsidP="00DD5ACA">
      <w:pPr>
        <w:jc w:val="center"/>
        <w:rPr>
          <w:b/>
        </w:rPr>
      </w:pPr>
    </w:p>
    <w:p w14:paraId="2ABB88E1" w14:textId="77777777" w:rsidR="00125E11" w:rsidRDefault="00125E11" w:rsidP="00DD5ACA">
      <w:pPr>
        <w:jc w:val="center"/>
        <w:rPr>
          <w:b/>
        </w:rPr>
      </w:pPr>
    </w:p>
    <w:p w14:paraId="5C9145CC" w14:textId="77777777" w:rsidR="00DD5ACA" w:rsidRDefault="00DD5ACA" w:rsidP="00DD5ACA">
      <w:pPr>
        <w:jc w:val="center"/>
        <w:rPr>
          <w:b/>
          <w:bCs/>
          <w:color w:val="000000"/>
        </w:rPr>
      </w:pPr>
      <w:r>
        <w:rPr>
          <w:b/>
        </w:rPr>
        <w:t>Community-based Tick Control for the P</w:t>
      </w:r>
      <w:r w:rsidRPr="00F97924">
        <w:rPr>
          <w:b/>
        </w:rPr>
        <w:t>revention of Rocky Mountain spotted fever in Hermosillo, Mexico</w:t>
      </w:r>
      <w:r>
        <w:rPr>
          <w:b/>
          <w:bCs/>
          <w:color w:val="000000"/>
        </w:rPr>
        <w:t xml:space="preserve"> </w:t>
      </w:r>
    </w:p>
    <w:p w14:paraId="5C9145CD" w14:textId="77777777" w:rsidR="00DD5ACA" w:rsidRDefault="00DD5ACA" w:rsidP="00DD5ACA">
      <w:pPr>
        <w:spacing w:after="200"/>
        <w:rPr>
          <w:b/>
          <w:bCs/>
          <w:color w:val="000000"/>
        </w:rPr>
      </w:pPr>
    </w:p>
    <w:p w14:paraId="5C9145CE" w14:textId="77777777" w:rsidR="00DD5ACA" w:rsidRPr="007D23B9" w:rsidRDefault="00DD5ACA" w:rsidP="00DD5ACA">
      <w:pPr>
        <w:jc w:val="center"/>
      </w:pPr>
      <w:r w:rsidRPr="007D23B9">
        <w:t>Request for OMB Approval of New Data Collection Instruments</w:t>
      </w:r>
    </w:p>
    <w:p w14:paraId="5C9145CF" w14:textId="77777777" w:rsidR="00960A53" w:rsidRPr="007D23B9" w:rsidRDefault="00960A53" w:rsidP="00361F53">
      <w:pPr>
        <w:jc w:val="center"/>
      </w:pPr>
    </w:p>
    <w:p w14:paraId="5C9145D0" w14:textId="62F412B1" w:rsidR="00551D58" w:rsidRPr="007D23B9" w:rsidRDefault="002C7A98" w:rsidP="00361F53">
      <w:pPr>
        <w:jc w:val="center"/>
      </w:pPr>
      <w:r>
        <w:t>March 29</w:t>
      </w:r>
      <w:r w:rsidR="007A4E44">
        <w:t>, 2016</w:t>
      </w:r>
    </w:p>
    <w:p w14:paraId="5C9145D1" w14:textId="77777777" w:rsidR="00551D58" w:rsidRPr="007D23B9" w:rsidRDefault="00551D58" w:rsidP="00361F53">
      <w:pPr>
        <w:jc w:val="center"/>
      </w:pPr>
    </w:p>
    <w:p w14:paraId="5C9145D2" w14:textId="77777777" w:rsidR="00960A53" w:rsidRPr="007D23B9" w:rsidRDefault="00960A53" w:rsidP="00361F53">
      <w:pPr>
        <w:jc w:val="center"/>
      </w:pPr>
      <w:r w:rsidRPr="007D23B9">
        <w:t xml:space="preserve">Statement </w:t>
      </w:r>
      <w:r w:rsidR="00AF0A5C" w:rsidRPr="007D23B9">
        <w:t>B</w:t>
      </w:r>
    </w:p>
    <w:p w14:paraId="5C9145D3" w14:textId="77777777" w:rsidR="00885DBC" w:rsidRDefault="00885DBC" w:rsidP="00361F53">
      <w:pPr>
        <w:spacing w:after="200"/>
        <w:rPr>
          <w:b/>
          <w:bCs/>
          <w:color w:val="000000"/>
        </w:rPr>
      </w:pPr>
    </w:p>
    <w:p w14:paraId="5C9145D4" w14:textId="77777777" w:rsidR="00885DBC" w:rsidRDefault="00885DBC" w:rsidP="00361F53">
      <w:pPr>
        <w:spacing w:after="200"/>
        <w:rPr>
          <w:b/>
          <w:bCs/>
          <w:color w:val="000000"/>
        </w:rPr>
      </w:pPr>
    </w:p>
    <w:p w14:paraId="5C9145D5" w14:textId="77777777" w:rsidR="00885DBC" w:rsidRDefault="00885DBC" w:rsidP="00361F53">
      <w:pPr>
        <w:spacing w:after="200"/>
        <w:rPr>
          <w:b/>
          <w:bCs/>
          <w:color w:val="000000"/>
        </w:rPr>
      </w:pPr>
    </w:p>
    <w:p w14:paraId="5C9145D6" w14:textId="77777777" w:rsidR="00885DBC" w:rsidRDefault="00885DBC" w:rsidP="00361F53">
      <w:pPr>
        <w:spacing w:after="200"/>
        <w:rPr>
          <w:b/>
          <w:bCs/>
          <w:color w:val="000000"/>
        </w:rPr>
      </w:pPr>
    </w:p>
    <w:p w14:paraId="5C9145D7" w14:textId="77777777" w:rsidR="00885DBC" w:rsidRDefault="00885DBC" w:rsidP="00361F53">
      <w:pPr>
        <w:spacing w:after="200"/>
        <w:rPr>
          <w:b/>
          <w:bCs/>
          <w:color w:val="000000"/>
        </w:rPr>
      </w:pPr>
    </w:p>
    <w:p w14:paraId="5C9145D8" w14:textId="77777777" w:rsidR="00885DBC" w:rsidRDefault="00885DBC" w:rsidP="00361F53">
      <w:pPr>
        <w:spacing w:after="200"/>
        <w:rPr>
          <w:b/>
          <w:bCs/>
          <w:color w:val="000000"/>
        </w:rPr>
      </w:pPr>
    </w:p>
    <w:p w14:paraId="5C9145D9" w14:textId="77777777" w:rsidR="00885DBC" w:rsidRDefault="00885DBC" w:rsidP="00361F53">
      <w:pPr>
        <w:spacing w:after="200"/>
        <w:rPr>
          <w:b/>
          <w:bCs/>
          <w:color w:val="000000"/>
        </w:rPr>
      </w:pPr>
    </w:p>
    <w:p w14:paraId="5C9145DA" w14:textId="77777777" w:rsidR="00885DBC" w:rsidRDefault="00885DBC" w:rsidP="00361F53">
      <w:pPr>
        <w:spacing w:after="200"/>
        <w:rPr>
          <w:b/>
          <w:bCs/>
          <w:color w:val="000000"/>
        </w:rPr>
      </w:pPr>
    </w:p>
    <w:p w14:paraId="1E76745A" w14:textId="77777777" w:rsidR="007D23B9" w:rsidRDefault="007D23B9" w:rsidP="00D97A13">
      <w:pPr>
        <w:rPr>
          <w:b/>
        </w:rPr>
      </w:pPr>
      <w:bookmarkStart w:id="0" w:name="_Toc295817038"/>
      <w:bookmarkStart w:id="1" w:name="_Toc295817572"/>
      <w:bookmarkStart w:id="2" w:name="_Toc295818053"/>
      <w:bookmarkStart w:id="3" w:name="_Toc295819826"/>
    </w:p>
    <w:p w14:paraId="294B6778" w14:textId="77777777" w:rsidR="007D23B9" w:rsidRDefault="007D23B9" w:rsidP="00D97A13">
      <w:pPr>
        <w:rPr>
          <w:b/>
        </w:rPr>
      </w:pPr>
    </w:p>
    <w:p w14:paraId="46494221" w14:textId="77777777" w:rsidR="007D23B9" w:rsidRDefault="007D23B9" w:rsidP="00D97A13">
      <w:pPr>
        <w:rPr>
          <w:b/>
        </w:rPr>
      </w:pPr>
    </w:p>
    <w:p w14:paraId="180BAED3" w14:textId="77777777" w:rsidR="007D23B9" w:rsidRDefault="007D23B9" w:rsidP="00D97A13">
      <w:pPr>
        <w:rPr>
          <w:b/>
        </w:rPr>
      </w:pPr>
    </w:p>
    <w:p w14:paraId="630BB340" w14:textId="77777777" w:rsidR="007D23B9" w:rsidRDefault="007D23B9" w:rsidP="00D97A13">
      <w:pPr>
        <w:rPr>
          <w:b/>
        </w:rPr>
      </w:pPr>
    </w:p>
    <w:p w14:paraId="0509E22A" w14:textId="77777777" w:rsidR="007D23B9" w:rsidRDefault="007D23B9" w:rsidP="00D97A13">
      <w:pPr>
        <w:rPr>
          <w:b/>
        </w:rPr>
      </w:pPr>
    </w:p>
    <w:p w14:paraId="22DC6889" w14:textId="77777777" w:rsidR="007D23B9" w:rsidRDefault="007D23B9" w:rsidP="00D97A13">
      <w:pPr>
        <w:rPr>
          <w:b/>
        </w:rPr>
      </w:pPr>
    </w:p>
    <w:p w14:paraId="6CBCB3AF" w14:textId="77777777" w:rsidR="007D23B9" w:rsidRDefault="007D23B9" w:rsidP="00D97A13">
      <w:pPr>
        <w:rPr>
          <w:b/>
        </w:rPr>
      </w:pPr>
    </w:p>
    <w:p w14:paraId="08EF0269" w14:textId="77777777" w:rsidR="007D23B9" w:rsidRDefault="007D23B9" w:rsidP="00D97A13">
      <w:pPr>
        <w:rPr>
          <w:b/>
        </w:rPr>
      </w:pPr>
    </w:p>
    <w:p w14:paraId="2D7C7171" w14:textId="77777777" w:rsidR="007D23B9" w:rsidRDefault="007D23B9" w:rsidP="00D97A13">
      <w:pPr>
        <w:rPr>
          <w:b/>
        </w:rPr>
      </w:pPr>
    </w:p>
    <w:p w14:paraId="15D4AA84" w14:textId="77777777" w:rsidR="00125E11" w:rsidRDefault="00125E11" w:rsidP="00D97A13">
      <w:pPr>
        <w:rPr>
          <w:b/>
        </w:rPr>
      </w:pPr>
    </w:p>
    <w:p w14:paraId="5C9145DB" w14:textId="1A9E569B" w:rsidR="00D97A13" w:rsidRPr="00D97A13" w:rsidRDefault="00D97A13" w:rsidP="00D97A13">
      <w:pPr>
        <w:rPr>
          <w:b/>
        </w:rPr>
      </w:pPr>
      <w:r w:rsidRPr="00D97A13">
        <w:rPr>
          <w:b/>
        </w:rPr>
        <w:t>Contact:</w:t>
      </w:r>
      <w:bookmarkEnd w:id="0"/>
      <w:bookmarkEnd w:id="1"/>
      <w:bookmarkEnd w:id="2"/>
      <w:bookmarkEnd w:id="3"/>
    </w:p>
    <w:p w14:paraId="5C9145DC" w14:textId="77777777" w:rsidR="00D97A13" w:rsidRPr="00D97A13" w:rsidRDefault="00D97A13" w:rsidP="00D97A13">
      <w:pPr>
        <w:rPr>
          <w:b/>
        </w:rPr>
      </w:pPr>
      <w:r w:rsidRPr="00D97A13">
        <w:rPr>
          <w:b/>
        </w:rPr>
        <w:t>Amy McMillen</w:t>
      </w:r>
    </w:p>
    <w:p w14:paraId="5C9145DD" w14:textId="77777777" w:rsidR="00D97A13" w:rsidRPr="00D97A13" w:rsidRDefault="00D97A13" w:rsidP="00D97A13">
      <w:pPr>
        <w:rPr>
          <w:b/>
        </w:rPr>
      </w:pPr>
      <w:r w:rsidRPr="00D97A13">
        <w:rPr>
          <w:b/>
        </w:rPr>
        <w:lastRenderedPageBreak/>
        <w:t>National Center for Emerging and Zoonotic Infectious Diseases</w:t>
      </w:r>
    </w:p>
    <w:p w14:paraId="5C9145DE" w14:textId="77777777" w:rsidR="00D97A13" w:rsidRPr="00D97A13" w:rsidRDefault="00D97A13" w:rsidP="00D97A13">
      <w:pPr>
        <w:rPr>
          <w:b/>
        </w:rPr>
      </w:pPr>
      <w:r w:rsidRPr="00D97A13">
        <w:rPr>
          <w:b/>
        </w:rPr>
        <w:t>Centers for Disease Control and Prevention</w:t>
      </w:r>
    </w:p>
    <w:p w14:paraId="5C9145DF" w14:textId="77777777" w:rsidR="00D97A13" w:rsidRPr="00D97A13" w:rsidRDefault="00D97A13" w:rsidP="00D97A13">
      <w:pPr>
        <w:rPr>
          <w:b/>
        </w:rPr>
      </w:pPr>
      <w:r w:rsidRPr="00D97A13">
        <w:rPr>
          <w:b/>
        </w:rPr>
        <w:t>1600 Clifton Road, N.E.</w:t>
      </w:r>
    </w:p>
    <w:p w14:paraId="5C9145E0" w14:textId="77777777" w:rsidR="00D97A13" w:rsidRPr="00D97A13" w:rsidRDefault="00D97A13" w:rsidP="00D97A13">
      <w:pPr>
        <w:rPr>
          <w:b/>
        </w:rPr>
      </w:pPr>
      <w:r w:rsidRPr="00D97A13">
        <w:rPr>
          <w:b/>
        </w:rPr>
        <w:t>Atlanta, Georgia 30333</w:t>
      </w:r>
    </w:p>
    <w:p w14:paraId="5C9145E1" w14:textId="77777777" w:rsidR="00D97A13" w:rsidRPr="00D97A13" w:rsidRDefault="00D97A13" w:rsidP="00D97A13">
      <w:pPr>
        <w:rPr>
          <w:b/>
          <w:lang w:val="fr-FR"/>
        </w:rPr>
      </w:pPr>
      <w:r w:rsidRPr="00D97A13">
        <w:rPr>
          <w:b/>
          <w:lang w:val="fr-FR"/>
        </w:rPr>
        <w:t>Phone: (404) 639-1045</w:t>
      </w:r>
    </w:p>
    <w:p w14:paraId="5C9145E2" w14:textId="77777777" w:rsidR="00D97A13" w:rsidRPr="00D97A13" w:rsidRDefault="00D97A13" w:rsidP="00D97A13">
      <w:pPr>
        <w:rPr>
          <w:b/>
          <w:lang w:val="fr-FR"/>
        </w:rPr>
      </w:pPr>
      <w:r w:rsidRPr="00D97A13">
        <w:rPr>
          <w:b/>
          <w:lang w:val="fr-FR"/>
        </w:rPr>
        <w:t>Fax: (404) 639-3039</w:t>
      </w:r>
    </w:p>
    <w:p w14:paraId="5C9145E3" w14:textId="77777777" w:rsidR="00D97A13" w:rsidRPr="00D97A13" w:rsidRDefault="00D97A13" w:rsidP="00D97A13">
      <w:pPr>
        <w:rPr>
          <w:b/>
          <w:lang w:val="fr-FR"/>
        </w:rPr>
      </w:pPr>
      <w:r w:rsidRPr="00D97A13">
        <w:rPr>
          <w:b/>
          <w:lang w:val="fr-FR"/>
        </w:rPr>
        <w:t xml:space="preserve">Email: </w:t>
      </w:r>
      <w:r w:rsidRPr="00D97A13">
        <w:rPr>
          <w:b/>
          <w:color w:val="0000FF"/>
          <w:u w:val="single"/>
          <w:lang w:val="fr-FR"/>
        </w:rPr>
        <w:t>amcmillen@cdc.gov</w:t>
      </w:r>
    </w:p>
    <w:bookmarkStart w:id="4" w:name="_Toc296520120" w:displacedByCustomXml="next"/>
    <w:sdt>
      <w:sdtPr>
        <w:rPr>
          <w:rFonts w:ascii="Times New Roman" w:eastAsia="Times New Roman" w:hAnsi="Times New Roman" w:cs="Times New Roman"/>
          <w:b w:val="0"/>
          <w:bCs w:val="0"/>
          <w:color w:val="auto"/>
          <w:sz w:val="24"/>
          <w:szCs w:val="24"/>
        </w:rPr>
        <w:id w:val="-1079520250"/>
        <w:docPartObj>
          <w:docPartGallery w:val="Table of Contents"/>
          <w:docPartUnique/>
        </w:docPartObj>
      </w:sdtPr>
      <w:sdtEndPr>
        <w:rPr>
          <w:noProof/>
        </w:rPr>
      </w:sdtEndPr>
      <w:sdtContent>
        <w:p w14:paraId="5C9145E6" w14:textId="77777777" w:rsidR="004D20F6" w:rsidRPr="00125E11" w:rsidRDefault="004D20F6" w:rsidP="00125E11">
          <w:pPr>
            <w:pStyle w:val="TOCHeading"/>
            <w:jc w:val="center"/>
            <w:rPr>
              <w:rFonts w:ascii="Times New Roman" w:eastAsia="Times New Roman" w:hAnsi="Times New Roman" w:cs="Times New Roman"/>
              <w:color w:val="auto"/>
            </w:rPr>
          </w:pPr>
          <w:r w:rsidRPr="00125E11">
            <w:rPr>
              <w:rFonts w:ascii="Times New Roman" w:eastAsia="Times New Roman" w:hAnsi="Times New Roman" w:cs="Times New Roman"/>
              <w:color w:val="auto"/>
            </w:rPr>
            <w:t>TABLE OF CONTENTS</w:t>
          </w:r>
        </w:p>
        <w:p w14:paraId="5C9145E7" w14:textId="77777777" w:rsidR="004D20F6" w:rsidRDefault="004D20F6" w:rsidP="004D20F6"/>
        <w:p w14:paraId="5C9145E9" w14:textId="77777777" w:rsidR="004D20F6" w:rsidRDefault="004D20F6" w:rsidP="007D23B9">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19274744" w:history="1">
            <w:r w:rsidRPr="00916F19">
              <w:rPr>
                <w:rStyle w:val="Hyperlink"/>
                <w:b/>
                <w:bCs/>
                <w:iCs/>
                <w:noProof/>
              </w:rPr>
              <w:t>PART B. COLLECTION OF INFORMATION EMPLOYING STATISTICAL METHODS</w:t>
            </w:r>
            <w:r>
              <w:rPr>
                <w:noProof/>
                <w:webHidden/>
              </w:rPr>
              <w:tab/>
            </w:r>
            <w:r>
              <w:rPr>
                <w:noProof/>
                <w:webHidden/>
              </w:rPr>
              <w:fldChar w:fldCharType="begin"/>
            </w:r>
            <w:r>
              <w:rPr>
                <w:noProof/>
                <w:webHidden/>
              </w:rPr>
              <w:instrText xml:space="preserve"> PAGEREF _Toc419274744 \h </w:instrText>
            </w:r>
            <w:r>
              <w:rPr>
                <w:noProof/>
                <w:webHidden/>
              </w:rPr>
            </w:r>
            <w:r>
              <w:rPr>
                <w:noProof/>
                <w:webHidden/>
              </w:rPr>
              <w:fldChar w:fldCharType="separate"/>
            </w:r>
            <w:r w:rsidR="008E142F">
              <w:rPr>
                <w:noProof/>
                <w:webHidden/>
              </w:rPr>
              <w:t>3</w:t>
            </w:r>
            <w:r>
              <w:rPr>
                <w:noProof/>
                <w:webHidden/>
              </w:rPr>
              <w:fldChar w:fldCharType="end"/>
            </w:r>
          </w:hyperlink>
        </w:p>
        <w:p w14:paraId="5C9145EA" w14:textId="0538C9F2" w:rsidR="004D20F6" w:rsidRPr="004D20F6" w:rsidRDefault="00ED3BE8" w:rsidP="007D23B9">
          <w:pPr>
            <w:pStyle w:val="TOC1"/>
            <w:rPr>
              <w:rFonts w:asciiTheme="minorHAnsi" w:eastAsiaTheme="minorEastAsia" w:hAnsiTheme="minorHAnsi" w:cstheme="minorBidi"/>
              <w:noProof/>
              <w:sz w:val="22"/>
              <w:szCs w:val="22"/>
            </w:rPr>
          </w:pPr>
          <w:hyperlink w:anchor="_Toc419274745" w:history="1">
            <w:r w:rsidR="004D20F6" w:rsidRPr="004D20F6">
              <w:rPr>
                <w:rStyle w:val="Hyperlink"/>
                <w:bCs/>
                <w:iCs/>
                <w:noProof/>
              </w:rPr>
              <w:t>1. Respondent Universe and Sampling Methods</w:t>
            </w:r>
            <w:r w:rsidR="004D20F6" w:rsidRPr="004D20F6">
              <w:rPr>
                <w:noProof/>
                <w:webHidden/>
              </w:rPr>
              <w:tab/>
            </w:r>
            <w:r w:rsidR="004D20F6" w:rsidRPr="004D20F6">
              <w:rPr>
                <w:noProof/>
                <w:webHidden/>
              </w:rPr>
              <w:fldChar w:fldCharType="begin"/>
            </w:r>
            <w:r w:rsidR="004D20F6" w:rsidRPr="004D20F6">
              <w:rPr>
                <w:noProof/>
                <w:webHidden/>
              </w:rPr>
              <w:instrText xml:space="preserve"> PAGEREF _Toc419274745 \h </w:instrText>
            </w:r>
            <w:r w:rsidR="004D20F6" w:rsidRPr="004D20F6">
              <w:rPr>
                <w:noProof/>
                <w:webHidden/>
              </w:rPr>
            </w:r>
            <w:r w:rsidR="004D20F6" w:rsidRPr="004D20F6">
              <w:rPr>
                <w:noProof/>
                <w:webHidden/>
              </w:rPr>
              <w:fldChar w:fldCharType="separate"/>
            </w:r>
            <w:r w:rsidR="008E142F">
              <w:rPr>
                <w:noProof/>
                <w:webHidden/>
              </w:rPr>
              <w:t>3</w:t>
            </w:r>
            <w:r w:rsidR="004D20F6" w:rsidRPr="004D20F6">
              <w:rPr>
                <w:noProof/>
                <w:webHidden/>
              </w:rPr>
              <w:fldChar w:fldCharType="end"/>
            </w:r>
          </w:hyperlink>
        </w:p>
        <w:p w14:paraId="5C9145EB" w14:textId="7983949F" w:rsidR="004D20F6" w:rsidRPr="004D20F6" w:rsidRDefault="00ED3BE8" w:rsidP="007D23B9">
          <w:pPr>
            <w:pStyle w:val="TOC1"/>
            <w:rPr>
              <w:rFonts w:asciiTheme="minorHAnsi" w:eastAsiaTheme="minorEastAsia" w:hAnsiTheme="minorHAnsi" w:cstheme="minorBidi"/>
              <w:noProof/>
              <w:sz w:val="22"/>
              <w:szCs w:val="22"/>
            </w:rPr>
          </w:pPr>
          <w:hyperlink w:anchor="_Toc419274746" w:history="1">
            <w:r w:rsidR="004D20F6" w:rsidRPr="004D20F6">
              <w:rPr>
                <w:rStyle w:val="Hyperlink"/>
                <w:bCs/>
                <w:iCs/>
                <w:noProof/>
              </w:rPr>
              <w:t>2. Procedures for the Collection of Information</w:t>
            </w:r>
            <w:r w:rsidR="004D20F6" w:rsidRPr="004D20F6">
              <w:rPr>
                <w:noProof/>
                <w:webHidden/>
              </w:rPr>
              <w:tab/>
            </w:r>
            <w:r w:rsidR="004D20F6" w:rsidRPr="004D20F6">
              <w:rPr>
                <w:noProof/>
                <w:webHidden/>
              </w:rPr>
              <w:fldChar w:fldCharType="begin"/>
            </w:r>
            <w:r w:rsidR="004D20F6" w:rsidRPr="004D20F6">
              <w:rPr>
                <w:noProof/>
                <w:webHidden/>
              </w:rPr>
              <w:instrText xml:space="preserve"> PAGEREF _Toc419274746 \h </w:instrText>
            </w:r>
            <w:r w:rsidR="004D20F6" w:rsidRPr="004D20F6">
              <w:rPr>
                <w:noProof/>
                <w:webHidden/>
              </w:rPr>
            </w:r>
            <w:r w:rsidR="004D20F6" w:rsidRPr="004D20F6">
              <w:rPr>
                <w:noProof/>
                <w:webHidden/>
              </w:rPr>
              <w:fldChar w:fldCharType="separate"/>
            </w:r>
            <w:r w:rsidR="008E142F">
              <w:rPr>
                <w:noProof/>
                <w:webHidden/>
              </w:rPr>
              <w:t>3</w:t>
            </w:r>
            <w:r w:rsidR="004D20F6" w:rsidRPr="004D20F6">
              <w:rPr>
                <w:noProof/>
                <w:webHidden/>
              </w:rPr>
              <w:fldChar w:fldCharType="end"/>
            </w:r>
          </w:hyperlink>
        </w:p>
        <w:p w14:paraId="5C9145EC" w14:textId="5FF76019" w:rsidR="004D20F6" w:rsidRPr="004D20F6" w:rsidRDefault="00ED3BE8" w:rsidP="007D23B9">
          <w:pPr>
            <w:pStyle w:val="TOC1"/>
            <w:rPr>
              <w:rFonts w:asciiTheme="minorHAnsi" w:eastAsiaTheme="minorEastAsia" w:hAnsiTheme="minorHAnsi" w:cstheme="minorBidi"/>
              <w:noProof/>
              <w:sz w:val="22"/>
              <w:szCs w:val="22"/>
            </w:rPr>
          </w:pPr>
          <w:hyperlink w:anchor="_Toc419274747" w:history="1">
            <w:r w:rsidR="004D20F6" w:rsidRPr="004D20F6">
              <w:rPr>
                <w:rStyle w:val="Hyperlink"/>
                <w:bCs/>
                <w:iCs/>
                <w:noProof/>
              </w:rPr>
              <w:t>3. Methods to Maximize Response Rates and Deal with Non-response</w:t>
            </w:r>
            <w:r w:rsidR="004D20F6" w:rsidRPr="004D20F6">
              <w:rPr>
                <w:noProof/>
                <w:webHidden/>
              </w:rPr>
              <w:tab/>
            </w:r>
            <w:r w:rsidR="004D20F6" w:rsidRPr="004D20F6">
              <w:rPr>
                <w:noProof/>
                <w:webHidden/>
              </w:rPr>
              <w:fldChar w:fldCharType="begin"/>
            </w:r>
            <w:r w:rsidR="004D20F6" w:rsidRPr="004D20F6">
              <w:rPr>
                <w:noProof/>
                <w:webHidden/>
              </w:rPr>
              <w:instrText xml:space="preserve"> PAGEREF _Toc419274747 \h </w:instrText>
            </w:r>
            <w:r w:rsidR="004D20F6" w:rsidRPr="004D20F6">
              <w:rPr>
                <w:noProof/>
                <w:webHidden/>
              </w:rPr>
            </w:r>
            <w:r w:rsidR="004D20F6" w:rsidRPr="004D20F6">
              <w:rPr>
                <w:noProof/>
                <w:webHidden/>
              </w:rPr>
              <w:fldChar w:fldCharType="separate"/>
            </w:r>
            <w:r w:rsidR="008E142F">
              <w:rPr>
                <w:noProof/>
                <w:webHidden/>
              </w:rPr>
              <w:t>4</w:t>
            </w:r>
            <w:r w:rsidR="004D20F6" w:rsidRPr="004D20F6">
              <w:rPr>
                <w:noProof/>
                <w:webHidden/>
              </w:rPr>
              <w:fldChar w:fldCharType="end"/>
            </w:r>
          </w:hyperlink>
        </w:p>
        <w:p w14:paraId="5C9145ED" w14:textId="39EC22E4" w:rsidR="004D20F6" w:rsidRPr="004D20F6" w:rsidRDefault="00ED3BE8" w:rsidP="007D23B9">
          <w:pPr>
            <w:pStyle w:val="TOC1"/>
            <w:rPr>
              <w:rFonts w:asciiTheme="minorHAnsi" w:eastAsiaTheme="minorEastAsia" w:hAnsiTheme="minorHAnsi" w:cstheme="minorBidi"/>
              <w:noProof/>
              <w:sz w:val="22"/>
              <w:szCs w:val="22"/>
            </w:rPr>
          </w:pPr>
          <w:hyperlink w:anchor="_Toc419274748" w:history="1">
            <w:r w:rsidR="004D20F6" w:rsidRPr="004D20F6">
              <w:rPr>
                <w:rStyle w:val="Hyperlink"/>
                <w:bCs/>
                <w:iCs/>
                <w:noProof/>
              </w:rPr>
              <w:t>4. Test of Procedures or Methods to be Undertaken</w:t>
            </w:r>
            <w:r w:rsidR="004D20F6" w:rsidRPr="004D20F6">
              <w:rPr>
                <w:noProof/>
                <w:webHidden/>
              </w:rPr>
              <w:tab/>
            </w:r>
            <w:r w:rsidR="004D20F6" w:rsidRPr="004D20F6">
              <w:rPr>
                <w:noProof/>
                <w:webHidden/>
              </w:rPr>
              <w:fldChar w:fldCharType="begin"/>
            </w:r>
            <w:r w:rsidR="004D20F6" w:rsidRPr="004D20F6">
              <w:rPr>
                <w:noProof/>
                <w:webHidden/>
              </w:rPr>
              <w:instrText xml:space="preserve"> PAGEREF _Toc419274748 \h </w:instrText>
            </w:r>
            <w:r w:rsidR="004D20F6" w:rsidRPr="004D20F6">
              <w:rPr>
                <w:noProof/>
                <w:webHidden/>
              </w:rPr>
            </w:r>
            <w:r w:rsidR="004D20F6" w:rsidRPr="004D20F6">
              <w:rPr>
                <w:noProof/>
                <w:webHidden/>
              </w:rPr>
              <w:fldChar w:fldCharType="separate"/>
            </w:r>
            <w:r w:rsidR="008E142F">
              <w:rPr>
                <w:noProof/>
                <w:webHidden/>
              </w:rPr>
              <w:t>5</w:t>
            </w:r>
            <w:r w:rsidR="004D20F6" w:rsidRPr="004D20F6">
              <w:rPr>
                <w:noProof/>
                <w:webHidden/>
              </w:rPr>
              <w:fldChar w:fldCharType="end"/>
            </w:r>
          </w:hyperlink>
        </w:p>
        <w:p w14:paraId="5C9145EE" w14:textId="350586FB" w:rsidR="004D20F6" w:rsidRPr="004D20F6" w:rsidRDefault="00ED3BE8" w:rsidP="007D23B9">
          <w:pPr>
            <w:pStyle w:val="TOC1"/>
            <w:ind w:left="720" w:hanging="270"/>
            <w:rPr>
              <w:rFonts w:asciiTheme="minorHAnsi" w:eastAsiaTheme="minorEastAsia" w:hAnsiTheme="minorHAnsi" w:cstheme="minorBidi"/>
              <w:noProof/>
              <w:sz w:val="22"/>
              <w:szCs w:val="22"/>
            </w:rPr>
          </w:pPr>
          <w:hyperlink w:anchor="_Toc419274749" w:history="1">
            <w:r w:rsidR="004D20F6" w:rsidRPr="004D20F6">
              <w:rPr>
                <w:rStyle w:val="Hyperlink"/>
                <w:bCs/>
                <w:iCs/>
                <w:noProof/>
              </w:rPr>
              <w:t>5. Individuals Consulted on Statistical Aspects and Individuals Collecting and/or Analyzing Data</w:t>
            </w:r>
            <w:r w:rsidR="004D20F6" w:rsidRPr="004D20F6">
              <w:rPr>
                <w:noProof/>
                <w:webHidden/>
              </w:rPr>
              <w:tab/>
            </w:r>
            <w:r w:rsidR="004D20F6" w:rsidRPr="004D20F6">
              <w:rPr>
                <w:noProof/>
                <w:webHidden/>
              </w:rPr>
              <w:fldChar w:fldCharType="begin"/>
            </w:r>
            <w:r w:rsidR="004D20F6" w:rsidRPr="004D20F6">
              <w:rPr>
                <w:noProof/>
                <w:webHidden/>
              </w:rPr>
              <w:instrText xml:space="preserve"> PAGEREF _Toc419274749 \h </w:instrText>
            </w:r>
            <w:r w:rsidR="004D20F6" w:rsidRPr="004D20F6">
              <w:rPr>
                <w:noProof/>
                <w:webHidden/>
              </w:rPr>
            </w:r>
            <w:r w:rsidR="004D20F6" w:rsidRPr="004D20F6">
              <w:rPr>
                <w:noProof/>
                <w:webHidden/>
              </w:rPr>
              <w:fldChar w:fldCharType="separate"/>
            </w:r>
            <w:r w:rsidR="008E142F">
              <w:rPr>
                <w:noProof/>
                <w:webHidden/>
              </w:rPr>
              <w:t>5</w:t>
            </w:r>
            <w:r w:rsidR="004D20F6" w:rsidRPr="004D20F6">
              <w:rPr>
                <w:noProof/>
                <w:webHidden/>
              </w:rPr>
              <w:fldChar w:fldCharType="end"/>
            </w:r>
          </w:hyperlink>
        </w:p>
        <w:p w14:paraId="5C9145EF" w14:textId="77777777" w:rsidR="004D20F6" w:rsidRDefault="004D20F6">
          <w:r>
            <w:rPr>
              <w:b/>
              <w:bCs/>
              <w:noProof/>
            </w:rPr>
            <w:fldChar w:fldCharType="end"/>
          </w:r>
        </w:p>
      </w:sdtContent>
    </w:sdt>
    <w:p w14:paraId="5C9145F0" w14:textId="77777777" w:rsidR="004D20F6" w:rsidRDefault="004D20F6">
      <w:pPr>
        <w:spacing w:after="200" w:line="276" w:lineRule="auto"/>
        <w:rPr>
          <w:b/>
          <w:bCs/>
          <w:iCs/>
          <w:color w:val="000000"/>
        </w:rPr>
      </w:pPr>
      <w:r>
        <w:rPr>
          <w:b/>
          <w:bCs/>
          <w:iCs/>
          <w:color w:val="000000"/>
        </w:rPr>
        <w:br w:type="page"/>
      </w:r>
    </w:p>
    <w:p w14:paraId="5C9145F1" w14:textId="77777777" w:rsidR="00DD5ACA" w:rsidRDefault="00DD5ACA" w:rsidP="00DD5ACA">
      <w:pPr>
        <w:jc w:val="center"/>
        <w:rPr>
          <w:b/>
          <w:bCs/>
          <w:color w:val="000000"/>
        </w:rPr>
      </w:pPr>
      <w:bookmarkStart w:id="5" w:name="_Toc419274744"/>
      <w:r>
        <w:rPr>
          <w:b/>
        </w:rPr>
        <w:lastRenderedPageBreak/>
        <w:t>Community-based Tick Control for the P</w:t>
      </w:r>
      <w:r w:rsidRPr="00F97924">
        <w:rPr>
          <w:b/>
        </w:rPr>
        <w:t>revention of Rocky Mountain spotted fever in Hermosillo, Mexico</w:t>
      </w:r>
      <w:r>
        <w:rPr>
          <w:b/>
          <w:bCs/>
          <w:color w:val="000000"/>
        </w:rPr>
        <w:t xml:space="preserve"> </w:t>
      </w:r>
    </w:p>
    <w:p w14:paraId="1A65C9A8" w14:textId="77777777" w:rsidR="007D23B9" w:rsidRDefault="007D23B9" w:rsidP="00DD5ACA">
      <w:pPr>
        <w:jc w:val="center"/>
      </w:pPr>
    </w:p>
    <w:p w14:paraId="5C9145F3" w14:textId="77777777" w:rsidR="00DD5ACA" w:rsidRPr="007D23B9" w:rsidRDefault="00DD5ACA" w:rsidP="00DD5ACA">
      <w:pPr>
        <w:jc w:val="center"/>
      </w:pPr>
      <w:r w:rsidRPr="007D23B9">
        <w:t>Request for OMB Approval of New Data Collection Instruments</w:t>
      </w:r>
    </w:p>
    <w:p w14:paraId="5C9145F4" w14:textId="77777777" w:rsidR="00D76BC6" w:rsidRDefault="00D76BC6" w:rsidP="006D325F">
      <w:pPr>
        <w:outlineLvl w:val="0"/>
        <w:rPr>
          <w:b/>
          <w:bCs/>
          <w:iCs/>
          <w:color w:val="000000"/>
        </w:rPr>
      </w:pPr>
    </w:p>
    <w:p w14:paraId="5C9145F5" w14:textId="77777777" w:rsidR="006E1718" w:rsidRDefault="00B77456" w:rsidP="006D325F">
      <w:pPr>
        <w:outlineLvl w:val="0"/>
        <w:rPr>
          <w:b/>
          <w:bCs/>
          <w:iCs/>
          <w:color w:val="000000"/>
        </w:rPr>
      </w:pPr>
      <w:r w:rsidRPr="006D325F">
        <w:rPr>
          <w:b/>
          <w:bCs/>
          <w:iCs/>
          <w:color w:val="000000"/>
        </w:rPr>
        <w:t>PART B</w:t>
      </w:r>
      <w:r w:rsidR="004804D5" w:rsidRPr="006D325F">
        <w:rPr>
          <w:b/>
          <w:bCs/>
          <w:iCs/>
          <w:color w:val="000000"/>
        </w:rPr>
        <w:t xml:space="preserve">. </w:t>
      </w:r>
      <w:r w:rsidR="006E1718" w:rsidRPr="006D325F">
        <w:rPr>
          <w:b/>
          <w:bCs/>
          <w:iCs/>
          <w:color w:val="000000"/>
        </w:rPr>
        <w:t>COLLECTION OF INFORMATION EMPLOYING STATISTICAL METHODS</w:t>
      </w:r>
      <w:bookmarkEnd w:id="5"/>
      <w:bookmarkEnd w:id="4"/>
    </w:p>
    <w:p w14:paraId="5C9145F6" w14:textId="77777777" w:rsidR="0074782B" w:rsidRDefault="0074782B" w:rsidP="006D325F">
      <w:pPr>
        <w:outlineLvl w:val="0"/>
        <w:rPr>
          <w:b/>
          <w:bCs/>
          <w:iCs/>
          <w:color w:val="000000"/>
        </w:rPr>
      </w:pPr>
    </w:p>
    <w:p w14:paraId="5C9145F8" w14:textId="00FD3E50" w:rsidR="006E1718" w:rsidRPr="00C16160" w:rsidRDefault="006E1718" w:rsidP="00C16160">
      <w:pPr>
        <w:outlineLvl w:val="0"/>
        <w:rPr>
          <w:b/>
          <w:bCs/>
          <w:iCs/>
          <w:color w:val="000000"/>
        </w:rPr>
      </w:pPr>
      <w:bookmarkStart w:id="6" w:name="_Toc296520121"/>
      <w:bookmarkStart w:id="7" w:name="_Toc419274745"/>
      <w:r w:rsidRPr="00C16160">
        <w:rPr>
          <w:b/>
          <w:bCs/>
          <w:iCs/>
          <w:color w:val="000000"/>
        </w:rPr>
        <w:t>1</w:t>
      </w:r>
      <w:r w:rsidR="00DC2107" w:rsidRPr="00C16160">
        <w:rPr>
          <w:b/>
          <w:bCs/>
          <w:iCs/>
          <w:color w:val="000000"/>
        </w:rPr>
        <w:t xml:space="preserve">. </w:t>
      </w:r>
      <w:r w:rsidRPr="00C16160">
        <w:rPr>
          <w:b/>
          <w:bCs/>
          <w:iCs/>
          <w:color w:val="000000"/>
        </w:rPr>
        <w:t>Respondent Universe and Sampling Methods</w:t>
      </w:r>
      <w:bookmarkEnd w:id="6"/>
      <w:bookmarkEnd w:id="7"/>
    </w:p>
    <w:p w14:paraId="5C9145F9" w14:textId="77777777" w:rsidR="00721DCC" w:rsidRDefault="00721DC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C9145FA" w14:textId="6DD8C511" w:rsidR="003825D1" w:rsidRDefault="00CC531D" w:rsidP="00D97A13">
      <w:r>
        <w:t xml:space="preserve">The respondent universe for the registration form will include an adult member of all 500 households in the target community of Poblado Miguel Alleman. Registration information will only be collected at one time at the start of the intervention. </w:t>
      </w:r>
      <w:r w:rsidR="00913E95">
        <w:t xml:space="preserve">The respondent universe </w:t>
      </w:r>
      <w:r>
        <w:t xml:space="preserve">for the knowledge attitudes and practices survey </w:t>
      </w:r>
      <w:r w:rsidR="00913E95">
        <w:t xml:space="preserve">will consist of </w:t>
      </w:r>
      <w:r w:rsidR="00FF592E">
        <w:t xml:space="preserve">400 </w:t>
      </w:r>
      <w:r w:rsidR="00913E95">
        <w:t>adult members of households within the target intervention community of Poblado Miguel Alleman in Hermosillo</w:t>
      </w:r>
      <w:r w:rsidR="00746001">
        <w:t>,</w:t>
      </w:r>
      <w:r w:rsidR="00913E95">
        <w:t xml:space="preserve"> Mexico, and </w:t>
      </w:r>
      <w:r w:rsidR="00FF592E">
        <w:t xml:space="preserve">400 </w:t>
      </w:r>
      <w:r w:rsidR="00913E95">
        <w:t>adult members of a control community also in Her</w:t>
      </w:r>
      <w:r w:rsidR="00CC0865">
        <w:t>mosillo</w:t>
      </w:r>
      <w:r w:rsidR="00746001">
        <w:t>,</w:t>
      </w:r>
      <w:r w:rsidR="00CC0865">
        <w:t xml:space="preserve"> Mexico.</w:t>
      </w:r>
      <w:r>
        <w:t xml:space="preserve"> Participating individuals will be solicited for their participation at two times during the data collection year, once for the pre assessment and a second time for the post. </w:t>
      </w:r>
      <w:r w:rsidR="00CC0865">
        <w:t>Individuals will</w:t>
      </w:r>
      <w:r w:rsidR="00913E95">
        <w:t xml:space="preserve"> likely be Mexican citizens, some of indigenous descent. </w:t>
      </w:r>
    </w:p>
    <w:p w14:paraId="0E4C41A2" w14:textId="77777777" w:rsidR="007D23B9" w:rsidRDefault="007D23B9" w:rsidP="00D97A13"/>
    <w:p w14:paraId="5C9145FB" w14:textId="77777777" w:rsidR="003825D1" w:rsidRDefault="003825D1" w:rsidP="003825D1">
      <w:pPr>
        <w:outlineLvl w:val="0"/>
      </w:pPr>
      <w:r>
        <w:t>Collaboration with local community-based organizations and leaders will help ensure that data collection activities are conducted in a culturally and linguistically appropriate manner, and will also enhance participation from community members, which will reduce non-response bias.</w:t>
      </w:r>
    </w:p>
    <w:p w14:paraId="5C9145FC" w14:textId="300CFC1C" w:rsidR="00721DCC" w:rsidRPr="00C35341" w:rsidRDefault="00C35341" w:rsidP="00C16160">
      <w:pPr>
        <w:outlineLvl w:val="0"/>
        <w:rPr>
          <w:bCs/>
          <w:iCs/>
          <w:color w:val="000000"/>
        </w:rPr>
      </w:pPr>
      <w:r>
        <w:rPr>
          <w:bCs/>
          <w:iCs/>
          <w:color w:val="000000"/>
        </w:rPr>
        <w:t xml:space="preserve">Sampling methodologies are preferred to census to reduce the burden on the populations. </w:t>
      </w:r>
      <w:r w:rsidR="00F86DCD">
        <w:t xml:space="preserve">In total </w:t>
      </w:r>
      <w:r w:rsidR="00F86DCD" w:rsidRPr="00D97A13">
        <w:t xml:space="preserve">it is estimated that approximately </w:t>
      </w:r>
      <w:r w:rsidR="00A80749">
        <w:t>1,300</w:t>
      </w:r>
      <w:r w:rsidR="00F86DCD" w:rsidRPr="00D97A13">
        <w:t xml:space="preserve"> individual respondents may participate in data collection efforts under this </w:t>
      </w:r>
      <w:r w:rsidR="00F86DCD">
        <w:t>data collection</w:t>
      </w:r>
      <w:r w:rsidR="00F86DCD" w:rsidRPr="00D97A13">
        <w:t>.</w:t>
      </w:r>
    </w:p>
    <w:p w14:paraId="5C9145FD" w14:textId="77777777" w:rsidR="00C35341" w:rsidRDefault="00C35341" w:rsidP="00C16160">
      <w:pPr>
        <w:outlineLvl w:val="0"/>
        <w:rPr>
          <w:b/>
          <w:bCs/>
          <w:iCs/>
          <w:color w:val="000000"/>
        </w:rPr>
      </w:pPr>
    </w:p>
    <w:p w14:paraId="5C9145FE" w14:textId="6855C558" w:rsidR="006E1718" w:rsidRPr="00C16160" w:rsidRDefault="006E1718" w:rsidP="00C16160">
      <w:pPr>
        <w:outlineLvl w:val="0"/>
        <w:rPr>
          <w:b/>
          <w:bCs/>
          <w:iCs/>
          <w:color w:val="000000"/>
        </w:rPr>
      </w:pPr>
      <w:bookmarkStart w:id="8" w:name="_Toc296520122"/>
      <w:bookmarkStart w:id="9" w:name="_Toc419274746"/>
      <w:r w:rsidRPr="00C16160">
        <w:rPr>
          <w:b/>
          <w:bCs/>
          <w:iCs/>
          <w:color w:val="000000"/>
        </w:rPr>
        <w:t>2. Procedures for the Collection of Information</w:t>
      </w:r>
      <w:bookmarkEnd w:id="8"/>
      <w:bookmarkEnd w:id="9"/>
    </w:p>
    <w:p w14:paraId="5C9145FF" w14:textId="77777777" w:rsidR="00721DCC" w:rsidRDefault="00721DC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C914600" w14:textId="77777777" w:rsidR="007E2F78" w:rsidRPr="007E2F78" w:rsidRDefault="007E2F7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rPr>
      </w:pPr>
      <w:r w:rsidRPr="007E2F78">
        <w:rPr>
          <w:bCs/>
          <w:i/>
        </w:rPr>
        <w:t>Household registration:</w:t>
      </w:r>
    </w:p>
    <w:p w14:paraId="5C914601" w14:textId="59F63972" w:rsidR="00825138" w:rsidRDefault="00F86DCD"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t xml:space="preserve">There are roughly </w:t>
      </w:r>
      <w:r w:rsidR="00A80749">
        <w:t>500</w:t>
      </w:r>
      <w:r>
        <w:t xml:space="preserve"> homes in the target community, estimating one respondent per household will be contacted for registration activities. </w:t>
      </w:r>
      <w:r w:rsidR="00913E95">
        <w:rPr>
          <w:bCs/>
        </w:rPr>
        <w:t>Regist</w:t>
      </w:r>
      <w:r w:rsidR="00746001">
        <w:rPr>
          <w:bCs/>
        </w:rPr>
        <w:t>ration will be conducted via in-</w:t>
      </w:r>
      <w:r w:rsidR="00913E95">
        <w:rPr>
          <w:bCs/>
        </w:rPr>
        <w:t>person interviews with an adult member of the household, preferably the homeowner. Registration information will include contact information for the consenting household member as well as information regarding number of members of the household, number of dogs per household</w:t>
      </w:r>
      <w:r w:rsidR="00746001">
        <w:rPr>
          <w:bCs/>
        </w:rPr>
        <w:t>,</w:t>
      </w:r>
      <w:r w:rsidR="00913E95">
        <w:rPr>
          <w:bCs/>
        </w:rPr>
        <w:t xml:space="preserve"> and any tick habitat risk factors which may be important in the program intervention.</w:t>
      </w:r>
      <w:r w:rsidR="007E2F78">
        <w:rPr>
          <w:bCs/>
        </w:rPr>
        <w:t xml:space="preserve"> All homes wishing to participate in the program intervention will be required to provide the information collected on this form.</w:t>
      </w:r>
      <w:r w:rsidR="003825D1">
        <w:rPr>
          <w:bCs/>
        </w:rPr>
        <w:t xml:space="preserve"> This activity will involve no sampling or statistical methods. </w:t>
      </w:r>
      <w:r w:rsidR="00CC531D">
        <w:rPr>
          <w:bCs/>
        </w:rPr>
        <w:t>The purpose of this data collection is to gather consent from the homeowner</w:t>
      </w:r>
      <w:r w:rsidR="002C7A98">
        <w:rPr>
          <w:bCs/>
        </w:rPr>
        <w:t>,</w:t>
      </w:r>
      <w:r w:rsidR="00CC531D">
        <w:rPr>
          <w:bCs/>
        </w:rPr>
        <w:t xml:space="preserve"> or other adult member of the household</w:t>
      </w:r>
      <w:r w:rsidR="002C7A98">
        <w:rPr>
          <w:bCs/>
        </w:rPr>
        <w:t>,</w:t>
      </w:r>
      <w:r w:rsidR="00CC531D">
        <w:rPr>
          <w:bCs/>
        </w:rPr>
        <w:t xml:space="preserve"> to </w:t>
      </w:r>
      <w:r w:rsidR="00CC531D">
        <w:rPr>
          <w:bCs/>
        </w:rPr>
        <w:lastRenderedPageBreak/>
        <w:t xml:space="preserve">receive the project intervention items including environmental pesticide and tick collars for dogs. Questions involved in the registration of an individual household are used to provide basic contact information in case of emergencies, determine the number of dogs per household (i.e. number </w:t>
      </w:r>
      <w:r w:rsidR="002C7A98">
        <w:rPr>
          <w:bCs/>
        </w:rPr>
        <w:t>of tick collars that need to be</w:t>
      </w:r>
      <w:r w:rsidR="00CC531D">
        <w:rPr>
          <w:bCs/>
        </w:rPr>
        <w:t xml:space="preserve"> provided) and assess the environmental risk factors which may impact pesticide application (</w:t>
      </w:r>
      <w:r w:rsidR="002C7A98">
        <w:rPr>
          <w:bCs/>
        </w:rPr>
        <w:t>e</w:t>
      </w:r>
      <w:r w:rsidR="00E56592">
        <w:rPr>
          <w:bCs/>
        </w:rPr>
        <w:t>.g.</w:t>
      </w:r>
      <w:r w:rsidR="002C7A98">
        <w:rPr>
          <w:bCs/>
        </w:rPr>
        <w:t>, i</w:t>
      </w:r>
      <w:r w:rsidR="00E56592">
        <w:rPr>
          <w:bCs/>
        </w:rPr>
        <w:t xml:space="preserve">s there a water source on the premises? </w:t>
      </w:r>
      <w:r w:rsidR="002C7A98">
        <w:rPr>
          <w:bCs/>
        </w:rPr>
        <w:t>a</w:t>
      </w:r>
      <w:r w:rsidR="00E56592">
        <w:rPr>
          <w:bCs/>
        </w:rPr>
        <w:t>re there tick harborage areas</w:t>
      </w:r>
      <w:r w:rsidR="002C7A98">
        <w:rPr>
          <w:bCs/>
        </w:rPr>
        <w:t xml:space="preserve"> near the home? e</w:t>
      </w:r>
      <w:r w:rsidR="00E56592">
        <w:rPr>
          <w:bCs/>
        </w:rPr>
        <w:t>tc.).</w:t>
      </w:r>
    </w:p>
    <w:p w14:paraId="4F1F37BF" w14:textId="77777777" w:rsidR="007A4E44" w:rsidRDefault="007A4E44"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7BAA805C" w14:textId="684DA2B3" w:rsidR="007A4E44" w:rsidRDefault="007A4E44"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rPr>
      </w:pPr>
      <w:r>
        <w:rPr>
          <w:bCs/>
          <w:i/>
        </w:rPr>
        <w:t>Project intervention:</w:t>
      </w:r>
    </w:p>
    <w:p w14:paraId="570B51CA" w14:textId="00E0154C" w:rsidR="007A4E44" w:rsidRPr="00AE7BBB" w:rsidRDefault="007A4E44"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rPr>
      </w:pPr>
      <w:r>
        <w:rPr>
          <w:color w:val="000000"/>
        </w:rPr>
        <w:t xml:space="preserve">The project intervention will involve placing long lasting tick collars on all dogs in the community, providing routine acaricide treatment to the home and yard of registered participants and providing education at every interaction with community residents and homeowners. Progress in the intervention community will be marked by routine evaluation of tick burden in the environment and on dogs. The intervention and control communities will both participate in knowledge, attitudes, and practices (KAP) surveys before and after the intervention, and results will be compared. </w:t>
      </w:r>
      <w:r w:rsidR="00E56592">
        <w:rPr>
          <w:color w:val="000000"/>
        </w:rPr>
        <w:t xml:space="preserve">The control community was selected because it has a similar size, socioeconomic status, </w:t>
      </w:r>
      <w:r w:rsidR="00214A5D">
        <w:rPr>
          <w:color w:val="000000"/>
        </w:rPr>
        <w:t xml:space="preserve">RMSF </w:t>
      </w:r>
      <w:r w:rsidR="00E56592">
        <w:rPr>
          <w:color w:val="000000"/>
        </w:rPr>
        <w:t xml:space="preserve">case burden, </w:t>
      </w:r>
      <w:r w:rsidR="00214A5D">
        <w:rPr>
          <w:color w:val="000000"/>
        </w:rPr>
        <w:t>ecologic setting</w:t>
      </w:r>
      <w:r w:rsidR="00E56592">
        <w:rPr>
          <w:color w:val="000000"/>
        </w:rPr>
        <w:t xml:space="preserve"> and yet it is geographically isolated from the intervention area (meaning that </w:t>
      </w:r>
      <w:r w:rsidR="00214A5D">
        <w:rPr>
          <w:color w:val="000000"/>
        </w:rPr>
        <w:t>carry</w:t>
      </w:r>
      <w:r w:rsidR="00E56592">
        <w:rPr>
          <w:color w:val="000000"/>
        </w:rPr>
        <w:t>-over of project interventions is unlikely).</w:t>
      </w:r>
      <w:r>
        <w:rPr>
          <w:color w:val="000000"/>
        </w:rPr>
        <w:t>The control community will receive education following each of the surveys, but tick control will be restricted to routine practices which are currently available throughout the state, which includes seasonal pesticide fogging (targeted towards mosquito prevention) and does not include provision of acaricidal products for dogs.</w:t>
      </w:r>
    </w:p>
    <w:p w14:paraId="5C914602" w14:textId="77777777" w:rsidR="007E2F78" w:rsidRDefault="007E2F7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5C914603" w14:textId="38EADDA0" w:rsidR="007E2F78" w:rsidRPr="007E2F78" w:rsidRDefault="007E2F7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rPr>
      </w:pPr>
      <w:r w:rsidRPr="007E2F78">
        <w:rPr>
          <w:bCs/>
          <w:i/>
        </w:rPr>
        <w:t xml:space="preserve">Pre and post intervention </w:t>
      </w:r>
      <w:r w:rsidR="00746001">
        <w:rPr>
          <w:bCs/>
          <w:i/>
        </w:rPr>
        <w:t>knowledge, attitudes, and practices (</w:t>
      </w:r>
      <w:r w:rsidRPr="007E2F78">
        <w:rPr>
          <w:bCs/>
          <w:i/>
        </w:rPr>
        <w:t>KAP</w:t>
      </w:r>
      <w:r w:rsidR="00746001">
        <w:rPr>
          <w:bCs/>
          <w:i/>
        </w:rPr>
        <w:t>)</w:t>
      </w:r>
      <w:r w:rsidRPr="007E2F78">
        <w:rPr>
          <w:bCs/>
          <w:i/>
        </w:rPr>
        <w:t xml:space="preserve"> surveys:</w:t>
      </w:r>
    </w:p>
    <w:p w14:paraId="5C914604" w14:textId="249121E1" w:rsidR="005629AA" w:rsidRDefault="00913E95"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Cs/>
        </w:rPr>
        <w:t>Pre and post K</w:t>
      </w:r>
      <w:r w:rsidR="00746001">
        <w:rPr>
          <w:bCs/>
        </w:rPr>
        <w:t>AP surveys will be conducted in-</w:t>
      </w:r>
      <w:r>
        <w:rPr>
          <w:bCs/>
        </w:rPr>
        <w:t>person</w:t>
      </w:r>
      <w:r w:rsidR="003825D1">
        <w:rPr>
          <w:bCs/>
        </w:rPr>
        <w:t xml:space="preserve"> by trained interviewers on the project team. </w:t>
      </w:r>
      <w:r w:rsidR="00746001">
        <w:rPr>
          <w:bCs/>
        </w:rPr>
        <w:t xml:space="preserve"> </w:t>
      </w:r>
      <w:r w:rsidR="007E2F78">
        <w:rPr>
          <w:bCs/>
        </w:rPr>
        <w:t xml:space="preserve">Households will be randomly sampled within the intervention and non-intervention community using </w:t>
      </w:r>
      <w:r w:rsidR="003825D1">
        <w:rPr>
          <w:bCs/>
        </w:rPr>
        <w:t xml:space="preserve">numbered </w:t>
      </w:r>
      <w:r w:rsidR="007E2F78">
        <w:rPr>
          <w:bCs/>
        </w:rPr>
        <w:t xml:space="preserve">community maps. </w:t>
      </w:r>
      <w:r w:rsidR="00746001">
        <w:rPr>
          <w:bCs/>
        </w:rPr>
        <w:t xml:space="preserve"> </w:t>
      </w:r>
      <w:r w:rsidR="00E56592">
        <w:rPr>
          <w:bCs/>
        </w:rPr>
        <w:t xml:space="preserve">A maximum of 400 homes will be selected in the intervention area, and 400 homes in the control area will be asked to respond to the pre-survey at the start of the intervention, and then again at the end of the intervention (post survey). </w:t>
      </w:r>
      <w:r w:rsidR="002C7A98">
        <w:rPr>
          <w:bCs/>
        </w:rPr>
        <w:t xml:space="preserve">The same homes will be visited in the initial and final surveys. </w:t>
      </w:r>
      <w:r w:rsidR="007E2F78">
        <w:rPr>
          <w:bCs/>
        </w:rPr>
        <w:t xml:space="preserve">Homes will be sampled without replacement. </w:t>
      </w:r>
      <w:r w:rsidR="005629AA" w:rsidRPr="006E1718">
        <w:t xml:space="preserve">The use of </w:t>
      </w:r>
      <w:r w:rsidR="005629AA">
        <w:t xml:space="preserve">simple but </w:t>
      </w:r>
      <w:r w:rsidR="005629AA" w:rsidRPr="006E1718">
        <w:t>scientifically sound sampling methods</w:t>
      </w:r>
      <w:r w:rsidR="005629AA">
        <w:t xml:space="preserve"> and power calculations </w:t>
      </w:r>
      <w:r w:rsidR="005629AA" w:rsidRPr="006E1718">
        <w:t xml:space="preserve">will ensure that </w:t>
      </w:r>
      <w:r w:rsidR="005629AA">
        <w:t xml:space="preserve">RZB </w:t>
      </w:r>
      <w:r w:rsidR="005629AA" w:rsidRPr="006E1718">
        <w:t xml:space="preserve">collects data </w:t>
      </w:r>
      <w:r w:rsidR="005629AA">
        <w:t xml:space="preserve">with enough accuracy to assess the efficacy and impact of the program intervention. </w:t>
      </w:r>
    </w:p>
    <w:p w14:paraId="3D80B8C8" w14:textId="77777777" w:rsidR="007D23B9" w:rsidRDefault="007D23B9"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C914605" w14:textId="07F23C2D" w:rsidR="00F86DCD" w:rsidRDefault="00F86DCD" w:rsidP="00F86DCD">
      <w:r>
        <w:t xml:space="preserve">Data collection will be conducted to obtain information related to </w:t>
      </w:r>
      <w:r w:rsidRPr="00D97A13">
        <w:t xml:space="preserve">cases of </w:t>
      </w:r>
      <w:r>
        <w:t>rickettsial</w:t>
      </w:r>
      <w:r w:rsidRPr="00D97A13">
        <w:t xml:space="preserve"> disease </w:t>
      </w:r>
      <w:r>
        <w:t>and program efficacy</w:t>
      </w:r>
      <w:r w:rsidRPr="00D97A13">
        <w:t xml:space="preserve">. </w:t>
      </w:r>
      <w:r w:rsidR="00746001">
        <w:t>For the pre and post KAP</w:t>
      </w:r>
      <w:r>
        <w:t xml:space="preserve"> survey</w:t>
      </w:r>
      <w:r w:rsidR="00746001">
        <w:t>,</w:t>
      </w:r>
      <w:r>
        <w:t xml:space="preserve"> 60-70% of the homes will be randomly sampled in the intervention area, as well as 60-70% of the homes in a comparably sized control community. This will allow for the comparison of key indicators between the intervention and control communities while accounting for a 20% refusal rate. </w:t>
      </w:r>
    </w:p>
    <w:p w14:paraId="5C914606" w14:textId="77777777" w:rsidR="00F86DCD" w:rsidRDefault="00F86DCD" w:rsidP="00F86DCD">
      <w:r>
        <w:lastRenderedPageBreak/>
        <w:t xml:space="preserve">Sample size calculations for case control study using Fleiss statistical methods for rates and proportions, formulas 3.18 and 3.19 in Open Epi sample size calculator. </w:t>
      </w:r>
    </w:p>
    <w:p w14:paraId="767C4ABF" w14:textId="77777777" w:rsidR="007D23B9" w:rsidRDefault="007D23B9" w:rsidP="00F86DCD"/>
    <w:tbl>
      <w:tblPr>
        <w:tblStyle w:val="TableGrid"/>
        <w:tblW w:w="9795" w:type="dxa"/>
        <w:tblLook w:val="04A0" w:firstRow="1" w:lastRow="0" w:firstColumn="1" w:lastColumn="0" w:noHBand="0" w:noVBand="1"/>
      </w:tblPr>
      <w:tblGrid>
        <w:gridCol w:w="1487"/>
        <w:gridCol w:w="1470"/>
        <w:gridCol w:w="1470"/>
        <w:gridCol w:w="1435"/>
        <w:gridCol w:w="1006"/>
        <w:gridCol w:w="1457"/>
        <w:gridCol w:w="1470"/>
      </w:tblGrid>
      <w:tr w:rsidR="00A80749" w:rsidRPr="008348D3" w14:paraId="5C91460E" w14:textId="77777777" w:rsidTr="00A80749">
        <w:tc>
          <w:tcPr>
            <w:tcW w:w="1487" w:type="dxa"/>
          </w:tcPr>
          <w:p w14:paraId="5C914607" w14:textId="77777777" w:rsidR="00A80749" w:rsidRPr="008348D3" w:rsidRDefault="00A80749" w:rsidP="00ED3BE8">
            <w:pPr>
              <w:spacing w:after="200" w:line="276" w:lineRule="auto"/>
              <w:rPr>
                <w:b/>
              </w:rPr>
            </w:pPr>
            <w:r w:rsidRPr="008348D3">
              <w:rPr>
                <w:b/>
              </w:rPr>
              <w:t>Population</w:t>
            </w:r>
            <w:r>
              <w:rPr>
                <w:b/>
              </w:rPr>
              <w:t xml:space="preserve"> of households in intervention area </w:t>
            </w:r>
          </w:p>
        </w:tc>
        <w:tc>
          <w:tcPr>
            <w:tcW w:w="1470" w:type="dxa"/>
          </w:tcPr>
          <w:p w14:paraId="5C914608" w14:textId="77777777" w:rsidR="00A80749" w:rsidRPr="008348D3" w:rsidRDefault="00A80749" w:rsidP="00ED3BE8">
            <w:pPr>
              <w:spacing w:after="200" w:line="276" w:lineRule="auto"/>
              <w:rPr>
                <w:b/>
              </w:rPr>
            </w:pPr>
            <w:r>
              <w:rPr>
                <w:b/>
              </w:rPr>
              <w:t>Ratio of intervention to controls</w:t>
            </w:r>
          </w:p>
        </w:tc>
        <w:tc>
          <w:tcPr>
            <w:tcW w:w="1470" w:type="dxa"/>
          </w:tcPr>
          <w:p w14:paraId="5C914609" w14:textId="77777777" w:rsidR="00A80749" w:rsidRPr="008348D3" w:rsidRDefault="00A80749" w:rsidP="00ED3BE8">
            <w:pPr>
              <w:spacing w:after="200" w:line="276" w:lineRule="auto"/>
              <w:rPr>
                <w:b/>
              </w:rPr>
            </w:pPr>
            <w:r w:rsidRPr="008348D3">
              <w:rPr>
                <w:b/>
              </w:rPr>
              <w:t xml:space="preserve">Estimated percent </w:t>
            </w:r>
            <w:r>
              <w:rPr>
                <w:b/>
              </w:rPr>
              <w:t>frequency in intervention community (exposed)</w:t>
            </w:r>
          </w:p>
        </w:tc>
        <w:tc>
          <w:tcPr>
            <w:tcW w:w="1435" w:type="dxa"/>
          </w:tcPr>
          <w:p w14:paraId="5C91460A" w14:textId="77777777" w:rsidR="00A80749" w:rsidRPr="008348D3" w:rsidRDefault="00A80749" w:rsidP="00ED3BE8">
            <w:pPr>
              <w:spacing w:after="200" w:line="276" w:lineRule="auto"/>
              <w:rPr>
                <w:b/>
              </w:rPr>
            </w:pPr>
            <w:r w:rsidRPr="008348D3">
              <w:rPr>
                <w:b/>
              </w:rPr>
              <w:t>Confidence level</w:t>
            </w:r>
          </w:p>
        </w:tc>
        <w:tc>
          <w:tcPr>
            <w:tcW w:w="1006" w:type="dxa"/>
          </w:tcPr>
          <w:p w14:paraId="5C91460B" w14:textId="77777777" w:rsidR="00A80749" w:rsidRPr="008348D3" w:rsidRDefault="00A80749" w:rsidP="00ED3BE8">
            <w:pPr>
              <w:spacing w:after="200" w:line="276" w:lineRule="auto"/>
              <w:rPr>
                <w:b/>
              </w:rPr>
            </w:pPr>
            <w:r w:rsidRPr="008348D3">
              <w:rPr>
                <w:b/>
              </w:rPr>
              <w:t>Power</w:t>
            </w:r>
          </w:p>
        </w:tc>
        <w:tc>
          <w:tcPr>
            <w:tcW w:w="1457" w:type="dxa"/>
          </w:tcPr>
          <w:p w14:paraId="5C91460C" w14:textId="77777777" w:rsidR="00A80749" w:rsidRPr="008348D3" w:rsidRDefault="00A80749" w:rsidP="00ED3BE8">
            <w:pPr>
              <w:spacing w:after="200" w:line="276" w:lineRule="auto"/>
              <w:rPr>
                <w:b/>
              </w:rPr>
            </w:pPr>
            <w:r w:rsidRPr="008348D3">
              <w:rPr>
                <w:b/>
              </w:rPr>
              <w:t>Estimated percent frequency in</w:t>
            </w:r>
            <w:r>
              <w:rPr>
                <w:b/>
              </w:rPr>
              <w:t xml:space="preserve"> control community</w:t>
            </w:r>
            <w:r w:rsidRPr="008348D3">
              <w:rPr>
                <w:b/>
              </w:rPr>
              <w:t xml:space="preserve"> </w:t>
            </w:r>
            <w:r>
              <w:rPr>
                <w:b/>
              </w:rPr>
              <w:t>(</w:t>
            </w:r>
            <w:r w:rsidRPr="008348D3">
              <w:rPr>
                <w:b/>
              </w:rPr>
              <w:t>unexposed</w:t>
            </w:r>
            <w:r>
              <w:rPr>
                <w:b/>
              </w:rPr>
              <w:t>)</w:t>
            </w:r>
          </w:p>
        </w:tc>
        <w:tc>
          <w:tcPr>
            <w:tcW w:w="1470" w:type="dxa"/>
          </w:tcPr>
          <w:p w14:paraId="5C91460D" w14:textId="77777777" w:rsidR="00A80749" w:rsidRPr="008348D3" w:rsidRDefault="00A80749" w:rsidP="00ED3BE8">
            <w:pPr>
              <w:spacing w:after="200" w:line="276" w:lineRule="auto"/>
              <w:rPr>
                <w:b/>
              </w:rPr>
            </w:pPr>
            <w:r>
              <w:rPr>
                <w:b/>
              </w:rPr>
              <w:t>S</w:t>
            </w:r>
            <w:r w:rsidRPr="008348D3">
              <w:rPr>
                <w:b/>
              </w:rPr>
              <w:t>ample size</w:t>
            </w:r>
            <w:r>
              <w:rPr>
                <w:b/>
              </w:rPr>
              <w:t xml:space="preserve"> of intervention homes</w:t>
            </w:r>
          </w:p>
        </w:tc>
      </w:tr>
      <w:tr w:rsidR="00A80749" w:rsidRPr="008348D3" w14:paraId="5C914616" w14:textId="77777777" w:rsidTr="00A80749">
        <w:tc>
          <w:tcPr>
            <w:tcW w:w="1487" w:type="dxa"/>
          </w:tcPr>
          <w:p w14:paraId="5C91460F" w14:textId="77777777" w:rsidR="00A80749" w:rsidRPr="008348D3" w:rsidRDefault="00A80749" w:rsidP="00ED3BE8">
            <w:pPr>
              <w:spacing w:after="200" w:line="276" w:lineRule="auto"/>
            </w:pPr>
            <w:r>
              <w:t>500</w:t>
            </w:r>
          </w:p>
        </w:tc>
        <w:tc>
          <w:tcPr>
            <w:tcW w:w="1470" w:type="dxa"/>
          </w:tcPr>
          <w:p w14:paraId="5C914610" w14:textId="77777777" w:rsidR="00A80749" w:rsidRPr="008348D3" w:rsidRDefault="00A80749" w:rsidP="00ED3BE8">
            <w:pPr>
              <w:spacing w:after="200" w:line="276" w:lineRule="auto"/>
            </w:pPr>
            <w:r>
              <w:t>1.0</w:t>
            </w:r>
          </w:p>
        </w:tc>
        <w:tc>
          <w:tcPr>
            <w:tcW w:w="1470" w:type="dxa"/>
          </w:tcPr>
          <w:p w14:paraId="5C914611" w14:textId="77777777" w:rsidR="00A80749" w:rsidRPr="008348D3" w:rsidRDefault="00A80749" w:rsidP="00ED3BE8">
            <w:pPr>
              <w:spacing w:after="200" w:line="276" w:lineRule="auto"/>
            </w:pPr>
            <w:r w:rsidRPr="008348D3">
              <w:t>20%</w:t>
            </w:r>
          </w:p>
        </w:tc>
        <w:tc>
          <w:tcPr>
            <w:tcW w:w="1435" w:type="dxa"/>
          </w:tcPr>
          <w:p w14:paraId="5C914612" w14:textId="77777777" w:rsidR="00A80749" w:rsidRPr="008348D3" w:rsidRDefault="00A80749" w:rsidP="00ED3BE8">
            <w:pPr>
              <w:spacing w:after="200" w:line="276" w:lineRule="auto"/>
            </w:pPr>
            <w:r w:rsidRPr="008348D3">
              <w:t>95%</w:t>
            </w:r>
          </w:p>
        </w:tc>
        <w:tc>
          <w:tcPr>
            <w:tcW w:w="1006" w:type="dxa"/>
          </w:tcPr>
          <w:p w14:paraId="5C914613" w14:textId="77777777" w:rsidR="00A80749" w:rsidRPr="008348D3" w:rsidRDefault="00A80749" w:rsidP="00ED3BE8">
            <w:pPr>
              <w:spacing w:after="200" w:line="276" w:lineRule="auto"/>
            </w:pPr>
            <w:r w:rsidRPr="008348D3">
              <w:t>80%</w:t>
            </w:r>
          </w:p>
        </w:tc>
        <w:tc>
          <w:tcPr>
            <w:tcW w:w="1457" w:type="dxa"/>
          </w:tcPr>
          <w:p w14:paraId="5C914614" w14:textId="77777777" w:rsidR="00A80749" w:rsidRPr="008348D3" w:rsidRDefault="00A80749" w:rsidP="00ED3BE8">
            <w:pPr>
              <w:spacing w:after="200" w:line="276" w:lineRule="auto"/>
            </w:pPr>
            <w:r w:rsidRPr="008348D3">
              <w:t>5</w:t>
            </w:r>
            <w:r>
              <w:t>0</w:t>
            </w:r>
            <w:r w:rsidRPr="008348D3">
              <w:t>%</w:t>
            </w:r>
          </w:p>
        </w:tc>
        <w:tc>
          <w:tcPr>
            <w:tcW w:w="1470" w:type="dxa"/>
          </w:tcPr>
          <w:p w14:paraId="5C914615" w14:textId="77777777" w:rsidR="00A80749" w:rsidRPr="008348D3" w:rsidRDefault="00A80749" w:rsidP="00ED3BE8">
            <w:pPr>
              <w:tabs>
                <w:tab w:val="left" w:pos="744"/>
              </w:tabs>
              <w:spacing w:after="200" w:line="276" w:lineRule="auto"/>
            </w:pPr>
            <w:r>
              <w:t>39</w:t>
            </w:r>
          </w:p>
        </w:tc>
      </w:tr>
      <w:tr w:rsidR="00A80749" w:rsidRPr="008348D3" w14:paraId="5C91461E" w14:textId="77777777" w:rsidTr="00A80749">
        <w:tc>
          <w:tcPr>
            <w:tcW w:w="1487" w:type="dxa"/>
          </w:tcPr>
          <w:p w14:paraId="5C914617" w14:textId="77777777" w:rsidR="00A80749" w:rsidRPr="008348D3" w:rsidRDefault="00A80749" w:rsidP="00ED3BE8">
            <w:pPr>
              <w:spacing w:after="200" w:line="276" w:lineRule="auto"/>
            </w:pPr>
            <w:r>
              <w:t>500</w:t>
            </w:r>
          </w:p>
        </w:tc>
        <w:tc>
          <w:tcPr>
            <w:tcW w:w="1470" w:type="dxa"/>
          </w:tcPr>
          <w:p w14:paraId="5C914618" w14:textId="77777777" w:rsidR="00A80749" w:rsidRDefault="00A80749" w:rsidP="00ED3BE8">
            <w:pPr>
              <w:spacing w:after="200" w:line="276" w:lineRule="auto"/>
            </w:pPr>
            <w:r>
              <w:t>1.0</w:t>
            </w:r>
          </w:p>
        </w:tc>
        <w:tc>
          <w:tcPr>
            <w:tcW w:w="1470" w:type="dxa"/>
          </w:tcPr>
          <w:p w14:paraId="5C914619" w14:textId="77777777" w:rsidR="00A80749" w:rsidRPr="008348D3" w:rsidRDefault="00A80749" w:rsidP="00ED3BE8">
            <w:pPr>
              <w:spacing w:after="200" w:line="276" w:lineRule="auto"/>
            </w:pPr>
            <w:r>
              <w:t>10%</w:t>
            </w:r>
          </w:p>
        </w:tc>
        <w:tc>
          <w:tcPr>
            <w:tcW w:w="1435" w:type="dxa"/>
          </w:tcPr>
          <w:p w14:paraId="5C91461A" w14:textId="77777777" w:rsidR="00A80749" w:rsidRPr="008348D3" w:rsidRDefault="00A80749" w:rsidP="00ED3BE8">
            <w:pPr>
              <w:spacing w:after="200" w:line="276" w:lineRule="auto"/>
            </w:pPr>
            <w:r w:rsidRPr="008348D3">
              <w:t>95%</w:t>
            </w:r>
          </w:p>
        </w:tc>
        <w:tc>
          <w:tcPr>
            <w:tcW w:w="1006" w:type="dxa"/>
          </w:tcPr>
          <w:p w14:paraId="5C91461B" w14:textId="77777777" w:rsidR="00A80749" w:rsidRPr="008348D3" w:rsidRDefault="00A80749" w:rsidP="00ED3BE8">
            <w:pPr>
              <w:spacing w:after="200" w:line="276" w:lineRule="auto"/>
            </w:pPr>
            <w:r w:rsidRPr="008348D3">
              <w:t>80%</w:t>
            </w:r>
          </w:p>
        </w:tc>
        <w:tc>
          <w:tcPr>
            <w:tcW w:w="1457" w:type="dxa"/>
          </w:tcPr>
          <w:p w14:paraId="5C91461C" w14:textId="77777777" w:rsidR="00A80749" w:rsidRPr="008348D3" w:rsidRDefault="00A80749" w:rsidP="00ED3BE8">
            <w:pPr>
              <w:spacing w:after="200" w:line="276" w:lineRule="auto"/>
            </w:pPr>
            <w:r>
              <w:t>50</w:t>
            </w:r>
            <w:r w:rsidRPr="008348D3">
              <w:t>%</w:t>
            </w:r>
          </w:p>
        </w:tc>
        <w:tc>
          <w:tcPr>
            <w:tcW w:w="1470" w:type="dxa"/>
          </w:tcPr>
          <w:p w14:paraId="5C91461D" w14:textId="77777777" w:rsidR="00A80749" w:rsidRPr="008348D3" w:rsidRDefault="00A80749" w:rsidP="00ED3BE8">
            <w:pPr>
              <w:spacing w:after="200" w:line="276" w:lineRule="auto"/>
            </w:pPr>
            <w:r>
              <w:t>20</w:t>
            </w:r>
          </w:p>
        </w:tc>
      </w:tr>
      <w:tr w:rsidR="00A80749" w:rsidRPr="008348D3" w14:paraId="5C914626" w14:textId="77777777" w:rsidTr="00A80749">
        <w:tc>
          <w:tcPr>
            <w:tcW w:w="1487" w:type="dxa"/>
          </w:tcPr>
          <w:p w14:paraId="5C91461F" w14:textId="77777777" w:rsidR="00A80749" w:rsidRPr="008348D3" w:rsidRDefault="00A80749" w:rsidP="00ED3BE8">
            <w:pPr>
              <w:spacing w:after="200" w:line="276" w:lineRule="auto"/>
            </w:pPr>
            <w:r>
              <w:t>500</w:t>
            </w:r>
          </w:p>
        </w:tc>
        <w:tc>
          <w:tcPr>
            <w:tcW w:w="1470" w:type="dxa"/>
          </w:tcPr>
          <w:p w14:paraId="5C914620" w14:textId="77777777" w:rsidR="00A80749" w:rsidRDefault="00A80749" w:rsidP="00ED3BE8">
            <w:pPr>
              <w:spacing w:after="200" w:line="276" w:lineRule="auto"/>
            </w:pPr>
            <w:r>
              <w:t>1.0</w:t>
            </w:r>
          </w:p>
        </w:tc>
        <w:tc>
          <w:tcPr>
            <w:tcW w:w="1470" w:type="dxa"/>
          </w:tcPr>
          <w:p w14:paraId="5C914621" w14:textId="77777777" w:rsidR="00A80749" w:rsidRPr="008348D3" w:rsidRDefault="00A80749" w:rsidP="00ED3BE8">
            <w:pPr>
              <w:spacing w:after="200" w:line="276" w:lineRule="auto"/>
            </w:pPr>
            <w:r>
              <w:t>1%</w:t>
            </w:r>
          </w:p>
        </w:tc>
        <w:tc>
          <w:tcPr>
            <w:tcW w:w="1435" w:type="dxa"/>
          </w:tcPr>
          <w:p w14:paraId="5C914622" w14:textId="77777777" w:rsidR="00A80749" w:rsidRPr="008348D3" w:rsidRDefault="00A80749" w:rsidP="00ED3BE8">
            <w:pPr>
              <w:spacing w:after="200" w:line="276" w:lineRule="auto"/>
            </w:pPr>
            <w:r w:rsidRPr="008348D3">
              <w:t>95%</w:t>
            </w:r>
          </w:p>
        </w:tc>
        <w:tc>
          <w:tcPr>
            <w:tcW w:w="1006" w:type="dxa"/>
          </w:tcPr>
          <w:p w14:paraId="5C914623" w14:textId="77777777" w:rsidR="00A80749" w:rsidRPr="008348D3" w:rsidRDefault="00A80749" w:rsidP="00ED3BE8">
            <w:pPr>
              <w:spacing w:after="200" w:line="276" w:lineRule="auto"/>
            </w:pPr>
            <w:r w:rsidRPr="008348D3">
              <w:t>80%</w:t>
            </w:r>
          </w:p>
        </w:tc>
        <w:tc>
          <w:tcPr>
            <w:tcW w:w="1457" w:type="dxa"/>
          </w:tcPr>
          <w:p w14:paraId="5C914624" w14:textId="77777777" w:rsidR="00A80749" w:rsidRPr="008348D3" w:rsidRDefault="00A80749" w:rsidP="00ED3BE8">
            <w:pPr>
              <w:spacing w:after="200" w:line="276" w:lineRule="auto"/>
            </w:pPr>
            <w:r w:rsidRPr="008348D3">
              <w:t>50%</w:t>
            </w:r>
          </w:p>
        </w:tc>
        <w:tc>
          <w:tcPr>
            <w:tcW w:w="1470" w:type="dxa"/>
          </w:tcPr>
          <w:p w14:paraId="5C914625" w14:textId="77777777" w:rsidR="00A80749" w:rsidRPr="008348D3" w:rsidRDefault="00A80749" w:rsidP="00ED3BE8">
            <w:pPr>
              <w:spacing w:after="200" w:line="276" w:lineRule="auto"/>
            </w:pPr>
            <w:r>
              <w:t>15</w:t>
            </w:r>
          </w:p>
        </w:tc>
      </w:tr>
      <w:tr w:rsidR="00A80749" w:rsidRPr="008348D3" w14:paraId="5C91462E" w14:textId="77777777" w:rsidTr="00A80749">
        <w:tc>
          <w:tcPr>
            <w:tcW w:w="1487" w:type="dxa"/>
          </w:tcPr>
          <w:p w14:paraId="5C914627" w14:textId="77777777" w:rsidR="00A80749" w:rsidRPr="008348D3" w:rsidRDefault="00A80749" w:rsidP="00ED3BE8">
            <w:pPr>
              <w:spacing w:after="200" w:line="276" w:lineRule="auto"/>
            </w:pPr>
            <w:r>
              <w:t>500</w:t>
            </w:r>
          </w:p>
        </w:tc>
        <w:tc>
          <w:tcPr>
            <w:tcW w:w="1470" w:type="dxa"/>
          </w:tcPr>
          <w:p w14:paraId="5C914628" w14:textId="77777777" w:rsidR="00A80749" w:rsidRDefault="00A80749" w:rsidP="00ED3BE8">
            <w:pPr>
              <w:spacing w:after="200" w:line="276" w:lineRule="auto"/>
            </w:pPr>
            <w:r>
              <w:t>1.0</w:t>
            </w:r>
          </w:p>
        </w:tc>
        <w:tc>
          <w:tcPr>
            <w:tcW w:w="1470" w:type="dxa"/>
          </w:tcPr>
          <w:p w14:paraId="5C914629" w14:textId="77777777" w:rsidR="00A80749" w:rsidRPr="008348D3" w:rsidRDefault="00A80749" w:rsidP="00ED3BE8">
            <w:pPr>
              <w:spacing w:after="200" w:line="276" w:lineRule="auto"/>
            </w:pPr>
            <w:r>
              <w:t>42</w:t>
            </w:r>
            <w:r w:rsidRPr="008348D3">
              <w:t>%</w:t>
            </w:r>
          </w:p>
        </w:tc>
        <w:tc>
          <w:tcPr>
            <w:tcW w:w="1435" w:type="dxa"/>
          </w:tcPr>
          <w:p w14:paraId="5C91462A" w14:textId="77777777" w:rsidR="00A80749" w:rsidRPr="008348D3" w:rsidRDefault="00A80749" w:rsidP="00ED3BE8">
            <w:pPr>
              <w:spacing w:after="200" w:line="276" w:lineRule="auto"/>
            </w:pPr>
            <w:r w:rsidRPr="008348D3">
              <w:t>95%</w:t>
            </w:r>
          </w:p>
        </w:tc>
        <w:tc>
          <w:tcPr>
            <w:tcW w:w="1006" w:type="dxa"/>
          </w:tcPr>
          <w:p w14:paraId="5C91462B" w14:textId="77777777" w:rsidR="00A80749" w:rsidRPr="008348D3" w:rsidRDefault="00A80749" w:rsidP="00ED3BE8">
            <w:pPr>
              <w:spacing w:after="200" w:line="276" w:lineRule="auto"/>
            </w:pPr>
            <w:r w:rsidRPr="008348D3">
              <w:t>80%</w:t>
            </w:r>
          </w:p>
        </w:tc>
        <w:tc>
          <w:tcPr>
            <w:tcW w:w="1457" w:type="dxa"/>
          </w:tcPr>
          <w:p w14:paraId="5C91462C" w14:textId="77777777" w:rsidR="00A80749" w:rsidRPr="00B0006A" w:rsidRDefault="00A80749" w:rsidP="00ED3BE8">
            <w:pPr>
              <w:spacing w:after="200" w:line="276" w:lineRule="auto"/>
            </w:pPr>
            <w:r w:rsidRPr="00B0006A">
              <w:t>50%</w:t>
            </w:r>
          </w:p>
        </w:tc>
        <w:tc>
          <w:tcPr>
            <w:tcW w:w="1470" w:type="dxa"/>
          </w:tcPr>
          <w:p w14:paraId="5C91462D" w14:textId="77777777" w:rsidR="00A80749" w:rsidRPr="00B0006A" w:rsidRDefault="00A80749" w:rsidP="00ED3BE8">
            <w:pPr>
              <w:spacing w:after="200" w:line="276" w:lineRule="auto"/>
            </w:pPr>
            <w:r w:rsidRPr="00B0006A">
              <w:t>612</w:t>
            </w:r>
          </w:p>
        </w:tc>
      </w:tr>
    </w:tbl>
    <w:p w14:paraId="5C91462F" w14:textId="77777777" w:rsidR="00F86DCD" w:rsidRPr="00D97A13" w:rsidRDefault="00F86DCD" w:rsidP="00F86DCD"/>
    <w:p w14:paraId="23432D8A" w14:textId="69CA9947" w:rsidR="00CC0865" w:rsidRDefault="007E2F7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Two surveys will be conducted, one prior to the program intervention</w:t>
      </w:r>
      <w:r w:rsidR="007B6079">
        <w:rPr>
          <w:bCs/>
        </w:rPr>
        <w:t xml:space="preserve"> (pre)</w:t>
      </w:r>
      <w:r>
        <w:rPr>
          <w:bCs/>
        </w:rPr>
        <w:t>, and one following the program intervention</w:t>
      </w:r>
      <w:r w:rsidR="007B6079">
        <w:rPr>
          <w:bCs/>
        </w:rPr>
        <w:t xml:space="preserve"> (post)</w:t>
      </w:r>
      <w:r>
        <w:rPr>
          <w:bCs/>
        </w:rPr>
        <w:t xml:space="preserve">. </w:t>
      </w:r>
      <w:r w:rsidR="002C7A98">
        <w:rPr>
          <w:bCs/>
        </w:rPr>
        <w:t xml:space="preserve">The same homes that were sampled in the pre survey will be visited again in the post survey. </w:t>
      </w:r>
      <w:r w:rsidR="00E41A3B">
        <w:rPr>
          <w:bCs/>
        </w:rPr>
        <w:t xml:space="preserve"> </w:t>
      </w:r>
      <w:r w:rsidR="007A4665">
        <w:rPr>
          <w:bCs/>
        </w:rPr>
        <w:t xml:space="preserve">The participating communities contain migrant populations so although the same homes will be visited for both pre and post surveys, some turnover of residents is expected. </w:t>
      </w:r>
    </w:p>
    <w:p w14:paraId="5C914630" w14:textId="6336D834" w:rsidR="00F86DCD" w:rsidRDefault="003825D1"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 xml:space="preserve"> </w:t>
      </w:r>
    </w:p>
    <w:p w14:paraId="5C914631" w14:textId="77777777" w:rsidR="00F86DCD" w:rsidRDefault="007E2F7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Survey questions may include</w:t>
      </w:r>
      <w:r w:rsidR="00F86DCD">
        <w:rPr>
          <w:bCs/>
        </w:rPr>
        <w:t>:</w:t>
      </w:r>
    </w:p>
    <w:p w14:paraId="5C914632" w14:textId="77777777" w:rsidR="00F86DCD" w:rsidRDefault="00F86DCD" w:rsidP="00F86DCD">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K</w:t>
      </w:r>
      <w:r w:rsidR="007E2F78" w:rsidRPr="00F86DCD">
        <w:rPr>
          <w:bCs/>
        </w:rPr>
        <w:t>nowle</w:t>
      </w:r>
      <w:r>
        <w:rPr>
          <w:bCs/>
        </w:rPr>
        <w:t>dge about tickborne disease</w:t>
      </w:r>
    </w:p>
    <w:p w14:paraId="5C914633" w14:textId="77777777" w:rsidR="00F86DCD" w:rsidRDefault="00F86DCD" w:rsidP="00F86DCD">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 xml:space="preserve">Knowledge of </w:t>
      </w:r>
      <w:r w:rsidR="007E2F78" w:rsidRPr="00F86DCD">
        <w:rPr>
          <w:bCs/>
        </w:rPr>
        <w:t>how</w:t>
      </w:r>
      <w:r>
        <w:rPr>
          <w:bCs/>
        </w:rPr>
        <w:t xml:space="preserve"> to prevent tickborne disease</w:t>
      </w:r>
    </w:p>
    <w:p w14:paraId="5C914634" w14:textId="77777777" w:rsidR="00F86DCD" w:rsidRDefault="00F86DCD" w:rsidP="00F86DCD">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A</w:t>
      </w:r>
      <w:r w:rsidR="007E2F78" w:rsidRPr="00F86DCD">
        <w:rPr>
          <w:bCs/>
        </w:rPr>
        <w:t>ttitudes towards pesticide</w:t>
      </w:r>
      <w:r>
        <w:rPr>
          <w:bCs/>
        </w:rPr>
        <w:t xml:space="preserve"> use</w:t>
      </w:r>
    </w:p>
    <w:p w14:paraId="5C914635" w14:textId="77777777" w:rsidR="00F86DCD" w:rsidRDefault="00F86DCD" w:rsidP="00F86DCD">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Attitudes of</w:t>
      </w:r>
      <w:r w:rsidR="007E2F78" w:rsidRPr="00F86DCD">
        <w:rPr>
          <w:bCs/>
        </w:rPr>
        <w:t xml:space="preserve"> animal control </w:t>
      </w:r>
      <w:r>
        <w:rPr>
          <w:bCs/>
        </w:rPr>
        <w:t>practices</w:t>
      </w:r>
    </w:p>
    <w:p w14:paraId="5C914636" w14:textId="77777777" w:rsidR="00F86DCD" w:rsidRDefault="00F86DCD" w:rsidP="00F86DCD">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S</w:t>
      </w:r>
      <w:r w:rsidR="007E2F78" w:rsidRPr="00F86DCD">
        <w:rPr>
          <w:bCs/>
        </w:rPr>
        <w:t xml:space="preserve">atisfaction with community-based </w:t>
      </w:r>
      <w:r>
        <w:rPr>
          <w:bCs/>
        </w:rPr>
        <w:t>interventions</w:t>
      </w:r>
    </w:p>
    <w:p w14:paraId="657C2345" w14:textId="77777777" w:rsidR="00CC0865" w:rsidRDefault="00F86DCD" w:rsidP="00ED3BE8">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CC0865">
        <w:rPr>
          <w:bCs/>
        </w:rPr>
        <w:t>C</w:t>
      </w:r>
      <w:r w:rsidR="007E2F78" w:rsidRPr="00CC0865">
        <w:rPr>
          <w:bCs/>
        </w:rPr>
        <w:t>urrent tick prevention practices (including environmental and vete</w:t>
      </w:r>
      <w:r w:rsidR="00CC0865">
        <w:rPr>
          <w:bCs/>
        </w:rPr>
        <w:t>rinary acaricide applications)</w:t>
      </w:r>
    </w:p>
    <w:p w14:paraId="5C914638" w14:textId="6661F82A" w:rsidR="00F86DCD" w:rsidRPr="00CC0865" w:rsidRDefault="00F86DCD" w:rsidP="00ED3BE8">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CC0865">
        <w:rPr>
          <w:bCs/>
        </w:rPr>
        <w:t>Frequency of contact with risk factors such as free-roaming dogs</w:t>
      </w:r>
    </w:p>
    <w:p w14:paraId="5C914639" w14:textId="77777777" w:rsidR="00F86DCD" w:rsidRDefault="00F86DCD" w:rsidP="00F86DCD">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Comment</w:t>
      </w:r>
      <w:r w:rsidR="007E2F78" w:rsidRPr="00F86DCD">
        <w:rPr>
          <w:bCs/>
        </w:rPr>
        <w:t xml:space="preserve"> on the number of ticks they</w:t>
      </w:r>
      <w:r>
        <w:rPr>
          <w:bCs/>
        </w:rPr>
        <w:t xml:space="preserve"> have observed in the household, in the yard, on domestic animals and on children</w:t>
      </w:r>
    </w:p>
    <w:p w14:paraId="3D5C80BE" w14:textId="77777777" w:rsidR="00CC0865" w:rsidRDefault="00CC0865" w:rsidP="00CC086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5C91463A" w14:textId="77777777" w:rsidR="007E2F78" w:rsidRDefault="007E2F7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E3702">
        <w:lastRenderedPageBreak/>
        <w:t xml:space="preserve">Respondents will be </w:t>
      </w:r>
      <w:r>
        <w:t>adult members of households within the intervention community or the control community of comparable size. Respondents will be visited at their home site and asked if they would like to participate. We estimate roughly 20% refusal rate.</w:t>
      </w:r>
    </w:p>
    <w:p w14:paraId="5C91463C" w14:textId="77777777" w:rsidR="005629AA" w:rsidRDefault="005629AA" w:rsidP="00C16160">
      <w:pPr>
        <w:outlineLvl w:val="0"/>
        <w:rPr>
          <w:b/>
          <w:bCs/>
          <w:iCs/>
          <w:color w:val="000000"/>
        </w:rPr>
      </w:pPr>
    </w:p>
    <w:p w14:paraId="5C91463D" w14:textId="15DE9C1B" w:rsidR="006E1718" w:rsidRPr="00C16160" w:rsidRDefault="006E1718" w:rsidP="00C16160">
      <w:pPr>
        <w:outlineLvl w:val="0"/>
        <w:rPr>
          <w:b/>
          <w:bCs/>
          <w:iCs/>
          <w:color w:val="000000"/>
        </w:rPr>
      </w:pPr>
      <w:bookmarkStart w:id="10" w:name="_Toc296520123"/>
      <w:bookmarkStart w:id="11" w:name="_Toc419274747"/>
      <w:r w:rsidRPr="00C16160">
        <w:rPr>
          <w:b/>
          <w:bCs/>
          <w:iCs/>
          <w:color w:val="000000"/>
        </w:rPr>
        <w:t>3</w:t>
      </w:r>
      <w:r w:rsidR="00DC2107" w:rsidRPr="00C16160">
        <w:rPr>
          <w:b/>
          <w:bCs/>
          <w:iCs/>
          <w:color w:val="000000"/>
        </w:rPr>
        <w:t xml:space="preserve">. </w:t>
      </w:r>
      <w:r w:rsidRPr="00C16160">
        <w:rPr>
          <w:b/>
          <w:bCs/>
          <w:iCs/>
          <w:color w:val="000000"/>
        </w:rPr>
        <w:t>Methods to Maximize Response Rates and Deal with Non</w:t>
      </w:r>
      <w:r w:rsidR="00366E12" w:rsidRPr="00C16160">
        <w:rPr>
          <w:b/>
          <w:bCs/>
          <w:iCs/>
          <w:color w:val="000000"/>
        </w:rPr>
        <w:t>-</w:t>
      </w:r>
      <w:r w:rsidRPr="00C16160">
        <w:rPr>
          <w:b/>
          <w:bCs/>
          <w:iCs/>
          <w:color w:val="000000"/>
        </w:rPr>
        <w:t>response</w:t>
      </w:r>
      <w:bookmarkEnd w:id="10"/>
      <w:bookmarkEnd w:id="11"/>
    </w:p>
    <w:p w14:paraId="5C91463E" w14:textId="77777777" w:rsidR="00721DCC" w:rsidRDefault="00721DC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C91463F" w14:textId="7F7FDA62" w:rsidR="006E1718" w:rsidRPr="006E1718" w:rsidRDefault="00AF4C23" w:rsidP="00F86DCD">
      <w:r>
        <w:rPr>
          <w:lang w:bidi="ar-QA"/>
        </w:rPr>
        <w:t>RZB and collaborating partners</w:t>
      </w:r>
      <w:r w:rsidRPr="00AF4C23">
        <w:rPr>
          <w:lang w:bidi="ar-QA"/>
        </w:rPr>
        <w:t xml:space="preserve"> will ma</w:t>
      </w:r>
      <w:r>
        <w:rPr>
          <w:lang w:bidi="ar-QA"/>
        </w:rPr>
        <w:t>ke every effort to contact potential participants in a study.</w:t>
      </w:r>
      <w:r w:rsidRPr="00AF4C23">
        <w:rPr>
          <w:lang w:bidi="ar-QA"/>
        </w:rPr>
        <w:t xml:space="preserve"> </w:t>
      </w:r>
      <w:r w:rsidR="00F86DCD">
        <w:rPr>
          <w:lang w:bidi="ar-QA"/>
        </w:rPr>
        <w:t>We</w:t>
      </w:r>
      <w:r>
        <w:rPr>
          <w:lang w:bidi="ar-QA"/>
        </w:rPr>
        <w:t xml:space="preserve"> will</w:t>
      </w:r>
      <w:r w:rsidRPr="00AF4C23">
        <w:rPr>
          <w:lang w:bidi="ar-QA"/>
        </w:rPr>
        <w:t xml:space="preserve"> attempt to contact a </w:t>
      </w:r>
      <w:r>
        <w:rPr>
          <w:lang w:bidi="ar-QA"/>
        </w:rPr>
        <w:t>participant</w:t>
      </w:r>
      <w:r w:rsidRPr="00AF4C23">
        <w:rPr>
          <w:lang w:bidi="ar-QA"/>
        </w:rPr>
        <w:t xml:space="preserve"> at least three times before</w:t>
      </w:r>
      <w:r>
        <w:rPr>
          <w:lang w:bidi="ar-QA"/>
        </w:rPr>
        <w:t xml:space="preserve"> deeming them ‘lost</w:t>
      </w:r>
      <w:r w:rsidR="00746001">
        <w:rPr>
          <w:lang w:bidi="ar-QA"/>
        </w:rPr>
        <w:t>.</w:t>
      </w:r>
      <w:r w:rsidRPr="00AF4C23">
        <w:rPr>
          <w:lang w:bidi="ar-QA"/>
        </w:rPr>
        <w:t>’</w:t>
      </w:r>
      <w:r w:rsidR="00D76BC6">
        <w:rPr>
          <w:lang w:bidi="ar-QA"/>
        </w:rPr>
        <w:t xml:space="preserve"> </w:t>
      </w:r>
      <w:r>
        <w:rPr>
          <w:lang w:bidi="ar-QA"/>
        </w:rPr>
        <w:t xml:space="preserve">Questionnaires will be designed to be administered in less than </w:t>
      </w:r>
      <w:r w:rsidR="00267E73">
        <w:rPr>
          <w:lang w:bidi="ar-QA"/>
        </w:rPr>
        <w:t>20</w:t>
      </w:r>
      <w:r>
        <w:rPr>
          <w:lang w:bidi="ar-QA"/>
        </w:rPr>
        <w:t xml:space="preserve"> minutes, </w:t>
      </w:r>
      <w:r w:rsidRPr="00AF4C23">
        <w:rPr>
          <w:lang w:bidi="ar-QA"/>
        </w:rPr>
        <w:t xml:space="preserve">so the burden on </w:t>
      </w:r>
      <w:r>
        <w:rPr>
          <w:lang w:bidi="ar-QA"/>
        </w:rPr>
        <w:t>participants</w:t>
      </w:r>
      <w:r w:rsidRPr="00AF4C23">
        <w:rPr>
          <w:lang w:bidi="ar-QA"/>
        </w:rPr>
        <w:t xml:space="preserve"> should be sufficiently low to maximize response rates.</w:t>
      </w:r>
      <w:r w:rsidR="00F86DCD">
        <w:rPr>
          <w:lang w:bidi="ar-QA"/>
        </w:rPr>
        <w:t xml:space="preserve"> Surveys and registration interviews will be offered in English, Spanish, or local dialect as is appropriate for the population. Respondents will be informed of the time it will take to complete the survey, how their answers will be used</w:t>
      </w:r>
      <w:r w:rsidR="00746001">
        <w:rPr>
          <w:lang w:bidi="ar-QA"/>
        </w:rPr>
        <w:t>,</w:t>
      </w:r>
      <w:r w:rsidR="00F86DCD">
        <w:rPr>
          <w:lang w:bidi="ar-QA"/>
        </w:rPr>
        <w:t xml:space="preserve"> and will address</w:t>
      </w:r>
      <w:r w:rsidR="006E1718" w:rsidRPr="006E1718">
        <w:t xml:space="preserve"> </w:t>
      </w:r>
      <w:r w:rsidR="00B943E1">
        <w:t>data security</w:t>
      </w:r>
      <w:r w:rsidR="006E1718" w:rsidRPr="006E1718">
        <w:t xml:space="preserve"> and anonymity with respondents. </w:t>
      </w:r>
    </w:p>
    <w:p w14:paraId="5C914640" w14:textId="77777777" w:rsidR="00721DCC" w:rsidRDefault="00721DCC" w:rsidP="00C16160">
      <w:pPr>
        <w:outlineLvl w:val="0"/>
        <w:rPr>
          <w:b/>
          <w:bCs/>
          <w:iCs/>
          <w:color w:val="000000"/>
        </w:rPr>
      </w:pPr>
    </w:p>
    <w:p w14:paraId="5C914641" w14:textId="77777777" w:rsidR="006E1718" w:rsidRDefault="006E1718" w:rsidP="00C16160">
      <w:pPr>
        <w:outlineLvl w:val="0"/>
        <w:rPr>
          <w:b/>
          <w:bCs/>
          <w:iCs/>
          <w:color w:val="000000"/>
        </w:rPr>
      </w:pPr>
      <w:bookmarkStart w:id="12" w:name="_Toc296520124"/>
      <w:bookmarkStart w:id="13" w:name="_Toc419274748"/>
      <w:r w:rsidRPr="00C16160">
        <w:rPr>
          <w:b/>
          <w:bCs/>
          <w:iCs/>
          <w:color w:val="000000"/>
        </w:rPr>
        <w:t>B.4</w:t>
      </w:r>
      <w:r w:rsidR="00DC2107" w:rsidRPr="00C16160">
        <w:rPr>
          <w:b/>
          <w:bCs/>
          <w:iCs/>
          <w:color w:val="000000"/>
        </w:rPr>
        <w:t xml:space="preserve">. </w:t>
      </w:r>
      <w:r w:rsidRPr="00C16160">
        <w:rPr>
          <w:b/>
          <w:bCs/>
          <w:iCs/>
          <w:color w:val="000000"/>
        </w:rPr>
        <w:t>Test of Procedures or Methods to be Undertaken</w:t>
      </w:r>
      <w:bookmarkEnd w:id="12"/>
      <w:bookmarkEnd w:id="13"/>
    </w:p>
    <w:p w14:paraId="5C914642" w14:textId="77777777" w:rsidR="00721DCC" w:rsidRPr="00721DCC" w:rsidRDefault="00721DCC" w:rsidP="00C16160">
      <w:pPr>
        <w:outlineLvl w:val="0"/>
        <w:rPr>
          <w:bCs/>
          <w:iCs/>
          <w:color w:val="000000"/>
        </w:rPr>
      </w:pPr>
    </w:p>
    <w:p w14:paraId="5C914643" w14:textId="77777777" w:rsidR="00AF4C23" w:rsidRDefault="009C4329" w:rsidP="00EE6748">
      <w:pPr>
        <w:outlineLvl w:val="0"/>
      </w:pPr>
      <w:r>
        <w:t>Before any</w:t>
      </w:r>
      <w:r w:rsidR="006E1718" w:rsidRPr="006E1718">
        <w:t xml:space="preserve"> information collection is implemented, </w:t>
      </w:r>
      <w:r w:rsidR="00C53537">
        <w:t>instruments and</w:t>
      </w:r>
      <w:r w:rsidR="006E1718" w:rsidRPr="006E1718">
        <w:t xml:space="preserve"> method of data collection</w:t>
      </w:r>
      <w:r>
        <w:t xml:space="preserve"> will be determined</w:t>
      </w:r>
      <w:r w:rsidR="00366E12">
        <w:t xml:space="preserve">. </w:t>
      </w:r>
      <w:r w:rsidR="00EE6748">
        <w:t xml:space="preserve">Collaboration with local community-based organizations and leaders will help ensure that data collection activities are conducted in a culturally and linguistically appropriate manner, and will also enhance participation from community members, which will reduce non-response bias. Collection instruments have been piloted with fewer than 10 local individuals prior to implementation to ensure that questions were easily understood and locally appropriate. </w:t>
      </w:r>
    </w:p>
    <w:p w14:paraId="224AD812" w14:textId="77777777" w:rsidR="007D23B9" w:rsidRDefault="007D23B9" w:rsidP="00C16160">
      <w:pPr>
        <w:outlineLvl w:val="0"/>
        <w:rPr>
          <w:b/>
          <w:bCs/>
          <w:iCs/>
          <w:color w:val="000000"/>
        </w:rPr>
      </w:pPr>
      <w:bookmarkStart w:id="14" w:name="_Toc296520125"/>
      <w:bookmarkStart w:id="15" w:name="_Toc419274749"/>
    </w:p>
    <w:p w14:paraId="5C914645" w14:textId="77777777" w:rsidR="006E1718" w:rsidRPr="00C16160" w:rsidRDefault="006E1718" w:rsidP="00C16160">
      <w:pPr>
        <w:outlineLvl w:val="0"/>
        <w:rPr>
          <w:b/>
          <w:bCs/>
          <w:iCs/>
          <w:color w:val="000000"/>
        </w:rPr>
      </w:pPr>
      <w:r w:rsidRPr="00C16160">
        <w:rPr>
          <w:b/>
          <w:bCs/>
          <w:iCs/>
          <w:color w:val="000000"/>
        </w:rPr>
        <w:t>B.5</w:t>
      </w:r>
      <w:r w:rsidR="00DC2107" w:rsidRPr="00C16160">
        <w:rPr>
          <w:b/>
          <w:bCs/>
          <w:iCs/>
          <w:color w:val="000000"/>
        </w:rPr>
        <w:t xml:space="preserve">. </w:t>
      </w:r>
      <w:r w:rsidRPr="00C16160">
        <w:rPr>
          <w:b/>
          <w:bCs/>
          <w:iCs/>
          <w:color w:val="000000"/>
        </w:rPr>
        <w:t>Individuals Consulted on Statistical Aspects and Individuals Collecting and/or Analyzing Data</w:t>
      </w:r>
      <w:bookmarkEnd w:id="14"/>
      <w:bookmarkEnd w:id="15"/>
    </w:p>
    <w:p w14:paraId="5C914646" w14:textId="77777777"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C914647" w14:textId="77777777" w:rsidR="00D97A13" w:rsidRDefault="00EE674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Naomi Drexler (404) 718-4669, </w:t>
      </w:r>
      <w:hyperlink r:id="rId15" w:history="1">
        <w:r w:rsidRPr="00224D0F">
          <w:rPr>
            <w:rStyle w:val="Hyperlink"/>
          </w:rPr>
          <w:t>isj3@cdc.gov</w:t>
        </w:r>
      </w:hyperlink>
    </w:p>
    <w:p w14:paraId="5C914648" w14:textId="77777777" w:rsidR="00EE6748" w:rsidRDefault="00EE674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 Scott Dahlgren (404) 639-2220, </w:t>
      </w:r>
      <w:hyperlink r:id="rId16" w:history="1">
        <w:r w:rsidRPr="00224D0F">
          <w:rPr>
            <w:rStyle w:val="Hyperlink"/>
          </w:rPr>
          <w:t>iot0@cdc.gov</w:t>
        </w:r>
      </w:hyperlink>
    </w:p>
    <w:p w14:paraId="5C914649" w14:textId="77777777" w:rsidR="009922DA" w:rsidRDefault="00EE674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rPr>
      </w:pPr>
      <w:r>
        <w:t xml:space="preserve">Casey Barton Behravesh, (404) 639-0367, </w:t>
      </w:r>
      <w:hyperlink r:id="rId17" w:history="1">
        <w:r w:rsidRPr="00224D0F">
          <w:rPr>
            <w:rStyle w:val="Hyperlink"/>
          </w:rPr>
          <w:t>dlx9@cdc.gov</w:t>
        </w:r>
      </w:hyperlink>
    </w:p>
    <w:p w14:paraId="5C91464A" w14:textId="128F6A20" w:rsidR="009922DA" w:rsidRPr="00ED3BE8" w:rsidRDefault="009922DA"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D3BE8">
        <w:rPr>
          <w:rStyle w:val="Hyperlink"/>
          <w:color w:val="auto"/>
          <w:u w:val="none"/>
        </w:rPr>
        <w:t>Anne Stra</w:t>
      </w:r>
      <w:r w:rsidR="00E22DF4" w:rsidRPr="00ED3BE8">
        <w:rPr>
          <w:rStyle w:val="Hyperlink"/>
          <w:color w:val="auto"/>
          <w:u w:val="none"/>
        </w:rPr>
        <w:t>i</w:t>
      </w:r>
      <w:r w:rsidRPr="00ED3BE8">
        <w:rPr>
          <w:rStyle w:val="Hyperlink"/>
          <w:color w:val="auto"/>
          <w:u w:val="none"/>
        </w:rPr>
        <w:t xml:space="preserve">ly, (404) 639-3989, </w:t>
      </w:r>
      <w:hyperlink r:id="rId18" w:history="1">
        <w:r w:rsidRPr="00ED3BE8">
          <w:rPr>
            <w:rStyle w:val="Hyperlink"/>
          </w:rPr>
          <w:t>yzv2@cdc.gov</w:t>
        </w:r>
      </w:hyperlink>
      <w:r w:rsidRPr="00ED3BE8">
        <w:rPr>
          <w:rStyle w:val="Hyperlink"/>
          <w:color w:val="auto"/>
          <w:u w:val="none"/>
        </w:rPr>
        <w:t xml:space="preserve"> </w:t>
      </w:r>
    </w:p>
    <w:p w14:paraId="5C91464B" w14:textId="77777777" w:rsidR="00EE6748" w:rsidRDefault="00EE674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Gerardo Alvarez Hernandez, </w:t>
      </w:r>
      <w:hyperlink r:id="rId19" w:history="1">
        <w:r w:rsidRPr="00224D0F">
          <w:rPr>
            <w:rStyle w:val="Hyperlink"/>
          </w:rPr>
          <w:t>galvarezh63@gmail.com</w:t>
        </w:r>
      </w:hyperlink>
      <w:r>
        <w:t xml:space="preserve"> </w:t>
      </w:r>
      <w:bookmarkStart w:id="16" w:name="_GoBack"/>
      <w:bookmarkEnd w:id="16"/>
    </w:p>
    <w:p w14:paraId="5C91464C" w14:textId="77777777" w:rsidR="00EE6748" w:rsidRDefault="00EE674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C91464D" w14:textId="77777777" w:rsidR="00EE6748" w:rsidRDefault="00EE674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Members of the Rickettsial Zoonoses Branch, the Division of Global Migration and Quarantine, and the University of Sonora School of Medicine may be involved in the design, collection, and analysis of the data collected using this survey instrument. </w:t>
      </w:r>
    </w:p>
    <w:p w14:paraId="5C91464E" w14:textId="77777777" w:rsidR="00506CF6" w:rsidRPr="00CD3460" w:rsidRDefault="00506CF6" w:rsidP="00A962D8">
      <w:pPr>
        <w:spacing w:after="200"/>
      </w:pPr>
    </w:p>
    <w:sectPr w:rsidR="00506CF6" w:rsidRPr="00CD3460" w:rsidSect="00D14BB5">
      <w:footerReference w:type="default" r:id="rId20"/>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14651" w14:textId="77777777" w:rsidR="00ED3BE8" w:rsidRDefault="00ED3BE8" w:rsidP="00827DF4">
      <w:r>
        <w:separator/>
      </w:r>
    </w:p>
  </w:endnote>
  <w:endnote w:type="continuationSeparator" w:id="0">
    <w:p w14:paraId="5C914652" w14:textId="77777777" w:rsidR="00ED3BE8" w:rsidRDefault="00ED3BE8" w:rsidP="0082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311969"/>
      <w:docPartObj>
        <w:docPartGallery w:val="Page Numbers (Bottom of Page)"/>
        <w:docPartUnique/>
      </w:docPartObj>
    </w:sdtPr>
    <w:sdtContent>
      <w:p w14:paraId="5C914653" w14:textId="77777777" w:rsidR="00ED3BE8" w:rsidRDefault="00ED3BE8">
        <w:pPr>
          <w:pStyle w:val="Footer"/>
          <w:jc w:val="right"/>
        </w:pPr>
        <w:r>
          <w:fldChar w:fldCharType="begin"/>
        </w:r>
        <w:r>
          <w:instrText xml:space="preserve"> PAGE   \* MERGEFORMAT </w:instrText>
        </w:r>
        <w:r>
          <w:fldChar w:fldCharType="separate"/>
        </w:r>
        <w:r w:rsidR="00663B1C">
          <w:rPr>
            <w:noProof/>
          </w:rPr>
          <w:t>6</w:t>
        </w:r>
        <w:r>
          <w:rPr>
            <w:noProof/>
          </w:rPr>
          <w:fldChar w:fldCharType="end"/>
        </w:r>
      </w:p>
    </w:sdtContent>
  </w:sdt>
  <w:p w14:paraId="5C914654" w14:textId="77777777" w:rsidR="00ED3BE8" w:rsidRDefault="00ED3B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1464F" w14:textId="77777777" w:rsidR="00ED3BE8" w:rsidRDefault="00ED3BE8" w:rsidP="00827DF4">
      <w:r>
        <w:separator/>
      </w:r>
    </w:p>
  </w:footnote>
  <w:footnote w:type="continuationSeparator" w:id="0">
    <w:p w14:paraId="5C914650" w14:textId="77777777" w:rsidR="00ED3BE8" w:rsidRDefault="00ED3BE8" w:rsidP="00827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585AEA"/>
    <w:multiLevelType w:val="hybridMultilevel"/>
    <w:tmpl w:val="3CEEF9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A3A30"/>
    <w:multiLevelType w:val="hybridMultilevel"/>
    <w:tmpl w:val="E6A0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95A95"/>
    <w:multiLevelType w:val="hybridMultilevel"/>
    <w:tmpl w:val="82740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E45F7"/>
    <w:multiLevelType w:val="hybridMultilevel"/>
    <w:tmpl w:val="11C03C32"/>
    <w:lvl w:ilvl="0" w:tplc="9D20460E">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FF2455"/>
    <w:multiLevelType w:val="hybridMultilevel"/>
    <w:tmpl w:val="11C03C32"/>
    <w:lvl w:ilvl="0" w:tplc="9D20460E">
      <w:start w:val="1"/>
      <w:numFmt w:val="upperLetter"/>
      <w:lvlText w:val="%1."/>
      <w:lvlJc w:val="left"/>
      <w:pPr>
        <w:ind w:left="360" w:hanging="360"/>
      </w:pPr>
      <w:rPr>
        <w:rFonts w:cs="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3C1B46"/>
    <w:multiLevelType w:val="hybridMultilevel"/>
    <w:tmpl w:val="22B4D7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9463EF"/>
    <w:multiLevelType w:val="hybridMultilevel"/>
    <w:tmpl w:val="171E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F7634"/>
    <w:multiLevelType w:val="hybridMultilevel"/>
    <w:tmpl w:val="0B74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26446DB"/>
    <w:multiLevelType w:val="hybridMultilevel"/>
    <w:tmpl w:val="FB56D1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997669"/>
    <w:multiLevelType w:val="hybridMultilevel"/>
    <w:tmpl w:val="E532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356176"/>
    <w:multiLevelType w:val="hybridMultilevel"/>
    <w:tmpl w:val="1548BB8A"/>
    <w:lvl w:ilvl="0" w:tplc="129EAF2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021302"/>
    <w:multiLevelType w:val="hybridMultilevel"/>
    <w:tmpl w:val="C0D8CB88"/>
    <w:lvl w:ilvl="0" w:tplc="DC0E91B6">
      <w:start w:val="1"/>
      <w:numFmt w:val="bullet"/>
      <w:lvlText w:val="•"/>
      <w:lvlJc w:val="left"/>
      <w:pPr>
        <w:tabs>
          <w:tab w:val="num" w:pos="720"/>
        </w:tabs>
        <w:ind w:left="720" w:hanging="360"/>
      </w:pPr>
      <w:rPr>
        <w:rFonts w:ascii="Arial" w:hAnsi="Arial" w:hint="default"/>
      </w:rPr>
    </w:lvl>
    <w:lvl w:ilvl="1" w:tplc="92E4AB34" w:tentative="1">
      <w:start w:val="1"/>
      <w:numFmt w:val="bullet"/>
      <w:lvlText w:val="•"/>
      <w:lvlJc w:val="left"/>
      <w:pPr>
        <w:tabs>
          <w:tab w:val="num" w:pos="1440"/>
        </w:tabs>
        <w:ind w:left="1440" w:hanging="360"/>
      </w:pPr>
      <w:rPr>
        <w:rFonts w:ascii="Arial" w:hAnsi="Arial" w:hint="default"/>
      </w:rPr>
    </w:lvl>
    <w:lvl w:ilvl="2" w:tplc="6188FADC" w:tentative="1">
      <w:start w:val="1"/>
      <w:numFmt w:val="bullet"/>
      <w:lvlText w:val="•"/>
      <w:lvlJc w:val="left"/>
      <w:pPr>
        <w:tabs>
          <w:tab w:val="num" w:pos="2160"/>
        </w:tabs>
        <w:ind w:left="2160" w:hanging="360"/>
      </w:pPr>
      <w:rPr>
        <w:rFonts w:ascii="Arial" w:hAnsi="Arial" w:hint="default"/>
      </w:rPr>
    </w:lvl>
    <w:lvl w:ilvl="3" w:tplc="7CB6C36E" w:tentative="1">
      <w:start w:val="1"/>
      <w:numFmt w:val="bullet"/>
      <w:lvlText w:val="•"/>
      <w:lvlJc w:val="left"/>
      <w:pPr>
        <w:tabs>
          <w:tab w:val="num" w:pos="2880"/>
        </w:tabs>
        <w:ind w:left="2880" w:hanging="360"/>
      </w:pPr>
      <w:rPr>
        <w:rFonts w:ascii="Arial" w:hAnsi="Arial" w:hint="default"/>
      </w:rPr>
    </w:lvl>
    <w:lvl w:ilvl="4" w:tplc="F424A978" w:tentative="1">
      <w:start w:val="1"/>
      <w:numFmt w:val="bullet"/>
      <w:lvlText w:val="•"/>
      <w:lvlJc w:val="left"/>
      <w:pPr>
        <w:tabs>
          <w:tab w:val="num" w:pos="3600"/>
        </w:tabs>
        <w:ind w:left="3600" w:hanging="360"/>
      </w:pPr>
      <w:rPr>
        <w:rFonts w:ascii="Arial" w:hAnsi="Arial" w:hint="default"/>
      </w:rPr>
    </w:lvl>
    <w:lvl w:ilvl="5" w:tplc="D848D5F4" w:tentative="1">
      <w:start w:val="1"/>
      <w:numFmt w:val="bullet"/>
      <w:lvlText w:val="•"/>
      <w:lvlJc w:val="left"/>
      <w:pPr>
        <w:tabs>
          <w:tab w:val="num" w:pos="4320"/>
        </w:tabs>
        <w:ind w:left="4320" w:hanging="360"/>
      </w:pPr>
      <w:rPr>
        <w:rFonts w:ascii="Arial" w:hAnsi="Arial" w:hint="default"/>
      </w:rPr>
    </w:lvl>
    <w:lvl w:ilvl="6" w:tplc="9CAE6808" w:tentative="1">
      <w:start w:val="1"/>
      <w:numFmt w:val="bullet"/>
      <w:lvlText w:val="•"/>
      <w:lvlJc w:val="left"/>
      <w:pPr>
        <w:tabs>
          <w:tab w:val="num" w:pos="5040"/>
        </w:tabs>
        <w:ind w:left="5040" w:hanging="360"/>
      </w:pPr>
      <w:rPr>
        <w:rFonts w:ascii="Arial" w:hAnsi="Arial" w:hint="default"/>
      </w:rPr>
    </w:lvl>
    <w:lvl w:ilvl="7" w:tplc="7108A86E" w:tentative="1">
      <w:start w:val="1"/>
      <w:numFmt w:val="bullet"/>
      <w:lvlText w:val="•"/>
      <w:lvlJc w:val="left"/>
      <w:pPr>
        <w:tabs>
          <w:tab w:val="num" w:pos="5760"/>
        </w:tabs>
        <w:ind w:left="5760" w:hanging="360"/>
      </w:pPr>
      <w:rPr>
        <w:rFonts w:ascii="Arial" w:hAnsi="Arial" w:hint="default"/>
      </w:rPr>
    </w:lvl>
    <w:lvl w:ilvl="8" w:tplc="32A692F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D5677E5"/>
    <w:multiLevelType w:val="hybridMultilevel"/>
    <w:tmpl w:val="BD88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8E586E"/>
    <w:multiLevelType w:val="hybridMultilevel"/>
    <w:tmpl w:val="6C8A4E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46718EF"/>
    <w:multiLevelType w:val="hybridMultilevel"/>
    <w:tmpl w:val="FB187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7B6EE1"/>
    <w:multiLevelType w:val="multilevel"/>
    <w:tmpl w:val="DDF248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E7C6A2A"/>
    <w:multiLevelType w:val="hybridMultilevel"/>
    <w:tmpl w:val="46C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F111A8"/>
    <w:multiLevelType w:val="hybridMultilevel"/>
    <w:tmpl w:val="0DDE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2C4E5D"/>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1C4B04"/>
    <w:multiLevelType w:val="hybridMultilevel"/>
    <w:tmpl w:val="01E4C85C"/>
    <w:lvl w:ilvl="0" w:tplc="931C46D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E60FA4"/>
    <w:multiLevelType w:val="hybridMultilevel"/>
    <w:tmpl w:val="54629B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BC0E23"/>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517845"/>
    <w:multiLevelType w:val="hybridMultilevel"/>
    <w:tmpl w:val="88E40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7"/>
  </w:num>
  <w:num w:numId="4">
    <w:abstractNumId w:val="13"/>
  </w:num>
  <w:num w:numId="5">
    <w:abstractNumId w:val="11"/>
  </w:num>
  <w:num w:numId="6">
    <w:abstractNumId w:val="19"/>
  </w:num>
  <w:num w:numId="7">
    <w:abstractNumId w:val="5"/>
  </w:num>
  <w:num w:numId="8">
    <w:abstractNumId w:val="4"/>
  </w:num>
  <w:num w:numId="9">
    <w:abstractNumId w:val="15"/>
  </w:num>
  <w:num w:numId="10">
    <w:abstractNumId w:val="9"/>
  </w:num>
  <w:num w:numId="11">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12">
    <w:abstractNumId w:val="8"/>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1"/>
  </w:num>
  <w:num w:numId="16">
    <w:abstractNumId w:val="6"/>
  </w:num>
  <w:num w:numId="17">
    <w:abstractNumId w:val="12"/>
  </w:num>
  <w:num w:numId="18">
    <w:abstractNumId w:val="1"/>
  </w:num>
  <w:num w:numId="19">
    <w:abstractNumId w:val="22"/>
  </w:num>
  <w:num w:numId="20">
    <w:abstractNumId w:val="10"/>
  </w:num>
  <w:num w:numId="21">
    <w:abstractNumId w:val="3"/>
  </w:num>
  <w:num w:numId="22">
    <w:abstractNumId w:val="23"/>
  </w:num>
  <w:num w:numId="23">
    <w:abstractNumId w:val="20"/>
  </w:num>
  <w:num w:numId="24">
    <w:abstractNumId w:val="16"/>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E6B"/>
    <w:rsid w:val="0000457F"/>
    <w:rsid w:val="00024F9D"/>
    <w:rsid w:val="0003191F"/>
    <w:rsid w:val="00031E53"/>
    <w:rsid w:val="000451FC"/>
    <w:rsid w:val="00086A3D"/>
    <w:rsid w:val="000A1B0D"/>
    <w:rsid w:val="000A716E"/>
    <w:rsid w:val="000C3A74"/>
    <w:rsid w:val="000C5352"/>
    <w:rsid w:val="000C6C4F"/>
    <w:rsid w:val="000D50A6"/>
    <w:rsid w:val="000D70BD"/>
    <w:rsid w:val="000E0CD5"/>
    <w:rsid w:val="000E200E"/>
    <w:rsid w:val="000E3702"/>
    <w:rsid w:val="000E68B7"/>
    <w:rsid w:val="000F6550"/>
    <w:rsid w:val="00101917"/>
    <w:rsid w:val="001060DE"/>
    <w:rsid w:val="00110035"/>
    <w:rsid w:val="001100B3"/>
    <w:rsid w:val="00110290"/>
    <w:rsid w:val="00115477"/>
    <w:rsid w:val="001156DB"/>
    <w:rsid w:val="00125E11"/>
    <w:rsid w:val="00132888"/>
    <w:rsid w:val="001427AB"/>
    <w:rsid w:val="00146DA7"/>
    <w:rsid w:val="00152D0D"/>
    <w:rsid w:val="00154F20"/>
    <w:rsid w:val="001569E6"/>
    <w:rsid w:val="00185BFC"/>
    <w:rsid w:val="0019140B"/>
    <w:rsid w:val="00197F20"/>
    <w:rsid w:val="001A008C"/>
    <w:rsid w:val="001B0FDF"/>
    <w:rsid w:val="001B3482"/>
    <w:rsid w:val="001B3710"/>
    <w:rsid w:val="001C79E2"/>
    <w:rsid w:val="001E661D"/>
    <w:rsid w:val="001F3D8A"/>
    <w:rsid w:val="001F46B4"/>
    <w:rsid w:val="00207004"/>
    <w:rsid w:val="00214A5D"/>
    <w:rsid w:val="00236646"/>
    <w:rsid w:val="002440A2"/>
    <w:rsid w:val="002455CF"/>
    <w:rsid w:val="00267E73"/>
    <w:rsid w:val="00273A87"/>
    <w:rsid w:val="00282256"/>
    <w:rsid w:val="002844BF"/>
    <w:rsid w:val="00285044"/>
    <w:rsid w:val="0029618A"/>
    <w:rsid w:val="002B0956"/>
    <w:rsid w:val="002B288D"/>
    <w:rsid w:val="002B298E"/>
    <w:rsid w:val="002C7A98"/>
    <w:rsid w:val="002C7E67"/>
    <w:rsid w:val="002D60CF"/>
    <w:rsid w:val="002F11BD"/>
    <w:rsid w:val="002F2CEC"/>
    <w:rsid w:val="003028A3"/>
    <w:rsid w:val="00307C19"/>
    <w:rsid w:val="003135B9"/>
    <w:rsid w:val="003161FF"/>
    <w:rsid w:val="00332D84"/>
    <w:rsid w:val="00333F3C"/>
    <w:rsid w:val="0034047D"/>
    <w:rsid w:val="003407A4"/>
    <w:rsid w:val="0034324A"/>
    <w:rsid w:val="00353D19"/>
    <w:rsid w:val="00361961"/>
    <w:rsid w:val="00361F53"/>
    <w:rsid w:val="00366E12"/>
    <w:rsid w:val="003701B1"/>
    <w:rsid w:val="00381331"/>
    <w:rsid w:val="003825D1"/>
    <w:rsid w:val="0038793E"/>
    <w:rsid w:val="003900EE"/>
    <w:rsid w:val="00390549"/>
    <w:rsid w:val="003942DE"/>
    <w:rsid w:val="003943F0"/>
    <w:rsid w:val="00394692"/>
    <w:rsid w:val="003A38E9"/>
    <w:rsid w:val="003A4D97"/>
    <w:rsid w:val="003A66C4"/>
    <w:rsid w:val="003D51F5"/>
    <w:rsid w:val="003E0BAC"/>
    <w:rsid w:val="003E735B"/>
    <w:rsid w:val="003F0F47"/>
    <w:rsid w:val="003F3CCC"/>
    <w:rsid w:val="003F56B4"/>
    <w:rsid w:val="003F7719"/>
    <w:rsid w:val="004241DA"/>
    <w:rsid w:val="00430F18"/>
    <w:rsid w:val="00434B9D"/>
    <w:rsid w:val="00441DE3"/>
    <w:rsid w:val="004435C4"/>
    <w:rsid w:val="004437FE"/>
    <w:rsid w:val="00446358"/>
    <w:rsid w:val="00453F6C"/>
    <w:rsid w:val="0047633C"/>
    <w:rsid w:val="004804D5"/>
    <w:rsid w:val="004A07C6"/>
    <w:rsid w:val="004A07FB"/>
    <w:rsid w:val="004A4FE8"/>
    <w:rsid w:val="004B3B2D"/>
    <w:rsid w:val="004B6DC1"/>
    <w:rsid w:val="004C1B77"/>
    <w:rsid w:val="004C32D8"/>
    <w:rsid w:val="004C4475"/>
    <w:rsid w:val="004C6399"/>
    <w:rsid w:val="004C7758"/>
    <w:rsid w:val="004D20F6"/>
    <w:rsid w:val="004D4179"/>
    <w:rsid w:val="004F3B1D"/>
    <w:rsid w:val="00506CF6"/>
    <w:rsid w:val="005075D5"/>
    <w:rsid w:val="0051285D"/>
    <w:rsid w:val="00517C3A"/>
    <w:rsid w:val="00521362"/>
    <w:rsid w:val="00522277"/>
    <w:rsid w:val="00532F40"/>
    <w:rsid w:val="00537DEE"/>
    <w:rsid w:val="00547161"/>
    <w:rsid w:val="00551D58"/>
    <w:rsid w:val="005534D9"/>
    <w:rsid w:val="005629AA"/>
    <w:rsid w:val="00565156"/>
    <w:rsid w:val="00591F4A"/>
    <w:rsid w:val="005A0B7C"/>
    <w:rsid w:val="005A5981"/>
    <w:rsid w:val="005B1E47"/>
    <w:rsid w:val="005D14E9"/>
    <w:rsid w:val="005E2028"/>
    <w:rsid w:val="005F13F7"/>
    <w:rsid w:val="005F2A2E"/>
    <w:rsid w:val="005F324D"/>
    <w:rsid w:val="005F4083"/>
    <w:rsid w:val="005F66AD"/>
    <w:rsid w:val="006011C7"/>
    <w:rsid w:val="00601928"/>
    <w:rsid w:val="006111CA"/>
    <w:rsid w:val="00644920"/>
    <w:rsid w:val="00654C70"/>
    <w:rsid w:val="00663B1C"/>
    <w:rsid w:val="0067091C"/>
    <w:rsid w:val="00682186"/>
    <w:rsid w:val="00684429"/>
    <w:rsid w:val="00691B8A"/>
    <w:rsid w:val="00692D2C"/>
    <w:rsid w:val="00696648"/>
    <w:rsid w:val="006A37F0"/>
    <w:rsid w:val="006B56C9"/>
    <w:rsid w:val="006C02A1"/>
    <w:rsid w:val="006C1051"/>
    <w:rsid w:val="006D21E5"/>
    <w:rsid w:val="006D325F"/>
    <w:rsid w:val="006D3C61"/>
    <w:rsid w:val="006E1718"/>
    <w:rsid w:val="006E2E30"/>
    <w:rsid w:val="006E3B52"/>
    <w:rsid w:val="006F2146"/>
    <w:rsid w:val="006F4E9C"/>
    <w:rsid w:val="006F596D"/>
    <w:rsid w:val="007175C6"/>
    <w:rsid w:val="00721DCC"/>
    <w:rsid w:val="007457BD"/>
    <w:rsid w:val="00746001"/>
    <w:rsid w:val="0074741E"/>
    <w:rsid w:val="0074782B"/>
    <w:rsid w:val="00747F9E"/>
    <w:rsid w:val="007526B7"/>
    <w:rsid w:val="00754761"/>
    <w:rsid w:val="007606B6"/>
    <w:rsid w:val="007640B2"/>
    <w:rsid w:val="00774782"/>
    <w:rsid w:val="007819F0"/>
    <w:rsid w:val="00781D75"/>
    <w:rsid w:val="0078220F"/>
    <w:rsid w:val="0078347F"/>
    <w:rsid w:val="007940E5"/>
    <w:rsid w:val="007A0252"/>
    <w:rsid w:val="007A4665"/>
    <w:rsid w:val="007A4E44"/>
    <w:rsid w:val="007B557B"/>
    <w:rsid w:val="007B563A"/>
    <w:rsid w:val="007B6079"/>
    <w:rsid w:val="007C1142"/>
    <w:rsid w:val="007C4223"/>
    <w:rsid w:val="007D1AFC"/>
    <w:rsid w:val="007D23B9"/>
    <w:rsid w:val="007D7FC0"/>
    <w:rsid w:val="007E2F78"/>
    <w:rsid w:val="007E39E9"/>
    <w:rsid w:val="007E7916"/>
    <w:rsid w:val="00803367"/>
    <w:rsid w:val="00810878"/>
    <w:rsid w:val="00810B19"/>
    <w:rsid w:val="008143DD"/>
    <w:rsid w:val="00815911"/>
    <w:rsid w:val="00821D2A"/>
    <w:rsid w:val="00824DB4"/>
    <w:rsid w:val="00825138"/>
    <w:rsid w:val="00827DF4"/>
    <w:rsid w:val="008351BE"/>
    <w:rsid w:val="00862F5D"/>
    <w:rsid w:val="00864A05"/>
    <w:rsid w:val="00882FB1"/>
    <w:rsid w:val="00885DBC"/>
    <w:rsid w:val="00897D97"/>
    <w:rsid w:val="008A2CD1"/>
    <w:rsid w:val="008B0E6B"/>
    <w:rsid w:val="008B4938"/>
    <w:rsid w:val="008D0E01"/>
    <w:rsid w:val="008D0F45"/>
    <w:rsid w:val="008D12F6"/>
    <w:rsid w:val="008D4DFE"/>
    <w:rsid w:val="008E142F"/>
    <w:rsid w:val="008F5D57"/>
    <w:rsid w:val="008F6228"/>
    <w:rsid w:val="00913E95"/>
    <w:rsid w:val="00917E72"/>
    <w:rsid w:val="0092182A"/>
    <w:rsid w:val="009338A8"/>
    <w:rsid w:val="009361F5"/>
    <w:rsid w:val="00941AB5"/>
    <w:rsid w:val="00941EA1"/>
    <w:rsid w:val="00944123"/>
    <w:rsid w:val="0094449F"/>
    <w:rsid w:val="00953577"/>
    <w:rsid w:val="00960A53"/>
    <w:rsid w:val="00970022"/>
    <w:rsid w:val="009922DA"/>
    <w:rsid w:val="00996B71"/>
    <w:rsid w:val="009A251F"/>
    <w:rsid w:val="009A2831"/>
    <w:rsid w:val="009A3FFD"/>
    <w:rsid w:val="009A496F"/>
    <w:rsid w:val="009B130C"/>
    <w:rsid w:val="009B5F90"/>
    <w:rsid w:val="009C0633"/>
    <w:rsid w:val="009C1A73"/>
    <w:rsid w:val="009C2AF8"/>
    <w:rsid w:val="009C4329"/>
    <w:rsid w:val="009C60C3"/>
    <w:rsid w:val="009D03FB"/>
    <w:rsid w:val="009D2385"/>
    <w:rsid w:val="009D3476"/>
    <w:rsid w:val="009F4132"/>
    <w:rsid w:val="009F74BD"/>
    <w:rsid w:val="00A0058B"/>
    <w:rsid w:val="00A00686"/>
    <w:rsid w:val="00A03206"/>
    <w:rsid w:val="00A03F29"/>
    <w:rsid w:val="00A057E7"/>
    <w:rsid w:val="00A10618"/>
    <w:rsid w:val="00A24635"/>
    <w:rsid w:val="00A24F50"/>
    <w:rsid w:val="00A35F72"/>
    <w:rsid w:val="00A37809"/>
    <w:rsid w:val="00A46F18"/>
    <w:rsid w:val="00A53365"/>
    <w:rsid w:val="00A75E21"/>
    <w:rsid w:val="00A80749"/>
    <w:rsid w:val="00A84B5F"/>
    <w:rsid w:val="00A920BE"/>
    <w:rsid w:val="00A962D8"/>
    <w:rsid w:val="00A97CEA"/>
    <w:rsid w:val="00AA36C4"/>
    <w:rsid w:val="00AA5973"/>
    <w:rsid w:val="00AB10DA"/>
    <w:rsid w:val="00AB1415"/>
    <w:rsid w:val="00AB4914"/>
    <w:rsid w:val="00AC4668"/>
    <w:rsid w:val="00AC77ED"/>
    <w:rsid w:val="00AE3DA0"/>
    <w:rsid w:val="00AE7BBB"/>
    <w:rsid w:val="00AF0A5C"/>
    <w:rsid w:val="00AF4C23"/>
    <w:rsid w:val="00AF4EF5"/>
    <w:rsid w:val="00B1042D"/>
    <w:rsid w:val="00B17955"/>
    <w:rsid w:val="00B17DC8"/>
    <w:rsid w:val="00B2241F"/>
    <w:rsid w:val="00B42E1C"/>
    <w:rsid w:val="00B5069D"/>
    <w:rsid w:val="00B756F6"/>
    <w:rsid w:val="00B76F1A"/>
    <w:rsid w:val="00B77456"/>
    <w:rsid w:val="00B8007D"/>
    <w:rsid w:val="00B943E1"/>
    <w:rsid w:val="00B96C51"/>
    <w:rsid w:val="00BB0CAC"/>
    <w:rsid w:val="00BB5C36"/>
    <w:rsid w:val="00BD2D93"/>
    <w:rsid w:val="00BD2DC1"/>
    <w:rsid w:val="00BD37D9"/>
    <w:rsid w:val="00BD5523"/>
    <w:rsid w:val="00BD6C1F"/>
    <w:rsid w:val="00BE4154"/>
    <w:rsid w:val="00BF73F0"/>
    <w:rsid w:val="00C01ADE"/>
    <w:rsid w:val="00C025A9"/>
    <w:rsid w:val="00C069E1"/>
    <w:rsid w:val="00C1235F"/>
    <w:rsid w:val="00C15CDE"/>
    <w:rsid w:val="00C16160"/>
    <w:rsid w:val="00C24E1C"/>
    <w:rsid w:val="00C2530B"/>
    <w:rsid w:val="00C35341"/>
    <w:rsid w:val="00C37D5D"/>
    <w:rsid w:val="00C43BEC"/>
    <w:rsid w:val="00C45CA8"/>
    <w:rsid w:val="00C53537"/>
    <w:rsid w:val="00C61DC0"/>
    <w:rsid w:val="00C642C6"/>
    <w:rsid w:val="00C725C9"/>
    <w:rsid w:val="00C82850"/>
    <w:rsid w:val="00C82AED"/>
    <w:rsid w:val="00C851EF"/>
    <w:rsid w:val="00C92E90"/>
    <w:rsid w:val="00C941B3"/>
    <w:rsid w:val="00C94F55"/>
    <w:rsid w:val="00CB026A"/>
    <w:rsid w:val="00CC0865"/>
    <w:rsid w:val="00CC3654"/>
    <w:rsid w:val="00CC531D"/>
    <w:rsid w:val="00CD3460"/>
    <w:rsid w:val="00CF32F1"/>
    <w:rsid w:val="00CF3CA0"/>
    <w:rsid w:val="00CF4D88"/>
    <w:rsid w:val="00D00FB8"/>
    <w:rsid w:val="00D029CE"/>
    <w:rsid w:val="00D03A37"/>
    <w:rsid w:val="00D064BC"/>
    <w:rsid w:val="00D07F4A"/>
    <w:rsid w:val="00D12715"/>
    <w:rsid w:val="00D1309C"/>
    <w:rsid w:val="00D14BB5"/>
    <w:rsid w:val="00D14CA9"/>
    <w:rsid w:val="00D21072"/>
    <w:rsid w:val="00D25282"/>
    <w:rsid w:val="00D33894"/>
    <w:rsid w:val="00D33EB1"/>
    <w:rsid w:val="00D3594F"/>
    <w:rsid w:val="00D37F26"/>
    <w:rsid w:val="00D46811"/>
    <w:rsid w:val="00D47EFD"/>
    <w:rsid w:val="00D5639F"/>
    <w:rsid w:val="00D63A58"/>
    <w:rsid w:val="00D64124"/>
    <w:rsid w:val="00D74DA8"/>
    <w:rsid w:val="00D76BC6"/>
    <w:rsid w:val="00D774A2"/>
    <w:rsid w:val="00D81625"/>
    <w:rsid w:val="00D83C22"/>
    <w:rsid w:val="00D87FC0"/>
    <w:rsid w:val="00D93FE9"/>
    <w:rsid w:val="00D95FDB"/>
    <w:rsid w:val="00D97070"/>
    <w:rsid w:val="00D97A13"/>
    <w:rsid w:val="00DA0852"/>
    <w:rsid w:val="00DA0E9C"/>
    <w:rsid w:val="00DB083E"/>
    <w:rsid w:val="00DB4C39"/>
    <w:rsid w:val="00DC2107"/>
    <w:rsid w:val="00DD2717"/>
    <w:rsid w:val="00DD4BC6"/>
    <w:rsid w:val="00DD5ACA"/>
    <w:rsid w:val="00DD79B1"/>
    <w:rsid w:val="00DE0261"/>
    <w:rsid w:val="00DF2F58"/>
    <w:rsid w:val="00DF5950"/>
    <w:rsid w:val="00E05012"/>
    <w:rsid w:val="00E22DF4"/>
    <w:rsid w:val="00E2727F"/>
    <w:rsid w:val="00E3112A"/>
    <w:rsid w:val="00E41A3B"/>
    <w:rsid w:val="00E421D2"/>
    <w:rsid w:val="00E52BC6"/>
    <w:rsid w:val="00E54502"/>
    <w:rsid w:val="00E54F1F"/>
    <w:rsid w:val="00E56592"/>
    <w:rsid w:val="00E6224C"/>
    <w:rsid w:val="00E8338B"/>
    <w:rsid w:val="00E8783A"/>
    <w:rsid w:val="00E97B8B"/>
    <w:rsid w:val="00EA1CAB"/>
    <w:rsid w:val="00EC0B1D"/>
    <w:rsid w:val="00EC3A3A"/>
    <w:rsid w:val="00EC3DCF"/>
    <w:rsid w:val="00EC3FE4"/>
    <w:rsid w:val="00EC6D5F"/>
    <w:rsid w:val="00ED01A2"/>
    <w:rsid w:val="00ED1DA6"/>
    <w:rsid w:val="00ED3BE8"/>
    <w:rsid w:val="00ED523F"/>
    <w:rsid w:val="00EE6748"/>
    <w:rsid w:val="00EE7B95"/>
    <w:rsid w:val="00EF4BAC"/>
    <w:rsid w:val="00EF5195"/>
    <w:rsid w:val="00F043B1"/>
    <w:rsid w:val="00F05ADA"/>
    <w:rsid w:val="00F15079"/>
    <w:rsid w:val="00F161E2"/>
    <w:rsid w:val="00F26A92"/>
    <w:rsid w:val="00F278FD"/>
    <w:rsid w:val="00F312EA"/>
    <w:rsid w:val="00F340D5"/>
    <w:rsid w:val="00F35D6D"/>
    <w:rsid w:val="00F36459"/>
    <w:rsid w:val="00F50F52"/>
    <w:rsid w:val="00F571E1"/>
    <w:rsid w:val="00F611D9"/>
    <w:rsid w:val="00F62D76"/>
    <w:rsid w:val="00F65AC7"/>
    <w:rsid w:val="00F70BDA"/>
    <w:rsid w:val="00F70F7E"/>
    <w:rsid w:val="00F7238A"/>
    <w:rsid w:val="00F74857"/>
    <w:rsid w:val="00F81F01"/>
    <w:rsid w:val="00F85F4D"/>
    <w:rsid w:val="00F86DCD"/>
    <w:rsid w:val="00FA2C0F"/>
    <w:rsid w:val="00FA6178"/>
    <w:rsid w:val="00FB194B"/>
    <w:rsid w:val="00FB43FF"/>
    <w:rsid w:val="00FB4476"/>
    <w:rsid w:val="00FB7E80"/>
    <w:rsid w:val="00FC2F67"/>
    <w:rsid w:val="00FD10BB"/>
    <w:rsid w:val="00FD3DD1"/>
    <w:rsid w:val="00FD4743"/>
    <w:rsid w:val="00FE542F"/>
    <w:rsid w:val="00FF592E"/>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45CC"/>
  <w15:docId w15:val="{21961CB9-8695-44E0-BAFA-0B27BC60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E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1B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E6B"/>
    <w:pPr>
      <w:ind w:left="720"/>
      <w:contextualSpacing/>
    </w:pPr>
  </w:style>
  <w:style w:type="character" w:styleId="CommentReference">
    <w:name w:val="annotation reference"/>
    <w:basedOn w:val="DefaultParagraphFont"/>
    <w:uiPriority w:val="99"/>
    <w:semiHidden/>
    <w:unhideWhenUsed/>
    <w:rsid w:val="008B0E6B"/>
    <w:rPr>
      <w:sz w:val="16"/>
      <w:szCs w:val="16"/>
    </w:rPr>
  </w:style>
  <w:style w:type="paragraph" w:styleId="CommentText">
    <w:name w:val="annotation text"/>
    <w:basedOn w:val="Normal"/>
    <w:link w:val="CommentTextChar"/>
    <w:uiPriority w:val="99"/>
    <w:unhideWhenUsed/>
    <w:rsid w:val="008B0E6B"/>
    <w:rPr>
      <w:sz w:val="20"/>
      <w:szCs w:val="20"/>
    </w:rPr>
  </w:style>
  <w:style w:type="character" w:customStyle="1" w:styleId="CommentTextChar">
    <w:name w:val="Comment Text Char"/>
    <w:basedOn w:val="DefaultParagraphFont"/>
    <w:link w:val="CommentText"/>
    <w:uiPriority w:val="99"/>
    <w:rsid w:val="008B0E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0E6B"/>
    <w:pPr>
      <w:tabs>
        <w:tab w:val="center" w:pos="4680"/>
        <w:tab w:val="right" w:pos="9360"/>
      </w:tabs>
    </w:pPr>
  </w:style>
  <w:style w:type="character" w:customStyle="1" w:styleId="FooterChar">
    <w:name w:val="Footer Char"/>
    <w:basedOn w:val="DefaultParagraphFont"/>
    <w:link w:val="Footer"/>
    <w:uiPriority w:val="99"/>
    <w:rsid w:val="008B0E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E6B"/>
    <w:rPr>
      <w:rFonts w:ascii="Tahoma" w:hAnsi="Tahoma" w:cs="Tahoma"/>
      <w:sz w:val="16"/>
      <w:szCs w:val="16"/>
    </w:rPr>
  </w:style>
  <w:style w:type="character" w:customStyle="1" w:styleId="BalloonTextChar">
    <w:name w:val="Balloon Text Char"/>
    <w:basedOn w:val="DefaultParagraphFont"/>
    <w:link w:val="BalloonText"/>
    <w:uiPriority w:val="99"/>
    <w:semiHidden/>
    <w:rsid w:val="008B0E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61961"/>
    <w:rPr>
      <w:b/>
      <w:bCs/>
    </w:rPr>
  </w:style>
  <w:style w:type="character" w:customStyle="1" w:styleId="CommentSubjectChar">
    <w:name w:val="Comment Subject Char"/>
    <w:basedOn w:val="CommentTextChar"/>
    <w:link w:val="CommentSubject"/>
    <w:uiPriority w:val="99"/>
    <w:semiHidden/>
    <w:rsid w:val="00361961"/>
    <w:rPr>
      <w:rFonts w:ascii="Times New Roman" w:eastAsia="Times New Roman" w:hAnsi="Times New Roman" w:cs="Times New Roman"/>
      <w:b/>
      <w:bCs/>
      <w:sz w:val="20"/>
      <w:szCs w:val="20"/>
    </w:rPr>
  </w:style>
  <w:style w:type="character" w:styleId="Hyperlink">
    <w:name w:val="Hyperlink"/>
    <w:basedOn w:val="DefaultParagraphFont"/>
    <w:uiPriority w:val="99"/>
    <w:rsid w:val="00D25282"/>
    <w:rPr>
      <w:color w:val="0000FF"/>
      <w:u w:val="single"/>
    </w:rPr>
  </w:style>
  <w:style w:type="paragraph" w:styleId="PlainText">
    <w:name w:val="Plain Text"/>
    <w:basedOn w:val="Normal"/>
    <w:link w:val="PlainTextChar"/>
    <w:rsid w:val="00D25282"/>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D25282"/>
    <w:rPr>
      <w:rFonts w:ascii="Courier New" w:eastAsia="Times New Roman" w:hAnsi="Courier New" w:cs="Times New Roman"/>
      <w:snapToGrid w:val="0"/>
      <w:sz w:val="20"/>
      <w:szCs w:val="20"/>
    </w:rPr>
  </w:style>
  <w:style w:type="table" w:styleId="TableGrid">
    <w:name w:val="Table Grid"/>
    <w:basedOn w:val="TableNormal"/>
    <w:uiPriority w:val="59"/>
    <w:rsid w:val="007C1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
    <w:name w:val="ti"/>
    <w:basedOn w:val="DefaultParagraphFont"/>
    <w:rsid w:val="007C1142"/>
  </w:style>
  <w:style w:type="character" w:customStyle="1" w:styleId="featuredlinkouts">
    <w:name w:val="featured_linkouts"/>
    <w:basedOn w:val="DefaultParagraphFont"/>
    <w:rsid w:val="007C1142"/>
  </w:style>
  <w:style w:type="paragraph" w:styleId="Revision">
    <w:name w:val="Revision"/>
    <w:hidden/>
    <w:uiPriority w:val="99"/>
    <w:semiHidden/>
    <w:rsid w:val="00F70BDA"/>
    <w:pPr>
      <w:spacing w:after="0" w:line="240" w:lineRule="auto"/>
    </w:pPr>
    <w:rPr>
      <w:rFonts w:ascii="Times New Roman" w:eastAsia="Times New Roman" w:hAnsi="Times New Roman" w:cs="Times New Roman"/>
      <w:sz w:val="24"/>
      <w:szCs w:val="24"/>
    </w:rPr>
  </w:style>
  <w:style w:type="paragraph" w:customStyle="1" w:styleId="Default">
    <w:name w:val="Default"/>
    <w:rsid w:val="003404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24635"/>
    <w:pPr>
      <w:tabs>
        <w:tab w:val="center" w:pos="4680"/>
        <w:tab w:val="right" w:pos="9360"/>
      </w:tabs>
    </w:pPr>
  </w:style>
  <w:style w:type="character" w:customStyle="1" w:styleId="HeaderChar">
    <w:name w:val="Header Char"/>
    <w:basedOn w:val="DefaultParagraphFont"/>
    <w:link w:val="Header"/>
    <w:uiPriority w:val="99"/>
    <w:rsid w:val="00A2463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C79E2"/>
    <w:rPr>
      <w:color w:val="800080" w:themeColor="followedHyperlink"/>
      <w:u w:val="single"/>
    </w:rPr>
  </w:style>
  <w:style w:type="paragraph" w:styleId="TOC2">
    <w:name w:val="toc 2"/>
    <w:autoRedefine/>
    <w:uiPriority w:val="39"/>
    <w:qFormat/>
    <w:rsid w:val="006E1718"/>
    <w:pPr>
      <w:tabs>
        <w:tab w:val="left" w:pos="720"/>
        <w:tab w:val="right" w:leader="dot" w:pos="9494"/>
      </w:tabs>
      <w:spacing w:beforeLines="120" w:afterLines="120" w:line="240" w:lineRule="auto"/>
    </w:pPr>
    <w:rPr>
      <w:rFonts w:eastAsia="Times New Roman" w:cs="Times New Roman"/>
      <w:b/>
      <w:smallCaps/>
      <w:noProof/>
      <w:sz w:val="24"/>
      <w:szCs w:val="20"/>
    </w:rPr>
  </w:style>
  <w:style w:type="paragraph" w:customStyle="1" w:styleId="Level1">
    <w:name w:val="Level 1"/>
    <w:rsid w:val="006E1718"/>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6E1718"/>
    <w:pPr>
      <w:widowControl w:val="0"/>
      <w:overflowPunct w:val="0"/>
      <w:autoSpaceDE w:val="0"/>
      <w:autoSpaceDN w:val="0"/>
      <w:adjustRightInd w:val="0"/>
      <w:textAlignment w:val="baseline"/>
    </w:pPr>
    <w:rPr>
      <w:b/>
      <w:szCs w:val="20"/>
    </w:rPr>
  </w:style>
  <w:style w:type="character" w:customStyle="1" w:styleId="Heading1Char">
    <w:name w:val="Heading 1 Char"/>
    <w:basedOn w:val="DefaultParagraphFont"/>
    <w:link w:val="Heading1"/>
    <w:uiPriority w:val="9"/>
    <w:rsid w:val="004C1B7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C1B77"/>
    <w:pPr>
      <w:spacing w:line="276" w:lineRule="auto"/>
      <w:outlineLvl w:val="9"/>
    </w:pPr>
  </w:style>
  <w:style w:type="paragraph" w:styleId="TOC1">
    <w:name w:val="toc 1"/>
    <w:basedOn w:val="Normal"/>
    <w:next w:val="Normal"/>
    <w:autoRedefine/>
    <w:uiPriority w:val="39"/>
    <w:unhideWhenUsed/>
    <w:qFormat/>
    <w:rsid w:val="007D23B9"/>
    <w:pPr>
      <w:tabs>
        <w:tab w:val="right" w:leader="dot" w:pos="9350"/>
      </w:tabs>
      <w:spacing w:after="100"/>
      <w:ind w:left="450"/>
    </w:pPr>
  </w:style>
  <w:style w:type="paragraph" w:styleId="TOC3">
    <w:name w:val="toc 3"/>
    <w:basedOn w:val="Normal"/>
    <w:next w:val="Normal"/>
    <w:autoRedefine/>
    <w:uiPriority w:val="39"/>
    <w:semiHidden/>
    <w:unhideWhenUsed/>
    <w:qFormat/>
    <w:rsid w:val="004C1B77"/>
    <w:pPr>
      <w:spacing w:after="100" w:line="276" w:lineRule="auto"/>
      <w:ind w:left="44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68170">
      <w:bodyDiv w:val="1"/>
      <w:marLeft w:val="0"/>
      <w:marRight w:val="0"/>
      <w:marTop w:val="0"/>
      <w:marBottom w:val="0"/>
      <w:divBdr>
        <w:top w:val="none" w:sz="0" w:space="0" w:color="auto"/>
        <w:left w:val="none" w:sz="0" w:space="0" w:color="auto"/>
        <w:bottom w:val="none" w:sz="0" w:space="0" w:color="auto"/>
        <w:right w:val="none" w:sz="0" w:space="0" w:color="auto"/>
      </w:divBdr>
    </w:div>
    <w:div w:id="446044521">
      <w:bodyDiv w:val="1"/>
      <w:marLeft w:val="0"/>
      <w:marRight w:val="0"/>
      <w:marTop w:val="0"/>
      <w:marBottom w:val="0"/>
      <w:divBdr>
        <w:top w:val="none" w:sz="0" w:space="0" w:color="auto"/>
        <w:left w:val="none" w:sz="0" w:space="0" w:color="auto"/>
        <w:bottom w:val="none" w:sz="0" w:space="0" w:color="auto"/>
        <w:right w:val="none" w:sz="0" w:space="0" w:color="auto"/>
      </w:divBdr>
      <w:divsChild>
        <w:div w:id="662856304">
          <w:marLeft w:val="0"/>
          <w:marRight w:val="0"/>
          <w:marTop w:val="0"/>
          <w:marBottom w:val="0"/>
          <w:divBdr>
            <w:top w:val="none" w:sz="0" w:space="0" w:color="auto"/>
            <w:left w:val="single" w:sz="6" w:space="0" w:color="CCCCCC"/>
            <w:bottom w:val="none" w:sz="0" w:space="0" w:color="auto"/>
            <w:right w:val="single" w:sz="6" w:space="0" w:color="CCCCCC"/>
          </w:divBdr>
          <w:divsChild>
            <w:div w:id="103232406">
              <w:marLeft w:val="0"/>
              <w:marRight w:val="0"/>
              <w:marTop w:val="0"/>
              <w:marBottom w:val="0"/>
              <w:divBdr>
                <w:top w:val="none" w:sz="0" w:space="0" w:color="auto"/>
                <w:left w:val="none" w:sz="0" w:space="0" w:color="auto"/>
                <w:bottom w:val="none" w:sz="0" w:space="0" w:color="auto"/>
                <w:right w:val="none" w:sz="0" w:space="0" w:color="auto"/>
              </w:divBdr>
              <w:divsChild>
                <w:div w:id="39207691">
                  <w:marLeft w:val="0"/>
                  <w:marRight w:val="0"/>
                  <w:marTop w:val="0"/>
                  <w:marBottom w:val="0"/>
                  <w:divBdr>
                    <w:top w:val="none" w:sz="0" w:space="0" w:color="auto"/>
                    <w:left w:val="none" w:sz="0" w:space="0" w:color="auto"/>
                    <w:bottom w:val="none" w:sz="0" w:space="0" w:color="auto"/>
                    <w:right w:val="none" w:sz="0" w:space="0" w:color="auto"/>
                  </w:divBdr>
                  <w:divsChild>
                    <w:div w:id="3250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110324">
      <w:bodyDiv w:val="1"/>
      <w:marLeft w:val="0"/>
      <w:marRight w:val="0"/>
      <w:marTop w:val="0"/>
      <w:marBottom w:val="0"/>
      <w:divBdr>
        <w:top w:val="none" w:sz="0" w:space="0" w:color="auto"/>
        <w:left w:val="none" w:sz="0" w:space="0" w:color="auto"/>
        <w:bottom w:val="none" w:sz="0" w:space="0" w:color="auto"/>
        <w:right w:val="none" w:sz="0" w:space="0" w:color="auto"/>
      </w:divBdr>
    </w:div>
    <w:div w:id="1072890822">
      <w:bodyDiv w:val="1"/>
      <w:marLeft w:val="0"/>
      <w:marRight w:val="0"/>
      <w:marTop w:val="0"/>
      <w:marBottom w:val="0"/>
      <w:divBdr>
        <w:top w:val="none" w:sz="0" w:space="0" w:color="auto"/>
        <w:left w:val="none" w:sz="0" w:space="0" w:color="auto"/>
        <w:bottom w:val="none" w:sz="0" w:space="0" w:color="auto"/>
        <w:right w:val="none" w:sz="0" w:space="0" w:color="auto"/>
      </w:divBdr>
    </w:div>
    <w:div w:id="1150749525">
      <w:bodyDiv w:val="1"/>
      <w:marLeft w:val="0"/>
      <w:marRight w:val="0"/>
      <w:marTop w:val="0"/>
      <w:marBottom w:val="0"/>
      <w:divBdr>
        <w:top w:val="none" w:sz="0" w:space="0" w:color="auto"/>
        <w:left w:val="none" w:sz="0" w:space="0" w:color="auto"/>
        <w:bottom w:val="none" w:sz="0" w:space="0" w:color="auto"/>
        <w:right w:val="none" w:sz="0" w:space="0" w:color="auto"/>
      </w:divBdr>
    </w:div>
    <w:div w:id="1349865820">
      <w:bodyDiv w:val="1"/>
      <w:marLeft w:val="0"/>
      <w:marRight w:val="0"/>
      <w:marTop w:val="0"/>
      <w:marBottom w:val="0"/>
      <w:divBdr>
        <w:top w:val="none" w:sz="0" w:space="0" w:color="auto"/>
        <w:left w:val="none" w:sz="0" w:space="0" w:color="auto"/>
        <w:bottom w:val="none" w:sz="0" w:space="0" w:color="auto"/>
        <w:right w:val="none" w:sz="0" w:space="0" w:color="auto"/>
      </w:divBdr>
    </w:div>
    <w:div w:id="1366716202">
      <w:bodyDiv w:val="1"/>
      <w:marLeft w:val="0"/>
      <w:marRight w:val="0"/>
      <w:marTop w:val="0"/>
      <w:marBottom w:val="0"/>
      <w:divBdr>
        <w:top w:val="none" w:sz="0" w:space="0" w:color="auto"/>
        <w:left w:val="none" w:sz="0" w:space="0" w:color="auto"/>
        <w:bottom w:val="none" w:sz="0" w:space="0" w:color="auto"/>
        <w:right w:val="none" w:sz="0" w:space="0" w:color="auto"/>
      </w:divBdr>
    </w:div>
    <w:div w:id="1647248106">
      <w:bodyDiv w:val="1"/>
      <w:marLeft w:val="0"/>
      <w:marRight w:val="0"/>
      <w:marTop w:val="0"/>
      <w:marBottom w:val="0"/>
      <w:divBdr>
        <w:top w:val="none" w:sz="0" w:space="0" w:color="auto"/>
        <w:left w:val="none" w:sz="0" w:space="0" w:color="auto"/>
        <w:bottom w:val="none" w:sz="0" w:space="0" w:color="auto"/>
        <w:right w:val="none" w:sz="0" w:space="0" w:color="auto"/>
      </w:divBdr>
      <w:divsChild>
        <w:div w:id="218594779">
          <w:marLeft w:val="0"/>
          <w:marRight w:val="0"/>
          <w:marTop w:val="0"/>
          <w:marBottom w:val="0"/>
          <w:divBdr>
            <w:top w:val="none" w:sz="0" w:space="0" w:color="auto"/>
            <w:left w:val="single" w:sz="6" w:space="0" w:color="CCCCCC"/>
            <w:bottom w:val="none" w:sz="0" w:space="0" w:color="auto"/>
            <w:right w:val="single" w:sz="6" w:space="0" w:color="CCCCCC"/>
          </w:divBdr>
          <w:divsChild>
            <w:div w:id="1301768313">
              <w:marLeft w:val="0"/>
              <w:marRight w:val="0"/>
              <w:marTop w:val="0"/>
              <w:marBottom w:val="0"/>
              <w:divBdr>
                <w:top w:val="none" w:sz="0" w:space="0" w:color="auto"/>
                <w:left w:val="none" w:sz="0" w:space="0" w:color="auto"/>
                <w:bottom w:val="none" w:sz="0" w:space="0" w:color="auto"/>
                <w:right w:val="none" w:sz="0" w:space="0" w:color="auto"/>
              </w:divBdr>
              <w:divsChild>
                <w:div w:id="5422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6355">
      <w:bodyDiv w:val="1"/>
      <w:marLeft w:val="0"/>
      <w:marRight w:val="0"/>
      <w:marTop w:val="0"/>
      <w:marBottom w:val="0"/>
      <w:divBdr>
        <w:top w:val="none" w:sz="0" w:space="0" w:color="auto"/>
        <w:left w:val="none" w:sz="0" w:space="0" w:color="auto"/>
        <w:bottom w:val="none" w:sz="0" w:space="0" w:color="auto"/>
        <w:right w:val="none" w:sz="0" w:space="0" w:color="auto"/>
      </w:divBdr>
    </w:div>
    <w:div w:id="207658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yzv2@cdc.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dlx9@cdc.gov" TargetMode="External"/><Relationship Id="rId2" Type="http://schemas.openxmlformats.org/officeDocument/2006/relationships/customXml" Target="../customXml/item2.xml"/><Relationship Id="rId16" Type="http://schemas.openxmlformats.org/officeDocument/2006/relationships/hyperlink" Target="mailto:iot0@cdc.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isj3@cdc.gov" TargetMode="External"/><Relationship Id="rId10" Type="http://schemas.openxmlformats.org/officeDocument/2006/relationships/styles" Target="styles.xml"/><Relationship Id="rId19" Type="http://schemas.openxmlformats.org/officeDocument/2006/relationships/hyperlink" Target="mailto:galvarezh63@gmail.com"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PFY6PPX2AYTS-2589-5</_dlc_DocId>
    <_dlc_DocIdUrl xmlns="81daf041-c113-401c-bf82-107f5d396711">
      <Url>https://esp.cdc.gov/sites/ncezid/OD/policy/PRA/_layouts/15/DocIdRedir.aspx?ID=PFY6PPX2AYTS-2589-5</Url>
      <Description>PFY6PPX2AYTS-2589-5</Description>
    </_dlc_DocIdUrl>
    <ydlv xmlns="d335559b-c20a-4874-978e-77d2be77e0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4F0B1-EE3E-4AF1-8CD9-D9A748F84BAF}">
  <ds:schemaRefs>
    <ds:schemaRef ds:uri="http://schemas.microsoft.com/sharepoint/v3/contenttype/forms"/>
  </ds:schemaRefs>
</ds:datastoreItem>
</file>

<file path=customXml/itemProps2.xml><?xml version="1.0" encoding="utf-8"?>
<ds:datastoreItem xmlns:ds="http://schemas.openxmlformats.org/officeDocument/2006/customXml" ds:itemID="{5828FF9D-DD00-4870-8B72-C8EA0E043F10}">
  <ds:schemaRefs>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81daf041-c113-401c-bf82-107f5d396711"/>
    <ds:schemaRef ds:uri="http://schemas.microsoft.com/office/infopath/2007/PartnerControls"/>
    <ds:schemaRef ds:uri="http://schemas.openxmlformats.org/package/2006/metadata/core-properties"/>
    <ds:schemaRef ds:uri="d335559b-c20a-4874-978e-77d2be77e01f"/>
    <ds:schemaRef ds:uri="http://purl.org/dc/dcmitype/"/>
  </ds:schemaRefs>
</ds:datastoreItem>
</file>

<file path=customXml/itemProps3.xml><?xml version="1.0" encoding="utf-8"?>
<ds:datastoreItem xmlns:ds="http://schemas.openxmlformats.org/officeDocument/2006/customXml" ds:itemID="{6BB21E6F-0EB2-49E3-BFEF-1E6757A6A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190B05-3CAF-47BB-8F6D-5D937C82A8CB}">
  <ds:schemaRefs>
    <ds:schemaRef ds:uri="http://schemas.microsoft.com/sharepoint/events"/>
  </ds:schemaRefs>
</ds:datastoreItem>
</file>

<file path=customXml/itemProps5.xml><?xml version="1.0" encoding="utf-8"?>
<ds:datastoreItem xmlns:ds="http://schemas.openxmlformats.org/officeDocument/2006/customXml" ds:itemID="{ABFE6CE7-C87E-4A6D-83B5-5C7C4A294D0E}">
  <ds:schemaRefs>
    <ds:schemaRef ds:uri="http://schemas.openxmlformats.org/officeDocument/2006/bibliography"/>
  </ds:schemaRefs>
</ds:datastoreItem>
</file>

<file path=customXml/itemProps6.xml><?xml version="1.0" encoding="utf-8"?>
<ds:datastoreItem xmlns:ds="http://schemas.openxmlformats.org/officeDocument/2006/customXml" ds:itemID="{16E412F6-5B86-4EFF-8D5E-325D56241FD5}">
  <ds:schemaRefs>
    <ds:schemaRef ds:uri="http://schemas.openxmlformats.org/officeDocument/2006/bibliography"/>
  </ds:schemaRefs>
</ds:datastoreItem>
</file>

<file path=customXml/itemProps7.xml><?xml version="1.0" encoding="utf-8"?>
<ds:datastoreItem xmlns:ds="http://schemas.openxmlformats.org/officeDocument/2006/customXml" ds:itemID="{9B0C7952-6A9C-4C05-95A4-A7130F085749}">
  <ds:schemaRefs>
    <ds:schemaRef ds:uri="http://schemas.openxmlformats.org/officeDocument/2006/bibliography"/>
  </ds:schemaRefs>
</ds:datastoreItem>
</file>

<file path=customXml/itemProps8.xml><?xml version="1.0" encoding="utf-8"?>
<ds:datastoreItem xmlns:ds="http://schemas.openxmlformats.org/officeDocument/2006/customXml" ds:itemID="{BC3D7E55-53DB-4731-A37F-73BCDD85F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1578</Words>
  <Characters>8998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10555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Zirger, Jeffrey (CDC/OD/OADS)</cp:lastModifiedBy>
  <cp:revision>3</cp:revision>
  <cp:lastPrinted>2011-11-14T18:35:00Z</cp:lastPrinted>
  <dcterms:created xsi:type="dcterms:W3CDTF">2016-03-30T12:17:00Z</dcterms:created>
  <dcterms:modified xsi:type="dcterms:W3CDTF">2016-03-30T12:20:00Z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ea059462-44f2-4c87-b1a9-00f76009495e</vt:lpwstr>
  </property>
</Properties>
</file>