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358F1" w14:textId="77777777" w:rsidR="005B45A7" w:rsidRPr="00423C65" w:rsidRDefault="00390AB1" w:rsidP="00390AB1">
      <w:pPr>
        <w:suppressAutoHyphens/>
        <w:jc w:val="center"/>
        <w:rPr>
          <w:b/>
          <w:bCs/>
          <w:sz w:val="24"/>
          <w:szCs w:val="24"/>
        </w:rPr>
      </w:pPr>
      <w:r w:rsidRPr="00423C65">
        <w:rPr>
          <w:b/>
          <w:bCs/>
          <w:sz w:val="24"/>
          <w:szCs w:val="24"/>
        </w:rPr>
        <w:t>Supporting Statement</w:t>
      </w:r>
    </w:p>
    <w:p w14:paraId="563820C4" w14:textId="77777777" w:rsidR="005B45A7" w:rsidRPr="00423C65" w:rsidRDefault="00F22350">
      <w:pPr>
        <w:suppressAutoHyphens/>
        <w:rPr>
          <w:sz w:val="24"/>
          <w:szCs w:val="24"/>
        </w:rPr>
      </w:pPr>
      <w:r>
        <w:rPr>
          <w:b/>
          <w:sz w:val="24"/>
          <w:szCs w:val="24"/>
        </w:rPr>
        <w:t>A.</w:t>
      </w:r>
      <w:r>
        <w:rPr>
          <w:b/>
          <w:sz w:val="24"/>
          <w:szCs w:val="24"/>
        </w:rPr>
        <w:tab/>
      </w:r>
      <w:r w:rsidR="005B45A7" w:rsidRPr="00423C65">
        <w:rPr>
          <w:b/>
          <w:sz w:val="24"/>
          <w:szCs w:val="24"/>
        </w:rPr>
        <w:t>Justification</w:t>
      </w:r>
    </w:p>
    <w:p w14:paraId="424DEBED" w14:textId="77777777" w:rsidR="005B45A7" w:rsidRDefault="005B45A7">
      <w:pPr>
        <w:suppressAutoHyphens/>
        <w:rPr>
          <w:sz w:val="24"/>
          <w:szCs w:val="24"/>
        </w:rPr>
      </w:pPr>
    </w:p>
    <w:p w14:paraId="4260AC14" w14:textId="77777777" w:rsidR="005E673D" w:rsidRPr="00423C65" w:rsidRDefault="005E673D">
      <w:pPr>
        <w:suppressAutoHyphens/>
        <w:rPr>
          <w:b/>
          <w:sz w:val="24"/>
          <w:szCs w:val="24"/>
        </w:rPr>
      </w:pPr>
      <w:r w:rsidRPr="00160CAD">
        <w:rPr>
          <w:b/>
          <w:sz w:val="24"/>
          <w:szCs w:val="24"/>
        </w:rPr>
        <w:t xml:space="preserve">MODIFICATION TO THIS </w:t>
      </w:r>
      <w:r w:rsidR="006A3932">
        <w:rPr>
          <w:b/>
          <w:sz w:val="24"/>
          <w:szCs w:val="24"/>
        </w:rPr>
        <w:t xml:space="preserve">EXISTING </w:t>
      </w:r>
      <w:r w:rsidR="00595ED5">
        <w:rPr>
          <w:b/>
          <w:sz w:val="24"/>
          <w:szCs w:val="24"/>
        </w:rPr>
        <w:t>PRE-APPROVED</w:t>
      </w:r>
      <w:r w:rsidRPr="00160CAD">
        <w:rPr>
          <w:b/>
          <w:sz w:val="24"/>
          <w:szCs w:val="24"/>
        </w:rPr>
        <w:t xml:space="preserve"> INFORMATION COLLECTION:</w:t>
      </w:r>
      <w:r w:rsidR="00C05C98">
        <w:rPr>
          <w:sz w:val="24"/>
          <w:szCs w:val="24"/>
        </w:rPr>
        <w:t xml:space="preserve">  On June 17, 2015, the Commission received OMB pre-approval for certain modifications to this collection</w:t>
      </w:r>
      <w:r w:rsidR="000767D6">
        <w:rPr>
          <w:sz w:val="24"/>
          <w:szCs w:val="24"/>
        </w:rPr>
        <w:t xml:space="preserve"> proposed in the Notice of Proposed Rulemaking, FCC 15-34</w:t>
      </w:r>
      <w:r w:rsidR="00D85ED1">
        <w:rPr>
          <w:sz w:val="24"/>
          <w:szCs w:val="24"/>
        </w:rPr>
        <w:t xml:space="preserve"> (rel. Mar. 26, 2015)</w:t>
      </w:r>
      <w:r w:rsidR="00C05C98">
        <w:rPr>
          <w:sz w:val="24"/>
          <w:szCs w:val="24"/>
        </w:rPr>
        <w:t xml:space="preserve">.  </w:t>
      </w:r>
      <w:r w:rsidR="000767D6">
        <w:rPr>
          <w:sz w:val="24"/>
          <w:szCs w:val="24"/>
        </w:rPr>
        <w:t>In the Report and Order, FCC 15-111</w:t>
      </w:r>
      <w:r w:rsidR="00D85ED1">
        <w:rPr>
          <w:sz w:val="24"/>
          <w:szCs w:val="24"/>
        </w:rPr>
        <w:t xml:space="preserve"> (rel. Sept. 2, 2015)</w:t>
      </w:r>
      <w:r w:rsidR="000767D6">
        <w:rPr>
          <w:sz w:val="24"/>
          <w:szCs w:val="24"/>
        </w:rPr>
        <w:t>, t</w:t>
      </w:r>
      <w:r w:rsidR="00C05C98">
        <w:rPr>
          <w:sz w:val="24"/>
          <w:szCs w:val="24"/>
        </w:rPr>
        <w:t xml:space="preserve">he Commission adopted </w:t>
      </w:r>
      <w:r w:rsidR="000767D6">
        <w:rPr>
          <w:sz w:val="24"/>
          <w:szCs w:val="24"/>
        </w:rPr>
        <w:t>these modifications, which include</w:t>
      </w:r>
      <w:r w:rsidR="00D85ED1">
        <w:rPr>
          <w:sz w:val="24"/>
          <w:szCs w:val="24"/>
        </w:rPr>
        <w:t>d</w:t>
      </w:r>
      <w:r w:rsidR="000767D6">
        <w:rPr>
          <w:sz w:val="24"/>
          <w:szCs w:val="24"/>
        </w:rPr>
        <w:t xml:space="preserve"> establishing a market modification process for </w:t>
      </w:r>
      <w:bookmarkStart w:id="0" w:name="_GoBack"/>
      <w:bookmarkEnd w:id="0"/>
      <w:r w:rsidR="000767D6">
        <w:rPr>
          <w:sz w:val="24"/>
          <w:szCs w:val="24"/>
        </w:rPr>
        <w:t xml:space="preserve">satellite television service.  However, the Commission also adopted additional modifications to this collection, which include </w:t>
      </w:r>
      <w:r w:rsidR="00ED21A1">
        <w:rPr>
          <w:sz w:val="24"/>
          <w:szCs w:val="24"/>
        </w:rPr>
        <w:t>modifying the market modification process to</w:t>
      </w:r>
      <w:r w:rsidR="000421B1">
        <w:rPr>
          <w:sz w:val="24"/>
          <w:szCs w:val="24"/>
        </w:rPr>
        <w:t>:</w:t>
      </w:r>
      <w:r w:rsidR="00ED21A1">
        <w:rPr>
          <w:sz w:val="24"/>
          <w:szCs w:val="24"/>
        </w:rPr>
        <w:t xml:space="preserve"> </w:t>
      </w:r>
      <w:r w:rsidR="00ED21A1" w:rsidRPr="000421B1">
        <w:rPr>
          <w:b/>
          <w:sz w:val="24"/>
          <w:szCs w:val="24"/>
        </w:rPr>
        <w:t>(1)</w:t>
      </w:r>
      <w:r w:rsidR="00ED21A1">
        <w:rPr>
          <w:sz w:val="24"/>
          <w:szCs w:val="24"/>
        </w:rPr>
        <w:t xml:space="preserve"> </w:t>
      </w:r>
      <w:r w:rsidR="000767D6">
        <w:rPr>
          <w:sz w:val="24"/>
          <w:szCs w:val="24"/>
        </w:rPr>
        <w:t xml:space="preserve">allow county governmental entities to file </w:t>
      </w:r>
      <w:r w:rsidR="00D85ED1">
        <w:rPr>
          <w:sz w:val="24"/>
          <w:szCs w:val="24"/>
        </w:rPr>
        <w:t xml:space="preserve">satellite </w:t>
      </w:r>
      <w:r w:rsidR="000767D6">
        <w:rPr>
          <w:sz w:val="24"/>
          <w:szCs w:val="24"/>
        </w:rPr>
        <w:t>market modification petitions</w:t>
      </w:r>
      <w:r w:rsidR="00D85ED1">
        <w:rPr>
          <w:sz w:val="24"/>
          <w:szCs w:val="24"/>
        </w:rPr>
        <w:t xml:space="preserve"> (in addition to broadcast stations and satellite carriers)</w:t>
      </w:r>
      <w:r w:rsidR="000767D6">
        <w:rPr>
          <w:sz w:val="24"/>
          <w:szCs w:val="24"/>
        </w:rPr>
        <w:t xml:space="preserve">, </w:t>
      </w:r>
      <w:r w:rsidR="00ED21A1" w:rsidRPr="000421B1">
        <w:rPr>
          <w:b/>
          <w:sz w:val="24"/>
          <w:szCs w:val="24"/>
        </w:rPr>
        <w:t>(2)</w:t>
      </w:r>
      <w:r w:rsidR="00ED21A1">
        <w:rPr>
          <w:sz w:val="24"/>
          <w:szCs w:val="24"/>
        </w:rPr>
        <w:t xml:space="preserve"> </w:t>
      </w:r>
      <w:r w:rsidR="000767D6">
        <w:rPr>
          <w:sz w:val="24"/>
          <w:szCs w:val="24"/>
        </w:rPr>
        <w:t xml:space="preserve">requiring specific evidence to demonstrate the </w:t>
      </w:r>
      <w:r w:rsidR="001D46C6">
        <w:rPr>
          <w:sz w:val="24"/>
          <w:szCs w:val="24"/>
        </w:rPr>
        <w:t>“</w:t>
      </w:r>
      <w:r w:rsidR="000767D6">
        <w:rPr>
          <w:sz w:val="24"/>
          <w:szCs w:val="24"/>
        </w:rPr>
        <w:t>in-state</w:t>
      </w:r>
      <w:r w:rsidR="001D46C6">
        <w:rPr>
          <w:sz w:val="24"/>
          <w:szCs w:val="24"/>
        </w:rPr>
        <w:t>”</w:t>
      </w:r>
      <w:r w:rsidR="00472495">
        <w:rPr>
          <w:sz w:val="24"/>
          <w:szCs w:val="24"/>
        </w:rPr>
        <w:t xml:space="preserve"> (third)</w:t>
      </w:r>
      <w:r w:rsidR="000767D6">
        <w:rPr>
          <w:sz w:val="24"/>
          <w:szCs w:val="24"/>
        </w:rPr>
        <w:t xml:space="preserve"> statutory factor </w:t>
      </w:r>
      <w:r w:rsidR="00D85ED1">
        <w:rPr>
          <w:sz w:val="24"/>
          <w:szCs w:val="24"/>
        </w:rPr>
        <w:t xml:space="preserve">– </w:t>
      </w:r>
      <w:r w:rsidR="00D85ED1" w:rsidRPr="00D85ED1">
        <w:rPr>
          <w:i/>
          <w:sz w:val="24"/>
          <w:szCs w:val="24"/>
        </w:rPr>
        <w:t>see</w:t>
      </w:r>
      <w:r w:rsidR="00D85ED1">
        <w:rPr>
          <w:sz w:val="24"/>
          <w:szCs w:val="24"/>
        </w:rPr>
        <w:t xml:space="preserve"> new 47 C</w:t>
      </w:r>
      <w:r w:rsidR="000421B1">
        <w:rPr>
          <w:sz w:val="24"/>
          <w:szCs w:val="24"/>
        </w:rPr>
        <w:t>.</w:t>
      </w:r>
      <w:r w:rsidR="00D85ED1">
        <w:rPr>
          <w:sz w:val="24"/>
          <w:szCs w:val="24"/>
        </w:rPr>
        <w:t>F</w:t>
      </w:r>
      <w:r w:rsidR="000421B1">
        <w:rPr>
          <w:sz w:val="24"/>
          <w:szCs w:val="24"/>
        </w:rPr>
        <w:t>.</w:t>
      </w:r>
      <w:r w:rsidR="00D85ED1">
        <w:rPr>
          <w:sz w:val="24"/>
          <w:szCs w:val="24"/>
        </w:rPr>
        <w:t>R</w:t>
      </w:r>
      <w:r w:rsidR="000421B1">
        <w:rPr>
          <w:sz w:val="24"/>
          <w:szCs w:val="24"/>
        </w:rPr>
        <w:t>.</w:t>
      </w:r>
      <w:r w:rsidR="00D85ED1">
        <w:rPr>
          <w:sz w:val="24"/>
          <w:szCs w:val="24"/>
        </w:rPr>
        <w:t xml:space="preserve"> </w:t>
      </w:r>
      <w:r w:rsidR="000421B1" w:rsidRPr="000421B1">
        <w:rPr>
          <w:sz w:val="24"/>
          <w:szCs w:val="24"/>
        </w:rPr>
        <w:t xml:space="preserve">§ </w:t>
      </w:r>
      <w:r w:rsidR="00D85ED1">
        <w:rPr>
          <w:sz w:val="24"/>
          <w:szCs w:val="24"/>
        </w:rPr>
        <w:t xml:space="preserve">76.59(b)(7), </w:t>
      </w:r>
      <w:r w:rsidR="00ED21A1" w:rsidRPr="000421B1">
        <w:rPr>
          <w:b/>
          <w:sz w:val="24"/>
          <w:szCs w:val="24"/>
        </w:rPr>
        <w:t>(3)</w:t>
      </w:r>
      <w:r w:rsidR="00ED21A1">
        <w:rPr>
          <w:sz w:val="24"/>
          <w:szCs w:val="24"/>
        </w:rPr>
        <w:t xml:space="preserve"> </w:t>
      </w:r>
      <w:r w:rsidR="00E25CA2">
        <w:rPr>
          <w:sz w:val="24"/>
          <w:szCs w:val="24"/>
        </w:rPr>
        <w:t xml:space="preserve">requiring demonstrations or certifications regarding satellite carrier claims of infeasibility, </w:t>
      </w:r>
      <w:r w:rsidR="000767D6">
        <w:rPr>
          <w:sz w:val="24"/>
          <w:szCs w:val="24"/>
        </w:rPr>
        <w:t xml:space="preserve">and </w:t>
      </w:r>
      <w:r w:rsidR="00ED21A1" w:rsidRPr="000421B1">
        <w:rPr>
          <w:b/>
          <w:sz w:val="24"/>
          <w:szCs w:val="24"/>
        </w:rPr>
        <w:t>(4)</w:t>
      </w:r>
      <w:r w:rsidR="00ED21A1">
        <w:rPr>
          <w:sz w:val="24"/>
          <w:szCs w:val="24"/>
        </w:rPr>
        <w:t xml:space="preserve"> </w:t>
      </w:r>
      <w:r w:rsidR="000767D6">
        <w:rPr>
          <w:sz w:val="24"/>
          <w:szCs w:val="24"/>
        </w:rPr>
        <w:t>establishing an optional pre-filing</w:t>
      </w:r>
      <w:r w:rsidR="00194B9A">
        <w:rPr>
          <w:sz w:val="24"/>
          <w:szCs w:val="24"/>
        </w:rPr>
        <w:t xml:space="preserve"> coordination process (for satellite market modifications)</w:t>
      </w:r>
      <w:r w:rsidR="00D85ED1">
        <w:rPr>
          <w:sz w:val="24"/>
          <w:szCs w:val="24"/>
        </w:rPr>
        <w:t xml:space="preserve"> to allow prospective petitioners </w:t>
      </w:r>
      <w:r w:rsidR="00472495">
        <w:rPr>
          <w:sz w:val="24"/>
          <w:szCs w:val="24"/>
        </w:rPr>
        <w:t xml:space="preserve">(prior to filing a market modification petition) </w:t>
      </w:r>
      <w:r w:rsidR="00D85ED1">
        <w:rPr>
          <w:sz w:val="24"/>
          <w:szCs w:val="24"/>
        </w:rPr>
        <w:t xml:space="preserve">to </w:t>
      </w:r>
      <w:r w:rsidR="00926F6D">
        <w:rPr>
          <w:sz w:val="24"/>
          <w:szCs w:val="24"/>
        </w:rPr>
        <w:t>request</w:t>
      </w:r>
      <w:r w:rsidR="00D85ED1">
        <w:rPr>
          <w:sz w:val="24"/>
          <w:szCs w:val="24"/>
        </w:rPr>
        <w:t xml:space="preserve"> and receive a response from a satellite carrier about whether or not it is technically and economically feasible for such carrier to carry a specific broadcast station in a specific community</w:t>
      </w:r>
      <w:r w:rsidR="000767D6">
        <w:rPr>
          <w:sz w:val="24"/>
          <w:szCs w:val="24"/>
        </w:rPr>
        <w:t>.</w:t>
      </w:r>
    </w:p>
    <w:p w14:paraId="11B651F6" w14:textId="77777777" w:rsidR="00D44C20" w:rsidRDefault="00D44C20" w:rsidP="00CC1A50">
      <w:pPr>
        <w:suppressAutoHyphens/>
        <w:rPr>
          <w:sz w:val="24"/>
          <w:szCs w:val="24"/>
        </w:rPr>
      </w:pPr>
    </w:p>
    <w:p w14:paraId="1A7303EA" w14:textId="77777777" w:rsidR="002F27E4" w:rsidRPr="00423C65" w:rsidRDefault="008A5941" w:rsidP="00142931">
      <w:pPr>
        <w:suppressAutoHyphens/>
        <w:rPr>
          <w:sz w:val="24"/>
          <w:szCs w:val="24"/>
        </w:rPr>
      </w:pPr>
      <w:r>
        <w:rPr>
          <w:sz w:val="24"/>
          <w:szCs w:val="24"/>
        </w:rPr>
        <w:t xml:space="preserve">1. </w:t>
      </w:r>
      <w:r w:rsidR="009435B8" w:rsidRPr="00423C65">
        <w:rPr>
          <w:sz w:val="24"/>
          <w:szCs w:val="24"/>
        </w:rPr>
        <w:t xml:space="preserve">On </w:t>
      </w:r>
      <w:r w:rsidR="005B4B8C">
        <w:rPr>
          <w:sz w:val="24"/>
          <w:szCs w:val="24"/>
        </w:rPr>
        <w:t>September</w:t>
      </w:r>
      <w:r w:rsidR="009435B8" w:rsidRPr="002B4567">
        <w:rPr>
          <w:sz w:val="24"/>
          <w:szCs w:val="24"/>
        </w:rPr>
        <w:t xml:space="preserve"> </w:t>
      </w:r>
      <w:r w:rsidR="00F60E3D">
        <w:rPr>
          <w:sz w:val="24"/>
          <w:szCs w:val="24"/>
        </w:rPr>
        <w:t>2</w:t>
      </w:r>
      <w:r w:rsidR="009435B8" w:rsidRPr="002B4567">
        <w:rPr>
          <w:sz w:val="24"/>
          <w:szCs w:val="24"/>
        </w:rPr>
        <w:t>, 2015, the</w:t>
      </w:r>
      <w:r w:rsidR="009435B8" w:rsidRPr="00423C65">
        <w:rPr>
          <w:sz w:val="24"/>
          <w:szCs w:val="24"/>
        </w:rPr>
        <w:t xml:space="preserve"> Commission released a </w:t>
      </w:r>
      <w:r w:rsidR="005B4B8C">
        <w:rPr>
          <w:i/>
          <w:sz w:val="24"/>
          <w:szCs w:val="24"/>
        </w:rPr>
        <w:t>Report and Order</w:t>
      </w:r>
      <w:r w:rsidR="000B50DD" w:rsidRPr="00423C65">
        <w:rPr>
          <w:i/>
          <w:sz w:val="24"/>
          <w:szCs w:val="24"/>
        </w:rPr>
        <w:t xml:space="preserve"> (</w:t>
      </w:r>
      <w:r w:rsidR="005B4B8C">
        <w:rPr>
          <w:i/>
          <w:sz w:val="24"/>
          <w:szCs w:val="24"/>
        </w:rPr>
        <w:t>Order</w:t>
      </w:r>
      <w:r w:rsidR="000B50DD" w:rsidRPr="00423C65">
        <w:rPr>
          <w:i/>
          <w:sz w:val="24"/>
          <w:szCs w:val="24"/>
        </w:rPr>
        <w:t>)</w:t>
      </w:r>
      <w:r w:rsidR="009435B8" w:rsidRPr="00423C65">
        <w:rPr>
          <w:sz w:val="24"/>
          <w:szCs w:val="24"/>
        </w:rPr>
        <w:t>, FCC 15-</w:t>
      </w:r>
      <w:r w:rsidR="005B4B8C">
        <w:rPr>
          <w:sz w:val="24"/>
          <w:szCs w:val="24"/>
        </w:rPr>
        <w:t>111</w:t>
      </w:r>
      <w:r w:rsidR="001C69BD" w:rsidRPr="00423C65">
        <w:rPr>
          <w:sz w:val="24"/>
          <w:szCs w:val="24"/>
        </w:rPr>
        <w:t>,</w:t>
      </w:r>
      <w:r w:rsidR="009435B8" w:rsidRPr="00423C65">
        <w:rPr>
          <w:sz w:val="24"/>
          <w:szCs w:val="24"/>
        </w:rPr>
        <w:t xml:space="preserve"> in MB Docket No. 15-</w:t>
      </w:r>
      <w:r w:rsidR="00ED4C22">
        <w:rPr>
          <w:sz w:val="24"/>
          <w:szCs w:val="24"/>
        </w:rPr>
        <w:t>71</w:t>
      </w:r>
      <w:r w:rsidR="001C69BD" w:rsidRPr="00423C65">
        <w:rPr>
          <w:sz w:val="24"/>
          <w:szCs w:val="24"/>
        </w:rPr>
        <w:t>,</w:t>
      </w:r>
      <w:r w:rsidR="000B50DD" w:rsidRPr="00423C65">
        <w:rPr>
          <w:rStyle w:val="FootnoteReference"/>
          <w:sz w:val="24"/>
          <w:szCs w:val="24"/>
        </w:rPr>
        <w:footnoteReference w:id="2"/>
      </w:r>
      <w:r w:rsidR="001C69BD" w:rsidRPr="00423C65">
        <w:rPr>
          <w:sz w:val="24"/>
          <w:szCs w:val="24"/>
        </w:rPr>
        <w:t xml:space="preserve"> </w:t>
      </w:r>
      <w:r w:rsidR="005B4B8C">
        <w:rPr>
          <w:sz w:val="24"/>
          <w:szCs w:val="24"/>
        </w:rPr>
        <w:t>adopting</w:t>
      </w:r>
      <w:r w:rsidR="001C69BD" w:rsidRPr="00423C65">
        <w:rPr>
          <w:sz w:val="24"/>
          <w:szCs w:val="24"/>
        </w:rPr>
        <w:t xml:space="preserve"> satellite television market modification rules ‎to implement Section 102 of the Satellite Television Extension and Localism Act (STELA) Reauthorization Act of 2014 (STELAR).</w:t>
      </w:r>
      <w:r w:rsidR="000B50DD" w:rsidRPr="00423C65">
        <w:rPr>
          <w:rStyle w:val="FootnoteReference"/>
          <w:sz w:val="24"/>
          <w:szCs w:val="24"/>
        </w:rPr>
        <w:footnoteReference w:id="3"/>
      </w:r>
      <w:r w:rsidR="0055325A" w:rsidRPr="00423C65">
        <w:rPr>
          <w:sz w:val="24"/>
          <w:szCs w:val="24"/>
        </w:rPr>
        <w:t xml:space="preserve">  </w:t>
      </w:r>
      <w:r w:rsidR="00805EA4" w:rsidRPr="00423C65">
        <w:rPr>
          <w:sz w:val="24"/>
          <w:szCs w:val="24"/>
        </w:rPr>
        <w:t>The STELAR amended the Communications Act and the Copyright Act to give the Commission authority to modify a commercial television broadcast station’s local television market – defined by The Nielsen Company’s Designated Market Area (DMA) in which it is located – to include additional communities or exclude communities for purposes of better effectuating satellite carriage rights.  ‎The Commission previously had the authority to modify a station’s market only in the cable carriage context.  With Section 102 of the STELAR, Congress provides regulatory parity in this regard and intends to promote consumer access to in-state and other re</w:t>
      </w:r>
      <w:r w:rsidR="009068C2" w:rsidRPr="00423C65">
        <w:rPr>
          <w:sz w:val="24"/>
          <w:szCs w:val="24"/>
        </w:rPr>
        <w:t xml:space="preserve">levant television programming. </w:t>
      </w:r>
      <w:r w:rsidR="000B50DD" w:rsidRPr="00423C65">
        <w:rPr>
          <w:sz w:val="24"/>
          <w:szCs w:val="24"/>
        </w:rPr>
        <w:t xml:space="preserve"> </w:t>
      </w:r>
      <w:r w:rsidR="00A1095C" w:rsidRPr="00A1095C">
        <w:rPr>
          <w:sz w:val="24"/>
          <w:szCs w:val="24"/>
        </w:rPr>
        <w:t>Section 102 of the STELAR, and the Commission’s actions in th</w:t>
      </w:r>
      <w:r w:rsidR="00170BFA">
        <w:rPr>
          <w:sz w:val="24"/>
          <w:szCs w:val="24"/>
        </w:rPr>
        <w:t>e</w:t>
      </w:r>
      <w:r w:rsidR="00A1095C" w:rsidRPr="00A1095C">
        <w:rPr>
          <w:sz w:val="24"/>
          <w:szCs w:val="24"/>
        </w:rPr>
        <w:t xml:space="preserve"> Report and Order, establish a market modification process for the satellite carriage context and, to the extent possible, </w:t>
      </w:r>
      <w:r w:rsidR="00A1095C">
        <w:rPr>
          <w:sz w:val="24"/>
          <w:szCs w:val="24"/>
        </w:rPr>
        <w:t xml:space="preserve">seek to </w:t>
      </w:r>
      <w:r w:rsidR="00A1095C" w:rsidRPr="00A1095C">
        <w:rPr>
          <w:sz w:val="24"/>
          <w:szCs w:val="24"/>
        </w:rPr>
        <w:t xml:space="preserve">address satellite subscribers’ inability to receive in-state programming in certain areas, sometimes called </w:t>
      </w:r>
      <w:r w:rsidR="001D46C6">
        <w:rPr>
          <w:sz w:val="24"/>
          <w:szCs w:val="24"/>
        </w:rPr>
        <w:t>“</w:t>
      </w:r>
      <w:r w:rsidR="00A1095C" w:rsidRPr="00A1095C">
        <w:rPr>
          <w:sz w:val="24"/>
          <w:szCs w:val="24"/>
        </w:rPr>
        <w:t>orphan counties.</w:t>
      </w:r>
      <w:r w:rsidR="001D46C6">
        <w:rPr>
          <w:sz w:val="24"/>
          <w:szCs w:val="24"/>
        </w:rPr>
        <w:t>”</w:t>
      </w:r>
      <w:r w:rsidR="00A1095C" w:rsidRPr="00A1095C">
        <w:rPr>
          <w:sz w:val="24"/>
          <w:szCs w:val="24"/>
        </w:rPr>
        <w:t xml:space="preserve">  </w:t>
      </w:r>
      <w:r w:rsidR="00A1095C" w:rsidRPr="00A1095C">
        <w:rPr>
          <w:sz w:val="24"/>
          <w:szCs w:val="24"/>
        </w:rPr>
        <w:lastRenderedPageBreak/>
        <w:t xml:space="preserve">In </w:t>
      </w:r>
      <w:r w:rsidR="00A1095C">
        <w:rPr>
          <w:sz w:val="24"/>
          <w:szCs w:val="24"/>
        </w:rPr>
        <w:t>the</w:t>
      </w:r>
      <w:r w:rsidR="00A1095C" w:rsidRPr="00A1095C">
        <w:rPr>
          <w:sz w:val="24"/>
          <w:szCs w:val="24"/>
        </w:rPr>
        <w:t xml:space="preserve"> Report and Order, consistent with Congress’ intent that the Commission model the satellite market modification process on the current cable market modification process, </w:t>
      </w:r>
      <w:r w:rsidR="00A1095C">
        <w:rPr>
          <w:sz w:val="24"/>
          <w:szCs w:val="24"/>
        </w:rPr>
        <w:t>the Commission</w:t>
      </w:r>
      <w:r w:rsidR="00A1095C" w:rsidRPr="00A1095C">
        <w:rPr>
          <w:sz w:val="24"/>
          <w:szCs w:val="24"/>
        </w:rPr>
        <w:t xml:space="preserve"> implement</w:t>
      </w:r>
      <w:r w:rsidR="00A1095C">
        <w:rPr>
          <w:sz w:val="24"/>
          <w:szCs w:val="24"/>
        </w:rPr>
        <w:t>s</w:t>
      </w:r>
      <w:r w:rsidR="00A1095C" w:rsidRPr="00A1095C">
        <w:rPr>
          <w:sz w:val="24"/>
          <w:szCs w:val="24"/>
        </w:rPr>
        <w:t xml:space="preserve"> Section 102 of the STELAR by revising the current cable market modification rule, Section 76.59, to apply also to satellite carriage, while adding provisions to the rules to address the unique nature of satellite television service.  In addition</w:t>
      </w:r>
      <w:r w:rsidR="00A1095C">
        <w:rPr>
          <w:sz w:val="24"/>
          <w:szCs w:val="24"/>
        </w:rPr>
        <w:t>, the Commission</w:t>
      </w:r>
      <w:r w:rsidR="00A1095C" w:rsidRPr="00A1095C">
        <w:rPr>
          <w:sz w:val="24"/>
          <w:szCs w:val="24"/>
        </w:rPr>
        <w:t xml:space="preserve"> make</w:t>
      </w:r>
      <w:r w:rsidR="00A1095C">
        <w:rPr>
          <w:sz w:val="24"/>
          <w:szCs w:val="24"/>
        </w:rPr>
        <w:t>s</w:t>
      </w:r>
      <w:r w:rsidR="00A1095C" w:rsidRPr="00A1095C">
        <w:rPr>
          <w:sz w:val="24"/>
          <w:szCs w:val="24"/>
        </w:rPr>
        <w:t xml:space="preserve"> conforming and other minor changes to the cable market modification rules.</w:t>
      </w:r>
    </w:p>
    <w:p w14:paraId="7C3B9900" w14:textId="77777777" w:rsidR="009068C2" w:rsidRPr="00423C65" w:rsidRDefault="009068C2" w:rsidP="00142931">
      <w:pPr>
        <w:suppressAutoHyphens/>
        <w:rPr>
          <w:sz w:val="24"/>
          <w:szCs w:val="24"/>
        </w:rPr>
      </w:pPr>
    </w:p>
    <w:p w14:paraId="1569A145" w14:textId="77777777" w:rsidR="00FC5711" w:rsidRPr="00423C65" w:rsidRDefault="00FC5711" w:rsidP="00FC5711">
      <w:pPr>
        <w:rPr>
          <w:sz w:val="24"/>
          <w:szCs w:val="24"/>
        </w:rPr>
      </w:pPr>
      <w:r w:rsidRPr="00423C65">
        <w:rPr>
          <w:sz w:val="24"/>
          <w:szCs w:val="24"/>
        </w:rPr>
        <w:t>Market modification</w:t>
      </w:r>
      <w:r w:rsidR="00F24168">
        <w:rPr>
          <w:sz w:val="24"/>
          <w:szCs w:val="24"/>
        </w:rPr>
        <w:t xml:space="preserve"> </w:t>
      </w:r>
      <w:r w:rsidRPr="00423C65">
        <w:rPr>
          <w:sz w:val="24"/>
          <w:szCs w:val="24"/>
        </w:rPr>
        <w:t>allow</w:t>
      </w:r>
      <w:r w:rsidR="00205E9B">
        <w:rPr>
          <w:sz w:val="24"/>
          <w:szCs w:val="24"/>
        </w:rPr>
        <w:t>s</w:t>
      </w:r>
      <w:r w:rsidRPr="00423C65">
        <w:rPr>
          <w:sz w:val="24"/>
          <w:szCs w:val="24"/>
        </w:rPr>
        <w:t xml:space="preserve"> the Commission to modify the local television market of a </w:t>
      </w:r>
      <w:r w:rsidR="00582AEC">
        <w:rPr>
          <w:sz w:val="24"/>
          <w:szCs w:val="24"/>
        </w:rPr>
        <w:t xml:space="preserve">particular </w:t>
      </w:r>
      <w:r w:rsidRPr="00423C65">
        <w:rPr>
          <w:sz w:val="24"/>
          <w:szCs w:val="24"/>
        </w:rPr>
        <w:t>commercial television broadcast station to</w:t>
      </w:r>
      <w:r w:rsidR="00205E9B" w:rsidRPr="00205E9B">
        <w:t xml:space="preserve"> </w:t>
      </w:r>
      <w:r w:rsidR="00205E9B" w:rsidRPr="00205E9B">
        <w:rPr>
          <w:sz w:val="24"/>
          <w:szCs w:val="24"/>
        </w:rPr>
        <w:t xml:space="preserve">enable commercial television stations, cable operators </w:t>
      </w:r>
      <w:r w:rsidR="00205E9B">
        <w:rPr>
          <w:sz w:val="24"/>
          <w:szCs w:val="24"/>
        </w:rPr>
        <w:t xml:space="preserve">and </w:t>
      </w:r>
      <w:r w:rsidR="00205E9B" w:rsidRPr="00205E9B">
        <w:rPr>
          <w:sz w:val="24"/>
          <w:szCs w:val="24"/>
        </w:rPr>
        <w:t xml:space="preserve">satellite carriers to better serve the interests of local communities.  </w:t>
      </w:r>
      <w:r w:rsidRPr="00423C65">
        <w:rPr>
          <w:sz w:val="24"/>
          <w:szCs w:val="24"/>
        </w:rPr>
        <w:t>Market modification provides a means to avoid rigid adherence to DMA designations and to promote consumer access to in-state and other relevant television programming.  Section 338(l)</w:t>
      </w:r>
      <w:r w:rsidR="00184D52">
        <w:rPr>
          <w:sz w:val="24"/>
          <w:szCs w:val="24"/>
        </w:rPr>
        <w:t xml:space="preserve"> </w:t>
      </w:r>
      <w:r w:rsidR="00170BFA">
        <w:rPr>
          <w:sz w:val="24"/>
          <w:szCs w:val="24"/>
        </w:rPr>
        <w:t xml:space="preserve">of the Communications Act </w:t>
      </w:r>
      <w:r w:rsidR="00184D52">
        <w:rPr>
          <w:sz w:val="24"/>
          <w:szCs w:val="24"/>
        </w:rPr>
        <w:t>(the satellite market modification provision)</w:t>
      </w:r>
      <w:r w:rsidR="00205E9B">
        <w:rPr>
          <w:sz w:val="24"/>
          <w:szCs w:val="24"/>
        </w:rPr>
        <w:t xml:space="preserve"> and </w:t>
      </w:r>
      <w:r w:rsidR="00184D52">
        <w:rPr>
          <w:sz w:val="24"/>
          <w:szCs w:val="24"/>
        </w:rPr>
        <w:t>Section 614(h)(1)(C)</w:t>
      </w:r>
      <w:r w:rsidR="00170BFA">
        <w:rPr>
          <w:sz w:val="24"/>
          <w:szCs w:val="24"/>
        </w:rPr>
        <w:t xml:space="preserve"> of the Communications Act (</w:t>
      </w:r>
      <w:r w:rsidRPr="00423C65">
        <w:rPr>
          <w:sz w:val="24"/>
          <w:szCs w:val="24"/>
        </w:rPr>
        <w:t>the corresponding cable provision</w:t>
      </w:r>
      <w:r w:rsidR="00170BFA">
        <w:rPr>
          <w:sz w:val="24"/>
          <w:szCs w:val="24"/>
        </w:rPr>
        <w:t>)</w:t>
      </w:r>
      <w:r w:rsidR="00205E9B">
        <w:rPr>
          <w:sz w:val="24"/>
          <w:szCs w:val="24"/>
        </w:rPr>
        <w:t xml:space="preserve"> permit</w:t>
      </w:r>
      <w:r w:rsidRPr="00423C65">
        <w:rPr>
          <w:sz w:val="24"/>
          <w:szCs w:val="24"/>
        </w:rPr>
        <w:t xml:space="preserve"> the Commission to add communities to or delete communities from a station’s local television market following a written request.</w:t>
      </w:r>
      <w:r w:rsidRPr="00423C65">
        <w:rPr>
          <w:rStyle w:val="FootnoteReference"/>
          <w:sz w:val="24"/>
          <w:szCs w:val="24"/>
        </w:rPr>
        <w:footnoteReference w:id="4"/>
      </w:r>
      <w:r w:rsidRPr="00423C65">
        <w:rPr>
          <w:sz w:val="24"/>
          <w:szCs w:val="24"/>
        </w:rPr>
        <w:t xml:space="preserve">  Furthermore, the Commission may determine that particular communities are part of more than one television market.</w:t>
      </w:r>
      <w:r w:rsidRPr="00423C65">
        <w:rPr>
          <w:rStyle w:val="FootnoteReference"/>
          <w:sz w:val="24"/>
          <w:szCs w:val="24"/>
        </w:rPr>
        <w:footnoteReference w:id="5"/>
      </w:r>
      <w:r w:rsidRPr="00423C65">
        <w:rPr>
          <w:sz w:val="24"/>
          <w:szCs w:val="24"/>
        </w:rPr>
        <w:t xml:space="preserve"> </w:t>
      </w:r>
    </w:p>
    <w:p w14:paraId="3AA83643" w14:textId="77777777" w:rsidR="00A1095C" w:rsidRPr="00A42A74" w:rsidRDefault="00A1095C" w:rsidP="00A1095C">
      <w:pPr>
        <w:suppressAutoHyphens/>
        <w:rPr>
          <w:sz w:val="24"/>
          <w:szCs w:val="24"/>
        </w:rPr>
      </w:pPr>
    </w:p>
    <w:p w14:paraId="62367C8F" w14:textId="77777777" w:rsidR="00A1095C" w:rsidRPr="00E14F8D" w:rsidRDefault="00A42A74" w:rsidP="00206103">
      <w:pPr>
        <w:pStyle w:val="ListParagraph"/>
        <w:numPr>
          <w:ilvl w:val="0"/>
          <w:numId w:val="11"/>
        </w:numPr>
        <w:suppressAutoHyphens/>
        <w:rPr>
          <w:b/>
          <w:sz w:val="24"/>
          <w:szCs w:val="24"/>
        </w:rPr>
      </w:pPr>
      <w:r w:rsidRPr="00E14F8D">
        <w:rPr>
          <w:b/>
          <w:sz w:val="24"/>
          <w:szCs w:val="24"/>
        </w:rPr>
        <w:t xml:space="preserve">Petitions to Modify Television </w:t>
      </w:r>
      <w:r w:rsidR="00A1095C" w:rsidRPr="00E14F8D">
        <w:rPr>
          <w:b/>
          <w:sz w:val="24"/>
          <w:szCs w:val="24"/>
        </w:rPr>
        <w:t>Market</w:t>
      </w:r>
      <w:r w:rsidRPr="00E14F8D">
        <w:rPr>
          <w:b/>
          <w:sz w:val="24"/>
          <w:szCs w:val="24"/>
        </w:rPr>
        <w:t xml:space="preserve">s </w:t>
      </w:r>
      <w:r w:rsidR="00A1095C" w:rsidRPr="00E14F8D">
        <w:rPr>
          <w:b/>
          <w:sz w:val="24"/>
          <w:szCs w:val="24"/>
        </w:rPr>
        <w:t>– 47 C</w:t>
      </w:r>
      <w:r w:rsidR="00835498" w:rsidRPr="00E14F8D">
        <w:rPr>
          <w:b/>
          <w:sz w:val="24"/>
          <w:szCs w:val="24"/>
        </w:rPr>
        <w:t>.</w:t>
      </w:r>
      <w:r w:rsidR="00A1095C" w:rsidRPr="00E14F8D">
        <w:rPr>
          <w:b/>
          <w:sz w:val="24"/>
          <w:szCs w:val="24"/>
        </w:rPr>
        <w:t>F</w:t>
      </w:r>
      <w:r w:rsidR="00835498" w:rsidRPr="00E14F8D">
        <w:rPr>
          <w:b/>
          <w:sz w:val="24"/>
          <w:szCs w:val="24"/>
        </w:rPr>
        <w:t>.</w:t>
      </w:r>
      <w:r w:rsidR="00A1095C" w:rsidRPr="00E14F8D">
        <w:rPr>
          <w:b/>
          <w:sz w:val="24"/>
          <w:szCs w:val="24"/>
        </w:rPr>
        <w:t>R</w:t>
      </w:r>
      <w:r w:rsidR="00835498" w:rsidRPr="00E14F8D">
        <w:rPr>
          <w:b/>
          <w:sz w:val="24"/>
          <w:szCs w:val="24"/>
        </w:rPr>
        <w:t>.</w:t>
      </w:r>
      <w:r w:rsidR="00A1095C" w:rsidRPr="00E14F8D">
        <w:rPr>
          <w:b/>
          <w:sz w:val="24"/>
          <w:szCs w:val="24"/>
        </w:rPr>
        <w:t xml:space="preserve"> </w:t>
      </w:r>
      <w:r w:rsidR="00835498" w:rsidRPr="00E14F8D">
        <w:rPr>
          <w:b/>
          <w:sz w:val="24"/>
          <w:szCs w:val="24"/>
        </w:rPr>
        <w:t xml:space="preserve">§ </w:t>
      </w:r>
      <w:r w:rsidR="00170BFA" w:rsidRPr="00E14F8D">
        <w:rPr>
          <w:b/>
          <w:sz w:val="24"/>
          <w:szCs w:val="24"/>
        </w:rPr>
        <w:t>76.59</w:t>
      </w:r>
      <w:r w:rsidR="00206103">
        <w:rPr>
          <w:b/>
          <w:sz w:val="24"/>
          <w:szCs w:val="24"/>
        </w:rPr>
        <w:t xml:space="preserve"> and </w:t>
      </w:r>
      <w:r w:rsidR="000421B1">
        <w:rPr>
          <w:b/>
          <w:sz w:val="24"/>
          <w:szCs w:val="24"/>
        </w:rPr>
        <w:t xml:space="preserve">non-rule requirements in </w:t>
      </w:r>
      <w:r w:rsidR="00206103" w:rsidRPr="00206103">
        <w:rPr>
          <w:b/>
          <w:sz w:val="24"/>
          <w:szCs w:val="24"/>
        </w:rPr>
        <w:t>FCC 15-111</w:t>
      </w:r>
    </w:p>
    <w:p w14:paraId="5F555A15" w14:textId="77777777" w:rsidR="00A42A74" w:rsidRPr="00A42A74" w:rsidRDefault="00A42A74" w:rsidP="00A42A74">
      <w:pPr>
        <w:rPr>
          <w:b/>
          <w:sz w:val="24"/>
          <w:szCs w:val="24"/>
        </w:rPr>
      </w:pPr>
    </w:p>
    <w:p w14:paraId="686DB330" w14:textId="77777777" w:rsidR="00A42A74" w:rsidRPr="00A42A74" w:rsidRDefault="00A42A74" w:rsidP="00A42A74">
      <w:pPr>
        <w:rPr>
          <w:sz w:val="24"/>
          <w:szCs w:val="24"/>
        </w:rPr>
      </w:pPr>
      <w:r w:rsidRPr="00A42A74">
        <w:rPr>
          <w:b/>
          <w:sz w:val="24"/>
          <w:szCs w:val="24"/>
        </w:rPr>
        <w:t>Section 76.59(a)</w:t>
      </w:r>
      <w:r w:rsidRPr="00A42A74">
        <w:rPr>
          <w:sz w:val="24"/>
          <w:szCs w:val="24"/>
        </w:rPr>
        <w:t xml:space="preserve"> of the Commission’s Rules </w:t>
      </w:r>
      <w:r w:rsidR="000421B1">
        <w:rPr>
          <w:sz w:val="24"/>
          <w:szCs w:val="24"/>
        </w:rPr>
        <w:t xml:space="preserve">authorizes the filing of </w:t>
      </w:r>
      <w:r w:rsidR="000421B1" w:rsidRPr="00A42A74">
        <w:rPr>
          <w:sz w:val="24"/>
          <w:szCs w:val="24"/>
        </w:rPr>
        <w:t>market modification petition</w:t>
      </w:r>
      <w:r w:rsidR="000421B1">
        <w:rPr>
          <w:sz w:val="24"/>
          <w:szCs w:val="24"/>
        </w:rPr>
        <w:t>s</w:t>
      </w:r>
      <w:r w:rsidR="000421B1" w:rsidRPr="00A42A74">
        <w:rPr>
          <w:sz w:val="24"/>
          <w:szCs w:val="24"/>
        </w:rPr>
        <w:t xml:space="preserve"> </w:t>
      </w:r>
      <w:r w:rsidR="000421B1">
        <w:rPr>
          <w:sz w:val="24"/>
          <w:szCs w:val="24"/>
        </w:rPr>
        <w:t xml:space="preserve">and </w:t>
      </w:r>
      <w:r w:rsidRPr="00A42A74">
        <w:rPr>
          <w:sz w:val="24"/>
          <w:szCs w:val="24"/>
        </w:rPr>
        <w:t xml:space="preserve">governs who may file </w:t>
      </w:r>
      <w:r w:rsidR="000421B1">
        <w:rPr>
          <w:sz w:val="24"/>
          <w:szCs w:val="24"/>
        </w:rPr>
        <w:t xml:space="preserve">such </w:t>
      </w:r>
      <w:r w:rsidRPr="00A42A74">
        <w:rPr>
          <w:sz w:val="24"/>
          <w:szCs w:val="24"/>
        </w:rPr>
        <w:t>a</w:t>
      </w:r>
      <w:r w:rsidR="000421B1">
        <w:rPr>
          <w:sz w:val="24"/>
          <w:szCs w:val="24"/>
        </w:rPr>
        <w:t xml:space="preserve"> petition</w:t>
      </w:r>
      <w:r w:rsidRPr="00A42A74">
        <w:rPr>
          <w:sz w:val="24"/>
          <w:szCs w:val="24"/>
        </w:rPr>
        <w:t>:</w:t>
      </w:r>
      <w:r w:rsidRPr="00A42A74">
        <w:rPr>
          <w:rStyle w:val="FootnoteReference"/>
          <w:szCs w:val="24"/>
        </w:rPr>
        <w:footnoteReference w:id="6"/>
      </w:r>
      <w:r w:rsidRPr="00A42A74">
        <w:rPr>
          <w:sz w:val="24"/>
          <w:szCs w:val="24"/>
        </w:rPr>
        <w:t xml:space="preserve">  </w:t>
      </w:r>
    </w:p>
    <w:p w14:paraId="78D5FF93" w14:textId="77777777" w:rsidR="00582AEC" w:rsidRPr="00835498" w:rsidRDefault="00835498" w:rsidP="00A42A74">
      <w:pPr>
        <w:pStyle w:val="ListParagraph"/>
        <w:numPr>
          <w:ilvl w:val="0"/>
          <w:numId w:val="10"/>
        </w:numPr>
        <w:suppressAutoHyphens/>
        <w:rPr>
          <w:sz w:val="24"/>
          <w:szCs w:val="24"/>
        </w:rPr>
      </w:pPr>
      <w:r w:rsidRPr="00835498">
        <w:rPr>
          <w:sz w:val="24"/>
          <w:szCs w:val="24"/>
          <w:u w:val="single"/>
        </w:rPr>
        <w:t xml:space="preserve">Cable market </w:t>
      </w:r>
      <w:r w:rsidR="00A42A74" w:rsidRPr="00A42A74">
        <w:rPr>
          <w:sz w:val="24"/>
          <w:szCs w:val="24"/>
          <w:u w:val="single"/>
        </w:rPr>
        <w:t xml:space="preserve">modification </w:t>
      </w:r>
      <w:r w:rsidRPr="00835498">
        <w:rPr>
          <w:sz w:val="24"/>
          <w:szCs w:val="24"/>
          <w:u w:val="single"/>
        </w:rPr>
        <w:t>petitions</w:t>
      </w:r>
      <w:r w:rsidRPr="00835498">
        <w:rPr>
          <w:sz w:val="24"/>
          <w:szCs w:val="24"/>
        </w:rPr>
        <w:t>:  A c</w:t>
      </w:r>
      <w:r w:rsidR="00582AEC" w:rsidRPr="00835498">
        <w:rPr>
          <w:sz w:val="24"/>
          <w:szCs w:val="24"/>
        </w:rPr>
        <w:t xml:space="preserve">ommercial TV broadcast station and cable system operator may file a market modification petition to modify the local television market of a particular commercial television broadcast station for purposes of cable carriage rights.  </w:t>
      </w:r>
      <w:r w:rsidRPr="00835498">
        <w:rPr>
          <w:sz w:val="24"/>
          <w:szCs w:val="24"/>
        </w:rPr>
        <w:t>47 C.F.R. § 76.59(a).</w:t>
      </w:r>
    </w:p>
    <w:p w14:paraId="44BAA79C" w14:textId="77777777" w:rsidR="00582AEC" w:rsidRPr="00835498" w:rsidRDefault="00835498" w:rsidP="00835498">
      <w:pPr>
        <w:pStyle w:val="ListParagraph"/>
        <w:numPr>
          <w:ilvl w:val="0"/>
          <w:numId w:val="10"/>
        </w:numPr>
        <w:suppressAutoHyphens/>
        <w:rPr>
          <w:sz w:val="24"/>
          <w:szCs w:val="24"/>
        </w:rPr>
      </w:pPr>
      <w:r w:rsidRPr="00835498">
        <w:rPr>
          <w:sz w:val="24"/>
          <w:szCs w:val="24"/>
          <w:u w:val="single"/>
        </w:rPr>
        <w:t xml:space="preserve">Satellite market </w:t>
      </w:r>
      <w:r w:rsidR="00A42A74" w:rsidRPr="00A42A74">
        <w:rPr>
          <w:sz w:val="24"/>
          <w:szCs w:val="24"/>
          <w:u w:val="single"/>
        </w:rPr>
        <w:t xml:space="preserve">modification </w:t>
      </w:r>
      <w:r w:rsidRPr="00835498">
        <w:rPr>
          <w:sz w:val="24"/>
          <w:szCs w:val="24"/>
          <w:u w:val="single"/>
        </w:rPr>
        <w:t>petitions</w:t>
      </w:r>
      <w:r w:rsidRPr="00835498">
        <w:rPr>
          <w:sz w:val="24"/>
          <w:szCs w:val="24"/>
        </w:rPr>
        <w:t xml:space="preserve">:  A commercial </w:t>
      </w:r>
      <w:r w:rsidR="00582AEC" w:rsidRPr="00835498">
        <w:rPr>
          <w:sz w:val="24"/>
          <w:szCs w:val="24"/>
        </w:rPr>
        <w:t xml:space="preserve">TV broadcast stations, satellite carrier and </w:t>
      </w:r>
      <w:r w:rsidRPr="00835498">
        <w:rPr>
          <w:sz w:val="24"/>
          <w:szCs w:val="24"/>
        </w:rPr>
        <w:t xml:space="preserve">county governmental entity (such as a county board, council, commission or other equivalent subdivision) </w:t>
      </w:r>
      <w:r w:rsidR="00582AEC" w:rsidRPr="00835498">
        <w:rPr>
          <w:sz w:val="24"/>
          <w:szCs w:val="24"/>
        </w:rPr>
        <w:t xml:space="preserve">may file a market modification petition to modify the local television market of a particular commercial television broadcast station for purposes of </w:t>
      </w:r>
      <w:r w:rsidRPr="00835498">
        <w:rPr>
          <w:sz w:val="24"/>
          <w:szCs w:val="24"/>
        </w:rPr>
        <w:t>satellite</w:t>
      </w:r>
      <w:r w:rsidR="00582AEC" w:rsidRPr="00835498">
        <w:rPr>
          <w:sz w:val="24"/>
          <w:szCs w:val="24"/>
        </w:rPr>
        <w:t xml:space="preserve"> carriage rights.</w:t>
      </w:r>
      <w:r w:rsidRPr="00835498">
        <w:rPr>
          <w:sz w:val="24"/>
          <w:szCs w:val="24"/>
        </w:rPr>
        <w:t xml:space="preserve">  47 C.F.R. § 76.59(a).</w:t>
      </w:r>
    </w:p>
    <w:p w14:paraId="47BCD33A" w14:textId="77777777" w:rsidR="00A42A74" w:rsidRDefault="00A42A74" w:rsidP="00FC5711">
      <w:pPr>
        <w:rPr>
          <w:b/>
          <w:sz w:val="24"/>
          <w:szCs w:val="24"/>
        </w:rPr>
      </w:pPr>
    </w:p>
    <w:p w14:paraId="320043D2" w14:textId="77777777" w:rsidR="00A1095C" w:rsidRPr="00423C65" w:rsidRDefault="00A42A74" w:rsidP="00FC5711">
      <w:pPr>
        <w:rPr>
          <w:sz w:val="24"/>
          <w:szCs w:val="24"/>
        </w:rPr>
      </w:pPr>
      <w:r w:rsidRPr="00A42A74">
        <w:rPr>
          <w:b/>
          <w:sz w:val="24"/>
          <w:szCs w:val="24"/>
        </w:rPr>
        <w:t>Section 76.59(</w:t>
      </w:r>
      <w:r>
        <w:rPr>
          <w:b/>
          <w:sz w:val="24"/>
          <w:szCs w:val="24"/>
        </w:rPr>
        <w:t>b</w:t>
      </w:r>
      <w:r w:rsidRPr="00A42A74">
        <w:rPr>
          <w:b/>
          <w:sz w:val="24"/>
          <w:szCs w:val="24"/>
        </w:rPr>
        <w:t>)</w:t>
      </w:r>
      <w:r w:rsidRPr="00A42A74">
        <w:rPr>
          <w:sz w:val="24"/>
          <w:szCs w:val="24"/>
        </w:rPr>
        <w:t xml:space="preserve"> of the Commission’s Rules</w:t>
      </w:r>
      <w:r w:rsidR="00086E34">
        <w:rPr>
          <w:rStyle w:val="FootnoteReference"/>
          <w:szCs w:val="24"/>
        </w:rPr>
        <w:footnoteReference w:id="7"/>
      </w:r>
      <w:r w:rsidR="00086E34">
        <w:rPr>
          <w:sz w:val="24"/>
          <w:szCs w:val="24"/>
        </w:rPr>
        <w:t xml:space="preserve"> requires that market modification petitions </w:t>
      </w:r>
      <w:r w:rsidR="00086E34" w:rsidRPr="00086E34">
        <w:rPr>
          <w:sz w:val="24"/>
          <w:szCs w:val="24"/>
        </w:rPr>
        <w:t xml:space="preserve">and responsive pleadings </w:t>
      </w:r>
      <w:r w:rsidR="00086E34">
        <w:rPr>
          <w:sz w:val="24"/>
          <w:szCs w:val="24"/>
        </w:rPr>
        <w:t>(</w:t>
      </w:r>
      <w:r w:rsidR="00086E34" w:rsidRPr="00086E34">
        <w:rPr>
          <w:i/>
          <w:sz w:val="24"/>
          <w:szCs w:val="24"/>
        </w:rPr>
        <w:t>e.g.</w:t>
      </w:r>
      <w:r w:rsidR="00086E34">
        <w:rPr>
          <w:sz w:val="24"/>
          <w:szCs w:val="24"/>
        </w:rPr>
        <w:t>, oppositions, comments, repl</w:t>
      </w:r>
      <w:r w:rsidR="005E0774">
        <w:rPr>
          <w:sz w:val="24"/>
          <w:szCs w:val="24"/>
        </w:rPr>
        <w:t>y comments</w:t>
      </w:r>
      <w:r w:rsidR="00086E34">
        <w:rPr>
          <w:sz w:val="24"/>
          <w:szCs w:val="24"/>
        </w:rPr>
        <w:t xml:space="preserve">) must be submitted </w:t>
      </w:r>
      <w:r w:rsidR="00086E34" w:rsidRPr="00086E34">
        <w:rPr>
          <w:sz w:val="24"/>
          <w:szCs w:val="24"/>
        </w:rPr>
        <w:t xml:space="preserve">in accordance with the procedures for filing Special Relief petitions in Section 76.7 </w:t>
      </w:r>
      <w:r w:rsidR="00F94AB9" w:rsidRPr="00A42A74">
        <w:rPr>
          <w:sz w:val="24"/>
          <w:szCs w:val="24"/>
        </w:rPr>
        <w:t xml:space="preserve">of the </w:t>
      </w:r>
      <w:r w:rsidR="00F94AB9">
        <w:rPr>
          <w:sz w:val="24"/>
          <w:szCs w:val="24"/>
        </w:rPr>
        <w:t>r</w:t>
      </w:r>
      <w:r w:rsidR="00F94AB9" w:rsidRPr="00A42A74">
        <w:rPr>
          <w:sz w:val="24"/>
          <w:szCs w:val="24"/>
        </w:rPr>
        <w:t>ules</w:t>
      </w:r>
      <w:r w:rsidR="00086E34" w:rsidRPr="00086E34">
        <w:rPr>
          <w:sz w:val="24"/>
          <w:szCs w:val="24"/>
        </w:rPr>
        <w:t>.</w:t>
      </w:r>
      <w:r w:rsidR="005E0774">
        <w:rPr>
          <w:rStyle w:val="FootnoteReference"/>
          <w:szCs w:val="24"/>
        </w:rPr>
        <w:footnoteReference w:id="8"/>
      </w:r>
    </w:p>
    <w:p w14:paraId="1A761D9D" w14:textId="77777777" w:rsidR="00A42A74" w:rsidRDefault="00A42A74" w:rsidP="002C0BDF">
      <w:pPr>
        <w:rPr>
          <w:sz w:val="24"/>
          <w:szCs w:val="24"/>
        </w:rPr>
      </w:pPr>
    </w:p>
    <w:p w14:paraId="405ADE30" w14:textId="77777777" w:rsidR="00F94AB9" w:rsidRPr="006714E8" w:rsidRDefault="00F94AB9" w:rsidP="00F94AB9">
      <w:pPr>
        <w:rPr>
          <w:szCs w:val="22"/>
        </w:rPr>
      </w:pPr>
      <w:r w:rsidRPr="00A42A74">
        <w:rPr>
          <w:b/>
          <w:sz w:val="24"/>
          <w:szCs w:val="24"/>
        </w:rPr>
        <w:t>Section 76.59(</w:t>
      </w:r>
      <w:r>
        <w:rPr>
          <w:b/>
          <w:sz w:val="24"/>
          <w:szCs w:val="24"/>
        </w:rPr>
        <w:t>b</w:t>
      </w:r>
      <w:r w:rsidRPr="00A42A74">
        <w:rPr>
          <w:b/>
          <w:sz w:val="24"/>
          <w:szCs w:val="24"/>
        </w:rPr>
        <w:t>)</w:t>
      </w:r>
      <w:r>
        <w:rPr>
          <w:b/>
          <w:sz w:val="24"/>
          <w:szCs w:val="24"/>
        </w:rPr>
        <w:t>(1)-(7)</w:t>
      </w:r>
      <w:r w:rsidRPr="00A42A74">
        <w:rPr>
          <w:sz w:val="24"/>
          <w:szCs w:val="24"/>
        </w:rPr>
        <w:t xml:space="preserve"> of the Commission’s Rules</w:t>
      </w:r>
      <w:r>
        <w:rPr>
          <w:rStyle w:val="FootnoteReference"/>
          <w:szCs w:val="24"/>
        </w:rPr>
        <w:footnoteReference w:id="9"/>
      </w:r>
      <w:r>
        <w:rPr>
          <w:sz w:val="24"/>
          <w:szCs w:val="24"/>
        </w:rPr>
        <w:t xml:space="preserve"> require</w:t>
      </w:r>
      <w:r w:rsidR="00B35A3E">
        <w:rPr>
          <w:sz w:val="24"/>
          <w:szCs w:val="24"/>
        </w:rPr>
        <w:t xml:space="preserve"> petitioners (</w:t>
      </w:r>
      <w:r w:rsidR="00B35A3E" w:rsidRPr="002B2047">
        <w:rPr>
          <w:i/>
          <w:sz w:val="24"/>
          <w:szCs w:val="24"/>
        </w:rPr>
        <w:t>e.g.</w:t>
      </w:r>
      <w:r w:rsidR="00B35A3E">
        <w:rPr>
          <w:sz w:val="24"/>
          <w:szCs w:val="24"/>
        </w:rPr>
        <w:t xml:space="preserve">, </w:t>
      </w:r>
      <w:r w:rsidR="00B35A3E" w:rsidRPr="00423C65">
        <w:rPr>
          <w:sz w:val="24"/>
          <w:szCs w:val="24"/>
        </w:rPr>
        <w:t>commercial TV broadcast stations</w:t>
      </w:r>
      <w:r w:rsidR="00B35A3E">
        <w:rPr>
          <w:sz w:val="24"/>
          <w:szCs w:val="24"/>
        </w:rPr>
        <w:t xml:space="preserve">, cable system operators, </w:t>
      </w:r>
      <w:r w:rsidR="00B35A3E" w:rsidRPr="00423C65">
        <w:rPr>
          <w:sz w:val="24"/>
          <w:szCs w:val="24"/>
        </w:rPr>
        <w:t>satellite carriers</w:t>
      </w:r>
      <w:r w:rsidR="00B35A3E">
        <w:rPr>
          <w:sz w:val="24"/>
          <w:szCs w:val="24"/>
        </w:rPr>
        <w:t xml:space="preserve"> and county governments)</w:t>
      </w:r>
      <w:r w:rsidR="00B35A3E" w:rsidRPr="00423C65">
        <w:rPr>
          <w:sz w:val="24"/>
          <w:szCs w:val="24"/>
        </w:rPr>
        <w:t xml:space="preserve"> </w:t>
      </w:r>
      <w:r w:rsidR="00B35A3E" w:rsidRPr="00B35A3E">
        <w:rPr>
          <w:sz w:val="24"/>
          <w:szCs w:val="24"/>
        </w:rPr>
        <w:t xml:space="preserve">to include the following evidence </w:t>
      </w:r>
      <w:r w:rsidR="00B35A3E">
        <w:rPr>
          <w:sz w:val="24"/>
          <w:szCs w:val="24"/>
        </w:rPr>
        <w:t>in</w:t>
      </w:r>
      <w:r w:rsidR="00B35A3E" w:rsidRPr="00423C65">
        <w:rPr>
          <w:sz w:val="24"/>
          <w:szCs w:val="24"/>
        </w:rPr>
        <w:t xml:space="preserve"> support </w:t>
      </w:r>
      <w:r w:rsidR="00B35A3E">
        <w:rPr>
          <w:sz w:val="24"/>
          <w:szCs w:val="24"/>
        </w:rPr>
        <w:t xml:space="preserve">of </w:t>
      </w:r>
      <w:r w:rsidR="00B35A3E" w:rsidRPr="00423C65">
        <w:rPr>
          <w:sz w:val="24"/>
          <w:szCs w:val="24"/>
        </w:rPr>
        <w:t xml:space="preserve">market modification </w:t>
      </w:r>
      <w:r>
        <w:rPr>
          <w:sz w:val="24"/>
          <w:szCs w:val="24"/>
        </w:rPr>
        <w:t>petitions</w:t>
      </w:r>
      <w:r w:rsidRPr="00D86AFD">
        <w:rPr>
          <w:szCs w:val="22"/>
        </w:rPr>
        <w:t>:</w:t>
      </w:r>
    </w:p>
    <w:p w14:paraId="271806CF" w14:textId="77777777" w:rsidR="00F94AB9" w:rsidRPr="00374DD0" w:rsidRDefault="00F94AB9" w:rsidP="00F94AB9">
      <w:pPr>
        <w:rPr>
          <w:sz w:val="24"/>
          <w:szCs w:val="24"/>
        </w:rPr>
      </w:pPr>
    </w:p>
    <w:p w14:paraId="5FC9ED6B" w14:textId="77777777" w:rsidR="00F94AB9" w:rsidRPr="00374DD0" w:rsidRDefault="00F94AB9" w:rsidP="00BB7695">
      <w:pPr>
        <w:spacing w:after="120"/>
        <w:ind w:left="720"/>
        <w:rPr>
          <w:sz w:val="24"/>
          <w:szCs w:val="24"/>
        </w:rPr>
      </w:pPr>
      <w:r w:rsidRPr="00374DD0">
        <w:rPr>
          <w:sz w:val="24"/>
          <w:szCs w:val="24"/>
        </w:rPr>
        <w:t>(1) A map or maps illustrating the relevant community locations and geographic features, station transmitter sites, cable system headend or satellite carrier local receive facility locations, terrain features that would affect station reception, mileage between the community and the television station transmitter site, transportation routes and any other evidence contributing to the scope of the market.</w:t>
      </w:r>
    </w:p>
    <w:p w14:paraId="60A600E1" w14:textId="77777777" w:rsidR="00F94AB9" w:rsidRPr="00374DD0" w:rsidRDefault="00F94AB9" w:rsidP="00BB7695">
      <w:pPr>
        <w:spacing w:after="120"/>
        <w:ind w:left="720"/>
        <w:rPr>
          <w:sz w:val="24"/>
          <w:szCs w:val="24"/>
        </w:rPr>
      </w:pPr>
      <w:r w:rsidRPr="00374DD0">
        <w:rPr>
          <w:sz w:val="24"/>
          <w:szCs w:val="24"/>
        </w:rPr>
        <w:t>(2) Noise-limited service contour maps (for full-power digital stations) or protected contour maps (for Class A and low power television</w:t>
      </w:r>
      <w:r w:rsidRPr="00374DD0" w:rsidDel="006C2B35">
        <w:rPr>
          <w:sz w:val="24"/>
          <w:szCs w:val="24"/>
        </w:rPr>
        <w:t xml:space="preserve"> </w:t>
      </w:r>
      <w:r w:rsidRPr="00374DD0">
        <w:rPr>
          <w:sz w:val="24"/>
          <w:szCs w:val="24"/>
        </w:rPr>
        <w:t xml:space="preserve">stations) delineating the station’s technical service area and showing the location of the cable system headends or satellite carrier local receive facilities and communities in relation to the service areas. </w:t>
      </w:r>
      <w:r w:rsidR="00CD41D3" w:rsidRPr="00374DD0">
        <w:rPr>
          <w:sz w:val="24"/>
          <w:szCs w:val="24"/>
        </w:rPr>
        <w:t xml:space="preserve"> [</w:t>
      </w:r>
      <w:r w:rsidRPr="00374DD0">
        <w:rPr>
          <w:sz w:val="24"/>
          <w:szCs w:val="24"/>
        </w:rPr>
        <w:t>Note to paragraph (b)(2): Service area maps using Longley-Rice (version 1.2.2) propagation curves may also be included to support a technical service exhibit.</w:t>
      </w:r>
      <w:r w:rsidR="00CD41D3" w:rsidRPr="00374DD0">
        <w:rPr>
          <w:sz w:val="24"/>
          <w:szCs w:val="24"/>
        </w:rPr>
        <w:t>]</w:t>
      </w:r>
    </w:p>
    <w:p w14:paraId="5B7C9DDD" w14:textId="77777777" w:rsidR="00F94AB9" w:rsidRPr="00374DD0" w:rsidRDefault="00F94AB9" w:rsidP="00BB7695">
      <w:pPr>
        <w:spacing w:after="120"/>
        <w:ind w:left="720"/>
        <w:rPr>
          <w:sz w:val="24"/>
          <w:szCs w:val="24"/>
        </w:rPr>
      </w:pPr>
      <w:r w:rsidRPr="00374DD0">
        <w:rPr>
          <w:sz w:val="24"/>
          <w:szCs w:val="24"/>
        </w:rPr>
        <w:t>(3) Available data on shopping and labor patterns in the local market.</w:t>
      </w:r>
    </w:p>
    <w:p w14:paraId="56C1173A" w14:textId="77777777" w:rsidR="00F94AB9" w:rsidRPr="00374DD0" w:rsidRDefault="00F94AB9" w:rsidP="00BB7695">
      <w:pPr>
        <w:spacing w:after="120"/>
        <w:ind w:left="720"/>
        <w:rPr>
          <w:sz w:val="24"/>
          <w:szCs w:val="24"/>
        </w:rPr>
      </w:pPr>
      <w:r w:rsidRPr="00374DD0">
        <w:rPr>
          <w:sz w:val="24"/>
          <w:szCs w:val="24"/>
        </w:rPr>
        <w:t>(4) Television station programming information derived from station logs or the local edition of the television guide.</w:t>
      </w:r>
    </w:p>
    <w:p w14:paraId="48A4F425" w14:textId="77777777" w:rsidR="00F94AB9" w:rsidRPr="00374DD0" w:rsidRDefault="00F94AB9" w:rsidP="00BB7695">
      <w:pPr>
        <w:spacing w:after="120"/>
        <w:ind w:left="720"/>
        <w:rPr>
          <w:sz w:val="24"/>
          <w:szCs w:val="24"/>
        </w:rPr>
      </w:pPr>
      <w:r w:rsidRPr="00374DD0">
        <w:rPr>
          <w:sz w:val="24"/>
          <w:szCs w:val="24"/>
        </w:rPr>
        <w:t>(5) Cable system or satellite carrier channel line-up cards or other exhibits establishing historic carriage, such as television guide listings.</w:t>
      </w:r>
    </w:p>
    <w:p w14:paraId="7B3714BE" w14:textId="77777777" w:rsidR="00F94AB9" w:rsidRPr="00374DD0" w:rsidRDefault="00F94AB9" w:rsidP="00BB7695">
      <w:pPr>
        <w:spacing w:after="120"/>
        <w:ind w:left="720"/>
        <w:rPr>
          <w:sz w:val="24"/>
          <w:szCs w:val="24"/>
        </w:rPr>
      </w:pPr>
      <w:r w:rsidRPr="00374DD0">
        <w:rPr>
          <w:sz w:val="24"/>
          <w:szCs w:val="24"/>
        </w:rPr>
        <w:t>(6) Published audience data for the relevant station showing its average all day audience (</w:t>
      </w:r>
      <w:r w:rsidRPr="00374DD0">
        <w:rPr>
          <w:i/>
          <w:sz w:val="24"/>
          <w:szCs w:val="24"/>
        </w:rPr>
        <w:t>i.e.</w:t>
      </w:r>
      <w:r w:rsidRPr="00374DD0">
        <w:rPr>
          <w:sz w:val="24"/>
          <w:szCs w:val="24"/>
        </w:rPr>
        <w:t>, the reported audience averaged over Sunday-Saturday, 7 a.m.-1 a.m., or an equivalent time period) for both multichannel video programming distributor (MVPD) and non-MVPD households or other specific audience indicia, such as station advertising and sales data or viewer contribution records.</w:t>
      </w:r>
    </w:p>
    <w:p w14:paraId="0B23AD0B" w14:textId="77777777" w:rsidR="00F94AB9" w:rsidRPr="00374DD0" w:rsidRDefault="00F94AB9" w:rsidP="00BB7695">
      <w:pPr>
        <w:spacing w:after="120"/>
        <w:ind w:left="720"/>
        <w:rPr>
          <w:sz w:val="24"/>
          <w:szCs w:val="24"/>
        </w:rPr>
      </w:pPr>
      <w:r w:rsidRPr="00374DD0">
        <w:rPr>
          <w:sz w:val="24"/>
          <w:szCs w:val="24"/>
        </w:rPr>
        <w:t xml:space="preserve">(7) If applicable, a statement that the station is licensed to a community within the same </w:t>
      </w:r>
      <w:r w:rsidRPr="00374DD0">
        <w:rPr>
          <w:sz w:val="24"/>
          <w:szCs w:val="24"/>
        </w:rPr>
        <w:lastRenderedPageBreak/>
        <w:t>state as the relevant community.</w:t>
      </w:r>
    </w:p>
    <w:p w14:paraId="72B247C0" w14:textId="77777777" w:rsidR="00F94AB9" w:rsidRPr="00374DD0" w:rsidRDefault="00F94AB9" w:rsidP="002C0BDF">
      <w:pPr>
        <w:rPr>
          <w:sz w:val="24"/>
          <w:szCs w:val="24"/>
        </w:rPr>
      </w:pPr>
    </w:p>
    <w:p w14:paraId="3C7778E7" w14:textId="77777777" w:rsidR="006F43B7" w:rsidRPr="00DD42E1" w:rsidRDefault="000B47D8" w:rsidP="006F43B7">
      <w:pPr>
        <w:rPr>
          <w:sz w:val="24"/>
          <w:szCs w:val="24"/>
        </w:rPr>
      </w:pPr>
      <w:r w:rsidRPr="00DD42E1">
        <w:rPr>
          <w:b/>
          <w:sz w:val="24"/>
          <w:szCs w:val="24"/>
        </w:rPr>
        <w:t>Spot Beam Coverage Infeasibility Detailed Certifications</w:t>
      </w:r>
      <w:r>
        <w:rPr>
          <w:b/>
          <w:sz w:val="24"/>
          <w:szCs w:val="24"/>
        </w:rPr>
        <w:t xml:space="preserve"> (non-rule requirement in FCC 15-111)</w:t>
      </w:r>
      <w:r w:rsidRPr="00DD42E1">
        <w:rPr>
          <w:sz w:val="24"/>
          <w:szCs w:val="24"/>
        </w:rPr>
        <w:t xml:space="preserve">:  </w:t>
      </w:r>
      <w:r w:rsidR="006E30F8" w:rsidRPr="00DD42E1">
        <w:rPr>
          <w:sz w:val="24"/>
          <w:szCs w:val="24"/>
        </w:rPr>
        <w:t xml:space="preserve">Section 338(l)(3) of the Communications Act provides that </w:t>
      </w:r>
      <w:r w:rsidR="001D46C6">
        <w:rPr>
          <w:sz w:val="24"/>
          <w:szCs w:val="24"/>
        </w:rPr>
        <w:t>“</w:t>
      </w:r>
      <w:r w:rsidR="006E30F8" w:rsidRPr="00DD42E1">
        <w:rPr>
          <w:sz w:val="24"/>
          <w:szCs w:val="24"/>
        </w:rPr>
        <w:t>[a] market determination … shall not create additional carriage obligations for a satellite carrier if it is not technically and economically feasible for such carrier to accomplish such carriage by means of its satellites in operation at the time of the determination.</w:t>
      </w:r>
      <w:r w:rsidR="001D46C6">
        <w:rPr>
          <w:sz w:val="24"/>
          <w:szCs w:val="24"/>
        </w:rPr>
        <w:t>”</w:t>
      </w:r>
      <w:r w:rsidR="006E30F8" w:rsidRPr="00AC2A6D">
        <w:rPr>
          <w:rStyle w:val="FootnoteReference"/>
        </w:rPr>
        <w:footnoteReference w:id="10"/>
      </w:r>
      <w:r w:rsidR="006E30F8" w:rsidRPr="00DD42E1">
        <w:rPr>
          <w:sz w:val="24"/>
          <w:szCs w:val="24"/>
        </w:rPr>
        <w:t xml:space="preserve">  If a satellite carrier opposes a market modification </w:t>
      </w:r>
      <w:r w:rsidR="002F4F93" w:rsidRPr="00DD42E1">
        <w:rPr>
          <w:sz w:val="24"/>
          <w:szCs w:val="24"/>
        </w:rPr>
        <w:t xml:space="preserve">petition </w:t>
      </w:r>
      <w:r w:rsidR="006E30F8" w:rsidRPr="00DD42E1">
        <w:rPr>
          <w:sz w:val="24"/>
          <w:szCs w:val="24"/>
        </w:rPr>
        <w:t>because the resulting carriage would be technically or economically infeasible</w:t>
      </w:r>
      <w:r w:rsidR="00D3082F">
        <w:rPr>
          <w:sz w:val="24"/>
          <w:szCs w:val="24"/>
        </w:rPr>
        <w:t xml:space="preserve"> pursuant to </w:t>
      </w:r>
      <w:r w:rsidR="00D3082F" w:rsidRPr="00DD42E1">
        <w:rPr>
          <w:sz w:val="24"/>
          <w:szCs w:val="24"/>
        </w:rPr>
        <w:t>Section 338(l)(3)</w:t>
      </w:r>
      <w:r w:rsidR="006E30F8" w:rsidRPr="00DD42E1">
        <w:rPr>
          <w:sz w:val="24"/>
          <w:szCs w:val="24"/>
        </w:rPr>
        <w:t xml:space="preserve">, </w:t>
      </w:r>
      <w:r w:rsidR="002F4F93" w:rsidRPr="00DD42E1">
        <w:rPr>
          <w:sz w:val="24"/>
          <w:szCs w:val="24"/>
        </w:rPr>
        <w:t xml:space="preserve">the carrier must </w:t>
      </w:r>
      <w:r w:rsidR="00B35A3E" w:rsidRPr="00DD42E1">
        <w:rPr>
          <w:sz w:val="24"/>
          <w:szCs w:val="24"/>
        </w:rPr>
        <w:t xml:space="preserve">provide specific evidence </w:t>
      </w:r>
      <w:r>
        <w:rPr>
          <w:sz w:val="24"/>
          <w:szCs w:val="24"/>
        </w:rPr>
        <w:t xml:space="preserve">in its opposition or response to a pre-filing coordination request (see below) </w:t>
      </w:r>
      <w:r w:rsidR="00B35A3E" w:rsidRPr="00DD42E1">
        <w:rPr>
          <w:sz w:val="24"/>
          <w:szCs w:val="24"/>
        </w:rPr>
        <w:t xml:space="preserve">to demonstrate its claim </w:t>
      </w:r>
      <w:r w:rsidR="002F4F93" w:rsidRPr="00DD42E1">
        <w:rPr>
          <w:sz w:val="24"/>
          <w:szCs w:val="24"/>
        </w:rPr>
        <w:t>of infeasibility</w:t>
      </w:r>
      <w:r w:rsidR="00B35A3E" w:rsidRPr="00DD42E1">
        <w:rPr>
          <w:sz w:val="24"/>
          <w:szCs w:val="24"/>
        </w:rPr>
        <w:t>.</w:t>
      </w:r>
      <w:r>
        <w:rPr>
          <w:rStyle w:val="FootnoteReference"/>
          <w:szCs w:val="24"/>
        </w:rPr>
        <w:footnoteReference w:id="11"/>
      </w:r>
      <w:r w:rsidR="00395B63" w:rsidRPr="00DD42E1">
        <w:rPr>
          <w:sz w:val="24"/>
          <w:szCs w:val="24"/>
        </w:rPr>
        <w:t xml:space="preserve"> </w:t>
      </w:r>
      <w:r w:rsidR="002F4F93" w:rsidRPr="00DD42E1">
        <w:rPr>
          <w:sz w:val="24"/>
          <w:szCs w:val="24"/>
        </w:rPr>
        <w:t xml:space="preserve"> If the satellite carrier is claiming infeasibility based on insufficient spot beam coverage, then the carrier </w:t>
      </w:r>
      <w:r w:rsidR="00AF5598" w:rsidRPr="00DD42E1">
        <w:rPr>
          <w:sz w:val="24"/>
          <w:szCs w:val="24"/>
        </w:rPr>
        <w:t>may instead</w:t>
      </w:r>
      <w:r w:rsidR="002F4F93" w:rsidRPr="00DD42E1">
        <w:rPr>
          <w:sz w:val="24"/>
          <w:szCs w:val="24"/>
        </w:rPr>
        <w:t xml:space="preserve"> provide </w:t>
      </w:r>
      <w:r w:rsidR="006F43B7" w:rsidRPr="00DD42E1">
        <w:rPr>
          <w:sz w:val="24"/>
          <w:szCs w:val="24"/>
        </w:rPr>
        <w:t>a detailed certification submitted under penalty of perjury</w:t>
      </w:r>
      <w:r w:rsidR="002F4F93" w:rsidRPr="00DD42E1">
        <w:rPr>
          <w:sz w:val="24"/>
          <w:szCs w:val="24"/>
        </w:rPr>
        <w:t>.</w:t>
      </w:r>
      <w:r w:rsidR="002F4F93" w:rsidRPr="0042758F">
        <w:rPr>
          <w:rStyle w:val="FootnoteReference"/>
        </w:rPr>
        <w:footnoteReference w:id="12"/>
      </w:r>
      <w:r w:rsidR="002F4F93" w:rsidRPr="00DD42E1">
        <w:rPr>
          <w:sz w:val="24"/>
          <w:szCs w:val="24"/>
        </w:rPr>
        <w:t xml:space="preserve">  </w:t>
      </w:r>
      <w:r w:rsidR="00AF5598" w:rsidRPr="00DD42E1">
        <w:rPr>
          <w:sz w:val="24"/>
          <w:szCs w:val="24"/>
        </w:rPr>
        <w:t>A</w:t>
      </w:r>
      <w:r w:rsidR="006F43B7" w:rsidRPr="00DD42E1">
        <w:rPr>
          <w:sz w:val="24"/>
          <w:szCs w:val="24"/>
        </w:rPr>
        <w:t xml:space="preserve"> satellite carrier’s </w:t>
      </w:r>
      <w:r w:rsidR="0042758F">
        <w:rPr>
          <w:sz w:val="24"/>
          <w:szCs w:val="24"/>
        </w:rPr>
        <w:t xml:space="preserve">detailed </w:t>
      </w:r>
      <w:r w:rsidR="006F43B7" w:rsidRPr="00DD42E1">
        <w:rPr>
          <w:sz w:val="24"/>
          <w:szCs w:val="24"/>
        </w:rPr>
        <w:t>certification of infeasibility due to insufficient spot beam coverage must contain the following elements in order to be used and relied upon as evidence to demonstrate carrier claims of technical and economic infeasibility.</w:t>
      </w:r>
      <w:r w:rsidR="006F58FD" w:rsidRPr="00AC2A6D">
        <w:rPr>
          <w:rStyle w:val="FootnoteReference"/>
          <w:sz w:val="18"/>
          <w:szCs w:val="18"/>
        </w:rPr>
        <w:footnoteReference w:id="13"/>
      </w:r>
      <w:r w:rsidR="006F43B7" w:rsidRPr="00DD42E1">
        <w:rPr>
          <w:sz w:val="24"/>
          <w:szCs w:val="24"/>
        </w:rPr>
        <w:t xml:space="preserve">  First, the detailed certification must explain why carriage is not technically and economically feasible, including a detailed explanation of the </w:t>
      </w:r>
      <w:r w:rsidR="001D46C6">
        <w:rPr>
          <w:sz w:val="24"/>
          <w:szCs w:val="24"/>
        </w:rPr>
        <w:t>“</w:t>
      </w:r>
      <w:r w:rsidR="006F43B7" w:rsidRPr="00DD42E1">
        <w:rPr>
          <w:sz w:val="24"/>
          <w:szCs w:val="24"/>
        </w:rPr>
        <w:t>process by which a satellite carrier has determined whether or not the spot beam in question covers the geographic area at issue.</w:t>
      </w:r>
      <w:r w:rsidR="001D46C6">
        <w:rPr>
          <w:sz w:val="24"/>
          <w:szCs w:val="24"/>
        </w:rPr>
        <w:t>”</w:t>
      </w:r>
      <w:r w:rsidR="006F43B7" w:rsidRPr="00DD42E1">
        <w:rPr>
          <w:sz w:val="24"/>
          <w:szCs w:val="24"/>
        </w:rPr>
        <w:t xml:space="preserve">  Second, to ensure equal treatment to all stations, the detailed certification must state that the satellite carrier </w:t>
      </w:r>
      <w:r w:rsidR="001D46C6">
        <w:rPr>
          <w:sz w:val="24"/>
          <w:szCs w:val="24"/>
        </w:rPr>
        <w:t>“</w:t>
      </w:r>
      <w:r w:rsidR="006F43B7" w:rsidRPr="00DD42E1">
        <w:rPr>
          <w:sz w:val="24"/>
          <w:szCs w:val="24"/>
        </w:rPr>
        <w:t>has conducted this analysis in substantially the same manner and using substantially the same parameters used to determine the geographic area in which it currently offers stations carried on the spot beam.</w:t>
      </w:r>
      <w:r w:rsidR="001D46C6">
        <w:rPr>
          <w:sz w:val="24"/>
          <w:szCs w:val="24"/>
        </w:rPr>
        <w:t>”</w:t>
      </w:r>
      <w:r w:rsidR="006F43B7" w:rsidRPr="00DD42E1">
        <w:rPr>
          <w:sz w:val="24"/>
          <w:szCs w:val="24"/>
        </w:rPr>
        <w:t xml:space="preserve">  Finally, the satellite carrier must support its detailed certification with an affidavit or declaration under penalty of perjury, as contemplated under Section 1.16 of the Commission’s rules and 28 U.S.C. § 1746,</w:t>
      </w:r>
      <w:r w:rsidR="006F43B7" w:rsidRPr="00D3082F">
        <w:rPr>
          <w:rStyle w:val="FootnoteReference"/>
          <w:sz w:val="18"/>
          <w:szCs w:val="18"/>
        </w:rPr>
        <w:footnoteReference w:id="14"/>
      </w:r>
      <w:r w:rsidR="006F43B7" w:rsidRPr="00DD42E1">
        <w:rPr>
          <w:sz w:val="24"/>
          <w:szCs w:val="24"/>
        </w:rPr>
        <w:t xml:space="preserve"> signed and dated by an authorized officer of the satellite carrier with personal knowledge of the representations provided in the certification, verifying the truth and accuracy of the information therein.</w:t>
      </w:r>
    </w:p>
    <w:p w14:paraId="33D2044F" w14:textId="77777777" w:rsidR="003B706E" w:rsidRDefault="003B706E" w:rsidP="003B706E"/>
    <w:p w14:paraId="1AFC096B" w14:textId="77777777" w:rsidR="003B706E" w:rsidRPr="00DD42E1" w:rsidRDefault="003B706E" w:rsidP="00327D19">
      <w:pPr>
        <w:rPr>
          <w:sz w:val="24"/>
          <w:szCs w:val="24"/>
        </w:rPr>
      </w:pPr>
      <w:r w:rsidRPr="00DD42E1">
        <w:rPr>
          <w:b/>
          <w:sz w:val="24"/>
          <w:szCs w:val="24"/>
        </w:rPr>
        <w:t xml:space="preserve">Supporting Documentation </w:t>
      </w:r>
      <w:r w:rsidR="00CD3F63">
        <w:rPr>
          <w:b/>
          <w:sz w:val="24"/>
          <w:szCs w:val="24"/>
        </w:rPr>
        <w:t xml:space="preserve">for </w:t>
      </w:r>
      <w:r w:rsidR="00CD3F63" w:rsidRPr="00DD42E1">
        <w:rPr>
          <w:b/>
          <w:sz w:val="24"/>
          <w:szCs w:val="24"/>
        </w:rPr>
        <w:t xml:space="preserve">Detailed Certifications </w:t>
      </w:r>
      <w:r w:rsidR="00CD3F63">
        <w:rPr>
          <w:b/>
          <w:sz w:val="24"/>
          <w:szCs w:val="24"/>
        </w:rPr>
        <w:t xml:space="preserve">– </w:t>
      </w:r>
      <w:r w:rsidRPr="00DD42E1">
        <w:rPr>
          <w:b/>
          <w:sz w:val="24"/>
          <w:szCs w:val="24"/>
        </w:rPr>
        <w:t>Record Retention</w:t>
      </w:r>
      <w:r w:rsidRPr="00DD42E1">
        <w:rPr>
          <w:sz w:val="24"/>
          <w:szCs w:val="24"/>
        </w:rPr>
        <w:t xml:space="preserve">:  Although the Commission will not require satellite carriers to provide supporting documentation as part of their certification, the Commission may decide to look behind any certification and require supporting documentation when it deems it appropriate, such as when there is evidence that the </w:t>
      </w:r>
      <w:r w:rsidRPr="00DD42E1">
        <w:rPr>
          <w:sz w:val="24"/>
          <w:szCs w:val="24"/>
        </w:rPr>
        <w:lastRenderedPageBreak/>
        <w:t>certification may be inaccurate.</w:t>
      </w:r>
      <w:r w:rsidRPr="00F72579">
        <w:rPr>
          <w:rStyle w:val="FootnoteReference"/>
        </w:rPr>
        <w:footnoteReference w:id="15"/>
      </w:r>
      <w:r w:rsidRPr="00DD42E1">
        <w:rPr>
          <w:sz w:val="24"/>
          <w:szCs w:val="24"/>
        </w:rPr>
        <w:t xml:space="preserve">  In the event that </w:t>
      </w:r>
      <w:r w:rsidR="00554A3E" w:rsidRPr="00DD42E1">
        <w:rPr>
          <w:sz w:val="24"/>
          <w:szCs w:val="24"/>
        </w:rPr>
        <w:t>the Commission</w:t>
      </w:r>
      <w:r w:rsidRPr="00DD42E1">
        <w:rPr>
          <w:sz w:val="24"/>
          <w:szCs w:val="24"/>
        </w:rPr>
        <w:t xml:space="preserve"> require</w:t>
      </w:r>
      <w:r w:rsidR="00554A3E" w:rsidRPr="00DD42E1">
        <w:rPr>
          <w:sz w:val="24"/>
          <w:szCs w:val="24"/>
        </w:rPr>
        <w:t>s</w:t>
      </w:r>
      <w:r w:rsidRPr="00DD42E1">
        <w:rPr>
          <w:sz w:val="24"/>
          <w:szCs w:val="24"/>
        </w:rPr>
        <w:t xml:space="preserve"> supporting documentation, </w:t>
      </w:r>
      <w:r w:rsidR="00554A3E" w:rsidRPr="00DD42E1">
        <w:rPr>
          <w:sz w:val="24"/>
          <w:szCs w:val="24"/>
        </w:rPr>
        <w:t>it</w:t>
      </w:r>
      <w:r w:rsidRPr="00DD42E1">
        <w:rPr>
          <w:sz w:val="24"/>
          <w:szCs w:val="24"/>
        </w:rPr>
        <w:t xml:space="preserve"> will require a satellite carrier to provide its </w:t>
      </w:r>
      <w:r w:rsidR="001D46C6">
        <w:rPr>
          <w:sz w:val="24"/>
          <w:szCs w:val="24"/>
        </w:rPr>
        <w:t>“</w:t>
      </w:r>
      <w:r w:rsidRPr="00DD42E1">
        <w:rPr>
          <w:sz w:val="24"/>
          <w:szCs w:val="24"/>
        </w:rPr>
        <w:t>satellite link budget</w:t>
      </w:r>
      <w:r w:rsidR="001D46C6">
        <w:rPr>
          <w:sz w:val="24"/>
          <w:szCs w:val="24"/>
        </w:rPr>
        <w:t>”</w:t>
      </w:r>
      <w:r w:rsidRPr="00DD42E1">
        <w:rPr>
          <w:sz w:val="24"/>
          <w:szCs w:val="24"/>
        </w:rPr>
        <w:t xml:space="preserve"> calculations that were created for the new community.</w:t>
      </w:r>
      <w:r w:rsidR="00DD42E1" w:rsidRPr="00F72579">
        <w:rPr>
          <w:rStyle w:val="FootnoteReference"/>
        </w:rPr>
        <w:footnoteReference w:id="16"/>
      </w:r>
      <w:r w:rsidRPr="00DD42E1">
        <w:rPr>
          <w:sz w:val="24"/>
          <w:szCs w:val="24"/>
        </w:rPr>
        <w:t xml:space="preserve">  </w:t>
      </w:r>
      <w:r w:rsidR="00DD42E1" w:rsidRPr="00DD42E1">
        <w:rPr>
          <w:sz w:val="24"/>
          <w:szCs w:val="24"/>
        </w:rPr>
        <w:t>Because</w:t>
      </w:r>
      <w:r w:rsidRPr="00DD42E1">
        <w:rPr>
          <w:sz w:val="24"/>
          <w:szCs w:val="24"/>
        </w:rPr>
        <w:t xml:space="preserve"> the Commission </w:t>
      </w:r>
      <w:r w:rsidR="00DD42E1" w:rsidRPr="00DD42E1">
        <w:rPr>
          <w:sz w:val="24"/>
          <w:szCs w:val="24"/>
        </w:rPr>
        <w:t>may</w:t>
      </w:r>
      <w:r w:rsidRPr="00DD42E1">
        <w:rPr>
          <w:sz w:val="24"/>
          <w:szCs w:val="24"/>
        </w:rPr>
        <w:t xml:space="preserve"> determine in a given case that supporting documentation should be provided to support a detailed certification</w:t>
      </w:r>
      <w:r w:rsidR="00DD42E1" w:rsidRPr="00DD42E1">
        <w:rPr>
          <w:sz w:val="24"/>
          <w:szCs w:val="24"/>
        </w:rPr>
        <w:t>,</w:t>
      </w:r>
      <w:r w:rsidRPr="00DD42E1">
        <w:rPr>
          <w:sz w:val="24"/>
          <w:szCs w:val="24"/>
        </w:rPr>
        <w:t xml:space="preserve"> satellite carriers </w:t>
      </w:r>
      <w:r w:rsidR="00DD42E1" w:rsidRPr="00DD42E1">
        <w:rPr>
          <w:sz w:val="24"/>
          <w:szCs w:val="24"/>
        </w:rPr>
        <w:t xml:space="preserve">are required </w:t>
      </w:r>
      <w:r w:rsidRPr="00DD42E1">
        <w:rPr>
          <w:sz w:val="24"/>
          <w:szCs w:val="24"/>
        </w:rPr>
        <w:t xml:space="preserve">to retain such </w:t>
      </w:r>
      <w:r w:rsidR="001D46C6">
        <w:rPr>
          <w:sz w:val="24"/>
          <w:szCs w:val="24"/>
        </w:rPr>
        <w:t>“</w:t>
      </w:r>
      <w:r w:rsidR="00DD42E1" w:rsidRPr="00DD42E1">
        <w:rPr>
          <w:sz w:val="24"/>
          <w:szCs w:val="24"/>
        </w:rPr>
        <w:t>satellite link budget</w:t>
      </w:r>
      <w:r w:rsidR="001D46C6">
        <w:rPr>
          <w:sz w:val="24"/>
          <w:szCs w:val="24"/>
        </w:rPr>
        <w:t>”</w:t>
      </w:r>
      <w:r w:rsidR="00DD42E1" w:rsidRPr="00DD42E1">
        <w:rPr>
          <w:sz w:val="24"/>
          <w:szCs w:val="24"/>
        </w:rPr>
        <w:t xml:space="preserve"> information </w:t>
      </w:r>
      <w:r w:rsidRPr="00DD42E1">
        <w:rPr>
          <w:sz w:val="24"/>
          <w:szCs w:val="24"/>
        </w:rPr>
        <w:t xml:space="preserve">in the event that the Commission determines further review by the Commission is necessary.  Satellite carriers must retain such </w:t>
      </w:r>
      <w:r w:rsidR="00DD42E1" w:rsidRPr="00DD42E1">
        <w:rPr>
          <w:sz w:val="24"/>
          <w:szCs w:val="24"/>
        </w:rPr>
        <w:t>information</w:t>
      </w:r>
      <w:r w:rsidRPr="00DD42E1">
        <w:rPr>
          <w:sz w:val="24"/>
          <w:szCs w:val="24"/>
        </w:rPr>
        <w:t xml:space="preserve"> throughout the pendency of Commission or judicial proceedings involving the certification and any related market modification petition.  If satellite carriers have concerns about providing proprietary and confidential information underlying their analysis, they may request confidentiality.</w:t>
      </w:r>
      <w:r w:rsidRPr="00F72579">
        <w:rPr>
          <w:rStyle w:val="FootnoteReference"/>
        </w:rPr>
        <w:footnoteReference w:id="17"/>
      </w:r>
    </w:p>
    <w:p w14:paraId="01B11DCA" w14:textId="77777777" w:rsidR="006F43B7" w:rsidRDefault="006F43B7" w:rsidP="002C0BDF">
      <w:pPr>
        <w:rPr>
          <w:sz w:val="24"/>
          <w:szCs w:val="24"/>
        </w:rPr>
      </w:pPr>
    </w:p>
    <w:p w14:paraId="02D084A3" w14:textId="77777777" w:rsidR="00206103" w:rsidRPr="00206103" w:rsidRDefault="00327D19" w:rsidP="00206103">
      <w:pPr>
        <w:pStyle w:val="ListParagraph"/>
        <w:numPr>
          <w:ilvl w:val="0"/>
          <w:numId w:val="11"/>
        </w:numPr>
        <w:suppressAutoHyphens/>
        <w:rPr>
          <w:b/>
          <w:sz w:val="24"/>
          <w:szCs w:val="24"/>
        </w:rPr>
      </w:pPr>
      <w:r w:rsidRPr="00206103">
        <w:rPr>
          <w:b/>
          <w:sz w:val="24"/>
          <w:szCs w:val="24"/>
        </w:rPr>
        <w:t xml:space="preserve">Pre-filing Coordination </w:t>
      </w:r>
      <w:r w:rsidR="00F72579">
        <w:rPr>
          <w:b/>
          <w:sz w:val="24"/>
          <w:szCs w:val="24"/>
        </w:rPr>
        <w:t>Requests/Responses</w:t>
      </w:r>
      <w:r w:rsidR="009F3D1D">
        <w:rPr>
          <w:b/>
          <w:sz w:val="24"/>
          <w:szCs w:val="24"/>
        </w:rPr>
        <w:t>/Petitions</w:t>
      </w:r>
      <w:r w:rsidR="00206103" w:rsidRPr="00206103">
        <w:rPr>
          <w:b/>
          <w:sz w:val="24"/>
          <w:szCs w:val="24"/>
        </w:rPr>
        <w:t xml:space="preserve"> – </w:t>
      </w:r>
      <w:r w:rsidR="0087447C">
        <w:rPr>
          <w:b/>
          <w:sz w:val="24"/>
          <w:szCs w:val="24"/>
        </w:rPr>
        <w:t xml:space="preserve">(non-rule requirement in </w:t>
      </w:r>
      <w:r w:rsidR="00206103" w:rsidRPr="00206103">
        <w:rPr>
          <w:b/>
          <w:sz w:val="24"/>
          <w:szCs w:val="24"/>
        </w:rPr>
        <w:t>FCC 15-111 at ¶ 47</w:t>
      </w:r>
      <w:r w:rsidR="0087447C">
        <w:rPr>
          <w:b/>
          <w:sz w:val="24"/>
          <w:szCs w:val="24"/>
        </w:rPr>
        <w:t>)</w:t>
      </w:r>
    </w:p>
    <w:p w14:paraId="147D01D0" w14:textId="77777777" w:rsidR="00206103" w:rsidRDefault="00206103" w:rsidP="00206103"/>
    <w:p w14:paraId="1ABB5390" w14:textId="77777777" w:rsidR="00327D19" w:rsidRPr="00206103" w:rsidRDefault="0072744B" w:rsidP="00206103">
      <w:pPr>
        <w:rPr>
          <w:sz w:val="24"/>
          <w:szCs w:val="24"/>
        </w:rPr>
      </w:pPr>
      <w:r w:rsidRPr="00206103">
        <w:rPr>
          <w:sz w:val="24"/>
          <w:szCs w:val="24"/>
        </w:rPr>
        <w:t>The Report and Order</w:t>
      </w:r>
      <w:r w:rsidR="00327D19" w:rsidRPr="00206103">
        <w:rPr>
          <w:sz w:val="24"/>
          <w:szCs w:val="24"/>
        </w:rPr>
        <w:t xml:space="preserve"> establish</w:t>
      </w:r>
      <w:r w:rsidRPr="00206103">
        <w:rPr>
          <w:sz w:val="24"/>
          <w:szCs w:val="24"/>
        </w:rPr>
        <w:t>es</w:t>
      </w:r>
      <w:r w:rsidR="00327D19" w:rsidRPr="00206103">
        <w:rPr>
          <w:sz w:val="24"/>
          <w:szCs w:val="24"/>
        </w:rPr>
        <w:t xml:space="preserve"> a </w:t>
      </w:r>
      <w:r w:rsidR="00F72579">
        <w:rPr>
          <w:sz w:val="24"/>
          <w:szCs w:val="24"/>
        </w:rPr>
        <w:t xml:space="preserve">“pre-filing coordination” </w:t>
      </w:r>
      <w:r w:rsidR="00327D19" w:rsidRPr="00206103">
        <w:rPr>
          <w:sz w:val="24"/>
          <w:szCs w:val="24"/>
        </w:rPr>
        <w:t xml:space="preserve">process that‎ will allow a prospective petitioner </w:t>
      </w:r>
      <w:r w:rsidR="0087447C">
        <w:rPr>
          <w:sz w:val="24"/>
          <w:szCs w:val="24"/>
        </w:rPr>
        <w:t xml:space="preserve">for market modification </w:t>
      </w:r>
      <w:r w:rsidR="00327D19" w:rsidRPr="00206103">
        <w:rPr>
          <w:sz w:val="24"/>
          <w:szCs w:val="24"/>
        </w:rPr>
        <w:t>(</w:t>
      </w:r>
      <w:r w:rsidR="0087447C" w:rsidRPr="0087447C">
        <w:rPr>
          <w:i/>
          <w:sz w:val="24"/>
          <w:szCs w:val="24"/>
        </w:rPr>
        <w:t>i.e.</w:t>
      </w:r>
      <w:r w:rsidR="0087447C">
        <w:rPr>
          <w:sz w:val="24"/>
          <w:szCs w:val="24"/>
        </w:rPr>
        <w:t xml:space="preserve">, </w:t>
      </w:r>
      <w:r w:rsidR="00327D19" w:rsidRPr="00206103">
        <w:rPr>
          <w:sz w:val="24"/>
          <w:szCs w:val="24"/>
        </w:rPr>
        <w:t xml:space="preserve">broadcaster or county government), at its option, to </w:t>
      </w:r>
      <w:r w:rsidR="0087447C">
        <w:rPr>
          <w:sz w:val="24"/>
          <w:szCs w:val="24"/>
        </w:rPr>
        <w:t>request/</w:t>
      </w:r>
      <w:r w:rsidR="00327D19" w:rsidRPr="00206103">
        <w:rPr>
          <w:sz w:val="24"/>
          <w:szCs w:val="24"/>
        </w:rPr>
        <w:t xml:space="preserve">obtain a certification from a satellite carrier about whether or not (and to what extent) carriage resulting from a contemplated market modification is technically and economically feasible for such carrier </w:t>
      </w:r>
      <w:r w:rsidR="00327D19" w:rsidRPr="00F72579">
        <w:rPr>
          <w:i/>
          <w:sz w:val="24"/>
          <w:szCs w:val="24"/>
        </w:rPr>
        <w:t>before</w:t>
      </w:r>
      <w:r w:rsidR="00327D19" w:rsidRPr="00206103">
        <w:rPr>
          <w:sz w:val="24"/>
          <w:szCs w:val="24"/>
        </w:rPr>
        <w:t xml:space="preserve"> the prospective petitioner undertakes the time and expense of preparing and filing a </w:t>
      </w:r>
      <w:r w:rsidR="001D46C6" w:rsidRPr="00206103">
        <w:rPr>
          <w:sz w:val="24"/>
          <w:szCs w:val="24"/>
        </w:rPr>
        <w:t xml:space="preserve">satellite </w:t>
      </w:r>
      <w:r w:rsidR="00327D19" w:rsidRPr="00206103">
        <w:rPr>
          <w:sz w:val="24"/>
          <w:szCs w:val="24"/>
        </w:rPr>
        <w:t>market modification petition.</w:t>
      </w:r>
      <w:r w:rsidR="00F72579" w:rsidRPr="00F72579">
        <w:rPr>
          <w:rStyle w:val="FootnoteReference"/>
        </w:rPr>
        <w:footnoteReference w:id="18"/>
      </w:r>
      <w:r w:rsidR="00327D19" w:rsidRPr="00206103">
        <w:rPr>
          <w:sz w:val="24"/>
          <w:szCs w:val="24"/>
        </w:rPr>
        <w:t xml:space="preserve">  To initiate this process, a prospective petitioner may make a request in writing to a satellite carrier for the carrier to provide the certification about the feasibility or infeasibility of carriage.  A satellite carrier must respond to this request within a reasonable amount of time by providing a feasibility certification </w:t>
      </w:r>
      <w:r w:rsidR="00327D19" w:rsidRPr="00206103">
        <w:rPr>
          <w:sz w:val="24"/>
          <w:szCs w:val="24"/>
        </w:rPr>
        <w:lastRenderedPageBreak/>
        <w:t>to the prospective petitioner.</w:t>
      </w:r>
      <w:r w:rsidRPr="00206103">
        <w:rPr>
          <w:rStyle w:val="FootnoteReference"/>
          <w:sz w:val="24"/>
          <w:szCs w:val="24"/>
        </w:rPr>
        <w:footnoteReference w:id="19"/>
      </w:r>
      <w:r w:rsidR="00327D19" w:rsidRPr="00206103">
        <w:rPr>
          <w:sz w:val="24"/>
          <w:szCs w:val="24"/>
        </w:rPr>
        <w:t xml:space="preserve">  A satellite carrier must also file a copy of the correspondence</w:t>
      </w:r>
      <w:r w:rsidR="00327D19" w:rsidRPr="00206103">
        <w:rPr>
          <w:rStyle w:val="FootnoteReference"/>
          <w:sz w:val="24"/>
          <w:szCs w:val="24"/>
        </w:rPr>
        <w:footnoteReference w:id="20"/>
      </w:r>
      <w:r w:rsidR="00327D19" w:rsidRPr="00206103">
        <w:rPr>
          <w:sz w:val="24"/>
          <w:szCs w:val="24"/>
        </w:rPr>
        <w:t xml:space="preserve"> and feasibility certification it provides to the prospective petitioner in this docket electronically via ECFS</w:t>
      </w:r>
      <w:r w:rsidR="00327D19" w:rsidRPr="00206103">
        <w:rPr>
          <w:rStyle w:val="FootnoteReference"/>
          <w:sz w:val="24"/>
          <w:szCs w:val="24"/>
        </w:rPr>
        <w:footnoteReference w:id="21"/>
      </w:r>
      <w:r w:rsidR="00327D19" w:rsidRPr="00206103">
        <w:rPr>
          <w:sz w:val="24"/>
          <w:szCs w:val="24"/>
        </w:rPr>
        <w:t xml:space="preserve"> so that the Media Bureau can track these certifications and monitor carrier response time.‎ ‎ If the carrier is claiming spot beam coverage infeasibility, then the certification provided by the carrier must be the same type of detailed certification that would be required in response to a market modification petition (discussed above).  For any other claim of infeasibility, the carrier’s feasibility certification must explain in detail the basis of such infeasibility</w:t>
      </w:r>
      <w:r w:rsidR="00327D19" w:rsidRPr="00206103">
        <w:rPr>
          <w:rStyle w:val="FootnoteReference"/>
          <w:sz w:val="24"/>
          <w:szCs w:val="24"/>
        </w:rPr>
        <w:footnoteReference w:id="22"/>
      </w:r>
      <w:r w:rsidR="00327D19" w:rsidRPr="00206103">
        <w:rPr>
          <w:sz w:val="24"/>
          <w:szCs w:val="24"/>
        </w:rPr>
        <w:t xml:space="preserve"> and must be prepared to provide documentation in support of its claim, in the event the prospective petitioner decides to seek a Commission determination about the validity of the carrier’s claim.  If carriage is feasible, a statement to that effect must be provided in the certification.  To obtain a Commission determination about the validity of the carrier’s claim of infeasibility, a prospective petitioner must either file a (separate) petition for special relief</w:t>
      </w:r>
      <w:r w:rsidR="00327D19" w:rsidRPr="00206103">
        <w:rPr>
          <w:rStyle w:val="FootnoteReference"/>
          <w:sz w:val="24"/>
          <w:szCs w:val="24"/>
        </w:rPr>
        <w:footnoteReference w:id="23"/>
      </w:r>
      <w:r w:rsidR="00327D19" w:rsidRPr="00206103">
        <w:rPr>
          <w:sz w:val="24"/>
          <w:szCs w:val="24"/>
        </w:rPr>
        <w:t xml:space="preserve"> or its market modification petition.</w:t>
      </w:r>
      <w:r w:rsidR="00327D19" w:rsidRPr="00206103">
        <w:rPr>
          <w:rStyle w:val="FootnoteReference"/>
          <w:sz w:val="24"/>
          <w:szCs w:val="24"/>
        </w:rPr>
        <w:footnoteReference w:id="24"/>
      </w:r>
      <w:r w:rsidR="00327D19" w:rsidRPr="00206103">
        <w:rPr>
          <w:sz w:val="24"/>
          <w:szCs w:val="24"/>
        </w:rPr>
        <w:t xml:space="preserve"> </w:t>
      </w:r>
    </w:p>
    <w:p w14:paraId="6A8F1979" w14:textId="77777777" w:rsidR="00D81231" w:rsidRDefault="00D81231" w:rsidP="002F27E4">
      <w:pPr>
        <w:suppressAutoHyphens/>
        <w:rPr>
          <w:sz w:val="24"/>
          <w:szCs w:val="24"/>
        </w:rPr>
      </w:pPr>
    </w:p>
    <w:p w14:paraId="0ED12328" w14:textId="77777777" w:rsidR="005C59EB" w:rsidRPr="00423C65" w:rsidRDefault="005C59EB" w:rsidP="002F27E4">
      <w:pPr>
        <w:suppressAutoHyphens/>
        <w:rPr>
          <w:sz w:val="24"/>
          <w:szCs w:val="24"/>
        </w:rPr>
      </w:pPr>
    </w:p>
    <w:p w14:paraId="083E741A" w14:textId="77777777" w:rsidR="002F27E4" w:rsidRPr="00423C65" w:rsidRDefault="002F27E4" w:rsidP="002F27E4">
      <w:pPr>
        <w:suppressAutoHyphens/>
        <w:rPr>
          <w:b/>
          <w:sz w:val="24"/>
          <w:szCs w:val="24"/>
        </w:rPr>
      </w:pPr>
      <w:r w:rsidRPr="00423C65">
        <w:rPr>
          <w:b/>
          <w:sz w:val="24"/>
          <w:szCs w:val="24"/>
        </w:rPr>
        <w:t>History:</w:t>
      </w:r>
    </w:p>
    <w:p w14:paraId="5EF8B042" w14:textId="77777777" w:rsidR="002F27E4" w:rsidRPr="00423C65" w:rsidRDefault="002F27E4" w:rsidP="002F27E4">
      <w:pPr>
        <w:suppressAutoHyphens/>
        <w:rPr>
          <w:b/>
          <w:sz w:val="24"/>
          <w:szCs w:val="24"/>
        </w:rPr>
      </w:pPr>
    </w:p>
    <w:p w14:paraId="058EB144" w14:textId="77777777" w:rsidR="002F27E4" w:rsidRPr="00423C65" w:rsidRDefault="002F27E4" w:rsidP="002F27E4">
      <w:pPr>
        <w:suppressAutoHyphens/>
        <w:rPr>
          <w:sz w:val="24"/>
          <w:szCs w:val="24"/>
        </w:rPr>
      </w:pPr>
      <w:r w:rsidRPr="00423C65">
        <w:rPr>
          <w:sz w:val="24"/>
          <w:szCs w:val="24"/>
        </w:rPr>
        <w:t xml:space="preserve">On March 29, 1993, the Commission released a </w:t>
      </w:r>
      <w:r w:rsidRPr="00423C65">
        <w:rPr>
          <w:i/>
          <w:sz w:val="24"/>
          <w:szCs w:val="24"/>
        </w:rPr>
        <w:t>Report and Order</w:t>
      </w:r>
      <w:r w:rsidRPr="00423C65">
        <w:rPr>
          <w:sz w:val="24"/>
          <w:szCs w:val="24"/>
        </w:rPr>
        <w:t>, FCC 93-144.</w:t>
      </w:r>
      <w:r w:rsidR="00611A2B" w:rsidRPr="00423C65">
        <w:rPr>
          <w:rStyle w:val="FootnoteReference"/>
          <w:sz w:val="24"/>
          <w:szCs w:val="24"/>
        </w:rPr>
        <w:footnoteReference w:id="25"/>
      </w:r>
      <w:r w:rsidRPr="00423C65">
        <w:rPr>
          <w:sz w:val="24"/>
          <w:szCs w:val="24"/>
        </w:rPr>
        <w:t xml:space="preserve">  Among other things, this </w:t>
      </w:r>
      <w:r w:rsidRPr="00423C65">
        <w:rPr>
          <w:i/>
          <w:sz w:val="24"/>
          <w:szCs w:val="24"/>
        </w:rPr>
        <w:t>Report and Order</w:t>
      </w:r>
      <w:r w:rsidRPr="00423C65">
        <w:rPr>
          <w:sz w:val="24"/>
          <w:szCs w:val="24"/>
        </w:rPr>
        <w:t xml:space="preserve"> implemented procedures that enable the Commission to add communities to or </w:t>
      </w:r>
      <w:r w:rsidR="00594BF0" w:rsidRPr="00423C65">
        <w:rPr>
          <w:sz w:val="24"/>
          <w:szCs w:val="24"/>
        </w:rPr>
        <w:t>delete</w:t>
      </w:r>
      <w:r w:rsidRPr="00423C65">
        <w:rPr>
          <w:sz w:val="24"/>
          <w:szCs w:val="24"/>
        </w:rPr>
        <w:t xml:space="preserve"> communities from a station's television market to better reflect </w:t>
      </w:r>
      <w:r w:rsidRPr="00423C65">
        <w:rPr>
          <w:sz w:val="24"/>
          <w:szCs w:val="24"/>
        </w:rPr>
        <w:lastRenderedPageBreak/>
        <w:t>marketplace conditions following a written request.  Such written requests to modify a television station's must-carry market may be filed by television stations or cable operators</w:t>
      </w:r>
      <w:r w:rsidR="00594BF0" w:rsidRPr="00423C65">
        <w:rPr>
          <w:sz w:val="24"/>
          <w:szCs w:val="24"/>
        </w:rPr>
        <w:t>,</w:t>
      </w:r>
      <w:r w:rsidRPr="00423C65">
        <w:rPr>
          <w:sz w:val="24"/>
          <w:szCs w:val="24"/>
        </w:rPr>
        <w:t xml:space="preserve"> pursuant to 47 CFR Section 76.59 of the Commission's rules.</w:t>
      </w:r>
    </w:p>
    <w:p w14:paraId="1DC459F2" w14:textId="77777777" w:rsidR="002F27E4" w:rsidRPr="00423C65" w:rsidRDefault="002F27E4" w:rsidP="002F27E4">
      <w:pPr>
        <w:suppressAutoHyphens/>
        <w:rPr>
          <w:sz w:val="24"/>
          <w:szCs w:val="24"/>
        </w:rPr>
      </w:pPr>
    </w:p>
    <w:p w14:paraId="10BB5203" w14:textId="77777777" w:rsidR="002F27E4" w:rsidRPr="00423C65" w:rsidRDefault="002F27E4" w:rsidP="002F27E4">
      <w:pPr>
        <w:suppressAutoHyphens/>
        <w:rPr>
          <w:sz w:val="24"/>
          <w:szCs w:val="24"/>
        </w:rPr>
      </w:pPr>
      <w:r w:rsidRPr="00423C65">
        <w:rPr>
          <w:sz w:val="24"/>
          <w:szCs w:val="24"/>
        </w:rPr>
        <w:t xml:space="preserve">On May 24, 1996, the Commission released a </w:t>
      </w:r>
      <w:r w:rsidRPr="00423C65">
        <w:rPr>
          <w:i/>
          <w:sz w:val="24"/>
          <w:szCs w:val="24"/>
        </w:rPr>
        <w:t>First Report and Order and Further Notice of Proposed Rulemaking</w:t>
      </w:r>
      <w:r w:rsidRPr="00423C65">
        <w:rPr>
          <w:sz w:val="24"/>
          <w:szCs w:val="24"/>
        </w:rPr>
        <w:t>, FCC 96-197.</w:t>
      </w:r>
      <w:r w:rsidR="00594BF0" w:rsidRPr="00423C65">
        <w:rPr>
          <w:rStyle w:val="FootnoteReference"/>
          <w:sz w:val="24"/>
          <w:szCs w:val="24"/>
        </w:rPr>
        <w:footnoteReference w:id="26"/>
      </w:r>
      <w:r w:rsidRPr="00423C65">
        <w:rPr>
          <w:sz w:val="24"/>
          <w:szCs w:val="24"/>
        </w:rPr>
        <w:t xml:space="preserve">  The </w:t>
      </w:r>
      <w:r w:rsidRPr="00423C65">
        <w:rPr>
          <w:i/>
          <w:sz w:val="24"/>
          <w:szCs w:val="24"/>
        </w:rPr>
        <w:t>First Report and Order</w:t>
      </w:r>
      <w:r w:rsidRPr="00423C65">
        <w:rPr>
          <w:sz w:val="24"/>
          <w:szCs w:val="24"/>
        </w:rPr>
        <w:t xml:space="preserve"> established new television market definitions for purposes of the cable television signal carriage and retransmission consent rules.  The Commission concluded that i</w:t>
      </w:r>
      <w:r w:rsidR="00611A2B" w:rsidRPr="00423C65">
        <w:rPr>
          <w:sz w:val="24"/>
          <w:szCs w:val="24"/>
        </w:rPr>
        <w:t>t</w:t>
      </w:r>
      <w:r w:rsidRPr="00423C65">
        <w:rPr>
          <w:sz w:val="24"/>
          <w:szCs w:val="24"/>
        </w:rPr>
        <w:t xml:space="preserve"> was appropriate to change market definitions from Arbitron areas of dominant influence (</w:t>
      </w:r>
      <w:r w:rsidR="001D46C6">
        <w:rPr>
          <w:sz w:val="24"/>
          <w:szCs w:val="24"/>
        </w:rPr>
        <w:t>“</w:t>
      </w:r>
      <w:r w:rsidRPr="00423C65">
        <w:rPr>
          <w:sz w:val="24"/>
          <w:szCs w:val="24"/>
        </w:rPr>
        <w:t>ADIs</w:t>
      </w:r>
      <w:r w:rsidR="001D46C6">
        <w:rPr>
          <w:sz w:val="24"/>
          <w:szCs w:val="24"/>
        </w:rPr>
        <w:t>”</w:t>
      </w:r>
      <w:r w:rsidRPr="00423C65">
        <w:rPr>
          <w:sz w:val="24"/>
          <w:szCs w:val="24"/>
        </w:rPr>
        <w:t>) to Nielsen Media Research designated market areas (</w:t>
      </w:r>
      <w:r w:rsidR="001D46C6">
        <w:rPr>
          <w:sz w:val="24"/>
          <w:szCs w:val="24"/>
        </w:rPr>
        <w:t>“</w:t>
      </w:r>
      <w:r w:rsidRPr="00423C65">
        <w:rPr>
          <w:sz w:val="24"/>
          <w:szCs w:val="24"/>
        </w:rPr>
        <w:t>DMAs</w:t>
      </w:r>
      <w:r w:rsidR="001D46C6">
        <w:rPr>
          <w:sz w:val="24"/>
          <w:szCs w:val="24"/>
        </w:rPr>
        <w:t>”</w:t>
      </w:r>
      <w:r w:rsidRPr="00423C65">
        <w:rPr>
          <w:sz w:val="24"/>
          <w:szCs w:val="24"/>
        </w:rPr>
        <w:t xml:space="preserve">) for must-carry/retransmission consent elections beginning with the must-carry/retransmission consent cycle that is to commence on January 1, 2000.  The </w:t>
      </w:r>
      <w:r w:rsidRPr="00423C65">
        <w:rPr>
          <w:i/>
          <w:sz w:val="24"/>
          <w:szCs w:val="24"/>
        </w:rPr>
        <w:t>Further Notice</w:t>
      </w:r>
      <w:r w:rsidRPr="00423C65">
        <w:rPr>
          <w:sz w:val="24"/>
          <w:szCs w:val="24"/>
        </w:rPr>
        <w:t xml:space="preserve"> provided parties an opportunity to further consider issues relating to the transition to market designations based on DMAs and sought comment on procedures for refining the market modification process.</w:t>
      </w:r>
    </w:p>
    <w:p w14:paraId="01866131" w14:textId="77777777" w:rsidR="002F27E4" w:rsidRPr="00423C65" w:rsidRDefault="002F27E4" w:rsidP="002F27E4">
      <w:pPr>
        <w:suppressAutoHyphens/>
        <w:rPr>
          <w:sz w:val="24"/>
          <w:szCs w:val="24"/>
        </w:rPr>
      </w:pPr>
    </w:p>
    <w:p w14:paraId="1B4B58C3" w14:textId="77777777" w:rsidR="002F27E4" w:rsidRPr="00423C65" w:rsidRDefault="002F27E4" w:rsidP="002F27E4">
      <w:pPr>
        <w:suppressAutoHyphens/>
        <w:rPr>
          <w:sz w:val="24"/>
          <w:szCs w:val="24"/>
        </w:rPr>
      </w:pPr>
      <w:r w:rsidRPr="00423C65">
        <w:rPr>
          <w:sz w:val="24"/>
          <w:szCs w:val="24"/>
        </w:rPr>
        <w:t xml:space="preserve">On May 26, 1999, the Commission released an </w:t>
      </w:r>
      <w:r w:rsidRPr="00423C65">
        <w:rPr>
          <w:i/>
          <w:sz w:val="24"/>
          <w:szCs w:val="24"/>
        </w:rPr>
        <w:t>Order on Reconsideration and Second Report and Order</w:t>
      </w:r>
      <w:r w:rsidRPr="00423C65">
        <w:rPr>
          <w:sz w:val="24"/>
          <w:szCs w:val="24"/>
        </w:rPr>
        <w:t>, FCC 99-116.</w:t>
      </w:r>
      <w:r w:rsidR="00BF0630" w:rsidRPr="00423C65">
        <w:rPr>
          <w:rStyle w:val="FootnoteReference"/>
          <w:sz w:val="24"/>
          <w:szCs w:val="24"/>
        </w:rPr>
        <w:footnoteReference w:id="27"/>
      </w:r>
      <w:r w:rsidRPr="00423C65">
        <w:rPr>
          <w:sz w:val="24"/>
          <w:szCs w:val="24"/>
        </w:rPr>
        <w:t xml:space="preserve">  Among other things, the Commission established final rules for procedures for refining the cable market modification process by adopting a standardized evidence approach to the market modification process.  The Commission sets forth specific information submission requirements for the market modification process, as detailed in </w:t>
      </w:r>
      <w:r w:rsidR="00611A2B" w:rsidRPr="00423C65">
        <w:rPr>
          <w:sz w:val="24"/>
          <w:szCs w:val="24"/>
        </w:rPr>
        <w:t xml:space="preserve">the </w:t>
      </w:r>
      <w:r w:rsidRPr="00423C65">
        <w:rPr>
          <w:sz w:val="24"/>
          <w:szCs w:val="24"/>
        </w:rPr>
        <w:t xml:space="preserve">amended 47 CFR Section 76.59.  The intent of specific submission requirements </w:t>
      </w:r>
      <w:r w:rsidR="00611A2B" w:rsidRPr="00423C65">
        <w:rPr>
          <w:sz w:val="24"/>
          <w:szCs w:val="24"/>
        </w:rPr>
        <w:t>was</w:t>
      </w:r>
      <w:r w:rsidRPr="00423C65">
        <w:rPr>
          <w:sz w:val="24"/>
          <w:szCs w:val="24"/>
        </w:rPr>
        <w:t xml:space="preserve"> to bring greater uniformity and certainty to the market modification process and to avoid unnecessary reconsideration petitions and appeals.  This collection accounts for the paperwork burden imposed on entities when undergoing the market modification request process. </w:t>
      </w:r>
    </w:p>
    <w:p w14:paraId="6CC8C311" w14:textId="77777777" w:rsidR="001349A7" w:rsidRPr="00423C65" w:rsidRDefault="001349A7">
      <w:pPr>
        <w:rPr>
          <w:sz w:val="24"/>
          <w:szCs w:val="24"/>
        </w:rPr>
      </w:pPr>
    </w:p>
    <w:p w14:paraId="6CF045BE" w14:textId="77777777" w:rsidR="007B7426" w:rsidRPr="00423C65" w:rsidRDefault="00C331CE">
      <w:pPr>
        <w:rPr>
          <w:sz w:val="24"/>
          <w:szCs w:val="24"/>
        </w:rPr>
      </w:pPr>
      <w:r w:rsidRPr="00423C65">
        <w:rPr>
          <w:sz w:val="24"/>
          <w:szCs w:val="24"/>
        </w:rPr>
        <w:t>T</w:t>
      </w:r>
      <w:r w:rsidR="007B7426" w:rsidRPr="00423C65">
        <w:rPr>
          <w:sz w:val="24"/>
          <w:szCs w:val="24"/>
        </w:rPr>
        <w:t>his information collection does not affect individuals or households; thus, there are no impacts under the Privacy Act.</w:t>
      </w:r>
    </w:p>
    <w:p w14:paraId="58B07518" w14:textId="77777777" w:rsidR="007B7426" w:rsidRPr="00423C65" w:rsidRDefault="007B7426">
      <w:pPr>
        <w:suppressAutoHyphens/>
        <w:rPr>
          <w:sz w:val="24"/>
          <w:szCs w:val="24"/>
        </w:rPr>
      </w:pPr>
    </w:p>
    <w:p w14:paraId="0489094A" w14:textId="77777777" w:rsidR="002F27E4" w:rsidRPr="00423C65" w:rsidRDefault="002F27E4">
      <w:pPr>
        <w:suppressAutoHyphens/>
        <w:rPr>
          <w:sz w:val="24"/>
          <w:szCs w:val="24"/>
        </w:rPr>
      </w:pPr>
      <w:r w:rsidRPr="00423C65">
        <w:rPr>
          <w:sz w:val="24"/>
          <w:szCs w:val="24"/>
        </w:rPr>
        <w:t>Statutory authority for this collection of information is contained in Section 102 of the STELA Reauthorization Act of 2014 (STELAR), Pub. L. No. 113-200, 128 Stat. 2059 (2014), and Sections 1, 4(i), 303(r), 338 and 614 of the Communications Act of 1934, as amended, 47 U.S.C. §§ 151, 154(i), 303(r), 338 and 534.</w:t>
      </w:r>
    </w:p>
    <w:p w14:paraId="1836211F" w14:textId="77777777" w:rsidR="005B45A7" w:rsidRPr="00423C65" w:rsidRDefault="005B45A7">
      <w:pPr>
        <w:suppressAutoHyphens/>
        <w:rPr>
          <w:sz w:val="24"/>
          <w:szCs w:val="24"/>
        </w:rPr>
      </w:pPr>
    </w:p>
    <w:p w14:paraId="6FA14F71" w14:textId="77777777" w:rsidR="005B45A7" w:rsidRDefault="005B45A7">
      <w:pPr>
        <w:suppressAutoHyphens/>
        <w:rPr>
          <w:sz w:val="24"/>
          <w:szCs w:val="24"/>
        </w:rPr>
      </w:pPr>
      <w:r w:rsidRPr="00423C65">
        <w:rPr>
          <w:sz w:val="24"/>
          <w:szCs w:val="24"/>
        </w:rPr>
        <w:t xml:space="preserve">2. </w:t>
      </w:r>
      <w:r w:rsidR="002036BE">
        <w:rPr>
          <w:sz w:val="24"/>
          <w:szCs w:val="24"/>
        </w:rPr>
        <w:t>TV</w:t>
      </w:r>
      <w:r w:rsidR="00FF7310" w:rsidRPr="00FF7310">
        <w:rPr>
          <w:sz w:val="24"/>
          <w:szCs w:val="24"/>
        </w:rPr>
        <w:t xml:space="preserve"> broadcast stations</w:t>
      </w:r>
      <w:r w:rsidR="00FF7310">
        <w:rPr>
          <w:sz w:val="24"/>
          <w:szCs w:val="24"/>
        </w:rPr>
        <w:t xml:space="preserve">, cable </w:t>
      </w:r>
      <w:r w:rsidR="002036BE">
        <w:rPr>
          <w:sz w:val="24"/>
          <w:szCs w:val="24"/>
        </w:rPr>
        <w:t xml:space="preserve">system </w:t>
      </w:r>
      <w:r w:rsidR="00FF7310">
        <w:rPr>
          <w:sz w:val="24"/>
          <w:szCs w:val="24"/>
        </w:rPr>
        <w:t>operators</w:t>
      </w:r>
      <w:r w:rsidR="008C75FC">
        <w:rPr>
          <w:sz w:val="24"/>
          <w:szCs w:val="24"/>
        </w:rPr>
        <w:t>,</w:t>
      </w:r>
      <w:r w:rsidR="002036BE">
        <w:rPr>
          <w:sz w:val="24"/>
          <w:szCs w:val="24"/>
        </w:rPr>
        <w:t xml:space="preserve"> satellite carriers</w:t>
      </w:r>
      <w:r w:rsidR="00FF7310">
        <w:rPr>
          <w:sz w:val="24"/>
          <w:szCs w:val="24"/>
        </w:rPr>
        <w:t xml:space="preserve"> </w:t>
      </w:r>
      <w:r w:rsidR="008C75FC">
        <w:rPr>
          <w:sz w:val="24"/>
          <w:szCs w:val="24"/>
        </w:rPr>
        <w:t xml:space="preserve">and county governments </w:t>
      </w:r>
      <w:r w:rsidR="008C75FC" w:rsidRPr="008C75FC">
        <w:rPr>
          <w:sz w:val="24"/>
          <w:szCs w:val="24"/>
        </w:rPr>
        <w:t>(only with respect to satellite modifications)</w:t>
      </w:r>
      <w:r w:rsidR="008C75FC">
        <w:rPr>
          <w:sz w:val="24"/>
          <w:szCs w:val="24"/>
        </w:rPr>
        <w:t xml:space="preserve"> may </w:t>
      </w:r>
      <w:r w:rsidR="002036BE">
        <w:rPr>
          <w:sz w:val="24"/>
          <w:szCs w:val="24"/>
        </w:rPr>
        <w:t xml:space="preserve">file a petition with the Commission seeking to modify </w:t>
      </w:r>
      <w:r w:rsidR="002036BE" w:rsidRPr="002036BE">
        <w:rPr>
          <w:sz w:val="24"/>
          <w:szCs w:val="24"/>
        </w:rPr>
        <w:t xml:space="preserve">the local television market of a </w:t>
      </w:r>
      <w:r w:rsidR="008C75FC">
        <w:rPr>
          <w:sz w:val="24"/>
          <w:szCs w:val="24"/>
        </w:rPr>
        <w:t xml:space="preserve">particular </w:t>
      </w:r>
      <w:r w:rsidR="002036BE" w:rsidRPr="002036BE">
        <w:rPr>
          <w:sz w:val="24"/>
          <w:szCs w:val="24"/>
        </w:rPr>
        <w:t xml:space="preserve">commercial television broadcast station to </w:t>
      </w:r>
      <w:r w:rsidR="002036BE" w:rsidRPr="002036BE">
        <w:rPr>
          <w:sz w:val="24"/>
          <w:szCs w:val="24"/>
        </w:rPr>
        <w:lastRenderedPageBreak/>
        <w:t xml:space="preserve">better serve the </w:t>
      </w:r>
      <w:r w:rsidR="002036BE">
        <w:rPr>
          <w:sz w:val="24"/>
          <w:szCs w:val="24"/>
        </w:rPr>
        <w:t>programming needs</w:t>
      </w:r>
      <w:r w:rsidR="002036BE" w:rsidRPr="002036BE">
        <w:rPr>
          <w:sz w:val="24"/>
          <w:szCs w:val="24"/>
        </w:rPr>
        <w:t xml:space="preserve"> of local communities.</w:t>
      </w:r>
      <w:r w:rsidR="002036BE">
        <w:rPr>
          <w:sz w:val="24"/>
          <w:szCs w:val="24"/>
        </w:rPr>
        <w:t xml:space="preserve">  </w:t>
      </w:r>
      <w:r w:rsidR="008437F5" w:rsidRPr="00423C65">
        <w:rPr>
          <w:sz w:val="24"/>
          <w:szCs w:val="24"/>
        </w:rPr>
        <w:t>The Commission will use i</w:t>
      </w:r>
      <w:r w:rsidRPr="00423C65">
        <w:rPr>
          <w:sz w:val="24"/>
          <w:szCs w:val="24"/>
        </w:rPr>
        <w:t xml:space="preserve">nformation </w:t>
      </w:r>
      <w:r w:rsidR="00E2767A" w:rsidRPr="00423C65">
        <w:rPr>
          <w:sz w:val="24"/>
          <w:szCs w:val="24"/>
        </w:rPr>
        <w:t>collected</w:t>
      </w:r>
      <w:r w:rsidRPr="00423C65">
        <w:rPr>
          <w:sz w:val="24"/>
          <w:szCs w:val="24"/>
        </w:rPr>
        <w:t xml:space="preserve"> </w:t>
      </w:r>
      <w:r w:rsidR="008437F5" w:rsidRPr="00423C65">
        <w:rPr>
          <w:sz w:val="24"/>
          <w:szCs w:val="24"/>
        </w:rPr>
        <w:t>in order to determine whether</w:t>
      </w:r>
      <w:r w:rsidRPr="00423C65">
        <w:rPr>
          <w:sz w:val="24"/>
          <w:szCs w:val="24"/>
        </w:rPr>
        <w:t xml:space="preserve"> </w:t>
      </w:r>
      <w:r w:rsidR="002036BE">
        <w:rPr>
          <w:sz w:val="24"/>
          <w:szCs w:val="24"/>
        </w:rPr>
        <w:t>the</w:t>
      </w:r>
      <w:r w:rsidR="00E2767A" w:rsidRPr="00423C65">
        <w:rPr>
          <w:sz w:val="24"/>
          <w:szCs w:val="24"/>
        </w:rPr>
        <w:t xml:space="preserve"> grant </w:t>
      </w:r>
      <w:r w:rsidR="002036BE">
        <w:rPr>
          <w:sz w:val="24"/>
          <w:szCs w:val="24"/>
        </w:rPr>
        <w:t xml:space="preserve">of such </w:t>
      </w:r>
      <w:r w:rsidR="00E2767A" w:rsidRPr="00423C65">
        <w:rPr>
          <w:sz w:val="24"/>
          <w:szCs w:val="24"/>
        </w:rPr>
        <w:t xml:space="preserve">a market modification </w:t>
      </w:r>
      <w:r w:rsidR="0084118E">
        <w:rPr>
          <w:sz w:val="24"/>
          <w:szCs w:val="24"/>
        </w:rPr>
        <w:t>petition</w:t>
      </w:r>
      <w:r w:rsidR="002036BE">
        <w:rPr>
          <w:sz w:val="24"/>
          <w:szCs w:val="24"/>
        </w:rPr>
        <w:t xml:space="preserve"> would be in the public interest</w:t>
      </w:r>
      <w:r w:rsidR="00E2767A" w:rsidRPr="00423C65">
        <w:rPr>
          <w:sz w:val="24"/>
          <w:szCs w:val="24"/>
        </w:rPr>
        <w:t>.</w:t>
      </w:r>
    </w:p>
    <w:p w14:paraId="1A719033" w14:textId="77777777" w:rsidR="008C75FC" w:rsidRDefault="008C75FC">
      <w:pPr>
        <w:suppressAutoHyphens/>
        <w:rPr>
          <w:sz w:val="24"/>
          <w:szCs w:val="24"/>
        </w:rPr>
      </w:pPr>
    </w:p>
    <w:p w14:paraId="11B5A89B" w14:textId="77777777" w:rsidR="008C75FC" w:rsidRPr="00423C65" w:rsidRDefault="008C75FC">
      <w:pPr>
        <w:suppressAutoHyphens/>
        <w:rPr>
          <w:sz w:val="24"/>
          <w:szCs w:val="24"/>
        </w:rPr>
      </w:pPr>
      <w:r>
        <w:rPr>
          <w:sz w:val="24"/>
          <w:szCs w:val="24"/>
        </w:rPr>
        <w:t>TV</w:t>
      </w:r>
      <w:r w:rsidRPr="00FF7310">
        <w:rPr>
          <w:sz w:val="24"/>
          <w:szCs w:val="24"/>
        </w:rPr>
        <w:t xml:space="preserve"> broadcast stations</w:t>
      </w:r>
      <w:r>
        <w:rPr>
          <w:sz w:val="24"/>
          <w:szCs w:val="24"/>
        </w:rPr>
        <w:t xml:space="preserve"> and county governments </w:t>
      </w:r>
      <w:r w:rsidRPr="00206103">
        <w:rPr>
          <w:sz w:val="24"/>
          <w:szCs w:val="24"/>
        </w:rPr>
        <w:t xml:space="preserve">may make a </w:t>
      </w:r>
      <w:r>
        <w:rPr>
          <w:sz w:val="24"/>
          <w:szCs w:val="24"/>
        </w:rPr>
        <w:t xml:space="preserve">“pre-filing coordination” </w:t>
      </w:r>
      <w:r w:rsidRPr="00206103">
        <w:rPr>
          <w:sz w:val="24"/>
          <w:szCs w:val="24"/>
        </w:rPr>
        <w:t>request in writing to a satellite carrier</w:t>
      </w:r>
      <w:r w:rsidR="005C59EB">
        <w:rPr>
          <w:sz w:val="24"/>
          <w:szCs w:val="24"/>
        </w:rPr>
        <w:t xml:space="preserve"> asking the carrier to evaluate whether carriage of a station from a prospective satellite market modification petition is feasible.  In response, </w:t>
      </w:r>
      <w:r w:rsidRPr="00206103">
        <w:rPr>
          <w:sz w:val="24"/>
          <w:szCs w:val="24"/>
        </w:rPr>
        <w:t xml:space="preserve">the </w:t>
      </w:r>
      <w:r w:rsidR="005C59EB" w:rsidRPr="00206103">
        <w:rPr>
          <w:sz w:val="24"/>
          <w:szCs w:val="24"/>
        </w:rPr>
        <w:t>satellite carrier</w:t>
      </w:r>
      <w:r w:rsidR="005C59EB">
        <w:rPr>
          <w:sz w:val="24"/>
          <w:szCs w:val="24"/>
        </w:rPr>
        <w:t xml:space="preserve"> must</w:t>
      </w:r>
      <w:r w:rsidRPr="00206103">
        <w:rPr>
          <w:sz w:val="24"/>
          <w:szCs w:val="24"/>
        </w:rPr>
        <w:t xml:space="preserve"> provide </w:t>
      </w:r>
      <w:r>
        <w:rPr>
          <w:sz w:val="24"/>
          <w:szCs w:val="24"/>
        </w:rPr>
        <w:t>a</w:t>
      </w:r>
      <w:r w:rsidRPr="00206103">
        <w:rPr>
          <w:sz w:val="24"/>
          <w:szCs w:val="24"/>
        </w:rPr>
        <w:t xml:space="preserve"> certification about the feasibility or infeasibility of </w:t>
      </w:r>
      <w:r w:rsidR="005C59EB">
        <w:rPr>
          <w:sz w:val="24"/>
          <w:szCs w:val="24"/>
        </w:rPr>
        <w:t xml:space="preserve">such </w:t>
      </w:r>
      <w:r w:rsidRPr="00206103">
        <w:rPr>
          <w:sz w:val="24"/>
          <w:szCs w:val="24"/>
        </w:rPr>
        <w:t xml:space="preserve">carriage.  </w:t>
      </w:r>
      <w:r>
        <w:rPr>
          <w:sz w:val="24"/>
          <w:szCs w:val="24"/>
        </w:rPr>
        <w:t xml:space="preserve">The parties will use this information to decide whether to file a </w:t>
      </w:r>
      <w:r w:rsidR="009F3D1D">
        <w:rPr>
          <w:sz w:val="24"/>
          <w:szCs w:val="24"/>
        </w:rPr>
        <w:t>“pre-filing coordination” p</w:t>
      </w:r>
      <w:r w:rsidR="009F3D1D" w:rsidRPr="00423C65">
        <w:rPr>
          <w:sz w:val="24"/>
          <w:szCs w:val="24"/>
        </w:rPr>
        <w:t>etition</w:t>
      </w:r>
      <w:r w:rsidR="009F3D1D">
        <w:rPr>
          <w:sz w:val="24"/>
          <w:szCs w:val="24"/>
        </w:rPr>
        <w:t xml:space="preserve"> for </w:t>
      </w:r>
      <w:r w:rsidR="00D66843">
        <w:rPr>
          <w:sz w:val="24"/>
          <w:szCs w:val="24"/>
        </w:rPr>
        <w:t>S</w:t>
      </w:r>
      <w:r w:rsidR="009F3D1D">
        <w:rPr>
          <w:sz w:val="24"/>
          <w:szCs w:val="24"/>
        </w:rPr>
        <w:t xml:space="preserve">pecial </w:t>
      </w:r>
      <w:r w:rsidR="00D66843">
        <w:rPr>
          <w:sz w:val="24"/>
          <w:szCs w:val="24"/>
        </w:rPr>
        <w:t>R</w:t>
      </w:r>
      <w:r w:rsidR="009F3D1D">
        <w:rPr>
          <w:sz w:val="24"/>
          <w:szCs w:val="24"/>
        </w:rPr>
        <w:t xml:space="preserve">elief or a </w:t>
      </w:r>
      <w:r w:rsidR="005C59EB">
        <w:rPr>
          <w:sz w:val="24"/>
          <w:szCs w:val="24"/>
        </w:rPr>
        <w:t xml:space="preserve">satellite </w:t>
      </w:r>
      <w:r>
        <w:rPr>
          <w:sz w:val="24"/>
          <w:szCs w:val="24"/>
        </w:rPr>
        <w:t>market modification petition.</w:t>
      </w:r>
      <w:r w:rsidR="005C59EB">
        <w:rPr>
          <w:sz w:val="24"/>
          <w:szCs w:val="24"/>
        </w:rPr>
        <w:t xml:space="preserve">  </w:t>
      </w:r>
      <w:r w:rsidR="009F3D1D">
        <w:rPr>
          <w:sz w:val="24"/>
          <w:szCs w:val="24"/>
        </w:rPr>
        <w:t>If a petition is filed, t</w:t>
      </w:r>
      <w:r w:rsidR="005C59EB" w:rsidRPr="00423C65">
        <w:rPr>
          <w:sz w:val="24"/>
          <w:szCs w:val="24"/>
        </w:rPr>
        <w:t>he Commission will use</w:t>
      </w:r>
      <w:r w:rsidR="005C59EB">
        <w:rPr>
          <w:sz w:val="24"/>
          <w:szCs w:val="24"/>
        </w:rPr>
        <w:t xml:space="preserve"> this information</w:t>
      </w:r>
      <w:r w:rsidR="000B551A">
        <w:rPr>
          <w:sz w:val="24"/>
          <w:szCs w:val="24"/>
        </w:rPr>
        <w:t xml:space="preserve"> to evaluate compliance with the rules.</w:t>
      </w:r>
    </w:p>
    <w:p w14:paraId="0111FF01" w14:textId="77777777" w:rsidR="005B45A7" w:rsidRPr="00423C65" w:rsidRDefault="005B45A7">
      <w:pPr>
        <w:suppressAutoHyphens/>
        <w:rPr>
          <w:bCs/>
          <w:sz w:val="24"/>
          <w:szCs w:val="24"/>
        </w:rPr>
      </w:pPr>
    </w:p>
    <w:p w14:paraId="2A7081C9" w14:textId="77777777" w:rsidR="005B45A7" w:rsidRDefault="005B45A7">
      <w:pPr>
        <w:suppressAutoHyphens/>
        <w:rPr>
          <w:sz w:val="24"/>
          <w:szCs w:val="24"/>
        </w:rPr>
      </w:pPr>
      <w:r w:rsidRPr="00423C65">
        <w:rPr>
          <w:sz w:val="24"/>
          <w:szCs w:val="24"/>
        </w:rPr>
        <w:t xml:space="preserve">3. </w:t>
      </w:r>
      <w:r w:rsidR="00E2767A" w:rsidRPr="00423C65">
        <w:rPr>
          <w:sz w:val="24"/>
          <w:szCs w:val="24"/>
        </w:rPr>
        <w:t xml:space="preserve">The Commission requires petitioners filing a market modification </w:t>
      </w:r>
      <w:r w:rsidR="0084118E">
        <w:rPr>
          <w:sz w:val="24"/>
          <w:szCs w:val="24"/>
        </w:rPr>
        <w:t>petition</w:t>
      </w:r>
      <w:r w:rsidR="00E2767A" w:rsidRPr="00423C65">
        <w:rPr>
          <w:sz w:val="24"/>
          <w:szCs w:val="24"/>
        </w:rPr>
        <w:t xml:space="preserve"> (</w:t>
      </w:r>
      <w:r w:rsidR="00E2767A" w:rsidRPr="002036BE">
        <w:rPr>
          <w:i/>
          <w:sz w:val="24"/>
          <w:szCs w:val="24"/>
        </w:rPr>
        <w:t>e.g.</w:t>
      </w:r>
      <w:r w:rsidR="00E2767A" w:rsidRPr="00423C65">
        <w:rPr>
          <w:sz w:val="24"/>
          <w:szCs w:val="24"/>
        </w:rPr>
        <w:t xml:space="preserve">, TV </w:t>
      </w:r>
      <w:r w:rsidR="002036BE">
        <w:rPr>
          <w:sz w:val="24"/>
          <w:szCs w:val="24"/>
        </w:rPr>
        <w:t xml:space="preserve">broadcast </w:t>
      </w:r>
      <w:r w:rsidR="00E2767A" w:rsidRPr="00423C65">
        <w:rPr>
          <w:sz w:val="24"/>
          <w:szCs w:val="24"/>
        </w:rPr>
        <w:t>station, cable system operator, satellite carrier</w:t>
      </w:r>
      <w:r w:rsidR="0084118E">
        <w:rPr>
          <w:sz w:val="24"/>
          <w:szCs w:val="24"/>
        </w:rPr>
        <w:t xml:space="preserve"> or county government</w:t>
      </w:r>
      <w:r w:rsidR="00E2767A" w:rsidRPr="00423C65">
        <w:rPr>
          <w:sz w:val="24"/>
          <w:szCs w:val="24"/>
        </w:rPr>
        <w:t xml:space="preserve">) to file such request electronically in accordance with the procedures in 47 C.F.R. § 76.7 for filing Special Relief petitions.  Special Relief petitions must be submitted electronically using the Commission’s Electronic Comment Filing System (ECFS), </w:t>
      </w:r>
      <w:hyperlink r:id="rId8" w:history="1">
        <w:r w:rsidR="00E2767A" w:rsidRPr="00423C65">
          <w:rPr>
            <w:rStyle w:val="Hyperlink"/>
            <w:sz w:val="24"/>
            <w:szCs w:val="24"/>
          </w:rPr>
          <w:t>http://www.fcc.gov/cgb/ecfs/</w:t>
        </w:r>
      </w:hyperlink>
      <w:r w:rsidR="00E2767A" w:rsidRPr="00423C65">
        <w:rPr>
          <w:sz w:val="24"/>
          <w:szCs w:val="24"/>
        </w:rPr>
        <w:t>.</w:t>
      </w:r>
      <w:r w:rsidR="00E2767A" w:rsidRPr="00423C65">
        <w:rPr>
          <w:rStyle w:val="FootnoteReference"/>
          <w:sz w:val="24"/>
          <w:szCs w:val="24"/>
        </w:rPr>
        <w:footnoteReference w:id="28"/>
      </w:r>
      <w:r w:rsidR="00E2767A" w:rsidRPr="00423C65">
        <w:rPr>
          <w:sz w:val="24"/>
          <w:szCs w:val="24"/>
        </w:rPr>
        <w:t xml:space="preserve">  Petitions must be initially filed in MB Docket No. 12-1.  A fee is generally required for the filing of Special Relief petitions; 47 C.F.R. §§ 1.1104, 1.1117, 76.7. </w:t>
      </w:r>
    </w:p>
    <w:p w14:paraId="79E1A4F7" w14:textId="77777777" w:rsidR="0084118E" w:rsidRDefault="0084118E">
      <w:pPr>
        <w:suppressAutoHyphens/>
        <w:rPr>
          <w:sz w:val="24"/>
          <w:szCs w:val="24"/>
        </w:rPr>
      </w:pPr>
    </w:p>
    <w:p w14:paraId="60828D5E" w14:textId="77777777" w:rsidR="0084118E" w:rsidRDefault="0084118E">
      <w:pPr>
        <w:suppressAutoHyphens/>
        <w:rPr>
          <w:sz w:val="24"/>
          <w:szCs w:val="24"/>
        </w:rPr>
      </w:pPr>
      <w:r>
        <w:rPr>
          <w:sz w:val="24"/>
          <w:szCs w:val="24"/>
        </w:rPr>
        <w:t>A</w:t>
      </w:r>
      <w:r w:rsidRPr="00206103">
        <w:rPr>
          <w:sz w:val="24"/>
          <w:szCs w:val="24"/>
        </w:rPr>
        <w:t xml:space="preserve"> </w:t>
      </w:r>
      <w:r>
        <w:rPr>
          <w:sz w:val="24"/>
          <w:szCs w:val="24"/>
        </w:rPr>
        <w:t xml:space="preserve">“pre-filing coordination” </w:t>
      </w:r>
      <w:r w:rsidRPr="00206103">
        <w:rPr>
          <w:sz w:val="24"/>
          <w:szCs w:val="24"/>
        </w:rPr>
        <w:t xml:space="preserve">request </w:t>
      </w:r>
      <w:r>
        <w:rPr>
          <w:sz w:val="24"/>
          <w:szCs w:val="24"/>
        </w:rPr>
        <w:t>must be made</w:t>
      </w:r>
      <w:r w:rsidRPr="00206103">
        <w:rPr>
          <w:sz w:val="24"/>
          <w:szCs w:val="24"/>
        </w:rPr>
        <w:t xml:space="preserve"> in writing to a satellite carrier.  A satellite carrier must respond to this request by providing a </w:t>
      </w:r>
      <w:r w:rsidR="00427C90">
        <w:rPr>
          <w:sz w:val="24"/>
          <w:szCs w:val="24"/>
        </w:rPr>
        <w:t xml:space="preserve">feasibility </w:t>
      </w:r>
      <w:r w:rsidRPr="00206103">
        <w:rPr>
          <w:sz w:val="24"/>
          <w:szCs w:val="24"/>
        </w:rPr>
        <w:t>certification to the prospective petitioner</w:t>
      </w:r>
      <w:r>
        <w:rPr>
          <w:sz w:val="24"/>
          <w:szCs w:val="24"/>
        </w:rPr>
        <w:t xml:space="preserve"> about whether or not carriage is feasible</w:t>
      </w:r>
      <w:r w:rsidRPr="00206103">
        <w:rPr>
          <w:sz w:val="24"/>
          <w:szCs w:val="24"/>
        </w:rPr>
        <w:t xml:space="preserve">.  A satellite carrier must also file </w:t>
      </w:r>
      <w:r w:rsidR="00E21C4A" w:rsidRPr="00206103">
        <w:rPr>
          <w:sz w:val="24"/>
          <w:szCs w:val="24"/>
        </w:rPr>
        <w:t xml:space="preserve">electronically </w:t>
      </w:r>
      <w:r w:rsidRPr="00206103">
        <w:rPr>
          <w:sz w:val="24"/>
          <w:szCs w:val="24"/>
        </w:rPr>
        <w:t xml:space="preserve">a copy of the correspondence and feasibility certification it provides to the prospective petitioner in </w:t>
      </w:r>
      <w:r w:rsidR="00E21C4A">
        <w:rPr>
          <w:sz w:val="24"/>
          <w:szCs w:val="24"/>
        </w:rPr>
        <w:t>MB D</w:t>
      </w:r>
      <w:r w:rsidRPr="00206103">
        <w:rPr>
          <w:sz w:val="24"/>
          <w:szCs w:val="24"/>
        </w:rPr>
        <w:t xml:space="preserve">ocket </w:t>
      </w:r>
      <w:r w:rsidR="00E21C4A">
        <w:rPr>
          <w:sz w:val="24"/>
          <w:szCs w:val="24"/>
        </w:rPr>
        <w:t xml:space="preserve">15-71 </w:t>
      </w:r>
      <w:r w:rsidRPr="00206103">
        <w:rPr>
          <w:sz w:val="24"/>
          <w:szCs w:val="24"/>
        </w:rPr>
        <w:t>via ECFS.‎ ‎</w:t>
      </w:r>
      <w:r w:rsidR="009F3D1D">
        <w:rPr>
          <w:sz w:val="24"/>
          <w:szCs w:val="24"/>
        </w:rPr>
        <w:t xml:space="preserve"> </w:t>
      </w:r>
      <w:r w:rsidR="00D66843">
        <w:rPr>
          <w:sz w:val="24"/>
          <w:szCs w:val="24"/>
        </w:rPr>
        <w:t xml:space="preserve">If the </w:t>
      </w:r>
      <w:r w:rsidR="00D66843" w:rsidRPr="00206103">
        <w:rPr>
          <w:sz w:val="24"/>
          <w:szCs w:val="24"/>
        </w:rPr>
        <w:t>prospective petitioner</w:t>
      </w:r>
      <w:r w:rsidR="00D66843">
        <w:rPr>
          <w:sz w:val="24"/>
          <w:szCs w:val="24"/>
        </w:rPr>
        <w:t xml:space="preserve"> disputes a carrier’s claim of infeasibility, then the prospective petitioner may file a “pre-filing coordination” p</w:t>
      </w:r>
      <w:r w:rsidR="00D66843" w:rsidRPr="00423C65">
        <w:rPr>
          <w:sz w:val="24"/>
          <w:szCs w:val="24"/>
        </w:rPr>
        <w:t>etition</w:t>
      </w:r>
      <w:r w:rsidR="00D66843">
        <w:rPr>
          <w:sz w:val="24"/>
          <w:szCs w:val="24"/>
        </w:rPr>
        <w:t xml:space="preserve"> for Special Relief or a satellite market modification petition.  </w:t>
      </w:r>
      <w:r w:rsidR="009F3D1D">
        <w:rPr>
          <w:sz w:val="24"/>
          <w:szCs w:val="24"/>
        </w:rPr>
        <w:t>A</w:t>
      </w:r>
      <w:r w:rsidR="009F3D1D" w:rsidRPr="00206103">
        <w:rPr>
          <w:sz w:val="24"/>
          <w:szCs w:val="24"/>
        </w:rPr>
        <w:t xml:space="preserve"> </w:t>
      </w:r>
      <w:r w:rsidR="009F3D1D">
        <w:rPr>
          <w:sz w:val="24"/>
          <w:szCs w:val="24"/>
        </w:rPr>
        <w:t>“pre-filing coordination” p</w:t>
      </w:r>
      <w:r w:rsidR="009F3D1D" w:rsidRPr="00423C65">
        <w:rPr>
          <w:sz w:val="24"/>
          <w:szCs w:val="24"/>
        </w:rPr>
        <w:t>etition</w:t>
      </w:r>
      <w:r w:rsidR="009F3D1D">
        <w:rPr>
          <w:sz w:val="24"/>
          <w:szCs w:val="24"/>
        </w:rPr>
        <w:t xml:space="preserve"> for </w:t>
      </w:r>
      <w:r w:rsidR="00D66843" w:rsidRPr="00423C65">
        <w:rPr>
          <w:sz w:val="24"/>
          <w:szCs w:val="24"/>
        </w:rPr>
        <w:t>Special Relief must be submitted electronically using the Commission’s Electronic Comment Filing System (ECFS)</w:t>
      </w:r>
      <w:r w:rsidR="00D66843">
        <w:rPr>
          <w:sz w:val="24"/>
          <w:szCs w:val="24"/>
        </w:rPr>
        <w:t xml:space="preserve"> (described above).  </w:t>
      </w:r>
      <w:r w:rsidR="009F3D1D" w:rsidRPr="00423C65">
        <w:rPr>
          <w:sz w:val="24"/>
          <w:szCs w:val="24"/>
        </w:rPr>
        <w:t>A fee is generally required for the filing of Special Relief petitions; 47 C.F.R. §§ 1.1104, 1.1117, 76.7.</w:t>
      </w:r>
    </w:p>
    <w:p w14:paraId="0B762FE2" w14:textId="77777777" w:rsidR="002036BE" w:rsidRPr="00423C65" w:rsidRDefault="002036BE">
      <w:pPr>
        <w:suppressAutoHyphens/>
        <w:rPr>
          <w:sz w:val="24"/>
          <w:szCs w:val="24"/>
        </w:rPr>
      </w:pPr>
    </w:p>
    <w:p w14:paraId="5017B7AF" w14:textId="77777777" w:rsidR="005B45A7" w:rsidRPr="00423C65" w:rsidRDefault="005B45A7">
      <w:pPr>
        <w:suppressAutoHyphens/>
        <w:rPr>
          <w:sz w:val="24"/>
          <w:szCs w:val="24"/>
        </w:rPr>
      </w:pPr>
      <w:r w:rsidRPr="00423C65">
        <w:rPr>
          <w:sz w:val="24"/>
          <w:szCs w:val="24"/>
        </w:rPr>
        <w:t>4. This agency does not impose a similar information collection requirement on the respondents.  There are no similar data available.</w:t>
      </w:r>
    </w:p>
    <w:p w14:paraId="38EE9276" w14:textId="77777777" w:rsidR="005B45A7" w:rsidRPr="00423C65" w:rsidRDefault="005B45A7">
      <w:pPr>
        <w:suppressAutoHyphens/>
        <w:rPr>
          <w:sz w:val="24"/>
          <w:szCs w:val="24"/>
        </w:rPr>
      </w:pPr>
    </w:p>
    <w:p w14:paraId="33758332" w14:textId="77777777" w:rsidR="005B45A7" w:rsidRPr="00423C65" w:rsidRDefault="005B45A7">
      <w:pPr>
        <w:suppressAutoHyphens/>
        <w:rPr>
          <w:sz w:val="24"/>
          <w:szCs w:val="24"/>
        </w:rPr>
      </w:pPr>
      <w:r w:rsidRPr="00423C65">
        <w:rPr>
          <w:sz w:val="24"/>
          <w:szCs w:val="24"/>
        </w:rPr>
        <w:t xml:space="preserve">5. The requirements accounted for in this </w:t>
      </w:r>
      <w:r w:rsidR="001349A7" w:rsidRPr="00423C65">
        <w:rPr>
          <w:sz w:val="24"/>
          <w:szCs w:val="24"/>
        </w:rPr>
        <w:t xml:space="preserve">information </w:t>
      </w:r>
      <w:r w:rsidRPr="00423C65">
        <w:rPr>
          <w:sz w:val="24"/>
          <w:szCs w:val="24"/>
        </w:rPr>
        <w:t>collection do not have a significant impact on a substantial number of small businesses or other small entities.</w:t>
      </w:r>
    </w:p>
    <w:p w14:paraId="3E36F632" w14:textId="77777777" w:rsidR="005B45A7" w:rsidRPr="00423C65" w:rsidRDefault="005B45A7">
      <w:pPr>
        <w:suppressAutoHyphens/>
        <w:rPr>
          <w:sz w:val="24"/>
          <w:szCs w:val="24"/>
        </w:rPr>
      </w:pPr>
    </w:p>
    <w:p w14:paraId="5D8FBE9E" w14:textId="77777777" w:rsidR="005B45A7" w:rsidRPr="00423C65" w:rsidRDefault="005B45A7">
      <w:pPr>
        <w:suppressAutoHyphens/>
        <w:rPr>
          <w:sz w:val="24"/>
          <w:szCs w:val="24"/>
        </w:rPr>
      </w:pPr>
      <w:r w:rsidRPr="00423C65">
        <w:rPr>
          <w:sz w:val="24"/>
          <w:szCs w:val="24"/>
        </w:rPr>
        <w:t xml:space="preserve">6. </w:t>
      </w:r>
      <w:r w:rsidR="005529F1" w:rsidRPr="00423C65">
        <w:rPr>
          <w:sz w:val="24"/>
          <w:szCs w:val="24"/>
        </w:rPr>
        <w:t xml:space="preserve">The Commission is required by Sections 338(l) and 614(h)(1)(C) of the Communications Act </w:t>
      </w:r>
      <w:r w:rsidR="005529F1" w:rsidRPr="00423C65">
        <w:rPr>
          <w:sz w:val="24"/>
          <w:szCs w:val="24"/>
        </w:rPr>
        <w:lastRenderedPageBreak/>
        <w:t xml:space="preserve">to permit the filing of market modification requests.  </w:t>
      </w:r>
      <w:r w:rsidRPr="00423C65">
        <w:rPr>
          <w:sz w:val="24"/>
          <w:szCs w:val="24"/>
        </w:rPr>
        <w:t xml:space="preserve">If this collection </w:t>
      </w:r>
      <w:r w:rsidR="001349A7" w:rsidRPr="00423C65">
        <w:rPr>
          <w:sz w:val="24"/>
          <w:szCs w:val="24"/>
        </w:rPr>
        <w:t xml:space="preserve">of information </w:t>
      </w:r>
      <w:r w:rsidRPr="00423C65">
        <w:rPr>
          <w:sz w:val="24"/>
          <w:szCs w:val="24"/>
        </w:rPr>
        <w:t xml:space="preserve">were not sponsored by the Commission, then broadcast </w:t>
      </w:r>
      <w:r w:rsidR="002036BE">
        <w:rPr>
          <w:sz w:val="24"/>
          <w:szCs w:val="24"/>
        </w:rPr>
        <w:t>TV</w:t>
      </w:r>
      <w:r w:rsidRPr="00423C65">
        <w:rPr>
          <w:sz w:val="24"/>
          <w:szCs w:val="24"/>
        </w:rPr>
        <w:t xml:space="preserve"> stations</w:t>
      </w:r>
      <w:r w:rsidR="005529F1" w:rsidRPr="00423C65">
        <w:rPr>
          <w:sz w:val="24"/>
          <w:szCs w:val="24"/>
        </w:rPr>
        <w:t xml:space="preserve">, </w:t>
      </w:r>
      <w:r w:rsidRPr="00423C65">
        <w:rPr>
          <w:sz w:val="24"/>
          <w:szCs w:val="24"/>
        </w:rPr>
        <w:t>cable system</w:t>
      </w:r>
      <w:r w:rsidR="002036BE">
        <w:rPr>
          <w:sz w:val="24"/>
          <w:szCs w:val="24"/>
        </w:rPr>
        <w:t xml:space="preserve"> operators</w:t>
      </w:r>
      <w:r w:rsidRPr="00423C65">
        <w:rPr>
          <w:sz w:val="24"/>
          <w:szCs w:val="24"/>
        </w:rPr>
        <w:t xml:space="preserve"> </w:t>
      </w:r>
      <w:r w:rsidR="005529F1" w:rsidRPr="00423C65">
        <w:rPr>
          <w:sz w:val="24"/>
          <w:szCs w:val="24"/>
        </w:rPr>
        <w:t xml:space="preserve">and satellite carriers </w:t>
      </w:r>
      <w:r w:rsidRPr="00423C65">
        <w:rPr>
          <w:sz w:val="24"/>
          <w:szCs w:val="24"/>
        </w:rPr>
        <w:t xml:space="preserve">would not have filing procedures available to them to request modifications </w:t>
      </w:r>
      <w:r w:rsidR="005529F1" w:rsidRPr="00423C65">
        <w:rPr>
          <w:sz w:val="24"/>
          <w:szCs w:val="24"/>
        </w:rPr>
        <w:t xml:space="preserve">of a broadcast station’s local television market </w:t>
      </w:r>
      <w:r w:rsidRPr="00423C65">
        <w:rPr>
          <w:sz w:val="24"/>
          <w:szCs w:val="24"/>
        </w:rPr>
        <w:t>to better reflect marketplace conditions</w:t>
      </w:r>
      <w:r w:rsidR="007441DE">
        <w:rPr>
          <w:sz w:val="24"/>
          <w:szCs w:val="24"/>
        </w:rPr>
        <w:t xml:space="preserve"> (as required by the statute)</w:t>
      </w:r>
      <w:r w:rsidRPr="00423C65">
        <w:rPr>
          <w:sz w:val="24"/>
          <w:szCs w:val="24"/>
        </w:rPr>
        <w:t xml:space="preserve">.  </w:t>
      </w:r>
      <w:r w:rsidR="005529F1" w:rsidRPr="00423C65">
        <w:rPr>
          <w:sz w:val="24"/>
          <w:szCs w:val="24"/>
        </w:rPr>
        <w:t>Furthermore, if these information collection requirements were not conducted, the Commission would be unable to fulfill its obligation to ensure that a grant of a market modification request is in the public interest.  (The frequency for this collection of information is determined by respondents, as necessary.)</w:t>
      </w:r>
    </w:p>
    <w:p w14:paraId="6E90A729" w14:textId="77777777" w:rsidR="005B45A7" w:rsidRPr="00423C65" w:rsidRDefault="005B45A7">
      <w:pPr>
        <w:suppressAutoHyphens/>
        <w:rPr>
          <w:sz w:val="24"/>
          <w:szCs w:val="24"/>
        </w:rPr>
      </w:pPr>
    </w:p>
    <w:p w14:paraId="3E69C216" w14:textId="77777777" w:rsidR="005B45A7" w:rsidRPr="00423C65" w:rsidRDefault="005B45A7">
      <w:pPr>
        <w:suppressAutoHyphens/>
        <w:rPr>
          <w:sz w:val="24"/>
          <w:szCs w:val="24"/>
        </w:rPr>
      </w:pPr>
      <w:r w:rsidRPr="00423C65">
        <w:rPr>
          <w:sz w:val="24"/>
          <w:szCs w:val="24"/>
        </w:rPr>
        <w:t xml:space="preserve">7. There are no special circumstances associated with this </w:t>
      </w:r>
      <w:r w:rsidR="001349A7" w:rsidRPr="00423C65">
        <w:rPr>
          <w:sz w:val="24"/>
          <w:szCs w:val="24"/>
        </w:rPr>
        <w:t xml:space="preserve">information </w:t>
      </w:r>
      <w:r w:rsidRPr="00423C65">
        <w:rPr>
          <w:sz w:val="24"/>
          <w:szCs w:val="24"/>
        </w:rPr>
        <w:t>collection.</w:t>
      </w:r>
      <w:r w:rsidR="00FE05A1" w:rsidRPr="00423C65">
        <w:rPr>
          <w:sz w:val="24"/>
          <w:szCs w:val="24"/>
        </w:rPr>
        <w:t xml:space="preserve">  This information collection is consistent with the guidelines in 5 CFR 1320.5(d)(2).</w:t>
      </w:r>
    </w:p>
    <w:p w14:paraId="7A4798EF" w14:textId="77777777" w:rsidR="005B45A7" w:rsidRPr="00423C65" w:rsidRDefault="005B45A7">
      <w:pPr>
        <w:suppressAutoHyphens/>
        <w:rPr>
          <w:sz w:val="24"/>
          <w:szCs w:val="24"/>
        </w:rPr>
      </w:pPr>
    </w:p>
    <w:p w14:paraId="27C30BF3" w14:textId="77777777" w:rsidR="00124B31" w:rsidRPr="00423C65" w:rsidRDefault="005B45A7" w:rsidP="00124B31">
      <w:pPr>
        <w:suppressAutoHyphens/>
        <w:jc w:val="both"/>
        <w:rPr>
          <w:spacing w:val="-3"/>
          <w:sz w:val="24"/>
          <w:szCs w:val="24"/>
        </w:rPr>
      </w:pPr>
      <w:r w:rsidRPr="00423C65">
        <w:rPr>
          <w:sz w:val="24"/>
          <w:szCs w:val="24"/>
        </w:rPr>
        <w:t xml:space="preserve">8. </w:t>
      </w:r>
      <w:r w:rsidR="00534F37" w:rsidRPr="00423C65">
        <w:rPr>
          <w:sz w:val="24"/>
          <w:szCs w:val="24"/>
        </w:rPr>
        <w:t xml:space="preserve">The Commission published a </w:t>
      </w:r>
      <w:r w:rsidR="00534F37" w:rsidRPr="00712339">
        <w:rPr>
          <w:sz w:val="24"/>
          <w:szCs w:val="24"/>
        </w:rPr>
        <w:t>Federal Register Notice (</w:t>
      </w:r>
      <w:r w:rsidR="00D81231" w:rsidRPr="00712339">
        <w:rPr>
          <w:sz w:val="24"/>
          <w:szCs w:val="24"/>
        </w:rPr>
        <w:t>80</w:t>
      </w:r>
      <w:r w:rsidR="00D927F0" w:rsidRPr="00712339">
        <w:rPr>
          <w:sz w:val="24"/>
          <w:szCs w:val="24"/>
        </w:rPr>
        <w:t xml:space="preserve"> FR </w:t>
      </w:r>
      <w:r w:rsidR="00712339" w:rsidRPr="00712339">
        <w:rPr>
          <w:sz w:val="24"/>
          <w:szCs w:val="24"/>
        </w:rPr>
        <w:t>66001</w:t>
      </w:r>
      <w:r w:rsidR="00534F37" w:rsidRPr="00712339">
        <w:rPr>
          <w:sz w:val="24"/>
          <w:szCs w:val="24"/>
        </w:rPr>
        <w:t xml:space="preserve">) on </w:t>
      </w:r>
      <w:r w:rsidR="00712339" w:rsidRPr="00712339">
        <w:rPr>
          <w:sz w:val="24"/>
          <w:szCs w:val="24"/>
        </w:rPr>
        <w:t xml:space="preserve">October 28, </w:t>
      </w:r>
      <w:r w:rsidR="00534F37" w:rsidRPr="00712339">
        <w:rPr>
          <w:sz w:val="24"/>
          <w:szCs w:val="24"/>
        </w:rPr>
        <w:t>2015</w:t>
      </w:r>
      <w:r w:rsidR="00534F37" w:rsidRPr="00423C65">
        <w:rPr>
          <w:sz w:val="24"/>
          <w:szCs w:val="24"/>
        </w:rPr>
        <w:t xml:space="preserve"> seeking comments on the information collection requirements contained in this supporting statement.  No comments have been received from the public.</w:t>
      </w:r>
    </w:p>
    <w:p w14:paraId="00AE3E53" w14:textId="77777777" w:rsidR="00DA4103" w:rsidRPr="00423C65" w:rsidRDefault="00DA4103">
      <w:pPr>
        <w:suppressAutoHyphens/>
        <w:rPr>
          <w:sz w:val="24"/>
          <w:szCs w:val="24"/>
        </w:rPr>
      </w:pPr>
    </w:p>
    <w:p w14:paraId="3799AFD9" w14:textId="77777777" w:rsidR="005B45A7" w:rsidRPr="00423C65" w:rsidRDefault="005B45A7">
      <w:pPr>
        <w:suppressAutoHyphens/>
        <w:rPr>
          <w:sz w:val="24"/>
          <w:szCs w:val="24"/>
        </w:rPr>
      </w:pPr>
      <w:r w:rsidRPr="00423C65">
        <w:rPr>
          <w:sz w:val="24"/>
          <w:szCs w:val="24"/>
        </w:rPr>
        <w:t>9. There are no payments or gifts given to respondents.</w:t>
      </w:r>
    </w:p>
    <w:p w14:paraId="1DFBEC6E" w14:textId="77777777" w:rsidR="005B45A7" w:rsidRPr="00423C65" w:rsidRDefault="005B45A7">
      <w:pPr>
        <w:suppressAutoHyphens/>
        <w:rPr>
          <w:sz w:val="24"/>
          <w:szCs w:val="24"/>
        </w:rPr>
      </w:pPr>
      <w:r w:rsidRPr="00423C65">
        <w:rPr>
          <w:sz w:val="24"/>
          <w:szCs w:val="24"/>
        </w:rPr>
        <w:t xml:space="preserve"> </w:t>
      </w:r>
    </w:p>
    <w:p w14:paraId="64A9F9AC" w14:textId="77777777" w:rsidR="005B45A7" w:rsidRPr="00423C65" w:rsidRDefault="005B45A7">
      <w:pPr>
        <w:suppressAutoHyphens/>
        <w:rPr>
          <w:sz w:val="24"/>
          <w:szCs w:val="24"/>
        </w:rPr>
      </w:pPr>
      <w:r w:rsidRPr="00423C65">
        <w:rPr>
          <w:sz w:val="24"/>
          <w:szCs w:val="24"/>
        </w:rPr>
        <w:t xml:space="preserve">10. </w:t>
      </w:r>
      <w:r w:rsidR="00FE05A1" w:rsidRPr="00423C65">
        <w:rPr>
          <w:sz w:val="24"/>
          <w:szCs w:val="24"/>
        </w:rPr>
        <w:t>There is no assurance of confidentiality provided to petitioners or other respondents</w:t>
      </w:r>
      <w:r w:rsidR="002036BE">
        <w:rPr>
          <w:sz w:val="24"/>
          <w:szCs w:val="24"/>
        </w:rPr>
        <w:t>; however</w:t>
      </w:r>
      <w:r w:rsidR="00FE05A1" w:rsidRPr="00423C65">
        <w:rPr>
          <w:sz w:val="24"/>
          <w:szCs w:val="24"/>
        </w:rPr>
        <w:t xml:space="preserve">, in accordance with the Commission’s rules, 47 C.F.R. § 0.459, a </w:t>
      </w:r>
      <w:r w:rsidR="002036BE" w:rsidRPr="00423C65">
        <w:rPr>
          <w:sz w:val="24"/>
          <w:szCs w:val="24"/>
        </w:rPr>
        <w:t xml:space="preserve">TV </w:t>
      </w:r>
      <w:r w:rsidR="002036BE">
        <w:rPr>
          <w:sz w:val="24"/>
          <w:szCs w:val="24"/>
        </w:rPr>
        <w:t xml:space="preserve">broadcast </w:t>
      </w:r>
      <w:r w:rsidR="002036BE" w:rsidRPr="00423C65">
        <w:rPr>
          <w:sz w:val="24"/>
          <w:szCs w:val="24"/>
        </w:rPr>
        <w:t xml:space="preserve">station, cable system operator, or satellite carrier </w:t>
      </w:r>
      <w:r w:rsidR="00FE05A1" w:rsidRPr="00423C65">
        <w:rPr>
          <w:sz w:val="24"/>
          <w:szCs w:val="24"/>
        </w:rPr>
        <w:t>may request confidential treatment for financial</w:t>
      </w:r>
      <w:r w:rsidR="00722225">
        <w:rPr>
          <w:sz w:val="24"/>
          <w:szCs w:val="24"/>
        </w:rPr>
        <w:t xml:space="preserve">, </w:t>
      </w:r>
      <w:r w:rsidR="00C55874">
        <w:rPr>
          <w:sz w:val="24"/>
          <w:szCs w:val="24"/>
        </w:rPr>
        <w:t xml:space="preserve">technical, </w:t>
      </w:r>
      <w:r w:rsidR="00722225" w:rsidRPr="00722225">
        <w:rPr>
          <w:sz w:val="24"/>
          <w:szCs w:val="24"/>
        </w:rPr>
        <w:t>proprietary</w:t>
      </w:r>
      <w:r w:rsidR="00FE05A1" w:rsidRPr="00423C65">
        <w:rPr>
          <w:sz w:val="24"/>
          <w:szCs w:val="24"/>
        </w:rPr>
        <w:t xml:space="preserve"> or other information supplied with its petition</w:t>
      </w:r>
      <w:r w:rsidR="00C55874">
        <w:rPr>
          <w:sz w:val="24"/>
          <w:szCs w:val="24"/>
        </w:rPr>
        <w:t xml:space="preserve">, </w:t>
      </w:r>
      <w:r w:rsidR="00FE05A1" w:rsidRPr="00423C65">
        <w:rPr>
          <w:sz w:val="24"/>
          <w:szCs w:val="24"/>
        </w:rPr>
        <w:t>responsive pleading</w:t>
      </w:r>
      <w:r w:rsidR="00C55874">
        <w:rPr>
          <w:sz w:val="24"/>
          <w:szCs w:val="24"/>
        </w:rPr>
        <w:t xml:space="preserve"> or other submission</w:t>
      </w:r>
      <w:r w:rsidR="00FE05A1" w:rsidRPr="00423C65">
        <w:rPr>
          <w:sz w:val="24"/>
          <w:szCs w:val="24"/>
        </w:rPr>
        <w:t>.</w:t>
      </w:r>
    </w:p>
    <w:p w14:paraId="67DC20C9" w14:textId="77777777" w:rsidR="005B45A7" w:rsidRPr="00423C65" w:rsidRDefault="005B45A7">
      <w:pPr>
        <w:suppressAutoHyphens/>
        <w:rPr>
          <w:sz w:val="24"/>
          <w:szCs w:val="24"/>
        </w:rPr>
      </w:pPr>
    </w:p>
    <w:p w14:paraId="02E2AF0B" w14:textId="77777777" w:rsidR="005B45A7" w:rsidRPr="00423C65" w:rsidRDefault="005B45A7">
      <w:pPr>
        <w:suppressAutoHyphens/>
        <w:rPr>
          <w:sz w:val="24"/>
          <w:szCs w:val="24"/>
        </w:rPr>
      </w:pPr>
      <w:r w:rsidRPr="00423C65">
        <w:rPr>
          <w:sz w:val="24"/>
          <w:szCs w:val="24"/>
        </w:rPr>
        <w:t xml:space="preserve">11. This </w:t>
      </w:r>
      <w:r w:rsidR="00A3617E" w:rsidRPr="00423C65">
        <w:rPr>
          <w:sz w:val="24"/>
          <w:szCs w:val="24"/>
        </w:rPr>
        <w:t xml:space="preserve">information </w:t>
      </w:r>
      <w:r w:rsidRPr="00423C65">
        <w:rPr>
          <w:sz w:val="24"/>
          <w:szCs w:val="24"/>
        </w:rPr>
        <w:t xml:space="preserve">collection does not address any private matters of a sensitive nature. </w:t>
      </w:r>
    </w:p>
    <w:p w14:paraId="4D61DB50" w14:textId="77777777" w:rsidR="0018344D" w:rsidRPr="00423C65" w:rsidRDefault="0018344D">
      <w:pPr>
        <w:suppressAutoHyphens/>
        <w:rPr>
          <w:sz w:val="24"/>
          <w:szCs w:val="24"/>
        </w:rPr>
      </w:pPr>
    </w:p>
    <w:p w14:paraId="3E276D3F" w14:textId="77777777" w:rsidR="00622C39" w:rsidRDefault="00BF708E">
      <w:pPr>
        <w:suppressAutoHyphens/>
        <w:rPr>
          <w:sz w:val="24"/>
          <w:szCs w:val="24"/>
        </w:rPr>
      </w:pPr>
      <w:r w:rsidRPr="00EB0ACB">
        <w:rPr>
          <w:sz w:val="24"/>
          <w:szCs w:val="24"/>
        </w:rPr>
        <w:t xml:space="preserve">12. </w:t>
      </w:r>
      <w:r w:rsidR="00A45C53" w:rsidRPr="00EB0ACB">
        <w:rPr>
          <w:sz w:val="24"/>
          <w:szCs w:val="24"/>
          <w:u w:val="single"/>
        </w:rPr>
        <w:t>Market Modification Petitions</w:t>
      </w:r>
      <w:r w:rsidR="00A45C53">
        <w:rPr>
          <w:sz w:val="24"/>
          <w:szCs w:val="24"/>
          <w:u w:val="single"/>
        </w:rPr>
        <w:t xml:space="preserve"> and Responsive Pleadings</w:t>
      </w:r>
      <w:r w:rsidR="00A45C53" w:rsidRPr="00EB0ACB">
        <w:rPr>
          <w:sz w:val="24"/>
          <w:szCs w:val="24"/>
        </w:rPr>
        <w:t>.</w:t>
      </w:r>
      <w:r w:rsidR="00A45C53">
        <w:rPr>
          <w:sz w:val="24"/>
          <w:szCs w:val="24"/>
        </w:rPr>
        <w:t xml:space="preserve">  </w:t>
      </w:r>
      <w:r w:rsidR="005B45A7" w:rsidRPr="00EB0ACB">
        <w:rPr>
          <w:sz w:val="24"/>
          <w:szCs w:val="24"/>
        </w:rPr>
        <w:t xml:space="preserve">We estimate that </w:t>
      </w:r>
      <w:r w:rsidR="0061283A" w:rsidRPr="00EB0ACB">
        <w:rPr>
          <w:sz w:val="24"/>
          <w:szCs w:val="24"/>
        </w:rPr>
        <w:t xml:space="preserve">20 market modification requests (petitions) will be filed annually with the Commission by </w:t>
      </w:r>
      <w:r w:rsidR="00984A00" w:rsidRPr="00EB0ACB">
        <w:rPr>
          <w:sz w:val="24"/>
          <w:szCs w:val="24"/>
        </w:rPr>
        <w:t>TV</w:t>
      </w:r>
      <w:r w:rsidR="005B45A7" w:rsidRPr="00EB0ACB">
        <w:rPr>
          <w:sz w:val="24"/>
          <w:szCs w:val="24"/>
        </w:rPr>
        <w:t xml:space="preserve"> </w:t>
      </w:r>
      <w:r w:rsidR="007E31C5" w:rsidRPr="00EB0ACB">
        <w:rPr>
          <w:sz w:val="24"/>
          <w:szCs w:val="24"/>
        </w:rPr>
        <w:t xml:space="preserve">broadcast </w:t>
      </w:r>
      <w:r w:rsidR="005B45A7" w:rsidRPr="00EB0ACB">
        <w:rPr>
          <w:sz w:val="24"/>
          <w:szCs w:val="24"/>
        </w:rPr>
        <w:t>stations</w:t>
      </w:r>
      <w:r w:rsidR="007E31C5" w:rsidRPr="00EB0ACB">
        <w:rPr>
          <w:sz w:val="24"/>
          <w:szCs w:val="24"/>
        </w:rPr>
        <w:t>,</w:t>
      </w:r>
      <w:r w:rsidR="005B45A7" w:rsidRPr="00EB0ACB">
        <w:rPr>
          <w:sz w:val="24"/>
          <w:szCs w:val="24"/>
        </w:rPr>
        <w:t xml:space="preserve"> cable </w:t>
      </w:r>
      <w:r w:rsidR="007E31C5" w:rsidRPr="00EB0ACB">
        <w:rPr>
          <w:sz w:val="24"/>
          <w:szCs w:val="24"/>
        </w:rPr>
        <w:t xml:space="preserve">system </w:t>
      </w:r>
      <w:r w:rsidR="005B45A7" w:rsidRPr="00EB0ACB">
        <w:rPr>
          <w:sz w:val="24"/>
          <w:szCs w:val="24"/>
        </w:rPr>
        <w:t>operators</w:t>
      </w:r>
      <w:r w:rsidR="007E31C5" w:rsidRPr="00EB0ACB">
        <w:rPr>
          <w:sz w:val="24"/>
          <w:szCs w:val="24"/>
        </w:rPr>
        <w:t xml:space="preserve"> and satellite carriers</w:t>
      </w:r>
      <w:r w:rsidR="00704A78" w:rsidRPr="00EB0ACB">
        <w:rPr>
          <w:sz w:val="24"/>
          <w:szCs w:val="24"/>
        </w:rPr>
        <w:t xml:space="preserve"> (collectively)</w:t>
      </w:r>
      <w:r w:rsidR="005B45A7" w:rsidRPr="00EB0ACB">
        <w:rPr>
          <w:sz w:val="24"/>
          <w:szCs w:val="24"/>
        </w:rPr>
        <w:t xml:space="preserve">.  </w:t>
      </w:r>
      <w:r w:rsidR="00704A78" w:rsidRPr="00EB0ACB">
        <w:rPr>
          <w:sz w:val="24"/>
          <w:szCs w:val="24"/>
        </w:rPr>
        <w:t xml:space="preserve">In addition, parties may file responsive pleadings, such as comments or oppositions to the petitions, and petitioners may file replies responding to such comments or oppositions.  We estimate </w:t>
      </w:r>
      <w:r w:rsidR="0061283A" w:rsidRPr="00EB0ACB">
        <w:rPr>
          <w:sz w:val="24"/>
          <w:szCs w:val="24"/>
        </w:rPr>
        <w:t>that</w:t>
      </w:r>
      <w:r w:rsidR="00704A78" w:rsidRPr="00EB0ACB">
        <w:rPr>
          <w:sz w:val="24"/>
          <w:szCs w:val="24"/>
        </w:rPr>
        <w:t xml:space="preserve"> </w:t>
      </w:r>
      <w:r w:rsidR="00C71498">
        <w:rPr>
          <w:sz w:val="24"/>
          <w:szCs w:val="24"/>
        </w:rPr>
        <w:t>80</w:t>
      </w:r>
      <w:r w:rsidR="00C71498" w:rsidRPr="00EB0ACB">
        <w:rPr>
          <w:sz w:val="24"/>
          <w:szCs w:val="24"/>
        </w:rPr>
        <w:t xml:space="preserve"> </w:t>
      </w:r>
      <w:r w:rsidR="00704A78" w:rsidRPr="00EB0ACB">
        <w:rPr>
          <w:sz w:val="24"/>
          <w:szCs w:val="24"/>
        </w:rPr>
        <w:t>responsive pleadings</w:t>
      </w:r>
      <w:r w:rsidR="0061283A" w:rsidRPr="00EB0ACB">
        <w:rPr>
          <w:sz w:val="24"/>
          <w:szCs w:val="24"/>
        </w:rPr>
        <w:t>,</w:t>
      </w:r>
      <w:r w:rsidR="00704A78" w:rsidRPr="00EB0ACB">
        <w:rPr>
          <w:sz w:val="24"/>
          <w:szCs w:val="24"/>
        </w:rPr>
        <w:t xml:space="preserve"> or about </w:t>
      </w:r>
      <w:r w:rsidR="00C71498">
        <w:rPr>
          <w:sz w:val="24"/>
          <w:szCs w:val="24"/>
        </w:rPr>
        <w:t>four</w:t>
      </w:r>
      <w:r w:rsidR="00C71498" w:rsidRPr="00EB0ACB">
        <w:rPr>
          <w:sz w:val="24"/>
          <w:szCs w:val="24"/>
        </w:rPr>
        <w:t xml:space="preserve"> </w:t>
      </w:r>
      <w:r w:rsidR="00704A78" w:rsidRPr="00EB0ACB">
        <w:rPr>
          <w:sz w:val="24"/>
          <w:szCs w:val="24"/>
        </w:rPr>
        <w:t xml:space="preserve">responsive pleadings for each petition filed (20 x </w:t>
      </w:r>
      <w:r w:rsidR="00C71498">
        <w:rPr>
          <w:sz w:val="24"/>
          <w:szCs w:val="24"/>
        </w:rPr>
        <w:t>4</w:t>
      </w:r>
      <w:r w:rsidR="00677012">
        <w:rPr>
          <w:rStyle w:val="FootnoteReference"/>
          <w:szCs w:val="24"/>
        </w:rPr>
        <w:footnoteReference w:id="29"/>
      </w:r>
      <w:r w:rsidR="00704A78" w:rsidRPr="00EB0ACB">
        <w:rPr>
          <w:sz w:val="24"/>
          <w:szCs w:val="24"/>
        </w:rPr>
        <w:t xml:space="preserve"> = </w:t>
      </w:r>
      <w:r w:rsidR="00C71498">
        <w:rPr>
          <w:sz w:val="24"/>
          <w:szCs w:val="24"/>
        </w:rPr>
        <w:t>80</w:t>
      </w:r>
      <w:r w:rsidR="00704A78" w:rsidRPr="00EB0ACB">
        <w:rPr>
          <w:sz w:val="24"/>
          <w:szCs w:val="24"/>
        </w:rPr>
        <w:t>)</w:t>
      </w:r>
      <w:r w:rsidR="001349A7" w:rsidRPr="00EB0ACB">
        <w:rPr>
          <w:sz w:val="24"/>
          <w:szCs w:val="24"/>
        </w:rPr>
        <w:t>.</w:t>
      </w:r>
      <w:r w:rsidR="00C71498">
        <w:rPr>
          <w:sz w:val="24"/>
          <w:szCs w:val="24"/>
        </w:rPr>
        <w:t xml:space="preserve">  The resulting total is 100 responses (20 petitions + 80 responsive pleadings).  </w:t>
      </w:r>
      <w:r w:rsidR="00677012">
        <w:rPr>
          <w:sz w:val="24"/>
          <w:szCs w:val="24"/>
        </w:rPr>
        <w:t>Because</w:t>
      </w:r>
      <w:r w:rsidR="00C71498">
        <w:rPr>
          <w:sz w:val="24"/>
          <w:szCs w:val="24"/>
        </w:rPr>
        <w:t xml:space="preserve"> we expect that the petitioner will reply to comments/oppositions and that this reply will constitute one of the four responsive pleadings per petition</w:t>
      </w:r>
      <w:r w:rsidR="00577F94">
        <w:rPr>
          <w:sz w:val="24"/>
          <w:szCs w:val="24"/>
        </w:rPr>
        <w:t>/proceeding</w:t>
      </w:r>
      <w:r w:rsidR="00C71498">
        <w:rPr>
          <w:sz w:val="24"/>
          <w:szCs w:val="24"/>
        </w:rPr>
        <w:t xml:space="preserve">.  Accordingly, we do not double-count the petitioner in our </w:t>
      </w:r>
      <w:r w:rsidR="00C71498">
        <w:rPr>
          <w:sz w:val="24"/>
          <w:szCs w:val="24"/>
        </w:rPr>
        <w:lastRenderedPageBreak/>
        <w:t xml:space="preserve">estimate of 80 respondents. </w:t>
      </w:r>
    </w:p>
    <w:p w14:paraId="7DBF1BD3" w14:textId="77777777" w:rsidR="005863CA" w:rsidRDefault="005863CA">
      <w:pPr>
        <w:suppressAutoHyphens/>
        <w:rPr>
          <w:sz w:val="24"/>
          <w:szCs w:val="24"/>
        </w:rPr>
      </w:pPr>
    </w:p>
    <w:p w14:paraId="279B616B" w14:textId="77777777" w:rsidR="005863CA" w:rsidRPr="005863CA" w:rsidRDefault="005863CA" w:rsidP="005863CA">
      <w:pPr>
        <w:pStyle w:val="ListParagraph"/>
        <w:numPr>
          <w:ilvl w:val="0"/>
          <w:numId w:val="12"/>
        </w:numPr>
        <w:suppressAutoHyphens/>
        <w:rPr>
          <w:sz w:val="24"/>
          <w:szCs w:val="24"/>
        </w:rPr>
      </w:pPr>
      <w:r w:rsidRPr="005863CA">
        <w:rPr>
          <w:sz w:val="24"/>
          <w:szCs w:val="24"/>
          <w:u w:val="single"/>
        </w:rPr>
        <w:t>Burden Estimate</w:t>
      </w:r>
      <w:r w:rsidRPr="005863CA">
        <w:rPr>
          <w:sz w:val="24"/>
          <w:szCs w:val="24"/>
        </w:rPr>
        <w:t>.  We estimate that all 20 market modification petitions will be filed by parties using outside legal assistance.  Therefore, we estimate that each such petitioner/respondent will take about 4 hours to consult with an outside attorney to prepare a market modification petition.</w:t>
      </w:r>
      <w:r w:rsidRPr="00EB0ACB">
        <w:rPr>
          <w:rStyle w:val="FootnoteReference"/>
          <w:szCs w:val="24"/>
        </w:rPr>
        <w:footnoteReference w:id="30"/>
      </w:r>
      <w:r w:rsidRPr="005863CA">
        <w:rPr>
          <w:sz w:val="24"/>
          <w:szCs w:val="24"/>
        </w:rPr>
        <w:t xml:space="preserve">  We estimate that the respondent would have an average salary of $100,000/year ($48.08/hour).  In addition, we estimate that 16 responsive pleadings (20% of the 80 responsive pleadings) will be filed using “in-house” legal staff, whereas we estimate that 64 responsive pleadings (80% of the 80 responsive pleadings) will use an outside attorney to prepare such responsive pleadings.  For the estimated 16 responsive pleadings prepared in-house, we estimate that each commenting party/respondent will take about 40 hours to prepare a responsive pleading.  For the estimated 64 responsive pleadings prepared by an outside attorney, we estimate that each commenting party/respondent will take about 4 hours to consult with an outside attorney to prepare a responsive pleading.</w:t>
      </w:r>
      <w:r w:rsidRPr="00EB0ACB">
        <w:rPr>
          <w:rStyle w:val="FootnoteReference"/>
          <w:szCs w:val="24"/>
        </w:rPr>
        <w:footnoteReference w:id="31"/>
      </w:r>
      <w:r w:rsidRPr="005863CA">
        <w:rPr>
          <w:sz w:val="24"/>
          <w:szCs w:val="24"/>
        </w:rPr>
        <w:t xml:space="preserve">  We estimate that the respondent would have an average salary of $100,000/year ($48.08/hour).  All estimates are based on Commission staff's knowledge and familiarity with the availability of the data required.</w:t>
      </w:r>
    </w:p>
    <w:p w14:paraId="2454E11C" w14:textId="77777777" w:rsidR="00F72579" w:rsidRDefault="00F72579">
      <w:pPr>
        <w:suppressAutoHyphens/>
        <w:rPr>
          <w:sz w:val="24"/>
          <w:szCs w:val="24"/>
        </w:rPr>
      </w:pPr>
    </w:p>
    <w:p w14:paraId="674CC470" w14:textId="77777777" w:rsidR="00F72579" w:rsidRDefault="00F72579" w:rsidP="00F72579">
      <w:pPr>
        <w:suppressAutoHyphens/>
        <w:rPr>
          <w:sz w:val="24"/>
          <w:szCs w:val="24"/>
        </w:rPr>
      </w:pPr>
      <w:r w:rsidRPr="00F72579">
        <w:rPr>
          <w:sz w:val="24"/>
          <w:szCs w:val="24"/>
          <w:u w:val="single"/>
        </w:rPr>
        <w:t>Pre-filing Coordination Requests/Responses</w:t>
      </w:r>
      <w:r w:rsidR="00AB1EF7">
        <w:rPr>
          <w:sz w:val="24"/>
          <w:szCs w:val="24"/>
          <w:u w:val="single"/>
        </w:rPr>
        <w:t>/Petitions</w:t>
      </w:r>
      <w:r>
        <w:rPr>
          <w:sz w:val="24"/>
          <w:szCs w:val="24"/>
        </w:rPr>
        <w:t xml:space="preserve">.  </w:t>
      </w:r>
      <w:r w:rsidRPr="00EB0ACB">
        <w:rPr>
          <w:sz w:val="24"/>
          <w:szCs w:val="24"/>
        </w:rPr>
        <w:t xml:space="preserve">We estimate that </w:t>
      </w:r>
      <w:r w:rsidR="002A0D59">
        <w:rPr>
          <w:sz w:val="24"/>
          <w:szCs w:val="24"/>
        </w:rPr>
        <w:t xml:space="preserve">prospective market modification petitioners will submit </w:t>
      </w:r>
      <w:r w:rsidRPr="00EB0ACB">
        <w:rPr>
          <w:sz w:val="24"/>
          <w:szCs w:val="24"/>
        </w:rPr>
        <w:t xml:space="preserve">20 </w:t>
      </w:r>
      <w:r w:rsidR="002A0D59">
        <w:rPr>
          <w:sz w:val="24"/>
          <w:szCs w:val="24"/>
        </w:rPr>
        <w:t>pre-filing coordination</w:t>
      </w:r>
      <w:r w:rsidRPr="00EB0ACB">
        <w:rPr>
          <w:sz w:val="24"/>
          <w:szCs w:val="24"/>
        </w:rPr>
        <w:t xml:space="preserve"> requests annually </w:t>
      </w:r>
      <w:r w:rsidR="002A0D59">
        <w:rPr>
          <w:sz w:val="24"/>
          <w:szCs w:val="24"/>
        </w:rPr>
        <w:t>to</w:t>
      </w:r>
      <w:r w:rsidRPr="00EB0ACB">
        <w:rPr>
          <w:sz w:val="24"/>
          <w:szCs w:val="24"/>
        </w:rPr>
        <w:t xml:space="preserve"> satellite carriers.  In </w:t>
      </w:r>
      <w:r w:rsidR="002A0D59">
        <w:rPr>
          <w:sz w:val="24"/>
          <w:szCs w:val="24"/>
        </w:rPr>
        <w:t>response</w:t>
      </w:r>
      <w:r w:rsidR="00F4452B">
        <w:rPr>
          <w:sz w:val="24"/>
          <w:szCs w:val="24"/>
        </w:rPr>
        <w:t xml:space="preserve"> to each request</w:t>
      </w:r>
      <w:r w:rsidRPr="00EB0ACB">
        <w:rPr>
          <w:sz w:val="24"/>
          <w:szCs w:val="24"/>
        </w:rPr>
        <w:t xml:space="preserve">, </w:t>
      </w:r>
      <w:r w:rsidR="00A45C53">
        <w:rPr>
          <w:sz w:val="24"/>
          <w:szCs w:val="24"/>
        </w:rPr>
        <w:t xml:space="preserve">the </w:t>
      </w:r>
      <w:r w:rsidR="002A0D59">
        <w:rPr>
          <w:sz w:val="24"/>
          <w:szCs w:val="24"/>
        </w:rPr>
        <w:t xml:space="preserve">satellite carrier will provide </w:t>
      </w:r>
      <w:r w:rsidR="00A45C53">
        <w:rPr>
          <w:sz w:val="24"/>
          <w:szCs w:val="24"/>
        </w:rPr>
        <w:t xml:space="preserve">the </w:t>
      </w:r>
      <w:r w:rsidR="002A0D59">
        <w:rPr>
          <w:sz w:val="24"/>
          <w:szCs w:val="24"/>
        </w:rPr>
        <w:t xml:space="preserve">prospective petitioner </w:t>
      </w:r>
      <w:r w:rsidR="00F4452B">
        <w:rPr>
          <w:sz w:val="24"/>
          <w:szCs w:val="24"/>
        </w:rPr>
        <w:t xml:space="preserve">with a </w:t>
      </w:r>
      <w:r w:rsidR="00AB1EF7">
        <w:rPr>
          <w:sz w:val="24"/>
          <w:szCs w:val="24"/>
        </w:rPr>
        <w:t>response/</w:t>
      </w:r>
      <w:r w:rsidR="00F4452B">
        <w:rPr>
          <w:sz w:val="24"/>
          <w:szCs w:val="24"/>
        </w:rPr>
        <w:t xml:space="preserve">feasibility certification and will file a copy of this </w:t>
      </w:r>
      <w:r w:rsidR="00AB1EF7">
        <w:rPr>
          <w:sz w:val="24"/>
          <w:szCs w:val="24"/>
        </w:rPr>
        <w:t xml:space="preserve">response/feasibility certification </w:t>
      </w:r>
      <w:r w:rsidR="00F4452B">
        <w:rPr>
          <w:sz w:val="24"/>
          <w:szCs w:val="24"/>
        </w:rPr>
        <w:t xml:space="preserve">with the Commission.  </w:t>
      </w:r>
      <w:r w:rsidR="00A45C53">
        <w:rPr>
          <w:sz w:val="24"/>
          <w:szCs w:val="24"/>
        </w:rPr>
        <w:t xml:space="preserve">Finally, we estimate that </w:t>
      </w:r>
      <w:r w:rsidR="00F4452B">
        <w:rPr>
          <w:sz w:val="24"/>
          <w:szCs w:val="24"/>
        </w:rPr>
        <w:t>prospective petitioner</w:t>
      </w:r>
      <w:r w:rsidR="00A45C53">
        <w:rPr>
          <w:sz w:val="24"/>
          <w:szCs w:val="24"/>
        </w:rPr>
        <w:t>s</w:t>
      </w:r>
      <w:r w:rsidR="00F4452B">
        <w:rPr>
          <w:sz w:val="24"/>
          <w:szCs w:val="24"/>
        </w:rPr>
        <w:t xml:space="preserve"> </w:t>
      </w:r>
      <w:r w:rsidR="00A45C53">
        <w:rPr>
          <w:sz w:val="24"/>
          <w:szCs w:val="24"/>
        </w:rPr>
        <w:t xml:space="preserve">will file </w:t>
      </w:r>
      <w:r w:rsidR="0037269B">
        <w:rPr>
          <w:sz w:val="24"/>
          <w:szCs w:val="24"/>
        </w:rPr>
        <w:t>10 Special Relief petitions</w:t>
      </w:r>
      <w:r w:rsidR="003A53A7">
        <w:rPr>
          <w:rStyle w:val="FootnoteReference"/>
          <w:szCs w:val="24"/>
        </w:rPr>
        <w:footnoteReference w:id="32"/>
      </w:r>
      <w:r w:rsidR="0037269B">
        <w:rPr>
          <w:sz w:val="24"/>
          <w:szCs w:val="24"/>
        </w:rPr>
        <w:t xml:space="preserve"> </w:t>
      </w:r>
      <w:r w:rsidR="003A53A7">
        <w:rPr>
          <w:sz w:val="24"/>
          <w:szCs w:val="24"/>
        </w:rPr>
        <w:t xml:space="preserve">annually with the Commission </w:t>
      </w:r>
      <w:r w:rsidR="0037269B">
        <w:rPr>
          <w:sz w:val="24"/>
          <w:szCs w:val="24"/>
        </w:rPr>
        <w:t>to</w:t>
      </w:r>
      <w:r w:rsidR="00F4452B">
        <w:rPr>
          <w:sz w:val="24"/>
          <w:szCs w:val="24"/>
        </w:rPr>
        <w:t xml:space="preserve"> challenge </w:t>
      </w:r>
      <w:r w:rsidR="00A45C53">
        <w:rPr>
          <w:sz w:val="24"/>
          <w:szCs w:val="24"/>
        </w:rPr>
        <w:t>a carrier’s feasibility certification</w:t>
      </w:r>
      <w:r w:rsidR="00AB1EF7">
        <w:rPr>
          <w:sz w:val="24"/>
          <w:szCs w:val="24"/>
        </w:rPr>
        <w:t xml:space="preserve"> and that carriers will file oppositions to each of these petitions</w:t>
      </w:r>
      <w:r w:rsidR="0037269B">
        <w:rPr>
          <w:sz w:val="24"/>
          <w:szCs w:val="24"/>
        </w:rPr>
        <w:t xml:space="preserve">. </w:t>
      </w:r>
    </w:p>
    <w:p w14:paraId="62FB5BE6" w14:textId="77777777" w:rsidR="006B3340" w:rsidRDefault="006B3340" w:rsidP="00F72579">
      <w:pPr>
        <w:suppressAutoHyphens/>
        <w:rPr>
          <w:sz w:val="24"/>
          <w:szCs w:val="24"/>
        </w:rPr>
      </w:pPr>
    </w:p>
    <w:p w14:paraId="6001644A" w14:textId="77777777" w:rsidR="005863CA" w:rsidRPr="005863CA" w:rsidRDefault="005863CA" w:rsidP="005863CA">
      <w:pPr>
        <w:pStyle w:val="ListParagraph"/>
        <w:numPr>
          <w:ilvl w:val="0"/>
          <w:numId w:val="12"/>
        </w:numPr>
        <w:suppressAutoHyphens/>
        <w:rPr>
          <w:sz w:val="24"/>
          <w:szCs w:val="24"/>
        </w:rPr>
      </w:pPr>
      <w:r w:rsidRPr="005863CA">
        <w:rPr>
          <w:sz w:val="24"/>
          <w:szCs w:val="24"/>
          <w:u w:val="single"/>
        </w:rPr>
        <w:t>Burden Estimate</w:t>
      </w:r>
      <w:r w:rsidRPr="005863CA">
        <w:rPr>
          <w:sz w:val="24"/>
          <w:szCs w:val="24"/>
        </w:rPr>
        <w:t xml:space="preserve">.  </w:t>
      </w:r>
      <w:r w:rsidR="007074AD" w:rsidRPr="005863CA">
        <w:rPr>
          <w:sz w:val="24"/>
          <w:szCs w:val="24"/>
        </w:rPr>
        <w:t xml:space="preserve">We estimate that all </w:t>
      </w:r>
      <w:r w:rsidR="007074AD" w:rsidRPr="00EB0ACB">
        <w:rPr>
          <w:sz w:val="24"/>
          <w:szCs w:val="24"/>
        </w:rPr>
        <w:t xml:space="preserve">20 </w:t>
      </w:r>
      <w:r w:rsidR="007074AD">
        <w:rPr>
          <w:sz w:val="24"/>
          <w:szCs w:val="24"/>
        </w:rPr>
        <w:t>pre-filing coordination</w:t>
      </w:r>
      <w:r w:rsidR="007074AD" w:rsidRPr="00EB0ACB">
        <w:rPr>
          <w:sz w:val="24"/>
          <w:szCs w:val="24"/>
        </w:rPr>
        <w:t xml:space="preserve"> requests </w:t>
      </w:r>
      <w:r w:rsidR="007074AD" w:rsidRPr="005863CA">
        <w:rPr>
          <w:sz w:val="24"/>
          <w:szCs w:val="24"/>
        </w:rPr>
        <w:t xml:space="preserve">will be </w:t>
      </w:r>
      <w:r w:rsidR="007074AD">
        <w:rPr>
          <w:sz w:val="24"/>
          <w:szCs w:val="24"/>
        </w:rPr>
        <w:t>prepared by the respondent (broadcast station or county government) and will take about 1 hour to prepare</w:t>
      </w:r>
      <w:r w:rsidR="007074AD" w:rsidRPr="005863CA">
        <w:rPr>
          <w:sz w:val="24"/>
          <w:szCs w:val="24"/>
        </w:rPr>
        <w:t xml:space="preserve">.  In addition, we estimate that </w:t>
      </w:r>
      <w:r w:rsidR="007074AD">
        <w:rPr>
          <w:sz w:val="24"/>
          <w:szCs w:val="24"/>
        </w:rPr>
        <w:t>all 20 responses</w:t>
      </w:r>
      <w:r w:rsidR="00BB2370">
        <w:rPr>
          <w:sz w:val="24"/>
          <w:szCs w:val="24"/>
        </w:rPr>
        <w:t>/</w:t>
      </w:r>
      <w:r w:rsidR="00BB2370" w:rsidRPr="00BB2370">
        <w:rPr>
          <w:sz w:val="24"/>
          <w:szCs w:val="24"/>
        </w:rPr>
        <w:t xml:space="preserve"> </w:t>
      </w:r>
      <w:r w:rsidR="00BB2370">
        <w:rPr>
          <w:sz w:val="24"/>
          <w:szCs w:val="24"/>
        </w:rPr>
        <w:t xml:space="preserve">feasibility certifications </w:t>
      </w:r>
      <w:r w:rsidR="007074AD">
        <w:rPr>
          <w:sz w:val="24"/>
          <w:szCs w:val="24"/>
        </w:rPr>
        <w:t>will be prepared by the respondent (satellite carrier) and will take about 2 hours to prepare</w:t>
      </w:r>
      <w:r w:rsidR="00185E78">
        <w:rPr>
          <w:sz w:val="24"/>
          <w:szCs w:val="24"/>
        </w:rPr>
        <w:t xml:space="preserve"> </w:t>
      </w:r>
      <w:r w:rsidR="00BB2370">
        <w:rPr>
          <w:sz w:val="24"/>
          <w:szCs w:val="24"/>
        </w:rPr>
        <w:t>(including</w:t>
      </w:r>
      <w:r w:rsidR="00185E78">
        <w:rPr>
          <w:sz w:val="24"/>
          <w:szCs w:val="24"/>
        </w:rPr>
        <w:t xml:space="preserve"> fil</w:t>
      </w:r>
      <w:r w:rsidR="00BB2370">
        <w:rPr>
          <w:sz w:val="24"/>
          <w:szCs w:val="24"/>
        </w:rPr>
        <w:t>ing</w:t>
      </w:r>
      <w:r w:rsidR="00185E78">
        <w:rPr>
          <w:sz w:val="24"/>
          <w:szCs w:val="24"/>
        </w:rPr>
        <w:t xml:space="preserve"> with the Commission</w:t>
      </w:r>
      <w:r w:rsidR="00BB2370">
        <w:rPr>
          <w:sz w:val="24"/>
          <w:szCs w:val="24"/>
        </w:rPr>
        <w:t>)</w:t>
      </w:r>
      <w:r w:rsidR="007074AD">
        <w:rPr>
          <w:sz w:val="24"/>
          <w:szCs w:val="24"/>
        </w:rPr>
        <w:t>.</w:t>
      </w:r>
      <w:r w:rsidR="007074AD">
        <w:rPr>
          <w:rStyle w:val="FootnoteReference"/>
          <w:szCs w:val="24"/>
        </w:rPr>
        <w:footnoteReference w:id="33"/>
      </w:r>
      <w:r w:rsidR="007074AD" w:rsidRPr="005863CA">
        <w:rPr>
          <w:sz w:val="24"/>
          <w:szCs w:val="24"/>
        </w:rPr>
        <w:t xml:space="preserve"> </w:t>
      </w:r>
      <w:r w:rsidR="007074AD">
        <w:rPr>
          <w:sz w:val="24"/>
          <w:szCs w:val="24"/>
        </w:rPr>
        <w:t xml:space="preserve"> </w:t>
      </w:r>
      <w:r w:rsidR="00185E78">
        <w:rPr>
          <w:sz w:val="24"/>
          <w:szCs w:val="24"/>
        </w:rPr>
        <w:t xml:space="preserve">With respect to </w:t>
      </w:r>
      <w:r w:rsidR="00D12FDD">
        <w:rPr>
          <w:sz w:val="24"/>
          <w:szCs w:val="24"/>
        </w:rPr>
        <w:t>pre-filing coordination</w:t>
      </w:r>
      <w:r w:rsidR="00D12FDD" w:rsidRPr="00EB0ACB">
        <w:rPr>
          <w:sz w:val="24"/>
          <w:szCs w:val="24"/>
        </w:rPr>
        <w:t xml:space="preserve"> </w:t>
      </w:r>
      <w:r w:rsidR="00BB2370">
        <w:rPr>
          <w:sz w:val="24"/>
          <w:szCs w:val="24"/>
        </w:rPr>
        <w:lastRenderedPageBreak/>
        <w:t xml:space="preserve">Special Relief petitions for Commission review of a satellite carrier’s certification/claim of infeasibility, we estimate that all 10 </w:t>
      </w:r>
      <w:r w:rsidR="00307DAB">
        <w:rPr>
          <w:sz w:val="24"/>
          <w:szCs w:val="24"/>
        </w:rPr>
        <w:t>pre-filing coordination</w:t>
      </w:r>
      <w:r w:rsidR="00307DAB" w:rsidRPr="00EB0ACB">
        <w:rPr>
          <w:sz w:val="24"/>
          <w:szCs w:val="24"/>
        </w:rPr>
        <w:t xml:space="preserve"> </w:t>
      </w:r>
      <w:r w:rsidR="008D2F00">
        <w:rPr>
          <w:sz w:val="24"/>
          <w:szCs w:val="24"/>
        </w:rPr>
        <w:t xml:space="preserve">petitions </w:t>
      </w:r>
      <w:r w:rsidR="00BB2370" w:rsidRPr="005863CA">
        <w:rPr>
          <w:sz w:val="24"/>
          <w:szCs w:val="24"/>
        </w:rPr>
        <w:t xml:space="preserve">will be </w:t>
      </w:r>
      <w:r w:rsidR="00BB2370">
        <w:rPr>
          <w:sz w:val="24"/>
          <w:szCs w:val="24"/>
        </w:rPr>
        <w:t xml:space="preserve">prepared by the respondent (broadcast station or county government) </w:t>
      </w:r>
      <w:r w:rsidR="00FE7A04" w:rsidRPr="005863CA">
        <w:rPr>
          <w:sz w:val="24"/>
          <w:szCs w:val="24"/>
        </w:rPr>
        <w:t xml:space="preserve">using outside legal assistance.  Therefore, we estimate that each such petitioner/respondent will take about </w:t>
      </w:r>
      <w:r w:rsidR="00FE7A04">
        <w:rPr>
          <w:sz w:val="24"/>
          <w:szCs w:val="24"/>
        </w:rPr>
        <w:t>2</w:t>
      </w:r>
      <w:r w:rsidR="00FE7A04" w:rsidRPr="005863CA">
        <w:rPr>
          <w:sz w:val="24"/>
          <w:szCs w:val="24"/>
        </w:rPr>
        <w:t xml:space="preserve"> hours to consult with an outside attorney to prepare a </w:t>
      </w:r>
      <w:r w:rsidR="00FE7A04">
        <w:rPr>
          <w:sz w:val="24"/>
          <w:szCs w:val="24"/>
        </w:rPr>
        <w:t>pre-filing coordination</w:t>
      </w:r>
      <w:r w:rsidR="00FE7A04" w:rsidRPr="00EB0ACB">
        <w:rPr>
          <w:sz w:val="24"/>
          <w:szCs w:val="24"/>
        </w:rPr>
        <w:t xml:space="preserve"> </w:t>
      </w:r>
      <w:r w:rsidR="00FE7A04">
        <w:rPr>
          <w:sz w:val="24"/>
          <w:szCs w:val="24"/>
        </w:rPr>
        <w:t>Special Relief petition</w:t>
      </w:r>
      <w:r w:rsidR="00FE7A04" w:rsidRPr="005863CA">
        <w:rPr>
          <w:sz w:val="24"/>
          <w:szCs w:val="24"/>
        </w:rPr>
        <w:t>.</w:t>
      </w:r>
      <w:r w:rsidR="00FE7A04" w:rsidRPr="00EB0ACB">
        <w:rPr>
          <w:rStyle w:val="FootnoteReference"/>
          <w:szCs w:val="24"/>
        </w:rPr>
        <w:footnoteReference w:id="34"/>
      </w:r>
      <w:r w:rsidR="00FE7A04">
        <w:rPr>
          <w:sz w:val="24"/>
          <w:szCs w:val="24"/>
        </w:rPr>
        <w:t xml:space="preserve">  </w:t>
      </w:r>
      <w:r w:rsidR="008D2F00" w:rsidRPr="005863CA">
        <w:rPr>
          <w:sz w:val="24"/>
          <w:szCs w:val="24"/>
        </w:rPr>
        <w:t xml:space="preserve">In addition, we estimate that </w:t>
      </w:r>
      <w:r w:rsidR="008D2F00">
        <w:rPr>
          <w:sz w:val="24"/>
          <w:szCs w:val="24"/>
        </w:rPr>
        <w:t xml:space="preserve">all 10 oppositions </w:t>
      </w:r>
      <w:r w:rsidR="00FE7A04">
        <w:rPr>
          <w:sz w:val="24"/>
          <w:szCs w:val="24"/>
        </w:rPr>
        <w:t xml:space="preserve">to pre-filing coordination petitions </w:t>
      </w:r>
      <w:r w:rsidR="008D2F00">
        <w:rPr>
          <w:sz w:val="24"/>
          <w:szCs w:val="24"/>
        </w:rPr>
        <w:t xml:space="preserve">will be prepared by the respondent (satellite carrier) </w:t>
      </w:r>
      <w:r w:rsidR="00FE7A04">
        <w:rPr>
          <w:sz w:val="24"/>
          <w:szCs w:val="24"/>
        </w:rPr>
        <w:t>using</w:t>
      </w:r>
      <w:r w:rsidR="00FE7A04" w:rsidRPr="005863CA">
        <w:rPr>
          <w:sz w:val="24"/>
          <w:szCs w:val="24"/>
        </w:rPr>
        <w:t xml:space="preserve"> an outside attorney </w:t>
      </w:r>
      <w:r w:rsidR="008D2F00">
        <w:rPr>
          <w:sz w:val="24"/>
          <w:szCs w:val="24"/>
        </w:rPr>
        <w:t xml:space="preserve">and </w:t>
      </w:r>
      <w:r w:rsidR="00FE7A04" w:rsidRPr="005863CA">
        <w:rPr>
          <w:sz w:val="24"/>
          <w:szCs w:val="24"/>
        </w:rPr>
        <w:t xml:space="preserve">will take about </w:t>
      </w:r>
      <w:r w:rsidR="00FE7A04">
        <w:rPr>
          <w:sz w:val="24"/>
          <w:szCs w:val="24"/>
        </w:rPr>
        <w:t>2</w:t>
      </w:r>
      <w:r w:rsidR="00FE7A04" w:rsidRPr="005863CA">
        <w:rPr>
          <w:sz w:val="24"/>
          <w:szCs w:val="24"/>
        </w:rPr>
        <w:t xml:space="preserve"> hours to consult with an outside attorney to</w:t>
      </w:r>
      <w:r w:rsidR="00FE7A04">
        <w:rPr>
          <w:sz w:val="24"/>
          <w:szCs w:val="24"/>
        </w:rPr>
        <w:t xml:space="preserve"> file</w:t>
      </w:r>
      <w:r w:rsidR="008D2F00">
        <w:rPr>
          <w:sz w:val="24"/>
          <w:szCs w:val="24"/>
        </w:rPr>
        <w:t xml:space="preserve">.  </w:t>
      </w:r>
      <w:r w:rsidR="005D7E96" w:rsidRPr="005863CA">
        <w:rPr>
          <w:sz w:val="24"/>
          <w:szCs w:val="24"/>
        </w:rPr>
        <w:t xml:space="preserve">We estimate that </w:t>
      </w:r>
      <w:r w:rsidR="005D7E96">
        <w:rPr>
          <w:sz w:val="24"/>
          <w:szCs w:val="24"/>
        </w:rPr>
        <w:t>each</w:t>
      </w:r>
      <w:r w:rsidR="005D7E96" w:rsidRPr="005863CA">
        <w:rPr>
          <w:sz w:val="24"/>
          <w:szCs w:val="24"/>
        </w:rPr>
        <w:t xml:space="preserve"> respondent would have an average salary of $100,000/year ($48.08/hour).  </w:t>
      </w:r>
      <w:r w:rsidR="007074AD" w:rsidRPr="005863CA">
        <w:rPr>
          <w:sz w:val="24"/>
          <w:szCs w:val="24"/>
        </w:rPr>
        <w:t>All estimates are based on Commission staff's knowledge and familiarity with the availability of the data required.</w:t>
      </w:r>
    </w:p>
    <w:p w14:paraId="2442501E" w14:textId="77777777" w:rsidR="005863CA" w:rsidRDefault="005863CA" w:rsidP="00F72579">
      <w:pPr>
        <w:suppressAutoHyphens/>
        <w:rPr>
          <w:sz w:val="24"/>
          <w:szCs w:val="24"/>
        </w:rPr>
      </w:pPr>
    </w:p>
    <w:p w14:paraId="1F086358" w14:textId="77777777" w:rsidR="006B3340" w:rsidRDefault="006B3340" w:rsidP="006B3340">
      <w:pPr>
        <w:suppressAutoHyphens/>
        <w:rPr>
          <w:sz w:val="24"/>
          <w:szCs w:val="24"/>
        </w:rPr>
      </w:pPr>
      <w:r w:rsidRPr="006B3340">
        <w:rPr>
          <w:sz w:val="24"/>
          <w:szCs w:val="24"/>
          <w:u w:val="single"/>
        </w:rPr>
        <w:t>Spot Beam Coverage Infeasibility Detailed Certifications</w:t>
      </w:r>
      <w:r>
        <w:rPr>
          <w:sz w:val="24"/>
          <w:szCs w:val="24"/>
        </w:rPr>
        <w:t>.</w:t>
      </w:r>
      <w:r w:rsidRPr="006B3340">
        <w:rPr>
          <w:sz w:val="24"/>
          <w:szCs w:val="24"/>
        </w:rPr>
        <w:t xml:space="preserve"> </w:t>
      </w:r>
      <w:r>
        <w:rPr>
          <w:sz w:val="24"/>
          <w:szCs w:val="24"/>
        </w:rPr>
        <w:t xml:space="preserve"> </w:t>
      </w:r>
      <w:r w:rsidRPr="00EB0ACB">
        <w:rPr>
          <w:sz w:val="24"/>
          <w:szCs w:val="24"/>
        </w:rPr>
        <w:t xml:space="preserve">We estimate that </w:t>
      </w:r>
      <w:r>
        <w:rPr>
          <w:sz w:val="24"/>
          <w:szCs w:val="24"/>
        </w:rPr>
        <w:t xml:space="preserve">satellite carriers will </w:t>
      </w:r>
      <w:r w:rsidR="00510FA7">
        <w:rPr>
          <w:sz w:val="24"/>
          <w:szCs w:val="24"/>
        </w:rPr>
        <w:t>provide</w:t>
      </w:r>
      <w:r>
        <w:rPr>
          <w:sz w:val="24"/>
          <w:szCs w:val="24"/>
        </w:rPr>
        <w:t xml:space="preserve"> annually 20 </w:t>
      </w:r>
      <w:r w:rsidRPr="006B3340">
        <w:rPr>
          <w:sz w:val="24"/>
          <w:szCs w:val="24"/>
        </w:rPr>
        <w:t xml:space="preserve">Spot Beam Coverage Infeasibility Detailed Certifications </w:t>
      </w:r>
      <w:r>
        <w:rPr>
          <w:sz w:val="24"/>
          <w:szCs w:val="24"/>
        </w:rPr>
        <w:t xml:space="preserve">to petitioners/prospective petitioners and file such detailed certifications with the Commission.  These detailed certifications will be </w:t>
      </w:r>
      <w:r w:rsidR="00510FA7">
        <w:rPr>
          <w:sz w:val="24"/>
          <w:szCs w:val="24"/>
        </w:rPr>
        <w:t>provided either</w:t>
      </w:r>
      <w:r>
        <w:rPr>
          <w:sz w:val="24"/>
          <w:szCs w:val="24"/>
        </w:rPr>
        <w:t xml:space="preserve"> </w:t>
      </w:r>
      <w:r w:rsidR="00510FA7">
        <w:rPr>
          <w:sz w:val="24"/>
          <w:szCs w:val="24"/>
        </w:rPr>
        <w:t xml:space="preserve">(1) </w:t>
      </w:r>
      <w:r>
        <w:rPr>
          <w:sz w:val="24"/>
          <w:szCs w:val="24"/>
        </w:rPr>
        <w:t xml:space="preserve">as part of a satellite carrier’s opposition to a market modification petition or </w:t>
      </w:r>
      <w:r w:rsidR="00510FA7">
        <w:rPr>
          <w:sz w:val="24"/>
          <w:szCs w:val="24"/>
        </w:rPr>
        <w:t xml:space="preserve">(2) </w:t>
      </w:r>
      <w:r>
        <w:rPr>
          <w:sz w:val="24"/>
          <w:szCs w:val="24"/>
        </w:rPr>
        <w:t xml:space="preserve">as part of a carrier’s response to a pre-filing coordination request.  </w:t>
      </w:r>
      <w:r w:rsidR="007E2D64">
        <w:rPr>
          <w:sz w:val="24"/>
          <w:szCs w:val="24"/>
        </w:rPr>
        <w:t xml:space="preserve">To comply with a recordkeeping requirement, satellite carriers providing </w:t>
      </w:r>
      <w:r w:rsidR="00510FA7">
        <w:rPr>
          <w:sz w:val="24"/>
          <w:szCs w:val="24"/>
        </w:rPr>
        <w:t xml:space="preserve">each of </w:t>
      </w:r>
      <w:r w:rsidR="007E2D64">
        <w:rPr>
          <w:sz w:val="24"/>
          <w:szCs w:val="24"/>
        </w:rPr>
        <w:t>these detailed certifications must retain</w:t>
      </w:r>
      <w:r>
        <w:rPr>
          <w:sz w:val="24"/>
          <w:szCs w:val="24"/>
        </w:rPr>
        <w:t xml:space="preserve"> </w:t>
      </w:r>
      <w:r w:rsidR="007E2D64">
        <w:rPr>
          <w:sz w:val="24"/>
          <w:szCs w:val="24"/>
        </w:rPr>
        <w:t>the supporting documentation (</w:t>
      </w:r>
      <w:r w:rsidR="007E2D64" w:rsidRPr="00C55874">
        <w:rPr>
          <w:i/>
          <w:sz w:val="24"/>
          <w:szCs w:val="24"/>
        </w:rPr>
        <w:t>i.e.</w:t>
      </w:r>
      <w:r w:rsidR="007E2D64">
        <w:rPr>
          <w:sz w:val="24"/>
          <w:szCs w:val="24"/>
        </w:rPr>
        <w:t xml:space="preserve">, </w:t>
      </w:r>
      <w:r w:rsidR="007E2D64" w:rsidRPr="006B3340">
        <w:rPr>
          <w:sz w:val="24"/>
          <w:szCs w:val="24"/>
        </w:rPr>
        <w:t>“satellite link budget” calculations</w:t>
      </w:r>
      <w:r w:rsidR="007E2D64">
        <w:rPr>
          <w:sz w:val="24"/>
          <w:szCs w:val="24"/>
        </w:rPr>
        <w:t>) underlying these detailed certifications.</w:t>
      </w:r>
    </w:p>
    <w:p w14:paraId="1FD7F5A5" w14:textId="77777777" w:rsidR="006B3340" w:rsidRDefault="006B3340" w:rsidP="006B3340">
      <w:pPr>
        <w:suppressAutoHyphens/>
        <w:rPr>
          <w:sz w:val="24"/>
          <w:szCs w:val="24"/>
        </w:rPr>
      </w:pPr>
    </w:p>
    <w:p w14:paraId="3AF78A24" w14:textId="77777777" w:rsidR="005863CA" w:rsidRPr="005863CA" w:rsidRDefault="005863CA" w:rsidP="005863CA">
      <w:pPr>
        <w:pStyle w:val="ListParagraph"/>
        <w:numPr>
          <w:ilvl w:val="0"/>
          <w:numId w:val="12"/>
        </w:numPr>
        <w:suppressAutoHyphens/>
        <w:rPr>
          <w:sz w:val="24"/>
          <w:szCs w:val="24"/>
        </w:rPr>
      </w:pPr>
      <w:r w:rsidRPr="005863CA">
        <w:rPr>
          <w:sz w:val="24"/>
          <w:szCs w:val="24"/>
          <w:u w:val="single"/>
        </w:rPr>
        <w:t>Burden Estimate</w:t>
      </w:r>
      <w:r w:rsidRPr="005863CA">
        <w:rPr>
          <w:sz w:val="24"/>
          <w:szCs w:val="24"/>
        </w:rPr>
        <w:t xml:space="preserve">.  </w:t>
      </w:r>
      <w:r w:rsidR="00510FA7" w:rsidRPr="005863CA">
        <w:rPr>
          <w:sz w:val="24"/>
          <w:szCs w:val="24"/>
        </w:rPr>
        <w:t>We estimate that all</w:t>
      </w:r>
      <w:r w:rsidR="00510FA7">
        <w:rPr>
          <w:sz w:val="24"/>
          <w:szCs w:val="24"/>
        </w:rPr>
        <w:t xml:space="preserve"> 20 </w:t>
      </w:r>
      <w:r w:rsidR="00510FA7" w:rsidRPr="006B3340">
        <w:rPr>
          <w:sz w:val="24"/>
          <w:szCs w:val="24"/>
        </w:rPr>
        <w:t>Spot Beam Coverage Infeasibility Detailed Certifications</w:t>
      </w:r>
      <w:r w:rsidR="00510FA7">
        <w:rPr>
          <w:sz w:val="24"/>
          <w:szCs w:val="24"/>
        </w:rPr>
        <w:t xml:space="preserve"> will be prepared by the respondent (satellite carrier) and will take about 20 hours to prepare.  </w:t>
      </w:r>
      <w:r w:rsidR="00510FA7" w:rsidRPr="005863CA">
        <w:rPr>
          <w:sz w:val="24"/>
          <w:szCs w:val="24"/>
        </w:rPr>
        <w:t>In addition, we estimate that</w:t>
      </w:r>
      <w:r w:rsidR="00510FA7">
        <w:rPr>
          <w:sz w:val="24"/>
          <w:szCs w:val="24"/>
        </w:rPr>
        <w:t xml:space="preserve"> the recordkeeping requirement associated with each of the 20 detailed certifications will take the respondent (satellite carrier) about 0.5 hours.  </w:t>
      </w:r>
      <w:r w:rsidR="00510FA7" w:rsidRPr="005863CA">
        <w:rPr>
          <w:sz w:val="24"/>
          <w:szCs w:val="24"/>
        </w:rPr>
        <w:t xml:space="preserve">We estimate that </w:t>
      </w:r>
      <w:r w:rsidR="00510FA7">
        <w:rPr>
          <w:sz w:val="24"/>
          <w:szCs w:val="24"/>
        </w:rPr>
        <w:t>each</w:t>
      </w:r>
      <w:r w:rsidR="00510FA7" w:rsidRPr="005863CA">
        <w:rPr>
          <w:sz w:val="24"/>
          <w:szCs w:val="24"/>
        </w:rPr>
        <w:t xml:space="preserve"> respondent would have an average salary of $100,000/year ($48.08/hour).  All estimates are based on Commission staff's knowledge and familiarity with the availability of the data required.</w:t>
      </w:r>
    </w:p>
    <w:p w14:paraId="457B60B1" w14:textId="77777777" w:rsidR="005234D5" w:rsidRDefault="005234D5">
      <w:pPr>
        <w:widowControl/>
        <w:rPr>
          <w:sz w:val="24"/>
          <w:szCs w:val="24"/>
        </w:rPr>
      </w:pPr>
      <w:r>
        <w:rPr>
          <w:sz w:val="24"/>
          <w:szCs w:val="24"/>
        </w:rPr>
        <w:br w:type="page"/>
      </w:r>
    </w:p>
    <w:p w14:paraId="2939496F" w14:textId="77777777" w:rsidR="00F72579" w:rsidRDefault="00F72579">
      <w:pPr>
        <w:suppressAutoHyphens/>
        <w:rPr>
          <w:sz w:val="24"/>
          <w:szCs w:val="24"/>
        </w:rPr>
      </w:pPr>
    </w:p>
    <w:tbl>
      <w:tblPr>
        <w:tblpPr w:leftFromText="187" w:rightFromText="187" w:vertAnchor="text" w:horzAnchor="margin" w:tblpX="-13" w:tblpY="1"/>
        <w:tblW w:w="9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2145"/>
        <w:gridCol w:w="2070"/>
        <w:gridCol w:w="2340"/>
        <w:gridCol w:w="810"/>
        <w:gridCol w:w="1260"/>
        <w:gridCol w:w="1350"/>
      </w:tblGrid>
      <w:tr w:rsidR="00962364" w:rsidRPr="006C4619" w14:paraId="7B3A9DC6" w14:textId="77777777" w:rsidTr="005234D5">
        <w:trPr>
          <w:trHeight w:val="600"/>
        </w:trPr>
        <w:tc>
          <w:tcPr>
            <w:tcW w:w="2145" w:type="dxa"/>
            <w:shd w:val="clear" w:color="FFFF00" w:fill="auto"/>
          </w:tcPr>
          <w:p w14:paraId="15C2E6B7" w14:textId="77777777" w:rsidR="00962364" w:rsidRPr="0092440E" w:rsidRDefault="00962364" w:rsidP="00E51379">
            <w:pPr>
              <w:autoSpaceDE w:val="0"/>
              <w:autoSpaceDN w:val="0"/>
              <w:adjustRightInd w:val="0"/>
              <w:rPr>
                <w:rFonts w:ascii="Arial Narrow" w:hAnsi="Arial Narrow" w:cs="Arial Narrow"/>
                <w:b/>
                <w:color w:val="000000"/>
                <w:szCs w:val="22"/>
              </w:rPr>
            </w:pPr>
            <w:r w:rsidRPr="0092440E">
              <w:rPr>
                <w:rFonts w:ascii="Arial Narrow" w:hAnsi="Arial Narrow" w:cs="Arial Narrow"/>
                <w:b/>
                <w:color w:val="000000"/>
                <w:szCs w:val="22"/>
              </w:rPr>
              <w:t>Information Collection Requirement</w:t>
            </w:r>
          </w:p>
        </w:tc>
        <w:tc>
          <w:tcPr>
            <w:tcW w:w="2070" w:type="dxa"/>
            <w:shd w:val="clear" w:color="FFFF00" w:fill="auto"/>
          </w:tcPr>
          <w:p w14:paraId="7119C794" w14:textId="77777777" w:rsidR="00962364" w:rsidRPr="006C4619" w:rsidRDefault="00962364" w:rsidP="00E51379">
            <w:pPr>
              <w:autoSpaceDE w:val="0"/>
              <w:autoSpaceDN w:val="0"/>
              <w:adjustRightInd w:val="0"/>
              <w:rPr>
                <w:rFonts w:ascii="Arial Narrow" w:hAnsi="Arial Narrow" w:cs="Arial Narrow"/>
                <w:b/>
                <w:color w:val="000000"/>
                <w:sz w:val="20"/>
              </w:rPr>
            </w:pPr>
            <w:r w:rsidRPr="006C4619">
              <w:rPr>
                <w:rFonts w:ascii="Arial Narrow" w:hAnsi="Arial Narrow" w:cs="Arial Narrow"/>
                <w:b/>
                <w:color w:val="000000"/>
                <w:sz w:val="20"/>
              </w:rPr>
              <w:t>Total Number of Respondents</w:t>
            </w:r>
          </w:p>
        </w:tc>
        <w:tc>
          <w:tcPr>
            <w:tcW w:w="2340" w:type="dxa"/>
            <w:shd w:val="clear" w:color="FFFF00" w:fill="auto"/>
          </w:tcPr>
          <w:p w14:paraId="050A7573" w14:textId="77777777" w:rsidR="00962364" w:rsidRPr="006C4619" w:rsidRDefault="00962364" w:rsidP="007538A0">
            <w:pPr>
              <w:autoSpaceDE w:val="0"/>
              <w:autoSpaceDN w:val="0"/>
              <w:adjustRightInd w:val="0"/>
              <w:rPr>
                <w:rFonts w:ascii="Arial Narrow" w:hAnsi="Arial Narrow" w:cs="Arial Narrow"/>
                <w:b/>
                <w:color w:val="000000"/>
                <w:sz w:val="20"/>
              </w:rPr>
            </w:pPr>
            <w:r w:rsidRPr="006C4619">
              <w:rPr>
                <w:rFonts w:ascii="Arial Narrow" w:hAnsi="Arial Narrow" w:cs="Arial Narrow"/>
                <w:b/>
                <w:color w:val="000000"/>
                <w:sz w:val="20"/>
              </w:rPr>
              <w:t xml:space="preserve">Total Number of Responses </w:t>
            </w:r>
          </w:p>
        </w:tc>
        <w:tc>
          <w:tcPr>
            <w:tcW w:w="810" w:type="dxa"/>
            <w:shd w:val="clear" w:color="FFFF00" w:fill="auto"/>
          </w:tcPr>
          <w:p w14:paraId="7D4879D7" w14:textId="77777777" w:rsidR="00962364" w:rsidRPr="006C4619" w:rsidRDefault="00962364" w:rsidP="00E51379">
            <w:pPr>
              <w:autoSpaceDE w:val="0"/>
              <w:autoSpaceDN w:val="0"/>
              <w:adjustRightInd w:val="0"/>
              <w:rPr>
                <w:rFonts w:ascii="Arial Narrow" w:hAnsi="Arial Narrow" w:cs="Arial Narrow"/>
                <w:b/>
                <w:color w:val="000000"/>
                <w:sz w:val="20"/>
              </w:rPr>
            </w:pPr>
            <w:r w:rsidRPr="006C4619">
              <w:rPr>
                <w:rFonts w:ascii="Arial Narrow" w:hAnsi="Arial Narrow" w:cs="Arial Narrow"/>
                <w:b/>
                <w:color w:val="000000"/>
                <w:sz w:val="20"/>
              </w:rPr>
              <w:t>Burden Hours</w:t>
            </w:r>
          </w:p>
        </w:tc>
        <w:tc>
          <w:tcPr>
            <w:tcW w:w="1260" w:type="dxa"/>
            <w:shd w:val="clear" w:color="FFFF00" w:fill="auto"/>
          </w:tcPr>
          <w:p w14:paraId="60772EBB" w14:textId="77777777" w:rsidR="00962364" w:rsidRPr="006C4619" w:rsidRDefault="00962364" w:rsidP="00E51379">
            <w:pPr>
              <w:autoSpaceDE w:val="0"/>
              <w:autoSpaceDN w:val="0"/>
              <w:adjustRightInd w:val="0"/>
              <w:rPr>
                <w:rFonts w:ascii="Arial Narrow" w:hAnsi="Arial Narrow" w:cs="Arial Narrow"/>
                <w:b/>
                <w:color w:val="000000"/>
                <w:sz w:val="20"/>
              </w:rPr>
            </w:pPr>
            <w:r w:rsidRPr="006C4619">
              <w:rPr>
                <w:rFonts w:ascii="Arial Narrow" w:hAnsi="Arial Narrow" w:cs="Arial Narrow"/>
                <w:b/>
                <w:color w:val="000000"/>
                <w:sz w:val="20"/>
              </w:rPr>
              <w:t>Total Burden Hours</w:t>
            </w:r>
          </w:p>
        </w:tc>
        <w:tc>
          <w:tcPr>
            <w:tcW w:w="1350" w:type="dxa"/>
            <w:shd w:val="clear" w:color="FFFF00" w:fill="auto"/>
          </w:tcPr>
          <w:p w14:paraId="57489F10" w14:textId="77777777" w:rsidR="00C0635E" w:rsidRDefault="00962364" w:rsidP="00E51379">
            <w:pPr>
              <w:autoSpaceDE w:val="0"/>
              <w:autoSpaceDN w:val="0"/>
              <w:adjustRightInd w:val="0"/>
              <w:rPr>
                <w:rFonts w:ascii="Arial Narrow" w:hAnsi="Arial Narrow" w:cs="Arial Narrow"/>
                <w:b/>
                <w:color w:val="000000"/>
                <w:sz w:val="20"/>
              </w:rPr>
            </w:pPr>
            <w:r>
              <w:rPr>
                <w:rFonts w:ascii="Arial Narrow" w:hAnsi="Arial Narrow" w:cs="Arial Narrow"/>
                <w:b/>
                <w:color w:val="000000"/>
                <w:sz w:val="20"/>
              </w:rPr>
              <w:t xml:space="preserve">Annual </w:t>
            </w:r>
          </w:p>
          <w:p w14:paraId="180B0E91" w14:textId="77777777" w:rsidR="00962364" w:rsidRPr="006C4619" w:rsidRDefault="00962364" w:rsidP="00E51379">
            <w:pPr>
              <w:autoSpaceDE w:val="0"/>
              <w:autoSpaceDN w:val="0"/>
              <w:adjustRightInd w:val="0"/>
              <w:rPr>
                <w:rFonts w:ascii="Arial Narrow" w:hAnsi="Arial Narrow" w:cs="Arial Narrow"/>
                <w:b/>
                <w:color w:val="000000"/>
                <w:sz w:val="20"/>
              </w:rPr>
            </w:pPr>
            <w:r>
              <w:rPr>
                <w:rFonts w:ascii="Arial Narrow" w:hAnsi="Arial Narrow" w:cs="Arial Narrow"/>
                <w:b/>
                <w:color w:val="000000"/>
                <w:sz w:val="20"/>
              </w:rPr>
              <w:t>“In-House” Cost</w:t>
            </w:r>
          </w:p>
        </w:tc>
      </w:tr>
      <w:tr w:rsidR="00962364" w:rsidRPr="006C4619" w14:paraId="1144768D" w14:textId="77777777" w:rsidTr="005234D5">
        <w:trPr>
          <w:trHeight w:val="420"/>
        </w:trPr>
        <w:tc>
          <w:tcPr>
            <w:tcW w:w="2145" w:type="dxa"/>
            <w:vMerge w:val="restart"/>
          </w:tcPr>
          <w:p w14:paraId="12C3B19D" w14:textId="77777777" w:rsidR="00962364" w:rsidRPr="0092440E" w:rsidRDefault="00962364" w:rsidP="00850A5F">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Market Modification Petitions and Responsive Pleadings</w:t>
            </w:r>
          </w:p>
          <w:p w14:paraId="78819119" w14:textId="77777777" w:rsidR="00962364" w:rsidRPr="0092440E" w:rsidRDefault="00962364" w:rsidP="00850A5F">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(47 CFR 76.59)</w:t>
            </w:r>
          </w:p>
        </w:tc>
        <w:tc>
          <w:tcPr>
            <w:tcW w:w="2070" w:type="dxa"/>
            <w:shd w:val="clear" w:color="FFFF00" w:fill="auto"/>
          </w:tcPr>
          <w:p w14:paraId="1DA86DB6" w14:textId="77777777" w:rsidR="00962364" w:rsidRPr="006C4619" w:rsidRDefault="00962364" w:rsidP="00CA59C9">
            <w:pPr>
              <w:autoSpaceDE w:val="0"/>
              <w:autoSpaceDN w:val="0"/>
              <w:adjustRightInd w:val="0"/>
              <w:rPr>
                <w:rFonts w:ascii="Arial Narrow" w:hAnsi="Arial Narrow" w:cs="Arial Narrow"/>
                <w:color w:val="000000"/>
                <w:sz w:val="20"/>
              </w:rPr>
            </w:pPr>
            <w:r w:rsidRPr="006C4619">
              <w:rPr>
                <w:rFonts w:ascii="Arial Narrow" w:hAnsi="Arial Narrow" w:cs="Arial Narrow"/>
                <w:color w:val="000000"/>
                <w:sz w:val="20"/>
              </w:rPr>
              <w:t xml:space="preserve">20 </w:t>
            </w:r>
            <w:r>
              <w:rPr>
                <w:rFonts w:ascii="Arial Narrow" w:hAnsi="Arial Narrow" w:cs="Arial Narrow"/>
                <w:color w:val="000000"/>
                <w:sz w:val="20"/>
              </w:rPr>
              <w:t>petitioners</w:t>
            </w:r>
          </w:p>
        </w:tc>
        <w:tc>
          <w:tcPr>
            <w:tcW w:w="2340" w:type="dxa"/>
            <w:shd w:val="clear" w:color="FFFF00" w:fill="auto"/>
          </w:tcPr>
          <w:p w14:paraId="61859BE2" w14:textId="77777777" w:rsidR="00962364" w:rsidRPr="006C4619" w:rsidRDefault="00962364" w:rsidP="007538A0">
            <w:pPr>
              <w:autoSpaceDE w:val="0"/>
              <w:autoSpaceDN w:val="0"/>
              <w:adjustRightInd w:val="0"/>
              <w:rPr>
                <w:rFonts w:ascii="Arial Narrow" w:hAnsi="Arial Narrow" w:cs="Arial Narrow"/>
                <w:color w:val="000000"/>
                <w:sz w:val="20"/>
              </w:rPr>
            </w:pPr>
            <w:r w:rsidRPr="006C4619">
              <w:rPr>
                <w:rFonts w:ascii="Arial Narrow" w:hAnsi="Arial Narrow" w:cs="Arial Narrow"/>
                <w:color w:val="000000"/>
                <w:sz w:val="20"/>
              </w:rPr>
              <w:t xml:space="preserve">20 </w:t>
            </w:r>
            <w:r>
              <w:rPr>
                <w:rFonts w:ascii="Arial Narrow" w:hAnsi="Arial Narrow" w:cs="Arial Narrow"/>
                <w:color w:val="000000"/>
                <w:sz w:val="20"/>
              </w:rPr>
              <w:t>petitions</w:t>
            </w:r>
          </w:p>
        </w:tc>
        <w:tc>
          <w:tcPr>
            <w:tcW w:w="810" w:type="dxa"/>
            <w:shd w:val="clear" w:color="FFFF00" w:fill="auto"/>
          </w:tcPr>
          <w:p w14:paraId="5DBA12DA" w14:textId="77777777" w:rsidR="00962364" w:rsidRPr="006C4619" w:rsidRDefault="00962364" w:rsidP="00850A5F">
            <w:pPr>
              <w:autoSpaceDE w:val="0"/>
              <w:autoSpaceDN w:val="0"/>
              <w:adjustRightInd w:val="0"/>
              <w:rPr>
                <w:rFonts w:ascii="Arial Narrow" w:hAnsi="Arial Narrow" w:cs="Arial Narrow"/>
                <w:color w:val="000000"/>
                <w:sz w:val="20"/>
              </w:rPr>
            </w:pPr>
            <w:r>
              <w:rPr>
                <w:rFonts w:ascii="Arial Narrow" w:hAnsi="Arial Narrow" w:cs="Arial Narrow"/>
                <w:color w:val="000000"/>
                <w:sz w:val="20"/>
              </w:rPr>
              <w:t>4 hrs.</w:t>
            </w:r>
          </w:p>
        </w:tc>
        <w:tc>
          <w:tcPr>
            <w:tcW w:w="1260" w:type="dxa"/>
            <w:shd w:val="clear" w:color="FFFF00" w:fill="auto"/>
          </w:tcPr>
          <w:p w14:paraId="467228A9" w14:textId="77777777" w:rsidR="00962364" w:rsidRPr="006C4619" w:rsidRDefault="00962364" w:rsidP="009E7CC9">
            <w:pPr>
              <w:autoSpaceDE w:val="0"/>
              <w:autoSpaceDN w:val="0"/>
              <w:adjustRightInd w:val="0"/>
              <w:rPr>
                <w:rFonts w:ascii="Arial Narrow" w:hAnsi="Arial Narrow" w:cs="Arial Narrow"/>
                <w:color w:val="000000"/>
                <w:sz w:val="20"/>
              </w:rPr>
            </w:pPr>
            <w:r>
              <w:rPr>
                <w:rFonts w:ascii="Arial Narrow" w:hAnsi="Arial Narrow" w:cs="Arial Narrow"/>
                <w:color w:val="000000"/>
                <w:sz w:val="20"/>
              </w:rPr>
              <w:t>80</w:t>
            </w:r>
            <w:r w:rsidRPr="006C4619">
              <w:rPr>
                <w:rFonts w:ascii="Arial Narrow" w:hAnsi="Arial Narrow" w:cs="Arial Narrow"/>
                <w:color w:val="000000"/>
                <w:sz w:val="20"/>
              </w:rPr>
              <w:t xml:space="preserve"> </w:t>
            </w:r>
            <w:r w:rsidR="009E7CC9">
              <w:rPr>
                <w:rFonts w:ascii="Arial Narrow" w:hAnsi="Arial Narrow" w:cs="Arial Narrow"/>
                <w:color w:val="000000"/>
                <w:sz w:val="20"/>
              </w:rPr>
              <w:t>hrs.</w:t>
            </w:r>
          </w:p>
        </w:tc>
        <w:tc>
          <w:tcPr>
            <w:tcW w:w="1350" w:type="dxa"/>
            <w:shd w:val="clear" w:color="FFFF00" w:fill="auto"/>
          </w:tcPr>
          <w:p w14:paraId="248EB1B7" w14:textId="77777777" w:rsidR="00962364" w:rsidRPr="006C4619" w:rsidRDefault="00962364" w:rsidP="00850A5F">
            <w:pPr>
              <w:autoSpaceDE w:val="0"/>
              <w:autoSpaceDN w:val="0"/>
              <w:adjustRightInd w:val="0"/>
              <w:rPr>
                <w:rFonts w:ascii="Arial Narrow" w:hAnsi="Arial Narrow" w:cs="Arial Narrow"/>
                <w:color w:val="000000"/>
                <w:sz w:val="20"/>
              </w:rPr>
            </w:pPr>
          </w:p>
        </w:tc>
      </w:tr>
      <w:tr w:rsidR="00962364" w:rsidRPr="006C4619" w14:paraId="21832EAA" w14:textId="77777777" w:rsidTr="005234D5">
        <w:trPr>
          <w:trHeight w:val="167"/>
        </w:trPr>
        <w:tc>
          <w:tcPr>
            <w:tcW w:w="2145" w:type="dxa"/>
            <w:vMerge/>
          </w:tcPr>
          <w:p w14:paraId="0A84B420" w14:textId="77777777" w:rsidR="00962364" w:rsidRPr="0092440E" w:rsidRDefault="00962364" w:rsidP="00850A5F">
            <w:pPr>
              <w:autoSpaceDE w:val="0"/>
              <w:autoSpaceDN w:val="0"/>
              <w:adjustRightInd w:val="0"/>
              <w:rPr>
                <w:rFonts w:ascii="Arial Narrow" w:hAnsi="Arial Narrow" w:cs="Arial Narrow"/>
                <w:b/>
                <w:bCs/>
                <w:color w:val="000000"/>
                <w:szCs w:val="22"/>
              </w:rPr>
            </w:pPr>
          </w:p>
        </w:tc>
        <w:tc>
          <w:tcPr>
            <w:tcW w:w="2070" w:type="dxa"/>
            <w:vMerge w:val="restart"/>
            <w:shd w:val="clear" w:color="FFFF00" w:fill="auto"/>
          </w:tcPr>
          <w:p w14:paraId="1FFEEC3F" w14:textId="77777777" w:rsidR="00962364" w:rsidRPr="006C4619" w:rsidRDefault="00962364" w:rsidP="00CA59C9">
            <w:pPr>
              <w:autoSpaceDE w:val="0"/>
              <w:autoSpaceDN w:val="0"/>
              <w:adjustRightInd w:val="0"/>
              <w:rPr>
                <w:rFonts w:ascii="Arial Narrow" w:hAnsi="Arial Narrow" w:cs="Arial Narrow"/>
                <w:color w:val="000000"/>
                <w:sz w:val="20"/>
              </w:rPr>
            </w:pPr>
            <w:r>
              <w:rPr>
                <w:rFonts w:ascii="Arial Narrow" w:hAnsi="Arial Narrow" w:cs="Arial Narrow"/>
                <w:color w:val="000000"/>
                <w:sz w:val="20"/>
              </w:rPr>
              <w:t>60</w:t>
            </w:r>
            <w:r w:rsidRPr="006C4619">
              <w:rPr>
                <w:rFonts w:ascii="Arial Narrow" w:hAnsi="Arial Narrow" w:cs="Arial Narrow"/>
                <w:color w:val="000000"/>
                <w:sz w:val="20"/>
              </w:rPr>
              <w:t xml:space="preserve"> opposing </w:t>
            </w:r>
            <w:r>
              <w:rPr>
                <w:rFonts w:ascii="Arial Narrow" w:hAnsi="Arial Narrow" w:cs="Arial Narrow"/>
                <w:color w:val="000000"/>
                <w:sz w:val="20"/>
              </w:rPr>
              <w:t xml:space="preserve">or commenting </w:t>
            </w:r>
            <w:r w:rsidRPr="006C4619">
              <w:rPr>
                <w:rFonts w:ascii="Arial Narrow" w:hAnsi="Arial Narrow" w:cs="Arial Narrow"/>
                <w:color w:val="000000"/>
                <w:sz w:val="20"/>
              </w:rPr>
              <w:t>parties</w:t>
            </w:r>
          </w:p>
        </w:tc>
        <w:tc>
          <w:tcPr>
            <w:tcW w:w="2340" w:type="dxa"/>
            <w:shd w:val="clear" w:color="FFFF00" w:fill="auto"/>
          </w:tcPr>
          <w:p w14:paraId="11B9DE58" w14:textId="77777777" w:rsidR="00962364" w:rsidRPr="006C4619" w:rsidRDefault="00962364" w:rsidP="00962364">
            <w:pPr>
              <w:autoSpaceDE w:val="0"/>
              <w:autoSpaceDN w:val="0"/>
              <w:adjustRightInd w:val="0"/>
              <w:rPr>
                <w:rFonts w:ascii="Arial Narrow" w:hAnsi="Arial Narrow" w:cs="Arial Narrow"/>
                <w:color w:val="000000"/>
                <w:sz w:val="20"/>
              </w:rPr>
            </w:pPr>
            <w:r>
              <w:rPr>
                <w:rFonts w:ascii="Arial Narrow" w:hAnsi="Arial Narrow" w:cs="Arial Narrow"/>
                <w:color w:val="000000"/>
                <w:sz w:val="20"/>
              </w:rPr>
              <w:t>16</w:t>
            </w:r>
            <w:r w:rsidRPr="006C4619">
              <w:rPr>
                <w:rFonts w:ascii="Arial Narrow" w:hAnsi="Arial Narrow" w:cs="Arial Narrow"/>
                <w:color w:val="000000"/>
                <w:sz w:val="20"/>
              </w:rPr>
              <w:t xml:space="preserve"> </w:t>
            </w:r>
            <w:r>
              <w:rPr>
                <w:rFonts w:ascii="Arial Narrow" w:hAnsi="Arial Narrow" w:cs="Arial Narrow"/>
                <w:color w:val="000000"/>
                <w:sz w:val="20"/>
              </w:rPr>
              <w:t>“in-house” oppositions or comments</w:t>
            </w:r>
          </w:p>
        </w:tc>
        <w:tc>
          <w:tcPr>
            <w:tcW w:w="810" w:type="dxa"/>
            <w:shd w:val="clear" w:color="FFFF00" w:fill="auto"/>
          </w:tcPr>
          <w:p w14:paraId="229384F3" w14:textId="77777777" w:rsidR="00962364" w:rsidRPr="006C4619" w:rsidRDefault="00962364" w:rsidP="00850A5F">
            <w:pPr>
              <w:autoSpaceDE w:val="0"/>
              <w:autoSpaceDN w:val="0"/>
              <w:adjustRightInd w:val="0"/>
              <w:rPr>
                <w:rFonts w:ascii="Arial Narrow" w:hAnsi="Arial Narrow" w:cs="Arial Narrow"/>
                <w:color w:val="000000"/>
                <w:sz w:val="20"/>
              </w:rPr>
            </w:pPr>
            <w:r>
              <w:rPr>
                <w:rFonts w:ascii="Arial Narrow" w:hAnsi="Arial Narrow" w:cs="Arial Narrow"/>
                <w:color w:val="000000"/>
                <w:sz w:val="20"/>
              </w:rPr>
              <w:t>40 hrs.</w:t>
            </w:r>
          </w:p>
        </w:tc>
        <w:tc>
          <w:tcPr>
            <w:tcW w:w="1260" w:type="dxa"/>
            <w:shd w:val="clear" w:color="FFFF00" w:fill="auto"/>
          </w:tcPr>
          <w:p w14:paraId="106033D9" w14:textId="77777777" w:rsidR="00962364" w:rsidRPr="006C4619" w:rsidRDefault="00962364" w:rsidP="009E7CC9">
            <w:pPr>
              <w:autoSpaceDE w:val="0"/>
              <w:autoSpaceDN w:val="0"/>
              <w:adjustRightInd w:val="0"/>
              <w:rPr>
                <w:rFonts w:ascii="Arial Narrow" w:hAnsi="Arial Narrow" w:cs="Arial Narrow"/>
                <w:color w:val="000000"/>
                <w:sz w:val="20"/>
              </w:rPr>
            </w:pPr>
            <w:r>
              <w:rPr>
                <w:rFonts w:ascii="Arial Narrow" w:hAnsi="Arial Narrow" w:cs="Arial Narrow"/>
                <w:color w:val="000000"/>
                <w:sz w:val="20"/>
              </w:rPr>
              <w:t>640</w:t>
            </w:r>
            <w:r w:rsidRPr="006C4619">
              <w:rPr>
                <w:rFonts w:ascii="Arial Narrow" w:hAnsi="Arial Narrow" w:cs="Arial Narrow"/>
                <w:color w:val="000000"/>
                <w:sz w:val="20"/>
              </w:rPr>
              <w:t xml:space="preserve"> hrs</w:t>
            </w:r>
            <w:r w:rsidR="009E7CC9">
              <w:rPr>
                <w:rFonts w:ascii="Arial Narrow" w:hAnsi="Arial Narrow" w:cs="Arial Narrow"/>
                <w:color w:val="000000"/>
                <w:sz w:val="20"/>
              </w:rPr>
              <w:t>.</w:t>
            </w:r>
          </w:p>
        </w:tc>
        <w:tc>
          <w:tcPr>
            <w:tcW w:w="1350" w:type="dxa"/>
            <w:shd w:val="clear" w:color="FFFF00" w:fill="auto"/>
          </w:tcPr>
          <w:p w14:paraId="55B1CFF1" w14:textId="77777777" w:rsidR="00962364" w:rsidRPr="006C4619" w:rsidRDefault="00962364" w:rsidP="00850A5F">
            <w:pPr>
              <w:autoSpaceDE w:val="0"/>
              <w:autoSpaceDN w:val="0"/>
              <w:adjustRightInd w:val="0"/>
              <w:rPr>
                <w:rFonts w:ascii="Arial Narrow" w:hAnsi="Arial Narrow" w:cs="Arial Narrow"/>
                <w:color w:val="000000"/>
                <w:sz w:val="20"/>
              </w:rPr>
            </w:pPr>
          </w:p>
        </w:tc>
      </w:tr>
      <w:tr w:rsidR="00962364" w:rsidRPr="006C4619" w14:paraId="0045043B" w14:textId="77777777" w:rsidTr="005234D5">
        <w:trPr>
          <w:trHeight w:val="301"/>
        </w:trPr>
        <w:tc>
          <w:tcPr>
            <w:tcW w:w="2145" w:type="dxa"/>
            <w:vMerge/>
          </w:tcPr>
          <w:p w14:paraId="40A1E8A1" w14:textId="77777777" w:rsidR="00962364" w:rsidRPr="0092440E" w:rsidRDefault="00962364" w:rsidP="00A36546">
            <w:pPr>
              <w:autoSpaceDE w:val="0"/>
              <w:autoSpaceDN w:val="0"/>
              <w:adjustRightInd w:val="0"/>
              <w:rPr>
                <w:rFonts w:ascii="Arial Narrow" w:hAnsi="Arial Narrow" w:cs="Arial Narrow"/>
                <w:b/>
                <w:bCs/>
                <w:color w:val="000000"/>
                <w:szCs w:val="22"/>
              </w:rPr>
            </w:pPr>
          </w:p>
        </w:tc>
        <w:tc>
          <w:tcPr>
            <w:tcW w:w="2070" w:type="dxa"/>
            <w:vMerge/>
            <w:shd w:val="clear" w:color="FFFF00" w:fill="auto"/>
          </w:tcPr>
          <w:p w14:paraId="1E663D29" w14:textId="77777777" w:rsidR="00962364" w:rsidRDefault="00962364" w:rsidP="00A36546">
            <w:pPr>
              <w:autoSpaceDE w:val="0"/>
              <w:autoSpaceDN w:val="0"/>
              <w:adjustRightInd w:val="0"/>
              <w:rPr>
                <w:rFonts w:ascii="Arial Narrow" w:hAnsi="Arial Narrow" w:cs="Arial Narrow"/>
                <w:color w:val="000000"/>
                <w:sz w:val="20"/>
              </w:rPr>
            </w:pPr>
          </w:p>
        </w:tc>
        <w:tc>
          <w:tcPr>
            <w:tcW w:w="2340" w:type="dxa"/>
            <w:shd w:val="clear" w:color="FFFF00" w:fill="auto"/>
          </w:tcPr>
          <w:p w14:paraId="53450B1C" w14:textId="77777777" w:rsidR="00962364" w:rsidRDefault="00962364" w:rsidP="00962364">
            <w:pPr>
              <w:autoSpaceDE w:val="0"/>
              <w:autoSpaceDN w:val="0"/>
              <w:adjustRightInd w:val="0"/>
              <w:rPr>
                <w:rFonts w:ascii="Arial Narrow" w:hAnsi="Arial Narrow" w:cs="Arial Narrow"/>
                <w:color w:val="000000"/>
                <w:sz w:val="20"/>
              </w:rPr>
            </w:pPr>
            <w:r>
              <w:rPr>
                <w:rFonts w:ascii="Arial Narrow" w:hAnsi="Arial Narrow" w:cs="Arial Narrow"/>
                <w:color w:val="000000"/>
                <w:sz w:val="20"/>
              </w:rPr>
              <w:t>44 oppositions or comments</w:t>
            </w:r>
          </w:p>
        </w:tc>
        <w:tc>
          <w:tcPr>
            <w:tcW w:w="810" w:type="dxa"/>
            <w:shd w:val="clear" w:color="FFFF00" w:fill="auto"/>
          </w:tcPr>
          <w:p w14:paraId="1AC81A60" w14:textId="77777777" w:rsidR="00962364" w:rsidRDefault="00962364" w:rsidP="00A36546">
            <w:pPr>
              <w:autoSpaceDE w:val="0"/>
              <w:autoSpaceDN w:val="0"/>
              <w:adjustRightInd w:val="0"/>
              <w:rPr>
                <w:rFonts w:ascii="Arial Narrow" w:hAnsi="Arial Narrow" w:cs="Arial Narrow"/>
                <w:color w:val="000000"/>
                <w:sz w:val="20"/>
              </w:rPr>
            </w:pPr>
            <w:r>
              <w:rPr>
                <w:rFonts w:ascii="Arial Narrow" w:hAnsi="Arial Narrow" w:cs="Arial Narrow"/>
                <w:color w:val="000000"/>
                <w:sz w:val="20"/>
              </w:rPr>
              <w:t>4 hrs.</w:t>
            </w:r>
          </w:p>
        </w:tc>
        <w:tc>
          <w:tcPr>
            <w:tcW w:w="1260" w:type="dxa"/>
            <w:shd w:val="clear" w:color="FFFF00" w:fill="auto"/>
          </w:tcPr>
          <w:p w14:paraId="09A88941" w14:textId="77777777" w:rsidR="00962364" w:rsidRPr="006C4619" w:rsidRDefault="00962364" w:rsidP="009E7CC9">
            <w:pPr>
              <w:autoSpaceDE w:val="0"/>
              <w:autoSpaceDN w:val="0"/>
              <w:adjustRightInd w:val="0"/>
              <w:rPr>
                <w:rFonts w:ascii="Arial Narrow" w:hAnsi="Arial Narrow" w:cs="Arial Narrow"/>
                <w:color w:val="000000"/>
                <w:sz w:val="20"/>
              </w:rPr>
            </w:pPr>
            <w:r>
              <w:rPr>
                <w:rFonts w:ascii="Arial Narrow" w:hAnsi="Arial Narrow" w:cs="Arial Narrow"/>
                <w:color w:val="000000"/>
                <w:sz w:val="20"/>
              </w:rPr>
              <w:t>176 hrs</w:t>
            </w:r>
            <w:r w:rsidR="009E7CC9">
              <w:rPr>
                <w:rFonts w:ascii="Arial Narrow" w:hAnsi="Arial Narrow" w:cs="Arial Narrow"/>
                <w:color w:val="000000"/>
                <w:sz w:val="20"/>
              </w:rPr>
              <w:t>.</w:t>
            </w:r>
          </w:p>
        </w:tc>
        <w:tc>
          <w:tcPr>
            <w:tcW w:w="1350" w:type="dxa"/>
            <w:shd w:val="clear" w:color="FFFF00" w:fill="auto"/>
          </w:tcPr>
          <w:p w14:paraId="21A634D1" w14:textId="77777777" w:rsidR="00962364" w:rsidRPr="006C4619" w:rsidRDefault="00962364" w:rsidP="00A36546">
            <w:pPr>
              <w:autoSpaceDE w:val="0"/>
              <w:autoSpaceDN w:val="0"/>
              <w:adjustRightInd w:val="0"/>
              <w:rPr>
                <w:rFonts w:ascii="Arial Narrow" w:hAnsi="Arial Narrow" w:cs="Arial Narrow"/>
                <w:color w:val="000000"/>
                <w:sz w:val="20"/>
              </w:rPr>
            </w:pPr>
          </w:p>
        </w:tc>
      </w:tr>
      <w:tr w:rsidR="00962364" w:rsidRPr="006C4619" w14:paraId="29D92053" w14:textId="77777777" w:rsidTr="005234D5">
        <w:trPr>
          <w:trHeight w:val="841"/>
        </w:trPr>
        <w:tc>
          <w:tcPr>
            <w:tcW w:w="2145" w:type="dxa"/>
            <w:vMerge/>
          </w:tcPr>
          <w:p w14:paraId="72BFF7CA" w14:textId="77777777" w:rsidR="00962364" w:rsidRPr="0092440E" w:rsidRDefault="00962364" w:rsidP="00A36546">
            <w:pPr>
              <w:autoSpaceDE w:val="0"/>
              <w:autoSpaceDN w:val="0"/>
              <w:adjustRightInd w:val="0"/>
              <w:rPr>
                <w:rFonts w:ascii="Arial Narrow" w:hAnsi="Arial Narrow" w:cs="Arial Narrow"/>
                <w:b/>
                <w:bCs/>
                <w:color w:val="000000"/>
                <w:szCs w:val="22"/>
              </w:rPr>
            </w:pPr>
          </w:p>
        </w:tc>
        <w:tc>
          <w:tcPr>
            <w:tcW w:w="2070" w:type="dxa"/>
            <w:shd w:val="clear" w:color="FFFF00" w:fill="auto"/>
          </w:tcPr>
          <w:p w14:paraId="4991EE9B" w14:textId="77777777" w:rsidR="00962364" w:rsidRPr="004D46C2" w:rsidRDefault="00962364" w:rsidP="00A36546">
            <w:pPr>
              <w:autoSpaceDE w:val="0"/>
              <w:autoSpaceDN w:val="0"/>
              <w:adjustRightInd w:val="0"/>
              <w:rPr>
                <w:rFonts w:ascii="Arial Narrow" w:hAnsi="Arial Narrow" w:cs="Arial Narrow"/>
                <w:i/>
                <w:color w:val="000000"/>
                <w:sz w:val="20"/>
              </w:rPr>
            </w:pPr>
            <w:r w:rsidRPr="004D46C2">
              <w:rPr>
                <w:rFonts w:ascii="Arial Narrow" w:hAnsi="Arial Narrow" w:cs="Arial Narrow"/>
                <w:i/>
                <w:color w:val="000000"/>
                <w:sz w:val="20"/>
              </w:rPr>
              <w:t xml:space="preserve">20 replying parties </w:t>
            </w:r>
            <w:r w:rsidRPr="004D46C2">
              <w:rPr>
                <w:rFonts w:ascii="Arial Narrow" w:hAnsi="Arial Narrow" w:cs="Arial Narrow"/>
                <w:i/>
                <w:color w:val="000000"/>
                <w:sz w:val="18"/>
                <w:szCs w:val="18"/>
              </w:rPr>
              <w:t>[same as petitioners and not additional respondents]</w:t>
            </w:r>
          </w:p>
        </w:tc>
        <w:tc>
          <w:tcPr>
            <w:tcW w:w="2340" w:type="dxa"/>
            <w:shd w:val="clear" w:color="FFFF00" w:fill="auto"/>
          </w:tcPr>
          <w:p w14:paraId="7E7B79A9" w14:textId="77777777" w:rsidR="00962364" w:rsidRPr="006C4619" w:rsidRDefault="00962364" w:rsidP="00A36546">
            <w:pPr>
              <w:autoSpaceDE w:val="0"/>
              <w:autoSpaceDN w:val="0"/>
              <w:adjustRightInd w:val="0"/>
              <w:rPr>
                <w:rFonts w:ascii="Arial Narrow" w:hAnsi="Arial Narrow" w:cs="Arial Narrow"/>
                <w:color w:val="000000"/>
                <w:sz w:val="20"/>
              </w:rPr>
            </w:pPr>
            <w:r w:rsidRPr="006C4619">
              <w:rPr>
                <w:rFonts w:ascii="Arial Narrow" w:hAnsi="Arial Narrow" w:cs="Arial Narrow"/>
                <w:color w:val="000000"/>
                <w:sz w:val="20"/>
              </w:rPr>
              <w:t>20 repl</w:t>
            </w:r>
            <w:r>
              <w:rPr>
                <w:rFonts w:ascii="Arial Narrow" w:hAnsi="Arial Narrow" w:cs="Arial Narrow"/>
                <w:color w:val="000000"/>
                <w:sz w:val="20"/>
              </w:rPr>
              <w:t>y comments from petitioners</w:t>
            </w:r>
          </w:p>
        </w:tc>
        <w:tc>
          <w:tcPr>
            <w:tcW w:w="810" w:type="dxa"/>
            <w:shd w:val="clear" w:color="FFFF00" w:fill="auto"/>
          </w:tcPr>
          <w:p w14:paraId="61F741ED" w14:textId="77777777" w:rsidR="00962364" w:rsidRPr="006C4619" w:rsidRDefault="00962364" w:rsidP="00A36546">
            <w:pPr>
              <w:autoSpaceDE w:val="0"/>
              <w:autoSpaceDN w:val="0"/>
              <w:adjustRightInd w:val="0"/>
              <w:rPr>
                <w:rFonts w:ascii="Arial Narrow" w:hAnsi="Arial Narrow" w:cs="Arial Narrow"/>
                <w:color w:val="000000"/>
                <w:sz w:val="20"/>
              </w:rPr>
            </w:pPr>
            <w:r>
              <w:rPr>
                <w:rFonts w:ascii="Arial Narrow" w:hAnsi="Arial Narrow" w:cs="Arial Narrow"/>
                <w:color w:val="000000"/>
                <w:sz w:val="20"/>
              </w:rPr>
              <w:t>4 hrs.</w:t>
            </w:r>
          </w:p>
        </w:tc>
        <w:tc>
          <w:tcPr>
            <w:tcW w:w="1260" w:type="dxa"/>
            <w:shd w:val="clear" w:color="FFFF00" w:fill="auto"/>
          </w:tcPr>
          <w:p w14:paraId="65A912E9" w14:textId="77777777" w:rsidR="00962364" w:rsidRPr="006C4619" w:rsidRDefault="00962364" w:rsidP="009E7CC9">
            <w:pPr>
              <w:autoSpaceDE w:val="0"/>
              <w:autoSpaceDN w:val="0"/>
              <w:adjustRightInd w:val="0"/>
              <w:rPr>
                <w:rFonts w:ascii="Arial Narrow" w:hAnsi="Arial Narrow" w:cs="Arial Narrow"/>
                <w:color w:val="000000"/>
                <w:sz w:val="20"/>
              </w:rPr>
            </w:pPr>
            <w:r>
              <w:rPr>
                <w:rFonts w:ascii="Arial Narrow" w:hAnsi="Arial Narrow" w:cs="Arial Narrow"/>
                <w:color w:val="000000"/>
                <w:sz w:val="20"/>
              </w:rPr>
              <w:t>80</w:t>
            </w:r>
            <w:r w:rsidRPr="006C4619">
              <w:rPr>
                <w:rFonts w:ascii="Arial Narrow" w:hAnsi="Arial Narrow" w:cs="Arial Narrow"/>
                <w:color w:val="000000"/>
                <w:sz w:val="20"/>
              </w:rPr>
              <w:t xml:space="preserve"> hrs</w:t>
            </w:r>
            <w:r w:rsidR="009E7CC9">
              <w:rPr>
                <w:rFonts w:ascii="Arial Narrow" w:hAnsi="Arial Narrow" w:cs="Arial Narrow"/>
                <w:color w:val="000000"/>
                <w:sz w:val="20"/>
              </w:rPr>
              <w:t>.</w:t>
            </w:r>
          </w:p>
        </w:tc>
        <w:tc>
          <w:tcPr>
            <w:tcW w:w="1350" w:type="dxa"/>
            <w:shd w:val="clear" w:color="FFFF00" w:fill="auto"/>
          </w:tcPr>
          <w:p w14:paraId="2247717A" w14:textId="77777777" w:rsidR="00962364" w:rsidRPr="006C4619" w:rsidRDefault="00962364" w:rsidP="00A36546">
            <w:pPr>
              <w:autoSpaceDE w:val="0"/>
              <w:autoSpaceDN w:val="0"/>
              <w:adjustRightInd w:val="0"/>
              <w:rPr>
                <w:rFonts w:ascii="Arial Narrow" w:hAnsi="Arial Narrow" w:cs="Arial Narrow"/>
                <w:color w:val="000000"/>
                <w:sz w:val="20"/>
              </w:rPr>
            </w:pPr>
          </w:p>
        </w:tc>
      </w:tr>
      <w:tr w:rsidR="00962364" w:rsidRPr="009643D2" w14:paraId="65AEF3FE" w14:textId="77777777" w:rsidTr="005234D5">
        <w:trPr>
          <w:trHeight w:val="354"/>
        </w:trPr>
        <w:tc>
          <w:tcPr>
            <w:tcW w:w="2145" w:type="dxa"/>
            <w:shd w:val="clear" w:color="auto" w:fill="F2F2F2" w:themeFill="background1" w:themeFillShade="F2"/>
          </w:tcPr>
          <w:p w14:paraId="09B9E32D" w14:textId="77777777" w:rsidR="00962364" w:rsidRPr="0092440E" w:rsidRDefault="00962364" w:rsidP="00A36546">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Subtotal</w:t>
            </w:r>
          </w:p>
        </w:tc>
        <w:tc>
          <w:tcPr>
            <w:tcW w:w="2070" w:type="dxa"/>
            <w:shd w:val="clear" w:color="auto" w:fill="F2F2F2" w:themeFill="background1" w:themeFillShade="F2"/>
          </w:tcPr>
          <w:p w14:paraId="3B4CF2B7" w14:textId="77777777" w:rsidR="00962364" w:rsidRPr="009643D2" w:rsidRDefault="00962364" w:rsidP="00C604B0">
            <w:pPr>
              <w:autoSpaceDE w:val="0"/>
              <w:autoSpaceDN w:val="0"/>
              <w:adjustRightInd w:val="0"/>
              <w:rPr>
                <w:rFonts w:ascii="Arial Narrow" w:hAnsi="Arial Narrow" w:cs="Arial Narrow"/>
                <w:b/>
                <w:color w:val="000000"/>
                <w:sz w:val="20"/>
                <w:highlight w:val="yellow"/>
              </w:rPr>
            </w:pPr>
            <w:r w:rsidRPr="009643D2">
              <w:rPr>
                <w:rFonts w:ascii="Arial Narrow" w:hAnsi="Arial Narrow" w:cs="Arial Narrow"/>
                <w:b/>
                <w:bCs/>
                <w:color w:val="000000"/>
                <w:sz w:val="20"/>
              </w:rPr>
              <w:t>80 respondents</w:t>
            </w:r>
          </w:p>
        </w:tc>
        <w:tc>
          <w:tcPr>
            <w:tcW w:w="2340" w:type="dxa"/>
            <w:shd w:val="clear" w:color="auto" w:fill="F2F2F2" w:themeFill="background1" w:themeFillShade="F2"/>
          </w:tcPr>
          <w:p w14:paraId="12082742" w14:textId="77777777" w:rsidR="00962364" w:rsidRPr="009643D2" w:rsidRDefault="00962364" w:rsidP="00A36546">
            <w:pPr>
              <w:autoSpaceDE w:val="0"/>
              <w:autoSpaceDN w:val="0"/>
              <w:adjustRightInd w:val="0"/>
              <w:rPr>
                <w:rFonts w:ascii="Arial Narrow" w:hAnsi="Arial Narrow" w:cs="Arial Narrow"/>
                <w:b/>
                <w:color w:val="000000"/>
                <w:sz w:val="20"/>
              </w:rPr>
            </w:pPr>
            <w:r w:rsidRPr="009643D2">
              <w:rPr>
                <w:rFonts w:ascii="Arial Narrow" w:hAnsi="Arial Narrow" w:cs="Arial Narrow"/>
                <w:b/>
                <w:color w:val="000000"/>
                <w:sz w:val="20"/>
              </w:rPr>
              <w:t>100 responses</w:t>
            </w:r>
          </w:p>
        </w:tc>
        <w:tc>
          <w:tcPr>
            <w:tcW w:w="810" w:type="dxa"/>
            <w:shd w:val="clear" w:color="auto" w:fill="F2F2F2" w:themeFill="background1" w:themeFillShade="F2"/>
          </w:tcPr>
          <w:p w14:paraId="5DD6BB1C" w14:textId="77777777" w:rsidR="00962364" w:rsidRPr="009643D2" w:rsidRDefault="00962364" w:rsidP="00A36546">
            <w:pPr>
              <w:autoSpaceDE w:val="0"/>
              <w:autoSpaceDN w:val="0"/>
              <w:adjustRightInd w:val="0"/>
              <w:rPr>
                <w:rFonts w:ascii="Arial Narrow" w:hAnsi="Arial Narrow" w:cs="Arial Narrow"/>
                <w:b/>
                <w:color w:val="000000"/>
                <w:sz w:val="20"/>
              </w:rPr>
            </w:pPr>
          </w:p>
        </w:tc>
        <w:tc>
          <w:tcPr>
            <w:tcW w:w="1260" w:type="dxa"/>
            <w:shd w:val="clear" w:color="auto" w:fill="F2F2F2" w:themeFill="background1" w:themeFillShade="F2"/>
          </w:tcPr>
          <w:p w14:paraId="11D4FA7D" w14:textId="77777777" w:rsidR="00962364" w:rsidRPr="009643D2" w:rsidRDefault="00962364" w:rsidP="00A36546">
            <w:pPr>
              <w:autoSpaceDE w:val="0"/>
              <w:autoSpaceDN w:val="0"/>
              <w:adjustRightInd w:val="0"/>
              <w:rPr>
                <w:rFonts w:ascii="Arial Narrow" w:hAnsi="Arial Narrow" w:cs="Arial Narrow"/>
                <w:b/>
                <w:color w:val="000000"/>
                <w:sz w:val="20"/>
              </w:rPr>
            </w:pPr>
            <w:r>
              <w:rPr>
                <w:rFonts w:ascii="Arial Narrow" w:hAnsi="Arial Narrow" w:cs="Arial Narrow"/>
                <w:b/>
                <w:color w:val="000000"/>
                <w:sz w:val="20"/>
              </w:rPr>
              <w:t>976 hours</w:t>
            </w:r>
          </w:p>
        </w:tc>
        <w:tc>
          <w:tcPr>
            <w:tcW w:w="1350" w:type="dxa"/>
            <w:shd w:val="clear" w:color="auto" w:fill="F2F2F2" w:themeFill="background1" w:themeFillShade="F2"/>
          </w:tcPr>
          <w:p w14:paraId="329A54AB" w14:textId="77777777" w:rsidR="00962364" w:rsidRPr="009643D2" w:rsidRDefault="00962364" w:rsidP="00A36546">
            <w:pPr>
              <w:autoSpaceDE w:val="0"/>
              <w:autoSpaceDN w:val="0"/>
              <w:adjustRightInd w:val="0"/>
              <w:rPr>
                <w:rFonts w:ascii="Arial Narrow" w:hAnsi="Arial Narrow" w:cs="Arial Narrow"/>
                <w:b/>
                <w:color w:val="000000"/>
                <w:sz w:val="20"/>
              </w:rPr>
            </w:pPr>
            <w:r>
              <w:rPr>
                <w:rFonts w:ascii="Arial Narrow" w:hAnsi="Arial Narrow" w:cs="Arial Narrow"/>
                <w:b/>
                <w:color w:val="000000"/>
                <w:sz w:val="20"/>
              </w:rPr>
              <w:t>$46,926.08</w:t>
            </w:r>
          </w:p>
        </w:tc>
      </w:tr>
      <w:tr w:rsidR="00962364" w:rsidRPr="006C4619" w14:paraId="73A2A905" w14:textId="77777777" w:rsidTr="005234D5">
        <w:trPr>
          <w:trHeight w:val="330"/>
        </w:trPr>
        <w:tc>
          <w:tcPr>
            <w:tcW w:w="2145" w:type="dxa"/>
            <w:vMerge w:val="restart"/>
          </w:tcPr>
          <w:p w14:paraId="03D3493E" w14:textId="77777777" w:rsidR="00962364" w:rsidRPr="0092440E" w:rsidRDefault="00962364" w:rsidP="00A36546">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 xml:space="preserve">Pre-filing Coordination Requests and Responses (Feasibility Certifications) </w:t>
            </w:r>
          </w:p>
          <w:p w14:paraId="5BAD8D90" w14:textId="77777777" w:rsidR="00962364" w:rsidRPr="0092440E" w:rsidRDefault="00962364" w:rsidP="00A36546">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(FCC 15-111)</w:t>
            </w:r>
          </w:p>
        </w:tc>
        <w:tc>
          <w:tcPr>
            <w:tcW w:w="2070" w:type="dxa"/>
            <w:shd w:val="clear" w:color="FFFF00" w:fill="auto"/>
          </w:tcPr>
          <w:p w14:paraId="2C1CB670" w14:textId="77777777" w:rsidR="00962364" w:rsidRPr="006C4619" w:rsidRDefault="00962364" w:rsidP="00A36546">
            <w:pPr>
              <w:autoSpaceDE w:val="0"/>
              <w:autoSpaceDN w:val="0"/>
              <w:adjustRightInd w:val="0"/>
              <w:rPr>
                <w:rFonts w:ascii="Arial Narrow" w:hAnsi="Arial Narrow" w:cs="Arial Narrow"/>
                <w:color w:val="000000"/>
                <w:sz w:val="20"/>
              </w:rPr>
            </w:pPr>
            <w:r>
              <w:rPr>
                <w:rFonts w:ascii="Arial Narrow" w:hAnsi="Arial Narrow" w:cs="Arial Narrow"/>
                <w:color w:val="000000"/>
                <w:sz w:val="20"/>
              </w:rPr>
              <w:t>20</w:t>
            </w:r>
            <w:r w:rsidRPr="006C4619">
              <w:rPr>
                <w:rFonts w:ascii="Arial Narrow" w:hAnsi="Arial Narrow" w:cs="Arial Narrow"/>
                <w:color w:val="000000"/>
                <w:sz w:val="20"/>
              </w:rPr>
              <w:t xml:space="preserve"> </w:t>
            </w:r>
            <w:r>
              <w:rPr>
                <w:rFonts w:ascii="Arial Narrow" w:hAnsi="Arial Narrow" w:cs="Arial Narrow"/>
                <w:color w:val="000000"/>
                <w:sz w:val="20"/>
              </w:rPr>
              <w:t>requesting parties</w:t>
            </w:r>
          </w:p>
        </w:tc>
        <w:tc>
          <w:tcPr>
            <w:tcW w:w="2340" w:type="dxa"/>
            <w:shd w:val="clear" w:color="FFFF00" w:fill="auto"/>
          </w:tcPr>
          <w:p w14:paraId="648FBA75" w14:textId="77777777" w:rsidR="00962364" w:rsidRPr="006C4619" w:rsidRDefault="00962364" w:rsidP="00A36546">
            <w:pPr>
              <w:autoSpaceDE w:val="0"/>
              <w:autoSpaceDN w:val="0"/>
              <w:adjustRightInd w:val="0"/>
              <w:rPr>
                <w:rFonts w:ascii="Arial Narrow" w:hAnsi="Arial Narrow" w:cs="Arial Narrow"/>
                <w:color w:val="000000"/>
                <w:sz w:val="20"/>
              </w:rPr>
            </w:pPr>
            <w:r>
              <w:rPr>
                <w:rFonts w:ascii="Arial Narrow" w:hAnsi="Arial Narrow" w:cs="Arial Narrow"/>
                <w:color w:val="000000"/>
                <w:sz w:val="20"/>
              </w:rPr>
              <w:t>20 requests</w:t>
            </w:r>
            <w:r w:rsidRPr="006C4619">
              <w:rPr>
                <w:rFonts w:ascii="Arial Narrow" w:hAnsi="Arial Narrow" w:cs="Arial Narrow"/>
                <w:color w:val="000000"/>
                <w:sz w:val="20"/>
              </w:rPr>
              <w:t xml:space="preserve"> </w:t>
            </w:r>
          </w:p>
        </w:tc>
        <w:tc>
          <w:tcPr>
            <w:tcW w:w="810" w:type="dxa"/>
            <w:shd w:val="clear" w:color="FFFF00" w:fill="auto"/>
          </w:tcPr>
          <w:p w14:paraId="78F0F730" w14:textId="77777777" w:rsidR="00962364" w:rsidRPr="006C4619" w:rsidRDefault="00962364" w:rsidP="00A36546">
            <w:pPr>
              <w:autoSpaceDE w:val="0"/>
              <w:autoSpaceDN w:val="0"/>
              <w:adjustRightInd w:val="0"/>
              <w:rPr>
                <w:rFonts w:ascii="Arial Narrow" w:hAnsi="Arial Narrow" w:cs="Arial Narrow"/>
                <w:color w:val="000000"/>
                <w:sz w:val="20"/>
              </w:rPr>
            </w:pPr>
            <w:r>
              <w:rPr>
                <w:rFonts w:ascii="Arial Narrow" w:hAnsi="Arial Narrow" w:cs="Arial Narrow"/>
                <w:color w:val="000000"/>
                <w:sz w:val="20"/>
              </w:rPr>
              <w:t>1 hr.</w:t>
            </w:r>
          </w:p>
        </w:tc>
        <w:tc>
          <w:tcPr>
            <w:tcW w:w="1260" w:type="dxa"/>
            <w:shd w:val="clear" w:color="FFFF00" w:fill="auto"/>
          </w:tcPr>
          <w:p w14:paraId="4F47E0BA" w14:textId="77777777" w:rsidR="00962364" w:rsidRPr="006C4619" w:rsidRDefault="009E7CC9" w:rsidP="009E7CC9">
            <w:pPr>
              <w:autoSpaceDE w:val="0"/>
              <w:autoSpaceDN w:val="0"/>
              <w:adjustRightInd w:val="0"/>
              <w:rPr>
                <w:rFonts w:ascii="Arial Narrow" w:hAnsi="Arial Narrow" w:cs="Arial Narrow"/>
                <w:color w:val="000000"/>
                <w:sz w:val="20"/>
              </w:rPr>
            </w:pPr>
            <w:r>
              <w:rPr>
                <w:rFonts w:ascii="Arial Narrow" w:hAnsi="Arial Narrow" w:cs="Arial Narrow"/>
                <w:color w:val="000000"/>
                <w:sz w:val="20"/>
              </w:rPr>
              <w:t>20 hrs.</w:t>
            </w:r>
          </w:p>
        </w:tc>
        <w:tc>
          <w:tcPr>
            <w:tcW w:w="1350" w:type="dxa"/>
            <w:shd w:val="clear" w:color="FFFF00" w:fill="auto"/>
          </w:tcPr>
          <w:p w14:paraId="138515D1" w14:textId="77777777" w:rsidR="00962364" w:rsidRPr="006C4619" w:rsidRDefault="00962364" w:rsidP="00A36546">
            <w:pPr>
              <w:autoSpaceDE w:val="0"/>
              <w:autoSpaceDN w:val="0"/>
              <w:adjustRightInd w:val="0"/>
              <w:rPr>
                <w:rFonts w:ascii="Arial Narrow" w:hAnsi="Arial Narrow" w:cs="Arial Narrow"/>
                <w:color w:val="000000"/>
                <w:sz w:val="20"/>
              </w:rPr>
            </w:pPr>
          </w:p>
        </w:tc>
      </w:tr>
      <w:tr w:rsidR="00962364" w:rsidRPr="006C4619" w14:paraId="45B243D0" w14:textId="77777777" w:rsidTr="005234D5">
        <w:trPr>
          <w:trHeight w:val="1482"/>
        </w:trPr>
        <w:tc>
          <w:tcPr>
            <w:tcW w:w="2145" w:type="dxa"/>
            <w:vMerge/>
          </w:tcPr>
          <w:p w14:paraId="423B2A90" w14:textId="77777777" w:rsidR="00962364" w:rsidRPr="0092440E" w:rsidRDefault="00962364" w:rsidP="00A36546">
            <w:pPr>
              <w:autoSpaceDE w:val="0"/>
              <w:autoSpaceDN w:val="0"/>
              <w:adjustRightInd w:val="0"/>
              <w:rPr>
                <w:rFonts w:ascii="Arial Narrow" w:hAnsi="Arial Narrow" w:cs="Arial Narrow"/>
                <w:b/>
                <w:bCs/>
                <w:color w:val="000000"/>
                <w:szCs w:val="22"/>
              </w:rPr>
            </w:pPr>
          </w:p>
        </w:tc>
        <w:tc>
          <w:tcPr>
            <w:tcW w:w="2070" w:type="dxa"/>
            <w:shd w:val="clear" w:color="FFFF00" w:fill="auto"/>
          </w:tcPr>
          <w:p w14:paraId="72DCB8FE" w14:textId="77777777" w:rsidR="00962364" w:rsidRPr="006C4619" w:rsidRDefault="00962364" w:rsidP="00A36546">
            <w:pPr>
              <w:autoSpaceDE w:val="0"/>
              <w:autoSpaceDN w:val="0"/>
              <w:adjustRightInd w:val="0"/>
              <w:rPr>
                <w:rFonts w:ascii="Arial Narrow" w:hAnsi="Arial Narrow" w:cs="Arial Narrow"/>
                <w:color w:val="000000"/>
                <w:sz w:val="20"/>
              </w:rPr>
            </w:pPr>
            <w:r>
              <w:rPr>
                <w:rFonts w:ascii="Arial Narrow" w:hAnsi="Arial Narrow" w:cs="Arial Narrow"/>
                <w:color w:val="000000"/>
                <w:sz w:val="20"/>
              </w:rPr>
              <w:t>20 satellite carriers</w:t>
            </w:r>
          </w:p>
        </w:tc>
        <w:tc>
          <w:tcPr>
            <w:tcW w:w="2340" w:type="dxa"/>
            <w:shd w:val="clear" w:color="FFFF00" w:fill="auto"/>
          </w:tcPr>
          <w:p w14:paraId="18B1CA95" w14:textId="77777777" w:rsidR="00962364" w:rsidRPr="006C4619" w:rsidRDefault="00962364" w:rsidP="00A36546">
            <w:pPr>
              <w:autoSpaceDE w:val="0"/>
              <w:autoSpaceDN w:val="0"/>
              <w:adjustRightInd w:val="0"/>
              <w:rPr>
                <w:rFonts w:ascii="Arial Narrow" w:hAnsi="Arial Narrow" w:cs="Arial Narrow"/>
                <w:color w:val="000000"/>
                <w:sz w:val="20"/>
              </w:rPr>
            </w:pPr>
            <w:r>
              <w:rPr>
                <w:rFonts w:ascii="Arial Narrow" w:hAnsi="Arial Narrow" w:cs="Arial Narrow"/>
                <w:color w:val="000000"/>
                <w:sz w:val="20"/>
              </w:rPr>
              <w:t>20 responses (feasibility certifications) sent to requesting party and filed with FCC</w:t>
            </w:r>
          </w:p>
        </w:tc>
        <w:tc>
          <w:tcPr>
            <w:tcW w:w="810" w:type="dxa"/>
            <w:shd w:val="clear" w:color="FFFF00" w:fill="auto"/>
          </w:tcPr>
          <w:p w14:paraId="77B57597" w14:textId="77777777" w:rsidR="00962364" w:rsidRPr="006C4619" w:rsidRDefault="00962364" w:rsidP="009E7CC9">
            <w:pPr>
              <w:autoSpaceDE w:val="0"/>
              <w:autoSpaceDN w:val="0"/>
              <w:adjustRightInd w:val="0"/>
              <w:rPr>
                <w:rFonts w:ascii="Arial Narrow" w:hAnsi="Arial Narrow" w:cs="Arial Narrow"/>
                <w:color w:val="000000"/>
                <w:sz w:val="20"/>
              </w:rPr>
            </w:pPr>
            <w:r>
              <w:rPr>
                <w:rFonts w:ascii="Arial Narrow" w:hAnsi="Arial Narrow" w:cs="Arial Narrow"/>
                <w:color w:val="000000"/>
                <w:sz w:val="20"/>
              </w:rPr>
              <w:t>2 hrs.</w:t>
            </w:r>
          </w:p>
        </w:tc>
        <w:tc>
          <w:tcPr>
            <w:tcW w:w="1260" w:type="dxa"/>
            <w:shd w:val="clear" w:color="FFFF00" w:fill="auto"/>
          </w:tcPr>
          <w:p w14:paraId="076D1C4B" w14:textId="77777777" w:rsidR="00962364" w:rsidRPr="006C4619" w:rsidRDefault="009E7CC9" w:rsidP="009E7CC9">
            <w:pPr>
              <w:autoSpaceDE w:val="0"/>
              <w:autoSpaceDN w:val="0"/>
              <w:adjustRightInd w:val="0"/>
              <w:rPr>
                <w:rFonts w:ascii="Arial Narrow" w:hAnsi="Arial Narrow" w:cs="Arial Narrow"/>
                <w:color w:val="000000"/>
                <w:sz w:val="20"/>
              </w:rPr>
            </w:pPr>
            <w:r>
              <w:rPr>
                <w:rFonts w:ascii="Arial Narrow" w:hAnsi="Arial Narrow" w:cs="Arial Narrow"/>
                <w:color w:val="000000"/>
                <w:sz w:val="20"/>
              </w:rPr>
              <w:t>40 hrs.</w:t>
            </w:r>
          </w:p>
        </w:tc>
        <w:tc>
          <w:tcPr>
            <w:tcW w:w="1350" w:type="dxa"/>
            <w:shd w:val="clear" w:color="FFFF00" w:fill="auto"/>
          </w:tcPr>
          <w:p w14:paraId="7FE3153A" w14:textId="77777777" w:rsidR="00962364" w:rsidRPr="006C4619" w:rsidRDefault="00962364" w:rsidP="00A36546">
            <w:pPr>
              <w:autoSpaceDE w:val="0"/>
              <w:autoSpaceDN w:val="0"/>
              <w:adjustRightInd w:val="0"/>
              <w:rPr>
                <w:rFonts w:ascii="Arial Narrow" w:hAnsi="Arial Narrow" w:cs="Arial Narrow"/>
                <w:color w:val="000000"/>
                <w:sz w:val="20"/>
              </w:rPr>
            </w:pPr>
          </w:p>
        </w:tc>
      </w:tr>
      <w:tr w:rsidR="00962364" w:rsidRPr="006C4619" w14:paraId="0507B8D2" w14:textId="77777777" w:rsidTr="005234D5">
        <w:trPr>
          <w:trHeight w:val="381"/>
        </w:trPr>
        <w:tc>
          <w:tcPr>
            <w:tcW w:w="2145" w:type="dxa"/>
            <w:vMerge w:val="restart"/>
          </w:tcPr>
          <w:p w14:paraId="62E05236" w14:textId="77777777" w:rsidR="00962364" w:rsidRPr="0092440E" w:rsidRDefault="00962364" w:rsidP="00A36546">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Pre-filing Coordination Special Relief Petitions</w:t>
            </w:r>
          </w:p>
          <w:p w14:paraId="52BEBEAD" w14:textId="77777777" w:rsidR="00962364" w:rsidRPr="0092440E" w:rsidRDefault="00962364" w:rsidP="00A36546">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(FCC 15-111)</w:t>
            </w:r>
          </w:p>
        </w:tc>
        <w:tc>
          <w:tcPr>
            <w:tcW w:w="2070" w:type="dxa"/>
            <w:shd w:val="clear" w:color="FFFF00" w:fill="auto"/>
          </w:tcPr>
          <w:p w14:paraId="7AA5E39D" w14:textId="77777777" w:rsidR="00962364" w:rsidRPr="00407041" w:rsidRDefault="00962364" w:rsidP="00C0635E">
            <w:pPr>
              <w:autoSpaceDE w:val="0"/>
              <w:autoSpaceDN w:val="0"/>
              <w:adjustRightInd w:val="0"/>
              <w:rPr>
                <w:rFonts w:ascii="Arial Narrow" w:hAnsi="Arial Narrow" w:cs="Arial Narrow"/>
                <w:sz w:val="20"/>
              </w:rPr>
            </w:pPr>
            <w:r w:rsidRPr="00407041">
              <w:rPr>
                <w:rFonts w:ascii="Arial Narrow" w:hAnsi="Arial Narrow" w:cs="Arial Narrow"/>
                <w:color w:val="000000"/>
                <w:sz w:val="20"/>
              </w:rPr>
              <w:t xml:space="preserve">10 petitioners </w:t>
            </w:r>
          </w:p>
        </w:tc>
        <w:tc>
          <w:tcPr>
            <w:tcW w:w="2340" w:type="dxa"/>
            <w:shd w:val="clear" w:color="FFFF00" w:fill="auto"/>
          </w:tcPr>
          <w:p w14:paraId="4919E609" w14:textId="77777777" w:rsidR="00962364" w:rsidRPr="006C4619" w:rsidRDefault="00962364" w:rsidP="00A36546">
            <w:pPr>
              <w:autoSpaceDE w:val="0"/>
              <w:autoSpaceDN w:val="0"/>
              <w:adjustRightInd w:val="0"/>
              <w:rPr>
                <w:rFonts w:ascii="Arial Narrow" w:hAnsi="Arial Narrow" w:cs="Arial Narrow"/>
                <w:color w:val="000000"/>
                <w:sz w:val="20"/>
              </w:rPr>
            </w:pPr>
            <w:r>
              <w:rPr>
                <w:rFonts w:ascii="Arial Narrow" w:hAnsi="Arial Narrow" w:cs="Arial Narrow"/>
                <w:color w:val="000000"/>
                <w:sz w:val="20"/>
              </w:rPr>
              <w:t>10 petitions</w:t>
            </w:r>
          </w:p>
        </w:tc>
        <w:tc>
          <w:tcPr>
            <w:tcW w:w="810" w:type="dxa"/>
            <w:shd w:val="clear" w:color="FFFF00" w:fill="auto"/>
          </w:tcPr>
          <w:p w14:paraId="019AC59C" w14:textId="77777777" w:rsidR="00962364" w:rsidRPr="006C4619" w:rsidRDefault="00FE7A04" w:rsidP="00A36546">
            <w:pPr>
              <w:autoSpaceDE w:val="0"/>
              <w:autoSpaceDN w:val="0"/>
              <w:adjustRightInd w:val="0"/>
              <w:rPr>
                <w:rFonts w:ascii="Arial Narrow" w:hAnsi="Arial Narrow" w:cs="Arial Narrow"/>
                <w:color w:val="000000"/>
                <w:sz w:val="20"/>
              </w:rPr>
            </w:pPr>
            <w:r>
              <w:rPr>
                <w:rFonts w:ascii="Arial Narrow" w:hAnsi="Arial Narrow" w:cs="Arial Narrow"/>
                <w:color w:val="000000"/>
                <w:sz w:val="20"/>
              </w:rPr>
              <w:t>2</w:t>
            </w:r>
            <w:r w:rsidR="00962364">
              <w:rPr>
                <w:rFonts w:ascii="Arial Narrow" w:hAnsi="Arial Narrow" w:cs="Arial Narrow"/>
                <w:color w:val="000000"/>
                <w:sz w:val="20"/>
              </w:rPr>
              <w:t xml:space="preserve"> hrs.</w:t>
            </w:r>
          </w:p>
        </w:tc>
        <w:tc>
          <w:tcPr>
            <w:tcW w:w="1260" w:type="dxa"/>
            <w:shd w:val="clear" w:color="FFFF00" w:fill="auto"/>
          </w:tcPr>
          <w:p w14:paraId="299B9916" w14:textId="77777777" w:rsidR="00962364" w:rsidRPr="006C4619" w:rsidRDefault="00FE7A04" w:rsidP="00A36546">
            <w:pPr>
              <w:autoSpaceDE w:val="0"/>
              <w:autoSpaceDN w:val="0"/>
              <w:adjustRightInd w:val="0"/>
              <w:rPr>
                <w:rFonts w:ascii="Arial Narrow" w:hAnsi="Arial Narrow" w:cs="Arial Narrow"/>
                <w:color w:val="000000"/>
                <w:sz w:val="20"/>
              </w:rPr>
            </w:pPr>
            <w:r>
              <w:rPr>
                <w:rFonts w:ascii="Arial Narrow" w:hAnsi="Arial Narrow" w:cs="Arial Narrow"/>
                <w:color w:val="000000"/>
                <w:sz w:val="20"/>
              </w:rPr>
              <w:t>20</w:t>
            </w:r>
            <w:r w:rsidR="009E7CC9">
              <w:rPr>
                <w:rFonts w:ascii="Arial Narrow" w:hAnsi="Arial Narrow" w:cs="Arial Narrow"/>
                <w:color w:val="000000"/>
                <w:sz w:val="20"/>
              </w:rPr>
              <w:t xml:space="preserve"> hrs.</w:t>
            </w:r>
          </w:p>
        </w:tc>
        <w:tc>
          <w:tcPr>
            <w:tcW w:w="1350" w:type="dxa"/>
            <w:shd w:val="clear" w:color="FFFF00" w:fill="auto"/>
          </w:tcPr>
          <w:p w14:paraId="514CA94C" w14:textId="77777777" w:rsidR="00962364" w:rsidRPr="006C4619" w:rsidRDefault="00962364" w:rsidP="00A36546">
            <w:pPr>
              <w:autoSpaceDE w:val="0"/>
              <w:autoSpaceDN w:val="0"/>
              <w:adjustRightInd w:val="0"/>
              <w:rPr>
                <w:rFonts w:ascii="Arial Narrow" w:hAnsi="Arial Narrow" w:cs="Arial Narrow"/>
                <w:color w:val="000000"/>
                <w:sz w:val="20"/>
              </w:rPr>
            </w:pPr>
          </w:p>
        </w:tc>
      </w:tr>
      <w:tr w:rsidR="00962364" w:rsidRPr="006C4619" w14:paraId="4B6EBF4F" w14:textId="77777777" w:rsidTr="005234D5">
        <w:trPr>
          <w:trHeight w:val="735"/>
        </w:trPr>
        <w:tc>
          <w:tcPr>
            <w:tcW w:w="2145" w:type="dxa"/>
            <w:vMerge/>
          </w:tcPr>
          <w:p w14:paraId="1449F0D0" w14:textId="77777777" w:rsidR="00962364" w:rsidRPr="0092440E" w:rsidRDefault="00962364" w:rsidP="00A36546">
            <w:pPr>
              <w:autoSpaceDE w:val="0"/>
              <w:autoSpaceDN w:val="0"/>
              <w:adjustRightInd w:val="0"/>
              <w:rPr>
                <w:rFonts w:ascii="Arial Narrow" w:hAnsi="Arial Narrow" w:cs="Arial Narrow"/>
                <w:b/>
                <w:bCs/>
                <w:color w:val="000000"/>
                <w:szCs w:val="22"/>
              </w:rPr>
            </w:pPr>
          </w:p>
        </w:tc>
        <w:tc>
          <w:tcPr>
            <w:tcW w:w="2070" w:type="dxa"/>
            <w:shd w:val="clear" w:color="FFFF00" w:fill="auto"/>
          </w:tcPr>
          <w:p w14:paraId="73A80897" w14:textId="77777777" w:rsidR="00962364" w:rsidRPr="00407041" w:rsidRDefault="00962364" w:rsidP="00C0635E">
            <w:pPr>
              <w:autoSpaceDE w:val="0"/>
              <w:autoSpaceDN w:val="0"/>
              <w:adjustRightInd w:val="0"/>
              <w:rPr>
                <w:rFonts w:ascii="Arial Narrow" w:hAnsi="Arial Narrow" w:cs="Arial Narrow"/>
                <w:color w:val="000000"/>
                <w:sz w:val="20"/>
              </w:rPr>
            </w:pPr>
            <w:r w:rsidRPr="00407041">
              <w:rPr>
                <w:rFonts w:ascii="Arial Narrow" w:hAnsi="Arial Narrow" w:cs="Arial Narrow"/>
                <w:color w:val="000000"/>
                <w:sz w:val="20"/>
              </w:rPr>
              <w:t xml:space="preserve">10 opposing </w:t>
            </w:r>
            <w:r w:rsidR="00C0635E" w:rsidRPr="00407041">
              <w:rPr>
                <w:rFonts w:ascii="Arial Narrow" w:hAnsi="Arial Narrow" w:cs="Arial Narrow"/>
                <w:color w:val="000000"/>
                <w:sz w:val="20"/>
              </w:rPr>
              <w:t>parties (satellite carriers)</w:t>
            </w:r>
          </w:p>
        </w:tc>
        <w:tc>
          <w:tcPr>
            <w:tcW w:w="2340" w:type="dxa"/>
            <w:shd w:val="clear" w:color="FFFF00" w:fill="auto"/>
          </w:tcPr>
          <w:p w14:paraId="105E8F6E" w14:textId="77777777" w:rsidR="00962364" w:rsidRDefault="00962364" w:rsidP="00A36546">
            <w:pPr>
              <w:autoSpaceDE w:val="0"/>
              <w:autoSpaceDN w:val="0"/>
              <w:adjustRightInd w:val="0"/>
              <w:rPr>
                <w:rFonts w:ascii="Arial Narrow" w:hAnsi="Arial Narrow" w:cs="Arial Narrow"/>
                <w:color w:val="000000"/>
                <w:sz w:val="20"/>
              </w:rPr>
            </w:pPr>
            <w:r>
              <w:rPr>
                <w:rFonts w:ascii="Arial Narrow" w:hAnsi="Arial Narrow" w:cs="Arial Narrow"/>
                <w:color w:val="000000"/>
                <w:sz w:val="20"/>
              </w:rPr>
              <w:t>10 oppositions</w:t>
            </w:r>
          </w:p>
        </w:tc>
        <w:tc>
          <w:tcPr>
            <w:tcW w:w="810" w:type="dxa"/>
            <w:shd w:val="clear" w:color="FFFF00" w:fill="auto"/>
          </w:tcPr>
          <w:p w14:paraId="16B12B22" w14:textId="77777777" w:rsidR="00962364" w:rsidRPr="006C4619" w:rsidRDefault="00FE7A04" w:rsidP="00A36546">
            <w:pPr>
              <w:autoSpaceDE w:val="0"/>
              <w:autoSpaceDN w:val="0"/>
              <w:adjustRightInd w:val="0"/>
              <w:rPr>
                <w:rFonts w:ascii="Arial Narrow" w:hAnsi="Arial Narrow" w:cs="Arial Narrow"/>
                <w:color w:val="000000"/>
                <w:sz w:val="20"/>
              </w:rPr>
            </w:pPr>
            <w:r>
              <w:rPr>
                <w:rFonts w:ascii="Arial Narrow" w:hAnsi="Arial Narrow" w:cs="Arial Narrow"/>
                <w:color w:val="000000"/>
                <w:sz w:val="20"/>
              </w:rPr>
              <w:t>2</w:t>
            </w:r>
            <w:r w:rsidR="00962364">
              <w:rPr>
                <w:rFonts w:ascii="Arial Narrow" w:hAnsi="Arial Narrow" w:cs="Arial Narrow"/>
                <w:color w:val="000000"/>
                <w:sz w:val="20"/>
              </w:rPr>
              <w:t xml:space="preserve"> hrs.</w:t>
            </w:r>
          </w:p>
        </w:tc>
        <w:tc>
          <w:tcPr>
            <w:tcW w:w="1260" w:type="dxa"/>
            <w:shd w:val="clear" w:color="FFFF00" w:fill="auto"/>
          </w:tcPr>
          <w:p w14:paraId="25D0655C" w14:textId="77777777" w:rsidR="00962364" w:rsidRDefault="00FE7A04" w:rsidP="00A36546">
            <w:pPr>
              <w:autoSpaceDE w:val="0"/>
              <w:autoSpaceDN w:val="0"/>
              <w:adjustRightInd w:val="0"/>
              <w:rPr>
                <w:rFonts w:ascii="Arial Narrow" w:hAnsi="Arial Narrow" w:cs="Arial Narrow"/>
                <w:color w:val="000000"/>
                <w:sz w:val="20"/>
              </w:rPr>
            </w:pPr>
            <w:r>
              <w:rPr>
                <w:rFonts w:ascii="Arial Narrow" w:hAnsi="Arial Narrow" w:cs="Arial Narrow"/>
                <w:color w:val="000000"/>
                <w:sz w:val="20"/>
              </w:rPr>
              <w:t>20</w:t>
            </w:r>
            <w:r w:rsidR="009E7CC9">
              <w:rPr>
                <w:rFonts w:ascii="Arial Narrow" w:hAnsi="Arial Narrow" w:cs="Arial Narrow"/>
                <w:color w:val="000000"/>
                <w:sz w:val="20"/>
              </w:rPr>
              <w:t xml:space="preserve"> hrs.</w:t>
            </w:r>
          </w:p>
        </w:tc>
        <w:tc>
          <w:tcPr>
            <w:tcW w:w="1350" w:type="dxa"/>
            <w:shd w:val="clear" w:color="FFFF00" w:fill="auto"/>
          </w:tcPr>
          <w:p w14:paraId="46CD4221" w14:textId="77777777" w:rsidR="00962364" w:rsidRDefault="00962364" w:rsidP="00A36546">
            <w:pPr>
              <w:autoSpaceDE w:val="0"/>
              <w:autoSpaceDN w:val="0"/>
              <w:adjustRightInd w:val="0"/>
              <w:rPr>
                <w:rFonts w:ascii="Arial Narrow" w:hAnsi="Arial Narrow" w:cs="Arial Narrow"/>
                <w:color w:val="000000"/>
                <w:sz w:val="20"/>
              </w:rPr>
            </w:pPr>
          </w:p>
        </w:tc>
      </w:tr>
      <w:tr w:rsidR="00962364" w:rsidRPr="009E7CC9" w14:paraId="2200BE3A" w14:textId="77777777" w:rsidTr="005234D5">
        <w:trPr>
          <w:trHeight w:val="345"/>
        </w:trPr>
        <w:tc>
          <w:tcPr>
            <w:tcW w:w="2145" w:type="dxa"/>
            <w:shd w:val="clear" w:color="auto" w:fill="F2F2F2" w:themeFill="background1" w:themeFillShade="F2"/>
          </w:tcPr>
          <w:p w14:paraId="72AE12F0" w14:textId="77777777" w:rsidR="00962364" w:rsidRPr="0092440E" w:rsidRDefault="00962364" w:rsidP="00A36546">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Subtotal</w:t>
            </w:r>
          </w:p>
        </w:tc>
        <w:tc>
          <w:tcPr>
            <w:tcW w:w="2070" w:type="dxa"/>
            <w:shd w:val="clear" w:color="auto" w:fill="F2F2F2" w:themeFill="background1" w:themeFillShade="F2"/>
          </w:tcPr>
          <w:p w14:paraId="1B1967D8" w14:textId="77777777" w:rsidR="00962364" w:rsidRPr="009E7CC9" w:rsidRDefault="00962364" w:rsidP="00A36546">
            <w:pPr>
              <w:rPr>
                <w:rFonts w:ascii="Arial Narrow" w:hAnsi="Arial Narrow" w:cs="Arial Narrow"/>
                <w:b/>
                <w:sz w:val="20"/>
              </w:rPr>
            </w:pPr>
            <w:r w:rsidRPr="009E7CC9">
              <w:rPr>
                <w:rFonts w:ascii="Arial Narrow" w:hAnsi="Arial Narrow" w:cs="Arial Narrow"/>
                <w:b/>
                <w:bCs/>
                <w:color w:val="000000"/>
                <w:sz w:val="20"/>
              </w:rPr>
              <w:t>60 respondents</w:t>
            </w:r>
          </w:p>
        </w:tc>
        <w:tc>
          <w:tcPr>
            <w:tcW w:w="2340" w:type="dxa"/>
            <w:shd w:val="clear" w:color="auto" w:fill="F2F2F2" w:themeFill="background1" w:themeFillShade="F2"/>
          </w:tcPr>
          <w:p w14:paraId="38B17740" w14:textId="77777777" w:rsidR="00962364" w:rsidRPr="009E7CC9" w:rsidRDefault="00962364" w:rsidP="00A36546">
            <w:pPr>
              <w:rPr>
                <w:rFonts w:ascii="Arial Narrow" w:hAnsi="Arial Narrow" w:cs="Arial Narrow"/>
                <w:b/>
                <w:sz w:val="20"/>
              </w:rPr>
            </w:pPr>
            <w:r w:rsidRPr="009E7CC9">
              <w:rPr>
                <w:rFonts w:ascii="Arial Narrow" w:hAnsi="Arial Narrow" w:cs="Arial Narrow"/>
                <w:b/>
                <w:color w:val="000000"/>
                <w:sz w:val="20"/>
              </w:rPr>
              <w:t>60 responses</w:t>
            </w:r>
          </w:p>
        </w:tc>
        <w:tc>
          <w:tcPr>
            <w:tcW w:w="810" w:type="dxa"/>
            <w:shd w:val="clear" w:color="auto" w:fill="F2F2F2" w:themeFill="background1" w:themeFillShade="F2"/>
          </w:tcPr>
          <w:p w14:paraId="0B38AB6B" w14:textId="77777777" w:rsidR="00962364" w:rsidRPr="009E7CC9" w:rsidRDefault="00962364" w:rsidP="00A36546">
            <w:pPr>
              <w:rPr>
                <w:rFonts w:ascii="Arial Narrow" w:hAnsi="Arial Narrow" w:cs="Arial Narrow"/>
                <w:b/>
                <w:sz w:val="20"/>
              </w:rPr>
            </w:pPr>
          </w:p>
        </w:tc>
        <w:tc>
          <w:tcPr>
            <w:tcW w:w="1260" w:type="dxa"/>
            <w:shd w:val="clear" w:color="auto" w:fill="F2F2F2" w:themeFill="background1" w:themeFillShade="F2"/>
          </w:tcPr>
          <w:p w14:paraId="1814E132" w14:textId="77777777" w:rsidR="00962364" w:rsidRPr="009E7CC9" w:rsidRDefault="00FE7A04" w:rsidP="00FD3EFF">
            <w:pPr>
              <w:rPr>
                <w:rFonts w:ascii="Arial Narrow" w:hAnsi="Arial Narrow" w:cs="Arial Narrow"/>
                <w:b/>
                <w:sz w:val="20"/>
              </w:rPr>
            </w:pPr>
            <w:r>
              <w:rPr>
                <w:rFonts w:ascii="Arial Narrow" w:hAnsi="Arial Narrow" w:cs="Arial Narrow"/>
                <w:b/>
                <w:sz w:val="20"/>
              </w:rPr>
              <w:t>100</w:t>
            </w:r>
            <w:r w:rsidR="009E7CC9" w:rsidRPr="009E7CC9">
              <w:rPr>
                <w:rFonts w:ascii="Arial Narrow" w:hAnsi="Arial Narrow" w:cs="Arial Narrow"/>
                <w:b/>
                <w:sz w:val="20"/>
              </w:rPr>
              <w:t xml:space="preserve"> h</w:t>
            </w:r>
            <w:r w:rsidR="00FD3EFF">
              <w:rPr>
                <w:rFonts w:ascii="Arial Narrow" w:hAnsi="Arial Narrow" w:cs="Arial Narrow"/>
                <w:b/>
                <w:sz w:val="20"/>
              </w:rPr>
              <w:t>ou</w:t>
            </w:r>
            <w:r w:rsidR="009E7CC9" w:rsidRPr="009E7CC9">
              <w:rPr>
                <w:rFonts w:ascii="Arial Narrow" w:hAnsi="Arial Narrow" w:cs="Arial Narrow"/>
                <w:b/>
                <w:sz w:val="20"/>
              </w:rPr>
              <w:t>rs</w:t>
            </w:r>
          </w:p>
        </w:tc>
        <w:tc>
          <w:tcPr>
            <w:tcW w:w="1350" w:type="dxa"/>
            <w:shd w:val="clear" w:color="auto" w:fill="F2F2F2" w:themeFill="background1" w:themeFillShade="F2"/>
          </w:tcPr>
          <w:p w14:paraId="740FECEA" w14:textId="77777777" w:rsidR="00962364" w:rsidRPr="009E7CC9" w:rsidRDefault="009E7CC9" w:rsidP="00A62AC2">
            <w:pPr>
              <w:rPr>
                <w:rFonts w:ascii="Arial Narrow" w:hAnsi="Arial Narrow" w:cs="Arial Narrow"/>
                <w:b/>
                <w:sz w:val="20"/>
              </w:rPr>
            </w:pPr>
            <w:r>
              <w:rPr>
                <w:rFonts w:ascii="Arial Narrow" w:hAnsi="Arial Narrow" w:cs="Arial Narrow"/>
                <w:b/>
                <w:sz w:val="20"/>
              </w:rPr>
              <w:t>$</w:t>
            </w:r>
            <w:r w:rsidR="00A62AC2">
              <w:rPr>
                <w:rFonts w:ascii="Arial Narrow" w:hAnsi="Arial Narrow" w:cs="Arial Narrow"/>
                <w:b/>
                <w:sz w:val="20"/>
              </w:rPr>
              <w:t>4</w:t>
            </w:r>
            <w:r>
              <w:rPr>
                <w:rFonts w:ascii="Arial Narrow" w:hAnsi="Arial Narrow" w:cs="Arial Narrow"/>
                <w:b/>
                <w:sz w:val="20"/>
              </w:rPr>
              <w:t>,</w:t>
            </w:r>
            <w:r w:rsidR="00A62AC2">
              <w:rPr>
                <w:rFonts w:ascii="Arial Narrow" w:hAnsi="Arial Narrow" w:cs="Arial Narrow"/>
                <w:b/>
                <w:sz w:val="20"/>
              </w:rPr>
              <w:t>808</w:t>
            </w:r>
            <w:r>
              <w:rPr>
                <w:rFonts w:ascii="Arial Narrow" w:hAnsi="Arial Narrow" w:cs="Arial Narrow"/>
                <w:b/>
                <w:sz w:val="20"/>
              </w:rPr>
              <w:t>.</w:t>
            </w:r>
            <w:r w:rsidR="00A62AC2">
              <w:rPr>
                <w:rFonts w:ascii="Arial Narrow" w:hAnsi="Arial Narrow" w:cs="Arial Narrow"/>
                <w:b/>
                <w:sz w:val="20"/>
              </w:rPr>
              <w:t>00</w:t>
            </w:r>
          </w:p>
        </w:tc>
      </w:tr>
      <w:tr w:rsidR="00962364" w:rsidRPr="006C4619" w14:paraId="21F388BF" w14:textId="77777777" w:rsidTr="005234D5">
        <w:trPr>
          <w:trHeight w:val="1122"/>
        </w:trPr>
        <w:tc>
          <w:tcPr>
            <w:tcW w:w="2145" w:type="dxa"/>
          </w:tcPr>
          <w:p w14:paraId="118E7C3B" w14:textId="77777777" w:rsidR="00DD18CA" w:rsidRPr="0092440E" w:rsidRDefault="00EC7B24" w:rsidP="00EC7B24">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 xml:space="preserve">Spot Beam Coverage Infeasibility Detailed Certifications </w:t>
            </w:r>
          </w:p>
          <w:p w14:paraId="2240B003" w14:textId="77777777" w:rsidR="00962364" w:rsidRPr="0092440E" w:rsidRDefault="00DD18CA" w:rsidP="00EC7B24">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(FCC 15-111)</w:t>
            </w:r>
          </w:p>
        </w:tc>
        <w:tc>
          <w:tcPr>
            <w:tcW w:w="2070" w:type="dxa"/>
            <w:shd w:val="clear" w:color="FFFF00" w:fill="auto"/>
          </w:tcPr>
          <w:p w14:paraId="26AD2EFE" w14:textId="77777777" w:rsidR="00962364" w:rsidRPr="00DD18CA" w:rsidRDefault="00DD18CA" w:rsidP="00DD18CA">
            <w:pPr>
              <w:rPr>
                <w:rFonts w:ascii="Arial Narrow" w:hAnsi="Arial Narrow" w:cs="Arial Narrow"/>
                <w:bCs/>
                <w:color w:val="000000"/>
                <w:sz w:val="20"/>
              </w:rPr>
            </w:pPr>
            <w:r w:rsidRPr="00DD18CA">
              <w:rPr>
                <w:rFonts w:ascii="Arial Narrow" w:hAnsi="Arial Narrow" w:cs="Arial Narrow"/>
                <w:bCs/>
                <w:color w:val="000000"/>
                <w:sz w:val="20"/>
              </w:rPr>
              <w:t>20 satellite carriers</w:t>
            </w:r>
          </w:p>
        </w:tc>
        <w:tc>
          <w:tcPr>
            <w:tcW w:w="2340" w:type="dxa"/>
            <w:shd w:val="clear" w:color="FFFF00" w:fill="auto"/>
          </w:tcPr>
          <w:p w14:paraId="5CF0A030" w14:textId="77777777" w:rsidR="00962364" w:rsidRPr="00DD18CA" w:rsidRDefault="00DD18CA" w:rsidP="00A36546">
            <w:pPr>
              <w:rPr>
                <w:rFonts w:ascii="Arial Narrow" w:hAnsi="Arial Narrow" w:cs="Arial Narrow"/>
                <w:color w:val="000000"/>
                <w:sz w:val="20"/>
              </w:rPr>
            </w:pPr>
            <w:r>
              <w:rPr>
                <w:rFonts w:ascii="Arial Narrow" w:hAnsi="Arial Narrow" w:cs="Arial Narrow"/>
                <w:color w:val="000000"/>
                <w:sz w:val="20"/>
              </w:rPr>
              <w:t>20 detailed certifications</w:t>
            </w:r>
          </w:p>
        </w:tc>
        <w:tc>
          <w:tcPr>
            <w:tcW w:w="810" w:type="dxa"/>
            <w:shd w:val="clear" w:color="FFFF00" w:fill="auto"/>
          </w:tcPr>
          <w:p w14:paraId="163E2A15" w14:textId="77777777" w:rsidR="00962364" w:rsidRPr="00DD18CA" w:rsidRDefault="00DD18CA" w:rsidP="00A36546">
            <w:pPr>
              <w:rPr>
                <w:rFonts w:ascii="Arial Narrow" w:hAnsi="Arial Narrow" w:cs="Arial Narrow"/>
                <w:sz w:val="20"/>
              </w:rPr>
            </w:pPr>
            <w:r>
              <w:rPr>
                <w:rFonts w:ascii="Arial Narrow" w:hAnsi="Arial Narrow" w:cs="Arial Narrow"/>
                <w:sz w:val="20"/>
              </w:rPr>
              <w:t>20 hrs.</w:t>
            </w:r>
          </w:p>
        </w:tc>
        <w:tc>
          <w:tcPr>
            <w:tcW w:w="1260" w:type="dxa"/>
            <w:shd w:val="clear" w:color="FFFF00" w:fill="auto"/>
          </w:tcPr>
          <w:p w14:paraId="69E11688" w14:textId="77777777" w:rsidR="00962364" w:rsidRPr="00DD18CA" w:rsidRDefault="00FD3EFF" w:rsidP="00A36546">
            <w:pPr>
              <w:rPr>
                <w:rFonts w:ascii="Arial Narrow" w:hAnsi="Arial Narrow" w:cs="Arial Narrow"/>
                <w:sz w:val="20"/>
              </w:rPr>
            </w:pPr>
            <w:r>
              <w:rPr>
                <w:rFonts w:ascii="Arial Narrow" w:hAnsi="Arial Narrow" w:cs="Arial Narrow"/>
                <w:sz w:val="20"/>
              </w:rPr>
              <w:t>400 hrs.</w:t>
            </w:r>
          </w:p>
        </w:tc>
        <w:tc>
          <w:tcPr>
            <w:tcW w:w="1350" w:type="dxa"/>
            <w:shd w:val="clear" w:color="FFFF00" w:fill="auto"/>
          </w:tcPr>
          <w:p w14:paraId="7B2A545E" w14:textId="77777777" w:rsidR="00962364" w:rsidRPr="00DD18CA" w:rsidRDefault="00962364" w:rsidP="00A36546">
            <w:pPr>
              <w:rPr>
                <w:rFonts w:ascii="Arial Narrow" w:hAnsi="Arial Narrow" w:cs="Arial Narrow"/>
                <w:sz w:val="20"/>
              </w:rPr>
            </w:pPr>
          </w:p>
        </w:tc>
      </w:tr>
      <w:tr w:rsidR="00DD18CA" w:rsidRPr="006C4619" w14:paraId="04839448" w14:textId="77777777" w:rsidTr="005234D5">
        <w:trPr>
          <w:trHeight w:val="1077"/>
        </w:trPr>
        <w:tc>
          <w:tcPr>
            <w:tcW w:w="2145" w:type="dxa"/>
          </w:tcPr>
          <w:p w14:paraId="16D1BEC3" w14:textId="77777777" w:rsidR="00DD18CA" w:rsidRPr="0092440E" w:rsidRDefault="00DD18CA" w:rsidP="00DD18CA">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 xml:space="preserve">Detailed Certification Recordkeeping Requirement </w:t>
            </w:r>
          </w:p>
          <w:p w14:paraId="078FFB3C" w14:textId="77777777" w:rsidR="00DD18CA" w:rsidRPr="0092440E" w:rsidRDefault="00DD18CA" w:rsidP="00DD18CA">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(FCC 15-111)</w:t>
            </w:r>
          </w:p>
        </w:tc>
        <w:tc>
          <w:tcPr>
            <w:tcW w:w="2070" w:type="dxa"/>
            <w:shd w:val="clear" w:color="FFFF00" w:fill="auto"/>
          </w:tcPr>
          <w:p w14:paraId="39A5EFB5" w14:textId="77777777" w:rsidR="00DD18CA" w:rsidRPr="00DD18CA" w:rsidRDefault="00DD18CA" w:rsidP="00DD18CA">
            <w:pPr>
              <w:rPr>
                <w:rFonts w:ascii="Arial Narrow" w:hAnsi="Arial Narrow" w:cs="Arial Narrow"/>
                <w:bCs/>
                <w:color w:val="000000"/>
                <w:sz w:val="20"/>
              </w:rPr>
            </w:pPr>
            <w:r w:rsidRPr="00DD18CA">
              <w:rPr>
                <w:rFonts w:ascii="Arial Narrow" w:hAnsi="Arial Narrow" w:cs="Arial Narrow"/>
                <w:bCs/>
                <w:color w:val="000000"/>
                <w:sz w:val="20"/>
              </w:rPr>
              <w:t>20 satellite carriers</w:t>
            </w:r>
          </w:p>
        </w:tc>
        <w:tc>
          <w:tcPr>
            <w:tcW w:w="2340" w:type="dxa"/>
            <w:shd w:val="clear" w:color="FFFF00" w:fill="auto"/>
          </w:tcPr>
          <w:p w14:paraId="2DE9D476" w14:textId="77777777" w:rsidR="00DD18CA" w:rsidRPr="00DD18CA" w:rsidRDefault="00DD18CA" w:rsidP="00DD18CA">
            <w:pPr>
              <w:rPr>
                <w:rFonts w:ascii="Arial Narrow" w:hAnsi="Arial Narrow" w:cs="Arial Narrow"/>
                <w:color w:val="000000"/>
                <w:sz w:val="20"/>
              </w:rPr>
            </w:pPr>
            <w:r>
              <w:rPr>
                <w:rFonts w:ascii="Arial Narrow" w:hAnsi="Arial Narrow" w:cs="Arial Narrow"/>
                <w:color w:val="000000"/>
                <w:sz w:val="20"/>
              </w:rPr>
              <w:t>20 records of supporting documentation</w:t>
            </w:r>
          </w:p>
        </w:tc>
        <w:tc>
          <w:tcPr>
            <w:tcW w:w="810" w:type="dxa"/>
            <w:shd w:val="clear" w:color="FFFF00" w:fill="auto"/>
          </w:tcPr>
          <w:p w14:paraId="7E88874F" w14:textId="77777777" w:rsidR="00DD18CA" w:rsidRPr="00DD18CA" w:rsidRDefault="00DD18CA" w:rsidP="00DD18CA">
            <w:pPr>
              <w:rPr>
                <w:rFonts w:ascii="Arial Narrow" w:hAnsi="Arial Narrow" w:cs="Arial Narrow"/>
                <w:sz w:val="20"/>
              </w:rPr>
            </w:pPr>
            <w:r>
              <w:rPr>
                <w:rFonts w:ascii="Arial Narrow" w:hAnsi="Arial Narrow" w:cs="Arial Narrow"/>
                <w:sz w:val="20"/>
              </w:rPr>
              <w:t>0.5 hrs.</w:t>
            </w:r>
          </w:p>
        </w:tc>
        <w:tc>
          <w:tcPr>
            <w:tcW w:w="1260" w:type="dxa"/>
            <w:shd w:val="clear" w:color="FFFF00" w:fill="auto"/>
          </w:tcPr>
          <w:p w14:paraId="56BBD6BC" w14:textId="77777777" w:rsidR="00DD18CA" w:rsidRPr="00DD18CA" w:rsidRDefault="00FD3EFF" w:rsidP="00DD18CA">
            <w:pPr>
              <w:rPr>
                <w:rFonts w:ascii="Arial Narrow" w:hAnsi="Arial Narrow" w:cs="Arial Narrow"/>
                <w:sz w:val="20"/>
              </w:rPr>
            </w:pPr>
            <w:r>
              <w:rPr>
                <w:rFonts w:ascii="Arial Narrow" w:hAnsi="Arial Narrow" w:cs="Arial Narrow"/>
                <w:sz w:val="20"/>
              </w:rPr>
              <w:t>10 hrs.</w:t>
            </w:r>
          </w:p>
        </w:tc>
        <w:tc>
          <w:tcPr>
            <w:tcW w:w="1350" w:type="dxa"/>
            <w:shd w:val="clear" w:color="FFFF00" w:fill="auto"/>
          </w:tcPr>
          <w:p w14:paraId="7F29E001" w14:textId="77777777" w:rsidR="00DD18CA" w:rsidRPr="00DD18CA" w:rsidRDefault="00DD18CA" w:rsidP="00DD18CA">
            <w:pPr>
              <w:rPr>
                <w:rFonts w:ascii="Arial Narrow" w:hAnsi="Arial Narrow" w:cs="Arial Narrow"/>
                <w:sz w:val="20"/>
              </w:rPr>
            </w:pPr>
          </w:p>
        </w:tc>
      </w:tr>
      <w:tr w:rsidR="00DD18CA" w:rsidRPr="00FD3EFF" w14:paraId="6F1F1389" w14:textId="77777777" w:rsidTr="005234D5">
        <w:trPr>
          <w:trHeight w:val="416"/>
        </w:trPr>
        <w:tc>
          <w:tcPr>
            <w:tcW w:w="2145" w:type="dxa"/>
            <w:shd w:val="clear" w:color="auto" w:fill="F2F2F2" w:themeFill="background1" w:themeFillShade="F2"/>
          </w:tcPr>
          <w:p w14:paraId="46DC42D5" w14:textId="77777777" w:rsidR="00DD18CA" w:rsidRPr="0092440E" w:rsidRDefault="00DD18CA" w:rsidP="00DD18CA">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Subtotal</w:t>
            </w:r>
          </w:p>
        </w:tc>
        <w:tc>
          <w:tcPr>
            <w:tcW w:w="2070" w:type="dxa"/>
            <w:shd w:val="clear" w:color="auto" w:fill="F2F2F2" w:themeFill="background1" w:themeFillShade="F2"/>
          </w:tcPr>
          <w:p w14:paraId="0AFCB375" w14:textId="77777777" w:rsidR="00DD18CA" w:rsidRPr="00FD3EFF" w:rsidRDefault="00FD3EFF" w:rsidP="00DD18CA">
            <w:pPr>
              <w:rPr>
                <w:rFonts w:ascii="Arial Narrow" w:hAnsi="Arial Narrow" w:cs="Arial Narrow"/>
                <w:b/>
                <w:bCs/>
                <w:color w:val="000000"/>
                <w:sz w:val="20"/>
              </w:rPr>
            </w:pPr>
            <w:r w:rsidRPr="00FD3EFF">
              <w:rPr>
                <w:rFonts w:ascii="Arial Narrow" w:hAnsi="Arial Narrow" w:cs="Arial Narrow"/>
                <w:b/>
                <w:bCs/>
                <w:color w:val="000000"/>
                <w:sz w:val="20"/>
              </w:rPr>
              <w:t>40 respondents</w:t>
            </w:r>
          </w:p>
        </w:tc>
        <w:tc>
          <w:tcPr>
            <w:tcW w:w="2340" w:type="dxa"/>
            <w:shd w:val="clear" w:color="auto" w:fill="F2F2F2" w:themeFill="background1" w:themeFillShade="F2"/>
          </w:tcPr>
          <w:p w14:paraId="1B7D4D53" w14:textId="77777777" w:rsidR="00DD18CA" w:rsidRPr="00FD3EFF" w:rsidRDefault="00FD3EFF" w:rsidP="00DD18CA">
            <w:pPr>
              <w:rPr>
                <w:rFonts w:ascii="Arial Narrow" w:hAnsi="Arial Narrow" w:cs="Arial Narrow"/>
                <w:b/>
                <w:color w:val="000000"/>
                <w:sz w:val="20"/>
              </w:rPr>
            </w:pPr>
            <w:r w:rsidRPr="00FD3EFF">
              <w:rPr>
                <w:rFonts w:ascii="Arial Narrow" w:hAnsi="Arial Narrow" w:cs="Arial Narrow"/>
                <w:b/>
                <w:color w:val="000000"/>
                <w:sz w:val="20"/>
              </w:rPr>
              <w:t>40 responses</w:t>
            </w:r>
          </w:p>
        </w:tc>
        <w:tc>
          <w:tcPr>
            <w:tcW w:w="810" w:type="dxa"/>
            <w:shd w:val="clear" w:color="auto" w:fill="F2F2F2" w:themeFill="background1" w:themeFillShade="F2"/>
          </w:tcPr>
          <w:p w14:paraId="310C1702" w14:textId="77777777" w:rsidR="00DD18CA" w:rsidRPr="00FD3EFF" w:rsidRDefault="00DD18CA" w:rsidP="00DD18CA">
            <w:pPr>
              <w:rPr>
                <w:rFonts w:ascii="Arial Narrow" w:hAnsi="Arial Narrow" w:cs="Arial Narrow"/>
                <w:b/>
                <w:sz w:val="20"/>
              </w:rPr>
            </w:pPr>
          </w:p>
        </w:tc>
        <w:tc>
          <w:tcPr>
            <w:tcW w:w="1260" w:type="dxa"/>
            <w:shd w:val="clear" w:color="auto" w:fill="F2F2F2" w:themeFill="background1" w:themeFillShade="F2"/>
          </w:tcPr>
          <w:p w14:paraId="37DB87DC" w14:textId="77777777" w:rsidR="00DD18CA" w:rsidRPr="00FD3EFF" w:rsidRDefault="00FD3EFF" w:rsidP="00DD18CA">
            <w:pPr>
              <w:rPr>
                <w:rFonts w:ascii="Arial Narrow" w:hAnsi="Arial Narrow" w:cs="Arial Narrow"/>
                <w:b/>
                <w:sz w:val="20"/>
              </w:rPr>
            </w:pPr>
            <w:r w:rsidRPr="00FD3EFF">
              <w:rPr>
                <w:rFonts w:ascii="Arial Narrow" w:hAnsi="Arial Narrow" w:cs="Arial Narrow"/>
                <w:b/>
                <w:sz w:val="20"/>
              </w:rPr>
              <w:t>410 hours</w:t>
            </w:r>
          </w:p>
        </w:tc>
        <w:tc>
          <w:tcPr>
            <w:tcW w:w="1350" w:type="dxa"/>
            <w:shd w:val="clear" w:color="auto" w:fill="F2F2F2" w:themeFill="background1" w:themeFillShade="F2"/>
          </w:tcPr>
          <w:p w14:paraId="7BF7DE7B" w14:textId="77777777" w:rsidR="00DD18CA" w:rsidRPr="00FD3EFF" w:rsidRDefault="009773C0" w:rsidP="00DD18CA">
            <w:pPr>
              <w:rPr>
                <w:rFonts w:ascii="Arial Narrow" w:hAnsi="Arial Narrow" w:cs="Arial Narrow"/>
                <w:b/>
                <w:sz w:val="20"/>
              </w:rPr>
            </w:pPr>
            <w:r>
              <w:rPr>
                <w:rFonts w:ascii="Arial Narrow" w:hAnsi="Arial Narrow" w:cs="Arial Narrow"/>
                <w:b/>
                <w:sz w:val="20"/>
              </w:rPr>
              <w:t>$19,712.80</w:t>
            </w:r>
          </w:p>
        </w:tc>
      </w:tr>
      <w:tr w:rsidR="00C604B0" w:rsidRPr="00D12FDD" w14:paraId="59BDB3E7" w14:textId="77777777" w:rsidTr="005234D5">
        <w:tc>
          <w:tcPr>
            <w:tcW w:w="2145" w:type="dxa"/>
          </w:tcPr>
          <w:p w14:paraId="163D5C8B" w14:textId="77777777" w:rsidR="00C604B0" w:rsidRDefault="00C604B0" w:rsidP="00C604B0">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 xml:space="preserve">TOTALS:                     </w:t>
            </w:r>
          </w:p>
          <w:p w14:paraId="4B13F805" w14:textId="77777777" w:rsidR="00C604B0" w:rsidRPr="0092440E" w:rsidRDefault="00C604B0" w:rsidP="00C604B0">
            <w:pPr>
              <w:autoSpaceDE w:val="0"/>
              <w:autoSpaceDN w:val="0"/>
              <w:adjustRightInd w:val="0"/>
              <w:rPr>
                <w:rFonts w:ascii="Arial Narrow" w:hAnsi="Arial Narrow" w:cs="Arial Narrow"/>
                <w:b/>
                <w:bCs/>
                <w:color w:val="000000"/>
                <w:szCs w:val="22"/>
              </w:rPr>
            </w:pPr>
          </w:p>
        </w:tc>
        <w:tc>
          <w:tcPr>
            <w:tcW w:w="2070" w:type="dxa"/>
            <w:shd w:val="clear" w:color="FFFF00" w:fill="auto"/>
          </w:tcPr>
          <w:p w14:paraId="581EA225" w14:textId="77777777" w:rsidR="00C604B0" w:rsidRPr="00D12FDD" w:rsidRDefault="00C604B0" w:rsidP="00C604B0">
            <w:pPr>
              <w:autoSpaceDE w:val="0"/>
              <w:autoSpaceDN w:val="0"/>
              <w:adjustRightInd w:val="0"/>
              <w:rPr>
                <w:rFonts w:ascii="Arial Narrow" w:hAnsi="Arial Narrow" w:cs="Arial Narrow"/>
                <w:b/>
                <w:color w:val="000000"/>
                <w:szCs w:val="22"/>
              </w:rPr>
            </w:pPr>
            <w:r w:rsidRPr="00D12FDD">
              <w:rPr>
                <w:rFonts w:ascii="Arial Narrow" w:hAnsi="Arial Narrow" w:cs="Arial Narrow"/>
                <w:b/>
                <w:color w:val="000000"/>
                <w:szCs w:val="22"/>
              </w:rPr>
              <w:t>180 respondents</w:t>
            </w:r>
          </w:p>
        </w:tc>
        <w:tc>
          <w:tcPr>
            <w:tcW w:w="2340" w:type="dxa"/>
            <w:shd w:val="clear" w:color="FFFF00" w:fill="auto"/>
          </w:tcPr>
          <w:p w14:paraId="2A3F467A" w14:textId="77777777" w:rsidR="00C604B0" w:rsidRPr="00D12FDD" w:rsidRDefault="00C604B0" w:rsidP="00C604B0">
            <w:pPr>
              <w:autoSpaceDE w:val="0"/>
              <w:autoSpaceDN w:val="0"/>
              <w:adjustRightInd w:val="0"/>
              <w:rPr>
                <w:rFonts w:ascii="Arial Narrow" w:hAnsi="Arial Narrow" w:cs="Arial Narrow"/>
                <w:b/>
                <w:color w:val="000000"/>
                <w:szCs w:val="22"/>
              </w:rPr>
            </w:pPr>
            <w:r w:rsidRPr="00D12FDD">
              <w:rPr>
                <w:rFonts w:ascii="Arial Narrow" w:hAnsi="Arial Narrow" w:cs="Arial Narrow"/>
                <w:b/>
                <w:color w:val="000000"/>
                <w:szCs w:val="22"/>
              </w:rPr>
              <w:t>200 responses</w:t>
            </w:r>
          </w:p>
        </w:tc>
        <w:tc>
          <w:tcPr>
            <w:tcW w:w="810" w:type="dxa"/>
            <w:shd w:val="clear" w:color="FFFF00" w:fill="auto"/>
          </w:tcPr>
          <w:p w14:paraId="587F7269" w14:textId="77777777" w:rsidR="00C604B0" w:rsidRPr="00D12FDD" w:rsidRDefault="00C604B0" w:rsidP="00C604B0">
            <w:pPr>
              <w:autoSpaceDE w:val="0"/>
              <w:autoSpaceDN w:val="0"/>
              <w:adjustRightInd w:val="0"/>
              <w:rPr>
                <w:rFonts w:ascii="Arial Narrow" w:hAnsi="Arial Narrow" w:cs="Arial Narrow"/>
                <w:b/>
                <w:color w:val="000000"/>
                <w:szCs w:val="22"/>
              </w:rPr>
            </w:pPr>
          </w:p>
        </w:tc>
        <w:tc>
          <w:tcPr>
            <w:tcW w:w="1260" w:type="dxa"/>
            <w:shd w:val="clear" w:color="FFFF00" w:fill="auto"/>
          </w:tcPr>
          <w:p w14:paraId="2C5519E9" w14:textId="77777777" w:rsidR="00C604B0" w:rsidRPr="00D12FDD" w:rsidRDefault="00C604B0" w:rsidP="005234D5">
            <w:pPr>
              <w:autoSpaceDE w:val="0"/>
              <w:autoSpaceDN w:val="0"/>
              <w:adjustRightInd w:val="0"/>
              <w:rPr>
                <w:rFonts w:ascii="Arial Narrow" w:hAnsi="Arial Narrow" w:cs="Arial Narrow"/>
                <w:b/>
                <w:color w:val="000000"/>
                <w:szCs w:val="22"/>
              </w:rPr>
            </w:pPr>
            <w:r w:rsidRPr="00D12FDD">
              <w:rPr>
                <w:rFonts w:ascii="Arial Narrow" w:hAnsi="Arial Narrow" w:cs="Arial Narrow"/>
                <w:b/>
                <w:color w:val="000000"/>
                <w:szCs w:val="22"/>
              </w:rPr>
              <w:t>1,</w:t>
            </w:r>
            <w:r w:rsidR="005234D5">
              <w:rPr>
                <w:rFonts w:ascii="Arial Narrow" w:hAnsi="Arial Narrow" w:cs="Arial Narrow"/>
                <w:b/>
                <w:color w:val="000000"/>
                <w:szCs w:val="22"/>
              </w:rPr>
              <w:t>48</w:t>
            </w:r>
            <w:r w:rsidRPr="00D12FDD">
              <w:rPr>
                <w:rFonts w:ascii="Arial Narrow" w:hAnsi="Arial Narrow" w:cs="Arial Narrow"/>
                <w:b/>
                <w:color w:val="000000"/>
                <w:szCs w:val="22"/>
              </w:rPr>
              <w:t>6 hours</w:t>
            </w:r>
          </w:p>
        </w:tc>
        <w:tc>
          <w:tcPr>
            <w:tcW w:w="1350" w:type="dxa"/>
            <w:shd w:val="clear" w:color="FFFF00" w:fill="auto"/>
          </w:tcPr>
          <w:p w14:paraId="57CFCB79" w14:textId="77777777" w:rsidR="00C604B0" w:rsidRPr="00D12FDD" w:rsidRDefault="009773C0" w:rsidP="00A62AC2">
            <w:pPr>
              <w:autoSpaceDE w:val="0"/>
              <w:autoSpaceDN w:val="0"/>
              <w:adjustRightInd w:val="0"/>
              <w:rPr>
                <w:rFonts w:ascii="Arial Narrow" w:hAnsi="Arial Narrow" w:cs="Arial Narrow"/>
                <w:b/>
                <w:color w:val="000000"/>
                <w:szCs w:val="22"/>
              </w:rPr>
            </w:pPr>
            <w:r w:rsidRPr="00D12FDD">
              <w:rPr>
                <w:rFonts w:ascii="Arial Narrow" w:hAnsi="Arial Narrow" w:cs="Arial Narrow"/>
                <w:b/>
                <w:color w:val="000000"/>
                <w:szCs w:val="22"/>
              </w:rPr>
              <w:t>$7</w:t>
            </w:r>
            <w:r w:rsidR="00A62AC2">
              <w:rPr>
                <w:rFonts w:ascii="Arial Narrow" w:hAnsi="Arial Narrow" w:cs="Arial Narrow"/>
                <w:b/>
                <w:color w:val="000000"/>
                <w:szCs w:val="22"/>
              </w:rPr>
              <w:t>1</w:t>
            </w:r>
            <w:r w:rsidRPr="00D12FDD">
              <w:rPr>
                <w:rFonts w:ascii="Arial Narrow" w:hAnsi="Arial Narrow" w:cs="Arial Narrow"/>
                <w:b/>
                <w:color w:val="000000"/>
                <w:szCs w:val="22"/>
              </w:rPr>
              <w:t>,</w:t>
            </w:r>
            <w:r w:rsidR="00A62AC2">
              <w:rPr>
                <w:rFonts w:ascii="Arial Narrow" w:hAnsi="Arial Narrow" w:cs="Arial Narrow"/>
                <w:b/>
                <w:color w:val="000000"/>
                <w:szCs w:val="22"/>
              </w:rPr>
              <w:t>44</w:t>
            </w:r>
            <w:r w:rsidRPr="00D12FDD">
              <w:rPr>
                <w:rFonts w:ascii="Arial Narrow" w:hAnsi="Arial Narrow" w:cs="Arial Narrow"/>
                <w:b/>
                <w:color w:val="000000"/>
                <w:szCs w:val="22"/>
              </w:rPr>
              <w:t>6.</w:t>
            </w:r>
            <w:r w:rsidR="00A62AC2">
              <w:rPr>
                <w:rFonts w:ascii="Arial Narrow" w:hAnsi="Arial Narrow" w:cs="Arial Narrow"/>
                <w:b/>
                <w:color w:val="000000"/>
                <w:szCs w:val="22"/>
              </w:rPr>
              <w:t>8</w:t>
            </w:r>
            <w:r w:rsidRPr="00D12FDD">
              <w:rPr>
                <w:rFonts w:ascii="Arial Narrow" w:hAnsi="Arial Narrow" w:cs="Arial Narrow"/>
                <w:b/>
                <w:color w:val="000000"/>
                <w:szCs w:val="22"/>
              </w:rPr>
              <w:t>8</w:t>
            </w:r>
          </w:p>
        </w:tc>
      </w:tr>
    </w:tbl>
    <w:p w14:paraId="5DAB81AD" w14:textId="77777777" w:rsidR="0037269B" w:rsidRPr="00423C65" w:rsidRDefault="0037269B">
      <w:pPr>
        <w:suppressAutoHyphens/>
        <w:rPr>
          <w:sz w:val="24"/>
          <w:szCs w:val="24"/>
        </w:rPr>
      </w:pPr>
    </w:p>
    <w:p w14:paraId="179AC51C" w14:textId="77777777" w:rsidR="00423C65" w:rsidRPr="00423C65" w:rsidRDefault="00423C65" w:rsidP="00423C65">
      <w:pPr>
        <w:pStyle w:val="ParaNum"/>
        <w:numPr>
          <w:ilvl w:val="0"/>
          <w:numId w:val="0"/>
        </w:numPr>
        <w:tabs>
          <w:tab w:val="left" w:pos="360"/>
        </w:tabs>
        <w:rPr>
          <w:sz w:val="24"/>
          <w:szCs w:val="24"/>
        </w:rPr>
      </w:pPr>
    </w:p>
    <w:p w14:paraId="27886EEF" w14:textId="77777777" w:rsidR="004723A0" w:rsidRDefault="004723A0">
      <w:pPr>
        <w:widowControl/>
        <w:rPr>
          <w:spacing w:val="-3"/>
          <w:sz w:val="24"/>
          <w:szCs w:val="24"/>
        </w:rPr>
      </w:pPr>
      <w:r>
        <w:rPr>
          <w:spacing w:val="-3"/>
          <w:sz w:val="24"/>
          <w:szCs w:val="24"/>
        </w:rPr>
        <w:br w:type="page"/>
      </w:r>
    </w:p>
    <w:p w14:paraId="38147D4C" w14:textId="77777777" w:rsidR="00423C65" w:rsidRDefault="00423C65" w:rsidP="00423C65">
      <w:pPr>
        <w:pStyle w:val="ParaNum"/>
        <w:numPr>
          <w:ilvl w:val="0"/>
          <w:numId w:val="0"/>
        </w:numPr>
        <w:tabs>
          <w:tab w:val="left" w:pos="0"/>
          <w:tab w:val="left" w:pos="360"/>
        </w:tabs>
        <w:rPr>
          <w:spacing w:val="-3"/>
          <w:sz w:val="24"/>
          <w:szCs w:val="24"/>
        </w:rPr>
      </w:pPr>
      <w:r w:rsidRPr="009F6442">
        <w:rPr>
          <w:spacing w:val="-3"/>
          <w:sz w:val="24"/>
          <w:szCs w:val="24"/>
        </w:rPr>
        <w:lastRenderedPageBreak/>
        <w:t>13.</w:t>
      </w:r>
      <w:r w:rsidR="004A6BD4" w:rsidRPr="009F6442">
        <w:rPr>
          <w:spacing w:val="-3"/>
          <w:sz w:val="24"/>
          <w:szCs w:val="24"/>
        </w:rPr>
        <w:t xml:space="preserve"> </w:t>
      </w:r>
      <w:r w:rsidRPr="009F6442">
        <w:rPr>
          <w:b/>
          <w:spacing w:val="-3"/>
          <w:sz w:val="24"/>
          <w:szCs w:val="24"/>
        </w:rPr>
        <w:t>Cost to Respondents</w:t>
      </w:r>
      <w:r w:rsidRPr="009F6442">
        <w:rPr>
          <w:spacing w:val="-3"/>
          <w:sz w:val="24"/>
          <w:szCs w:val="24"/>
        </w:rPr>
        <w:t xml:space="preserve">:  </w:t>
      </w:r>
      <w:r w:rsidR="00B05B1A" w:rsidRPr="009F6442">
        <w:rPr>
          <w:spacing w:val="-3"/>
          <w:sz w:val="24"/>
          <w:szCs w:val="24"/>
        </w:rPr>
        <w:t xml:space="preserve">As noted </w:t>
      </w:r>
      <w:r w:rsidR="006F1D93" w:rsidRPr="009F6442">
        <w:rPr>
          <w:spacing w:val="-3"/>
          <w:sz w:val="24"/>
          <w:szCs w:val="24"/>
        </w:rPr>
        <w:t xml:space="preserve">in item 12, </w:t>
      </w:r>
      <w:r w:rsidR="00B05B1A" w:rsidRPr="009F6442">
        <w:rPr>
          <w:spacing w:val="-3"/>
          <w:sz w:val="24"/>
          <w:szCs w:val="24"/>
        </w:rPr>
        <w:t xml:space="preserve">above, we </w:t>
      </w:r>
      <w:r w:rsidR="006F1D93" w:rsidRPr="009F6442">
        <w:rPr>
          <w:sz w:val="24"/>
          <w:szCs w:val="24"/>
        </w:rPr>
        <w:t xml:space="preserve">estimated that all 20 market modification petitions will be prepared using an outside attorney.  </w:t>
      </w:r>
      <w:r w:rsidR="00126DCD" w:rsidRPr="009F6442">
        <w:rPr>
          <w:sz w:val="24"/>
          <w:szCs w:val="24"/>
        </w:rPr>
        <w:t>W</w:t>
      </w:r>
      <w:r w:rsidR="006F1D93" w:rsidRPr="009F6442">
        <w:rPr>
          <w:sz w:val="24"/>
          <w:szCs w:val="24"/>
        </w:rPr>
        <w:t xml:space="preserve">e </w:t>
      </w:r>
      <w:r w:rsidR="00126DCD" w:rsidRPr="009F6442">
        <w:rPr>
          <w:sz w:val="24"/>
          <w:szCs w:val="24"/>
        </w:rPr>
        <w:t xml:space="preserve">also </w:t>
      </w:r>
      <w:r w:rsidR="006F1D93" w:rsidRPr="009F6442">
        <w:rPr>
          <w:sz w:val="24"/>
          <w:szCs w:val="24"/>
        </w:rPr>
        <w:t xml:space="preserve">estimated that </w:t>
      </w:r>
      <w:r w:rsidR="004A5E5B">
        <w:rPr>
          <w:sz w:val="24"/>
          <w:szCs w:val="24"/>
        </w:rPr>
        <w:t>64</w:t>
      </w:r>
      <w:r w:rsidR="006F1D93" w:rsidRPr="009F6442">
        <w:rPr>
          <w:sz w:val="24"/>
          <w:szCs w:val="24"/>
        </w:rPr>
        <w:t xml:space="preserve"> responsive pleadings will be prepared using an outside attorney.  </w:t>
      </w:r>
      <w:r w:rsidR="00126DCD" w:rsidRPr="009F6442">
        <w:rPr>
          <w:sz w:val="24"/>
          <w:szCs w:val="24"/>
        </w:rPr>
        <w:t xml:space="preserve">With respect to the 20 market modification petitions prepared using an outside attorney, we estimate that it will take the outside attorney 80 hours to research and prepare a market modification petition.  With respect to the </w:t>
      </w:r>
      <w:r w:rsidR="004A5E5B">
        <w:rPr>
          <w:sz w:val="24"/>
          <w:szCs w:val="24"/>
        </w:rPr>
        <w:t>64</w:t>
      </w:r>
      <w:r w:rsidR="00126DCD" w:rsidRPr="009F6442">
        <w:rPr>
          <w:sz w:val="24"/>
          <w:szCs w:val="24"/>
        </w:rPr>
        <w:t xml:space="preserve"> responsive pleadings prepared using an outside attorney, we estimate that it will take the outside attorney 40 hours to prepare a responsive pleading.  We estimate that an outside attorney will charge an average of </w:t>
      </w:r>
      <w:r w:rsidR="00E26E35" w:rsidRPr="009F6442">
        <w:rPr>
          <w:spacing w:val="-3"/>
          <w:sz w:val="24"/>
          <w:szCs w:val="24"/>
        </w:rPr>
        <w:t xml:space="preserve">$300 per </w:t>
      </w:r>
      <w:r w:rsidRPr="009F6442">
        <w:rPr>
          <w:spacing w:val="-3"/>
          <w:sz w:val="24"/>
          <w:szCs w:val="24"/>
        </w:rPr>
        <w:t>hour</w:t>
      </w:r>
      <w:r w:rsidR="00126DCD" w:rsidRPr="009F6442">
        <w:rPr>
          <w:spacing w:val="-3"/>
          <w:sz w:val="24"/>
          <w:szCs w:val="24"/>
        </w:rPr>
        <w:t xml:space="preserve"> for providing legal services to respondents</w:t>
      </w:r>
      <w:r w:rsidR="00E26E35" w:rsidRPr="009F6442">
        <w:rPr>
          <w:spacing w:val="-3"/>
          <w:sz w:val="24"/>
          <w:szCs w:val="24"/>
        </w:rPr>
        <w:t>.</w:t>
      </w:r>
      <w:r w:rsidR="00126DCD" w:rsidRPr="009F6442">
        <w:rPr>
          <w:spacing w:val="-3"/>
          <w:sz w:val="24"/>
          <w:szCs w:val="24"/>
        </w:rPr>
        <w:t xml:space="preserve"> </w:t>
      </w:r>
      <w:r w:rsidRPr="009F6442">
        <w:rPr>
          <w:spacing w:val="-3"/>
          <w:sz w:val="24"/>
          <w:szCs w:val="24"/>
        </w:rPr>
        <w:t xml:space="preserve"> </w:t>
      </w:r>
      <w:r w:rsidR="00126DCD" w:rsidRPr="009F6442">
        <w:rPr>
          <w:sz w:val="24"/>
          <w:szCs w:val="24"/>
        </w:rPr>
        <w:t>In addition,</w:t>
      </w:r>
      <w:r w:rsidR="00126DCD" w:rsidRPr="009F6442">
        <w:rPr>
          <w:spacing w:val="-3"/>
          <w:sz w:val="24"/>
          <w:szCs w:val="24"/>
        </w:rPr>
        <w:t xml:space="preserve"> a filing fee of $1,465.00</w:t>
      </w:r>
      <w:r w:rsidR="00E26E35" w:rsidRPr="009F6442">
        <w:rPr>
          <w:spacing w:val="-3"/>
          <w:sz w:val="24"/>
          <w:szCs w:val="24"/>
        </w:rPr>
        <w:t xml:space="preserve"> </w:t>
      </w:r>
      <w:r w:rsidR="00126DCD" w:rsidRPr="009F6442">
        <w:rPr>
          <w:spacing w:val="-3"/>
          <w:sz w:val="24"/>
          <w:szCs w:val="24"/>
        </w:rPr>
        <w:t>is generally required for the filing of Special Relief petitions</w:t>
      </w:r>
      <w:r w:rsidR="00E26E35" w:rsidRPr="009F6442">
        <w:rPr>
          <w:spacing w:val="-3"/>
          <w:sz w:val="24"/>
          <w:szCs w:val="24"/>
        </w:rPr>
        <w:t>, such as a market modification petitions.</w:t>
      </w:r>
      <w:r w:rsidR="00E26E35" w:rsidRPr="009F6442">
        <w:rPr>
          <w:rStyle w:val="FootnoteReference"/>
          <w:spacing w:val="-3"/>
          <w:szCs w:val="24"/>
        </w:rPr>
        <w:footnoteReference w:id="35"/>
      </w:r>
      <w:r w:rsidR="00126DCD" w:rsidRPr="009F6442">
        <w:rPr>
          <w:spacing w:val="-3"/>
          <w:sz w:val="24"/>
          <w:szCs w:val="24"/>
        </w:rPr>
        <w:t xml:space="preserve"> </w:t>
      </w:r>
    </w:p>
    <w:p w14:paraId="77A6F7F4" w14:textId="77777777" w:rsidR="00BE588E" w:rsidRDefault="00E97F30" w:rsidP="00BE588E">
      <w:pPr>
        <w:pStyle w:val="ParaNum"/>
        <w:numPr>
          <w:ilvl w:val="0"/>
          <w:numId w:val="0"/>
        </w:numPr>
        <w:tabs>
          <w:tab w:val="left" w:pos="0"/>
          <w:tab w:val="left" w:pos="360"/>
        </w:tabs>
        <w:rPr>
          <w:sz w:val="24"/>
          <w:szCs w:val="24"/>
        </w:rPr>
      </w:pPr>
      <w:r>
        <w:rPr>
          <w:sz w:val="24"/>
          <w:szCs w:val="24"/>
        </w:rPr>
        <w:t xml:space="preserve">Also </w:t>
      </w:r>
      <w:r w:rsidRPr="009F6442">
        <w:rPr>
          <w:spacing w:val="-3"/>
          <w:sz w:val="24"/>
          <w:szCs w:val="24"/>
        </w:rPr>
        <w:t xml:space="preserve">noted in item 12, above, we </w:t>
      </w:r>
      <w:r w:rsidRPr="009F6442">
        <w:rPr>
          <w:sz w:val="24"/>
          <w:szCs w:val="24"/>
        </w:rPr>
        <w:t>estimated that</w:t>
      </w:r>
      <w:r>
        <w:rPr>
          <w:sz w:val="24"/>
          <w:szCs w:val="24"/>
        </w:rPr>
        <w:t xml:space="preserve"> all 10 </w:t>
      </w:r>
      <w:r w:rsidRPr="00E97F30">
        <w:rPr>
          <w:sz w:val="24"/>
          <w:szCs w:val="24"/>
        </w:rPr>
        <w:t xml:space="preserve">pre-filing coordination Special Relief </w:t>
      </w:r>
      <w:r w:rsidRPr="009F6442">
        <w:rPr>
          <w:sz w:val="24"/>
          <w:szCs w:val="24"/>
        </w:rPr>
        <w:t>petitions will be prepared using an outside attorney.  We also estimated that</w:t>
      </w:r>
      <w:r>
        <w:rPr>
          <w:sz w:val="24"/>
          <w:szCs w:val="24"/>
        </w:rPr>
        <w:t xml:space="preserve"> 10 oppositions to such petitions </w:t>
      </w:r>
      <w:r w:rsidRPr="009F6442">
        <w:rPr>
          <w:sz w:val="24"/>
          <w:szCs w:val="24"/>
        </w:rPr>
        <w:t>will be prepared using an outside attorney.</w:t>
      </w:r>
      <w:r>
        <w:rPr>
          <w:sz w:val="24"/>
          <w:szCs w:val="24"/>
        </w:rPr>
        <w:t xml:space="preserve">  </w:t>
      </w:r>
      <w:r w:rsidRPr="009F6442">
        <w:rPr>
          <w:sz w:val="24"/>
          <w:szCs w:val="24"/>
        </w:rPr>
        <w:t>With respect to the</w:t>
      </w:r>
      <w:r>
        <w:rPr>
          <w:sz w:val="24"/>
          <w:szCs w:val="24"/>
        </w:rPr>
        <w:t xml:space="preserve"> 10 </w:t>
      </w:r>
      <w:r w:rsidRPr="00E97F30">
        <w:rPr>
          <w:sz w:val="24"/>
          <w:szCs w:val="24"/>
        </w:rPr>
        <w:t xml:space="preserve">pre-filing coordination Special Relief </w:t>
      </w:r>
      <w:r w:rsidRPr="009F6442">
        <w:rPr>
          <w:sz w:val="24"/>
          <w:szCs w:val="24"/>
        </w:rPr>
        <w:t>petitions</w:t>
      </w:r>
      <w:r>
        <w:rPr>
          <w:sz w:val="24"/>
          <w:szCs w:val="24"/>
        </w:rPr>
        <w:t xml:space="preserve">, </w:t>
      </w:r>
      <w:r w:rsidRPr="009F6442">
        <w:rPr>
          <w:sz w:val="24"/>
          <w:szCs w:val="24"/>
        </w:rPr>
        <w:t xml:space="preserve">we estimate that it will take the outside attorney </w:t>
      </w:r>
      <w:r>
        <w:rPr>
          <w:sz w:val="24"/>
          <w:szCs w:val="24"/>
        </w:rPr>
        <w:t>16</w:t>
      </w:r>
      <w:r w:rsidRPr="009F6442">
        <w:rPr>
          <w:sz w:val="24"/>
          <w:szCs w:val="24"/>
        </w:rPr>
        <w:t xml:space="preserve"> hours to prepare </w:t>
      </w:r>
      <w:r>
        <w:rPr>
          <w:sz w:val="24"/>
          <w:szCs w:val="24"/>
        </w:rPr>
        <w:t>such</w:t>
      </w:r>
      <w:r w:rsidRPr="009F6442">
        <w:rPr>
          <w:sz w:val="24"/>
          <w:szCs w:val="24"/>
        </w:rPr>
        <w:t xml:space="preserve"> petition.  With respect to the</w:t>
      </w:r>
      <w:r>
        <w:rPr>
          <w:sz w:val="24"/>
          <w:szCs w:val="24"/>
        </w:rPr>
        <w:t xml:space="preserve"> 10 oppositions to such petitions, </w:t>
      </w:r>
      <w:r w:rsidRPr="009F6442">
        <w:rPr>
          <w:sz w:val="24"/>
          <w:szCs w:val="24"/>
        </w:rPr>
        <w:t xml:space="preserve">we estimate that it will take the outside attorney </w:t>
      </w:r>
      <w:r>
        <w:rPr>
          <w:sz w:val="24"/>
          <w:szCs w:val="24"/>
        </w:rPr>
        <w:t>16</w:t>
      </w:r>
      <w:r w:rsidRPr="009F6442">
        <w:rPr>
          <w:sz w:val="24"/>
          <w:szCs w:val="24"/>
        </w:rPr>
        <w:t xml:space="preserve"> hours to prepare </w:t>
      </w:r>
      <w:r>
        <w:rPr>
          <w:sz w:val="24"/>
          <w:szCs w:val="24"/>
        </w:rPr>
        <w:t>such</w:t>
      </w:r>
      <w:r w:rsidRPr="009F6442">
        <w:rPr>
          <w:sz w:val="24"/>
          <w:szCs w:val="24"/>
        </w:rPr>
        <w:t xml:space="preserve"> </w:t>
      </w:r>
      <w:r>
        <w:rPr>
          <w:sz w:val="24"/>
          <w:szCs w:val="24"/>
        </w:rPr>
        <w:t>opposition</w:t>
      </w:r>
      <w:r w:rsidRPr="009F6442">
        <w:rPr>
          <w:sz w:val="24"/>
          <w:szCs w:val="24"/>
        </w:rPr>
        <w:t xml:space="preserve">.  We estimate that an outside attorney will charge an average of </w:t>
      </w:r>
      <w:r w:rsidRPr="009F6442">
        <w:rPr>
          <w:spacing w:val="-3"/>
          <w:sz w:val="24"/>
          <w:szCs w:val="24"/>
        </w:rPr>
        <w:t xml:space="preserve">$300 per hour for providing legal services to respondents.  </w:t>
      </w:r>
      <w:r w:rsidRPr="009F6442">
        <w:rPr>
          <w:sz w:val="24"/>
          <w:szCs w:val="24"/>
        </w:rPr>
        <w:t>In addition,</w:t>
      </w:r>
      <w:r w:rsidRPr="009F6442">
        <w:rPr>
          <w:spacing w:val="-3"/>
          <w:sz w:val="24"/>
          <w:szCs w:val="24"/>
        </w:rPr>
        <w:t xml:space="preserve"> a filing fee of $1,465.00 is generally required for the filing of Special Relief petitions</w:t>
      </w:r>
      <w:r>
        <w:rPr>
          <w:spacing w:val="-3"/>
          <w:sz w:val="24"/>
          <w:szCs w:val="24"/>
        </w:rPr>
        <w:t>.</w:t>
      </w:r>
    </w:p>
    <w:tbl>
      <w:tblPr>
        <w:tblpPr w:leftFromText="187" w:rightFromText="187" w:vertAnchor="text" w:horzAnchor="margin" w:tblpX="-13" w:tblpY="1"/>
        <w:tblW w:w="91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2145"/>
        <w:gridCol w:w="2380"/>
        <w:gridCol w:w="1620"/>
        <w:gridCol w:w="1440"/>
        <w:gridCol w:w="1530"/>
      </w:tblGrid>
      <w:tr w:rsidR="00BE588E" w:rsidRPr="0016575B" w14:paraId="4F722E8C" w14:textId="77777777" w:rsidTr="00BE588E">
        <w:trPr>
          <w:trHeight w:val="330"/>
        </w:trPr>
        <w:tc>
          <w:tcPr>
            <w:tcW w:w="2145" w:type="dxa"/>
            <w:shd w:val="clear" w:color="FFFF00" w:fill="auto"/>
          </w:tcPr>
          <w:p w14:paraId="5B834F37" w14:textId="77777777" w:rsidR="00BE588E" w:rsidRPr="0016575B" w:rsidRDefault="00BE588E" w:rsidP="001A27A8">
            <w:pPr>
              <w:autoSpaceDE w:val="0"/>
              <w:autoSpaceDN w:val="0"/>
              <w:adjustRightInd w:val="0"/>
              <w:rPr>
                <w:rFonts w:ascii="Arial Narrow" w:hAnsi="Arial Narrow" w:cs="Arial Narrow"/>
                <w:b/>
                <w:color w:val="000000"/>
                <w:szCs w:val="22"/>
              </w:rPr>
            </w:pPr>
            <w:r w:rsidRPr="0016575B">
              <w:rPr>
                <w:rFonts w:ascii="Arial Narrow" w:hAnsi="Arial Narrow" w:cs="Arial Narrow"/>
                <w:b/>
                <w:color w:val="000000"/>
                <w:szCs w:val="22"/>
              </w:rPr>
              <w:t>Item #13 Table</w:t>
            </w:r>
          </w:p>
        </w:tc>
        <w:tc>
          <w:tcPr>
            <w:tcW w:w="6970" w:type="dxa"/>
            <w:gridSpan w:val="4"/>
            <w:shd w:val="clear" w:color="FFFF00" w:fill="auto"/>
          </w:tcPr>
          <w:p w14:paraId="5782C952" w14:textId="77777777" w:rsidR="00BE588E" w:rsidRPr="0016575B" w:rsidRDefault="00BE588E" w:rsidP="001A27A8">
            <w:pPr>
              <w:autoSpaceDE w:val="0"/>
              <w:autoSpaceDN w:val="0"/>
              <w:adjustRightInd w:val="0"/>
              <w:rPr>
                <w:rFonts w:ascii="Arial Narrow" w:hAnsi="Arial Narrow" w:cs="Arial Narrow"/>
                <w:b/>
                <w:color w:val="000000"/>
                <w:szCs w:val="22"/>
              </w:rPr>
            </w:pPr>
            <w:r w:rsidRPr="0016575B">
              <w:rPr>
                <w:rFonts w:ascii="Arial Narrow" w:hAnsi="Arial Narrow" w:cs="Arial Narrow"/>
                <w:b/>
                <w:color w:val="000000"/>
                <w:szCs w:val="22"/>
              </w:rPr>
              <w:t>Cost to Respondents</w:t>
            </w:r>
          </w:p>
        </w:tc>
      </w:tr>
      <w:tr w:rsidR="00BE588E" w:rsidRPr="006C4619" w14:paraId="004E8637" w14:textId="77777777" w:rsidTr="001A27A8">
        <w:trPr>
          <w:trHeight w:val="609"/>
        </w:trPr>
        <w:tc>
          <w:tcPr>
            <w:tcW w:w="2145" w:type="dxa"/>
            <w:vMerge w:val="restart"/>
          </w:tcPr>
          <w:p w14:paraId="6A708FF1" w14:textId="77777777" w:rsidR="00BE588E" w:rsidRPr="0092440E" w:rsidRDefault="00BE588E" w:rsidP="001A27A8">
            <w:pPr>
              <w:autoSpaceDE w:val="0"/>
              <w:autoSpaceDN w:val="0"/>
              <w:adjustRightInd w:val="0"/>
              <w:rPr>
                <w:rFonts w:ascii="Arial Narrow" w:hAnsi="Arial Narrow" w:cs="Arial Narrow"/>
                <w:b/>
                <w:bCs/>
                <w:color w:val="000000"/>
                <w:szCs w:val="22"/>
              </w:rPr>
            </w:pPr>
            <w:r>
              <w:rPr>
                <w:rFonts w:ascii="Arial Narrow" w:hAnsi="Arial Narrow" w:cs="Arial Narrow"/>
                <w:b/>
                <w:bCs/>
                <w:color w:val="000000"/>
                <w:szCs w:val="22"/>
              </w:rPr>
              <w:t>Outside Attorney Cost for Market Modification Petitions</w:t>
            </w:r>
          </w:p>
        </w:tc>
        <w:tc>
          <w:tcPr>
            <w:tcW w:w="2380" w:type="dxa"/>
            <w:shd w:val="clear" w:color="FFFF00" w:fill="auto"/>
          </w:tcPr>
          <w:p w14:paraId="7B4EFDA5" w14:textId="77777777" w:rsidR="00BE588E" w:rsidRPr="006C4619" w:rsidRDefault="00BE588E" w:rsidP="001A27A8">
            <w:pPr>
              <w:autoSpaceDE w:val="0"/>
              <w:autoSpaceDN w:val="0"/>
              <w:adjustRightInd w:val="0"/>
              <w:rPr>
                <w:rFonts w:ascii="Arial Narrow" w:hAnsi="Arial Narrow" w:cs="Arial Narrow"/>
                <w:color w:val="000000"/>
                <w:sz w:val="20"/>
              </w:rPr>
            </w:pPr>
            <w:r w:rsidRPr="006C4619">
              <w:rPr>
                <w:rFonts w:ascii="Arial Narrow" w:hAnsi="Arial Narrow" w:cs="Arial Narrow"/>
                <w:color w:val="000000"/>
                <w:sz w:val="20"/>
              </w:rPr>
              <w:t>20</w:t>
            </w:r>
            <w:r>
              <w:rPr>
                <w:rFonts w:ascii="Arial Narrow" w:hAnsi="Arial Narrow" w:cs="Arial Narrow"/>
                <w:bCs/>
                <w:color w:val="000000"/>
                <w:sz w:val="20"/>
              </w:rPr>
              <w:t xml:space="preserve"> market modification </w:t>
            </w:r>
            <w:r>
              <w:rPr>
                <w:rFonts w:ascii="Arial Narrow" w:hAnsi="Arial Narrow" w:cs="Arial Narrow"/>
                <w:color w:val="000000"/>
                <w:sz w:val="20"/>
              </w:rPr>
              <w:t>petitions</w:t>
            </w:r>
          </w:p>
        </w:tc>
        <w:tc>
          <w:tcPr>
            <w:tcW w:w="1620" w:type="dxa"/>
            <w:shd w:val="clear" w:color="FFFF00" w:fill="auto"/>
          </w:tcPr>
          <w:p w14:paraId="20658EC4" w14:textId="77777777" w:rsidR="00BE588E" w:rsidRPr="006C4619" w:rsidRDefault="00BE588E" w:rsidP="001A27A8">
            <w:pPr>
              <w:autoSpaceDE w:val="0"/>
              <w:autoSpaceDN w:val="0"/>
              <w:adjustRightInd w:val="0"/>
              <w:rPr>
                <w:rFonts w:ascii="Arial Narrow" w:hAnsi="Arial Narrow" w:cs="Arial Narrow"/>
                <w:color w:val="000000"/>
                <w:sz w:val="20"/>
              </w:rPr>
            </w:pPr>
            <w:r>
              <w:rPr>
                <w:rFonts w:ascii="Arial Narrow" w:hAnsi="Arial Narrow" w:cs="Arial Narrow"/>
                <w:color w:val="000000"/>
                <w:sz w:val="20"/>
              </w:rPr>
              <w:t>x 80 hrs =</w:t>
            </w:r>
          </w:p>
        </w:tc>
        <w:tc>
          <w:tcPr>
            <w:tcW w:w="1440" w:type="dxa"/>
            <w:shd w:val="clear" w:color="FFFF00" w:fill="auto"/>
          </w:tcPr>
          <w:p w14:paraId="7322B75D" w14:textId="77777777" w:rsidR="00BE588E" w:rsidRPr="006C4619" w:rsidRDefault="00BE588E" w:rsidP="001A27A8">
            <w:pPr>
              <w:autoSpaceDE w:val="0"/>
              <w:autoSpaceDN w:val="0"/>
              <w:adjustRightInd w:val="0"/>
              <w:rPr>
                <w:rFonts w:ascii="Arial Narrow" w:hAnsi="Arial Narrow" w:cs="Arial Narrow"/>
                <w:color w:val="000000"/>
                <w:sz w:val="20"/>
              </w:rPr>
            </w:pPr>
            <w:r>
              <w:rPr>
                <w:rFonts w:ascii="Arial Narrow" w:hAnsi="Arial Narrow" w:cs="Arial Narrow"/>
                <w:color w:val="000000"/>
                <w:sz w:val="20"/>
              </w:rPr>
              <w:t>1,600</w:t>
            </w:r>
            <w:r w:rsidRPr="006C4619">
              <w:rPr>
                <w:rFonts w:ascii="Arial Narrow" w:hAnsi="Arial Narrow" w:cs="Arial Narrow"/>
                <w:color w:val="000000"/>
                <w:sz w:val="20"/>
              </w:rPr>
              <w:t xml:space="preserve"> </w:t>
            </w:r>
            <w:r>
              <w:rPr>
                <w:rFonts w:ascii="Arial Narrow" w:hAnsi="Arial Narrow" w:cs="Arial Narrow"/>
                <w:color w:val="000000"/>
                <w:sz w:val="20"/>
              </w:rPr>
              <w:t>hrs.</w:t>
            </w:r>
          </w:p>
        </w:tc>
        <w:tc>
          <w:tcPr>
            <w:tcW w:w="1530" w:type="dxa"/>
            <w:shd w:val="clear" w:color="FFFF00" w:fill="auto"/>
          </w:tcPr>
          <w:p w14:paraId="15E1538A" w14:textId="77777777" w:rsidR="00BE588E" w:rsidRPr="006C4619" w:rsidRDefault="00BE588E" w:rsidP="001A27A8">
            <w:pPr>
              <w:autoSpaceDE w:val="0"/>
              <w:autoSpaceDN w:val="0"/>
              <w:adjustRightInd w:val="0"/>
              <w:rPr>
                <w:rFonts w:ascii="Arial Narrow" w:hAnsi="Arial Narrow" w:cs="Arial Narrow"/>
                <w:color w:val="000000"/>
                <w:sz w:val="20"/>
              </w:rPr>
            </w:pPr>
          </w:p>
        </w:tc>
      </w:tr>
      <w:tr w:rsidR="00BE588E" w:rsidRPr="006C4619" w14:paraId="622D4177" w14:textId="77777777" w:rsidTr="00BE588E">
        <w:trPr>
          <w:trHeight w:val="497"/>
        </w:trPr>
        <w:tc>
          <w:tcPr>
            <w:tcW w:w="2145" w:type="dxa"/>
            <w:vMerge/>
          </w:tcPr>
          <w:p w14:paraId="5F7F9E7B" w14:textId="77777777" w:rsidR="00BE588E" w:rsidRPr="0092440E" w:rsidRDefault="00BE588E" w:rsidP="001A27A8">
            <w:pPr>
              <w:autoSpaceDE w:val="0"/>
              <w:autoSpaceDN w:val="0"/>
              <w:adjustRightInd w:val="0"/>
              <w:rPr>
                <w:rFonts w:ascii="Arial Narrow" w:hAnsi="Arial Narrow" w:cs="Arial Narrow"/>
                <w:b/>
                <w:bCs/>
                <w:color w:val="000000"/>
                <w:szCs w:val="22"/>
              </w:rPr>
            </w:pPr>
          </w:p>
        </w:tc>
        <w:tc>
          <w:tcPr>
            <w:tcW w:w="2380" w:type="dxa"/>
            <w:shd w:val="clear" w:color="FFFF00" w:fill="auto"/>
          </w:tcPr>
          <w:p w14:paraId="3DEFBEDC" w14:textId="77777777" w:rsidR="00BE588E" w:rsidRPr="006C4619" w:rsidRDefault="00BE588E" w:rsidP="001A27A8">
            <w:pPr>
              <w:autoSpaceDE w:val="0"/>
              <w:autoSpaceDN w:val="0"/>
              <w:adjustRightInd w:val="0"/>
              <w:rPr>
                <w:rFonts w:ascii="Arial Narrow" w:hAnsi="Arial Narrow" w:cs="Arial Narrow"/>
                <w:color w:val="000000"/>
                <w:sz w:val="20"/>
              </w:rPr>
            </w:pPr>
            <w:r>
              <w:rPr>
                <w:rFonts w:ascii="Arial Narrow" w:hAnsi="Arial Narrow" w:cs="Arial Narrow"/>
                <w:color w:val="000000"/>
                <w:sz w:val="20"/>
              </w:rPr>
              <w:t>64</w:t>
            </w:r>
            <w:r w:rsidRPr="006C4619">
              <w:rPr>
                <w:rFonts w:ascii="Arial Narrow" w:hAnsi="Arial Narrow" w:cs="Arial Narrow"/>
                <w:color w:val="000000"/>
                <w:sz w:val="20"/>
              </w:rPr>
              <w:t xml:space="preserve"> </w:t>
            </w:r>
            <w:r>
              <w:rPr>
                <w:rFonts w:ascii="Arial Narrow" w:hAnsi="Arial Narrow" w:cs="Arial Narrow"/>
                <w:color w:val="000000"/>
                <w:sz w:val="20"/>
              </w:rPr>
              <w:t>responsive pleadings (e.g., oppositions, comments or replies)</w:t>
            </w:r>
          </w:p>
        </w:tc>
        <w:tc>
          <w:tcPr>
            <w:tcW w:w="1620" w:type="dxa"/>
            <w:shd w:val="clear" w:color="FFFF00" w:fill="auto"/>
          </w:tcPr>
          <w:p w14:paraId="3179CE8C" w14:textId="77777777" w:rsidR="00BE588E" w:rsidRPr="006C4619" w:rsidRDefault="00BE588E" w:rsidP="001A27A8">
            <w:pPr>
              <w:autoSpaceDE w:val="0"/>
              <w:autoSpaceDN w:val="0"/>
              <w:adjustRightInd w:val="0"/>
              <w:rPr>
                <w:rFonts w:ascii="Arial Narrow" w:hAnsi="Arial Narrow" w:cs="Arial Narrow"/>
                <w:color w:val="000000"/>
                <w:sz w:val="20"/>
              </w:rPr>
            </w:pPr>
            <w:r>
              <w:rPr>
                <w:rFonts w:ascii="Arial Narrow" w:hAnsi="Arial Narrow" w:cs="Arial Narrow"/>
                <w:color w:val="000000"/>
                <w:sz w:val="20"/>
              </w:rPr>
              <w:t>x 40 hrs =</w:t>
            </w:r>
          </w:p>
        </w:tc>
        <w:tc>
          <w:tcPr>
            <w:tcW w:w="1440" w:type="dxa"/>
            <w:shd w:val="clear" w:color="FFFF00" w:fill="auto"/>
          </w:tcPr>
          <w:p w14:paraId="28F5956C" w14:textId="77777777" w:rsidR="00BE588E" w:rsidRPr="006C4619" w:rsidRDefault="00BE588E" w:rsidP="001A27A8">
            <w:pPr>
              <w:autoSpaceDE w:val="0"/>
              <w:autoSpaceDN w:val="0"/>
              <w:adjustRightInd w:val="0"/>
              <w:rPr>
                <w:rFonts w:ascii="Arial Narrow" w:hAnsi="Arial Narrow" w:cs="Arial Narrow"/>
                <w:color w:val="000000"/>
                <w:sz w:val="20"/>
              </w:rPr>
            </w:pPr>
            <w:r>
              <w:rPr>
                <w:rFonts w:ascii="Arial Narrow" w:hAnsi="Arial Narrow" w:cs="Arial Narrow"/>
                <w:color w:val="000000"/>
                <w:sz w:val="20"/>
              </w:rPr>
              <w:t>2,560</w:t>
            </w:r>
            <w:r w:rsidRPr="006C4619">
              <w:rPr>
                <w:rFonts w:ascii="Arial Narrow" w:hAnsi="Arial Narrow" w:cs="Arial Narrow"/>
                <w:color w:val="000000"/>
                <w:sz w:val="20"/>
              </w:rPr>
              <w:t xml:space="preserve"> hrs</w:t>
            </w:r>
            <w:r>
              <w:rPr>
                <w:rFonts w:ascii="Arial Narrow" w:hAnsi="Arial Narrow" w:cs="Arial Narrow"/>
                <w:color w:val="000000"/>
                <w:sz w:val="20"/>
              </w:rPr>
              <w:t>.</w:t>
            </w:r>
          </w:p>
        </w:tc>
        <w:tc>
          <w:tcPr>
            <w:tcW w:w="1530" w:type="dxa"/>
            <w:shd w:val="clear" w:color="FFFF00" w:fill="auto"/>
          </w:tcPr>
          <w:p w14:paraId="70720B6D" w14:textId="77777777" w:rsidR="00BE588E" w:rsidRPr="006C4619" w:rsidRDefault="00BE588E" w:rsidP="001A27A8">
            <w:pPr>
              <w:autoSpaceDE w:val="0"/>
              <w:autoSpaceDN w:val="0"/>
              <w:adjustRightInd w:val="0"/>
              <w:rPr>
                <w:rFonts w:ascii="Arial Narrow" w:hAnsi="Arial Narrow" w:cs="Arial Narrow"/>
                <w:color w:val="000000"/>
                <w:sz w:val="20"/>
              </w:rPr>
            </w:pPr>
          </w:p>
        </w:tc>
      </w:tr>
      <w:tr w:rsidR="00BE588E" w:rsidRPr="009643D2" w14:paraId="4B816C4C" w14:textId="77777777" w:rsidTr="001A27A8">
        <w:trPr>
          <w:trHeight w:val="354"/>
        </w:trPr>
        <w:tc>
          <w:tcPr>
            <w:tcW w:w="2145" w:type="dxa"/>
            <w:shd w:val="clear" w:color="auto" w:fill="F2F2F2" w:themeFill="background1" w:themeFillShade="F2"/>
          </w:tcPr>
          <w:p w14:paraId="7D356F95" w14:textId="77777777" w:rsidR="00BE588E" w:rsidRPr="0092440E" w:rsidRDefault="00BE588E" w:rsidP="001A27A8">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Subtotal</w:t>
            </w:r>
          </w:p>
        </w:tc>
        <w:tc>
          <w:tcPr>
            <w:tcW w:w="2380" w:type="dxa"/>
            <w:shd w:val="clear" w:color="auto" w:fill="F2F2F2" w:themeFill="background1" w:themeFillShade="F2"/>
          </w:tcPr>
          <w:p w14:paraId="0606A2EA" w14:textId="77777777" w:rsidR="00BE588E" w:rsidRPr="009643D2" w:rsidRDefault="00BE588E" w:rsidP="001A27A8">
            <w:pPr>
              <w:autoSpaceDE w:val="0"/>
              <w:autoSpaceDN w:val="0"/>
              <w:adjustRightInd w:val="0"/>
              <w:rPr>
                <w:rFonts w:ascii="Arial Narrow" w:hAnsi="Arial Narrow" w:cs="Arial Narrow"/>
                <w:b/>
                <w:color w:val="000000"/>
                <w:sz w:val="20"/>
                <w:highlight w:val="yellow"/>
              </w:rPr>
            </w:pPr>
          </w:p>
        </w:tc>
        <w:tc>
          <w:tcPr>
            <w:tcW w:w="3060" w:type="dxa"/>
            <w:gridSpan w:val="2"/>
            <w:shd w:val="clear" w:color="auto" w:fill="F2F2F2" w:themeFill="background1" w:themeFillShade="F2"/>
          </w:tcPr>
          <w:p w14:paraId="47A4A12E" w14:textId="77777777" w:rsidR="00BE588E" w:rsidRPr="009643D2" w:rsidRDefault="00BE588E" w:rsidP="00BE588E">
            <w:pPr>
              <w:autoSpaceDE w:val="0"/>
              <w:autoSpaceDN w:val="0"/>
              <w:adjustRightInd w:val="0"/>
              <w:jc w:val="right"/>
              <w:rPr>
                <w:rFonts w:ascii="Arial Narrow" w:hAnsi="Arial Narrow" w:cs="Arial Narrow"/>
                <w:b/>
                <w:color w:val="000000"/>
                <w:sz w:val="20"/>
              </w:rPr>
            </w:pPr>
            <w:r>
              <w:rPr>
                <w:rFonts w:ascii="Arial Narrow" w:hAnsi="Arial Narrow" w:cs="Arial Narrow"/>
                <w:b/>
                <w:color w:val="000000"/>
                <w:sz w:val="20"/>
              </w:rPr>
              <w:t>4,160 hours x $300/hour =</w:t>
            </w:r>
          </w:p>
        </w:tc>
        <w:tc>
          <w:tcPr>
            <w:tcW w:w="1530" w:type="dxa"/>
            <w:shd w:val="clear" w:color="auto" w:fill="F2F2F2" w:themeFill="background1" w:themeFillShade="F2"/>
          </w:tcPr>
          <w:p w14:paraId="11C84811" w14:textId="77777777" w:rsidR="00BE588E" w:rsidRPr="009643D2" w:rsidRDefault="00BE588E" w:rsidP="001A27A8">
            <w:pPr>
              <w:autoSpaceDE w:val="0"/>
              <w:autoSpaceDN w:val="0"/>
              <w:adjustRightInd w:val="0"/>
              <w:rPr>
                <w:rFonts w:ascii="Arial Narrow" w:hAnsi="Arial Narrow" w:cs="Arial Narrow"/>
                <w:b/>
                <w:color w:val="000000"/>
                <w:sz w:val="20"/>
              </w:rPr>
            </w:pPr>
            <w:r>
              <w:rPr>
                <w:rFonts w:ascii="Arial Narrow" w:hAnsi="Arial Narrow" w:cs="Arial Narrow"/>
                <w:b/>
                <w:color w:val="000000"/>
                <w:sz w:val="20"/>
              </w:rPr>
              <w:t>$1,248,000.00</w:t>
            </w:r>
          </w:p>
        </w:tc>
      </w:tr>
      <w:tr w:rsidR="00BE588E" w:rsidRPr="006C4619" w14:paraId="490714C8" w14:textId="77777777" w:rsidTr="001A27A8">
        <w:trPr>
          <w:trHeight w:val="564"/>
        </w:trPr>
        <w:tc>
          <w:tcPr>
            <w:tcW w:w="2145" w:type="dxa"/>
            <w:vMerge w:val="restart"/>
          </w:tcPr>
          <w:p w14:paraId="3F247B52" w14:textId="77777777" w:rsidR="00BE588E" w:rsidRPr="0092440E" w:rsidRDefault="00BE588E" w:rsidP="001A27A8">
            <w:pPr>
              <w:autoSpaceDE w:val="0"/>
              <w:autoSpaceDN w:val="0"/>
              <w:adjustRightInd w:val="0"/>
              <w:rPr>
                <w:rFonts w:ascii="Arial Narrow" w:hAnsi="Arial Narrow" w:cs="Arial Narrow"/>
                <w:b/>
                <w:bCs/>
                <w:color w:val="000000"/>
                <w:szCs w:val="22"/>
              </w:rPr>
            </w:pPr>
            <w:r>
              <w:rPr>
                <w:rFonts w:ascii="Arial Narrow" w:hAnsi="Arial Narrow" w:cs="Arial Narrow"/>
                <w:b/>
                <w:bCs/>
                <w:color w:val="000000"/>
                <w:szCs w:val="22"/>
              </w:rPr>
              <w:t xml:space="preserve">Outside Attorney Cost for </w:t>
            </w:r>
            <w:r w:rsidRPr="0092440E">
              <w:rPr>
                <w:rFonts w:ascii="Arial Narrow" w:hAnsi="Arial Narrow" w:cs="Arial Narrow"/>
                <w:b/>
                <w:bCs/>
                <w:color w:val="000000"/>
                <w:szCs w:val="22"/>
              </w:rPr>
              <w:t>Pre-filing Coordination Special Relief Petitions</w:t>
            </w:r>
          </w:p>
        </w:tc>
        <w:tc>
          <w:tcPr>
            <w:tcW w:w="2380" w:type="dxa"/>
            <w:shd w:val="clear" w:color="FFFF00" w:fill="auto"/>
          </w:tcPr>
          <w:p w14:paraId="759BDF37" w14:textId="77777777" w:rsidR="00BE588E" w:rsidRPr="00407041" w:rsidRDefault="00BE588E" w:rsidP="001A27A8">
            <w:pPr>
              <w:autoSpaceDE w:val="0"/>
              <w:autoSpaceDN w:val="0"/>
              <w:adjustRightInd w:val="0"/>
              <w:rPr>
                <w:rFonts w:ascii="Arial Narrow" w:hAnsi="Arial Narrow" w:cs="Arial Narrow"/>
                <w:sz w:val="20"/>
              </w:rPr>
            </w:pPr>
            <w:r w:rsidRPr="00407041">
              <w:rPr>
                <w:rFonts w:ascii="Arial Narrow" w:hAnsi="Arial Narrow" w:cs="Arial Narrow"/>
                <w:color w:val="000000"/>
                <w:sz w:val="20"/>
              </w:rPr>
              <w:t xml:space="preserve">10 </w:t>
            </w:r>
            <w:r w:rsidRPr="00A139AF">
              <w:rPr>
                <w:rFonts w:ascii="Arial Narrow" w:hAnsi="Arial Narrow" w:cs="Arial Narrow"/>
                <w:color w:val="000000"/>
                <w:sz w:val="20"/>
              </w:rPr>
              <w:t>pre-filing coordination special relief petitions</w:t>
            </w:r>
          </w:p>
        </w:tc>
        <w:tc>
          <w:tcPr>
            <w:tcW w:w="1620" w:type="dxa"/>
            <w:shd w:val="clear" w:color="FFFF00" w:fill="auto"/>
          </w:tcPr>
          <w:p w14:paraId="77CF266E" w14:textId="77777777" w:rsidR="00BE588E" w:rsidRPr="006C4619" w:rsidRDefault="00BE588E" w:rsidP="001A27A8">
            <w:pPr>
              <w:autoSpaceDE w:val="0"/>
              <w:autoSpaceDN w:val="0"/>
              <w:adjustRightInd w:val="0"/>
              <w:rPr>
                <w:rFonts w:ascii="Arial Narrow" w:hAnsi="Arial Narrow" w:cs="Arial Narrow"/>
                <w:color w:val="000000"/>
                <w:sz w:val="20"/>
              </w:rPr>
            </w:pPr>
            <w:r>
              <w:rPr>
                <w:rFonts w:ascii="Arial Narrow" w:hAnsi="Arial Narrow" w:cs="Arial Narrow"/>
                <w:color w:val="000000"/>
                <w:sz w:val="20"/>
              </w:rPr>
              <w:t>x 16 hrs =</w:t>
            </w:r>
          </w:p>
        </w:tc>
        <w:tc>
          <w:tcPr>
            <w:tcW w:w="1440" w:type="dxa"/>
            <w:shd w:val="clear" w:color="FFFF00" w:fill="auto"/>
          </w:tcPr>
          <w:p w14:paraId="61024810" w14:textId="77777777" w:rsidR="00BE588E" w:rsidRPr="006C4619" w:rsidRDefault="00BE588E" w:rsidP="001A27A8">
            <w:pPr>
              <w:autoSpaceDE w:val="0"/>
              <w:autoSpaceDN w:val="0"/>
              <w:adjustRightInd w:val="0"/>
              <w:rPr>
                <w:rFonts w:ascii="Arial Narrow" w:hAnsi="Arial Narrow" w:cs="Arial Narrow"/>
                <w:color w:val="000000"/>
                <w:sz w:val="20"/>
              </w:rPr>
            </w:pPr>
            <w:r>
              <w:rPr>
                <w:rFonts w:ascii="Arial Narrow" w:hAnsi="Arial Narrow" w:cs="Arial Narrow"/>
                <w:color w:val="000000"/>
                <w:sz w:val="20"/>
              </w:rPr>
              <w:t>160 hrs.</w:t>
            </w:r>
          </w:p>
        </w:tc>
        <w:tc>
          <w:tcPr>
            <w:tcW w:w="1530" w:type="dxa"/>
            <w:shd w:val="clear" w:color="FFFF00" w:fill="auto"/>
          </w:tcPr>
          <w:p w14:paraId="2F9382A1" w14:textId="77777777" w:rsidR="00BE588E" w:rsidRPr="006C4619" w:rsidRDefault="00BE588E" w:rsidP="001A27A8">
            <w:pPr>
              <w:autoSpaceDE w:val="0"/>
              <w:autoSpaceDN w:val="0"/>
              <w:adjustRightInd w:val="0"/>
              <w:rPr>
                <w:rFonts w:ascii="Arial Narrow" w:hAnsi="Arial Narrow" w:cs="Arial Narrow"/>
                <w:color w:val="000000"/>
                <w:sz w:val="20"/>
              </w:rPr>
            </w:pPr>
          </w:p>
        </w:tc>
      </w:tr>
      <w:tr w:rsidR="00BE588E" w:rsidRPr="006C4619" w14:paraId="5E8F636C" w14:textId="77777777" w:rsidTr="001A27A8">
        <w:trPr>
          <w:trHeight w:val="591"/>
        </w:trPr>
        <w:tc>
          <w:tcPr>
            <w:tcW w:w="2145" w:type="dxa"/>
            <w:vMerge/>
          </w:tcPr>
          <w:p w14:paraId="2FB522A3" w14:textId="77777777" w:rsidR="00BE588E" w:rsidRPr="0092440E" w:rsidRDefault="00BE588E" w:rsidP="001A27A8">
            <w:pPr>
              <w:autoSpaceDE w:val="0"/>
              <w:autoSpaceDN w:val="0"/>
              <w:adjustRightInd w:val="0"/>
              <w:rPr>
                <w:rFonts w:ascii="Arial Narrow" w:hAnsi="Arial Narrow" w:cs="Arial Narrow"/>
                <w:b/>
                <w:bCs/>
                <w:color w:val="000000"/>
                <w:szCs w:val="22"/>
              </w:rPr>
            </w:pPr>
          </w:p>
        </w:tc>
        <w:tc>
          <w:tcPr>
            <w:tcW w:w="2380" w:type="dxa"/>
            <w:shd w:val="clear" w:color="FFFF00" w:fill="auto"/>
          </w:tcPr>
          <w:p w14:paraId="52FE82DB" w14:textId="77777777" w:rsidR="00BE588E" w:rsidRPr="00407041" w:rsidRDefault="00BE588E" w:rsidP="001A27A8">
            <w:pPr>
              <w:autoSpaceDE w:val="0"/>
              <w:autoSpaceDN w:val="0"/>
              <w:adjustRightInd w:val="0"/>
              <w:rPr>
                <w:rFonts w:ascii="Arial Narrow" w:hAnsi="Arial Narrow" w:cs="Arial Narrow"/>
                <w:color w:val="000000"/>
                <w:sz w:val="20"/>
              </w:rPr>
            </w:pPr>
            <w:r w:rsidRPr="00407041">
              <w:rPr>
                <w:rFonts w:ascii="Arial Narrow" w:hAnsi="Arial Narrow" w:cs="Arial Narrow"/>
                <w:color w:val="000000"/>
                <w:sz w:val="20"/>
              </w:rPr>
              <w:t xml:space="preserve">10 </w:t>
            </w:r>
            <w:r>
              <w:rPr>
                <w:rFonts w:ascii="Arial Narrow" w:hAnsi="Arial Narrow" w:cs="Arial Narrow"/>
                <w:color w:val="000000"/>
                <w:sz w:val="20"/>
              </w:rPr>
              <w:t>oppositions</w:t>
            </w:r>
            <w:r w:rsidRPr="00407041">
              <w:rPr>
                <w:rFonts w:ascii="Arial Narrow" w:hAnsi="Arial Narrow" w:cs="Arial Narrow"/>
                <w:color w:val="000000"/>
                <w:sz w:val="20"/>
              </w:rPr>
              <w:t xml:space="preserve"> </w:t>
            </w:r>
          </w:p>
        </w:tc>
        <w:tc>
          <w:tcPr>
            <w:tcW w:w="1620" w:type="dxa"/>
            <w:shd w:val="clear" w:color="FFFF00" w:fill="auto"/>
          </w:tcPr>
          <w:p w14:paraId="08EEFBE1" w14:textId="77777777" w:rsidR="00BE588E" w:rsidRPr="006C4619" w:rsidRDefault="00BE588E" w:rsidP="001A27A8">
            <w:pPr>
              <w:autoSpaceDE w:val="0"/>
              <w:autoSpaceDN w:val="0"/>
              <w:adjustRightInd w:val="0"/>
              <w:rPr>
                <w:rFonts w:ascii="Arial Narrow" w:hAnsi="Arial Narrow" w:cs="Arial Narrow"/>
                <w:color w:val="000000"/>
                <w:sz w:val="20"/>
              </w:rPr>
            </w:pPr>
            <w:r>
              <w:rPr>
                <w:rFonts w:ascii="Arial Narrow" w:hAnsi="Arial Narrow" w:cs="Arial Narrow"/>
                <w:color w:val="000000"/>
                <w:sz w:val="20"/>
              </w:rPr>
              <w:t>x 16 hrs =</w:t>
            </w:r>
          </w:p>
        </w:tc>
        <w:tc>
          <w:tcPr>
            <w:tcW w:w="1440" w:type="dxa"/>
            <w:shd w:val="clear" w:color="FFFF00" w:fill="auto"/>
          </w:tcPr>
          <w:p w14:paraId="5341A4EE" w14:textId="77777777" w:rsidR="00BE588E" w:rsidRDefault="00BE588E" w:rsidP="001A27A8">
            <w:pPr>
              <w:autoSpaceDE w:val="0"/>
              <w:autoSpaceDN w:val="0"/>
              <w:adjustRightInd w:val="0"/>
              <w:rPr>
                <w:rFonts w:ascii="Arial Narrow" w:hAnsi="Arial Narrow" w:cs="Arial Narrow"/>
                <w:color w:val="000000"/>
                <w:sz w:val="20"/>
              </w:rPr>
            </w:pPr>
            <w:r>
              <w:rPr>
                <w:rFonts w:ascii="Arial Narrow" w:hAnsi="Arial Narrow" w:cs="Arial Narrow"/>
                <w:color w:val="000000"/>
                <w:sz w:val="20"/>
              </w:rPr>
              <w:t>160 hrs.</w:t>
            </w:r>
          </w:p>
        </w:tc>
        <w:tc>
          <w:tcPr>
            <w:tcW w:w="1530" w:type="dxa"/>
            <w:shd w:val="clear" w:color="FFFF00" w:fill="auto"/>
          </w:tcPr>
          <w:p w14:paraId="18610F29" w14:textId="77777777" w:rsidR="00BE588E" w:rsidRDefault="00BE588E" w:rsidP="001A27A8">
            <w:pPr>
              <w:autoSpaceDE w:val="0"/>
              <w:autoSpaceDN w:val="0"/>
              <w:adjustRightInd w:val="0"/>
              <w:rPr>
                <w:rFonts w:ascii="Arial Narrow" w:hAnsi="Arial Narrow" w:cs="Arial Narrow"/>
                <w:color w:val="000000"/>
                <w:sz w:val="20"/>
              </w:rPr>
            </w:pPr>
          </w:p>
        </w:tc>
      </w:tr>
      <w:tr w:rsidR="00BE588E" w:rsidRPr="009E7CC9" w14:paraId="452A64EC" w14:textId="77777777" w:rsidTr="001A27A8">
        <w:trPr>
          <w:trHeight w:val="345"/>
        </w:trPr>
        <w:tc>
          <w:tcPr>
            <w:tcW w:w="2145" w:type="dxa"/>
            <w:shd w:val="clear" w:color="auto" w:fill="F2F2F2" w:themeFill="background1" w:themeFillShade="F2"/>
          </w:tcPr>
          <w:p w14:paraId="3DE603AC" w14:textId="77777777" w:rsidR="00BE588E" w:rsidRPr="0092440E" w:rsidRDefault="00BE588E" w:rsidP="001A27A8">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Subtotal</w:t>
            </w:r>
          </w:p>
        </w:tc>
        <w:tc>
          <w:tcPr>
            <w:tcW w:w="2380" w:type="dxa"/>
            <w:shd w:val="clear" w:color="auto" w:fill="F2F2F2" w:themeFill="background1" w:themeFillShade="F2"/>
          </w:tcPr>
          <w:p w14:paraId="3C27A45E" w14:textId="77777777" w:rsidR="00BE588E" w:rsidRPr="009E7CC9" w:rsidRDefault="00BE588E" w:rsidP="001A27A8">
            <w:pPr>
              <w:rPr>
                <w:rFonts w:ascii="Arial Narrow" w:hAnsi="Arial Narrow" w:cs="Arial Narrow"/>
                <w:b/>
                <w:sz w:val="20"/>
              </w:rPr>
            </w:pPr>
          </w:p>
        </w:tc>
        <w:tc>
          <w:tcPr>
            <w:tcW w:w="3060" w:type="dxa"/>
            <w:gridSpan w:val="2"/>
            <w:shd w:val="clear" w:color="auto" w:fill="F2F2F2" w:themeFill="background1" w:themeFillShade="F2"/>
          </w:tcPr>
          <w:p w14:paraId="57D97D8B" w14:textId="77777777" w:rsidR="00BE588E" w:rsidRPr="009643D2" w:rsidRDefault="00BE588E" w:rsidP="00BE588E">
            <w:pPr>
              <w:autoSpaceDE w:val="0"/>
              <w:autoSpaceDN w:val="0"/>
              <w:adjustRightInd w:val="0"/>
              <w:jc w:val="right"/>
              <w:rPr>
                <w:rFonts w:ascii="Arial Narrow" w:hAnsi="Arial Narrow" w:cs="Arial Narrow"/>
                <w:b/>
                <w:color w:val="000000"/>
                <w:sz w:val="20"/>
              </w:rPr>
            </w:pPr>
            <w:r>
              <w:rPr>
                <w:rFonts w:ascii="Arial Narrow" w:hAnsi="Arial Narrow" w:cs="Arial Narrow"/>
                <w:b/>
                <w:color w:val="000000"/>
                <w:sz w:val="20"/>
              </w:rPr>
              <w:t>320 hours x $300/hour =</w:t>
            </w:r>
          </w:p>
        </w:tc>
        <w:tc>
          <w:tcPr>
            <w:tcW w:w="1530" w:type="dxa"/>
            <w:shd w:val="clear" w:color="auto" w:fill="F2F2F2" w:themeFill="background1" w:themeFillShade="F2"/>
          </w:tcPr>
          <w:p w14:paraId="4DB21DB4" w14:textId="77777777" w:rsidR="00BE588E" w:rsidRPr="009643D2" w:rsidRDefault="00BE588E" w:rsidP="001A27A8">
            <w:pPr>
              <w:autoSpaceDE w:val="0"/>
              <w:autoSpaceDN w:val="0"/>
              <w:adjustRightInd w:val="0"/>
              <w:rPr>
                <w:rFonts w:ascii="Arial Narrow" w:hAnsi="Arial Narrow" w:cs="Arial Narrow"/>
                <w:b/>
                <w:color w:val="000000"/>
                <w:sz w:val="20"/>
              </w:rPr>
            </w:pPr>
            <w:r>
              <w:rPr>
                <w:rFonts w:ascii="Arial Narrow" w:hAnsi="Arial Narrow" w:cs="Arial Narrow"/>
                <w:b/>
                <w:color w:val="000000"/>
                <w:sz w:val="20"/>
              </w:rPr>
              <w:t>$96,000.00</w:t>
            </w:r>
          </w:p>
        </w:tc>
      </w:tr>
      <w:tr w:rsidR="00BE588E" w:rsidRPr="006C4619" w14:paraId="7ABEFCC5" w14:textId="77777777" w:rsidTr="001A27A8">
        <w:trPr>
          <w:trHeight w:val="564"/>
        </w:trPr>
        <w:tc>
          <w:tcPr>
            <w:tcW w:w="2145" w:type="dxa"/>
            <w:vMerge w:val="restart"/>
          </w:tcPr>
          <w:p w14:paraId="066E861C" w14:textId="77777777" w:rsidR="00BE588E" w:rsidRPr="0092440E" w:rsidRDefault="00BE588E" w:rsidP="001A27A8">
            <w:pPr>
              <w:autoSpaceDE w:val="0"/>
              <w:autoSpaceDN w:val="0"/>
              <w:adjustRightInd w:val="0"/>
              <w:rPr>
                <w:rFonts w:ascii="Arial Narrow" w:hAnsi="Arial Narrow" w:cs="Arial Narrow"/>
                <w:b/>
                <w:bCs/>
                <w:color w:val="000000"/>
                <w:szCs w:val="22"/>
              </w:rPr>
            </w:pPr>
            <w:r>
              <w:rPr>
                <w:rFonts w:ascii="Arial Narrow" w:hAnsi="Arial Narrow" w:cs="Arial Narrow"/>
                <w:b/>
                <w:bCs/>
                <w:color w:val="000000"/>
                <w:szCs w:val="22"/>
              </w:rPr>
              <w:t>Filing Fees for Petitions</w:t>
            </w:r>
          </w:p>
        </w:tc>
        <w:tc>
          <w:tcPr>
            <w:tcW w:w="2380" w:type="dxa"/>
            <w:shd w:val="clear" w:color="FFFF00" w:fill="auto"/>
          </w:tcPr>
          <w:p w14:paraId="591B8184" w14:textId="77777777" w:rsidR="00BE588E" w:rsidRPr="00A139AF" w:rsidRDefault="00BE588E" w:rsidP="001A27A8">
            <w:pPr>
              <w:rPr>
                <w:rFonts w:ascii="Arial Narrow" w:hAnsi="Arial Narrow" w:cs="Arial Narrow"/>
                <w:sz w:val="20"/>
              </w:rPr>
            </w:pPr>
            <w:r w:rsidRPr="00DD18CA">
              <w:rPr>
                <w:rFonts w:ascii="Arial Narrow" w:hAnsi="Arial Narrow" w:cs="Arial Narrow"/>
                <w:bCs/>
                <w:color w:val="000000"/>
                <w:sz w:val="20"/>
              </w:rPr>
              <w:t xml:space="preserve">20 </w:t>
            </w:r>
            <w:r>
              <w:rPr>
                <w:rFonts w:ascii="Arial Narrow" w:hAnsi="Arial Narrow" w:cs="Arial Narrow"/>
                <w:bCs/>
                <w:color w:val="000000"/>
                <w:sz w:val="20"/>
              </w:rPr>
              <w:t>market modification petitions</w:t>
            </w:r>
          </w:p>
        </w:tc>
        <w:tc>
          <w:tcPr>
            <w:tcW w:w="3060" w:type="dxa"/>
            <w:gridSpan w:val="2"/>
            <w:shd w:val="clear" w:color="FFFF00" w:fill="auto"/>
          </w:tcPr>
          <w:p w14:paraId="0F447847" w14:textId="77777777" w:rsidR="00BE588E" w:rsidRPr="00A139AF" w:rsidRDefault="00BE588E" w:rsidP="00BE588E">
            <w:pPr>
              <w:jc w:val="right"/>
              <w:rPr>
                <w:rFonts w:ascii="Arial Narrow" w:hAnsi="Arial Narrow" w:cs="Arial Narrow"/>
                <w:sz w:val="20"/>
              </w:rPr>
            </w:pPr>
            <w:r>
              <w:rPr>
                <w:rFonts w:ascii="Arial Narrow" w:hAnsi="Arial Narrow" w:cs="Arial Narrow"/>
                <w:sz w:val="20"/>
              </w:rPr>
              <w:t>x $1,465 fee/petition =</w:t>
            </w:r>
          </w:p>
        </w:tc>
        <w:tc>
          <w:tcPr>
            <w:tcW w:w="1530" w:type="dxa"/>
            <w:shd w:val="clear" w:color="FFFF00" w:fill="auto"/>
          </w:tcPr>
          <w:p w14:paraId="50C6EEAB" w14:textId="77777777" w:rsidR="00BE588E" w:rsidRPr="00A139AF" w:rsidRDefault="00BE588E" w:rsidP="001A27A8">
            <w:pPr>
              <w:rPr>
                <w:rFonts w:ascii="Arial Narrow" w:hAnsi="Arial Narrow" w:cs="Arial Narrow"/>
                <w:sz w:val="20"/>
              </w:rPr>
            </w:pPr>
            <w:r>
              <w:rPr>
                <w:rFonts w:ascii="Arial Narrow" w:hAnsi="Arial Narrow" w:cs="Arial Narrow"/>
                <w:sz w:val="20"/>
              </w:rPr>
              <w:t>$29,300.00 fees</w:t>
            </w:r>
          </w:p>
        </w:tc>
      </w:tr>
      <w:tr w:rsidR="00BE588E" w:rsidRPr="006C4619" w14:paraId="2727C507" w14:textId="77777777" w:rsidTr="001A27A8">
        <w:trPr>
          <w:trHeight w:val="564"/>
        </w:trPr>
        <w:tc>
          <w:tcPr>
            <w:tcW w:w="2145" w:type="dxa"/>
            <w:vMerge/>
          </w:tcPr>
          <w:p w14:paraId="0BF40BEE" w14:textId="77777777" w:rsidR="00BE588E" w:rsidRDefault="00BE588E" w:rsidP="001A27A8">
            <w:pPr>
              <w:autoSpaceDE w:val="0"/>
              <w:autoSpaceDN w:val="0"/>
              <w:adjustRightInd w:val="0"/>
              <w:rPr>
                <w:rFonts w:ascii="Arial Narrow" w:hAnsi="Arial Narrow" w:cs="Arial Narrow"/>
                <w:b/>
                <w:bCs/>
                <w:color w:val="000000"/>
                <w:szCs w:val="22"/>
              </w:rPr>
            </w:pPr>
          </w:p>
        </w:tc>
        <w:tc>
          <w:tcPr>
            <w:tcW w:w="2380" w:type="dxa"/>
            <w:shd w:val="clear" w:color="FFFF00" w:fill="auto"/>
          </w:tcPr>
          <w:p w14:paraId="2C7A4E67" w14:textId="77777777" w:rsidR="00BE588E" w:rsidRPr="00DD18CA" w:rsidRDefault="00BE588E" w:rsidP="001A27A8">
            <w:pPr>
              <w:rPr>
                <w:rFonts w:ascii="Arial Narrow" w:hAnsi="Arial Narrow" w:cs="Arial Narrow"/>
                <w:bCs/>
                <w:color w:val="000000"/>
                <w:sz w:val="20"/>
              </w:rPr>
            </w:pPr>
            <w:r>
              <w:rPr>
                <w:rFonts w:ascii="Arial Narrow" w:hAnsi="Arial Narrow" w:cs="Arial Narrow"/>
                <w:bCs/>
                <w:color w:val="000000"/>
                <w:sz w:val="20"/>
              </w:rPr>
              <w:t>10</w:t>
            </w:r>
            <w:r w:rsidRPr="00A139AF">
              <w:rPr>
                <w:rFonts w:ascii="Arial Narrow" w:hAnsi="Arial Narrow" w:cs="Arial Narrow"/>
                <w:color w:val="000000"/>
                <w:sz w:val="20"/>
              </w:rPr>
              <w:t xml:space="preserve"> pre-filing coordination special relief petitions</w:t>
            </w:r>
          </w:p>
        </w:tc>
        <w:tc>
          <w:tcPr>
            <w:tcW w:w="3060" w:type="dxa"/>
            <w:gridSpan w:val="2"/>
            <w:shd w:val="clear" w:color="FFFF00" w:fill="auto"/>
          </w:tcPr>
          <w:p w14:paraId="6B1E8DF2" w14:textId="77777777" w:rsidR="00BE588E" w:rsidRDefault="00BE588E" w:rsidP="00BE588E">
            <w:pPr>
              <w:jc w:val="right"/>
              <w:rPr>
                <w:rFonts w:ascii="Arial Narrow" w:hAnsi="Arial Narrow" w:cs="Arial Narrow"/>
                <w:sz w:val="20"/>
              </w:rPr>
            </w:pPr>
            <w:r>
              <w:rPr>
                <w:rFonts w:ascii="Arial Narrow" w:hAnsi="Arial Narrow" w:cs="Arial Narrow"/>
                <w:sz w:val="20"/>
              </w:rPr>
              <w:t>x $1,465 fee/petition =</w:t>
            </w:r>
          </w:p>
        </w:tc>
        <w:tc>
          <w:tcPr>
            <w:tcW w:w="1530" w:type="dxa"/>
            <w:shd w:val="clear" w:color="FFFF00" w:fill="auto"/>
          </w:tcPr>
          <w:p w14:paraId="0E387687" w14:textId="77777777" w:rsidR="00BE588E" w:rsidRPr="00DD18CA" w:rsidRDefault="00BE588E" w:rsidP="001A27A8">
            <w:pPr>
              <w:rPr>
                <w:rFonts w:ascii="Arial Narrow" w:hAnsi="Arial Narrow" w:cs="Arial Narrow"/>
                <w:sz w:val="20"/>
              </w:rPr>
            </w:pPr>
            <w:r>
              <w:rPr>
                <w:rFonts w:ascii="Arial Narrow" w:hAnsi="Arial Narrow" w:cs="Arial Narrow"/>
                <w:sz w:val="20"/>
              </w:rPr>
              <w:t>$14,650.00 fees</w:t>
            </w:r>
          </w:p>
        </w:tc>
      </w:tr>
      <w:tr w:rsidR="00BE588E" w:rsidRPr="00FD3EFF" w14:paraId="4F67A961" w14:textId="77777777" w:rsidTr="001A27A8">
        <w:trPr>
          <w:trHeight w:val="416"/>
        </w:trPr>
        <w:tc>
          <w:tcPr>
            <w:tcW w:w="2145" w:type="dxa"/>
            <w:shd w:val="clear" w:color="auto" w:fill="F2F2F2" w:themeFill="background1" w:themeFillShade="F2"/>
          </w:tcPr>
          <w:p w14:paraId="3BBE68EC" w14:textId="77777777" w:rsidR="00BE588E" w:rsidRPr="0092440E" w:rsidRDefault="00BE588E" w:rsidP="001A27A8">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Subtotal</w:t>
            </w:r>
          </w:p>
        </w:tc>
        <w:tc>
          <w:tcPr>
            <w:tcW w:w="5440" w:type="dxa"/>
            <w:gridSpan w:val="3"/>
            <w:shd w:val="clear" w:color="auto" w:fill="F2F2F2" w:themeFill="background1" w:themeFillShade="F2"/>
          </w:tcPr>
          <w:p w14:paraId="12CBF53D" w14:textId="77777777" w:rsidR="00BE588E" w:rsidRPr="007463E7" w:rsidRDefault="00BE588E" w:rsidP="00BE588E">
            <w:pPr>
              <w:jc w:val="right"/>
              <w:rPr>
                <w:rFonts w:ascii="Arial Narrow" w:hAnsi="Arial Narrow" w:cs="Arial Narrow"/>
                <w:b/>
                <w:sz w:val="20"/>
              </w:rPr>
            </w:pPr>
            <w:r w:rsidRPr="007463E7">
              <w:rPr>
                <w:rFonts w:ascii="Arial Narrow" w:hAnsi="Arial Narrow" w:cs="Arial Narrow"/>
                <w:b/>
                <w:sz w:val="20"/>
              </w:rPr>
              <w:t>30 petitions x $1,465 fee per petition</w:t>
            </w:r>
            <w:r>
              <w:rPr>
                <w:rFonts w:ascii="Arial Narrow" w:hAnsi="Arial Narrow" w:cs="Arial Narrow"/>
                <w:b/>
                <w:sz w:val="20"/>
              </w:rPr>
              <w:t xml:space="preserve"> = </w:t>
            </w:r>
          </w:p>
        </w:tc>
        <w:tc>
          <w:tcPr>
            <w:tcW w:w="1530" w:type="dxa"/>
            <w:shd w:val="clear" w:color="auto" w:fill="F2F2F2" w:themeFill="background1" w:themeFillShade="F2"/>
          </w:tcPr>
          <w:p w14:paraId="358BCDEC" w14:textId="77777777" w:rsidR="00BE588E" w:rsidRPr="00FD3EFF" w:rsidRDefault="00BE588E" w:rsidP="001A27A8">
            <w:pPr>
              <w:rPr>
                <w:rFonts w:ascii="Arial Narrow" w:hAnsi="Arial Narrow" w:cs="Arial Narrow"/>
                <w:b/>
                <w:sz w:val="20"/>
              </w:rPr>
            </w:pPr>
            <w:r>
              <w:rPr>
                <w:rFonts w:ascii="Arial Narrow" w:hAnsi="Arial Narrow" w:cs="Arial Narrow"/>
                <w:b/>
                <w:sz w:val="20"/>
              </w:rPr>
              <w:t>$43,950.00 fees</w:t>
            </w:r>
          </w:p>
        </w:tc>
      </w:tr>
      <w:tr w:rsidR="00BE588E" w:rsidRPr="00D12FDD" w14:paraId="15B17302" w14:textId="77777777" w:rsidTr="001A27A8">
        <w:trPr>
          <w:trHeight w:val="402"/>
        </w:trPr>
        <w:tc>
          <w:tcPr>
            <w:tcW w:w="7585" w:type="dxa"/>
            <w:gridSpan w:val="4"/>
          </w:tcPr>
          <w:p w14:paraId="56D9D57D" w14:textId="77777777" w:rsidR="00BE588E" w:rsidRPr="00D12FDD" w:rsidRDefault="00BE588E" w:rsidP="001A27A8">
            <w:pPr>
              <w:autoSpaceDE w:val="0"/>
              <w:autoSpaceDN w:val="0"/>
              <w:adjustRightInd w:val="0"/>
              <w:rPr>
                <w:rFonts w:ascii="Arial Narrow" w:hAnsi="Arial Narrow" w:cs="Arial Narrow"/>
                <w:b/>
                <w:color w:val="000000"/>
                <w:szCs w:val="22"/>
              </w:rPr>
            </w:pPr>
            <w:r>
              <w:rPr>
                <w:rFonts w:ascii="Arial Narrow" w:hAnsi="Arial Narrow" w:cs="Arial Narrow"/>
                <w:b/>
                <w:color w:val="000000"/>
                <w:szCs w:val="22"/>
              </w:rPr>
              <w:t xml:space="preserve">Total </w:t>
            </w:r>
            <w:r w:rsidRPr="0016575B">
              <w:rPr>
                <w:rFonts w:ascii="Arial Narrow" w:hAnsi="Arial Narrow" w:cs="Arial Narrow"/>
                <w:b/>
                <w:color w:val="000000"/>
                <w:szCs w:val="22"/>
              </w:rPr>
              <w:t>Cost to Respondents</w:t>
            </w:r>
            <w:r w:rsidRPr="0092440E">
              <w:rPr>
                <w:rFonts w:ascii="Arial Narrow" w:hAnsi="Arial Narrow" w:cs="Arial Narrow"/>
                <w:b/>
                <w:bCs/>
                <w:color w:val="000000"/>
                <w:szCs w:val="22"/>
              </w:rPr>
              <w:t xml:space="preserve"> </w:t>
            </w:r>
          </w:p>
        </w:tc>
        <w:tc>
          <w:tcPr>
            <w:tcW w:w="1530" w:type="dxa"/>
            <w:shd w:val="clear" w:color="FFFF00" w:fill="auto"/>
          </w:tcPr>
          <w:p w14:paraId="7DE001C9" w14:textId="77777777" w:rsidR="00BE588E" w:rsidRPr="00D12FDD" w:rsidRDefault="00BE588E" w:rsidP="001A27A8">
            <w:pPr>
              <w:autoSpaceDE w:val="0"/>
              <w:autoSpaceDN w:val="0"/>
              <w:adjustRightInd w:val="0"/>
              <w:rPr>
                <w:rFonts w:ascii="Arial Narrow" w:hAnsi="Arial Narrow" w:cs="Arial Narrow"/>
                <w:b/>
                <w:color w:val="000000"/>
                <w:szCs w:val="22"/>
              </w:rPr>
            </w:pPr>
            <w:r w:rsidRPr="00D12FDD">
              <w:rPr>
                <w:rFonts w:ascii="Arial Narrow" w:hAnsi="Arial Narrow" w:cs="Arial Narrow"/>
                <w:b/>
                <w:color w:val="000000"/>
                <w:szCs w:val="22"/>
              </w:rPr>
              <w:t>$</w:t>
            </w:r>
            <w:r>
              <w:rPr>
                <w:rFonts w:ascii="Arial Narrow" w:hAnsi="Arial Narrow" w:cs="Arial Narrow"/>
                <w:b/>
                <w:color w:val="000000"/>
                <w:szCs w:val="22"/>
              </w:rPr>
              <w:t>1</w:t>
            </w:r>
            <w:r w:rsidRPr="00D12FDD">
              <w:rPr>
                <w:rFonts w:ascii="Arial Narrow" w:hAnsi="Arial Narrow" w:cs="Arial Narrow"/>
                <w:b/>
                <w:color w:val="000000"/>
                <w:szCs w:val="22"/>
              </w:rPr>
              <w:t>,</w:t>
            </w:r>
            <w:r>
              <w:rPr>
                <w:rFonts w:ascii="Arial Narrow" w:hAnsi="Arial Narrow" w:cs="Arial Narrow"/>
                <w:b/>
                <w:color w:val="000000"/>
                <w:szCs w:val="22"/>
              </w:rPr>
              <w:t>387,950</w:t>
            </w:r>
            <w:r w:rsidRPr="00D12FDD">
              <w:rPr>
                <w:rFonts w:ascii="Arial Narrow" w:hAnsi="Arial Narrow" w:cs="Arial Narrow"/>
                <w:b/>
                <w:color w:val="000000"/>
                <w:szCs w:val="22"/>
              </w:rPr>
              <w:t>.</w:t>
            </w:r>
            <w:r>
              <w:rPr>
                <w:rFonts w:ascii="Arial Narrow" w:hAnsi="Arial Narrow" w:cs="Arial Narrow"/>
                <w:b/>
                <w:color w:val="000000"/>
                <w:szCs w:val="22"/>
              </w:rPr>
              <w:t>00</w:t>
            </w:r>
          </w:p>
        </w:tc>
      </w:tr>
    </w:tbl>
    <w:p w14:paraId="5395D849" w14:textId="77777777" w:rsidR="005B45A7" w:rsidRDefault="005B45A7" w:rsidP="009A6576">
      <w:pPr>
        <w:suppressAutoHyphens/>
        <w:spacing w:after="120"/>
        <w:rPr>
          <w:sz w:val="24"/>
          <w:szCs w:val="24"/>
        </w:rPr>
      </w:pPr>
      <w:r w:rsidRPr="00423C65">
        <w:rPr>
          <w:sz w:val="24"/>
          <w:szCs w:val="24"/>
        </w:rPr>
        <w:lastRenderedPageBreak/>
        <w:t xml:space="preserve">14. </w:t>
      </w:r>
      <w:r w:rsidR="00B17010" w:rsidRPr="00A7183B">
        <w:rPr>
          <w:b/>
          <w:sz w:val="24"/>
          <w:szCs w:val="24"/>
        </w:rPr>
        <w:t>Cost to the Federal Government</w:t>
      </w:r>
      <w:r w:rsidR="00B17010" w:rsidRPr="00423C65">
        <w:rPr>
          <w:sz w:val="24"/>
          <w:szCs w:val="24"/>
        </w:rPr>
        <w:t>:</w:t>
      </w:r>
      <w:r w:rsidR="00813306" w:rsidRPr="00423C65">
        <w:rPr>
          <w:sz w:val="24"/>
          <w:szCs w:val="24"/>
        </w:rPr>
        <w:t xml:space="preserve"> </w:t>
      </w:r>
      <w:r w:rsidR="009F6442">
        <w:rPr>
          <w:sz w:val="24"/>
          <w:szCs w:val="24"/>
        </w:rPr>
        <w:t xml:space="preserve"> </w:t>
      </w:r>
      <w:r w:rsidR="009F6442" w:rsidRPr="009F6442">
        <w:rPr>
          <w:spacing w:val="-3"/>
          <w:sz w:val="24"/>
          <w:szCs w:val="24"/>
        </w:rPr>
        <w:t xml:space="preserve">As noted in item 12 </w:t>
      </w:r>
      <w:r w:rsidR="00307DAB">
        <w:rPr>
          <w:spacing w:val="-3"/>
          <w:sz w:val="24"/>
          <w:szCs w:val="24"/>
        </w:rPr>
        <w:t>(</w:t>
      </w:r>
      <w:r w:rsidR="009F6442" w:rsidRPr="009F6442">
        <w:rPr>
          <w:spacing w:val="-3"/>
          <w:sz w:val="24"/>
          <w:szCs w:val="24"/>
        </w:rPr>
        <w:t>above</w:t>
      </w:r>
      <w:r w:rsidR="00307DAB">
        <w:rPr>
          <w:spacing w:val="-3"/>
          <w:sz w:val="24"/>
          <w:szCs w:val="24"/>
        </w:rPr>
        <w:t>)</w:t>
      </w:r>
      <w:r w:rsidR="009F6442" w:rsidRPr="009F6442">
        <w:rPr>
          <w:spacing w:val="-3"/>
          <w:sz w:val="24"/>
          <w:szCs w:val="24"/>
        </w:rPr>
        <w:t xml:space="preserve">, we </w:t>
      </w:r>
      <w:r w:rsidR="009F6442" w:rsidRPr="009F6442">
        <w:rPr>
          <w:sz w:val="24"/>
          <w:szCs w:val="24"/>
        </w:rPr>
        <w:t xml:space="preserve">estimated that </w:t>
      </w:r>
      <w:r w:rsidR="009F6442" w:rsidRPr="00EB0ACB">
        <w:rPr>
          <w:sz w:val="24"/>
          <w:szCs w:val="24"/>
        </w:rPr>
        <w:t>20 market modification requests will be filed annually with the Commission by TV broadcast stations, cable system operators and satellite carriers (collectively)</w:t>
      </w:r>
      <w:r w:rsidR="009F6442">
        <w:rPr>
          <w:sz w:val="24"/>
          <w:szCs w:val="24"/>
        </w:rPr>
        <w:t xml:space="preserve">.  </w:t>
      </w:r>
      <w:r w:rsidR="00AF2EFD">
        <w:rPr>
          <w:sz w:val="24"/>
          <w:szCs w:val="24"/>
        </w:rPr>
        <w:t>Each petition will initiate a market modification proceeding</w:t>
      </w:r>
      <w:r w:rsidR="00307DAB">
        <w:rPr>
          <w:sz w:val="24"/>
          <w:szCs w:val="24"/>
        </w:rPr>
        <w:t xml:space="preserve">.  </w:t>
      </w:r>
      <w:r w:rsidR="0011155B" w:rsidRPr="00423C65">
        <w:rPr>
          <w:sz w:val="24"/>
          <w:szCs w:val="24"/>
        </w:rPr>
        <w:t>We estimate that the Commission will use clerical staff at the GS-</w:t>
      </w:r>
      <w:r w:rsidR="00830924" w:rsidRPr="00423C65">
        <w:rPr>
          <w:sz w:val="24"/>
          <w:szCs w:val="24"/>
        </w:rPr>
        <w:t>9</w:t>
      </w:r>
      <w:r w:rsidR="0011155B" w:rsidRPr="00423C65">
        <w:rPr>
          <w:sz w:val="24"/>
          <w:szCs w:val="24"/>
        </w:rPr>
        <w:t xml:space="preserve">, Step 5 </w:t>
      </w:r>
      <w:r w:rsidR="00591650" w:rsidRPr="00423C65">
        <w:rPr>
          <w:sz w:val="24"/>
          <w:szCs w:val="24"/>
        </w:rPr>
        <w:t xml:space="preserve">grade level </w:t>
      </w:r>
      <w:r w:rsidR="00B14E06" w:rsidRPr="00160CAD">
        <w:rPr>
          <w:sz w:val="24"/>
          <w:szCs w:val="24"/>
        </w:rPr>
        <w:t>(</w:t>
      </w:r>
      <w:r w:rsidR="00B066C8" w:rsidRPr="00160CAD">
        <w:rPr>
          <w:sz w:val="24"/>
          <w:szCs w:val="24"/>
        </w:rPr>
        <w:t>$</w:t>
      </w:r>
      <w:r w:rsidR="00591650" w:rsidRPr="00160CAD">
        <w:rPr>
          <w:sz w:val="24"/>
          <w:szCs w:val="24"/>
        </w:rPr>
        <w:t>2</w:t>
      </w:r>
      <w:r w:rsidR="00C331CE" w:rsidRPr="00160CAD">
        <w:rPr>
          <w:sz w:val="24"/>
          <w:szCs w:val="24"/>
        </w:rPr>
        <w:t>8.</w:t>
      </w:r>
      <w:r w:rsidR="00C52277" w:rsidRPr="00160CAD">
        <w:rPr>
          <w:sz w:val="24"/>
          <w:szCs w:val="24"/>
        </w:rPr>
        <w:t>60</w:t>
      </w:r>
      <w:r w:rsidR="00B066C8" w:rsidRPr="00160CAD">
        <w:rPr>
          <w:sz w:val="24"/>
          <w:szCs w:val="24"/>
        </w:rPr>
        <w:t>)</w:t>
      </w:r>
      <w:r w:rsidR="0011155B" w:rsidRPr="00160CAD">
        <w:rPr>
          <w:sz w:val="24"/>
          <w:szCs w:val="24"/>
        </w:rPr>
        <w:t xml:space="preserve"> and attorney or other professional staff at the </w:t>
      </w:r>
      <w:r w:rsidR="00C52277" w:rsidRPr="00160CAD">
        <w:rPr>
          <w:sz w:val="24"/>
          <w:szCs w:val="24"/>
        </w:rPr>
        <w:t>GS 15, Step 5 level ($68.56</w:t>
      </w:r>
      <w:r w:rsidR="009F6442" w:rsidRPr="00160CAD">
        <w:rPr>
          <w:sz w:val="24"/>
          <w:szCs w:val="24"/>
        </w:rPr>
        <w:t xml:space="preserve">/hour) </w:t>
      </w:r>
      <w:r w:rsidR="0011155B" w:rsidRPr="00160CAD">
        <w:rPr>
          <w:sz w:val="24"/>
          <w:szCs w:val="24"/>
        </w:rPr>
        <w:t xml:space="preserve">to review </w:t>
      </w:r>
      <w:r w:rsidR="00AF2EFD">
        <w:rPr>
          <w:sz w:val="24"/>
          <w:szCs w:val="24"/>
        </w:rPr>
        <w:t xml:space="preserve">the record of each proceeding, which includes the initiating </w:t>
      </w:r>
      <w:r w:rsidR="009F6442" w:rsidRPr="00160CAD">
        <w:rPr>
          <w:sz w:val="24"/>
          <w:szCs w:val="24"/>
        </w:rPr>
        <w:t>market modification</w:t>
      </w:r>
      <w:r w:rsidR="00591650" w:rsidRPr="00160CAD">
        <w:rPr>
          <w:sz w:val="24"/>
          <w:szCs w:val="24"/>
        </w:rPr>
        <w:t xml:space="preserve"> </w:t>
      </w:r>
      <w:r w:rsidR="009F6442" w:rsidRPr="00160CAD">
        <w:rPr>
          <w:sz w:val="24"/>
          <w:szCs w:val="24"/>
        </w:rPr>
        <w:t xml:space="preserve">petition and associated </w:t>
      </w:r>
      <w:r w:rsidR="00AF2EFD">
        <w:rPr>
          <w:sz w:val="24"/>
          <w:szCs w:val="24"/>
        </w:rPr>
        <w:t xml:space="preserve">responsive </w:t>
      </w:r>
      <w:r w:rsidR="009F6442" w:rsidRPr="00160CAD">
        <w:rPr>
          <w:sz w:val="24"/>
          <w:szCs w:val="24"/>
        </w:rPr>
        <w:t>pleadings</w:t>
      </w:r>
      <w:r w:rsidR="00591650" w:rsidRPr="00160CAD">
        <w:rPr>
          <w:sz w:val="24"/>
          <w:szCs w:val="24"/>
        </w:rPr>
        <w:t>.</w:t>
      </w:r>
      <w:r w:rsidR="009F6442" w:rsidRPr="00160CAD">
        <w:rPr>
          <w:rStyle w:val="FootnoteReference"/>
          <w:szCs w:val="24"/>
        </w:rPr>
        <w:footnoteReference w:id="36"/>
      </w:r>
      <w:r w:rsidR="00591650" w:rsidRPr="00160CAD">
        <w:rPr>
          <w:sz w:val="24"/>
          <w:szCs w:val="24"/>
        </w:rPr>
        <w:t xml:space="preserve">  </w:t>
      </w:r>
      <w:r w:rsidR="00AF2EFD">
        <w:rPr>
          <w:sz w:val="24"/>
          <w:szCs w:val="24"/>
        </w:rPr>
        <w:t>We estimate that t</w:t>
      </w:r>
      <w:r w:rsidR="00591650" w:rsidRPr="00160CAD">
        <w:rPr>
          <w:sz w:val="24"/>
          <w:szCs w:val="24"/>
        </w:rPr>
        <w:t xml:space="preserve">he average processing time for Commission staff </w:t>
      </w:r>
      <w:r w:rsidR="00AF2EFD">
        <w:rPr>
          <w:sz w:val="24"/>
          <w:szCs w:val="24"/>
        </w:rPr>
        <w:t xml:space="preserve">for reviewing the filings in each </w:t>
      </w:r>
      <w:r w:rsidR="00307DAB" w:rsidRPr="00EB0ACB">
        <w:rPr>
          <w:sz w:val="24"/>
          <w:szCs w:val="24"/>
        </w:rPr>
        <w:t xml:space="preserve">market modification </w:t>
      </w:r>
      <w:r w:rsidR="00AF2EFD">
        <w:rPr>
          <w:sz w:val="24"/>
          <w:szCs w:val="24"/>
        </w:rPr>
        <w:t>proceeding will be</w:t>
      </w:r>
      <w:r w:rsidR="00591650" w:rsidRPr="00160CAD">
        <w:rPr>
          <w:sz w:val="24"/>
          <w:szCs w:val="24"/>
        </w:rPr>
        <w:t xml:space="preserve"> </w:t>
      </w:r>
      <w:r w:rsidR="009F6442" w:rsidRPr="00160CAD">
        <w:rPr>
          <w:sz w:val="24"/>
          <w:szCs w:val="24"/>
        </w:rPr>
        <w:t>85</w:t>
      </w:r>
      <w:r w:rsidR="00591650" w:rsidRPr="00160CAD">
        <w:rPr>
          <w:sz w:val="24"/>
          <w:szCs w:val="24"/>
        </w:rPr>
        <w:t xml:space="preserve"> hours.</w:t>
      </w:r>
      <w:r w:rsidR="009F6442" w:rsidRPr="00160CAD">
        <w:rPr>
          <w:rStyle w:val="FootnoteReference"/>
          <w:szCs w:val="24"/>
        </w:rPr>
        <w:footnoteReference w:id="37"/>
      </w:r>
    </w:p>
    <w:p w14:paraId="0B8E2DDA" w14:textId="77777777" w:rsidR="001A27A8" w:rsidRDefault="00307DAB" w:rsidP="00126462">
      <w:pPr>
        <w:suppressAutoHyphens/>
        <w:spacing w:after="120"/>
        <w:rPr>
          <w:sz w:val="24"/>
          <w:szCs w:val="24"/>
        </w:rPr>
      </w:pPr>
      <w:r>
        <w:rPr>
          <w:sz w:val="24"/>
          <w:szCs w:val="24"/>
        </w:rPr>
        <w:t xml:space="preserve">In addition, as noted in item 12 (above), </w:t>
      </w:r>
      <w:r w:rsidRPr="009F6442">
        <w:rPr>
          <w:spacing w:val="-3"/>
          <w:sz w:val="24"/>
          <w:szCs w:val="24"/>
        </w:rPr>
        <w:t xml:space="preserve">we </w:t>
      </w:r>
      <w:r w:rsidRPr="009F6442">
        <w:rPr>
          <w:sz w:val="24"/>
          <w:szCs w:val="24"/>
        </w:rPr>
        <w:t xml:space="preserve">estimated that </w:t>
      </w:r>
      <w:r>
        <w:rPr>
          <w:sz w:val="24"/>
          <w:szCs w:val="24"/>
        </w:rPr>
        <w:t>10 pre-filing coordination</w:t>
      </w:r>
      <w:r w:rsidRPr="00EB0ACB">
        <w:rPr>
          <w:sz w:val="24"/>
          <w:szCs w:val="24"/>
        </w:rPr>
        <w:t xml:space="preserve"> </w:t>
      </w:r>
      <w:r>
        <w:rPr>
          <w:sz w:val="24"/>
          <w:szCs w:val="24"/>
        </w:rPr>
        <w:t xml:space="preserve">petitions </w:t>
      </w:r>
      <w:r w:rsidRPr="00EB0ACB">
        <w:rPr>
          <w:sz w:val="24"/>
          <w:szCs w:val="24"/>
        </w:rPr>
        <w:t xml:space="preserve">will be filed annually with the Commission by </w:t>
      </w:r>
      <w:r>
        <w:rPr>
          <w:sz w:val="24"/>
          <w:szCs w:val="24"/>
        </w:rPr>
        <w:t xml:space="preserve">prospective satellite market modification petitioners.  Each petition will initiate a proceeding regarding a satellite carrier’s claim of infeasibility.  </w:t>
      </w:r>
      <w:r w:rsidRPr="00423C65">
        <w:rPr>
          <w:sz w:val="24"/>
          <w:szCs w:val="24"/>
        </w:rPr>
        <w:t xml:space="preserve">We estimate that the Commission will use clerical staff at the GS-9, Step 5 grade level </w:t>
      </w:r>
      <w:r w:rsidRPr="00160CAD">
        <w:rPr>
          <w:sz w:val="24"/>
          <w:szCs w:val="24"/>
        </w:rPr>
        <w:t xml:space="preserve">($28.60) and attorney or other professional staff at the GS 15, Step 5 level ($68.56/hour) to review </w:t>
      </w:r>
      <w:r>
        <w:rPr>
          <w:sz w:val="24"/>
          <w:szCs w:val="24"/>
        </w:rPr>
        <w:t>the record of each proceeding</w:t>
      </w:r>
      <w:r w:rsidRPr="00160CAD">
        <w:rPr>
          <w:sz w:val="24"/>
          <w:szCs w:val="24"/>
        </w:rPr>
        <w:t xml:space="preserve">.  </w:t>
      </w:r>
      <w:r>
        <w:rPr>
          <w:sz w:val="24"/>
          <w:szCs w:val="24"/>
        </w:rPr>
        <w:t>We estimate that t</w:t>
      </w:r>
      <w:r w:rsidRPr="00160CAD">
        <w:rPr>
          <w:sz w:val="24"/>
          <w:szCs w:val="24"/>
        </w:rPr>
        <w:t xml:space="preserve">he average processing time for Commission staff </w:t>
      </w:r>
      <w:r>
        <w:rPr>
          <w:sz w:val="24"/>
          <w:szCs w:val="24"/>
        </w:rPr>
        <w:t xml:space="preserve">for reviewing the filings in each </w:t>
      </w:r>
      <w:r w:rsidR="001F6982">
        <w:rPr>
          <w:sz w:val="24"/>
          <w:szCs w:val="24"/>
        </w:rPr>
        <w:t xml:space="preserve">pre-filing coordination </w:t>
      </w:r>
      <w:r>
        <w:rPr>
          <w:sz w:val="24"/>
          <w:szCs w:val="24"/>
        </w:rPr>
        <w:t>proceeding will be</w:t>
      </w:r>
      <w:r w:rsidRPr="00160CAD">
        <w:rPr>
          <w:sz w:val="24"/>
          <w:szCs w:val="24"/>
        </w:rPr>
        <w:t xml:space="preserve"> </w:t>
      </w:r>
      <w:r w:rsidR="001F6982">
        <w:rPr>
          <w:sz w:val="24"/>
          <w:szCs w:val="24"/>
        </w:rPr>
        <w:t>45</w:t>
      </w:r>
      <w:r w:rsidRPr="00160CAD">
        <w:rPr>
          <w:sz w:val="24"/>
          <w:szCs w:val="24"/>
        </w:rPr>
        <w:t xml:space="preserve"> hours.</w:t>
      </w:r>
    </w:p>
    <w:tbl>
      <w:tblPr>
        <w:tblpPr w:leftFromText="187" w:rightFromText="187" w:vertAnchor="text" w:horzAnchor="margin" w:tblpX="-13" w:tblpY="1"/>
        <w:tblW w:w="100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2145"/>
        <w:gridCol w:w="3060"/>
        <w:gridCol w:w="1350"/>
        <w:gridCol w:w="1030"/>
        <w:gridCol w:w="1240"/>
        <w:gridCol w:w="1240"/>
      </w:tblGrid>
      <w:tr w:rsidR="00AE02C8" w:rsidRPr="0016575B" w14:paraId="13CCDF8B" w14:textId="77777777" w:rsidTr="00AE02C8">
        <w:trPr>
          <w:trHeight w:val="330"/>
        </w:trPr>
        <w:tc>
          <w:tcPr>
            <w:tcW w:w="2145" w:type="dxa"/>
            <w:vMerge w:val="restart"/>
            <w:shd w:val="clear" w:color="FFFF00" w:fill="auto"/>
          </w:tcPr>
          <w:p w14:paraId="6881AC48" w14:textId="77777777" w:rsidR="00AE02C8" w:rsidRPr="0016575B" w:rsidRDefault="00AE02C8" w:rsidP="001A27A8">
            <w:pPr>
              <w:autoSpaceDE w:val="0"/>
              <w:autoSpaceDN w:val="0"/>
              <w:adjustRightInd w:val="0"/>
              <w:rPr>
                <w:rFonts w:ascii="Arial Narrow" w:hAnsi="Arial Narrow" w:cs="Arial Narrow"/>
                <w:b/>
                <w:color w:val="000000"/>
                <w:szCs w:val="22"/>
              </w:rPr>
            </w:pPr>
            <w:r w:rsidRPr="0016575B">
              <w:rPr>
                <w:rFonts w:ascii="Arial Narrow" w:hAnsi="Arial Narrow" w:cs="Arial Narrow"/>
                <w:b/>
                <w:color w:val="000000"/>
                <w:szCs w:val="22"/>
              </w:rPr>
              <w:t>Item #1</w:t>
            </w:r>
            <w:r>
              <w:rPr>
                <w:rFonts w:ascii="Arial Narrow" w:hAnsi="Arial Narrow" w:cs="Arial Narrow"/>
                <w:b/>
                <w:color w:val="000000"/>
                <w:szCs w:val="22"/>
              </w:rPr>
              <w:t>4</w:t>
            </w:r>
            <w:r w:rsidRPr="0016575B">
              <w:rPr>
                <w:rFonts w:ascii="Arial Narrow" w:hAnsi="Arial Narrow" w:cs="Arial Narrow"/>
                <w:b/>
                <w:color w:val="000000"/>
                <w:szCs w:val="22"/>
              </w:rPr>
              <w:t xml:space="preserve"> Table</w:t>
            </w:r>
          </w:p>
        </w:tc>
        <w:tc>
          <w:tcPr>
            <w:tcW w:w="7920" w:type="dxa"/>
            <w:gridSpan w:val="5"/>
            <w:shd w:val="clear" w:color="FFFF00" w:fill="auto"/>
          </w:tcPr>
          <w:p w14:paraId="51BB26D0" w14:textId="77777777" w:rsidR="00AE02C8" w:rsidRPr="0016575B" w:rsidRDefault="00AE02C8" w:rsidP="001A27A8">
            <w:pPr>
              <w:autoSpaceDE w:val="0"/>
              <w:autoSpaceDN w:val="0"/>
              <w:adjustRightInd w:val="0"/>
              <w:rPr>
                <w:rFonts w:ascii="Arial Narrow" w:hAnsi="Arial Narrow" w:cs="Arial Narrow"/>
                <w:b/>
                <w:color w:val="000000"/>
                <w:szCs w:val="22"/>
              </w:rPr>
            </w:pPr>
            <w:r w:rsidRPr="002B1305">
              <w:rPr>
                <w:rFonts w:ascii="Arial Narrow" w:hAnsi="Arial Narrow" w:cs="Arial Narrow"/>
                <w:b/>
                <w:color w:val="000000"/>
                <w:szCs w:val="22"/>
              </w:rPr>
              <w:t>Cost to the Federal Government</w:t>
            </w:r>
          </w:p>
        </w:tc>
      </w:tr>
      <w:tr w:rsidR="00E000E2" w:rsidRPr="006C4619" w14:paraId="523BF653" w14:textId="77777777" w:rsidTr="0014432F">
        <w:trPr>
          <w:trHeight w:val="497"/>
        </w:trPr>
        <w:tc>
          <w:tcPr>
            <w:tcW w:w="2145" w:type="dxa"/>
            <w:vMerge/>
          </w:tcPr>
          <w:p w14:paraId="35A89324" w14:textId="77777777" w:rsidR="00E000E2" w:rsidRPr="0092440E" w:rsidRDefault="00E000E2" w:rsidP="00E000E2">
            <w:pPr>
              <w:autoSpaceDE w:val="0"/>
              <w:autoSpaceDN w:val="0"/>
              <w:adjustRightInd w:val="0"/>
              <w:rPr>
                <w:rFonts w:ascii="Arial Narrow" w:hAnsi="Arial Narrow" w:cs="Arial Narrow"/>
                <w:b/>
                <w:bCs/>
                <w:color w:val="000000"/>
                <w:szCs w:val="22"/>
              </w:rPr>
            </w:pPr>
          </w:p>
        </w:tc>
        <w:tc>
          <w:tcPr>
            <w:tcW w:w="3060" w:type="dxa"/>
            <w:shd w:val="clear" w:color="FFFF00" w:fill="auto"/>
          </w:tcPr>
          <w:p w14:paraId="1F219609" w14:textId="77777777" w:rsidR="00E000E2" w:rsidRPr="002B1305" w:rsidRDefault="00E000E2" w:rsidP="00E000E2">
            <w:pPr>
              <w:autoSpaceDE w:val="0"/>
              <w:autoSpaceDN w:val="0"/>
              <w:adjustRightInd w:val="0"/>
              <w:rPr>
                <w:rFonts w:ascii="Arial Narrow" w:hAnsi="Arial Narrow" w:cs="Arial Narrow"/>
                <w:b/>
                <w:color w:val="000000"/>
                <w:sz w:val="20"/>
              </w:rPr>
            </w:pPr>
            <w:r w:rsidRPr="002B1305">
              <w:rPr>
                <w:rFonts w:ascii="Arial Narrow" w:hAnsi="Arial Narrow" w:cs="Arial Narrow"/>
                <w:b/>
                <w:color w:val="000000"/>
                <w:sz w:val="20"/>
              </w:rPr>
              <w:t>Total Petitions Processed</w:t>
            </w:r>
            <w:r>
              <w:rPr>
                <w:rFonts w:ascii="Arial Narrow" w:hAnsi="Arial Narrow" w:cs="Arial Narrow"/>
                <w:b/>
                <w:color w:val="000000"/>
                <w:sz w:val="20"/>
              </w:rPr>
              <w:t xml:space="preserve"> By FCC Staff</w:t>
            </w:r>
          </w:p>
        </w:tc>
        <w:tc>
          <w:tcPr>
            <w:tcW w:w="2380" w:type="dxa"/>
            <w:gridSpan w:val="2"/>
            <w:shd w:val="clear" w:color="FFFF00" w:fill="auto"/>
          </w:tcPr>
          <w:p w14:paraId="66859575" w14:textId="77777777" w:rsidR="00E000E2" w:rsidRPr="002B1305" w:rsidRDefault="00E000E2" w:rsidP="00E000E2">
            <w:pPr>
              <w:autoSpaceDE w:val="0"/>
              <w:autoSpaceDN w:val="0"/>
              <w:adjustRightInd w:val="0"/>
              <w:rPr>
                <w:rFonts w:ascii="Arial Narrow" w:hAnsi="Arial Narrow" w:cs="Arial Narrow"/>
                <w:b/>
                <w:color w:val="000000"/>
                <w:sz w:val="20"/>
              </w:rPr>
            </w:pPr>
            <w:r w:rsidRPr="002B1305">
              <w:rPr>
                <w:rFonts w:ascii="Arial Narrow" w:hAnsi="Arial Narrow" w:cs="Arial Narrow"/>
                <w:b/>
                <w:color w:val="000000"/>
                <w:sz w:val="20"/>
              </w:rPr>
              <w:t xml:space="preserve">Total Hours </w:t>
            </w:r>
            <w:r>
              <w:rPr>
                <w:rFonts w:ascii="Arial Narrow" w:hAnsi="Arial Narrow" w:cs="Arial Narrow"/>
                <w:b/>
                <w:color w:val="000000"/>
                <w:sz w:val="20"/>
              </w:rPr>
              <w:t xml:space="preserve">Processing Time </w:t>
            </w:r>
            <w:r w:rsidRPr="002B1305">
              <w:rPr>
                <w:rFonts w:ascii="Arial Narrow" w:hAnsi="Arial Narrow" w:cs="Arial Narrow"/>
                <w:b/>
                <w:color w:val="000000"/>
                <w:sz w:val="20"/>
              </w:rPr>
              <w:t>Per Filing</w:t>
            </w:r>
            <w:r>
              <w:rPr>
                <w:rFonts w:ascii="Arial Narrow" w:hAnsi="Arial Narrow" w:cs="Arial Narrow"/>
                <w:b/>
                <w:color w:val="000000"/>
                <w:sz w:val="20"/>
              </w:rPr>
              <w:t>/Proceeding</w:t>
            </w:r>
          </w:p>
        </w:tc>
        <w:tc>
          <w:tcPr>
            <w:tcW w:w="1240" w:type="dxa"/>
            <w:shd w:val="clear" w:color="FFFF00" w:fill="auto"/>
          </w:tcPr>
          <w:p w14:paraId="2DC3A091" w14:textId="77777777" w:rsidR="00E000E2" w:rsidRPr="002B1305" w:rsidRDefault="00E000E2" w:rsidP="00E000E2">
            <w:pPr>
              <w:autoSpaceDE w:val="0"/>
              <w:autoSpaceDN w:val="0"/>
              <w:adjustRightInd w:val="0"/>
              <w:rPr>
                <w:rFonts w:ascii="Arial Narrow" w:hAnsi="Arial Narrow" w:cs="Arial Narrow"/>
                <w:b/>
                <w:color w:val="000000"/>
                <w:sz w:val="20"/>
              </w:rPr>
            </w:pPr>
            <w:r w:rsidRPr="002B1305">
              <w:rPr>
                <w:rFonts w:ascii="Arial Narrow" w:hAnsi="Arial Narrow" w:cs="Arial Narrow"/>
                <w:b/>
                <w:color w:val="000000"/>
                <w:sz w:val="20"/>
              </w:rPr>
              <w:t>Cost Per Hour</w:t>
            </w:r>
          </w:p>
        </w:tc>
        <w:tc>
          <w:tcPr>
            <w:tcW w:w="1240" w:type="dxa"/>
            <w:shd w:val="clear" w:color="FFFF00" w:fill="auto"/>
          </w:tcPr>
          <w:p w14:paraId="44F3A634" w14:textId="77777777" w:rsidR="00E000E2" w:rsidRPr="002B1305" w:rsidRDefault="00E000E2" w:rsidP="00E000E2">
            <w:pPr>
              <w:autoSpaceDE w:val="0"/>
              <w:autoSpaceDN w:val="0"/>
              <w:adjustRightInd w:val="0"/>
              <w:rPr>
                <w:rFonts w:ascii="Arial Narrow" w:hAnsi="Arial Narrow" w:cs="Arial Narrow"/>
                <w:b/>
                <w:color w:val="000000"/>
                <w:sz w:val="20"/>
              </w:rPr>
            </w:pPr>
            <w:r w:rsidRPr="002B1305">
              <w:rPr>
                <w:rFonts w:ascii="Arial Narrow" w:hAnsi="Arial Narrow" w:cs="Arial Narrow"/>
                <w:b/>
                <w:color w:val="000000"/>
                <w:sz w:val="20"/>
              </w:rPr>
              <w:t>Cost Per Filing</w:t>
            </w:r>
          </w:p>
        </w:tc>
      </w:tr>
      <w:tr w:rsidR="00AE02C8" w:rsidRPr="006C4619" w14:paraId="7C33380D" w14:textId="77777777" w:rsidTr="00126462">
        <w:trPr>
          <w:trHeight w:val="523"/>
        </w:trPr>
        <w:tc>
          <w:tcPr>
            <w:tcW w:w="2145" w:type="dxa"/>
            <w:vMerge w:val="restart"/>
          </w:tcPr>
          <w:p w14:paraId="6165BB65" w14:textId="77777777" w:rsidR="00AE02C8" w:rsidRPr="0092440E" w:rsidRDefault="00AE02C8" w:rsidP="001A27A8">
            <w:pPr>
              <w:autoSpaceDE w:val="0"/>
              <w:autoSpaceDN w:val="0"/>
              <w:adjustRightInd w:val="0"/>
              <w:rPr>
                <w:rFonts w:ascii="Arial Narrow" w:hAnsi="Arial Narrow" w:cs="Arial Narrow"/>
                <w:b/>
                <w:bCs/>
                <w:color w:val="000000"/>
                <w:szCs w:val="22"/>
              </w:rPr>
            </w:pPr>
            <w:r w:rsidRPr="002B1305">
              <w:rPr>
                <w:rFonts w:ascii="Arial Narrow" w:hAnsi="Arial Narrow" w:cs="Arial Narrow"/>
                <w:b/>
                <w:color w:val="000000"/>
                <w:szCs w:val="22"/>
              </w:rPr>
              <w:t>Government</w:t>
            </w:r>
            <w:r>
              <w:rPr>
                <w:rFonts w:ascii="Arial Narrow" w:hAnsi="Arial Narrow" w:cs="Arial Narrow"/>
                <w:b/>
                <w:bCs/>
                <w:color w:val="000000"/>
                <w:szCs w:val="22"/>
              </w:rPr>
              <w:t xml:space="preserve"> Cost for Market Modification Petitions</w:t>
            </w:r>
          </w:p>
        </w:tc>
        <w:tc>
          <w:tcPr>
            <w:tcW w:w="3060" w:type="dxa"/>
            <w:shd w:val="clear" w:color="FFFF00" w:fill="auto"/>
          </w:tcPr>
          <w:p w14:paraId="16D30B74" w14:textId="77777777" w:rsidR="00AE02C8" w:rsidRPr="006C4619" w:rsidRDefault="00AE02C8" w:rsidP="00AE02C8">
            <w:pPr>
              <w:autoSpaceDE w:val="0"/>
              <w:autoSpaceDN w:val="0"/>
              <w:adjustRightInd w:val="0"/>
              <w:rPr>
                <w:rFonts w:ascii="Arial Narrow" w:hAnsi="Arial Narrow" w:cs="Arial Narrow"/>
                <w:color w:val="000000"/>
                <w:sz w:val="20"/>
              </w:rPr>
            </w:pPr>
            <w:r w:rsidRPr="006C4619">
              <w:rPr>
                <w:rFonts w:ascii="Arial Narrow" w:hAnsi="Arial Narrow" w:cs="Arial Narrow"/>
                <w:color w:val="000000"/>
                <w:sz w:val="20"/>
              </w:rPr>
              <w:t>20</w:t>
            </w:r>
            <w:r>
              <w:rPr>
                <w:rFonts w:ascii="Arial Narrow" w:hAnsi="Arial Narrow" w:cs="Arial Narrow"/>
                <w:bCs/>
                <w:color w:val="000000"/>
                <w:sz w:val="20"/>
              </w:rPr>
              <w:t xml:space="preserve"> </w:t>
            </w:r>
            <w:r>
              <w:rPr>
                <w:rFonts w:ascii="Arial Narrow" w:hAnsi="Arial Narrow" w:cs="Arial Narrow"/>
                <w:color w:val="000000"/>
                <w:sz w:val="20"/>
              </w:rPr>
              <w:t>petitions/proceedings reviewed by FCC Staff Attorneys</w:t>
            </w:r>
          </w:p>
        </w:tc>
        <w:tc>
          <w:tcPr>
            <w:tcW w:w="1350" w:type="dxa"/>
            <w:shd w:val="clear" w:color="FFFF00" w:fill="auto"/>
          </w:tcPr>
          <w:p w14:paraId="396B1AFC" w14:textId="77777777" w:rsidR="00AE02C8" w:rsidRPr="006C4619" w:rsidRDefault="00E000E2" w:rsidP="00E000E2">
            <w:pPr>
              <w:autoSpaceDE w:val="0"/>
              <w:autoSpaceDN w:val="0"/>
              <w:adjustRightInd w:val="0"/>
              <w:rPr>
                <w:rFonts w:ascii="Arial Narrow" w:hAnsi="Arial Narrow" w:cs="Arial Narrow"/>
                <w:color w:val="000000"/>
                <w:sz w:val="20"/>
              </w:rPr>
            </w:pPr>
            <w:r>
              <w:rPr>
                <w:rFonts w:ascii="Arial Narrow" w:hAnsi="Arial Narrow" w:cs="Arial Narrow"/>
                <w:color w:val="000000"/>
                <w:sz w:val="20"/>
              </w:rPr>
              <w:t xml:space="preserve">x </w:t>
            </w:r>
            <w:r w:rsidR="00AE02C8">
              <w:rPr>
                <w:rFonts w:ascii="Arial Narrow" w:hAnsi="Arial Narrow" w:cs="Arial Narrow"/>
                <w:color w:val="000000"/>
                <w:sz w:val="20"/>
              </w:rPr>
              <w:t>80 hrs =</w:t>
            </w:r>
          </w:p>
        </w:tc>
        <w:tc>
          <w:tcPr>
            <w:tcW w:w="1030" w:type="dxa"/>
            <w:shd w:val="clear" w:color="FFFF00" w:fill="auto"/>
          </w:tcPr>
          <w:p w14:paraId="5CF71813" w14:textId="77777777" w:rsidR="00AE02C8" w:rsidRPr="006C4619" w:rsidRDefault="00AE02C8" w:rsidP="001A27A8">
            <w:pPr>
              <w:autoSpaceDE w:val="0"/>
              <w:autoSpaceDN w:val="0"/>
              <w:adjustRightInd w:val="0"/>
              <w:rPr>
                <w:rFonts w:ascii="Arial Narrow" w:hAnsi="Arial Narrow" w:cs="Arial Narrow"/>
                <w:color w:val="000000"/>
                <w:sz w:val="20"/>
              </w:rPr>
            </w:pPr>
            <w:r>
              <w:rPr>
                <w:rFonts w:ascii="Arial Narrow" w:hAnsi="Arial Narrow" w:cs="Arial Narrow"/>
                <w:color w:val="000000"/>
                <w:sz w:val="20"/>
              </w:rPr>
              <w:t>1,600</w:t>
            </w:r>
            <w:r w:rsidRPr="006C4619">
              <w:rPr>
                <w:rFonts w:ascii="Arial Narrow" w:hAnsi="Arial Narrow" w:cs="Arial Narrow"/>
                <w:color w:val="000000"/>
                <w:sz w:val="20"/>
              </w:rPr>
              <w:t xml:space="preserve"> </w:t>
            </w:r>
            <w:r>
              <w:rPr>
                <w:rFonts w:ascii="Arial Narrow" w:hAnsi="Arial Narrow" w:cs="Arial Narrow"/>
                <w:color w:val="000000"/>
                <w:sz w:val="20"/>
              </w:rPr>
              <w:t>hrs.</w:t>
            </w:r>
          </w:p>
        </w:tc>
        <w:tc>
          <w:tcPr>
            <w:tcW w:w="1240" w:type="dxa"/>
            <w:shd w:val="clear" w:color="FFFF00" w:fill="auto"/>
          </w:tcPr>
          <w:p w14:paraId="0E638BA3" w14:textId="77777777" w:rsidR="00AE02C8" w:rsidRPr="006C4619" w:rsidRDefault="00E000E2" w:rsidP="001D60AA">
            <w:pPr>
              <w:autoSpaceDE w:val="0"/>
              <w:autoSpaceDN w:val="0"/>
              <w:adjustRightInd w:val="0"/>
              <w:rPr>
                <w:rFonts w:ascii="Arial Narrow" w:hAnsi="Arial Narrow" w:cs="Arial Narrow"/>
                <w:color w:val="000000"/>
                <w:sz w:val="20"/>
              </w:rPr>
            </w:pPr>
            <w:r>
              <w:rPr>
                <w:rFonts w:ascii="Arial Narrow" w:hAnsi="Arial Narrow" w:cs="Arial Narrow"/>
                <w:color w:val="000000"/>
                <w:sz w:val="20"/>
              </w:rPr>
              <w:t>x $68.56</w:t>
            </w:r>
          </w:p>
        </w:tc>
        <w:tc>
          <w:tcPr>
            <w:tcW w:w="1240" w:type="dxa"/>
            <w:shd w:val="clear" w:color="FFFF00" w:fill="auto"/>
          </w:tcPr>
          <w:p w14:paraId="1BF0B3EC" w14:textId="77777777" w:rsidR="00AE02C8" w:rsidRPr="006C4619" w:rsidRDefault="00E000E2" w:rsidP="001D60AA">
            <w:pPr>
              <w:autoSpaceDE w:val="0"/>
              <w:autoSpaceDN w:val="0"/>
              <w:adjustRightInd w:val="0"/>
              <w:rPr>
                <w:rFonts w:ascii="Arial Narrow" w:hAnsi="Arial Narrow" w:cs="Arial Narrow"/>
                <w:color w:val="000000"/>
                <w:sz w:val="20"/>
              </w:rPr>
            </w:pPr>
            <w:r>
              <w:rPr>
                <w:rFonts w:ascii="Arial Narrow" w:hAnsi="Arial Narrow" w:cs="Arial Narrow"/>
                <w:color w:val="000000"/>
                <w:sz w:val="20"/>
              </w:rPr>
              <w:t>$109,696.00</w:t>
            </w:r>
          </w:p>
        </w:tc>
      </w:tr>
      <w:tr w:rsidR="00AE02C8" w:rsidRPr="006C4619" w14:paraId="75062B0F" w14:textId="77777777" w:rsidTr="00126462">
        <w:trPr>
          <w:trHeight w:val="514"/>
        </w:trPr>
        <w:tc>
          <w:tcPr>
            <w:tcW w:w="2145" w:type="dxa"/>
            <w:vMerge/>
          </w:tcPr>
          <w:p w14:paraId="53FA4A53" w14:textId="77777777" w:rsidR="00AE02C8" w:rsidRPr="0092440E" w:rsidRDefault="00AE02C8" w:rsidP="00AE02C8">
            <w:pPr>
              <w:autoSpaceDE w:val="0"/>
              <w:autoSpaceDN w:val="0"/>
              <w:adjustRightInd w:val="0"/>
              <w:rPr>
                <w:rFonts w:ascii="Arial Narrow" w:hAnsi="Arial Narrow" w:cs="Arial Narrow"/>
                <w:b/>
                <w:bCs/>
                <w:color w:val="000000"/>
                <w:szCs w:val="22"/>
              </w:rPr>
            </w:pPr>
          </w:p>
        </w:tc>
        <w:tc>
          <w:tcPr>
            <w:tcW w:w="3060" w:type="dxa"/>
            <w:shd w:val="clear" w:color="FFFF00" w:fill="auto"/>
          </w:tcPr>
          <w:p w14:paraId="440238E1" w14:textId="77777777" w:rsidR="00AE02C8" w:rsidRPr="006C4619" w:rsidRDefault="00AE02C8" w:rsidP="00AE02C8">
            <w:pPr>
              <w:autoSpaceDE w:val="0"/>
              <w:autoSpaceDN w:val="0"/>
              <w:adjustRightInd w:val="0"/>
              <w:rPr>
                <w:rFonts w:ascii="Arial Narrow" w:hAnsi="Arial Narrow" w:cs="Arial Narrow"/>
                <w:color w:val="000000"/>
                <w:sz w:val="20"/>
              </w:rPr>
            </w:pPr>
            <w:r w:rsidRPr="006C4619">
              <w:rPr>
                <w:rFonts w:ascii="Arial Narrow" w:hAnsi="Arial Narrow" w:cs="Arial Narrow"/>
                <w:color w:val="000000"/>
                <w:sz w:val="20"/>
              </w:rPr>
              <w:t>20</w:t>
            </w:r>
            <w:r>
              <w:rPr>
                <w:rFonts w:ascii="Arial Narrow" w:hAnsi="Arial Narrow" w:cs="Arial Narrow"/>
                <w:color w:val="000000"/>
                <w:sz w:val="20"/>
              </w:rPr>
              <w:t xml:space="preserve"> petitions/proceedings reviewed by FCC Clerical Staff</w:t>
            </w:r>
          </w:p>
        </w:tc>
        <w:tc>
          <w:tcPr>
            <w:tcW w:w="1350" w:type="dxa"/>
            <w:shd w:val="clear" w:color="FFFF00" w:fill="auto"/>
          </w:tcPr>
          <w:p w14:paraId="244CEAB4" w14:textId="77777777" w:rsidR="00AE02C8" w:rsidRPr="006C4619" w:rsidRDefault="00AE02C8" w:rsidP="00E000E2">
            <w:pPr>
              <w:autoSpaceDE w:val="0"/>
              <w:autoSpaceDN w:val="0"/>
              <w:adjustRightInd w:val="0"/>
              <w:rPr>
                <w:rFonts w:ascii="Arial Narrow" w:hAnsi="Arial Narrow" w:cs="Arial Narrow"/>
                <w:color w:val="000000"/>
                <w:sz w:val="20"/>
              </w:rPr>
            </w:pPr>
            <w:r>
              <w:rPr>
                <w:rFonts w:ascii="Arial Narrow" w:hAnsi="Arial Narrow" w:cs="Arial Narrow"/>
                <w:color w:val="000000"/>
                <w:sz w:val="20"/>
              </w:rPr>
              <w:t xml:space="preserve">x </w:t>
            </w:r>
            <w:r w:rsidR="00E000E2">
              <w:rPr>
                <w:rFonts w:ascii="Arial Narrow" w:hAnsi="Arial Narrow" w:cs="Arial Narrow"/>
                <w:color w:val="000000"/>
                <w:sz w:val="20"/>
              </w:rPr>
              <w:t>5</w:t>
            </w:r>
            <w:r>
              <w:rPr>
                <w:rFonts w:ascii="Arial Narrow" w:hAnsi="Arial Narrow" w:cs="Arial Narrow"/>
                <w:color w:val="000000"/>
                <w:sz w:val="20"/>
              </w:rPr>
              <w:t xml:space="preserve"> hrs =</w:t>
            </w:r>
          </w:p>
        </w:tc>
        <w:tc>
          <w:tcPr>
            <w:tcW w:w="1030" w:type="dxa"/>
            <w:shd w:val="clear" w:color="FFFF00" w:fill="auto"/>
          </w:tcPr>
          <w:p w14:paraId="35D4C280" w14:textId="77777777" w:rsidR="00AE02C8" w:rsidRPr="006C4619" w:rsidRDefault="00E000E2" w:rsidP="00AE02C8">
            <w:pPr>
              <w:autoSpaceDE w:val="0"/>
              <w:autoSpaceDN w:val="0"/>
              <w:adjustRightInd w:val="0"/>
              <w:rPr>
                <w:rFonts w:ascii="Arial Narrow" w:hAnsi="Arial Narrow" w:cs="Arial Narrow"/>
                <w:color w:val="000000"/>
                <w:sz w:val="20"/>
              </w:rPr>
            </w:pPr>
            <w:r>
              <w:rPr>
                <w:rFonts w:ascii="Arial Narrow" w:hAnsi="Arial Narrow" w:cs="Arial Narrow"/>
                <w:color w:val="000000"/>
                <w:sz w:val="20"/>
              </w:rPr>
              <w:t>100</w:t>
            </w:r>
            <w:r w:rsidR="00AE02C8" w:rsidRPr="006C4619">
              <w:rPr>
                <w:rFonts w:ascii="Arial Narrow" w:hAnsi="Arial Narrow" w:cs="Arial Narrow"/>
                <w:color w:val="000000"/>
                <w:sz w:val="20"/>
              </w:rPr>
              <w:t xml:space="preserve"> hrs</w:t>
            </w:r>
            <w:r w:rsidR="00AE02C8">
              <w:rPr>
                <w:rFonts w:ascii="Arial Narrow" w:hAnsi="Arial Narrow" w:cs="Arial Narrow"/>
                <w:color w:val="000000"/>
                <w:sz w:val="20"/>
              </w:rPr>
              <w:t>.</w:t>
            </w:r>
          </w:p>
        </w:tc>
        <w:tc>
          <w:tcPr>
            <w:tcW w:w="1240" w:type="dxa"/>
            <w:shd w:val="clear" w:color="FFFF00" w:fill="auto"/>
          </w:tcPr>
          <w:p w14:paraId="3E366A70" w14:textId="77777777" w:rsidR="00AE02C8" w:rsidRPr="006C4619" w:rsidRDefault="00E000E2" w:rsidP="00E000E2">
            <w:pPr>
              <w:autoSpaceDE w:val="0"/>
              <w:autoSpaceDN w:val="0"/>
              <w:adjustRightInd w:val="0"/>
              <w:rPr>
                <w:rFonts w:ascii="Arial Narrow" w:hAnsi="Arial Narrow" w:cs="Arial Narrow"/>
                <w:color w:val="000000"/>
                <w:sz w:val="20"/>
              </w:rPr>
            </w:pPr>
            <w:r>
              <w:rPr>
                <w:rFonts w:ascii="Arial Narrow" w:hAnsi="Arial Narrow" w:cs="Arial Narrow"/>
                <w:color w:val="000000"/>
                <w:sz w:val="20"/>
              </w:rPr>
              <w:t>x $28.60</w:t>
            </w:r>
          </w:p>
        </w:tc>
        <w:tc>
          <w:tcPr>
            <w:tcW w:w="1240" w:type="dxa"/>
            <w:shd w:val="clear" w:color="FFFF00" w:fill="auto"/>
          </w:tcPr>
          <w:p w14:paraId="489E1E88" w14:textId="77777777" w:rsidR="00AE02C8" w:rsidRPr="006C4619" w:rsidRDefault="00E000E2" w:rsidP="00AE02C8">
            <w:pPr>
              <w:autoSpaceDE w:val="0"/>
              <w:autoSpaceDN w:val="0"/>
              <w:adjustRightInd w:val="0"/>
              <w:rPr>
                <w:rFonts w:ascii="Arial Narrow" w:hAnsi="Arial Narrow" w:cs="Arial Narrow"/>
                <w:color w:val="000000"/>
                <w:sz w:val="20"/>
              </w:rPr>
            </w:pPr>
            <w:r>
              <w:rPr>
                <w:rFonts w:ascii="Arial Narrow" w:hAnsi="Arial Narrow" w:cs="Arial Narrow"/>
                <w:color w:val="000000"/>
                <w:sz w:val="20"/>
              </w:rPr>
              <w:t>$2,860.00</w:t>
            </w:r>
          </w:p>
        </w:tc>
      </w:tr>
      <w:tr w:rsidR="009A6576" w:rsidRPr="009643D2" w14:paraId="74420443" w14:textId="77777777" w:rsidTr="001D60AA">
        <w:trPr>
          <w:trHeight w:val="354"/>
        </w:trPr>
        <w:tc>
          <w:tcPr>
            <w:tcW w:w="7585" w:type="dxa"/>
            <w:gridSpan w:val="4"/>
            <w:shd w:val="clear" w:color="auto" w:fill="F2F2F2" w:themeFill="background1" w:themeFillShade="F2"/>
          </w:tcPr>
          <w:p w14:paraId="08AECE9F" w14:textId="77777777" w:rsidR="009A6576" w:rsidRPr="009643D2" w:rsidRDefault="009A6576" w:rsidP="009A6576">
            <w:pPr>
              <w:autoSpaceDE w:val="0"/>
              <w:autoSpaceDN w:val="0"/>
              <w:adjustRightInd w:val="0"/>
              <w:rPr>
                <w:rFonts w:ascii="Arial Narrow" w:hAnsi="Arial Narrow" w:cs="Arial Narrow"/>
                <w:b/>
                <w:color w:val="000000"/>
                <w:sz w:val="20"/>
              </w:rPr>
            </w:pPr>
            <w:r w:rsidRPr="0092440E">
              <w:rPr>
                <w:rFonts w:ascii="Arial Narrow" w:hAnsi="Arial Narrow" w:cs="Arial Narrow"/>
                <w:b/>
                <w:bCs/>
                <w:color w:val="000000"/>
                <w:szCs w:val="22"/>
              </w:rPr>
              <w:t>Subtotal</w:t>
            </w:r>
          </w:p>
        </w:tc>
        <w:tc>
          <w:tcPr>
            <w:tcW w:w="2480" w:type="dxa"/>
            <w:gridSpan w:val="2"/>
            <w:shd w:val="clear" w:color="auto" w:fill="F2F2F2" w:themeFill="background1" w:themeFillShade="F2"/>
          </w:tcPr>
          <w:p w14:paraId="35395A17" w14:textId="77777777" w:rsidR="009A6576" w:rsidRPr="009643D2" w:rsidRDefault="009A6576" w:rsidP="006E07D0">
            <w:pPr>
              <w:autoSpaceDE w:val="0"/>
              <w:autoSpaceDN w:val="0"/>
              <w:adjustRightInd w:val="0"/>
              <w:jc w:val="right"/>
              <w:rPr>
                <w:rFonts w:ascii="Arial Narrow" w:hAnsi="Arial Narrow" w:cs="Arial Narrow"/>
                <w:b/>
                <w:color w:val="000000"/>
                <w:sz w:val="20"/>
              </w:rPr>
            </w:pPr>
            <w:r>
              <w:rPr>
                <w:rFonts w:ascii="Arial Narrow" w:hAnsi="Arial Narrow" w:cs="Arial Narrow"/>
                <w:b/>
                <w:color w:val="000000"/>
                <w:sz w:val="20"/>
              </w:rPr>
              <w:t>$112,556.00</w:t>
            </w:r>
          </w:p>
        </w:tc>
      </w:tr>
      <w:tr w:rsidR="00E000E2" w:rsidRPr="006C4619" w14:paraId="64276F2F" w14:textId="77777777" w:rsidTr="00126462">
        <w:trPr>
          <w:trHeight w:val="564"/>
        </w:trPr>
        <w:tc>
          <w:tcPr>
            <w:tcW w:w="2145" w:type="dxa"/>
            <w:vMerge w:val="restart"/>
          </w:tcPr>
          <w:p w14:paraId="23AA6B5D" w14:textId="77777777" w:rsidR="00E000E2" w:rsidRPr="0092440E" w:rsidRDefault="00E000E2" w:rsidP="00E000E2">
            <w:pPr>
              <w:autoSpaceDE w:val="0"/>
              <w:autoSpaceDN w:val="0"/>
              <w:adjustRightInd w:val="0"/>
              <w:rPr>
                <w:rFonts w:ascii="Arial Narrow" w:hAnsi="Arial Narrow" w:cs="Arial Narrow"/>
                <w:b/>
                <w:bCs/>
                <w:color w:val="000000"/>
                <w:szCs w:val="22"/>
              </w:rPr>
            </w:pPr>
            <w:r w:rsidRPr="002B1305">
              <w:rPr>
                <w:rFonts w:ascii="Arial Narrow" w:hAnsi="Arial Narrow" w:cs="Arial Narrow"/>
                <w:b/>
                <w:color w:val="000000"/>
                <w:szCs w:val="22"/>
              </w:rPr>
              <w:t>Government</w:t>
            </w:r>
            <w:r>
              <w:rPr>
                <w:rFonts w:ascii="Arial Narrow" w:hAnsi="Arial Narrow" w:cs="Arial Narrow"/>
                <w:b/>
                <w:bCs/>
                <w:color w:val="000000"/>
                <w:szCs w:val="22"/>
              </w:rPr>
              <w:t xml:space="preserve"> Cost for </w:t>
            </w:r>
            <w:r w:rsidRPr="0092440E">
              <w:rPr>
                <w:rFonts w:ascii="Arial Narrow" w:hAnsi="Arial Narrow" w:cs="Arial Narrow"/>
                <w:b/>
                <w:bCs/>
                <w:color w:val="000000"/>
                <w:szCs w:val="22"/>
              </w:rPr>
              <w:t>Pre-filing Coordination Special Relief Petitions</w:t>
            </w:r>
          </w:p>
        </w:tc>
        <w:tc>
          <w:tcPr>
            <w:tcW w:w="3060" w:type="dxa"/>
            <w:shd w:val="clear" w:color="FFFF00" w:fill="auto"/>
          </w:tcPr>
          <w:p w14:paraId="5BE58D59" w14:textId="77777777" w:rsidR="00E000E2" w:rsidRPr="00407041" w:rsidRDefault="00E000E2" w:rsidP="00E000E2">
            <w:pPr>
              <w:autoSpaceDE w:val="0"/>
              <w:autoSpaceDN w:val="0"/>
              <w:adjustRightInd w:val="0"/>
              <w:rPr>
                <w:rFonts w:ascii="Arial Narrow" w:hAnsi="Arial Narrow" w:cs="Arial Narrow"/>
                <w:sz w:val="20"/>
              </w:rPr>
            </w:pPr>
            <w:r w:rsidRPr="00407041">
              <w:rPr>
                <w:rFonts w:ascii="Arial Narrow" w:hAnsi="Arial Narrow" w:cs="Arial Narrow"/>
                <w:color w:val="000000"/>
                <w:sz w:val="20"/>
              </w:rPr>
              <w:t>10</w:t>
            </w:r>
            <w:r>
              <w:rPr>
                <w:rFonts w:ascii="Arial Narrow" w:hAnsi="Arial Narrow" w:cs="Arial Narrow"/>
                <w:color w:val="000000"/>
                <w:sz w:val="20"/>
              </w:rPr>
              <w:t xml:space="preserve"> petitions/proceedings reviewed by FCC Staff Attorneys</w:t>
            </w:r>
          </w:p>
        </w:tc>
        <w:tc>
          <w:tcPr>
            <w:tcW w:w="1350" w:type="dxa"/>
            <w:shd w:val="clear" w:color="FFFF00" w:fill="auto"/>
          </w:tcPr>
          <w:p w14:paraId="106C82E0" w14:textId="77777777" w:rsidR="00E000E2" w:rsidRPr="006C4619" w:rsidRDefault="00E000E2" w:rsidP="006E07D0">
            <w:pPr>
              <w:autoSpaceDE w:val="0"/>
              <w:autoSpaceDN w:val="0"/>
              <w:adjustRightInd w:val="0"/>
              <w:rPr>
                <w:rFonts w:ascii="Arial Narrow" w:hAnsi="Arial Narrow" w:cs="Arial Narrow"/>
                <w:color w:val="000000"/>
                <w:sz w:val="20"/>
              </w:rPr>
            </w:pPr>
            <w:r>
              <w:rPr>
                <w:rFonts w:ascii="Arial Narrow" w:hAnsi="Arial Narrow" w:cs="Arial Narrow"/>
                <w:color w:val="000000"/>
                <w:sz w:val="20"/>
              </w:rPr>
              <w:t xml:space="preserve">x </w:t>
            </w:r>
            <w:r w:rsidR="006E07D0">
              <w:rPr>
                <w:rFonts w:ascii="Arial Narrow" w:hAnsi="Arial Narrow" w:cs="Arial Narrow"/>
                <w:color w:val="000000"/>
                <w:sz w:val="20"/>
              </w:rPr>
              <w:t>40</w:t>
            </w:r>
            <w:r>
              <w:rPr>
                <w:rFonts w:ascii="Arial Narrow" w:hAnsi="Arial Narrow" w:cs="Arial Narrow"/>
                <w:color w:val="000000"/>
                <w:sz w:val="20"/>
              </w:rPr>
              <w:t xml:space="preserve"> hrs =</w:t>
            </w:r>
          </w:p>
        </w:tc>
        <w:tc>
          <w:tcPr>
            <w:tcW w:w="1030" w:type="dxa"/>
            <w:shd w:val="clear" w:color="FFFF00" w:fill="auto"/>
          </w:tcPr>
          <w:p w14:paraId="2DE5824D" w14:textId="77777777" w:rsidR="00E000E2" w:rsidRPr="006C4619" w:rsidRDefault="006E07D0" w:rsidP="00E000E2">
            <w:pPr>
              <w:autoSpaceDE w:val="0"/>
              <w:autoSpaceDN w:val="0"/>
              <w:adjustRightInd w:val="0"/>
              <w:rPr>
                <w:rFonts w:ascii="Arial Narrow" w:hAnsi="Arial Narrow" w:cs="Arial Narrow"/>
                <w:color w:val="000000"/>
                <w:sz w:val="20"/>
              </w:rPr>
            </w:pPr>
            <w:r>
              <w:rPr>
                <w:rFonts w:ascii="Arial Narrow" w:hAnsi="Arial Narrow" w:cs="Arial Narrow"/>
                <w:color w:val="000000"/>
                <w:sz w:val="20"/>
              </w:rPr>
              <w:t>40</w:t>
            </w:r>
            <w:r w:rsidR="00E000E2">
              <w:rPr>
                <w:rFonts w:ascii="Arial Narrow" w:hAnsi="Arial Narrow" w:cs="Arial Narrow"/>
                <w:color w:val="000000"/>
                <w:sz w:val="20"/>
              </w:rPr>
              <w:t>0 hrs.</w:t>
            </w:r>
          </w:p>
        </w:tc>
        <w:tc>
          <w:tcPr>
            <w:tcW w:w="1240" w:type="dxa"/>
            <w:shd w:val="clear" w:color="FFFF00" w:fill="auto"/>
          </w:tcPr>
          <w:p w14:paraId="58C47CEB" w14:textId="77777777" w:rsidR="00E000E2" w:rsidRPr="006C4619" w:rsidRDefault="00E000E2" w:rsidP="00E000E2">
            <w:pPr>
              <w:autoSpaceDE w:val="0"/>
              <w:autoSpaceDN w:val="0"/>
              <w:adjustRightInd w:val="0"/>
              <w:rPr>
                <w:rFonts w:ascii="Arial Narrow" w:hAnsi="Arial Narrow" w:cs="Arial Narrow"/>
                <w:color w:val="000000"/>
                <w:sz w:val="20"/>
              </w:rPr>
            </w:pPr>
            <w:r>
              <w:rPr>
                <w:rFonts w:ascii="Arial Narrow" w:hAnsi="Arial Narrow" w:cs="Arial Narrow"/>
                <w:color w:val="000000"/>
                <w:sz w:val="20"/>
              </w:rPr>
              <w:t>x $68.56</w:t>
            </w:r>
          </w:p>
        </w:tc>
        <w:tc>
          <w:tcPr>
            <w:tcW w:w="1240" w:type="dxa"/>
            <w:shd w:val="clear" w:color="FFFF00" w:fill="auto"/>
          </w:tcPr>
          <w:p w14:paraId="04F91F03" w14:textId="77777777" w:rsidR="00E000E2" w:rsidRPr="006C4619" w:rsidRDefault="006E07D0" w:rsidP="00E000E2">
            <w:pPr>
              <w:autoSpaceDE w:val="0"/>
              <w:autoSpaceDN w:val="0"/>
              <w:adjustRightInd w:val="0"/>
              <w:rPr>
                <w:rFonts w:ascii="Arial Narrow" w:hAnsi="Arial Narrow" w:cs="Arial Narrow"/>
                <w:color w:val="000000"/>
                <w:sz w:val="20"/>
              </w:rPr>
            </w:pPr>
            <w:r>
              <w:rPr>
                <w:rFonts w:ascii="Arial Narrow" w:hAnsi="Arial Narrow" w:cs="Arial Narrow"/>
                <w:color w:val="000000"/>
                <w:sz w:val="20"/>
              </w:rPr>
              <w:t>$27,424.00</w:t>
            </w:r>
          </w:p>
        </w:tc>
      </w:tr>
      <w:tr w:rsidR="006E07D0" w:rsidRPr="006C4619" w14:paraId="3D238EBD" w14:textId="77777777" w:rsidTr="00126462">
        <w:trPr>
          <w:trHeight w:val="514"/>
        </w:trPr>
        <w:tc>
          <w:tcPr>
            <w:tcW w:w="2145" w:type="dxa"/>
            <w:vMerge/>
          </w:tcPr>
          <w:p w14:paraId="57E147A6" w14:textId="77777777" w:rsidR="006E07D0" w:rsidRPr="0092440E" w:rsidRDefault="006E07D0" w:rsidP="006E07D0">
            <w:pPr>
              <w:autoSpaceDE w:val="0"/>
              <w:autoSpaceDN w:val="0"/>
              <w:adjustRightInd w:val="0"/>
              <w:rPr>
                <w:rFonts w:ascii="Arial Narrow" w:hAnsi="Arial Narrow" w:cs="Arial Narrow"/>
                <w:b/>
                <w:bCs/>
                <w:color w:val="000000"/>
                <w:szCs w:val="22"/>
              </w:rPr>
            </w:pPr>
          </w:p>
        </w:tc>
        <w:tc>
          <w:tcPr>
            <w:tcW w:w="3060" w:type="dxa"/>
            <w:shd w:val="clear" w:color="FFFF00" w:fill="auto"/>
          </w:tcPr>
          <w:p w14:paraId="78868285" w14:textId="77777777" w:rsidR="006E07D0" w:rsidRPr="00407041" w:rsidRDefault="006E07D0" w:rsidP="006E07D0">
            <w:pPr>
              <w:autoSpaceDE w:val="0"/>
              <w:autoSpaceDN w:val="0"/>
              <w:adjustRightInd w:val="0"/>
              <w:rPr>
                <w:rFonts w:ascii="Arial Narrow" w:hAnsi="Arial Narrow" w:cs="Arial Narrow"/>
                <w:color w:val="000000"/>
                <w:sz w:val="20"/>
              </w:rPr>
            </w:pPr>
            <w:r>
              <w:rPr>
                <w:rFonts w:ascii="Arial Narrow" w:hAnsi="Arial Narrow" w:cs="Arial Narrow"/>
                <w:color w:val="000000"/>
                <w:sz w:val="20"/>
              </w:rPr>
              <w:t>10 petitions/proceedings reviewed by FCC Clerical Staff</w:t>
            </w:r>
          </w:p>
        </w:tc>
        <w:tc>
          <w:tcPr>
            <w:tcW w:w="1350" w:type="dxa"/>
            <w:shd w:val="clear" w:color="FFFF00" w:fill="auto"/>
          </w:tcPr>
          <w:p w14:paraId="5B4A12A3" w14:textId="77777777" w:rsidR="006E07D0" w:rsidRPr="006C4619" w:rsidRDefault="006E07D0" w:rsidP="006E07D0">
            <w:pPr>
              <w:autoSpaceDE w:val="0"/>
              <w:autoSpaceDN w:val="0"/>
              <w:adjustRightInd w:val="0"/>
              <w:rPr>
                <w:rFonts w:ascii="Arial Narrow" w:hAnsi="Arial Narrow" w:cs="Arial Narrow"/>
                <w:color w:val="000000"/>
                <w:sz w:val="20"/>
              </w:rPr>
            </w:pPr>
            <w:r>
              <w:rPr>
                <w:rFonts w:ascii="Arial Narrow" w:hAnsi="Arial Narrow" w:cs="Arial Narrow"/>
                <w:color w:val="000000"/>
                <w:sz w:val="20"/>
              </w:rPr>
              <w:t>x 5 hrs =</w:t>
            </w:r>
          </w:p>
        </w:tc>
        <w:tc>
          <w:tcPr>
            <w:tcW w:w="1030" w:type="dxa"/>
            <w:shd w:val="clear" w:color="FFFF00" w:fill="auto"/>
          </w:tcPr>
          <w:p w14:paraId="43B9EDD4" w14:textId="77777777" w:rsidR="006E07D0" w:rsidRDefault="006E07D0" w:rsidP="006E07D0">
            <w:pPr>
              <w:autoSpaceDE w:val="0"/>
              <w:autoSpaceDN w:val="0"/>
              <w:adjustRightInd w:val="0"/>
              <w:rPr>
                <w:rFonts w:ascii="Arial Narrow" w:hAnsi="Arial Narrow" w:cs="Arial Narrow"/>
                <w:color w:val="000000"/>
                <w:sz w:val="20"/>
              </w:rPr>
            </w:pPr>
            <w:r>
              <w:rPr>
                <w:rFonts w:ascii="Arial Narrow" w:hAnsi="Arial Narrow" w:cs="Arial Narrow"/>
                <w:color w:val="000000"/>
                <w:sz w:val="20"/>
              </w:rPr>
              <w:t>50</w:t>
            </w:r>
            <w:r w:rsidRPr="006C4619">
              <w:rPr>
                <w:rFonts w:ascii="Arial Narrow" w:hAnsi="Arial Narrow" w:cs="Arial Narrow"/>
                <w:color w:val="000000"/>
                <w:sz w:val="20"/>
              </w:rPr>
              <w:t xml:space="preserve"> hrs</w:t>
            </w:r>
            <w:r>
              <w:rPr>
                <w:rFonts w:ascii="Arial Narrow" w:hAnsi="Arial Narrow" w:cs="Arial Narrow"/>
                <w:color w:val="000000"/>
                <w:sz w:val="20"/>
              </w:rPr>
              <w:t>.</w:t>
            </w:r>
          </w:p>
        </w:tc>
        <w:tc>
          <w:tcPr>
            <w:tcW w:w="1240" w:type="dxa"/>
            <w:shd w:val="clear" w:color="FFFF00" w:fill="auto"/>
          </w:tcPr>
          <w:p w14:paraId="4EE5A619" w14:textId="77777777" w:rsidR="006E07D0" w:rsidRDefault="006E07D0" w:rsidP="006E07D0">
            <w:pPr>
              <w:autoSpaceDE w:val="0"/>
              <w:autoSpaceDN w:val="0"/>
              <w:adjustRightInd w:val="0"/>
              <w:rPr>
                <w:rFonts w:ascii="Arial Narrow" w:hAnsi="Arial Narrow" w:cs="Arial Narrow"/>
                <w:color w:val="000000"/>
                <w:sz w:val="20"/>
              </w:rPr>
            </w:pPr>
            <w:r>
              <w:rPr>
                <w:rFonts w:ascii="Arial Narrow" w:hAnsi="Arial Narrow" w:cs="Arial Narrow"/>
                <w:color w:val="000000"/>
                <w:sz w:val="20"/>
              </w:rPr>
              <w:t>x $28.60</w:t>
            </w:r>
          </w:p>
        </w:tc>
        <w:tc>
          <w:tcPr>
            <w:tcW w:w="1240" w:type="dxa"/>
            <w:shd w:val="clear" w:color="FFFF00" w:fill="auto"/>
          </w:tcPr>
          <w:p w14:paraId="5B21DCE1" w14:textId="77777777" w:rsidR="006E07D0" w:rsidRDefault="006E07D0" w:rsidP="006E07D0">
            <w:pPr>
              <w:autoSpaceDE w:val="0"/>
              <w:autoSpaceDN w:val="0"/>
              <w:adjustRightInd w:val="0"/>
              <w:rPr>
                <w:rFonts w:ascii="Arial Narrow" w:hAnsi="Arial Narrow" w:cs="Arial Narrow"/>
                <w:color w:val="000000"/>
                <w:sz w:val="20"/>
              </w:rPr>
            </w:pPr>
            <w:r>
              <w:rPr>
                <w:rFonts w:ascii="Arial Narrow" w:hAnsi="Arial Narrow" w:cs="Arial Narrow"/>
                <w:color w:val="000000"/>
                <w:sz w:val="20"/>
              </w:rPr>
              <w:t>$1,430.00</w:t>
            </w:r>
          </w:p>
        </w:tc>
      </w:tr>
      <w:tr w:rsidR="009A6576" w:rsidRPr="009E7CC9" w14:paraId="263A0DED" w14:textId="77777777" w:rsidTr="001D60AA">
        <w:trPr>
          <w:trHeight w:val="345"/>
        </w:trPr>
        <w:tc>
          <w:tcPr>
            <w:tcW w:w="7585" w:type="dxa"/>
            <w:gridSpan w:val="4"/>
            <w:shd w:val="clear" w:color="auto" w:fill="F2F2F2" w:themeFill="background1" w:themeFillShade="F2"/>
          </w:tcPr>
          <w:p w14:paraId="1827AAD3" w14:textId="77777777" w:rsidR="009A6576" w:rsidRPr="009643D2" w:rsidRDefault="009A6576" w:rsidP="009A6576">
            <w:pPr>
              <w:autoSpaceDE w:val="0"/>
              <w:autoSpaceDN w:val="0"/>
              <w:adjustRightInd w:val="0"/>
              <w:rPr>
                <w:rFonts w:ascii="Arial Narrow" w:hAnsi="Arial Narrow" w:cs="Arial Narrow"/>
                <w:b/>
                <w:color w:val="000000"/>
                <w:sz w:val="20"/>
              </w:rPr>
            </w:pPr>
            <w:r w:rsidRPr="0092440E">
              <w:rPr>
                <w:rFonts w:ascii="Arial Narrow" w:hAnsi="Arial Narrow" w:cs="Arial Narrow"/>
                <w:b/>
                <w:bCs/>
                <w:color w:val="000000"/>
                <w:szCs w:val="22"/>
              </w:rPr>
              <w:t>Subtotal</w:t>
            </w:r>
          </w:p>
        </w:tc>
        <w:tc>
          <w:tcPr>
            <w:tcW w:w="2480" w:type="dxa"/>
            <w:gridSpan w:val="2"/>
            <w:shd w:val="clear" w:color="auto" w:fill="F2F2F2" w:themeFill="background1" w:themeFillShade="F2"/>
          </w:tcPr>
          <w:p w14:paraId="44D1230A" w14:textId="77777777" w:rsidR="009A6576" w:rsidRPr="009643D2" w:rsidRDefault="009A6576" w:rsidP="006E07D0">
            <w:pPr>
              <w:autoSpaceDE w:val="0"/>
              <w:autoSpaceDN w:val="0"/>
              <w:adjustRightInd w:val="0"/>
              <w:jc w:val="right"/>
              <w:rPr>
                <w:rFonts w:ascii="Arial Narrow" w:hAnsi="Arial Narrow" w:cs="Arial Narrow"/>
                <w:b/>
                <w:color w:val="000000"/>
                <w:sz w:val="20"/>
              </w:rPr>
            </w:pPr>
            <w:r>
              <w:rPr>
                <w:rFonts w:ascii="Arial Narrow" w:hAnsi="Arial Narrow" w:cs="Arial Narrow"/>
                <w:b/>
                <w:color w:val="000000"/>
                <w:sz w:val="20"/>
              </w:rPr>
              <w:t>$28,854.00</w:t>
            </w:r>
          </w:p>
        </w:tc>
      </w:tr>
      <w:tr w:rsidR="00E000E2" w:rsidRPr="00D12FDD" w14:paraId="41C66F12" w14:textId="77777777" w:rsidTr="00AE02C8">
        <w:trPr>
          <w:trHeight w:val="402"/>
        </w:trPr>
        <w:tc>
          <w:tcPr>
            <w:tcW w:w="7585" w:type="dxa"/>
            <w:gridSpan w:val="4"/>
          </w:tcPr>
          <w:p w14:paraId="1C350807" w14:textId="77777777" w:rsidR="00E000E2" w:rsidRPr="00D12FDD" w:rsidRDefault="00E000E2" w:rsidP="00E000E2">
            <w:pPr>
              <w:autoSpaceDE w:val="0"/>
              <w:autoSpaceDN w:val="0"/>
              <w:adjustRightInd w:val="0"/>
              <w:rPr>
                <w:rFonts w:ascii="Arial Narrow" w:hAnsi="Arial Narrow" w:cs="Arial Narrow"/>
                <w:b/>
                <w:color w:val="000000"/>
                <w:szCs w:val="22"/>
              </w:rPr>
            </w:pPr>
            <w:r>
              <w:rPr>
                <w:rFonts w:ascii="Arial Narrow" w:hAnsi="Arial Narrow" w:cs="Arial Narrow"/>
                <w:b/>
                <w:color w:val="000000"/>
                <w:szCs w:val="22"/>
              </w:rPr>
              <w:t xml:space="preserve">Total </w:t>
            </w:r>
            <w:r w:rsidRPr="0016575B">
              <w:rPr>
                <w:rFonts w:ascii="Arial Narrow" w:hAnsi="Arial Narrow" w:cs="Arial Narrow"/>
                <w:b/>
                <w:color w:val="000000"/>
                <w:szCs w:val="22"/>
              </w:rPr>
              <w:t xml:space="preserve">Cost to </w:t>
            </w:r>
            <w:r>
              <w:rPr>
                <w:rFonts w:ascii="Arial Narrow" w:hAnsi="Arial Narrow" w:cs="Arial Narrow"/>
                <w:b/>
                <w:color w:val="000000"/>
                <w:szCs w:val="22"/>
              </w:rPr>
              <w:t>the Federal Government</w:t>
            </w:r>
            <w:r w:rsidRPr="0092440E">
              <w:rPr>
                <w:rFonts w:ascii="Arial Narrow" w:hAnsi="Arial Narrow" w:cs="Arial Narrow"/>
                <w:b/>
                <w:bCs/>
                <w:color w:val="000000"/>
                <w:szCs w:val="22"/>
              </w:rPr>
              <w:t xml:space="preserve"> </w:t>
            </w:r>
          </w:p>
        </w:tc>
        <w:tc>
          <w:tcPr>
            <w:tcW w:w="2480" w:type="dxa"/>
            <w:gridSpan w:val="2"/>
            <w:shd w:val="clear" w:color="FFFF00" w:fill="auto"/>
          </w:tcPr>
          <w:p w14:paraId="3981C099" w14:textId="77777777" w:rsidR="00E000E2" w:rsidRPr="00D12FDD" w:rsidRDefault="00E000E2" w:rsidP="006E07D0">
            <w:pPr>
              <w:autoSpaceDE w:val="0"/>
              <w:autoSpaceDN w:val="0"/>
              <w:adjustRightInd w:val="0"/>
              <w:jc w:val="right"/>
              <w:rPr>
                <w:rFonts w:ascii="Arial Narrow" w:hAnsi="Arial Narrow" w:cs="Arial Narrow"/>
                <w:b/>
                <w:color w:val="000000"/>
                <w:szCs w:val="22"/>
              </w:rPr>
            </w:pPr>
            <w:r w:rsidRPr="00D12FDD">
              <w:rPr>
                <w:rFonts w:ascii="Arial Narrow" w:hAnsi="Arial Narrow" w:cs="Arial Narrow"/>
                <w:b/>
                <w:color w:val="000000"/>
                <w:szCs w:val="22"/>
              </w:rPr>
              <w:t>$</w:t>
            </w:r>
            <w:r>
              <w:rPr>
                <w:rFonts w:ascii="Arial Narrow" w:hAnsi="Arial Narrow" w:cs="Arial Narrow"/>
                <w:b/>
                <w:color w:val="000000"/>
                <w:szCs w:val="22"/>
              </w:rPr>
              <w:t>1</w:t>
            </w:r>
            <w:r w:rsidR="006E07D0">
              <w:rPr>
                <w:rFonts w:ascii="Arial Narrow" w:hAnsi="Arial Narrow" w:cs="Arial Narrow"/>
                <w:b/>
                <w:color w:val="000000"/>
                <w:szCs w:val="22"/>
              </w:rPr>
              <w:t>41</w:t>
            </w:r>
            <w:r w:rsidRPr="00D12FDD">
              <w:rPr>
                <w:rFonts w:ascii="Arial Narrow" w:hAnsi="Arial Narrow" w:cs="Arial Narrow"/>
                <w:b/>
                <w:color w:val="000000"/>
                <w:szCs w:val="22"/>
              </w:rPr>
              <w:t>,</w:t>
            </w:r>
            <w:r w:rsidR="006E07D0">
              <w:rPr>
                <w:rFonts w:ascii="Arial Narrow" w:hAnsi="Arial Narrow" w:cs="Arial Narrow"/>
                <w:b/>
                <w:color w:val="000000"/>
                <w:szCs w:val="22"/>
              </w:rPr>
              <w:t>410</w:t>
            </w:r>
            <w:r w:rsidRPr="00D12FDD">
              <w:rPr>
                <w:rFonts w:ascii="Arial Narrow" w:hAnsi="Arial Narrow" w:cs="Arial Narrow"/>
                <w:b/>
                <w:color w:val="000000"/>
                <w:szCs w:val="22"/>
              </w:rPr>
              <w:t>.</w:t>
            </w:r>
            <w:r>
              <w:rPr>
                <w:rFonts w:ascii="Arial Narrow" w:hAnsi="Arial Narrow" w:cs="Arial Narrow"/>
                <w:b/>
                <w:color w:val="000000"/>
                <w:szCs w:val="22"/>
              </w:rPr>
              <w:t>00</w:t>
            </w:r>
          </w:p>
        </w:tc>
      </w:tr>
    </w:tbl>
    <w:p w14:paraId="749FD5EF" w14:textId="77777777" w:rsidR="009A6576" w:rsidRDefault="009A6576" w:rsidP="006F02F3">
      <w:pPr>
        <w:suppressAutoHyphens/>
        <w:jc w:val="both"/>
        <w:rPr>
          <w:sz w:val="24"/>
          <w:szCs w:val="24"/>
        </w:rPr>
      </w:pPr>
    </w:p>
    <w:p w14:paraId="32DF2E35" w14:textId="77777777" w:rsidR="00863B4B" w:rsidRDefault="00863B4B" w:rsidP="006F02F3">
      <w:pPr>
        <w:suppressAutoHyphens/>
        <w:jc w:val="both"/>
        <w:rPr>
          <w:sz w:val="24"/>
          <w:szCs w:val="24"/>
          <w:highlight w:val="green"/>
        </w:rPr>
      </w:pPr>
    </w:p>
    <w:p w14:paraId="36FC6ED0" w14:textId="77777777" w:rsidR="00863B4B" w:rsidRDefault="00863B4B" w:rsidP="006F02F3">
      <w:pPr>
        <w:suppressAutoHyphens/>
        <w:jc w:val="both"/>
        <w:rPr>
          <w:sz w:val="24"/>
          <w:szCs w:val="24"/>
          <w:highlight w:val="green"/>
        </w:rPr>
      </w:pPr>
    </w:p>
    <w:p w14:paraId="0D33E6F3" w14:textId="77777777" w:rsidR="00863B4B" w:rsidRDefault="00863B4B" w:rsidP="006F02F3">
      <w:pPr>
        <w:suppressAutoHyphens/>
        <w:jc w:val="both"/>
        <w:rPr>
          <w:sz w:val="24"/>
          <w:szCs w:val="24"/>
          <w:highlight w:val="green"/>
        </w:rPr>
      </w:pPr>
    </w:p>
    <w:p w14:paraId="1B2FB366" w14:textId="77777777" w:rsidR="00386C0C" w:rsidRDefault="003252C0" w:rsidP="00863B4B">
      <w:pPr>
        <w:suppressAutoHyphens/>
        <w:jc w:val="both"/>
        <w:rPr>
          <w:sz w:val="24"/>
          <w:szCs w:val="24"/>
        </w:rPr>
      </w:pPr>
      <w:r w:rsidRPr="004D46C2">
        <w:rPr>
          <w:sz w:val="24"/>
          <w:szCs w:val="24"/>
        </w:rPr>
        <w:lastRenderedPageBreak/>
        <w:t>15.</w:t>
      </w:r>
      <w:r w:rsidR="008A5941" w:rsidRPr="004D46C2">
        <w:rPr>
          <w:sz w:val="24"/>
          <w:szCs w:val="24"/>
        </w:rPr>
        <w:t xml:space="preserve"> </w:t>
      </w:r>
      <w:r w:rsidR="00863B4B" w:rsidRPr="004D46C2">
        <w:rPr>
          <w:sz w:val="24"/>
          <w:szCs w:val="24"/>
        </w:rPr>
        <w:t>The Commission has the following program changes/increases to this information collection which are due to the information collection requirements that were adopted in FCC 15-111.  They are as follows:  105 to the number of respondents (from 75 to 180), 125 to the annual number of responses (from 75 to 200), 46 to the annual burden hours (from 1,440 to 1,</w:t>
      </w:r>
      <w:r w:rsidR="007B39E0" w:rsidRPr="004D46C2">
        <w:rPr>
          <w:sz w:val="24"/>
          <w:szCs w:val="24"/>
        </w:rPr>
        <w:t>486).  Also, there is a decrease in annual cost of $52,050 (from $1,440,000</w:t>
      </w:r>
      <w:r w:rsidR="002E0C05" w:rsidRPr="004D46C2">
        <w:rPr>
          <w:sz w:val="24"/>
          <w:szCs w:val="24"/>
        </w:rPr>
        <w:t>.00</w:t>
      </w:r>
      <w:r w:rsidR="00863B4B" w:rsidRPr="004D46C2">
        <w:rPr>
          <w:sz w:val="24"/>
          <w:szCs w:val="24"/>
        </w:rPr>
        <w:t xml:space="preserve"> to $1,387,950.00).  </w:t>
      </w:r>
    </w:p>
    <w:p w14:paraId="10020F99" w14:textId="77777777" w:rsidR="00863B4B" w:rsidRPr="00423C65" w:rsidRDefault="00863B4B" w:rsidP="00863B4B">
      <w:pPr>
        <w:suppressAutoHyphens/>
        <w:jc w:val="both"/>
        <w:rPr>
          <w:sz w:val="24"/>
          <w:szCs w:val="24"/>
        </w:rPr>
      </w:pPr>
    </w:p>
    <w:p w14:paraId="3A1D1542" w14:textId="77777777" w:rsidR="00423C65" w:rsidRPr="00423C65" w:rsidRDefault="00423C65" w:rsidP="00423C65">
      <w:pPr>
        <w:rPr>
          <w:spacing w:val="-3"/>
          <w:sz w:val="24"/>
          <w:szCs w:val="24"/>
        </w:rPr>
      </w:pPr>
      <w:r w:rsidRPr="00423C65">
        <w:rPr>
          <w:spacing w:val="-3"/>
          <w:sz w:val="24"/>
          <w:szCs w:val="24"/>
        </w:rPr>
        <w:t>16.</w:t>
      </w:r>
      <w:r w:rsidR="008A5941">
        <w:rPr>
          <w:spacing w:val="-3"/>
          <w:sz w:val="24"/>
          <w:szCs w:val="24"/>
        </w:rPr>
        <w:t xml:space="preserve"> </w:t>
      </w:r>
      <w:r w:rsidRPr="00423C65">
        <w:rPr>
          <w:spacing w:val="-3"/>
          <w:sz w:val="24"/>
          <w:szCs w:val="24"/>
        </w:rPr>
        <w:t>The data will not be published.</w:t>
      </w:r>
    </w:p>
    <w:p w14:paraId="08C5530E" w14:textId="77777777" w:rsidR="00423C65" w:rsidRPr="00423C65" w:rsidRDefault="00423C65" w:rsidP="00423C65">
      <w:pPr>
        <w:pStyle w:val="ParaNum"/>
        <w:numPr>
          <w:ilvl w:val="0"/>
          <w:numId w:val="0"/>
        </w:numPr>
        <w:tabs>
          <w:tab w:val="left" w:pos="360"/>
        </w:tabs>
        <w:rPr>
          <w:sz w:val="24"/>
          <w:szCs w:val="24"/>
        </w:rPr>
      </w:pPr>
    </w:p>
    <w:p w14:paraId="150FFDE8" w14:textId="77777777" w:rsidR="00423C65" w:rsidRPr="00423C65" w:rsidRDefault="00423C65" w:rsidP="00423C65">
      <w:pPr>
        <w:rPr>
          <w:spacing w:val="-3"/>
          <w:sz w:val="24"/>
          <w:szCs w:val="24"/>
        </w:rPr>
      </w:pPr>
      <w:r w:rsidRPr="00423C65">
        <w:rPr>
          <w:spacing w:val="-3"/>
          <w:sz w:val="24"/>
          <w:szCs w:val="24"/>
        </w:rPr>
        <w:t>17.</w:t>
      </w:r>
      <w:r w:rsidR="008A5941">
        <w:rPr>
          <w:spacing w:val="-3"/>
          <w:sz w:val="24"/>
          <w:szCs w:val="24"/>
        </w:rPr>
        <w:t xml:space="preserve"> </w:t>
      </w:r>
      <w:r w:rsidRPr="00423C65">
        <w:rPr>
          <w:spacing w:val="-3"/>
          <w:sz w:val="24"/>
          <w:szCs w:val="24"/>
        </w:rPr>
        <w:t>OMB approval of the expiration of the information collection will be displayed at 47 C.F.R. § 0.408.</w:t>
      </w:r>
    </w:p>
    <w:p w14:paraId="218C5B24" w14:textId="77777777" w:rsidR="00612230" w:rsidRPr="00423C65" w:rsidRDefault="00612230">
      <w:pPr>
        <w:suppressAutoHyphens/>
        <w:rPr>
          <w:sz w:val="24"/>
          <w:szCs w:val="24"/>
        </w:rPr>
      </w:pPr>
    </w:p>
    <w:p w14:paraId="20912DDA" w14:textId="77777777" w:rsidR="005B45A7" w:rsidRPr="00423C65" w:rsidRDefault="003252C0">
      <w:pPr>
        <w:suppressAutoHyphens/>
        <w:rPr>
          <w:sz w:val="24"/>
          <w:szCs w:val="24"/>
        </w:rPr>
      </w:pPr>
      <w:r>
        <w:rPr>
          <w:sz w:val="24"/>
          <w:szCs w:val="24"/>
        </w:rPr>
        <w:t>18.</w:t>
      </w:r>
      <w:r w:rsidR="008A5941">
        <w:rPr>
          <w:sz w:val="24"/>
          <w:szCs w:val="24"/>
        </w:rPr>
        <w:t xml:space="preserve"> </w:t>
      </w:r>
      <w:r w:rsidR="00ED71DC" w:rsidRPr="00423C65">
        <w:rPr>
          <w:sz w:val="24"/>
          <w:szCs w:val="24"/>
        </w:rPr>
        <w:t>Th</w:t>
      </w:r>
      <w:r w:rsidR="00813306" w:rsidRPr="00423C65">
        <w:rPr>
          <w:sz w:val="24"/>
          <w:szCs w:val="24"/>
        </w:rPr>
        <w:t>ere are no</w:t>
      </w:r>
      <w:r w:rsidR="00ED71DC" w:rsidRPr="00423C65">
        <w:rPr>
          <w:sz w:val="24"/>
          <w:szCs w:val="24"/>
        </w:rPr>
        <w:t xml:space="preserve"> e</w:t>
      </w:r>
      <w:r w:rsidR="005B45A7" w:rsidRPr="00423C65">
        <w:rPr>
          <w:sz w:val="24"/>
          <w:szCs w:val="24"/>
        </w:rPr>
        <w:t>xception</w:t>
      </w:r>
      <w:r w:rsidR="00813306" w:rsidRPr="00423C65">
        <w:rPr>
          <w:sz w:val="24"/>
          <w:szCs w:val="24"/>
        </w:rPr>
        <w:t>s</w:t>
      </w:r>
      <w:r w:rsidR="005B45A7" w:rsidRPr="00423C65">
        <w:rPr>
          <w:sz w:val="24"/>
          <w:szCs w:val="24"/>
        </w:rPr>
        <w:t xml:space="preserve"> </w:t>
      </w:r>
      <w:r w:rsidR="00ED71DC" w:rsidRPr="00423C65">
        <w:rPr>
          <w:sz w:val="24"/>
          <w:szCs w:val="24"/>
        </w:rPr>
        <w:t>to the Certification Statement</w:t>
      </w:r>
      <w:r w:rsidR="00510918" w:rsidRPr="00423C65">
        <w:rPr>
          <w:sz w:val="24"/>
          <w:szCs w:val="24"/>
        </w:rPr>
        <w:t>.</w:t>
      </w:r>
    </w:p>
    <w:p w14:paraId="7C98B964" w14:textId="77777777" w:rsidR="005B45A7" w:rsidRPr="00423C65" w:rsidRDefault="005B45A7">
      <w:pPr>
        <w:suppressAutoHyphens/>
        <w:rPr>
          <w:sz w:val="24"/>
          <w:szCs w:val="24"/>
        </w:rPr>
      </w:pPr>
    </w:p>
    <w:p w14:paraId="0A0D302F" w14:textId="77777777" w:rsidR="005B45A7" w:rsidRPr="00423C65" w:rsidRDefault="00F22350">
      <w:pPr>
        <w:suppressAutoHyphens/>
        <w:rPr>
          <w:sz w:val="24"/>
          <w:szCs w:val="24"/>
        </w:rPr>
      </w:pPr>
      <w:r>
        <w:rPr>
          <w:b/>
          <w:sz w:val="24"/>
          <w:szCs w:val="24"/>
        </w:rPr>
        <w:t>B.</w:t>
      </w:r>
      <w:r>
        <w:rPr>
          <w:b/>
          <w:sz w:val="24"/>
          <w:szCs w:val="24"/>
        </w:rPr>
        <w:tab/>
      </w:r>
      <w:r w:rsidR="005B45A7" w:rsidRPr="00423C65">
        <w:rPr>
          <w:b/>
          <w:sz w:val="24"/>
          <w:szCs w:val="24"/>
        </w:rPr>
        <w:t>Collections of Information Employing Statistical Methods</w:t>
      </w:r>
    </w:p>
    <w:p w14:paraId="36FE427B" w14:textId="77777777" w:rsidR="003335CD" w:rsidRPr="00423C65" w:rsidRDefault="003335CD">
      <w:pPr>
        <w:suppressAutoHyphens/>
        <w:rPr>
          <w:sz w:val="24"/>
          <w:szCs w:val="24"/>
        </w:rPr>
      </w:pPr>
    </w:p>
    <w:p w14:paraId="5349467E" w14:textId="77777777" w:rsidR="005B45A7" w:rsidRPr="00423C65" w:rsidRDefault="005B45A7">
      <w:pPr>
        <w:suppressAutoHyphens/>
        <w:rPr>
          <w:sz w:val="24"/>
          <w:szCs w:val="24"/>
        </w:rPr>
      </w:pPr>
      <w:r w:rsidRPr="00423C65">
        <w:rPr>
          <w:sz w:val="24"/>
          <w:szCs w:val="24"/>
        </w:rPr>
        <w:t>No statistical methods are employed.</w:t>
      </w:r>
    </w:p>
    <w:sectPr w:rsidR="005B45A7" w:rsidRPr="00423C65">
      <w:headerReference w:type="default" r:id="rId9"/>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0413F" w14:textId="77777777" w:rsidR="00C441B0" w:rsidRDefault="00C441B0">
      <w:pPr>
        <w:spacing w:line="20" w:lineRule="exact"/>
        <w:rPr>
          <w:sz w:val="24"/>
        </w:rPr>
      </w:pPr>
    </w:p>
  </w:endnote>
  <w:endnote w:type="continuationSeparator" w:id="0">
    <w:p w14:paraId="084A9704" w14:textId="77777777" w:rsidR="00C441B0" w:rsidRDefault="00C441B0">
      <w:r>
        <w:rPr>
          <w:sz w:val="24"/>
        </w:rPr>
        <w:t xml:space="preserve"> </w:t>
      </w:r>
    </w:p>
  </w:endnote>
  <w:endnote w:type="continuationNotice" w:id="1">
    <w:p w14:paraId="26A33843" w14:textId="77777777" w:rsidR="00C441B0" w:rsidRDefault="00C441B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Line Draw">
    <w:altName w:val="Courier New"/>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515921"/>
      <w:docPartObj>
        <w:docPartGallery w:val="Page Numbers (Bottom of Page)"/>
        <w:docPartUnique/>
      </w:docPartObj>
    </w:sdtPr>
    <w:sdtEndPr>
      <w:rPr>
        <w:noProof/>
      </w:rPr>
    </w:sdtEndPr>
    <w:sdtContent>
      <w:p w14:paraId="26F12F85" w14:textId="77777777" w:rsidR="001D60AA" w:rsidRDefault="001D60AA">
        <w:pPr>
          <w:pStyle w:val="Footer"/>
          <w:jc w:val="center"/>
        </w:pPr>
        <w:r>
          <w:fldChar w:fldCharType="begin"/>
        </w:r>
        <w:r>
          <w:instrText xml:space="preserve"> PAGE   \* MERGEFORMAT </w:instrText>
        </w:r>
        <w:r>
          <w:fldChar w:fldCharType="separate"/>
        </w:r>
        <w:r w:rsidR="0003771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5B3CE" w14:textId="77777777" w:rsidR="00C441B0" w:rsidRDefault="00C441B0">
      <w:r>
        <w:rPr>
          <w:sz w:val="24"/>
        </w:rPr>
        <w:separator/>
      </w:r>
    </w:p>
  </w:footnote>
  <w:footnote w:type="continuationSeparator" w:id="0">
    <w:p w14:paraId="3C02736C" w14:textId="77777777" w:rsidR="00C441B0" w:rsidRDefault="00C441B0">
      <w:r>
        <w:continuationSeparator/>
      </w:r>
    </w:p>
  </w:footnote>
  <w:footnote w:type="continuationNotice" w:id="1">
    <w:p w14:paraId="7F6327F3" w14:textId="77777777" w:rsidR="00C441B0" w:rsidRDefault="00C441B0"/>
  </w:footnote>
  <w:footnote w:id="2">
    <w:p w14:paraId="315A8B31" w14:textId="77777777" w:rsidR="001D60AA" w:rsidRPr="001C69BD" w:rsidRDefault="001D60AA" w:rsidP="000B50DD">
      <w:pPr>
        <w:pStyle w:val="FootnoteText"/>
      </w:pPr>
      <w:r w:rsidRPr="00177C99">
        <w:rPr>
          <w:rStyle w:val="FootnoteReference"/>
          <w:color w:val="000000"/>
          <w:kern w:val="28"/>
        </w:rPr>
        <w:footnoteRef/>
      </w:r>
      <w:r w:rsidRPr="001C69BD">
        <w:t xml:space="preserve"> </w:t>
      </w:r>
      <w:r w:rsidRPr="001C69BD">
        <w:rPr>
          <w:i/>
        </w:rPr>
        <w:t>See Amendment to the Commission’s Rules Concerning Market Modification; Implementation of Section 102 of the STELA Reauthorization Act of 2014</w:t>
      </w:r>
      <w:r>
        <w:t xml:space="preserve">, </w:t>
      </w:r>
      <w:r w:rsidRPr="001C69BD">
        <w:t>MB Docket No. 15-</w:t>
      </w:r>
      <w:r>
        <w:t xml:space="preserve">71, Report and Order, </w:t>
      </w:r>
      <w:r w:rsidRPr="001C69BD">
        <w:t>FCC 15-</w:t>
      </w:r>
      <w:r>
        <w:t>111 (rel. Sept. 2, 2015) (Report and Order).</w:t>
      </w:r>
    </w:p>
  </w:footnote>
  <w:footnote w:id="3">
    <w:p w14:paraId="799AAA91" w14:textId="77777777" w:rsidR="001D60AA" w:rsidRPr="00D07F64" w:rsidRDefault="001D60AA" w:rsidP="000B50DD">
      <w:pPr>
        <w:pStyle w:val="FootnoteText"/>
      </w:pPr>
      <w:r w:rsidRPr="00177C99">
        <w:rPr>
          <w:rStyle w:val="FootnoteReference"/>
          <w:color w:val="000000"/>
          <w:kern w:val="28"/>
        </w:rPr>
        <w:footnoteRef/>
      </w:r>
      <w:r w:rsidRPr="00D07F64">
        <w:t xml:space="preserve"> The STELA Reauthorization Act of 2014 (STELAR), § 102, Pub. L. No. 113-200, 128 Stat. 2059, 2060-62 (2014).  The STELAR was enacted on December 4, 2014 (H. R. 5728, 113th Cong.). </w:t>
      </w:r>
      <w:r>
        <w:t xml:space="preserve"> </w:t>
      </w:r>
      <w:r w:rsidRPr="006714E8">
        <w:t xml:space="preserve">STELAR Section 102(a) amends Section 338 of the Act by adding a new paragraph (l), titled </w:t>
      </w:r>
      <w:r>
        <w:t>“</w:t>
      </w:r>
      <w:r w:rsidRPr="006714E8">
        <w:t>Market Determinations.</w:t>
      </w:r>
      <w:r>
        <w:t>”</w:t>
      </w:r>
      <w:r w:rsidRPr="006714E8">
        <w:t xml:space="preserve">  47 U.S.C. § 338(l).  STELAR Section 102(b) also makes conforming amendments to the cable market modification provision at 47 U.S.C. § 534(h)(1)(C).</w:t>
      </w:r>
    </w:p>
  </w:footnote>
  <w:footnote w:id="4">
    <w:p w14:paraId="3D8E7FBA" w14:textId="77777777" w:rsidR="001D60AA" w:rsidRDefault="001D60AA" w:rsidP="00FC5711">
      <w:pPr>
        <w:pStyle w:val="FootnoteText"/>
      </w:pPr>
      <w:r>
        <w:rPr>
          <w:rStyle w:val="FootnoteReference"/>
        </w:rPr>
        <w:footnoteRef/>
      </w:r>
      <w:r>
        <w:t xml:space="preserve"> 47 U.S.C. §§ 338(l)(1), </w:t>
      </w:r>
      <w:r w:rsidRPr="00505386">
        <w:t>534(h)(1)(C</w:t>
      </w:r>
      <w:r>
        <w:t>).</w:t>
      </w:r>
    </w:p>
  </w:footnote>
  <w:footnote w:id="5">
    <w:p w14:paraId="1EC6D093" w14:textId="77777777" w:rsidR="001D60AA" w:rsidRDefault="001D60AA" w:rsidP="00FC5711">
      <w:pPr>
        <w:pStyle w:val="FootnoteText"/>
      </w:pPr>
      <w:r>
        <w:rPr>
          <w:rStyle w:val="FootnoteReference"/>
        </w:rPr>
        <w:footnoteRef/>
      </w:r>
      <w:r>
        <w:t xml:space="preserve"> 47 U.S.C. §§ 338(l)(2)(A), </w:t>
      </w:r>
      <w:r w:rsidRPr="00505386">
        <w:t>534(h)(1)(C</w:t>
      </w:r>
      <w:r>
        <w:t>)(i).</w:t>
      </w:r>
    </w:p>
  </w:footnote>
  <w:footnote w:id="6">
    <w:p w14:paraId="4C3C4E40" w14:textId="77777777" w:rsidR="001D60AA" w:rsidRDefault="001D60AA">
      <w:pPr>
        <w:pStyle w:val="FootnoteText"/>
      </w:pPr>
      <w:r>
        <w:rPr>
          <w:rStyle w:val="FootnoteReference"/>
        </w:rPr>
        <w:footnoteRef/>
      </w:r>
      <w:r>
        <w:t xml:space="preserve"> </w:t>
      </w:r>
      <w:r w:rsidRPr="00A42A74">
        <w:t>47 C.F.R. § 76.59(a)</w:t>
      </w:r>
      <w:r>
        <w:t xml:space="preserve"> (“</w:t>
      </w:r>
      <w:r w:rsidRPr="00A42A74">
        <w:t>The Commission, following a written request from a broadcast station, cable system, satellite carrier or county government (only with respect to satellite modifications), may deem that the television market, as defined either by §76.55(e) or §76.66(e), of a particular commercial television broadcast station should include additional communities within its television market or exclude communities from such station’s television market. In this respect, communities may be considered part of more than one television market.</w:t>
      </w:r>
      <w:r>
        <w:t>”)</w:t>
      </w:r>
    </w:p>
  </w:footnote>
  <w:footnote w:id="7">
    <w:p w14:paraId="4092C597" w14:textId="77777777" w:rsidR="001D60AA" w:rsidRDefault="001D60AA">
      <w:pPr>
        <w:pStyle w:val="FootnoteText"/>
      </w:pPr>
      <w:r>
        <w:rPr>
          <w:rStyle w:val="FootnoteReference"/>
        </w:rPr>
        <w:footnoteRef/>
      </w:r>
      <w:r>
        <w:t xml:space="preserve"> </w:t>
      </w:r>
      <w:r w:rsidRPr="00A42A74">
        <w:t>47 C.F.R. § 76.59</w:t>
      </w:r>
      <w:r w:rsidRPr="00086E34">
        <w:t>(b)</w:t>
      </w:r>
      <w:r>
        <w:t xml:space="preserve"> (“</w:t>
      </w:r>
      <w:r w:rsidRPr="00086E34">
        <w:t xml:space="preserve">Such requests for modification of a television market shall be submitted in accordance with </w:t>
      </w:r>
      <w:r>
        <w:t>[</w:t>
      </w:r>
      <w:r w:rsidRPr="00A42A74">
        <w:t>47 C.F.R.</w:t>
      </w:r>
      <w:r>
        <w:t>]</w:t>
      </w:r>
      <w:r w:rsidRPr="00A42A74">
        <w:t xml:space="preserve"> </w:t>
      </w:r>
      <w:r w:rsidRPr="00086E34">
        <w:t>§</w:t>
      </w:r>
      <w:r>
        <w:t xml:space="preserve"> </w:t>
      </w:r>
      <w:r w:rsidRPr="00086E34">
        <w:t>76.7, petitions for special relief</w:t>
      </w:r>
      <w:r>
        <w:t>…”).</w:t>
      </w:r>
    </w:p>
  </w:footnote>
  <w:footnote w:id="8">
    <w:p w14:paraId="59B3119D" w14:textId="77777777" w:rsidR="001D60AA" w:rsidRDefault="001D60AA">
      <w:pPr>
        <w:pStyle w:val="FootnoteText"/>
      </w:pPr>
      <w:r w:rsidRPr="001D60AA">
        <w:rPr>
          <w:rStyle w:val="FootnoteReference"/>
        </w:rPr>
        <w:footnoteRef/>
      </w:r>
      <w:r w:rsidRPr="001D60AA">
        <w:t xml:space="preserve"> 47 C.F.R. § 76.7.  </w:t>
      </w:r>
      <w:r w:rsidRPr="001D60AA">
        <w:rPr>
          <w:i/>
        </w:rPr>
        <w:t>See also</w:t>
      </w:r>
      <w:r w:rsidRPr="001D60AA">
        <w:t xml:space="preserve"> OMB Control No. 3060-0888, which generally covers Special Relief petitions filed in accordance with 47 C.F.R. § 76.7.</w:t>
      </w:r>
    </w:p>
  </w:footnote>
  <w:footnote w:id="9">
    <w:p w14:paraId="45B7931E" w14:textId="77777777" w:rsidR="001D60AA" w:rsidRDefault="001D60AA" w:rsidP="00F94AB9">
      <w:pPr>
        <w:pStyle w:val="FootnoteText"/>
      </w:pPr>
      <w:r>
        <w:rPr>
          <w:rStyle w:val="FootnoteReference"/>
        </w:rPr>
        <w:footnoteRef/>
      </w:r>
      <w:r>
        <w:t xml:space="preserve"> </w:t>
      </w:r>
      <w:r w:rsidRPr="00A42A74">
        <w:t>47 C.F.R. § 76.59</w:t>
      </w:r>
      <w:r w:rsidRPr="00086E34">
        <w:t>(b)</w:t>
      </w:r>
      <w:r>
        <w:t>(1)-(7).</w:t>
      </w:r>
    </w:p>
  </w:footnote>
  <w:footnote w:id="10">
    <w:p w14:paraId="2E93D2FF" w14:textId="77777777" w:rsidR="001D60AA" w:rsidRPr="006714E8" w:rsidRDefault="001D60AA" w:rsidP="006E30F8">
      <w:pPr>
        <w:pStyle w:val="FootnoteText"/>
      </w:pPr>
      <w:r w:rsidRPr="006714E8">
        <w:rPr>
          <w:rStyle w:val="FootnoteReference"/>
        </w:rPr>
        <w:footnoteRef/>
      </w:r>
      <w:r w:rsidRPr="006714E8">
        <w:t xml:space="preserve"> 47 U.S.C. § 338(l)(3).  </w:t>
      </w:r>
      <w:r w:rsidRPr="006714E8">
        <w:rPr>
          <w:i/>
        </w:rPr>
        <w:t>See</w:t>
      </w:r>
      <w:r>
        <w:rPr>
          <w:i/>
        </w:rPr>
        <w:t xml:space="preserve"> </w:t>
      </w:r>
      <w:r w:rsidRPr="006714E8">
        <w:t xml:space="preserve">47 C.F.R. § 76.59(e). </w:t>
      </w:r>
    </w:p>
  </w:footnote>
  <w:footnote w:id="11">
    <w:p w14:paraId="78124618" w14:textId="77777777" w:rsidR="001D60AA" w:rsidRDefault="001D60AA">
      <w:pPr>
        <w:pStyle w:val="FootnoteText"/>
      </w:pPr>
      <w:r>
        <w:rPr>
          <w:rStyle w:val="FootnoteReference"/>
        </w:rPr>
        <w:footnoteRef/>
      </w:r>
      <w:r>
        <w:t xml:space="preserve"> The burden associated with this showing is contained in the burden for filing a opposition to a petition or response to a pre-filing coordination request.</w:t>
      </w:r>
    </w:p>
  </w:footnote>
  <w:footnote w:id="12">
    <w:p w14:paraId="7017EF2B" w14:textId="77777777" w:rsidR="001D60AA" w:rsidRDefault="001D60AA">
      <w:pPr>
        <w:pStyle w:val="FootnoteText"/>
      </w:pPr>
      <w:r>
        <w:rPr>
          <w:rStyle w:val="FootnoteReference"/>
        </w:rPr>
        <w:footnoteRef/>
      </w:r>
      <w:r>
        <w:t xml:space="preserve"> See Report and Order, FCC 15-111 at ¶¶ 39-41.</w:t>
      </w:r>
    </w:p>
  </w:footnote>
  <w:footnote w:id="13">
    <w:p w14:paraId="613F268D" w14:textId="77777777" w:rsidR="001D60AA" w:rsidRDefault="001D60AA">
      <w:pPr>
        <w:pStyle w:val="FootnoteText"/>
      </w:pPr>
      <w:r>
        <w:rPr>
          <w:rStyle w:val="FootnoteReference"/>
        </w:rPr>
        <w:footnoteRef/>
      </w:r>
      <w:r>
        <w:t xml:space="preserve"> See Report and Order, FCC 15-111 at ¶ 41.</w:t>
      </w:r>
    </w:p>
  </w:footnote>
  <w:footnote w:id="14">
    <w:p w14:paraId="4EB6D8A5" w14:textId="77777777" w:rsidR="001D60AA" w:rsidRPr="006714E8" w:rsidRDefault="001D60AA" w:rsidP="006F43B7">
      <w:pPr>
        <w:pStyle w:val="FootnoteText"/>
      </w:pPr>
      <w:r w:rsidRPr="006714E8">
        <w:rPr>
          <w:rStyle w:val="FootnoteReference"/>
        </w:rPr>
        <w:footnoteRef/>
      </w:r>
      <w:r w:rsidRPr="006714E8">
        <w:t xml:space="preserve"> 47 C.F.R. § 1.16 (Declarations under penalty of perjury in lieu of affidavits).  </w:t>
      </w:r>
      <w:r w:rsidRPr="006714E8">
        <w:rPr>
          <w:i/>
        </w:rPr>
        <w:t>See</w:t>
      </w:r>
      <w:r w:rsidRPr="006714E8">
        <w:t xml:space="preserve"> 28 U.S.C. § 1746. </w:t>
      </w:r>
    </w:p>
  </w:footnote>
  <w:footnote w:id="15">
    <w:p w14:paraId="57A22195" w14:textId="77777777" w:rsidR="001D60AA" w:rsidRPr="006714E8" w:rsidRDefault="001D60AA" w:rsidP="003B706E">
      <w:pPr>
        <w:pStyle w:val="FootnoteText"/>
      </w:pPr>
      <w:r w:rsidRPr="006714E8">
        <w:rPr>
          <w:rStyle w:val="FootnoteReference"/>
        </w:rPr>
        <w:footnoteRef/>
      </w:r>
      <w:r w:rsidRPr="006714E8">
        <w:t xml:space="preserve"> </w:t>
      </w:r>
      <w:r>
        <w:t>Report and Order, FCC 15-111 at ¶ 40.</w:t>
      </w:r>
    </w:p>
  </w:footnote>
  <w:footnote w:id="16">
    <w:p w14:paraId="01EF43B3" w14:textId="77777777" w:rsidR="001D60AA" w:rsidRDefault="001D60AA" w:rsidP="00DD42E1">
      <w:pPr>
        <w:pStyle w:val="FootnoteText"/>
      </w:pPr>
      <w:r>
        <w:rPr>
          <w:rStyle w:val="FootnoteReference"/>
        </w:rPr>
        <w:footnoteRef/>
      </w:r>
      <w:r>
        <w:t xml:space="preserve"> The Report and Order explains that a</w:t>
      </w:r>
      <w:r w:rsidRPr="00915253">
        <w:t xml:space="preserve"> </w:t>
      </w:r>
      <w:r>
        <w:t>“</w:t>
      </w:r>
      <w:r w:rsidRPr="00915253">
        <w:t>satellite link budget is a calculation that accounts for certain factors that affect a radio signal as it travels from an uplink earth station to a space station and back down through the atmosphere to the customer’s earth station receiver.</w:t>
      </w:r>
      <w:r>
        <w:t>”</w:t>
      </w:r>
      <w:r w:rsidRPr="00915253">
        <w:t xml:space="preserve">  This technical document </w:t>
      </w:r>
      <w:r>
        <w:t>“</w:t>
      </w:r>
      <w:r w:rsidRPr="00915253">
        <w:t>generally takes the form of a table, with entries that include (among other things) transmit power from the uplink earth station and from the satellite, antenna gains, system noise, intersystem interference, and atmospheric attenuation including the effects of ‘rain fade.’</w:t>
      </w:r>
      <w:r>
        <w:t>”</w:t>
      </w:r>
      <w:r w:rsidRPr="00915253">
        <w:t xml:space="preserve">  The net result of this satellite link budget calculation </w:t>
      </w:r>
      <w:r>
        <w:t>“</w:t>
      </w:r>
      <w:r w:rsidRPr="00915253">
        <w:t>is an estimation of end-to-end satellite link performance.</w:t>
      </w:r>
      <w:r>
        <w:t>”</w:t>
      </w:r>
      <w:r w:rsidRPr="00915253">
        <w:t xml:space="preserve">  </w:t>
      </w:r>
      <w:r>
        <w:t>Report and Order, FCC 15-111 at ¶ 40.</w:t>
      </w:r>
    </w:p>
  </w:footnote>
  <w:footnote w:id="17">
    <w:p w14:paraId="5304D316" w14:textId="77777777" w:rsidR="001D60AA" w:rsidRPr="006714E8" w:rsidRDefault="001D60AA" w:rsidP="003B706E">
      <w:pPr>
        <w:pStyle w:val="FootnoteText"/>
      </w:pPr>
      <w:r w:rsidRPr="006714E8">
        <w:rPr>
          <w:rStyle w:val="FootnoteReference"/>
        </w:rPr>
        <w:footnoteRef/>
      </w:r>
      <w:r w:rsidRPr="006714E8">
        <w:t xml:space="preserve"> </w:t>
      </w:r>
      <w:r w:rsidRPr="006714E8">
        <w:rPr>
          <w:i/>
        </w:rPr>
        <w:t>See</w:t>
      </w:r>
      <w:r w:rsidRPr="006714E8">
        <w:t xml:space="preserve"> 47 C.F.R. §§ 0.457, 0.459, 76.9.</w:t>
      </w:r>
    </w:p>
  </w:footnote>
  <w:footnote w:id="18">
    <w:p w14:paraId="7B22E183" w14:textId="77777777" w:rsidR="001D60AA" w:rsidRPr="006714E8" w:rsidRDefault="001D60AA" w:rsidP="00F72579">
      <w:pPr>
        <w:pStyle w:val="FootnoteText"/>
      </w:pPr>
      <w:r w:rsidRPr="006714E8">
        <w:rPr>
          <w:rStyle w:val="FootnoteReference"/>
        </w:rPr>
        <w:footnoteRef/>
      </w:r>
      <w:r w:rsidRPr="006714E8">
        <w:t xml:space="preserve"> </w:t>
      </w:r>
      <w:r w:rsidRPr="00F72579">
        <w:rPr>
          <w:i/>
        </w:rPr>
        <w:t>See</w:t>
      </w:r>
      <w:r>
        <w:t xml:space="preserve"> Report and Order, FCC 15-111 at ¶ 47.</w:t>
      </w:r>
    </w:p>
  </w:footnote>
  <w:footnote w:id="19">
    <w:p w14:paraId="04324C5D" w14:textId="77777777" w:rsidR="001D60AA" w:rsidRDefault="001D60AA">
      <w:pPr>
        <w:pStyle w:val="FootnoteText"/>
      </w:pPr>
      <w:r>
        <w:rPr>
          <w:rStyle w:val="FootnoteReference"/>
        </w:rPr>
        <w:footnoteRef/>
      </w:r>
      <w:r>
        <w:t xml:space="preserve"> </w:t>
      </w:r>
      <w:r w:rsidRPr="0072744B">
        <w:t>For purposes of determining a reasonable amount of time for a carrier to respond to a request for a feasibility certification, the Commission found a carrier should generally respond within 45 days of receipt of a prospective petitioner’s written request; however, it would be reasonable for the carrier to respond in 90 days if the carrier has to process several requests at the same time.‎  If the response is after 45 days, the carrier must provide an explanation for the longer time period in its certification (e.g., having to respond to multiple simultaneous requests).  With this process, the Commission seeks to balance the need to provide broadcasters’ with as fast a response as possible, while recognizing that satellite carriers may have difficulty responding to numerous requests at once.</w:t>
      </w:r>
    </w:p>
  </w:footnote>
  <w:footnote w:id="20">
    <w:p w14:paraId="18A8434F" w14:textId="77777777" w:rsidR="001D60AA" w:rsidRPr="006714E8" w:rsidRDefault="001D60AA" w:rsidP="00327D19">
      <w:pPr>
        <w:pStyle w:val="FootnoteText"/>
      </w:pPr>
      <w:r w:rsidRPr="006714E8">
        <w:rPr>
          <w:rStyle w:val="FootnoteReference"/>
        </w:rPr>
        <w:footnoteRef/>
      </w:r>
      <w:r w:rsidRPr="006714E8">
        <w:t xml:space="preserve"> Correspondence would include, for example, a brief cover letter and the prospective petitioner’s initiating request for the feasibility certification provided.</w:t>
      </w:r>
    </w:p>
  </w:footnote>
  <w:footnote w:id="21">
    <w:p w14:paraId="0A2AF808" w14:textId="77777777" w:rsidR="001D60AA" w:rsidRPr="006714E8" w:rsidRDefault="001D60AA" w:rsidP="00327D19">
      <w:pPr>
        <w:pStyle w:val="FootnoteText"/>
      </w:pPr>
      <w:r w:rsidRPr="006714E8">
        <w:rPr>
          <w:rStyle w:val="FootnoteReference"/>
        </w:rPr>
        <w:footnoteRef/>
      </w:r>
      <w:r w:rsidRPr="006714E8">
        <w:t xml:space="preserve"> A satellite carrier must file the correspondence and feasibility certification electronically into this docket through the Commission’s Electronic Comment Filing System (</w:t>
      </w:r>
      <w:r>
        <w:t>“</w:t>
      </w:r>
      <w:r w:rsidRPr="006714E8">
        <w:t>ECFS</w:t>
      </w:r>
      <w:r>
        <w:t>”</w:t>
      </w:r>
      <w:r w:rsidRPr="006714E8">
        <w:t xml:space="preserve">) using the Internet by accessing the ECFS: http://www.fcc.gov/cgb/ecfs/.  The filing must be clearly designated as a </w:t>
      </w:r>
      <w:r>
        <w:t>“</w:t>
      </w:r>
      <w:r w:rsidRPr="006714E8">
        <w:t>STELAR feasibility certification</w:t>
      </w:r>
      <w:r>
        <w:t>”</w:t>
      </w:r>
      <w:r w:rsidRPr="006714E8">
        <w:t xml:space="preserve"> and must clearly reference this proceeding and docket number (MB Docket No. 15-71).  </w:t>
      </w:r>
    </w:p>
  </w:footnote>
  <w:footnote w:id="22">
    <w:p w14:paraId="2D7A0594" w14:textId="77777777" w:rsidR="001D60AA" w:rsidRPr="006714E8" w:rsidRDefault="001D60AA" w:rsidP="00327D19">
      <w:pPr>
        <w:pStyle w:val="FootnoteText"/>
      </w:pPr>
      <w:r w:rsidRPr="006714E8">
        <w:rPr>
          <w:rStyle w:val="FootnoteReference"/>
        </w:rPr>
        <w:footnoteRef/>
      </w:r>
      <w:r w:rsidRPr="006714E8">
        <w:t xml:space="preserve"> The carrier must state in its certification that the new community is covered by the relevant spot beam, but carriage is nevertheless infeasible and explain why.</w:t>
      </w:r>
    </w:p>
  </w:footnote>
  <w:footnote w:id="23">
    <w:p w14:paraId="3D34BADC" w14:textId="77777777" w:rsidR="001D60AA" w:rsidRPr="006714E8" w:rsidRDefault="001D60AA" w:rsidP="00327D19">
      <w:pPr>
        <w:pStyle w:val="FootnoteText"/>
      </w:pPr>
      <w:r w:rsidRPr="006714E8">
        <w:rPr>
          <w:rStyle w:val="FootnoteReference"/>
        </w:rPr>
        <w:footnoteRef/>
      </w:r>
      <w:r w:rsidRPr="006714E8">
        <w:t xml:space="preserve"> </w:t>
      </w:r>
      <w:r w:rsidRPr="006714E8">
        <w:rPr>
          <w:i/>
        </w:rPr>
        <w:t>See</w:t>
      </w:r>
      <w:r w:rsidRPr="006714E8">
        <w:t xml:space="preserve"> 47 C.F.R. § 76.7.</w:t>
      </w:r>
      <w:r>
        <w:t xml:space="preserve">  </w:t>
      </w:r>
    </w:p>
  </w:footnote>
  <w:footnote w:id="24">
    <w:p w14:paraId="2AF15753" w14:textId="77777777" w:rsidR="001D60AA" w:rsidRPr="006714E8" w:rsidRDefault="001D60AA" w:rsidP="00327D19">
      <w:pPr>
        <w:pStyle w:val="FootnoteText"/>
      </w:pPr>
      <w:r w:rsidRPr="006714E8">
        <w:rPr>
          <w:rStyle w:val="FootnoteReference"/>
        </w:rPr>
        <w:footnoteRef/>
      </w:r>
      <w:r w:rsidRPr="006714E8">
        <w:t xml:space="preserve"> The Bureau may on its own motion review the adequacy of a certification filed in the docket, but generally a prospective petitioner must request such review by filing a petition for special relief; 47 C.F.R. § 76.7.  </w:t>
      </w:r>
    </w:p>
  </w:footnote>
  <w:footnote w:id="25">
    <w:p w14:paraId="07AFD6FC" w14:textId="77777777" w:rsidR="001D60AA" w:rsidRDefault="001D60AA">
      <w:pPr>
        <w:pStyle w:val="FootnoteText"/>
      </w:pPr>
      <w:r>
        <w:rPr>
          <w:rStyle w:val="FootnoteReference"/>
        </w:rPr>
        <w:footnoteRef/>
      </w:r>
      <w:r>
        <w:t xml:space="preserve"> </w:t>
      </w:r>
      <w:r w:rsidRPr="00EA1917">
        <w:rPr>
          <w:i/>
        </w:rPr>
        <w:t>Implementation of the Cable Television Consumer Protection and Competition Act of 1992, Broadcast Signal Carriage Issues</w:t>
      </w:r>
      <w:r w:rsidRPr="000066F5">
        <w:t xml:space="preserve">, </w:t>
      </w:r>
      <w:r w:rsidRPr="00EA1917">
        <w:t xml:space="preserve">MM Docket No. 92-259, Report and Order, </w:t>
      </w:r>
      <w:r w:rsidRPr="000066F5">
        <w:t>8 FCC Rcd 2965 (1993)</w:t>
      </w:r>
      <w:r>
        <w:t>.</w:t>
      </w:r>
    </w:p>
  </w:footnote>
  <w:footnote w:id="26">
    <w:p w14:paraId="7FD72E20" w14:textId="77777777" w:rsidR="001D60AA" w:rsidRDefault="001D60AA">
      <w:pPr>
        <w:pStyle w:val="FootnoteText"/>
      </w:pPr>
      <w:r>
        <w:rPr>
          <w:rStyle w:val="FootnoteReference"/>
        </w:rPr>
        <w:footnoteRef/>
      </w:r>
      <w:r>
        <w:t xml:space="preserve"> </w:t>
      </w:r>
      <w:r w:rsidRPr="000405A2">
        <w:rPr>
          <w:i/>
        </w:rPr>
        <w:t>Definition Of Markets For Purposes Of The Cable Television Mandatory Television Broadcast Signal Carriage Rules; Implementation of Section 301(d) of the Telecommunications Act of 1996, Market Determinations</w:t>
      </w:r>
      <w:r w:rsidRPr="000405A2">
        <w:t>; CS Docket No. 95-178, Report and Order and Further Notice of Proposed Rulemaking 11 FCC Rcd 6201 (1996)</w:t>
      </w:r>
      <w:r>
        <w:t>.</w:t>
      </w:r>
    </w:p>
  </w:footnote>
  <w:footnote w:id="27">
    <w:p w14:paraId="7D1184BF" w14:textId="77777777" w:rsidR="001D60AA" w:rsidRDefault="001D60AA">
      <w:pPr>
        <w:pStyle w:val="FootnoteText"/>
      </w:pPr>
      <w:r>
        <w:rPr>
          <w:rStyle w:val="FootnoteReference"/>
        </w:rPr>
        <w:footnoteRef/>
      </w:r>
      <w:r>
        <w:t xml:space="preserve"> </w:t>
      </w:r>
      <w:r w:rsidRPr="00940FCF">
        <w:rPr>
          <w:i/>
        </w:rPr>
        <w:t>Definition of Markets for Purposes of the Cable Television Broadcast Signal Carriage Rules</w:t>
      </w:r>
      <w:r w:rsidRPr="00DE1464">
        <w:t xml:space="preserve">, </w:t>
      </w:r>
      <w:r w:rsidRPr="00940FCF">
        <w:t>CS Docket No. 95-178</w:t>
      </w:r>
      <w:r>
        <w:t xml:space="preserve">, </w:t>
      </w:r>
      <w:r w:rsidRPr="00940FCF">
        <w:t>Order on Reconsideration and Second Report and Order</w:t>
      </w:r>
      <w:r>
        <w:t>,</w:t>
      </w:r>
      <w:r w:rsidRPr="00940FCF">
        <w:t xml:space="preserve"> </w:t>
      </w:r>
      <w:r w:rsidRPr="00DE1464">
        <w:t>14 FCC Rcd 8366</w:t>
      </w:r>
      <w:r>
        <w:t>, 8385-86, ¶ 44</w:t>
      </w:r>
      <w:r w:rsidRPr="00DE1464">
        <w:t xml:space="preserve"> (1999)</w:t>
      </w:r>
      <w:r>
        <w:t>.</w:t>
      </w:r>
    </w:p>
  </w:footnote>
  <w:footnote w:id="28">
    <w:p w14:paraId="241E8ECC" w14:textId="77777777" w:rsidR="001D60AA" w:rsidRDefault="001D60AA">
      <w:pPr>
        <w:pStyle w:val="FootnoteText"/>
      </w:pPr>
      <w:r>
        <w:rPr>
          <w:rStyle w:val="FootnoteReference"/>
        </w:rPr>
        <w:footnoteRef/>
      </w:r>
      <w:r>
        <w:t xml:space="preserve"> </w:t>
      </w:r>
      <w:r w:rsidRPr="00EB7F0A">
        <w:rPr>
          <w:i/>
        </w:rPr>
        <w:t>See Media Bureau Announces Commencement of Mandatory Electronic Filing for Cable Special Relief Petitions and Cable Show Cause Petitions Via the Electronic Comment Filing System</w:t>
      </w:r>
      <w:r w:rsidRPr="00EB7F0A">
        <w:t>, Public Notice, 26 FCC Rcd 17150 (MB 2011).</w:t>
      </w:r>
      <w:r>
        <w:t xml:space="preserve">  </w:t>
      </w:r>
    </w:p>
  </w:footnote>
  <w:footnote w:id="29">
    <w:p w14:paraId="4358E1E1" w14:textId="77777777" w:rsidR="001D60AA" w:rsidRDefault="001D60AA">
      <w:pPr>
        <w:pStyle w:val="FootnoteText"/>
      </w:pPr>
      <w:r w:rsidRPr="004D46C2">
        <w:rPr>
          <w:rStyle w:val="FootnoteReference"/>
        </w:rPr>
        <w:footnoteRef/>
      </w:r>
      <w:r w:rsidRPr="004D46C2">
        <w:t xml:space="preserve"> For example, if a broadcast TV station files a petition for a satellite market modification, the following parties may file a response (opposition or comment): a competing TV station in the local television market being modified, one or both satellite carriers, and/or the relevant county government(s).  If a broadcast TV station files a petition for a cable market modification, the following parties may file a response (opposition or comment):  a competing TV station in the local television market being modified and/or the cable system operator.</w:t>
      </w:r>
    </w:p>
  </w:footnote>
  <w:footnote w:id="30">
    <w:p w14:paraId="43DE504D" w14:textId="77777777" w:rsidR="001D60AA" w:rsidRPr="004857E0" w:rsidRDefault="001D60AA" w:rsidP="005863CA">
      <w:pPr>
        <w:pStyle w:val="FootnoteText"/>
      </w:pPr>
      <w:r w:rsidRPr="004857E0">
        <w:rPr>
          <w:rStyle w:val="FootnoteReference"/>
        </w:rPr>
        <w:footnoteRef/>
      </w:r>
      <w:r w:rsidRPr="004857E0">
        <w:t xml:space="preserve"> The estimated time for outside attorney review of a </w:t>
      </w:r>
      <w:r w:rsidRPr="0090007A">
        <w:t>market mod</w:t>
      </w:r>
      <w:r>
        <w:t xml:space="preserve">ification petition </w:t>
      </w:r>
      <w:r w:rsidRPr="004857E0">
        <w:t>is provided in item 13’s cost to respondents.</w:t>
      </w:r>
    </w:p>
  </w:footnote>
  <w:footnote w:id="31">
    <w:p w14:paraId="42BB7277" w14:textId="77777777" w:rsidR="001D60AA" w:rsidRPr="004857E0" w:rsidRDefault="001D60AA" w:rsidP="005863CA">
      <w:pPr>
        <w:pStyle w:val="FootnoteText"/>
      </w:pPr>
      <w:r w:rsidRPr="004857E0">
        <w:rPr>
          <w:rStyle w:val="FootnoteReference"/>
        </w:rPr>
        <w:footnoteRef/>
      </w:r>
      <w:r w:rsidRPr="004857E0">
        <w:t xml:space="preserve"> The estimated time for outside attorney review of a </w:t>
      </w:r>
      <w:r w:rsidRPr="0090007A">
        <w:t>market mod</w:t>
      </w:r>
      <w:r>
        <w:t xml:space="preserve">ification petition </w:t>
      </w:r>
      <w:r w:rsidRPr="004857E0">
        <w:t>is provided in item 13’s cost to respondents.</w:t>
      </w:r>
    </w:p>
  </w:footnote>
  <w:footnote w:id="32">
    <w:p w14:paraId="2C230690" w14:textId="77777777" w:rsidR="001D60AA" w:rsidRDefault="001D60AA">
      <w:pPr>
        <w:pStyle w:val="FootnoteText"/>
      </w:pPr>
      <w:r>
        <w:rPr>
          <w:rStyle w:val="FootnoteReference"/>
        </w:rPr>
        <w:footnoteRef/>
      </w:r>
      <w:r>
        <w:t xml:space="preserve"> These are petitions seeking a Commission ruling on a satellite carrier’s claim of infeasibility and are not market modification petitions.</w:t>
      </w:r>
    </w:p>
  </w:footnote>
  <w:footnote w:id="33">
    <w:p w14:paraId="56BF9927" w14:textId="77777777" w:rsidR="001D60AA" w:rsidRDefault="001D60AA">
      <w:pPr>
        <w:pStyle w:val="FootnoteText"/>
      </w:pPr>
      <w:r>
        <w:rPr>
          <w:rStyle w:val="FootnoteReference"/>
        </w:rPr>
        <w:footnoteRef/>
      </w:r>
      <w:r>
        <w:t xml:space="preserve"> This estimate does not include the burden for preparing a Spot Beam Coverage Infeasibility Detailed Certification, if necessary.  </w:t>
      </w:r>
    </w:p>
  </w:footnote>
  <w:footnote w:id="34">
    <w:p w14:paraId="0F635B04" w14:textId="77777777" w:rsidR="001D60AA" w:rsidRPr="004857E0" w:rsidRDefault="001D60AA" w:rsidP="00FE7A04">
      <w:pPr>
        <w:pStyle w:val="FootnoteText"/>
      </w:pPr>
      <w:r w:rsidRPr="004857E0">
        <w:rPr>
          <w:rStyle w:val="FootnoteReference"/>
        </w:rPr>
        <w:footnoteRef/>
      </w:r>
      <w:r w:rsidRPr="004857E0">
        <w:t xml:space="preserve"> The estimated time for outside attorney review of a </w:t>
      </w:r>
      <w:r w:rsidRPr="0090007A">
        <w:t>market mod</w:t>
      </w:r>
      <w:r>
        <w:t xml:space="preserve">ification petition </w:t>
      </w:r>
      <w:r w:rsidRPr="004857E0">
        <w:t>is provided in item 13’s cost to respondents.</w:t>
      </w:r>
    </w:p>
  </w:footnote>
  <w:footnote w:id="35">
    <w:p w14:paraId="71A766DE" w14:textId="77777777" w:rsidR="001D60AA" w:rsidRDefault="001D60AA">
      <w:pPr>
        <w:pStyle w:val="FootnoteText"/>
      </w:pPr>
      <w:r>
        <w:rPr>
          <w:rStyle w:val="FootnoteReference"/>
        </w:rPr>
        <w:footnoteRef/>
      </w:r>
      <w:r>
        <w:t xml:space="preserve"> </w:t>
      </w:r>
      <w:r w:rsidRPr="00E26E35">
        <w:rPr>
          <w:i/>
        </w:rPr>
        <w:t>See</w:t>
      </w:r>
      <w:r w:rsidRPr="00E26E35">
        <w:t xml:space="preserve"> 47 C.F.R. §§ 1.1104, 1.1117.</w:t>
      </w:r>
    </w:p>
  </w:footnote>
  <w:footnote w:id="36">
    <w:p w14:paraId="3E223840" w14:textId="77777777" w:rsidR="001D60AA" w:rsidRDefault="001D60AA">
      <w:pPr>
        <w:pStyle w:val="FootnoteText"/>
      </w:pPr>
      <w:r>
        <w:rPr>
          <w:rStyle w:val="FootnoteReference"/>
        </w:rPr>
        <w:footnoteRef/>
      </w:r>
      <w:r>
        <w:t xml:space="preserve"> Our burden estimate will include time to review and evaluate the market modification petition and any associated responsive pleadings filed in the market modification proceeding.</w:t>
      </w:r>
    </w:p>
  </w:footnote>
  <w:footnote w:id="37">
    <w:p w14:paraId="41D4D4C7" w14:textId="77777777" w:rsidR="001D60AA" w:rsidRDefault="001D60AA">
      <w:pPr>
        <w:pStyle w:val="FootnoteText"/>
      </w:pPr>
      <w:r w:rsidRPr="001D60AA">
        <w:rPr>
          <w:rStyle w:val="FootnoteReference"/>
        </w:rPr>
        <w:footnoteRef/>
      </w:r>
      <w:r w:rsidRPr="001D60AA">
        <w:t xml:space="preserve"> </w:t>
      </w:r>
      <w:r w:rsidRPr="004D46C2">
        <w:t>Our estimate is based on staff experience with receiving cable market modification petitions.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4A24A" w14:textId="4217A58D" w:rsidR="001D60AA" w:rsidRDefault="001D60AA" w:rsidP="00AD0AFF">
    <w:pPr>
      <w:suppressAutoHyphens/>
      <w:rPr>
        <w:b/>
        <w:sz w:val="24"/>
      </w:rPr>
    </w:pPr>
    <w:r>
      <w:rPr>
        <w:b/>
        <w:sz w:val="24"/>
      </w:rPr>
      <w:t>OMB Control Number:  3060-0546</w:t>
    </w:r>
    <w:r>
      <w:rPr>
        <w:b/>
        <w:sz w:val="24"/>
      </w:rPr>
      <w:tab/>
    </w:r>
    <w:r>
      <w:rPr>
        <w:b/>
        <w:sz w:val="24"/>
      </w:rPr>
      <w:tab/>
    </w:r>
    <w:r>
      <w:rPr>
        <w:b/>
        <w:sz w:val="24"/>
      </w:rPr>
      <w:tab/>
    </w:r>
    <w:r>
      <w:rPr>
        <w:b/>
        <w:sz w:val="24"/>
      </w:rPr>
      <w:tab/>
    </w:r>
    <w:r>
      <w:rPr>
        <w:b/>
        <w:sz w:val="24"/>
      </w:rPr>
      <w:tab/>
    </w:r>
    <w:r>
      <w:rPr>
        <w:b/>
        <w:sz w:val="24"/>
      </w:rPr>
      <w:tab/>
    </w:r>
    <w:r w:rsidR="00037714">
      <w:rPr>
        <w:b/>
        <w:sz w:val="24"/>
      </w:rPr>
      <w:t>December</w:t>
    </w:r>
    <w:r>
      <w:rPr>
        <w:b/>
        <w:sz w:val="24"/>
      </w:rPr>
      <w:t xml:space="preserve"> 2015</w:t>
    </w:r>
  </w:p>
  <w:p w14:paraId="7DD2D2F6" w14:textId="77777777" w:rsidR="001D60AA" w:rsidRPr="00E56846" w:rsidRDefault="001D60AA" w:rsidP="00AD0AFF">
    <w:pPr>
      <w:suppressAutoHyphens/>
      <w:rPr>
        <w:bCs/>
        <w:sz w:val="24"/>
      </w:rPr>
    </w:pPr>
    <w:r>
      <w:rPr>
        <w:b/>
        <w:bCs/>
        <w:sz w:val="24"/>
      </w:rPr>
      <w:t xml:space="preserve">Title: </w:t>
    </w:r>
    <w:r w:rsidRPr="00E56846">
      <w:rPr>
        <w:bCs/>
        <w:sz w:val="24"/>
      </w:rPr>
      <w:t>Section 76.59</w:t>
    </w:r>
    <w:r>
      <w:rPr>
        <w:bCs/>
        <w:sz w:val="24"/>
      </w:rPr>
      <w:t>,</w:t>
    </w:r>
    <w:r w:rsidRPr="00E56846">
      <w:rPr>
        <w:bCs/>
        <w:sz w:val="24"/>
      </w:rPr>
      <w:t xml:space="preserve"> </w:t>
    </w:r>
    <w:r>
      <w:rPr>
        <w:bCs/>
        <w:sz w:val="24"/>
      </w:rPr>
      <w:t>Market Modification of Broadcast T</w:t>
    </w:r>
    <w:r w:rsidRPr="0059334A">
      <w:rPr>
        <w:bCs/>
        <w:sz w:val="24"/>
      </w:rPr>
      <w:t xml:space="preserve">elevision </w:t>
    </w:r>
    <w:r>
      <w:rPr>
        <w:bCs/>
        <w:sz w:val="24"/>
      </w:rPr>
      <w:t xml:space="preserve">Stations </w:t>
    </w:r>
    <w:r w:rsidRPr="00E56846">
      <w:rPr>
        <w:bCs/>
        <w:sz w:val="24"/>
      </w:rPr>
      <w:t xml:space="preserve">for Purposes of the Cable </w:t>
    </w:r>
    <w:r>
      <w:rPr>
        <w:bCs/>
        <w:sz w:val="24"/>
      </w:rPr>
      <w:t xml:space="preserve">and Satellite </w:t>
    </w:r>
    <w:r w:rsidRPr="00E56846">
      <w:rPr>
        <w:bCs/>
        <w:sz w:val="24"/>
      </w:rPr>
      <w:t>Mandatory Television Broadcast Signal Carriage Rules</w:t>
    </w:r>
  </w:p>
  <w:p w14:paraId="1BF41EA8" w14:textId="77777777" w:rsidR="001D60AA" w:rsidRDefault="001D60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31EB1"/>
    <w:multiLevelType w:val="hybridMultilevel"/>
    <w:tmpl w:val="79321344"/>
    <w:lvl w:ilvl="0" w:tplc="7C60094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4B453C"/>
    <w:multiLevelType w:val="singleLevel"/>
    <w:tmpl w:val="40A8E97A"/>
    <w:lvl w:ilvl="0">
      <w:start w:val="1"/>
      <w:numFmt w:val="decimal"/>
      <w:lvlText w:val="%1."/>
      <w:lvlJc w:val="left"/>
      <w:pPr>
        <w:tabs>
          <w:tab w:val="num" w:pos="1080"/>
        </w:tabs>
        <w:ind w:left="0" w:firstLine="720"/>
      </w:pPr>
    </w:lvl>
  </w:abstractNum>
  <w:abstractNum w:abstractNumId="2" w15:restartNumberingAfterBreak="0">
    <w:nsid w:val="1FEA1B96"/>
    <w:multiLevelType w:val="hybridMultilevel"/>
    <w:tmpl w:val="050C0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48246F3"/>
    <w:multiLevelType w:val="singleLevel"/>
    <w:tmpl w:val="B1F45678"/>
    <w:lvl w:ilvl="0">
      <w:start w:val="1"/>
      <w:numFmt w:val="decimal"/>
      <w:lvlText w:val="%1."/>
      <w:lvlJc w:val="left"/>
      <w:pPr>
        <w:tabs>
          <w:tab w:val="num" w:pos="1080"/>
        </w:tabs>
        <w:ind w:left="0" w:firstLine="720"/>
      </w:pPr>
    </w:lvl>
  </w:abstractNum>
  <w:abstractNum w:abstractNumId="5" w15:restartNumberingAfterBreak="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 w15:restartNumberingAfterBreak="0">
    <w:nsid w:val="39BF1E45"/>
    <w:multiLevelType w:val="hybridMultilevel"/>
    <w:tmpl w:val="7556FFAE"/>
    <w:lvl w:ilvl="0" w:tplc="A96C0EAE">
      <w:start w:val="1"/>
      <w:numFmt w:val="decimal"/>
      <w:lvlText w:val="%1."/>
      <w:lvlJc w:val="left"/>
      <w:pPr>
        <w:tabs>
          <w:tab w:val="num" w:pos="1440"/>
        </w:tabs>
        <w:ind w:left="36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5FE06A33"/>
    <w:multiLevelType w:val="hybridMultilevel"/>
    <w:tmpl w:val="DCFE9D1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0" w15:restartNumberingAfterBreak="0">
    <w:nsid w:val="77DB5601"/>
    <w:multiLevelType w:val="singleLevel"/>
    <w:tmpl w:val="32BA8698"/>
    <w:lvl w:ilvl="0">
      <w:start w:val="15"/>
      <w:numFmt w:val="decimal"/>
      <w:lvlText w:val="%1."/>
      <w:lvlJc w:val="left"/>
      <w:pPr>
        <w:tabs>
          <w:tab w:val="num" w:pos="420"/>
        </w:tabs>
        <w:ind w:left="420" w:hanging="420"/>
      </w:pPr>
      <w:rPr>
        <w:rFonts w:hint="default"/>
      </w:rPr>
    </w:lvl>
  </w:abstractNum>
  <w:abstractNum w:abstractNumId="11" w15:restartNumberingAfterBreak="0">
    <w:nsid w:val="77FF4AD5"/>
    <w:multiLevelType w:val="hybridMultilevel"/>
    <w:tmpl w:val="9618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5"/>
  </w:num>
  <w:num w:numId="5">
    <w:abstractNumId w:val="7"/>
  </w:num>
  <w:num w:numId="6">
    <w:abstractNumId w:val="4"/>
  </w:num>
  <w:num w:numId="7">
    <w:abstractNumId w:val="1"/>
  </w:num>
  <w:num w:numId="8">
    <w:abstractNumId w:val="6"/>
  </w:num>
  <w:num w:numId="9">
    <w:abstractNumId w:val="8"/>
  </w:num>
  <w:num w:numId="10">
    <w:abstractNumId w:val="2"/>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103"/>
    <w:rsid w:val="00021B91"/>
    <w:rsid w:val="00023EA1"/>
    <w:rsid w:val="000253FA"/>
    <w:rsid w:val="00027838"/>
    <w:rsid w:val="00037714"/>
    <w:rsid w:val="000405A2"/>
    <w:rsid w:val="000421B1"/>
    <w:rsid w:val="0004393D"/>
    <w:rsid w:val="0006726E"/>
    <w:rsid w:val="00072510"/>
    <w:rsid w:val="000767D6"/>
    <w:rsid w:val="00086E34"/>
    <w:rsid w:val="000A0804"/>
    <w:rsid w:val="000B47D8"/>
    <w:rsid w:val="000B4B84"/>
    <w:rsid w:val="000B50DD"/>
    <w:rsid w:val="000B551A"/>
    <w:rsid w:val="000E08D1"/>
    <w:rsid w:val="000E1D2F"/>
    <w:rsid w:val="001056FD"/>
    <w:rsid w:val="00106CC2"/>
    <w:rsid w:val="0011155B"/>
    <w:rsid w:val="00124B31"/>
    <w:rsid w:val="00126462"/>
    <w:rsid w:val="00126DCD"/>
    <w:rsid w:val="001304A1"/>
    <w:rsid w:val="001349A7"/>
    <w:rsid w:val="00142931"/>
    <w:rsid w:val="0014432F"/>
    <w:rsid w:val="00151892"/>
    <w:rsid w:val="00156096"/>
    <w:rsid w:val="00160CAD"/>
    <w:rsid w:val="00170BFA"/>
    <w:rsid w:val="0017189D"/>
    <w:rsid w:val="00177C99"/>
    <w:rsid w:val="00182D44"/>
    <w:rsid w:val="0018344D"/>
    <w:rsid w:val="00184D52"/>
    <w:rsid w:val="00185E78"/>
    <w:rsid w:val="00191887"/>
    <w:rsid w:val="00193415"/>
    <w:rsid w:val="00193706"/>
    <w:rsid w:val="00194B9A"/>
    <w:rsid w:val="001A27A8"/>
    <w:rsid w:val="001B3A91"/>
    <w:rsid w:val="001C3C1C"/>
    <w:rsid w:val="001C4E57"/>
    <w:rsid w:val="001C600A"/>
    <w:rsid w:val="001C69BD"/>
    <w:rsid w:val="001D283A"/>
    <w:rsid w:val="001D46C6"/>
    <w:rsid w:val="001D60AA"/>
    <w:rsid w:val="001E61CB"/>
    <w:rsid w:val="001F6982"/>
    <w:rsid w:val="002036BE"/>
    <w:rsid w:val="00205E9B"/>
    <w:rsid w:val="00206103"/>
    <w:rsid w:val="00211C2B"/>
    <w:rsid w:val="0021452A"/>
    <w:rsid w:val="00246FAB"/>
    <w:rsid w:val="0026612E"/>
    <w:rsid w:val="00293533"/>
    <w:rsid w:val="002A0D59"/>
    <w:rsid w:val="002A53D0"/>
    <w:rsid w:val="002A6B25"/>
    <w:rsid w:val="002B1305"/>
    <w:rsid w:val="002B2047"/>
    <w:rsid w:val="002B4567"/>
    <w:rsid w:val="002C0BDF"/>
    <w:rsid w:val="002C16F5"/>
    <w:rsid w:val="002D171E"/>
    <w:rsid w:val="002E0C05"/>
    <w:rsid w:val="002F27E4"/>
    <w:rsid w:val="002F4F93"/>
    <w:rsid w:val="00302C13"/>
    <w:rsid w:val="00307DAB"/>
    <w:rsid w:val="00315566"/>
    <w:rsid w:val="0032518B"/>
    <w:rsid w:val="003252C0"/>
    <w:rsid w:val="00327D19"/>
    <w:rsid w:val="003335CD"/>
    <w:rsid w:val="003340D0"/>
    <w:rsid w:val="0033736D"/>
    <w:rsid w:val="00342E48"/>
    <w:rsid w:val="00361A43"/>
    <w:rsid w:val="0037269B"/>
    <w:rsid w:val="00374DD0"/>
    <w:rsid w:val="00380350"/>
    <w:rsid w:val="00381FC0"/>
    <w:rsid w:val="00386C0C"/>
    <w:rsid w:val="00390AB1"/>
    <w:rsid w:val="00395B63"/>
    <w:rsid w:val="003972EC"/>
    <w:rsid w:val="003A0328"/>
    <w:rsid w:val="003A3F67"/>
    <w:rsid w:val="003A53A7"/>
    <w:rsid w:val="003B705D"/>
    <w:rsid w:val="003B706E"/>
    <w:rsid w:val="00407041"/>
    <w:rsid w:val="00423C65"/>
    <w:rsid w:val="0042758F"/>
    <w:rsid w:val="00427C90"/>
    <w:rsid w:val="004363C7"/>
    <w:rsid w:val="00444340"/>
    <w:rsid w:val="004723A0"/>
    <w:rsid w:val="00472495"/>
    <w:rsid w:val="004748FA"/>
    <w:rsid w:val="004A13BF"/>
    <w:rsid w:val="004A5E5B"/>
    <w:rsid w:val="004A6BD4"/>
    <w:rsid w:val="004D3498"/>
    <w:rsid w:val="004D46C2"/>
    <w:rsid w:val="004D53B1"/>
    <w:rsid w:val="004E452A"/>
    <w:rsid w:val="00500E4B"/>
    <w:rsid w:val="00510918"/>
    <w:rsid w:val="00510BBB"/>
    <w:rsid w:val="00510FA7"/>
    <w:rsid w:val="005234D5"/>
    <w:rsid w:val="00523842"/>
    <w:rsid w:val="00534F37"/>
    <w:rsid w:val="0053523C"/>
    <w:rsid w:val="005529F1"/>
    <w:rsid w:val="0055325A"/>
    <w:rsid w:val="00554A3E"/>
    <w:rsid w:val="0057268C"/>
    <w:rsid w:val="00576673"/>
    <w:rsid w:val="00577F94"/>
    <w:rsid w:val="00582AEC"/>
    <w:rsid w:val="005838E8"/>
    <w:rsid w:val="005863CA"/>
    <w:rsid w:val="00591650"/>
    <w:rsid w:val="0059334A"/>
    <w:rsid w:val="00594BF0"/>
    <w:rsid w:val="00595ED5"/>
    <w:rsid w:val="005B45A7"/>
    <w:rsid w:val="005B4B8C"/>
    <w:rsid w:val="005C59EB"/>
    <w:rsid w:val="005C5F5E"/>
    <w:rsid w:val="005D2AA0"/>
    <w:rsid w:val="005D7E96"/>
    <w:rsid w:val="005E0774"/>
    <w:rsid w:val="005E0E07"/>
    <w:rsid w:val="005E673D"/>
    <w:rsid w:val="00602F34"/>
    <w:rsid w:val="00604F0F"/>
    <w:rsid w:val="006051BC"/>
    <w:rsid w:val="00611A2B"/>
    <w:rsid w:val="00612230"/>
    <w:rsid w:val="0061283A"/>
    <w:rsid w:val="00622C39"/>
    <w:rsid w:val="0063296E"/>
    <w:rsid w:val="006350DC"/>
    <w:rsid w:val="00635A4C"/>
    <w:rsid w:val="00640E0A"/>
    <w:rsid w:val="006410A6"/>
    <w:rsid w:val="00677012"/>
    <w:rsid w:val="0068708E"/>
    <w:rsid w:val="00694439"/>
    <w:rsid w:val="00694A13"/>
    <w:rsid w:val="00695C7C"/>
    <w:rsid w:val="006961F1"/>
    <w:rsid w:val="006A3932"/>
    <w:rsid w:val="006B3340"/>
    <w:rsid w:val="006B6781"/>
    <w:rsid w:val="006C72AE"/>
    <w:rsid w:val="006D0731"/>
    <w:rsid w:val="006D2649"/>
    <w:rsid w:val="006E05D8"/>
    <w:rsid w:val="006E07D0"/>
    <w:rsid w:val="006E30F8"/>
    <w:rsid w:val="006F02F3"/>
    <w:rsid w:val="006F1D93"/>
    <w:rsid w:val="006F43B7"/>
    <w:rsid w:val="006F58FD"/>
    <w:rsid w:val="00704813"/>
    <w:rsid w:val="00704A78"/>
    <w:rsid w:val="007074AD"/>
    <w:rsid w:val="00710A20"/>
    <w:rsid w:val="00712339"/>
    <w:rsid w:val="00721E88"/>
    <w:rsid w:val="00722225"/>
    <w:rsid w:val="0072744B"/>
    <w:rsid w:val="00727E71"/>
    <w:rsid w:val="00731585"/>
    <w:rsid w:val="00732B90"/>
    <w:rsid w:val="00734C1A"/>
    <w:rsid w:val="00740FE7"/>
    <w:rsid w:val="0074268F"/>
    <w:rsid w:val="00743255"/>
    <w:rsid w:val="007441DE"/>
    <w:rsid w:val="0074529E"/>
    <w:rsid w:val="007538A0"/>
    <w:rsid w:val="00762269"/>
    <w:rsid w:val="00771E34"/>
    <w:rsid w:val="00777F1D"/>
    <w:rsid w:val="007806A0"/>
    <w:rsid w:val="0079482B"/>
    <w:rsid w:val="007B39E0"/>
    <w:rsid w:val="007B7426"/>
    <w:rsid w:val="007D79CC"/>
    <w:rsid w:val="007E2D64"/>
    <w:rsid w:val="007E31C5"/>
    <w:rsid w:val="008037A1"/>
    <w:rsid w:val="00805EA4"/>
    <w:rsid w:val="00813306"/>
    <w:rsid w:val="00817216"/>
    <w:rsid w:val="00830924"/>
    <w:rsid w:val="00835498"/>
    <w:rsid w:val="0084118E"/>
    <w:rsid w:val="008437F5"/>
    <w:rsid w:val="00843ADB"/>
    <w:rsid w:val="00850A5F"/>
    <w:rsid w:val="00863B4B"/>
    <w:rsid w:val="00867DA2"/>
    <w:rsid w:val="0087447C"/>
    <w:rsid w:val="00876170"/>
    <w:rsid w:val="008811A6"/>
    <w:rsid w:val="00881218"/>
    <w:rsid w:val="00883B3A"/>
    <w:rsid w:val="00886ECF"/>
    <w:rsid w:val="008A1E70"/>
    <w:rsid w:val="008A26AC"/>
    <w:rsid w:val="008A4375"/>
    <w:rsid w:val="008A517D"/>
    <w:rsid w:val="008A5941"/>
    <w:rsid w:val="008C6CF6"/>
    <w:rsid w:val="008C75FC"/>
    <w:rsid w:val="008D2F00"/>
    <w:rsid w:val="008D581C"/>
    <w:rsid w:val="008E3631"/>
    <w:rsid w:val="008F5E86"/>
    <w:rsid w:val="0090007A"/>
    <w:rsid w:val="00900603"/>
    <w:rsid w:val="00906821"/>
    <w:rsid w:val="009068C2"/>
    <w:rsid w:val="00915253"/>
    <w:rsid w:val="0092440E"/>
    <w:rsid w:val="00926F6D"/>
    <w:rsid w:val="00927249"/>
    <w:rsid w:val="00937210"/>
    <w:rsid w:val="009435B8"/>
    <w:rsid w:val="0094627F"/>
    <w:rsid w:val="00962364"/>
    <w:rsid w:val="009643D2"/>
    <w:rsid w:val="00966B87"/>
    <w:rsid w:val="009773C0"/>
    <w:rsid w:val="00984A00"/>
    <w:rsid w:val="0099243F"/>
    <w:rsid w:val="009937AE"/>
    <w:rsid w:val="009A54EA"/>
    <w:rsid w:val="009A6576"/>
    <w:rsid w:val="009B6046"/>
    <w:rsid w:val="009B7FFC"/>
    <w:rsid w:val="009C218A"/>
    <w:rsid w:val="009C5B29"/>
    <w:rsid w:val="009C7706"/>
    <w:rsid w:val="009D6D4A"/>
    <w:rsid w:val="009E3AA7"/>
    <w:rsid w:val="009E7CC9"/>
    <w:rsid w:val="009F1E03"/>
    <w:rsid w:val="009F3D1D"/>
    <w:rsid w:val="009F6442"/>
    <w:rsid w:val="009F73DF"/>
    <w:rsid w:val="00A03A0D"/>
    <w:rsid w:val="00A03A6F"/>
    <w:rsid w:val="00A047B6"/>
    <w:rsid w:val="00A1095C"/>
    <w:rsid w:val="00A11ADD"/>
    <w:rsid w:val="00A25BCA"/>
    <w:rsid w:val="00A3617E"/>
    <w:rsid w:val="00A361FD"/>
    <w:rsid w:val="00A36546"/>
    <w:rsid w:val="00A42A74"/>
    <w:rsid w:val="00A45C53"/>
    <w:rsid w:val="00A62AC2"/>
    <w:rsid w:val="00A7183B"/>
    <w:rsid w:val="00A866F1"/>
    <w:rsid w:val="00A90B16"/>
    <w:rsid w:val="00AA7CB1"/>
    <w:rsid w:val="00AB1EF7"/>
    <w:rsid w:val="00AB2210"/>
    <w:rsid w:val="00AB546A"/>
    <w:rsid w:val="00AC2A6D"/>
    <w:rsid w:val="00AD0AFF"/>
    <w:rsid w:val="00AE02C8"/>
    <w:rsid w:val="00AE3A83"/>
    <w:rsid w:val="00AF2EFD"/>
    <w:rsid w:val="00AF5598"/>
    <w:rsid w:val="00B00913"/>
    <w:rsid w:val="00B05B1A"/>
    <w:rsid w:val="00B066C8"/>
    <w:rsid w:val="00B14E06"/>
    <w:rsid w:val="00B17010"/>
    <w:rsid w:val="00B253BE"/>
    <w:rsid w:val="00B27FBE"/>
    <w:rsid w:val="00B35A3E"/>
    <w:rsid w:val="00B36FB8"/>
    <w:rsid w:val="00B37E4C"/>
    <w:rsid w:val="00B65263"/>
    <w:rsid w:val="00B7711B"/>
    <w:rsid w:val="00B80F06"/>
    <w:rsid w:val="00B82CB4"/>
    <w:rsid w:val="00B8324A"/>
    <w:rsid w:val="00B87DED"/>
    <w:rsid w:val="00BB2370"/>
    <w:rsid w:val="00BB2880"/>
    <w:rsid w:val="00BB4BB7"/>
    <w:rsid w:val="00BB7695"/>
    <w:rsid w:val="00BD7B4D"/>
    <w:rsid w:val="00BE275B"/>
    <w:rsid w:val="00BE588E"/>
    <w:rsid w:val="00BF0630"/>
    <w:rsid w:val="00BF57AD"/>
    <w:rsid w:val="00BF59D9"/>
    <w:rsid w:val="00BF708E"/>
    <w:rsid w:val="00C05C98"/>
    <w:rsid w:val="00C0635E"/>
    <w:rsid w:val="00C10649"/>
    <w:rsid w:val="00C311BA"/>
    <w:rsid w:val="00C331CE"/>
    <w:rsid w:val="00C441B0"/>
    <w:rsid w:val="00C52277"/>
    <w:rsid w:val="00C55874"/>
    <w:rsid w:val="00C573CF"/>
    <w:rsid w:val="00C604B0"/>
    <w:rsid w:val="00C657A2"/>
    <w:rsid w:val="00C71498"/>
    <w:rsid w:val="00C83A42"/>
    <w:rsid w:val="00C84CC2"/>
    <w:rsid w:val="00CA4CA8"/>
    <w:rsid w:val="00CA59C9"/>
    <w:rsid w:val="00CB2CB8"/>
    <w:rsid w:val="00CB2ED3"/>
    <w:rsid w:val="00CC1A50"/>
    <w:rsid w:val="00CC6B20"/>
    <w:rsid w:val="00CD3F63"/>
    <w:rsid w:val="00CD41D3"/>
    <w:rsid w:val="00D07F64"/>
    <w:rsid w:val="00D12FDD"/>
    <w:rsid w:val="00D16B15"/>
    <w:rsid w:val="00D223F7"/>
    <w:rsid w:val="00D3082F"/>
    <w:rsid w:val="00D40246"/>
    <w:rsid w:val="00D44C20"/>
    <w:rsid w:val="00D465A9"/>
    <w:rsid w:val="00D61821"/>
    <w:rsid w:val="00D63436"/>
    <w:rsid w:val="00D66843"/>
    <w:rsid w:val="00D779B4"/>
    <w:rsid w:val="00D80165"/>
    <w:rsid w:val="00D81231"/>
    <w:rsid w:val="00D85ED1"/>
    <w:rsid w:val="00D927F0"/>
    <w:rsid w:val="00DA4103"/>
    <w:rsid w:val="00DD18CA"/>
    <w:rsid w:val="00DD392F"/>
    <w:rsid w:val="00DD42E1"/>
    <w:rsid w:val="00DD5D04"/>
    <w:rsid w:val="00DE2D9A"/>
    <w:rsid w:val="00DE4402"/>
    <w:rsid w:val="00E000E2"/>
    <w:rsid w:val="00E02488"/>
    <w:rsid w:val="00E025E3"/>
    <w:rsid w:val="00E0540E"/>
    <w:rsid w:val="00E14F8D"/>
    <w:rsid w:val="00E21C4A"/>
    <w:rsid w:val="00E239D3"/>
    <w:rsid w:val="00E25CA2"/>
    <w:rsid w:val="00E26E35"/>
    <w:rsid w:val="00E2767A"/>
    <w:rsid w:val="00E32207"/>
    <w:rsid w:val="00E343E1"/>
    <w:rsid w:val="00E36057"/>
    <w:rsid w:val="00E51379"/>
    <w:rsid w:val="00E56846"/>
    <w:rsid w:val="00E64B48"/>
    <w:rsid w:val="00E9350F"/>
    <w:rsid w:val="00E94975"/>
    <w:rsid w:val="00E97F30"/>
    <w:rsid w:val="00EB0ACB"/>
    <w:rsid w:val="00EB776C"/>
    <w:rsid w:val="00EC7B24"/>
    <w:rsid w:val="00ED21A1"/>
    <w:rsid w:val="00ED4C22"/>
    <w:rsid w:val="00ED71DC"/>
    <w:rsid w:val="00EF560C"/>
    <w:rsid w:val="00F01B5A"/>
    <w:rsid w:val="00F204B2"/>
    <w:rsid w:val="00F21623"/>
    <w:rsid w:val="00F22350"/>
    <w:rsid w:val="00F23752"/>
    <w:rsid w:val="00F24168"/>
    <w:rsid w:val="00F36E19"/>
    <w:rsid w:val="00F4452B"/>
    <w:rsid w:val="00F60E3D"/>
    <w:rsid w:val="00F65B6F"/>
    <w:rsid w:val="00F72579"/>
    <w:rsid w:val="00F739DB"/>
    <w:rsid w:val="00F81D75"/>
    <w:rsid w:val="00F8623B"/>
    <w:rsid w:val="00F94AB9"/>
    <w:rsid w:val="00FA39DC"/>
    <w:rsid w:val="00FA3F8C"/>
    <w:rsid w:val="00FB111C"/>
    <w:rsid w:val="00FC5711"/>
    <w:rsid w:val="00FD3027"/>
    <w:rsid w:val="00FD3EFF"/>
    <w:rsid w:val="00FD43AC"/>
    <w:rsid w:val="00FE05A1"/>
    <w:rsid w:val="00FE7A04"/>
    <w:rsid w:val="00FF6192"/>
    <w:rsid w:val="00FF7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FC21E7"/>
  <w15:docId w15:val="{B62C9567-7879-47F1-B97A-6CDD62A19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C2B"/>
    <w:pPr>
      <w:widowControl w:val="0"/>
    </w:pPr>
    <w:rPr>
      <w:snapToGrid w:val="0"/>
      <w:kern w:val="28"/>
      <w:sz w:val="22"/>
    </w:rPr>
  </w:style>
  <w:style w:type="paragraph" w:styleId="Heading1">
    <w:name w:val="heading 1"/>
    <w:basedOn w:val="Normal"/>
    <w:next w:val="ParaNum"/>
    <w:qFormat/>
    <w:rsid w:val="00211C2B"/>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211C2B"/>
    <w:pPr>
      <w:keepNext/>
      <w:numPr>
        <w:ilvl w:val="1"/>
        <w:numId w:val="4"/>
      </w:numPr>
      <w:spacing w:after="120"/>
      <w:outlineLvl w:val="1"/>
    </w:pPr>
    <w:rPr>
      <w:b/>
    </w:rPr>
  </w:style>
  <w:style w:type="paragraph" w:styleId="Heading3">
    <w:name w:val="heading 3"/>
    <w:basedOn w:val="Normal"/>
    <w:next w:val="ParaNum"/>
    <w:link w:val="Heading3Char"/>
    <w:qFormat/>
    <w:rsid w:val="00211C2B"/>
    <w:pPr>
      <w:keepNext/>
      <w:numPr>
        <w:ilvl w:val="2"/>
        <w:numId w:val="4"/>
      </w:numPr>
      <w:tabs>
        <w:tab w:val="left" w:pos="2160"/>
      </w:tabs>
      <w:spacing w:after="120"/>
      <w:outlineLvl w:val="2"/>
    </w:pPr>
    <w:rPr>
      <w:b/>
    </w:rPr>
  </w:style>
  <w:style w:type="paragraph" w:styleId="Heading4">
    <w:name w:val="heading 4"/>
    <w:basedOn w:val="Normal"/>
    <w:next w:val="ParaNum"/>
    <w:qFormat/>
    <w:rsid w:val="00211C2B"/>
    <w:pPr>
      <w:keepNext/>
      <w:numPr>
        <w:ilvl w:val="3"/>
        <w:numId w:val="4"/>
      </w:numPr>
      <w:tabs>
        <w:tab w:val="left" w:pos="2880"/>
      </w:tabs>
      <w:spacing w:after="120"/>
      <w:outlineLvl w:val="3"/>
    </w:pPr>
    <w:rPr>
      <w:b/>
    </w:rPr>
  </w:style>
  <w:style w:type="paragraph" w:styleId="Heading5">
    <w:name w:val="heading 5"/>
    <w:basedOn w:val="Normal"/>
    <w:next w:val="ParaNum"/>
    <w:qFormat/>
    <w:rsid w:val="00211C2B"/>
    <w:pPr>
      <w:keepNext/>
      <w:numPr>
        <w:ilvl w:val="4"/>
        <w:numId w:val="4"/>
      </w:numPr>
      <w:tabs>
        <w:tab w:val="left" w:pos="3600"/>
      </w:tabs>
      <w:suppressAutoHyphens/>
      <w:spacing w:after="120"/>
      <w:outlineLvl w:val="4"/>
    </w:pPr>
    <w:rPr>
      <w:b/>
    </w:rPr>
  </w:style>
  <w:style w:type="paragraph" w:styleId="Heading6">
    <w:name w:val="heading 6"/>
    <w:basedOn w:val="Normal"/>
    <w:next w:val="ParaNum"/>
    <w:qFormat/>
    <w:rsid w:val="00211C2B"/>
    <w:pPr>
      <w:numPr>
        <w:ilvl w:val="5"/>
        <w:numId w:val="4"/>
      </w:numPr>
      <w:tabs>
        <w:tab w:val="left" w:pos="4320"/>
      </w:tabs>
      <w:spacing w:after="120"/>
      <w:outlineLvl w:val="5"/>
    </w:pPr>
    <w:rPr>
      <w:b/>
    </w:rPr>
  </w:style>
  <w:style w:type="paragraph" w:styleId="Heading7">
    <w:name w:val="heading 7"/>
    <w:basedOn w:val="Normal"/>
    <w:next w:val="ParaNum"/>
    <w:qFormat/>
    <w:rsid w:val="00211C2B"/>
    <w:pPr>
      <w:numPr>
        <w:ilvl w:val="6"/>
        <w:numId w:val="4"/>
      </w:numPr>
      <w:tabs>
        <w:tab w:val="left" w:pos="5040"/>
      </w:tabs>
      <w:spacing w:after="120"/>
      <w:ind w:left="5040" w:hanging="720"/>
      <w:outlineLvl w:val="6"/>
    </w:pPr>
    <w:rPr>
      <w:b/>
    </w:rPr>
  </w:style>
  <w:style w:type="paragraph" w:styleId="Heading8">
    <w:name w:val="heading 8"/>
    <w:basedOn w:val="Normal"/>
    <w:next w:val="ParaNum"/>
    <w:qFormat/>
    <w:rsid w:val="00211C2B"/>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211C2B"/>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11C2B"/>
    <w:rPr>
      <w:sz w:val="20"/>
    </w:rPr>
  </w:style>
  <w:style w:type="character" w:styleId="EndnoteReference">
    <w:name w:val="endnote reference"/>
    <w:semiHidden/>
    <w:rsid w:val="00211C2B"/>
    <w:rPr>
      <w:vertAlign w:val="superscript"/>
    </w:rPr>
  </w:style>
  <w:style w:type="paragraph" w:styleId="FootnoteText">
    <w:name w:val="footnote text"/>
    <w:aliases w:val="Footnote Text Char,Footnote Text Char1 Char,Footnote Text Char Char Char,Footnote Text Char1 Char Char Char1,Footnote Text Char Char Char Char Char1,Footnote Text Char2 Char Char Char Char Char1,Footnote Text Char2 Char,Footnote Text Char3"/>
    <w:link w:val="FootnoteTextChar1"/>
    <w:rsid w:val="00211C2B"/>
    <w:pPr>
      <w:spacing w:after="120"/>
    </w:pPr>
  </w:style>
  <w:style w:type="character" w:styleId="FootnoteReference">
    <w:name w:val="footnote reference"/>
    <w:aliases w:val="(NECG) Footnote Reference,Appel note de bas de p,Style 124,o,fr,Style 13,FR,Style 17,Footnote Reference/"/>
    <w:rsid w:val="00211C2B"/>
    <w:rPr>
      <w:rFonts w:ascii="Times New Roman" w:hAnsi="Times New Roman"/>
      <w:dstrike w:val="0"/>
      <w:color w:val="auto"/>
      <w:sz w:val="20"/>
      <w:vertAlign w:val="superscript"/>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Line Draw" w:hAnsi="Line Draw"/>
      <w:snapToGrid w:val="0"/>
    </w:rPr>
  </w:style>
  <w:style w:type="paragraph" w:customStyle="1" w:styleId="Document1a">
    <w:name w:val="Document 1a"/>
    <w:pPr>
      <w:keepNext/>
      <w:keepLines/>
      <w:widowControl w:val="0"/>
      <w:tabs>
        <w:tab w:val="left" w:pos="-720"/>
      </w:tabs>
      <w:suppressAutoHyphens/>
    </w:pPr>
    <w:rPr>
      <w:rFonts w:ascii="Line Draw" w:hAnsi="Line Draw"/>
      <w:snapToGrid w:val="0"/>
    </w:rPr>
  </w:style>
  <w:style w:type="paragraph" w:customStyle="1" w:styleId="Technical5a">
    <w:name w:val="Technical 5a"/>
    <w:pPr>
      <w:widowControl w:val="0"/>
      <w:tabs>
        <w:tab w:val="left" w:pos="-720"/>
      </w:tabs>
      <w:suppressAutoHyphens/>
    </w:pPr>
    <w:rPr>
      <w:rFonts w:ascii="Line Draw" w:hAnsi="Line Draw"/>
      <w:b/>
      <w:snapToGrid w:val="0"/>
    </w:rPr>
  </w:style>
  <w:style w:type="paragraph" w:customStyle="1" w:styleId="Technical6a">
    <w:name w:val="Technical 6a"/>
    <w:pPr>
      <w:widowControl w:val="0"/>
      <w:tabs>
        <w:tab w:val="left" w:pos="-72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Line Draw" w:hAnsi="Line Draw"/>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Line Draw" w:hAnsi="Line Draw"/>
      <w:b/>
      <w:snapToGrid w:val="0"/>
    </w:rPr>
  </w:style>
  <w:style w:type="paragraph" w:customStyle="1" w:styleId="Technical8a">
    <w:name w:val="Technical 8a"/>
    <w:pPr>
      <w:widowControl w:val="0"/>
      <w:tabs>
        <w:tab w:val="left" w:pos="-720"/>
      </w:tabs>
      <w:suppressAutoHyphens/>
    </w:pPr>
    <w:rPr>
      <w:rFonts w:ascii="Line Draw" w:hAnsi="Line Draw"/>
      <w:b/>
      <w:snapToGrid w:val="0"/>
    </w:rPr>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
    <w:name w:val="_Equation Caption"/>
    <w:rsid w:val="00211C2B"/>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Line Draw" w:hAnsi="Line Draw"/>
      <w:noProof w:val="0"/>
      <w:sz w:val="16"/>
      <w:lang w:val="en-US"/>
    </w:rPr>
  </w:style>
  <w:style w:type="character" w:customStyle="1" w:styleId="HIGHLIGHT1">
    <w:name w:val="HIGHLIGHT 1"/>
    <w:rPr>
      <w:rFonts w:ascii="Line Draw" w:hAnsi="Line Draw"/>
      <w:b/>
      <w:i/>
      <w:noProof w:val="0"/>
      <w:sz w:val="20"/>
      <w:lang w:val="en-US"/>
    </w:rPr>
  </w:style>
  <w:style w:type="character" w:customStyle="1" w:styleId="Header1">
    <w:name w:val="Header1"/>
    <w:rPr>
      <w:rFonts w:ascii="Line Draw" w:hAnsi="Line Draw"/>
      <w:noProof w:val="0"/>
      <w:sz w:val="20"/>
      <w:lang w:val="en-US"/>
    </w:rPr>
  </w:style>
  <w:style w:type="character" w:customStyle="1" w:styleId="LETTERLAND">
    <w:name w:val="LETTER LAND"/>
    <w:rPr>
      <w:rFonts w:ascii="Line Draw" w:hAnsi="Line Draw"/>
      <w:noProof w:val="0"/>
      <w:sz w:val="20"/>
      <w:lang w:val="en-US"/>
    </w:rPr>
  </w:style>
  <w:style w:type="character" w:customStyle="1" w:styleId="LEGALLAND">
    <w:name w:val="LEGAL LAND"/>
    <w:rPr>
      <w:rFonts w:ascii="Line Draw" w:hAnsi="Line Draw"/>
      <w:noProof w:val="0"/>
      <w:sz w:val="20"/>
      <w:lang w:val="en-US"/>
    </w:rPr>
  </w:style>
  <w:style w:type="character" w:customStyle="1" w:styleId="LETTERPORT">
    <w:name w:val="LETTER PORT"/>
    <w:rPr>
      <w:rFonts w:ascii="Line Draw" w:hAnsi="Line Draw"/>
      <w:noProof w:val="0"/>
      <w:sz w:val="20"/>
      <w:lang w:val="en-US"/>
    </w:rPr>
  </w:style>
  <w:style w:type="character" w:customStyle="1" w:styleId="LEGALPORT">
    <w:name w:val="LEGAL PORT"/>
    <w:rPr>
      <w:rFonts w:ascii="Line Draw" w:hAnsi="Line Draw"/>
      <w:noProof w:val="0"/>
      <w:sz w:val="20"/>
      <w:lang w:val="en-US"/>
    </w:rPr>
  </w:style>
  <w:style w:type="character" w:customStyle="1" w:styleId="Title1">
    <w:name w:val="Title1"/>
    <w:rPr>
      <w:b/>
      <w:sz w:val="30"/>
    </w:rPr>
  </w:style>
  <w:style w:type="character" w:customStyle="1" w:styleId="Footer1">
    <w:name w:val="Footer1"/>
    <w:rPr>
      <w:rFonts w:ascii="Line Draw" w:hAnsi="Line Draw"/>
      <w:noProof w:val="0"/>
      <w:sz w:val="20"/>
      <w:lang w:val="en-US"/>
    </w:rPr>
  </w:style>
  <w:style w:type="character" w:customStyle="1" w:styleId="BLOCKQUOTE">
    <w:name w:val="BLOCK QUOTE"/>
    <w:basedOn w:val="DefaultParagraphFont"/>
  </w:style>
  <w:style w:type="character" w:customStyle="1" w:styleId="Heading31">
    <w:name w:val="Heading 31"/>
    <w:rPr>
      <w:rFonts w:ascii="Line Draw" w:hAnsi="Line Draw"/>
      <w:b/>
      <w:noProof w:val="0"/>
      <w:sz w:val="20"/>
      <w:lang w:val="en-US"/>
    </w:rPr>
  </w:style>
  <w:style w:type="character" w:customStyle="1" w:styleId="HIGHLIGHT2">
    <w:name w:val="HIGHLIGHT 2"/>
    <w:rPr>
      <w:rFonts w:ascii="Line Draw" w:hAnsi="Line Draw"/>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Line Draw" w:hAnsi="Line Draw"/>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Line Draw" w:hAnsi="Line Draw"/>
      <w:snapToGrid w:val="0"/>
    </w:rPr>
  </w:style>
  <w:style w:type="paragraph" w:customStyle="1" w:styleId="INVOICETOT">
    <w:name w:val="INVOICE TOT"/>
    <w:pPr>
      <w:widowControl w:val="0"/>
      <w:tabs>
        <w:tab w:val="left" w:pos="-6912"/>
        <w:tab w:val="left" w:pos="-5328"/>
        <w:tab w:val="decimal" w:pos="4104"/>
      </w:tabs>
      <w:suppressAutoHyphens/>
    </w:pPr>
    <w:rPr>
      <w:rFonts w:ascii="Line Draw" w:hAnsi="Line Draw"/>
      <w:snapToGrid w:val="0"/>
    </w:rPr>
  </w:style>
  <w:style w:type="character" w:customStyle="1" w:styleId="Normal1">
    <w:name w:val="Normal1"/>
    <w:rPr>
      <w:rFonts w:ascii="Line Draw" w:hAnsi="Line Draw"/>
      <w:noProof w:val="0"/>
      <w:sz w:val="20"/>
      <w:lang w:val="en-US"/>
    </w:rPr>
  </w:style>
  <w:style w:type="character" w:customStyle="1" w:styleId="SMALL">
    <w:name w:val="SMALL"/>
    <w:rPr>
      <w:rFonts w:ascii="Line Draw" w:hAnsi="Line Draw"/>
      <w:noProof w:val="0"/>
      <w:sz w:val="16"/>
      <w:lang w:val="en-US"/>
    </w:rPr>
  </w:style>
  <w:style w:type="character" w:customStyle="1" w:styleId="FINE">
    <w:name w:val="FINE"/>
    <w:rPr>
      <w:rFonts w:ascii="Line Draw" w:hAnsi="Line Draw"/>
      <w:noProof w:val="0"/>
      <w:sz w:val="12"/>
      <w:lang w:val="en-US"/>
    </w:rPr>
  </w:style>
  <w:style w:type="character" w:customStyle="1" w:styleId="LARGE">
    <w:name w:val="LARGE"/>
    <w:rPr>
      <w:rFonts w:ascii="Line Draw" w:hAnsi="Line Draw"/>
      <w:noProof w:val="0"/>
      <w:sz w:val="24"/>
      <w:lang w:val="en-US"/>
    </w:rPr>
  </w:style>
  <w:style w:type="character" w:customStyle="1" w:styleId="EXTRALARGE">
    <w:name w:val="EXTRA LARGE"/>
    <w:rPr>
      <w:rFonts w:ascii="Line Draw" w:hAnsi="Line Draw"/>
      <w:noProof w:val="0"/>
      <w:sz w:val="40"/>
      <w:lang w:val="en-US"/>
    </w:rPr>
  </w:style>
  <w:style w:type="character" w:customStyle="1" w:styleId="VERYLARGE">
    <w:name w:val="VERY LARGE"/>
    <w:rPr>
      <w:rFonts w:ascii="Line Draw" w:hAnsi="Line Draw"/>
      <w:noProof w:val="0"/>
      <w:sz w:val="30"/>
      <w:lang w:val="en-US"/>
    </w:rPr>
  </w:style>
  <w:style w:type="character" w:customStyle="1" w:styleId="A">
    <w:name w:val="A"/>
    <w:aliases w:val="B"/>
    <w:basedOn w:val="DefaultParagraphFont"/>
  </w:style>
  <w:style w:type="character" w:customStyle="1" w:styleId="EquationCaption1">
    <w:name w:val="_Equation Caption1"/>
    <w:basedOn w:val="DefaultParagraphFont"/>
  </w:style>
  <w:style w:type="character" w:customStyle="1" w:styleId="footnotetex">
    <w:name w:val="footnote tex"/>
    <w:rPr>
      <w:rFonts w:ascii="CG Times" w:hAnsi="CG Times"/>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blyremainsseveral">
    <w:name w:val="bly remains several"/>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Technical40">
    <w:name w:val="ÒÏTechnical 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paragraph" w:customStyle="1" w:styleId="T2">
    <w:name w:val="T 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character" w:customStyle="1" w:styleId="Cmw3022tmp">
    <w:name w:val="žƒC:/mw3022.tmp"/>
    <w:basedOn w:val="DefaultParagraphFont"/>
  </w:style>
  <w:style w:type="paragraph" w:customStyle="1" w:styleId="mw3022tmp">
    <w:name w:val=":/mw3022.tmp"/>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DOCSCOMPWHENa">
    <w:name w:val=":/DOCS/COMPWHEN/a"/>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a0">
    <w:name w:val="µ:µ"/>
    <w:pPr>
      <w:widowControl w:val="0"/>
      <w:tabs>
        <w:tab w:val="left" w:pos="720"/>
        <w:tab w:val="left" w:pos="1440"/>
        <w:tab w:val="left" w:leader="dot" w:pos="9000"/>
        <w:tab w:val="right" w:pos="9360"/>
      </w:tabs>
      <w:suppressAutoHyphens/>
    </w:pPr>
    <w:rPr>
      <w:rFonts w:ascii="Line Draw" w:hAnsi="Line Draw"/>
      <w:snapToGrid w:val="0"/>
    </w:rPr>
  </w:style>
  <w:style w:type="paragraph" w:customStyle="1" w:styleId="a1">
    <w:name w:val="µ"/>
    <w:pPr>
      <w:widowControl w:val="0"/>
      <w:tabs>
        <w:tab w:val="left" w:pos="720"/>
        <w:tab w:val="left" w:pos="1440"/>
        <w:tab w:val="left" w:pos="2160"/>
        <w:tab w:val="left" w:leader="dot" w:pos="9000"/>
        <w:tab w:val="right" w:pos="9360"/>
      </w:tabs>
      <w:suppressAutoHyphens/>
    </w:pPr>
    <w:rPr>
      <w:rFonts w:ascii="Line Draw" w:hAnsi="Line Draw"/>
      <w:snapToGrid w:val="0"/>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rFonts w:ascii="Line Draw" w:hAnsi="Line Draw"/>
      <w:snapToGrid w:val="0"/>
    </w:rPr>
  </w:style>
  <w:style w:type="paragraph" w:customStyle="1" w:styleId="w">
    <w:name w:val="w"/>
    <w:pPr>
      <w:widowControl w:val="0"/>
      <w:tabs>
        <w:tab w:val="left" w:pos="720"/>
        <w:tab w:val="left" w:pos="1440"/>
        <w:tab w:val="left" w:leader="dot" w:pos="9000"/>
        <w:tab w:val="right" w:pos="9360"/>
      </w:tabs>
      <w:suppressAutoHyphens/>
    </w:pPr>
    <w:rPr>
      <w:rFonts w:ascii="Line Draw" w:hAnsi="Line Draw"/>
      <w:snapToGrid w:val="0"/>
    </w:rPr>
  </w:style>
  <w:style w:type="character" w:customStyle="1" w:styleId="a2">
    <w:name w:val="µµa"/>
    <w:basedOn w:val="DefaultParagraphFont"/>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Line Draw" w:hAnsi="Line Draw"/>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Line Draw" w:hAnsi="Line Draw"/>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Line Draw" w:hAnsi="Line Draw"/>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Line Draw" w:hAnsi="Line Draw"/>
      <w:noProof w:val="0"/>
      <w:sz w:val="20"/>
      <w:lang w:val="en-US"/>
    </w:rPr>
  </w:style>
  <w:style w:type="character" w:customStyle="1" w:styleId="Technical30">
    <w:name w:val="Technical[3]"/>
    <w:rPr>
      <w:rFonts w:ascii="Line Draw" w:hAnsi="Line Draw"/>
      <w:noProof w:val="0"/>
      <w:sz w:val="20"/>
      <w:lang w:val="en-US"/>
    </w:rPr>
  </w:style>
  <w:style w:type="character" w:customStyle="1" w:styleId="Technical41">
    <w:name w:val="Technical[4]"/>
    <w:basedOn w:val="DefaultParagraphFont"/>
  </w:style>
  <w:style w:type="character" w:customStyle="1" w:styleId="Technical10">
    <w:name w:val="Technical[1]"/>
    <w:rPr>
      <w:rFonts w:ascii="Line Draw" w:hAnsi="Line Draw"/>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0"/>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Line Draw" w:hAnsi="Line Draw"/>
      <w:noProof w:val="0"/>
      <w:sz w:val="20"/>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Line Draw" w:hAnsi="Line Draw"/>
      <w:noProof w:val="0"/>
      <w:sz w:val="20"/>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Line Draw" w:hAnsi="Line Draw"/>
      <w:snapToGrid w:val="0"/>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Line Draw" w:hAnsi="Line Draw"/>
      <w:noProof w:val="0"/>
      <w:sz w:val="20"/>
      <w:lang w:val="en-US"/>
    </w:rPr>
  </w:style>
  <w:style w:type="character" w:customStyle="1" w:styleId="20a">
    <w:name w:val="20a"/>
    <w:rPr>
      <w:rFonts w:ascii="Line Draw" w:hAnsi="Line Draw"/>
      <w:noProof w:val="0"/>
      <w:sz w:val="20"/>
      <w:lang w:val="en-US"/>
    </w:rPr>
  </w:style>
  <w:style w:type="character" w:customStyle="1" w:styleId="21a">
    <w:name w:val="21a"/>
    <w:basedOn w:val="DefaultParagraphFont"/>
  </w:style>
  <w:style w:type="character" w:customStyle="1" w:styleId="22a">
    <w:name w:val="22a"/>
    <w:rPr>
      <w:rFonts w:ascii="Line Draw" w:hAnsi="Line Draw"/>
      <w:noProof w:val="0"/>
      <w:sz w:val="20"/>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Albertus Medium" w:hAnsi="Albertus Medium"/>
      <w:noProof w:val="0"/>
      <w:sz w:val="2"/>
      <w:vertAlign w:val="superscript"/>
      <w:lang w:val="en-US"/>
    </w:rPr>
  </w:style>
  <w:style w:type="character" w:customStyle="1" w:styleId="footnoteref">
    <w:name w:val="footnote ref"/>
    <w:rPr>
      <w:rFonts w:ascii="Albertus Medium" w:hAnsi="Albertus Medium"/>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pPr>
    <w:rPr>
      <w:rFonts w:ascii="Line Draw" w:hAnsi="Line Draw"/>
      <w:snapToGrid w:val="0"/>
      <w:sz w:val="30"/>
    </w:rPr>
  </w:style>
  <w:style w:type="paragraph" w:customStyle="1" w:styleId="ReportBody">
    <w:name w:val="Report Body"/>
    <w:pPr>
      <w:widowControl w:val="0"/>
      <w:tabs>
        <w:tab w:val="left" w:pos="-720"/>
      </w:tabs>
      <w:suppressAutoHyphens/>
      <w:spacing w:line="480" w:lineRule="auto"/>
    </w:pPr>
    <w:rPr>
      <w:rFonts w:ascii="Line Draw" w:hAnsi="Line Draw"/>
      <w:snapToGrid w:val="0"/>
    </w:rPr>
  </w:style>
  <w:style w:type="character" w:customStyle="1" w:styleId="TitleNotes">
    <w:name w:val="TitleNotes"/>
    <w:rPr>
      <w:rFonts w:ascii="CG Times" w:hAnsi="CG Times"/>
      <w:b/>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ind w:left="720"/>
    </w:pPr>
    <w:rPr>
      <w:rFonts w:ascii="Line Draw" w:hAnsi="Line Draw"/>
      <w:snapToGrid w:val="0"/>
    </w:rPr>
  </w:style>
  <w:style w:type="paragraph" w:customStyle="1" w:styleId="PageTitle">
    <w:name w:val="Page Title"/>
    <w:pPr>
      <w:widowControl w:val="0"/>
      <w:tabs>
        <w:tab w:val="left" w:pos="-720"/>
      </w:tabs>
      <w:suppressAutoHyphens/>
    </w:pPr>
    <w:rPr>
      <w:rFonts w:ascii="Line Draw" w:hAnsi="Line Draw"/>
      <w:snapToGrid w:val="0"/>
      <w:sz w:val="30"/>
    </w:rPr>
  </w:style>
  <w:style w:type="character" w:customStyle="1" w:styleId="paranum0">
    <w:name w:val="para num"/>
    <w:rPr>
      <w:rFonts w:ascii="Line Draw" w:hAnsi="Line Draw"/>
      <w:noProof w:val="0"/>
      <w:sz w:val="20"/>
      <w:lang w:val="en-US"/>
    </w:rPr>
  </w:style>
  <w:style w:type="character" w:customStyle="1" w:styleId="MACNormal">
    <w:name w:val="MACNormal"/>
    <w:rPr>
      <w:rFonts w:ascii="Line Draw" w:hAnsi="Line Draw"/>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Albertus Medium" w:hAnsi="Albertus Medium"/>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rFonts w:ascii="Albertus Medium" w:hAnsi="Albertus Medium"/>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Albertus Medium" w:hAnsi="Albertus Medium"/>
      <w:noProof w:val="0"/>
      <w:sz w:val="22"/>
      <w:lang w:val="en-US"/>
    </w:rPr>
  </w:style>
  <w:style w:type="character" w:customStyle="1" w:styleId="Style2">
    <w:name w:val="Style 2"/>
    <w:rPr>
      <w:rFonts w:ascii="Albertus Medium" w:hAnsi="Albertus Medium"/>
      <w:i/>
      <w:noProof w:val="0"/>
      <w:sz w:val="22"/>
      <w:lang w:val="en-US"/>
    </w:rPr>
  </w:style>
  <w:style w:type="character" w:customStyle="1" w:styleId="Style5">
    <w:name w:val="Style 5"/>
    <w:rPr>
      <w:rFonts w:ascii="Albertus Extra Bold" w:hAnsi="Albertus Extra Bold"/>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Albertus Medium" w:hAnsi="Albertus Medium"/>
      <w:noProof w:val="0"/>
      <w:sz w:val="27"/>
      <w:lang w:val="en-US"/>
    </w:rPr>
  </w:style>
  <w:style w:type="character" w:customStyle="1" w:styleId="33b">
    <w:name w:val="33b"/>
    <w:basedOn w:val="DefaultParagraphFont"/>
  </w:style>
  <w:style w:type="character" w:customStyle="1" w:styleId="34b">
    <w:name w:val="34b"/>
    <w:rPr>
      <w:b/>
      <w:i/>
      <w:sz w:val="20"/>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Line Draw" w:hAnsi="Line Draw"/>
      <w:noProof w:val="0"/>
      <w:sz w:val="20"/>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semiHidden/>
    <w:rsid w:val="00211C2B"/>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211C2B"/>
    <w:pPr>
      <w:tabs>
        <w:tab w:val="left" w:pos="720"/>
        <w:tab w:val="right" w:leader="dot" w:pos="9360"/>
      </w:tabs>
      <w:suppressAutoHyphens/>
      <w:ind w:left="720" w:right="720" w:hanging="360"/>
    </w:pPr>
    <w:rPr>
      <w:noProof/>
    </w:rPr>
  </w:style>
  <w:style w:type="paragraph" w:styleId="TOC3">
    <w:name w:val="toc 3"/>
    <w:basedOn w:val="Normal"/>
    <w:next w:val="Normal"/>
    <w:semiHidden/>
    <w:rsid w:val="00211C2B"/>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211C2B"/>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211C2B"/>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211C2B"/>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211C2B"/>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211C2B"/>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211C2B"/>
    <w:pPr>
      <w:tabs>
        <w:tab w:val="left" w:pos="3240"/>
        <w:tab w:val="right" w:leader="dot" w:pos="9360"/>
      </w:tabs>
      <w:suppressAutoHyphens/>
      <w:ind w:left="3240" w:hanging="360"/>
    </w:pPr>
    <w:rPr>
      <w:noProof/>
    </w:r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rsid w:val="00211C2B"/>
    <w:pPr>
      <w:tabs>
        <w:tab w:val="right" w:pos="9360"/>
      </w:tabs>
      <w:suppressAutoHyphens/>
    </w:pPr>
  </w:style>
  <w:style w:type="paragraph" w:styleId="Caption">
    <w:name w:val="caption"/>
    <w:basedOn w:val="Normal"/>
    <w:next w:val="Normal"/>
    <w:qFormat/>
    <w:rPr>
      <w:sz w:val="24"/>
    </w:rPr>
  </w:style>
  <w:style w:type="character" w:customStyle="1" w:styleId="EquationCaption2">
    <w:name w:val="_Equation Caption2"/>
  </w:style>
  <w:style w:type="paragraph" w:styleId="Footer">
    <w:name w:val="footer"/>
    <w:basedOn w:val="Normal"/>
    <w:link w:val="FooterChar"/>
    <w:rsid w:val="00211C2B"/>
    <w:pPr>
      <w:tabs>
        <w:tab w:val="center" w:pos="4320"/>
        <w:tab w:val="right" w:pos="8640"/>
      </w:tabs>
    </w:pPr>
  </w:style>
  <w:style w:type="character" w:styleId="PageNumber">
    <w:name w:val="page number"/>
    <w:basedOn w:val="DefaultParagraphFont"/>
    <w:rsid w:val="00211C2B"/>
  </w:style>
  <w:style w:type="paragraph" w:styleId="Header">
    <w:name w:val="header"/>
    <w:basedOn w:val="Normal"/>
    <w:autoRedefine/>
    <w:rsid w:val="00211C2B"/>
    <w:pPr>
      <w:tabs>
        <w:tab w:val="center" w:pos="4680"/>
        <w:tab w:val="right" w:pos="9360"/>
      </w:tabs>
    </w:pPr>
    <w:rPr>
      <w:b/>
    </w:rPr>
  </w:style>
  <w:style w:type="paragraph" w:styleId="BalloonText">
    <w:name w:val="Balloon Text"/>
    <w:basedOn w:val="Normal"/>
    <w:semiHidden/>
    <w:rsid w:val="00FB111C"/>
    <w:rPr>
      <w:rFonts w:ascii="Tahoma" w:hAnsi="Tahoma" w:cs="Tahoma"/>
      <w:sz w:val="16"/>
      <w:szCs w:val="16"/>
    </w:rPr>
  </w:style>
  <w:style w:type="paragraph" w:styleId="NormalWeb">
    <w:name w:val="Normal (Web)"/>
    <w:basedOn w:val="Normal"/>
    <w:rsid w:val="00DD5D04"/>
    <w:rPr>
      <w:sz w:val="24"/>
      <w:szCs w:val="24"/>
    </w:rPr>
  </w:style>
  <w:style w:type="character" w:customStyle="1" w:styleId="FootnoteTextChar1">
    <w:name w:val="Footnote Text Char1"/>
    <w:aliases w:val="Footnote Text Char Char,Footnote Text Char1 Char Char,Footnote Text Char Char Char Char,Footnote Text Char1 Char Char Char1 Char,Footnote Text Char Char Char Char Char1 Char,Footnote Text Char2 Char Char Char Char Char1 Char"/>
    <w:basedOn w:val="DefaultParagraphFont"/>
    <w:link w:val="FootnoteText"/>
    <w:rsid w:val="000B50DD"/>
  </w:style>
  <w:style w:type="character" w:customStyle="1" w:styleId="Heading2Char">
    <w:name w:val="Heading 2 Char"/>
    <w:basedOn w:val="DefaultParagraphFont"/>
    <w:link w:val="Heading2"/>
    <w:rsid w:val="00FC5711"/>
    <w:rPr>
      <w:b/>
      <w:snapToGrid w:val="0"/>
      <w:kern w:val="28"/>
      <w:sz w:val="22"/>
    </w:rPr>
  </w:style>
  <w:style w:type="character" w:customStyle="1" w:styleId="Heading3Char">
    <w:name w:val="Heading 3 Char"/>
    <w:basedOn w:val="DefaultParagraphFont"/>
    <w:link w:val="Heading3"/>
    <w:rsid w:val="00FC5711"/>
    <w:rPr>
      <w:b/>
      <w:snapToGrid w:val="0"/>
      <w:kern w:val="28"/>
      <w:sz w:val="22"/>
    </w:rPr>
  </w:style>
  <w:style w:type="character" w:customStyle="1" w:styleId="Heading9Char">
    <w:name w:val="Heading 9 Char"/>
    <w:basedOn w:val="DefaultParagraphFont"/>
    <w:link w:val="Heading9"/>
    <w:rsid w:val="00FC5711"/>
    <w:rPr>
      <w:b/>
      <w:snapToGrid w:val="0"/>
      <w:kern w:val="28"/>
      <w:sz w:val="22"/>
    </w:rPr>
  </w:style>
  <w:style w:type="paragraph" w:customStyle="1" w:styleId="ParaNum">
    <w:name w:val="ParaNum"/>
    <w:basedOn w:val="Normal"/>
    <w:link w:val="ParaNumChar"/>
    <w:rsid w:val="00211C2B"/>
    <w:pPr>
      <w:numPr>
        <w:numId w:val="3"/>
      </w:numPr>
      <w:tabs>
        <w:tab w:val="clear" w:pos="1080"/>
        <w:tab w:val="num" w:pos="1440"/>
      </w:tabs>
      <w:spacing w:after="120"/>
    </w:pPr>
  </w:style>
  <w:style w:type="paragraph" w:styleId="BlockText">
    <w:name w:val="Block Text"/>
    <w:basedOn w:val="Normal"/>
    <w:rsid w:val="00211C2B"/>
    <w:pPr>
      <w:spacing w:after="240"/>
      <w:ind w:left="1440" w:right="1440"/>
    </w:pPr>
  </w:style>
  <w:style w:type="paragraph" w:customStyle="1" w:styleId="Paratitle">
    <w:name w:val="Para title"/>
    <w:basedOn w:val="Normal"/>
    <w:rsid w:val="00211C2B"/>
    <w:pPr>
      <w:tabs>
        <w:tab w:val="center" w:pos="9270"/>
      </w:tabs>
      <w:spacing w:after="240"/>
    </w:pPr>
    <w:rPr>
      <w:spacing w:val="-2"/>
    </w:rPr>
  </w:style>
  <w:style w:type="paragraph" w:customStyle="1" w:styleId="Bullet">
    <w:name w:val="Bullet"/>
    <w:basedOn w:val="Normal"/>
    <w:rsid w:val="00211C2B"/>
    <w:pPr>
      <w:tabs>
        <w:tab w:val="left" w:pos="2160"/>
      </w:tabs>
      <w:spacing w:after="220"/>
      <w:ind w:left="2160" w:hanging="720"/>
    </w:pPr>
  </w:style>
  <w:style w:type="paragraph" w:customStyle="1" w:styleId="TableFormat">
    <w:name w:val="TableFormat"/>
    <w:basedOn w:val="Bullet"/>
    <w:rsid w:val="00211C2B"/>
    <w:pPr>
      <w:tabs>
        <w:tab w:val="clear" w:pos="2160"/>
        <w:tab w:val="left" w:pos="5040"/>
      </w:tabs>
      <w:ind w:left="5040" w:hanging="3600"/>
    </w:pPr>
  </w:style>
  <w:style w:type="paragraph" w:customStyle="1" w:styleId="TOCTitle">
    <w:name w:val="TOC Title"/>
    <w:basedOn w:val="Normal"/>
    <w:rsid w:val="00211C2B"/>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211C2B"/>
    <w:pPr>
      <w:jc w:val="center"/>
    </w:pPr>
    <w:rPr>
      <w:rFonts w:ascii="Times New Roman Bold" w:hAnsi="Times New Roman Bold"/>
      <w:b/>
      <w:bCs/>
      <w:caps/>
      <w:szCs w:val="22"/>
    </w:rPr>
  </w:style>
  <w:style w:type="character" w:styleId="Hyperlink">
    <w:name w:val="Hyperlink"/>
    <w:rsid w:val="00211C2B"/>
    <w:rPr>
      <w:color w:val="0000FF"/>
      <w:u w:val="single"/>
    </w:rPr>
  </w:style>
  <w:style w:type="character" w:customStyle="1" w:styleId="ParaNumChar">
    <w:name w:val="ParaNum Char"/>
    <w:link w:val="ParaNum"/>
    <w:rsid w:val="00FC5711"/>
    <w:rPr>
      <w:snapToGrid w:val="0"/>
      <w:kern w:val="28"/>
      <w:sz w:val="22"/>
    </w:rPr>
  </w:style>
  <w:style w:type="character" w:customStyle="1" w:styleId="ParaNumChar1">
    <w:name w:val="ParaNum Char1"/>
    <w:rsid w:val="00423C65"/>
    <w:rPr>
      <w:sz w:val="24"/>
      <w:lang w:val="en-US" w:eastAsia="en-US" w:bidi="ar-SA"/>
    </w:rPr>
  </w:style>
  <w:style w:type="character" w:styleId="CommentReference">
    <w:name w:val="annotation reference"/>
    <w:basedOn w:val="DefaultParagraphFont"/>
    <w:rsid w:val="00423C65"/>
    <w:rPr>
      <w:sz w:val="16"/>
      <w:szCs w:val="16"/>
    </w:rPr>
  </w:style>
  <w:style w:type="paragraph" w:styleId="CommentText">
    <w:name w:val="annotation text"/>
    <w:basedOn w:val="Normal"/>
    <w:link w:val="CommentTextChar"/>
    <w:rsid w:val="00423C65"/>
    <w:pPr>
      <w:widowControl/>
    </w:pPr>
    <w:rPr>
      <w:snapToGrid/>
      <w:kern w:val="0"/>
      <w:sz w:val="20"/>
    </w:rPr>
  </w:style>
  <w:style w:type="character" w:customStyle="1" w:styleId="CommentTextChar">
    <w:name w:val="Comment Text Char"/>
    <w:basedOn w:val="DefaultParagraphFont"/>
    <w:link w:val="CommentText"/>
    <w:rsid w:val="00423C65"/>
  </w:style>
  <w:style w:type="paragraph" w:styleId="ListParagraph">
    <w:name w:val="List Paragraph"/>
    <w:basedOn w:val="Normal"/>
    <w:uiPriority w:val="34"/>
    <w:qFormat/>
    <w:rsid w:val="00F22350"/>
    <w:pPr>
      <w:ind w:left="720"/>
      <w:contextualSpacing/>
    </w:pPr>
  </w:style>
  <w:style w:type="paragraph" w:styleId="CommentSubject">
    <w:name w:val="annotation subject"/>
    <w:basedOn w:val="CommentText"/>
    <w:next w:val="CommentText"/>
    <w:link w:val="CommentSubjectChar"/>
    <w:rsid w:val="002B4567"/>
    <w:pPr>
      <w:widowControl w:val="0"/>
    </w:pPr>
    <w:rPr>
      <w:b/>
      <w:bCs/>
      <w:snapToGrid w:val="0"/>
      <w:kern w:val="28"/>
    </w:rPr>
  </w:style>
  <w:style w:type="character" w:customStyle="1" w:styleId="CommentSubjectChar">
    <w:name w:val="Comment Subject Char"/>
    <w:basedOn w:val="CommentTextChar"/>
    <w:link w:val="CommentSubject"/>
    <w:rsid w:val="002B4567"/>
    <w:rPr>
      <w:b/>
      <w:bCs/>
      <w:snapToGrid w:val="0"/>
      <w:kern w:val="28"/>
    </w:rPr>
  </w:style>
  <w:style w:type="table" w:styleId="TableGrid">
    <w:name w:val="Table Grid"/>
    <w:basedOn w:val="TableNormal"/>
    <w:uiPriority w:val="59"/>
    <w:rsid w:val="00386C0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6C0C"/>
    <w:rPr>
      <w:snapToGrid w:val="0"/>
      <w:kern w:val="28"/>
      <w:sz w:val="22"/>
    </w:rPr>
  </w:style>
  <w:style w:type="character" w:customStyle="1" w:styleId="FooterChar">
    <w:name w:val="Footer Char"/>
    <w:basedOn w:val="DefaultParagraphFont"/>
    <w:link w:val="Footer"/>
    <w:rsid w:val="005234D5"/>
    <w:rPr>
      <w:snapToGrid w:val="0"/>
      <w:kern w:val="28"/>
      <w:sz w:val="22"/>
    </w:rPr>
  </w:style>
  <w:style w:type="character" w:customStyle="1" w:styleId="FootnoteTextChar2">
    <w:name w:val="Footnote Text Char2"/>
    <w:aliases w:val="Footnote Text Char1 Char1,Footnote Text Char1 Char Char Char,Footnote Text Char Char Char Char Char,Footnote Text Char1 Char Char Char Char Char,Footnote Text Char Char Char Char Char Char Char"/>
    <w:rsid w:val="001D60AA"/>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cc.gov/cgb/ecf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A4452-D63C-4FA7-8865-BB41BEEF8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TOC by Paragraph.dot</Template>
  <TotalTime>0</TotalTime>
  <Pages>15</Pages>
  <Words>4915</Words>
  <Characters>28021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32871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Market Mod - Section 76.59</dc:subject>
  <dc:creator>ecb</dc:creator>
  <cp:lastModifiedBy>Danielle Williams</cp:lastModifiedBy>
  <cp:revision>2</cp:revision>
  <cp:lastPrinted>2015-10-15T12:31:00Z</cp:lastPrinted>
  <dcterms:created xsi:type="dcterms:W3CDTF">2015-12-30T15:24:00Z</dcterms:created>
  <dcterms:modified xsi:type="dcterms:W3CDTF">2015-12-30T15:24:00Z</dcterms:modified>
</cp:coreProperties>
</file>