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10F0" w14:textId="77777777" w:rsidR="00FD408C" w:rsidRDefault="00FD408C" w:rsidP="00EC4566">
      <w:pPr>
        <w:jc w:val="center"/>
      </w:pPr>
    </w:p>
    <w:p w14:paraId="04F40DEE" w14:textId="77777777" w:rsidR="007A0A4C" w:rsidRPr="00D50521" w:rsidRDefault="007A0A4C" w:rsidP="00EC4566">
      <w:pPr>
        <w:jc w:val="center"/>
        <w:rPr>
          <w:b/>
        </w:rPr>
      </w:pPr>
      <w:r w:rsidRPr="00D50521">
        <w:rPr>
          <w:b/>
        </w:rPr>
        <w:t>SUPPORTING STATEMENT</w:t>
      </w:r>
    </w:p>
    <w:p w14:paraId="21C725D9" w14:textId="77777777" w:rsidR="00EC4566" w:rsidRDefault="00EC4566" w:rsidP="00EC4566">
      <w:pPr>
        <w:jc w:val="center"/>
      </w:pPr>
    </w:p>
    <w:p w14:paraId="7003CD1F" w14:textId="6915E8E6" w:rsidR="00EC4566" w:rsidRDefault="00EC4566" w:rsidP="00EC4566">
      <w:r>
        <w:t xml:space="preserve">The Commission is seeking Office of Management and Budget (OMB) approval for an extension </w:t>
      </w:r>
      <w:r w:rsidR="004865C2">
        <w:t xml:space="preserve">of the information collection requirements contained in this collection. </w:t>
      </w:r>
    </w:p>
    <w:p w14:paraId="5CE10F8D" w14:textId="77777777" w:rsidR="00EC4566" w:rsidRDefault="00EC4566" w:rsidP="00EC4566">
      <w:pPr>
        <w:jc w:val="center"/>
      </w:pPr>
    </w:p>
    <w:p w14:paraId="411E86A3" w14:textId="77777777" w:rsidR="007A0A4C" w:rsidRPr="00CF2E18" w:rsidRDefault="00EC4566" w:rsidP="00EC4566">
      <w:pPr>
        <w:pStyle w:val="Heading1"/>
        <w:numPr>
          <w:ilvl w:val="0"/>
          <w:numId w:val="14"/>
        </w:numPr>
        <w:rPr>
          <w:u w:val="single"/>
        </w:rPr>
      </w:pPr>
      <w:r>
        <w:rPr>
          <w:u w:val="single"/>
        </w:rPr>
        <w:t xml:space="preserve"> </w:t>
      </w:r>
      <w:r w:rsidR="007A0A4C" w:rsidRPr="00CF2E18">
        <w:rPr>
          <w:u w:val="single"/>
        </w:rPr>
        <w:t>Justification</w:t>
      </w:r>
      <w:r w:rsidR="00CF2E18">
        <w:rPr>
          <w:u w:val="single"/>
        </w:rPr>
        <w:t>:</w:t>
      </w:r>
    </w:p>
    <w:p w14:paraId="4B200311" w14:textId="77777777" w:rsidR="007A0A4C" w:rsidRDefault="007A0A4C">
      <w:pPr>
        <w:rPr>
          <w:b/>
        </w:rPr>
      </w:pPr>
    </w:p>
    <w:p w14:paraId="26227393" w14:textId="77777777" w:rsidR="007A0A4C" w:rsidRDefault="007A0A4C" w:rsidP="00B1560F">
      <w:pPr>
        <w:ind w:left="360" w:hanging="360"/>
        <w:jc w:val="both"/>
        <w:rPr>
          <w:bCs/>
        </w:rPr>
      </w:pPr>
      <w:r>
        <w:rPr>
          <w:bCs/>
        </w:rPr>
        <w:t xml:space="preserve">1. </w:t>
      </w:r>
      <w:r>
        <w:rPr>
          <w:bCs/>
        </w:rPr>
        <w:tab/>
        <w:t xml:space="preserve">Section 214 of the Communications Act of 1934, as amended, 47 U.S.C. § 214, requires that a carrier must first obtain FCC authorization either to (1) construct, operate, or engage in transmission over a line of communication, or (2) discontinue, reduce, or impair service over a line of communication. </w:t>
      </w:r>
      <w:r w:rsidR="002A554A">
        <w:rPr>
          <w:bCs/>
        </w:rPr>
        <w:t xml:space="preserve"> </w:t>
      </w:r>
      <w:r>
        <w:rPr>
          <w:bCs/>
        </w:rPr>
        <w:t>Part 63 of Title 47 of the C.F.R. implements Section 214.  Par</w:t>
      </w:r>
      <w:r w:rsidR="00CA663D">
        <w:rPr>
          <w:bCs/>
        </w:rPr>
        <w:t>t</w:t>
      </w:r>
      <w:r>
        <w:rPr>
          <w:bCs/>
        </w:rPr>
        <w:t xml:space="preserve"> 63 also implements provisions of the Cable Communications Policy Act of 1984 pertaining to video approved under OMB control number 3060-0149.  See Attachment A for information collection requirements for which continued clearance is requested.</w:t>
      </w:r>
    </w:p>
    <w:p w14:paraId="12B8A46C" w14:textId="77777777" w:rsidR="007A0A4C" w:rsidRDefault="007A0A4C">
      <w:pPr>
        <w:ind w:left="1080"/>
        <w:jc w:val="both"/>
        <w:rPr>
          <w:bCs/>
        </w:rPr>
      </w:pPr>
    </w:p>
    <w:p w14:paraId="50888ACA" w14:textId="77777777" w:rsidR="000C4BAB" w:rsidRDefault="00A536FE" w:rsidP="00B1560F">
      <w:pPr>
        <w:ind w:left="360"/>
        <w:jc w:val="both"/>
        <w:rPr>
          <w:bCs/>
        </w:rPr>
      </w:pPr>
      <w:r w:rsidRPr="00A536FE">
        <w:rPr>
          <w:b/>
          <w:bCs/>
          <w:i/>
          <w:u w:val="single"/>
        </w:rPr>
        <w:t>Background:</w:t>
      </w:r>
      <w:r w:rsidRPr="00B209FC">
        <w:rPr>
          <w:bCs/>
        </w:rPr>
        <w:t xml:space="preserve">  </w:t>
      </w:r>
      <w:r w:rsidR="007A0A4C">
        <w:rPr>
          <w:bCs/>
        </w:rPr>
        <w:t xml:space="preserve">In the </w:t>
      </w:r>
      <w:r w:rsidR="007A0A4C" w:rsidRPr="00A536FE">
        <w:rPr>
          <w:bCs/>
          <w:i/>
        </w:rPr>
        <w:t>Report and Order</w:t>
      </w:r>
      <w:r w:rsidR="007A0A4C">
        <w:rPr>
          <w:bCs/>
        </w:rPr>
        <w:t xml:space="preserve"> for </w:t>
      </w:r>
      <w:r w:rsidR="007A0A4C" w:rsidRPr="00A536FE">
        <w:rPr>
          <w:bCs/>
          <w:iCs/>
        </w:rPr>
        <w:t xml:space="preserve">Implementation of Section 402(b)(2)(A) of the Telecommunications Act of 1996 </w:t>
      </w:r>
      <w:r w:rsidR="007A0A4C">
        <w:rPr>
          <w:bCs/>
        </w:rPr>
        <w:t>(</w:t>
      </w:r>
      <w:r w:rsidR="008B26DC">
        <w:rPr>
          <w:bCs/>
        </w:rPr>
        <w:t>“</w:t>
      </w:r>
      <w:r w:rsidR="007A0A4C">
        <w:rPr>
          <w:bCs/>
        </w:rPr>
        <w:t>214 Streamlining Order</w:t>
      </w:r>
      <w:r w:rsidR="008B26DC">
        <w:rPr>
          <w:bCs/>
        </w:rPr>
        <w:t>”</w:t>
      </w:r>
      <w:r w:rsidR="007A0A4C">
        <w:rPr>
          <w:bCs/>
        </w:rPr>
        <w:t>), released on June 30, 1999, the Commission modified Part 63 to eliminate information submission requirements entirely for some categories of communications carriers and to reduce the submission requirements for other categories.  Among other things, carrier filing requirements in the following area</w:t>
      </w:r>
      <w:r w:rsidR="00B209FC">
        <w:rPr>
          <w:bCs/>
        </w:rPr>
        <w:t>s</w:t>
      </w:r>
      <w:r w:rsidR="007A0A4C">
        <w:rPr>
          <w:bCs/>
        </w:rPr>
        <w:t xml:space="preserve"> were either reduced, altered, or entirely eliminated: </w:t>
      </w:r>
    </w:p>
    <w:p w14:paraId="21415322" w14:textId="77777777" w:rsidR="000C4BAB" w:rsidRDefault="000C4BAB" w:rsidP="00B1560F">
      <w:pPr>
        <w:ind w:left="360"/>
        <w:jc w:val="both"/>
        <w:rPr>
          <w:bCs/>
        </w:rPr>
      </w:pPr>
    </w:p>
    <w:p w14:paraId="621EFA78" w14:textId="77777777" w:rsidR="000C4BAB" w:rsidRDefault="007A0A4C" w:rsidP="000C4BAB">
      <w:pPr>
        <w:ind w:left="720" w:hanging="360"/>
        <w:jc w:val="both"/>
        <w:rPr>
          <w:bCs/>
        </w:rPr>
      </w:pPr>
      <w:r>
        <w:rPr>
          <w:bCs/>
        </w:rPr>
        <w:t xml:space="preserve">(1) entry certification for common carriers; </w:t>
      </w:r>
    </w:p>
    <w:p w14:paraId="597BB37F" w14:textId="77777777" w:rsidR="000C4BAB" w:rsidRDefault="000C4BAB" w:rsidP="000C4BAB">
      <w:pPr>
        <w:ind w:left="720" w:hanging="360"/>
        <w:jc w:val="both"/>
        <w:rPr>
          <w:bCs/>
        </w:rPr>
      </w:pPr>
    </w:p>
    <w:p w14:paraId="79A1EA2C" w14:textId="77777777" w:rsidR="000C4BAB" w:rsidRDefault="007A0A4C" w:rsidP="000C4BAB">
      <w:pPr>
        <w:ind w:left="720" w:hanging="360"/>
        <w:jc w:val="both"/>
        <w:rPr>
          <w:bCs/>
        </w:rPr>
      </w:pPr>
      <w:r>
        <w:rPr>
          <w:bCs/>
        </w:rPr>
        <w:t xml:space="preserve">(2) applications for line extensions; </w:t>
      </w:r>
    </w:p>
    <w:p w14:paraId="53A18E6C" w14:textId="77777777" w:rsidR="000C4BAB" w:rsidRDefault="000C4BAB" w:rsidP="000C4BAB">
      <w:pPr>
        <w:ind w:left="720" w:hanging="360"/>
        <w:jc w:val="both"/>
        <w:rPr>
          <w:bCs/>
        </w:rPr>
      </w:pPr>
    </w:p>
    <w:p w14:paraId="77E1A98F" w14:textId="77777777" w:rsidR="000C4BAB" w:rsidRDefault="007A0A4C" w:rsidP="000C4BAB">
      <w:pPr>
        <w:ind w:left="720" w:hanging="360"/>
        <w:jc w:val="both"/>
        <w:rPr>
          <w:bCs/>
        </w:rPr>
      </w:pPr>
      <w:r>
        <w:rPr>
          <w:bCs/>
        </w:rPr>
        <w:t xml:space="preserve">(3) reports identifying proposed small projects; </w:t>
      </w:r>
    </w:p>
    <w:p w14:paraId="2732DB78" w14:textId="77777777" w:rsidR="000C4BAB" w:rsidRDefault="000C4BAB" w:rsidP="000C4BAB">
      <w:pPr>
        <w:ind w:left="720" w:hanging="360"/>
        <w:jc w:val="both"/>
        <w:rPr>
          <w:bCs/>
        </w:rPr>
      </w:pPr>
    </w:p>
    <w:p w14:paraId="651A62A2" w14:textId="77777777" w:rsidR="000C4BAB" w:rsidRDefault="007A0A4C" w:rsidP="000C4BAB">
      <w:pPr>
        <w:ind w:left="720" w:hanging="360"/>
        <w:jc w:val="both"/>
        <w:rPr>
          <w:bCs/>
        </w:rPr>
      </w:pPr>
      <w:r>
        <w:rPr>
          <w:bCs/>
        </w:rPr>
        <w:t xml:space="preserve">(4) applications for new lines; and </w:t>
      </w:r>
    </w:p>
    <w:p w14:paraId="4046CB1A" w14:textId="77777777" w:rsidR="000C4BAB" w:rsidRDefault="000C4BAB" w:rsidP="000C4BAB">
      <w:pPr>
        <w:ind w:left="720" w:hanging="360"/>
        <w:jc w:val="both"/>
        <w:rPr>
          <w:bCs/>
        </w:rPr>
      </w:pPr>
    </w:p>
    <w:p w14:paraId="76EA6DA6" w14:textId="77777777" w:rsidR="000C4BAB" w:rsidRDefault="007A0A4C" w:rsidP="000C4BAB">
      <w:pPr>
        <w:ind w:left="720" w:hanging="360"/>
        <w:jc w:val="both"/>
        <w:rPr>
          <w:bCs/>
        </w:rPr>
      </w:pPr>
      <w:r>
        <w:rPr>
          <w:bCs/>
        </w:rPr>
        <w:t>(5) applications for exit f</w:t>
      </w:r>
      <w:r w:rsidR="00CA663D">
        <w:rPr>
          <w:bCs/>
        </w:rPr>
        <w:t>rom</w:t>
      </w:r>
      <w:r>
        <w:rPr>
          <w:bCs/>
        </w:rPr>
        <w:t xml:space="preserve"> the market.  </w:t>
      </w:r>
    </w:p>
    <w:p w14:paraId="1A7D64E8" w14:textId="77777777" w:rsidR="000C4BAB" w:rsidRDefault="000C4BAB" w:rsidP="000C4BAB">
      <w:pPr>
        <w:ind w:left="720" w:hanging="360"/>
        <w:jc w:val="both"/>
        <w:rPr>
          <w:bCs/>
        </w:rPr>
      </w:pPr>
    </w:p>
    <w:p w14:paraId="5794C576" w14:textId="77777777" w:rsidR="003127BA" w:rsidRDefault="007A0A4C" w:rsidP="00B1560F">
      <w:pPr>
        <w:ind w:left="360"/>
        <w:jc w:val="both"/>
        <w:rPr>
          <w:bCs/>
        </w:rPr>
      </w:pPr>
      <w:r>
        <w:rPr>
          <w:bCs/>
        </w:rPr>
        <w:t>By making th</w:t>
      </w:r>
      <w:r w:rsidR="00A536FE">
        <w:rPr>
          <w:bCs/>
        </w:rPr>
        <w:t>ose</w:t>
      </w:r>
      <w:r>
        <w:rPr>
          <w:bCs/>
        </w:rPr>
        <w:t xml:space="preserve"> revisions, the Commission substantially reduced the amount of time carriers had to spend in order to fully comply with Part 63’s requirements.  </w:t>
      </w:r>
    </w:p>
    <w:p w14:paraId="01682E04" w14:textId="77777777" w:rsidR="003127BA" w:rsidRDefault="003127BA" w:rsidP="00B1560F">
      <w:pPr>
        <w:ind w:left="360"/>
        <w:jc w:val="both"/>
        <w:rPr>
          <w:bCs/>
        </w:rPr>
      </w:pPr>
    </w:p>
    <w:p w14:paraId="14BA0362" w14:textId="77777777" w:rsidR="007A0A4C" w:rsidRDefault="007C6D75" w:rsidP="00B1560F">
      <w:pPr>
        <w:ind w:left="360"/>
        <w:jc w:val="both"/>
        <w:rPr>
          <w:bCs/>
        </w:rPr>
      </w:pPr>
      <w:r>
        <w:rPr>
          <w:bCs/>
        </w:rPr>
        <w:t xml:space="preserve">On April 30, 1997 and on January 15, 1999, the Commission announced OMB approval of </w:t>
      </w:r>
      <w:r w:rsidR="007A0A4C">
        <w:rPr>
          <w:bCs/>
        </w:rPr>
        <w:t>the NPRM that proposed these revisions.  Many of the proposals contained in the NPRM approved by OMB were adopted in the 214 Streamlining Order.</w:t>
      </w:r>
    </w:p>
    <w:p w14:paraId="3F20755C" w14:textId="77777777" w:rsidR="007A0A4C" w:rsidRDefault="007A0A4C">
      <w:pPr>
        <w:jc w:val="both"/>
        <w:rPr>
          <w:bCs/>
        </w:rPr>
      </w:pPr>
    </w:p>
    <w:p w14:paraId="5B431696" w14:textId="77777777" w:rsidR="007A0A4C" w:rsidRDefault="007A0A4C" w:rsidP="00B1560F">
      <w:pPr>
        <w:ind w:left="360"/>
        <w:jc w:val="both"/>
        <w:rPr>
          <w:bCs/>
        </w:rPr>
      </w:pPr>
      <w:r>
        <w:rPr>
          <w:bCs/>
        </w:rPr>
        <w:t xml:space="preserve">In the 214 Streamlining Order, the Commission eliminated the </w:t>
      </w:r>
      <w:r w:rsidR="00CA663D">
        <w:rPr>
          <w:bCs/>
        </w:rPr>
        <w:t xml:space="preserve">entry </w:t>
      </w:r>
      <w:r>
        <w:rPr>
          <w:bCs/>
        </w:rPr>
        <w:t xml:space="preserve">certifications requirement for carriers for </w:t>
      </w:r>
      <w:r w:rsidR="00CA663D">
        <w:rPr>
          <w:bCs/>
        </w:rPr>
        <w:t xml:space="preserve">a </w:t>
      </w:r>
      <w:r>
        <w:rPr>
          <w:bCs/>
        </w:rPr>
        <w:t>number of reasons.  Among those reasons, the Commission believed that eliminating the requirement would promote competition as contemplated by the Telecommunications Act of 1996 (</w:t>
      </w:r>
      <w:r w:rsidR="00444F45">
        <w:rPr>
          <w:bCs/>
        </w:rPr>
        <w:t xml:space="preserve">1996 </w:t>
      </w:r>
      <w:r>
        <w:rPr>
          <w:bCs/>
        </w:rPr>
        <w:t xml:space="preserve">Act).  Moreover, experience during that period showed that virtually all applications were being processed without any opposition being filed.  </w:t>
      </w:r>
      <w:r>
        <w:rPr>
          <w:bCs/>
        </w:rPr>
        <w:lastRenderedPageBreak/>
        <w:t xml:space="preserve">The Commission also entirely eliminated the requirement for line extensions because Congress exempted such “extensions’ from the requirements of 47 U.S.C. 214, under Section 402(b)(2)(A) of the </w:t>
      </w:r>
      <w:r w:rsidR="00444F45">
        <w:rPr>
          <w:bCs/>
        </w:rPr>
        <w:t xml:space="preserve">1996 </w:t>
      </w:r>
      <w:r>
        <w:rPr>
          <w:bCs/>
        </w:rPr>
        <w:t xml:space="preserve">Act.  Furthermore, the Commission eliminated </w:t>
      </w:r>
      <w:r w:rsidR="00CA663D">
        <w:rPr>
          <w:bCs/>
        </w:rPr>
        <w:t xml:space="preserve">certain rules containing </w:t>
      </w:r>
      <w:r w:rsidR="00B209FC">
        <w:rPr>
          <w:bCs/>
        </w:rPr>
        <w:t xml:space="preserve">special procedures and </w:t>
      </w:r>
      <w:r>
        <w:rPr>
          <w:bCs/>
        </w:rPr>
        <w:t xml:space="preserve">reporting requirements </w:t>
      </w:r>
      <w:r w:rsidR="00CA663D">
        <w:rPr>
          <w:bCs/>
        </w:rPr>
        <w:t xml:space="preserve">for </w:t>
      </w:r>
      <w:r w:rsidR="00B209FC">
        <w:rPr>
          <w:bCs/>
        </w:rPr>
        <w:t>specific situations including temporary or emergency service</w:t>
      </w:r>
      <w:r>
        <w:rPr>
          <w:bCs/>
        </w:rPr>
        <w:t xml:space="preserve"> and carriers proposing small projects</w:t>
      </w:r>
      <w:r w:rsidR="00A25384">
        <w:rPr>
          <w:bCs/>
        </w:rPr>
        <w:t xml:space="preserve">.  The Commission noted that </w:t>
      </w:r>
      <w:r>
        <w:rPr>
          <w:bCs/>
        </w:rPr>
        <w:t xml:space="preserve">Congress </w:t>
      </w:r>
      <w:r w:rsidR="00A870D6">
        <w:rPr>
          <w:bCs/>
        </w:rPr>
        <w:t xml:space="preserve">originally </w:t>
      </w:r>
      <w:r>
        <w:rPr>
          <w:bCs/>
        </w:rPr>
        <w:t xml:space="preserve">enacted </w:t>
      </w:r>
      <w:r w:rsidR="00CA663D">
        <w:rPr>
          <w:bCs/>
        </w:rPr>
        <w:t xml:space="preserve">the </w:t>
      </w:r>
      <w:r>
        <w:rPr>
          <w:bCs/>
        </w:rPr>
        <w:t xml:space="preserve">section 214 </w:t>
      </w:r>
      <w:r w:rsidR="00CA663D">
        <w:rPr>
          <w:bCs/>
        </w:rPr>
        <w:t xml:space="preserve">entry certification requirements </w:t>
      </w:r>
      <w:r>
        <w:rPr>
          <w:bCs/>
        </w:rPr>
        <w:t>to prevent unnecessary duplication of facilities that could result in increased rates being imposed on captive telephone ratepayers</w:t>
      </w:r>
      <w:r w:rsidR="00CA663D">
        <w:rPr>
          <w:bCs/>
        </w:rPr>
        <w:t xml:space="preserve">, </w:t>
      </w:r>
      <w:r w:rsidR="00A25384">
        <w:rPr>
          <w:bCs/>
        </w:rPr>
        <w:t>but</w:t>
      </w:r>
      <w:r w:rsidR="00CA663D">
        <w:rPr>
          <w:bCs/>
        </w:rPr>
        <w:t xml:space="preserve"> t</w:t>
      </w:r>
      <w:r>
        <w:rPr>
          <w:bCs/>
        </w:rPr>
        <w:t xml:space="preserve">he Commission </w:t>
      </w:r>
      <w:r w:rsidR="00A25384">
        <w:rPr>
          <w:bCs/>
        </w:rPr>
        <w:t xml:space="preserve">did not find </w:t>
      </w:r>
      <w:r>
        <w:rPr>
          <w:bCs/>
        </w:rPr>
        <w:t xml:space="preserve">that these carriers </w:t>
      </w:r>
      <w:r w:rsidR="00A25384">
        <w:rPr>
          <w:bCs/>
        </w:rPr>
        <w:t xml:space="preserve">would </w:t>
      </w:r>
      <w:r w:rsidR="00A870D6">
        <w:rPr>
          <w:bCs/>
        </w:rPr>
        <w:t xml:space="preserve">presently </w:t>
      </w:r>
      <w:r w:rsidR="00A25384">
        <w:rPr>
          <w:bCs/>
        </w:rPr>
        <w:t xml:space="preserve">be </w:t>
      </w:r>
      <w:r>
        <w:rPr>
          <w:bCs/>
        </w:rPr>
        <w:t>likely to construct, operate, or acquire duplicative facilities</w:t>
      </w:r>
      <w:r w:rsidR="00A25384">
        <w:rPr>
          <w:bCs/>
        </w:rPr>
        <w:t>, and instead concluded that a grant of blanket entry authority would help to promote competition</w:t>
      </w:r>
      <w:r w:rsidR="002A2288">
        <w:rPr>
          <w:bCs/>
        </w:rPr>
        <w:t xml:space="preserve"> and accomplish </w:t>
      </w:r>
      <w:r w:rsidR="00DE06DA">
        <w:rPr>
          <w:bCs/>
        </w:rPr>
        <w:t xml:space="preserve">the deregulatory goals that </w:t>
      </w:r>
      <w:r w:rsidR="002A2288">
        <w:rPr>
          <w:bCs/>
        </w:rPr>
        <w:t>Congress</w:t>
      </w:r>
      <w:r w:rsidR="00DE06DA">
        <w:rPr>
          <w:bCs/>
        </w:rPr>
        <w:t xml:space="preserve"> addressed in the 1996 Act</w:t>
      </w:r>
      <w:r>
        <w:rPr>
          <w:bCs/>
        </w:rPr>
        <w:t>.</w:t>
      </w:r>
    </w:p>
    <w:p w14:paraId="37C657A7" w14:textId="77777777" w:rsidR="007A0A4C" w:rsidRDefault="007A0A4C" w:rsidP="00B1560F">
      <w:pPr>
        <w:ind w:left="360"/>
        <w:jc w:val="both"/>
        <w:rPr>
          <w:bCs/>
        </w:rPr>
      </w:pPr>
    </w:p>
    <w:p w14:paraId="4F1D6F5E" w14:textId="77777777" w:rsidR="00C12B10" w:rsidRDefault="007A0A4C" w:rsidP="00B1560F">
      <w:pPr>
        <w:ind w:left="360"/>
        <w:jc w:val="both"/>
        <w:rPr>
          <w:bCs/>
        </w:rPr>
      </w:pPr>
      <w:r>
        <w:rPr>
          <w:bCs/>
        </w:rPr>
        <w:t xml:space="preserve">The last area that the Commission revised in the 214 Streamlining Order was carrier exit procedures, as required by section 214.  The Commission </w:t>
      </w:r>
      <w:r w:rsidR="00E95680">
        <w:rPr>
          <w:bCs/>
        </w:rPr>
        <w:t xml:space="preserve">wanted </w:t>
      </w:r>
      <w:r>
        <w:rPr>
          <w:bCs/>
        </w:rPr>
        <w:t>to eliminate unnecessary barriers to carriers exit</w:t>
      </w:r>
      <w:r w:rsidR="00E95680">
        <w:rPr>
          <w:bCs/>
        </w:rPr>
        <w:t>ing</w:t>
      </w:r>
      <w:r>
        <w:rPr>
          <w:bCs/>
        </w:rPr>
        <w:t xml:space="preserve"> the market</w:t>
      </w:r>
      <w:r w:rsidR="00E95680">
        <w:rPr>
          <w:bCs/>
        </w:rPr>
        <w:t xml:space="preserve"> so it significantly streamlined this process</w:t>
      </w:r>
      <w:r>
        <w:rPr>
          <w:bCs/>
        </w:rPr>
        <w:t xml:space="preserve">.  Prior to </w:t>
      </w:r>
      <w:r w:rsidR="00E95680">
        <w:rPr>
          <w:bCs/>
        </w:rPr>
        <w:t>streamlining</w:t>
      </w:r>
      <w:r>
        <w:rPr>
          <w:bCs/>
        </w:rPr>
        <w:t xml:space="preserve">, the Commission </w:t>
      </w:r>
      <w:r w:rsidR="00E95680">
        <w:rPr>
          <w:bCs/>
        </w:rPr>
        <w:t xml:space="preserve">used to </w:t>
      </w:r>
      <w:r>
        <w:rPr>
          <w:bCs/>
        </w:rPr>
        <w:t xml:space="preserve">grant discontinuance authority to requesting dominant carriers on a case-by-case basis </w:t>
      </w:r>
      <w:r w:rsidR="007A11F8">
        <w:rPr>
          <w:bCs/>
        </w:rPr>
        <w:t>and the applications of non-dominant carriers could be granted automatically</w:t>
      </w:r>
      <w:r>
        <w:rPr>
          <w:bCs/>
        </w:rPr>
        <w:t>.  The revisions create</w:t>
      </w:r>
      <w:r w:rsidR="00C12B10">
        <w:rPr>
          <w:bCs/>
        </w:rPr>
        <w:t>d</w:t>
      </w:r>
      <w:r>
        <w:rPr>
          <w:bCs/>
        </w:rPr>
        <w:t xml:space="preserve"> a streamline</w:t>
      </w:r>
      <w:r w:rsidR="007A11F8">
        <w:rPr>
          <w:bCs/>
        </w:rPr>
        <w:t>d</w:t>
      </w:r>
      <w:r>
        <w:rPr>
          <w:bCs/>
        </w:rPr>
        <w:t xml:space="preserve"> process that </w:t>
      </w:r>
      <w:r w:rsidR="00C12B10">
        <w:rPr>
          <w:bCs/>
        </w:rPr>
        <w:t xml:space="preserve">would </w:t>
      </w:r>
      <w:r>
        <w:rPr>
          <w:bCs/>
        </w:rPr>
        <w:t>allow</w:t>
      </w:r>
      <w:r w:rsidR="00C12B10">
        <w:rPr>
          <w:bCs/>
        </w:rPr>
        <w:t xml:space="preserve"> </w:t>
      </w:r>
      <w:r>
        <w:rPr>
          <w:bCs/>
        </w:rPr>
        <w:t xml:space="preserve">carriers’ affected customers to object to the proposed discontinuance, and, in the absence of </w:t>
      </w:r>
      <w:r w:rsidR="007A11F8">
        <w:rPr>
          <w:bCs/>
        </w:rPr>
        <w:t>sufficient grounds for denial</w:t>
      </w:r>
      <w:r>
        <w:rPr>
          <w:bCs/>
        </w:rPr>
        <w:t xml:space="preserve">, </w:t>
      </w:r>
      <w:r w:rsidR="00C12B10">
        <w:rPr>
          <w:bCs/>
        </w:rPr>
        <w:t xml:space="preserve">would allow </w:t>
      </w:r>
      <w:r>
        <w:rPr>
          <w:bCs/>
        </w:rPr>
        <w:t>an application to discontinue service to be automatically granted thirty-one (31) days after the Commission releas</w:t>
      </w:r>
      <w:r w:rsidR="00C12B10">
        <w:rPr>
          <w:bCs/>
        </w:rPr>
        <w:t>ed</w:t>
      </w:r>
      <w:r>
        <w:rPr>
          <w:bCs/>
        </w:rPr>
        <w:t xml:space="preserve"> public notice of the application</w:t>
      </w:r>
      <w:r w:rsidR="007A11F8">
        <w:rPr>
          <w:bCs/>
        </w:rPr>
        <w:t xml:space="preserve"> for non-dominant carriers, and sixty (60) days afterwards for dominant carriers</w:t>
      </w:r>
      <w:r>
        <w:rPr>
          <w:bCs/>
        </w:rPr>
        <w:t>.</w:t>
      </w:r>
    </w:p>
    <w:p w14:paraId="374650DA" w14:textId="77777777" w:rsidR="00C12B10" w:rsidRDefault="00C12B10" w:rsidP="00B1560F">
      <w:pPr>
        <w:ind w:left="360"/>
        <w:jc w:val="both"/>
        <w:rPr>
          <w:bCs/>
        </w:rPr>
      </w:pPr>
    </w:p>
    <w:p w14:paraId="1F987DA9" w14:textId="77777777" w:rsidR="007A0A4C" w:rsidRDefault="007A11F8" w:rsidP="00B1560F">
      <w:pPr>
        <w:ind w:left="360"/>
        <w:jc w:val="both"/>
        <w:rPr>
          <w:bCs/>
        </w:rPr>
      </w:pPr>
      <w:r>
        <w:rPr>
          <w:bCs/>
        </w:rPr>
        <w:t xml:space="preserve">Grounds for denial include if </w:t>
      </w:r>
      <w:r w:rsidR="007A0A4C">
        <w:rPr>
          <w:bCs/>
        </w:rPr>
        <w:t xml:space="preserve">customers or other end users would be unable to receive service or a reasonable substitute from another carrier, or </w:t>
      </w:r>
      <w:r>
        <w:rPr>
          <w:bCs/>
        </w:rPr>
        <w:t>if</w:t>
      </w:r>
      <w:r w:rsidR="007A0A4C">
        <w:rPr>
          <w:bCs/>
        </w:rPr>
        <w:t xml:space="preserve"> the public convenience and necessity would be otherwise adversely affected</w:t>
      </w:r>
      <w:r w:rsidR="00E95680">
        <w:rPr>
          <w:bCs/>
        </w:rPr>
        <w:t>.  B</w:t>
      </w:r>
      <w:r>
        <w:rPr>
          <w:bCs/>
        </w:rPr>
        <w:t>ut even in the face of filed objections the application may be granted automatically unless the Commission finds sufficient grounds for denial and notifies the applicant</w:t>
      </w:r>
      <w:r w:rsidR="007A0A4C">
        <w:rPr>
          <w:bCs/>
        </w:rPr>
        <w:t>.</w:t>
      </w:r>
    </w:p>
    <w:p w14:paraId="3819744B" w14:textId="77777777" w:rsidR="00444F45" w:rsidRDefault="00444F45" w:rsidP="00B1560F">
      <w:pPr>
        <w:ind w:left="360"/>
        <w:jc w:val="both"/>
        <w:rPr>
          <w:bCs/>
        </w:rPr>
      </w:pPr>
    </w:p>
    <w:p w14:paraId="438F280E" w14:textId="77777777" w:rsidR="00444F45" w:rsidRDefault="00E95680" w:rsidP="00B1560F">
      <w:pPr>
        <w:ind w:left="360"/>
        <w:jc w:val="both"/>
        <w:rPr>
          <w:bCs/>
        </w:rPr>
      </w:pPr>
      <w:r>
        <w:rPr>
          <w:bCs/>
        </w:rPr>
        <w:t>T</w:t>
      </w:r>
      <w:r w:rsidR="00A536FE">
        <w:rPr>
          <w:bCs/>
        </w:rPr>
        <w:t xml:space="preserve">he Commission </w:t>
      </w:r>
      <w:r>
        <w:rPr>
          <w:bCs/>
        </w:rPr>
        <w:t>revised</w:t>
      </w:r>
      <w:r w:rsidR="00A536FE">
        <w:rPr>
          <w:bCs/>
        </w:rPr>
        <w:t xml:space="preserve"> this information collection</w:t>
      </w:r>
      <w:r w:rsidR="00444F45">
        <w:rPr>
          <w:bCs/>
        </w:rPr>
        <w:t xml:space="preserve"> </w:t>
      </w:r>
      <w:r>
        <w:rPr>
          <w:bCs/>
        </w:rPr>
        <w:t xml:space="preserve">based on modifications made to </w:t>
      </w:r>
      <w:r w:rsidR="00444F45">
        <w:rPr>
          <w:bCs/>
        </w:rPr>
        <w:t xml:space="preserve">Part 63 </w:t>
      </w:r>
      <w:r>
        <w:rPr>
          <w:bCs/>
        </w:rPr>
        <w:t xml:space="preserve">in FCC 09-40, WC Docket No. 04-36, released on May 13, 2009.  In that Order, the Commission extended </w:t>
      </w:r>
      <w:r w:rsidR="00444F45">
        <w:t xml:space="preserve">to providers of interconnected </w:t>
      </w:r>
      <w:r w:rsidR="00C629A7">
        <w:t>Voice over Internet Protocol (VoIP)</w:t>
      </w:r>
      <w:r w:rsidR="00444F45">
        <w:t xml:space="preserve"> service the discontinuance obligations that apply to domestic non-dominant telecommunications carriers under </w:t>
      </w:r>
      <w:r w:rsidR="00444F45" w:rsidRPr="003A1C7B">
        <w:t>Section</w:t>
      </w:r>
      <w:r w:rsidR="00444F45">
        <w:t xml:space="preserve"> 214 of the Communications Act of 1934, as amended.  Accordingly, the Commission found that before an interconnected VoIP provider may discontinue, reduce, or impair service, it must comply with the streamlined discontinuance requirements </w:t>
      </w:r>
      <w:r w:rsidR="00C629A7">
        <w:t xml:space="preserve">for non-dominant providers </w:t>
      </w:r>
      <w:r w:rsidR="00444F45">
        <w:t xml:space="preserve">under Part 63 of the Commission’s rules, including the requirements to provide written notice to all affected customers, notify relevant state authorities, and file an application </w:t>
      </w:r>
      <w:r w:rsidR="00C629A7">
        <w:t xml:space="preserve">with the Commission </w:t>
      </w:r>
      <w:r w:rsidR="00444F45">
        <w:t>for authorization of the planned action.</w:t>
      </w:r>
      <w:r w:rsidR="00346034">
        <w:t xml:space="preserve">  </w:t>
      </w:r>
      <w:r w:rsidR="00444F45">
        <w:rPr>
          <w:szCs w:val="24"/>
        </w:rPr>
        <w:t>I</w:t>
      </w:r>
      <w:r w:rsidR="00444F45" w:rsidRPr="00321303">
        <w:rPr>
          <w:szCs w:val="24"/>
        </w:rPr>
        <w:t>n general, providers of facilities-based interconnected VoIP services and “over-the-top” interconnected VoIP services are subject to the rules in th</w:t>
      </w:r>
      <w:r w:rsidR="00C629A7">
        <w:rPr>
          <w:szCs w:val="24"/>
        </w:rPr>
        <w:t xml:space="preserve">e VoIP Discontinuance </w:t>
      </w:r>
      <w:r w:rsidR="00444F45" w:rsidRPr="00321303">
        <w:rPr>
          <w:szCs w:val="24"/>
        </w:rPr>
        <w:t xml:space="preserve">Order.  </w:t>
      </w:r>
      <w:r w:rsidR="00444F45">
        <w:rPr>
          <w:szCs w:val="24"/>
        </w:rPr>
        <w:t xml:space="preserve">However, </w:t>
      </w:r>
      <w:r w:rsidR="00346034">
        <w:rPr>
          <w:szCs w:val="24"/>
        </w:rPr>
        <w:t xml:space="preserve">the Commission found that </w:t>
      </w:r>
      <w:r w:rsidR="00444F45" w:rsidRPr="00321303">
        <w:rPr>
          <w:szCs w:val="24"/>
        </w:rPr>
        <w:t>it ma</w:t>
      </w:r>
      <w:r w:rsidR="00346034">
        <w:rPr>
          <w:szCs w:val="24"/>
        </w:rPr>
        <w:t>de</w:t>
      </w:r>
      <w:r w:rsidR="00444F45" w:rsidRPr="00321303">
        <w:rPr>
          <w:szCs w:val="24"/>
        </w:rPr>
        <w:t xml:space="preserve"> more sense to treat providers of interconnected VoIP services that are mobile</w:t>
      </w:r>
      <w:r w:rsidR="00444F45">
        <w:rPr>
          <w:szCs w:val="24"/>
        </w:rPr>
        <w:t xml:space="preserve"> in</w:t>
      </w:r>
      <w:r w:rsidR="00444F45" w:rsidRPr="00321303">
        <w:rPr>
          <w:szCs w:val="24"/>
        </w:rPr>
        <w:t xml:space="preserve"> the same way </w:t>
      </w:r>
      <w:r w:rsidR="00444F45">
        <w:rPr>
          <w:szCs w:val="24"/>
        </w:rPr>
        <w:t>as</w:t>
      </w:r>
      <w:r w:rsidR="00444F45" w:rsidRPr="00321303">
        <w:rPr>
          <w:szCs w:val="24"/>
        </w:rPr>
        <w:t xml:space="preserve"> C</w:t>
      </w:r>
      <w:r w:rsidR="00A536FE">
        <w:rPr>
          <w:szCs w:val="24"/>
        </w:rPr>
        <w:t xml:space="preserve">ommercial </w:t>
      </w:r>
      <w:r w:rsidR="00444F45" w:rsidRPr="00321303">
        <w:rPr>
          <w:szCs w:val="24"/>
        </w:rPr>
        <w:t>M</w:t>
      </w:r>
      <w:r w:rsidR="00A536FE">
        <w:rPr>
          <w:szCs w:val="24"/>
        </w:rPr>
        <w:t xml:space="preserve">obile </w:t>
      </w:r>
      <w:r w:rsidR="00444F45" w:rsidRPr="00321303">
        <w:rPr>
          <w:szCs w:val="24"/>
        </w:rPr>
        <w:t>R</w:t>
      </w:r>
      <w:r w:rsidR="00A536FE">
        <w:rPr>
          <w:szCs w:val="24"/>
        </w:rPr>
        <w:t xml:space="preserve">adio </w:t>
      </w:r>
      <w:r w:rsidR="00444F45" w:rsidRPr="00321303">
        <w:rPr>
          <w:szCs w:val="24"/>
        </w:rPr>
        <w:t>S</w:t>
      </w:r>
      <w:r w:rsidR="00A536FE">
        <w:rPr>
          <w:szCs w:val="24"/>
        </w:rPr>
        <w:t>ervice (CMRS)</w:t>
      </w:r>
      <w:r w:rsidR="00444F45" w:rsidRPr="00321303">
        <w:rPr>
          <w:szCs w:val="24"/>
        </w:rPr>
        <w:t xml:space="preserve"> providers, which are not subject to the Commission’s </w:t>
      </w:r>
      <w:r w:rsidR="00444F45" w:rsidRPr="003A1C7B">
        <w:rPr>
          <w:szCs w:val="24"/>
        </w:rPr>
        <w:t>Section</w:t>
      </w:r>
      <w:r w:rsidR="00444F45" w:rsidRPr="00321303">
        <w:rPr>
          <w:szCs w:val="24"/>
        </w:rPr>
        <w:t xml:space="preserve"> 214 discontinuance obligations.</w:t>
      </w:r>
    </w:p>
    <w:p w14:paraId="66006D83" w14:textId="77777777" w:rsidR="007A0A4C" w:rsidRDefault="007A0A4C" w:rsidP="00B1560F">
      <w:pPr>
        <w:ind w:left="360"/>
        <w:jc w:val="both"/>
        <w:rPr>
          <w:bCs/>
        </w:rPr>
      </w:pPr>
    </w:p>
    <w:p w14:paraId="61103C5E" w14:textId="77777777" w:rsidR="00532563" w:rsidRDefault="00532563" w:rsidP="00B1560F">
      <w:pPr>
        <w:ind w:left="360"/>
        <w:jc w:val="both"/>
        <w:rPr>
          <w:bCs/>
        </w:rPr>
      </w:pPr>
    </w:p>
    <w:p w14:paraId="46E8DF95" w14:textId="1F0F3DA5" w:rsidR="00532563" w:rsidRDefault="00532563" w:rsidP="00B1560F">
      <w:pPr>
        <w:ind w:left="360"/>
        <w:jc w:val="both"/>
        <w:rPr>
          <w:bCs/>
        </w:rPr>
      </w:pPr>
      <w:r>
        <w:rPr>
          <w:bCs/>
        </w:rPr>
        <w:t xml:space="preserve">This information collection does not affect individuals or households; thus, there are no impacts under the Privacy Act.  </w:t>
      </w:r>
    </w:p>
    <w:p w14:paraId="6ED62427" w14:textId="77777777" w:rsidR="00532563" w:rsidRDefault="00532563" w:rsidP="00B1560F">
      <w:pPr>
        <w:ind w:left="360"/>
        <w:jc w:val="both"/>
        <w:rPr>
          <w:bCs/>
        </w:rPr>
      </w:pPr>
    </w:p>
    <w:p w14:paraId="39761EEB" w14:textId="77777777" w:rsidR="004B743F" w:rsidRDefault="004B743F" w:rsidP="00B1560F">
      <w:pPr>
        <w:ind w:left="360"/>
        <w:jc w:val="both"/>
        <w:rPr>
          <w:bCs/>
        </w:rPr>
      </w:pPr>
      <w:r>
        <w:rPr>
          <w:bCs/>
        </w:rPr>
        <w:t xml:space="preserve">The statutory authority for this collection of information is contained in sections 47 U.S.C. </w:t>
      </w:r>
      <w:r w:rsidR="002B3B9F">
        <w:rPr>
          <w:bCs/>
        </w:rPr>
        <w:t xml:space="preserve">sections </w:t>
      </w:r>
      <w:r>
        <w:rPr>
          <w:bCs/>
        </w:rPr>
        <w:t xml:space="preserve">151, </w:t>
      </w:r>
      <w:r w:rsidR="00EE3C60">
        <w:rPr>
          <w:bCs/>
        </w:rPr>
        <w:t xml:space="preserve">154(i), </w:t>
      </w:r>
      <w:r>
        <w:rPr>
          <w:bCs/>
        </w:rPr>
        <w:t xml:space="preserve">154(j), 160, </w:t>
      </w:r>
      <w:r w:rsidR="003A4B14">
        <w:rPr>
          <w:bCs/>
        </w:rPr>
        <w:t xml:space="preserve">161, </w:t>
      </w:r>
      <w:r>
        <w:rPr>
          <w:bCs/>
        </w:rPr>
        <w:t xml:space="preserve">201-205, 214, 218, 403, </w:t>
      </w:r>
      <w:r w:rsidR="002B3B9F">
        <w:rPr>
          <w:bCs/>
        </w:rPr>
        <w:t xml:space="preserve">and </w:t>
      </w:r>
      <w:r>
        <w:rPr>
          <w:bCs/>
        </w:rPr>
        <w:t>571.</w:t>
      </w:r>
    </w:p>
    <w:p w14:paraId="038CFF88" w14:textId="77777777" w:rsidR="004B743F" w:rsidRDefault="004B743F" w:rsidP="00B1560F">
      <w:pPr>
        <w:ind w:left="360"/>
        <w:jc w:val="both"/>
        <w:rPr>
          <w:bCs/>
        </w:rPr>
      </w:pPr>
      <w:r>
        <w:rPr>
          <w:bCs/>
        </w:rPr>
        <w:t xml:space="preserve">  </w:t>
      </w:r>
    </w:p>
    <w:p w14:paraId="5333B5EF" w14:textId="3249C630" w:rsidR="007A0A4C" w:rsidRDefault="007A0A4C" w:rsidP="00E466C0">
      <w:pPr>
        <w:pStyle w:val="BodyText"/>
        <w:ind w:left="360" w:hanging="360"/>
      </w:pPr>
      <w:r>
        <w:t>2.</w:t>
      </w:r>
      <w:r w:rsidR="00E466C0">
        <w:t xml:space="preserve">  </w:t>
      </w:r>
      <w:r>
        <w:t xml:space="preserve">The Commission will use the information to determine if affected respondents are in compliance with its rules and the requirements of Section 214 of the Communications Act of 1934, as amended.  </w:t>
      </w:r>
    </w:p>
    <w:p w14:paraId="01D76E24" w14:textId="77777777" w:rsidR="007A0A4C" w:rsidRDefault="007A0A4C">
      <w:pPr>
        <w:pStyle w:val="BodyText"/>
      </w:pPr>
    </w:p>
    <w:p w14:paraId="40A9062A" w14:textId="77777777" w:rsidR="007A0A4C" w:rsidRDefault="007A0A4C" w:rsidP="00B1560F">
      <w:pPr>
        <w:pStyle w:val="BodyText"/>
        <w:ind w:left="360" w:hanging="360"/>
      </w:pPr>
      <w:r>
        <w:t>3.  In an effort to reduce any burden created by these information collections, the Commission will permit all respondents to file responses using automated, electronic, mechanical or other technological collection techniques where feasible.</w:t>
      </w:r>
    </w:p>
    <w:p w14:paraId="2F5E3DBF" w14:textId="77777777" w:rsidR="007A0A4C" w:rsidRDefault="007A0A4C" w:rsidP="00B1560F">
      <w:pPr>
        <w:ind w:left="360" w:hanging="360"/>
        <w:jc w:val="both"/>
        <w:rPr>
          <w:bCs/>
        </w:rPr>
      </w:pPr>
    </w:p>
    <w:p w14:paraId="4D73939D" w14:textId="77777777" w:rsidR="002D07B8" w:rsidRDefault="007A0A4C" w:rsidP="00B1560F">
      <w:pPr>
        <w:pStyle w:val="BodyText"/>
        <w:ind w:left="360" w:hanging="360"/>
      </w:pPr>
      <w:r>
        <w:t xml:space="preserve">4.  The Commission sought to eliminate </w:t>
      </w:r>
      <w:r w:rsidR="00B24D68">
        <w:t xml:space="preserve">certain unnecessary </w:t>
      </w:r>
      <w:r>
        <w:t xml:space="preserve">filing requirements in the </w:t>
      </w:r>
      <w:r w:rsidR="00B24D68">
        <w:t xml:space="preserve">NPRM, and in the </w:t>
      </w:r>
      <w:r>
        <w:t xml:space="preserve">214 Streamlining Order the Commission </w:t>
      </w:r>
      <w:r w:rsidR="00D74204">
        <w:t>followed up by revising</w:t>
      </w:r>
      <w:r>
        <w:t xml:space="preserve"> Section 63.01 </w:t>
      </w:r>
      <w:r w:rsidR="00D74204">
        <w:t>to remove the requirements to file certain information including</w:t>
      </w:r>
      <w:r>
        <w:t xml:space="preserve">: </w:t>
      </w:r>
    </w:p>
    <w:p w14:paraId="65F2D5F5" w14:textId="77777777" w:rsidR="002D07B8" w:rsidRDefault="002D07B8" w:rsidP="00B1560F">
      <w:pPr>
        <w:pStyle w:val="BodyText"/>
        <w:ind w:left="360" w:hanging="360"/>
      </w:pPr>
    </w:p>
    <w:p w14:paraId="300715BC" w14:textId="77777777" w:rsidR="002D07B8" w:rsidRDefault="007A0A4C" w:rsidP="004D3C79">
      <w:pPr>
        <w:pStyle w:val="BodyText"/>
        <w:ind w:left="720" w:hanging="360"/>
      </w:pPr>
      <w:r>
        <w:t xml:space="preserve">(a) whether the carrier is or will become a carrier subject to Section 214 of the Communications Act; </w:t>
      </w:r>
    </w:p>
    <w:p w14:paraId="1AD99F32" w14:textId="77777777" w:rsidR="002D07B8" w:rsidRDefault="002D07B8" w:rsidP="004D3C79">
      <w:pPr>
        <w:pStyle w:val="BodyText"/>
        <w:ind w:left="720" w:hanging="360"/>
      </w:pPr>
    </w:p>
    <w:p w14:paraId="29BD0919" w14:textId="77777777" w:rsidR="002D07B8" w:rsidRDefault="007A0A4C" w:rsidP="004D3C79">
      <w:pPr>
        <w:pStyle w:val="BodyText"/>
        <w:ind w:left="720" w:hanging="360"/>
      </w:pPr>
      <w:r>
        <w:t xml:space="preserve">(b) whether the facilities will be used to extend communication services into territory at present not directly serviced by the applicant or to supplement existing facilities of the applicant; </w:t>
      </w:r>
    </w:p>
    <w:p w14:paraId="5412C5F1" w14:textId="77777777" w:rsidR="002D07B8" w:rsidRDefault="002D07B8" w:rsidP="004D3C79">
      <w:pPr>
        <w:pStyle w:val="BodyText"/>
        <w:ind w:left="720" w:hanging="360"/>
      </w:pPr>
    </w:p>
    <w:p w14:paraId="6F40A1CA" w14:textId="77777777" w:rsidR="002D07B8" w:rsidRDefault="007A0A4C" w:rsidP="004D3C79">
      <w:pPr>
        <w:pStyle w:val="BodyText"/>
        <w:ind w:left="720" w:hanging="360"/>
      </w:pPr>
      <w:r>
        <w:t xml:space="preserve">(c) </w:t>
      </w:r>
      <w:r w:rsidR="008D647D">
        <w:t xml:space="preserve"> </w:t>
      </w:r>
      <w:r>
        <w:t xml:space="preserve">the types of services to be provided over the proposed facilities; </w:t>
      </w:r>
    </w:p>
    <w:p w14:paraId="1D8BAA29" w14:textId="77777777" w:rsidR="002D07B8" w:rsidRDefault="002D07B8" w:rsidP="004D3C79">
      <w:pPr>
        <w:pStyle w:val="BodyText"/>
        <w:ind w:left="720" w:hanging="360"/>
      </w:pPr>
    </w:p>
    <w:p w14:paraId="120BB067" w14:textId="77777777" w:rsidR="002D07B8" w:rsidRDefault="007A0A4C" w:rsidP="004D3C79">
      <w:pPr>
        <w:pStyle w:val="BodyText"/>
        <w:ind w:left="720" w:hanging="360"/>
      </w:pPr>
      <w:r>
        <w:t>(d)</w:t>
      </w:r>
      <w:r w:rsidR="008D647D">
        <w:t xml:space="preserve"> </w:t>
      </w:r>
      <w:r>
        <w:t xml:space="preserve"> the applicant’s present and estimated future facilities requirements; </w:t>
      </w:r>
    </w:p>
    <w:p w14:paraId="657B1A29" w14:textId="77777777" w:rsidR="002D07B8" w:rsidRDefault="002D07B8" w:rsidP="004D3C79">
      <w:pPr>
        <w:pStyle w:val="BodyText"/>
        <w:ind w:left="720" w:hanging="360"/>
      </w:pPr>
    </w:p>
    <w:p w14:paraId="3EA78052" w14:textId="77777777" w:rsidR="002D07B8" w:rsidRDefault="007A0A4C" w:rsidP="004D3C79">
      <w:pPr>
        <w:pStyle w:val="BodyText"/>
        <w:ind w:left="720" w:hanging="360"/>
      </w:pPr>
      <w:r>
        <w:t xml:space="preserve">(e) the map or sketch showing the proposed facilities; </w:t>
      </w:r>
    </w:p>
    <w:p w14:paraId="3AF29312" w14:textId="77777777" w:rsidR="002D07B8" w:rsidRDefault="002D07B8" w:rsidP="004D3C79">
      <w:pPr>
        <w:pStyle w:val="BodyText"/>
        <w:ind w:left="720" w:hanging="360"/>
      </w:pPr>
    </w:p>
    <w:p w14:paraId="0700E5BF" w14:textId="77777777" w:rsidR="002D07B8" w:rsidRDefault="007A0A4C" w:rsidP="004D3C79">
      <w:pPr>
        <w:pStyle w:val="BodyText"/>
        <w:ind w:left="720" w:hanging="360"/>
      </w:pPr>
      <w:r>
        <w:t>(f) a</w:t>
      </w:r>
      <w:r w:rsidR="008D647D">
        <w:t xml:space="preserve"> </w:t>
      </w:r>
      <w:r>
        <w:t xml:space="preserve">description of the manner and means by which other interstate and foreign communications services of a similar character are now being rendered by the applicant and others in the area to be served by the proposed facilities; </w:t>
      </w:r>
    </w:p>
    <w:p w14:paraId="487A7972" w14:textId="77777777" w:rsidR="002D07B8" w:rsidRDefault="002D07B8" w:rsidP="004D3C79">
      <w:pPr>
        <w:pStyle w:val="BodyText"/>
        <w:ind w:left="720" w:hanging="360"/>
      </w:pPr>
    </w:p>
    <w:p w14:paraId="1D91F8F0" w14:textId="77777777" w:rsidR="002D07B8" w:rsidRDefault="007A0A4C" w:rsidP="004D3C79">
      <w:pPr>
        <w:pStyle w:val="BodyText"/>
        <w:ind w:left="720" w:hanging="360"/>
      </w:pPr>
      <w:r>
        <w:t xml:space="preserve">(g) </w:t>
      </w:r>
      <w:r w:rsidR="00F158A7">
        <w:t xml:space="preserve"> </w:t>
      </w:r>
      <w:r>
        <w:t xml:space="preserve">proposed tariff charges and regulations for domestic applications; </w:t>
      </w:r>
      <w:r w:rsidR="00264D06">
        <w:t>and</w:t>
      </w:r>
      <w:r>
        <w:t xml:space="preserve"> </w:t>
      </w:r>
    </w:p>
    <w:p w14:paraId="0407BF98" w14:textId="77777777" w:rsidR="002D07B8" w:rsidRDefault="002D07B8" w:rsidP="004D3C79">
      <w:pPr>
        <w:pStyle w:val="BodyText"/>
        <w:ind w:left="720" w:hanging="360"/>
      </w:pPr>
    </w:p>
    <w:p w14:paraId="384DEABC" w14:textId="77777777" w:rsidR="002D07B8" w:rsidRDefault="007A0A4C" w:rsidP="004D3C79">
      <w:pPr>
        <w:pStyle w:val="BodyText"/>
        <w:ind w:left="720" w:hanging="360"/>
      </w:pPr>
      <w:r>
        <w:t xml:space="preserve">(h) a statement of the accounting proposed to be performed in connection with the project. </w:t>
      </w:r>
    </w:p>
    <w:p w14:paraId="2032F0D6" w14:textId="77777777" w:rsidR="002D07B8" w:rsidRDefault="002D07B8" w:rsidP="00B1560F">
      <w:pPr>
        <w:pStyle w:val="BodyText"/>
        <w:ind w:left="360" w:hanging="360"/>
      </w:pPr>
    </w:p>
    <w:p w14:paraId="5D4E009B" w14:textId="77777777" w:rsidR="007A0A4C" w:rsidRDefault="007A0A4C" w:rsidP="004D3C79">
      <w:pPr>
        <w:pStyle w:val="BodyText"/>
        <w:ind w:left="360"/>
      </w:pPr>
      <w:r>
        <w:t xml:space="preserve">The Commission concluded </w:t>
      </w:r>
      <w:r w:rsidR="00C3690E">
        <w:t xml:space="preserve">in the NPRM </w:t>
      </w:r>
      <w:r>
        <w:t>that all of this information is either collected elsewhere by the Commission, unnecessary, confusing in light of the provisions of Section 402(b)(2)(A), or no longer significant.</w:t>
      </w:r>
    </w:p>
    <w:p w14:paraId="147A235C" w14:textId="77777777" w:rsidR="007A0A4C" w:rsidRDefault="007A0A4C" w:rsidP="00B1560F">
      <w:pPr>
        <w:pStyle w:val="BodyText"/>
        <w:ind w:left="360" w:hanging="360"/>
      </w:pPr>
    </w:p>
    <w:p w14:paraId="2CAB4D3A" w14:textId="77777777" w:rsidR="007A0A4C" w:rsidRDefault="007A0A4C" w:rsidP="00B1560F">
      <w:pPr>
        <w:pStyle w:val="BodyText"/>
        <w:ind w:left="360" w:hanging="360"/>
      </w:pPr>
      <w:r>
        <w:t>5.  The Commission designed the rules to minimize the burden on all carriers regardless of size.</w:t>
      </w:r>
    </w:p>
    <w:p w14:paraId="42BE6484" w14:textId="77777777" w:rsidR="007A0A4C" w:rsidRDefault="007A0A4C" w:rsidP="00B1560F">
      <w:pPr>
        <w:ind w:left="360" w:hanging="360"/>
        <w:jc w:val="both"/>
        <w:rPr>
          <w:bCs/>
        </w:rPr>
      </w:pPr>
    </w:p>
    <w:p w14:paraId="1D22E982" w14:textId="77777777" w:rsidR="007A0A4C" w:rsidRDefault="007A0A4C" w:rsidP="00B1560F">
      <w:pPr>
        <w:pStyle w:val="BodyText"/>
        <w:ind w:left="360" w:hanging="360"/>
      </w:pPr>
      <w:r>
        <w:lastRenderedPageBreak/>
        <w:t xml:space="preserve">6.  </w:t>
      </w:r>
      <w:r w:rsidR="00A57336">
        <w:t>T</w:t>
      </w:r>
      <w:r>
        <w:t xml:space="preserve">he rules </w:t>
      </w:r>
      <w:r w:rsidR="00A57336">
        <w:t xml:space="preserve">adopted pursuant to the </w:t>
      </w:r>
      <w:r w:rsidR="00A57336">
        <w:rPr>
          <w:bCs w:val="0"/>
        </w:rPr>
        <w:t>214 Streamlining Order</w:t>
      </w:r>
      <w:r w:rsidR="00A57336">
        <w:t xml:space="preserve"> </w:t>
      </w:r>
      <w:r>
        <w:t>eliminate</w:t>
      </w:r>
      <w:r w:rsidR="00A57336">
        <w:t>d</w:t>
      </w:r>
      <w:r>
        <w:t xml:space="preserve"> and/or reduce</w:t>
      </w:r>
      <w:r w:rsidR="00A57336">
        <w:t>d</w:t>
      </w:r>
      <w:r>
        <w:t xml:space="preserve"> many previous </w:t>
      </w:r>
      <w:r w:rsidR="00FB0BE0">
        <w:t>requirements</w:t>
      </w:r>
      <w:r w:rsidR="00A57336">
        <w:t xml:space="preserve"> that were no longer deemed necessary</w:t>
      </w:r>
      <w:r>
        <w:t xml:space="preserve">, </w:t>
      </w:r>
      <w:r w:rsidR="00A57336">
        <w:t xml:space="preserve">and thus </w:t>
      </w:r>
      <w:r>
        <w:t>promote</w:t>
      </w:r>
      <w:r w:rsidR="00A57336">
        <w:t>d</w:t>
      </w:r>
      <w:r>
        <w:t xml:space="preserve"> Federal programs and policies.</w:t>
      </w:r>
      <w:r w:rsidR="00A57336">
        <w:t xml:space="preserve">  The rules adopted in the </w:t>
      </w:r>
      <w:r w:rsidR="00A57336">
        <w:rPr>
          <w:bCs w:val="0"/>
        </w:rPr>
        <w:t xml:space="preserve">VoIP Discontinuance Order further promote Federal programs and policies by </w:t>
      </w:r>
      <w:r w:rsidR="00A57336">
        <w:t>protecting consumers of interconnected VoIP service from the abrupt discontinuance, reduction or impairment of their service.</w:t>
      </w:r>
    </w:p>
    <w:p w14:paraId="5F64D3A0" w14:textId="77777777" w:rsidR="007A0A4C" w:rsidRDefault="007A0A4C" w:rsidP="00B1560F">
      <w:pPr>
        <w:ind w:left="360" w:hanging="360"/>
        <w:jc w:val="both"/>
        <w:rPr>
          <w:bCs/>
        </w:rPr>
      </w:pPr>
    </w:p>
    <w:p w14:paraId="3A179231" w14:textId="77777777" w:rsidR="007A0A4C" w:rsidRDefault="007A0A4C" w:rsidP="00B1560F">
      <w:pPr>
        <w:ind w:left="360" w:hanging="360"/>
        <w:jc w:val="both"/>
        <w:rPr>
          <w:bCs/>
        </w:rPr>
      </w:pPr>
      <w:r>
        <w:rPr>
          <w:bCs/>
        </w:rPr>
        <w:t xml:space="preserve">7.  Section 214 applications for discontinuance authority require the </w:t>
      </w:r>
      <w:r w:rsidR="00A21812">
        <w:rPr>
          <w:bCs/>
        </w:rPr>
        <w:t xml:space="preserve">electronic </w:t>
      </w:r>
      <w:r>
        <w:rPr>
          <w:bCs/>
        </w:rPr>
        <w:t xml:space="preserve">filing of an </w:t>
      </w:r>
      <w:r w:rsidR="00A21812">
        <w:rPr>
          <w:bCs/>
        </w:rPr>
        <w:t>application through the Commission’s Electronic Comment Filing System (ECFS)</w:t>
      </w:r>
      <w:r>
        <w:rPr>
          <w:bCs/>
        </w:rPr>
        <w:t xml:space="preserve">.  </w:t>
      </w:r>
      <w:r>
        <w:rPr>
          <w:bCs/>
          <w:i/>
          <w:iCs/>
        </w:rPr>
        <w:t xml:space="preserve">See </w:t>
      </w:r>
      <w:r>
        <w:rPr>
          <w:bCs/>
        </w:rPr>
        <w:t>47 C</w:t>
      </w:r>
      <w:r w:rsidR="002D07B8">
        <w:rPr>
          <w:bCs/>
        </w:rPr>
        <w:t>.</w:t>
      </w:r>
      <w:r>
        <w:rPr>
          <w:bCs/>
        </w:rPr>
        <w:t>F</w:t>
      </w:r>
      <w:r w:rsidR="002D07B8">
        <w:rPr>
          <w:bCs/>
        </w:rPr>
        <w:t>.</w:t>
      </w:r>
      <w:r>
        <w:rPr>
          <w:bCs/>
        </w:rPr>
        <w:t>R</w:t>
      </w:r>
      <w:r w:rsidR="002D07B8">
        <w:rPr>
          <w:bCs/>
        </w:rPr>
        <w:t>.</w:t>
      </w:r>
      <w:r>
        <w:rPr>
          <w:bCs/>
        </w:rPr>
        <w:t xml:space="preserve"> </w:t>
      </w:r>
      <w:r w:rsidR="002D07B8">
        <w:rPr>
          <w:bCs/>
        </w:rPr>
        <w:t>§</w:t>
      </w:r>
      <w:r w:rsidR="00A21812">
        <w:rPr>
          <w:bCs/>
        </w:rPr>
        <w:t xml:space="preserve"> </w:t>
      </w:r>
      <w:r>
        <w:rPr>
          <w:bCs/>
        </w:rPr>
        <w:t>63.52(a).</w:t>
      </w:r>
    </w:p>
    <w:p w14:paraId="35503F50" w14:textId="77777777" w:rsidR="007A0A4C" w:rsidRDefault="007A0A4C" w:rsidP="00B1560F">
      <w:pPr>
        <w:ind w:left="360" w:hanging="360"/>
        <w:jc w:val="both"/>
        <w:rPr>
          <w:bCs/>
        </w:rPr>
      </w:pPr>
    </w:p>
    <w:p w14:paraId="6299ADE9" w14:textId="4CAA055C" w:rsidR="00BD4310" w:rsidRDefault="007A0A4C" w:rsidP="00B1560F">
      <w:pPr>
        <w:pStyle w:val="BodyText"/>
        <w:ind w:left="360" w:hanging="360"/>
      </w:pPr>
      <w:r>
        <w:t>8.  The Commission p</w:t>
      </w:r>
      <w:r w:rsidR="00A70300">
        <w:t>ublished</w:t>
      </w:r>
      <w:r>
        <w:t xml:space="preserve"> a notice in the </w:t>
      </w:r>
      <w:r w:rsidRPr="00B1560F">
        <w:rPr>
          <w:i/>
        </w:rPr>
        <w:t>Federal Register</w:t>
      </w:r>
      <w:r>
        <w:t xml:space="preserve"> </w:t>
      </w:r>
      <w:r w:rsidR="00EC4566">
        <w:t xml:space="preserve">to solicit public comment </w:t>
      </w:r>
      <w:r>
        <w:t>as required by 5 CFR</w:t>
      </w:r>
      <w:r w:rsidR="001E3A7C">
        <w:t xml:space="preserve"> </w:t>
      </w:r>
      <w:r w:rsidR="00B1560F">
        <w:t>§</w:t>
      </w:r>
      <w:r>
        <w:t xml:space="preserve">1320.8.  </w:t>
      </w:r>
      <w:r w:rsidRPr="00E62BAB">
        <w:rPr>
          <w:i/>
        </w:rPr>
        <w:t>See</w:t>
      </w:r>
      <w:r w:rsidRPr="00E62BAB">
        <w:t xml:space="preserve"> </w:t>
      </w:r>
      <w:r w:rsidR="00EB2768">
        <w:t>80</w:t>
      </w:r>
      <w:r w:rsidR="00ED0FCD" w:rsidRPr="00ED0FCD">
        <w:t xml:space="preserve"> FR </w:t>
      </w:r>
      <w:r w:rsidR="00E466C0">
        <w:t>61420</w:t>
      </w:r>
      <w:r w:rsidRPr="00E62BAB">
        <w:t xml:space="preserve"> dated</w:t>
      </w:r>
      <w:r w:rsidR="00EB2768">
        <w:t xml:space="preserve"> October 13</w:t>
      </w:r>
      <w:r w:rsidR="00A70300" w:rsidRPr="00E62BAB">
        <w:t>,</w:t>
      </w:r>
      <w:r w:rsidR="00E62BAB">
        <w:t xml:space="preserve"> </w:t>
      </w:r>
      <w:r w:rsidR="00B55228" w:rsidRPr="00E62BAB">
        <w:t>201</w:t>
      </w:r>
      <w:r w:rsidR="004865C2">
        <w:t>5</w:t>
      </w:r>
      <w:r w:rsidRPr="00E62BAB">
        <w:t>.</w:t>
      </w:r>
      <w:r>
        <w:t xml:space="preserve">  No </w:t>
      </w:r>
      <w:r w:rsidR="00EC4566">
        <w:t xml:space="preserve">PRA </w:t>
      </w:r>
      <w:r>
        <w:t>comments were received</w:t>
      </w:r>
      <w:r w:rsidR="00A70300">
        <w:t xml:space="preserve"> from the notice.</w:t>
      </w:r>
      <w:r>
        <w:t xml:space="preserve">  </w:t>
      </w:r>
    </w:p>
    <w:p w14:paraId="3CB1B948" w14:textId="77777777" w:rsidR="007A0A4C" w:rsidRDefault="007A0A4C" w:rsidP="00BB261D">
      <w:pPr>
        <w:pStyle w:val="BodyText"/>
        <w:ind w:left="360" w:hanging="360"/>
      </w:pPr>
    </w:p>
    <w:p w14:paraId="091DDFBE" w14:textId="77777777" w:rsidR="007A0A4C" w:rsidRDefault="007A0A4C" w:rsidP="00B1560F">
      <w:pPr>
        <w:pStyle w:val="BodyText"/>
        <w:ind w:left="360" w:hanging="360"/>
      </w:pPr>
      <w:r>
        <w:t xml:space="preserve">9.  The Commission does not presently </w:t>
      </w:r>
      <w:r w:rsidR="00264D06">
        <w:t xml:space="preserve">provide </w:t>
      </w:r>
      <w:r>
        <w:t xml:space="preserve">and does not </w:t>
      </w:r>
      <w:r w:rsidR="00264D06">
        <w:t xml:space="preserve">plan </w:t>
      </w:r>
      <w:r>
        <w:t>to provide any payment or gifts.</w:t>
      </w:r>
    </w:p>
    <w:p w14:paraId="5A1D34AB" w14:textId="77777777" w:rsidR="007A0A4C" w:rsidRDefault="007A0A4C" w:rsidP="00B1560F">
      <w:pPr>
        <w:ind w:left="360" w:hanging="360"/>
        <w:jc w:val="both"/>
        <w:rPr>
          <w:bCs/>
        </w:rPr>
      </w:pPr>
    </w:p>
    <w:p w14:paraId="2D7A6A40" w14:textId="6B39E20C" w:rsidR="007A0A4C" w:rsidRDefault="007A0A4C" w:rsidP="00B1560F">
      <w:pPr>
        <w:ind w:left="360" w:hanging="360"/>
        <w:jc w:val="both"/>
        <w:rPr>
          <w:bCs/>
        </w:rPr>
      </w:pPr>
      <w:r>
        <w:rPr>
          <w:bCs/>
        </w:rPr>
        <w:t>10.  Information filed in section 214 applications has generally been non-confidential.  Requests from parties seeking confidential</w:t>
      </w:r>
      <w:r w:rsidR="004865C2">
        <w:rPr>
          <w:bCs/>
        </w:rPr>
        <w:t>it</w:t>
      </w:r>
      <w:r>
        <w:rPr>
          <w:bCs/>
        </w:rPr>
        <w:t xml:space="preserve">y are considered by Commission staff pursuant to agency rules.  </w:t>
      </w:r>
      <w:r>
        <w:rPr>
          <w:bCs/>
          <w:i/>
          <w:iCs/>
        </w:rPr>
        <w:t xml:space="preserve">See </w:t>
      </w:r>
      <w:r>
        <w:rPr>
          <w:bCs/>
        </w:rPr>
        <w:t>47 C</w:t>
      </w:r>
      <w:r w:rsidR="00BD4310">
        <w:rPr>
          <w:bCs/>
        </w:rPr>
        <w:t>.</w:t>
      </w:r>
      <w:r>
        <w:rPr>
          <w:bCs/>
        </w:rPr>
        <w:t>F</w:t>
      </w:r>
      <w:r w:rsidR="00BD4310">
        <w:rPr>
          <w:bCs/>
        </w:rPr>
        <w:t>.</w:t>
      </w:r>
      <w:r>
        <w:rPr>
          <w:bCs/>
        </w:rPr>
        <w:t>R</w:t>
      </w:r>
      <w:r w:rsidR="00BD4310">
        <w:rPr>
          <w:bCs/>
        </w:rPr>
        <w:t>.</w:t>
      </w:r>
      <w:r>
        <w:rPr>
          <w:bCs/>
        </w:rPr>
        <w:t xml:space="preserve"> §0.459.</w:t>
      </w:r>
    </w:p>
    <w:p w14:paraId="4C4AE2D4" w14:textId="77777777" w:rsidR="007A0A4C" w:rsidRDefault="007A0A4C" w:rsidP="00B1560F">
      <w:pPr>
        <w:ind w:left="360" w:hanging="360"/>
        <w:jc w:val="both"/>
        <w:rPr>
          <w:bCs/>
        </w:rPr>
      </w:pPr>
    </w:p>
    <w:p w14:paraId="6FECC717" w14:textId="77777777" w:rsidR="007A0A4C" w:rsidRDefault="007A0A4C" w:rsidP="00B1560F">
      <w:pPr>
        <w:pStyle w:val="BodyText"/>
        <w:ind w:left="360" w:hanging="360"/>
      </w:pPr>
      <w:r>
        <w:t>11.  There are not questions of a sensitive nature involved</w:t>
      </w:r>
      <w:r w:rsidR="00BD4310">
        <w:t>, nor are there any privacy issues</w:t>
      </w:r>
      <w:r>
        <w:t>.</w:t>
      </w:r>
    </w:p>
    <w:p w14:paraId="699EA2A8" w14:textId="77777777" w:rsidR="007A0A4C" w:rsidRDefault="007A0A4C" w:rsidP="00B1560F">
      <w:pPr>
        <w:ind w:left="360" w:hanging="360"/>
        <w:jc w:val="both"/>
        <w:rPr>
          <w:bCs/>
        </w:rPr>
      </w:pPr>
    </w:p>
    <w:p w14:paraId="05D2F70E" w14:textId="77777777" w:rsidR="007A0A4C" w:rsidRDefault="007A0A4C" w:rsidP="00B1560F">
      <w:pPr>
        <w:pStyle w:val="BodyText"/>
        <w:ind w:left="360" w:hanging="360"/>
      </w:pPr>
      <w:r>
        <w:t xml:space="preserve">12.  The </w:t>
      </w:r>
      <w:r w:rsidR="006B7781">
        <w:t xml:space="preserve">Commission has calculated </w:t>
      </w:r>
      <w:r>
        <w:t xml:space="preserve">the average </w:t>
      </w:r>
      <w:r w:rsidR="006B7781">
        <w:t xml:space="preserve">number </w:t>
      </w:r>
      <w:r>
        <w:t xml:space="preserve">of 214 applications received from July 1, </w:t>
      </w:r>
      <w:r w:rsidR="00360B69">
        <w:t>201</w:t>
      </w:r>
      <w:r w:rsidR="00720DD5">
        <w:t>3</w:t>
      </w:r>
      <w:r w:rsidR="00360B69">
        <w:t xml:space="preserve"> </w:t>
      </w:r>
      <w:r>
        <w:t xml:space="preserve">to June 30, </w:t>
      </w:r>
      <w:r w:rsidR="00360B69">
        <w:t>201</w:t>
      </w:r>
      <w:r w:rsidR="00720DD5">
        <w:t>4</w:t>
      </w:r>
      <w:r>
        <w:t xml:space="preserve">, and from July 1, </w:t>
      </w:r>
      <w:r w:rsidR="00360B69">
        <w:t>201</w:t>
      </w:r>
      <w:r w:rsidR="00720DD5">
        <w:t>4</w:t>
      </w:r>
      <w:r w:rsidR="00AC142B">
        <w:t xml:space="preserve"> </w:t>
      </w:r>
      <w:r>
        <w:t xml:space="preserve">to June 30, </w:t>
      </w:r>
      <w:r w:rsidR="00360B69">
        <w:t>201</w:t>
      </w:r>
      <w:r w:rsidR="00720DD5">
        <w:t>5</w:t>
      </w:r>
      <w:r w:rsidR="006B7781">
        <w:t xml:space="preserve">, taking into account respondents </w:t>
      </w:r>
      <w:r w:rsidR="00360B69">
        <w:t xml:space="preserve">included </w:t>
      </w:r>
      <w:r w:rsidR="006B7781">
        <w:t xml:space="preserve">as a result of the application of these rules to interconnected VoIP providers.  </w:t>
      </w:r>
      <w:r w:rsidR="00360B69">
        <w:t>T</w:t>
      </w:r>
      <w:r w:rsidR="006B7781">
        <w:t xml:space="preserve">he Commission estimates the hour burden for the Part 63 collections </w:t>
      </w:r>
      <w:r>
        <w:t>to be as follows:</w:t>
      </w:r>
    </w:p>
    <w:p w14:paraId="095C7668" w14:textId="77777777" w:rsidR="007A0A4C" w:rsidRDefault="007A0A4C" w:rsidP="00B1560F">
      <w:pPr>
        <w:ind w:left="360" w:hanging="360"/>
        <w:jc w:val="both"/>
        <w:rPr>
          <w:bCs/>
        </w:rPr>
      </w:pPr>
    </w:p>
    <w:p w14:paraId="3B372E9A" w14:textId="77777777" w:rsidR="007A0A4C" w:rsidRDefault="006069FC" w:rsidP="00C7549F">
      <w:pPr>
        <w:numPr>
          <w:ilvl w:val="1"/>
          <w:numId w:val="5"/>
        </w:numPr>
        <w:tabs>
          <w:tab w:val="clear" w:pos="1440"/>
          <w:tab w:val="num" w:pos="720"/>
        </w:tabs>
        <w:ind w:left="720"/>
        <w:jc w:val="both"/>
        <w:rPr>
          <w:bCs/>
        </w:rPr>
      </w:pPr>
      <w:r>
        <w:rPr>
          <w:bCs/>
        </w:rPr>
        <w:t xml:space="preserve">Total </w:t>
      </w:r>
      <w:r w:rsidR="007A0A4C">
        <w:rPr>
          <w:bCs/>
        </w:rPr>
        <w:t>Number of Respondents</w:t>
      </w:r>
      <w:r w:rsidR="00264D06">
        <w:rPr>
          <w:bCs/>
        </w:rPr>
        <w:t xml:space="preserve">: </w:t>
      </w:r>
      <w:r w:rsidR="007A0A4C">
        <w:rPr>
          <w:bCs/>
        </w:rPr>
        <w:t xml:space="preserve">Approximately </w:t>
      </w:r>
      <w:r w:rsidR="0027309A">
        <w:rPr>
          <w:bCs/>
        </w:rPr>
        <w:t xml:space="preserve">60 </w:t>
      </w:r>
      <w:r w:rsidR="007A0A4C">
        <w:rPr>
          <w:bCs/>
        </w:rPr>
        <w:t>respondents.</w:t>
      </w:r>
    </w:p>
    <w:p w14:paraId="4F0393F9" w14:textId="77777777" w:rsidR="004A45C3" w:rsidRDefault="004A45C3" w:rsidP="00C7549F">
      <w:pPr>
        <w:tabs>
          <w:tab w:val="num" w:pos="720"/>
        </w:tabs>
        <w:ind w:left="720" w:hanging="360"/>
        <w:jc w:val="both"/>
        <w:rPr>
          <w:bCs/>
        </w:rPr>
      </w:pPr>
    </w:p>
    <w:p w14:paraId="5750A2FA" w14:textId="77777777" w:rsidR="006069FC" w:rsidRDefault="006069FC" w:rsidP="00C7549F">
      <w:pPr>
        <w:numPr>
          <w:ilvl w:val="1"/>
          <w:numId w:val="5"/>
        </w:numPr>
        <w:tabs>
          <w:tab w:val="clear" w:pos="1440"/>
          <w:tab w:val="num" w:pos="720"/>
        </w:tabs>
        <w:ind w:left="720"/>
        <w:jc w:val="both"/>
        <w:rPr>
          <w:bCs/>
        </w:rPr>
      </w:pPr>
      <w:r>
        <w:rPr>
          <w:bCs/>
        </w:rPr>
        <w:t xml:space="preserve">Total Number of Responses Annually: </w:t>
      </w:r>
      <w:r w:rsidR="0027309A">
        <w:rPr>
          <w:bCs/>
        </w:rPr>
        <w:t xml:space="preserve">60 </w:t>
      </w:r>
      <w:r w:rsidR="0075176A">
        <w:rPr>
          <w:bCs/>
        </w:rPr>
        <w:t>responses—one response per respondent.</w:t>
      </w:r>
    </w:p>
    <w:p w14:paraId="4B8943C3" w14:textId="77777777" w:rsidR="006069FC" w:rsidRDefault="006069FC" w:rsidP="00C7549F">
      <w:pPr>
        <w:tabs>
          <w:tab w:val="num" w:pos="720"/>
        </w:tabs>
        <w:ind w:left="720" w:hanging="360"/>
        <w:jc w:val="both"/>
        <w:rPr>
          <w:bCs/>
        </w:rPr>
      </w:pPr>
    </w:p>
    <w:p w14:paraId="6BF95BBD" w14:textId="77777777" w:rsidR="007A0A4C" w:rsidRDefault="007A0A4C" w:rsidP="00C7549F">
      <w:pPr>
        <w:numPr>
          <w:ilvl w:val="1"/>
          <w:numId w:val="5"/>
        </w:numPr>
        <w:tabs>
          <w:tab w:val="clear" w:pos="1440"/>
          <w:tab w:val="num" w:pos="720"/>
        </w:tabs>
        <w:ind w:left="720"/>
        <w:jc w:val="both"/>
        <w:rPr>
          <w:bCs/>
        </w:rPr>
      </w:pPr>
      <w:r>
        <w:rPr>
          <w:bCs/>
        </w:rPr>
        <w:t>Frequency of Response: On occasion</w:t>
      </w:r>
      <w:r w:rsidR="004A45C3">
        <w:rPr>
          <w:bCs/>
        </w:rPr>
        <w:t xml:space="preserve"> reporting requirements</w:t>
      </w:r>
      <w:r>
        <w:rPr>
          <w:bCs/>
        </w:rPr>
        <w:t>.</w:t>
      </w:r>
    </w:p>
    <w:p w14:paraId="584161F0" w14:textId="77777777" w:rsidR="004A45C3" w:rsidRDefault="004A45C3" w:rsidP="00C7549F">
      <w:pPr>
        <w:tabs>
          <w:tab w:val="num" w:pos="720"/>
        </w:tabs>
        <w:ind w:left="720" w:hanging="360"/>
        <w:jc w:val="both"/>
        <w:rPr>
          <w:bCs/>
        </w:rPr>
      </w:pPr>
    </w:p>
    <w:p w14:paraId="5F570CD3" w14:textId="77777777" w:rsidR="00C43D0C" w:rsidRDefault="007A0A4C" w:rsidP="00C7549F">
      <w:pPr>
        <w:numPr>
          <w:ilvl w:val="1"/>
          <w:numId w:val="5"/>
        </w:numPr>
        <w:tabs>
          <w:tab w:val="clear" w:pos="1440"/>
          <w:tab w:val="num" w:pos="720"/>
        </w:tabs>
        <w:ind w:left="720"/>
        <w:jc w:val="both"/>
        <w:rPr>
          <w:bCs/>
        </w:rPr>
      </w:pPr>
      <w:r>
        <w:rPr>
          <w:bCs/>
        </w:rPr>
        <w:t xml:space="preserve">Annual Hour Burden Per Respondent: 5 </w:t>
      </w:r>
      <w:r w:rsidR="00A70300">
        <w:rPr>
          <w:bCs/>
        </w:rPr>
        <w:t>h</w:t>
      </w:r>
      <w:r>
        <w:rPr>
          <w:bCs/>
        </w:rPr>
        <w:t xml:space="preserve">ours. </w:t>
      </w:r>
    </w:p>
    <w:p w14:paraId="2993F649" w14:textId="77777777" w:rsidR="00C43D0C" w:rsidRDefault="00C43D0C" w:rsidP="00C7549F">
      <w:pPr>
        <w:tabs>
          <w:tab w:val="num" w:pos="720"/>
        </w:tabs>
        <w:ind w:left="720" w:hanging="360"/>
        <w:jc w:val="both"/>
        <w:rPr>
          <w:bCs/>
        </w:rPr>
      </w:pPr>
    </w:p>
    <w:p w14:paraId="2C5C1D1F" w14:textId="77777777" w:rsidR="007A0A4C" w:rsidRDefault="007A0A4C" w:rsidP="00C7549F">
      <w:pPr>
        <w:numPr>
          <w:ilvl w:val="1"/>
          <w:numId w:val="5"/>
        </w:numPr>
        <w:tabs>
          <w:tab w:val="clear" w:pos="1440"/>
          <w:tab w:val="num" w:pos="720"/>
        </w:tabs>
        <w:ind w:left="720"/>
        <w:jc w:val="both"/>
        <w:rPr>
          <w:bCs/>
        </w:rPr>
      </w:pPr>
      <w:r>
        <w:rPr>
          <w:bCs/>
        </w:rPr>
        <w:t xml:space="preserve">Total Annual Hour Burden: </w:t>
      </w:r>
      <w:r w:rsidR="0027309A">
        <w:rPr>
          <w:bCs/>
        </w:rPr>
        <w:t xml:space="preserve">300 </w:t>
      </w:r>
      <w:r>
        <w:rPr>
          <w:bCs/>
        </w:rPr>
        <w:t>hours.</w:t>
      </w:r>
    </w:p>
    <w:p w14:paraId="64D5F67E" w14:textId="77777777" w:rsidR="004A45C3" w:rsidRDefault="004A45C3" w:rsidP="00C7549F">
      <w:pPr>
        <w:tabs>
          <w:tab w:val="num" w:pos="720"/>
        </w:tabs>
        <w:ind w:left="720" w:hanging="360"/>
        <w:jc w:val="both"/>
        <w:rPr>
          <w:bCs/>
        </w:rPr>
      </w:pPr>
    </w:p>
    <w:p w14:paraId="183A8F58" w14:textId="77777777" w:rsidR="001117BE" w:rsidRDefault="001117BE" w:rsidP="00C7549F">
      <w:pPr>
        <w:tabs>
          <w:tab w:val="num" w:pos="720"/>
        </w:tabs>
        <w:ind w:left="720" w:hanging="360"/>
        <w:jc w:val="both"/>
        <w:rPr>
          <w:bCs/>
        </w:rPr>
      </w:pPr>
    </w:p>
    <w:p w14:paraId="7F5E1D81" w14:textId="77777777" w:rsidR="004A45C3" w:rsidRPr="00EC4566" w:rsidRDefault="004A45C3" w:rsidP="00C7549F">
      <w:pPr>
        <w:tabs>
          <w:tab w:val="num" w:pos="720"/>
        </w:tabs>
        <w:ind w:left="720" w:hanging="360"/>
        <w:jc w:val="both"/>
        <w:rPr>
          <w:b/>
          <w:bCs/>
        </w:rPr>
      </w:pPr>
      <w:r>
        <w:rPr>
          <w:bCs/>
        </w:rPr>
        <w:tab/>
      </w:r>
      <w:r w:rsidR="0027309A">
        <w:rPr>
          <w:bCs/>
        </w:rPr>
        <w:t xml:space="preserve">60 </w:t>
      </w:r>
      <w:r>
        <w:rPr>
          <w:bCs/>
        </w:rPr>
        <w:t xml:space="preserve">respondents x 5 hours/response = </w:t>
      </w:r>
      <w:r w:rsidR="0027309A" w:rsidRPr="00EC4566">
        <w:rPr>
          <w:b/>
          <w:bCs/>
        </w:rPr>
        <w:t xml:space="preserve">300 </w:t>
      </w:r>
      <w:r w:rsidRPr="00EC4566">
        <w:rPr>
          <w:b/>
          <w:bCs/>
        </w:rPr>
        <w:t>hours</w:t>
      </w:r>
      <w:r w:rsidR="00A70300" w:rsidRPr="00EC4566">
        <w:rPr>
          <w:b/>
          <w:bCs/>
        </w:rPr>
        <w:t>.</w:t>
      </w:r>
    </w:p>
    <w:p w14:paraId="589EE6FB" w14:textId="77777777" w:rsidR="004A45C3" w:rsidRDefault="004A45C3" w:rsidP="00C7549F">
      <w:pPr>
        <w:tabs>
          <w:tab w:val="num" w:pos="720"/>
        </w:tabs>
        <w:ind w:left="720" w:hanging="360"/>
        <w:jc w:val="both"/>
        <w:rPr>
          <w:bCs/>
        </w:rPr>
      </w:pPr>
    </w:p>
    <w:p w14:paraId="6310149B" w14:textId="26A1C871" w:rsidR="007A0A4C" w:rsidRDefault="007A0A4C" w:rsidP="00C7549F">
      <w:pPr>
        <w:numPr>
          <w:ilvl w:val="1"/>
          <w:numId w:val="5"/>
        </w:numPr>
        <w:tabs>
          <w:tab w:val="clear" w:pos="1440"/>
          <w:tab w:val="num" w:pos="720"/>
        </w:tabs>
        <w:ind w:left="720"/>
        <w:jc w:val="both"/>
        <w:rPr>
          <w:bCs/>
        </w:rPr>
      </w:pPr>
      <w:r>
        <w:rPr>
          <w:bCs/>
        </w:rPr>
        <w:t xml:space="preserve">Total estimate of </w:t>
      </w:r>
      <w:r w:rsidR="004865C2">
        <w:rPr>
          <w:bCs/>
        </w:rPr>
        <w:t xml:space="preserve">in-house </w:t>
      </w:r>
      <w:r>
        <w:rPr>
          <w:bCs/>
        </w:rPr>
        <w:t>cost to respondents for the hour burdens for collection of information:  $</w:t>
      </w:r>
      <w:r w:rsidR="0027309A">
        <w:rPr>
          <w:bCs/>
        </w:rPr>
        <w:t>60,000</w:t>
      </w:r>
      <w:r>
        <w:rPr>
          <w:bCs/>
        </w:rPr>
        <w:t>.</w:t>
      </w:r>
    </w:p>
    <w:p w14:paraId="7AF36DF3" w14:textId="77777777" w:rsidR="00B61F95" w:rsidRDefault="00B61F95" w:rsidP="00C7549F">
      <w:pPr>
        <w:tabs>
          <w:tab w:val="num" w:pos="720"/>
        </w:tabs>
        <w:ind w:left="720" w:hanging="360"/>
        <w:jc w:val="both"/>
        <w:rPr>
          <w:bCs/>
        </w:rPr>
      </w:pPr>
    </w:p>
    <w:p w14:paraId="67CDF5D7" w14:textId="77777777" w:rsidR="00B61F95" w:rsidRDefault="007A0A4C" w:rsidP="00C7549F">
      <w:pPr>
        <w:numPr>
          <w:ilvl w:val="1"/>
          <w:numId w:val="5"/>
        </w:numPr>
        <w:tabs>
          <w:tab w:val="clear" w:pos="1440"/>
          <w:tab w:val="num" w:pos="720"/>
        </w:tabs>
        <w:ind w:left="720"/>
        <w:jc w:val="both"/>
        <w:rPr>
          <w:bCs/>
        </w:rPr>
      </w:pPr>
      <w:r>
        <w:rPr>
          <w:bCs/>
        </w:rPr>
        <w:t xml:space="preserve">Explanation of calculation:  A number of variables must be considered.  Complex section 214 applications generally are prepared by high level </w:t>
      </w:r>
      <w:r w:rsidR="00A70300">
        <w:rPr>
          <w:bCs/>
        </w:rPr>
        <w:t xml:space="preserve">in-house </w:t>
      </w:r>
      <w:r>
        <w:rPr>
          <w:bCs/>
        </w:rPr>
        <w:t xml:space="preserve">staff attorneys of applicants </w:t>
      </w:r>
      <w:r>
        <w:rPr>
          <w:bCs/>
        </w:rPr>
        <w:lastRenderedPageBreak/>
        <w:t xml:space="preserve">supported by lower categories of staff; basic section 214 applications of firms are prepared by staff specialists supported primarily by secretaries/typists.  </w:t>
      </w:r>
    </w:p>
    <w:p w14:paraId="635D2EF7" w14:textId="77777777" w:rsidR="00B61F95" w:rsidRDefault="00B61F95" w:rsidP="00C7549F">
      <w:pPr>
        <w:tabs>
          <w:tab w:val="num" w:pos="720"/>
        </w:tabs>
        <w:ind w:left="720" w:hanging="360"/>
        <w:jc w:val="both"/>
        <w:rPr>
          <w:bCs/>
        </w:rPr>
      </w:pPr>
    </w:p>
    <w:p w14:paraId="08DFAF39" w14:textId="77777777" w:rsidR="007F328B" w:rsidRDefault="00B61F95" w:rsidP="00C7549F">
      <w:pPr>
        <w:tabs>
          <w:tab w:val="num" w:pos="720"/>
        </w:tabs>
        <w:ind w:left="720" w:hanging="360"/>
        <w:jc w:val="both"/>
        <w:rPr>
          <w:bCs/>
        </w:rPr>
      </w:pPr>
      <w:r>
        <w:rPr>
          <w:bCs/>
        </w:rPr>
        <w:tab/>
      </w:r>
      <w:r w:rsidR="007A0A4C">
        <w:rPr>
          <w:bCs/>
        </w:rPr>
        <w:t xml:space="preserve">We estimate preparation costs of </w:t>
      </w:r>
      <w:r w:rsidR="0027309A">
        <w:rPr>
          <w:bCs/>
        </w:rPr>
        <w:t xml:space="preserve">60 </w:t>
      </w:r>
      <w:r w:rsidR="00F419B1">
        <w:rPr>
          <w:bCs/>
        </w:rPr>
        <w:t xml:space="preserve">respondents </w:t>
      </w:r>
      <w:r w:rsidR="007A0A4C">
        <w:rPr>
          <w:bCs/>
        </w:rPr>
        <w:t xml:space="preserve">x an average hourly salary </w:t>
      </w:r>
      <w:r w:rsidR="00A70300">
        <w:rPr>
          <w:bCs/>
        </w:rPr>
        <w:t xml:space="preserve">for all staff categories </w:t>
      </w:r>
      <w:r w:rsidR="007A0A4C">
        <w:rPr>
          <w:bCs/>
        </w:rPr>
        <w:t>of $</w:t>
      </w:r>
      <w:r w:rsidR="0027309A">
        <w:rPr>
          <w:bCs/>
        </w:rPr>
        <w:t xml:space="preserve">200 </w:t>
      </w:r>
      <w:r w:rsidR="007A0A4C">
        <w:rPr>
          <w:bCs/>
        </w:rPr>
        <w:t xml:space="preserve">x 5 hours per respondent.  </w:t>
      </w:r>
    </w:p>
    <w:p w14:paraId="0851C9FE" w14:textId="77777777" w:rsidR="007F328B" w:rsidRDefault="007F328B" w:rsidP="00C7549F">
      <w:pPr>
        <w:tabs>
          <w:tab w:val="num" w:pos="720"/>
        </w:tabs>
        <w:ind w:left="720" w:hanging="360"/>
        <w:jc w:val="both"/>
        <w:rPr>
          <w:bCs/>
        </w:rPr>
      </w:pPr>
    </w:p>
    <w:p w14:paraId="44BED629" w14:textId="77777777" w:rsidR="007A0A4C" w:rsidRDefault="007F328B" w:rsidP="00C7549F">
      <w:pPr>
        <w:tabs>
          <w:tab w:val="num" w:pos="720"/>
        </w:tabs>
        <w:ind w:left="720" w:hanging="360"/>
        <w:jc w:val="both"/>
        <w:rPr>
          <w:bCs/>
        </w:rPr>
      </w:pPr>
      <w:r>
        <w:rPr>
          <w:bCs/>
        </w:rPr>
        <w:tab/>
      </w:r>
      <w:r w:rsidR="007A0A4C">
        <w:rPr>
          <w:bCs/>
        </w:rPr>
        <w:t>Thus, the total estimated cost to the industry is approximately $</w:t>
      </w:r>
      <w:r w:rsidR="0027309A">
        <w:rPr>
          <w:bCs/>
        </w:rPr>
        <w:t>60,000</w:t>
      </w:r>
      <w:r w:rsidR="007A0A4C">
        <w:rPr>
          <w:bCs/>
        </w:rPr>
        <w:t>.</w:t>
      </w:r>
    </w:p>
    <w:p w14:paraId="682AC845" w14:textId="77777777" w:rsidR="007F328B" w:rsidRDefault="007F328B" w:rsidP="00C7549F">
      <w:pPr>
        <w:tabs>
          <w:tab w:val="num" w:pos="720"/>
        </w:tabs>
        <w:ind w:left="720" w:hanging="360"/>
        <w:jc w:val="both"/>
        <w:rPr>
          <w:bCs/>
        </w:rPr>
      </w:pPr>
    </w:p>
    <w:p w14:paraId="2D5497F6" w14:textId="77777777" w:rsidR="00715773" w:rsidRDefault="00715773" w:rsidP="00C7549F">
      <w:pPr>
        <w:tabs>
          <w:tab w:val="num" w:pos="720"/>
        </w:tabs>
        <w:ind w:left="720" w:hanging="360"/>
        <w:jc w:val="both"/>
        <w:rPr>
          <w:bCs/>
        </w:rPr>
      </w:pPr>
    </w:p>
    <w:p w14:paraId="4C51F60D" w14:textId="77777777" w:rsidR="007F328B" w:rsidRDefault="007F328B" w:rsidP="00C7549F">
      <w:pPr>
        <w:tabs>
          <w:tab w:val="num" w:pos="720"/>
        </w:tabs>
        <w:ind w:left="720" w:hanging="360"/>
        <w:jc w:val="both"/>
        <w:rPr>
          <w:bCs/>
        </w:rPr>
      </w:pPr>
      <w:r>
        <w:rPr>
          <w:bCs/>
        </w:rPr>
        <w:tab/>
      </w:r>
      <w:r w:rsidR="0027309A">
        <w:rPr>
          <w:bCs/>
        </w:rPr>
        <w:t xml:space="preserve">60 </w:t>
      </w:r>
      <w:r>
        <w:rPr>
          <w:bCs/>
        </w:rPr>
        <w:t>carriers x $</w:t>
      </w:r>
      <w:r w:rsidR="0027309A">
        <w:rPr>
          <w:bCs/>
        </w:rPr>
        <w:t>200</w:t>
      </w:r>
      <w:r>
        <w:rPr>
          <w:bCs/>
        </w:rPr>
        <w:t>/hour x 5 hours/respondent = $</w:t>
      </w:r>
      <w:r w:rsidR="0027309A">
        <w:rPr>
          <w:bCs/>
        </w:rPr>
        <w:t>60,000</w:t>
      </w:r>
      <w:r w:rsidR="00A70300">
        <w:rPr>
          <w:bCs/>
        </w:rPr>
        <w:t>.</w:t>
      </w:r>
    </w:p>
    <w:p w14:paraId="7F593BA4" w14:textId="77777777" w:rsidR="00531381" w:rsidRDefault="00531381" w:rsidP="00C7549F">
      <w:pPr>
        <w:tabs>
          <w:tab w:val="num" w:pos="720"/>
        </w:tabs>
        <w:ind w:left="720" w:hanging="360"/>
        <w:jc w:val="both"/>
        <w:rPr>
          <w:bCs/>
        </w:rPr>
      </w:pPr>
    </w:p>
    <w:p w14:paraId="1D520A80" w14:textId="77777777" w:rsidR="00531381" w:rsidRDefault="00531381" w:rsidP="00C7549F">
      <w:pPr>
        <w:tabs>
          <w:tab w:val="num" w:pos="720"/>
        </w:tabs>
        <w:ind w:left="720" w:hanging="360"/>
        <w:jc w:val="both"/>
        <w:rPr>
          <w:bCs/>
        </w:rPr>
      </w:pPr>
      <w:r>
        <w:rPr>
          <w:bCs/>
        </w:rPr>
        <w:tab/>
      </w:r>
      <w:r>
        <w:rPr>
          <w:bCs/>
        </w:rPr>
        <w:tab/>
      </w:r>
      <w:r>
        <w:rPr>
          <w:bCs/>
        </w:rPr>
        <w:tab/>
      </w:r>
      <w:r>
        <w:rPr>
          <w:bCs/>
        </w:rPr>
        <w:tab/>
        <w:t xml:space="preserve">No. of  </w:t>
      </w:r>
      <w:r>
        <w:rPr>
          <w:bCs/>
        </w:rPr>
        <w:tab/>
      </w:r>
      <w:r>
        <w:rPr>
          <w:bCs/>
        </w:rPr>
        <w:tab/>
        <w:t>Total Annual</w:t>
      </w:r>
    </w:p>
    <w:p w14:paraId="6F699728" w14:textId="77777777" w:rsidR="00531381" w:rsidRDefault="00531381" w:rsidP="00C7549F">
      <w:pPr>
        <w:tabs>
          <w:tab w:val="num" w:pos="720"/>
        </w:tabs>
        <w:ind w:left="720" w:hanging="360"/>
        <w:jc w:val="both"/>
        <w:rPr>
          <w:bCs/>
        </w:rPr>
      </w:pPr>
      <w:r>
        <w:rPr>
          <w:bCs/>
        </w:rPr>
        <w:tab/>
      </w:r>
      <w:r>
        <w:rPr>
          <w:bCs/>
        </w:rPr>
        <w:tab/>
      </w:r>
      <w:r>
        <w:rPr>
          <w:bCs/>
        </w:rPr>
        <w:tab/>
      </w:r>
      <w:r>
        <w:rPr>
          <w:bCs/>
        </w:rPr>
        <w:tab/>
        <w:t>Respondents</w:t>
      </w:r>
      <w:r>
        <w:rPr>
          <w:bCs/>
        </w:rPr>
        <w:tab/>
      </w:r>
      <w:r>
        <w:rPr>
          <w:bCs/>
        </w:rPr>
        <w:tab/>
        <w:t>Responses = Total Hour Burden</w:t>
      </w:r>
    </w:p>
    <w:p w14:paraId="40D8BE63" w14:textId="77777777" w:rsidR="00531381" w:rsidRDefault="00531381" w:rsidP="00C7549F">
      <w:pPr>
        <w:tabs>
          <w:tab w:val="num" w:pos="720"/>
        </w:tabs>
        <w:ind w:left="720" w:hanging="360"/>
        <w:jc w:val="both"/>
        <w:rPr>
          <w:bCs/>
        </w:rPr>
      </w:pPr>
    </w:p>
    <w:p w14:paraId="68EE9E81" w14:textId="0D0ED3E3" w:rsidR="00741649" w:rsidRDefault="00741649" w:rsidP="00C7549F">
      <w:pPr>
        <w:tabs>
          <w:tab w:val="num" w:pos="720"/>
        </w:tabs>
        <w:ind w:left="720" w:hanging="360"/>
        <w:jc w:val="both"/>
        <w:rPr>
          <w:bCs/>
        </w:rPr>
      </w:pPr>
    </w:p>
    <w:p w14:paraId="7AEDBA3E" w14:textId="77777777" w:rsidR="00741649" w:rsidRDefault="00741649" w:rsidP="00C7549F">
      <w:pPr>
        <w:tabs>
          <w:tab w:val="num" w:pos="720"/>
        </w:tabs>
        <w:ind w:left="720" w:hanging="360"/>
        <w:jc w:val="both"/>
        <w:rPr>
          <w:bCs/>
        </w:rPr>
      </w:pPr>
    </w:p>
    <w:p w14:paraId="560CA252" w14:textId="77777777" w:rsidR="00531381" w:rsidRDefault="00531381" w:rsidP="00C7549F">
      <w:pPr>
        <w:tabs>
          <w:tab w:val="num" w:pos="720"/>
        </w:tabs>
        <w:ind w:left="720" w:hanging="360"/>
        <w:jc w:val="both"/>
        <w:rPr>
          <w:bCs/>
        </w:rPr>
      </w:pPr>
      <w:r>
        <w:rPr>
          <w:bCs/>
        </w:rPr>
        <w:tab/>
        <w:t>Current Estimates</w:t>
      </w:r>
      <w:r>
        <w:rPr>
          <w:bCs/>
        </w:rPr>
        <w:tab/>
        <w:t>60</w:t>
      </w:r>
      <w:r>
        <w:rPr>
          <w:bCs/>
        </w:rPr>
        <w:tab/>
      </w:r>
      <w:r>
        <w:rPr>
          <w:bCs/>
        </w:rPr>
        <w:tab/>
      </w:r>
      <w:r>
        <w:rPr>
          <w:bCs/>
        </w:rPr>
        <w:tab/>
        <w:t>60</w:t>
      </w:r>
      <w:r>
        <w:rPr>
          <w:bCs/>
        </w:rPr>
        <w:tab/>
      </w:r>
      <w:r>
        <w:rPr>
          <w:bCs/>
        </w:rPr>
        <w:tab/>
        <w:t>300</w:t>
      </w:r>
    </w:p>
    <w:p w14:paraId="3DBC1322" w14:textId="77777777" w:rsidR="00531381" w:rsidRDefault="00531381" w:rsidP="00C7549F">
      <w:pPr>
        <w:tabs>
          <w:tab w:val="num" w:pos="720"/>
        </w:tabs>
        <w:ind w:left="720" w:hanging="360"/>
        <w:jc w:val="both"/>
        <w:rPr>
          <w:bCs/>
        </w:rPr>
      </w:pPr>
      <w:r>
        <w:rPr>
          <w:bCs/>
        </w:rPr>
        <w:t xml:space="preserve">   </w:t>
      </w:r>
      <w:r>
        <w:rPr>
          <w:bCs/>
        </w:rPr>
        <w:tab/>
        <w:t>In OMB’s inventory:</w:t>
      </w:r>
      <w:r>
        <w:rPr>
          <w:bCs/>
        </w:rPr>
        <w:tab/>
      </w:r>
      <w:r w:rsidR="00720DD5">
        <w:rPr>
          <w:bCs/>
        </w:rPr>
        <w:t>60</w:t>
      </w:r>
      <w:r>
        <w:rPr>
          <w:bCs/>
        </w:rPr>
        <w:tab/>
      </w:r>
      <w:r>
        <w:rPr>
          <w:bCs/>
        </w:rPr>
        <w:tab/>
      </w:r>
      <w:r>
        <w:rPr>
          <w:bCs/>
        </w:rPr>
        <w:tab/>
      </w:r>
      <w:r w:rsidR="00720DD5">
        <w:rPr>
          <w:bCs/>
        </w:rPr>
        <w:t>60</w:t>
      </w:r>
      <w:r>
        <w:rPr>
          <w:bCs/>
        </w:rPr>
        <w:tab/>
      </w:r>
      <w:r>
        <w:rPr>
          <w:bCs/>
        </w:rPr>
        <w:tab/>
      </w:r>
      <w:r w:rsidR="00720DD5">
        <w:rPr>
          <w:bCs/>
        </w:rPr>
        <w:t>300</w:t>
      </w:r>
      <w:r>
        <w:rPr>
          <w:bCs/>
        </w:rPr>
        <w:tab/>
      </w:r>
    </w:p>
    <w:p w14:paraId="7336D60A" w14:textId="77777777" w:rsidR="00531381" w:rsidRDefault="00531381" w:rsidP="00C7549F">
      <w:pPr>
        <w:tabs>
          <w:tab w:val="num" w:pos="720"/>
        </w:tabs>
        <w:ind w:left="720" w:hanging="360"/>
        <w:jc w:val="both"/>
        <w:rPr>
          <w:bCs/>
        </w:rPr>
      </w:pPr>
      <w:r>
        <w:rPr>
          <w:bCs/>
        </w:rPr>
        <w:tab/>
        <w:t>Change in estimates:</w:t>
      </w:r>
      <w:r>
        <w:rPr>
          <w:bCs/>
        </w:rPr>
        <w:tab/>
      </w:r>
      <w:r w:rsidR="00720DD5">
        <w:rPr>
          <w:bCs/>
        </w:rPr>
        <w:t>0</w:t>
      </w:r>
      <w:r>
        <w:rPr>
          <w:bCs/>
        </w:rPr>
        <w:tab/>
      </w:r>
      <w:r>
        <w:rPr>
          <w:bCs/>
        </w:rPr>
        <w:tab/>
      </w:r>
      <w:r>
        <w:rPr>
          <w:bCs/>
        </w:rPr>
        <w:tab/>
      </w:r>
      <w:r w:rsidR="00720DD5">
        <w:rPr>
          <w:bCs/>
        </w:rPr>
        <w:t>0</w:t>
      </w:r>
      <w:r>
        <w:rPr>
          <w:bCs/>
        </w:rPr>
        <w:tab/>
        <w:t xml:space="preserve"> </w:t>
      </w:r>
      <w:r>
        <w:rPr>
          <w:bCs/>
        </w:rPr>
        <w:tab/>
      </w:r>
      <w:r w:rsidR="00720DD5">
        <w:rPr>
          <w:bCs/>
        </w:rPr>
        <w:t>0</w:t>
      </w:r>
    </w:p>
    <w:p w14:paraId="333FE1F1" w14:textId="7A99B8FD" w:rsidR="00531381" w:rsidRDefault="00531381" w:rsidP="00DE5C9B">
      <w:pPr>
        <w:tabs>
          <w:tab w:val="num" w:pos="720"/>
        </w:tabs>
        <w:jc w:val="both"/>
        <w:rPr>
          <w:bCs/>
        </w:rPr>
      </w:pPr>
      <w:r>
        <w:rPr>
          <w:bCs/>
        </w:rPr>
        <w:tab/>
      </w:r>
    </w:p>
    <w:p w14:paraId="27E79707" w14:textId="77777777" w:rsidR="00715773" w:rsidRDefault="00715773" w:rsidP="00D50521">
      <w:pPr>
        <w:tabs>
          <w:tab w:val="num" w:pos="720"/>
        </w:tabs>
        <w:jc w:val="both"/>
        <w:rPr>
          <w:bCs/>
        </w:rPr>
      </w:pPr>
    </w:p>
    <w:p w14:paraId="34CB990B" w14:textId="77777777" w:rsidR="007A0A4C" w:rsidRDefault="007A0A4C" w:rsidP="00C7549F">
      <w:pPr>
        <w:tabs>
          <w:tab w:val="num" w:pos="720"/>
        </w:tabs>
        <w:ind w:left="720" w:hanging="360"/>
        <w:jc w:val="both"/>
        <w:rPr>
          <w:bCs/>
        </w:rPr>
      </w:pPr>
    </w:p>
    <w:p w14:paraId="01BB0135" w14:textId="77777777" w:rsidR="00FA6DCC" w:rsidRDefault="007A0A4C" w:rsidP="000E72C3">
      <w:pPr>
        <w:pStyle w:val="BodyText"/>
        <w:ind w:left="360" w:hanging="360"/>
      </w:pPr>
      <w:r>
        <w:rPr>
          <w:bCs w:val="0"/>
        </w:rPr>
        <w:t>13.</w:t>
      </w:r>
      <w:r w:rsidR="000E72C3">
        <w:rPr>
          <w:bCs w:val="0"/>
        </w:rPr>
        <w:t xml:space="preserve"> </w:t>
      </w:r>
      <w:r>
        <w:t>Estimates of annualized cost</w:t>
      </w:r>
      <w:r w:rsidR="00592313">
        <w:t>s</w:t>
      </w:r>
      <w:r>
        <w:t xml:space="preserve"> to respondents for the hour burdens for providing these applications:  </w:t>
      </w:r>
      <w:r w:rsidR="00EC4566">
        <w:t xml:space="preserve">  None.</w:t>
      </w:r>
    </w:p>
    <w:p w14:paraId="7E2A094B" w14:textId="77777777" w:rsidR="00FA6DCC" w:rsidRDefault="00FA6DCC">
      <w:pPr>
        <w:pStyle w:val="BodyText"/>
      </w:pPr>
    </w:p>
    <w:p w14:paraId="5EEC9062" w14:textId="77777777" w:rsidR="00A92900" w:rsidRDefault="00A92900">
      <w:pPr>
        <w:ind w:firstLine="720"/>
        <w:jc w:val="both"/>
        <w:rPr>
          <w:bCs/>
        </w:rPr>
      </w:pPr>
    </w:p>
    <w:p w14:paraId="00A6A177" w14:textId="77777777" w:rsidR="00A92900" w:rsidRDefault="00A92900" w:rsidP="00A92900">
      <w:pPr>
        <w:ind w:left="360" w:hanging="360"/>
        <w:jc w:val="both"/>
        <w:rPr>
          <w:szCs w:val="24"/>
        </w:rPr>
      </w:pPr>
      <w:r>
        <w:t xml:space="preserve">14. Estimated annual cost to the Federal government is </w:t>
      </w:r>
      <w:r>
        <w:rPr>
          <w:b/>
          <w:bCs/>
        </w:rPr>
        <w:t xml:space="preserve">$337,211.34 </w:t>
      </w:r>
      <w:r>
        <w:t>based on the current requirements and is as follows:</w:t>
      </w:r>
    </w:p>
    <w:p w14:paraId="138CEFD5" w14:textId="77777777" w:rsidR="00A92900" w:rsidRDefault="00A92900" w:rsidP="00A92900">
      <w:pPr>
        <w:ind w:left="360" w:hanging="360"/>
        <w:jc w:val="both"/>
        <w:rPr>
          <w:rFonts w:ascii="Calibri" w:hAnsi="Calibri" w:cs="Calibri"/>
          <w:sz w:val="22"/>
          <w:szCs w:val="22"/>
        </w:rPr>
      </w:pPr>
    </w:p>
    <w:p w14:paraId="20D96831" w14:textId="77777777" w:rsidR="00A92900" w:rsidRDefault="00A92900" w:rsidP="00A92900">
      <w:pPr>
        <w:jc w:val="both"/>
      </w:pPr>
      <w:r>
        <w:t>                Federal Government:</w:t>
      </w:r>
    </w:p>
    <w:p w14:paraId="4F7EEC6A" w14:textId="77777777" w:rsidR="00A92900" w:rsidRDefault="00A92900" w:rsidP="00A92900">
      <w:pPr>
        <w:jc w:val="both"/>
      </w:pPr>
      <w:r>
        <w:t>                Processing Costs</w:t>
      </w:r>
    </w:p>
    <w:p w14:paraId="53408113" w14:textId="77777777" w:rsidR="00A92900" w:rsidRDefault="00A92900" w:rsidP="00A92900">
      <w:pPr>
        <w:jc w:val="both"/>
      </w:pPr>
      <w:r>
        <w:t xml:space="preserve">                -Average staff years to process all </w:t>
      </w:r>
    </w:p>
    <w:p w14:paraId="6CA4A0E6" w14:textId="77777777" w:rsidR="00A92900" w:rsidRDefault="00A92900" w:rsidP="00A92900">
      <w:pPr>
        <w:ind w:firstLine="720"/>
        <w:jc w:val="both"/>
      </w:pPr>
      <w:r>
        <w:t>filings made pursuant to the affected rules in Part 63 in a</w:t>
      </w:r>
    </w:p>
    <w:p w14:paraId="02BD8015" w14:textId="77777777" w:rsidR="00A92900" w:rsidRPr="00532563" w:rsidRDefault="00A92900" w:rsidP="00A92900">
      <w:pPr>
        <w:ind w:firstLine="720"/>
        <w:jc w:val="both"/>
      </w:pPr>
      <w:r w:rsidRPr="00DE5C9B">
        <w:t>12 month period                              </w:t>
      </w:r>
      <w:r w:rsidRPr="00D50521">
        <w:t>                                2</w:t>
      </w:r>
    </w:p>
    <w:p w14:paraId="3AE76817" w14:textId="77777777" w:rsidR="00A92900" w:rsidRPr="00DE5C9B" w:rsidRDefault="00A92900" w:rsidP="00A92900">
      <w:pPr>
        <w:numPr>
          <w:ilvl w:val="0"/>
          <w:numId w:val="15"/>
        </w:numPr>
        <w:jc w:val="both"/>
      </w:pPr>
      <w:r w:rsidRPr="00DE5C9B">
        <w:t>Average grade of employees, (1) GS-13/5; (2)  15/5</w:t>
      </w:r>
    </w:p>
    <w:p w14:paraId="5A91189E" w14:textId="77777777" w:rsidR="00A92900" w:rsidRDefault="00A92900" w:rsidP="00A92900">
      <w:pPr>
        <w:ind w:left="1080"/>
        <w:jc w:val="both"/>
        <w:rPr>
          <w:u w:val="single"/>
        </w:rPr>
      </w:pPr>
      <w:r w:rsidRPr="00D50521">
        <w:t xml:space="preserve">(includes locality pay)                             =             </w:t>
      </w:r>
      <w:r w:rsidRPr="00D50521">
        <w:rPr>
          <w:u w:val="single"/>
        </w:rPr>
        <w:t>$129,696.67</w:t>
      </w:r>
    </w:p>
    <w:p w14:paraId="0B6A4336" w14:textId="77777777" w:rsidR="00A92900" w:rsidRDefault="00A92900" w:rsidP="00A92900">
      <w:pPr>
        <w:ind w:left="1080"/>
        <w:jc w:val="both"/>
      </w:pPr>
    </w:p>
    <w:p w14:paraId="06A131FB" w14:textId="77777777" w:rsidR="00A92900" w:rsidRDefault="00A92900" w:rsidP="00A92900">
      <w:pPr>
        <w:jc w:val="both"/>
      </w:pPr>
      <w:r>
        <w:t xml:space="preserve">                -  Subtotal </w:t>
      </w:r>
      <w:r w:rsidRPr="00532563">
        <w:t>(</w:t>
      </w:r>
      <w:r w:rsidRPr="00DE5C9B">
        <w:t>2</w:t>
      </w:r>
      <w:r>
        <w:t xml:space="preserve"> x $129,696.67)                                        $259,393.34</w:t>
      </w:r>
    </w:p>
    <w:p w14:paraId="710728F9" w14:textId="0671BCC2" w:rsidR="00A92900" w:rsidRDefault="00A92900" w:rsidP="00A92900">
      <w:pPr>
        <w:jc w:val="both"/>
      </w:pPr>
      <w:r>
        <w:t xml:space="preserve">                -  </w:t>
      </w:r>
      <w:r w:rsidR="00076CA2">
        <w:t>Overhead Cost (30% x $259,393.34</w:t>
      </w:r>
      <w:r>
        <w:t xml:space="preserve">)                     </w:t>
      </w:r>
      <w:r>
        <w:rPr>
          <w:u w:val="single"/>
        </w:rPr>
        <w:t>$  </w:t>
      </w:r>
      <w:r w:rsidR="00532563">
        <w:rPr>
          <w:u w:val="single"/>
        </w:rPr>
        <w:t xml:space="preserve">   </w:t>
      </w:r>
      <w:r>
        <w:rPr>
          <w:u w:val="single"/>
        </w:rPr>
        <w:t>77,818.00</w:t>
      </w:r>
    </w:p>
    <w:p w14:paraId="3ABBBA8A" w14:textId="3B7505A8" w:rsidR="00A92900" w:rsidRDefault="00A92900" w:rsidP="00A92900">
      <w:r>
        <w:t xml:space="preserve">                </w:t>
      </w:r>
      <w:r>
        <w:rPr>
          <w:b/>
          <w:bCs/>
        </w:rPr>
        <w:t>Total Government Cost                </w:t>
      </w:r>
      <w:r w:rsidR="00532563">
        <w:rPr>
          <w:b/>
          <w:bCs/>
        </w:rPr>
        <w:t>                             </w:t>
      </w:r>
      <w:r w:rsidR="00730C22">
        <w:rPr>
          <w:b/>
          <w:bCs/>
        </w:rPr>
        <w:t>$337</w:t>
      </w:r>
      <w:bookmarkStart w:id="0" w:name="_GoBack"/>
      <w:bookmarkEnd w:id="0"/>
      <w:r>
        <w:rPr>
          <w:b/>
          <w:bCs/>
        </w:rPr>
        <w:t>,211.34</w:t>
      </w:r>
    </w:p>
    <w:p w14:paraId="21C5CCD2" w14:textId="77777777" w:rsidR="007A0A4C" w:rsidRPr="00076CA2" w:rsidRDefault="007A0A4C" w:rsidP="00076CA2">
      <w:pPr>
        <w:rPr>
          <w:color w:val="1F497D"/>
        </w:rPr>
      </w:pPr>
    </w:p>
    <w:p w14:paraId="3C4F613E" w14:textId="77777777" w:rsidR="007A0A4C" w:rsidRDefault="007A0A4C" w:rsidP="00BD29DC">
      <w:pPr>
        <w:tabs>
          <w:tab w:val="left" w:pos="360"/>
        </w:tabs>
        <w:ind w:left="360"/>
        <w:rPr>
          <w:bCs/>
        </w:rPr>
      </w:pPr>
      <w:r>
        <w:rPr>
          <w:bCs/>
        </w:rPr>
        <w:t>This is based on the Commission’s rules.</w:t>
      </w:r>
    </w:p>
    <w:p w14:paraId="5DA9B48F" w14:textId="59A768E1" w:rsidR="00076CA2" w:rsidRDefault="00076CA2" w:rsidP="00BD29DC">
      <w:pPr>
        <w:tabs>
          <w:tab w:val="left" w:pos="360"/>
        </w:tabs>
        <w:ind w:left="360"/>
        <w:rPr>
          <w:bCs/>
        </w:rPr>
      </w:pPr>
    </w:p>
    <w:p w14:paraId="3C31B2DC" w14:textId="77777777" w:rsidR="00076CA2" w:rsidRDefault="00076CA2" w:rsidP="00BD29DC">
      <w:pPr>
        <w:tabs>
          <w:tab w:val="left" w:pos="360"/>
        </w:tabs>
        <w:ind w:left="360"/>
        <w:rPr>
          <w:bCs/>
        </w:rPr>
      </w:pPr>
    </w:p>
    <w:p w14:paraId="4C524FE7" w14:textId="77777777" w:rsidR="007A0A4C" w:rsidRPr="00E62BAB" w:rsidRDefault="007A0A4C">
      <w:pPr>
        <w:tabs>
          <w:tab w:val="left" w:pos="0"/>
        </w:tabs>
        <w:rPr>
          <w:bCs/>
          <w:color w:val="000000"/>
        </w:rPr>
      </w:pPr>
    </w:p>
    <w:p w14:paraId="0CD03C98" w14:textId="01F9114F" w:rsidR="007A0A4C" w:rsidRPr="00E62BAB" w:rsidRDefault="00165914" w:rsidP="00BD29DC">
      <w:pPr>
        <w:numPr>
          <w:ilvl w:val="0"/>
          <w:numId w:val="13"/>
        </w:numPr>
        <w:tabs>
          <w:tab w:val="clear" w:pos="720"/>
          <w:tab w:val="num" w:pos="360"/>
        </w:tabs>
        <w:ind w:left="360"/>
        <w:rPr>
          <w:bCs/>
          <w:color w:val="000000"/>
        </w:rPr>
      </w:pPr>
      <w:r>
        <w:rPr>
          <w:bCs/>
          <w:color w:val="000000"/>
        </w:rPr>
        <w:lastRenderedPageBreak/>
        <w:t xml:space="preserve">There are no adjustments or program changes with this information collection. </w:t>
      </w:r>
    </w:p>
    <w:p w14:paraId="2BB1475F" w14:textId="77777777" w:rsidR="007A0A4C" w:rsidRPr="00E62BAB" w:rsidRDefault="007A0A4C" w:rsidP="00BD29DC">
      <w:pPr>
        <w:tabs>
          <w:tab w:val="num" w:pos="360"/>
        </w:tabs>
        <w:ind w:left="360" w:hanging="360"/>
        <w:rPr>
          <w:bCs/>
          <w:color w:val="000000"/>
        </w:rPr>
      </w:pPr>
    </w:p>
    <w:p w14:paraId="4B0BCB2C" w14:textId="77777777" w:rsidR="007A0A4C" w:rsidRDefault="007A0A4C" w:rsidP="00BD29DC">
      <w:pPr>
        <w:numPr>
          <w:ilvl w:val="0"/>
          <w:numId w:val="13"/>
        </w:numPr>
        <w:tabs>
          <w:tab w:val="num" w:pos="360"/>
        </w:tabs>
        <w:ind w:left="360"/>
        <w:rPr>
          <w:bCs/>
        </w:rPr>
      </w:pPr>
      <w:r>
        <w:rPr>
          <w:bCs/>
        </w:rPr>
        <w:t>No information is proposed to be published.</w:t>
      </w:r>
    </w:p>
    <w:p w14:paraId="1E7E31A6" w14:textId="77777777" w:rsidR="007A0A4C" w:rsidRDefault="007A0A4C" w:rsidP="00BD29DC">
      <w:pPr>
        <w:tabs>
          <w:tab w:val="num" w:pos="360"/>
        </w:tabs>
        <w:ind w:left="360" w:hanging="360"/>
        <w:rPr>
          <w:bCs/>
        </w:rPr>
      </w:pPr>
    </w:p>
    <w:p w14:paraId="6A437EE6" w14:textId="77777777" w:rsidR="007A0A4C" w:rsidRDefault="007A0A4C" w:rsidP="00BD29DC">
      <w:pPr>
        <w:numPr>
          <w:ilvl w:val="0"/>
          <w:numId w:val="13"/>
        </w:numPr>
        <w:tabs>
          <w:tab w:val="num" w:pos="360"/>
        </w:tabs>
        <w:ind w:left="360"/>
        <w:rPr>
          <w:bCs/>
        </w:rPr>
      </w:pPr>
      <w:r>
        <w:rPr>
          <w:bCs/>
        </w:rPr>
        <w:t>Approval to not display the expiration date for OMB approval is not sought</w:t>
      </w:r>
      <w:r w:rsidR="007E116E">
        <w:rPr>
          <w:bCs/>
        </w:rPr>
        <w:t xml:space="preserve"> since this information collection does not include any forms, etc.</w:t>
      </w:r>
    </w:p>
    <w:p w14:paraId="3A683657" w14:textId="77777777" w:rsidR="007A0A4C" w:rsidRDefault="007A0A4C" w:rsidP="00BD29DC">
      <w:pPr>
        <w:tabs>
          <w:tab w:val="num" w:pos="360"/>
        </w:tabs>
        <w:ind w:left="360" w:hanging="360"/>
        <w:rPr>
          <w:bCs/>
        </w:rPr>
      </w:pPr>
    </w:p>
    <w:p w14:paraId="4AF979F4" w14:textId="4924ED02" w:rsidR="007A0A4C" w:rsidRPr="00B55228" w:rsidRDefault="007E116E" w:rsidP="00BD29DC">
      <w:pPr>
        <w:numPr>
          <w:ilvl w:val="0"/>
          <w:numId w:val="13"/>
        </w:numPr>
        <w:tabs>
          <w:tab w:val="num" w:pos="360"/>
        </w:tabs>
        <w:ind w:left="360"/>
        <w:rPr>
          <w:bCs/>
        </w:rPr>
      </w:pPr>
      <w:r w:rsidRPr="00B55228">
        <w:rPr>
          <w:bCs/>
        </w:rPr>
        <w:t>There are no exceptions to the Certification Statement.</w:t>
      </w:r>
    </w:p>
    <w:p w14:paraId="5FC85104" w14:textId="77777777" w:rsidR="007A0A4C" w:rsidRDefault="007A0A4C" w:rsidP="00BD29DC">
      <w:pPr>
        <w:tabs>
          <w:tab w:val="num" w:pos="360"/>
        </w:tabs>
        <w:ind w:left="360" w:hanging="360"/>
        <w:rPr>
          <w:bCs/>
        </w:rPr>
      </w:pPr>
    </w:p>
    <w:p w14:paraId="22D8FC51" w14:textId="77777777" w:rsidR="007A0A4C" w:rsidRPr="00A70300" w:rsidRDefault="007A0A4C" w:rsidP="00BD29DC">
      <w:pPr>
        <w:pStyle w:val="Heading2"/>
        <w:numPr>
          <w:ilvl w:val="0"/>
          <w:numId w:val="1"/>
        </w:numPr>
        <w:tabs>
          <w:tab w:val="clear" w:pos="0"/>
          <w:tab w:val="num" w:pos="360"/>
        </w:tabs>
        <w:ind w:left="360"/>
        <w:rPr>
          <w:u w:val="single"/>
        </w:rPr>
      </w:pPr>
      <w:r w:rsidRPr="00A70300">
        <w:rPr>
          <w:u w:val="single"/>
        </w:rPr>
        <w:t>Collections of Information Employing Statistical Methods</w:t>
      </w:r>
      <w:r w:rsidR="00A70300">
        <w:rPr>
          <w:u w:val="single"/>
        </w:rPr>
        <w:t>:</w:t>
      </w:r>
    </w:p>
    <w:p w14:paraId="79547E8C" w14:textId="77777777" w:rsidR="007A0A4C" w:rsidRDefault="007A0A4C" w:rsidP="00BD29DC">
      <w:pPr>
        <w:tabs>
          <w:tab w:val="num" w:pos="360"/>
        </w:tabs>
        <w:ind w:left="360" w:hanging="360"/>
        <w:rPr>
          <w:bCs/>
        </w:rPr>
      </w:pPr>
    </w:p>
    <w:p w14:paraId="3987B9DF" w14:textId="77777777" w:rsidR="007A0A4C" w:rsidRDefault="007E116E" w:rsidP="00BD29DC">
      <w:pPr>
        <w:tabs>
          <w:tab w:val="num" w:pos="360"/>
        </w:tabs>
        <w:ind w:left="360" w:hanging="360"/>
        <w:rPr>
          <w:bCs/>
        </w:rPr>
      </w:pPr>
      <w:r>
        <w:rPr>
          <w:bCs/>
        </w:rPr>
        <w:t>This information collection does not employ any statistical methods.</w:t>
      </w:r>
    </w:p>
    <w:p w14:paraId="26F260FA" w14:textId="77777777" w:rsidR="007A0A4C" w:rsidRDefault="007A0A4C" w:rsidP="00BD29DC">
      <w:pPr>
        <w:tabs>
          <w:tab w:val="num" w:pos="360"/>
        </w:tabs>
        <w:ind w:left="360" w:hanging="360"/>
        <w:rPr>
          <w:b/>
        </w:rPr>
      </w:pPr>
      <w:r>
        <w:rPr>
          <w:bCs/>
        </w:rPr>
        <w:br w:type="page"/>
      </w:r>
      <w:r>
        <w:rPr>
          <w:b/>
        </w:rPr>
        <w:lastRenderedPageBreak/>
        <w:t>Attachment A</w:t>
      </w:r>
    </w:p>
    <w:p w14:paraId="3B7F1CCE" w14:textId="77777777" w:rsidR="007A0A4C" w:rsidRDefault="007A0A4C">
      <w:pPr>
        <w:tabs>
          <w:tab w:val="left" w:pos="0"/>
        </w:tabs>
        <w:rPr>
          <w:b/>
        </w:rPr>
      </w:pPr>
    </w:p>
    <w:p w14:paraId="1680D757" w14:textId="77777777" w:rsidR="007A0A4C" w:rsidRDefault="007A0A4C">
      <w:pPr>
        <w:tabs>
          <w:tab w:val="left" w:pos="0"/>
        </w:tabs>
        <w:rPr>
          <w:bCs/>
        </w:rPr>
      </w:pPr>
      <w:r>
        <w:rPr>
          <w:bCs/>
        </w:rPr>
        <w:t>Listing of collections currently in force in Part 63 for which continued OMB approval is sought</w:t>
      </w:r>
      <w:r w:rsidR="00D759C6" w:rsidRPr="00D759C6">
        <w:rPr>
          <w:bCs/>
        </w:rPr>
        <w:t xml:space="preserve"> </w:t>
      </w:r>
      <w:r w:rsidR="00D759C6">
        <w:rPr>
          <w:bCs/>
        </w:rPr>
        <w:t>under OMB Control Number 3060-0149</w:t>
      </w:r>
      <w:r>
        <w:rPr>
          <w:bCs/>
        </w:rPr>
        <w:t>.</w:t>
      </w:r>
    </w:p>
    <w:p w14:paraId="67D1E98A" w14:textId="77777777" w:rsidR="007A0A4C" w:rsidRDefault="007A0A4C">
      <w:pPr>
        <w:tabs>
          <w:tab w:val="left" w:pos="0"/>
        </w:tabs>
        <w:rPr>
          <w:bCs/>
        </w:rPr>
      </w:pPr>
    </w:p>
    <w:p w14:paraId="7AF9312A" w14:textId="77777777" w:rsidR="007A0A4C" w:rsidRDefault="007A0A4C" w:rsidP="0077720D">
      <w:pPr>
        <w:tabs>
          <w:tab w:val="left" w:pos="1620"/>
        </w:tabs>
        <w:ind w:left="1620" w:hanging="1620"/>
        <w:rPr>
          <w:bCs/>
        </w:rPr>
      </w:pPr>
      <w:r>
        <w:rPr>
          <w:bCs/>
        </w:rPr>
        <w:t>Section 63.01 – Authority for all domestic common carrier</w:t>
      </w:r>
      <w:r w:rsidR="002E55D0">
        <w:rPr>
          <w:bCs/>
        </w:rPr>
        <w:t>s</w:t>
      </w:r>
      <w:r>
        <w:rPr>
          <w:bCs/>
        </w:rPr>
        <w:t>.</w:t>
      </w:r>
    </w:p>
    <w:p w14:paraId="44E016E3" w14:textId="77777777" w:rsidR="007A0A4C" w:rsidRDefault="007A0A4C" w:rsidP="0077720D">
      <w:pPr>
        <w:tabs>
          <w:tab w:val="left" w:pos="1620"/>
        </w:tabs>
        <w:ind w:left="1620" w:hanging="1620"/>
        <w:rPr>
          <w:bCs/>
        </w:rPr>
      </w:pPr>
      <w:r>
        <w:rPr>
          <w:bCs/>
        </w:rPr>
        <w:t>Section 63.02 – Exemptions for extensions of lines and for systems for the delivery of video programming.</w:t>
      </w:r>
    </w:p>
    <w:p w14:paraId="63DADB67" w14:textId="77777777" w:rsidR="007A0A4C" w:rsidRDefault="007A0A4C" w:rsidP="0077720D">
      <w:pPr>
        <w:tabs>
          <w:tab w:val="left" w:pos="1620"/>
        </w:tabs>
        <w:ind w:left="1620" w:hanging="1620"/>
        <w:rPr>
          <w:bCs/>
        </w:rPr>
      </w:pPr>
      <w:r>
        <w:rPr>
          <w:bCs/>
        </w:rPr>
        <w:t>Section 63.50 – Amendment of applications.</w:t>
      </w:r>
    </w:p>
    <w:p w14:paraId="5E1FEF8F" w14:textId="77777777" w:rsidR="007A0A4C" w:rsidRDefault="007A0A4C" w:rsidP="0077720D">
      <w:pPr>
        <w:tabs>
          <w:tab w:val="left" w:pos="1620"/>
        </w:tabs>
        <w:ind w:left="1620" w:hanging="1620"/>
        <w:rPr>
          <w:bCs/>
        </w:rPr>
      </w:pPr>
      <w:r>
        <w:rPr>
          <w:bCs/>
        </w:rPr>
        <w:t xml:space="preserve">Section 63.51 </w:t>
      </w:r>
      <w:r w:rsidR="0077720D">
        <w:rPr>
          <w:bCs/>
        </w:rPr>
        <w:t xml:space="preserve">– </w:t>
      </w:r>
      <w:r>
        <w:rPr>
          <w:bCs/>
        </w:rPr>
        <w:t>Additional information.</w:t>
      </w:r>
    </w:p>
    <w:p w14:paraId="0A36256F" w14:textId="77777777" w:rsidR="007A0A4C" w:rsidRDefault="007A0A4C" w:rsidP="0077720D">
      <w:pPr>
        <w:tabs>
          <w:tab w:val="left" w:pos="1620"/>
        </w:tabs>
        <w:ind w:left="1620" w:hanging="1620"/>
        <w:rPr>
          <w:bCs/>
        </w:rPr>
      </w:pPr>
      <w:r>
        <w:rPr>
          <w:bCs/>
        </w:rPr>
        <w:t xml:space="preserve">Section 63.52 – Copies required; </w:t>
      </w:r>
      <w:r w:rsidR="002E55D0">
        <w:rPr>
          <w:bCs/>
        </w:rPr>
        <w:t xml:space="preserve">fees; and </w:t>
      </w:r>
      <w:r>
        <w:rPr>
          <w:bCs/>
        </w:rPr>
        <w:t>filing period</w:t>
      </w:r>
      <w:r w:rsidR="002E55D0">
        <w:rPr>
          <w:bCs/>
        </w:rPr>
        <w:t>s</w:t>
      </w:r>
      <w:r>
        <w:rPr>
          <w:bCs/>
        </w:rPr>
        <w:t xml:space="preserve"> for domestic authorizations.</w:t>
      </w:r>
    </w:p>
    <w:p w14:paraId="5A46B6B0" w14:textId="77777777" w:rsidR="007A0A4C" w:rsidRDefault="007A0A4C" w:rsidP="0077720D">
      <w:pPr>
        <w:tabs>
          <w:tab w:val="left" w:pos="1620"/>
        </w:tabs>
        <w:ind w:left="1620" w:hanging="1620"/>
        <w:rPr>
          <w:bCs/>
        </w:rPr>
      </w:pPr>
      <w:r>
        <w:rPr>
          <w:bCs/>
        </w:rPr>
        <w:t>Section 63.53 – Form.</w:t>
      </w:r>
    </w:p>
    <w:p w14:paraId="65DB73F3" w14:textId="77777777" w:rsidR="007A0A4C" w:rsidRDefault="007A0A4C" w:rsidP="0077720D">
      <w:pPr>
        <w:tabs>
          <w:tab w:val="left" w:pos="1620"/>
        </w:tabs>
        <w:ind w:left="1620" w:hanging="1620"/>
        <w:rPr>
          <w:bCs/>
        </w:rPr>
      </w:pPr>
      <w:r>
        <w:rPr>
          <w:bCs/>
        </w:rPr>
        <w:t>Section 63.60 – Definitions.</w:t>
      </w:r>
    </w:p>
    <w:p w14:paraId="2EFC0E57" w14:textId="77777777" w:rsidR="007A0A4C" w:rsidRDefault="007A0A4C" w:rsidP="0077720D">
      <w:pPr>
        <w:tabs>
          <w:tab w:val="left" w:pos="1620"/>
        </w:tabs>
        <w:ind w:left="1620" w:hanging="1620"/>
        <w:rPr>
          <w:bCs/>
        </w:rPr>
      </w:pPr>
      <w:r>
        <w:rPr>
          <w:bCs/>
        </w:rPr>
        <w:t>Section 63.61 – Applicability.</w:t>
      </w:r>
    </w:p>
    <w:p w14:paraId="16BEEA03" w14:textId="77777777" w:rsidR="007A0A4C" w:rsidRDefault="007A0A4C" w:rsidP="0077720D">
      <w:pPr>
        <w:tabs>
          <w:tab w:val="left" w:pos="1620"/>
        </w:tabs>
        <w:ind w:left="1620" w:hanging="1620"/>
        <w:rPr>
          <w:bCs/>
        </w:rPr>
      </w:pPr>
      <w:r>
        <w:rPr>
          <w:bCs/>
        </w:rPr>
        <w:t>Section 63.62 – Type of discontinuance, reduction, or impairment of telephone or telegraph service requiring formal application.</w:t>
      </w:r>
    </w:p>
    <w:p w14:paraId="352436BA" w14:textId="77777777" w:rsidR="007A0A4C" w:rsidRDefault="007A0A4C" w:rsidP="0077720D">
      <w:pPr>
        <w:tabs>
          <w:tab w:val="left" w:pos="1620"/>
        </w:tabs>
        <w:ind w:left="1620" w:hanging="1620"/>
        <w:rPr>
          <w:bCs/>
        </w:rPr>
      </w:pPr>
      <w:r>
        <w:rPr>
          <w:bCs/>
        </w:rPr>
        <w:t>Section 63.63 – Emergency discontinuance, reduction or impairment of service.</w:t>
      </w:r>
    </w:p>
    <w:p w14:paraId="49545BE8" w14:textId="77777777" w:rsidR="007A0A4C" w:rsidRDefault="007A0A4C" w:rsidP="0077720D">
      <w:pPr>
        <w:tabs>
          <w:tab w:val="left" w:pos="1620"/>
        </w:tabs>
        <w:ind w:left="1620" w:hanging="1620"/>
        <w:rPr>
          <w:bCs/>
        </w:rPr>
      </w:pPr>
      <w:r>
        <w:rPr>
          <w:bCs/>
        </w:rPr>
        <w:t>Section 63.65 – Closure of public toll station where another toll station of applicant in the community will continue service.</w:t>
      </w:r>
    </w:p>
    <w:p w14:paraId="4456A10F" w14:textId="77777777" w:rsidR="007A0A4C" w:rsidRDefault="007A0A4C" w:rsidP="0077720D">
      <w:pPr>
        <w:tabs>
          <w:tab w:val="left" w:pos="1620"/>
        </w:tabs>
        <w:ind w:left="1620" w:hanging="1620"/>
        <w:rPr>
          <w:bCs/>
        </w:rPr>
      </w:pPr>
      <w:r>
        <w:rPr>
          <w:bCs/>
        </w:rPr>
        <w:t>Section 63.66 – Closure of or reduction of hours of service at telephone exchanges at military establishments.</w:t>
      </w:r>
    </w:p>
    <w:p w14:paraId="4A6D84C1" w14:textId="77777777" w:rsidR="007A0A4C" w:rsidRDefault="007A0A4C" w:rsidP="0077720D">
      <w:pPr>
        <w:tabs>
          <w:tab w:val="left" w:pos="1620"/>
        </w:tabs>
        <w:ind w:left="1620" w:hanging="1620"/>
        <w:rPr>
          <w:bCs/>
        </w:rPr>
      </w:pPr>
      <w:r>
        <w:rPr>
          <w:bCs/>
        </w:rPr>
        <w:t>Section 63.71 – Procedures for discontinuance, reduction or impairment of service</w:t>
      </w:r>
      <w:r w:rsidR="00A25A69">
        <w:rPr>
          <w:bCs/>
        </w:rPr>
        <w:t xml:space="preserve"> by domestic carriers</w:t>
      </w:r>
      <w:r>
        <w:rPr>
          <w:bCs/>
        </w:rPr>
        <w:t>.</w:t>
      </w:r>
    </w:p>
    <w:p w14:paraId="668AC4D1" w14:textId="77777777" w:rsidR="007A0A4C" w:rsidRDefault="007A0A4C" w:rsidP="0077720D">
      <w:pPr>
        <w:tabs>
          <w:tab w:val="left" w:pos="1620"/>
        </w:tabs>
        <w:ind w:left="1620" w:hanging="1620"/>
        <w:rPr>
          <w:bCs/>
        </w:rPr>
      </w:pPr>
      <w:r>
        <w:rPr>
          <w:bCs/>
        </w:rPr>
        <w:t xml:space="preserve">Section 63.90 </w:t>
      </w:r>
      <w:r w:rsidR="0077720D">
        <w:rPr>
          <w:bCs/>
        </w:rPr>
        <w:t xml:space="preserve">– </w:t>
      </w:r>
      <w:r>
        <w:rPr>
          <w:bCs/>
        </w:rPr>
        <w:t>Publication and posting of notices.</w:t>
      </w:r>
    </w:p>
    <w:p w14:paraId="74AD648F" w14:textId="77777777" w:rsidR="007A0A4C" w:rsidRDefault="007A0A4C" w:rsidP="0077720D">
      <w:pPr>
        <w:tabs>
          <w:tab w:val="left" w:pos="1620"/>
        </w:tabs>
        <w:ind w:left="1620" w:hanging="1620"/>
        <w:rPr>
          <w:bCs/>
        </w:rPr>
      </w:pPr>
      <w:r>
        <w:rPr>
          <w:bCs/>
        </w:rPr>
        <w:t>Section 63.100 – Notification of service outage. Approved under OMB control number 3060-0484.</w:t>
      </w:r>
    </w:p>
    <w:p w14:paraId="3AF7AB99" w14:textId="77777777" w:rsidR="007A0A4C" w:rsidRDefault="007A0A4C" w:rsidP="0077720D">
      <w:pPr>
        <w:tabs>
          <w:tab w:val="left" w:pos="1620"/>
        </w:tabs>
        <w:ind w:left="1620" w:hanging="1620"/>
        <w:rPr>
          <w:bCs/>
        </w:rPr>
      </w:pPr>
      <w:r>
        <w:rPr>
          <w:bCs/>
        </w:rPr>
        <w:t>Section 63.500 – Contents of applications to dismantle or remove a trunk line.</w:t>
      </w:r>
    </w:p>
    <w:p w14:paraId="4A7EEAEB" w14:textId="77777777" w:rsidR="007A0A4C" w:rsidRDefault="007A0A4C" w:rsidP="0077720D">
      <w:pPr>
        <w:tabs>
          <w:tab w:val="left" w:pos="1620"/>
        </w:tabs>
        <w:ind w:left="1620" w:hanging="1620"/>
        <w:rPr>
          <w:bCs/>
        </w:rPr>
      </w:pPr>
      <w:r>
        <w:rPr>
          <w:bCs/>
        </w:rPr>
        <w:t>Section 63.501 – Contents of applications to sever physical connection or to terminate or suspend interchange of traffic with another carrier.</w:t>
      </w:r>
    </w:p>
    <w:p w14:paraId="02070727" w14:textId="77777777" w:rsidR="007A0A4C" w:rsidRDefault="007A0A4C" w:rsidP="0077720D">
      <w:pPr>
        <w:tabs>
          <w:tab w:val="left" w:pos="1620"/>
        </w:tabs>
        <w:ind w:left="1620" w:hanging="1620"/>
        <w:rPr>
          <w:bCs/>
        </w:rPr>
      </w:pPr>
      <w:r>
        <w:rPr>
          <w:bCs/>
        </w:rPr>
        <w:t>Section 63.504 – Contents of applications to close a public toll station where no other such toll station of the applicant in the community will continue service and where telephone toll service is not otherwise available to the public through a telephone exchange connected with the toll lines of a carrier.</w:t>
      </w:r>
    </w:p>
    <w:p w14:paraId="62AA051C" w14:textId="77777777" w:rsidR="007A0A4C" w:rsidRDefault="007A0A4C" w:rsidP="00324090">
      <w:pPr>
        <w:tabs>
          <w:tab w:val="left" w:pos="1620"/>
        </w:tabs>
        <w:ind w:left="1620" w:hanging="1620"/>
        <w:rPr>
          <w:bCs/>
        </w:rPr>
      </w:pPr>
      <w:r>
        <w:rPr>
          <w:bCs/>
        </w:rPr>
        <w:t>Section 63.505 – Contents of applications for any type of discontinuance, reduction, or impairment of telephone service not specifically provided for in this part.</w:t>
      </w:r>
    </w:p>
    <w:p w14:paraId="2F92E7E1" w14:textId="77777777" w:rsidR="007A0A4C" w:rsidRDefault="007A0A4C" w:rsidP="00D759C6">
      <w:pPr>
        <w:tabs>
          <w:tab w:val="left" w:pos="1620"/>
        </w:tabs>
        <w:ind w:left="1620" w:hanging="1620"/>
      </w:pPr>
      <w:r>
        <w:t>Section 63.601 – Contents of applications for authority to reduce the hours of service of public coast stations under the conditions specified in Section 63.70.</w:t>
      </w:r>
    </w:p>
    <w:sectPr w:rsidR="007A0A4C" w:rsidSect="00B1560F">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F39A4" w14:textId="77777777" w:rsidR="00076CA2" w:rsidRDefault="00076CA2">
      <w:r>
        <w:separator/>
      </w:r>
    </w:p>
  </w:endnote>
  <w:endnote w:type="continuationSeparator" w:id="0">
    <w:p w14:paraId="752A02B6" w14:textId="77777777" w:rsidR="00076CA2" w:rsidRDefault="00076CA2">
      <w:r>
        <w:continuationSeparator/>
      </w:r>
    </w:p>
  </w:endnote>
  <w:endnote w:type="continuationNotice" w:id="1">
    <w:p w14:paraId="7FA55F5E" w14:textId="77777777" w:rsidR="00DE5C9B" w:rsidRDefault="00DE5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021F5" w14:textId="77777777" w:rsidR="00076CA2" w:rsidRDefault="00076CA2" w:rsidP="00516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136FCD" w14:textId="77777777" w:rsidR="00076CA2" w:rsidRDefault="00076C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38550" w14:textId="77777777" w:rsidR="00076CA2" w:rsidRPr="0095129D" w:rsidRDefault="00076CA2" w:rsidP="00516F1E">
    <w:pPr>
      <w:pStyle w:val="Footer"/>
      <w:framePr w:wrap="around" w:vAnchor="text" w:hAnchor="margin" w:xAlign="center" w:y="1"/>
      <w:rPr>
        <w:rStyle w:val="PageNumber"/>
        <w:sz w:val="20"/>
      </w:rPr>
    </w:pPr>
    <w:r w:rsidRPr="0095129D">
      <w:rPr>
        <w:rStyle w:val="PageNumber"/>
        <w:sz w:val="20"/>
      </w:rPr>
      <w:fldChar w:fldCharType="begin"/>
    </w:r>
    <w:r w:rsidRPr="0095129D">
      <w:rPr>
        <w:rStyle w:val="PageNumber"/>
        <w:sz w:val="20"/>
      </w:rPr>
      <w:instrText xml:space="preserve">PAGE  </w:instrText>
    </w:r>
    <w:r w:rsidRPr="0095129D">
      <w:rPr>
        <w:rStyle w:val="PageNumber"/>
        <w:sz w:val="20"/>
      </w:rPr>
      <w:fldChar w:fldCharType="separate"/>
    </w:r>
    <w:r w:rsidR="00730C22">
      <w:rPr>
        <w:rStyle w:val="PageNumber"/>
        <w:noProof/>
        <w:sz w:val="20"/>
      </w:rPr>
      <w:t>5</w:t>
    </w:r>
    <w:r w:rsidRPr="0095129D">
      <w:rPr>
        <w:rStyle w:val="PageNumber"/>
        <w:sz w:val="20"/>
      </w:rPr>
      <w:fldChar w:fldCharType="end"/>
    </w:r>
  </w:p>
  <w:p w14:paraId="1BDE1F83" w14:textId="77777777" w:rsidR="00076CA2" w:rsidRDefault="00076C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CDA15" w14:textId="77777777" w:rsidR="00076CA2" w:rsidRDefault="00076CA2">
      <w:r>
        <w:separator/>
      </w:r>
    </w:p>
  </w:footnote>
  <w:footnote w:type="continuationSeparator" w:id="0">
    <w:p w14:paraId="6F46D779" w14:textId="77777777" w:rsidR="00076CA2" w:rsidRDefault="00076CA2">
      <w:r>
        <w:continuationSeparator/>
      </w:r>
    </w:p>
  </w:footnote>
  <w:footnote w:type="continuationNotice" w:id="1">
    <w:p w14:paraId="17D0BF3C" w14:textId="77777777" w:rsidR="00DE5C9B" w:rsidRDefault="00DE5C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CFE50" w14:textId="613F94F9" w:rsidR="00076CA2" w:rsidRDefault="00076CA2" w:rsidP="00A536FE">
    <w:pPr>
      <w:pStyle w:val="Header"/>
      <w:rPr>
        <w:b/>
      </w:rPr>
    </w:pPr>
    <w:r>
      <w:rPr>
        <w:b/>
      </w:rPr>
      <w:t>Part 63, Application and Supplemental Information</w:t>
    </w:r>
    <w:r>
      <w:rPr>
        <w:b/>
      </w:rPr>
      <w:tab/>
      <w:t xml:space="preserve">     3060-0149</w:t>
    </w:r>
  </w:p>
  <w:p w14:paraId="05FED7F3" w14:textId="576CB18D" w:rsidR="00076CA2" w:rsidRDefault="00076CA2">
    <w:pPr>
      <w:pStyle w:val="Header"/>
      <w:rPr>
        <w:b/>
      </w:rPr>
    </w:pPr>
    <w:r>
      <w:rPr>
        <w:b/>
      </w:rPr>
      <w:t xml:space="preserve">Requirements </w:t>
    </w:r>
    <w:r>
      <w:rPr>
        <w:b/>
      </w:rPr>
      <w:tab/>
    </w:r>
    <w:r>
      <w:rPr>
        <w:b/>
      </w:rPr>
      <w:tab/>
      <w:t>January 2016</w:t>
    </w:r>
  </w:p>
  <w:p w14:paraId="079187C4" w14:textId="77777777" w:rsidR="00076CA2" w:rsidRDefault="00076CA2">
    <w:pPr>
      <w:pStyle w:val="Header"/>
      <w:rPr>
        <w:b/>
      </w:rPr>
    </w:pPr>
  </w:p>
  <w:p w14:paraId="56B0E34E" w14:textId="56842F8E" w:rsidR="00076CA2" w:rsidRDefault="00076CA2" w:rsidP="00DE5C9B">
    <w:pPr>
      <w:pStyle w:val="Header"/>
      <w:jc w:val="right"/>
    </w:pPr>
    <w:r>
      <w:rPr>
        <w:b/>
      </w:rPr>
      <w:tab/>
    </w:r>
    <w:r>
      <w:rPr>
        <w:b/>
      </w:rPr>
      <w:tab/>
    </w:r>
    <w:r w:rsidRPr="0057069D">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EA7"/>
    <w:multiLevelType w:val="hybridMultilevel"/>
    <w:tmpl w:val="C540D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27D83"/>
    <w:multiLevelType w:val="hybridMultilevel"/>
    <w:tmpl w:val="8E86504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5A1E0F"/>
    <w:multiLevelType w:val="hybridMultilevel"/>
    <w:tmpl w:val="E62E11B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FE49C0"/>
    <w:multiLevelType w:val="hybridMultilevel"/>
    <w:tmpl w:val="EE34C20E"/>
    <w:lvl w:ilvl="0" w:tplc="0F06D3B4">
      <w:start w:val="4"/>
      <w:numFmt w:val="decimal"/>
      <w:lvlText w:val="%1."/>
      <w:lvlJc w:val="left"/>
      <w:pPr>
        <w:tabs>
          <w:tab w:val="num" w:pos="780"/>
        </w:tabs>
        <w:ind w:left="780" w:hanging="420"/>
      </w:pPr>
      <w:rPr>
        <w:rFonts w:hint="default"/>
      </w:rPr>
    </w:lvl>
    <w:lvl w:ilvl="1" w:tplc="285E02F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495FB3"/>
    <w:multiLevelType w:val="hybridMultilevel"/>
    <w:tmpl w:val="B77E06C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C56FCC"/>
    <w:multiLevelType w:val="hybridMultilevel"/>
    <w:tmpl w:val="4B5A4A2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302FF7"/>
    <w:multiLevelType w:val="hybridMultilevel"/>
    <w:tmpl w:val="9E967EF2"/>
    <w:lvl w:ilvl="0" w:tplc="BB7E59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175BFA"/>
    <w:multiLevelType w:val="hybridMultilevel"/>
    <w:tmpl w:val="480C61BC"/>
    <w:lvl w:ilvl="0" w:tplc="CAB2C620">
      <w:start w:val="1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AB5932"/>
    <w:multiLevelType w:val="hybridMultilevel"/>
    <w:tmpl w:val="71763F9C"/>
    <w:lvl w:ilvl="0" w:tplc="AE4A035E">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A162E8"/>
    <w:multiLevelType w:val="hybridMultilevel"/>
    <w:tmpl w:val="1750A814"/>
    <w:lvl w:ilvl="0" w:tplc="591E37B8">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457408"/>
    <w:multiLevelType w:val="hybridMultilevel"/>
    <w:tmpl w:val="55C6FA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C8455F1"/>
    <w:multiLevelType w:val="hybridMultilevel"/>
    <w:tmpl w:val="33A6C2B2"/>
    <w:lvl w:ilvl="0" w:tplc="DE12028C">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334FEF"/>
    <w:multiLevelType w:val="hybridMultilevel"/>
    <w:tmpl w:val="A492148E"/>
    <w:lvl w:ilvl="0" w:tplc="04090015">
      <w:start w:val="1"/>
      <w:numFmt w:val="upperLetter"/>
      <w:lvlText w:val="%1."/>
      <w:lvlJc w:val="left"/>
      <w:pPr>
        <w:tabs>
          <w:tab w:val="num" w:pos="1080"/>
        </w:tabs>
        <w:ind w:left="1080" w:hanging="360"/>
      </w:pPr>
      <w:rPr>
        <w:rFonts w:hint="default"/>
      </w:rPr>
    </w:lvl>
    <w:lvl w:ilvl="1" w:tplc="F0523C9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595E4D"/>
    <w:multiLevelType w:val="hybridMultilevel"/>
    <w:tmpl w:val="DD045DA8"/>
    <w:lvl w:ilvl="0" w:tplc="8598AC9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11"/>
  </w:num>
  <w:num w:numId="4">
    <w:abstractNumId w:val="10"/>
  </w:num>
  <w:num w:numId="5">
    <w:abstractNumId w:val="3"/>
  </w:num>
  <w:num w:numId="6">
    <w:abstractNumId w:val="4"/>
  </w:num>
  <w:num w:numId="7">
    <w:abstractNumId w:val="2"/>
  </w:num>
  <w:num w:numId="8">
    <w:abstractNumId w:val="8"/>
  </w:num>
  <w:num w:numId="9">
    <w:abstractNumId w:val="9"/>
  </w:num>
  <w:num w:numId="10">
    <w:abstractNumId w:val="7"/>
  </w:num>
  <w:num w:numId="11">
    <w:abstractNumId w:val="13"/>
  </w:num>
  <w:num w:numId="12">
    <w:abstractNumId w:val="5"/>
  </w:num>
  <w:num w:numId="13">
    <w:abstractNumId w:val="1"/>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5B"/>
    <w:rsid w:val="000225C6"/>
    <w:rsid w:val="00076CA2"/>
    <w:rsid w:val="00084677"/>
    <w:rsid w:val="000C4BA4"/>
    <w:rsid w:val="000C4BAB"/>
    <w:rsid w:val="000E6C19"/>
    <w:rsid w:val="000E72C3"/>
    <w:rsid w:val="001117BE"/>
    <w:rsid w:val="00154BB4"/>
    <w:rsid w:val="00165914"/>
    <w:rsid w:val="00167D89"/>
    <w:rsid w:val="001E3A7C"/>
    <w:rsid w:val="00247C46"/>
    <w:rsid w:val="00264D06"/>
    <w:rsid w:val="0027309A"/>
    <w:rsid w:val="002A2288"/>
    <w:rsid w:val="002A2DAE"/>
    <w:rsid w:val="002A554A"/>
    <w:rsid w:val="002B3B9F"/>
    <w:rsid w:val="002D07B8"/>
    <w:rsid w:val="002E55D0"/>
    <w:rsid w:val="002F5E92"/>
    <w:rsid w:val="00303C5A"/>
    <w:rsid w:val="003127BA"/>
    <w:rsid w:val="00314634"/>
    <w:rsid w:val="00324090"/>
    <w:rsid w:val="003275CB"/>
    <w:rsid w:val="00346034"/>
    <w:rsid w:val="00360B69"/>
    <w:rsid w:val="003A4B14"/>
    <w:rsid w:val="003D46EC"/>
    <w:rsid w:val="003E0EE3"/>
    <w:rsid w:val="003E4DBA"/>
    <w:rsid w:val="003F1256"/>
    <w:rsid w:val="00424234"/>
    <w:rsid w:val="0043464F"/>
    <w:rsid w:val="00442E27"/>
    <w:rsid w:val="00444F45"/>
    <w:rsid w:val="00445E24"/>
    <w:rsid w:val="00460581"/>
    <w:rsid w:val="004769B4"/>
    <w:rsid w:val="004865C2"/>
    <w:rsid w:val="00491C8B"/>
    <w:rsid w:val="004A45C3"/>
    <w:rsid w:val="004B743F"/>
    <w:rsid w:val="004C2EF4"/>
    <w:rsid w:val="004C5254"/>
    <w:rsid w:val="004D3C79"/>
    <w:rsid w:val="004D4818"/>
    <w:rsid w:val="005159B3"/>
    <w:rsid w:val="00516F1E"/>
    <w:rsid w:val="00524A26"/>
    <w:rsid w:val="00526250"/>
    <w:rsid w:val="00531381"/>
    <w:rsid w:val="00532563"/>
    <w:rsid w:val="00543D34"/>
    <w:rsid w:val="005461A3"/>
    <w:rsid w:val="005503DB"/>
    <w:rsid w:val="00567278"/>
    <w:rsid w:val="0057069D"/>
    <w:rsid w:val="0058549D"/>
    <w:rsid w:val="00592313"/>
    <w:rsid w:val="00593B34"/>
    <w:rsid w:val="005C6814"/>
    <w:rsid w:val="005E0069"/>
    <w:rsid w:val="006069FC"/>
    <w:rsid w:val="006659C8"/>
    <w:rsid w:val="0067592D"/>
    <w:rsid w:val="006A247E"/>
    <w:rsid w:val="006B00C5"/>
    <w:rsid w:val="006B7781"/>
    <w:rsid w:val="006D7FD1"/>
    <w:rsid w:val="006F19DF"/>
    <w:rsid w:val="006F5526"/>
    <w:rsid w:val="007034AB"/>
    <w:rsid w:val="00715773"/>
    <w:rsid w:val="007157D8"/>
    <w:rsid w:val="00720DD5"/>
    <w:rsid w:val="007249CD"/>
    <w:rsid w:val="00730C22"/>
    <w:rsid w:val="00741649"/>
    <w:rsid w:val="0075176A"/>
    <w:rsid w:val="0076287D"/>
    <w:rsid w:val="0077720D"/>
    <w:rsid w:val="00793FF2"/>
    <w:rsid w:val="007A0A4C"/>
    <w:rsid w:val="007A11F8"/>
    <w:rsid w:val="007A7F83"/>
    <w:rsid w:val="007C40D3"/>
    <w:rsid w:val="007C6D75"/>
    <w:rsid w:val="007D64D1"/>
    <w:rsid w:val="007D7817"/>
    <w:rsid w:val="007E116E"/>
    <w:rsid w:val="007F328B"/>
    <w:rsid w:val="008041C3"/>
    <w:rsid w:val="00805906"/>
    <w:rsid w:val="00822A07"/>
    <w:rsid w:val="0084245E"/>
    <w:rsid w:val="00852007"/>
    <w:rsid w:val="008800CC"/>
    <w:rsid w:val="008A34DC"/>
    <w:rsid w:val="008B26DC"/>
    <w:rsid w:val="008C0249"/>
    <w:rsid w:val="008C5289"/>
    <w:rsid w:val="008D647D"/>
    <w:rsid w:val="008E19F2"/>
    <w:rsid w:val="008E67F6"/>
    <w:rsid w:val="008E7E57"/>
    <w:rsid w:val="00937C1E"/>
    <w:rsid w:val="009406DE"/>
    <w:rsid w:val="0095129D"/>
    <w:rsid w:val="00962E2D"/>
    <w:rsid w:val="009825E2"/>
    <w:rsid w:val="00995E86"/>
    <w:rsid w:val="009F7396"/>
    <w:rsid w:val="00A0012C"/>
    <w:rsid w:val="00A21812"/>
    <w:rsid w:val="00A25384"/>
    <w:rsid w:val="00A25A69"/>
    <w:rsid w:val="00A30CDE"/>
    <w:rsid w:val="00A536FE"/>
    <w:rsid w:val="00A54C4E"/>
    <w:rsid w:val="00A57336"/>
    <w:rsid w:val="00A70300"/>
    <w:rsid w:val="00A870D6"/>
    <w:rsid w:val="00A92900"/>
    <w:rsid w:val="00AC053F"/>
    <w:rsid w:val="00AC142B"/>
    <w:rsid w:val="00AE1665"/>
    <w:rsid w:val="00B02F96"/>
    <w:rsid w:val="00B13356"/>
    <w:rsid w:val="00B1560F"/>
    <w:rsid w:val="00B209FC"/>
    <w:rsid w:val="00B24D68"/>
    <w:rsid w:val="00B36BE7"/>
    <w:rsid w:val="00B453AD"/>
    <w:rsid w:val="00B55228"/>
    <w:rsid w:val="00B61F95"/>
    <w:rsid w:val="00B63152"/>
    <w:rsid w:val="00B722F4"/>
    <w:rsid w:val="00BA05EE"/>
    <w:rsid w:val="00BA5D75"/>
    <w:rsid w:val="00BA77F6"/>
    <w:rsid w:val="00BB261D"/>
    <w:rsid w:val="00BD29DC"/>
    <w:rsid w:val="00BD4310"/>
    <w:rsid w:val="00C12B10"/>
    <w:rsid w:val="00C262DA"/>
    <w:rsid w:val="00C3690E"/>
    <w:rsid w:val="00C43D0C"/>
    <w:rsid w:val="00C5785A"/>
    <w:rsid w:val="00C61C60"/>
    <w:rsid w:val="00C629A7"/>
    <w:rsid w:val="00C65D86"/>
    <w:rsid w:val="00C7549F"/>
    <w:rsid w:val="00CA4154"/>
    <w:rsid w:val="00CA663D"/>
    <w:rsid w:val="00CB5CF5"/>
    <w:rsid w:val="00CC7B8B"/>
    <w:rsid w:val="00CF2E18"/>
    <w:rsid w:val="00D50521"/>
    <w:rsid w:val="00D74204"/>
    <w:rsid w:val="00D759C6"/>
    <w:rsid w:val="00DC559D"/>
    <w:rsid w:val="00DE06DA"/>
    <w:rsid w:val="00DE5C9B"/>
    <w:rsid w:val="00DE7020"/>
    <w:rsid w:val="00E466C0"/>
    <w:rsid w:val="00E608CE"/>
    <w:rsid w:val="00E62BAB"/>
    <w:rsid w:val="00E671B7"/>
    <w:rsid w:val="00E95680"/>
    <w:rsid w:val="00EB2768"/>
    <w:rsid w:val="00EC4566"/>
    <w:rsid w:val="00ED0FCD"/>
    <w:rsid w:val="00ED6C4E"/>
    <w:rsid w:val="00EE3C60"/>
    <w:rsid w:val="00EE5BC3"/>
    <w:rsid w:val="00F04E97"/>
    <w:rsid w:val="00F158A7"/>
    <w:rsid w:val="00F359DA"/>
    <w:rsid w:val="00F37D34"/>
    <w:rsid w:val="00F419B1"/>
    <w:rsid w:val="00F72392"/>
    <w:rsid w:val="00FA6DCC"/>
    <w:rsid w:val="00FB0BE0"/>
    <w:rsid w:val="00FC339A"/>
    <w:rsid w:val="00FC395B"/>
    <w:rsid w:val="00FC5CA2"/>
    <w:rsid w:val="00FD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4C299F5"/>
  <w15:chartTrackingRefBased/>
  <w15:docId w15:val="{2DCFAD1F-D458-418E-AD0C-3367C87F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0"/>
      </w:tabs>
      <w:ind w:left="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Cs/>
    </w:rPr>
  </w:style>
  <w:style w:type="paragraph" w:styleId="BalloonText">
    <w:name w:val="Balloon Text"/>
    <w:basedOn w:val="Normal"/>
    <w:semiHidden/>
    <w:rsid w:val="00CA663D"/>
    <w:rPr>
      <w:rFonts w:ascii="Tahoma" w:hAnsi="Tahoma" w:cs="Tahoma"/>
      <w:sz w:val="16"/>
      <w:szCs w:val="16"/>
    </w:rPr>
  </w:style>
  <w:style w:type="paragraph" w:styleId="Header">
    <w:name w:val="header"/>
    <w:basedOn w:val="Normal"/>
    <w:rsid w:val="0057069D"/>
    <w:pPr>
      <w:tabs>
        <w:tab w:val="center" w:pos="4320"/>
        <w:tab w:val="right" w:pos="8640"/>
      </w:tabs>
    </w:pPr>
  </w:style>
  <w:style w:type="paragraph" w:styleId="Footer">
    <w:name w:val="footer"/>
    <w:basedOn w:val="Normal"/>
    <w:rsid w:val="0057069D"/>
    <w:pPr>
      <w:tabs>
        <w:tab w:val="center" w:pos="4320"/>
        <w:tab w:val="right" w:pos="8640"/>
      </w:tabs>
    </w:pPr>
  </w:style>
  <w:style w:type="character" w:styleId="PageNumber">
    <w:name w:val="page number"/>
    <w:basedOn w:val="DefaultParagraphFont"/>
    <w:rsid w:val="0095129D"/>
  </w:style>
  <w:style w:type="character" w:styleId="CommentReference">
    <w:name w:val="annotation reference"/>
    <w:basedOn w:val="DefaultParagraphFont"/>
    <w:rsid w:val="00715773"/>
    <w:rPr>
      <w:sz w:val="16"/>
      <w:szCs w:val="16"/>
    </w:rPr>
  </w:style>
  <w:style w:type="paragraph" w:styleId="CommentText">
    <w:name w:val="annotation text"/>
    <w:basedOn w:val="Normal"/>
    <w:link w:val="CommentTextChar"/>
    <w:rsid w:val="00715773"/>
    <w:rPr>
      <w:sz w:val="20"/>
    </w:rPr>
  </w:style>
  <w:style w:type="character" w:customStyle="1" w:styleId="CommentTextChar">
    <w:name w:val="Comment Text Char"/>
    <w:basedOn w:val="DefaultParagraphFont"/>
    <w:link w:val="CommentText"/>
    <w:rsid w:val="00715773"/>
  </w:style>
  <w:style w:type="paragraph" w:styleId="CommentSubject">
    <w:name w:val="annotation subject"/>
    <w:basedOn w:val="CommentText"/>
    <w:next w:val="CommentText"/>
    <w:link w:val="CommentSubjectChar"/>
    <w:rsid w:val="00715773"/>
    <w:rPr>
      <w:b/>
      <w:bCs/>
    </w:rPr>
  </w:style>
  <w:style w:type="character" w:customStyle="1" w:styleId="CommentSubjectChar">
    <w:name w:val="Comment Subject Char"/>
    <w:basedOn w:val="CommentTextChar"/>
    <w:link w:val="CommentSubject"/>
    <w:rsid w:val="00715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2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827BB-4CE1-4070-89E7-6496E6AD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NCS</dc:creator>
  <cp:keywords/>
  <cp:lastModifiedBy>Nicole Ongele</cp:lastModifiedBy>
  <cp:revision>5</cp:revision>
  <cp:lastPrinted>2015-12-15T22:12:00Z</cp:lastPrinted>
  <dcterms:created xsi:type="dcterms:W3CDTF">2015-12-15T20:25:00Z</dcterms:created>
  <dcterms:modified xsi:type="dcterms:W3CDTF">2015-12-15T22:12:00Z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kCAAEP8u4C7z7Wq/0A65Co3S4bzXwSXSM94UpR5p5mAFnlSMXdEXyNoJPn0NXkgCsWZwIW09JJP+zBkR_x000d_
eKRbvffoS7lBo+Wnwmzp2GJVvRj9W26T75vz2lG3c9d6aj3X1q09GofTgBNUXxTJBUHDP1WPubGv_x000d_
5QbRgsPH</vt:lpwstr>
  </property>
  <property fmtid="{D5CDD505-2E9C-101B-9397-08002B2CF9AE}" pid="3" name="RESPONSE_SENDER_NAME">
    <vt:lpwstr>sAAAE9kkUq3pEoKpE+h36c91yeGCrC4dgLoKftIgppzikmU=</vt:lpwstr>
  </property>
  <property fmtid="{D5CDD505-2E9C-101B-9397-08002B2CF9AE}" pid="4" name="EMAIL_OWNER_ADDRESS">
    <vt:lpwstr>4AAAUmLmXdMZevQp+tdFu6HkpP+KMq0JEVkjaviT/bacBt6hfItQL0BvLw==</vt:lpwstr>
  </property>
</Properties>
</file>