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3038-00</w:t>
      </w:r>
      <w:r w:rsidR="0044799F">
        <w:rPr>
          <w:rFonts w:eastAsia="Times New Roman" w:cs="Times New Roman"/>
          <w:b/>
          <w:szCs w:val="24"/>
        </w:rPr>
        <w:t>24</w:t>
      </w:r>
    </w:p>
    <w:p w:rsidR="00D12FEB" w:rsidRPr="00642B6A" w:rsidRDefault="00D12FEB" w:rsidP="00642B6A">
      <w:pPr>
        <w:tabs>
          <w:tab w:val="center" w:pos="4680"/>
        </w:tabs>
        <w:suppressAutoHyphens/>
        <w:spacing w:after="240"/>
        <w:jc w:val="center"/>
        <w:rPr>
          <w:rFonts w:eastAsia="Times New Roman" w:cs="Times New Roman"/>
          <w:b/>
          <w:szCs w:val="24"/>
        </w:rPr>
      </w:pP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P.L. 111-023, 124 stat. 1376,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and major swap participants.  The Commission </w:t>
      </w:r>
      <w:r w:rsidR="008C03FD">
        <w:rPr>
          <w:rFonts w:eastAsia="Times New Roman" w:cs="Times New Roman"/>
          <w:color w:val="000000"/>
          <w:szCs w:val="24"/>
        </w:rPr>
        <w:t>finalized</w:t>
      </w:r>
      <w:r w:rsidR="00F301A8">
        <w:rPr>
          <w:rFonts w:eastAsia="Times New Roman" w:cs="Times New Roman"/>
          <w:color w:val="000000"/>
          <w:szCs w:val="24"/>
        </w:rPr>
        <w:t xml:space="preserve"> </w:t>
      </w:r>
      <w:r w:rsidR="007C5B3F">
        <w:rPr>
          <w:rFonts w:eastAsia="Times New Roman" w:cs="Times New Roman"/>
          <w:color w:val="000000"/>
          <w:szCs w:val="24"/>
        </w:rPr>
        <w:t xml:space="preserve">the </w:t>
      </w:r>
      <w:r w:rsidR="00F11AF6" w:rsidRPr="00F11AF6">
        <w:rPr>
          <w:rFonts w:eastAsia="Times New Roman" w:cs="Times New Roman"/>
          <w:color w:val="000000"/>
          <w:szCs w:val="24"/>
        </w:rPr>
        <w:t xml:space="preserve">Margin Requirements for Uncleared Swaps for Swap Dealers (“SDs”) and Major Swap </w:t>
      </w:r>
      <w:r w:rsidR="00F11AF6">
        <w:rPr>
          <w:rFonts w:eastAsia="Times New Roman" w:cs="Times New Roman"/>
          <w:color w:val="000000"/>
          <w:szCs w:val="24"/>
        </w:rPr>
        <w:t xml:space="preserve">Participants </w:t>
      </w:r>
      <w:r w:rsidR="00F11AF6" w:rsidRPr="00F11AF6">
        <w:rPr>
          <w:rFonts w:eastAsia="Times New Roman" w:cs="Times New Roman"/>
          <w:color w:val="000000"/>
          <w:szCs w:val="24"/>
        </w:rPr>
        <w:t>(“MSPs”)</w:t>
      </w:r>
      <w:r w:rsidR="00F11AF6">
        <w:rPr>
          <w:rFonts w:eastAsia="Times New Roman" w:cs="Times New Roman"/>
          <w:color w:val="000000"/>
          <w:szCs w:val="24"/>
        </w:rPr>
        <w:t xml:space="preserve"> rule</w:t>
      </w:r>
      <w:r w:rsidR="00C639C6">
        <w:rPr>
          <w:rFonts w:eastAsia="Times New Roman" w:cs="Times New Roman"/>
          <w:color w:val="000000"/>
          <w:szCs w:val="24"/>
        </w:rPr>
        <w:t xml:space="preserve"> </w:t>
      </w:r>
      <w:r w:rsidR="00557EF2">
        <w:rPr>
          <w:rFonts w:eastAsia="Times New Roman" w:cs="Times New Roman"/>
          <w:color w:val="000000"/>
          <w:szCs w:val="24"/>
        </w:rPr>
        <w:t>to implement those requirements</w:t>
      </w:r>
      <w:r w:rsidR="00751B4D">
        <w:rPr>
          <w:rFonts w:eastAsia="Times New Roman" w:cs="Times New Roman"/>
          <w:color w:val="000000"/>
          <w:szCs w:val="24"/>
        </w:rPr>
        <w:t>.</w:t>
      </w:r>
    </w:p>
    <w:p w:rsidR="007C5B3F" w:rsidRDefault="007C5B3F" w:rsidP="00642B6A">
      <w:pPr>
        <w:autoSpaceDE w:val="0"/>
        <w:autoSpaceDN w:val="0"/>
        <w:adjustRightInd w:val="0"/>
        <w:rPr>
          <w:rFonts w:eastAsia="Times New Roman" w:cs="Times New Roman"/>
          <w:color w:val="000000"/>
          <w:szCs w:val="24"/>
        </w:rPr>
      </w:pPr>
    </w:p>
    <w:p w:rsidR="0044799F" w:rsidRDefault="007C5B3F" w:rsidP="00642B6A">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Specifically, </w:t>
      </w:r>
      <w:r w:rsidR="0044799F">
        <w:rPr>
          <w:rFonts w:eastAsia="Times New Roman" w:cs="Times New Roman"/>
          <w:color w:val="000000"/>
          <w:szCs w:val="24"/>
        </w:rPr>
        <w:t>Regulation 23.154(b)</w:t>
      </w:r>
      <w:r>
        <w:rPr>
          <w:rFonts w:eastAsia="Times New Roman" w:cs="Times New Roman"/>
          <w:color w:val="000000"/>
          <w:szCs w:val="24"/>
        </w:rPr>
        <w:t xml:space="preserve"> </w:t>
      </w:r>
      <w:r w:rsidR="00FC3A55">
        <w:rPr>
          <w:rFonts w:eastAsia="Times New Roman" w:cs="Times New Roman"/>
          <w:color w:val="000000"/>
          <w:szCs w:val="24"/>
        </w:rPr>
        <w:t xml:space="preserve">will </w:t>
      </w:r>
      <w:r>
        <w:rPr>
          <w:rFonts w:eastAsia="Times New Roman" w:cs="Times New Roman"/>
          <w:color w:val="000000"/>
          <w:szCs w:val="24"/>
        </w:rPr>
        <w:t xml:space="preserve">require SDs and MSPs </w:t>
      </w:r>
      <w:r w:rsidR="00F301A8">
        <w:rPr>
          <w:rFonts w:eastAsia="Times New Roman" w:cs="Times New Roman"/>
          <w:color w:val="000000"/>
          <w:szCs w:val="24"/>
        </w:rPr>
        <w:t xml:space="preserve">that do not have a prudential regulator (“CSEs”) </w:t>
      </w:r>
      <w:r>
        <w:rPr>
          <w:rFonts w:eastAsia="Times New Roman" w:cs="Times New Roman"/>
          <w:color w:val="000000"/>
          <w:szCs w:val="24"/>
        </w:rPr>
        <w:t>that are using a model to compute</w:t>
      </w:r>
      <w:r w:rsidR="0044799F">
        <w:rPr>
          <w:rFonts w:eastAsia="Times New Roman" w:cs="Times New Roman"/>
          <w:color w:val="000000"/>
          <w:szCs w:val="24"/>
        </w:rPr>
        <w:t xml:space="preserve"> initial</w:t>
      </w:r>
      <w:r>
        <w:rPr>
          <w:rFonts w:eastAsia="Times New Roman" w:cs="Times New Roman"/>
          <w:color w:val="000000"/>
          <w:szCs w:val="24"/>
        </w:rPr>
        <w:t xml:space="preserve"> margin requirements to submit the model for review and approval by the Commission</w:t>
      </w:r>
      <w:r w:rsidR="00F301A8">
        <w:rPr>
          <w:rFonts w:eastAsia="Times New Roman" w:cs="Times New Roman"/>
          <w:color w:val="000000"/>
          <w:szCs w:val="24"/>
        </w:rPr>
        <w:t xml:space="preserve"> or a registered futures association (“RFA”)</w:t>
      </w:r>
      <w:r>
        <w:rPr>
          <w:rFonts w:eastAsia="Times New Roman" w:cs="Times New Roman"/>
          <w:color w:val="000000"/>
          <w:szCs w:val="24"/>
        </w:rPr>
        <w:t>.</w:t>
      </w:r>
      <w:r w:rsidR="006E3A2A">
        <w:rPr>
          <w:rStyle w:val="FootnoteReference"/>
          <w:rFonts w:eastAsia="Times New Roman" w:cs="Times New Roman"/>
          <w:color w:val="000000"/>
          <w:szCs w:val="24"/>
        </w:rPr>
        <w:footnoteReference w:id="1"/>
      </w:r>
      <w:r>
        <w:rPr>
          <w:rFonts w:eastAsia="Times New Roman" w:cs="Times New Roman"/>
          <w:color w:val="000000"/>
          <w:szCs w:val="24"/>
        </w:rPr>
        <w:t xml:space="preserve">  </w:t>
      </w:r>
      <w:r w:rsidR="00F301A8">
        <w:rPr>
          <w:rFonts w:eastAsia="Times New Roman" w:cs="Times New Roman"/>
          <w:color w:val="000000"/>
          <w:szCs w:val="24"/>
        </w:rPr>
        <w:t>CSEs</w:t>
      </w:r>
      <w:r>
        <w:rPr>
          <w:rFonts w:eastAsia="Times New Roman" w:cs="Times New Roman"/>
          <w:color w:val="000000"/>
          <w:szCs w:val="24"/>
        </w:rPr>
        <w:t xml:space="preserve"> must also notify the Commission upon making certain changes to the model, including modifying material modeling assumptions</w:t>
      </w:r>
      <w:r w:rsidR="0044799F">
        <w:rPr>
          <w:rFonts w:eastAsia="Times New Roman" w:cs="Times New Roman"/>
          <w:color w:val="000000"/>
          <w:szCs w:val="24"/>
        </w:rPr>
        <w:t xml:space="preserve"> and extending the model to additional product types</w:t>
      </w:r>
      <w:r>
        <w:rPr>
          <w:rFonts w:eastAsia="Times New Roman" w:cs="Times New Roman"/>
          <w:color w:val="000000"/>
          <w:szCs w:val="24"/>
        </w:rPr>
        <w:t xml:space="preserve">.  </w:t>
      </w:r>
      <w:r w:rsidR="00F301A8">
        <w:rPr>
          <w:rFonts w:eastAsia="Times New Roman" w:cs="Times New Roman"/>
          <w:color w:val="000000"/>
          <w:szCs w:val="24"/>
        </w:rPr>
        <w:t>CSEs</w:t>
      </w:r>
      <w:r>
        <w:rPr>
          <w:rFonts w:eastAsia="Times New Roman" w:cs="Times New Roman"/>
          <w:color w:val="000000"/>
          <w:szCs w:val="24"/>
        </w:rPr>
        <w:t xml:space="preserve"> must also meet various other requirements, including validating and demonstrating the reasonableness of the process for modeling and measuring hedging benefits.  </w:t>
      </w:r>
    </w:p>
    <w:p w:rsidR="007C5B3F" w:rsidRPr="00642B6A" w:rsidRDefault="0044799F" w:rsidP="0044799F">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 </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r>
      <w:r w:rsidR="004A5F11" w:rsidRPr="004A5F11">
        <w:rPr>
          <w:rFonts w:eastAsia="Times New Roman" w:cs="Times New Roman"/>
          <w:color w:val="000000"/>
          <w:szCs w:val="24"/>
        </w:rPr>
        <w:t xml:space="preserve">The collections of information </w:t>
      </w:r>
      <w:r w:rsidR="00F11AF6">
        <w:rPr>
          <w:rFonts w:eastAsia="Times New Roman" w:cs="Times New Roman"/>
          <w:color w:val="000000"/>
          <w:szCs w:val="24"/>
        </w:rPr>
        <w:t>in</w:t>
      </w:r>
      <w:r w:rsidR="004A5F11" w:rsidRPr="004A5F11">
        <w:rPr>
          <w:rFonts w:eastAsia="Times New Roman" w:cs="Times New Roman"/>
          <w:color w:val="000000"/>
          <w:szCs w:val="24"/>
        </w:rPr>
        <w:t xml:space="preserve"> </w:t>
      </w:r>
      <w:r w:rsidR="00F11AF6">
        <w:rPr>
          <w:rFonts w:eastAsia="Times New Roman" w:cs="Times New Roman"/>
          <w:color w:val="000000"/>
          <w:szCs w:val="24"/>
        </w:rPr>
        <w:t>the final rule</w:t>
      </w:r>
      <w:r w:rsidR="004A5F11" w:rsidRPr="004A5F11">
        <w:rPr>
          <w:rFonts w:eastAsia="Times New Roman" w:cs="Times New Roman"/>
          <w:color w:val="000000"/>
          <w:szCs w:val="24"/>
        </w:rPr>
        <w:t xml:space="preserve"> are necessary to implement Section </w:t>
      </w:r>
      <w:proofErr w:type="gramStart"/>
      <w:r w:rsidR="004A5F11" w:rsidRPr="004A5F11">
        <w:rPr>
          <w:rFonts w:eastAsia="Times New Roman" w:cs="Times New Roman"/>
          <w:color w:val="000000"/>
          <w:szCs w:val="24"/>
        </w:rPr>
        <w:t>4s(</w:t>
      </w:r>
      <w:proofErr w:type="gramEnd"/>
      <w:r w:rsidR="004A5F11" w:rsidRPr="004A5F11">
        <w:rPr>
          <w:rFonts w:eastAsia="Times New Roman" w:cs="Times New Roman"/>
          <w:color w:val="000000"/>
          <w:szCs w:val="24"/>
        </w:rPr>
        <w:t xml:space="preserve">e) of the CEA, which expressly requires the Commission to adopt rules governing margin requirements for </w:t>
      </w:r>
      <w:r w:rsidR="00F301A8">
        <w:rPr>
          <w:rFonts w:eastAsia="Times New Roman" w:cs="Times New Roman"/>
          <w:color w:val="000000"/>
          <w:szCs w:val="24"/>
        </w:rPr>
        <w:t>CSEs</w:t>
      </w:r>
      <w:r w:rsidR="004A5F11" w:rsidRPr="004A5F11">
        <w:rPr>
          <w:rFonts w:eastAsia="Times New Roman" w:cs="Times New Roman"/>
          <w:color w:val="000000"/>
          <w:szCs w:val="24"/>
        </w:rPr>
        <w:t xml:space="preserve">.  </w:t>
      </w:r>
      <w:r w:rsidR="00EB0FA7">
        <w:rPr>
          <w:rFonts w:eastAsia="Times New Roman" w:cs="Times New Roman"/>
          <w:color w:val="000000"/>
          <w:szCs w:val="24"/>
        </w:rPr>
        <w:t xml:space="preserve">The </w:t>
      </w:r>
      <w:r w:rsidR="00DB00E1">
        <w:rPr>
          <w:rFonts w:eastAsia="Times New Roman" w:cs="Times New Roman"/>
          <w:color w:val="000000"/>
          <w:szCs w:val="24"/>
        </w:rPr>
        <w:t>information required for the prior written approval of</w:t>
      </w:r>
      <w:r w:rsidR="00882745">
        <w:rPr>
          <w:rFonts w:eastAsia="Times New Roman" w:cs="Times New Roman"/>
          <w:color w:val="000000"/>
          <w:szCs w:val="24"/>
        </w:rPr>
        <w:t xml:space="preserve"> the</w:t>
      </w:r>
      <w:r w:rsidR="00DB00E1">
        <w:rPr>
          <w:rFonts w:eastAsia="Times New Roman" w:cs="Times New Roman"/>
          <w:color w:val="000000"/>
          <w:szCs w:val="24"/>
        </w:rPr>
        <w:t xml:space="preserve"> margin model</w:t>
      </w:r>
      <w:r w:rsidR="00882745">
        <w:rPr>
          <w:rFonts w:eastAsia="Times New Roman" w:cs="Times New Roman"/>
          <w:color w:val="000000"/>
          <w:szCs w:val="24"/>
        </w:rPr>
        <w:t xml:space="preserve"> is</w:t>
      </w:r>
      <w:r w:rsidR="00DB00E1">
        <w:rPr>
          <w:rFonts w:eastAsia="Times New Roman" w:cs="Times New Roman"/>
          <w:color w:val="000000"/>
          <w:szCs w:val="24"/>
        </w:rPr>
        <w:t xml:space="preserve"> needed to</w:t>
      </w:r>
      <w:r w:rsidR="00DB00E1" w:rsidRPr="00DB00E1">
        <w:rPr>
          <w:rFonts w:eastAsia="Times New Roman" w:cs="Times New Roman"/>
          <w:color w:val="000000"/>
          <w:szCs w:val="24"/>
        </w:rPr>
        <w:t xml:space="preserve"> demonstrate that the model satisfied all of the requirements of </w:t>
      </w:r>
      <w:r w:rsidR="00DB00E1">
        <w:rPr>
          <w:rFonts w:eastAsia="Times New Roman" w:cs="Times New Roman"/>
          <w:color w:val="000000"/>
          <w:szCs w:val="24"/>
        </w:rPr>
        <w:t xml:space="preserve">Regulation 23.154(b).  </w:t>
      </w:r>
    </w:p>
    <w:p w:rsidR="00C032F4" w:rsidRPr="00B86819" w:rsidRDefault="00C032F4" w:rsidP="00642B6A">
      <w:pPr>
        <w:autoSpaceDE w:val="0"/>
        <w:autoSpaceDN w:val="0"/>
        <w:adjustRightInd w:val="0"/>
        <w:rPr>
          <w:rFonts w:eastAsia="Times New Roman" w:cs="Times New Roman"/>
          <w:color w:val="000000"/>
          <w:szCs w:val="24"/>
        </w:rPr>
      </w:pPr>
    </w:p>
    <w:p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1577B2" w:rsidRDefault="00233D65" w:rsidP="002D4681">
      <w:pPr>
        <w:ind w:firstLine="720"/>
        <w:rPr>
          <w:rFonts w:eastAsia="Times New Roman" w:cs="Times New Roman"/>
          <w:color w:val="000000"/>
          <w:szCs w:val="24"/>
        </w:rPr>
      </w:pPr>
      <w:r>
        <w:rPr>
          <w:rFonts w:eastAsia="Times New Roman" w:cs="Times New Roman"/>
          <w:szCs w:val="24"/>
        </w:rPr>
        <w:t xml:space="preserve">The </w:t>
      </w:r>
      <w:r w:rsidR="001577B2">
        <w:rPr>
          <w:rFonts w:eastAsia="Times New Roman" w:cs="Times New Roman"/>
          <w:szCs w:val="24"/>
        </w:rPr>
        <w:t xml:space="preserve">margin </w:t>
      </w:r>
      <w:r>
        <w:rPr>
          <w:rFonts w:eastAsia="Times New Roman" w:cs="Times New Roman"/>
          <w:szCs w:val="24"/>
        </w:rPr>
        <w:t xml:space="preserve">information will be submitted to the Commission by </w:t>
      </w:r>
      <w:r w:rsidR="00F301A8">
        <w:rPr>
          <w:rFonts w:eastAsia="Times New Roman" w:cs="Times New Roman"/>
          <w:szCs w:val="24"/>
        </w:rPr>
        <w:t>CSEs</w:t>
      </w:r>
      <w:r>
        <w:rPr>
          <w:rFonts w:eastAsia="Times New Roman" w:cs="Times New Roman"/>
          <w:szCs w:val="24"/>
        </w:rPr>
        <w:t xml:space="preserve"> that wish to use models to compute initial margin requirements for uncleared</w:t>
      </w:r>
      <w:r w:rsidR="001577B2">
        <w:rPr>
          <w:rFonts w:eastAsia="Times New Roman" w:cs="Times New Roman"/>
          <w:szCs w:val="24"/>
        </w:rPr>
        <w:t xml:space="preserve"> swap transactions in lieu of </w:t>
      </w:r>
      <w:r>
        <w:rPr>
          <w:rFonts w:eastAsia="Times New Roman" w:cs="Times New Roman"/>
          <w:szCs w:val="24"/>
        </w:rPr>
        <w:t xml:space="preserve">standard table-based margin requirements.  The information may be submitted electronically or by hard copy to the Commission.  </w:t>
      </w:r>
      <w:r w:rsidR="00642B6A" w:rsidRPr="00B86819">
        <w:rPr>
          <w:rFonts w:eastAsia="Times New Roman" w:cs="Times New Roman"/>
          <w:szCs w:val="24"/>
        </w:rPr>
        <w:t xml:space="preserve">The </w:t>
      </w:r>
      <w:r w:rsidR="00836741">
        <w:rPr>
          <w:rFonts w:eastAsia="Times New Roman" w:cs="Times New Roman"/>
          <w:szCs w:val="24"/>
        </w:rPr>
        <w:t>collection of information</w:t>
      </w:r>
      <w:r w:rsidR="00642B6A" w:rsidRPr="00B86819">
        <w:rPr>
          <w:rFonts w:eastAsia="Times New Roman" w:cs="Times New Roman"/>
          <w:szCs w:val="24"/>
        </w:rPr>
        <w:t xml:space="preserve"> </w:t>
      </w:r>
      <w:r w:rsidR="003677B4">
        <w:rPr>
          <w:rFonts w:eastAsia="Times New Roman" w:cs="Times New Roman"/>
          <w:szCs w:val="24"/>
        </w:rPr>
        <w:t xml:space="preserve">will </w:t>
      </w:r>
      <w:r w:rsidR="00882745">
        <w:rPr>
          <w:rFonts w:eastAsia="Times New Roman" w:cs="Times New Roman"/>
          <w:szCs w:val="24"/>
        </w:rPr>
        <w:t xml:space="preserve">be used by </w:t>
      </w:r>
      <w:r w:rsidR="0037312F">
        <w:rPr>
          <w:rFonts w:eastAsia="Times New Roman" w:cs="Times New Roman"/>
          <w:szCs w:val="24"/>
        </w:rPr>
        <w:t>the Commission to eval</w:t>
      </w:r>
      <w:r w:rsidR="007724B6">
        <w:rPr>
          <w:rFonts w:eastAsia="Times New Roman" w:cs="Times New Roman"/>
          <w:szCs w:val="24"/>
        </w:rPr>
        <w:t xml:space="preserve">uate whether </w:t>
      </w:r>
      <w:r w:rsidR="00EB0A83">
        <w:rPr>
          <w:rFonts w:eastAsia="Times New Roman" w:cs="Times New Roman"/>
          <w:szCs w:val="24"/>
        </w:rPr>
        <w:t>a CSE’s</w:t>
      </w:r>
      <w:r>
        <w:rPr>
          <w:rFonts w:eastAsia="Times New Roman" w:cs="Times New Roman"/>
          <w:szCs w:val="24"/>
        </w:rPr>
        <w:t xml:space="preserve"> </w:t>
      </w:r>
      <w:r w:rsidR="007724B6">
        <w:rPr>
          <w:rFonts w:eastAsia="Times New Roman" w:cs="Times New Roman"/>
          <w:szCs w:val="24"/>
        </w:rPr>
        <w:t>initial margin model satisf</w:t>
      </w:r>
      <w:r w:rsidR="00EB0A83">
        <w:rPr>
          <w:rFonts w:eastAsia="Times New Roman" w:cs="Times New Roman"/>
          <w:szCs w:val="24"/>
        </w:rPr>
        <w:t>ies</w:t>
      </w:r>
      <w:r w:rsidR="007724B6">
        <w:rPr>
          <w:rFonts w:eastAsia="Times New Roman" w:cs="Times New Roman"/>
          <w:szCs w:val="24"/>
        </w:rPr>
        <w:t xml:space="preserve"> the regulatory standards and other </w:t>
      </w:r>
      <w:r w:rsidR="007724B6">
        <w:rPr>
          <w:rFonts w:eastAsia="Times New Roman" w:cs="Times New Roman"/>
          <w:szCs w:val="24"/>
        </w:rPr>
        <w:lastRenderedPageBreak/>
        <w:t>requirements</w:t>
      </w:r>
      <w:r>
        <w:rPr>
          <w:rFonts w:eastAsia="Times New Roman" w:cs="Times New Roman"/>
          <w:szCs w:val="24"/>
        </w:rPr>
        <w:t xml:space="preserve"> established by the regulations.  </w:t>
      </w:r>
      <w:r w:rsidR="007724B6">
        <w:rPr>
          <w:rFonts w:eastAsia="Times New Roman" w:cs="Times New Roman"/>
          <w:szCs w:val="24"/>
        </w:rPr>
        <w:t xml:space="preserve">The initial margin requirements </w:t>
      </w:r>
      <w:r>
        <w:rPr>
          <w:rFonts w:eastAsia="Times New Roman" w:cs="Times New Roman"/>
          <w:szCs w:val="24"/>
        </w:rPr>
        <w:t xml:space="preserve">for models are </w:t>
      </w:r>
      <w:r w:rsidR="007724B6">
        <w:rPr>
          <w:rFonts w:eastAsia="Times New Roman" w:cs="Times New Roman"/>
          <w:szCs w:val="24"/>
        </w:rPr>
        <w:t xml:space="preserve">designed to </w:t>
      </w:r>
      <w:r w:rsidR="00EB0A83">
        <w:rPr>
          <w:rFonts w:eastAsia="Times New Roman" w:cs="Times New Roman"/>
          <w:szCs w:val="24"/>
        </w:rPr>
        <w:t>ensure that CSEs</w:t>
      </w:r>
      <w:r w:rsidR="001577B2">
        <w:rPr>
          <w:rFonts w:eastAsia="Times New Roman" w:cs="Times New Roman"/>
          <w:szCs w:val="24"/>
        </w:rPr>
        <w:t xml:space="preserve"> </w:t>
      </w:r>
      <w:r w:rsidR="007724B6">
        <w:rPr>
          <w:rFonts w:eastAsia="Times New Roman" w:cs="Times New Roman"/>
          <w:szCs w:val="24"/>
        </w:rPr>
        <w:t xml:space="preserve">collect sufficient amounts of </w:t>
      </w:r>
      <w:r>
        <w:rPr>
          <w:rFonts w:eastAsia="Times New Roman" w:cs="Times New Roman"/>
          <w:szCs w:val="24"/>
        </w:rPr>
        <w:t xml:space="preserve">collateral </w:t>
      </w:r>
      <w:r w:rsidR="007724B6">
        <w:rPr>
          <w:rFonts w:eastAsia="Times New Roman" w:cs="Times New Roman"/>
          <w:szCs w:val="24"/>
        </w:rPr>
        <w:t xml:space="preserve">from </w:t>
      </w:r>
      <w:r w:rsidR="00EB0A83">
        <w:rPr>
          <w:rFonts w:eastAsia="Times New Roman" w:cs="Times New Roman"/>
          <w:szCs w:val="24"/>
        </w:rPr>
        <w:t xml:space="preserve">their </w:t>
      </w:r>
      <w:r w:rsidR="007724B6">
        <w:rPr>
          <w:rFonts w:eastAsia="Times New Roman" w:cs="Times New Roman"/>
          <w:szCs w:val="24"/>
        </w:rPr>
        <w:t xml:space="preserve">counterparties to </w:t>
      </w:r>
      <w:r>
        <w:rPr>
          <w:rFonts w:eastAsia="Times New Roman" w:cs="Times New Roman"/>
          <w:szCs w:val="24"/>
        </w:rPr>
        <w:t xml:space="preserve">protect </w:t>
      </w:r>
      <w:r w:rsidR="00EB0A83">
        <w:rPr>
          <w:rFonts w:eastAsia="Times New Roman" w:cs="Times New Roman"/>
          <w:szCs w:val="24"/>
        </w:rPr>
        <w:t xml:space="preserve">them in the case of a </w:t>
      </w:r>
      <w:r w:rsidR="001577B2">
        <w:rPr>
          <w:rFonts w:eastAsia="Times New Roman" w:cs="Times New Roman"/>
          <w:szCs w:val="24"/>
        </w:rPr>
        <w:t xml:space="preserve">possible </w:t>
      </w:r>
      <w:r>
        <w:rPr>
          <w:rFonts w:eastAsia="Times New Roman" w:cs="Times New Roman"/>
          <w:szCs w:val="24"/>
        </w:rPr>
        <w:t xml:space="preserve">default </w:t>
      </w:r>
      <w:r w:rsidR="00EB0A83">
        <w:rPr>
          <w:rFonts w:eastAsia="Times New Roman" w:cs="Times New Roman"/>
          <w:szCs w:val="24"/>
        </w:rPr>
        <w:t xml:space="preserve">by their </w:t>
      </w:r>
      <w:r>
        <w:rPr>
          <w:rFonts w:eastAsia="Times New Roman" w:cs="Times New Roman"/>
          <w:szCs w:val="24"/>
        </w:rPr>
        <w:t xml:space="preserve">counterparty.  The </w:t>
      </w:r>
      <w:r w:rsidR="003677B4">
        <w:rPr>
          <w:rFonts w:eastAsia="Times New Roman" w:cs="Times New Roman"/>
          <w:szCs w:val="24"/>
        </w:rPr>
        <w:t xml:space="preserve">soundness and adequacy of margin models </w:t>
      </w:r>
      <w:r w:rsidR="00EB0A83">
        <w:rPr>
          <w:rFonts w:eastAsia="Times New Roman" w:cs="Times New Roman"/>
          <w:szCs w:val="24"/>
        </w:rPr>
        <w:t>help ensure the safety and soundness of a CSE and the stability of the U.S. financial market</w:t>
      </w:r>
      <w:r w:rsidR="00642B6A" w:rsidRPr="00B86819">
        <w:rPr>
          <w:rFonts w:eastAsia="Times New Roman" w:cs="Times New Roman"/>
          <w:color w:val="000000"/>
          <w:szCs w:val="24"/>
        </w:rPr>
        <w:t>.</w:t>
      </w:r>
    </w:p>
    <w:p w:rsidR="00642B6A" w:rsidRPr="00B86819" w:rsidRDefault="00642B6A" w:rsidP="001577B2">
      <w:pPr>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836741" w:rsidP="00642B6A">
      <w:pPr>
        <w:tabs>
          <w:tab w:val="left" w:pos="-720"/>
          <w:tab w:val="left" w:pos="0"/>
        </w:tabs>
        <w:spacing w:after="240"/>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 xml:space="preserve">The Commission would permit </w:t>
      </w:r>
      <w:r w:rsidR="00EB0A83">
        <w:rPr>
          <w:rFonts w:eastAsia="Times New Roman" w:cs="Times New Roman"/>
          <w:szCs w:val="24"/>
        </w:rPr>
        <w:t>CSEs</w:t>
      </w:r>
      <w:r w:rsidR="002F1E80">
        <w:rPr>
          <w:rFonts w:eastAsia="Times New Roman" w:cs="Times New Roman"/>
          <w:szCs w:val="24"/>
        </w:rPr>
        <w:t xml:space="preserve"> to submit initial margin model to the Commission electronically.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collection of information </w:t>
      </w:r>
      <w:r w:rsidR="00176391">
        <w:rPr>
          <w:rFonts w:eastAsia="Times New Roman" w:cs="Times New Roman"/>
          <w:szCs w:val="24"/>
        </w:rPr>
        <w:t xml:space="preserve">includes the submission of information from new registrants, the </w:t>
      </w:r>
      <w:r w:rsidR="00EB0A83">
        <w:rPr>
          <w:rFonts w:eastAsia="Times New Roman" w:cs="Times New Roman"/>
          <w:szCs w:val="24"/>
        </w:rPr>
        <w:t>CSEs</w:t>
      </w:r>
      <w:r w:rsidR="00176391">
        <w:rPr>
          <w:rFonts w:eastAsia="Times New Roman" w:cs="Times New Roman"/>
          <w:szCs w:val="24"/>
        </w:rPr>
        <w:t xml:space="preserve"> </w:t>
      </w:r>
      <w:r w:rsidR="00836741">
        <w:rPr>
          <w:rFonts w:eastAsia="Times New Roman" w:cs="Times New Roman"/>
          <w:szCs w:val="24"/>
        </w:rPr>
        <w:t xml:space="preserve">that are engaged in activities that implicate new regulatory requirements.  </w:t>
      </w:r>
      <w:r w:rsidR="00554929">
        <w:rPr>
          <w:rFonts w:eastAsia="Times New Roman" w:cs="Times New Roman"/>
          <w:szCs w:val="24"/>
        </w:rPr>
        <w:t>T</w:t>
      </w:r>
      <w:r w:rsidR="00836741">
        <w:rPr>
          <w:rFonts w:eastAsia="Times New Roman" w:cs="Times New Roman"/>
          <w:szCs w:val="24"/>
        </w:rPr>
        <w:t>hese new registrants would not have</w:t>
      </w:r>
      <w:r w:rsidR="00176391">
        <w:rPr>
          <w:rFonts w:eastAsia="Times New Roman" w:cs="Times New Roman"/>
          <w:szCs w:val="24"/>
        </w:rPr>
        <w:t xml:space="preserve"> previously submitted such information 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 or available for public disclosure through any other source.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w:t>
      </w:r>
      <w:r w:rsidR="00747BF5">
        <w:rPr>
          <w:rFonts w:eastAsia="Times New Roman" w:cs="Times New Roman"/>
          <w:szCs w:val="24"/>
        </w:rPr>
        <w:t>s</w:t>
      </w:r>
      <w:r w:rsidRPr="00642B6A">
        <w:rPr>
          <w:rFonts w:eastAsia="Times New Roman" w:cs="Times New Roman"/>
          <w:szCs w:val="24"/>
        </w:rPr>
        <w:t xml:space="preserve">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only sophisticated parties, such as SDs and MSPs, as well as eligible contract participants (who must meet certain net worth requirements), may participate in un-cleared swaps.  The Commission has determined that those participants are not small entities.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Default="00116FC7" w:rsidP="003607A6">
      <w:pPr>
        <w:ind w:firstLine="720"/>
        <w:rPr>
          <w:rFonts w:eastAsia="Times New Roman" w:cs="Times New Roman"/>
          <w:szCs w:val="24"/>
        </w:rPr>
      </w:pPr>
      <w:r>
        <w:rPr>
          <w:rFonts w:eastAsia="Times New Roman" w:cs="Times New Roman"/>
          <w:szCs w:val="24"/>
        </w:rPr>
        <w:t>A</w:t>
      </w:r>
      <w:r w:rsidR="00EB0A83">
        <w:rPr>
          <w:rFonts w:eastAsia="Times New Roman" w:cs="Times New Roman"/>
          <w:szCs w:val="24"/>
        </w:rPr>
        <w:t xml:space="preserve"> CSE</w:t>
      </w:r>
      <w:r>
        <w:rPr>
          <w:rFonts w:eastAsia="Times New Roman" w:cs="Times New Roman"/>
          <w:szCs w:val="24"/>
        </w:rPr>
        <w:t xml:space="preserve"> </w:t>
      </w:r>
      <w:r w:rsidR="00EB0A83">
        <w:rPr>
          <w:rFonts w:eastAsia="Times New Roman" w:cs="Times New Roman"/>
          <w:szCs w:val="24"/>
        </w:rPr>
        <w:t xml:space="preserve">that uses an initial margin model </w:t>
      </w:r>
      <w:r>
        <w:rPr>
          <w:rFonts w:eastAsia="Times New Roman" w:cs="Times New Roman"/>
          <w:szCs w:val="24"/>
        </w:rPr>
        <w:t xml:space="preserve">is required to submit </w:t>
      </w:r>
      <w:r w:rsidR="00EB0A83">
        <w:rPr>
          <w:rFonts w:eastAsia="Times New Roman" w:cs="Times New Roman"/>
          <w:szCs w:val="24"/>
        </w:rPr>
        <w:t xml:space="preserve">its </w:t>
      </w:r>
      <w:r>
        <w:rPr>
          <w:rFonts w:eastAsia="Times New Roman" w:cs="Times New Roman"/>
          <w:szCs w:val="24"/>
        </w:rPr>
        <w:t xml:space="preserve">initial margin model to the Commission for approval prior to the use of the model.  Thereafter, </w:t>
      </w:r>
      <w:r w:rsidR="00EB0A83">
        <w:rPr>
          <w:rFonts w:eastAsia="Times New Roman" w:cs="Times New Roman"/>
          <w:szCs w:val="24"/>
        </w:rPr>
        <w:t>CSEs</w:t>
      </w:r>
      <w:r>
        <w:rPr>
          <w:rFonts w:eastAsia="Times New Roman" w:cs="Times New Roman"/>
          <w:szCs w:val="24"/>
        </w:rPr>
        <w:t xml:space="preserve"> </w:t>
      </w:r>
      <w:r w:rsidR="00EB0A83">
        <w:rPr>
          <w:rFonts w:eastAsia="Times New Roman" w:cs="Times New Roman"/>
          <w:szCs w:val="24"/>
        </w:rPr>
        <w:t xml:space="preserve">are </w:t>
      </w:r>
      <w:r>
        <w:rPr>
          <w:rFonts w:eastAsia="Times New Roman" w:cs="Times New Roman"/>
          <w:szCs w:val="24"/>
        </w:rPr>
        <w:t>required to submit any material changes to the initial margin models to the Commission</w:t>
      </w:r>
      <w:r w:rsidR="00F568E5">
        <w:rPr>
          <w:rFonts w:eastAsia="Times New Roman" w:cs="Times New Roman"/>
          <w:szCs w:val="24"/>
        </w:rPr>
        <w:t xml:space="preserve">, including changes to the asset types that will be margined using the initial margin model.  </w:t>
      </w:r>
      <w:r w:rsidR="00642B6A" w:rsidRPr="00642B6A">
        <w:rPr>
          <w:rFonts w:eastAsia="Times New Roman" w:cs="Times New Roman"/>
          <w:szCs w:val="24"/>
        </w:rPr>
        <w:t xml:space="preserve">If the </w:t>
      </w:r>
      <w:r w:rsidR="00836741">
        <w:rPr>
          <w:rFonts w:eastAsia="Times New Roman" w:cs="Times New Roman"/>
          <w:szCs w:val="24"/>
        </w:rPr>
        <w:t xml:space="preserve">Commission did not </w:t>
      </w:r>
      <w:r w:rsidR="00F568E5">
        <w:rPr>
          <w:rFonts w:eastAsia="Times New Roman" w:cs="Times New Roman"/>
          <w:szCs w:val="24"/>
        </w:rPr>
        <w:t>receive</w:t>
      </w:r>
      <w:r w:rsidR="00836741">
        <w:rPr>
          <w:rFonts w:eastAsia="Times New Roman" w:cs="Times New Roman"/>
          <w:szCs w:val="24"/>
        </w:rPr>
        <w:t xml:space="preserve"> information </w:t>
      </w:r>
      <w:r w:rsidR="003607A6">
        <w:rPr>
          <w:rFonts w:eastAsia="Times New Roman" w:cs="Times New Roman"/>
          <w:szCs w:val="24"/>
        </w:rPr>
        <w:t xml:space="preserve">regarding proposed modifications the models, the Commission could not assess the </w:t>
      </w:r>
      <w:r w:rsidR="006E3A2A">
        <w:rPr>
          <w:rFonts w:eastAsia="Times New Roman" w:cs="Times New Roman"/>
          <w:szCs w:val="24"/>
        </w:rPr>
        <w:t>CSE</w:t>
      </w:r>
      <w:r w:rsidR="003607A6">
        <w:rPr>
          <w:rFonts w:eastAsia="Times New Roman" w:cs="Times New Roman"/>
          <w:szCs w:val="24"/>
        </w:rPr>
        <w:t xml:space="preserve">’s continued compliance with the margin requirements.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Currently the margin rule requires </w:t>
      </w:r>
      <w:r w:rsidR="006E3A2A">
        <w:rPr>
          <w:rFonts w:eastAsia="Times New Roman" w:cs="Times New Roman"/>
          <w:szCs w:val="24"/>
        </w:rPr>
        <w:t>CSEs</w:t>
      </w:r>
      <w:r w:rsidR="0037421B">
        <w:rPr>
          <w:rFonts w:eastAsia="Times New Roman" w:cs="Times New Roman"/>
          <w:szCs w:val="24"/>
        </w:rPr>
        <w:t xml:space="preserve"> to document and submit to the Commission margin models prior to their use, and to notify the Commission upon making certain modifications to margin models, which the Commission does not expect to occur </w:t>
      </w:r>
      <w:r w:rsidR="007F27F5">
        <w:rPr>
          <w:rFonts w:eastAsia="Times New Roman" w:cs="Times New Roman"/>
          <w:szCs w:val="24"/>
        </w:rPr>
        <w:t>more often than quarterly</w:t>
      </w:r>
      <w:r w:rsidR="0037421B">
        <w:rPr>
          <w:rFonts w:eastAsia="Times New Roman" w:cs="Times New Roman"/>
          <w:szCs w:val="24"/>
        </w:rPr>
        <w:t xml:space="preserve">.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rsidR="00697065" w:rsidRPr="00642B6A" w:rsidRDefault="00697065" w:rsidP="00902356">
      <w:pPr>
        <w:tabs>
          <w:tab w:val="left" w:pos="-720"/>
          <w:tab w:val="left" w:pos="0"/>
          <w:tab w:val="left" w:pos="720"/>
        </w:tabs>
        <w:spacing w:after="240"/>
        <w:ind w:left="936"/>
        <w:contextualSpacing/>
        <w:rPr>
          <w:rFonts w:eastAsia="Times New Roman" w:cs="Times New Roman"/>
        </w:rPr>
      </w:pP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C97593" w:rsidRPr="00C97593" w:rsidRDefault="00C97593" w:rsidP="00C97593">
      <w:pPr>
        <w:tabs>
          <w:tab w:val="left" w:pos="-720"/>
          <w:tab w:val="left" w:pos="0"/>
          <w:tab w:val="left" w:pos="720"/>
          <w:tab w:val="num" w:pos="1080"/>
        </w:tabs>
        <w:spacing w:after="240"/>
        <w:ind w:left="720"/>
        <w:rPr>
          <w:rFonts w:eastAsia="Times New Roman" w:cs="Times New Roman"/>
          <w:szCs w:val="24"/>
        </w:rPr>
      </w:pPr>
      <w:r w:rsidRPr="00C97593">
        <w:rPr>
          <w:rFonts w:eastAsia="Times New Roman" w:cs="Times New Roman"/>
          <w:szCs w:val="24"/>
        </w:rPr>
        <w:t>Not applicable.</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497A" w:rsidRDefault="00642B6A" w:rsidP="00C9497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lastRenderedPageBreak/>
        <w:tab/>
        <w:t>The Commission has procedures to protect the confidentiality of a</w:t>
      </w:r>
      <w:r w:rsidR="006E3A2A">
        <w:rPr>
          <w:rFonts w:eastAsia="Times New Roman" w:cs="Times New Roman"/>
          <w:szCs w:val="24"/>
        </w:rPr>
        <w:t xml:space="preserve"> CSE’s</w:t>
      </w:r>
      <w:r w:rsidRPr="00642B6A">
        <w:rPr>
          <w:rFonts w:eastAsia="Times New Roman" w:cs="Times New Roman"/>
          <w:szCs w:val="24"/>
        </w:rPr>
        <w:t xml:space="preserve"> data.  These are set forth in the Commission’s regulations at parts 145 and 147 of title 17 of the Code of Federal Regulations.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RPr="00642B6A"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0045CE">
        <w:rPr>
          <w:rFonts w:eastAsia="Times New Roman" w:cs="Times New Roman"/>
          <w:szCs w:val="24"/>
        </w:rPr>
        <w:t>T</w:t>
      </w:r>
      <w:r w:rsidR="00554929" w:rsidRPr="00554929">
        <w:rPr>
          <w:rFonts w:eastAsia="Times New Roman" w:cs="Times New Roman"/>
          <w:szCs w:val="24"/>
        </w:rPr>
        <w:t xml:space="preserve">he Commission </w:t>
      </w:r>
      <w:r w:rsidR="000045CE" w:rsidRPr="00554929">
        <w:rPr>
          <w:rFonts w:eastAsia="Times New Roman" w:cs="Times New Roman"/>
          <w:szCs w:val="24"/>
        </w:rPr>
        <w:t>s</w:t>
      </w:r>
      <w:r w:rsidR="000045CE">
        <w:rPr>
          <w:rFonts w:eastAsia="Times New Roman" w:cs="Times New Roman"/>
          <w:szCs w:val="24"/>
        </w:rPr>
        <w:t>ought</w:t>
      </w:r>
      <w:r w:rsidR="000045CE" w:rsidRPr="00554929">
        <w:rPr>
          <w:rFonts w:eastAsia="Times New Roman" w:cs="Times New Roman"/>
          <w:szCs w:val="24"/>
        </w:rPr>
        <w:t xml:space="preserve"> </w:t>
      </w:r>
      <w:r w:rsidR="00554929" w:rsidRPr="00554929">
        <w:rPr>
          <w:rFonts w:eastAsia="Times New Roman" w:cs="Times New Roman"/>
          <w:szCs w:val="24"/>
        </w:rPr>
        <w:t xml:space="preserve">public comment </w:t>
      </w:r>
      <w:r w:rsidR="005B59F7">
        <w:rPr>
          <w:rFonts w:eastAsia="Times New Roman" w:cs="Times New Roman"/>
          <w:szCs w:val="24"/>
        </w:rPr>
        <w:t xml:space="preserve">on any aspect of the proposed collection of information </w:t>
      </w:r>
      <w:r w:rsidR="000045CE">
        <w:rPr>
          <w:rFonts w:eastAsia="Times New Roman" w:cs="Times New Roman"/>
          <w:szCs w:val="24"/>
        </w:rPr>
        <w:t xml:space="preserve">through the publication of a </w:t>
      </w:r>
      <w:r w:rsidR="005B59F7">
        <w:rPr>
          <w:rFonts w:eastAsia="Times New Roman" w:cs="Times New Roman"/>
          <w:szCs w:val="24"/>
        </w:rPr>
        <w:t>proposal</w:t>
      </w:r>
      <w:r w:rsidR="000045CE">
        <w:rPr>
          <w:rFonts w:eastAsia="Times New Roman" w:cs="Times New Roman"/>
          <w:szCs w:val="24"/>
        </w:rPr>
        <w:t xml:space="preserve"> in the Federal Register, 79 FR 59898, </w:t>
      </w:r>
      <w:proofErr w:type="gramStart"/>
      <w:r w:rsidR="005B59F7">
        <w:rPr>
          <w:rFonts w:eastAsia="Times New Roman" w:cs="Times New Roman"/>
          <w:szCs w:val="24"/>
        </w:rPr>
        <w:t>dated</w:t>
      </w:r>
      <w:proofErr w:type="gramEnd"/>
      <w:r w:rsidR="000045CE">
        <w:rPr>
          <w:rFonts w:eastAsia="Times New Roman" w:cs="Times New Roman"/>
          <w:szCs w:val="24"/>
        </w:rPr>
        <w:t xml:space="preserve"> October 3, 2014</w:t>
      </w:r>
      <w:r w:rsidR="00554929" w:rsidRPr="00554929">
        <w:rPr>
          <w:rFonts w:eastAsia="Times New Roman" w:cs="Times New Roman"/>
          <w:szCs w:val="24"/>
        </w:rPr>
        <w:t xml:space="preserve">. </w:t>
      </w:r>
      <w:r w:rsidR="000045CE">
        <w:rPr>
          <w:rFonts w:eastAsia="Times New Roman" w:cs="Times New Roman"/>
          <w:szCs w:val="24"/>
        </w:rPr>
        <w:t xml:space="preserve"> The Commission did not receive any PRA related comment.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45D5" w:rsidRDefault="00642B6A" w:rsidP="006445D5">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6445D5" w:rsidRPr="006445D5">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rsidR="006445D5" w:rsidRDefault="006445D5" w:rsidP="006445D5">
      <w:pPr>
        <w:ind w:firstLine="720"/>
        <w:rPr>
          <w:rFonts w:eastAsia="Times New Roman" w:cs="Times New Roman"/>
          <w:szCs w:val="24"/>
        </w:rPr>
      </w:pPr>
    </w:p>
    <w:p w:rsidR="00642B6A" w:rsidRDefault="00642B6A" w:rsidP="006445D5">
      <w:pPr>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5D5" w:rsidRPr="00642B6A" w:rsidRDefault="006445D5" w:rsidP="006445D5">
      <w:pPr>
        <w:rPr>
          <w:rFonts w:eastAsia="Times New Roman" w:cs="Times New Roman"/>
          <w:b/>
          <w:szCs w:val="24"/>
        </w:rPr>
      </w:pP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r w:rsidR="00B328FB" w:rsidRPr="00B328FB">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w:t>
      </w:r>
      <w:r w:rsidR="002D4681" w:rsidRPr="00B328FB">
        <w:rPr>
          <w:rFonts w:eastAsia="Times New Roman" w:cs="Times New Roman"/>
          <w:color w:val="000000"/>
          <w:szCs w:val="24"/>
        </w:rPr>
        <w:t>2</w:t>
      </w:r>
      <w:r w:rsidR="002D4681">
        <w:rPr>
          <w:rFonts w:eastAsia="Times New Roman" w:cs="Times New Roman"/>
          <w:color w:val="000000"/>
          <w:szCs w:val="24"/>
        </w:rPr>
        <w:t>4</w:t>
      </w:r>
      <w:r w:rsidR="002D4681" w:rsidRPr="00B328FB">
        <w:rPr>
          <w:rFonts w:eastAsia="Times New Roman" w:cs="Times New Roman"/>
          <w:color w:val="000000"/>
          <w:szCs w:val="24"/>
        </w:rPr>
        <w:t xml:space="preserve">0 </w:t>
      </w:r>
      <w:r w:rsidR="00B328FB" w:rsidRPr="00B328FB">
        <w:rPr>
          <w:rFonts w:eastAsia="Times New Roman" w:cs="Times New Roman"/>
          <w:color w:val="000000"/>
          <w:szCs w:val="24"/>
        </w:rPr>
        <w:t xml:space="preserve">annual hours on an estimated </w:t>
      </w:r>
      <w:r w:rsidR="00FD5F3F">
        <w:rPr>
          <w:rFonts w:eastAsia="Times New Roman" w:cs="Times New Roman"/>
          <w:color w:val="000000"/>
          <w:szCs w:val="24"/>
        </w:rPr>
        <w:t>54</w:t>
      </w:r>
      <w:r w:rsidR="00FD5F3F" w:rsidRPr="00B328FB">
        <w:rPr>
          <w:rFonts w:eastAsia="Times New Roman" w:cs="Times New Roman"/>
          <w:color w:val="000000"/>
          <w:szCs w:val="24"/>
        </w:rPr>
        <w:t xml:space="preserve"> </w:t>
      </w:r>
      <w:r w:rsidR="00B328FB" w:rsidRPr="00B328FB">
        <w:rPr>
          <w:rFonts w:eastAsia="Times New Roman" w:cs="Times New Roman"/>
          <w:color w:val="000000"/>
          <w:szCs w:val="24"/>
        </w:rPr>
        <w:t xml:space="preserve">entities.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9B1E93" w:rsidP="00642B6A">
      <w:pPr>
        <w:ind w:firstLine="720"/>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6E3A2A">
        <w:rPr>
          <w:rFonts w:eastAsia="Times New Roman" w:cs="Times New Roman"/>
          <w:color w:val="000000"/>
          <w:szCs w:val="24"/>
        </w:rPr>
        <w:t>CSEs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w:t>
      </w:r>
      <w:r w:rsidR="006E3A2A">
        <w:rPr>
          <w:rFonts w:eastAsia="Times New Roman" w:cs="Times New Roman"/>
          <w:color w:val="000000"/>
          <w:szCs w:val="24"/>
        </w:rPr>
        <w:t>CSEs</w:t>
      </w:r>
      <w:r w:rsidR="00C032F4">
        <w:rPr>
          <w:rFonts w:eastAsia="Times New Roman" w:cs="Times New Roman"/>
          <w:color w:val="000000"/>
          <w:szCs w:val="24"/>
        </w:rPr>
        <w:t xml:space="preserve"> </w:t>
      </w:r>
      <w:r w:rsidRPr="009B1E93">
        <w:rPr>
          <w:rFonts w:eastAsia="Times New Roman" w:cs="Times New Roman"/>
          <w:color w:val="000000"/>
          <w:szCs w:val="24"/>
        </w:rPr>
        <w:t xml:space="preserve">to report the information required by the regulations to the Commission.   </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w:t>
      </w:r>
      <w:r w:rsidR="007F27F5">
        <w:rPr>
          <w:rFonts w:eastAsia="Times New Roman" w:cs="Times New Roman"/>
          <w:szCs w:val="24"/>
        </w:rPr>
        <w:t>regulations associated with Collection 3038-0024 are</w:t>
      </w:r>
      <w:r w:rsidRPr="00642B6A">
        <w:rPr>
          <w:rFonts w:eastAsia="Times New Roman" w:cs="Times New Roman"/>
          <w:szCs w:val="24"/>
        </w:rPr>
        <w:t xml:space="preserve"> designed to enhance the </w:t>
      </w:r>
      <w:r w:rsidR="00F02CC0">
        <w:rPr>
          <w:rFonts w:eastAsia="Times New Roman" w:cs="Times New Roman"/>
          <w:szCs w:val="24"/>
        </w:rPr>
        <w:t>safety and soundness of the market</w:t>
      </w:r>
      <w:r w:rsidR="007F27F5">
        <w:rPr>
          <w:rFonts w:eastAsia="Times New Roman" w:cs="Times New Roman"/>
          <w:szCs w:val="24"/>
        </w:rPr>
        <w:t>s</w:t>
      </w:r>
      <w:r w:rsidR="00F02CC0">
        <w:rPr>
          <w:rFonts w:eastAsia="Times New Roman" w:cs="Times New Roman"/>
          <w:szCs w:val="24"/>
        </w:rPr>
        <w:t xml:space="preserve"> </w:t>
      </w:r>
      <w:r w:rsidR="007F27F5">
        <w:rPr>
          <w:rFonts w:eastAsia="Times New Roman" w:cs="Times New Roman"/>
          <w:szCs w:val="24"/>
        </w:rPr>
        <w:t xml:space="preserve">which the Commission oversees </w:t>
      </w:r>
      <w:r w:rsidR="00F02CC0">
        <w:rPr>
          <w:rFonts w:eastAsia="Times New Roman" w:cs="Times New Roman"/>
          <w:szCs w:val="24"/>
        </w:rPr>
        <w:t>and</w:t>
      </w:r>
      <w:r w:rsidRPr="00642B6A">
        <w:rPr>
          <w:rFonts w:eastAsia="Times New Roman" w:cs="Times New Roman"/>
          <w:szCs w:val="24"/>
        </w:rPr>
        <w:t xml:space="preserve"> to enable the Commission </w:t>
      </w:r>
      <w:r w:rsidR="00F02CC0">
        <w:rPr>
          <w:rFonts w:eastAsia="Times New Roman" w:cs="Times New Roman"/>
          <w:szCs w:val="24"/>
        </w:rPr>
        <w:t xml:space="preserve">to evaluate the soundness of the </w:t>
      </w:r>
      <w:r w:rsidR="007F27F5">
        <w:rPr>
          <w:rFonts w:eastAsia="Times New Roman" w:cs="Times New Roman"/>
          <w:szCs w:val="24"/>
        </w:rPr>
        <w:t>participants in those markets</w:t>
      </w:r>
      <w:r w:rsidRPr="00642B6A">
        <w:rPr>
          <w:rFonts w:eastAsia="Times New Roman" w:cs="Times New Roman"/>
          <w:szCs w:val="24"/>
        </w:rPr>
        <w:t>.</w:t>
      </w:r>
      <w:r w:rsidR="00FE1133">
        <w:rPr>
          <w:rFonts w:eastAsia="Times New Roman" w:cs="Times New Roman"/>
          <w:szCs w:val="24"/>
        </w:rPr>
        <w:t xml:space="preserve"> </w:t>
      </w:r>
      <w:r w:rsidR="00F02CC0">
        <w:rPr>
          <w:rFonts w:eastAsia="Times New Roman" w:cs="Times New Roman"/>
          <w:szCs w:val="24"/>
        </w:rPr>
        <w:t xml:space="preserve"> </w:t>
      </w:r>
      <w:r w:rsidR="00BA0A82" w:rsidRPr="00BA0A82">
        <w:rPr>
          <w:rFonts w:eastAsia="Times New Roman" w:cs="Times New Roman"/>
          <w:szCs w:val="24"/>
        </w:rPr>
        <w:t xml:space="preserve">Section 731 of the Dodd-Frank Wall Street Reform and Consumer Protection Act ("Dodd-Frank Act"), P.L. 111-023, 124 stat. 1376, amended the Commodity Exchange Act ("CEA"), 7 U.S.C. §§ 1 et seq., to add, as section 4s(e) thereof, provisions concerning the setting of initial and variation margin requirements for swap dealers ("SDs") and major swap participants ("MSPs").  The Commission is </w:t>
      </w:r>
      <w:r w:rsidR="003634B9">
        <w:rPr>
          <w:rFonts w:eastAsia="Times New Roman" w:cs="Times New Roman"/>
          <w:szCs w:val="24"/>
        </w:rPr>
        <w:t>finalizing</w:t>
      </w:r>
      <w:r w:rsidR="003634B9" w:rsidRPr="00BA0A82">
        <w:rPr>
          <w:rFonts w:eastAsia="Times New Roman" w:cs="Times New Roman"/>
          <w:szCs w:val="24"/>
        </w:rPr>
        <w:t xml:space="preserve"> </w:t>
      </w:r>
      <w:r w:rsidR="00BA0A82" w:rsidRPr="00BA0A82">
        <w:rPr>
          <w:rFonts w:eastAsia="Times New Roman" w:cs="Times New Roman"/>
          <w:szCs w:val="24"/>
        </w:rPr>
        <w:t xml:space="preserve">the margin rule to implement </w:t>
      </w:r>
      <w:r w:rsidR="002D4681">
        <w:rPr>
          <w:rFonts w:eastAsia="Times New Roman" w:cs="Times New Roman"/>
          <w:szCs w:val="24"/>
        </w:rPr>
        <w:t>t</w:t>
      </w:r>
      <w:r w:rsidR="00BA0A82" w:rsidRPr="00BA0A82">
        <w:rPr>
          <w:rFonts w:eastAsia="Times New Roman" w:cs="Times New Roman"/>
          <w:szCs w:val="24"/>
        </w:rPr>
        <w:t xml:space="preserve">his section 4s of the CEA to require </w:t>
      </w:r>
      <w:r w:rsidR="00FC3A55">
        <w:rPr>
          <w:rFonts w:eastAsia="Times New Roman" w:cs="Times New Roman"/>
          <w:szCs w:val="24"/>
        </w:rPr>
        <w:t>CSEs</w:t>
      </w:r>
      <w:r w:rsidR="00BA0A82" w:rsidRPr="00BA0A82">
        <w:rPr>
          <w:rFonts w:eastAsia="Times New Roman" w:cs="Times New Roman"/>
          <w:szCs w:val="24"/>
        </w:rPr>
        <w:t xml:space="preserve"> that are using a model to compute initial margin requirements to submit the model for review and approval by the Commission.  </w:t>
      </w:r>
      <w:r w:rsidR="007F27F5">
        <w:rPr>
          <w:rFonts w:eastAsia="Times New Roman" w:cs="Times New Roman"/>
          <w:szCs w:val="24"/>
        </w:rPr>
        <w:t xml:space="preserve">This collection of information will add additional burdens on </w:t>
      </w:r>
      <w:r w:rsidR="00180982">
        <w:rPr>
          <w:rFonts w:eastAsia="Times New Roman" w:cs="Times New Roman"/>
          <w:szCs w:val="24"/>
        </w:rPr>
        <w:t xml:space="preserve">an estimated </w:t>
      </w:r>
      <w:r w:rsidR="00FD5F3F">
        <w:rPr>
          <w:rFonts w:eastAsia="Times New Roman" w:cs="Times New Roman"/>
          <w:szCs w:val="24"/>
        </w:rPr>
        <w:t xml:space="preserve">54 </w:t>
      </w:r>
      <w:r w:rsidR="00F02CC0">
        <w:rPr>
          <w:rFonts w:eastAsia="Times New Roman" w:cs="Times New Roman"/>
          <w:szCs w:val="24"/>
        </w:rPr>
        <w:t>entities</w:t>
      </w:r>
      <w:r w:rsidR="00AC59BE">
        <w:rPr>
          <w:rFonts w:eastAsia="Times New Roman" w:cs="Times New Roman"/>
          <w:szCs w:val="24"/>
        </w:rPr>
        <w:t xml:space="preserve"> for a total of </w:t>
      </w:r>
      <w:r w:rsidR="00FD5F3F">
        <w:rPr>
          <w:rFonts w:eastAsia="Times New Roman" w:cs="Times New Roman"/>
          <w:szCs w:val="24"/>
        </w:rPr>
        <w:t>12,960</w:t>
      </w:r>
      <w:r w:rsidR="007F27F5">
        <w:rPr>
          <w:rFonts w:eastAsia="Times New Roman" w:cs="Times New Roman"/>
          <w:szCs w:val="24"/>
        </w:rPr>
        <w:t xml:space="preserve"> hours</w:t>
      </w:r>
      <w:r w:rsidR="00AC59BE">
        <w:rPr>
          <w:rFonts w:eastAsia="Times New Roman" w:cs="Times New Roman"/>
          <w:szCs w:val="24"/>
        </w:rPr>
        <w:t xml:space="preserve"> annually.  </w:t>
      </w:r>
      <w:r w:rsidR="00FD5F3F">
        <w:rPr>
          <w:rFonts w:eastAsia="Times New Roman" w:cs="Times New Roman"/>
          <w:szCs w:val="24"/>
        </w:rPr>
        <w:t xml:space="preserve">This reflects a reduction from the proposal of six (6) </w:t>
      </w:r>
      <w:r w:rsidR="006E3A2A">
        <w:rPr>
          <w:rFonts w:eastAsia="Times New Roman" w:cs="Times New Roman"/>
          <w:szCs w:val="24"/>
        </w:rPr>
        <w:t>CSEs</w:t>
      </w:r>
      <w:r w:rsidR="00FD5F3F">
        <w:rPr>
          <w:rFonts w:eastAsia="Times New Roman" w:cs="Times New Roman"/>
          <w:szCs w:val="24"/>
        </w:rPr>
        <w:t xml:space="preserve"> that are no longer subject to the Commission’s jurisdiction and margin requirements.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F517A9"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F517A9" w:rsidRDefault="00F517A9">
      <w:pPr>
        <w:spacing w:after="200" w:line="276" w:lineRule="auto"/>
        <w:rPr>
          <w:rFonts w:eastAsia="Times New Roman" w:cs="Times New Roman"/>
          <w:szCs w:val="24"/>
        </w:rPr>
      </w:pPr>
      <w:r>
        <w:rPr>
          <w:rFonts w:eastAsia="Times New Roman" w:cs="Times New Roman"/>
          <w:szCs w:val="24"/>
        </w:rPr>
        <w:br w:type="page"/>
      </w:r>
    </w:p>
    <w:p w:rsidR="009D00FB" w:rsidRDefault="009D00FB" w:rsidP="009D00FB">
      <w:pPr>
        <w:tabs>
          <w:tab w:val="left" w:pos="-720"/>
        </w:tabs>
        <w:spacing w:after="240"/>
        <w:rPr>
          <w:rFonts w:eastAsia="Times New Roman" w:cs="Times New Roman"/>
          <w:szCs w:val="24"/>
        </w:rPr>
      </w:pPr>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w:t>
      </w:r>
      <w:r w:rsidR="00180982">
        <w:rPr>
          <w:rFonts w:eastAsia="Times New Roman" w:cs="Times New Roman"/>
          <w:b/>
          <w:szCs w:val="24"/>
        </w:rPr>
        <w:t>3</w:t>
      </w:r>
      <w:r w:rsidRPr="00642B6A">
        <w:rPr>
          <w:rFonts w:eastAsia="Times New Roman" w:cs="Times New Roman"/>
          <w:b/>
          <w:szCs w:val="24"/>
        </w:rPr>
        <w:t xml:space="preserve"> –</w:t>
      </w:r>
      <w:r w:rsidR="00180982">
        <w:rPr>
          <w:rFonts w:eastAsia="Times New Roman" w:cs="Times New Roman"/>
          <w:b/>
          <w:szCs w:val="24"/>
        </w:rPr>
        <w:t xml:space="preserve"> Reporting of </w:t>
      </w:r>
      <w:r w:rsidRPr="00642B6A">
        <w:rPr>
          <w:rFonts w:eastAsia="Times New Roman" w:cs="Times New Roman"/>
          <w:b/>
          <w:szCs w:val="24"/>
        </w:rPr>
        <w:t>Information Relating to</w:t>
      </w:r>
      <w:r w:rsidR="00180982">
        <w:rPr>
          <w:rFonts w:eastAsia="Times New Roman" w:cs="Times New Roman"/>
          <w:b/>
          <w:szCs w:val="24"/>
        </w:rPr>
        <w:t xml:space="preserve"> Initial Margin Models for Uncleared Swaps</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w:t>
      </w:r>
      <w:r w:rsidR="00180982">
        <w:rPr>
          <w:rFonts w:eastAsia="Times New Roman" w:cs="Times New Roman"/>
          <w:b/>
          <w:szCs w:val="24"/>
        </w:rPr>
        <w:t>24</w:t>
      </w:r>
    </w:p>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1803"/>
        <w:gridCol w:w="1259"/>
        <w:gridCol w:w="1261"/>
        <w:gridCol w:w="1440"/>
        <w:gridCol w:w="1259"/>
        <w:gridCol w:w="1172"/>
        <w:gridCol w:w="1078"/>
      </w:tblGrid>
      <w:tr w:rsidR="00FC54D4" w:rsidRPr="00642B6A" w:rsidTr="00F517A9">
        <w:trPr>
          <w:trHeight w:val="1457"/>
        </w:trPr>
        <w:tc>
          <w:tcPr>
            <w:tcW w:w="441"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Report</w:t>
            </w:r>
          </w:p>
        </w:tc>
        <w:tc>
          <w:tcPr>
            <w:tcW w:w="886"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 xml:space="preserve">Estimated Number of Respondents </w:t>
            </w:r>
          </w:p>
        </w:tc>
        <w:tc>
          <w:tcPr>
            <w:tcW w:w="619"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Reports</w:t>
            </w:r>
          </w:p>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by Each Respondent</w:t>
            </w:r>
          </w:p>
        </w:tc>
        <w:tc>
          <w:tcPr>
            <w:tcW w:w="620"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 Annual</w:t>
            </w:r>
          </w:p>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Responses</w:t>
            </w:r>
          </w:p>
        </w:tc>
        <w:tc>
          <w:tcPr>
            <w:tcW w:w="708"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Estimated Average Number of Hours per Response</w:t>
            </w:r>
          </w:p>
        </w:tc>
        <w:tc>
          <w:tcPr>
            <w:tcW w:w="619" w:type="pct"/>
          </w:tcPr>
          <w:p w:rsidR="009C6DB4" w:rsidRPr="00B6503F" w:rsidRDefault="009C6DB4" w:rsidP="009C6DB4">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Estimated Total Annual  Number of Hours</w:t>
            </w:r>
          </w:p>
        </w:tc>
        <w:tc>
          <w:tcPr>
            <w:tcW w:w="576" w:type="pct"/>
          </w:tcPr>
          <w:p w:rsidR="009C6DB4" w:rsidRPr="00B6503F" w:rsidRDefault="009C6DB4" w:rsidP="004917A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 xml:space="preserve"> Cost per response</w:t>
            </w:r>
          </w:p>
        </w:tc>
        <w:tc>
          <w:tcPr>
            <w:tcW w:w="530" w:type="pct"/>
          </w:tcPr>
          <w:p w:rsidR="009C6DB4" w:rsidRPr="00B6503F" w:rsidDel="009C6DB4" w:rsidRDefault="009C6DB4" w:rsidP="004917A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 Annual cost of all responses</w:t>
            </w:r>
          </w:p>
        </w:tc>
      </w:tr>
      <w:tr w:rsidR="00FC54D4" w:rsidRPr="00642B6A" w:rsidTr="00F517A9">
        <w:trPr>
          <w:trHeight w:val="998"/>
        </w:trPr>
        <w:tc>
          <w:tcPr>
            <w:tcW w:w="441" w:type="pct"/>
          </w:tcPr>
          <w:p w:rsidR="009C6DB4" w:rsidRPr="00B6503F" w:rsidRDefault="009C6DB4" w:rsidP="00FD5F3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23.</w:t>
            </w:r>
            <w:r w:rsidR="00FD5F3F" w:rsidRPr="00B6503F">
              <w:rPr>
                <w:rFonts w:ascii="Arial" w:eastAsia="Times New Roman" w:hAnsi="Arial" w:cs="Times New Roman"/>
                <w:b/>
                <w:sz w:val="16"/>
                <w:szCs w:val="16"/>
              </w:rPr>
              <w:t>15</w:t>
            </w:r>
            <w:r w:rsidR="00FD5F3F">
              <w:rPr>
                <w:rFonts w:ascii="Arial" w:eastAsia="Times New Roman" w:hAnsi="Arial" w:cs="Times New Roman"/>
                <w:b/>
                <w:sz w:val="16"/>
                <w:szCs w:val="16"/>
              </w:rPr>
              <w:t>4</w:t>
            </w:r>
          </w:p>
        </w:tc>
        <w:tc>
          <w:tcPr>
            <w:tcW w:w="886" w:type="pct"/>
          </w:tcPr>
          <w:p w:rsidR="009C6DB4" w:rsidRPr="00B6503F" w:rsidRDefault="00FD5F3F"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p>
        </w:tc>
        <w:tc>
          <w:tcPr>
            <w:tcW w:w="619"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1</w:t>
            </w:r>
          </w:p>
        </w:tc>
        <w:tc>
          <w:tcPr>
            <w:tcW w:w="620" w:type="pct"/>
          </w:tcPr>
          <w:p w:rsidR="009C6DB4" w:rsidRPr="00B6503F" w:rsidRDefault="00FD5F3F"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p>
        </w:tc>
        <w:tc>
          <w:tcPr>
            <w:tcW w:w="708" w:type="pct"/>
          </w:tcPr>
          <w:p w:rsidR="009C6DB4" w:rsidRPr="00B6503F" w:rsidRDefault="00C9497A" w:rsidP="004C2276">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240</w:t>
            </w:r>
          </w:p>
        </w:tc>
        <w:tc>
          <w:tcPr>
            <w:tcW w:w="619" w:type="pct"/>
          </w:tcPr>
          <w:p w:rsidR="009C6DB4" w:rsidRPr="00B6503F" w:rsidRDefault="00FD5F3F" w:rsidP="004C2276">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12,960</w:t>
            </w:r>
          </w:p>
        </w:tc>
        <w:tc>
          <w:tcPr>
            <w:tcW w:w="576" w:type="pct"/>
          </w:tcPr>
          <w:p w:rsidR="009C6DB4" w:rsidRPr="00B6503F" w:rsidRDefault="00C9497A" w:rsidP="007B7CE3">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7B7CE3">
              <w:rPr>
                <w:rFonts w:ascii="Arial" w:eastAsia="Times New Roman" w:hAnsi="Arial" w:cs="Times New Roman"/>
                <w:b/>
                <w:sz w:val="16"/>
                <w:szCs w:val="16"/>
              </w:rPr>
              <w:t>70</w:t>
            </w:r>
            <w:r w:rsidR="007B7CE3" w:rsidRPr="00B6503F">
              <w:rPr>
                <w:rFonts w:ascii="Arial" w:eastAsia="Times New Roman" w:hAnsi="Arial" w:cs="Times New Roman"/>
                <w:b/>
                <w:sz w:val="16"/>
                <w:szCs w:val="16"/>
              </w:rPr>
              <w:t xml:space="preserve"> </w:t>
            </w:r>
            <w:r w:rsidRPr="00B6503F">
              <w:rPr>
                <w:rFonts w:ascii="Arial" w:eastAsia="Times New Roman" w:hAnsi="Arial" w:cs="Times New Roman"/>
                <w:b/>
                <w:sz w:val="16"/>
                <w:szCs w:val="16"/>
              </w:rPr>
              <w:t>per hour for a total of $</w:t>
            </w:r>
            <w:r w:rsidR="007B7CE3">
              <w:rPr>
                <w:rFonts w:ascii="Arial" w:eastAsia="Times New Roman" w:hAnsi="Arial" w:cs="Times New Roman"/>
                <w:b/>
                <w:sz w:val="16"/>
                <w:szCs w:val="16"/>
              </w:rPr>
              <w:t>16,800</w:t>
            </w:r>
            <w:r w:rsidR="007B7CE3">
              <w:rPr>
                <w:rStyle w:val="FootnoteReference"/>
                <w:rFonts w:ascii="Arial" w:eastAsia="Times New Roman" w:hAnsi="Arial" w:cs="Times New Roman"/>
                <w:b/>
                <w:sz w:val="16"/>
                <w:szCs w:val="16"/>
              </w:rPr>
              <w:footnoteReference w:id="2"/>
            </w:r>
          </w:p>
        </w:tc>
        <w:tc>
          <w:tcPr>
            <w:tcW w:w="530" w:type="pct"/>
          </w:tcPr>
          <w:p w:rsidR="009C6DB4" w:rsidRPr="00B6503F" w:rsidRDefault="00C9497A" w:rsidP="00FD5F3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FD5F3F">
              <w:rPr>
                <w:rFonts w:ascii="Arial" w:eastAsia="Times New Roman" w:hAnsi="Arial" w:cs="Times New Roman"/>
                <w:b/>
                <w:sz w:val="16"/>
                <w:szCs w:val="16"/>
              </w:rPr>
              <w:t>907,200</w:t>
            </w:r>
          </w:p>
        </w:tc>
      </w:tr>
      <w:tr w:rsidR="00FC54D4" w:rsidRPr="00642B6A" w:rsidTr="00F517A9">
        <w:tc>
          <w:tcPr>
            <w:tcW w:w="441"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886"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19"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2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08"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19"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576" w:type="pct"/>
          </w:tcPr>
          <w:p w:rsidR="00FC54D4" w:rsidRPr="00FC54D4" w:rsidRDefault="00FC54D4" w:rsidP="00F4707F">
            <w:pPr>
              <w:tabs>
                <w:tab w:val="left" w:pos="-720"/>
                <w:tab w:val="left" w:pos="0"/>
              </w:tabs>
              <w:suppressAutoHyphens/>
              <w:jc w:val="center"/>
              <w:rPr>
                <w:rFonts w:ascii="Arial" w:eastAsia="Times New Roman" w:hAnsi="Arial" w:cs="Times New Roman"/>
                <w:b/>
                <w:sz w:val="16"/>
                <w:szCs w:val="16"/>
              </w:rPr>
            </w:pPr>
          </w:p>
        </w:tc>
        <w:tc>
          <w:tcPr>
            <w:tcW w:w="53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r>
      <w:tr w:rsidR="00FC54D4" w:rsidRPr="00642B6A" w:rsidTr="00F517A9">
        <w:tc>
          <w:tcPr>
            <w:tcW w:w="441"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w:t>
            </w:r>
          </w:p>
        </w:tc>
        <w:tc>
          <w:tcPr>
            <w:tcW w:w="886" w:type="pct"/>
          </w:tcPr>
          <w:p w:rsidR="009C6DB4" w:rsidRPr="00B6503F" w:rsidRDefault="00FD5F3F"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p>
        </w:tc>
        <w:tc>
          <w:tcPr>
            <w:tcW w:w="619" w:type="pct"/>
          </w:tcPr>
          <w:p w:rsidR="009C6DB4" w:rsidRPr="00B6503F" w:rsidRDefault="00AF7D6B"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620" w:type="pct"/>
          </w:tcPr>
          <w:p w:rsidR="009C6DB4" w:rsidRPr="00B6503F" w:rsidRDefault="00FD5F3F"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p>
        </w:tc>
        <w:tc>
          <w:tcPr>
            <w:tcW w:w="708" w:type="pct"/>
          </w:tcPr>
          <w:p w:rsidR="009C6DB4" w:rsidRPr="00B6503F" w:rsidRDefault="00AF7D6B" w:rsidP="00AF7D6B">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w:t>
            </w:r>
            <w:r>
              <w:rPr>
                <w:rFonts w:ascii="Arial" w:eastAsia="Times New Roman" w:hAnsi="Arial" w:cs="Times New Roman"/>
                <w:b/>
                <w:sz w:val="16"/>
                <w:szCs w:val="16"/>
              </w:rPr>
              <w:t>4</w:t>
            </w:r>
            <w:r w:rsidRPr="00B6503F">
              <w:rPr>
                <w:rFonts w:ascii="Arial" w:eastAsia="Times New Roman" w:hAnsi="Arial" w:cs="Times New Roman"/>
                <w:b/>
                <w:sz w:val="16"/>
                <w:szCs w:val="16"/>
              </w:rPr>
              <w:t>0</w:t>
            </w:r>
          </w:p>
        </w:tc>
        <w:tc>
          <w:tcPr>
            <w:tcW w:w="619" w:type="pct"/>
          </w:tcPr>
          <w:p w:rsidR="009C6DB4" w:rsidRPr="00B6503F" w:rsidRDefault="00FD5F3F"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12,960</w:t>
            </w:r>
          </w:p>
        </w:tc>
        <w:tc>
          <w:tcPr>
            <w:tcW w:w="576" w:type="pct"/>
          </w:tcPr>
          <w:p w:rsidR="009C6DB4" w:rsidRPr="00B6503F" w:rsidRDefault="00F4707F" w:rsidP="00606860">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AF7D6B">
              <w:rPr>
                <w:rFonts w:ascii="Arial" w:eastAsia="Times New Roman" w:hAnsi="Arial" w:cs="Times New Roman"/>
                <w:b/>
                <w:sz w:val="16"/>
                <w:szCs w:val="16"/>
              </w:rPr>
              <w:t>16,800</w:t>
            </w:r>
          </w:p>
        </w:tc>
        <w:tc>
          <w:tcPr>
            <w:tcW w:w="530" w:type="pct"/>
          </w:tcPr>
          <w:p w:rsidR="009C6DB4" w:rsidRPr="00B6503F" w:rsidRDefault="00F4707F" w:rsidP="00FD5F3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FD5F3F">
              <w:rPr>
                <w:rFonts w:ascii="Arial" w:eastAsia="Times New Roman" w:hAnsi="Arial" w:cs="Times New Roman"/>
                <w:b/>
                <w:sz w:val="16"/>
                <w:szCs w:val="16"/>
              </w:rPr>
              <w:t>907,200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B7" w:rsidRDefault="006453B7" w:rsidP="009C6DB4">
      <w:r>
        <w:separator/>
      </w:r>
    </w:p>
  </w:endnote>
  <w:endnote w:type="continuationSeparator" w:id="0">
    <w:p w:rsidR="006453B7" w:rsidRDefault="006453B7"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B7" w:rsidRDefault="006453B7" w:rsidP="009C6DB4">
      <w:r>
        <w:separator/>
      </w:r>
    </w:p>
  </w:footnote>
  <w:footnote w:type="continuationSeparator" w:id="0">
    <w:p w:rsidR="006453B7" w:rsidRDefault="006453B7" w:rsidP="009C6DB4">
      <w:r>
        <w:continuationSeparator/>
      </w:r>
    </w:p>
  </w:footnote>
  <w:footnote w:id="1">
    <w:p w:rsidR="006E3A2A" w:rsidRDefault="006E3A2A">
      <w:pPr>
        <w:pStyle w:val="FootnoteText"/>
      </w:pPr>
      <w:r>
        <w:rPr>
          <w:rStyle w:val="FootnoteReference"/>
        </w:rPr>
        <w:footnoteRef/>
      </w:r>
      <w:r>
        <w:t xml:space="preserve"> It should be noted that the Commission’s margin requirements</w:t>
      </w:r>
      <w:r w:rsidR="00D012F7">
        <w:t>, in the alternative,</w:t>
      </w:r>
      <w:r>
        <w:t xml:space="preserve"> also permit CSEs to submit their internal margin models to an RFA for approval; however, for this document, the Commission is assuming that CSEs will seek Commission approval.  </w:t>
      </w:r>
    </w:p>
  </w:footnote>
  <w:footnote w:id="2">
    <w:p w:rsidR="007B7CE3" w:rsidRDefault="007B7CE3">
      <w:pPr>
        <w:pStyle w:val="FootnoteText"/>
      </w:pPr>
      <w:r>
        <w:rPr>
          <w:rStyle w:val="FootnoteReference"/>
        </w:rPr>
        <w:footnoteRef/>
      </w:r>
      <w:r>
        <w:t xml:space="preserve"> Average salary for a risk management specialist is </w:t>
      </w:r>
      <w:r w:rsidR="005B523A">
        <w:t>$</w:t>
      </w:r>
      <w:r>
        <w:t xml:space="preserve">144,000 per year according to the </w:t>
      </w:r>
      <w:r w:rsidR="00FD5F3F">
        <w:t xml:space="preserve">SIFMA </w:t>
      </w:r>
      <w:r>
        <w:t xml:space="preserve">Report on Management and Professional Earnings in the Securities Industry.  Divide </w:t>
      </w:r>
      <w:r w:rsidR="005B523A">
        <w:t>$</w:t>
      </w:r>
      <w:r>
        <w:t xml:space="preserve">144,000 per year by 80 hours per 2 weeks for 26 pay periods yields $70 per hour.  Multiply $70 per hour by 240 hours to come up with </w:t>
      </w:r>
      <w:r w:rsidR="00EC238C">
        <w:t>$16,800.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045CE"/>
    <w:rsid w:val="000576BF"/>
    <w:rsid w:val="00072761"/>
    <w:rsid w:val="000803D6"/>
    <w:rsid w:val="000835FF"/>
    <w:rsid w:val="00083F72"/>
    <w:rsid w:val="000E0987"/>
    <w:rsid w:val="00116FC7"/>
    <w:rsid w:val="0012080B"/>
    <w:rsid w:val="001577B2"/>
    <w:rsid w:val="00176391"/>
    <w:rsid w:val="00180982"/>
    <w:rsid w:val="00200207"/>
    <w:rsid w:val="00233D65"/>
    <w:rsid w:val="00243435"/>
    <w:rsid w:val="00260C07"/>
    <w:rsid w:val="0027708A"/>
    <w:rsid w:val="002879E8"/>
    <w:rsid w:val="002C7E70"/>
    <w:rsid w:val="002D0489"/>
    <w:rsid w:val="002D4681"/>
    <w:rsid w:val="002E05BD"/>
    <w:rsid w:val="002F1E80"/>
    <w:rsid w:val="00307E70"/>
    <w:rsid w:val="003534C7"/>
    <w:rsid w:val="003607A6"/>
    <w:rsid w:val="003634B9"/>
    <w:rsid w:val="003677B4"/>
    <w:rsid w:val="003700E0"/>
    <w:rsid w:val="0037312F"/>
    <w:rsid w:val="0037421B"/>
    <w:rsid w:val="003755F4"/>
    <w:rsid w:val="003E187E"/>
    <w:rsid w:val="00443D7B"/>
    <w:rsid w:val="0044799F"/>
    <w:rsid w:val="00476AB6"/>
    <w:rsid w:val="004917AF"/>
    <w:rsid w:val="004A5F11"/>
    <w:rsid w:val="004C2276"/>
    <w:rsid w:val="004D4BEA"/>
    <w:rsid w:val="004E0206"/>
    <w:rsid w:val="004E65A9"/>
    <w:rsid w:val="005069A2"/>
    <w:rsid w:val="00506C6F"/>
    <w:rsid w:val="00515E9B"/>
    <w:rsid w:val="00530E46"/>
    <w:rsid w:val="005503C6"/>
    <w:rsid w:val="00554929"/>
    <w:rsid w:val="00557EF2"/>
    <w:rsid w:val="00577F1F"/>
    <w:rsid w:val="00585718"/>
    <w:rsid w:val="005B523A"/>
    <w:rsid w:val="005B59F7"/>
    <w:rsid w:val="005C64C4"/>
    <w:rsid w:val="005D34A0"/>
    <w:rsid w:val="005E4E5C"/>
    <w:rsid w:val="00606860"/>
    <w:rsid w:val="00607D38"/>
    <w:rsid w:val="006243BC"/>
    <w:rsid w:val="0063622E"/>
    <w:rsid w:val="00637711"/>
    <w:rsid w:val="00640784"/>
    <w:rsid w:val="00642B6A"/>
    <w:rsid w:val="006445D5"/>
    <w:rsid w:val="006453B7"/>
    <w:rsid w:val="00653547"/>
    <w:rsid w:val="00667CD6"/>
    <w:rsid w:val="00697065"/>
    <w:rsid w:val="006B2A40"/>
    <w:rsid w:val="006C2F39"/>
    <w:rsid w:val="006E3A2A"/>
    <w:rsid w:val="007029A9"/>
    <w:rsid w:val="00715F21"/>
    <w:rsid w:val="0074122B"/>
    <w:rsid w:val="00747BF5"/>
    <w:rsid w:val="00751B4D"/>
    <w:rsid w:val="00755826"/>
    <w:rsid w:val="0076443A"/>
    <w:rsid w:val="007724B6"/>
    <w:rsid w:val="007B7CE3"/>
    <w:rsid w:val="007C5B3F"/>
    <w:rsid w:val="007E10D4"/>
    <w:rsid w:val="007F27F5"/>
    <w:rsid w:val="00836741"/>
    <w:rsid w:val="008435FA"/>
    <w:rsid w:val="00843603"/>
    <w:rsid w:val="00882745"/>
    <w:rsid w:val="008C03FD"/>
    <w:rsid w:val="008F2F98"/>
    <w:rsid w:val="00902356"/>
    <w:rsid w:val="009138D7"/>
    <w:rsid w:val="009309EC"/>
    <w:rsid w:val="00991A7F"/>
    <w:rsid w:val="0099690D"/>
    <w:rsid w:val="009B1E93"/>
    <w:rsid w:val="009B2F52"/>
    <w:rsid w:val="009C6DB4"/>
    <w:rsid w:val="009D00FB"/>
    <w:rsid w:val="00A34FBC"/>
    <w:rsid w:val="00A54471"/>
    <w:rsid w:val="00A708B1"/>
    <w:rsid w:val="00AA1EA1"/>
    <w:rsid w:val="00AC2529"/>
    <w:rsid w:val="00AC59BE"/>
    <w:rsid w:val="00AD0B9F"/>
    <w:rsid w:val="00AF7D6B"/>
    <w:rsid w:val="00B1090B"/>
    <w:rsid w:val="00B328FB"/>
    <w:rsid w:val="00B33652"/>
    <w:rsid w:val="00B6503F"/>
    <w:rsid w:val="00B86819"/>
    <w:rsid w:val="00B91704"/>
    <w:rsid w:val="00BA0A82"/>
    <w:rsid w:val="00BE3923"/>
    <w:rsid w:val="00BE6AC8"/>
    <w:rsid w:val="00C032F4"/>
    <w:rsid w:val="00C173E1"/>
    <w:rsid w:val="00C2000F"/>
    <w:rsid w:val="00C23A3C"/>
    <w:rsid w:val="00C639C6"/>
    <w:rsid w:val="00C9497A"/>
    <w:rsid w:val="00C97593"/>
    <w:rsid w:val="00CF1C34"/>
    <w:rsid w:val="00D012F7"/>
    <w:rsid w:val="00D12FEB"/>
    <w:rsid w:val="00D25BD2"/>
    <w:rsid w:val="00D27AE8"/>
    <w:rsid w:val="00D74EDA"/>
    <w:rsid w:val="00DB00E1"/>
    <w:rsid w:val="00DB1AD1"/>
    <w:rsid w:val="00DB7297"/>
    <w:rsid w:val="00DC3870"/>
    <w:rsid w:val="00DD51EE"/>
    <w:rsid w:val="00E87F36"/>
    <w:rsid w:val="00E87F90"/>
    <w:rsid w:val="00EB0A83"/>
    <w:rsid w:val="00EB0FA7"/>
    <w:rsid w:val="00EC238C"/>
    <w:rsid w:val="00F02CC0"/>
    <w:rsid w:val="00F11AF6"/>
    <w:rsid w:val="00F21958"/>
    <w:rsid w:val="00F301A8"/>
    <w:rsid w:val="00F378A6"/>
    <w:rsid w:val="00F461C8"/>
    <w:rsid w:val="00F4707F"/>
    <w:rsid w:val="00F517A9"/>
    <w:rsid w:val="00F55C7F"/>
    <w:rsid w:val="00F568E5"/>
    <w:rsid w:val="00FB0145"/>
    <w:rsid w:val="00FC3A55"/>
    <w:rsid w:val="00FC54D4"/>
    <w:rsid w:val="00FD5F3F"/>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85AE-8EE2-48CC-B1E4-CE8A2A61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2013-09-19T13:07:00Z</cp:lastPrinted>
  <dcterms:created xsi:type="dcterms:W3CDTF">2015-12-16T15:25:00Z</dcterms:created>
  <dcterms:modified xsi:type="dcterms:W3CDTF">2015-12-16T15:25:00Z</dcterms:modified>
</cp:coreProperties>
</file>