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E6BA5" w14:textId="064A53F8" w:rsidR="00EB2145" w:rsidRDefault="00EB2145" w:rsidP="00EB2145">
      <w:pPr>
        <w:jc w:val="center"/>
        <w:rPr>
          <w:b/>
          <w:noProof/>
          <w:sz w:val="32"/>
        </w:rPr>
      </w:pPr>
      <w:bookmarkStart w:id="0" w:name="_Ref2133395"/>
      <w:bookmarkEnd w:id="0"/>
      <w:r>
        <w:rPr>
          <w:b/>
          <w:noProof/>
          <w:sz w:val="32"/>
        </w:rPr>
        <w:t xml:space="preserve">EO 12866_OW WQS 2040-AF 16 </w:t>
      </w:r>
    </w:p>
    <w:p w14:paraId="662B2FD0" w14:textId="77777777" w:rsidR="00A5253A" w:rsidRPr="00B7618A" w:rsidRDefault="00A5253A" w:rsidP="00396F4C">
      <w:pPr>
        <w:tabs>
          <w:tab w:val="center" w:pos="4680"/>
        </w:tabs>
        <w:jc w:val="center"/>
      </w:pPr>
    </w:p>
    <w:p w14:paraId="21D61D33" w14:textId="67415246" w:rsidR="009E1D15" w:rsidRPr="006820FC" w:rsidRDefault="009E1D15" w:rsidP="00396F4C">
      <w:pPr>
        <w:tabs>
          <w:tab w:val="center" w:pos="4680"/>
        </w:tabs>
        <w:jc w:val="center"/>
        <w:rPr>
          <w:rFonts w:ascii="Times New Roman Bold" w:hAnsi="Times New Roman Bold"/>
          <w:b/>
          <w:sz w:val="32"/>
          <w:szCs w:val="32"/>
        </w:rPr>
      </w:pPr>
      <w:r w:rsidRPr="006820FC">
        <w:rPr>
          <w:rFonts w:ascii="Times New Roman Bold" w:hAnsi="Times New Roman Bold"/>
          <w:b/>
          <w:bCs/>
          <w:sz w:val="32"/>
          <w:szCs w:val="32"/>
        </w:rPr>
        <w:t>Information Collection Request</w:t>
      </w:r>
    </w:p>
    <w:p w14:paraId="2E2AF0D0" w14:textId="4FFE41B6" w:rsidR="009E1D15" w:rsidRPr="006820FC" w:rsidRDefault="009E1D15" w:rsidP="00396F4C">
      <w:pPr>
        <w:tabs>
          <w:tab w:val="center" w:pos="4680"/>
        </w:tabs>
        <w:jc w:val="center"/>
        <w:rPr>
          <w:rFonts w:ascii="Times New Roman Bold" w:hAnsi="Times New Roman Bold"/>
          <w:b/>
          <w:bCs/>
          <w:sz w:val="32"/>
          <w:szCs w:val="32"/>
        </w:rPr>
      </w:pPr>
      <w:r w:rsidRPr="006820FC">
        <w:rPr>
          <w:rFonts w:ascii="Times New Roman Bold" w:hAnsi="Times New Roman Bold"/>
          <w:b/>
          <w:bCs/>
          <w:sz w:val="32"/>
          <w:szCs w:val="32"/>
        </w:rPr>
        <w:t>for</w:t>
      </w:r>
    </w:p>
    <w:p w14:paraId="74858367" w14:textId="5C10B80C" w:rsidR="009E1D15" w:rsidRPr="00396F4C" w:rsidRDefault="00042B2A" w:rsidP="006820FC">
      <w:pPr>
        <w:tabs>
          <w:tab w:val="center" w:pos="4680"/>
        </w:tabs>
        <w:jc w:val="center"/>
      </w:pPr>
      <w:r w:rsidRPr="006820FC">
        <w:rPr>
          <w:rFonts w:ascii="Times New Roman Bold" w:hAnsi="Times New Roman Bold"/>
          <w:b/>
          <w:bCs/>
          <w:sz w:val="32"/>
          <w:szCs w:val="32"/>
        </w:rPr>
        <w:t>W</w:t>
      </w:r>
      <w:r w:rsidR="006820FC">
        <w:rPr>
          <w:rFonts w:ascii="Times New Roman Bold" w:hAnsi="Times New Roman Bold"/>
          <w:b/>
          <w:bCs/>
          <w:sz w:val="32"/>
          <w:szCs w:val="32"/>
        </w:rPr>
        <w:t>ater</w:t>
      </w:r>
      <w:r w:rsidRPr="006820FC">
        <w:rPr>
          <w:rFonts w:ascii="Times New Roman Bold" w:hAnsi="Times New Roman Bold"/>
          <w:b/>
          <w:bCs/>
          <w:sz w:val="32"/>
          <w:szCs w:val="32"/>
        </w:rPr>
        <w:t xml:space="preserve"> Q</w:t>
      </w:r>
      <w:r w:rsidR="006820FC">
        <w:rPr>
          <w:rFonts w:ascii="Times New Roman Bold" w:hAnsi="Times New Roman Bold"/>
          <w:b/>
          <w:bCs/>
          <w:sz w:val="32"/>
          <w:szCs w:val="32"/>
        </w:rPr>
        <w:t>uality</w:t>
      </w:r>
      <w:r w:rsidRPr="006820FC">
        <w:rPr>
          <w:rFonts w:ascii="Times New Roman Bold" w:hAnsi="Times New Roman Bold"/>
          <w:b/>
          <w:bCs/>
          <w:sz w:val="32"/>
          <w:szCs w:val="32"/>
        </w:rPr>
        <w:t xml:space="preserve"> S</w:t>
      </w:r>
      <w:r w:rsidR="006820FC">
        <w:rPr>
          <w:rFonts w:ascii="Times New Roman Bold" w:hAnsi="Times New Roman Bold"/>
          <w:b/>
          <w:bCs/>
          <w:sz w:val="32"/>
          <w:szCs w:val="32"/>
        </w:rPr>
        <w:t xml:space="preserve">tandards Regulatory Revisions </w:t>
      </w:r>
      <w:r w:rsidR="002D2F63" w:rsidRPr="006820FC">
        <w:rPr>
          <w:rFonts w:ascii="Times New Roman Bold" w:hAnsi="Times New Roman Bold"/>
          <w:b/>
          <w:bCs/>
          <w:sz w:val="32"/>
          <w:szCs w:val="32"/>
        </w:rPr>
        <w:t>(F</w:t>
      </w:r>
      <w:r w:rsidR="006820FC">
        <w:rPr>
          <w:rFonts w:ascii="Times New Roman Bold" w:hAnsi="Times New Roman Bold"/>
          <w:b/>
          <w:bCs/>
          <w:sz w:val="32"/>
          <w:szCs w:val="32"/>
        </w:rPr>
        <w:t>inal Rule)</w:t>
      </w:r>
    </w:p>
    <w:p w14:paraId="410EEA5F" w14:textId="77777777" w:rsidR="009E1D15" w:rsidRPr="00396F4C" w:rsidRDefault="009E1D15" w:rsidP="00396F4C">
      <w:pPr>
        <w:jc w:val="center"/>
      </w:pPr>
    </w:p>
    <w:p w14:paraId="74422456" w14:textId="77777777" w:rsidR="009E1D15" w:rsidRPr="00396F4C" w:rsidRDefault="009E1D15" w:rsidP="00396F4C">
      <w:pPr>
        <w:jc w:val="center"/>
      </w:pPr>
    </w:p>
    <w:p w14:paraId="2878F1AD" w14:textId="7380B7B4" w:rsidR="009E1D15" w:rsidRPr="00396F4C" w:rsidRDefault="009E1D15" w:rsidP="00396F4C">
      <w:pPr>
        <w:tabs>
          <w:tab w:val="center" w:pos="4680"/>
        </w:tabs>
        <w:jc w:val="center"/>
      </w:pPr>
    </w:p>
    <w:p w14:paraId="42DC4C32" w14:textId="2C1471BF" w:rsidR="009E1D15" w:rsidRPr="00396F4C" w:rsidRDefault="009E1D15" w:rsidP="00396F4C">
      <w:pPr>
        <w:tabs>
          <w:tab w:val="center" w:pos="4680"/>
        </w:tabs>
        <w:jc w:val="center"/>
      </w:pPr>
    </w:p>
    <w:p w14:paraId="1863E58B" w14:textId="21138E64" w:rsidR="009E1D15" w:rsidRPr="006820FC" w:rsidRDefault="00600A32" w:rsidP="00396F4C">
      <w:pPr>
        <w:tabs>
          <w:tab w:val="center" w:pos="4680"/>
        </w:tabs>
        <w:jc w:val="center"/>
        <w:rPr>
          <w:b/>
          <w:sz w:val="28"/>
          <w:szCs w:val="28"/>
        </w:rPr>
      </w:pPr>
      <w:r>
        <w:rPr>
          <w:b/>
          <w:sz w:val="28"/>
          <w:szCs w:val="28"/>
        </w:rPr>
        <w:t>July</w:t>
      </w:r>
      <w:r w:rsidR="00332C05">
        <w:rPr>
          <w:b/>
          <w:sz w:val="28"/>
          <w:szCs w:val="28"/>
        </w:rPr>
        <w:t xml:space="preserve"> </w:t>
      </w:r>
      <w:r w:rsidR="002E50A3" w:rsidRPr="006820FC">
        <w:rPr>
          <w:b/>
          <w:sz w:val="28"/>
          <w:szCs w:val="28"/>
        </w:rPr>
        <w:t>201</w:t>
      </w:r>
      <w:r>
        <w:rPr>
          <w:b/>
          <w:sz w:val="28"/>
          <w:szCs w:val="28"/>
        </w:rPr>
        <w:t>5</w:t>
      </w:r>
    </w:p>
    <w:p w14:paraId="4B69D4FF" w14:textId="77777777" w:rsidR="009E1D15" w:rsidRPr="00396F4C" w:rsidRDefault="009E1D15" w:rsidP="00396F4C">
      <w:pPr>
        <w:jc w:val="center"/>
      </w:pPr>
    </w:p>
    <w:p w14:paraId="361D09C3" w14:textId="77777777" w:rsidR="009E1D15" w:rsidRPr="00396F4C" w:rsidRDefault="009E1D15" w:rsidP="00396F4C">
      <w:pPr>
        <w:jc w:val="center"/>
      </w:pPr>
    </w:p>
    <w:p w14:paraId="130C507D" w14:textId="77777777" w:rsidR="009E1D15" w:rsidRPr="00396F4C" w:rsidRDefault="009E1D15" w:rsidP="00396F4C">
      <w:pPr>
        <w:jc w:val="center"/>
      </w:pPr>
    </w:p>
    <w:p w14:paraId="5A788C4C" w14:textId="77777777" w:rsidR="009E1D15" w:rsidRPr="00396F4C" w:rsidRDefault="009E1D15" w:rsidP="00396F4C">
      <w:pPr>
        <w:jc w:val="center"/>
      </w:pPr>
    </w:p>
    <w:p w14:paraId="5DAB24FC" w14:textId="561369FB" w:rsidR="009E1D15" w:rsidRPr="00C502CD" w:rsidRDefault="009E1D15" w:rsidP="00396F4C">
      <w:pPr>
        <w:tabs>
          <w:tab w:val="center" w:pos="4680"/>
        </w:tabs>
        <w:jc w:val="center"/>
      </w:pPr>
      <w:r w:rsidRPr="00C502CD">
        <w:t xml:space="preserve">EPA ICR Number </w:t>
      </w:r>
      <w:r w:rsidR="00890398" w:rsidRPr="00C502CD">
        <w:t>2449.0</w:t>
      </w:r>
      <w:r w:rsidR="009860E7">
        <w:t>2</w:t>
      </w:r>
    </w:p>
    <w:p w14:paraId="09B6CE89" w14:textId="6F1C4B6A" w:rsidR="009E1D15" w:rsidRPr="00396F4C" w:rsidRDefault="002E50A3" w:rsidP="00396F4C">
      <w:pPr>
        <w:tabs>
          <w:tab w:val="center" w:pos="4680"/>
        </w:tabs>
        <w:jc w:val="center"/>
      </w:pPr>
      <w:r w:rsidRPr="00C502CD">
        <w:t xml:space="preserve">OMB Control Number </w:t>
      </w:r>
      <w:r w:rsidR="00BB563B">
        <w:t>2040-</w:t>
      </w:r>
      <w:r w:rsidR="00037518">
        <w:t>0286</w:t>
      </w:r>
    </w:p>
    <w:p w14:paraId="451E2254" w14:textId="77777777" w:rsidR="009E1D15" w:rsidRPr="00396F4C" w:rsidRDefault="009E1D15" w:rsidP="00396F4C">
      <w:pPr>
        <w:jc w:val="center"/>
      </w:pPr>
    </w:p>
    <w:p w14:paraId="3017D213" w14:textId="77777777" w:rsidR="009E1D15" w:rsidRPr="00396F4C" w:rsidRDefault="009E1D15" w:rsidP="00396F4C">
      <w:pPr>
        <w:jc w:val="center"/>
      </w:pPr>
    </w:p>
    <w:p w14:paraId="1CE2E96A" w14:textId="7E5CFEF8" w:rsidR="009E1D15" w:rsidRPr="00396F4C" w:rsidRDefault="009E1D15" w:rsidP="00396F4C">
      <w:pPr>
        <w:tabs>
          <w:tab w:val="center" w:pos="4680"/>
        </w:tabs>
        <w:jc w:val="center"/>
      </w:pPr>
    </w:p>
    <w:p w14:paraId="48213810" w14:textId="77777777" w:rsidR="009E1D15" w:rsidRPr="00396F4C" w:rsidRDefault="009E1D15" w:rsidP="00396F4C">
      <w:pPr>
        <w:jc w:val="center"/>
      </w:pPr>
    </w:p>
    <w:p w14:paraId="3D708C43" w14:textId="77777777" w:rsidR="009E1D15" w:rsidRPr="00396F4C" w:rsidRDefault="009E1D15" w:rsidP="00396F4C">
      <w:pPr>
        <w:jc w:val="center"/>
      </w:pPr>
    </w:p>
    <w:p w14:paraId="21C1C700" w14:textId="77777777" w:rsidR="009E1D15" w:rsidRPr="00396F4C" w:rsidRDefault="009E1D15" w:rsidP="00396F4C">
      <w:pPr>
        <w:jc w:val="center"/>
      </w:pPr>
    </w:p>
    <w:p w14:paraId="21FC0A9E" w14:textId="77777777" w:rsidR="009E1D15" w:rsidRPr="00396F4C" w:rsidRDefault="009E1D15" w:rsidP="00396F4C">
      <w:pPr>
        <w:jc w:val="center"/>
      </w:pPr>
    </w:p>
    <w:p w14:paraId="5D300B0A" w14:textId="77777777" w:rsidR="009E1D15" w:rsidRPr="00396F4C" w:rsidRDefault="009E1D15" w:rsidP="00396F4C">
      <w:pPr>
        <w:jc w:val="center"/>
      </w:pPr>
    </w:p>
    <w:p w14:paraId="17246EF4" w14:textId="77777777" w:rsidR="009E1D15" w:rsidRPr="00396F4C" w:rsidRDefault="009E1D15" w:rsidP="00396F4C">
      <w:pPr>
        <w:jc w:val="center"/>
      </w:pPr>
    </w:p>
    <w:p w14:paraId="707A7013" w14:textId="50AE6EA6" w:rsidR="009E1D15" w:rsidRPr="00396F4C" w:rsidRDefault="009E1D15" w:rsidP="00396F4C">
      <w:pPr>
        <w:tabs>
          <w:tab w:val="center" w:pos="4680"/>
        </w:tabs>
        <w:jc w:val="center"/>
        <w:rPr>
          <w:bCs/>
        </w:rPr>
      </w:pPr>
      <w:r w:rsidRPr="00396F4C">
        <w:rPr>
          <w:bCs/>
        </w:rPr>
        <w:t>U.S. Environmental Protection Agency</w:t>
      </w:r>
    </w:p>
    <w:p w14:paraId="242A7ADF" w14:textId="4ED7A833" w:rsidR="002D2F63" w:rsidRPr="00396F4C" w:rsidRDefault="009E1D15" w:rsidP="00396F4C">
      <w:pPr>
        <w:tabs>
          <w:tab w:val="center" w:pos="4680"/>
        </w:tabs>
        <w:jc w:val="center"/>
        <w:rPr>
          <w:bCs/>
        </w:rPr>
      </w:pPr>
      <w:r w:rsidRPr="00396F4C">
        <w:rPr>
          <w:bCs/>
        </w:rPr>
        <w:t>Office of Water</w:t>
      </w:r>
    </w:p>
    <w:p w14:paraId="5F1A5EB7" w14:textId="77777777" w:rsidR="0055400B" w:rsidRDefault="009E1D15" w:rsidP="00396F4C">
      <w:pPr>
        <w:tabs>
          <w:tab w:val="center" w:pos="4680"/>
        </w:tabs>
        <w:jc w:val="center"/>
        <w:rPr>
          <w:bCs/>
        </w:rPr>
      </w:pPr>
      <w:r w:rsidRPr="00396F4C">
        <w:rPr>
          <w:bCs/>
        </w:rPr>
        <w:t>Office of Science and Technology</w:t>
      </w:r>
    </w:p>
    <w:p w14:paraId="1C586AB8" w14:textId="11B06A13" w:rsidR="009E1D15" w:rsidRPr="00396F4C" w:rsidRDefault="009E1D15" w:rsidP="00396F4C">
      <w:pPr>
        <w:tabs>
          <w:tab w:val="center" w:pos="4680"/>
        </w:tabs>
        <w:jc w:val="center"/>
        <w:rPr>
          <w:bCs/>
        </w:rPr>
      </w:pPr>
      <w:r w:rsidRPr="00396F4C">
        <w:rPr>
          <w:bCs/>
        </w:rPr>
        <w:t>1200 Pennsylvania Avenue, N</w:t>
      </w:r>
      <w:r w:rsidR="002D2F63" w:rsidRPr="00396F4C">
        <w:rPr>
          <w:bCs/>
        </w:rPr>
        <w:t>.</w:t>
      </w:r>
      <w:r w:rsidRPr="00396F4C">
        <w:rPr>
          <w:bCs/>
        </w:rPr>
        <w:t>W</w:t>
      </w:r>
      <w:r w:rsidR="002D2F63" w:rsidRPr="00396F4C">
        <w:rPr>
          <w:bCs/>
        </w:rPr>
        <w:t>.</w:t>
      </w:r>
    </w:p>
    <w:p w14:paraId="0702E47F" w14:textId="41D5A71D" w:rsidR="009E1D15" w:rsidRPr="00396F4C" w:rsidRDefault="009E1D15" w:rsidP="00396F4C">
      <w:pPr>
        <w:tabs>
          <w:tab w:val="center" w:pos="4680"/>
        </w:tabs>
        <w:jc w:val="center"/>
        <w:rPr>
          <w:bCs/>
        </w:rPr>
      </w:pPr>
      <w:r w:rsidRPr="00396F4C">
        <w:rPr>
          <w:bCs/>
        </w:rPr>
        <w:t>Washington, DC</w:t>
      </w:r>
      <w:r w:rsidR="00433B9B">
        <w:rPr>
          <w:bCs/>
        </w:rPr>
        <w:t xml:space="preserve"> </w:t>
      </w:r>
      <w:r w:rsidRPr="00396F4C">
        <w:rPr>
          <w:bCs/>
        </w:rPr>
        <w:t>20460</w:t>
      </w:r>
    </w:p>
    <w:p w14:paraId="150492D6" w14:textId="77777777" w:rsidR="009E1D15" w:rsidRPr="00B7618A" w:rsidRDefault="009E1D15" w:rsidP="00396F4C">
      <w:pPr>
        <w:jc w:val="center"/>
        <w:rPr>
          <w:b/>
          <w:bCs/>
        </w:rPr>
      </w:pPr>
    </w:p>
    <w:p w14:paraId="6B81E625" w14:textId="77777777" w:rsidR="009E1D15" w:rsidRPr="00B7618A" w:rsidRDefault="009E1D15">
      <w:pPr>
        <w:sectPr w:rsidR="009E1D15" w:rsidRPr="00B7618A" w:rsidSect="00332C05">
          <w:headerReference w:type="default" r:id="rId13"/>
          <w:pgSz w:w="12240" w:h="15840"/>
          <w:pgMar w:top="1440" w:right="1440" w:bottom="1440" w:left="1440" w:header="630" w:footer="1440" w:gutter="0"/>
          <w:cols w:space="720"/>
          <w:vAlign w:val="center"/>
          <w:noEndnote/>
          <w:docGrid w:linePitch="326"/>
        </w:sectPr>
      </w:pPr>
    </w:p>
    <w:p w14:paraId="71670170" w14:textId="2501ED54" w:rsidR="009E1D15" w:rsidRPr="00B7618A" w:rsidRDefault="009E1D15" w:rsidP="00396F4C">
      <w:pPr>
        <w:tabs>
          <w:tab w:val="center" w:pos="4680"/>
        </w:tabs>
        <w:jc w:val="center"/>
        <w:rPr>
          <w:b/>
          <w:bCs/>
        </w:rPr>
      </w:pPr>
      <w:r w:rsidRPr="00B7618A">
        <w:rPr>
          <w:b/>
          <w:bCs/>
          <w:u w:val="single"/>
        </w:rPr>
        <w:lastRenderedPageBreak/>
        <w:t>CONTENTS</w:t>
      </w:r>
    </w:p>
    <w:p w14:paraId="17AF2A63" w14:textId="77777777" w:rsidR="009E1D15" w:rsidRPr="00B7618A" w:rsidRDefault="009E1D15">
      <w:pPr>
        <w:rPr>
          <w:b/>
          <w:bCs/>
        </w:rPr>
      </w:pPr>
    </w:p>
    <w:p w14:paraId="37A2A3C7" w14:textId="77777777" w:rsidR="009860E7" w:rsidRDefault="00AA16F3">
      <w:pPr>
        <w:pStyle w:val="TOC1"/>
        <w:tabs>
          <w:tab w:val="right" w:leader="dot" w:pos="9350"/>
        </w:tabs>
        <w:rPr>
          <w:rFonts w:asciiTheme="minorHAnsi" w:eastAsiaTheme="minorEastAsia" w:hAnsiTheme="minorHAnsi" w:cstheme="minorBidi"/>
          <w:b w:val="0"/>
          <w:noProof/>
          <w:sz w:val="22"/>
          <w:szCs w:val="22"/>
        </w:rPr>
      </w:pPr>
      <w:r>
        <w:rPr>
          <w:b w:val="0"/>
        </w:rPr>
        <w:fldChar w:fldCharType="begin"/>
      </w:r>
      <w:r>
        <w:rPr>
          <w:b w:val="0"/>
        </w:rPr>
        <w:instrText xml:space="preserve"> TOC \o "1-3" \f </w:instrText>
      </w:r>
      <w:r>
        <w:rPr>
          <w:b w:val="0"/>
        </w:rPr>
        <w:fldChar w:fldCharType="separate"/>
      </w:r>
      <w:r w:rsidR="009860E7">
        <w:rPr>
          <w:noProof/>
        </w:rPr>
        <w:t>1.</w:t>
      </w:r>
      <w:r w:rsidR="009860E7">
        <w:rPr>
          <w:rFonts w:asciiTheme="minorHAnsi" w:eastAsiaTheme="minorEastAsia" w:hAnsiTheme="minorHAnsi" w:cstheme="minorBidi"/>
          <w:b w:val="0"/>
          <w:noProof/>
          <w:sz w:val="22"/>
          <w:szCs w:val="22"/>
        </w:rPr>
        <w:tab/>
      </w:r>
      <w:r w:rsidR="009860E7">
        <w:rPr>
          <w:noProof/>
        </w:rPr>
        <w:t>Identification of the Information Collection</w:t>
      </w:r>
      <w:r w:rsidR="009860E7">
        <w:rPr>
          <w:noProof/>
        </w:rPr>
        <w:tab/>
      </w:r>
      <w:r w:rsidR="009860E7">
        <w:rPr>
          <w:noProof/>
        </w:rPr>
        <w:fldChar w:fldCharType="begin"/>
      </w:r>
      <w:r w:rsidR="009860E7">
        <w:rPr>
          <w:noProof/>
        </w:rPr>
        <w:instrText xml:space="preserve"> PAGEREF _Toc406051407 \h </w:instrText>
      </w:r>
      <w:r w:rsidR="009860E7">
        <w:rPr>
          <w:noProof/>
        </w:rPr>
      </w:r>
      <w:r w:rsidR="009860E7">
        <w:rPr>
          <w:noProof/>
        </w:rPr>
        <w:fldChar w:fldCharType="separate"/>
      </w:r>
      <w:r w:rsidR="009860E7">
        <w:rPr>
          <w:noProof/>
        </w:rPr>
        <w:t>1-1</w:t>
      </w:r>
      <w:r w:rsidR="009860E7">
        <w:rPr>
          <w:noProof/>
        </w:rPr>
        <w:fldChar w:fldCharType="end"/>
      </w:r>
    </w:p>
    <w:p w14:paraId="7571E60D"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Title of the Information Collection</w:t>
      </w:r>
      <w:r>
        <w:rPr>
          <w:noProof/>
        </w:rPr>
        <w:tab/>
      </w:r>
      <w:r>
        <w:rPr>
          <w:noProof/>
        </w:rPr>
        <w:fldChar w:fldCharType="begin"/>
      </w:r>
      <w:r>
        <w:rPr>
          <w:noProof/>
        </w:rPr>
        <w:instrText xml:space="preserve"> PAGEREF _Toc406051408 \h </w:instrText>
      </w:r>
      <w:r>
        <w:rPr>
          <w:noProof/>
        </w:rPr>
      </w:r>
      <w:r>
        <w:rPr>
          <w:noProof/>
        </w:rPr>
        <w:fldChar w:fldCharType="separate"/>
      </w:r>
      <w:r>
        <w:rPr>
          <w:noProof/>
        </w:rPr>
        <w:t>1-1</w:t>
      </w:r>
      <w:r>
        <w:rPr>
          <w:noProof/>
        </w:rPr>
        <w:fldChar w:fldCharType="end"/>
      </w:r>
    </w:p>
    <w:p w14:paraId="2D937BFB"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Short Characterization/Abstract</w:t>
      </w:r>
      <w:r>
        <w:rPr>
          <w:noProof/>
        </w:rPr>
        <w:tab/>
      </w:r>
      <w:r>
        <w:rPr>
          <w:noProof/>
        </w:rPr>
        <w:fldChar w:fldCharType="begin"/>
      </w:r>
      <w:r>
        <w:rPr>
          <w:noProof/>
        </w:rPr>
        <w:instrText xml:space="preserve"> PAGEREF _Toc406051409 \h </w:instrText>
      </w:r>
      <w:r>
        <w:rPr>
          <w:noProof/>
        </w:rPr>
      </w:r>
      <w:r>
        <w:rPr>
          <w:noProof/>
        </w:rPr>
        <w:fldChar w:fldCharType="separate"/>
      </w:r>
      <w:r>
        <w:rPr>
          <w:noProof/>
        </w:rPr>
        <w:t>1-1</w:t>
      </w:r>
      <w:r>
        <w:rPr>
          <w:noProof/>
        </w:rPr>
        <w:fldChar w:fldCharType="end"/>
      </w:r>
    </w:p>
    <w:p w14:paraId="0E081E62" w14:textId="77777777" w:rsidR="009860E7" w:rsidRDefault="009860E7">
      <w:pPr>
        <w:pStyle w:val="TOC1"/>
        <w:tabs>
          <w:tab w:val="right" w:leader="dot" w:pos="935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Need for and Use of the Collection</w:t>
      </w:r>
      <w:r>
        <w:rPr>
          <w:noProof/>
        </w:rPr>
        <w:tab/>
      </w:r>
      <w:r>
        <w:rPr>
          <w:noProof/>
        </w:rPr>
        <w:fldChar w:fldCharType="begin"/>
      </w:r>
      <w:r>
        <w:rPr>
          <w:noProof/>
        </w:rPr>
        <w:instrText xml:space="preserve"> PAGEREF _Toc406051411 \h </w:instrText>
      </w:r>
      <w:r>
        <w:rPr>
          <w:noProof/>
        </w:rPr>
      </w:r>
      <w:r>
        <w:rPr>
          <w:noProof/>
        </w:rPr>
        <w:fldChar w:fldCharType="separate"/>
      </w:r>
      <w:r>
        <w:rPr>
          <w:noProof/>
        </w:rPr>
        <w:t>2-1</w:t>
      </w:r>
      <w:r>
        <w:rPr>
          <w:noProof/>
        </w:rPr>
        <w:fldChar w:fldCharType="end"/>
      </w:r>
    </w:p>
    <w:p w14:paraId="6882530A"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Need and Authority for the Collection</w:t>
      </w:r>
      <w:r>
        <w:rPr>
          <w:noProof/>
        </w:rPr>
        <w:tab/>
      </w:r>
      <w:r>
        <w:rPr>
          <w:noProof/>
        </w:rPr>
        <w:fldChar w:fldCharType="begin"/>
      </w:r>
      <w:r>
        <w:rPr>
          <w:noProof/>
        </w:rPr>
        <w:instrText xml:space="preserve"> PAGEREF _Toc406051412 \h </w:instrText>
      </w:r>
      <w:r>
        <w:rPr>
          <w:noProof/>
        </w:rPr>
      </w:r>
      <w:r>
        <w:rPr>
          <w:noProof/>
        </w:rPr>
        <w:fldChar w:fldCharType="separate"/>
      </w:r>
      <w:r>
        <w:rPr>
          <w:noProof/>
        </w:rPr>
        <w:t>2-1</w:t>
      </w:r>
      <w:r>
        <w:rPr>
          <w:noProof/>
        </w:rPr>
        <w:fldChar w:fldCharType="end"/>
      </w:r>
    </w:p>
    <w:p w14:paraId="6AB8A4BC"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Practical Utility/Users of the Data</w:t>
      </w:r>
      <w:r>
        <w:rPr>
          <w:noProof/>
        </w:rPr>
        <w:tab/>
      </w:r>
      <w:r>
        <w:rPr>
          <w:noProof/>
        </w:rPr>
        <w:fldChar w:fldCharType="begin"/>
      </w:r>
      <w:r>
        <w:rPr>
          <w:noProof/>
        </w:rPr>
        <w:instrText xml:space="preserve"> PAGEREF _Toc406051413 \h </w:instrText>
      </w:r>
      <w:r>
        <w:rPr>
          <w:noProof/>
        </w:rPr>
      </w:r>
      <w:r>
        <w:rPr>
          <w:noProof/>
        </w:rPr>
        <w:fldChar w:fldCharType="separate"/>
      </w:r>
      <w:r>
        <w:rPr>
          <w:noProof/>
        </w:rPr>
        <w:t>2-1</w:t>
      </w:r>
      <w:r>
        <w:rPr>
          <w:noProof/>
        </w:rPr>
        <w:fldChar w:fldCharType="end"/>
      </w:r>
    </w:p>
    <w:p w14:paraId="4894B509" w14:textId="77777777" w:rsidR="009860E7" w:rsidRDefault="009860E7">
      <w:pPr>
        <w:pStyle w:val="TOC1"/>
        <w:tabs>
          <w:tab w:val="right" w:leader="dot" w:pos="935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Non-Duplication, Consultations, and Other Collection Criteria</w:t>
      </w:r>
      <w:r>
        <w:rPr>
          <w:noProof/>
        </w:rPr>
        <w:tab/>
      </w:r>
      <w:r>
        <w:rPr>
          <w:noProof/>
        </w:rPr>
        <w:fldChar w:fldCharType="begin"/>
      </w:r>
      <w:r>
        <w:rPr>
          <w:noProof/>
        </w:rPr>
        <w:instrText xml:space="preserve"> PAGEREF _Toc406051414 \h </w:instrText>
      </w:r>
      <w:r>
        <w:rPr>
          <w:noProof/>
        </w:rPr>
      </w:r>
      <w:r>
        <w:rPr>
          <w:noProof/>
        </w:rPr>
        <w:fldChar w:fldCharType="separate"/>
      </w:r>
      <w:r>
        <w:rPr>
          <w:noProof/>
        </w:rPr>
        <w:t>3-3</w:t>
      </w:r>
      <w:r>
        <w:rPr>
          <w:noProof/>
        </w:rPr>
        <w:fldChar w:fldCharType="end"/>
      </w:r>
    </w:p>
    <w:p w14:paraId="0BF1F3F6"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Non-Duplication</w:t>
      </w:r>
      <w:r>
        <w:rPr>
          <w:noProof/>
        </w:rPr>
        <w:tab/>
      </w:r>
      <w:r>
        <w:rPr>
          <w:noProof/>
        </w:rPr>
        <w:fldChar w:fldCharType="begin"/>
      </w:r>
      <w:r>
        <w:rPr>
          <w:noProof/>
        </w:rPr>
        <w:instrText xml:space="preserve"> PAGEREF _Toc406051415 \h </w:instrText>
      </w:r>
      <w:r>
        <w:rPr>
          <w:noProof/>
        </w:rPr>
      </w:r>
      <w:r>
        <w:rPr>
          <w:noProof/>
        </w:rPr>
        <w:fldChar w:fldCharType="separate"/>
      </w:r>
      <w:r>
        <w:rPr>
          <w:noProof/>
        </w:rPr>
        <w:t>3-3</w:t>
      </w:r>
      <w:r>
        <w:rPr>
          <w:noProof/>
        </w:rPr>
        <w:fldChar w:fldCharType="end"/>
      </w:r>
    </w:p>
    <w:p w14:paraId="5C28E81A"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Consultations</w:t>
      </w:r>
      <w:r>
        <w:rPr>
          <w:noProof/>
        </w:rPr>
        <w:tab/>
      </w:r>
      <w:r>
        <w:rPr>
          <w:noProof/>
        </w:rPr>
        <w:fldChar w:fldCharType="begin"/>
      </w:r>
      <w:r>
        <w:rPr>
          <w:noProof/>
        </w:rPr>
        <w:instrText xml:space="preserve"> PAGEREF _Toc406051416 \h </w:instrText>
      </w:r>
      <w:r>
        <w:rPr>
          <w:noProof/>
        </w:rPr>
      </w:r>
      <w:r>
        <w:rPr>
          <w:noProof/>
        </w:rPr>
        <w:fldChar w:fldCharType="separate"/>
      </w:r>
      <w:r>
        <w:rPr>
          <w:noProof/>
        </w:rPr>
        <w:t>3-3</w:t>
      </w:r>
      <w:r>
        <w:rPr>
          <w:noProof/>
        </w:rPr>
        <w:fldChar w:fldCharType="end"/>
      </w:r>
    </w:p>
    <w:p w14:paraId="285D0F14"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Effects of Less Frequent Collection</w:t>
      </w:r>
      <w:r>
        <w:rPr>
          <w:noProof/>
        </w:rPr>
        <w:tab/>
      </w:r>
      <w:r>
        <w:rPr>
          <w:noProof/>
        </w:rPr>
        <w:fldChar w:fldCharType="begin"/>
      </w:r>
      <w:r>
        <w:rPr>
          <w:noProof/>
        </w:rPr>
        <w:instrText xml:space="preserve"> PAGEREF _Toc406051417 \h </w:instrText>
      </w:r>
      <w:r>
        <w:rPr>
          <w:noProof/>
        </w:rPr>
      </w:r>
      <w:r>
        <w:rPr>
          <w:noProof/>
        </w:rPr>
        <w:fldChar w:fldCharType="separate"/>
      </w:r>
      <w:r>
        <w:rPr>
          <w:noProof/>
        </w:rPr>
        <w:t>3-4</w:t>
      </w:r>
      <w:r>
        <w:rPr>
          <w:noProof/>
        </w:rPr>
        <w:fldChar w:fldCharType="end"/>
      </w:r>
    </w:p>
    <w:p w14:paraId="15183FBF"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General Guidelines</w:t>
      </w:r>
      <w:r>
        <w:rPr>
          <w:noProof/>
        </w:rPr>
        <w:tab/>
      </w:r>
      <w:r>
        <w:rPr>
          <w:noProof/>
        </w:rPr>
        <w:fldChar w:fldCharType="begin"/>
      </w:r>
      <w:r>
        <w:rPr>
          <w:noProof/>
        </w:rPr>
        <w:instrText xml:space="preserve"> PAGEREF _Toc406051418 \h </w:instrText>
      </w:r>
      <w:r>
        <w:rPr>
          <w:noProof/>
        </w:rPr>
      </w:r>
      <w:r>
        <w:rPr>
          <w:noProof/>
        </w:rPr>
        <w:fldChar w:fldCharType="separate"/>
      </w:r>
      <w:r>
        <w:rPr>
          <w:noProof/>
        </w:rPr>
        <w:t>3-4</w:t>
      </w:r>
      <w:r>
        <w:rPr>
          <w:noProof/>
        </w:rPr>
        <w:fldChar w:fldCharType="end"/>
      </w:r>
    </w:p>
    <w:p w14:paraId="5E522ED1"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Confidentiality And Sensitive Questions</w:t>
      </w:r>
      <w:r>
        <w:rPr>
          <w:noProof/>
        </w:rPr>
        <w:tab/>
      </w:r>
      <w:r>
        <w:rPr>
          <w:noProof/>
        </w:rPr>
        <w:fldChar w:fldCharType="begin"/>
      </w:r>
      <w:r>
        <w:rPr>
          <w:noProof/>
        </w:rPr>
        <w:instrText xml:space="preserve"> PAGEREF _Toc406051419 \h </w:instrText>
      </w:r>
      <w:r>
        <w:rPr>
          <w:noProof/>
        </w:rPr>
      </w:r>
      <w:r>
        <w:rPr>
          <w:noProof/>
        </w:rPr>
        <w:fldChar w:fldCharType="separate"/>
      </w:r>
      <w:r>
        <w:rPr>
          <w:noProof/>
        </w:rPr>
        <w:t>3-4</w:t>
      </w:r>
      <w:r>
        <w:rPr>
          <w:noProof/>
        </w:rPr>
        <w:fldChar w:fldCharType="end"/>
      </w:r>
    </w:p>
    <w:p w14:paraId="11DAFD1E" w14:textId="77777777" w:rsidR="009860E7" w:rsidRDefault="009860E7">
      <w:pPr>
        <w:pStyle w:val="TOC1"/>
        <w:tabs>
          <w:tab w:val="right" w:leader="dot" w:pos="935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Respondents and Information Collected</w:t>
      </w:r>
      <w:r>
        <w:rPr>
          <w:noProof/>
        </w:rPr>
        <w:tab/>
      </w:r>
      <w:r>
        <w:rPr>
          <w:noProof/>
        </w:rPr>
        <w:fldChar w:fldCharType="begin"/>
      </w:r>
      <w:r>
        <w:rPr>
          <w:noProof/>
        </w:rPr>
        <w:instrText xml:space="preserve"> PAGEREF _Toc406051420 \h </w:instrText>
      </w:r>
      <w:r>
        <w:rPr>
          <w:noProof/>
        </w:rPr>
      </w:r>
      <w:r>
        <w:rPr>
          <w:noProof/>
        </w:rPr>
        <w:fldChar w:fldCharType="separate"/>
      </w:r>
      <w:r>
        <w:rPr>
          <w:noProof/>
        </w:rPr>
        <w:t>4-1</w:t>
      </w:r>
      <w:r>
        <w:rPr>
          <w:noProof/>
        </w:rPr>
        <w:fldChar w:fldCharType="end"/>
      </w:r>
    </w:p>
    <w:p w14:paraId="192D1EAC" w14:textId="77777777" w:rsidR="009860E7" w:rsidRPr="00600A32" w:rsidRDefault="009860E7">
      <w:pPr>
        <w:pStyle w:val="TOC2"/>
        <w:tabs>
          <w:tab w:val="right" w:leader="dot" w:pos="9350"/>
        </w:tabs>
        <w:rPr>
          <w:rFonts w:asciiTheme="minorHAnsi" w:eastAsiaTheme="minorEastAsia" w:hAnsiTheme="minorHAnsi" w:cstheme="minorBidi"/>
          <w:noProof/>
          <w:sz w:val="22"/>
          <w:szCs w:val="22"/>
          <w:lang w:val="fr-FR"/>
        </w:rPr>
      </w:pPr>
      <w:r w:rsidRPr="00600A32">
        <w:rPr>
          <w:noProof/>
          <w:lang w:val="fr-FR"/>
        </w:rPr>
        <w:t>4.1</w:t>
      </w:r>
      <w:r w:rsidRPr="00600A32">
        <w:rPr>
          <w:rFonts w:asciiTheme="minorHAnsi" w:eastAsiaTheme="minorEastAsia" w:hAnsiTheme="minorHAnsi" w:cstheme="minorBidi"/>
          <w:noProof/>
          <w:sz w:val="22"/>
          <w:szCs w:val="22"/>
          <w:lang w:val="fr-FR"/>
        </w:rPr>
        <w:tab/>
      </w:r>
      <w:r w:rsidRPr="00600A32">
        <w:rPr>
          <w:noProof/>
          <w:lang w:val="fr-FR"/>
        </w:rPr>
        <w:t>Respondents/</w:t>
      </w:r>
      <w:r w:rsidRPr="00600A32">
        <w:rPr>
          <w:caps/>
          <w:noProof/>
          <w:lang w:val="fr-FR"/>
        </w:rPr>
        <w:t>Naics</w:t>
      </w:r>
      <w:r w:rsidRPr="00600A32">
        <w:rPr>
          <w:noProof/>
          <w:lang w:val="fr-FR"/>
        </w:rPr>
        <w:t xml:space="preserve"> Codes</w:t>
      </w:r>
      <w:r w:rsidRPr="00600A32">
        <w:rPr>
          <w:noProof/>
          <w:lang w:val="fr-FR"/>
        </w:rPr>
        <w:tab/>
      </w:r>
      <w:r>
        <w:rPr>
          <w:noProof/>
        </w:rPr>
        <w:fldChar w:fldCharType="begin"/>
      </w:r>
      <w:r w:rsidRPr="00600A32">
        <w:rPr>
          <w:noProof/>
          <w:lang w:val="fr-FR"/>
        </w:rPr>
        <w:instrText xml:space="preserve"> PAGEREF _Toc406051421 \h </w:instrText>
      </w:r>
      <w:r>
        <w:rPr>
          <w:noProof/>
        </w:rPr>
      </w:r>
      <w:r>
        <w:rPr>
          <w:noProof/>
        </w:rPr>
        <w:fldChar w:fldCharType="separate"/>
      </w:r>
      <w:r w:rsidRPr="00600A32">
        <w:rPr>
          <w:noProof/>
          <w:lang w:val="fr-FR"/>
        </w:rPr>
        <w:t>4-1</w:t>
      </w:r>
      <w:r>
        <w:rPr>
          <w:noProof/>
        </w:rPr>
        <w:fldChar w:fldCharType="end"/>
      </w:r>
    </w:p>
    <w:p w14:paraId="72FE7DDB" w14:textId="77777777" w:rsidR="009860E7" w:rsidRPr="00600A32" w:rsidRDefault="009860E7">
      <w:pPr>
        <w:pStyle w:val="TOC2"/>
        <w:tabs>
          <w:tab w:val="right" w:leader="dot" w:pos="9350"/>
        </w:tabs>
        <w:rPr>
          <w:rFonts w:asciiTheme="minorHAnsi" w:eastAsiaTheme="minorEastAsia" w:hAnsiTheme="minorHAnsi" w:cstheme="minorBidi"/>
          <w:noProof/>
          <w:sz w:val="22"/>
          <w:szCs w:val="22"/>
          <w:lang w:val="fr-FR"/>
        </w:rPr>
      </w:pPr>
      <w:r w:rsidRPr="00600A32">
        <w:rPr>
          <w:noProof/>
          <w:lang w:val="fr-FR"/>
        </w:rPr>
        <w:t>4.2</w:t>
      </w:r>
      <w:r w:rsidRPr="00600A32">
        <w:rPr>
          <w:rFonts w:asciiTheme="minorHAnsi" w:eastAsiaTheme="minorEastAsia" w:hAnsiTheme="minorHAnsi" w:cstheme="minorBidi"/>
          <w:noProof/>
          <w:sz w:val="22"/>
          <w:szCs w:val="22"/>
          <w:lang w:val="fr-FR"/>
        </w:rPr>
        <w:tab/>
      </w:r>
      <w:r w:rsidRPr="00600A32">
        <w:rPr>
          <w:noProof/>
          <w:lang w:val="fr-FR"/>
        </w:rPr>
        <w:t>Information Requested</w:t>
      </w:r>
      <w:r w:rsidRPr="00600A32">
        <w:rPr>
          <w:noProof/>
          <w:lang w:val="fr-FR"/>
        </w:rPr>
        <w:tab/>
      </w:r>
      <w:r>
        <w:rPr>
          <w:noProof/>
        </w:rPr>
        <w:fldChar w:fldCharType="begin"/>
      </w:r>
      <w:r w:rsidRPr="00600A32">
        <w:rPr>
          <w:noProof/>
          <w:lang w:val="fr-FR"/>
        </w:rPr>
        <w:instrText xml:space="preserve"> PAGEREF _Toc406051422 \h </w:instrText>
      </w:r>
      <w:r>
        <w:rPr>
          <w:noProof/>
        </w:rPr>
      </w:r>
      <w:r>
        <w:rPr>
          <w:noProof/>
        </w:rPr>
        <w:fldChar w:fldCharType="separate"/>
      </w:r>
      <w:r w:rsidRPr="00600A32">
        <w:rPr>
          <w:noProof/>
          <w:lang w:val="fr-FR"/>
        </w:rPr>
        <w:t>4-1</w:t>
      </w:r>
      <w:r>
        <w:rPr>
          <w:noProof/>
        </w:rPr>
        <w:fldChar w:fldCharType="end"/>
      </w:r>
    </w:p>
    <w:p w14:paraId="282F1E71"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Rulemaking Activities</w:t>
      </w:r>
      <w:r>
        <w:rPr>
          <w:noProof/>
        </w:rPr>
        <w:tab/>
      </w:r>
      <w:r>
        <w:rPr>
          <w:noProof/>
        </w:rPr>
        <w:fldChar w:fldCharType="begin"/>
      </w:r>
      <w:r>
        <w:rPr>
          <w:noProof/>
        </w:rPr>
        <w:instrText xml:space="preserve"> PAGEREF _Toc406051423 \h </w:instrText>
      </w:r>
      <w:r>
        <w:rPr>
          <w:noProof/>
        </w:rPr>
      </w:r>
      <w:r>
        <w:rPr>
          <w:noProof/>
        </w:rPr>
        <w:fldChar w:fldCharType="separate"/>
      </w:r>
      <w:r>
        <w:rPr>
          <w:noProof/>
        </w:rPr>
        <w:t>4-1</w:t>
      </w:r>
      <w:r>
        <w:rPr>
          <w:noProof/>
        </w:rPr>
        <w:fldChar w:fldCharType="end"/>
      </w:r>
    </w:p>
    <w:p w14:paraId="32AF8D79"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Designated Uses</w:t>
      </w:r>
      <w:r>
        <w:rPr>
          <w:noProof/>
        </w:rPr>
        <w:tab/>
      </w:r>
      <w:r>
        <w:rPr>
          <w:noProof/>
        </w:rPr>
        <w:fldChar w:fldCharType="begin"/>
      </w:r>
      <w:r>
        <w:rPr>
          <w:noProof/>
        </w:rPr>
        <w:instrText xml:space="preserve"> PAGEREF _Toc406051425 \h </w:instrText>
      </w:r>
      <w:r>
        <w:rPr>
          <w:noProof/>
        </w:rPr>
      </w:r>
      <w:r>
        <w:rPr>
          <w:noProof/>
        </w:rPr>
        <w:fldChar w:fldCharType="separate"/>
      </w:r>
      <w:r>
        <w:rPr>
          <w:noProof/>
        </w:rPr>
        <w:t>4-2</w:t>
      </w:r>
      <w:r>
        <w:rPr>
          <w:noProof/>
        </w:rPr>
        <w:fldChar w:fldCharType="end"/>
      </w:r>
    </w:p>
    <w:p w14:paraId="13D32C2F"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Triennial Reviews</w:t>
      </w:r>
      <w:r>
        <w:rPr>
          <w:noProof/>
        </w:rPr>
        <w:tab/>
      </w:r>
      <w:r>
        <w:rPr>
          <w:noProof/>
        </w:rPr>
        <w:fldChar w:fldCharType="begin"/>
      </w:r>
      <w:r>
        <w:rPr>
          <w:noProof/>
        </w:rPr>
        <w:instrText xml:space="preserve"> PAGEREF _Toc406051428 \h </w:instrText>
      </w:r>
      <w:r>
        <w:rPr>
          <w:noProof/>
        </w:rPr>
      </w:r>
      <w:r>
        <w:rPr>
          <w:noProof/>
        </w:rPr>
        <w:fldChar w:fldCharType="separate"/>
      </w:r>
      <w:r>
        <w:rPr>
          <w:noProof/>
        </w:rPr>
        <w:t>4-2</w:t>
      </w:r>
      <w:r>
        <w:rPr>
          <w:noProof/>
        </w:rPr>
        <w:fldChar w:fldCharType="end"/>
      </w:r>
    </w:p>
    <w:p w14:paraId="2752B6A8"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Antidegradation</w:t>
      </w:r>
      <w:r>
        <w:rPr>
          <w:noProof/>
        </w:rPr>
        <w:tab/>
      </w:r>
      <w:r>
        <w:rPr>
          <w:noProof/>
        </w:rPr>
        <w:fldChar w:fldCharType="begin"/>
      </w:r>
      <w:r>
        <w:rPr>
          <w:noProof/>
        </w:rPr>
        <w:instrText xml:space="preserve"> PAGEREF _Toc406051429 \h </w:instrText>
      </w:r>
      <w:r>
        <w:rPr>
          <w:noProof/>
        </w:rPr>
      </w:r>
      <w:r>
        <w:rPr>
          <w:noProof/>
        </w:rPr>
        <w:fldChar w:fldCharType="separate"/>
      </w:r>
      <w:r>
        <w:rPr>
          <w:noProof/>
        </w:rPr>
        <w:t>4-2</w:t>
      </w:r>
      <w:r>
        <w:rPr>
          <w:noProof/>
        </w:rPr>
        <w:fldChar w:fldCharType="end"/>
      </w:r>
    </w:p>
    <w:p w14:paraId="2B360B9F"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4.2.5</w:t>
      </w:r>
      <w:r>
        <w:rPr>
          <w:rFonts w:asciiTheme="minorHAnsi" w:eastAsiaTheme="minorEastAsia" w:hAnsiTheme="minorHAnsi" w:cstheme="minorBidi"/>
          <w:noProof/>
          <w:sz w:val="22"/>
          <w:szCs w:val="22"/>
        </w:rPr>
        <w:tab/>
      </w:r>
      <w:r>
        <w:rPr>
          <w:noProof/>
        </w:rPr>
        <w:t>WQS Variances</w:t>
      </w:r>
      <w:r>
        <w:rPr>
          <w:noProof/>
        </w:rPr>
        <w:tab/>
      </w:r>
      <w:r>
        <w:rPr>
          <w:noProof/>
        </w:rPr>
        <w:fldChar w:fldCharType="begin"/>
      </w:r>
      <w:r>
        <w:rPr>
          <w:noProof/>
        </w:rPr>
        <w:instrText xml:space="preserve"> PAGEREF _Toc406051430 \h </w:instrText>
      </w:r>
      <w:r>
        <w:rPr>
          <w:noProof/>
        </w:rPr>
      </w:r>
      <w:r>
        <w:rPr>
          <w:noProof/>
        </w:rPr>
        <w:fldChar w:fldCharType="separate"/>
      </w:r>
      <w:r>
        <w:rPr>
          <w:noProof/>
        </w:rPr>
        <w:t>4-3</w:t>
      </w:r>
      <w:r>
        <w:rPr>
          <w:noProof/>
        </w:rPr>
        <w:fldChar w:fldCharType="end"/>
      </w:r>
    </w:p>
    <w:p w14:paraId="53689C44"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Respondent Activities</w:t>
      </w:r>
      <w:r>
        <w:rPr>
          <w:noProof/>
        </w:rPr>
        <w:tab/>
      </w:r>
      <w:r>
        <w:rPr>
          <w:noProof/>
        </w:rPr>
        <w:fldChar w:fldCharType="begin"/>
      </w:r>
      <w:r>
        <w:rPr>
          <w:noProof/>
        </w:rPr>
        <w:instrText xml:space="preserve"> PAGEREF _Toc406051431 \h </w:instrText>
      </w:r>
      <w:r>
        <w:rPr>
          <w:noProof/>
        </w:rPr>
      </w:r>
      <w:r>
        <w:rPr>
          <w:noProof/>
        </w:rPr>
        <w:fldChar w:fldCharType="separate"/>
      </w:r>
      <w:r>
        <w:rPr>
          <w:noProof/>
        </w:rPr>
        <w:t>4-3</w:t>
      </w:r>
      <w:r>
        <w:rPr>
          <w:noProof/>
        </w:rPr>
        <w:fldChar w:fldCharType="end"/>
      </w:r>
    </w:p>
    <w:p w14:paraId="6F3FBDCF" w14:textId="77777777" w:rsidR="009860E7" w:rsidRDefault="009860E7">
      <w:pPr>
        <w:pStyle w:val="TOC1"/>
        <w:tabs>
          <w:tab w:val="right" w:leader="dot" w:pos="9350"/>
        </w:tabs>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Information Collected – Agency Activities, Collection Methods, and Information Management</w:t>
      </w:r>
      <w:r>
        <w:rPr>
          <w:noProof/>
        </w:rPr>
        <w:tab/>
      </w:r>
      <w:r>
        <w:rPr>
          <w:noProof/>
        </w:rPr>
        <w:fldChar w:fldCharType="begin"/>
      </w:r>
      <w:r>
        <w:rPr>
          <w:noProof/>
        </w:rPr>
        <w:instrText xml:space="preserve"> PAGEREF _Toc406051432 \h </w:instrText>
      </w:r>
      <w:r>
        <w:rPr>
          <w:noProof/>
        </w:rPr>
      </w:r>
      <w:r>
        <w:rPr>
          <w:noProof/>
        </w:rPr>
        <w:fldChar w:fldCharType="separate"/>
      </w:r>
      <w:r>
        <w:rPr>
          <w:noProof/>
        </w:rPr>
        <w:t>5-1</w:t>
      </w:r>
      <w:r>
        <w:rPr>
          <w:noProof/>
        </w:rPr>
        <w:fldChar w:fldCharType="end"/>
      </w:r>
    </w:p>
    <w:p w14:paraId="7B61979F"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Agency Activities</w:t>
      </w:r>
      <w:r>
        <w:rPr>
          <w:noProof/>
        </w:rPr>
        <w:tab/>
      </w:r>
      <w:r>
        <w:rPr>
          <w:noProof/>
        </w:rPr>
        <w:fldChar w:fldCharType="begin"/>
      </w:r>
      <w:r>
        <w:rPr>
          <w:noProof/>
        </w:rPr>
        <w:instrText xml:space="preserve"> PAGEREF _Toc406051433 \h </w:instrText>
      </w:r>
      <w:r>
        <w:rPr>
          <w:noProof/>
        </w:rPr>
      </w:r>
      <w:r>
        <w:rPr>
          <w:noProof/>
        </w:rPr>
        <w:fldChar w:fldCharType="separate"/>
      </w:r>
      <w:r>
        <w:rPr>
          <w:noProof/>
        </w:rPr>
        <w:t>5-1</w:t>
      </w:r>
      <w:r>
        <w:rPr>
          <w:noProof/>
        </w:rPr>
        <w:fldChar w:fldCharType="end"/>
      </w:r>
    </w:p>
    <w:p w14:paraId="6A029E7A"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Collection Methods and Management</w:t>
      </w:r>
      <w:r>
        <w:rPr>
          <w:noProof/>
        </w:rPr>
        <w:tab/>
      </w:r>
      <w:r>
        <w:rPr>
          <w:noProof/>
        </w:rPr>
        <w:fldChar w:fldCharType="begin"/>
      </w:r>
      <w:r>
        <w:rPr>
          <w:noProof/>
        </w:rPr>
        <w:instrText xml:space="preserve"> PAGEREF _Toc406051434 \h </w:instrText>
      </w:r>
      <w:r>
        <w:rPr>
          <w:noProof/>
        </w:rPr>
      </w:r>
      <w:r>
        <w:rPr>
          <w:noProof/>
        </w:rPr>
        <w:fldChar w:fldCharType="separate"/>
      </w:r>
      <w:r>
        <w:rPr>
          <w:noProof/>
        </w:rPr>
        <w:t>5-2</w:t>
      </w:r>
      <w:r>
        <w:rPr>
          <w:noProof/>
        </w:rPr>
        <w:fldChar w:fldCharType="end"/>
      </w:r>
    </w:p>
    <w:p w14:paraId="0186A7EF"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Small Entity Flexibility</w:t>
      </w:r>
      <w:r>
        <w:rPr>
          <w:noProof/>
        </w:rPr>
        <w:tab/>
      </w:r>
      <w:r>
        <w:rPr>
          <w:noProof/>
        </w:rPr>
        <w:fldChar w:fldCharType="begin"/>
      </w:r>
      <w:r>
        <w:rPr>
          <w:noProof/>
        </w:rPr>
        <w:instrText xml:space="preserve"> PAGEREF _Toc406051435 \h </w:instrText>
      </w:r>
      <w:r>
        <w:rPr>
          <w:noProof/>
        </w:rPr>
      </w:r>
      <w:r>
        <w:rPr>
          <w:noProof/>
        </w:rPr>
        <w:fldChar w:fldCharType="separate"/>
      </w:r>
      <w:r>
        <w:rPr>
          <w:noProof/>
        </w:rPr>
        <w:t>5-2</w:t>
      </w:r>
      <w:r>
        <w:rPr>
          <w:noProof/>
        </w:rPr>
        <w:fldChar w:fldCharType="end"/>
      </w:r>
    </w:p>
    <w:p w14:paraId="25E527BC"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Collection Schedule</w:t>
      </w:r>
      <w:r>
        <w:rPr>
          <w:noProof/>
        </w:rPr>
        <w:tab/>
      </w:r>
      <w:r>
        <w:rPr>
          <w:noProof/>
        </w:rPr>
        <w:fldChar w:fldCharType="begin"/>
      </w:r>
      <w:r>
        <w:rPr>
          <w:noProof/>
        </w:rPr>
        <w:instrText xml:space="preserve"> PAGEREF _Toc406051436 \h </w:instrText>
      </w:r>
      <w:r>
        <w:rPr>
          <w:noProof/>
        </w:rPr>
      </w:r>
      <w:r>
        <w:rPr>
          <w:noProof/>
        </w:rPr>
        <w:fldChar w:fldCharType="separate"/>
      </w:r>
      <w:r>
        <w:rPr>
          <w:noProof/>
        </w:rPr>
        <w:t>5-3</w:t>
      </w:r>
      <w:r>
        <w:rPr>
          <w:noProof/>
        </w:rPr>
        <w:fldChar w:fldCharType="end"/>
      </w:r>
    </w:p>
    <w:p w14:paraId="63321BB5" w14:textId="77777777" w:rsidR="009860E7" w:rsidRDefault="009860E7">
      <w:pPr>
        <w:pStyle w:val="TOC1"/>
        <w:tabs>
          <w:tab w:val="right" w:leader="dot" w:pos="9350"/>
        </w:tabs>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Burden, Cost, and Benefit of the Collection</w:t>
      </w:r>
      <w:r>
        <w:rPr>
          <w:noProof/>
        </w:rPr>
        <w:tab/>
      </w:r>
      <w:r>
        <w:rPr>
          <w:noProof/>
        </w:rPr>
        <w:fldChar w:fldCharType="begin"/>
      </w:r>
      <w:r>
        <w:rPr>
          <w:noProof/>
        </w:rPr>
        <w:instrText xml:space="preserve"> PAGEREF _Toc406051437 \h </w:instrText>
      </w:r>
      <w:r>
        <w:rPr>
          <w:noProof/>
        </w:rPr>
      </w:r>
      <w:r>
        <w:rPr>
          <w:noProof/>
        </w:rPr>
        <w:fldChar w:fldCharType="separate"/>
      </w:r>
      <w:r>
        <w:rPr>
          <w:noProof/>
        </w:rPr>
        <w:t>6-1</w:t>
      </w:r>
      <w:r>
        <w:rPr>
          <w:noProof/>
        </w:rPr>
        <w:fldChar w:fldCharType="end"/>
      </w:r>
    </w:p>
    <w:p w14:paraId="145DCDE1"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Estimating Potential Incremental Burden and Cost</w:t>
      </w:r>
      <w:r>
        <w:rPr>
          <w:noProof/>
        </w:rPr>
        <w:tab/>
      </w:r>
      <w:r>
        <w:rPr>
          <w:noProof/>
        </w:rPr>
        <w:fldChar w:fldCharType="begin"/>
      </w:r>
      <w:r>
        <w:rPr>
          <w:noProof/>
        </w:rPr>
        <w:instrText xml:space="preserve"> PAGEREF _Toc406051438 \h </w:instrText>
      </w:r>
      <w:r>
        <w:rPr>
          <w:noProof/>
        </w:rPr>
      </w:r>
      <w:r>
        <w:rPr>
          <w:noProof/>
        </w:rPr>
        <w:fldChar w:fldCharType="separate"/>
      </w:r>
      <w:r>
        <w:rPr>
          <w:noProof/>
        </w:rPr>
        <w:t>6-1</w:t>
      </w:r>
      <w:r>
        <w:rPr>
          <w:noProof/>
        </w:rPr>
        <w:fldChar w:fldCharType="end"/>
      </w:r>
    </w:p>
    <w:p w14:paraId="6DAFE7BC"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6.1.1</w:t>
      </w:r>
      <w:r>
        <w:rPr>
          <w:rFonts w:asciiTheme="minorHAnsi" w:eastAsiaTheme="minorEastAsia" w:hAnsiTheme="minorHAnsi" w:cstheme="minorBidi"/>
          <w:noProof/>
          <w:sz w:val="22"/>
          <w:szCs w:val="22"/>
        </w:rPr>
        <w:tab/>
      </w:r>
      <w:r>
        <w:rPr>
          <w:noProof/>
        </w:rPr>
        <w:t>Administrator’s Determinations.</w:t>
      </w:r>
      <w:r>
        <w:rPr>
          <w:noProof/>
        </w:rPr>
        <w:tab/>
      </w:r>
      <w:r>
        <w:rPr>
          <w:noProof/>
        </w:rPr>
        <w:fldChar w:fldCharType="begin"/>
      </w:r>
      <w:r>
        <w:rPr>
          <w:noProof/>
        </w:rPr>
        <w:instrText xml:space="preserve"> PAGEREF _Toc406051439 \h </w:instrText>
      </w:r>
      <w:r>
        <w:rPr>
          <w:noProof/>
        </w:rPr>
      </w:r>
      <w:r>
        <w:rPr>
          <w:noProof/>
        </w:rPr>
        <w:fldChar w:fldCharType="separate"/>
      </w:r>
      <w:r>
        <w:rPr>
          <w:noProof/>
        </w:rPr>
        <w:t>6-1</w:t>
      </w:r>
      <w:r>
        <w:rPr>
          <w:noProof/>
        </w:rPr>
        <w:fldChar w:fldCharType="end"/>
      </w:r>
    </w:p>
    <w:p w14:paraId="1059FD94"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6.1.2</w:t>
      </w:r>
      <w:r>
        <w:rPr>
          <w:rFonts w:asciiTheme="minorHAnsi" w:eastAsiaTheme="minorEastAsia" w:hAnsiTheme="minorHAnsi" w:cstheme="minorBidi"/>
          <w:noProof/>
          <w:sz w:val="22"/>
          <w:szCs w:val="22"/>
        </w:rPr>
        <w:tab/>
      </w:r>
      <w:r>
        <w:rPr>
          <w:noProof/>
        </w:rPr>
        <w:t>Rulemaking Activities</w:t>
      </w:r>
      <w:r>
        <w:rPr>
          <w:noProof/>
        </w:rPr>
        <w:tab/>
      </w:r>
      <w:r>
        <w:rPr>
          <w:noProof/>
        </w:rPr>
        <w:fldChar w:fldCharType="begin"/>
      </w:r>
      <w:r>
        <w:rPr>
          <w:noProof/>
        </w:rPr>
        <w:instrText xml:space="preserve"> PAGEREF _Toc406051440 \h </w:instrText>
      </w:r>
      <w:r>
        <w:rPr>
          <w:noProof/>
        </w:rPr>
      </w:r>
      <w:r>
        <w:rPr>
          <w:noProof/>
        </w:rPr>
        <w:fldChar w:fldCharType="separate"/>
      </w:r>
      <w:r>
        <w:rPr>
          <w:noProof/>
        </w:rPr>
        <w:t>6-1</w:t>
      </w:r>
      <w:r>
        <w:rPr>
          <w:noProof/>
        </w:rPr>
        <w:fldChar w:fldCharType="end"/>
      </w:r>
    </w:p>
    <w:p w14:paraId="6761C7FE"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lastRenderedPageBreak/>
        <w:t>6.1.3</w:t>
      </w:r>
      <w:r>
        <w:rPr>
          <w:rFonts w:asciiTheme="minorHAnsi" w:eastAsiaTheme="minorEastAsia" w:hAnsiTheme="minorHAnsi" w:cstheme="minorBidi"/>
          <w:noProof/>
          <w:sz w:val="22"/>
          <w:szCs w:val="22"/>
        </w:rPr>
        <w:tab/>
      </w:r>
      <w:r>
        <w:rPr>
          <w:noProof/>
        </w:rPr>
        <w:t>Designated Uses</w:t>
      </w:r>
      <w:r>
        <w:rPr>
          <w:noProof/>
        </w:rPr>
        <w:tab/>
      </w:r>
      <w:r>
        <w:rPr>
          <w:noProof/>
        </w:rPr>
        <w:fldChar w:fldCharType="begin"/>
      </w:r>
      <w:r>
        <w:rPr>
          <w:noProof/>
        </w:rPr>
        <w:instrText xml:space="preserve"> PAGEREF _Toc406051441 \h </w:instrText>
      </w:r>
      <w:r>
        <w:rPr>
          <w:noProof/>
        </w:rPr>
      </w:r>
      <w:r>
        <w:rPr>
          <w:noProof/>
        </w:rPr>
        <w:fldChar w:fldCharType="separate"/>
      </w:r>
      <w:r>
        <w:rPr>
          <w:noProof/>
        </w:rPr>
        <w:t>6-2</w:t>
      </w:r>
      <w:r>
        <w:rPr>
          <w:noProof/>
        </w:rPr>
        <w:fldChar w:fldCharType="end"/>
      </w:r>
    </w:p>
    <w:p w14:paraId="2D424214"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6.1.4</w:t>
      </w:r>
      <w:r>
        <w:rPr>
          <w:rFonts w:asciiTheme="minorHAnsi" w:eastAsiaTheme="minorEastAsia" w:hAnsiTheme="minorHAnsi" w:cstheme="minorBidi"/>
          <w:noProof/>
          <w:sz w:val="22"/>
          <w:szCs w:val="22"/>
        </w:rPr>
        <w:tab/>
      </w:r>
      <w:r>
        <w:rPr>
          <w:noProof/>
        </w:rPr>
        <w:t>Triennial Review</w:t>
      </w:r>
      <w:r>
        <w:rPr>
          <w:noProof/>
        </w:rPr>
        <w:tab/>
      </w:r>
      <w:r>
        <w:rPr>
          <w:noProof/>
        </w:rPr>
        <w:fldChar w:fldCharType="begin"/>
      </w:r>
      <w:r>
        <w:rPr>
          <w:noProof/>
        </w:rPr>
        <w:instrText xml:space="preserve"> PAGEREF _Toc406051442 \h </w:instrText>
      </w:r>
      <w:r>
        <w:rPr>
          <w:noProof/>
        </w:rPr>
      </w:r>
      <w:r>
        <w:rPr>
          <w:noProof/>
        </w:rPr>
        <w:fldChar w:fldCharType="separate"/>
      </w:r>
      <w:r>
        <w:rPr>
          <w:noProof/>
        </w:rPr>
        <w:t>6-2</w:t>
      </w:r>
      <w:r>
        <w:rPr>
          <w:noProof/>
        </w:rPr>
        <w:fldChar w:fldCharType="end"/>
      </w:r>
    </w:p>
    <w:p w14:paraId="61EDB4D5"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6.1.5</w:t>
      </w:r>
      <w:r>
        <w:rPr>
          <w:rFonts w:asciiTheme="minorHAnsi" w:eastAsiaTheme="minorEastAsia" w:hAnsiTheme="minorHAnsi" w:cstheme="minorBidi"/>
          <w:noProof/>
          <w:sz w:val="22"/>
          <w:szCs w:val="22"/>
        </w:rPr>
        <w:tab/>
      </w:r>
      <w:r>
        <w:rPr>
          <w:noProof/>
        </w:rPr>
        <w:t>Antidegradation</w:t>
      </w:r>
      <w:r>
        <w:rPr>
          <w:noProof/>
        </w:rPr>
        <w:tab/>
      </w:r>
      <w:r>
        <w:rPr>
          <w:noProof/>
        </w:rPr>
        <w:fldChar w:fldCharType="begin"/>
      </w:r>
      <w:r>
        <w:rPr>
          <w:noProof/>
        </w:rPr>
        <w:instrText xml:space="preserve"> PAGEREF _Toc406051443 \h </w:instrText>
      </w:r>
      <w:r>
        <w:rPr>
          <w:noProof/>
        </w:rPr>
      </w:r>
      <w:r>
        <w:rPr>
          <w:noProof/>
        </w:rPr>
        <w:fldChar w:fldCharType="separate"/>
      </w:r>
      <w:r>
        <w:rPr>
          <w:noProof/>
        </w:rPr>
        <w:t>6-3</w:t>
      </w:r>
      <w:r>
        <w:rPr>
          <w:noProof/>
        </w:rPr>
        <w:fldChar w:fldCharType="end"/>
      </w:r>
    </w:p>
    <w:p w14:paraId="773F38BA"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6.1.6</w:t>
      </w:r>
      <w:r>
        <w:rPr>
          <w:rFonts w:asciiTheme="minorHAnsi" w:eastAsiaTheme="minorEastAsia" w:hAnsiTheme="minorHAnsi" w:cstheme="minorBidi"/>
          <w:noProof/>
          <w:sz w:val="22"/>
          <w:szCs w:val="22"/>
        </w:rPr>
        <w:tab/>
      </w:r>
      <w:r>
        <w:rPr>
          <w:noProof/>
        </w:rPr>
        <w:t>WQS Variances</w:t>
      </w:r>
      <w:r>
        <w:rPr>
          <w:noProof/>
        </w:rPr>
        <w:tab/>
      </w:r>
      <w:r>
        <w:rPr>
          <w:noProof/>
        </w:rPr>
        <w:fldChar w:fldCharType="begin"/>
      </w:r>
      <w:r>
        <w:rPr>
          <w:noProof/>
        </w:rPr>
        <w:instrText xml:space="preserve"> PAGEREF _Toc406051444 \h </w:instrText>
      </w:r>
      <w:r>
        <w:rPr>
          <w:noProof/>
        </w:rPr>
      </w:r>
      <w:r>
        <w:rPr>
          <w:noProof/>
        </w:rPr>
        <w:fldChar w:fldCharType="separate"/>
      </w:r>
      <w:r>
        <w:rPr>
          <w:noProof/>
        </w:rPr>
        <w:t>6-7</w:t>
      </w:r>
      <w:r>
        <w:rPr>
          <w:noProof/>
        </w:rPr>
        <w:fldChar w:fldCharType="end"/>
      </w:r>
    </w:p>
    <w:p w14:paraId="4F70203F"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6.1.7</w:t>
      </w:r>
      <w:r>
        <w:rPr>
          <w:rFonts w:asciiTheme="minorHAnsi" w:eastAsiaTheme="minorEastAsia" w:hAnsiTheme="minorHAnsi" w:cstheme="minorBidi"/>
          <w:noProof/>
          <w:sz w:val="22"/>
          <w:szCs w:val="22"/>
        </w:rPr>
        <w:tab/>
      </w:r>
      <w:r>
        <w:rPr>
          <w:noProof/>
        </w:rPr>
        <w:t>Summary of Burden and Cost</w:t>
      </w:r>
      <w:r>
        <w:rPr>
          <w:noProof/>
        </w:rPr>
        <w:tab/>
      </w:r>
      <w:r>
        <w:rPr>
          <w:noProof/>
        </w:rPr>
        <w:fldChar w:fldCharType="begin"/>
      </w:r>
      <w:r>
        <w:rPr>
          <w:noProof/>
        </w:rPr>
        <w:instrText xml:space="preserve"> PAGEREF _Toc406051445 \h </w:instrText>
      </w:r>
      <w:r>
        <w:rPr>
          <w:noProof/>
        </w:rPr>
      </w:r>
      <w:r>
        <w:rPr>
          <w:noProof/>
        </w:rPr>
        <w:fldChar w:fldCharType="separate"/>
      </w:r>
      <w:r>
        <w:rPr>
          <w:noProof/>
        </w:rPr>
        <w:t>6-8</w:t>
      </w:r>
      <w:r>
        <w:rPr>
          <w:noProof/>
        </w:rPr>
        <w:fldChar w:fldCharType="end"/>
      </w:r>
    </w:p>
    <w:p w14:paraId="1B91E14A" w14:textId="77777777" w:rsidR="009860E7" w:rsidRDefault="009860E7">
      <w:pPr>
        <w:pStyle w:val="TOC3"/>
        <w:tabs>
          <w:tab w:val="left" w:pos="1540"/>
          <w:tab w:val="right" w:leader="dot" w:pos="9350"/>
        </w:tabs>
        <w:rPr>
          <w:rFonts w:asciiTheme="minorHAnsi" w:eastAsiaTheme="minorEastAsia" w:hAnsiTheme="minorHAnsi" w:cstheme="minorBidi"/>
          <w:noProof/>
          <w:sz w:val="22"/>
          <w:szCs w:val="22"/>
        </w:rPr>
      </w:pPr>
      <w:r>
        <w:rPr>
          <w:noProof/>
        </w:rPr>
        <w:t>6.1.8</w:t>
      </w:r>
      <w:r>
        <w:rPr>
          <w:rFonts w:asciiTheme="minorHAnsi" w:eastAsiaTheme="minorEastAsia" w:hAnsiTheme="minorHAnsi" w:cstheme="minorBidi"/>
          <w:noProof/>
          <w:sz w:val="22"/>
          <w:szCs w:val="22"/>
        </w:rPr>
        <w:tab/>
      </w:r>
      <w:r>
        <w:rPr>
          <w:noProof/>
        </w:rPr>
        <w:t>Incremental Agency Burden</w:t>
      </w:r>
      <w:r>
        <w:rPr>
          <w:noProof/>
        </w:rPr>
        <w:tab/>
      </w:r>
      <w:r>
        <w:rPr>
          <w:noProof/>
        </w:rPr>
        <w:fldChar w:fldCharType="begin"/>
      </w:r>
      <w:r>
        <w:rPr>
          <w:noProof/>
        </w:rPr>
        <w:instrText xml:space="preserve"> PAGEREF _Toc406051446 \h </w:instrText>
      </w:r>
      <w:r>
        <w:rPr>
          <w:noProof/>
        </w:rPr>
      </w:r>
      <w:r>
        <w:rPr>
          <w:noProof/>
        </w:rPr>
        <w:fldChar w:fldCharType="separate"/>
      </w:r>
      <w:r>
        <w:rPr>
          <w:noProof/>
        </w:rPr>
        <w:t>6-12</w:t>
      </w:r>
      <w:r>
        <w:rPr>
          <w:noProof/>
        </w:rPr>
        <w:fldChar w:fldCharType="end"/>
      </w:r>
    </w:p>
    <w:p w14:paraId="467C838A"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Potential Incremental Benefits Associated with the Rule</w:t>
      </w:r>
      <w:r>
        <w:rPr>
          <w:noProof/>
        </w:rPr>
        <w:tab/>
      </w:r>
      <w:r>
        <w:rPr>
          <w:noProof/>
        </w:rPr>
        <w:fldChar w:fldCharType="begin"/>
      </w:r>
      <w:r>
        <w:rPr>
          <w:noProof/>
        </w:rPr>
        <w:instrText xml:space="preserve"> PAGEREF _Toc406051447 \h </w:instrText>
      </w:r>
      <w:r>
        <w:rPr>
          <w:noProof/>
        </w:rPr>
      </w:r>
      <w:r>
        <w:rPr>
          <w:noProof/>
        </w:rPr>
        <w:fldChar w:fldCharType="separate"/>
      </w:r>
      <w:r>
        <w:rPr>
          <w:noProof/>
        </w:rPr>
        <w:t>6-13</w:t>
      </w:r>
      <w:r>
        <w:rPr>
          <w:noProof/>
        </w:rPr>
        <w:fldChar w:fldCharType="end"/>
      </w:r>
    </w:p>
    <w:p w14:paraId="31CF0CB1"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Reasons for Change in Burden</w:t>
      </w:r>
      <w:r>
        <w:rPr>
          <w:noProof/>
        </w:rPr>
        <w:tab/>
      </w:r>
      <w:r>
        <w:rPr>
          <w:noProof/>
        </w:rPr>
        <w:fldChar w:fldCharType="begin"/>
      </w:r>
      <w:r>
        <w:rPr>
          <w:noProof/>
        </w:rPr>
        <w:instrText xml:space="preserve"> PAGEREF _Toc406051448 \h </w:instrText>
      </w:r>
      <w:r>
        <w:rPr>
          <w:noProof/>
        </w:rPr>
      </w:r>
      <w:r>
        <w:rPr>
          <w:noProof/>
        </w:rPr>
        <w:fldChar w:fldCharType="separate"/>
      </w:r>
      <w:r>
        <w:rPr>
          <w:noProof/>
        </w:rPr>
        <w:t>6-14</w:t>
      </w:r>
      <w:r>
        <w:rPr>
          <w:noProof/>
        </w:rPr>
        <w:fldChar w:fldCharType="end"/>
      </w:r>
    </w:p>
    <w:p w14:paraId="6F26A7AF" w14:textId="77777777" w:rsidR="009860E7" w:rsidRDefault="009860E7">
      <w:pPr>
        <w:pStyle w:val="TOC2"/>
        <w:tabs>
          <w:tab w:val="right" w:leader="dot" w:pos="9350"/>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Burden Statement</w:t>
      </w:r>
      <w:r>
        <w:rPr>
          <w:noProof/>
        </w:rPr>
        <w:tab/>
      </w:r>
      <w:r>
        <w:rPr>
          <w:noProof/>
        </w:rPr>
        <w:fldChar w:fldCharType="begin"/>
      </w:r>
      <w:r>
        <w:rPr>
          <w:noProof/>
        </w:rPr>
        <w:instrText xml:space="preserve"> PAGEREF _Toc406051449 \h </w:instrText>
      </w:r>
      <w:r>
        <w:rPr>
          <w:noProof/>
        </w:rPr>
      </w:r>
      <w:r>
        <w:rPr>
          <w:noProof/>
        </w:rPr>
        <w:fldChar w:fldCharType="separate"/>
      </w:r>
      <w:r>
        <w:rPr>
          <w:noProof/>
        </w:rPr>
        <w:t>6-14</w:t>
      </w:r>
      <w:r>
        <w:rPr>
          <w:noProof/>
        </w:rPr>
        <w:fldChar w:fldCharType="end"/>
      </w:r>
    </w:p>
    <w:p w14:paraId="6301DD66" w14:textId="2D2762D1" w:rsidR="009E1D15" w:rsidRPr="00B7618A" w:rsidRDefault="00AA16F3" w:rsidP="00042B2A">
      <w:pPr>
        <w:sectPr w:rsidR="009E1D15" w:rsidRPr="00B7618A" w:rsidSect="00234AF7">
          <w:pgSz w:w="12240" w:h="15840"/>
          <w:pgMar w:top="1440" w:right="1440" w:bottom="1440" w:left="1440" w:header="720" w:footer="1080" w:gutter="0"/>
          <w:cols w:space="720"/>
          <w:noEndnote/>
          <w:docGrid w:linePitch="326"/>
        </w:sectPr>
      </w:pPr>
      <w:r>
        <w:rPr>
          <w:b/>
        </w:rPr>
        <w:fldChar w:fldCharType="end"/>
      </w:r>
    </w:p>
    <w:p w14:paraId="20E503EF" w14:textId="4B90064F" w:rsidR="009E1D15" w:rsidRPr="00B7618A" w:rsidRDefault="00AA16F3" w:rsidP="00704F82">
      <w:pPr>
        <w:pStyle w:val="Heading1"/>
      </w:pPr>
      <w:bookmarkStart w:id="1" w:name="_Toc406051407"/>
      <w:r>
        <w:lastRenderedPageBreak/>
        <w:t>Identification of the Information Collection</w:t>
      </w:r>
      <w:bookmarkEnd w:id="1"/>
    </w:p>
    <w:p w14:paraId="05D34E2A" w14:textId="6EBEF998" w:rsidR="00344C82" w:rsidRDefault="00344C82" w:rsidP="00344C82">
      <w:pPr>
        <w:pStyle w:val="BodyText"/>
      </w:pPr>
      <w:r>
        <w:t>This section describes the information collection.</w:t>
      </w:r>
    </w:p>
    <w:p w14:paraId="57673BD4" w14:textId="77777777" w:rsidR="009E1D15" w:rsidRPr="00B7618A" w:rsidRDefault="009E1D15" w:rsidP="00704F82">
      <w:pPr>
        <w:pStyle w:val="Heading2"/>
      </w:pPr>
      <w:bookmarkStart w:id="2" w:name="_Toc406051408"/>
      <w:r w:rsidRPr="00B7618A">
        <w:t>T</w:t>
      </w:r>
      <w:r w:rsidR="00D710D6" w:rsidRPr="00B7618A">
        <w:t xml:space="preserve">itle of the Information </w:t>
      </w:r>
      <w:r w:rsidRPr="00B7618A">
        <w:t>C</w:t>
      </w:r>
      <w:r w:rsidR="00D710D6" w:rsidRPr="00B7618A">
        <w:t>ollection</w:t>
      </w:r>
      <w:bookmarkEnd w:id="2"/>
    </w:p>
    <w:p w14:paraId="7608D581" w14:textId="3581E1EB" w:rsidR="00766725" w:rsidRPr="00B7618A" w:rsidRDefault="009E1D15" w:rsidP="00396F4C">
      <w:pPr>
        <w:pStyle w:val="BodyText"/>
      </w:pPr>
      <w:r w:rsidRPr="00B7618A">
        <w:t xml:space="preserve">The title of this Information Collection Request (ICR) is </w:t>
      </w:r>
      <w:r w:rsidR="002E50A3" w:rsidRPr="00B7618A">
        <w:rPr>
          <w:i/>
        </w:rPr>
        <w:t xml:space="preserve">Water Quality Standards Regulatory </w:t>
      </w:r>
      <w:r w:rsidR="00076C06" w:rsidRPr="00B7618A">
        <w:rPr>
          <w:i/>
        </w:rPr>
        <w:t>Revisions</w:t>
      </w:r>
      <w:r w:rsidR="000A38EA">
        <w:rPr>
          <w:i/>
        </w:rPr>
        <w:t xml:space="preserve"> (Final Rule)</w:t>
      </w:r>
      <w:r w:rsidRPr="00B7618A">
        <w:t>.</w:t>
      </w:r>
      <w:r w:rsidR="00433B9B">
        <w:t xml:space="preserve"> </w:t>
      </w:r>
    </w:p>
    <w:p w14:paraId="5C2CE37F" w14:textId="77777777" w:rsidR="009E1D15" w:rsidRPr="00B7618A" w:rsidRDefault="009E1D15" w:rsidP="00704F82">
      <w:pPr>
        <w:pStyle w:val="Heading2"/>
      </w:pPr>
      <w:bookmarkStart w:id="3" w:name="_Toc406051409"/>
      <w:r w:rsidRPr="00B7618A">
        <w:t>S</w:t>
      </w:r>
      <w:r w:rsidR="00D710D6" w:rsidRPr="00B7618A">
        <w:t>hort</w:t>
      </w:r>
      <w:r w:rsidRPr="00B7618A">
        <w:t xml:space="preserve"> C</w:t>
      </w:r>
      <w:r w:rsidR="00D710D6" w:rsidRPr="00B7618A">
        <w:t>haracterization</w:t>
      </w:r>
      <w:r w:rsidR="001B63D9" w:rsidRPr="00B7618A">
        <w:t>/A</w:t>
      </w:r>
      <w:r w:rsidR="00D710D6" w:rsidRPr="00B7618A">
        <w:t>bstract</w:t>
      </w:r>
      <w:bookmarkEnd w:id="3"/>
    </w:p>
    <w:p w14:paraId="113E9DC8" w14:textId="5F0BAE9F" w:rsidR="009E1D15" w:rsidRPr="00B7618A" w:rsidRDefault="009E1D15" w:rsidP="00396F4C">
      <w:pPr>
        <w:pStyle w:val="BodyText"/>
      </w:pPr>
      <w:r w:rsidRPr="00B7618A">
        <w:t xml:space="preserve">Water quality standards </w:t>
      </w:r>
      <w:r w:rsidR="000B04ED" w:rsidRPr="00B7618A">
        <w:t xml:space="preserve">(WQS) </w:t>
      </w:r>
      <w:r w:rsidRPr="00B7618A">
        <w:t xml:space="preserve">are provisions of </w:t>
      </w:r>
      <w:r w:rsidR="00CD4947" w:rsidRPr="00B7618A">
        <w:t>s</w:t>
      </w:r>
      <w:r w:rsidRPr="00B7618A">
        <w:t>tate</w:t>
      </w:r>
      <w:r w:rsidR="00076C06" w:rsidRPr="00B7618A">
        <w:t>,</w:t>
      </w:r>
      <w:r w:rsidRPr="00B7618A">
        <w:rPr>
          <w:rStyle w:val="FootnoteReference"/>
        </w:rPr>
        <w:footnoteReference w:id="2"/>
      </w:r>
      <w:r w:rsidRPr="00B7618A">
        <w:t xml:space="preserve"> </w:t>
      </w:r>
      <w:r w:rsidR="00076C06" w:rsidRPr="00B7618A">
        <w:t xml:space="preserve">authorized </w:t>
      </w:r>
      <w:r w:rsidR="00CD4947" w:rsidRPr="00B7618A">
        <w:t>t</w:t>
      </w:r>
      <w:r w:rsidRPr="00B7618A">
        <w:t>ribal,</w:t>
      </w:r>
      <w:r w:rsidR="00076C06" w:rsidRPr="00B7618A">
        <w:rPr>
          <w:rStyle w:val="FootnoteReference"/>
        </w:rPr>
        <w:footnoteReference w:id="3"/>
      </w:r>
      <w:r w:rsidRPr="00B7618A">
        <w:rPr>
          <w:rStyle w:val="FootnoteReference"/>
        </w:rPr>
        <w:t xml:space="preserve"> </w:t>
      </w:r>
      <w:r w:rsidRPr="00B7618A">
        <w:t xml:space="preserve">or </w:t>
      </w:r>
      <w:r w:rsidR="00CD4947" w:rsidRPr="00B7618A">
        <w:t>f</w:t>
      </w:r>
      <w:r w:rsidRPr="00B7618A">
        <w:t xml:space="preserve">ederal law which consist of designated uses for waters of the United States, water quality criteria to protect those uses, and antidegradation </w:t>
      </w:r>
      <w:r w:rsidR="000A38EA">
        <w:t>requirements</w:t>
      </w:r>
      <w:r w:rsidRPr="00B7618A">
        <w:t>.</w:t>
      </w:r>
      <w:r w:rsidR="0068763C" w:rsidRPr="00B7618A">
        <w:t xml:space="preserve"> </w:t>
      </w:r>
      <w:r w:rsidR="00E03559" w:rsidRPr="00B7618A">
        <w:t>WQS</w:t>
      </w:r>
      <w:r w:rsidRPr="00B7618A">
        <w:t xml:space="preserve"> </w:t>
      </w:r>
      <w:r w:rsidR="007B4CF7" w:rsidRPr="00B7618A">
        <w:t>p</w:t>
      </w:r>
      <w:r w:rsidRPr="00B7618A">
        <w:t>rotect public health or welfare, enhance the quality of water, and serve the purposes of the Clean Water Act</w:t>
      </w:r>
      <w:r w:rsidR="007B4CF7" w:rsidRPr="00B7618A">
        <w:t xml:space="preserve"> </w:t>
      </w:r>
      <w:r w:rsidR="00747875" w:rsidRPr="00B7618A">
        <w:t>(</w:t>
      </w:r>
      <w:r w:rsidR="007B4CF7" w:rsidRPr="00B7618A">
        <w:t>CWA</w:t>
      </w:r>
      <w:r w:rsidR="00747875" w:rsidRPr="00B7618A">
        <w:t xml:space="preserve"> or the Act</w:t>
      </w:r>
      <w:r w:rsidR="007B4CF7" w:rsidRPr="00B7618A">
        <w:t>)</w:t>
      </w:r>
      <w:r w:rsidRPr="00B7618A">
        <w:t>. Such standards serve the dual purposes of establishing the water quality goals for water bodies, and serving as a regulatory basis for establishing water quality</w:t>
      </w:r>
      <w:r w:rsidRPr="00B7618A">
        <w:noBreakHyphen/>
        <w:t>based treatment controls and strategies beyond technology</w:t>
      </w:r>
      <w:r w:rsidRPr="00B7618A">
        <w:noBreakHyphen/>
        <w:t>based treatment required by sections 301 and 306 of the Act.</w:t>
      </w:r>
    </w:p>
    <w:p w14:paraId="34A2DCBE" w14:textId="7A91EE5B" w:rsidR="009E1D15" w:rsidRPr="00B7618A" w:rsidRDefault="009E1D15" w:rsidP="00396F4C">
      <w:pPr>
        <w:pStyle w:val="BodyText"/>
      </w:pPr>
      <w:r w:rsidRPr="00B7618A">
        <w:t xml:space="preserve">The </w:t>
      </w:r>
      <w:r w:rsidR="009856BA" w:rsidRPr="00B7618A">
        <w:t xml:space="preserve">core </w:t>
      </w:r>
      <w:r w:rsidR="00747875" w:rsidRPr="00B7618A">
        <w:t xml:space="preserve">of the </w:t>
      </w:r>
      <w:r w:rsidR="000B04ED" w:rsidRPr="00B7618A">
        <w:t xml:space="preserve">WQS </w:t>
      </w:r>
      <w:r w:rsidR="00747875" w:rsidRPr="00B7618A">
        <w:t>r</w:t>
      </w:r>
      <w:r w:rsidRPr="00B7618A">
        <w:t>egulation</w:t>
      </w:r>
      <w:r w:rsidR="009A4AEA" w:rsidRPr="00B7618A">
        <w:t xml:space="preserve">, </w:t>
      </w:r>
      <w:r w:rsidR="009856BA" w:rsidRPr="00B7618A">
        <w:t xml:space="preserve">last </w:t>
      </w:r>
      <w:r w:rsidR="009A4AEA" w:rsidRPr="00B7618A">
        <w:t>updated in 1983,</w:t>
      </w:r>
      <w:r w:rsidRPr="00B7618A">
        <w:t xml:space="preserve"> establishes the framework for </w:t>
      </w:r>
      <w:r w:rsidR="00CD4947" w:rsidRPr="00B7618A">
        <w:t>s</w:t>
      </w:r>
      <w:r w:rsidRPr="00B7618A">
        <w:t xml:space="preserve">tates and authorized </w:t>
      </w:r>
      <w:r w:rsidR="00CD4947" w:rsidRPr="00B7618A">
        <w:t>t</w:t>
      </w:r>
      <w:r w:rsidRPr="00B7618A">
        <w:t>ribes to adopt standards, for</w:t>
      </w:r>
      <w:r w:rsidR="009E09F0" w:rsidRPr="00B7618A">
        <w:t xml:space="preserve"> </w:t>
      </w:r>
      <w:r w:rsidR="00EA2EB2">
        <w:t>the U.S. Environmental Protection Agency (</w:t>
      </w:r>
      <w:r w:rsidRPr="00B7618A">
        <w:t>EPA</w:t>
      </w:r>
      <w:r w:rsidR="00EA2EB2">
        <w:t>)</w:t>
      </w:r>
      <w:r w:rsidRPr="00B7618A">
        <w:t xml:space="preserve"> to review and approve or disapprove them, and </w:t>
      </w:r>
      <w:r w:rsidR="000A38EA">
        <w:t xml:space="preserve">serves as the driver </w:t>
      </w:r>
      <w:r w:rsidRPr="00B7618A">
        <w:t>for implementation of regulatory controls.</w:t>
      </w:r>
      <w:r w:rsidR="0068763C" w:rsidRPr="00B7618A">
        <w:t xml:space="preserve"> </w:t>
      </w:r>
      <w:r w:rsidR="000A38EA">
        <w:t xml:space="preserve">EPA’s </w:t>
      </w:r>
      <w:r w:rsidR="000A38EA" w:rsidRPr="00CB0566">
        <w:t>Water Quality Standards Regulatory Revisions</w:t>
      </w:r>
      <w:r w:rsidR="000A38EA">
        <w:t xml:space="preserve"> – Final Rule updates the federal WQ</w:t>
      </w:r>
      <w:r w:rsidR="00600A32">
        <w:t>S regulation at 40 CFR Part 131</w:t>
      </w:r>
      <w:r w:rsidR="000A38EA">
        <w:t>.</w:t>
      </w:r>
      <w:r w:rsidR="009A4AEA" w:rsidRPr="00B7618A">
        <w:t xml:space="preserve"> </w:t>
      </w:r>
    </w:p>
    <w:p w14:paraId="58F83249" w14:textId="4B7215D0" w:rsidR="00AA16F3" w:rsidRDefault="00E01A0B" w:rsidP="00396F4C">
      <w:pPr>
        <w:pStyle w:val="BodyText"/>
      </w:pPr>
      <w:r w:rsidRPr="00B7618A">
        <w:t xml:space="preserve">This </w:t>
      </w:r>
      <w:r w:rsidR="00920648" w:rsidRPr="00B7618A">
        <w:t xml:space="preserve">ICR provides estimates of burden and </w:t>
      </w:r>
      <w:r w:rsidR="00747C5B">
        <w:t>cost</w:t>
      </w:r>
      <w:r w:rsidR="00920648" w:rsidRPr="00B7618A">
        <w:t xml:space="preserve"> to </w:t>
      </w:r>
      <w:r w:rsidR="00CD4947" w:rsidRPr="00B7618A">
        <w:t>s</w:t>
      </w:r>
      <w:r w:rsidR="00920648" w:rsidRPr="00B7618A">
        <w:t xml:space="preserve">tates and authorized </w:t>
      </w:r>
      <w:r w:rsidR="00CD4947" w:rsidRPr="00B7618A">
        <w:t>t</w:t>
      </w:r>
      <w:r w:rsidR="00920648" w:rsidRPr="00B7618A">
        <w:t>ribes to imp</w:t>
      </w:r>
      <w:r w:rsidR="008F4B0A" w:rsidRPr="00B7618A">
        <w:t xml:space="preserve">lement new </w:t>
      </w:r>
      <w:r w:rsidR="000A38EA">
        <w:t xml:space="preserve">collection </w:t>
      </w:r>
      <w:r w:rsidR="008F4B0A" w:rsidRPr="00B7618A">
        <w:t xml:space="preserve">requirements in </w:t>
      </w:r>
      <w:r w:rsidR="00CB0566">
        <w:t>the</w:t>
      </w:r>
      <w:r w:rsidR="008F4B0A" w:rsidRPr="00B7618A">
        <w:t xml:space="preserve"> </w:t>
      </w:r>
      <w:r w:rsidR="006820FC">
        <w:t>r</w:t>
      </w:r>
      <w:r w:rsidR="00920648" w:rsidRPr="00B7618A">
        <w:t xml:space="preserve">ule. These estimates represent the incremental burden and </w:t>
      </w:r>
      <w:r w:rsidR="00747C5B">
        <w:t>cost</w:t>
      </w:r>
      <w:r w:rsidR="00920648" w:rsidRPr="00B7618A">
        <w:t xml:space="preserve"> over and above the estimates presented in the ICR entitled </w:t>
      </w:r>
      <w:r w:rsidR="00920648" w:rsidRPr="00B7618A">
        <w:rPr>
          <w:i/>
        </w:rPr>
        <w:t>Water Quality Standards Regulation (Renewal)</w:t>
      </w:r>
      <w:r w:rsidR="00920648" w:rsidRPr="00B7618A">
        <w:t xml:space="preserve"> (EPA ICR Number 0988.1</w:t>
      </w:r>
      <w:r w:rsidR="00EF7337" w:rsidRPr="00B7618A">
        <w:t>1</w:t>
      </w:r>
      <w:r w:rsidR="00920648" w:rsidRPr="00B7618A">
        <w:t>, OMB Control Number 2040</w:t>
      </w:r>
      <w:r w:rsidR="00920648" w:rsidRPr="00B7618A">
        <w:noBreakHyphen/>
        <w:t>0049).</w:t>
      </w:r>
      <w:r w:rsidR="00600A32">
        <w:t xml:space="preserve"> </w:t>
      </w:r>
      <w:r w:rsidR="006A4927" w:rsidRPr="00B7618A">
        <w:t xml:space="preserve">Due to the nature of this rule, EPA </w:t>
      </w:r>
      <w:r w:rsidR="00CB0566">
        <w:t>assumes</w:t>
      </w:r>
      <w:r w:rsidR="006A4927" w:rsidRPr="00B7618A">
        <w:t xml:space="preserve"> that all </w:t>
      </w:r>
      <w:r w:rsidR="00EC7D84" w:rsidRPr="00B7618A">
        <w:t>a</w:t>
      </w:r>
      <w:r w:rsidR="006A4927" w:rsidRPr="00B7618A">
        <w:t xml:space="preserve">dministrative burden </w:t>
      </w:r>
      <w:r w:rsidR="00C502CD">
        <w:t xml:space="preserve">and cost </w:t>
      </w:r>
      <w:r w:rsidR="006A4927" w:rsidRPr="00B7618A">
        <w:t xml:space="preserve">associated with </w:t>
      </w:r>
      <w:r w:rsidR="002D3715">
        <w:t>the new requirements in the rule are</w:t>
      </w:r>
      <w:r w:rsidR="006A4927" w:rsidRPr="00B7618A">
        <w:t xml:space="preserve"> associa</w:t>
      </w:r>
      <w:r w:rsidR="00CB0566">
        <w:t xml:space="preserve">ted with information that would or </w:t>
      </w:r>
      <w:r w:rsidR="006A4927" w:rsidRPr="00B7618A">
        <w:t xml:space="preserve">could be collected as a result of this rule. Therefore, the </w:t>
      </w:r>
      <w:r w:rsidR="00C502CD">
        <w:t>burden and cost</w:t>
      </w:r>
      <w:r w:rsidR="006A4927" w:rsidRPr="00B7618A">
        <w:t xml:space="preserve"> in this ICR </w:t>
      </w:r>
      <w:r w:rsidR="00C502CD">
        <w:t>is</w:t>
      </w:r>
      <w:r w:rsidR="006A4927" w:rsidRPr="00B7618A">
        <w:t xml:space="preserve"> </w:t>
      </w:r>
      <w:r w:rsidR="00CB0566">
        <w:t>the same as</w:t>
      </w:r>
      <w:r w:rsidR="006A4927" w:rsidRPr="00B7618A">
        <w:t xml:space="preserve"> the burden</w:t>
      </w:r>
      <w:r w:rsidR="00C502CD">
        <w:t xml:space="preserve"> and cost</w:t>
      </w:r>
      <w:r w:rsidR="006A4927" w:rsidRPr="00B7618A">
        <w:t xml:space="preserve"> </w:t>
      </w:r>
      <w:r w:rsidR="00CB0566">
        <w:t>EPA estimates in the</w:t>
      </w:r>
      <w:r w:rsidR="006A4927" w:rsidRPr="00B7618A">
        <w:t xml:space="preserve"> Economic Analysis</w:t>
      </w:r>
      <w:r w:rsidR="00CB0566">
        <w:t xml:space="preserve"> of the rule</w:t>
      </w:r>
      <w:r w:rsidR="006A4927" w:rsidRPr="00B7618A">
        <w:t>.</w:t>
      </w:r>
    </w:p>
    <w:p w14:paraId="5903FCBB" w14:textId="1D043378" w:rsidR="008D1E6F" w:rsidRPr="00B7618A" w:rsidRDefault="00AA16F3" w:rsidP="008D1E6F">
      <w:pPr>
        <w:pStyle w:val="Heading1"/>
      </w:pPr>
      <w:bookmarkStart w:id="4" w:name="_Toc406051410"/>
      <w:bookmarkStart w:id="5" w:name="_Toc406051411"/>
      <w:bookmarkEnd w:id="4"/>
      <w:r>
        <w:lastRenderedPageBreak/>
        <w:t>Need for and Use of the Collection</w:t>
      </w:r>
      <w:bookmarkEnd w:id="5"/>
    </w:p>
    <w:p w14:paraId="2F7A20EC" w14:textId="4F80E672" w:rsidR="00344C82" w:rsidRDefault="00344C82" w:rsidP="00344C82">
      <w:pPr>
        <w:pStyle w:val="BodyText"/>
      </w:pPr>
      <w:r>
        <w:t xml:space="preserve">This section describes why the information is needed, the legal </w:t>
      </w:r>
      <w:r w:rsidR="00CB0566">
        <w:t>authority for collecting the information</w:t>
      </w:r>
      <w:r>
        <w:t>, and how EPA will use the information.</w:t>
      </w:r>
    </w:p>
    <w:p w14:paraId="62338925" w14:textId="77777777" w:rsidR="009E1D15" w:rsidRPr="00B7618A" w:rsidRDefault="009E1D15" w:rsidP="008B085E">
      <w:pPr>
        <w:pStyle w:val="Heading2"/>
      </w:pPr>
      <w:bookmarkStart w:id="6" w:name="_Toc406051412"/>
      <w:r w:rsidRPr="00B7618A">
        <w:t>N</w:t>
      </w:r>
      <w:r w:rsidR="00D710D6" w:rsidRPr="00B7618A">
        <w:t>eed and Authority</w:t>
      </w:r>
      <w:r w:rsidRPr="00B7618A">
        <w:t xml:space="preserve"> </w:t>
      </w:r>
      <w:r w:rsidR="00D710D6" w:rsidRPr="00B7618A">
        <w:t>for the Collection</w:t>
      </w:r>
      <w:bookmarkEnd w:id="6"/>
    </w:p>
    <w:p w14:paraId="454A5AA1" w14:textId="3AD4FA25" w:rsidR="009E1D15" w:rsidRPr="00B7618A" w:rsidRDefault="00CB0566" w:rsidP="00396F4C">
      <w:pPr>
        <w:pStyle w:val="BodyText"/>
      </w:pPr>
      <w:r>
        <w:t>T</w:t>
      </w:r>
      <w:r w:rsidR="009856BA" w:rsidRPr="00B7618A">
        <w:t xml:space="preserve">he </w:t>
      </w:r>
      <w:r w:rsidR="006820FC">
        <w:t>r</w:t>
      </w:r>
      <w:r w:rsidR="009856BA" w:rsidRPr="00B7618A">
        <w:t xml:space="preserve">ule </w:t>
      </w:r>
      <w:r>
        <w:t xml:space="preserve">associated with this ICR </w:t>
      </w:r>
      <w:r w:rsidR="00BC05DA" w:rsidRPr="00B7618A">
        <w:t>improve</w:t>
      </w:r>
      <w:r>
        <w:t>s</w:t>
      </w:r>
      <w:r w:rsidR="00BC05DA" w:rsidRPr="00B7618A">
        <w:t xml:space="preserve"> </w:t>
      </w:r>
      <w:r w:rsidR="00344C82">
        <w:t>t</w:t>
      </w:r>
      <w:r w:rsidR="00BC05DA" w:rsidRPr="00B7618A">
        <w:t xml:space="preserve">he effectiveness </w:t>
      </w:r>
      <w:r w:rsidR="00344C82">
        <w:t xml:space="preserve">of the </w:t>
      </w:r>
      <w:r w:rsidR="002B5DF3">
        <w:t>WQS regulation that implements the CWA, helping to meet the CWA objective to restore</w:t>
      </w:r>
      <w:r w:rsidR="009856BA" w:rsidRPr="00B7618A">
        <w:t xml:space="preserve"> and maintain </w:t>
      </w:r>
      <w:r w:rsidR="00BC05DA" w:rsidRPr="00B7618A">
        <w:t xml:space="preserve">the chemical, physical, and biological integrity of the nation’s waters. </w:t>
      </w:r>
      <w:r w:rsidR="00E465ED">
        <w:t xml:space="preserve">The rule </w:t>
      </w:r>
      <w:r w:rsidR="00E465ED" w:rsidRPr="00A34546">
        <w:t>provides a better-defined pathway for states and authorized tribes to address complex water quality challenges and protect high quality waters. It also promotes more transparent</w:t>
      </w:r>
      <w:r w:rsidR="00E465ED" w:rsidRPr="00036326">
        <w:t xml:space="preserve"> and </w:t>
      </w:r>
      <w:r w:rsidR="00E465ED" w:rsidRPr="00A34546">
        <w:t>engaged public participation. The final rule revises six</w:t>
      </w:r>
      <w:r w:rsidR="00E465ED" w:rsidRPr="00036326">
        <w:t xml:space="preserve"> program areas: </w:t>
      </w:r>
      <w:r w:rsidR="00E465ED" w:rsidRPr="00A34546">
        <w:t>(1) Administrator’s determination tha</w:t>
      </w:r>
      <w:r w:rsidR="00E465ED">
        <w:t xml:space="preserve">t new or revised WQS </w:t>
      </w:r>
      <w:r w:rsidR="00E465ED" w:rsidRPr="00A34546">
        <w:t>are necessary, (2) designated uses, (3) triennial reviews, (4) antidegradation, (5) WQS variances, and (6) compliance schedule authorizing provisions.</w:t>
      </w:r>
      <w:r w:rsidR="00E465ED">
        <w:t xml:space="preserve"> </w:t>
      </w:r>
      <w:r w:rsidR="009E1D15" w:rsidRPr="00B7618A">
        <w:t xml:space="preserve">This information collection will ensure </w:t>
      </w:r>
      <w:r w:rsidR="00AB6264">
        <w:t xml:space="preserve">that </w:t>
      </w:r>
      <w:r w:rsidR="009E1D15" w:rsidRPr="00B7618A">
        <w:t xml:space="preserve">EPA has the needed information to </w:t>
      </w:r>
      <w:r w:rsidR="002B5DF3">
        <w:t>implement the provisions in today’s rule and ensure EPA continues to meet its statutory responsibility under the CWA.</w:t>
      </w:r>
    </w:p>
    <w:p w14:paraId="6601097D" w14:textId="77777777" w:rsidR="009E1D15" w:rsidRPr="00B7618A" w:rsidRDefault="00D710D6" w:rsidP="008B085E">
      <w:pPr>
        <w:pStyle w:val="Heading2"/>
      </w:pPr>
      <w:bookmarkStart w:id="7" w:name="_Toc406051413"/>
      <w:r w:rsidRPr="00B7618A">
        <w:t>Practical Utility/Users of the Data</w:t>
      </w:r>
      <w:bookmarkEnd w:id="7"/>
    </w:p>
    <w:p w14:paraId="396460EE" w14:textId="178D235A" w:rsidR="000B04ED" w:rsidRPr="00B7618A" w:rsidRDefault="003253F2" w:rsidP="00396F4C">
      <w:pPr>
        <w:pStyle w:val="BodyText"/>
      </w:pPr>
      <w:r w:rsidRPr="00B7618A">
        <w:t xml:space="preserve">EPA will use the information </w:t>
      </w:r>
      <w:r>
        <w:t xml:space="preserve">collected in association with </w:t>
      </w:r>
      <w:r w:rsidRPr="00B7618A">
        <w:t>this rule</w:t>
      </w:r>
      <w:r>
        <w:t xml:space="preserve"> </w:t>
      </w:r>
      <w:r w:rsidRPr="00B7618A">
        <w:t xml:space="preserve">to carry out </w:t>
      </w:r>
      <w:r>
        <w:t>its</w:t>
      </w:r>
      <w:r w:rsidRPr="00B7618A">
        <w:t xml:space="preserve"> responsibility</w:t>
      </w:r>
      <w:r>
        <w:t xml:space="preserve"> under the CWA.</w:t>
      </w:r>
      <w:r w:rsidR="00433B9B">
        <w:t xml:space="preserve"> </w:t>
      </w:r>
      <w:r>
        <w:t xml:space="preserve">For example, section 303(c) of the </w:t>
      </w:r>
      <w:r w:rsidR="00A43964" w:rsidRPr="00B7618A">
        <w:t>CWA</w:t>
      </w:r>
      <w:r w:rsidR="00C86A59">
        <w:t xml:space="preserve"> requires </w:t>
      </w:r>
      <w:r w:rsidR="00C86A59" w:rsidRPr="00B7618A">
        <w:t>states and authorized tribes</w:t>
      </w:r>
      <w:r w:rsidR="00C86A59" w:rsidRPr="00C86A59">
        <w:t xml:space="preserve"> </w:t>
      </w:r>
      <w:r w:rsidR="00C86A59">
        <w:t>to adopt</w:t>
      </w:r>
      <w:r w:rsidR="00C86A59" w:rsidRPr="00B7618A">
        <w:t xml:space="preserve"> </w:t>
      </w:r>
      <w:r w:rsidR="00C86A59">
        <w:t xml:space="preserve">WQS and submit them to </w:t>
      </w:r>
      <w:r w:rsidR="00A43964" w:rsidRPr="00B7618A">
        <w:t xml:space="preserve">EPA </w:t>
      </w:r>
      <w:r w:rsidR="00C86A59">
        <w:t>for review and approval</w:t>
      </w:r>
      <w:r w:rsidR="00A43964" w:rsidRPr="00B7618A">
        <w:t xml:space="preserve"> o</w:t>
      </w:r>
      <w:r w:rsidR="00C86A59">
        <w:t>r disapproval</w:t>
      </w:r>
      <w:r w:rsidR="00A43964" w:rsidRPr="00B7618A">
        <w:t>.</w:t>
      </w:r>
      <w:r>
        <w:t xml:space="preserve"> Today’s rule includes a new regulatory section </w:t>
      </w:r>
      <w:r w:rsidRPr="00B7618A">
        <w:t xml:space="preserve">at </w:t>
      </w:r>
      <w:r>
        <w:t>§ </w:t>
      </w:r>
      <w:r w:rsidRPr="00B7618A">
        <w:t>131</w:t>
      </w:r>
      <w:r>
        <w:t>.14 requiring states and authorized tribes to submit information that would allow</w:t>
      </w:r>
      <w:r w:rsidR="00A43964" w:rsidRPr="00B7618A">
        <w:t xml:space="preserve"> EPA </w:t>
      </w:r>
      <w:r>
        <w:t>to evaluate if a WQS variance (a change to WQS requiring review and approval or disapproval) is</w:t>
      </w:r>
      <w:r w:rsidR="0073269D" w:rsidRPr="00B7618A">
        <w:t xml:space="preserve"> consistent with</w:t>
      </w:r>
      <w:r>
        <w:t xml:space="preserve"> regulatory requirements</w:t>
      </w:r>
      <w:r w:rsidR="0073269D" w:rsidRPr="00B7618A">
        <w:t>.</w:t>
      </w:r>
    </w:p>
    <w:p w14:paraId="5E6D14D0" w14:textId="6EC0DD86" w:rsidR="00AD6354" w:rsidRDefault="00F06DBA" w:rsidP="003A29A8">
      <w:pPr>
        <w:pStyle w:val="BodyText"/>
      </w:pPr>
      <w:r>
        <w:t>Once approved, s</w:t>
      </w:r>
      <w:r w:rsidRPr="00B7618A">
        <w:t xml:space="preserve">tate </w:t>
      </w:r>
      <w:r>
        <w:t>and</w:t>
      </w:r>
      <w:r w:rsidRPr="00B7618A">
        <w:t xml:space="preserve"> authorized trib</w:t>
      </w:r>
      <w:r>
        <w:t>al</w:t>
      </w:r>
      <w:r w:rsidRPr="00B7618A">
        <w:t xml:space="preserve"> WQS become effective for </w:t>
      </w:r>
      <w:r>
        <w:t>CWA</w:t>
      </w:r>
      <w:r w:rsidRPr="00B7618A">
        <w:t xml:space="preserve"> purposes</w:t>
      </w:r>
      <w:r>
        <w:t xml:space="preserve">. </w:t>
      </w:r>
      <w:r w:rsidR="00721A2C" w:rsidRPr="00B7618A">
        <w:t>WQS serve as the basis for water quality</w:t>
      </w:r>
      <w:r w:rsidR="00721A2C" w:rsidRPr="00B7618A">
        <w:noBreakHyphen/>
        <w:t xml:space="preserve">based effluent limitations in National Pollutant Discharge Elimination System (NPDES) permits for point source dischargers </w:t>
      </w:r>
      <w:r w:rsidR="00721A2C">
        <w:t>(</w:t>
      </w:r>
      <w:r w:rsidR="00721A2C" w:rsidRPr="00B7618A">
        <w:t>including publicly</w:t>
      </w:r>
      <w:r w:rsidR="00721A2C" w:rsidRPr="00B7618A">
        <w:noBreakHyphen/>
        <w:t>owned treatment works and industrial facilities</w:t>
      </w:r>
      <w:r w:rsidR="00721A2C">
        <w:t xml:space="preserve">) under </w:t>
      </w:r>
      <w:r w:rsidR="003F36DA">
        <w:t>s</w:t>
      </w:r>
      <w:r w:rsidR="00721A2C" w:rsidRPr="00B7618A">
        <w:t>ections 301(b)(1)(C) and 402 of the Act</w:t>
      </w:r>
      <w:r>
        <w:t>.</w:t>
      </w:r>
      <w:r w:rsidR="00433B9B">
        <w:t xml:space="preserve"> </w:t>
      </w:r>
      <w:r w:rsidR="009E2107">
        <w:t xml:space="preserve">In addition, under CWA section 303(d), states and authorized tribes must identify which waters are not </w:t>
      </w:r>
      <w:r w:rsidR="00433B9B">
        <w:t xml:space="preserve">meeting their WQS. </w:t>
      </w:r>
      <w:r w:rsidR="009E2107">
        <w:t xml:space="preserve">For waters identified under section 303(d), WQS serve as the basis </w:t>
      </w:r>
      <w:r w:rsidR="009E2107" w:rsidRPr="00B7618A">
        <w:t>for establishing total maximum daily loads (TMDLs)</w:t>
      </w:r>
      <w:r w:rsidR="009E2107">
        <w:t>.</w:t>
      </w:r>
      <w:r w:rsidR="00433B9B">
        <w:t xml:space="preserve"> </w:t>
      </w:r>
      <w:r w:rsidR="009E2107">
        <w:t>WQS are also used as the basis to protect wetlands and other aquatic resources by providing for states and authorized tribes</w:t>
      </w:r>
      <w:r w:rsidR="009E2107" w:rsidRPr="007A2E7D">
        <w:t xml:space="preserve"> </w:t>
      </w:r>
      <w:r w:rsidR="009E2107">
        <w:t xml:space="preserve">an opportunity to address the aquatic resource impacts of federally issued permits and licenses </w:t>
      </w:r>
      <w:r w:rsidR="003F36DA">
        <w:t>under s</w:t>
      </w:r>
      <w:r w:rsidR="009E2107">
        <w:t xml:space="preserve">ection 401 of the Act. </w:t>
      </w:r>
      <w:r w:rsidR="009E2107" w:rsidRPr="00B7618A">
        <w:t xml:space="preserve"> If the information collection activities </w:t>
      </w:r>
      <w:r w:rsidR="009E2107">
        <w:t>associated with</w:t>
      </w:r>
      <w:r w:rsidR="009E2107" w:rsidRPr="00B7618A">
        <w:t xml:space="preserve"> the </w:t>
      </w:r>
      <w:r w:rsidR="009E2107">
        <w:t>ru</w:t>
      </w:r>
      <w:r w:rsidR="009E2107" w:rsidRPr="00B7618A">
        <w:t xml:space="preserve">le are not </w:t>
      </w:r>
      <w:r w:rsidR="009E2107">
        <w:t>performed</w:t>
      </w:r>
      <w:r w:rsidR="009E2107" w:rsidRPr="00B7618A">
        <w:t>, implementation of the WQS program will not</w:t>
      </w:r>
      <w:r w:rsidR="009E2107">
        <w:t xml:space="preserve"> result in the specific improvements intended.</w:t>
      </w:r>
      <w:r w:rsidR="009E2107" w:rsidRPr="00B7618A">
        <w:t xml:space="preserve"> </w:t>
      </w:r>
      <w:r w:rsidR="009E2107">
        <w:t>For example, EPA may not have sufficient information to ensure that WQS are protective enough to ensure NPDES permits and TMDLs meet the goals of</w:t>
      </w:r>
      <w:r w:rsidR="009E2107" w:rsidRPr="00B7618A">
        <w:t xml:space="preserve"> the</w:t>
      </w:r>
      <w:r w:rsidR="009856BA" w:rsidRPr="00B7618A">
        <w:t xml:space="preserve"> CWA.</w:t>
      </w:r>
    </w:p>
    <w:p w14:paraId="307F22A6" w14:textId="7E91918C" w:rsidR="008D1E6F" w:rsidRPr="00B7618A" w:rsidRDefault="00AA16F3" w:rsidP="008D1E6F">
      <w:pPr>
        <w:pStyle w:val="Heading1"/>
      </w:pPr>
      <w:bookmarkStart w:id="8" w:name="_Toc406051414"/>
      <w:r>
        <w:lastRenderedPageBreak/>
        <w:t>Non-Duplication, Consultations, and Other Collection Criteria</w:t>
      </w:r>
      <w:bookmarkEnd w:id="8"/>
    </w:p>
    <w:p w14:paraId="3D2373C4" w14:textId="5E97C651" w:rsidR="006934E4" w:rsidRDefault="006934E4" w:rsidP="006934E4">
      <w:pPr>
        <w:pStyle w:val="BodyText"/>
      </w:pPr>
      <w:r>
        <w:t xml:space="preserve">This section addresses </w:t>
      </w:r>
      <w:r w:rsidR="001E66DF">
        <w:t>non-duplication</w:t>
      </w:r>
      <w:r>
        <w:t xml:space="preserve">, public support, and </w:t>
      </w:r>
      <w:r w:rsidR="00D15B71">
        <w:t xml:space="preserve">other </w:t>
      </w:r>
      <w:r>
        <w:t xml:space="preserve">collection </w:t>
      </w:r>
      <w:r w:rsidR="00D15B71">
        <w:t>criteria</w:t>
      </w:r>
      <w:r w:rsidR="001E66DF">
        <w:t>.</w:t>
      </w:r>
    </w:p>
    <w:p w14:paraId="5C57C341" w14:textId="60734D16" w:rsidR="009E1D15" w:rsidRPr="00B7618A" w:rsidRDefault="00D710D6" w:rsidP="00704F82">
      <w:pPr>
        <w:pStyle w:val="Heading2"/>
      </w:pPr>
      <w:bookmarkStart w:id="9" w:name="_Toc406051415"/>
      <w:r w:rsidRPr="00B7618A">
        <w:t>Non-Duplication</w:t>
      </w:r>
      <w:bookmarkEnd w:id="9"/>
    </w:p>
    <w:p w14:paraId="179BD2CC" w14:textId="18709A5A" w:rsidR="009E1D15" w:rsidRPr="00B7618A" w:rsidRDefault="001F2C83" w:rsidP="00396F4C">
      <w:pPr>
        <w:pStyle w:val="BodyText"/>
      </w:pPr>
      <w:r w:rsidRPr="00B7618A">
        <w:t xml:space="preserve">The information collection requirements </w:t>
      </w:r>
      <w:r w:rsidR="00287348">
        <w:t>described</w:t>
      </w:r>
      <w:r w:rsidR="00287348" w:rsidRPr="00B7618A">
        <w:t xml:space="preserve"> </w:t>
      </w:r>
      <w:r w:rsidRPr="00B7618A">
        <w:t xml:space="preserve">in this </w:t>
      </w:r>
      <w:r w:rsidR="00A23938" w:rsidRPr="00B7618A">
        <w:t xml:space="preserve">ICR </w:t>
      </w:r>
      <w:r w:rsidR="00C16ED1" w:rsidRPr="00B7618A">
        <w:t xml:space="preserve">do not duplicate the information collection </w:t>
      </w:r>
      <w:r w:rsidRPr="00B7618A">
        <w:t xml:space="preserve">requirements </w:t>
      </w:r>
      <w:r w:rsidR="00287348">
        <w:t>described</w:t>
      </w:r>
      <w:r w:rsidR="00287348" w:rsidRPr="00B7618A">
        <w:t xml:space="preserve"> </w:t>
      </w:r>
      <w:r w:rsidR="00C16ED1" w:rsidRPr="00B7618A">
        <w:t>in other ICRs provided by EPA</w:t>
      </w:r>
      <w:r w:rsidR="009E1D15" w:rsidRPr="00B7618A">
        <w:t>.</w:t>
      </w:r>
      <w:r w:rsidR="0068763C" w:rsidRPr="00B7618A">
        <w:t xml:space="preserve"> </w:t>
      </w:r>
      <w:r w:rsidR="00C16ED1" w:rsidRPr="00B7618A">
        <w:t>The burden</w:t>
      </w:r>
      <w:r w:rsidRPr="00B7618A">
        <w:t xml:space="preserve"> and </w:t>
      </w:r>
      <w:r w:rsidR="00747C5B">
        <w:t>cost</w:t>
      </w:r>
      <w:r w:rsidR="00C16ED1" w:rsidRPr="00B7618A">
        <w:t xml:space="preserve"> estimated in this ICR are in additi</w:t>
      </w:r>
      <w:r w:rsidRPr="00B7618A">
        <w:t>on to th</w:t>
      </w:r>
      <w:r w:rsidR="009458A3">
        <w:t>e</w:t>
      </w:r>
      <w:r w:rsidRPr="00B7618A">
        <w:t xml:space="preserve"> burden and </w:t>
      </w:r>
      <w:r w:rsidR="00747C5B">
        <w:t>cost</w:t>
      </w:r>
      <w:r w:rsidRPr="00B7618A">
        <w:t xml:space="preserve"> provided in the ICR entitled </w:t>
      </w:r>
      <w:r w:rsidR="00AF67C1" w:rsidRPr="00B7618A">
        <w:rPr>
          <w:i/>
        </w:rPr>
        <w:t>Water Quality Standards Regulation (Renewal)</w:t>
      </w:r>
      <w:r w:rsidR="00AF67C1" w:rsidRPr="00B7618A">
        <w:t xml:space="preserve"> (EPA ICR Number 0988.11, OMB Control Number 2040</w:t>
      </w:r>
      <w:r w:rsidR="00AF67C1" w:rsidRPr="00B7618A">
        <w:noBreakHyphen/>
        <w:t>0049).</w:t>
      </w:r>
    </w:p>
    <w:p w14:paraId="7527453B" w14:textId="77777777" w:rsidR="009E1D15" w:rsidRPr="00B7618A" w:rsidRDefault="00D710D6" w:rsidP="00704F82">
      <w:pPr>
        <w:pStyle w:val="Heading2"/>
      </w:pPr>
      <w:bookmarkStart w:id="10" w:name="_Toc406051416"/>
      <w:r w:rsidRPr="00B7618A">
        <w:t>Consultations</w:t>
      </w:r>
      <w:bookmarkEnd w:id="10"/>
    </w:p>
    <w:p w14:paraId="7B397773" w14:textId="36D12E2B" w:rsidR="00083D36" w:rsidRPr="00B7618A" w:rsidRDefault="00083D36" w:rsidP="00396F4C">
      <w:pPr>
        <w:pStyle w:val="BodyText"/>
      </w:pPr>
      <w:r w:rsidRPr="00B7618A">
        <w:t>EPA made a substantial ef</w:t>
      </w:r>
      <w:r w:rsidR="00873637">
        <w:t>fort to involve the public</w:t>
      </w:r>
      <w:r w:rsidR="00287348" w:rsidRPr="00287348">
        <w:t xml:space="preserve"> </w:t>
      </w:r>
      <w:r w:rsidR="00287348">
        <w:t>in all phases of rule</w:t>
      </w:r>
      <w:r w:rsidR="00287348" w:rsidRPr="00B7618A">
        <w:t xml:space="preserve"> develop</w:t>
      </w:r>
      <w:r w:rsidR="00287348">
        <w:t>ment</w:t>
      </w:r>
      <w:r w:rsidR="00873637">
        <w:t xml:space="preserve">. </w:t>
      </w:r>
      <w:r w:rsidRPr="00B7618A">
        <w:t xml:space="preserve">Between March 2009 and September 2010, </w:t>
      </w:r>
      <w:r w:rsidR="00873637">
        <w:t>EPA</w:t>
      </w:r>
      <w:r w:rsidRPr="00B7618A">
        <w:t xml:space="preserve"> participated in more than ten discussions with states on antidegradation issues through Water Environment Federation’s (WEF) Water Quality</w:t>
      </w:r>
      <w:r w:rsidR="00873637">
        <w:t xml:space="preserve"> Standards Communication Forum [</w:t>
      </w:r>
      <w:r w:rsidRPr="00B7618A">
        <w:t xml:space="preserve">with representation by ten states and the Ohio River Valley Water </w:t>
      </w:r>
      <w:r w:rsidR="00873637">
        <w:t>Sanitation Commission (ORSANCO)]</w:t>
      </w:r>
      <w:r w:rsidRPr="00B7618A">
        <w:t xml:space="preserve">. </w:t>
      </w:r>
      <w:r w:rsidR="00873637">
        <w:t>EPA</w:t>
      </w:r>
      <w:r w:rsidRPr="00B7618A">
        <w:t xml:space="preserve"> also participated in two face-to-face meetings that focused on antidegradation. Early feedback received during these meetings helped inform EPA’s initial thinking on the </w:t>
      </w:r>
      <w:r w:rsidR="00BB3CC5">
        <w:t>proposed</w:t>
      </w:r>
      <w:r w:rsidR="00BB3CC5" w:rsidRPr="00B7618A">
        <w:t xml:space="preserve"> </w:t>
      </w:r>
      <w:r w:rsidRPr="00B7618A">
        <w:t>regulatory revisions.</w:t>
      </w:r>
      <w:r w:rsidR="00433B9B">
        <w:t xml:space="preserve"> </w:t>
      </w:r>
      <w:r w:rsidRPr="00B7618A">
        <w:t xml:space="preserve">Additionally, </w:t>
      </w:r>
      <w:r w:rsidR="00873637">
        <w:t>EPA</w:t>
      </w:r>
      <w:r w:rsidRPr="00B7618A">
        <w:t xml:space="preserve"> held a series of listening sessions in August 2010 for states, tribes, and the general public. </w:t>
      </w:r>
      <w:r w:rsidR="00BB3CC5">
        <w:t>During these</w:t>
      </w:r>
      <w:r w:rsidRPr="00B7618A">
        <w:t xml:space="preserve"> listening sessions</w:t>
      </w:r>
      <w:r w:rsidR="00BB3CC5">
        <w:t>, EPA</w:t>
      </w:r>
      <w:r w:rsidRPr="00B7618A">
        <w:t xml:space="preserve"> provide</w:t>
      </w:r>
      <w:r w:rsidR="00BB3CC5">
        <w:t>d</w:t>
      </w:r>
      <w:r w:rsidRPr="00B7618A">
        <w:t xml:space="preserve"> an overview of </w:t>
      </w:r>
      <w:r w:rsidR="00873637">
        <w:t>EPA</w:t>
      </w:r>
      <w:r w:rsidRPr="00B7618A">
        <w:t xml:space="preserve">’s preliminary thinking on potential regulatory </w:t>
      </w:r>
      <w:r w:rsidR="00970F30">
        <w:t>revisions</w:t>
      </w:r>
      <w:r w:rsidR="00BB3CC5">
        <w:t>, received feedback, and answered questions.</w:t>
      </w:r>
      <w:r w:rsidR="00433B9B">
        <w:t xml:space="preserve"> </w:t>
      </w:r>
      <w:r w:rsidRPr="00B7618A">
        <w:t>Approximately 40 states, 81 tribes, and 665 members of the general public participated in the</w:t>
      </w:r>
      <w:r w:rsidR="00BB3CC5">
        <w:t xml:space="preserve"> listening</w:t>
      </w:r>
      <w:r w:rsidRPr="00B7618A">
        <w:t xml:space="preserve"> sessions. </w:t>
      </w:r>
      <w:r w:rsidR="00873637">
        <w:t>EPA</w:t>
      </w:r>
      <w:r w:rsidRPr="00B7618A">
        <w:t xml:space="preserve"> also hosted a meeting </w:t>
      </w:r>
      <w:r w:rsidR="00404AAA">
        <w:t>on</w:t>
      </w:r>
      <w:r w:rsidR="00404AAA" w:rsidRPr="00B7618A">
        <w:t xml:space="preserve"> </w:t>
      </w:r>
      <w:r w:rsidRPr="00B7618A">
        <w:t>September 2010 under E</w:t>
      </w:r>
      <w:r w:rsidR="00D15B71">
        <w:t>xecutive Order</w:t>
      </w:r>
      <w:r w:rsidRPr="00B7618A">
        <w:t xml:space="preserve"> 13132 (Federalism consultation)</w:t>
      </w:r>
      <w:r w:rsidR="00404AAA" w:rsidRPr="00404AAA">
        <w:t xml:space="preserve"> </w:t>
      </w:r>
      <w:r w:rsidR="00404AAA">
        <w:t xml:space="preserve">to </w:t>
      </w:r>
      <w:r w:rsidR="00404AAA" w:rsidRPr="00B7618A">
        <w:t>discuss potential regulatory revisions and respond to questions</w:t>
      </w:r>
      <w:r w:rsidR="00404AAA">
        <w:t>.</w:t>
      </w:r>
      <w:r w:rsidR="00433B9B">
        <w:t xml:space="preserve"> </w:t>
      </w:r>
      <w:r w:rsidR="00404AAA">
        <w:t>Thirteen</w:t>
      </w:r>
      <w:r w:rsidRPr="00B7618A">
        <w:t xml:space="preserve"> intergovernmental participants representing state and local governments </w:t>
      </w:r>
      <w:r w:rsidR="00404AAA">
        <w:t>attended this meeting</w:t>
      </w:r>
      <w:r w:rsidRPr="00B7618A">
        <w:t>.</w:t>
      </w:r>
    </w:p>
    <w:p w14:paraId="66A87A59" w14:textId="5BD51A51" w:rsidR="00083D36" w:rsidRPr="00B7618A" w:rsidRDefault="00404AAA" w:rsidP="00396F4C">
      <w:pPr>
        <w:pStyle w:val="BodyText"/>
      </w:pPr>
      <w:r>
        <w:t xml:space="preserve">Between </w:t>
      </w:r>
      <w:r w:rsidR="00083D36" w:rsidRPr="00B7618A">
        <w:t>September 2013 and June 2014</w:t>
      </w:r>
      <w:r w:rsidRPr="00404AAA">
        <w:t xml:space="preserve"> </w:t>
      </w:r>
      <w:r>
        <w:t>f</w:t>
      </w:r>
      <w:r w:rsidRPr="00B7618A">
        <w:t xml:space="preserve">ollowing </w:t>
      </w:r>
      <w:r>
        <w:t>publication of the proposed rule</w:t>
      </w:r>
      <w:r w:rsidR="00083D36" w:rsidRPr="00B7618A">
        <w:t>, EPA consulted with representatives from states and intergovernmental associations at their request to hear their views on the proposed regulatory revisions</w:t>
      </w:r>
      <w:r w:rsidR="00D15B71">
        <w:t>,</w:t>
      </w:r>
      <w:r w:rsidR="00083D36" w:rsidRPr="00B7618A">
        <w:t xml:space="preserve"> and how commenters’ suggested revisions </w:t>
      </w:r>
      <w:r>
        <w:t>might</w:t>
      </w:r>
      <w:r w:rsidRPr="00B7618A">
        <w:t xml:space="preserve"> </w:t>
      </w:r>
      <w:r w:rsidR="00083D36" w:rsidRPr="00B7618A">
        <w:t xml:space="preserve">impact implementation of their WQS programs. Some participants expressed concern that the proposed changes may impose a resource burden on state and local governments, as well as infringe on states’ flexibility in the areas included in the proposed rule. Some participants urged EPA to ensure that states with satisfactory regulations in these areas are not unduly burdened by the regulatory revisions. </w:t>
      </w:r>
      <w:r w:rsidR="00873637">
        <w:t>EPA</w:t>
      </w:r>
      <w:r w:rsidR="00083D36" w:rsidRPr="00B7618A">
        <w:t xml:space="preserve"> honored all requests for face-to-face discussions from </w:t>
      </w:r>
      <w:r>
        <w:t xml:space="preserve">all </w:t>
      </w:r>
      <w:r w:rsidR="00083D36" w:rsidRPr="00B7618A">
        <w:t>stakeholder groups.</w:t>
      </w:r>
    </w:p>
    <w:p w14:paraId="5E96E407" w14:textId="77777777" w:rsidR="009E1D15" w:rsidRPr="00B7618A" w:rsidRDefault="00D710D6" w:rsidP="00704F82">
      <w:pPr>
        <w:pStyle w:val="Heading2"/>
      </w:pPr>
      <w:bookmarkStart w:id="11" w:name="_Toc406051417"/>
      <w:r w:rsidRPr="00B7618A">
        <w:lastRenderedPageBreak/>
        <w:t>Effects of Less Frequent Collection</w:t>
      </w:r>
      <w:bookmarkEnd w:id="11"/>
    </w:p>
    <w:p w14:paraId="46E24A38" w14:textId="33555DB5" w:rsidR="009E1D15" w:rsidRPr="00B7618A" w:rsidRDefault="009E1D15" w:rsidP="00396F4C">
      <w:pPr>
        <w:pStyle w:val="BodyText"/>
      </w:pPr>
      <w:r w:rsidRPr="00B7618A">
        <w:t xml:space="preserve">The information collection schedule is pursuant to </w:t>
      </w:r>
      <w:r w:rsidR="00722C41">
        <w:t xml:space="preserve">CWA </w:t>
      </w:r>
      <w:r w:rsidR="00C648A1">
        <w:t>s</w:t>
      </w:r>
      <w:r w:rsidRPr="00B7618A">
        <w:t xml:space="preserve">ection 303(c) </w:t>
      </w:r>
      <w:r w:rsidR="00722C41">
        <w:t>requiring</w:t>
      </w:r>
      <w:r w:rsidR="00722C41" w:rsidRPr="00B7618A">
        <w:t xml:space="preserve"> </w:t>
      </w:r>
      <w:r w:rsidR="00CD4947" w:rsidRPr="00B7618A">
        <w:t>s</w:t>
      </w:r>
      <w:r w:rsidRPr="00B7618A">
        <w:t xml:space="preserve">tates and </w:t>
      </w:r>
      <w:r w:rsidR="009014F2" w:rsidRPr="00B7618A">
        <w:t xml:space="preserve">authorized </w:t>
      </w:r>
      <w:r w:rsidR="00CD4947" w:rsidRPr="00B7618A">
        <w:t>t</w:t>
      </w:r>
      <w:r w:rsidRPr="00B7618A">
        <w:t xml:space="preserve">ribes to review </w:t>
      </w:r>
      <w:r w:rsidR="00E03559" w:rsidRPr="00B7618A">
        <w:t>WQS</w:t>
      </w:r>
      <w:r w:rsidRPr="00B7618A">
        <w:t xml:space="preserve"> once every three years and thus is not adjustable by </w:t>
      </w:r>
      <w:r w:rsidR="00E01A0B" w:rsidRPr="00B7618A">
        <w:t>EPA</w:t>
      </w:r>
      <w:r w:rsidRPr="00B7618A">
        <w:t>.</w:t>
      </w:r>
      <w:r w:rsidR="00722C41">
        <w:t xml:space="preserve"> </w:t>
      </w:r>
      <w:r w:rsidR="00722C41" w:rsidRPr="00B7618A">
        <w:t xml:space="preserve">A triennial review cycle ensures that </w:t>
      </w:r>
      <w:r w:rsidR="00722C41">
        <w:t xml:space="preserve">state and tribal WQS are based on </w:t>
      </w:r>
      <w:r w:rsidR="00C648A1">
        <w:t>the latest</w:t>
      </w:r>
      <w:r w:rsidR="00722C41">
        <w:t xml:space="preserve"> scientific, technical, and other </w:t>
      </w:r>
      <w:r w:rsidR="00722C41" w:rsidRPr="00B7618A">
        <w:t>information</w:t>
      </w:r>
      <w:r w:rsidR="00722C41">
        <w:t xml:space="preserve">. </w:t>
      </w:r>
      <w:r w:rsidR="00C648A1">
        <w:t>Less frequent review of state and tribal</w:t>
      </w:r>
      <w:r w:rsidR="00C648A1" w:rsidRPr="00B7618A">
        <w:t xml:space="preserve"> WQS </w:t>
      </w:r>
      <w:r w:rsidR="00C648A1">
        <w:t xml:space="preserve">could result in unprotected </w:t>
      </w:r>
      <w:r w:rsidR="00C648A1" w:rsidRPr="00B7618A">
        <w:t xml:space="preserve">existing uses, </w:t>
      </w:r>
      <w:r w:rsidR="00C648A1">
        <w:t>designated uses that no longer reflec</w:t>
      </w:r>
      <w:r w:rsidR="00600A32">
        <w:t xml:space="preserve">t what is desired or attainable, </w:t>
      </w:r>
      <w:r w:rsidR="00C648A1">
        <w:t xml:space="preserve">lack of attention to emerging </w:t>
      </w:r>
      <w:bookmarkStart w:id="12" w:name="_GoBack"/>
      <w:bookmarkEnd w:id="12"/>
      <w:r w:rsidR="00C648A1" w:rsidRPr="00B7618A">
        <w:t xml:space="preserve">pollutants of concern, and water quality criteria </w:t>
      </w:r>
      <w:r w:rsidR="00C648A1">
        <w:t>that do not adequately protect designated uses.</w:t>
      </w:r>
    </w:p>
    <w:p w14:paraId="09FF5DB6" w14:textId="49CB40F7" w:rsidR="009E1D15" w:rsidRPr="00B7618A" w:rsidRDefault="00D710D6" w:rsidP="00704F82">
      <w:pPr>
        <w:pStyle w:val="Heading2"/>
      </w:pPr>
      <w:bookmarkStart w:id="13" w:name="_Toc406051418"/>
      <w:r w:rsidRPr="00B7618A">
        <w:t>General Guidelines</w:t>
      </w:r>
      <w:bookmarkEnd w:id="13"/>
    </w:p>
    <w:p w14:paraId="2CFE84ED" w14:textId="639F4421" w:rsidR="009E1D15" w:rsidRPr="00B7618A" w:rsidRDefault="00E01A0B" w:rsidP="00396F4C">
      <w:pPr>
        <w:pStyle w:val="BodyText"/>
      </w:pPr>
      <w:r w:rsidRPr="00B7618A">
        <w:t>EPA</w:t>
      </w:r>
      <w:r w:rsidR="009460E1" w:rsidRPr="00B7618A">
        <w:t xml:space="preserve"> reviewed this ICR</w:t>
      </w:r>
      <w:r w:rsidR="006853C9" w:rsidRPr="00B7618A">
        <w:t xml:space="preserve"> for</w:t>
      </w:r>
      <w:r w:rsidR="009460E1" w:rsidRPr="00B7618A">
        <w:t xml:space="preserve"> compliance with OMB’s information collection guidelines in 5 CFR 1320.5(d)(2)</w:t>
      </w:r>
      <w:r w:rsidR="00E81D62" w:rsidRPr="00B7618A">
        <w:t xml:space="preserve"> and conclude</w:t>
      </w:r>
      <w:r w:rsidR="00EF0754">
        <w:t xml:space="preserve">s </w:t>
      </w:r>
      <w:r w:rsidR="00E81D62" w:rsidRPr="00B7618A">
        <w:t>it is in compliance.</w:t>
      </w:r>
    </w:p>
    <w:p w14:paraId="5D539E77" w14:textId="77777777" w:rsidR="009E1D15" w:rsidRPr="00B7618A" w:rsidRDefault="00D710D6" w:rsidP="00704F82">
      <w:pPr>
        <w:pStyle w:val="Heading2"/>
      </w:pPr>
      <w:bookmarkStart w:id="14" w:name="_Toc406051419"/>
      <w:r w:rsidRPr="00B7618A">
        <w:t>Confidentiality And Sensitive Questions</w:t>
      </w:r>
      <w:bookmarkEnd w:id="14"/>
    </w:p>
    <w:p w14:paraId="25E499EC" w14:textId="67D7295F" w:rsidR="00C375A0" w:rsidRDefault="009E1D15" w:rsidP="00396F4C">
      <w:pPr>
        <w:pStyle w:val="BodyText"/>
      </w:pPr>
      <w:r w:rsidRPr="00B7618A">
        <w:t xml:space="preserve">State and </w:t>
      </w:r>
      <w:r w:rsidR="009014F2" w:rsidRPr="00B7618A">
        <w:t xml:space="preserve">authorized </w:t>
      </w:r>
      <w:r w:rsidR="00CD4947" w:rsidRPr="00B7618A">
        <w:t>t</w:t>
      </w:r>
      <w:r w:rsidRPr="00B7618A">
        <w:t>ribal submissions under this ICR will contain no confidential or sensitive information.</w:t>
      </w:r>
    </w:p>
    <w:p w14:paraId="6BFCDD44" w14:textId="77777777" w:rsidR="00AD6354" w:rsidRDefault="00AD6354" w:rsidP="00396F4C">
      <w:pPr>
        <w:pStyle w:val="BodyText"/>
      </w:pPr>
    </w:p>
    <w:p w14:paraId="320103D5" w14:textId="77777777" w:rsidR="00AD6354" w:rsidRDefault="00AD6354" w:rsidP="00396F4C">
      <w:pPr>
        <w:pStyle w:val="BodyText"/>
        <w:rPr>
          <w:b/>
          <w:color w:val="000000"/>
        </w:rPr>
        <w:sectPr w:rsidR="00AD6354" w:rsidSect="00AD6354">
          <w:headerReference w:type="default" r:id="rId14"/>
          <w:footerReference w:type="default" r:id="rId15"/>
          <w:pgSz w:w="12240" w:h="15840"/>
          <w:pgMar w:top="1440" w:right="1440" w:bottom="1440" w:left="1440" w:header="720" w:footer="1440" w:gutter="0"/>
          <w:pgNumType w:start="1" w:chapStyle="1"/>
          <w:cols w:space="720"/>
          <w:noEndnote/>
          <w:docGrid w:linePitch="326"/>
        </w:sectPr>
      </w:pPr>
    </w:p>
    <w:p w14:paraId="4DF1BF63" w14:textId="4B45FFDA" w:rsidR="009E1D15" w:rsidRPr="00B7618A" w:rsidRDefault="00AA16F3" w:rsidP="00704F82">
      <w:pPr>
        <w:pStyle w:val="Heading1"/>
      </w:pPr>
      <w:bookmarkStart w:id="15" w:name="_Toc406051420"/>
      <w:r>
        <w:lastRenderedPageBreak/>
        <w:t>Respondents and Information Collected</w:t>
      </w:r>
      <w:bookmarkEnd w:id="15"/>
    </w:p>
    <w:p w14:paraId="21293469" w14:textId="70059ED8" w:rsidR="00D15B71" w:rsidRDefault="00D15B71" w:rsidP="00D15B71">
      <w:pPr>
        <w:pStyle w:val="BodyText"/>
      </w:pPr>
      <w:r>
        <w:t xml:space="preserve">This section describes the respondents and information </w:t>
      </w:r>
      <w:r w:rsidR="00817744">
        <w:t>EPA will collect</w:t>
      </w:r>
      <w:r>
        <w:t>.</w:t>
      </w:r>
    </w:p>
    <w:p w14:paraId="3CFAE689" w14:textId="77777777" w:rsidR="009E1D15" w:rsidRPr="00B7618A" w:rsidRDefault="002D72F6" w:rsidP="00704F82">
      <w:pPr>
        <w:pStyle w:val="Heading2"/>
      </w:pPr>
      <w:bookmarkStart w:id="16" w:name="_Toc406051421"/>
      <w:r w:rsidRPr="00B7618A">
        <w:t>Respondents/</w:t>
      </w:r>
      <w:r w:rsidRPr="00B7618A">
        <w:rPr>
          <w:caps/>
        </w:rPr>
        <w:t>Naics</w:t>
      </w:r>
      <w:r w:rsidRPr="00B7618A">
        <w:t xml:space="preserve"> Codes</w:t>
      </w:r>
      <w:bookmarkEnd w:id="16"/>
    </w:p>
    <w:p w14:paraId="215766C5" w14:textId="0B96F956" w:rsidR="009E1D15" w:rsidRPr="00B7618A" w:rsidRDefault="00817744" w:rsidP="005A75FD">
      <w:pPr>
        <w:pStyle w:val="BodyText"/>
      </w:pPr>
      <w:r>
        <w:t>This section</w:t>
      </w:r>
      <w:r w:rsidR="009E1D15" w:rsidRPr="00B7618A">
        <w:t xml:space="preserve"> describes the </w:t>
      </w:r>
      <w:r w:rsidR="00450E20" w:rsidRPr="00B7618A">
        <w:t>“</w:t>
      </w:r>
      <w:r w:rsidR="009E1D15" w:rsidRPr="00B7618A">
        <w:t>universe</w:t>
      </w:r>
      <w:r w:rsidR="00810772" w:rsidRPr="00B7618A">
        <w:t>”</w:t>
      </w:r>
      <w:r w:rsidR="00450E20" w:rsidRPr="00B7618A">
        <w:t xml:space="preserve"> </w:t>
      </w:r>
      <w:r w:rsidR="009E1D15" w:rsidRPr="00B7618A">
        <w:t>of potential respondents.</w:t>
      </w:r>
      <w:r w:rsidR="00F701C7">
        <w:t xml:space="preserve"> </w:t>
      </w:r>
      <w:r>
        <w:t>Section</w:t>
      </w:r>
      <w:r w:rsidRPr="00B7618A">
        <w:t xml:space="preserve"> </w:t>
      </w:r>
      <w:r>
        <w:fldChar w:fldCharType="begin"/>
      </w:r>
      <w:r>
        <w:instrText xml:space="preserve"> REF _Ref403051913 \r \h </w:instrText>
      </w:r>
      <w:r>
        <w:fldChar w:fldCharType="separate"/>
      </w:r>
      <w:r>
        <w:t>6</w:t>
      </w:r>
      <w:r>
        <w:fldChar w:fldCharType="end"/>
      </w:r>
      <w:r w:rsidRPr="00B7618A">
        <w:t xml:space="preserve"> </w:t>
      </w:r>
      <w:r>
        <w:t>provides e</w:t>
      </w:r>
      <w:r w:rsidR="009E1D15" w:rsidRPr="00B7618A">
        <w:t>stimate</w:t>
      </w:r>
      <w:r w:rsidR="00D15B71">
        <w:t>s of the number of respondents that will</w:t>
      </w:r>
      <w:r w:rsidR="009E1D15" w:rsidRPr="00B7618A">
        <w:t xml:space="preserve"> submit information annually</w:t>
      </w:r>
      <w:r w:rsidRPr="00817744">
        <w:t xml:space="preserve"> </w:t>
      </w:r>
      <w:r>
        <w:t>to EPA</w:t>
      </w:r>
      <w:r w:rsidR="009E1D15" w:rsidRPr="00B7618A">
        <w:t>.</w:t>
      </w:r>
    </w:p>
    <w:p w14:paraId="0CC262EC" w14:textId="24FC8CB6" w:rsidR="009E1D15" w:rsidRPr="00B7618A" w:rsidRDefault="009E1D15" w:rsidP="005A75FD">
      <w:pPr>
        <w:pStyle w:val="BodyText"/>
      </w:pPr>
      <w:r w:rsidRPr="00B7618A">
        <w:t xml:space="preserve">The </w:t>
      </w:r>
      <w:r w:rsidR="00E03559" w:rsidRPr="00B7618A">
        <w:t>WQS</w:t>
      </w:r>
      <w:r w:rsidRPr="00B7618A">
        <w:t xml:space="preserve"> </w:t>
      </w:r>
      <w:r w:rsidR="00CD4947" w:rsidRPr="00B7618A">
        <w:t>r</w:t>
      </w:r>
      <w:r w:rsidRPr="00B7618A">
        <w:t>egulation</w:t>
      </w:r>
      <w:r w:rsidR="00CD4947" w:rsidRPr="00B7618A">
        <w:t xml:space="preserve"> at 40 CFR </w:t>
      </w:r>
      <w:r w:rsidR="009E2A7B">
        <w:t>Part</w:t>
      </w:r>
      <w:r w:rsidR="00F43A01">
        <w:t> </w:t>
      </w:r>
      <w:r w:rsidR="00CD4947" w:rsidRPr="00B7618A">
        <w:t>131</w:t>
      </w:r>
      <w:r w:rsidRPr="00B7618A">
        <w:t xml:space="preserve"> requires reporting at least once every three years from </w:t>
      </w:r>
      <w:r w:rsidR="00D110E2" w:rsidRPr="00B7618A">
        <w:t>96</w:t>
      </w:r>
      <w:r w:rsidR="008D781B" w:rsidRPr="00B7618A">
        <w:t xml:space="preserve"> </w:t>
      </w:r>
      <w:r w:rsidRPr="00B7618A">
        <w:t>jurisdictions</w:t>
      </w:r>
      <w:r w:rsidR="00F11708" w:rsidRPr="00B7618A">
        <w:t xml:space="preserve"> </w:t>
      </w:r>
      <w:r w:rsidR="00990946" w:rsidRPr="00B7618A">
        <w:t>–</w:t>
      </w:r>
      <w:r w:rsidR="00F11708" w:rsidRPr="00B7618A">
        <w:t xml:space="preserve"> </w:t>
      </w:r>
      <w:r w:rsidRPr="00B7618A">
        <w:t xml:space="preserve">56 </w:t>
      </w:r>
      <w:r w:rsidR="00CD3249" w:rsidRPr="00B7618A">
        <w:t>s</w:t>
      </w:r>
      <w:r w:rsidRPr="00B7618A">
        <w:t>tates (</w:t>
      </w:r>
      <w:r w:rsidR="00FF1705">
        <w:t xml:space="preserve">including the District of Columbia </w:t>
      </w:r>
      <w:r w:rsidRPr="00B7618A">
        <w:t xml:space="preserve">and </w:t>
      </w:r>
      <w:r w:rsidR="00CD3249" w:rsidRPr="00B7618A">
        <w:t>t</w:t>
      </w:r>
      <w:r w:rsidRPr="00B7618A">
        <w:t xml:space="preserve">erritories), and the </w:t>
      </w:r>
      <w:r w:rsidR="00B2406D" w:rsidRPr="00B7618A">
        <w:t>40</w:t>
      </w:r>
      <w:r w:rsidR="008D781B" w:rsidRPr="00B7618A">
        <w:t xml:space="preserve"> </w:t>
      </w:r>
      <w:r w:rsidR="00A22639" w:rsidRPr="00B7618A">
        <w:t>authorized tribes</w:t>
      </w:r>
      <w:r w:rsidRPr="00B7618A">
        <w:t xml:space="preserve"> that have </w:t>
      </w:r>
      <w:r w:rsidR="00A22639" w:rsidRPr="00B7618A">
        <w:t>EPA-approved WQS in place</w:t>
      </w:r>
      <w:r w:rsidR="00E81D62" w:rsidRPr="00B7618A">
        <w:t>.</w:t>
      </w:r>
      <w:r w:rsidRPr="00B7618A">
        <w:rPr>
          <w:rStyle w:val="FootnoteReference"/>
          <w:color w:val="000000"/>
        </w:rPr>
        <w:footnoteReference w:id="4"/>
      </w:r>
      <w:r w:rsidR="0068763C" w:rsidRPr="00B7618A">
        <w:t xml:space="preserve"> </w:t>
      </w:r>
      <w:r w:rsidRPr="00B7618A">
        <w:t xml:space="preserve">The respondents affected by this collection activity are in NAICS code 92411 </w:t>
      </w:r>
      <w:r w:rsidR="00450E20" w:rsidRPr="00B7618A">
        <w:t>“</w:t>
      </w:r>
      <w:r w:rsidRPr="00B7618A">
        <w:t>Administration of Air and Water Resources and Solid Waste Management</w:t>
      </w:r>
      <w:r w:rsidR="00F061FC" w:rsidRPr="00B7618A">
        <w:t xml:space="preserve"> Programs</w:t>
      </w:r>
      <w:r w:rsidRPr="00B7618A">
        <w:t>,</w:t>
      </w:r>
      <w:r w:rsidR="00450E20" w:rsidRPr="00B7618A">
        <w:t>”</w:t>
      </w:r>
      <w:r w:rsidRPr="00B7618A">
        <w:t xml:space="preserve"> formerly SIC 9511.</w:t>
      </w:r>
    </w:p>
    <w:p w14:paraId="432DF6AC" w14:textId="77777777" w:rsidR="00687E7D" w:rsidRPr="00B7618A" w:rsidRDefault="0078227A" w:rsidP="00704F82">
      <w:pPr>
        <w:pStyle w:val="Heading2"/>
      </w:pPr>
      <w:bookmarkStart w:id="17" w:name="_Toc406051422"/>
      <w:r w:rsidRPr="00B7618A">
        <w:t>Information Requested</w:t>
      </w:r>
      <w:bookmarkEnd w:id="17"/>
    </w:p>
    <w:p w14:paraId="11B2A740" w14:textId="3898BA02" w:rsidR="00FF1705" w:rsidRDefault="003558AF" w:rsidP="00FF1705">
      <w:pPr>
        <w:pStyle w:val="BodyText"/>
      </w:pPr>
      <w:r>
        <w:t xml:space="preserve">The </w:t>
      </w:r>
      <w:r w:rsidR="006820FC">
        <w:t>r</w:t>
      </w:r>
      <w:r>
        <w:t xml:space="preserve">ule may result in increased information collection in five </w:t>
      </w:r>
      <w:r w:rsidR="003E0C9A">
        <w:t xml:space="preserve">subject </w:t>
      </w:r>
      <w:r w:rsidR="00FF1705">
        <w:t>areas</w:t>
      </w:r>
      <w:r w:rsidR="009E2A7B">
        <w:t>: (1) rulemaking activities, (2) designated uses, (3) triennial reviews, (4) antidegradation, and (5) WQS variances</w:t>
      </w:r>
      <w:r w:rsidR="00FF1705">
        <w:t>.</w:t>
      </w:r>
    </w:p>
    <w:p w14:paraId="6C6BAE26" w14:textId="77777777" w:rsidR="001A2466" w:rsidRPr="00B7618A" w:rsidRDefault="001A2466" w:rsidP="00704F82">
      <w:pPr>
        <w:pStyle w:val="Heading3"/>
      </w:pPr>
      <w:bookmarkStart w:id="18" w:name="_Toc406051423"/>
      <w:r w:rsidRPr="00B7618A">
        <w:t>Rulemaking Activities</w:t>
      </w:r>
      <w:bookmarkEnd w:id="18"/>
    </w:p>
    <w:p w14:paraId="34FA8C70" w14:textId="697E8D18" w:rsidR="009E2A7B" w:rsidRPr="00B7618A" w:rsidRDefault="009E2A7B" w:rsidP="009E2A7B">
      <w:pPr>
        <w:pStyle w:val="BodyText"/>
      </w:pPr>
      <w:r>
        <w:t xml:space="preserve">The rule may potentially require states and authorized tribes to perform a WQS rulemaking for the purpose of modifying antidegradation policy, revising any adopted requirements governing the issuance of WQS variances, or adopting </w:t>
      </w:r>
      <w:r w:rsidRPr="00F41509">
        <w:t xml:space="preserve">provisions authorizing </w:t>
      </w:r>
      <w:r>
        <w:t xml:space="preserve">the use of permit </w:t>
      </w:r>
      <w:r w:rsidRPr="00F41509">
        <w:t>compliance schedules</w:t>
      </w:r>
      <w:r>
        <w:t>.</w:t>
      </w:r>
      <w:r w:rsidR="00433B9B">
        <w:t xml:space="preserve"> </w:t>
      </w:r>
      <w:r>
        <w:t xml:space="preserve">Such provisions are subject to EPA review and approval and States and authorized tribes must submit such WQS provisions </w:t>
      </w:r>
      <w:r w:rsidRPr="00B7618A">
        <w:t>to EPA</w:t>
      </w:r>
      <w:r>
        <w:t>.</w:t>
      </w:r>
    </w:p>
    <w:p w14:paraId="75ED3CA6" w14:textId="77777777" w:rsidR="00643B34" w:rsidRPr="00B7618A" w:rsidRDefault="00EA3669" w:rsidP="00643B34">
      <w:pPr>
        <w:pStyle w:val="Heading3"/>
      </w:pPr>
      <w:bookmarkStart w:id="19" w:name="_Toc406051424"/>
      <w:bookmarkStart w:id="20" w:name="_Toc406051425"/>
      <w:bookmarkEnd w:id="19"/>
      <w:r w:rsidRPr="00B7618A">
        <w:t>Designated Uses</w:t>
      </w:r>
      <w:bookmarkEnd w:id="20"/>
    </w:p>
    <w:p w14:paraId="2E6E0F25" w14:textId="77777777" w:rsidR="00596A08" w:rsidRPr="00B7618A" w:rsidRDefault="00596A08" w:rsidP="00596A08">
      <w:pPr>
        <w:pStyle w:val="BodyText"/>
      </w:pPr>
      <w:r w:rsidRPr="00B7618A">
        <w:t xml:space="preserve">The </w:t>
      </w:r>
      <w:r>
        <w:t>r</w:t>
      </w:r>
      <w:r w:rsidRPr="00B7618A">
        <w:t xml:space="preserve">ule </w:t>
      </w:r>
      <w:r>
        <w:t>r</w:t>
      </w:r>
      <w:r w:rsidRPr="00B7618A">
        <w:t>evise</w:t>
      </w:r>
      <w:r>
        <w:t>s</w:t>
      </w:r>
      <w:r w:rsidRPr="00B7618A">
        <w:t xml:space="preserve"> the WQS regulation to require state</w:t>
      </w:r>
      <w:r>
        <w:t>s</w:t>
      </w:r>
      <w:r w:rsidRPr="00B7618A">
        <w:t xml:space="preserve"> </w:t>
      </w:r>
      <w:r>
        <w:t xml:space="preserve">and </w:t>
      </w:r>
      <w:r w:rsidRPr="00B7618A">
        <w:t>authorized tribe</w:t>
      </w:r>
      <w:r>
        <w:t xml:space="preserve">s to adopt the </w:t>
      </w:r>
      <w:r w:rsidRPr="00B7618A">
        <w:t>highest attainable use (HAU)</w:t>
      </w:r>
      <w:r>
        <w:t xml:space="preserve"> whenever adopting new or revised WQS based on a required </w:t>
      </w:r>
      <w:r w:rsidRPr="00B7618A">
        <w:t>use attainability analysis (UAA).</w:t>
      </w:r>
      <w:r w:rsidRPr="00460441">
        <w:t xml:space="preserve"> </w:t>
      </w:r>
      <w:r>
        <w:t xml:space="preserve">Additionally, the regulation requires states and authorized tribes to submit a “use and value demonstration” when removing non-101(a)(2) uses, but this requirement may be satisfied with a UAA. </w:t>
      </w:r>
      <w:r w:rsidRPr="00B7618A">
        <w:t xml:space="preserve">Consequently, the </w:t>
      </w:r>
      <w:r>
        <w:t>rule</w:t>
      </w:r>
      <w:r w:rsidRPr="00B7618A">
        <w:t xml:space="preserve"> may require some states and authorized tribes to modify their </w:t>
      </w:r>
      <w:r>
        <w:t xml:space="preserve">designated </w:t>
      </w:r>
      <w:r w:rsidRPr="00B7618A">
        <w:t xml:space="preserve">use revision process to include identification and adoption of the HAU, thus increasing the information submitted to EPA. </w:t>
      </w:r>
    </w:p>
    <w:p w14:paraId="7182DF1B" w14:textId="77777777" w:rsidR="00555881" w:rsidRPr="00B7618A" w:rsidRDefault="00555881" w:rsidP="00555881">
      <w:pPr>
        <w:pStyle w:val="Heading3"/>
      </w:pPr>
      <w:bookmarkStart w:id="21" w:name="_Toc406051426"/>
      <w:bookmarkStart w:id="22" w:name="_Toc406051427"/>
      <w:bookmarkStart w:id="23" w:name="_Toc406051428"/>
      <w:bookmarkEnd w:id="21"/>
      <w:bookmarkEnd w:id="22"/>
      <w:r w:rsidRPr="00B7618A">
        <w:lastRenderedPageBreak/>
        <w:t>Triennial Reviews</w:t>
      </w:r>
      <w:bookmarkEnd w:id="23"/>
    </w:p>
    <w:p w14:paraId="136B65E1" w14:textId="5382E430" w:rsidR="00555881" w:rsidRPr="00B7618A" w:rsidRDefault="004723E4" w:rsidP="005A75FD">
      <w:pPr>
        <w:pStyle w:val="BodyText"/>
      </w:pPr>
      <w:r w:rsidRPr="00B7618A">
        <w:t xml:space="preserve">The </w:t>
      </w:r>
      <w:r w:rsidR="006820FC">
        <w:t>r</w:t>
      </w:r>
      <w:r w:rsidRPr="00B7618A">
        <w:t xml:space="preserve">ule </w:t>
      </w:r>
      <w:r>
        <w:t>r</w:t>
      </w:r>
      <w:r w:rsidRPr="00B7618A">
        <w:t>evise</w:t>
      </w:r>
      <w:r>
        <w:t>s</w:t>
      </w:r>
      <w:r w:rsidRPr="00B7618A">
        <w:t xml:space="preserve"> the WQS regulation </w:t>
      </w:r>
      <w:r w:rsidR="00D56E35" w:rsidRPr="00B7618A">
        <w:t xml:space="preserve">to </w:t>
      </w:r>
      <w:r w:rsidR="00335507" w:rsidRPr="00B7618A">
        <w:t xml:space="preserve">clarify </w:t>
      </w:r>
      <w:r w:rsidR="00D56E35" w:rsidRPr="00B7618A">
        <w:t xml:space="preserve">that states and authorized tribes must review applicable WQS adopted into state or tribal law pursuant to §§131.10 -131.15 and federally promulgated WQS every three years. The rule requires an explanation for why the state or </w:t>
      </w:r>
      <w:r w:rsidR="00335507" w:rsidRPr="00B7618A">
        <w:t xml:space="preserve">authorized </w:t>
      </w:r>
      <w:r w:rsidR="00D56E35" w:rsidRPr="00B7618A">
        <w:t>tribe is not adopting new or revised criteria for parameters for which EPA published new or updated CWA section 304(a) criteria recommendations</w:t>
      </w:r>
      <w:r>
        <w:t>,</w:t>
      </w:r>
      <w:r w:rsidRPr="004723E4">
        <w:t xml:space="preserve"> </w:t>
      </w:r>
      <w:r>
        <w:t xml:space="preserve">thus </w:t>
      </w:r>
      <w:r w:rsidRPr="00B7618A">
        <w:t>increasing the information submitted to EPA</w:t>
      </w:r>
      <w:r w:rsidR="00D56E35" w:rsidRPr="00B7618A">
        <w:t>.</w:t>
      </w:r>
    </w:p>
    <w:p w14:paraId="4515C05D" w14:textId="77777777" w:rsidR="004953D5" w:rsidRPr="00B7618A" w:rsidRDefault="00F7775E" w:rsidP="00704F82">
      <w:pPr>
        <w:pStyle w:val="Heading3"/>
      </w:pPr>
      <w:bookmarkStart w:id="24" w:name="_Toc406051429"/>
      <w:r w:rsidRPr="00B7618A">
        <w:t>Antidegradation</w:t>
      </w:r>
      <w:bookmarkEnd w:id="24"/>
    </w:p>
    <w:p w14:paraId="3B0EBBB2" w14:textId="0E5517BF" w:rsidR="005C3C0E" w:rsidRDefault="004723E4" w:rsidP="005C3C0E">
      <w:pPr>
        <w:pStyle w:val="BodyText"/>
      </w:pPr>
      <w:r w:rsidRPr="00B7618A">
        <w:t xml:space="preserve">The </w:t>
      </w:r>
      <w:r w:rsidR="006820FC">
        <w:t>r</w:t>
      </w:r>
      <w:r w:rsidRPr="00B7618A">
        <w:t xml:space="preserve">ule </w:t>
      </w:r>
      <w:r>
        <w:t>r</w:t>
      </w:r>
      <w:r w:rsidRPr="00B7618A">
        <w:t>evise</w:t>
      </w:r>
      <w:r>
        <w:t>s</w:t>
      </w:r>
      <w:r w:rsidRPr="00B7618A">
        <w:t xml:space="preserve"> the WQS regulation </w:t>
      </w:r>
      <w:r>
        <w:t>to</w:t>
      </w:r>
      <w:r w:rsidR="000C18F9" w:rsidRPr="00B7618A">
        <w:t xml:space="preserve"> require </w:t>
      </w:r>
      <w:r w:rsidR="005C3C0E">
        <w:t xml:space="preserve">that </w:t>
      </w:r>
      <w:r w:rsidR="005C3C0E" w:rsidRPr="0056509D">
        <w:t xml:space="preserve">states and authorized tribes not exclude water bodies from Tier 2 protection solely because water quality does not exceed levels necessary to support all of the uses specified in CWA section 101(a)(2). </w:t>
      </w:r>
      <w:r w:rsidR="005C3C0E">
        <w:t xml:space="preserve">The rule also </w:t>
      </w:r>
      <w:r w:rsidR="005C3C0E" w:rsidRPr="0056509D">
        <w:t xml:space="preserve">provides that </w:t>
      </w:r>
      <w:r w:rsidR="005C3C0E" w:rsidRPr="007157A5">
        <w:rPr>
          <w:bCs/>
        </w:rPr>
        <w:t xml:space="preserve">before allowing a lowering of high water quality, states and authorized tribes must </w:t>
      </w:r>
      <w:r w:rsidR="005C3C0E" w:rsidRPr="00867AA6">
        <w:rPr>
          <w:bCs/>
        </w:rPr>
        <w:t xml:space="preserve">evaluate a range of non-degrading and less degrading practicable alternatives. </w:t>
      </w:r>
      <w:r w:rsidR="005C3C0E">
        <w:rPr>
          <w:bCs/>
        </w:rPr>
        <w:t>Furthermore, t</w:t>
      </w:r>
      <w:r w:rsidR="005C3C0E" w:rsidRPr="0056509D">
        <w:t xml:space="preserve">he </w:t>
      </w:r>
      <w:r w:rsidR="005C3C0E">
        <w:t>rule</w:t>
      </w:r>
      <w:r w:rsidR="005C3C0E" w:rsidRPr="0056509D">
        <w:t xml:space="preserve"> specifies that, where states and authorized tribes identify waters </w:t>
      </w:r>
      <w:r w:rsidR="005C3C0E">
        <w:t xml:space="preserve">to receive Tier 2 protection </w:t>
      </w:r>
      <w:r w:rsidR="005C3C0E" w:rsidRPr="0056509D">
        <w:t xml:space="preserve">on a water body-by-water body basis, states and authorized tribes must involve the public on any decisions pertaining to when </w:t>
      </w:r>
      <w:r w:rsidR="005C3C0E">
        <w:t>they</w:t>
      </w:r>
      <w:r w:rsidR="005C3C0E" w:rsidRPr="0056509D">
        <w:t xml:space="preserve"> will provide Tier 2 protection, and the factors considered in such decisions. </w:t>
      </w:r>
      <w:r w:rsidR="005C3C0E">
        <w:t xml:space="preserve">Finally, the rule </w:t>
      </w:r>
      <w:r w:rsidR="005C3C0E" w:rsidRPr="0056509D">
        <w:t xml:space="preserve">requires states’ and authorized tribes’ antidegradation implementation methods to be consistent with </w:t>
      </w:r>
      <w:r w:rsidR="005C3C0E">
        <w:t>these requirements, and</w:t>
      </w:r>
      <w:r w:rsidR="005C3C0E" w:rsidRPr="0056509D">
        <w:t xml:space="preserve"> provide an opportunity for public involvement during the development and any subsequent revisions of antidegr</w:t>
      </w:r>
      <w:r w:rsidR="005C3C0E">
        <w:t xml:space="preserve">adation implementation methods. </w:t>
      </w:r>
      <w:r w:rsidR="005C3C0E">
        <w:rPr>
          <w:szCs w:val="22"/>
        </w:rPr>
        <w:t xml:space="preserve">These requirements </w:t>
      </w:r>
      <w:r w:rsidR="005C3C0E">
        <w:t xml:space="preserve">could potentially result in incremental </w:t>
      </w:r>
      <w:r w:rsidR="003558AF">
        <w:t>information collection associated with</w:t>
      </w:r>
      <w:r w:rsidR="005C3C0E">
        <w:t xml:space="preserve"> the following activities:</w:t>
      </w:r>
    </w:p>
    <w:p w14:paraId="3F4361B9" w14:textId="77777777" w:rsidR="005C3C0E" w:rsidRDefault="005C3C0E" w:rsidP="00381864">
      <w:pPr>
        <w:pStyle w:val="bulletlist"/>
        <w:numPr>
          <w:ilvl w:val="0"/>
          <w:numId w:val="9"/>
        </w:numPr>
      </w:pPr>
      <w:r>
        <w:t>Performing/evaluating more Tier 2 antidegradation reviews because more water bodies may be receiving Tier 2 protection.</w:t>
      </w:r>
    </w:p>
    <w:p w14:paraId="1708C9AE" w14:textId="77777777" w:rsidR="005C3C0E" w:rsidRDefault="005C3C0E" w:rsidP="00381864">
      <w:pPr>
        <w:pStyle w:val="bulletlist"/>
        <w:numPr>
          <w:ilvl w:val="0"/>
          <w:numId w:val="9"/>
        </w:numPr>
      </w:pPr>
      <w:r>
        <w:t xml:space="preserve">Performing/evaluating more extensive Tier 2 antidegradation reviews because they now must evaluate </w:t>
      </w:r>
      <w:r w:rsidRPr="0067406F">
        <w:t xml:space="preserve">a range of </w:t>
      </w:r>
      <w:r w:rsidRPr="00867AA6">
        <w:rPr>
          <w:bCs/>
        </w:rPr>
        <w:t>non-degrading and less degrading practicable alternatives</w:t>
      </w:r>
      <w:r>
        <w:t>.</w:t>
      </w:r>
    </w:p>
    <w:p w14:paraId="472DD906" w14:textId="77777777" w:rsidR="005C3C0E" w:rsidRDefault="005C3C0E" w:rsidP="00381864">
      <w:pPr>
        <w:pStyle w:val="bulletlist"/>
        <w:numPr>
          <w:ilvl w:val="0"/>
          <w:numId w:val="9"/>
        </w:numPr>
      </w:pPr>
      <w:r>
        <w:t>Involving the public when a state or authorized tribe uses the water body-by-water body approach to identify waters receiving</w:t>
      </w:r>
      <w:r w:rsidRPr="004D7116">
        <w:t xml:space="preserve"> </w:t>
      </w:r>
      <w:r>
        <w:t xml:space="preserve">Tier 2 </w:t>
      </w:r>
      <w:r w:rsidRPr="004D7116">
        <w:t>antidegradation protection</w:t>
      </w:r>
      <w:r>
        <w:t>.</w:t>
      </w:r>
    </w:p>
    <w:p w14:paraId="14B879EE" w14:textId="44EB9997" w:rsidR="00F7775E" w:rsidRPr="005A75FD" w:rsidRDefault="005C3C0E" w:rsidP="00381864">
      <w:pPr>
        <w:pStyle w:val="bulletlist"/>
        <w:numPr>
          <w:ilvl w:val="0"/>
          <w:numId w:val="9"/>
        </w:numPr>
      </w:pPr>
      <w:r>
        <w:t>Involving the public when developing or revising antidegradation implementation methods.</w:t>
      </w:r>
    </w:p>
    <w:p w14:paraId="042A661F" w14:textId="7E33E297" w:rsidR="00EA3669" w:rsidRPr="00B7618A" w:rsidRDefault="00335507" w:rsidP="00704F82">
      <w:pPr>
        <w:pStyle w:val="Heading3"/>
      </w:pPr>
      <w:bookmarkStart w:id="25" w:name="_Toc406051430"/>
      <w:r w:rsidRPr="00B7618A">
        <w:t xml:space="preserve">WQS </w:t>
      </w:r>
      <w:r w:rsidR="00EA3669" w:rsidRPr="00B7618A">
        <w:t>Variances</w:t>
      </w:r>
      <w:bookmarkEnd w:id="25"/>
    </w:p>
    <w:p w14:paraId="4A732D8D" w14:textId="787821E7" w:rsidR="005C3C0E" w:rsidRPr="001730E7" w:rsidRDefault="004723E4" w:rsidP="005C3C0E">
      <w:pPr>
        <w:pStyle w:val="BodyText"/>
      </w:pPr>
      <w:r w:rsidRPr="00B7618A">
        <w:t xml:space="preserve">The </w:t>
      </w:r>
      <w:r w:rsidR="006820FC">
        <w:t>r</w:t>
      </w:r>
      <w:r w:rsidRPr="00B7618A">
        <w:t xml:space="preserve">ule </w:t>
      </w:r>
      <w:r>
        <w:t>r</w:t>
      </w:r>
      <w:r w:rsidRPr="00B7618A">
        <w:t>evise</w:t>
      </w:r>
      <w:r>
        <w:t>s</w:t>
      </w:r>
      <w:r w:rsidRPr="00B7618A">
        <w:t xml:space="preserve"> the WQS regulation </w:t>
      </w:r>
      <w:r w:rsidR="00BB6EEA" w:rsidRPr="00B7618A">
        <w:t xml:space="preserve">to provide more specificity and clearer </w:t>
      </w:r>
      <w:r w:rsidR="00AE2D00" w:rsidRPr="00B7618A">
        <w:t xml:space="preserve">submission </w:t>
      </w:r>
      <w:r w:rsidR="00BB6EEA" w:rsidRPr="00B7618A">
        <w:t xml:space="preserve">requirements on the development and use of </w:t>
      </w:r>
      <w:r w:rsidR="00335507" w:rsidRPr="00B7618A">
        <w:t xml:space="preserve">WQS </w:t>
      </w:r>
      <w:r w:rsidR="00BB6EEA" w:rsidRPr="00B7618A">
        <w:t>variances.</w:t>
      </w:r>
      <w:r w:rsidR="0068763C" w:rsidRPr="00B7618A">
        <w:t xml:space="preserve"> </w:t>
      </w:r>
      <w:r w:rsidR="00BB6EEA" w:rsidRPr="00B7618A">
        <w:t xml:space="preserve">Most of the revisions specify or clarify when and how </w:t>
      </w:r>
      <w:r w:rsidR="00335507" w:rsidRPr="00B7618A">
        <w:t xml:space="preserve">WQS </w:t>
      </w:r>
      <w:r w:rsidR="00BB6EEA" w:rsidRPr="00B7618A">
        <w:t xml:space="preserve">variances should be used, and thus are unlikely to result in significant incremental administrative burden and </w:t>
      </w:r>
      <w:r w:rsidR="00747C5B">
        <w:t>cost</w:t>
      </w:r>
      <w:r w:rsidR="00BB6EEA" w:rsidRPr="00B7618A">
        <w:t xml:space="preserve"> to states</w:t>
      </w:r>
      <w:r w:rsidR="00596A08">
        <w:t xml:space="preserve"> and authorized tribes</w:t>
      </w:r>
      <w:r w:rsidR="00BB6EEA" w:rsidRPr="00B7618A">
        <w:t xml:space="preserve">. </w:t>
      </w:r>
      <w:r w:rsidR="005C3C0E">
        <w:t>However, two re</w:t>
      </w:r>
      <w:r w:rsidR="00063CD5">
        <w:t>visions</w:t>
      </w:r>
      <w:r w:rsidR="005C3C0E">
        <w:t xml:space="preserve"> </w:t>
      </w:r>
      <w:r w:rsidR="00063CD5">
        <w:t>c</w:t>
      </w:r>
      <w:r w:rsidR="005C3C0E">
        <w:t>ould potentially result in incre</w:t>
      </w:r>
      <w:r w:rsidR="003558AF">
        <w:t>ased information collection</w:t>
      </w:r>
      <w:r w:rsidR="005C3C0E">
        <w:t>:</w:t>
      </w:r>
    </w:p>
    <w:p w14:paraId="3FA755C9" w14:textId="5DDCFF57" w:rsidR="005C3C0E" w:rsidRDefault="00063CD5" w:rsidP="00381864">
      <w:pPr>
        <w:pStyle w:val="bulletlist"/>
        <w:numPr>
          <w:ilvl w:val="0"/>
          <w:numId w:val="10"/>
        </w:numPr>
      </w:pPr>
      <w:r>
        <w:lastRenderedPageBreak/>
        <w:t>S</w:t>
      </w:r>
      <w:r w:rsidR="005C3C0E">
        <w:t>pecifi</w:t>
      </w:r>
      <w:r>
        <w:t>c</w:t>
      </w:r>
      <w:r w:rsidR="00700C47">
        <w:t>ation of the</w:t>
      </w:r>
      <w:r w:rsidR="005C3C0E">
        <w:t xml:space="preserve"> documentation </w:t>
      </w:r>
      <w:r w:rsidR="00700C47">
        <w:t xml:space="preserve">that </w:t>
      </w:r>
      <w:r w:rsidR="005C3C0E">
        <w:t>state</w:t>
      </w:r>
      <w:r>
        <w:t>s and</w:t>
      </w:r>
      <w:r w:rsidR="005C3C0E">
        <w:t xml:space="preserve"> authorized tribe</w:t>
      </w:r>
      <w:r>
        <w:t>s</w:t>
      </w:r>
      <w:r w:rsidR="005C3C0E">
        <w:t xml:space="preserve"> must submit to EPA when requesting EPA review and approval of a WQS variance</w:t>
      </w:r>
      <w:r>
        <w:t>.</w:t>
      </w:r>
    </w:p>
    <w:p w14:paraId="28B06ADB" w14:textId="329B0BDC" w:rsidR="00700C47" w:rsidRDefault="00063CD5" w:rsidP="00381864">
      <w:pPr>
        <w:pStyle w:val="bulletlist"/>
        <w:numPr>
          <w:ilvl w:val="0"/>
          <w:numId w:val="10"/>
        </w:numPr>
      </w:pPr>
      <w:r>
        <w:t>Requirement that</w:t>
      </w:r>
      <w:r w:rsidR="005C3C0E">
        <w:t xml:space="preserve"> state</w:t>
      </w:r>
      <w:r>
        <w:t>s</w:t>
      </w:r>
      <w:r w:rsidR="005C3C0E">
        <w:t xml:space="preserve"> </w:t>
      </w:r>
      <w:r>
        <w:t>and</w:t>
      </w:r>
      <w:r w:rsidR="005C3C0E">
        <w:t xml:space="preserve"> authorized tribe</w:t>
      </w:r>
      <w:r>
        <w:t>s</w:t>
      </w:r>
      <w:r w:rsidR="005C3C0E">
        <w:t xml:space="preserve"> reevaluate WQS variances with a term longer than </w:t>
      </w:r>
      <w:r w:rsidR="0092508A">
        <w:t xml:space="preserve">five </w:t>
      </w:r>
      <w:r w:rsidR="005C3C0E">
        <w:t>years no less frequently than every five years</w:t>
      </w:r>
      <w:r w:rsidR="00E53107">
        <w:t xml:space="preserve"> and to submit the results of those reevaluations to EPA</w:t>
      </w:r>
      <w:r w:rsidR="005C3C0E">
        <w:t xml:space="preserve">. </w:t>
      </w:r>
    </w:p>
    <w:p w14:paraId="31C4BF53" w14:textId="33018F23" w:rsidR="00EA3669" w:rsidRPr="00B7618A" w:rsidRDefault="00700C47" w:rsidP="00700C47">
      <w:pPr>
        <w:pStyle w:val="BodyText"/>
      </w:pPr>
      <w:r>
        <w:t xml:space="preserve">States and authorized tribes that do not currently meet these requirements </w:t>
      </w:r>
      <w:r w:rsidR="005C3C0E">
        <w:t>may need to begin doing so</w:t>
      </w:r>
      <w:r>
        <w:t>, thus increasing the information submitted to EPA</w:t>
      </w:r>
      <w:r w:rsidR="005C3C0E">
        <w:t>.</w:t>
      </w:r>
    </w:p>
    <w:p w14:paraId="0517F31A" w14:textId="77777777" w:rsidR="009E1D15" w:rsidRPr="00B7618A" w:rsidRDefault="0078227A" w:rsidP="00704F82">
      <w:pPr>
        <w:pStyle w:val="Heading2"/>
      </w:pPr>
      <w:bookmarkStart w:id="26" w:name="_Toc406051431"/>
      <w:r w:rsidRPr="00B7618A">
        <w:t>Respondent Activities</w:t>
      </w:r>
      <w:bookmarkEnd w:id="26"/>
    </w:p>
    <w:p w14:paraId="62C84939" w14:textId="054A3613" w:rsidR="009E1D15" w:rsidRPr="00B7618A" w:rsidRDefault="005A75FD" w:rsidP="005A75FD">
      <w:pPr>
        <w:pStyle w:val="BodyText"/>
      </w:pPr>
      <w:r>
        <w:t>E</w:t>
      </w:r>
      <w:r w:rsidR="00E01A0B" w:rsidRPr="00B7618A">
        <w:t>PA</w:t>
      </w:r>
      <w:r w:rsidR="001F426D" w:rsidRPr="00B7618A">
        <w:t xml:space="preserve"> </w:t>
      </w:r>
      <w:r w:rsidR="009E1D15" w:rsidRPr="00B7618A">
        <w:t xml:space="preserve">identified the following activities </w:t>
      </w:r>
      <w:r w:rsidR="00EC7F29">
        <w:t xml:space="preserve">states and authorized tribes may </w:t>
      </w:r>
      <w:r w:rsidR="009E1D15" w:rsidRPr="00B7618A">
        <w:t xml:space="preserve">to </w:t>
      </w:r>
      <w:r w:rsidR="00EC7F29">
        <w:t>need to undertake as a result of the rule</w:t>
      </w:r>
      <w:r w:rsidR="00635D0E">
        <w:t>:</w:t>
      </w:r>
    </w:p>
    <w:p w14:paraId="04F9509D" w14:textId="7A2A1737" w:rsidR="005210A4" w:rsidRPr="005A75FD" w:rsidRDefault="009E1D15" w:rsidP="00381864">
      <w:pPr>
        <w:pStyle w:val="bulletlist"/>
        <w:numPr>
          <w:ilvl w:val="0"/>
          <w:numId w:val="11"/>
        </w:numPr>
      </w:pPr>
      <w:r w:rsidRPr="00D51771">
        <w:t>Review</w:t>
      </w:r>
      <w:r w:rsidR="00970F30">
        <w:t>ing</w:t>
      </w:r>
      <w:r w:rsidRPr="00D51771">
        <w:t xml:space="preserve"> instructions, guidance</w:t>
      </w:r>
      <w:r w:rsidR="00D51771">
        <w:t>,</w:t>
      </w:r>
      <w:r w:rsidRPr="00D51771">
        <w:t xml:space="preserve"> and regulations</w:t>
      </w:r>
      <w:r w:rsidR="00D51771">
        <w:t xml:space="preserve"> </w:t>
      </w:r>
      <w:r w:rsidRPr="005A75FD">
        <w:t xml:space="preserve">necessary for </w:t>
      </w:r>
      <w:r w:rsidR="004A7961">
        <w:t>a</w:t>
      </w:r>
      <w:r w:rsidR="004A7961" w:rsidRPr="005A75FD">
        <w:t xml:space="preserve"> </w:t>
      </w:r>
      <w:r w:rsidR="00335507" w:rsidRPr="005A75FD">
        <w:t>s</w:t>
      </w:r>
      <w:r w:rsidRPr="005A75FD">
        <w:t>tate</w:t>
      </w:r>
      <w:r w:rsidR="00335507" w:rsidRPr="005A75FD">
        <w:t xml:space="preserve"> or authorized t</w:t>
      </w:r>
      <w:r w:rsidRPr="005A75FD">
        <w:t xml:space="preserve">ribe to revise its </w:t>
      </w:r>
      <w:r w:rsidR="004A7961">
        <w:t>WQS</w:t>
      </w:r>
      <w:r w:rsidRPr="005A75FD">
        <w:t>.</w:t>
      </w:r>
      <w:r w:rsidR="0068763C" w:rsidRPr="005A75FD">
        <w:t xml:space="preserve"> </w:t>
      </w:r>
    </w:p>
    <w:p w14:paraId="10774E84" w14:textId="4187A07E" w:rsidR="00FB69FE" w:rsidRDefault="009E1D15" w:rsidP="00381864">
      <w:pPr>
        <w:pStyle w:val="bulletlist"/>
        <w:numPr>
          <w:ilvl w:val="0"/>
          <w:numId w:val="11"/>
        </w:numPr>
      </w:pPr>
      <w:r w:rsidRPr="00D51771">
        <w:t>Identify</w:t>
      </w:r>
      <w:r w:rsidR="00970F30">
        <w:t>ing</w:t>
      </w:r>
      <w:r w:rsidRPr="00D51771">
        <w:t xml:space="preserve"> issues and plan</w:t>
      </w:r>
      <w:r w:rsidR="0092508A">
        <w:t>ning</w:t>
      </w:r>
      <w:r w:rsidRPr="00D51771">
        <w:t xml:space="preserve"> activities</w:t>
      </w:r>
      <w:r w:rsidR="00D51771">
        <w:t xml:space="preserve">, </w:t>
      </w:r>
      <w:r w:rsidR="00D44608">
        <w:t xml:space="preserve">including </w:t>
      </w:r>
      <w:r w:rsidRPr="005A75FD">
        <w:t xml:space="preserve">identifying </w:t>
      </w:r>
      <w:r w:rsidR="004A7961">
        <w:t>WQS</w:t>
      </w:r>
      <w:r w:rsidR="004A7961" w:rsidRPr="005A75FD">
        <w:t xml:space="preserve"> </w:t>
      </w:r>
      <w:r w:rsidRPr="005A75FD">
        <w:t xml:space="preserve">issues </w:t>
      </w:r>
      <w:r w:rsidR="004A7961">
        <w:t>that need to</w:t>
      </w:r>
      <w:r w:rsidR="004A7961" w:rsidRPr="005A75FD">
        <w:t xml:space="preserve"> </w:t>
      </w:r>
      <w:r w:rsidRPr="005A75FD">
        <w:t xml:space="preserve">be addressed, </w:t>
      </w:r>
      <w:r w:rsidR="00D44608">
        <w:t>prioritizing</w:t>
      </w:r>
      <w:r w:rsidRPr="005A75FD">
        <w:t xml:space="preserve"> based on EPA and </w:t>
      </w:r>
      <w:r w:rsidR="00335507" w:rsidRPr="005A75FD">
        <w:t>s</w:t>
      </w:r>
      <w:r w:rsidRPr="005A75FD">
        <w:t xml:space="preserve">tate or </w:t>
      </w:r>
      <w:r w:rsidR="00335507" w:rsidRPr="005A75FD">
        <w:t>authorized t</w:t>
      </w:r>
      <w:r w:rsidRPr="005A75FD">
        <w:t>ribal priorities and policies, gathering and analyzing existing water quality data and waterbody use information as needed</w:t>
      </w:r>
      <w:r w:rsidR="00D44608">
        <w:t>, and planning</w:t>
      </w:r>
      <w:r w:rsidRPr="005A75FD">
        <w:t xml:space="preserve"> activities </w:t>
      </w:r>
      <w:r w:rsidR="00D44608">
        <w:t xml:space="preserve">such as </w:t>
      </w:r>
      <w:r w:rsidRPr="005A75FD">
        <w:t>developing site-</w:t>
      </w:r>
      <w:r w:rsidR="00D44608">
        <w:t>specific criteria modifications</w:t>
      </w:r>
      <w:r w:rsidRPr="005A75FD">
        <w:t xml:space="preserve"> and </w:t>
      </w:r>
      <w:r w:rsidR="00F616B8" w:rsidRPr="005A75FD">
        <w:t>UAAs</w:t>
      </w:r>
      <w:r w:rsidRPr="005A75FD">
        <w:t>.</w:t>
      </w:r>
    </w:p>
    <w:p w14:paraId="02307360" w14:textId="74AA477C" w:rsidR="003C02FF" w:rsidRPr="003C02FF" w:rsidRDefault="003C02FF" w:rsidP="00381864">
      <w:pPr>
        <w:pStyle w:val="bulletlist"/>
        <w:numPr>
          <w:ilvl w:val="0"/>
          <w:numId w:val="11"/>
        </w:numPr>
      </w:pPr>
      <w:r w:rsidRPr="00D44608">
        <w:t>Initiat</w:t>
      </w:r>
      <w:r w:rsidR="00970F30">
        <w:t>ing</w:t>
      </w:r>
      <w:r w:rsidRPr="00D44608">
        <w:t xml:space="preserve"> rulemaking activities</w:t>
      </w:r>
      <w:r w:rsidR="00D44608">
        <w:t xml:space="preserve">, including </w:t>
      </w:r>
      <w:r w:rsidRPr="003C02FF">
        <w:t>new efforts or increase</w:t>
      </w:r>
      <w:r w:rsidR="00D44608">
        <w:t>d</w:t>
      </w:r>
      <w:r w:rsidRPr="003C02FF">
        <w:t xml:space="preserve"> scope of other planned regulatory changes.</w:t>
      </w:r>
    </w:p>
    <w:p w14:paraId="7F031D47" w14:textId="556E028E" w:rsidR="009E1D15" w:rsidRDefault="001A045C" w:rsidP="00381864">
      <w:pPr>
        <w:pStyle w:val="bulletlist"/>
        <w:numPr>
          <w:ilvl w:val="0"/>
          <w:numId w:val="11"/>
        </w:numPr>
      </w:pPr>
      <w:r w:rsidRPr="00D44608">
        <w:t>Conduct</w:t>
      </w:r>
      <w:r w:rsidR="00970F30">
        <w:t>ing</w:t>
      </w:r>
      <w:r w:rsidRPr="00D44608">
        <w:t xml:space="preserve"> </w:t>
      </w:r>
      <w:r w:rsidR="00F616B8" w:rsidRPr="00D44608">
        <w:t>UAA</w:t>
      </w:r>
      <w:r w:rsidR="009E1D15" w:rsidRPr="00D44608">
        <w:t xml:space="preserve">s </w:t>
      </w:r>
      <w:r w:rsidR="005D3E40">
        <w:t xml:space="preserve">or developing “use and value demonstrations” </w:t>
      </w:r>
      <w:r w:rsidR="009E1D15" w:rsidRPr="00D44608">
        <w:t xml:space="preserve">to support possible </w:t>
      </w:r>
      <w:r w:rsidR="004A7961">
        <w:t>revisions</w:t>
      </w:r>
      <w:r w:rsidR="004A7961" w:rsidRPr="00D44608">
        <w:t xml:space="preserve"> </w:t>
      </w:r>
      <w:r w:rsidR="004A7961">
        <w:t>to</w:t>
      </w:r>
      <w:r w:rsidR="004A7961" w:rsidRPr="00D44608">
        <w:t xml:space="preserve"> </w:t>
      </w:r>
      <w:r w:rsidR="004A7961">
        <w:t xml:space="preserve">designated </w:t>
      </w:r>
      <w:r w:rsidR="009E1D15" w:rsidRPr="00D44608">
        <w:t>use</w:t>
      </w:r>
      <w:r w:rsidR="004A7961">
        <w:t>s</w:t>
      </w:r>
      <w:r w:rsidR="00D44608">
        <w:t>.</w:t>
      </w:r>
    </w:p>
    <w:p w14:paraId="3E2E65CD" w14:textId="338C346A" w:rsidR="003C02FF" w:rsidRPr="003C02FF" w:rsidRDefault="003C02FF" w:rsidP="00381864">
      <w:pPr>
        <w:pStyle w:val="bulletlist"/>
        <w:numPr>
          <w:ilvl w:val="0"/>
          <w:numId w:val="11"/>
        </w:numPr>
      </w:pPr>
      <w:r w:rsidRPr="00D44608">
        <w:t>Provid</w:t>
      </w:r>
      <w:r w:rsidR="00970F30">
        <w:t>ing</w:t>
      </w:r>
      <w:r w:rsidRPr="00D44608">
        <w:t xml:space="preserve"> </w:t>
      </w:r>
      <w:r w:rsidRPr="003C02FF">
        <w:t xml:space="preserve">explanation for why the state or authorized tribe chooses not to adopt new or revised criteria for any parameters for which EPA has published new or updated CWA </w:t>
      </w:r>
      <w:r w:rsidR="00147A1E">
        <w:t>s</w:t>
      </w:r>
      <w:r w:rsidR="00C449A7" w:rsidRPr="003C02FF">
        <w:t xml:space="preserve">ection </w:t>
      </w:r>
      <w:r w:rsidRPr="003C02FF">
        <w:t xml:space="preserve">304(a) criteria recommendations. </w:t>
      </w:r>
    </w:p>
    <w:p w14:paraId="7B15C3CA" w14:textId="4ED49727" w:rsidR="003C02FF" w:rsidRPr="003C02FF" w:rsidRDefault="00D44608" w:rsidP="00381864">
      <w:pPr>
        <w:pStyle w:val="bulletlist"/>
        <w:numPr>
          <w:ilvl w:val="0"/>
          <w:numId w:val="11"/>
        </w:numPr>
      </w:pPr>
      <w:r>
        <w:t>Conduct</w:t>
      </w:r>
      <w:r w:rsidR="00970F30">
        <w:t>ing</w:t>
      </w:r>
      <w:r>
        <w:t xml:space="preserve"> a</w:t>
      </w:r>
      <w:r w:rsidR="003C02FF" w:rsidRPr="00D44608">
        <w:t>dditional Tier 2 antidegradation reviews</w:t>
      </w:r>
      <w:r w:rsidR="003C02FF" w:rsidRPr="003C02FF">
        <w:t>.</w:t>
      </w:r>
    </w:p>
    <w:p w14:paraId="3FD53959" w14:textId="4CB79E77" w:rsidR="003C02FF" w:rsidRPr="003C02FF" w:rsidRDefault="003C02FF" w:rsidP="00381864">
      <w:pPr>
        <w:pStyle w:val="bulletlist"/>
        <w:numPr>
          <w:ilvl w:val="0"/>
          <w:numId w:val="11"/>
        </w:numPr>
        <w:rPr>
          <w:i/>
        </w:rPr>
      </w:pPr>
      <w:r w:rsidRPr="00D44608">
        <w:t>Perform</w:t>
      </w:r>
      <w:r w:rsidR="00970F30">
        <w:t>ing</w:t>
      </w:r>
      <w:r w:rsidRPr="00D44608">
        <w:t xml:space="preserve"> alternatives analyses</w:t>
      </w:r>
      <w:r w:rsidR="00635D0E">
        <w:t xml:space="preserve"> as part of </w:t>
      </w:r>
      <w:r>
        <w:t>Tier 2 antidegradation review</w:t>
      </w:r>
      <w:r w:rsidR="00635D0E">
        <w:t>s</w:t>
      </w:r>
      <w:r>
        <w:t>.</w:t>
      </w:r>
    </w:p>
    <w:p w14:paraId="68BD2807" w14:textId="31A11DF8" w:rsidR="003C02FF" w:rsidRPr="003C02FF" w:rsidRDefault="003C02FF" w:rsidP="00381864">
      <w:pPr>
        <w:pStyle w:val="bulletlist"/>
        <w:numPr>
          <w:ilvl w:val="0"/>
          <w:numId w:val="11"/>
        </w:numPr>
      </w:pPr>
      <w:r w:rsidRPr="00D44608">
        <w:t>Provid</w:t>
      </w:r>
      <w:r w:rsidR="00970F30">
        <w:t>ing</w:t>
      </w:r>
      <w:r w:rsidRPr="00D44608">
        <w:t xml:space="preserve"> an opportunity for public involvement when deciding which waters will receive Tier 2 antidegradation protection</w:t>
      </w:r>
      <w:r w:rsidR="00635D0E">
        <w:t xml:space="preserve">, </w:t>
      </w:r>
      <w:r>
        <w:t>includ</w:t>
      </w:r>
      <w:r w:rsidR="00635D0E">
        <w:t>ing</w:t>
      </w:r>
      <w:r w:rsidRPr="003C02FF">
        <w:t xml:space="preserve"> solicit</w:t>
      </w:r>
      <w:r>
        <w:t>ing</w:t>
      </w:r>
      <w:r w:rsidRPr="003C02FF">
        <w:t xml:space="preserve"> comments, document</w:t>
      </w:r>
      <w:r>
        <w:t>ing</w:t>
      </w:r>
      <w:r w:rsidRPr="003C02FF">
        <w:t xml:space="preserve"> comments, and review</w:t>
      </w:r>
      <w:r>
        <w:t>ing, deliberating</w:t>
      </w:r>
      <w:r w:rsidRPr="003C02FF">
        <w:t>, and respond</w:t>
      </w:r>
      <w:r>
        <w:t>ing to comments.</w:t>
      </w:r>
    </w:p>
    <w:p w14:paraId="17A8C4EB" w14:textId="6F5E6999" w:rsidR="003C02FF" w:rsidRPr="003C02FF" w:rsidRDefault="003C02FF" w:rsidP="00381864">
      <w:pPr>
        <w:pStyle w:val="bulletlist"/>
        <w:numPr>
          <w:ilvl w:val="0"/>
          <w:numId w:val="11"/>
        </w:numPr>
      </w:pPr>
      <w:r w:rsidRPr="00D44608">
        <w:lastRenderedPageBreak/>
        <w:t>Provid</w:t>
      </w:r>
      <w:r w:rsidR="00970F30">
        <w:t>ing</w:t>
      </w:r>
      <w:r w:rsidR="0092508A">
        <w:t xml:space="preserve"> opportunities for</w:t>
      </w:r>
      <w:r w:rsidRPr="00D44608">
        <w:t xml:space="preserve"> public involvement when developing and revising antidegradation implementation methods</w:t>
      </w:r>
      <w:r w:rsidR="00635D0E">
        <w:t xml:space="preserve">, </w:t>
      </w:r>
      <w:r w:rsidR="004A7961">
        <w:t xml:space="preserve">which may </w:t>
      </w:r>
      <w:r w:rsidRPr="003C02FF">
        <w:t>includ</w:t>
      </w:r>
      <w:r w:rsidR="004A7961">
        <w:t>e</w:t>
      </w:r>
      <w:r w:rsidRPr="003C02FF">
        <w:t xml:space="preserve"> public hearing</w:t>
      </w:r>
      <w:r w:rsidR="004A7961">
        <w:t>s</w:t>
      </w:r>
      <w:r w:rsidRPr="003C02FF">
        <w:t>, public meeting</w:t>
      </w:r>
      <w:r w:rsidR="004A7961">
        <w:t>s</w:t>
      </w:r>
      <w:r w:rsidRPr="003C02FF">
        <w:t>, public workshop</w:t>
      </w:r>
      <w:r w:rsidR="004A7961">
        <w:t>s</w:t>
      </w:r>
      <w:r w:rsidRPr="003C02FF">
        <w:t xml:space="preserve">, and </w:t>
      </w:r>
      <w:r w:rsidR="004A7961">
        <w:t>internet-based methods of public engagement</w:t>
      </w:r>
      <w:r w:rsidRPr="003C02FF">
        <w:t xml:space="preserve"> such as webinars and website postings.</w:t>
      </w:r>
    </w:p>
    <w:p w14:paraId="79163031" w14:textId="71EBC879" w:rsidR="003C02FF" w:rsidRPr="003C02FF" w:rsidRDefault="003C02FF" w:rsidP="00381864">
      <w:pPr>
        <w:pStyle w:val="bulletlist"/>
        <w:numPr>
          <w:ilvl w:val="0"/>
          <w:numId w:val="11"/>
        </w:numPr>
      </w:pPr>
      <w:r w:rsidRPr="00D44608">
        <w:t>Submit</w:t>
      </w:r>
      <w:r w:rsidR="00970F30">
        <w:t>ting</w:t>
      </w:r>
      <w:r w:rsidRPr="00D44608">
        <w:t xml:space="preserve"> documentation for WQS variance</w:t>
      </w:r>
      <w:r w:rsidR="004A7961">
        <w:t>s</w:t>
      </w:r>
      <w:r w:rsidRPr="003C02FF">
        <w:t xml:space="preserve"> </w:t>
      </w:r>
      <w:r w:rsidR="00635D0E">
        <w:t xml:space="preserve">including </w:t>
      </w:r>
      <w:r w:rsidRPr="003C02FF">
        <w:t>demonstrating the need for a WQS variance</w:t>
      </w:r>
      <w:r w:rsidR="00635D0E">
        <w:t xml:space="preserve">, </w:t>
      </w:r>
      <w:r w:rsidRPr="003C02FF">
        <w:t>descri</w:t>
      </w:r>
      <w:r w:rsidR="00635D0E">
        <w:t>bing</w:t>
      </w:r>
      <w:r w:rsidRPr="003C02FF">
        <w:t xml:space="preserve"> the</w:t>
      </w:r>
      <w:r w:rsidR="00240814">
        <w:t xml:space="preserve"> expected</w:t>
      </w:r>
      <w:r w:rsidRPr="003C02FF">
        <w:t xml:space="preserve"> pollutant control activities that j</w:t>
      </w:r>
      <w:r w:rsidR="00635D0E">
        <w:t>ustif</w:t>
      </w:r>
      <w:r w:rsidR="0092508A">
        <w:t>y</w:t>
      </w:r>
      <w:r w:rsidR="00635D0E">
        <w:t xml:space="preserve"> the WQS variance term, </w:t>
      </w:r>
      <w:r w:rsidRPr="003C02FF">
        <w:t xml:space="preserve">identifying any cost-effective and reasonable best management practices for nonpoint source </w:t>
      </w:r>
      <w:r w:rsidR="00635D0E">
        <w:t>control</w:t>
      </w:r>
      <w:r w:rsidR="004A7961">
        <w:t>s</w:t>
      </w:r>
      <w:r w:rsidR="00635D0E">
        <w:t xml:space="preserve">, and the </w:t>
      </w:r>
      <w:r w:rsidRPr="003C02FF">
        <w:t xml:space="preserve">extent </w:t>
      </w:r>
      <w:r w:rsidR="00635D0E">
        <w:t xml:space="preserve">to which such practices were implemented </w:t>
      </w:r>
      <w:r w:rsidRPr="003C02FF">
        <w:t>and the water quality progress achieved during the WQS variance term.</w:t>
      </w:r>
    </w:p>
    <w:p w14:paraId="38834B8B" w14:textId="6AFC9356" w:rsidR="003C02FF" w:rsidRPr="00A00CD0" w:rsidRDefault="00E3592F" w:rsidP="00381864">
      <w:pPr>
        <w:pStyle w:val="bulletlist"/>
        <w:numPr>
          <w:ilvl w:val="0"/>
          <w:numId w:val="11"/>
        </w:numPr>
      </w:pPr>
      <w:r w:rsidRPr="00D44608">
        <w:t>Reevaluat</w:t>
      </w:r>
      <w:r w:rsidR="00970F30">
        <w:t>ing</w:t>
      </w:r>
      <w:r w:rsidRPr="00D44608">
        <w:t xml:space="preserve"> WQS variances</w:t>
      </w:r>
      <w:r w:rsidR="00635D0E">
        <w:t>,</w:t>
      </w:r>
      <w:r w:rsidRPr="00E3592F">
        <w:t xml:space="preserve"> </w:t>
      </w:r>
      <w:r w:rsidR="00CB3C86">
        <w:t>i</w:t>
      </w:r>
      <w:r w:rsidR="00AB02E2">
        <w:t>nclud</w:t>
      </w:r>
      <w:r w:rsidR="00635D0E">
        <w:t xml:space="preserve">ing </w:t>
      </w:r>
      <w:r w:rsidRPr="00E3592F">
        <w:t>search</w:t>
      </w:r>
      <w:r w:rsidR="00635D0E">
        <w:t>ing</w:t>
      </w:r>
      <w:r w:rsidRPr="00E3592F">
        <w:t xml:space="preserve"> for new or updated data and information during each WQS variance reevaluation as well as public participation.</w:t>
      </w:r>
    </w:p>
    <w:p w14:paraId="2F6639B4" w14:textId="454B48C3" w:rsidR="00AD6354" w:rsidRDefault="009E1D15" w:rsidP="00381864">
      <w:pPr>
        <w:pStyle w:val="bulletlist"/>
        <w:numPr>
          <w:ilvl w:val="0"/>
          <w:numId w:val="11"/>
        </w:numPr>
      </w:pPr>
      <w:r w:rsidRPr="00D44608">
        <w:t>Prepar</w:t>
      </w:r>
      <w:r w:rsidR="00970F30">
        <w:t>ing</w:t>
      </w:r>
      <w:r w:rsidRPr="00D44608">
        <w:t xml:space="preserve"> revised </w:t>
      </w:r>
      <w:r w:rsidR="00E03559" w:rsidRPr="00D44608">
        <w:t>WQS</w:t>
      </w:r>
      <w:r w:rsidRPr="00D44608">
        <w:t xml:space="preserve"> package for submission</w:t>
      </w:r>
      <w:r w:rsidR="00635D0E">
        <w:t>, including</w:t>
      </w:r>
      <w:r w:rsidRPr="005A75FD">
        <w:t xml:space="preserve"> determining changes</w:t>
      </w:r>
      <w:r w:rsidR="00A00CD0">
        <w:t xml:space="preserve"> </w:t>
      </w:r>
      <w:r w:rsidRPr="005A75FD">
        <w:t xml:space="preserve">to existing </w:t>
      </w:r>
      <w:r w:rsidR="00982F3D">
        <w:t>WQS</w:t>
      </w:r>
      <w:r w:rsidRPr="005A75FD">
        <w:t xml:space="preserve">, preparing and reviewing the revised </w:t>
      </w:r>
      <w:r w:rsidR="00982F3D">
        <w:t xml:space="preserve">WQS </w:t>
      </w:r>
      <w:r w:rsidRPr="005A75FD">
        <w:t xml:space="preserve">package, adopting the revised </w:t>
      </w:r>
      <w:r w:rsidR="00982F3D">
        <w:t>WQS</w:t>
      </w:r>
      <w:r w:rsidRPr="005A75FD">
        <w:t xml:space="preserve"> </w:t>
      </w:r>
      <w:r w:rsidR="00982F3D">
        <w:t>a</w:t>
      </w:r>
      <w:r w:rsidRPr="005A75FD">
        <w:t xml:space="preserve">ccording to </w:t>
      </w:r>
      <w:r w:rsidR="00335507" w:rsidRPr="005A75FD">
        <w:t>s</w:t>
      </w:r>
      <w:r w:rsidR="00810244" w:rsidRPr="005A75FD">
        <w:t>tates</w:t>
      </w:r>
      <w:r w:rsidR="00982F3D">
        <w:t>’</w:t>
      </w:r>
      <w:r w:rsidR="00335507" w:rsidRPr="005A75FD">
        <w:t xml:space="preserve"> or authorized t</w:t>
      </w:r>
      <w:r w:rsidR="00982F3D">
        <w:t>ribes’</w:t>
      </w:r>
      <w:r w:rsidRPr="005A75FD">
        <w:t xml:space="preserve"> internal administrative procedures and </w:t>
      </w:r>
      <w:r w:rsidR="00E01A0B" w:rsidRPr="005A75FD">
        <w:t>EPA</w:t>
      </w:r>
      <w:r w:rsidR="00810244" w:rsidRPr="005A75FD">
        <w:t xml:space="preserve">’s </w:t>
      </w:r>
      <w:r w:rsidRPr="005A75FD">
        <w:t>public participation requirements, conducting public hearing</w:t>
      </w:r>
      <w:r w:rsidR="004A7961">
        <w:t>s</w:t>
      </w:r>
      <w:r w:rsidRPr="005A75FD">
        <w:t xml:space="preserve">, and submitting revised </w:t>
      </w:r>
      <w:r w:rsidR="00982F3D">
        <w:t>WQS</w:t>
      </w:r>
      <w:r w:rsidRPr="005A75FD">
        <w:t xml:space="preserve"> to </w:t>
      </w:r>
      <w:r w:rsidR="00E01A0B" w:rsidRPr="005A75FD">
        <w:t>EPA</w:t>
      </w:r>
      <w:r w:rsidRPr="005A75FD">
        <w:t xml:space="preserve"> for </w:t>
      </w:r>
      <w:r w:rsidR="004A7961">
        <w:t xml:space="preserve">review and </w:t>
      </w:r>
      <w:r w:rsidRPr="005A75FD">
        <w:t>approval</w:t>
      </w:r>
      <w:r w:rsidR="004A7961">
        <w:t xml:space="preserve"> or disapproval</w:t>
      </w:r>
      <w:r w:rsidRPr="005A75FD">
        <w:t>.</w:t>
      </w:r>
    </w:p>
    <w:p w14:paraId="4E7DAB88" w14:textId="77777777" w:rsidR="00AD6354" w:rsidRDefault="00AD6354" w:rsidP="00381864">
      <w:pPr>
        <w:pStyle w:val="BodyText"/>
        <w:ind w:left="360"/>
        <w:sectPr w:rsidR="00AD6354" w:rsidSect="00AD6354">
          <w:pgSz w:w="12240" w:h="15840"/>
          <w:pgMar w:top="1440" w:right="1440" w:bottom="1440" w:left="1440" w:header="720" w:footer="1440" w:gutter="0"/>
          <w:pgNumType w:start="1" w:chapStyle="1"/>
          <w:cols w:space="720"/>
          <w:noEndnote/>
          <w:docGrid w:linePitch="326"/>
        </w:sectPr>
      </w:pPr>
    </w:p>
    <w:p w14:paraId="23C359FA" w14:textId="1C3BF3B8" w:rsidR="009E1D15" w:rsidRPr="00B7618A" w:rsidRDefault="00AA16F3" w:rsidP="00704F82">
      <w:pPr>
        <w:pStyle w:val="Heading1"/>
      </w:pPr>
      <w:bookmarkStart w:id="27" w:name="_Toc406051432"/>
      <w:r>
        <w:lastRenderedPageBreak/>
        <w:t>Information Collected – Agency Activities, Collection Method</w:t>
      </w:r>
      <w:r w:rsidR="00EF254C">
        <w:t>s</w:t>
      </w:r>
      <w:r>
        <w:t>, and Information Management</w:t>
      </w:r>
      <w:bookmarkEnd w:id="27"/>
    </w:p>
    <w:p w14:paraId="7EBB424A" w14:textId="4F0AA242" w:rsidR="00E7083C" w:rsidRDefault="00E7083C" w:rsidP="00E7083C">
      <w:pPr>
        <w:pStyle w:val="BodyText"/>
      </w:pPr>
      <w:r>
        <w:t>This section describes how EPA will collect and manage the information.</w:t>
      </w:r>
    </w:p>
    <w:p w14:paraId="2397AD4A" w14:textId="77777777" w:rsidR="009E1D15" w:rsidRPr="00B7618A" w:rsidRDefault="0078227A" w:rsidP="00704F82">
      <w:pPr>
        <w:pStyle w:val="Heading2"/>
      </w:pPr>
      <w:bookmarkStart w:id="28" w:name="_Toc406051433"/>
      <w:r w:rsidRPr="00B7618A">
        <w:t>Agency Activities</w:t>
      </w:r>
      <w:bookmarkEnd w:id="28"/>
    </w:p>
    <w:p w14:paraId="7F78B951" w14:textId="361D98B9" w:rsidR="009E1D15" w:rsidRPr="00B7618A" w:rsidRDefault="00C449A7" w:rsidP="005A75FD">
      <w:pPr>
        <w:pStyle w:val="BodyText"/>
      </w:pPr>
      <w:r>
        <w:t>The CWA and implementing regulation require s</w:t>
      </w:r>
      <w:r w:rsidR="009E1D15" w:rsidRPr="00B7618A">
        <w:t xml:space="preserve">tates and </w:t>
      </w:r>
      <w:r w:rsidR="003508D4" w:rsidRPr="00B7618A">
        <w:t xml:space="preserve">authorized </w:t>
      </w:r>
      <w:r w:rsidR="00563712" w:rsidRPr="00B7618A">
        <w:t>t</w:t>
      </w:r>
      <w:r w:rsidR="009E1D15" w:rsidRPr="00B7618A">
        <w:t xml:space="preserve">ribes to review and, as appropriate, revise </w:t>
      </w:r>
      <w:r w:rsidR="00E03559" w:rsidRPr="00B7618A">
        <w:t>WQS</w:t>
      </w:r>
      <w:r w:rsidR="009E1D15" w:rsidRPr="00B7618A">
        <w:t xml:space="preserve"> at least once every three years.</w:t>
      </w:r>
      <w:r w:rsidR="0068763C" w:rsidRPr="00B7618A">
        <w:t xml:space="preserve"> </w:t>
      </w:r>
      <w:r w:rsidR="007D2CBE">
        <w:t xml:space="preserve">States and authorized tribes must submit the </w:t>
      </w:r>
      <w:r w:rsidR="009E1D15" w:rsidRPr="00B7618A">
        <w:t>results of such review</w:t>
      </w:r>
      <w:r>
        <w:t>s to EPA,</w:t>
      </w:r>
      <w:r w:rsidR="009E1D15" w:rsidRPr="00B7618A">
        <w:t xml:space="preserve"> and </w:t>
      </w:r>
      <w:r>
        <w:t xml:space="preserve">submit </w:t>
      </w:r>
      <w:r w:rsidR="009E1D15" w:rsidRPr="00B7618A">
        <w:t>revision</w:t>
      </w:r>
      <w:r w:rsidR="007D2CBE">
        <w:t>s</w:t>
      </w:r>
      <w:r w:rsidR="009E1D15" w:rsidRPr="00B7618A">
        <w:t xml:space="preserve"> </w:t>
      </w:r>
      <w:r>
        <w:t xml:space="preserve">to WQS </w:t>
      </w:r>
      <w:r w:rsidR="009E1D15" w:rsidRPr="00B7618A">
        <w:t xml:space="preserve">to </w:t>
      </w:r>
      <w:r w:rsidR="00E01A0B" w:rsidRPr="00B7618A">
        <w:t>EPA</w:t>
      </w:r>
      <w:r>
        <w:t xml:space="preserve"> for review and approval or disapproval</w:t>
      </w:r>
      <w:r w:rsidR="009E1D15" w:rsidRPr="00B7618A">
        <w:t>.</w:t>
      </w:r>
      <w:r w:rsidR="0068763C" w:rsidRPr="00B7618A">
        <w:t xml:space="preserve"> </w:t>
      </w:r>
      <w:r w:rsidR="00E01A0B" w:rsidRPr="00B7618A">
        <w:t>EPA</w:t>
      </w:r>
      <w:r w:rsidR="009E1D15" w:rsidRPr="00B7618A">
        <w:t xml:space="preserve"> reviews the </w:t>
      </w:r>
      <w:r w:rsidR="00563712" w:rsidRPr="00B7618A">
        <w:t>s</w:t>
      </w:r>
      <w:r w:rsidR="00810244" w:rsidRPr="00B7618A">
        <w:t xml:space="preserve">tates’ </w:t>
      </w:r>
      <w:r w:rsidR="00E7083C">
        <w:t>and</w:t>
      </w:r>
      <w:r w:rsidR="009E1D15" w:rsidRPr="00B7618A">
        <w:t xml:space="preserve"> </w:t>
      </w:r>
      <w:r w:rsidR="003508D4" w:rsidRPr="00B7618A">
        <w:t xml:space="preserve">authorized </w:t>
      </w:r>
      <w:r w:rsidR="00563712" w:rsidRPr="00B7618A">
        <w:t>t</w:t>
      </w:r>
      <w:r w:rsidR="00810244" w:rsidRPr="00B7618A">
        <w:t xml:space="preserve">ribes’ </w:t>
      </w:r>
      <w:r w:rsidR="00E03559" w:rsidRPr="00B7618A">
        <w:t>WQS</w:t>
      </w:r>
      <w:r w:rsidR="009E1D15" w:rsidRPr="00B7618A">
        <w:t xml:space="preserve"> for consistency with the CWA</w:t>
      </w:r>
      <w:r w:rsidR="00563712" w:rsidRPr="00B7618A">
        <w:t xml:space="preserve"> and the WQS regulation at 40 CFR </w:t>
      </w:r>
      <w:r w:rsidR="00FE653F">
        <w:t>Part</w:t>
      </w:r>
      <w:r w:rsidR="00563712" w:rsidRPr="00B7618A">
        <w:t xml:space="preserve"> 131</w:t>
      </w:r>
      <w:r w:rsidR="009E1D15" w:rsidRPr="00B7618A">
        <w:t>.</w:t>
      </w:r>
      <w:r w:rsidR="0068763C" w:rsidRPr="00B7618A">
        <w:t xml:space="preserve"> </w:t>
      </w:r>
      <w:r w:rsidR="009E1D15" w:rsidRPr="00B7618A">
        <w:t xml:space="preserve">If the </w:t>
      </w:r>
      <w:r w:rsidR="00E03559" w:rsidRPr="00B7618A">
        <w:t>WQS</w:t>
      </w:r>
      <w:r w:rsidR="009E1D15" w:rsidRPr="00B7618A">
        <w:t xml:space="preserve"> are inconsistent with the Act</w:t>
      </w:r>
      <w:r w:rsidR="005641CE" w:rsidRPr="00B7618A">
        <w:t xml:space="preserve"> </w:t>
      </w:r>
      <w:r w:rsidR="00E61DB1">
        <w:t xml:space="preserve">or regulation </w:t>
      </w:r>
      <w:r w:rsidR="005641CE" w:rsidRPr="00B7618A">
        <w:t xml:space="preserve">and the state or </w:t>
      </w:r>
      <w:r w:rsidR="003508D4" w:rsidRPr="00B7618A">
        <w:t xml:space="preserve">authorized </w:t>
      </w:r>
      <w:r w:rsidR="005641CE" w:rsidRPr="00B7618A">
        <w:t>tribe does not revise their WQS accordingly</w:t>
      </w:r>
      <w:r w:rsidR="009E1D15" w:rsidRPr="00B7618A">
        <w:t xml:space="preserve">, </w:t>
      </w:r>
      <w:r w:rsidR="00E01A0B" w:rsidRPr="00B7618A">
        <w:t>EPA</w:t>
      </w:r>
      <w:r w:rsidR="009E1D15" w:rsidRPr="00B7618A">
        <w:t xml:space="preserve"> must </w:t>
      </w:r>
      <w:r w:rsidR="00C378B0">
        <w:t>promptly propose</w:t>
      </w:r>
      <w:r w:rsidR="009E1D15" w:rsidRPr="00B7618A">
        <w:t xml:space="preserve"> </w:t>
      </w:r>
      <w:r w:rsidR="00563712" w:rsidRPr="00B7618A">
        <w:t>f</w:t>
      </w:r>
      <w:r w:rsidR="009E1D15" w:rsidRPr="00B7618A">
        <w:t xml:space="preserve">ederal </w:t>
      </w:r>
      <w:r w:rsidR="00C378B0">
        <w:t xml:space="preserve">replacement </w:t>
      </w:r>
      <w:r w:rsidR="007D2CBE">
        <w:t>WQS</w:t>
      </w:r>
      <w:r w:rsidR="009E1D15" w:rsidRPr="00B7618A">
        <w:t>.</w:t>
      </w:r>
      <w:r w:rsidR="0068763C" w:rsidRPr="00B7618A">
        <w:t xml:space="preserve"> </w:t>
      </w:r>
    </w:p>
    <w:p w14:paraId="4B77ED0E" w14:textId="5DBFFB3F" w:rsidR="007D2CBE" w:rsidRDefault="00E01A0B" w:rsidP="005A75FD">
      <w:pPr>
        <w:pStyle w:val="BodyText"/>
      </w:pPr>
      <w:r w:rsidRPr="00B7618A">
        <w:t>EPA</w:t>
      </w:r>
      <w:r w:rsidR="009E1D15" w:rsidRPr="00B7618A">
        <w:t xml:space="preserve"> conducts a range of activities to manage the </w:t>
      </w:r>
      <w:r w:rsidR="00E03559" w:rsidRPr="00B7618A">
        <w:t>WQS</w:t>
      </w:r>
      <w:r w:rsidR="009E1D15" w:rsidRPr="00B7618A">
        <w:t xml:space="preserve"> program. Activities related to but </w:t>
      </w:r>
      <w:r w:rsidR="009E1D15" w:rsidRPr="00B7618A">
        <w:rPr>
          <w:u w:val="single"/>
        </w:rPr>
        <w:t>not</w:t>
      </w:r>
      <w:r w:rsidR="009E1D15" w:rsidRPr="00B7618A">
        <w:t xml:space="preserve"> included in this ICR include</w:t>
      </w:r>
      <w:r w:rsidR="007D2CBE">
        <w:t>:</w:t>
      </w:r>
    </w:p>
    <w:p w14:paraId="65A6DAF0" w14:textId="05152C78" w:rsidR="007D2CBE" w:rsidRDefault="007D2CBE" w:rsidP="00381864">
      <w:pPr>
        <w:pStyle w:val="BodyText"/>
        <w:numPr>
          <w:ilvl w:val="0"/>
          <w:numId w:val="23"/>
        </w:numPr>
      </w:pPr>
      <w:r>
        <w:t>T</w:t>
      </w:r>
      <w:r w:rsidR="009E1D15" w:rsidRPr="00B7618A">
        <w:t xml:space="preserve">ransmission of policy and guidance to the </w:t>
      </w:r>
      <w:r w:rsidR="00563712" w:rsidRPr="00B7618A">
        <w:t>s</w:t>
      </w:r>
      <w:r w:rsidR="009E1D15" w:rsidRPr="00B7618A">
        <w:t xml:space="preserve">tates and </w:t>
      </w:r>
      <w:r w:rsidR="003508D4" w:rsidRPr="00B7618A">
        <w:t xml:space="preserve">authorized </w:t>
      </w:r>
      <w:r w:rsidR="00563712" w:rsidRPr="00B7618A">
        <w:t>t</w:t>
      </w:r>
      <w:r w:rsidR="009E1D15" w:rsidRPr="00B7618A">
        <w:t>ribes</w:t>
      </w:r>
      <w:r w:rsidR="00BF1FD9">
        <w:t>,</w:t>
      </w:r>
    </w:p>
    <w:p w14:paraId="74520947" w14:textId="62AC93AD" w:rsidR="007D2CBE" w:rsidRDefault="007D2CBE" w:rsidP="00381864">
      <w:pPr>
        <w:pStyle w:val="BodyText"/>
        <w:numPr>
          <w:ilvl w:val="0"/>
          <w:numId w:val="23"/>
        </w:numPr>
      </w:pPr>
      <w:r>
        <w:t>D</w:t>
      </w:r>
      <w:r w:rsidR="009E1D15" w:rsidRPr="00B7618A">
        <w:t>evelopment of recommended water quality criteria</w:t>
      </w:r>
      <w:r>
        <w:t>,</w:t>
      </w:r>
    </w:p>
    <w:p w14:paraId="274A4A4C" w14:textId="18579A83" w:rsidR="007D2CBE" w:rsidRDefault="007D2CBE" w:rsidP="00381864">
      <w:pPr>
        <w:pStyle w:val="BodyText"/>
        <w:numPr>
          <w:ilvl w:val="0"/>
          <w:numId w:val="23"/>
        </w:numPr>
      </w:pPr>
      <w:r>
        <w:t>A</w:t>
      </w:r>
      <w:r w:rsidR="00240814">
        <w:t>ssistance to</w:t>
      </w:r>
      <w:r w:rsidR="00240814" w:rsidRPr="00B7618A">
        <w:t xml:space="preserve"> </w:t>
      </w:r>
      <w:r w:rsidR="00563712" w:rsidRPr="00417120">
        <w:t>s</w:t>
      </w:r>
      <w:r w:rsidR="009E1D15" w:rsidRPr="00417120">
        <w:t xml:space="preserve">tates and </w:t>
      </w:r>
      <w:r w:rsidR="007A0C7B" w:rsidRPr="00CF32C7">
        <w:t>authorized</w:t>
      </w:r>
      <w:r w:rsidR="007A0C7B" w:rsidRPr="00B7618A">
        <w:t xml:space="preserve"> </w:t>
      </w:r>
      <w:r w:rsidR="00563712" w:rsidRPr="00B7618A">
        <w:t>t</w:t>
      </w:r>
      <w:r w:rsidR="009E1D15" w:rsidRPr="00B7618A">
        <w:t>ribes in interpretation and implementation of regulations, policies and initiatives</w:t>
      </w:r>
      <w:r w:rsidR="00BF1FD9">
        <w:t>,</w:t>
      </w:r>
    </w:p>
    <w:p w14:paraId="3B8D7AB4" w14:textId="732B6E9E" w:rsidR="007D2CBE" w:rsidRDefault="007D2CBE" w:rsidP="00381864">
      <w:pPr>
        <w:pStyle w:val="BodyText"/>
        <w:numPr>
          <w:ilvl w:val="0"/>
          <w:numId w:val="23"/>
        </w:numPr>
      </w:pPr>
      <w:r>
        <w:t>C</w:t>
      </w:r>
      <w:r w:rsidR="009E1D15" w:rsidRPr="00B7618A">
        <w:t xml:space="preserve">oordination of activities related to standards with other CWA programs, with other federal agencies, and for interstate and international waters. </w:t>
      </w:r>
    </w:p>
    <w:p w14:paraId="6ADCD569" w14:textId="3DA92D3F" w:rsidR="009E1D15" w:rsidRPr="00B7618A" w:rsidRDefault="009E1D15" w:rsidP="005A75FD">
      <w:pPr>
        <w:pStyle w:val="BodyText"/>
      </w:pPr>
      <w:r w:rsidRPr="00B7618A">
        <w:t xml:space="preserve">See </w:t>
      </w:r>
      <w:r w:rsidR="00E01A0B" w:rsidRPr="00B7618A">
        <w:t>EPA</w:t>
      </w:r>
      <w:r w:rsidR="00733419" w:rsidRPr="00B7618A">
        <w:t>’</w:t>
      </w:r>
      <w:r w:rsidRPr="00B7618A">
        <w:t xml:space="preserve">s website, </w:t>
      </w:r>
      <w:hyperlink r:id="rId16" w:history="1">
        <w:r w:rsidR="00E7083C" w:rsidRPr="00D41EB8">
          <w:rPr>
            <w:rStyle w:val="Hyperlink"/>
          </w:rPr>
          <w:t>http://water.epa.gov/scitech/</w:t>
        </w:r>
      </w:hyperlink>
      <w:r w:rsidR="00240814" w:rsidRPr="00BD3345">
        <w:t>,</w:t>
      </w:r>
      <w:r w:rsidR="00240814">
        <w:t xml:space="preserve"> </w:t>
      </w:r>
      <w:r w:rsidRPr="00B7618A">
        <w:t>for more information.</w:t>
      </w:r>
    </w:p>
    <w:p w14:paraId="10427D42" w14:textId="77777777" w:rsidR="009E1D15" w:rsidRPr="00B7618A" w:rsidRDefault="009E1D15" w:rsidP="005A75FD">
      <w:pPr>
        <w:pStyle w:val="BodyText"/>
      </w:pPr>
      <w:r w:rsidRPr="00B7618A">
        <w:t xml:space="preserve">For this ICR, EPA activities associated with </w:t>
      </w:r>
      <w:r w:rsidR="00E03559" w:rsidRPr="00B7618A">
        <w:t>WQS</w:t>
      </w:r>
      <w:r w:rsidRPr="00B7618A">
        <w:t xml:space="preserve"> review include: </w:t>
      </w:r>
    </w:p>
    <w:p w14:paraId="6A2054F9" w14:textId="3271B555" w:rsidR="009E1D15" w:rsidRPr="00B7618A" w:rsidRDefault="009E1D15" w:rsidP="00381864">
      <w:pPr>
        <w:pStyle w:val="bulletlist"/>
        <w:numPr>
          <w:ilvl w:val="0"/>
          <w:numId w:val="12"/>
        </w:numPr>
      </w:pPr>
      <w:r w:rsidRPr="00B7618A">
        <w:t xml:space="preserve">Assembling relevant information to </w:t>
      </w:r>
      <w:r w:rsidR="00B95A97" w:rsidRPr="00B7618A">
        <w:t xml:space="preserve">conduct </w:t>
      </w:r>
      <w:r w:rsidR="00E01A0B" w:rsidRPr="00B7618A">
        <w:t>EPA</w:t>
      </w:r>
      <w:r w:rsidRPr="00B7618A">
        <w:t xml:space="preserve"> review of submitted </w:t>
      </w:r>
      <w:r w:rsidR="00E7083C">
        <w:t>WQS</w:t>
      </w:r>
      <w:r w:rsidRPr="00B7618A">
        <w:t>.</w:t>
      </w:r>
    </w:p>
    <w:p w14:paraId="7568D2EF" w14:textId="2878C5A7" w:rsidR="009E1D15" w:rsidRPr="00B7618A" w:rsidRDefault="009E1D15" w:rsidP="00381864">
      <w:pPr>
        <w:pStyle w:val="bulletlist"/>
        <w:numPr>
          <w:ilvl w:val="0"/>
          <w:numId w:val="12"/>
        </w:numPr>
      </w:pPr>
      <w:r w:rsidRPr="00B7618A">
        <w:t xml:space="preserve">Reviewing </w:t>
      </w:r>
      <w:r w:rsidR="00E7083C">
        <w:t>WQS</w:t>
      </w:r>
      <w:r w:rsidRPr="00B7618A">
        <w:t xml:space="preserve"> revisions for consistency with the CWA, </w:t>
      </w:r>
      <w:r w:rsidR="009B0CD7" w:rsidRPr="00B7618A">
        <w:t xml:space="preserve">with the WQS regulation, </w:t>
      </w:r>
      <w:r w:rsidRPr="00B7618A">
        <w:t xml:space="preserve">with downstream </w:t>
      </w:r>
      <w:r w:rsidR="005C57DE" w:rsidRPr="00B7618A">
        <w:t>s</w:t>
      </w:r>
      <w:r w:rsidR="00810244" w:rsidRPr="00B7618A">
        <w:t>tates</w:t>
      </w:r>
      <w:r w:rsidR="00E7083C">
        <w:t>’</w:t>
      </w:r>
      <w:r w:rsidR="00810244" w:rsidRPr="00B7618A">
        <w:t xml:space="preserve"> </w:t>
      </w:r>
      <w:r w:rsidR="00E7083C">
        <w:t>and</w:t>
      </w:r>
      <w:r w:rsidRPr="00B7618A">
        <w:t xml:space="preserve"> </w:t>
      </w:r>
      <w:r w:rsidR="005C57DE" w:rsidRPr="00B7618A">
        <w:t>authorized t</w:t>
      </w:r>
      <w:r w:rsidR="00810244" w:rsidRPr="00B7618A">
        <w:t>ribes</w:t>
      </w:r>
      <w:r w:rsidR="00E7083C">
        <w:t>’</w:t>
      </w:r>
      <w:r w:rsidR="00810244" w:rsidRPr="00B7618A">
        <w:t xml:space="preserve"> </w:t>
      </w:r>
      <w:r w:rsidR="00E03559" w:rsidRPr="00B7618A">
        <w:t>WQS</w:t>
      </w:r>
      <w:r w:rsidRPr="00B7618A">
        <w:t>, and with any standards for international waters.</w:t>
      </w:r>
      <w:r w:rsidR="00433B9B">
        <w:t xml:space="preserve"> </w:t>
      </w:r>
    </w:p>
    <w:p w14:paraId="51710C0A" w14:textId="7ADFB924" w:rsidR="009E1D15" w:rsidRPr="00B7618A" w:rsidRDefault="009E1D15" w:rsidP="00381864">
      <w:pPr>
        <w:pStyle w:val="bulletlist"/>
        <w:numPr>
          <w:ilvl w:val="0"/>
          <w:numId w:val="12"/>
        </w:numPr>
      </w:pPr>
      <w:r w:rsidRPr="00B7618A">
        <w:t xml:space="preserve">Preparing and sending a letter to the </w:t>
      </w:r>
      <w:r w:rsidR="00563712" w:rsidRPr="00B7618A">
        <w:t>s</w:t>
      </w:r>
      <w:r w:rsidRPr="00B7618A">
        <w:t xml:space="preserve">tate or </w:t>
      </w:r>
      <w:r w:rsidR="005C57DE" w:rsidRPr="00B7618A">
        <w:t xml:space="preserve">authorized </w:t>
      </w:r>
      <w:r w:rsidR="00563712" w:rsidRPr="00B7618A">
        <w:t>t</w:t>
      </w:r>
      <w:r w:rsidRPr="00B7618A">
        <w:t xml:space="preserve">ribe conveying </w:t>
      </w:r>
      <w:r w:rsidR="00E01A0B" w:rsidRPr="00B7618A">
        <w:t>EPA</w:t>
      </w:r>
      <w:r w:rsidR="003473F0" w:rsidRPr="00B7618A">
        <w:t>’</w:t>
      </w:r>
      <w:r w:rsidRPr="00B7618A">
        <w:t>s approval or disapproval decision(s).</w:t>
      </w:r>
    </w:p>
    <w:p w14:paraId="78E7C727" w14:textId="4591CA92" w:rsidR="009E1D15" w:rsidRPr="00B7618A" w:rsidRDefault="003608B9" w:rsidP="00381864">
      <w:pPr>
        <w:pStyle w:val="bulletlist"/>
        <w:numPr>
          <w:ilvl w:val="0"/>
          <w:numId w:val="12"/>
        </w:numPr>
      </w:pPr>
      <w:r w:rsidRPr="00B7618A">
        <w:t>Determining</w:t>
      </w:r>
      <w:r w:rsidR="009E1D15" w:rsidRPr="00B7618A">
        <w:t xml:space="preserve"> </w:t>
      </w:r>
      <w:r w:rsidR="00240814">
        <w:t>whether</w:t>
      </w:r>
      <w:r w:rsidR="00240814" w:rsidRPr="00B7618A">
        <w:t xml:space="preserve"> </w:t>
      </w:r>
      <w:r w:rsidR="00563712" w:rsidRPr="00B7618A">
        <w:t>f</w:t>
      </w:r>
      <w:r w:rsidR="009E1D15" w:rsidRPr="00B7618A">
        <w:t xml:space="preserve">ederal </w:t>
      </w:r>
      <w:r w:rsidR="00E03559" w:rsidRPr="00B7618A">
        <w:t>WQS</w:t>
      </w:r>
      <w:r w:rsidR="009E1D15" w:rsidRPr="00B7618A">
        <w:t xml:space="preserve"> are necessary</w:t>
      </w:r>
      <w:r w:rsidR="00BF1FD9">
        <w:t xml:space="preserve"> to meet the requirements of the CWA</w:t>
      </w:r>
      <w:r w:rsidR="009E1D15" w:rsidRPr="00B7618A">
        <w:t>.</w:t>
      </w:r>
    </w:p>
    <w:p w14:paraId="6ED0161B" w14:textId="38FB89B3" w:rsidR="009E1D15" w:rsidRPr="00B7618A" w:rsidRDefault="009E1D15" w:rsidP="00381864">
      <w:pPr>
        <w:pStyle w:val="bulletlist"/>
        <w:numPr>
          <w:ilvl w:val="0"/>
          <w:numId w:val="12"/>
        </w:numPr>
      </w:pPr>
      <w:r w:rsidRPr="00B7618A">
        <w:t xml:space="preserve">Proposing and promulgating </w:t>
      </w:r>
      <w:r w:rsidR="00563712" w:rsidRPr="00B7618A">
        <w:t>f</w:t>
      </w:r>
      <w:r w:rsidRPr="00B7618A">
        <w:t>ederal replacement standards</w:t>
      </w:r>
      <w:r w:rsidR="008D732A">
        <w:t xml:space="preserve"> when necessary</w:t>
      </w:r>
      <w:r w:rsidRPr="00B7618A">
        <w:t>.</w:t>
      </w:r>
    </w:p>
    <w:p w14:paraId="3FECFC39" w14:textId="7D814E4A" w:rsidR="009E1D15" w:rsidRPr="00B7618A" w:rsidRDefault="009E1D15" w:rsidP="00381864">
      <w:pPr>
        <w:pStyle w:val="bulletlist"/>
        <w:numPr>
          <w:ilvl w:val="0"/>
          <w:numId w:val="12"/>
        </w:numPr>
      </w:pPr>
      <w:r w:rsidRPr="00B7618A">
        <w:lastRenderedPageBreak/>
        <w:t xml:space="preserve">Proposing and finalizing the withdrawal of </w:t>
      </w:r>
      <w:r w:rsidR="00563712" w:rsidRPr="00B7618A">
        <w:t>f</w:t>
      </w:r>
      <w:r w:rsidRPr="00B7618A">
        <w:t xml:space="preserve">ederal standards when a </w:t>
      </w:r>
      <w:r w:rsidR="00563712" w:rsidRPr="00B7618A">
        <w:t>s</w:t>
      </w:r>
      <w:r w:rsidRPr="00B7618A">
        <w:t>tate or</w:t>
      </w:r>
      <w:r w:rsidR="005C57DE" w:rsidRPr="00B7618A">
        <w:t xml:space="preserve"> authorized</w:t>
      </w:r>
      <w:r w:rsidRPr="00B7618A">
        <w:t xml:space="preserve"> </w:t>
      </w:r>
      <w:r w:rsidR="00563712" w:rsidRPr="00B7618A">
        <w:t>t</w:t>
      </w:r>
      <w:r w:rsidRPr="00B7618A">
        <w:t xml:space="preserve">ribe </w:t>
      </w:r>
      <w:r w:rsidR="003608B9" w:rsidRPr="00B7618A">
        <w:t>adopts WQS that meet the CWA requirements</w:t>
      </w:r>
      <w:r w:rsidRPr="00B7618A">
        <w:t>.</w:t>
      </w:r>
    </w:p>
    <w:p w14:paraId="4BF96438" w14:textId="163A41AE" w:rsidR="0078227A" w:rsidRPr="00B7618A" w:rsidRDefault="0078227A" w:rsidP="00704F82">
      <w:pPr>
        <w:pStyle w:val="Heading2"/>
      </w:pPr>
      <w:bookmarkStart w:id="29" w:name="_Toc406051434"/>
      <w:r w:rsidRPr="00B7618A">
        <w:t>Collection Method</w:t>
      </w:r>
      <w:r w:rsidR="008D732A">
        <w:t>s</w:t>
      </w:r>
      <w:r w:rsidRPr="00B7618A">
        <w:t xml:space="preserve"> and Management</w:t>
      </w:r>
      <w:bookmarkEnd w:id="29"/>
    </w:p>
    <w:p w14:paraId="79723FEA" w14:textId="7C98043B" w:rsidR="009E1D15" w:rsidRPr="00B7618A" w:rsidRDefault="009E1D15" w:rsidP="005A75FD">
      <w:pPr>
        <w:pStyle w:val="BodyText"/>
      </w:pPr>
      <w:r w:rsidRPr="00B7618A">
        <w:t xml:space="preserve">States and </w:t>
      </w:r>
      <w:r w:rsidR="00DA5BD3" w:rsidRPr="00B7618A">
        <w:t xml:space="preserve">authorized </w:t>
      </w:r>
      <w:r w:rsidR="00563712" w:rsidRPr="00B7618A">
        <w:t>t</w:t>
      </w:r>
      <w:r w:rsidRPr="00B7618A">
        <w:t xml:space="preserve">ribes submit their revised </w:t>
      </w:r>
      <w:r w:rsidR="00E03559" w:rsidRPr="00B7618A">
        <w:t>WQS</w:t>
      </w:r>
      <w:r w:rsidRPr="00B7618A">
        <w:t xml:space="preserve"> to their EPA </w:t>
      </w:r>
      <w:r w:rsidR="00B95A97" w:rsidRPr="00B7618A">
        <w:t>r</w:t>
      </w:r>
      <w:r w:rsidRPr="00B7618A">
        <w:t>egional office</w:t>
      </w:r>
      <w:r w:rsidR="00580340" w:rsidRPr="00B7618A">
        <w:t xml:space="preserve">. Regional </w:t>
      </w:r>
      <w:r w:rsidR="00B95A97" w:rsidRPr="00B7618A">
        <w:t>o</w:t>
      </w:r>
      <w:r w:rsidR="00580340" w:rsidRPr="00B7618A">
        <w:t xml:space="preserve">ffices </w:t>
      </w:r>
      <w:r w:rsidRPr="00B7618A">
        <w:t xml:space="preserve">have the responsibility to review the submissions for consistency with </w:t>
      </w:r>
      <w:r w:rsidR="00FE653F">
        <w:t>the CWA</w:t>
      </w:r>
      <w:r w:rsidR="00E61DB1">
        <w:t xml:space="preserve"> and </w:t>
      </w:r>
      <w:r w:rsidR="00563712" w:rsidRPr="00B7618A">
        <w:t>r</w:t>
      </w:r>
      <w:r w:rsidRPr="00B7618A">
        <w:t xml:space="preserve">egulation, and approve or disapprove the </w:t>
      </w:r>
      <w:r w:rsidR="00E61DB1">
        <w:t>WQS</w:t>
      </w:r>
      <w:r w:rsidRPr="00B7618A">
        <w:t>.</w:t>
      </w:r>
      <w:r w:rsidR="0068763C" w:rsidRPr="00B7618A">
        <w:t xml:space="preserve"> </w:t>
      </w:r>
      <w:r w:rsidRPr="00B7618A">
        <w:t xml:space="preserve">The </w:t>
      </w:r>
      <w:r w:rsidR="00E03559" w:rsidRPr="00B7618A">
        <w:t>WQS</w:t>
      </w:r>
      <w:r w:rsidR="00EB20F2" w:rsidRPr="00B7618A">
        <w:t xml:space="preserve"> staff in </w:t>
      </w:r>
      <w:r w:rsidR="00B95A97" w:rsidRPr="00B7618A">
        <w:t>r</w:t>
      </w:r>
      <w:r w:rsidR="00EB20F2" w:rsidRPr="00B7618A">
        <w:t xml:space="preserve">egional </w:t>
      </w:r>
      <w:r w:rsidRPr="00B7618A">
        <w:t>offices work closely with the</w:t>
      </w:r>
      <w:r w:rsidR="00E61DB1">
        <w:t>ir</w:t>
      </w:r>
      <w:r w:rsidRPr="00B7618A">
        <w:t xml:space="preserve"> </w:t>
      </w:r>
      <w:r w:rsidR="00563712" w:rsidRPr="00B7618A">
        <w:t>s</w:t>
      </w:r>
      <w:r w:rsidRPr="00B7618A">
        <w:t xml:space="preserve">tates and </w:t>
      </w:r>
      <w:r w:rsidR="00DA5BD3" w:rsidRPr="00B7618A">
        <w:t xml:space="preserve">authorized </w:t>
      </w:r>
      <w:r w:rsidR="00563712" w:rsidRPr="00B7618A">
        <w:t>t</w:t>
      </w:r>
      <w:r w:rsidRPr="00B7618A">
        <w:t xml:space="preserve">ribes on </w:t>
      </w:r>
      <w:r w:rsidR="00E03559" w:rsidRPr="00B7618A">
        <w:t>WQS</w:t>
      </w:r>
      <w:r w:rsidRPr="00B7618A">
        <w:t xml:space="preserve"> issues, including the review of both draft and final submissions of </w:t>
      </w:r>
      <w:r w:rsidR="00E03559" w:rsidRPr="00B7618A">
        <w:t>WQS</w:t>
      </w:r>
      <w:r w:rsidRPr="00B7618A">
        <w:t>.</w:t>
      </w:r>
      <w:r w:rsidR="0068763C" w:rsidRPr="00B7618A">
        <w:t xml:space="preserve"> </w:t>
      </w:r>
      <w:r w:rsidR="00E01A0B" w:rsidRPr="00B7618A">
        <w:t>EPA</w:t>
      </w:r>
      <w:r w:rsidR="00E61DB1">
        <w:t xml:space="preserve"> headquarters </w:t>
      </w:r>
      <w:r w:rsidRPr="00B7618A">
        <w:t xml:space="preserve">provides support to the </w:t>
      </w:r>
      <w:r w:rsidR="00B95A97" w:rsidRPr="00B7618A">
        <w:t>r</w:t>
      </w:r>
      <w:r w:rsidRPr="00B7618A">
        <w:t>egional offices in the review of these submissions.</w:t>
      </w:r>
      <w:r w:rsidR="0068763C" w:rsidRPr="00B7618A">
        <w:t xml:space="preserve"> </w:t>
      </w:r>
      <w:r w:rsidRPr="00B7618A">
        <w:t xml:space="preserve">EPA </w:t>
      </w:r>
      <w:r w:rsidR="00E61DB1">
        <w:t xml:space="preserve">posts </w:t>
      </w:r>
      <w:r w:rsidRPr="00B7618A">
        <w:t xml:space="preserve">approved </w:t>
      </w:r>
      <w:r w:rsidR="00563712" w:rsidRPr="00B7618A">
        <w:t>s</w:t>
      </w:r>
      <w:r w:rsidRPr="00B7618A">
        <w:t>tate</w:t>
      </w:r>
      <w:r w:rsidR="00DA5BD3" w:rsidRPr="00B7618A">
        <w:t xml:space="preserve"> and authorized</w:t>
      </w:r>
      <w:r w:rsidR="00DA5BD3" w:rsidRPr="00B7618A" w:rsidDel="00DA5BD3">
        <w:t xml:space="preserve"> </w:t>
      </w:r>
      <w:r w:rsidR="00563712" w:rsidRPr="00B7618A">
        <w:t>t</w:t>
      </w:r>
      <w:r w:rsidRPr="00B7618A">
        <w:t xml:space="preserve">ribal </w:t>
      </w:r>
      <w:r w:rsidR="00E61DB1">
        <w:t>WQS</w:t>
      </w:r>
      <w:r w:rsidR="00E61DB1" w:rsidRPr="00B7618A">
        <w:t xml:space="preserve"> </w:t>
      </w:r>
      <w:r w:rsidRPr="00B7618A">
        <w:t>at</w:t>
      </w:r>
      <w:r w:rsidR="009B0CD7" w:rsidRPr="00B7618A">
        <w:t xml:space="preserve"> </w:t>
      </w:r>
      <w:hyperlink r:id="rId17" w:history="1">
        <w:r w:rsidR="008D732A" w:rsidRPr="00D41EB8">
          <w:rPr>
            <w:rStyle w:val="Hyperlink"/>
          </w:rPr>
          <w:t>http://water.epa.gov/scitech/swguidance/standards/wqslibrary/index.cfm</w:t>
        </w:r>
      </w:hyperlink>
      <w:r w:rsidRPr="00B7618A">
        <w:t>.</w:t>
      </w:r>
      <w:r w:rsidR="0068763C" w:rsidRPr="00B7618A">
        <w:t xml:space="preserve"> </w:t>
      </w:r>
      <w:r w:rsidRPr="00B7618A">
        <w:t>EPA</w:t>
      </w:r>
      <w:r w:rsidR="00E61DB1">
        <w:t xml:space="preserve"> posts </w:t>
      </w:r>
      <w:r w:rsidRPr="00B7618A">
        <w:t xml:space="preserve">promulgated </w:t>
      </w:r>
      <w:r w:rsidR="00E61DB1">
        <w:t>WQS</w:t>
      </w:r>
      <w:r w:rsidR="00E61DB1" w:rsidRPr="00B7618A">
        <w:t xml:space="preserve"> </w:t>
      </w:r>
      <w:r w:rsidRPr="00B7618A">
        <w:t xml:space="preserve">for </w:t>
      </w:r>
      <w:r w:rsidR="00DA5BD3" w:rsidRPr="00B7618A">
        <w:t>s</w:t>
      </w:r>
      <w:r w:rsidRPr="00B7618A">
        <w:t>tates</w:t>
      </w:r>
      <w:r w:rsidR="00DA5BD3" w:rsidRPr="00B7618A">
        <w:t xml:space="preserve"> and t</w:t>
      </w:r>
      <w:r w:rsidRPr="00B7618A">
        <w:t>ribes at</w:t>
      </w:r>
      <w:r w:rsidR="00A5253A" w:rsidRPr="00417120">
        <w:t xml:space="preserve"> </w:t>
      </w:r>
      <w:hyperlink r:id="rId18" w:history="1">
        <w:r w:rsidR="008D732A" w:rsidRPr="00D41EB8">
          <w:rPr>
            <w:rStyle w:val="Hyperlink"/>
          </w:rPr>
          <w:t>http://water.epa.gov/scitech/swguidance/standards/wqsregs.cfm</w:t>
        </w:r>
      </w:hyperlink>
      <w:r w:rsidR="00A5253A" w:rsidRPr="00B7618A">
        <w:t xml:space="preserve">. </w:t>
      </w:r>
    </w:p>
    <w:p w14:paraId="533BE24C" w14:textId="77777777" w:rsidR="00673189" w:rsidRPr="00B7618A" w:rsidRDefault="0078227A" w:rsidP="00673189">
      <w:pPr>
        <w:pStyle w:val="Heading2"/>
      </w:pPr>
      <w:bookmarkStart w:id="30" w:name="_Toc406051435"/>
      <w:r w:rsidRPr="00B7618A">
        <w:t>Small Entity Flexibility</w:t>
      </w:r>
      <w:bookmarkEnd w:id="30"/>
    </w:p>
    <w:p w14:paraId="1A53AE66" w14:textId="7288CC12" w:rsidR="00957A33" w:rsidRPr="00B7618A" w:rsidRDefault="00747B77" w:rsidP="005A75FD">
      <w:pPr>
        <w:pStyle w:val="BodyText"/>
      </w:pPr>
      <w:r w:rsidRPr="00B7618A">
        <w:t>The 1995 Paperwork Reduction Act (PRA) incorporate</w:t>
      </w:r>
      <w:r w:rsidR="00E61DB1">
        <w:t>s</w:t>
      </w:r>
      <w:r w:rsidRPr="00B7618A">
        <w:t xml:space="preserve"> the Regulatory Flexibility Act (RFA). The RFA requires </w:t>
      </w:r>
      <w:r w:rsidR="00E01A0B" w:rsidRPr="00B7618A">
        <w:t>EPA</w:t>
      </w:r>
      <w:r w:rsidRPr="00B7618A">
        <w:t xml:space="preserve"> </w:t>
      </w:r>
      <w:r w:rsidR="00E61DB1">
        <w:t xml:space="preserve">to </w:t>
      </w:r>
      <w:r w:rsidRPr="00B7618A">
        <w:t xml:space="preserve">prepare a regulatory flexibility analysis for any rule that has a “significant economic impact on a substantial number of small entities.” </w:t>
      </w:r>
      <w:r w:rsidR="000F36A7">
        <w:t>EPA must also consider t</w:t>
      </w:r>
      <w:r w:rsidR="00957A33" w:rsidRPr="00B7618A">
        <w:t xml:space="preserve">he requirements of the Small Business Regulatory Enforcement Fairness Act of 1996. </w:t>
      </w:r>
      <w:r w:rsidR="000F36A7">
        <w:t>Small entities warrant s</w:t>
      </w:r>
      <w:r w:rsidR="00957A33" w:rsidRPr="00B7618A">
        <w:t xml:space="preserve">pecial </w:t>
      </w:r>
      <w:r w:rsidR="00416A4B" w:rsidRPr="00B7618A">
        <w:t xml:space="preserve">consideration because </w:t>
      </w:r>
      <w:r w:rsidR="000F36A7">
        <w:t>they</w:t>
      </w:r>
      <w:r w:rsidR="00416A4B" w:rsidRPr="00B7618A">
        <w:t xml:space="preserve"> generally cannot devote staff resources to follow regulatory </w:t>
      </w:r>
      <w:r w:rsidR="00E3720F" w:rsidRPr="00B7618A">
        <w:t xml:space="preserve">developments </w:t>
      </w:r>
      <w:r w:rsidR="00416A4B" w:rsidRPr="00B7618A">
        <w:t>and often are less likely to have their interests represented by lobbyists and associations. In addition, smaller entities may be less able to bear the burden of an information collection because of their small staff and resources.</w:t>
      </w:r>
    </w:p>
    <w:p w14:paraId="3254A2B8" w14:textId="6EE754ED" w:rsidR="00416A4B" w:rsidRPr="00B7618A" w:rsidRDefault="00416A4B" w:rsidP="005A75FD">
      <w:pPr>
        <w:pStyle w:val="BodyText"/>
      </w:pPr>
      <w:r w:rsidRPr="00B7618A">
        <w:t>The Small Business Administration</w:t>
      </w:r>
      <w:r w:rsidR="006401CE">
        <w:t xml:space="preserve"> (SBA) establishes</w:t>
      </w:r>
      <w:r w:rsidRPr="00B7618A">
        <w:t xml:space="preserve"> size eligibility provisions and standards </w:t>
      </w:r>
      <w:r w:rsidR="006401CE">
        <w:t>(</w:t>
      </w:r>
      <w:r w:rsidRPr="00B7618A">
        <w:t xml:space="preserve">codified at 13 CFR </w:t>
      </w:r>
      <w:r w:rsidR="00FE653F">
        <w:t>Part</w:t>
      </w:r>
      <w:r w:rsidRPr="00B7618A">
        <w:t xml:space="preserve"> 121</w:t>
      </w:r>
      <w:r w:rsidR="006401CE">
        <w:t>)</w:t>
      </w:r>
      <w:r w:rsidRPr="00B7618A">
        <w:t xml:space="preserve">. The RFA also provides some guidance for defining a small entity. Section 601 of the RFA defines a “small entity” to include “small business,” “small organization,” and “small governmental </w:t>
      </w:r>
      <w:r w:rsidR="00D82994" w:rsidRPr="00B7618A">
        <w:t>jurisdiction</w:t>
      </w:r>
      <w:r w:rsidRPr="00B7618A">
        <w:t>.” The</w:t>
      </w:r>
      <w:r w:rsidR="006401CE">
        <w:t xml:space="preserve"> RFA defines the</w:t>
      </w:r>
      <w:r w:rsidRPr="00B7618A">
        <w:t>se terms as follows:</w:t>
      </w:r>
      <w:r w:rsidRPr="00B7618A">
        <w:tab/>
      </w:r>
    </w:p>
    <w:p w14:paraId="73F33B97" w14:textId="3A8B6441" w:rsidR="002F79A2" w:rsidRPr="00B7618A" w:rsidRDefault="00416A4B" w:rsidP="00381864">
      <w:pPr>
        <w:pStyle w:val="bulletlist"/>
        <w:numPr>
          <w:ilvl w:val="0"/>
          <w:numId w:val="13"/>
        </w:numPr>
      </w:pPr>
      <w:r w:rsidRPr="00B7618A">
        <w:t>“Small Business” is any business that is independently owned and operated and not dominant in its field a</w:t>
      </w:r>
      <w:r w:rsidR="00E3720F" w:rsidRPr="00B7618A">
        <w:t>s</w:t>
      </w:r>
      <w:r w:rsidRPr="00B7618A">
        <w:t xml:space="preserve"> defined by the Small Business Administration (SBA) regulations under Section 3 of the Small Business Act.</w:t>
      </w:r>
    </w:p>
    <w:p w14:paraId="55420C63" w14:textId="4AA91FCD" w:rsidR="002F79A2" w:rsidRPr="00B7618A" w:rsidRDefault="002F79A2" w:rsidP="00381864">
      <w:pPr>
        <w:pStyle w:val="bulletlist"/>
        <w:numPr>
          <w:ilvl w:val="0"/>
          <w:numId w:val="13"/>
        </w:numPr>
      </w:pPr>
      <w:r w:rsidRPr="00B7618A">
        <w:t>“Small Organ</w:t>
      </w:r>
      <w:r w:rsidR="00D82994" w:rsidRPr="00B7618A">
        <w:t>i</w:t>
      </w:r>
      <w:r w:rsidRPr="00B7618A">
        <w:t xml:space="preserve">zation” is </w:t>
      </w:r>
      <w:r w:rsidR="006401CE">
        <w:t>a</w:t>
      </w:r>
      <w:r w:rsidRPr="00B7618A">
        <w:t xml:space="preserve">ny </w:t>
      </w:r>
      <w:r w:rsidR="00E3720F" w:rsidRPr="00B7618A">
        <w:t>not</w:t>
      </w:r>
      <w:r w:rsidRPr="00B7618A">
        <w:t>-for-profit enterprise that is independently owned and operated and not dominant in its field (e.g., private hospitals and educational institutions).</w:t>
      </w:r>
    </w:p>
    <w:p w14:paraId="61E2079B" w14:textId="43A46387" w:rsidR="002F79A2" w:rsidRPr="00B7618A" w:rsidRDefault="002F79A2" w:rsidP="00381864">
      <w:pPr>
        <w:pStyle w:val="bulletlist"/>
        <w:numPr>
          <w:ilvl w:val="0"/>
          <w:numId w:val="13"/>
        </w:numPr>
      </w:pPr>
      <w:r w:rsidRPr="00B7618A">
        <w:t xml:space="preserve">“Small Governmental Jurisdiction” is </w:t>
      </w:r>
      <w:r w:rsidR="006401CE">
        <w:t>the</w:t>
      </w:r>
      <w:r w:rsidRPr="00B7618A">
        <w:t xml:space="preserve"> governments of cities, counties, towns</w:t>
      </w:r>
      <w:r w:rsidR="00E3720F" w:rsidRPr="00B7618A">
        <w:t>,</w:t>
      </w:r>
      <w:r w:rsidRPr="00B7618A">
        <w:t xml:space="preserve"> townships, villages, school districts, or special districts with a population of less than 50,000</w:t>
      </w:r>
      <w:r w:rsidR="006401CE">
        <w:t>, and m</w:t>
      </w:r>
      <w:r w:rsidRPr="00B7618A">
        <w:t>ay also include Indian Tribes.</w:t>
      </w:r>
    </w:p>
    <w:p w14:paraId="20245BE9" w14:textId="6F58511F" w:rsidR="00FC098A" w:rsidRPr="00B7618A" w:rsidRDefault="00E01A0B" w:rsidP="00934F18">
      <w:pPr>
        <w:pStyle w:val="BodyText"/>
      </w:pPr>
      <w:r w:rsidRPr="00B7618A">
        <w:t>EPA</w:t>
      </w:r>
      <w:r w:rsidR="002F79A2" w:rsidRPr="00B7618A">
        <w:t xml:space="preserve"> may also develop regulation-specific definitions of small entities when the above definitions ar</w:t>
      </w:r>
      <w:r w:rsidR="00FC098A" w:rsidRPr="00B7618A">
        <w:t>e</w:t>
      </w:r>
      <w:r w:rsidR="002F79A2" w:rsidRPr="00B7618A">
        <w:t xml:space="preserve"> not appropriate</w:t>
      </w:r>
      <w:r w:rsidR="00934F18">
        <w:t>.</w:t>
      </w:r>
    </w:p>
    <w:p w14:paraId="16B064A3" w14:textId="11D11748" w:rsidR="004F7931" w:rsidRPr="00B7618A" w:rsidRDefault="004F7931" w:rsidP="005A75FD">
      <w:pPr>
        <w:pStyle w:val="BodyText"/>
      </w:pPr>
      <w:r w:rsidRPr="00B7618A">
        <w:lastRenderedPageBreak/>
        <w:t xml:space="preserve">The </w:t>
      </w:r>
      <w:r w:rsidR="00E61DB1">
        <w:t>rule</w:t>
      </w:r>
      <w:r w:rsidR="00580340" w:rsidRPr="00B7618A">
        <w:t xml:space="preserve"> </w:t>
      </w:r>
      <w:r w:rsidRPr="00B7618A">
        <w:t xml:space="preserve">will have no </w:t>
      </w:r>
      <w:r w:rsidR="001F426D" w:rsidRPr="00B7618A">
        <w:t>direct</w:t>
      </w:r>
      <w:r w:rsidRPr="00B7618A">
        <w:t xml:space="preserve"> impact on small businesses </w:t>
      </w:r>
      <w:r w:rsidR="00E61DB1">
        <w:t>because</w:t>
      </w:r>
      <w:r w:rsidR="00E61DB1" w:rsidRPr="00B7618A">
        <w:t xml:space="preserve"> </w:t>
      </w:r>
      <w:r w:rsidRPr="00B7618A">
        <w:t xml:space="preserve">the primary impact will be on </w:t>
      </w:r>
      <w:r w:rsidR="002D2131" w:rsidRPr="00B7618A">
        <w:t>s</w:t>
      </w:r>
      <w:r w:rsidRPr="00B7618A">
        <w:t xml:space="preserve">tate and </w:t>
      </w:r>
      <w:r w:rsidR="002D2131" w:rsidRPr="00B7618A">
        <w:t>authorized t</w:t>
      </w:r>
      <w:r w:rsidRPr="00B7618A">
        <w:t>ribal government</w:t>
      </w:r>
      <w:r w:rsidR="00321286" w:rsidRPr="00B7618A">
        <w:t>s</w:t>
      </w:r>
      <w:r w:rsidRPr="00B7618A">
        <w:t xml:space="preserve">. There may be a secondary impact on permitted facilities, including businesses, federal government entities, and local government with </w:t>
      </w:r>
      <w:r w:rsidR="00157BB2">
        <w:t>publically owned treatment works. T</w:t>
      </w:r>
      <w:r w:rsidRPr="00B7618A">
        <w:t>he Agency has instituted several efforts to minimize the impact on businesses as a whole, and</w:t>
      </w:r>
      <w:r w:rsidR="006330EF" w:rsidRPr="00B7618A">
        <w:t xml:space="preserve"> specifically</w:t>
      </w:r>
      <w:r w:rsidRPr="00B7618A">
        <w:t xml:space="preserve"> on small businesses.</w:t>
      </w:r>
    </w:p>
    <w:p w14:paraId="23098134" w14:textId="59FE5D70" w:rsidR="004F7931" w:rsidRPr="00B7618A" w:rsidRDefault="00E01A0B" w:rsidP="005A75FD">
      <w:pPr>
        <w:pStyle w:val="BodyText"/>
      </w:pPr>
      <w:r w:rsidRPr="00B7618A">
        <w:t>EPA</w:t>
      </w:r>
      <w:r w:rsidR="004F7931" w:rsidRPr="00B7618A">
        <w:t>’s Small Business Division</w:t>
      </w:r>
      <w:r w:rsidR="00AE3689" w:rsidRPr="00B7618A">
        <w:t xml:space="preserve"> </w:t>
      </w:r>
      <w:r w:rsidR="001F6498" w:rsidRPr="00B7618A">
        <w:t xml:space="preserve">(SBD) </w:t>
      </w:r>
      <w:r w:rsidR="00AE3689" w:rsidRPr="00B7618A">
        <w:t xml:space="preserve">maintains a website and a telephone hotline that small businesses can access with their questions about complying with environmental requirements. Small businesses are assisted by programs in the </w:t>
      </w:r>
      <w:r w:rsidR="00321286" w:rsidRPr="00B7618A">
        <w:t>s</w:t>
      </w:r>
      <w:r w:rsidR="00AE3689" w:rsidRPr="00B7618A">
        <w:t xml:space="preserve">tates, so partnerships between EPA and the </w:t>
      </w:r>
      <w:r w:rsidR="00321286" w:rsidRPr="00417120">
        <w:t>s</w:t>
      </w:r>
      <w:r w:rsidR="00AE3689" w:rsidRPr="00CF32C7">
        <w:t>tates a</w:t>
      </w:r>
      <w:r w:rsidR="00625E0C">
        <w:t>re essential. The Agency</w:t>
      </w:r>
      <w:r w:rsidR="00AE3689" w:rsidRPr="00CF32C7">
        <w:t xml:space="preserve"> </w:t>
      </w:r>
      <w:r w:rsidR="00625E0C">
        <w:t>h</w:t>
      </w:r>
      <w:r w:rsidR="00AE3689" w:rsidRPr="00B7618A">
        <w:t>as developed an extensive network with State Compliance Advisory Panels, Small Business Ombudsmen and Small Business Assistance Providers.</w:t>
      </w:r>
      <w:r w:rsidR="0068763C" w:rsidRPr="00B7618A">
        <w:t xml:space="preserve"> </w:t>
      </w:r>
      <w:r w:rsidR="00E61DB1">
        <w:t xml:space="preserve">EPA’s </w:t>
      </w:r>
      <w:r w:rsidR="00AE3689" w:rsidRPr="00B7618A">
        <w:t>SBD hosts an annual conference provid</w:t>
      </w:r>
      <w:r w:rsidR="00E61DB1">
        <w:t>ing</w:t>
      </w:r>
      <w:r w:rsidR="00AE3689" w:rsidRPr="00B7618A">
        <w:t xml:space="preserve"> an opportunity for </w:t>
      </w:r>
      <w:r w:rsidR="00321286" w:rsidRPr="00B7618A">
        <w:t>s</w:t>
      </w:r>
      <w:r w:rsidR="00AE3689" w:rsidRPr="00B7618A">
        <w:t xml:space="preserve">tate small business assistance providers, Compliance Advisory Panel members, trade association representatives, </w:t>
      </w:r>
      <w:r w:rsidRPr="00B7618A">
        <w:t>EPA</w:t>
      </w:r>
      <w:r w:rsidR="00E61DB1">
        <w:t>,</w:t>
      </w:r>
      <w:r w:rsidR="00AE3689" w:rsidRPr="00B7618A">
        <w:t xml:space="preserve"> and other federal agencies staff to learn and share information about helping the small business community</w:t>
      </w:r>
      <w:r w:rsidR="00E61DB1">
        <w:t>, and</w:t>
      </w:r>
      <w:r w:rsidR="00AE3689" w:rsidRPr="00B7618A">
        <w:t xml:space="preserve"> better coordinate their small business assistance delivery mechanisms. </w:t>
      </w:r>
      <w:r w:rsidRPr="00B7618A">
        <w:t>EPA</w:t>
      </w:r>
      <w:r w:rsidR="00AE3689" w:rsidRPr="00B7618A">
        <w:t xml:space="preserve"> Small Business Ombudsman also periodically reports to Congress on the activities and progress of the </w:t>
      </w:r>
      <w:r w:rsidR="00321286" w:rsidRPr="00B7618A">
        <w:t>s</w:t>
      </w:r>
      <w:r w:rsidR="00AE3689" w:rsidRPr="00B7618A">
        <w:t>tate Small Business Assistance Programs.</w:t>
      </w:r>
    </w:p>
    <w:p w14:paraId="4646A508" w14:textId="77777777" w:rsidR="009E1D15" w:rsidRPr="00B7618A" w:rsidRDefault="005210A4" w:rsidP="00704F82">
      <w:pPr>
        <w:pStyle w:val="Heading2"/>
      </w:pPr>
      <w:bookmarkStart w:id="31" w:name="_Toc406051436"/>
      <w:r w:rsidRPr="00B7618A">
        <w:t xml:space="preserve">Collection </w:t>
      </w:r>
      <w:r w:rsidR="0078227A" w:rsidRPr="00B7618A">
        <w:t>Schedule</w:t>
      </w:r>
      <w:bookmarkEnd w:id="31"/>
    </w:p>
    <w:p w14:paraId="56139D81" w14:textId="4543F331" w:rsidR="005210A4" w:rsidRDefault="009E1D15" w:rsidP="005A75FD">
      <w:pPr>
        <w:pStyle w:val="BodyText"/>
      </w:pPr>
      <w:r w:rsidRPr="00B7618A">
        <w:t xml:space="preserve">The CWA requires </w:t>
      </w:r>
      <w:r w:rsidR="009E20AC" w:rsidRPr="00B7618A">
        <w:t>s</w:t>
      </w:r>
      <w:r w:rsidRPr="00B7618A">
        <w:t xml:space="preserve">tates and authorized </w:t>
      </w:r>
      <w:r w:rsidR="009E20AC" w:rsidRPr="00B7618A">
        <w:t>t</w:t>
      </w:r>
      <w:r w:rsidRPr="00B7618A">
        <w:t xml:space="preserve">ribes to review </w:t>
      </w:r>
      <w:r w:rsidR="00E03559" w:rsidRPr="00B7618A">
        <w:t>WQS</w:t>
      </w:r>
      <w:r w:rsidRPr="00B7618A">
        <w:t xml:space="preserve"> at least once every three years and provide the results to </w:t>
      </w:r>
      <w:r w:rsidR="00E01A0B" w:rsidRPr="00B7618A">
        <w:t>EPA</w:t>
      </w:r>
      <w:r w:rsidRPr="00B7618A">
        <w:t>.</w:t>
      </w:r>
      <w:r w:rsidR="0068763C" w:rsidRPr="00B7618A">
        <w:t xml:space="preserve"> </w:t>
      </w:r>
      <w:r w:rsidRPr="00B7618A">
        <w:t xml:space="preserve">In practice, some </w:t>
      </w:r>
      <w:r w:rsidR="009E20AC" w:rsidRPr="00B7618A">
        <w:t>s</w:t>
      </w:r>
      <w:r w:rsidRPr="00B7618A">
        <w:t xml:space="preserve">tates and </w:t>
      </w:r>
      <w:r w:rsidR="009E20AC" w:rsidRPr="00B7618A">
        <w:t>authorized t</w:t>
      </w:r>
      <w:r w:rsidRPr="00B7618A">
        <w:t xml:space="preserve">ribes choose to </w:t>
      </w:r>
      <w:r w:rsidR="00406708" w:rsidRPr="00B7618A">
        <w:t xml:space="preserve">review and revise </w:t>
      </w:r>
      <w:r w:rsidRPr="00B7618A">
        <w:t xml:space="preserve">portions of their </w:t>
      </w:r>
      <w:r w:rsidR="00406708" w:rsidRPr="00B7618A">
        <w:t>WQS</w:t>
      </w:r>
      <w:r w:rsidRPr="00B7618A">
        <w:t xml:space="preserve"> more frequently.</w:t>
      </w:r>
    </w:p>
    <w:p w14:paraId="6EAC8BE0" w14:textId="77777777" w:rsidR="00AD6354" w:rsidRDefault="00AD6354" w:rsidP="005A75FD">
      <w:pPr>
        <w:pStyle w:val="BodyText"/>
      </w:pPr>
    </w:p>
    <w:p w14:paraId="6C7EFAEC" w14:textId="77777777" w:rsidR="00AD6354" w:rsidRDefault="00AD6354" w:rsidP="005A75FD">
      <w:pPr>
        <w:pStyle w:val="BodyText"/>
        <w:sectPr w:rsidR="00AD6354" w:rsidSect="00AD6354">
          <w:pgSz w:w="12240" w:h="15840"/>
          <w:pgMar w:top="1440" w:right="1440" w:bottom="1440" w:left="1440" w:header="720" w:footer="1440" w:gutter="0"/>
          <w:pgNumType w:start="1" w:chapStyle="1"/>
          <w:cols w:space="720"/>
          <w:noEndnote/>
          <w:docGrid w:linePitch="326"/>
        </w:sectPr>
      </w:pPr>
    </w:p>
    <w:p w14:paraId="498E3202" w14:textId="451CD0F5" w:rsidR="009E1D15" w:rsidRPr="00B7618A" w:rsidRDefault="00D24BE0" w:rsidP="00704F82">
      <w:pPr>
        <w:pStyle w:val="Heading1"/>
      </w:pPr>
      <w:bookmarkStart w:id="32" w:name="_Ref403051913"/>
      <w:bookmarkStart w:id="33" w:name="_Toc406051437"/>
      <w:r>
        <w:lastRenderedPageBreak/>
        <w:t>Burden, Cost, and Benefit of the Collection</w:t>
      </w:r>
      <w:bookmarkEnd w:id="32"/>
      <w:bookmarkEnd w:id="33"/>
    </w:p>
    <w:p w14:paraId="539197BB" w14:textId="0E5371F9" w:rsidR="0043329C" w:rsidRDefault="0043329C" w:rsidP="0043329C">
      <w:pPr>
        <w:pStyle w:val="BodyText"/>
      </w:pPr>
      <w:bookmarkStart w:id="34" w:name="_Ref403036384"/>
      <w:r>
        <w:t>This section describes how EPA estimate</w:t>
      </w:r>
      <w:r w:rsidR="00E61DB1">
        <w:t>s</w:t>
      </w:r>
      <w:r>
        <w:t xml:space="preserve"> the burden and cost of the information collection, summarizes the results, and </w:t>
      </w:r>
      <w:r w:rsidR="0042239F">
        <w:t xml:space="preserve">summarizes </w:t>
      </w:r>
      <w:r>
        <w:t>the benefit</w:t>
      </w:r>
      <w:r w:rsidR="0042239F">
        <w:t xml:space="preserve"> of collecting the information</w:t>
      </w:r>
      <w:r>
        <w:t>.</w:t>
      </w:r>
    </w:p>
    <w:p w14:paraId="6C02BD82" w14:textId="6195546A" w:rsidR="00D9711C" w:rsidRPr="00B7618A" w:rsidRDefault="00D9711C" w:rsidP="00704F82">
      <w:pPr>
        <w:pStyle w:val="Heading2"/>
      </w:pPr>
      <w:bookmarkStart w:id="35" w:name="_Toc406051438"/>
      <w:r w:rsidRPr="00B7618A">
        <w:t xml:space="preserve">Estimating </w:t>
      </w:r>
      <w:r w:rsidR="00AA16F3">
        <w:t>P</w:t>
      </w:r>
      <w:r w:rsidRPr="00B7618A">
        <w:t xml:space="preserve">otential </w:t>
      </w:r>
      <w:r w:rsidR="00AA16F3">
        <w:t>I</w:t>
      </w:r>
      <w:r w:rsidRPr="00B7618A">
        <w:t xml:space="preserve">ncremental </w:t>
      </w:r>
      <w:r w:rsidR="00AA16F3">
        <w:t>B</w:t>
      </w:r>
      <w:r w:rsidRPr="00B7618A">
        <w:t xml:space="preserve">urden and </w:t>
      </w:r>
      <w:r w:rsidR="00AA16F3">
        <w:t>C</w:t>
      </w:r>
      <w:r w:rsidRPr="00B7618A">
        <w:t>ost</w:t>
      </w:r>
      <w:bookmarkEnd w:id="34"/>
      <w:bookmarkEnd w:id="35"/>
    </w:p>
    <w:p w14:paraId="67332384" w14:textId="3901108B" w:rsidR="00523340" w:rsidRPr="005A75FD" w:rsidRDefault="00A179A2" w:rsidP="005A75FD">
      <w:pPr>
        <w:pStyle w:val="BodyText"/>
      </w:pPr>
      <w:r w:rsidRPr="00B7618A">
        <w:rPr>
          <w:szCs w:val="24"/>
        </w:rPr>
        <w:t>EPA estimate</w:t>
      </w:r>
      <w:r w:rsidR="00E61DB1">
        <w:rPr>
          <w:szCs w:val="24"/>
        </w:rPr>
        <w:t>s</w:t>
      </w:r>
      <w:r w:rsidRPr="00B7618A">
        <w:rPr>
          <w:szCs w:val="24"/>
        </w:rPr>
        <w:t xml:space="preserve"> the incremental number of labor hours using historical information and data, and the historical knowledge and best professional judgment of EPA personnel with experience administering the WQS program.</w:t>
      </w:r>
      <w:r>
        <w:rPr>
          <w:szCs w:val="24"/>
        </w:rPr>
        <w:t xml:space="preserve"> </w:t>
      </w:r>
      <w:r>
        <w:t>EPA estimate</w:t>
      </w:r>
      <w:r w:rsidR="00E61DB1">
        <w:t>s</w:t>
      </w:r>
      <w:r w:rsidR="001B3816">
        <w:t xml:space="preserve"> the cost of labor </w:t>
      </w:r>
      <w:r w:rsidR="00F317D3" w:rsidRPr="005A75FD">
        <w:t xml:space="preserve">from data on state government hourly wage rates (data are not available for tribes). </w:t>
      </w:r>
      <w:r w:rsidR="006B5FFE" w:rsidRPr="005A75FD">
        <w:fldChar w:fldCharType="begin"/>
      </w:r>
      <w:r w:rsidR="006B5FFE" w:rsidRPr="005A75FD">
        <w:instrText xml:space="preserve"> REF _Ref301788750 \h  \* MERGEFORMAT </w:instrText>
      </w:r>
      <w:r w:rsidR="006B5FFE" w:rsidRPr="005A75FD">
        <w:fldChar w:fldCharType="separate"/>
      </w:r>
      <w:r w:rsidR="00C1356F" w:rsidRPr="005A75FD">
        <w:t>Table 6</w:t>
      </w:r>
      <w:r w:rsidR="00C1356F" w:rsidRPr="005A75FD">
        <w:noBreakHyphen/>
        <w:t>1</w:t>
      </w:r>
      <w:r w:rsidR="006B5FFE" w:rsidRPr="005A75FD">
        <w:fldChar w:fldCharType="end"/>
      </w:r>
      <w:r w:rsidR="00F317D3" w:rsidRPr="005A75FD">
        <w:t xml:space="preserve"> shows the </w:t>
      </w:r>
      <w:r w:rsidR="00877526" w:rsidRPr="005A75FD">
        <w:t>201</w:t>
      </w:r>
      <w:r w:rsidR="00D110E2" w:rsidRPr="005A75FD">
        <w:t>3</w:t>
      </w:r>
      <w:r w:rsidR="00877526" w:rsidRPr="005A75FD">
        <w:t xml:space="preserve"> </w:t>
      </w:r>
      <w:r w:rsidR="00F317D3" w:rsidRPr="005A75FD">
        <w:t>labor rates for the</w:t>
      </w:r>
      <w:r w:rsidR="001B3816" w:rsidRPr="001B3816">
        <w:t xml:space="preserve"> </w:t>
      </w:r>
      <w:r w:rsidR="001B3816" w:rsidRPr="005A75FD">
        <w:t xml:space="preserve">categories </w:t>
      </w:r>
      <w:r w:rsidR="001B3816">
        <w:t>EPA identifie</w:t>
      </w:r>
      <w:r w:rsidR="00E61DB1">
        <w:t>s</w:t>
      </w:r>
      <w:r w:rsidR="001B3816">
        <w:t xml:space="preserve"> </w:t>
      </w:r>
      <w:r w:rsidR="001B3816" w:rsidRPr="005A75FD">
        <w:t xml:space="preserve">as applicable to </w:t>
      </w:r>
      <w:r w:rsidR="00E61DB1">
        <w:t>the rule</w:t>
      </w:r>
      <w:r w:rsidR="00F317D3" w:rsidRPr="005A75FD">
        <w:t xml:space="preserve">, accounting for benefits using the </w:t>
      </w:r>
      <w:r w:rsidR="00240814">
        <w:t xml:space="preserve">Bureau of Labor Statistics </w:t>
      </w:r>
      <w:r w:rsidR="00F317D3" w:rsidRPr="005A75FD">
        <w:t>Employer Cost for Employee Compensation for state and local professional government workers (</w:t>
      </w:r>
      <w:r w:rsidR="008F3525" w:rsidRPr="005A75FD">
        <w:t>33</w:t>
      </w:r>
      <w:r w:rsidR="00F317D3" w:rsidRPr="005A75FD">
        <w:t xml:space="preserve">% of total compensation is attributable to benefits). </w:t>
      </w:r>
      <w:r w:rsidR="001B3816">
        <w:t>EPA use</w:t>
      </w:r>
      <w:r w:rsidR="00E61DB1">
        <w:t>s</w:t>
      </w:r>
      <w:r w:rsidR="001B3816">
        <w:t xml:space="preserve"> a</w:t>
      </w:r>
      <w:r w:rsidR="00F317D3" w:rsidRPr="005A75FD">
        <w:t xml:space="preserve">n average wage rate because </w:t>
      </w:r>
      <w:r w:rsidR="001B3816">
        <w:t xml:space="preserve">it </w:t>
      </w:r>
      <w:r w:rsidR="00F317D3" w:rsidRPr="005A75FD">
        <w:t xml:space="preserve">does not have information on the division of labor hours by professional category that states and </w:t>
      </w:r>
      <w:r w:rsidR="006D7660" w:rsidRPr="005A75FD">
        <w:t xml:space="preserve">authorized </w:t>
      </w:r>
      <w:r w:rsidR="00F317D3" w:rsidRPr="005A75FD">
        <w:t xml:space="preserve">tribes use to administer their WQS programs.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80"/>
        <w:gridCol w:w="1980"/>
        <w:gridCol w:w="1800"/>
        <w:gridCol w:w="1800"/>
      </w:tblGrid>
      <w:tr w:rsidR="00523340" w:rsidRPr="00B7618A" w14:paraId="35111C97" w14:textId="77777777" w:rsidTr="00381864">
        <w:trPr>
          <w:trHeight w:val="255"/>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14:paraId="2FE6672E" w14:textId="198206D7" w:rsidR="00523340" w:rsidRPr="005A75FD" w:rsidRDefault="00523340" w:rsidP="00625E0C">
            <w:pPr>
              <w:pStyle w:val="Caption"/>
              <w:rPr>
                <w:szCs w:val="24"/>
              </w:rPr>
            </w:pPr>
            <w:bookmarkStart w:id="36" w:name="_Ref279661033"/>
            <w:bookmarkStart w:id="37" w:name="_Ref301788750"/>
            <w:bookmarkStart w:id="38" w:name="_Toc288043052"/>
            <w:bookmarkStart w:id="39" w:name="_Ref291066085"/>
            <w:bookmarkStart w:id="40" w:name="_Toc300763558"/>
            <w:r w:rsidRPr="00396F4C">
              <w:rPr>
                <w:szCs w:val="24"/>
              </w:rPr>
              <w:t xml:space="preserve">Table </w:t>
            </w:r>
            <w:bookmarkEnd w:id="36"/>
            <w:r w:rsidR="00AC008A" w:rsidRPr="005A75FD">
              <w:rPr>
                <w:szCs w:val="24"/>
              </w:rPr>
              <w:fldChar w:fldCharType="begin"/>
            </w:r>
            <w:r w:rsidR="00AC008A" w:rsidRPr="005A75FD">
              <w:rPr>
                <w:szCs w:val="24"/>
              </w:rPr>
              <w:instrText xml:space="preserve"> STYLEREF 1 \s </w:instrText>
            </w:r>
            <w:r w:rsidR="00AC008A" w:rsidRPr="005A75FD">
              <w:rPr>
                <w:szCs w:val="24"/>
              </w:rPr>
              <w:fldChar w:fldCharType="separate"/>
            </w:r>
            <w:r w:rsidR="00AC008A" w:rsidRPr="005A75FD">
              <w:rPr>
                <w:noProof/>
                <w:szCs w:val="24"/>
              </w:rPr>
              <w:t>6</w:t>
            </w:r>
            <w:r w:rsidR="00AC008A" w:rsidRPr="005A75FD">
              <w:rPr>
                <w:szCs w:val="24"/>
              </w:rPr>
              <w:fldChar w:fldCharType="end"/>
            </w:r>
            <w:r w:rsidR="00AC008A" w:rsidRPr="005A75FD">
              <w:rPr>
                <w:szCs w:val="24"/>
              </w:rPr>
              <w:noBreakHyphen/>
            </w:r>
            <w:r w:rsidR="00AC008A" w:rsidRPr="005A75FD">
              <w:rPr>
                <w:szCs w:val="24"/>
              </w:rPr>
              <w:fldChar w:fldCharType="begin"/>
            </w:r>
            <w:r w:rsidR="00AC008A" w:rsidRPr="005A75FD">
              <w:rPr>
                <w:szCs w:val="24"/>
              </w:rPr>
              <w:instrText xml:space="preserve"> SEQ Table \* ARABIC \s 1 </w:instrText>
            </w:r>
            <w:r w:rsidR="00AC008A" w:rsidRPr="005A75FD">
              <w:rPr>
                <w:szCs w:val="24"/>
              </w:rPr>
              <w:fldChar w:fldCharType="separate"/>
            </w:r>
            <w:r w:rsidR="00AC008A" w:rsidRPr="005A75FD">
              <w:rPr>
                <w:noProof/>
                <w:szCs w:val="24"/>
              </w:rPr>
              <w:t>1</w:t>
            </w:r>
            <w:r w:rsidR="00AC008A" w:rsidRPr="005A75FD">
              <w:rPr>
                <w:szCs w:val="24"/>
              </w:rPr>
              <w:fldChar w:fldCharType="end"/>
            </w:r>
            <w:bookmarkEnd w:id="37"/>
            <w:r w:rsidR="00F13C69" w:rsidRPr="005A75FD">
              <w:rPr>
                <w:szCs w:val="24"/>
              </w:rPr>
              <w:t>:</w:t>
            </w:r>
            <w:r w:rsidRPr="005A75FD">
              <w:rPr>
                <w:szCs w:val="24"/>
              </w:rPr>
              <w:t xml:space="preserve"> Summary of State Government Average Hourly Wage Rates</w:t>
            </w:r>
            <w:bookmarkEnd w:id="38"/>
            <w:r w:rsidRPr="005A75FD">
              <w:rPr>
                <w:szCs w:val="24"/>
              </w:rPr>
              <w:t xml:space="preserve"> (201</w:t>
            </w:r>
            <w:r w:rsidR="00D5028E" w:rsidRPr="005A75FD">
              <w:rPr>
                <w:szCs w:val="24"/>
              </w:rPr>
              <w:t>3</w:t>
            </w:r>
            <w:r w:rsidRPr="005A75FD">
              <w:rPr>
                <w:szCs w:val="24"/>
              </w:rPr>
              <w:t>$)</w:t>
            </w:r>
            <w:bookmarkEnd w:id="39"/>
            <w:bookmarkEnd w:id="40"/>
          </w:p>
        </w:tc>
      </w:tr>
      <w:tr w:rsidR="00523340" w:rsidRPr="00B7618A" w14:paraId="367DC1BA" w14:textId="77777777" w:rsidTr="00381864">
        <w:trPr>
          <w:trHeight w:val="485"/>
          <w:jc w:val="center"/>
        </w:trPr>
        <w:tc>
          <w:tcPr>
            <w:tcW w:w="3780" w:type="dxa"/>
            <w:tcBorders>
              <w:top w:val="single" w:sz="4" w:space="0" w:color="auto"/>
            </w:tcBorders>
            <w:shd w:val="clear" w:color="auto" w:fill="FFFF99"/>
            <w:noWrap/>
            <w:vAlign w:val="center"/>
          </w:tcPr>
          <w:p w14:paraId="6C828E44" w14:textId="77777777" w:rsidR="00523340" w:rsidRPr="005A75FD" w:rsidRDefault="00523340" w:rsidP="005A75FD">
            <w:pPr>
              <w:pStyle w:val="ExhibitHeading"/>
              <w:keepLines/>
              <w:rPr>
                <w:sz w:val="24"/>
                <w:szCs w:val="24"/>
              </w:rPr>
            </w:pPr>
            <w:r w:rsidRPr="005A75FD">
              <w:rPr>
                <w:sz w:val="24"/>
                <w:szCs w:val="24"/>
              </w:rPr>
              <w:t>Labor Category (OES Category)</w:t>
            </w:r>
          </w:p>
        </w:tc>
        <w:tc>
          <w:tcPr>
            <w:tcW w:w="1980" w:type="dxa"/>
            <w:tcBorders>
              <w:top w:val="single" w:sz="4" w:space="0" w:color="auto"/>
            </w:tcBorders>
            <w:shd w:val="clear" w:color="auto" w:fill="FFFF99"/>
            <w:noWrap/>
            <w:vAlign w:val="center"/>
          </w:tcPr>
          <w:p w14:paraId="6798B67E" w14:textId="77777777" w:rsidR="00523340" w:rsidRPr="005A75FD" w:rsidRDefault="00523340" w:rsidP="005A75FD">
            <w:pPr>
              <w:pStyle w:val="ExhibitHeading"/>
              <w:keepLines/>
              <w:rPr>
                <w:sz w:val="24"/>
                <w:szCs w:val="24"/>
              </w:rPr>
            </w:pPr>
            <w:r w:rsidRPr="005A75FD">
              <w:rPr>
                <w:sz w:val="24"/>
                <w:szCs w:val="24"/>
              </w:rPr>
              <w:t>Hourly Labor Rate</w:t>
            </w:r>
          </w:p>
        </w:tc>
        <w:tc>
          <w:tcPr>
            <w:tcW w:w="1800" w:type="dxa"/>
            <w:tcBorders>
              <w:top w:val="single" w:sz="4" w:space="0" w:color="auto"/>
            </w:tcBorders>
            <w:shd w:val="clear" w:color="auto" w:fill="FFFF99"/>
            <w:vAlign w:val="center"/>
          </w:tcPr>
          <w:p w14:paraId="689E0046" w14:textId="21260415" w:rsidR="00523340" w:rsidRPr="005A75FD" w:rsidRDefault="00523340" w:rsidP="005A75FD">
            <w:pPr>
              <w:pStyle w:val="ExhibitHeading"/>
              <w:keepLines/>
              <w:rPr>
                <w:sz w:val="24"/>
                <w:szCs w:val="24"/>
              </w:rPr>
            </w:pPr>
            <w:r w:rsidRPr="005A75FD">
              <w:rPr>
                <w:sz w:val="24"/>
                <w:szCs w:val="24"/>
              </w:rPr>
              <w:t>Hourly Benefits</w:t>
            </w:r>
          </w:p>
        </w:tc>
        <w:tc>
          <w:tcPr>
            <w:tcW w:w="1800" w:type="dxa"/>
            <w:tcBorders>
              <w:top w:val="single" w:sz="4" w:space="0" w:color="auto"/>
            </w:tcBorders>
            <w:shd w:val="clear" w:color="auto" w:fill="FFFF99"/>
            <w:noWrap/>
            <w:vAlign w:val="center"/>
          </w:tcPr>
          <w:p w14:paraId="107D6AFA" w14:textId="77777777" w:rsidR="00523340" w:rsidRPr="005A75FD" w:rsidRDefault="00523340" w:rsidP="005A75FD">
            <w:pPr>
              <w:pStyle w:val="ExhibitHeading"/>
              <w:keepLines/>
              <w:rPr>
                <w:sz w:val="24"/>
                <w:szCs w:val="24"/>
              </w:rPr>
            </w:pPr>
            <w:r w:rsidRPr="005A75FD">
              <w:rPr>
                <w:sz w:val="24"/>
                <w:szCs w:val="24"/>
              </w:rPr>
              <w:t>Hourly Wage Rate</w:t>
            </w:r>
          </w:p>
        </w:tc>
      </w:tr>
      <w:tr w:rsidR="00877526" w:rsidRPr="00B7618A" w14:paraId="6423069B" w14:textId="77777777" w:rsidTr="00381864">
        <w:trPr>
          <w:trHeight w:val="255"/>
          <w:jc w:val="center"/>
        </w:trPr>
        <w:tc>
          <w:tcPr>
            <w:tcW w:w="3780" w:type="dxa"/>
            <w:noWrap/>
            <w:vAlign w:val="center"/>
          </w:tcPr>
          <w:p w14:paraId="117DCC4C" w14:textId="77777777" w:rsidR="00877526" w:rsidRPr="005A75FD" w:rsidRDefault="00C46517" w:rsidP="005A75FD">
            <w:pPr>
              <w:pStyle w:val="ExhibitLeft"/>
            </w:pPr>
            <w:r w:rsidRPr="005A75FD">
              <w:t>Environmental s</w:t>
            </w:r>
            <w:r w:rsidR="00877526" w:rsidRPr="005A75FD">
              <w:t>cientist (19-2041)</w:t>
            </w:r>
          </w:p>
        </w:tc>
        <w:tc>
          <w:tcPr>
            <w:tcW w:w="1980" w:type="dxa"/>
            <w:noWrap/>
            <w:vAlign w:val="center"/>
          </w:tcPr>
          <w:p w14:paraId="22133D47" w14:textId="77777777" w:rsidR="00877526" w:rsidRPr="005A75FD" w:rsidRDefault="00877526" w:rsidP="005A75FD">
            <w:pPr>
              <w:pStyle w:val="ExhibitCenter"/>
            </w:pPr>
            <w:r w:rsidRPr="005A75FD">
              <w:t>$2</w:t>
            </w:r>
            <w:r w:rsidR="00D110E2" w:rsidRPr="005A75FD">
              <w:t>9</w:t>
            </w:r>
            <w:r w:rsidRPr="005A75FD">
              <w:t xml:space="preserve"> </w:t>
            </w:r>
          </w:p>
        </w:tc>
        <w:tc>
          <w:tcPr>
            <w:tcW w:w="1800" w:type="dxa"/>
            <w:vAlign w:val="center"/>
          </w:tcPr>
          <w:p w14:paraId="57229313" w14:textId="77777777" w:rsidR="00877526" w:rsidRPr="005A75FD" w:rsidRDefault="00877526" w:rsidP="005A75FD">
            <w:pPr>
              <w:pStyle w:val="ExhibitCenter"/>
            </w:pPr>
            <w:r w:rsidRPr="005A75FD">
              <w:t xml:space="preserve">$14 </w:t>
            </w:r>
          </w:p>
        </w:tc>
        <w:tc>
          <w:tcPr>
            <w:tcW w:w="1800" w:type="dxa"/>
            <w:noWrap/>
            <w:vAlign w:val="center"/>
          </w:tcPr>
          <w:p w14:paraId="64712847" w14:textId="77777777" w:rsidR="00877526" w:rsidRPr="005A75FD" w:rsidRDefault="00877526" w:rsidP="005A75FD">
            <w:pPr>
              <w:pStyle w:val="ExhibitCenter"/>
            </w:pPr>
            <w:r w:rsidRPr="005A75FD">
              <w:t>$4</w:t>
            </w:r>
            <w:r w:rsidR="008516C8" w:rsidRPr="005A75FD">
              <w:t>3</w:t>
            </w:r>
            <w:r w:rsidRPr="005A75FD">
              <w:t xml:space="preserve"> </w:t>
            </w:r>
          </w:p>
        </w:tc>
      </w:tr>
      <w:tr w:rsidR="00877526" w:rsidRPr="00B7618A" w14:paraId="6D3889C3" w14:textId="77777777" w:rsidTr="00381864">
        <w:trPr>
          <w:trHeight w:val="255"/>
          <w:jc w:val="center"/>
        </w:trPr>
        <w:tc>
          <w:tcPr>
            <w:tcW w:w="3780" w:type="dxa"/>
            <w:noWrap/>
            <w:vAlign w:val="center"/>
          </w:tcPr>
          <w:p w14:paraId="2EC147D8" w14:textId="77777777" w:rsidR="00877526" w:rsidRPr="005A75FD" w:rsidRDefault="00877526" w:rsidP="005A75FD">
            <w:pPr>
              <w:pStyle w:val="ExhibitLeft"/>
            </w:pPr>
            <w:r w:rsidRPr="005A75FD">
              <w:t xml:space="preserve">Environmental </w:t>
            </w:r>
            <w:r w:rsidR="00C46517" w:rsidRPr="005A75FD">
              <w:t>e</w:t>
            </w:r>
            <w:r w:rsidRPr="005A75FD">
              <w:t>ngineer (17-2081)</w:t>
            </w:r>
          </w:p>
        </w:tc>
        <w:tc>
          <w:tcPr>
            <w:tcW w:w="1980" w:type="dxa"/>
            <w:noWrap/>
            <w:vAlign w:val="center"/>
          </w:tcPr>
          <w:p w14:paraId="47EDF3A6" w14:textId="77777777" w:rsidR="00877526" w:rsidRPr="005A75FD" w:rsidRDefault="00877526" w:rsidP="005A75FD">
            <w:pPr>
              <w:pStyle w:val="ExhibitCenter"/>
            </w:pPr>
            <w:r w:rsidRPr="005A75FD">
              <w:t>$3</w:t>
            </w:r>
            <w:r w:rsidR="00D5028E" w:rsidRPr="005A75FD">
              <w:t>5</w:t>
            </w:r>
            <w:r w:rsidRPr="005A75FD">
              <w:t xml:space="preserve"> </w:t>
            </w:r>
          </w:p>
        </w:tc>
        <w:tc>
          <w:tcPr>
            <w:tcW w:w="1800" w:type="dxa"/>
            <w:vAlign w:val="center"/>
          </w:tcPr>
          <w:p w14:paraId="0EA8FA67" w14:textId="77777777" w:rsidR="00877526" w:rsidRPr="005A75FD" w:rsidRDefault="00877526" w:rsidP="005A75FD">
            <w:pPr>
              <w:pStyle w:val="ExhibitCenter"/>
            </w:pPr>
            <w:r w:rsidRPr="005A75FD">
              <w:t>$1</w:t>
            </w:r>
            <w:r w:rsidR="00D5028E" w:rsidRPr="005A75FD">
              <w:t>7</w:t>
            </w:r>
            <w:r w:rsidRPr="005A75FD">
              <w:t xml:space="preserve"> </w:t>
            </w:r>
          </w:p>
        </w:tc>
        <w:tc>
          <w:tcPr>
            <w:tcW w:w="1800" w:type="dxa"/>
            <w:noWrap/>
            <w:vAlign w:val="center"/>
          </w:tcPr>
          <w:p w14:paraId="039B05C2" w14:textId="77777777" w:rsidR="00877526" w:rsidRPr="005A75FD" w:rsidRDefault="00877526" w:rsidP="005A75FD">
            <w:pPr>
              <w:pStyle w:val="ExhibitCenter"/>
            </w:pPr>
            <w:r w:rsidRPr="005A75FD">
              <w:t>$5</w:t>
            </w:r>
            <w:r w:rsidR="008516C8" w:rsidRPr="005A75FD">
              <w:t>3</w:t>
            </w:r>
            <w:r w:rsidRPr="005A75FD">
              <w:t xml:space="preserve"> </w:t>
            </w:r>
          </w:p>
        </w:tc>
      </w:tr>
      <w:tr w:rsidR="00877526" w:rsidRPr="00B7618A" w14:paraId="57C34582" w14:textId="77777777" w:rsidTr="00381864">
        <w:trPr>
          <w:trHeight w:val="255"/>
          <w:jc w:val="center"/>
        </w:trPr>
        <w:tc>
          <w:tcPr>
            <w:tcW w:w="3780" w:type="dxa"/>
            <w:noWrap/>
            <w:vAlign w:val="center"/>
          </w:tcPr>
          <w:p w14:paraId="2D09F713" w14:textId="77777777" w:rsidR="00877526" w:rsidRPr="005A75FD" w:rsidRDefault="00877526" w:rsidP="005A75FD">
            <w:pPr>
              <w:pStyle w:val="ExhibitLeft"/>
            </w:pPr>
            <w:r w:rsidRPr="005A75FD">
              <w:t>Economist (19-3011)</w:t>
            </w:r>
          </w:p>
        </w:tc>
        <w:tc>
          <w:tcPr>
            <w:tcW w:w="1980" w:type="dxa"/>
            <w:noWrap/>
            <w:vAlign w:val="center"/>
          </w:tcPr>
          <w:p w14:paraId="725869D8" w14:textId="77777777" w:rsidR="00877526" w:rsidRPr="005A75FD" w:rsidRDefault="00877526" w:rsidP="005A75FD">
            <w:pPr>
              <w:pStyle w:val="ExhibitCenter"/>
            </w:pPr>
            <w:r w:rsidRPr="005A75FD">
              <w:t>$3</w:t>
            </w:r>
            <w:r w:rsidR="008516C8" w:rsidRPr="005A75FD">
              <w:t>1</w:t>
            </w:r>
            <w:r w:rsidRPr="005A75FD">
              <w:t xml:space="preserve"> </w:t>
            </w:r>
          </w:p>
        </w:tc>
        <w:tc>
          <w:tcPr>
            <w:tcW w:w="1800" w:type="dxa"/>
            <w:vAlign w:val="center"/>
          </w:tcPr>
          <w:p w14:paraId="44E16A6C" w14:textId="77777777" w:rsidR="00877526" w:rsidRPr="005A75FD" w:rsidRDefault="00877526" w:rsidP="005A75FD">
            <w:pPr>
              <w:pStyle w:val="ExhibitCenter"/>
            </w:pPr>
            <w:r w:rsidRPr="005A75FD">
              <w:t xml:space="preserve">$15 </w:t>
            </w:r>
          </w:p>
        </w:tc>
        <w:tc>
          <w:tcPr>
            <w:tcW w:w="1800" w:type="dxa"/>
            <w:noWrap/>
            <w:vAlign w:val="center"/>
          </w:tcPr>
          <w:p w14:paraId="16BC7AE4" w14:textId="77777777" w:rsidR="00877526" w:rsidRPr="005A75FD" w:rsidRDefault="00877526" w:rsidP="005A75FD">
            <w:pPr>
              <w:pStyle w:val="ExhibitCenter"/>
            </w:pPr>
            <w:r w:rsidRPr="005A75FD">
              <w:t>$4</w:t>
            </w:r>
            <w:r w:rsidR="008516C8" w:rsidRPr="005A75FD">
              <w:t>6</w:t>
            </w:r>
            <w:r w:rsidRPr="005A75FD">
              <w:t xml:space="preserve"> </w:t>
            </w:r>
          </w:p>
        </w:tc>
      </w:tr>
      <w:tr w:rsidR="00877526" w:rsidRPr="00B7618A" w14:paraId="2098EBBE" w14:textId="77777777" w:rsidTr="00381864">
        <w:trPr>
          <w:trHeight w:val="255"/>
          <w:jc w:val="center"/>
        </w:trPr>
        <w:tc>
          <w:tcPr>
            <w:tcW w:w="3780" w:type="dxa"/>
            <w:noWrap/>
            <w:vAlign w:val="center"/>
          </w:tcPr>
          <w:p w14:paraId="794E6D68" w14:textId="77777777" w:rsidR="00877526" w:rsidRPr="005A75FD" w:rsidRDefault="00877526" w:rsidP="005A75FD">
            <w:pPr>
              <w:pStyle w:val="ExhibitLeft"/>
            </w:pPr>
            <w:r w:rsidRPr="005A75FD">
              <w:t>Manager (11-9121)</w:t>
            </w:r>
          </w:p>
        </w:tc>
        <w:tc>
          <w:tcPr>
            <w:tcW w:w="1980" w:type="dxa"/>
            <w:noWrap/>
            <w:vAlign w:val="center"/>
          </w:tcPr>
          <w:p w14:paraId="50C81F2C" w14:textId="77777777" w:rsidR="00877526" w:rsidRPr="005A75FD" w:rsidRDefault="00877526" w:rsidP="005A75FD">
            <w:pPr>
              <w:pStyle w:val="ExhibitCenter"/>
            </w:pPr>
            <w:r w:rsidRPr="005A75FD">
              <w:t>$3</w:t>
            </w:r>
            <w:r w:rsidR="008516C8" w:rsidRPr="005A75FD">
              <w:t>7</w:t>
            </w:r>
            <w:r w:rsidRPr="005A75FD">
              <w:t xml:space="preserve"> </w:t>
            </w:r>
          </w:p>
        </w:tc>
        <w:tc>
          <w:tcPr>
            <w:tcW w:w="1800" w:type="dxa"/>
            <w:vAlign w:val="center"/>
          </w:tcPr>
          <w:p w14:paraId="2860C682" w14:textId="77777777" w:rsidR="00877526" w:rsidRPr="005A75FD" w:rsidRDefault="00877526" w:rsidP="005A75FD">
            <w:pPr>
              <w:pStyle w:val="ExhibitCenter"/>
            </w:pPr>
            <w:r w:rsidRPr="005A75FD">
              <w:t xml:space="preserve">$18 </w:t>
            </w:r>
          </w:p>
        </w:tc>
        <w:tc>
          <w:tcPr>
            <w:tcW w:w="1800" w:type="dxa"/>
            <w:noWrap/>
            <w:vAlign w:val="center"/>
          </w:tcPr>
          <w:p w14:paraId="23AC35CE" w14:textId="77777777" w:rsidR="00877526" w:rsidRPr="005A75FD" w:rsidRDefault="00877526" w:rsidP="005A75FD">
            <w:pPr>
              <w:pStyle w:val="ExhibitCenter"/>
            </w:pPr>
            <w:r w:rsidRPr="005A75FD">
              <w:t>$5</w:t>
            </w:r>
            <w:r w:rsidR="008516C8" w:rsidRPr="005A75FD">
              <w:t>5</w:t>
            </w:r>
            <w:r w:rsidRPr="005A75FD">
              <w:t xml:space="preserve"> </w:t>
            </w:r>
          </w:p>
        </w:tc>
      </w:tr>
      <w:tr w:rsidR="00877526" w:rsidRPr="00B7618A" w14:paraId="689F89A4" w14:textId="77777777" w:rsidTr="00381864">
        <w:trPr>
          <w:trHeight w:val="70"/>
          <w:jc w:val="center"/>
        </w:trPr>
        <w:tc>
          <w:tcPr>
            <w:tcW w:w="3780" w:type="dxa"/>
            <w:noWrap/>
            <w:vAlign w:val="center"/>
          </w:tcPr>
          <w:p w14:paraId="25988B93" w14:textId="77777777" w:rsidR="00877526" w:rsidRPr="003B1AFF" w:rsidRDefault="00877526" w:rsidP="005A75FD">
            <w:pPr>
              <w:pStyle w:val="ExhibitLeft"/>
              <w:rPr>
                <w:b/>
              </w:rPr>
            </w:pPr>
            <w:r w:rsidRPr="003B1AFF">
              <w:rPr>
                <w:b/>
              </w:rPr>
              <w:t>Average</w:t>
            </w:r>
          </w:p>
        </w:tc>
        <w:tc>
          <w:tcPr>
            <w:tcW w:w="1980" w:type="dxa"/>
            <w:vAlign w:val="center"/>
          </w:tcPr>
          <w:p w14:paraId="682F5F0A" w14:textId="77777777" w:rsidR="00877526" w:rsidRPr="003B1AFF" w:rsidRDefault="00877526" w:rsidP="005A75FD">
            <w:pPr>
              <w:pStyle w:val="ExhibitCenter"/>
              <w:rPr>
                <w:b/>
              </w:rPr>
            </w:pPr>
            <w:r w:rsidRPr="003B1AFF">
              <w:rPr>
                <w:b/>
              </w:rPr>
              <w:t>--</w:t>
            </w:r>
          </w:p>
        </w:tc>
        <w:tc>
          <w:tcPr>
            <w:tcW w:w="1800" w:type="dxa"/>
            <w:vAlign w:val="center"/>
          </w:tcPr>
          <w:p w14:paraId="7C5DFE43" w14:textId="77777777" w:rsidR="00877526" w:rsidRPr="003B1AFF" w:rsidRDefault="00877526" w:rsidP="005A75FD">
            <w:pPr>
              <w:pStyle w:val="ExhibitCenter"/>
              <w:rPr>
                <w:b/>
              </w:rPr>
            </w:pPr>
            <w:r w:rsidRPr="003B1AFF">
              <w:rPr>
                <w:b/>
              </w:rPr>
              <w:t>--</w:t>
            </w:r>
          </w:p>
        </w:tc>
        <w:tc>
          <w:tcPr>
            <w:tcW w:w="1800" w:type="dxa"/>
            <w:noWrap/>
            <w:vAlign w:val="center"/>
          </w:tcPr>
          <w:p w14:paraId="3CF0454E" w14:textId="77777777" w:rsidR="00877526" w:rsidRPr="003B1AFF" w:rsidRDefault="00877526" w:rsidP="005A75FD">
            <w:pPr>
              <w:pStyle w:val="ExhibitCenter"/>
              <w:rPr>
                <w:b/>
              </w:rPr>
            </w:pPr>
            <w:r w:rsidRPr="003B1AFF">
              <w:rPr>
                <w:b/>
              </w:rPr>
              <w:t>$4</w:t>
            </w:r>
            <w:r w:rsidR="008516C8" w:rsidRPr="003B1AFF">
              <w:rPr>
                <w:b/>
              </w:rPr>
              <w:t>9</w:t>
            </w:r>
            <w:r w:rsidRPr="003B1AFF">
              <w:rPr>
                <w:b/>
              </w:rPr>
              <w:t xml:space="preserve"> </w:t>
            </w:r>
          </w:p>
        </w:tc>
      </w:tr>
      <w:tr w:rsidR="00523340" w:rsidRPr="00B7618A" w14:paraId="10DC1C09" w14:textId="77777777" w:rsidTr="00381864">
        <w:trPr>
          <w:trHeight w:val="512"/>
          <w:jc w:val="center"/>
        </w:trPr>
        <w:tc>
          <w:tcPr>
            <w:tcW w:w="9360" w:type="dxa"/>
            <w:gridSpan w:val="4"/>
            <w:noWrap/>
            <w:vAlign w:val="bottom"/>
          </w:tcPr>
          <w:p w14:paraId="4B703D48" w14:textId="77777777" w:rsidR="00523340" w:rsidRPr="005A75FD" w:rsidRDefault="00523340" w:rsidP="005A75FD">
            <w:pPr>
              <w:pStyle w:val="Exhibitnotes"/>
            </w:pPr>
            <w:r w:rsidRPr="005A75FD">
              <w:t>OES = Occupational employment statistics</w:t>
            </w:r>
          </w:p>
          <w:p w14:paraId="2BEBD1CB" w14:textId="77777777" w:rsidR="0078785F" w:rsidRPr="005A75FD" w:rsidRDefault="00523340" w:rsidP="005A75FD">
            <w:pPr>
              <w:pStyle w:val="Exhibitnotes"/>
            </w:pPr>
            <w:r w:rsidRPr="005A75FD">
              <w:t xml:space="preserve">Source: </w:t>
            </w:r>
            <w:r w:rsidR="00BE70DA" w:rsidRPr="005A75FD">
              <w:t>S</w:t>
            </w:r>
            <w:r w:rsidR="0078785F" w:rsidRPr="005A75FD">
              <w:t xml:space="preserve">ee </w:t>
            </w:r>
            <w:r w:rsidR="00BE70DA" w:rsidRPr="005A75FD">
              <w:t xml:space="preserve">the </w:t>
            </w:r>
            <w:r w:rsidR="0078785F" w:rsidRPr="005A75FD">
              <w:t>Economic Analysis</w:t>
            </w:r>
            <w:r w:rsidR="00BE70DA" w:rsidRPr="005A75FD">
              <w:t xml:space="preserve"> for the rule.</w:t>
            </w:r>
          </w:p>
        </w:tc>
      </w:tr>
    </w:tbl>
    <w:p w14:paraId="672C3D17" w14:textId="77777777" w:rsidR="00F317D3" w:rsidRPr="00B7618A" w:rsidRDefault="00F317D3" w:rsidP="003B3A98">
      <w:pPr>
        <w:pStyle w:val="BodyText"/>
      </w:pPr>
    </w:p>
    <w:p w14:paraId="2730818F" w14:textId="0911F400" w:rsidR="00FC6EB5" w:rsidRPr="00B7618A" w:rsidRDefault="00A179A2" w:rsidP="003B3A98">
      <w:pPr>
        <w:pStyle w:val="BodyText"/>
        <w:rPr>
          <w:szCs w:val="24"/>
        </w:rPr>
      </w:pPr>
      <w:r>
        <w:rPr>
          <w:szCs w:val="24"/>
        </w:rPr>
        <w:t>The sections below summarize the analysis of incremental burden and cost</w:t>
      </w:r>
      <w:r w:rsidR="007A3EFB">
        <w:rPr>
          <w:szCs w:val="24"/>
        </w:rPr>
        <w:t xml:space="preserve"> </w:t>
      </w:r>
      <w:r w:rsidR="003E0C9A">
        <w:rPr>
          <w:szCs w:val="24"/>
        </w:rPr>
        <w:t>for each subject area specified in the rule</w:t>
      </w:r>
      <w:r>
        <w:rPr>
          <w:szCs w:val="24"/>
        </w:rPr>
        <w:t>.</w:t>
      </w:r>
      <w:r w:rsidR="007A3EFB" w:rsidRPr="007A3EFB">
        <w:t xml:space="preserve"> </w:t>
      </w:r>
    </w:p>
    <w:p w14:paraId="7211BD44" w14:textId="781B57EB" w:rsidR="0076688D" w:rsidRDefault="0076688D" w:rsidP="0076688D">
      <w:pPr>
        <w:pStyle w:val="Heading3"/>
      </w:pPr>
      <w:bookmarkStart w:id="41" w:name="_Toc406051439"/>
      <w:bookmarkStart w:id="42" w:name="_Ref403037005"/>
      <w:r>
        <w:t>Administrator’s Determinations.</w:t>
      </w:r>
      <w:bookmarkEnd w:id="41"/>
    </w:p>
    <w:p w14:paraId="1A69A63B" w14:textId="7B259B0B" w:rsidR="0076688D" w:rsidRPr="00573A74" w:rsidRDefault="0076688D" w:rsidP="00381864">
      <w:pPr>
        <w:pStyle w:val="BodyText"/>
      </w:pPr>
      <w:r w:rsidRPr="005A75FD">
        <w:t>EPA</w:t>
      </w:r>
      <w:r>
        <w:t xml:space="preserve"> estimates the rule provisions related to </w:t>
      </w:r>
      <w:r w:rsidRPr="005A75FD">
        <w:t xml:space="preserve">Administrator’s determinations </w:t>
      </w:r>
      <w:r>
        <w:t>will</w:t>
      </w:r>
      <w:r w:rsidRPr="005A75FD">
        <w:t xml:space="preserve"> </w:t>
      </w:r>
      <w:r>
        <w:t>result in</w:t>
      </w:r>
      <w:r w:rsidRPr="005A75FD">
        <w:t xml:space="preserve"> </w:t>
      </w:r>
      <w:r>
        <w:t xml:space="preserve">no </w:t>
      </w:r>
      <w:r w:rsidRPr="005A75FD">
        <w:t xml:space="preserve">incremental burden </w:t>
      </w:r>
      <w:r>
        <w:t>or</w:t>
      </w:r>
      <w:r w:rsidRPr="005A75FD">
        <w:t xml:space="preserve"> cost.</w:t>
      </w:r>
    </w:p>
    <w:p w14:paraId="2D96C9B9" w14:textId="77777777" w:rsidR="0076688D" w:rsidRPr="00B7618A" w:rsidRDefault="0076688D" w:rsidP="0076688D">
      <w:pPr>
        <w:pStyle w:val="Heading3"/>
      </w:pPr>
      <w:bookmarkStart w:id="43" w:name="_Toc406051440"/>
      <w:r w:rsidRPr="00B7618A">
        <w:t>Rulemaking Activities</w:t>
      </w:r>
      <w:bookmarkEnd w:id="43"/>
    </w:p>
    <w:bookmarkEnd w:id="42"/>
    <w:p w14:paraId="303EDCA6" w14:textId="1637BE89" w:rsidR="00FB69FE" w:rsidRDefault="00C03A4D" w:rsidP="00FB69FE">
      <w:pPr>
        <w:pStyle w:val="BodyText"/>
      </w:pPr>
      <w:r>
        <w:t xml:space="preserve">EPA estimates the rule </w:t>
      </w:r>
      <w:r w:rsidR="00BF6459">
        <w:t xml:space="preserve">provisions related to WQS rulemaking activities </w:t>
      </w:r>
      <w:r>
        <w:t xml:space="preserve">could potentially result in incremental burden and cost </w:t>
      </w:r>
      <w:r w:rsidR="00C01EB7">
        <w:t>as follows</w:t>
      </w:r>
      <w:r w:rsidR="00E60214">
        <w:t>:</w:t>
      </w:r>
    </w:p>
    <w:p w14:paraId="5F16BB17" w14:textId="7E7E5DDF" w:rsidR="00FF6CDC" w:rsidRPr="00B7618A" w:rsidRDefault="003556C4" w:rsidP="00381864">
      <w:pPr>
        <w:pStyle w:val="bulletlist"/>
        <w:numPr>
          <w:ilvl w:val="0"/>
          <w:numId w:val="14"/>
        </w:numPr>
      </w:pPr>
      <w:r>
        <w:t xml:space="preserve">Incremental burden for each state or authorized tribe to perform a WQS rulemaking </w:t>
      </w:r>
      <w:r w:rsidR="00FF6CDC" w:rsidRPr="00B7618A">
        <w:t>rang</w:t>
      </w:r>
      <w:r>
        <w:t>es</w:t>
      </w:r>
      <w:r w:rsidR="00FF6CDC" w:rsidRPr="00B7618A">
        <w:t xml:space="preserve"> from </w:t>
      </w:r>
      <w:r w:rsidR="008516C8" w:rsidRPr="00B7618A">
        <w:t xml:space="preserve">500 </w:t>
      </w:r>
      <w:r w:rsidR="00F317D3" w:rsidRPr="00B7618A">
        <w:t xml:space="preserve">to </w:t>
      </w:r>
      <w:r w:rsidR="008516C8" w:rsidRPr="00B7618A">
        <w:t>1,000</w:t>
      </w:r>
      <w:r w:rsidR="00F317D3" w:rsidRPr="00B7618A">
        <w:t xml:space="preserve"> hours</w:t>
      </w:r>
      <w:r w:rsidR="00061CFF" w:rsidRPr="00B7618A">
        <w:t>.</w:t>
      </w:r>
    </w:p>
    <w:p w14:paraId="06144709" w14:textId="38C4B1D8" w:rsidR="00F317D3" w:rsidRPr="00417120" w:rsidRDefault="0076688D" w:rsidP="00381864">
      <w:pPr>
        <w:pStyle w:val="bulletlist"/>
        <w:numPr>
          <w:ilvl w:val="0"/>
          <w:numId w:val="14"/>
        </w:numPr>
      </w:pPr>
      <w:r>
        <w:lastRenderedPageBreak/>
        <w:t>C</w:t>
      </w:r>
      <w:r w:rsidR="00FC6EB5" w:rsidRPr="00B7618A">
        <w:t>ost</w:t>
      </w:r>
      <w:r>
        <w:t xml:space="preserve"> to each affected state or authorized tribe</w:t>
      </w:r>
      <w:r w:rsidR="00FC6EB5" w:rsidRPr="00B7618A">
        <w:t xml:space="preserve"> </w:t>
      </w:r>
      <w:r w:rsidR="003556C4" w:rsidRPr="00B7618A">
        <w:t>rang</w:t>
      </w:r>
      <w:r w:rsidR="003556C4">
        <w:t>es</w:t>
      </w:r>
      <w:r w:rsidR="003556C4" w:rsidRPr="00B7618A">
        <w:t xml:space="preserve"> </w:t>
      </w:r>
      <w:r w:rsidR="00FF6CDC" w:rsidRPr="00B7618A">
        <w:t>from</w:t>
      </w:r>
      <w:r w:rsidR="00F317D3" w:rsidRPr="00B7618A">
        <w:t xml:space="preserve"> $</w:t>
      </w:r>
      <w:r w:rsidR="008516C8" w:rsidRPr="00B7618A">
        <w:t>24,500</w:t>
      </w:r>
      <w:r w:rsidR="00F317D3" w:rsidRPr="00B7618A">
        <w:t xml:space="preserve"> ($</w:t>
      </w:r>
      <w:r w:rsidR="008516C8" w:rsidRPr="00B7618A">
        <w:t>49</w:t>
      </w:r>
      <w:r w:rsidR="001C671A" w:rsidRPr="00B7618A">
        <w:t xml:space="preserve"> </w:t>
      </w:r>
      <w:r w:rsidR="00967E94">
        <w:t xml:space="preserve">per hour </w:t>
      </w:r>
      <w:r w:rsidR="00F317D3" w:rsidRPr="00B7618A">
        <w:sym w:font="Wingdings 2" w:char="F0CD"/>
      </w:r>
      <w:r w:rsidR="00F317D3" w:rsidRPr="00B7618A">
        <w:t xml:space="preserve"> </w:t>
      </w:r>
      <w:r w:rsidR="008516C8" w:rsidRPr="00B7618A">
        <w:t>500</w:t>
      </w:r>
      <w:r w:rsidR="00F317D3" w:rsidRPr="00B7618A">
        <w:t xml:space="preserve"> hours) to $</w:t>
      </w:r>
      <w:r w:rsidR="008516C8" w:rsidRPr="00B7618A">
        <w:t>49,000</w:t>
      </w:r>
      <w:r w:rsidR="00F317D3" w:rsidRPr="00B7618A">
        <w:t xml:space="preserve"> ($</w:t>
      </w:r>
      <w:r w:rsidR="008516C8" w:rsidRPr="00B7618A">
        <w:t>49</w:t>
      </w:r>
      <w:r w:rsidR="001C671A" w:rsidRPr="00B7618A">
        <w:t xml:space="preserve"> </w:t>
      </w:r>
      <w:r w:rsidR="00967E94">
        <w:t xml:space="preserve">per hour </w:t>
      </w:r>
      <w:r w:rsidR="00F317D3" w:rsidRPr="00B7618A">
        <w:sym w:font="Wingdings 2" w:char="F0CD"/>
      </w:r>
      <w:r w:rsidR="00000289" w:rsidRPr="00B7618A">
        <w:t xml:space="preserve"> </w:t>
      </w:r>
      <w:r w:rsidR="008516C8" w:rsidRPr="00B7618A">
        <w:t>1,000</w:t>
      </w:r>
      <w:r w:rsidR="00000289" w:rsidRPr="00B7618A">
        <w:t xml:space="preserve"> hours)</w:t>
      </w:r>
      <w:r w:rsidR="003556C4">
        <w:t xml:space="preserve"> on the basis of EPA’s e</w:t>
      </w:r>
      <w:r w:rsidR="00824DD3" w:rsidRPr="00396F4C">
        <w:t>stimate</w:t>
      </w:r>
      <w:r w:rsidR="003556C4">
        <w:t xml:space="preserve"> of </w:t>
      </w:r>
      <w:r>
        <w:t>an</w:t>
      </w:r>
      <w:r w:rsidR="00824DD3" w:rsidRPr="00396F4C">
        <w:t xml:space="preserve"> average hourly wage rate</w:t>
      </w:r>
      <w:r>
        <w:t xml:space="preserve"> of $49 per hour</w:t>
      </w:r>
      <w:r w:rsidR="00824DD3" w:rsidRPr="00396F4C">
        <w:t xml:space="preserve"> (see </w:t>
      </w:r>
      <w:r w:rsidR="006B5FFE" w:rsidRPr="003B3A98">
        <w:fldChar w:fldCharType="begin"/>
      </w:r>
      <w:r w:rsidR="006B5FFE" w:rsidRPr="003B3A98">
        <w:instrText xml:space="preserve"> REF _Ref301788750 \h  \* MERGEFORMAT </w:instrText>
      </w:r>
      <w:r w:rsidR="006B5FFE" w:rsidRPr="003B3A98">
        <w:fldChar w:fldCharType="separate"/>
      </w:r>
      <w:r w:rsidR="00C1356F" w:rsidRPr="00B7618A">
        <w:t>Table 6</w:t>
      </w:r>
      <w:r w:rsidR="00C1356F" w:rsidRPr="00B7618A">
        <w:noBreakHyphen/>
        <w:t>1</w:t>
      </w:r>
      <w:r w:rsidR="006B5FFE" w:rsidRPr="003B3A98">
        <w:fldChar w:fldCharType="end"/>
      </w:r>
      <w:r w:rsidR="00824DD3" w:rsidRPr="00B7618A">
        <w:t>)</w:t>
      </w:r>
      <w:r w:rsidR="00061CFF" w:rsidRPr="00B7618A">
        <w:t>.</w:t>
      </w:r>
    </w:p>
    <w:p w14:paraId="52F5EA67" w14:textId="6BB7C7B6" w:rsidR="00344572" w:rsidRPr="00B7618A" w:rsidRDefault="00344572" w:rsidP="00381864">
      <w:pPr>
        <w:pStyle w:val="bulletlist"/>
        <w:numPr>
          <w:ilvl w:val="0"/>
          <w:numId w:val="14"/>
        </w:numPr>
      </w:pPr>
      <w:r w:rsidRPr="00B7618A">
        <w:t xml:space="preserve">Total one-time (nonrecurring) burden </w:t>
      </w:r>
      <w:r w:rsidR="003556C4" w:rsidRPr="00B7618A">
        <w:t>rang</w:t>
      </w:r>
      <w:r w:rsidR="003556C4">
        <w:t>es</w:t>
      </w:r>
      <w:r w:rsidR="003556C4" w:rsidRPr="00B7618A">
        <w:t xml:space="preserve"> </w:t>
      </w:r>
      <w:r w:rsidRPr="00B7618A">
        <w:t xml:space="preserve">from </w:t>
      </w:r>
      <w:r w:rsidR="008516C8" w:rsidRPr="00B7618A">
        <w:t>48,000</w:t>
      </w:r>
      <w:r w:rsidRPr="00B7618A">
        <w:t xml:space="preserve"> hours (</w:t>
      </w:r>
      <w:r w:rsidR="00655000" w:rsidRPr="00B7618A">
        <w:t>500</w:t>
      </w:r>
      <w:r w:rsidRPr="00B7618A">
        <w:t xml:space="preserve"> hours </w:t>
      </w:r>
      <w:r w:rsidRPr="00B7618A">
        <w:sym w:font="Wingdings 2" w:char="F0CD"/>
      </w:r>
      <w:r w:rsidRPr="00B7618A">
        <w:t xml:space="preserve"> </w:t>
      </w:r>
      <w:r w:rsidR="00655000" w:rsidRPr="00B7618A">
        <w:t>96</w:t>
      </w:r>
      <w:r w:rsidRPr="00B7618A">
        <w:t xml:space="preserve">) to </w:t>
      </w:r>
      <w:r w:rsidR="008516C8" w:rsidRPr="00B7618A">
        <w:t>96,000</w:t>
      </w:r>
      <w:r w:rsidRPr="00B7618A">
        <w:t xml:space="preserve"> hours (</w:t>
      </w:r>
      <w:r w:rsidR="00655000" w:rsidRPr="00B7618A">
        <w:t>1,000</w:t>
      </w:r>
      <w:r w:rsidRPr="00B7618A">
        <w:t xml:space="preserve"> hours </w:t>
      </w:r>
      <w:r w:rsidRPr="00B7618A">
        <w:sym w:font="Wingdings 2" w:char="F0CD"/>
      </w:r>
      <w:r w:rsidRPr="00B7618A">
        <w:t xml:space="preserve"> </w:t>
      </w:r>
      <w:r w:rsidR="00655000" w:rsidRPr="00B7618A">
        <w:t>96</w:t>
      </w:r>
      <w:r w:rsidRPr="00B7618A">
        <w:t>)</w:t>
      </w:r>
      <w:r w:rsidR="003556C4">
        <w:t xml:space="preserve"> on the</w:t>
      </w:r>
      <w:r w:rsidRPr="00B7618A">
        <w:t xml:space="preserve"> bas</w:t>
      </w:r>
      <w:r w:rsidR="003556C4">
        <w:t xml:space="preserve">is of </w:t>
      </w:r>
      <w:r w:rsidR="00655000" w:rsidRPr="00B7618A">
        <w:t>96</w:t>
      </w:r>
      <w:r w:rsidR="001C671A" w:rsidRPr="00B7618A">
        <w:t xml:space="preserve"> </w:t>
      </w:r>
      <w:r w:rsidRPr="00B7618A">
        <w:t xml:space="preserve">potentially affected </w:t>
      </w:r>
      <w:r w:rsidR="000531A7">
        <w:t>states and authorized tribes</w:t>
      </w:r>
      <w:r w:rsidRPr="00B7618A">
        <w:t xml:space="preserve"> (50 states, </w:t>
      </w:r>
      <w:r w:rsidR="006D7660" w:rsidRPr="00B7618A">
        <w:t>the District of Columbia, 5</w:t>
      </w:r>
      <w:r w:rsidRPr="00B7618A">
        <w:t xml:space="preserve"> territories, and </w:t>
      </w:r>
      <w:r w:rsidR="00655000" w:rsidRPr="00B7618A">
        <w:t>40</w:t>
      </w:r>
      <w:r w:rsidR="006D7660" w:rsidRPr="00B7618A">
        <w:t xml:space="preserve"> authorized</w:t>
      </w:r>
      <w:r w:rsidR="001C671A" w:rsidRPr="00B7618A">
        <w:t xml:space="preserve"> </w:t>
      </w:r>
      <w:r w:rsidRPr="00B7618A">
        <w:t xml:space="preserve">tribes </w:t>
      </w:r>
      <w:r w:rsidR="006D7660" w:rsidRPr="00B7618A">
        <w:t xml:space="preserve">with </w:t>
      </w:r>
      <w:r w:rsidR="00D40E5B" w:rsidRPr="00B7618A">
        <w:t>EPA-approved WQS</w:t>
      </w:r>
      <w:r w:rsidRPr="00B7618A">
        <w:t>).</w:t>
      </w:r>
    </w:p>
    <w:p w14:paraId="3F2E4BDB" w14:textId="6E7F7537" w:rsidR="00F317D3" w:rsidRPr="00CF32C7" w:rsidRDefault="00FF6CDC" w:rsidP="00381864">
      <w:pPr>
        <w:pStyle w:val="bulletlist"/>
        <w:numPr>
          <w:ilvl w:val="0"/>
          <w:numId w:val="14"/>
        </w:numPr>
      </w:pPr>
      <w:r w:rsidRPr="00B7618A">
        <w:t xml:space="preserve">Total one-time (nonrecurring) cost </w:t>
      </w:r>
      <w:r w:rsidR="0076688D">
        <w:t>rang</w:t>
      </w:r>
      <w:r w:rsidR="003556C4">
        <w:t>es</w:t>
      </w:r>
      <w:r w:rsidR="003556C4" w:rsidRPr="00B7618A">
        <w:t xml:space="preserve"> </w:t>
      </w:r>
      <w:r w:rsidRPr="00B7618A">
        <w:t>from $</w:t>
      </w:r>
      <w:r w:rsidR="00655000" w:rsidRPr="00B7618A">
        <w:t>2,352,000</w:t>
      </w:r>
      <w:r w:rsidRPr="00B7618A">
        <w:t xml:space="preserve"> ($</w:t>
      </w:r>
      <w:r w:rsidR="00655000" w:rsidRPr="00B7618A">
        <w:t>24,500</w:t>
      </w:r>
      <w:r w:rsidRPr="00B7618A">
        <w:t xml:space="preserve"> </w:t>
      </w:r>
      <w:r w:rsidRPr="00B7618A">
        <w:sym w:font="Wingdings 2" w:char="F0CD"/>
      </w:r>
      <w:r w:rsidRPr="00B7618A">
        <w:t xml:space="preserve"> </w:t>
      </w:r>
      <w:r w:rsidR="00655000" w:rsidRPr="00B7618A">
        <w:t>96</w:t>
      </w:r>
      <w:r w:rsidRPr="00B7618A">
        <w:t>) to $</w:t>
      </w:r>
      <w:r w:rsidR="00655000" w:rsidRPr="00B7618A">
        <w:t>4,704,000</w:t>
      </w:r>
      <w:r w:rsidRPr="00B7618A">
        <w:t xml:space="preserve"> ($</w:t>
      </w:r>
      <w:r w:rsidR="00655000" w:rsidRPr="00B7618A">
        <w:t>49,000</w:t>
      </w:r>
      <w:r w:rsidRPr="00B7618A">
        <w:t xml:space="preserve"> </w:t>
      </w:r>
      <w:r w:rsidRPr="00B7618A">
        <w:sym w:font="Wingdings 2" w:char="F0CD"/>
      </w:r>
      <w:r w:rsidRPr="00B7618A">
        <w:t xml:space="preserve"> </w:t>
      </w:r>
      <w:r w:rsidR="00655000" w:rsidRPr="00B7618A">
        <w:t>96</w:t>
      </w:r>
      <w:r w:rsidRPr="00417120">
        <w:t>)</w:t>
      </w:r>
      <w:r w:rsidR="00F317D3" w:rsidRPr="00417120">
        <w:t xml:space="preserve">. </w:t>
      </w:r>
    </w:p>
    <w:p w14:paraId="6E20F39C" w14:textId="59B336E2" w:rsidR="00E94363" w:rsidRPr="00B7618A" w:rsidRDefault="0030101F" w:rsidP="0030101F">
      <w:pPr>
        <w:pStyle w:val="BodyText"/>
      </w:pPr>
      <w:r>
        <w:t>T</w:t>
      </w:r>
      <w:r w:rsidR="00647540">
        <w:t xml:space="preserve">o convert the one-time </w:t>
      </w:r>
      <w:r w:rsidR="0076688D" w:rsidRPr="00B7618A">
        <w:t>(nonrecurring)</w:t>
      </w:r>
      <w:r w:rsidR="0076688D">
        <w:t xml:space="preserve"> </w:t>
      </w:r>
      <w:r w:rsidR="00647540">
        <w:t xml:space="preserve">burden and cost to an annual </w:t>
      </w:r>
      <w:r w:rsidR="0076688D">
        <w:t xml:space="preserve">burden and cost </w:t>
      </w:r>
      <w:r w:rsidR="00647540">
        <w:t>for the</w:t>
      </w:r>
      <w:r w:rsidR="00CC584B">
        <w:t xml:space="preserve"> </w:t>
      </w:r>
      <w:r w:rsidR="0076688D">
        <w:t xml:space="preserve">ICR </w:t>
      </w:r>
      <w:r w:rsidR="00CC584B">
        <w:t>period, EPA assumes that</w:t>
      </w:r>
      <w:r>
        <w:t xml:space="preserve"> states and authorized </w:t>
      </w:r>
      <w:r w:rsidR="000531A7">
        <w:t xml:space="preserve">tribes </w:t>
      </w:r>
      <w:r w:rsidR="00CC584B">
        <w:t xml:space="preserve">perform </w:t>
      </w:r>
      <w:r w:rsidR="0076688D">
        <w:t xml:space="preserve">the rulemaking </w:t>
      </w:r>
      <w:r w:rsidR="00CC584B">
        <w:t>activities over a</w:t>
      </w:r>
      <w:r w:rsidR="00E94363" w:rsidRPr="00B7618A">
        <w:t xml:space="preserve"> 3-year period</w:t>
      </w:r>
      <w:r w:rsidR="00CC584B">
        <w:t>. Thus</w:t>
      </w:r>
      <w:r w:rsidR="00E94363" w:rsidRPr="00B7618A">
        <w:t xml:space="preserve">, annual burden </w:t>
      </w:r>
      <w:r w:rsidR="0076688D">
        <w:t>for</w:t>
      </w:r>
      <w:r w:rsidR="0076688D" w:rsidRPr="00B7618A">
        <w:t xml:space="preserve"> </w:t>
      </w:r>
      <w:r w:rsidR="00E94363" w:rsidRPr="00B7618A">
        <w:t xml:space="preserve">each of the three years </w:t>
      </w:r>
      <w:r w:rsidR="0076688D">
        <w:t>c</w:t>
      </w:r>
      <w:r w:rsidR="00E94363" w:rsidRPr="00B7618A">
        <w:t xml:space="preserve">ould range from 16,000 hours (48,000 hours ÷ 3 years) to 32,000 hours (96,000 hours ÷ 3 years), and annual cost </w:t>
      </w:r>
      <w:r w:rsidR="0076688D">
        <w:t>for</w:t>
      </w:r>
      <w:r w:rsidR="0076688D" w:rsidRPr="00B7618A">
        <w:t xml:space="preserve"> </w:t>
      </w:r>
      <w:r w:rsidR="00E94363" w:rsidRPr="00B7618A">
        <w:t xml:space="preserve">each of the three years </w:t>
      </w:r>
      <w:r w:rsidR="0076688D">
        <w:t>c</w:t>
      </w:r>
      <w:r w:rsidR="00E94363" w:rsidRPr="00B7618A">
        <w:t>ould range from $784,000 ($2,352,000 ÷ 3 years) to $1,568,000 ($4,704,000 ÷ 3 years).</w:t>
      </w:r>
    </w:p>
    <w:p w14:paraId="012EACD3" w14:textId="77777777" w:rsidR="00F13C69" w:rsidRPr="00B7618A" w:rsidRDefault="00F13C69" w:rsidP="00E548AE">
      <w:pPr>
        <w:pStyle w:val="Heading3"/>
      </w:pPr>
      <w:bookmarkStart w:id="44" w:name="_Toc406051441"/>
      <w:r w:rsidRPr="00B7618A">
        <w:t>Designated Uses</w:t>
      </w:r>
      <w:bookmarkEnd w:id="44"/>
    </w:p>
    <w:p w14:paraId="253AFDDD" w14:textId="17058DE0" w:rsidR="000531A7" w:rsidRDefault="000531A7" w:rsidP="000531A7">
      <w:pPr>
        <w:pStyle w:val="BodyText"/>
      </w:pPr>
      <w:r>
        <w:t xml:space="preserve">EPA estimates </w:t>
      </w:r>
      <w:r w:rsidR="00BF6459">
        <w:t xml:space="preserve">the </w:t>
      </w:r>
      <w:r>
        <w:t xml:space="preserve">rule </w:t>
      </w:r>
      <w:r w:rsidR="00BF6459">
        <w:t xml:space="preserve">provisions related to designated uses </w:t>
      </w:r>
      <w:r w:rsidR="00384E0E">
        <w:t>could</w:t>
      </w:r>
      <w:r>
        <w:t xml:space="preserve"> result in incremental </w:t>
      </w:r>
      <w:r w:rsidR="002F55B4">
        <w:t>burden</w:t>
      </w:r>
      <w:r>
        <w:t xml:space="preserve"> and cost </w:t>
      </w:r>
      <w:r w:rsidR="00C01EB7">
        <w:t>as follows</w:t>
      </w:r>
      <w:r>
        <w:t>:</w:t>
      </w:r>
    </w:p>
    <w:p w14:paraId="76A8C595" w14:textId="7E52C13E" w:rsidR="00C45E9E" w:rsidRPr="00B7618A" w:rsidRDefault="003556C4" w:rsidP="00381864">
      <w:pPr>
        <w:pStyle w:val="bulletlist"/>
        <w:numPr>
          <w:ilvl w:val="0"/>
          <w:numId w:val="15"/>
        </w:numPr>
      </w:pPr>
      <w:r>
        <w:t>Incremental burden</w:t>
      </w:r>
      <w:r w:rsidRPr="003556C4">
        <w:t xml:space="preserve"> </w:t>
      </w:r>
      <w:r>
        <w:t>required to identify the HAU</w:t>
      </w:r>
      <w:r w:rsidRPr="00396F4C">
        <w:t xml:space="preserve"> </w:t>
      </w:r>
      <w:r>
        <w:t xml:space="preserve">for each UAA </w:t>
      </w:r>
      <w:r w:rsidRPr="00396F4C">
        <w:t>rang</w:t>
      </w:r>
      <w:r>
        <w:t>es</w:t>
      </w:r>
      <w:r w:rsidRPr="00396F4C">
        <w:t xml:space="preserve"> </w:t>
      </w:r>
      <w:r w:rsidR="00FC3DCF" w:rsidRPr="00396F4C">
        <w:t xml:space="preserve">from </w:t>
      </w:r>
      <w:r w:rsidR="00655000" w:rsidRPr="00396F4C">
        <w:t>150</w:t>
      </w:r>
      <w:r w:rsidR="00FC3DCF" w:rsidRPr="00396F4C">
        <w:t xml:space="preserve"> hours (</w:t>
      </w:r>
      <w:r w:rsidR="00655000" w:rsidRPr="00396F4C">
        <w:t>500</w:t>
      </w:r>
      <w:r w:rsidR="00FC3DCF" w:rsidRPr="00396F4C">
        <w:t xml:space="preserve"> hours </w:t>
      </w:r>
      <w:r w:rsidR="00FC3DCF" w:rsidRPr="00396F4C">
        <w:sym w:font="Wingdings 2" w:char="F0CD"/>
      </w:r>
      <w:r w:rsidR="00FC3DCF" w:rsidRPr="00396F4C">
        <w:t xml:space="preserve"> 30%) to</w:t>
      </w:r>
      <w:r w:rsidR="00837531" w:rsidRPr="00396F4C">
        <w:t xml:space="preserve"> </w:t>
      </w:r>
      <w:r w:rsidR="00655000" w:rsidRPr="00396F4C">
        <w:t>300</w:t>
      </w:r>
      <w:r w:rsidR="00FC3DCF" w:rsidRPr="00396F4C">
        <w:t xml:space="preserve"> hours (</w:t>
      </w:r>
      <w:r w:rsidR="00655000" w:rsidRPr="00396F4C">
        <w:t>1,000</w:t>
      </w:r>
      <w:r w:rsidR="00FC3DCF" w:rsidRPr="00396F4C">
        <w:t xml:space="preserve"> hours </w:t>
      </w:r>
      <w:r w:rsidR="00FC3DCF" w:rsidRPr="00396F4C">
        <w:sym w:font="Wingdings 2" w:char="F0CD"/>
      </w:r>
      <w:r w:rsidR="00FC3DCF" w:rsidRPr="00396F4C">
        <w:t xml:space="preserve"> 30%) </w:t>
      </w:r>
      <w:r>
        <w:t>on the</w:t>
      </w:r>
      <w:r w:rsidR="00FC3DCF" w:rsidRPr="00B7618A">
        <w:t xml:space="preserve"> b</w:t>
      </w:r>
      <w:r w:rsidR="00C5149C" w:rsidRPr="00B7618A">
        <w:t>as</w:t>
      </w:r>
      <w:r>
        <w:t>is of EPA’s</w:t>
      </w:r>
      <w:r w:rsidR="000531A7">
        <w:t xml:space="preserve"> estimate </w:t>
      </w:r>
      <w:r>
        <w:t xml:space="preserve">that developing a single UAA that </w:t>
      </w:r>
      <w:r w:rsidRPr="00396F4C">
        <w:t xml:space="preserve">does not identify the HAU </w:t>
      </w:r>
      <w:r>
        <w:t>requires approximately</w:t>
      </w:r>
      <w:r w:rsidRPr="00396F4C">
        <w:t xml:space="preserve"> </w:t>
      </w:r>
      <w:r w:rsidR="00655000" w:rsidRPr="00396F4C">
        <w:t>500</w:t>
      </w:r>
      <w:r w:rsidR="00C5149C" w:rsidRPr="00396F4C">
        <w:t xml:space="preserve"> to </w:t>
      </w:r>
      <w:r w:rsidR="00655000" w:rsidRPr="00396F4C">
        <w:t>1,000</w:t>
      </w:r>
      <w:r w:rsidR="00C5149C" w:rsidRPr="00396F4C">
        <w:t xml:space="preserve"> hours</w:t>
      </w:r>
      <w:r w:rsidR="000531A7">
        <w:t xml:space="preserve"> </w:t>
      </w:r>
      <w:r w:rsidR="00C5149C" w:rsidRPr="00396F4C">
        <w:t xml:space="preserve">and </w:t>
      </w:r>
      <w:r>
        <w:t xml:space="preserve">identifying the HAU requires approximately </w:t>
      </w:r>
      <w:r w:rsidR="00C5149C" w:rsidRPr="00396F4C">
        <w:t>30</w:t>
      </w:r>
      <w:r w:rsidR="000531A7">
        <w:t>%</w:t>
      </w:r>
      <w:r w:rsidR="00C5149C" w:rsidRPr="00396F4C">
        <w:t xml:space="preserve"> additional effort</w:t>
      </w:r>
      <w:r w:rsidR="00C45E9E" w:rsidRPr="00B7618A">
        <w:t>.</w:t>
      </w:r>
    </w:p>
    <w:p w14:paraId="2C875DC6" w14:textId="63ED3901" w:rsidR="00103C0B" w:rsidRPr="00B7618A" w:rsidRDefault="000531A7" w:rsidP="00381864">
      <w:pPr>
        <w:pStyle w:val="bulletlist"/>
        <w:numPr>
          <w:ilvl w:val="0"/>
          <w:numId w:val="15"/>
        </w:numPr>
      </w:pPr>
      <w:r>
        <w:t xml:space="preserve">Per UAA </w:t>
      </w:r>
      <w:r w:rsidR="00C5149C" w:rsidRPr="00B7618A">
        <w:t xml:space="preserve">cost associated with identifying the HAU </w:t>
      </w:r>
      <w:r>
        <w:t>of</w:t>
      </w:r>
      <w:r w:rsidR="00C5149C" w:rsidRPr="00B7618A">
        <w:t xml:space="preserve"> approximately $</w:t>
      </w:r>
      <w:r w:rsidR="00DC1B19" w:rsidRPr="00396F4C">
        <w:t>7,400</w:t>
      </w:r>
      <w:r w:rsidR="00C5149C" w:rsidRPr="00396F4C">
        <w:t xml:space="preserve"> </w:t>
      </w:r>
      <w:r w:rsidR="00647540" w:rsidRPr="00B7618A">
        <w:t xml:space="preserve">($49 </w:t>
      </w:r>
      <w:r w:rsidR="00967E94">
        <w:t xml:space="preserve">per hour </w:t>
      </w:r>
      <w:r w:rsidR="00647540" w:rsidRPr="00B7618A">
        <w:sym w:font="Wingdings 2" w:char="F0CD"/>
      </w:r>
      <w:r w:rsidR="00647540" w:rsidRPr="00B7618A">
        <w:t xml:space="preserve"> </w:t>
      </w:r>
      <w:r>
        <w:t>150</w:t>
      </w:r>
      <w:r w:rsidR="00967E94">
        <w:t xml:space="preserve"> hours</w:t>
      </w:r>
      <w:r w:rsidR="00647540">
        <w:t>)</w:t>
      </w:r>
      <w:r>
        <w:t xml:space="preserve"> </w:t>
      </w:r>
      <w:r w:rsidR="00C5149C" w:rsidRPr="00396F4C">
        <w:t>to $</w:t>
      </w:r>
      <w:r w:rsidR="00DC1B19" w:rsidRPr="00396F4C">
        <w:t>14,700</w:t>
      </w:r>
      <w:r w:rsidR="00C5149C" w:rsidRPr="00396F4C">
        <w:t xml:space="preserve"> </w:t>
      </w:r>
      <w:r w:rsidR="00647540" w:rsidRPr="00B7618A">
        <w:t>($49</w:t>
      </w:r>
      <w:r w:rsidR="00967E94">
        <w:t xml:space="preserve"> per hour</w:t>
      </w:r>
      <w:r w:rsidR="00647540" w:rsidRPr="00B7618A">
        <w:t xml:space="preserve"> </w:t>
      </w:r>
      <w:r w:rsidR="00647540" w:rsidRPr="00B7618A">
        <w:sym w:font="Wingdings 2" w:char="F0CD"/>
      </w:r>
      <w:r w:rsidR="00647540" w:rsidRPr="00B7618A">
        <w:t xml:space="preserve"> </w:t>
      </w:r>
      <w:r w:rsidR="00647540">
        <w:t>300</w:t>
      </w:r>
      <w:r w:rsidR="00967E94">
        <w:t xml:space="preserve"> hours</w:t>
      </w:r>
      <w:r w:rsidR="00647540">
        <w:t>)</w:t>
      </w:r>
      <w:r w:rsidR="00C45E9E" w:rsidRPr="00B7618A">
        <w:t>.</w:t>
      </w:r>
    </w:p>
    <w:p w14:paraId="74D0A5C9" w14:textId="144FF2AC" w:rsidR="00344572" w:rsidRPr="00B7618A" w:rsidRDefault="00344572" w:rsidP="00381864">
      <w:pPr>
        <w:pStyle w:val="bulletlist"/>
        <w:numPr>
          <w:ilvl w:val="0"/>
          <w:numId w:val="15"/>
        </w:numPr>
      </w:pPr>
      <w:r w:rsidRPr="00B7618A">
        <w:t xml:space="preserve">Total annual incremental burden ranging from </w:t>
      </w:r>
      <w:r w:rsidR="00DC1B19" w:rsidRPr="00B7618A">
        <w:t>2,250</w:t>
      </w:r>
      <w:r w:rsidRPr="00B7618A">
        <w:t xml:space="preserve"> hours (</w:t>
      </w:r>
      <w:r w:rsidR="00DC1B19" w:rsidRPr="00B7618A">
        <w:t>150</w:t>
      </w:r>
      <w:r w:rsidRPr="00B7618A">
        <w:t xml:space="preserve"> hours </w:t>
      </w:r>
      <w:r w:rsidRPr="00396F4C">
        <w:sym w:font="Wingdings 2" w:char="F0CD"/>
      </w:r>
      <w:r w:rsidRPr="00396F4C">
        <w:t xml:space="preserve"> </w:t>
      </w:r>
      <w:r w:rsidR="00DC1B19" w:rsidRPr="00396F4C">
        <w:t>15</w:t>
      </w:r>
      <w:r w:rsidRPr="00396F4C">
        <w:t xml:space="preserve"> UAAs) to </w:t>
      </w:r>
      <w:r w:rsidR="00DC1B19" w:rsidRPr="00B7618A">
        <w:t>4,500</w:t>
      </w:r>
      <w:r w:rsidRPr="00B7618A">
        <w:t xml:space="preserve"> hours (</w:t>
      </w:r>
      <w:r w:rsidR="00DC1B19" w:rsidRPr="00B7618A">
        <w:t>300</w:t>
      </w:r>
      <w:r w:rsidRPr="00B7618A">
        <w:t xml:space="preserve"> hours </w:t>
      </w:r>
      <w:r w:rsidRPr="00396F4C">
        <w:sym w:font="Wingdings 2" w:char="F0CD"/>
      </w:r>
      <w:r w:rsidRPr="00396F4C">
        <w:t xml:space="preserve"> </w:t>
      </w:r>
      <w:r w:rsidR="00DC1B19" w:rsidRPr="00396F4C">
        <w:t>15</w:t>
      </w:r>
      <w:r w:rsidRPr="00396F4C">
        <w:t xml:space="preserve"> UAAs), based on </w:t>
      </w:r>
      <w:r w:rsidR="00DC1B19" w:rsidRPr="00396F4C">
        <w:t>15</w:t>
      </w:r>
      <w:r w:rsidRPr="00396F4C">
        <w:t xml:space="preserve"> states </w:t>
      </w:r>
      <w:r w:rsidR="00647540">
        <w:t>and authorized tribes</w:t>
      </w:r>
      <w:r w:rsidRPr="00396F4C">
        <w:t xml:space="preserve"> not consistently identify</w:t>
      </w:r>
      <w:r w:rsidR="00647540">
        <w:t>ing</w:t>
      </w:r>
      <w:r w:rsidRPr="00396F4C">
        <w:t xml:space="preserve"> the HAU </w:t>
      </w:r>
      <w:r w:rsidR="00647540">
        <w:t>for an average of one UAA per year.</w:t>
      </w:r>
    </w:p>
    <w:p w14:paraId="0374FF38" w14:textId="3573BBD3" w:rsidR="00C45E9E" w:rsidRPr="00B7618A" w:rsidRDefault="00647540" w:rsidP="00381864">
      <w:pPr>
        <w:pStyle w:val="bulletlist"/>
        <w:numPr>
          <w:ilvl w:val="0"/>
          <w:numId w:val="15"/>
        </w:numPr>
      </w:pPr>
      <w:r>
        <w:t>Total annual incremental cost</w:t>
      </w:r>
      <w:r w:rsidR="00C45E9E" w:rsidRPr="00B7618A">
        <w:t xml:space="preserve"> ranging from </w:t>
      </w:r>
      <w:r w:rsidR="00203212" w:rsidRPr="00396F4C">
        <w:t>$</w:t>
      </w:r>
      <w:r w:rsidR="00DC1B19" w:rsidRPr="00396F4C">
        <w:t>111,000</w:t>
      </w:r>
      <w:r w:rsidR="00203212" w:rsidRPr="00396F4C">
        <w:t xml:space="preserve"> ($</w:t>
      </w:r>
      <w:r w:rsidR="00DC1B19" w:rsidRPr="00396F4C">
        <w:t>7,400</w:t>
      </w:r>
      <w:r w:rsidR="00344572" w:rsidRPr="00396F4C">
        <w:t xml:space="preserve"> </w:t>
      </w:r>
      <w:r w:rsidR="00344572" w:rsidRPr="00396F4C">
        <w:sym w:font="Wingdings 2" w:char="F0CD"/>
      </w:r>
      <w:r w:rsidR="00344572" w:rsidRPr="00396F4C">
        <w:t xml:space="preserve"> </w:t>
      </w:r>
      <w:r w:rsidR="00DC1B19" w:rsidRPr="00396F4C">
        <w:t>15</w:t>
      </w:r>
      <w:r w:rsidR="00344572" w:rsidRPr="00396F4C">
        <w:t xml:space="preserve"> UAAs</w:t>
      </w:r>
      <w:r w:rsidR="00203212" w:rsidRPr="00396F4C">
        <w:t>) to $</w:t>
      </w:r>
      <w:r w:rsidR="00DC1B19" w:rsidRPr="00396F4C">
        <w:t>221,000</w:t>
      </w:r>
      <w:r w:rsidR="00203212" w:rsidRPr="00396F4C">
        <w:t xml:space="preserve"> ($</w:t>
      </w:r>
      <w:r w:rsidR="00DC1B19" w:rsidRPr="00396F4C">
        <w:t>14,700</w:t>
      </w:r>
      <w:r w:rsidR="00344572" w:rsidRPr="00396F4C">
        <w:t xml:space="preserve"> </w:t>
      </w:r>
      <w:r w:rsidR="00344572" w:rsidRPr="00396F4C">
        <w:sym w:font="Wingdings 2" w:char="F0CD"/>
      </w:r>
      <w:r w:rsidR="00344572" w:rsidRPr="005A75FD">
        <w:t xml:space="preserve"> </w:t>
      </w:r>
      <w:r w:rsidR="00DC1B19" w:rsidRPr="005A75FD">
        <w:t>15</w:t>
      </w:r>
      <w:r w:rsidR="00344572" w:rsidRPr="005A75FD">
        <w:t xml:space="preserve"> UAAs</w:t>
      </w:r>
      <w:r w:rsidR="00203212" w:rsidRPr="005A75FD">
        <w:t>)</w:t>
      </w:r>
      <w:r w:rsidR="00344572" w:rsidRPr="00B7618A">
        <w:t>.</w:t>
      </w:r>
    </w:p>
    <w:p w14:paraId="3A6FA9BD" w14:textId="77777777" w:rsidR="00D93A2E" w:rsidRPr="00B7618A" w:rsidRDefault="00D93A2E" w:rsidP="00E548AE">
      <w:pPr>
        <w:pStyle w:val="Heading3"/>
      </w:pPr>
      <w:bookmarkStart w:id="45" w:name="_Toc406051442"/>
      <w:r w:rsidRPr="00B7618A">
        <w:t>Triennial Review</w:t>
      </w:r>
      <w:bookmarkEnd w:id="45"/>
    </w:p>
    <w:p w14:paraId="714CA2E1" w14:textId="0CBDE3DB" w:rsidR="00CC584B" w:rsidRPr="00B7618A" w:rsidRDefault="00C03A4D" w:rsidP="00CC584B">
      <w:pPr>
        <w:pStyle w:val="BodyText"/>
      </w:pPr>
      <w:r>
        <w:t xml:space="preserve">EPA estimates the rule could potentially result in incremental burden and cost related to the requirement that states and authorized tribes submit to EPA </w:t>
      </w:r>
      <w:r w:rsidRPr="00B7618A">
        <w:t xml:space="preserve">an explanation for why the state or authorized tribe is not adopting new or revised criteria for parameters for which EPA published </w:t>
      </w:r>
      <w:r w:rsidRPr="00B7618A">
        <w:lastRenderedPageBreak/>
        <w:t>new or updated CWA section 304(a) criteria recommendations</w:t>
      </w:r>
      <w:r>
        <w:t xml:space="preserve">. </w:t>
      </w:r>
      <w:r w:rsidR="00CC584B">
        <w:t xml:space="preserve">To estimate </w:t>
      </w:r>
      <w:r>
        <w:t xml:space="preserve">the </w:t>
      </w:r>
      <w:r w:rsidR="00CC584B">
        <w:t xml:space="preserve">burden associated with </w:t>
      </w:r>
      <w:r>
        <w:t>this provision,</w:t>
      </w:r>
      <w:r w:rsidR="00CC584B">
        <w:t xml:space="preserve"> </w:t>
      </w:r>
      <w:r w:rsidR="00CC584B" w:rsidRPr="00B7618A">
        <w:t xml:space="preserve">EPA counted 371 new or revised CWA </w:t>
      </w:r>
      <w:r w:rsidR="008F74A4">
        <w:t xml:space="preserve">section </w:t>
      </w:r>
      <w:r w:rsidR="00CC584B" w:rsidRPr="00B7618A">
        <w:t>304(a) criteria recommendations since the enactment of the CWA in 1972. Over the 42-year period of the CWA (2014 – 1972 = 42), this represents approximately 9 new or updated recommendations per year, or 27 per 3-year triennial review period (371 CWA section 304(a) recommendations </w:t>
      </w:r>
      <w:r w:rsidR="00CC584B" w:rsidRPr="00B7618A">
        <w:sym w:font="Symbol" w:char="F0B8"/>
      </w:r>
      <w:r w:rsidR="00CC584B" w:rsidRPr="00B7618A">
        <w:t> 42 years × 3 years per triennial review = 27 CWA section 304(a) criteria recommendations per triennial review).</w:t>
      </w:r>
      <w:r w:rsidR="00CC584B" w:rsidRPr="00CC584B">
        <w:t xml:space="preserve"> </w:t>
      </w:r>
      <w:r w:rsidR="008F74A4" w:rsidRPr="008F74A4">
        <w:t xml:space="preserve">EPA assumes that all states and authorized tribes will chose to not adopt new or revised criteria for any parameters for which EPA has published new or updated CWA section 304(a) criteria recommendations for 50% of EPA’s new or updated CWA section 304(a) criteria recommendations. </w:t>
      </w:r>
    </w:p>
    <w:p w14:paraId="39176F5E" w14:textId="2ED6B74A" w:rsidR="00CC584B" w:rsidRDefault="00CC584B" w:rsidP="00CC584B">
      <w:pPr>
        <w:pStyle w:val="BodyText"/>
      </w:pPr>
      <w:r>
        <w:t xml:space="preserve">EPA estimates </w:t>
      </w:r>
      <w:r w:rsidR="00384E0E">
        <w:t xml:space="preserve">the </w:t>
      </w:r>
      <w:r>
        <w:t xml:space="preserve">rule </w:t>
      </w:r>
      <w:r w:rsidR="00BF6459">
        <w:t xml:space="preserve">provisions related to triennial reviews </w:t>
      </w:r>
      <w:r w:rsidR="00384E0E">
        <w:t>could</w:t>
      </w:r>
      <w:r>
        <w:t xml:space="preserve"> result in incremental </w:t>
      </w:r>
      <w:r w:rsidR="002F55B4">
        <w:t>burden</w:t>
      </w:r>
      <w:r>
        <w:t xml:space="preserve"> and cost </w:t>
      </w:r>
      <w:r w:rsidR="00C01EB7">
        <w:t>as follows</w:t>
      </w:r>
      <w:r>
        <w:t>:</w:t>
      </w:r>
    </w:p>
    <w:p w14:paraId="5AAA312F" w14:textId="6CF0DCC1" w:rsidR="00E539DE" w:rsidRDefault="00D30824" w:rsidP="00381864">
      <w:pPr>
        <w:pStyle w:val="bulletlist"/>
        <w:numPr>
          <w:ilvl w:val="0"/>
          <w:numId w:val="16"/>
        </w:numPr>
      </w:pPr>
      <w:r>
        <w:t>Incremental burden</w:t>
      </w:r>
      <w:r w:rsidR="003262D9">
        <w:t xml:space="preserve"> related to </w:t>
      </w:r>
      <w:r w:rsidR="00A9755D">
        <w:t>the requirement that a state or authorized tribe</w:t>
      </w:r>
      <w:r w:rsidR="00A9755D" w:rsidRPr="00B7618A">
        <w:t xml:space="preserve"> submit an explanation for not adopting new or revised criteria for parameters for which EPA published new or updated CWA section 304(a) criteria recommendations</w:t>
      </w:r>
      <w:r w:rsidR="00A9755D">
        <w:t xml:space="preserve"> </w:t>
      </w:r>
      <w:r w:rsidR="00E539DE">
        <w:t>rang</w:t>
      </w:r>
      <w:r w:rsidR="003262D9">
        <w:t>es</w:t>
      </w:r>
      <w:r w:rsidR="00E539DE">
        <w:t xml:space="preserve"> from 10 to 50 hours</w:t>
      </w:r>
      <w:r w:rsidR="00A9755D">
        <w:t xml:space="preserve"> for each</w:t>
      </w:r>
      <w:r w:rsidR="00A9755D" w:rsidRPr="00A9755D">
        <w:t xml:space="preserve"> </w:t>
      </w:r>
      <w:r w:rsidR="00A9755D" w:rsidRPr="00B7618A">
        <w:t>CWA section</w:t>
      </w:r>
      <w:r w:rsidR="00A9755D">
        <w:t xml:space="preserve"> 304(a) criteria recommendation</w:t>
      </w:r>
      <w:r w:rsidR="003262D9">
        <w:t>.</w:t>
      </w:r>
    </w:p>
    <w:p w14:paraId="7A72F6AF" w14:textId="62AE1409" w:rsidR="007D3FF8" w:rsidRPr="00B7618A" w:rsidRDefault="00A9755D" w:rsidP="00381864">
      <w:pPr>
        <w:pStyle w:val="bulletlist"/>
        <w:numPr>
          <w:ilvl w:val="0"/>
          <w:numId w:val="16"/>
        </w:numPr>
      </w:pPr>
      <w:r>
        <w:t>Incremental burden for each state or authorized tribe</w:t>
      </w:r>
      <w:r w:rsidR="00460441">
        <w:t xml:space="preserve"> </w:t>
      </w:r>
      <w:r>
        <w:t xml:space="preserve">ranges </w:t>
      </w:r>
      <w:r w:rsidR="00E539DE">
        <w:t xml:space="preserve">from </w:t>
      </w:r>
      <w:r w:rsidR="00D93A2E" w:rsidRPr="00B7618A">
        <w:t>45 hours (10 hours × 9 recommendations per year × 50% not adopted) to 225 hours (50 hours × 9 recommendations per year × 50% not adopted) per year.</w:t>
      </w:r>
    </w:p>
    <w:p w14:paraId="276E8379" w14:textId="42759CA4" w:rsidR="00D93A2E" w:rsidRPr="00B7618A" w:rsidRDefault="00E539DE" w:rsidP="00381864">
      <w:pPr>
        <w:pStyle w:val="bulletlist"/>
        <w:numPr>
          <w:ilvl w:val="0"/>
          <w:numId w:val="16"/>
        </w:numPr>
      </w:pPr>
      <w:r>
        <w:t>Per entity c</w:t>
      </w:r>
      <w:r w:rsidR="00D93A2E" w:rsidRPr="00B7618A">
        <w:t>ost ranging from approximately $2,200 ($49 per hour × 45 hours) to $11,000 ($49 per hour × 225 hours) per year.</w:t>
      </w:r>
    </w:p>
    <w:p w14:paraId="55B68203" w14:textId="2A141BF9" w:rsidR="00D93A2E" w:rsidRPr="00B7618A" w:rsidRDefault="00D93A2E" w:rsidP="00381864">
      <w:pPr>
        <w:pStyle w:val="bulletlist"/>
        <w:numPr>
          <w:ilvl w:val="0"/>
          <w:numId w:val="16"/>
        </w:numPr>
      </w:pPr>
      <w:r w:rsidRPr="00B7618A">
        <w:t xml:space="preserve">Total annual </w:t>
      </w:r>
      <w:r w:rsidR="00E539DE">
        <w:t>burden</w:t>
      </w:r>
      <w:r w:rsidRPr="00B7618A">
        <w:t xml:space="preserve"> ranging from approximately 4,320 (45 hours × 96 states and authorized tribes) to 21,600 (225 hours × 96 states and authorized tribes) hours.</w:t>
      </w:r>
    </w:p>
    <w:p w14:paraId="55A68AC0" w14:textId="56276AC1" w:rsidR="00D93A2E" w:rsidRPr="00B7618A" w:rsidRDefault="00D93A2E" w:rsidP="00381864">
      <w:pPr>
        <w:pStyle w:val="bulletlist"/>
        <w:numPr>
          <w:ilvl w:val="0"/>
          <w:numId w:val="16"/>
        </w:numPr>
      </w:pPr>
      <w:r w:rsidRPr="00B7618A">
        <w:t>Total cost ranging from approximately $211,000 ($</w:t>
      </w:r>
      <w:r w:rsidR="00FE7A02">
        <w:t>2,200</w:t>
      </w:r>
      <w:r w:rsidRPr="00B7618A">
        <w:t xml:space="preserve"> × </w:t>
      </w:r>
      <w:r w:rsidR="00FE7A02">
        <w:t>96 states and authorized tribes</w:t>
      </w:r>
      <w:r w:rsidRPr="00B7618A">
        <w:t>) to $1,056,000 ($</w:t>
      </w:r>
      <w:r w:rsidR="00FE7A02">
        <w:t>11,000</w:t>
      </w:r>
      <w:r w:rsidRPr="00B7618A">
        <w:t xml:space="preserve"> × </w:t>
      </w:r>
      <w:r w:rsidR="00FE7A02">
        <w:t>96 states and authorized tribes</w:t>
      </w:r>
      <w:r w:rsidRPr="00B7618A">
        <w:t>).</w:t>
      </w:r>
    </w:p>
    <w:p w14:paraId="7125C389" w14:textId="77777777" w:rsidR="00BC0EB1" w:rsidRPr="00B7618A" w:rsidRDefault="00BC0EB1" w:rsidP="00E548AE">
      <w:pPr>
        <w:pStyle w:val="Heading3"/>
      </w:pPr>
      <w:bookmarkStart w:id="46" w:name="_Ref403036957"/>
      <w:bookmarkStart w:id="47" w:name="_Toc406051443"/>
      <w:r w:rsidRPr="00B7618A">
        <w:t>Antidegradation</w:t>
      </w:r>
      <w:bookmarkEnd w:id="46"/>
      <w:bookmarkEnd w:id="47"/>
    </w:p>
    <w:p w14:paraId="50CB4C2A" w14:textId="405D56B2" w:rsidR="002370EE" w:rsidRPr="003B3A98" w:rsidRDefault="00D511D4" w:rsidP="003B3A98">
      <w:pPr>
        <w:pStyle w:val="BodyText"/>
      </w:pPr>
      <w:r w:rsidRPr="003B3A98">
        <w:t xml:space="preserve">The </w:t>
      </w:r>
      <w:r w:rsidR="002370EE" w:rsidRPr="003B3A98">
        <w:t xml:space="preserve">antidegradation </w:t>
      </w:r>
      <w:r w:rsidR="003E0C9A">
        <w:t>provisions of the rule</w:t>
      </w:r>
      <w:r w:rsidR="003E0C9A" w:rsidRPr="003B3A98">
        <w:t xml:space="preserve"> </w:t>
      </w:r>
      <w:r w:rsidR="002370EE" w:rsidRPr="003B3A98">
        <w:t xml:space="preserve">may result in </w:t>
      </w:r>
      <w:r w:rsidR="0003412A">
        <w:t>burde</w:t>
      </w:r>
      <w:r w:rsidR="002370EE" w:rsidRPr="003B3A98">
        <w:t xml:space="preserve">n and </w:t>
      </w:r>
      <w:r w:rsidR="00747C5B">
        <w:t>cost</w:t>
      </w:r>
      <w:r w:rsidR="002370EE" w:rsidRPr="003B3A98">
        <w:t xml:space="preserve"> </w:t>
      </w:r>
      <w:r w:rsidR="002F55B4">
        <w:t xml:space="preserve">by requiring states and authorized tribes to </w:t>
      </w:r>
      <w:r w:rsidR="0003412A">
        <w:t>involv</w:t>
      </w:r>
      <w:r w:rsidR="002F55B4">
        <w:t>e</w:t>
      </w:r>
      <w:r w:rsidR="0003412A">
        <w:t xml:space="preserve"> the public </w:t>
      </w:r>
      <w:r w:rsidR="002F55B4">
        <w:t xml:space="preserve">when </w:t>
      </w:r>
      <w:r w:rsidR="0003412A">
        <w:t xml:space="preserve">developing </w:t>
      </w:r>
      <w:r w:rsidR="002F55B4">
        <w:t xml:space="preserve">or </w:t>
      </w:r>
      <w:r w:rsidR="0003412A">
        <w:t>revising antidegradation implementation methods</w:t>
      </w:r>
      <w:r w:rsidR="00B7466B">
        <w:t xml:space="preserve">, </w:t>
      </w:r>
      <w:r w:rsidR="002F55B4">
        <w:t>involve</w:t>
      </w:r>
      <w:r w:rsidR="00B7466B">
        <w:t xml:space="preserve"> the public </w:t>
      </w:r>
      <w:r w:rsidR="002F55B4">
        <w:t>when deciding which</w:t>
      </w:r>
      <w:r w:rsidR="0003412A">
        <w:t xml:space="preserve"> waters to </w:t>
      </w:r>
      <w:r w:rsidR="002F55B4">
        <w:t xml:space="preserve">provide </w:t>
      </w:r>
      <w:r w:rsidR="0003412A">
        <w:t xml:space="preserve">Tier 2 antidegradation protection </w:t>
      </w:r>
      <w:r w:rsidR="002F55B4">
        <w:t>using a water body-by-water body approach</w:t>
      </w:r>
      <w:r w:rsidR="0003412A">
        <w:t xml:space="preserve">, </w:t>
      </w:r>
      <w:r w:rsidR="002F55B4">
        <w:t xml:space="preserve">to </w:t>
      </w:r>
      <w:r w:rsidR="00B7466B">
        <w:t>p</w:t>
      </w:r>
      <w:r w:rsidR="002F55B4">
        <w:t>erform/evaluate</w:t>
      </w:r>
      <w:r w:rsidR="00B7466B">
        <w:t xml:space="preserve"> antidegradation reviews </w:t>
      </w:r>
      <w:r w:rsidR="002F55B4">
        <w:t>that include</w:t>
      </w:r>
      <w:r w:rsidR="0003412A">
        <w:t xml:space="preserve"> alternatives analyses</w:t>
      </w:r>
      <w:r w:rsidR="00B7466B">
        <w:t>, and</w:t>
      </w:r>
      <w:r w:rsidR="002F55B4">
        <w:t xml:space="preserve"> to perform/evaluate</w:t>
      </w:r>
      <w:r w:rsidR="00B7466B">
        <w:t xml:space="preserve"> </w:t>
      </w:r>
      <w:r w:rsidR="0003412A">
        <w:t xml:space="preserve">additional </w:t>
      </w:r>
      <w:r w:rsidR="002F55B4">
        <w:t xml:space="preserve">Tier 2 </w:t>
      </w:r>
      <w:r w:rsidR="0003412A">
        <w:t xml:space="preserve">antidegradation </w:t>
      </w:r>
      <w:r w:rsidR="00B7466B">
        <w:t>reviews</w:t>
      </w:r>
      <w:r w:rsidR="00DE3154">
        <w:t>.</w:t>
      </w:r>
      <w:r w:rsidR="002370EE" w:rsidRPr="003B3A98">
        <w:t xml:space="preserve"> </w:t>
      </w:r>
    </w:p>
    <w:p w14:paraId="045D20D3" w14:textId="57D3C986" w:rsidR="002D072D" w:rsidRPr="005A75FD" w:rsidRDefault="002D072D" w:rsidP="00381864">
      <w:pPr>
        <w:pStyle w:val="Heading4"/>
        <w:tabs>
          <w:tab w:val="clear" w:pos="990"/>
          <w:tab w:val="num" w:pos="720"/>
        </w:tabs>
        <w:ind w:left="720"/>
      </w:pPr>
      <w:r w:rsidRPr="005A75FD">
        <w:lastRenderedPageBreak/>
        <w:t xml:space="preserve">Public Involvement – Developing </w:t>
      </w:r>
      <w:r w:rsidR="00D30824">
        <w:t>or</w:t>
      </w:r>
      <w:r w:rsidR="00D30824" w:rsidRPr="005A75FD">
        <w:t xml:space="preserve"> </w:t>
      </w:r>
      <w:r w:rsidRPr="005A75FD">
        <w:t>Revising Implementation Methods</w:t>
      </w:r>
    </w:p>
    <w:p w14:paraId="5A521E81" w14:textId="645AB140" w:rsidR="00BF6459" w:rsidRDefault="00BF6459" w:rsidP="00C353D6">
      <w:pPr>
        <w:pStyle w:val="BodyText"/>
      </w:pPr>
      <w:r>
        <w:t>EPA estimates the rule provisions related to involving the public when developing or revising antidegradation implementation methods could result in incremental burden and cost as follows:</w:t>
      </w:r>
    </w:p>
    <w:p w14:paraId="76069709" w14:textId="267EA6EA" w:rsidR="009B3653" w:rsidRDefault="009B3653" w:rsidP="00381864">
      <w:pPr>
        <w:pStyle w:val="bulletlist"/>
        <w:numPr>
          <w:ilvl w:val="0"/>
          <w:numId w:val="17"/>
        </w:numPr>
      </w:pPr>
      <w:r>
        <w:t>Per entity b</w:t>
      </w:r>
      <w:r w:rsidRPr="003B3A98">
        <w:t xml:space="preserve">urden </w:t>
      </w:r>
      <w:r w:rsidR="00EF370D" w:rsidRPr="003B3A98">
        <w:t>rang</w:t>
      </w:r>
      <w:r w:rsidR="00EF370D">
        <w:t>es</w:t>
      </w:r>
      <w:r w:rsidR="00EF370D" w:rsidRPr="003B3A98">
        <w:t xml:space="preserve"> </w:t>
      </w:r>
      <w:r w:rsidRPr="003B3A98">
        <w:t>from 150 hours (500 hours × 30</w:t>
      </w:r>
      <w:r w:rsidR="00450B86">
        <w:t>%</w:t>
      </w:r>
      <w:r w:rsidRPr="003B3A98">
        <w:t xml:space="preserve">) to 300 hours (1,000 hours × </w:t>
      </w:r>
      <w:r w:rsidR="00450B86">
        <w:t>30%</w:t>
      </w:r>
      <w:r w:rsidRPr="003B3A98">
        <w:t>)</w:t>
      </w:r>
      <w:r w:rsidR="00EF370D">
        <w:t xml:space="preserve"> on the</w:t>
      </w:r>
      <w:r>
        <w:t xml:space="preserve"> </w:t>
      </w:r>
      <w:r w:rsidR="00EF370D">
        <w:t>basis of EPA’s</w:t>
      </w:r>
      <w:r>
        <w:t xml:space="preserve"> </w:t>
      </w:r>
      <w:r w:rsidR="00450B86">
        <w:t>estimate</w:t>
      </w:r>
      <w:r>
        <w:t xml:space="preserve"> that </w:t>
      </w:r>
      <w:r w:rsidRPr="002C49F3">
        <w:t>providing an opportunity for public involvement</w:t>
      </w:r>
      <w:r>
        <w:t>,</w:t>
      </w:r>
      <w:r w:rsidRPr="002C49F3">
        <w:t xml:space="preserve"> </w:t>
      </w:r>
      <w:r>
        <w:t>and</w:t>
      </w:r>
      <w:r w:rsidRPr="002C49F3">
        <w:t xml:space="preserve"> documenting and keeping in the public record the factors considered when making those decisions</w:t>
      </w:r>
      <w:r w:rsidR="00450B86">
        <w:t>,</w:t>
      </w:r>
      <w:r>
        <w:t xml:space="preserve"> </w:t>
      </w:r>
      <w:r w:rsidR="00EF370D">
        <w:t xml:space="preserve">requires </w:t>
      </w:r>
      <w:r>
        <w:t xml:space="preserve">30% of the </w:t>
      </w:r>
      <w:r w:rsidR="00450B86">
        <w:t xml:space="preserve">effort </w:t>
      </w:r>
      <w:r w:rsidR="002F55B4">
        <w:t xml:space="preserve">needed for </w:t>
      </w:r>
      <w:r w:rsidR="00EF370D">
        <w:t xml:space="preserve">a single WQS </w:t>
      </w:r>
      <w:r>
        <w:t xml:space="preserve">rulemaking. </w:t>
      </w:r>
    </w:p>
    <w:p w14:paraId="03C0FB93" w14:textId="3158D886" w:rsidR="002D072D" w:rsidRPr="003B3A98" w:rsidRDefault="00967E94" w:rsidP="00381864">
      <w:pPr>
        <w:pStyle w:val="bulletlist"/>
        <w:numPr>
          <w:ilvl w:val="0"/>
          <w:numId w:val="17"/>
        </w:numPr>
      </w:pPr>
      <w:r>
        <w:t xml:space="preserve">Per entity annual </w:t>
      </w:r>
      <w:r w:rsidR="002D072D" w:rsidRPr="003B3A98">
        <w:t xml:space="preserve">cost ranging from $700 ($49 per hour × 150 hours per occurrence </w:t>
      </w:r>
      <w:r w:rsidR="002D072D" w:rsidRPr="003B3A98">
        <w:sym w:font="Symbol" w:char="F0B8"/>
      </w:r>
      <w:r w:rsidR="002D072D" w:rsidRPr="003B3A98">
        <w:t xml:space="preserve"> 10 years per occurrence) to $1,500 ($49 per hour × 300 hours per occurrence </w:t>
      </w:r>
      <w:r w:rsidR="002D072D" w:rsidRPr="003B3A98">
        <w:sym w:font="Symbol" w:char="F0B8"/>
      </w:r>
      <w:r w:rsidR="002D072D" w:rsidRPr="003B3A98">
        <w:t> 10 years per occurrence) per year</w:t>
      </w:r>
      <w:r w:rsidR="00177233">
        <w:t xml:space="preserve">, </w:t>
      </w:r>
      <w:r w:rsidR="00450B86">
        <w:t>based on</w:t>
      </w:r>
      <w:r w:rsidR="00177233">
        <w:t xml:space="preserve"> an </w:t>
      </w:r>
      <w:r w:rsidR="00450B86">
        <w:t xml:space="preserve">estimated </w:t>
      </w:r>
      <w:r w:rsidR="00177233">
        <w:t>average 10 year</w:t>
      </w:r>
      <w:r w:rsidR="00E94BC8">
        <w:t xml:space="preserve"> interval</w:t>
      </w:r>
      <w:r w:rsidR="00177233">
        <w:t xml:space="preserve"> between </w:t>
      </w:r>
      <w:r w:rsidR="00E94BC8">
        <w:t xml:space="preserve">updates to </w:t>
      </w:r>
      <w:r w:rsidR="00177233">
        <w:t xml:space="preserve">antidegradation </w:t>
      </w:r>
      <w:r w:rsidR="00177233" w:rsidRPr="00177233">
        <w:t xml:space="preserve">implementation </w:t>
      </w:r>
      <w:r w:rsidR="00E94BC8">
        <w:t>method</w:t>
      </w:r>
      <w:r w:rsidR="002D072D" w:rsidRPr="003B3A98">
        <w:t>.</w:t>
      </w:r>
    </w:p>
    <w:p w14:paraId="1D7FDD5E" w14:textId="50C9C346" w:rsidR="002D072D" w:rsidRPr="00B7618A" w:rsidRDefault="00AE2753" w:rsidP="00381864">
      <w:pPr>
        <w:pStyle w:val="bulletlist"/>
        <w:numPr>
          <w:ilvl w:val="0"/>
          <w:numId w:val="17"/>
        </w:numPr>
      </w:pPr>
      <w:r w:rsidRPr="003B3A98">
        <w:t xml:space="preserve">Total </w:t>
      </w:r>
      <w:r w:rsidR="00967E94">
        <w:t xml:space="preserve">burden </w:t>
      </w:r>
      <w:r w:rsidRPr="003B3A98">
        <w:t xml:space="preserve">ranging, on average, from approximately 645 hours (150 hours × 43 potentially affected states and </w:t>
      </w:r>
      <w:r w:rsidR="00B7618A" w:rsidRPr="003B3A98">
        <w:t xml:space="preserve">authorized </w:t>
      </w:r>
      <w:r w:rsidRPr="003B3A98">
        <w:t xml:space="preserve">tribes </w:t>
      </w:r>
      <w:r w:rsidRPr="003B3A98">
        <w:sym w:font="Symbol" w:char="F0B8"/>
      </w:r>
      <w:r w:rsidRPr="003B3A98">
        <w:t xml:space="preserve"> 10 years per occurrence) to 1,290 hours (300 hours per occurrence × 43 potentially affected states and </w:t>
      </w:r>
      <w:r w:rsidR="00B7618A" w:rsidRPr="003B3A98">
        <w:t xml:space="preserve">authorized </w:t>
      </w:r>
      <w:r w:rsidRPr="003B3A98">
        <w:t xml:space="preserve">tribes </w:t>
      </w:r>
      <w:r w:rsidRPr="003B3A98">
        <w:sym w:font="Symbol" w:char="F0B8"/>
      </w:r>
      <w:r w:rsidRPr="003B3A98">
        <w:t> 10 years per occurrence) per year.</w:t>
      </w:r>
    </w:p>
    <w:p w14:paraId="4D5C2402" w14:textId="25767BD5" w:rsidR="00AE2753" w:rsidRPr="00B7618A" w:rsidRDefault="00AE2753" w:rsidP="00381864">
      <w:pPr>
        <w:pStyle w:val="bulletlist"/>
        <w:numPr>
          <w:ilvl w:val="0"/>
          <w:numId w:val="17"/>
        </w:numPr>
      </w:pPr>
      <w:r w:rsidRPr="003B3A98">
        <w:t>Total cost ranging from approximately $30,000 ($49 per hour × 645 hours) to $65,000 ($49 per hour × 1,290 hours) per year.</w:t>
      </w:r>
    </w:p>
    <w:p w14:paraId="07D54C98" w14:textId="77777777" w:rsidR="00E94BC8" w:rsidRDefault="00E94BC8" w:rsidP="00E94BC8">
      <w:pPr>
        <w:pStyle w:val="Heading4"/>
        <w:tabs>
          <w:tab w:val="clear" w:pos="990"/>
          <w:tab w:val="num" w:pos="720"/>
        </w:tabs>
        <w:ind w:left="720"/>
      </w:pPr>
      <w:r>
        <w:t>Public Involvement – Deciding Which Waters Will Receive Tier 2 Antidegradation Protection When Using a Water Body-By-Water Body Approach</w:t>
      </w:r>
    </w:p>
    <w:p w14:paraId="1A009B71" w14:textId="1DD91D09" w:rsidR="00D91DDE" w:rsidRDefault="00D91DDE" w:rsidP="00D91DDE">
      <w:pPr>
        <w:pStyle w:val="BodyText"/>
      </w:pPr>
      <w:r>
        <w:t xml:space="preserve">EPA estimates </w:t>
      </w:r>
      <w:r w:rsidR="00384E0E">
        <w:t>the r</w:t>
      </w:r>
      <w:r>
        <w:t xml:space="preserve">ule </w:t>
      </w:r>
      <w:r w:rsidR="00BF6459">
        <w:t xml:space="preserve">provisions related to involving the public in decisions about which water bodies states and authorized tribe decide to provide Tier 2 antidegradation protection </w:t>
      </w:r>
      <w:r w:rsidR="002F55B4">
        <w:t>could</w:t>
      </w:r>
      <w:r w:rsidR="00B7466B">
        <w:t xml:space="preserve"> </w:t>
      </w:r>
      <w:r>
        <w:t xml:space="preserve">result in incremental burden and cost </w:t>
      </w:r>
      <w:r w:rsidR="00C01EB7">
        <w:t>as follows</w:t>
      </w:r>
      <w:r>
        <w:t>:</w:t>
      </w:r>
    </w:p>
    <w:p w14:paraId="020F4323" w14:textId="6BDAEED8" w:rsidR="00AE2753" w:rsidRPr="00B7618A" w:rsidRDefault="00EF370D" w:rsidP="00381864">
      <w:pPr>
        <w:pStyle w:val="bulletlist"/>
        <w:numPr>
          <w:ilvl w:val="0"/>
          <w:numId w:val="18"/>
        </w:numPr>
      </w:pPr>
      <w:r>
        <w:t>The</w:t>
      </w:r>
      <w:r w:rsidR="002C49F3">
        <w:t xml:space="preserve"> b</w:t>
      </w:r>
      <w:r w:rsidR="00AE2753" w:rsidRPr="003B3A98">
        <w:t xml:space="preserve">urden </w:t>
      </w:r>
      <w:r>
        <w:t xml:space="preserve">for each affected state or authorized tribe </w:t>
      </w:r>
      <w:r w:rsidRPr="003B3A98">
        <w:t>rang</w:t>
      </w:r>
      <w:r>
        <w:t>es</w:t>
      </w:r>
      <w:r w:rsidRPr="003B3A98">
        <w:t xml:space="preserve"> </w:t>
      </w:r>
      <w:r w:rsidR="00AE2753" w:rsidRPr="003B3A98">
        <w:t>from 150 hours (500 hours × 30</w:t>
      </w:r>
      <w:r w:rsidR="00450B86">
        <w:t>%</w:t>
      </w:r>
      <w:r w:rsidR="00AE2753" w:rsidRPr="003B3A98">
        <w:t>) to 300 hours (1,000 hours × 30</w:t>
      </w:r>
      <w:r w:rsidR="00450B86">
        <w:t>%</w:t>
      </w:r>
      <w:r w:rsidR="00AE2753" w:rsidRPr="003B3A98">
        <w:t>)</w:t>
      </w:r>
      <w:r>
        <w:t xml:space="preserve"> on the</w:t>
      </w:r>
      <w:r w:rsidR="002C49F3">
        <w:t xml:space="preserve"> bas</w:t>
      </w:r>
      <w:r>
        <w:t>is of</w:t>
      </w:r>
      <w:r w:rsidR="002C49F3">
        <w:t xml:space="preserve"> </w:t>
      </w:r>
      <w:r>
        <w:t>EPA’s</w:t>
      </w:r>
      <w:r w:rsidR="00673589">
        <w:t xml:space="preserve"> </w:t>
      </w:r>
      <w:r w:rsidR="00E40728">
        <w:t xml:space="preserve">estimate </w:t>
      </w:r>
      <w:r w:rsidR="00673589">
        <w:t xml:space="preserve">that </w:t>
      </w:r>
      <w:r>
        <w:t>the effort required to perform a single WQS rulemaking ranges from 500 hours to 1000 hours, and EPA estimate that providing the</w:t>
      </w:r>
      <w:r w:rsidR="002C49F3" w:rsidRPr="002C49F3">
        <w:t xml:space="preserve"> opportunity for public involvement </w:t>
      </w:r>
      <w:r w:rsidR="00114AB3">
        <w:t>and</w:t>
      </w:r>
      <w:r w:rsidR="002C49F3" w:rsidRPr="002C49F3">
        <w:t xml:space="preserve"> documenting and keeping in the public record the factors considered when making those decisions</w:t>
      </w:r>
      <w:r w:rsidR="00673589">
        <w:t xml:space="preserve"> </w:t>
      </w:r>
      <w:r>
        <w:t>requires 30% of the effort needed for a single WQS rulemaking</w:t>
      </w:r>
      <w:r w:rsidR="00673589">
        <w:t>.</w:t>
      </w:r>
    </w:p>
    <w:p w14:paraId="1E8F47C5" w14:textId="5A86E876" w:rsidR="00AE2753" w:rsidRPr="00396F4C" w:rsidRDefault="00114AB3" w:rsidP="00381864">
      <w:pPr>
        <w:pStyle w:val="bulletlist"/>
        <w:numPr>
          <w:ilvl w:val="0"/>
          <w:numId w:val="18"/>
        </w:numPr>
      </w:pPr>
      <w:r>
        <w:t>Per entity o</w:t>
      </w:r>
      <w:r w:rsidR="00AE2753" w:rsidRPr="00396F4C">
        <w:t xml:space="preserve">ne-time cost ranging from $7,400 ($49 per hour × 150 hours) to $14,700 ($49 per hour × 300 hours) </w:t>
      </w:r>
      <w:r w:rsidRPr="00396F4C">
        <w:t>for states and authorized tribes that use the water body-by-water body method</w:t>
      </w:r>
      <w:r w:rsidR="00AE2753" w:rsidRPr="00396F4C">
        <w:t>.</w:t>
      </w:r>
    </w:p>
    <w:p w14:paraId="79C110EE" w14:textId="7256AE96" w:rsidR="00AE2753" w:rsidRPr="00B7618A" w:rsidRDefault="00114AB3" w:rsidP="00381864">
      <w:pPr>
        <w:pStyle w:val="bulletlist"/>
        <w:numPr>
          <w:ilvl w:val="0"/>
          <w:numId w:val="18"/>
        </w:numPr>
      </w:pPr>
      <w:r>
        <w:lastRenderedPageBreak/>
        <w:t>Total o</w:t>
      </w:r>
      <w:r w:rsidR="00AE2753" w:rsidRPr="003B3A98">
        <w:t xml:space="preserve">ne-time burden </w:t>
      </w:r>
      <w:r w:rsidR="00EF370D" w:rsidRPr="003B3A98">
        <w:t>rang</w:t>
      </w:r>
      <w:r w:rsidR="00EF370D">
        <w:t>es</w:t>
      </w:r>
      <w:r w:rsidR="00EF370D" w:rsidRPr="003B3A98">
        <w:t xml:space="preserve"> </w:t>
      </w:r>
      <w:r w:rsidR="00AE2753" w:rsidRPr="003B3A98">
        <w:t>from 6,450 hours (150 hours per state or authorized tribe × 43 states and authorized tribes) to 12,900 hours (300 hours per state or authorized tribe × 43 states and authorized tribes).</w:t>
      </w:r>
    </w:p>
    <w:p w14:paraId="7EB36C6C" w14:textId="4DC31B6A" w:rsidR="00AE2753" w:rsidRPr="00B7618A" w:rsidRDefault="00AE2753" w:rsidP="00381864">
      <w:pPr>
        <w:pStyle w:val="bulletlist"/>
        <w:numPr>
          <w:ilvl w:val="0"/>
          <w:numId w:val="18"/>
        </w:numPr>
      </w:pPr>
      <w:r w:rsidRPr="003B3A98">
        <w:t xml:space="preserve">Total one-time cost </w:t>
      </w:r>
      <w:r w:rsidR="00EF370D" w:rsidRPr="003B3A98">
        <w:t>rang</w:t>
      </w:r>
      <w:r w:rsidR="00EF370D">
        <w:t>es</w:t>
      </w:r>
      <w:r w:rsidR="00EF370D" w:rsidRPr="003B3A98">
        <w:t xml:space="preserve"> </w:t>
      </w:r>
      <w:r w:rsidRPr="003B3A98">
        <w:t>from $318,000 ($7,400 per state or authorized tribe × 43 states and authorized tribes) to $632,000 ($14,700 per state or authorized tribe × 43 states and authorized tribes).</w:t>
      </w:r>
    </w:p>
    <w:p w14:paraId="44537614" w14:textId="3FCB5684" w:rsidR="008C0548" w:rsidRPr="00B7618A" w:rsidRDefault="00114AB3" w:rsidP="00114AB3">
      <w:pPr>
        <w:pStyle w:val="BodyText"/>
      </w:pPr>
      <w:r>
        <w:t>To convert the one-time burden and cost to an annual basis for the period of the ICR, EPA assumes that states and authorized tribes perform the activities over a</w:t>
      </w:r>
      <w:r w:rsidRPr="00B7618A">
        <w:t xml:space="preserve"> 3-year period</w:t>
      </w:r>
      <w:r>
        <w:t>. Thus</w:t>
      </w:r>
      <w:r w:rsidR="008C0548" w:rsidRPr="00B7618A">
        <w:t xml:space="preserve">, annual burden in each of the first three years </w:t>
      </w:r>
      <w:r w:rsidR="00EF370D">
        <w:t>c</w:t>
      </w:r>
      <w:r w:rsidR="008C0548" w:rsidRPr="00B7618A">
        <w:t xml:space="preserve">ould range from 2,150 hours (6,450 hours ÷ 3 years) to 4,300 hours (12,900 hours ÷ 3 years), and annual </w:t>
      </w:r>
      <w:r w:rsidR="00747C5B">
        <w:t>cost</w:t>
      </w:r>
      <w:r w:rsidR="008C0548" w:rsidRPr="00B7618A">
        <w:t xml:space="preserve"> in each of the first three years </w:t>
      </w:r>
      <w:r w:rsidR="00EF370D">
        <w:t>c</w:t>
      </w:r>
      <w:r w:rsidR="008C0548" w:rsidRPr="00B7618A">
        <w:t>ould range from $106,000 ($318,000 ÷ 3 years) to $</w:t>
      </w:r>
      <w:r w:rsidR="00103C0B">
        <w:t>211,000</w:t>
      </w:r>
      <w:r w:rsidR="008C0548" w:rsidRPr="00B7618A">
        <w:t xml:space="preserve"> ($632,000 ÷ 3 years).</w:t>
      </w:r>
    </w:p>
    <w:p w14:paraId="50E5A712" w14:textId="3A067C62" w:rsidR="002370EE" w:rsidRPr="00B7618A" w:rsidRDefault="00A23801" w:rsidP="00381864">
      <w:pPr>
        <w:pStyle w:val="Heading4"/>
        <w:tabs>
          <w:tab w:val="clear" w:pos="990"/>
          <w:tab w:val="num" w:pos="720"/>
        </w:tabs>
        <w:ind w:left="720"/>
      </w:pPr>
      <w:bookmarkStart w:id="48" w:name="_Ref403557748"/>
      <w:r>
        <w:t>More Extensive</w:t>
      </w:r>
      <w:r w:rsidR="00274C17" w:rsidRPr="00B7618A">
        <w:t xml:space="preserve"> </w:t>
      </w:r>
      <w:r w:rsidR="002F55B4">
        <w:t xml:space="preserve">Tier 2 </w:t>
      </w:r>
      <w:r w:rsidR="00274C17" w:rsidRPr="00B7618A">
        <w:t xml:space="preserve">Antidegradation </w:t>
      </w:r>
      <w:bookmarkEnd w:id="48"/>
      <w:r w:rsidR="00B7466B">
        <w:t>Reviews</w:t>
      </w:r>
    </w:p>
    <w:p w14:paraId="33307F3D" w14:textId="6954CBD4" w:rsidR="00D40348" w:rsidRPr="00CF32C7" w:rsidRDefault="00E94BC8" w:rsidP="00D40348">
      <w:pPr>
        <w:pStyle w:val="BodyText"/>
      </w:pPr>
      <w:r>
        <w:t xml:space="preserve">EPA estimates the rule </w:t>
      </w:r>
      <w:r w:rsidR="00F0773E">
        <w:t>could</w:t>
      </w:r>
      <w:r>
        <w:t xml:space="preserve"> potentially result in incremental burden and cost </w:t>
      </w:r>
      <w:r w:rsidR="00C03A4D">
        <w:t xml:space="preserve">related to the requirement that </w:t>
      </w:r>
      <w:r>
        <w:t xml:space="preserve">states and authorized tribes </w:t>
      </w:r>
      <w:r w:rsidRPr="00867AA6">
        <w:rPr>
          <w:bCs/>
        </w:rPr>
        <w:t>evaluate a range of non-degrading and less degr</w:t>
      </w:r>
      <w:r>
        <w:rPr>
          <w:bCs/>
        </w:rPr>
        <w:t>ading practicable alternatives</w:t>
      </w:r>
      <w:r w:rsidR="00C03A4D">
        <w:rPr>
          <w:bCs/>
        </w:rPr>
        <w:t xml:space="preserve"> when performing/evaluating Tier 2 antidegradation reviews</w:t>
      </w:r>
      <w:r>
        <w:t xml:space="preserve">. </w:t>
      </w:r>
      <w:r w:rsidR="003262D9" w:rsidRPr="005A75FD">
        <w:t xml:space="preserve">Because </w:t>
      </w:r>
      <w:r w:rsidR="00C01EB7">
        <w:rPr>
          <w:bCs/>
        </w:rPr>
        <w:t>Tier 2 antidegradation reviews</w:t>
      </w:r>
      <w:r w:rsidR="00C01EB7" w:rsidRPr="005A75FD">
        <w:t xml:space="preserve"> </w:t>
      </w:r>
      <w:r w:rsidR="003262D9" w:rsidRPr="005A75FD">
        <w:t>are usually associate</w:t>
      </w:r>
      <w:r w:rsidR="00C01EB7">
        <w:t>d with NPDES permit issuance or re-issuance</w:t>
      </w:r>
      <w:r w:rsidR="003262D9" w:rsidRPr="005A75FD">
        <w:t xml:space="preserve">, EPA uses information on </w:t>
      </w:r>
      <w:r w:rsidR="00C01EB7">
        <w:t xml:space="preserve">the number of antidegradation reviews </w:t>
      </w:r>
      <w:r w:rsidR="00F540EA">
        <w:t xml:space="preserve">in states and authorized tribes </w:t>
      </w:r>
      <w:r w:rsidR="003262D9" w:rsidRPr="00B7618A">
        <w:t xml:space="preserve">where such </w:t>
      </w:r>
      <w:r w:rsidR="00C01EB7">
        <w:t>information is available</w:t>
      </w:r>
      <w:r w:rsidR="00C01EB7" w:rsidRPr="00C01EB7">
        <w:t xml:space="preserve"> </w:t>
      </w:r>
      <w:r w:rsidR="00C01EB7">
        <w:t xml:space="preserve">to </w:t>
      </w:r>
      <w:r w:rsidR="00F540EA">
        <w:t>estimate</w:t>
      </w:r>
      <w:r w:rsidR="00C01EB7">
        <w:t xml:space="preserve"> </w:t>
      </w:r>
      <w:r w:rsidR="00F540EA">
        <w:t>the number of Tier 2 antidegradation reviews in all affected states and authorized tribes.</w:t>
      </w:r>
      <w:r w:rsidR="00433B9B">
        <w:t xml:space="preserve"> </w:t>
      </w:r>
      <w:r w:rsidR="00D40348" w:rsidRPr="00396F4C">
        <w:t xml:space="preserve">EPA </w:t>
      </w:r>
      <w:r w:rsidR="00C01EB7">
        <w:t>estimates</w:t>
      </w:r>
      <w:r w:rsidR="00C01EB7" w:rsidRPr="00396F4C">
        <w:t xml:space="preserve"> </w:t>
      </w:r>
      <w:r w:rsidR="00C01EB7">
        <w:t xml:space="preserve">the number of </w:t>
      </w:r>
      <w:r w:rsidR="00C01EB7">
        <w:rPr>
          <w:bCs/>
        </w:rPr>
        <w:t>Tier 2 antidegradation reviews</w:t>
      </w:r>
      <w:r w:rsidR="00C01EB7">
        <w:t xml:space="preserve"> to be approximately 2% of the total number of NPDES permits in </w:t>
      </w:r>
      <w:r w:rsidR="00F540EA">
        <w:t>in the states of Missouri and Iowa</w:t>
      </w:r>
      <w:r w:rsidR="00C01EB7">
        <w:t>.</w:t>
      </w:r>
      <w:r w:rsidR="00433B9B">
        <w:t xml:space="preserve"> </w:t>
      </w:r>
      <w:r w:rsidR="00C01EB7">
        <w:t>EPA counts</w:t>
      </w:r>
      <w:r w:rsidR="00D40348" w:rsidRPr="00396F4C">
        <w:t xml:space="preserve"> 23,036 </w:t>
      </w:r>
      <w:r w:rsidR="00D40348">
        <w:t xml:space="preserve">NPDES-permitted </w:t>
      </w:r>
      <w:r w:rsidR="00D40348" w:rsidRPr="00396F4C">
        <w:t xml:space="preserve">dischargers </w:t>
      </w:r>
      <w:r w:rsidR="009249FB">
        <w:t>in states and authorized tribes</w:t>
      </w:r>
      <w:r w:rsidR="00D40348" w:rsidRPr="00396F4C">
        <w:t xml:space="preserve"> that </w:t>
      </w:r>
      <w:r w:rsidR="00C01EB7" w:rsidRPr="00396F4C">
        <w:t xml:space="preserve">currently </w:t>
      </w:r>
      <w:r w:rsidR="00D40348" w:rsidRPr="00396F4C">
        <w:t xml:space="preserve">do not evaluate a range of non-degrading and minimally degrading alternatives </w:t>
      </w:r>
      <w:r w:rsidR="00D40348" w:rsidRPr="005A75FD">
        <w:t>for all Tier 2 antidegradation reviews.</w:t>
      </w:r>
      <w:r w:rsidR="00433B9B">
        <w:t xml:space="preserve"> </w:t>
      </w:r>
      <w:r w:rsidR="009249FB">
        <w:t xml:space="preserve">Thus EPA estimates </w:t>
      </w:r>
      <w:r w:rsidR="00C01EB7">
        <w:t xml:space="preserve">a total of </w:t>
      </w:r>
      <w:r w:rsidR="00D40348" w:rsidRPr="00B7618A">
        <w:t>461</w:t>
      </w:r>
      <w:r w:rsidR="00D40348" w:rsidRPr="00417120">
        <w:t xml:space="preserve"> </w:t>
      </w:r>
      <w:r w:rsidR="009249FB">
        <w:t xml:space="preserve">antidegradation </w:t>
      </w:r>
      <w:r w:rsidR="00D40348" w:rsidRPr="00417120">
        <w:t xml:space="preserve">reviews per year (23,026 dischargers </w:t>
      </w:r>
      <w:r w:rsidR="00D40348" w:rsidRPr="00CF32C7">
        <w:t>× 2%)</w:t>
      </w:r>
      <w:r w:rsidR="009249FB">
        <w:t xml:space="preserve"> in </w:t>
      </w:r>
      <w:r w:rsidR="00F540EA">
        <w:t>states and authorized tribes</w:t>
      </w:r>
      <w:r w:rsidR="00F540EA" w:rsidRPr="00396F4C">
        <w:t xml:space="preserve"> that currently do not evaluate a range of non-degrading and minimally degrading alternatives </w:t>
      </w:r>
      <w:r w:rsidR="00F540EA" w:rsidRPr="005A75FD">
        <w:t>for all Tier 2 antidegradation reviews</w:t>
      </w:r>
      <w:r w:rsidR="00D40348" w:rsidRPr="00CF32C7">
        <w:t>.</w:t>
      </w:r>
    </w:p>
    <w:p w14:paraId="4704697D" w14:textId="6DED3A04" w:rsidR="00D40348" w:rsidRDefault="00D40348" w:rsidP="00D40348">
      <w:pPr>
        <w:pStyle w:val="BodyText"/>
      </w:pPr>
      <w:r>
        <w:t xml:space="preserve">EPA estimates </w:t>
      </w:r>
      <w:r w:rsidR="00384E0E">
        <w:t xml:space="preserve">the </w:t>
      </w:r>
      <w:r>
        <w:t xml:space="preserve">rule </w:t>
      </w:r>
      <w:r w:rsidR="00BF6459">
        <w:t xml:space="preserve">provisions related to performing/evaluating alternative analyses that </w:t>
      </w:r>
      <w:r w:rsidR="00BF6459" w:rsidRPr="00396F4C">
        <w:t xml:space="preserve">evaluate a range of non-degrading and minimally degrading alternatives </w:t>
      </w:r>
      <w:r w:rsidR="00BF6459">
        <w:t>could</w:t>
      </w:r>
      <w:r w:rsidR="00B7466B">
        <w:t xml:space="preserve"> </w:t>
      </w:r>
      <w:r>
        <w:t xml:space="preserve">result in incremental </w:t>
      </w:r>
      <w:r w:rsidR="002F55B4">
        <w:t>burden</w:t>
      </w:r>
      <w:r>
        <w:t xml:space="preserve"> and cost </w:t>
      </w:r>
      <w:r w:rsidR="00C01EB7">
        <w:t>as follows</w:t>
      </w:r>
      <w:r>
        <w:t>:</w:t>
      </w:r>
    </w:p>
    <w:p w14:paraId="15473429" w14:textId="5F968635" w:rsidR="002C53C3" w:rsidRPr="005A75FD" w:rsidRDefault="00F540EA" w:rsidP="00381864">
      <w:pPr>
        <w:pStyle w:val="bulletlist"/>
        <w:numPr>
          <w:ilvl w:val="0"/>
          <w:numId w:val="19"/>
        </w:numPr>
      </w:pPr>
      <w:r>
        <w:t xml:space="preserve">The incremental effort </w:t>
      </w:r>
      <w:r w:rsidR="00EF370D">
        <w:t xml:space="preserve">needed to identify and </w:t>
      </w:r>
      <w:r w:rsidR="00EF370D" w:rsidRPr="00396F4C">
        <w:t xml:space="preserve">evaluate a range of non-degrading and minimally degrading alternatives </w:t>
      </w:r>
      <w:r w:rsidR="00EF370D">
        <w:t>for</w:t>
      </w:r>
      <w:r>
        <w:t xml:space="preserve"> one Tier 2 antidegradation </w:t>
      </w:r>
      <w:r w:rsidR="00D40348">
        <w:t>review</w:t>
      </w:r>
      <w:r w:rsidR="002C53C3" w:rsidRPr="00B7618A">
        <w:t xml:space="preserve"> </w:t>
      </w:r>
      <w:r>
        <w:t>requires</w:t>
      </w:r>
      <w:r w:rsidR="006774B1" w:rsidRPr="00B7618A">
        <w:t xml:space="preserve"> approximately 30 hours (100 hours </w:t>
      </w:r>
      <w:r w:rsidR="006774B1" w:rsidRPr="00396F4C">
        <w:sym w:font="Wingdings 2" w:char="F0CD"/>
      </w:r>
      <w:r w:rsidR="006774B1" w:rsidRPr="00396F4C">
        <w:t xml:space="preserve"> </w:t>
      </w:r>
      <w:r w:rsidR="007473E4" w:rsidRPr="00396F4C">
        <w:t>30%</w:t>
      </w:r>
      <w:r w:rsidR="006774B1" w:rsidRPr="00396F4C">
        <w:t xml:space="preserve">) to </w:t>
      </w:r>
      <w:r w:rsidR="00AC57EB" w:rsidRPr="00396F4C">
        <w:t>90</w:t>
      </w:r>
      <w:r w:rsidR="006774B1" w:rsidRPr="00396F4C">
        <w:t xml:space="preserve"> hours (</w:t>
      </w:r>
      <w:r w:rsidR="00CD4CE4" w:rsidRPr="00396F4C">
        <w:t>300</w:t>
      </w:r>
      <w:r w:rsidR="006774B1" w:rsidRPr="00396F4C">
        <w:t xml:space="preserve"> hours </w:t>
      </w:r>
      <w:r w:rsidR="006774B1" w:rsidRPr="00396F4C">
        <w:sym w:font="Wingdings 2" w:char="F0CD"/>
      </w:r>
      <w:r w:rsidR="006774B1" w:rsidRPr="00396F4C">
        <w:t xml:space="preserve"> </w:t>
      </w:r>
      <w:r w:rsidR="007473E4" w:rsidRPr="00396F4C">
        <w:t>30%</w:t>
      </w:r>
      <w:r w:rsidR="006774B1" w:rsidRPr="00396F4C">
        <w:t>)</w:t>
      </w:r>
      <w:r>
        <w:t xml:space="preserve"> on</w:t>
      </w:r>
      <w:r w:rsidR="006774B1" w:rsidRPr="00396F4C">
        <w:t xml:space="preserve"> bas</w:t>
      </w:r>
      <w:r>
        <w:t>is of</w:t>
      </w:r>
      <w:r w:rsidR="00433B9B">
        <w:t xml:space="preserve"> </w:t>
      </w:r>
      <w:r w:rsidR="00EF370D">
        <w:t xml:space="preserve">EPA’s estimate that performing/evaluating a single Tier 2 antidegradation review </w:t>
      </w:r>
      <w:r w:rsidR="00EF370D" w:rsidRPr="00396F4C">
        <w:t>that does not include an alternatives analysis</w:t>
      </w:r>
      <w:r w:rsidR="00EF370D" w:rsidRPr="00396F4C" w:rsidDel="00EF370D">
        <w:t xml:space="preserve"> </w:t>
      </w:r>
      <w:r w:rsidR="00EF370D">
        <w:t xml:space="preserve">requires </w:t>
      </w:r>
      <w:r w:rsidR="00D40348" w:rsidRPr="00396F4C">
        <w:t>approximately 100 hours to 300 hours</w:t>
      </w:r>
      <w:r w:rsidR="00D40348">
        <w:t>, and that incl</w:t>
      </w:r>
      <w:r w:rsidR="006774B1" w:rsidRPr="00396F4C">
        <w:t xml:space="preserve">uding an alternatives analysis </w:t>
      </w:r>
      <w:r w:rsidR="00EF370D">
        <w:t>could</w:t>
      </w:r>
      <w:r w:rsidR="00EF370D" w:rsidRPr="00396F4C">
        <w:t xml:space="preserve"> </w:t>
      </w:r>
      <w:r w:rsidR="006774B1" w:rsidRPr="00396F4C">
        <w:t xml:space="preserve">increase the </w:t>
      </w:r>
      <w:r w:rsidR="00EF370D">
        <w:t xml:space="preserve">level of </w:t>
      </w:r>
      <w:r w:rsidR="006774B1" w:rsidRPr="00396F4C">
        <w:t>effort by approximately 30</w:t>
      </w:r>
      <w:r w:rsidR="00D40348">
        <w:t>%</w:t>
      </w:r>
      <w:r w:rsidR="006774B1" w:rsidRPr="00396F4C">
        <w:t>.</w:t>
      </w:r>
    </w:p>
    <w:p w14:paraId="67A8BB78" w14:textId="6E978EB3" w:rsidR="002C53C3" w:rsidRPr="00396F4C" w:rsidRDefault="00D40348" w:rsidP="00381864">
      <w:pPr>
        <w:pStyle w:val="bulletlist"/>
        <w:numPr>
          <w:ilvl w:val="0"/>
          <w:numId w:val="19"/>
        </w:numPr>
      </w:pPr>
      <w:r>
        <w:lastRenderedPageBreak/>
        <w:t>P</w:t>
      </w:r>
      <w:r w:rsidR="002C53C3" w:rsidRPr="00B7618A">
        <w:t xml:space="preserve">er </w:t>
      </w:r>
      <w:r w:rsidR="00A26D2B" w:rsidRPr="00B7618A">
        <w:t>review</w:t>
      </w:r>
      <w:r w:rsidR="002C53C3" w:rsidRPr="00B7618A">
        <w:t xml:space="preserve"> cost rang</w:t>
      </w:r>
      <w:r w:rsidR="00EF370D">
        <w:t>es</w:t>
      </w:r>
      <w:r w:rsidR="002C53C3" w:rsidRPr="00B7618A">
        <w:t xml:space="preserve"> from</w:t>
      </w:r>
      <w:r w:rsidR="006774B1" w:rsidRPr="00B7618A">
        <w:t xml:space="preserve"> $</w:t>
      </w:r>
      <w:r w:rsidR="00AC57EB" w:rsidRPr="00B7618A">
        <w:t>1,500</w:t>
      </w:r>
      <w:r w:rsidR="006774B1" w:rsidRPr="00B7618A">
        <w:t xml:space="preserve"> (</w:t>
      </w:r>
      <w:r w:rsidR="00BE4CAD" w:rsidRPr="00396F4C">
        <w:t>$49</w:t>
      </w:r>
      <w:r w:rsidR="00BE4CAD">
        <w:t xml:space="preserve"> per </w:t>
      </w:r>
      <w:r w:rsidR="00BE4CAD" w:rsidRPr="00396F4C">
        <w:t xml:space="preserve">hour </w:t>
      </w:r>
      <w:r w:rsidR="006774B1" w:rsidRPr="00396F4C">
        <w:sym w:font="Wingdings 2" w:char="F0CD"/>
      </w:r>
      <w:r w:rsidR="00BE4CAD">
        <w:t xml:space="preserve"> </w:t>
      </w:r>
      <w:r w:rsidR="00BE4CAD" w:rsidRPr="00B7618A">
        <w:t>30 hours</w:t>
      </w:r>
      <w:r w:rsidR="006774B1" w:rsidRPr="00396F4C">
        <w:t>) to $</w:t>
      </w:r>
      <w:r w:rsidR="00AC57EB" w:rsidRPr="00B7618A">
        <w:t>4,400</w:t>
      </w:r>
      <w:r w:rsidR="006774B1" w:rsidRPr="00B7618A">
        <w:t xml:space="preserve"> (</w:t>
      </w:r>
      <w:r w:rsidR="00BE4CAD" w:rsidRPr="00396F4C">
        <w:t>$49</w:t>
      </w:r>
      <w:r w:rsidR="00BE4CAD">
        <w:t xml:space="preserve"> per </w:t>
      </w:r>
      <w:r w:rsidR="00BE4CAD" w:rsidRPr="00396F4C">
        <w:t xml:space="preserve">hour </w:t>
      </w:r>
      <w:r w:rsidR="006774B1" w:rsidRPr="00396F4C">
        <w:sym w:font="Wingdings 2" w:char="F0CD"/>
      </w:r>
      <w:r w:rsidR="00BE4CAD" w:rsidRPr="00396F4C">
        <w:t>90 hours</w:t>
      </w:r>
      <w:r w:rsidR="006774B1" w:rsidRPr="00396F4C">
        <w:t>).</w:t>
      </w:r>
    </w:p>
    <w:p w14:paraId="493023C0" w14:textId="6ED0443C" w:rsidR="00BE4CAD" w:rsidRDefault="006774B1" w:rsidP="00381864">
      <w:pPr>
        <w:pStyle w:val="bulletlist"/>
        <w:numPr>
          <w:ilvl w:val="0"/>
          <w:numId w:val="19"/>
        </w:numPr>
      </w:pPr>
      <w:r w:rsidRPr="00396F4C">
        <w:t>Total annual burden range</w:t>
      </w:r>
      <w:r w:rsidR="00EF370D">
        <w:t>s</w:t>
      </w:r>
      <w:r w:rsidRPr="00396F4C">
        <w:t xml:space="preserve"> </w:t>
      </w:r>
      <w:r w:rsidR="00D40348">
        <w:t xml:space="preserve">from </w:t>
      </w:r>
      <w:r w:rsidR="00A676E6" w:rsidRPr="00396F4C">
        <w:t>13,</w:t>
      </w:r>
      <w:r w:rsidR="005E468D" w:rsidRPr="00396F4C">
        <w:t>8</w:t>
      </w:r>
      <w:r w:rsidR="005E468D">
        <w:t>30</w:t>
      </w:r>
      <w:r w:rsidR="005E468D" w:rsidRPr="00396F4C">
        <w:t xml:space="preserve"> </w:t>
      </w:r>
      <w:r w:rsidRPr="00396F4C">
        <w:t>hours</w:t>
      </w:r>
      <w:r w:rsidR="00BE4CAD">
        <w:t xml:space="preserve"> (30 hours </w:t>
      </w:r>
      <w:r w:rsidR="00BE4CAD" w:rsidRPr="00396F4C">
        <w:sym w:font="Wingdings 2" w:char="F0CD"/>
      </w:r>
      <w:r w:rsidR="00BE4CAD">
        <w:t xml:space="preserve"> 461 reviews)</w:t>
      </w:r>
      <w:r w:rsidRPr="00396F4C">
        <w:t xml:space="preserve"> </w:t>
      </w:r>
      <w:r w:rsidR="00EF370D">
        <w:t>to</w:t>
      </w:r>
      <w:r w:rsidR="00EF370D" w:rsidRPr="00396F4C">
        <w:t xml:space="preserve"> </w:t>
      </w:r>
      <w:r w:rsidR="00A676E6" w:rsidRPr="00396F4C">
        <w:t>41,</w:t>
      </w:r>
      <w:r w:rsidR="005E468D">
        <w:t>490</w:t>
      </w:r>
      <w:r w:rsidR="005E468D" w:rsidRPr="00396F4C">
        <w:t xml:space="preserve"> </w:t>
      </w:r>
      <w:r w:rsidRPr="00396F4C">
        <w:t>hours</w:t>
      </w:r>
      <w:r w:rsidR="00BE4CAD">
        <w:t xml:space="preserve"> (90 hours </w:t>
      </w:r>
      <w:r w:rsidR="00BE4CAD" w:rsidRPr="00396F4C">
        <w:sym w:font="Wingdings 2" w:char="F0CD"/>
      </w:r>
      <w:r w:rsidR="00BE4CAD">
        <w:t xml:space="preserve"> 461 reviews).</w:t>
      </w:r>
    </w:p>
    <w:p w14:paraId="06F69FC8" w14:textId="72CD755A" w:rsidR="002C53C3" w:rsidRPr="00396F4C" w:rsidRDefault="00BE4CAD" w:rsidP="00381864">
      <w:pPr>
        <w:pStyle w:val="bulletlist"/>
        <w:numPr>
          <w:ilvl w:val="0"/>
          <w:numId w:val="19"/>
        </w:numPr>
      </w:pPr>
      <w:r>
        <w:t xml:space="preserve">Total annual </w:t>
      </w:r>
      <w:r w:rsidR="002C53C3" w:rsidRPr="00B7618A">
        <w:t>cost rang</w:t>
      </w:r>
      <w:r w:rsidR="00EF370D">
        <w:t>es</w:t>
      </w:r>
      <w:r w:rsidR="002C53C3" w:rsidRPr="00B7618A">
        <w:t xml:space="preserve"> from</w:t>
      </w:r>
      <w:r w:rsidR="006774B1" w:rsidRPr="00B7618A">
        <w:t xml:space="preserve"> $</w:t>
      </w:r>
      <w:r w:rsidR="005E468D" w:rsidRPr="00396F4C">
        <w:t>69</w:t>
      </w:r>
      <w:r w:rsidR="005E468D">
        <w:t>2</w:t>
      </w:r>
      <w:r w:rsidR="00A676E6" w:rsidRPr="00396F4C">
        <w:t>,000</w:t>
      </w:r>
      <w:r w:rsidR="006774B1" w:rsidRPr="00396F4C">
        <w:t xml:space="preserve"> </w:t>
      </w:r>
      <w:r>
        <w:t xml:space="preserve">($1,500 </w:t>
      </w:r>
      <w:r w:rsidRPr="00396F4C">
        <w:sym w:font="Wingdings 2" w:char="F0CD"/>
      </w:r>
      <w:r>
        <w:t xml:space="preserve"> 461 reviews) </w:t>
      </w:r>
      <w:r w:rsidR="007473E4" w:rsidRPr="00396F4C">
        <w:t>to</w:t>
      </w:r>
      <w:r w:rsidR="006774B1" w:rsidRPr="00396F4C">
        <w:t xml:space="preserve"> $</w:t>
      </w:r>
      <w:r w:rsidR="00A676E6" w:rsidRPr="00396F4C">
        <w:t>2,</w:t>
      </w:r>
      <w:r w:rsidR="005E468D" w:rsidRPr="00396F4C">
        <w:t>02</w:t>
      </w:r>
      <w:r w:rsidR="005E468D">
        <w:t>8</w:t>
      </w:r>
      <w:r w:rsidR="00A676E6" w:rsidRPr="00396F4C">
        <w:t>,000</w:t>
      </w:r>
      <w:r>
        <w:t xml:space="preserve"> ($4,400 </w:t>
      </w:r>
      <w:r w:rsidRPr="00396F4C">
        <w:sym w:font="Wingdings 2" w:char="F0CD"/>
      </w:r>
      <w:r>
        <w:t xml:space="preserve"> 461 reviews)</w:t>
      </w:r>
      <w:r w:rsidR="006774B1" w:rsidRPr="00396F4C">
        <w:t>.</w:t>
      </w:r>
    </w:p>
    <w:p w14:paraId="3E5C5F06" w14:textId="77777777" w:rsidR="00B009F7" w:rsidRPr="00396F4C" w:rsidRDefault="00B009F7" w:rsidP="00D40348">
      <w:pPr>
        <w:pStyle w:val="BodyText"/>
      </w:pPr>
      <w:r w:rsidRPr="00396F4C">
        <w:t>Note that these are average estimates, and do not reflect potential differences in water quality and the geographical distribution of dischargers relative to Tier 2 waters.</w:t>
      </w:r>
    </w:p>
    <w:p w14:paraId="78B638D3" w14:textId="26C4DBF0" w:rsidR="002370EE" w:rsidRPr="00B7618A" w:rsidRDefault="002F55B4" w:rsidP="00381864">
      <w:pPr>
        <w:pStyle w:val="Heading4"/>
        <w:tabs>
          <w:tab w:val="clear" w:pos="990"/>
          <w:tab w:val="num" w:pos="720"/>
        </w:tabs>
        <w:ind w:left="720"/>
      </w:pPr>
      <w:bookmarkStart w:id="49" w:name="_Ref402536120"/>
      <w:r>
        <w:t>More Antidegradation Reviews Because More Waters are Receiving Tier 2 Protection</w:t>
      </w:r>
      <w:bookmarkEnd w:id="49"/>
    </w:p>
    <w:p w14:paraId="41BBF9ED" w14:textId="5BAB0B9D" w:rsidR="00343EE4" w:rsidRPr="00B7618A" w:rsidRDefault="00343EE4" w:rsidP="00343EE4">
      <w:pPr>
        <w:pStyle w:val="BodyText"/>
      </w:pPr>
      <w:r w:rsidRPr="00B7618A">
        <w:t>EPA estimates there are a total of 25,780 individual NPDES-permitted dischargers within states and authorized tribes that currently us</w:t>
      </w:r>
      <w:r w:rsidR="00B7466B">
        <w:t>e a</w:t>
      </w:r>
      <w:r w:rsidRPr="00B7618A">
        <w:t xml:space="preserve"> water body-by-water body method </w:t>
      </w:r>
      <w:r w:rsidR="00B7466B">
        <w:t xml:space="preserve">to identify waters requiring Tier 2 protection that </w:t>
      </w:r>
      <w:r w:rsidR="003C5F1D">
        <w:t>does not comply</w:t>
      </w:r>
      <w:r w:rsidRPr="00B7618A">
        <w:t xml:space="preserve"> with the requirements of the rule. </w:t>
      </w:r>
      <w:r w:rsidR="00A23801" w:rsidRPr="00B7618A">
        <w:t xml:space="preserve">EPA estimates the number of potential additional Tier 2 </w:t>
      </w:r>
      <w:r w:rsidR="00A23801">
        <w:t>reviews</w:t>
      </w:r>
      <w:r w:rsidR="00A23801" w:rsidRPr="00B7618A">
        <w:t xml:space="preserve"> states and </w:t>
      </w:r>
      <w:r w:rsidR="00A23801">
        <w:t xml:space="preserve">authorized </w:t>
      </w:r>
      <w:r w:rsidR="00A23801" w:rsidRPr="00B7618A">
        <w:t xml:space="preserve">tribes </w:t>
      </w:r>
      <w:r w:rsidR="00A23801">
        <w:t xml:space="preserve">may need to perform/evaluate </w:t>
      </w:r>
      <w:r w:rsidR="002F55B4">
        <w:t>using the</w:t>
      </w:r>
      <w:r w:rsidRPr="00B7618A">
        <w:t xml:space="preserve"> percent of the total number of NPDES-permitted dischargers from Missouri and Iowa (</w:t>
      </w:r>
      <w:r w:rsidR="00F8307F">
        <w:t xml:space="preserve">2%, </w:t>
      </w:r>
      <w:r w:rsidRPr="00B7618A">
        <w:t xml:space="preserve">a midpoint across the two states), that currently exclude waters from Tier 2 protection based on the impairment of one parameter. EPA assumes that only 50% of the additional reviews will occur, whereas for the other 50%, states and authorized tribes will not provide Tier 2 protection and simply provide public notice of their decision. Thus, EPA estimates that there will be 258 additional antidegradation reviews (25,780 dischargers × 2% × 50%). </w:t>
      </w:r>
    </w:p>
    <w:p w14:paraId="43E545CD" w14:textId="1531C9D5" w:rsidR="00747C5B" w:rsidRDefault="00747C5B" w:rsidP="00747C5B">
      <w:pPr>
        <w:pStyle w:val="BodyText"/>
      </w:pPr>
      <w:r>
        <w:t xml:space="preserve">EPA estimates </w:t>
      </w:r>
      <w:r w:rsidR="00BF6459">
        <w:t xml:space="preserve">the rule provisions related to performing/evaluating additional Tier 2 antidegradation reviews </w:t>
      </w:r>
      <w:r w:rsidR="00384E0E">
        <w:t>could</w:t>
      </w:r>
      <w:r>
        <w:t xml:space="preserve"> result in incremental </w:t>
      </w:r>
      <w:r w:rsidR="002F55B4">
        <w:t>burden</w:t>
      </w:r>
      <w:r>
        <w:t xml:space="preserve"> and cost </w:t>
      </w:r>
      <w:r w:rsidR="00BF6459">
        <w:t>as follows</w:t>
      </w:r>
      <w:r>
        <w:t>:</w:t>
      </w:r>
    </w:p>
    <w:p w14:paraId="01AEFA15" w14:textId="4EE48360" w:rsidR="00A26D2B" w:rsidRPr="00396F4C" w:rsidRDefault="00343EE4" w:rsidP="00381864">
      <w:pPr>
        <w:pStyle w:val="bulletlist"/>
        <w:numPr>
          <w:ilvl w:val="0"/>
          <w:numId w:val="20"/>
        </w:numPr>
      </w:pPr>
      <w:r>
        <w:t>Per review effort</w:t>
      </w:r>
      <w:r w:rsidR="00A26D2B" w:rsidRPr="00B7618A">
        <w:t xml:space="preserve"> ranging from</w:t>
      </w:r>
      <w:r w:rsidR="00EC6D76" w:rsidRPr="00B7618A">
        <w:t xml:space="preserve"> </w:t>
      </w:r>
      <w:r>
        <w:t>130 hours [100 hours + (100 hours × 30%)]</w:t>
      </w:r>
      <w:r w:rsidR="00A26D2B" w:rsidRPr="00396F4C">
        <w:t xml:space="preserve"> to </w:t>
      </w:r>
      <w:r w:rsidR="00A676E6" w:rsidRPr="00396F4C">
        <w:t>390</w:t>
      </w:r>
      <w:r w:rsidR="00A26D2B" w:rsidRPr="00396F4C">
        <w:t xml:space="preserve"> hours </w:t>
      </w:r>
      <w:r>
        <w:t>[</w:t>
      </w:r>
      <w:r w:rsidR="00A26D2B" w:rsidRPr="00396F4C">
        <w:t>(</w:t>
      </w:r>
      <w:r w:rsidR="00A676E6" w:rsidRPr="00396F4C">
        <w:t>300</w:t>
      </w:r>
      <w:r w:rsidR="00A26D2B" w:rsidRPr="00396F4C">
        <w:t xml:space="preserve"> hours + (</w:t>
      </w:r>
      <w:r w:rsidR="00A676E6" w:rsidRPr="00396F4C">
        <w:t>300</w:t>
      </w:r>
      <w:r>
        <w:t xml:space="preserve"> hours × 30%)]</w:t>
      </w:r>
      <w:r w:rsidR="00A26D2B" w:rsidRPr="00396F4C">
        <w:t xml:space="preserve">, </w:t>
      </w:r>
      <w:r>
        <w:t>based on</w:t>
      </w:r>
      <w:r w:rsidR="00A26D2B" w:rsidRPr="00396F4C">
        <w:t xml:space="preserve"> the </w:t>
      </w:r>
      <w:r>
        <w:t xml:space="preserve">estimate of </w:t>
      </w:r>
      <w:r w:rsidR="00A26D2B" w:rsidRPr="00396F4C">
        <w:t xml:space="preserve">labor hours </w:t>
      </w:r>
      <w:r>
        <w:t xml:space="preserve">to review antidegradation requests with and without </w:t>
      </w:r>
      <w:r w:rsidR="00A26D2B" w:rsidRPr="00396F4C">
        <w:t xml:space="preserve">alternative analyses </w:t>
      </w:r>
      <w:r>
        <w:t xml:space="preserve">(see </w:t>
      </w:r>
      <w:r w:rsidR="001C40A2">
        <w:t xml:space="preserve">Section </w:t>
      </w:r>
      <w:r w:rsidR="001C40A2">
        <w:fldChar w:fldCharType="begin"/>
      </w:r>
      <w:r w:rsidR="001C40A2">
        <w:instrText xml:space="preserve"> REF _Ref403557748 \r \h </w:instrText>
      </w:r>
      <w:r w:rsidR="001C40A2">
        <w:fldChar w:fldCharType="separate"/>
      </w:r>
      <w:r w:rsidR="001C40A2">
        <w:t>6.1.4.3</w:t>
      </w:r>
      <w:r w:rsidR="001C40A2">
        <w:fldChar w:fldCharType="end"/>
      </w:r>
      <w:r>
        <w:t>)</w:t>
      </w:r>
      <w:r w:rsidR="00A26D2B" w:rsidRPr="00396F4C">
        <w:t>.</w:t>
      </w:r>
    </w:p>
    <w:p w14:paraId="30BC9BD2" w14:textId="0EB6F0AD" w:rsidR="00A26D2B" w:rsidRPr="00396F4C" w:rsidRDefault="00343EE4" w:rsidP="00381864">
      <w:pPr>
        <w:pStyle w:val="bulletlist"/>
        <w:numPr>
          <w:ilvl w:val="0"/>
          <w:numId w:val="20"/>
        </w:numPr>
      </w:pPr>
      <w:r>
        <w:t>P</w:t>
      </w:r>
      <w:r w:rsidR="00A26D2B" w:rsidRPr="00B7618A">
        <w:t>er re</w:t>
      </w:r>
      <w:r>
        <w:t>view</w:t>
      </w:r>
      <w:r w:rsidR="00A26D2B" w:rsidRPr="00B7618A">
        <w:t xml:space="preserve"> </w:t>
      </w:r>
      <w:r w:rsidR="00747C5B">
        <w:t>cost</w:t>
      </w:r>
      <w:r w:rsidR="00A26D2B" w:rsidRPr="00B7618A">
        <w:t xml:space="preserve"> ranging from $</w:t>
      </w:r>
      <w:r w:rsidR="00A676E6" w:rsidRPr="00B7618A">
        <w:t>6,400</w:t>
      </w:r>
      <w:r w:rsidR="00A26D2B" w:rsidRPr="00B7618A">
        <w:t xml:space="preserve"> (</w:t>
      </w:r>
      <w:r w:rsidRPr="00B7618A">
        <w:t>$</w:t>
      </w:r>
      <w:r w:rsidRPr="00396F4C">
        <w:t>49</w:t>
      </w:r>
      <w:r>
        <w:t xml:space="preserve"> per </w:t>
      </w:r>
      <w:r w:rsidRPr="00396F4C">
        <w:t>hour</w:t>
      </w:r>
      <w:r>
        <w:t xml:space="preserve"> </w:t>
      </w:r>
      <w:r w:rsidR="00A26D2B" w:rsidRPr="00B7618A">
        <w:t>×</w:t>
      </w:r>
      <w:r>
        <w:t xml:space="preserve"> </w:t>
      </w:r>
      <w:r w:rsidRPr="00B7618A">
        <w:t>130 hours</w:t>
      </w:r>
      <w:r w:rsidR="00A26D2B" w:rsidRPr="00396F4C">
        <w:t>) to $</w:t>
      </w:r>
      <w:r w:rsidR="00A676E6" w:rsidRPr="00B7618A">
        <w:t>19,100</w:t>
      </w:r>
      <w:r w:rsidR="00A26D2B" w:rsidRPr="00B7618A">
        <w:t xml:space="preserve"> (</w:t>
      </w:r>
      <w:r w:rsidRPr="00396F4C">
        <w:t>$49</w:t>
      </w:r>
      <w:r>
        <w:t xml:space="preserve"> per </w:t>
      </w:r>
      <w:r w:rsidRPr="00396F4C">
        <w:t>hour</w:t>
      </w:r>
      <w:r w:rsidRPr="00B7618A">
        <w:t xml:space="preserve"> </w:t>
      </w:r>
      <w:r w:rsidR="00A26D2B" w:rsidRPr="00B7618A">
        <w:t>×</w:t>
      </w:r>
      <w:r>
        <w:t xml:space="preserve"> </w:t>
      </w:r>
      <w:r w:rsidRPr="00B7618A">
        <w:t>390 hours</w:t>
      </w:r>
      <w:r w:rsidR="004758D4" w:rsidRPr="00396F4C">
        <w:t>).</w:t>
      </w:r>
    </w:p>
    <w:p w14:paraId="6444B026" w14:textId="372179D7" w:rsidR="00F8307F" w:rsidRDefault="00F8307F" w:rsidP="00381864">
      <w:pPr>
        <w:pStyle w:val="bulletlist"/>
        <w:numPr>
          <w:ilvl w:val="0"/>
          <w:numId w:val="20"/>
        </w:numPr>
      </w:pPr>
      <w:r>
        <w:t>T</w:t>
      </w:r>
      <w:r w:rsidRPr="00396F4C">
        <w:t xml:space="preserve">otal </w:t>
      </w:r>
      <w:r>
        <w:t xml:space="preserve">annual </w:t>
      </w:r>
      <w:r w:rsidRPr="00396F4C">
        <w:t>burden rang</w:t>
      </w:r>
      <w:r>
        <w:t>ing</w:t>
      </w:r>
      <w:r w:rsidRPr="00396F4C">
        <w:t xml:space="preserve"> from 33,5</w:t>
      </w:r>
      <w:r w:rsidR="005E468D">
        <w:t>40</w:t>
      </w:r>
      <w:r w:rsidRPr="00396F4C">
        <w:t xml:space="preserve"> hours </w:t>
      </w:r>
      <w:r>
        <w:t xml:space="preserve">(130 hours </w:t>
      </w:r>
      <w:r w:rsidRPr="00B7618A">
        <w:t>×</w:t>
      </w:r>
      <w:r>
        <w:t xml:space="preserve"> 258 reviews)</w:t>
      </w:r>
      <w:r w:rsidRPr="00396F4C">
        <w:t xml:space="preserve"> to 100,</w:t>
      </w:r>
      <w:r w:rsidR="005E468D">
        <w:t>620</w:t>
      </w:r>
      <w:r w:rsidR="005E468D" w:rsidRPr="00396F4C">
        <w:t xml:space="preserve"> </w:t>
      </w:r>
      <w:r w:rsidRPr="00396F4C">
        <w:t xml:space="preserve">hours </w:t>
      </w:r>
      <w:r>
        <w:t xml:space="preserve">(390 hours </w:t>
      </w:r>
      <w:r w:rsidRPr="00B7618A">
        <w:t>×</w:t>
      </w:r>
      <w:r>
        <w:t xml:space="preserve"> 258 reviews).</w:t>
      </w:r>
    </w:p>
    <w:p w14:paraId="5D6D3A0F" w14:textId="6E468B07" w:rsidR="00A26D2B" w:rsidRPr="005A75FD" w:rsidRDefault="004758D4" w:rsidP="00381864">
      <w:pPr>
        <w:pStyle w:val="bulletlist"/>
        <w:numPr>
          <w:ilvl w:val="0"/>
          <w:numId w:val="20"/>
        </w:numPr>
      </w:pPr>
      <w:r w:rsidRPr="00396F4C">
        <w:t xml:space="preserve">Total annual </w:t>
      </w:r>
      <w:r w:rsidR="00747C5B">
        <w:t>cost</w:t>
      </w:r>
      <w:r w:rsidRPr="00396F4C">
        <w:t xml:space="preserve"> rang</w:t>
      </w:r>
      <w:r w:rsidR="00F8307F">
        <w:t>ing from</w:t>
      </w:r>
      <w:r w:rsidRPr="00396F4C">
        <w:t xml:space="preserve"> $</w:t>
      </w:r>
      <w:r w:rsidR="00BC47EB" w:rsidRPr="00396F4C">
        <w:t>1,</w:t>
      </w:r>
      <w:r w:rsidR="005E468D" w:rsidRPr="00396F4C">
        <w:t>65</w:t>
      </w:r>
      <w:r w:rsidR="005E468D">
        <w:t>1</w:t>
      </w:r>
      <w:r w:rsidR="00BC47EB" w:rsidRPr="00396F4C">
        <w:t>,000</w:t>
      </w:r>
      <w:r w:rsidRPr="00396F4C">
        <w:t xml:space="preserve"> </w:t>
      </w:r>
      <w:r w:rsidR="00F8307F">
        <w:t>(</w:t>
      </w:r>
      <w:r w:rsidR="00F8307F" w:rsidRPr="00B7618A">
        <w:t>$6,400 ×</w:t>
      </w:r>
      <w:r w:rsidR="00F8307F">
        <w:t xml:space="preserve"> 258 reviews) </w:t>
      </w:r>
      <w:r w:rsidRPr="00396F4C">
        <w:t>to $</w:t>
      </w:r>
      <w:r w:rsidR="00BC47EB" w:rsidRPr="00396F4C">
        <w:t>4,</w:t>
      </w:r>
      <w:r w:rsidR="005E468D" w:rsidRPr="00396F4C">
        <w:t>92</w:t>
      </w:r>
      <w:r w:rsidR="005E468D">
        <w:t>8</w:t>
      </w:r>
      <w:r w:rsidR="00BC47EB" w:rsidRPr="00396F4C">
        <w:t>,000</w:t>
      </w:r>
      <w:r w:rsidRPr="00396F4C">
        <w:t xml:space="preserve"> </w:t>
      </w:r>
      <w:r w:rsidR="00F8307F">
        <w:t>(</w:t>
      </w:r>
      <w:r w:rsidR="00F8307F" w:rsidRPr="00396F4C">
        <w:t>$</w:t>
      </w:r>
      <w:r w:rsidR="00F8307F" w:rsidRPr="00B7618A">
        <w:t>19,100 ×</w:t>
      </w:r>
      <w:r w:rsidR="00F8307F">
        <w:t xml:space="preserve"> 258 reviews)</w:t>
      </w:r>
      <w:r w:rsidR="007E40E2" w:rsidRPr="00396F4C">
        <w:t xml:space="preserve">, based on </w:t>
      </w:r>
      <w:r w:rsidR="00E01A0B" w:rsidRPr="00396F4C">
        <w:t>EPA</w:t>
      </w:r>
      <w:r w:rsidR="007E40E2" w:rsidRPr="00396F4C">
        <w:t xml:space="preserve">’s estimate that </w:t>
      </w:r>
      <w:r w:rsidR="006D590B" w:rsidRPr="005A75FD">
        <w:t>258</w:t>
      </w:r>
      <w:r w:rsidR="00024A2E" w:rsidRPr="005A75FD">
        <w:t xml:space="preserve"> </w:t>
      </w:r>
      <w:r w:rsidR="007E40E2" w:rsidRPr="005A75FD">
        <w:t xml:space="preserve">additional antidegradation requests may need to be reviewed because states and </w:t>
      </w:r>
      <w:r w:rsidR="00DC3143">
        <w:t xml:space="preserve">authorized </w:t>
      </w:r>
      <w:r w:rsidR="007E40E2" w:rsidRPr="005A75FD">
        <w:t>tribes provide Tier 2 protection for waters with impairment of one parameter</w:t>
      </w:r>
      <w:r w:rsidRPr="005A75FD">
        <w:t>.</w:t>
      </w:r>
    </w:p>
    <w:p w14:paraId="425939E6" w14:textId="4151A6D9" w:rsidR="00BC0EB1" w:rsidRPr="00B7618A" w:rsidRDefault="00B7618A" w:rsidP="00E548AE">
      <w:pPr>
        <w:pStyle w:val="Heading3"/>
      </w:pPr>
      <w:bookmarkStart w:id="50" w:name="_Toc406051444"/>
      <w:r w:rsidRPr="00B7618A">
        <w:lastRenderedPageBreak/>
        <w:t xml:space="preserve">WQS </w:t>
      </w:r>
      <w:r w:rsidR="00BC0EB1" w:rsidRPr="00B7618A">
        <w:t>Variances</w:t>
      </w:r>
      <w:bookmarkEnd w:id="50"/>
    </w:p>
    <w:p w14:paraId="740F0E55" w14:textId="44D96FBF" w:rsidR="005210A4" w:rsidRPr="003B3A98" w:rsidRDefault="00F354EF">
      <w:pPr>
        <w:pStyle w:val="BodyText"/>
      </w:pPr>
      <w:r w:rsidRPr="003B3A98">
        <w:t xml:space="preserve">The </w:t>
      </w:r>
      <w:r>
        <w:t>WQS variances</w:t>
      </w:r>
      <w:r w:rsidRPr="003B3A98">
        <w:t xml:space="preserve"> </w:t>
      </w:r>
      <w:r>
        <w:t>provisions of the rule</w:t>
      </w:r>
      <w:r w:rsidRPr="003B3A98">
        <w:t xml:space="preserve"> may result in </w:t>
      </w:r>
      <w:r>
        <w:t>burde</w:t>
      </w:r>
      <w:r w:rsidRPr="003B3A98">
        <w:t xml:space="preserve">n and </w:t>
      </w:r>
      <w:r>
        <w:t>cost</w:t>
      </w:r>
      <w:r w:rsidRPr="003B3A98">
        <w:t xml:space="preserve"> </w:t>
      </w:r>
      <w:r>
        <w:t>by requiring states and authorized tribes to submit additional materials to the EPA when requesting review and approval of a WQS variance, and to reevaluate a WQS variance longer than five years no less frequently than every five years and submit</w:t>
      </w:r>
      <w:r w:rsidRPr="003B3A98">
        <w:t xml:space="preserve"> </w:t>
      </w:r>
      <w:r>
        <w:t>the results of the</w:t>
      </w:r>
      <w:r w:rsidR="002370EE" w:rsidRPr="003B3A98">
        <w:t xml:space="preserve"> </w:t>
      </w:r>
      <w:r w:rsidR="00825117">
        <w:t>r</w:t>
      </w:r>
      <w:r w:rsidR="005C3C0E">
        <w:t>eevaluation</w:t>
      </w:r>
      <w:r>
        <w:t xml:space="preserve"> to EPA.</w:t>
      </w:r>
    </w:p>
    <w:p w14:paraId="00A5D4A9" w14:textId="0D464A3D" w:rsidR="002370EE" w:rsidRDefault="002370EE" w:rsidP="00381864">
      <w:pPr>
        <w:pStyle w:val="Heading4"/>
        <w:tabs>
          <w:tab w:val="clear" w:pos="990"/>
          <w:tab w:val="num" w:pos="720"/>
        </w:tabs>
        <w:ind w:left="720"/>
      </w:pPr>
      <w:r w:rsidRPr="003B3A98">
        <w:t>Submission Requirements</w:t>
      </w:r>
    </w:p>
    <w:p w14:paraId="01FEC5CB" w14:textId="3C22684D" w:rsidR="00F354EF" w:rsidRDefault="00F354EF" w:rsidP="00825117">
      <w:pPr>
        <w:pStyle w:val="BodyText"/>
      </w:pPr>
      <w:r>
        <w:t>EPA estimates the rule provisions related to submission requirements of WQS variance could result in incremental burden and cost as follows:</w:t>
      </w:r>
    </w:p>
    <w:p w14:paraId="74DBFB95" w14:textId="2DE21BCF" w:rsidR="00EC6D76" w:rsidRPr="005A75FD" w:rsidRDefault="00F354EF" w:rsidP="00381864">
      <w:pPr>
        <w:pStyle w:val="bulletlist"/>
        <w:numPr>
          <w:ilvl w:val="0"/>
          <w:numId w:val="21"/>
        </w:numPr>
      </w:pPr>
      <w:r>
        <w:t>EPA estimates the incremental burden associated with</w:t>
      </w:r>
      <w:r w:rsidR="00B7618A" w:rsidRPr="00396F4C">
        <w:t xml:space="preserve"> </w:t>
      </w:r>
      <w:r>
        <w:t xml:space="preserve">the additional submission requirements of the rule </w:t>
      </w:r>
      <w:r w:rsidRPr="00396F4C">
        <w:t>rang</w:t>
      </w:r>
      <w:r>
        <w:t>es</w:t>
      </w:r>
      <w:r w:rsidRPr="00396F4C">
        <w:t xml:space="preserve"> </w:t>
      </w:r>
      <w:r w:rsidR="00EC6D76" w:rsidRPr="00396F4C">
        <w:t>from</w:t>
      </w:r>
      <w:r w:rsidR="0068775D" w:rsidRPr="00B7618A">
        <w:t xml:space="preserve"> </w:t>
      </w:r>
      <w:r w:rsidR="00C13781" w:rsidRPr="00396F4C">
        <w:t>31</w:t>
      </w:r>
      <w:r w:rsidR="0068775D" w:rsidRPr="00396F4C">
        <w:t xml:space="preserve"> hours (125 hours × </w:t>
      </w:r>
      <w:r w:rsidR="00C13781" w:rsidRPr="00396F4C">
        <w:t>25</w:t>
      </w:r>
      <w:r w:rsidR="0068775D" w:rsidRPr="00396F4C">
        <w:t xml:space="preserve">%) to </w:t>
      </w:r>
      <w:r w:rsidR="00C13781" w:rsidRPr="00396F4C">
        <w:t>75</w:t>
      </w:r>
      <w:r w:rsidR="0068775D" w:rsidRPr="00396F4C">
        <w:t xml:space="preserve"> hours (</w:t>
      </w:r>
      <w:r w:rsidR="00C13781" w:rsidRPr="00396F4C">
        <w:t>300</w:t>
      </w:r>
      <w:r w:rsidR="0068775D" w:rsidRPr="00396F4C">
        <w:t> hours × </w:t>
      </w:r>
      <w:r w:rsidR="00C13781" w:rsidRPr="00396F4C">
        <w:t>25</w:t>
      </w:r>
      <w:r w:rsidR="0068775D" w:rsidRPr="00396F4C">
        <w:t>%)</w:t>
      </w:r>
      <w:r>
        <w:t xml:space="preserve"> on the</w:t>
      </w:r>
      <w:r w:rsidR="0068775D" w:rsidRPr="00396F4C">
        <w:t xml:space="preserve"> </w:t>
      </w:r>
      <w:r w:rsidRPr="00396F4C">
        <w:t>bas</w:t>
      </w:r>
      <w:r>
        <w:t xml:space="preserve">is of EPA’s </w:t>
      </w:r>
      <w:r w:rsidR="0068517A">
        <w:t xml:space="preserve">estimate that </w:t>
      </w:r>
      <w:r>
        <w:t xml:space="preserve">current </w:t>
      </w:r>
      <w:r w:rsidRPr="00396F4C">
        <w:t>develop</w:t>
      </w:r>
      <w:r>
        <w:t>ment</w:t>
      </w:r>
      <w:r w:rsidRPr="00396F4C">
        <w:t xml:space="preserve"> </w:t>
      </w:r>
      <w:r w:rsidR="0068775D" w:rsidRPr="00396F4C">
        <w:t xml:space="preserve">and </w:t>
      </w:r>
      <w:r w:rsidRPr="00396F4C">
        <w:t>document</w:t>
      </w:r>
      <w:r>
        <w:t>ation of</w:t>
      </w:r>
      <w:r w:rsidRPr="00396F4C">
        <w:t xml:space="preserve"> </w:t>
      </w:r>
      <w:r w:rsidR="0068775D" w:rsidRPr="00396F4C">
        <w:t xml:space="preserve">a </w:t>
      </w:r>
      <w:r>
        <w:t xml:space="preserve">single WQS </w:t>
      </w:r>
      <w:r w:rsidR="0068775D" w:rsidRPr="00396F4C">
        <w:t>variance requir</w:t>
      </w:r>
      <w:r>
        <w:t>es</w:t>
      </w:r>
      <w:r w:rsidR="00825117">
        <w:t xml:space="preserve"> on</w:t>
      </w:r>
      <w:r w:rsidR="0068775D" w:rsidRPr="00396F4C">
        <w:t xml:space="preserve"> average 125 to </w:t>
      </w:r>
      <w:r w:rsidR="00C13781" w:rsidRPr="00396F4C">
        <w:t>300</w:t>
      </w:r>
      <w:r w:rsidR="0068775D" w:rsidRPr="00396F4C">
        <w:t xml:space="preserve"> labor hours</w:t>
      </w:r>
      <w:r w:rsidR="0068517A">
        <w:t>,</w:t>
      </w:r>
      <w:r w:rsidR="0068775D" w:rsidRPr="00396F4C">
        <w:t xml:space="preserve"> and </w:t>
      </w:r>
      <w:r w:rsidR="00731DC1" w:rsidRPr="005A75FD">
        <w:t xml:space="preserve">including </w:t>
      </w:r>
      <w:r w:rsidR="0068775D" w:rsidRPr="005A75FD">
        <w:t xml:space="preserve">the </w:t>
      </w:r>
      <w:r>
        <w:t xml:space="preserve">additional </w:t>
      </w:r>
      <w:r w:rsidR="0068775D" w:rsidRPr="005A75FD">
        <w:t xml:space="preserve">information and </w:t>
      </w:r>
      <w:r w:rsidR="00837531" w:rsidRPr="005A75FD">
        <w:t xml:space="preserve">documentation </w:t>
      </w:r>
      <w:r>
        <w:t>required</w:t>
      </w:r>
      <w:r w:rsidRPr="005A75FD">
        <w:t xml:space="preserve"> </w:t>
      </w:r>
      <w:r w:rsidR="00837531" w:rsidRPr="005A75FD">
        <w:t xml:space="preserve">in the </w:t>
      </w:r>
      <w:r w:rsidR="0068775D" w:rsidRPr="005A75FD">
        <w:t xml:space="preserve">rule would increase </w:t>
      </w:r>
      <w:r w:rsidRPr="005A75FD">
        <w:t>th</w:t>
      </w:r>
      <w:r>
        <w:t>at</w:t>
      </w:r>
      <w:r w:rsidRPr="005A75FD">
        <w:t xml:space="preserve"> </w:t>
      </w:r>
      <w:r w:rsidR="0068517A">
        <w:t>effort</w:t>
      </w:r>
      <w:r w:rsidR="0068775D" w:rsidRPr="005A75FD">
        <w:t xml:space="preserve"> by </w:t>
      </w:r>
      <w:r w:rsidR="00C13781" w:rsidRPr="005A75FD">
        <w:t>25</w:t>
      </w:r>
      <w:r w:rsidR="0068775D" w:rsidRPr="005A75FD">
        <w:t>%.</w:t>
      </w:r>
    </w:p>
    <w:p w14:paraId="364F7911" w14:textId="54AB84AE" w:rsidR="002370EE" w:rsidRPr="005A75FD" w:rsidRDefault="00893283" w:rsidP="00381864">
      <w:pPr>
        <w:pStyle w:val="bulletlist"/>
        <w:numPr>
          <w:ilvl w:val="0"/>
          <w:numId w:val="21"/>
        </w:numPr>
      </w:pPr>
      <w:r>
        <w:t>The incremental cost for each WQS variance ranges</w:t>
      </w:r>
      <w:r w:rsidR="0068775D" w:rsidRPr="00B7618A">
        <w:t xml:space="preserve"> from $</w:t>
      </w:r>
      <w:r w:rsidR="00C13781" w:rsidRPr="00396F4C">
        <w:t>1,520</w:t>
      </w:r>
      <w:r w:rsidR="0068775D" w:rsidRPr="00396F4C">
        <w:t xml:space="preserve"> (</w:t>
      </w:r>
      <w:r w:rsidR="0068517A" w:rsidRPr="00396F4C">
        <w:t xml:space="preserve">$49 per hour </w:t>
      </w:r>
      <w:r w:rsidR="0068775D" w:rsidRPr="00396F4C">
        <w:sym w:font="Wingdings 2" w:char="F0CD"/>
      </w:r>
      <w:r w:rsidR="0068517A" w:rsidRPr="00396F4C">
        <w:t>31 hours</w:t>
      </w:r>
      <w:r w:rsidR="0068775D" w:rsidRPr="00396F4C">
        <w:t>) to $</w:t>
      </w:r>
      <w:r w:rsidR="00C13781" w:rsidRPr="00396F4C">
        <w:t>3,680</w:t>
      </w:r>
      <w:r w:rsidR="0068775D" w:rsidRPr="00396F4C">
        <w:t xml:space="preserve"> (</w:t>
      </w:r>
      <w:r w:rsidR="0068517A" w:rsidRPr="005A75FD">
        <w:t>$49 per hour</w:t>
      </w:r>
      <w:r w:rsidR="0068517A" w:rsidRPr="00396F4C">
        <w:t xml:space="preserve"> </w:t>
      </w:r>
      <w:r w:rsidR="0068775D" w:rsidRPr="005A75FD">
        <w:sym w:font="Wingdings 2" w:char="F0CD"/>
      </w:r>
      <w:r w:rsidR="0068517A" w:rsidRPr="00396F4C">
        <w:t>75 hours</w:t>
      </w:r>
      <w:r w:rsidR="0068775D" w:rsidRPr="005A75FD">
        <w:t>).</w:t>
      </w:r>
    </w:p>
    <w:p w14:paraId="21E462CF" w14:textId="4E4513CC" w:rsidR="002E062B" w:rsidRPr="00396F4C" w:rsidRDefault="002E062B" w:rsidP="00381864">
      <w:pPr>
        <w:pStyle w:val="bulletlist"/>
        <w:numPr>
          <w:ilvl w:val="0"/>
          <w:numId w:val="21"/>
        </w:numPr>
      </w:pPr>
      <w:r w:rsidRPr="005A75FD">
        <w:t xml:space="preserve">Total burden </w:t>
      </w:r>
      <w:r w:rsidR="00893283" w:rsidRPr="005A75FD">
        <w:t>rang</w:t>
      </w:r>
      <w:r w:rsidR="00893283">
        <w:t>es</w:t>
      </w:r>
      <w:r w:rsidR="00893283" w:rsidRPr="005A75FD">
        <w:t xml:space="preserve"> </w:t>
      </w:r>
      <w:r w:rsidRPr="005A75FD">
        <w:t xml:space="preserve">from </w:t>
      </w:r>
      <w:r w:rsidR="00C13781" w:rsidRPr="005A75FD">
        <w:t>29,760</w:t>
      </w:r>
      <w:r w:rsidRPr="005A75FD">
        <w:t xml:space="preserve"> hours per year (</w:t>
      </w:r>
      <w:r w:rsidR="00C13781" w:rsidRPr="005A75FD">
        <w:t>31</w:t>
      </w:r>
      <w:r w:rsidRPr="005A75FD">
        <w:t xml:space="preserve"> hours per </w:t>
      </w:r>
      <w:r w:rsidR="00BB2EF2">
        <w:t>request</w:t>
      </w:r>
      <w:r w:rsidRPr="005A75FD">
        <w:t> × </w:t>
      </w:r>
      <w:r w:rsidR="00C13781" w:rsidRPr="005A75FD">
        <w:t>10</w:t>
      </w:r>
      <w:r w:rsidRPr="005A75FD">
        <w:t> </w:t>
      </w:r>
      <w:r w:rsidR="00BB2EF2">
        <w:t>requests</w:t>
      </w:r>
      <w:r w:rsidRPr="005A75FD">
        <w:t xml:space="preserve"> per year × </w:t>
      </w:r>
      <w:r w:rsidR="00C13781" w:rsidRPr="005A75FD">
        <w:t>96</w:t>
      </w:r>
      <w:r w:rsidRPr="005A75FD">
        <w:t xml:space="preserve"> states and </w:t>
      </w:r>
      <w:r w:rsidR="00BB2EF2">
        <w:t xml:space="preserve">authorized </w:t>
      </w:r>
      <w:r w:rsidRPr="005A75FD">
        <w:t xml:space="preserve">tribes) to </w:t>
      </w:r>
      <w:r w:rsidR="00C13781" w:rsidRPr="005A75FD">
        <w:t>72,000</w:t>
      </w:r>
      <w:r w:rsidRPr="005A75FD">
        <w:t xml:space="preserve"> hours per year (</w:t>
      </w:r>
      <w:r w:rsidR="00C13781" w:rsidRPr="003B3A98">
        <w:t>75</w:t>
      </w:r>
      <w:r w:rsidRPr="003B3A98">
        <w:t xml:space="preserve"> hours per </w:t>
      </w:r>
      <w:r w:rsidR="00BB2EF2">
        <w:t>request</w:t>
      </w:r>
      <w:r w:rsidRPr="003B3A98">
        <w:t> × </w:t>
      </w:r>
      <w:r w:rsidR="00C13781" w:rsidRPr="003B3A98">
        <w:t>10</w:t>
      </w:r>
      <w:r w:rsidRPr="003B3A98">
        <w:t> </w:t>
      </w:r>
      <w:r w:rsidR="00BB2EF2">
        <w:t>requests</w:t>
      </w:r>
      <w:r w:rsidRPr="003B3A98">
        <w:t xml:space="preserve"> per year × </w:t>
      </w:r>
      <w:r w:rsidR="00C13781" w:rsidRPr="003B3A98">
        <w:t>96</w:t>
      </w:r>
      <w:r w:rsidRPr="003B3A98">
        <w:t xml:space="preserve"> states and </w:t>
      </w:r>
      <w:r w:rsidR="00BB2EF2">
        <w:t xml:space="preserve">authorized </w:t>
      </w:r>
      <w:r w:rsidRPr="003B3A98">
        <w:t>tribes)</w:t>
      </w:r>
      <w:r w:rsidR="00893283">
        <w:t xml:space="preserve"> on the</w:t>
      </w:r>
      <w:r w:rsidRPr="003B3A98">
        <w:t xml:space="preserve"> </w:t>
      </w:r>
      <w:r w:rsidR="00893283" w:rsidRPr="003B3A98">
        <w:t>bas</w:t>
      </w:r>
      <w:r w:rsidR="00893283">
        <w:t xml:space="preserve">is of EPA’s </w:t>
      </w:r>
      <w:r w:rsidR="00BB2EF2">
        <w:t>estimate t</w:t>
      </w:r>
      <w:r w:rsidRPr="003B3A98">
        <w:t xml:space="preserve">hat states and </w:t>
      </w:r>
      <w:r w:rsidR="00BB2EF2">
        <w:t xml:space="preserve">authorized </w:t>
      </w:r>
      <w:r w:rsidRPr="003B3A98">
        <w:t xml:space="preserve">tribes review on average </w:t>
      </w:r>
      <w:r w:rsidR="00C13781" w:rsidRPr="003B3A98">
        <w:t>10</w:t>
      </w:r>
      <w:r w:rsidRPr="003B3A98">
        <w:t xml:space="preserve"> </w:t>
      </w:r>
      <w:r w:rsidR="00BB2EF2">
        <w:t xml:space="preserve">WQS </w:t>
      </w:r>
      <w:r w:rsidRPr="003B3A98">
        <w:t>variance</w:t>
      </w:r>
      <w:r w:rsidR="00BB2EF2">
        <w:t>s</w:t>
      </w:r>
      <w:r w:rsidRPr="003B3A98">
        <w:t xml:space="preserve"> </w:t>
      </w:r>
      <w:r w:rsidR="00893283">
        <w:t>each</w:t>
      </w:r>
      <w:r w:rsidRPr="003B3A98">
        <w:t xml:space="preserve"> year</w:t>
      </w:r>
      <w:r w:rsidR="00BB2EF2">
        <w:t>,</w:t>
      </w:r>
      <w:r w:rsidRPr="003B3A98">
        <w:t xml:space="preserve"> and that </w:t>
      </w:r>
      <w:r w:rsidR="00C13781" w:rsidRPr="003B3A98">
        <w:t>all 96</w:t>
      </w:r>
      <w:r w:rsidRPr="003B3A98">
        <w:t xml:space="preserve"> states and</w:t>
      </w:r>
      <w:r w:rsidR="00B7618A" w:rsidRPr="00B7618A">
        <w:t xml:space="preserve"> authorized</w:t>
      </w:r>
      <w:r w:rsidRPr="00B7618A">
        <w:t xml:space="preserve"> tribes do not currently fulfill all of the submission require</w:t>
      </w:r>
      <w:r w:rsidRPr="00396F4C">
        <w:t>ments specified in the rule.</w:t>
      </w:r>
    </w:p>
    <w:p w14:paraId="51AF6CAD" w14:textId="0AFF72C2" w:rsidR="0068775D" w:rsidRPr="00B7618A" w:rsidRDefault="0068775D" w:rsidP="00381864">
      <w:pPr>
        <w:pStyle w:val="bulletlist"/>
        <w:numPr>
          <w:ilvl w:val="0"/>
          <w:numId w:val="21"/>
        </w:numPr>
      </w:pPr>
      <w:r w:rsidRPr="00396F4C">
        <w:t xml:space="preserve">Total annual </w:t>
      </w:r>
      <w:r w:rsidR="00747C5B">
        <w:t>cost</w:t>
      </w:r>
      <w:r w:rsidRPr="00396F4C">
        <w:t xml:space="preserve"> </w:t>
      </w:r>
      <w:r w:rsidR="00893283" w:rsidRPr="00396F4C">
        <w:t>rang</w:t>
      </w:r>
      <w:r w:rsidR="00893283">
        <w:t>e</w:t>
      </w:r>
      <w:r w:rsidR="00893283" w:rsidRPr="00396F4C">
        <w:t xml:space="preserve"> </w:t>
      </w:r>
      <w:r w:rsidR="00893283">
        <w:t>from</w:t>
      </w:r>
      <w:r w:rsidR="00893283" w:rsidRPr="00396F4C">
        <w:t xml:space="preserve"> </w:t>
      </w:r>
      <w:r w:rsidR="00824DD3" w:rsidRPr="00396F4C">
        <w:t>$</w:t>
      </w:r>
      <w:r w:rsidR="00196EC9" w:rsidRPr="00396F4C">
        <w:t>1,459,000</w:t>
      </w:r>
      <w:r w:rsidR="00824DD3" w:rsidRPr="00396F4C">
        <w:t xml:space="preserve"> per year ($</w:t>
      </w:r>
      <w:r w:rsidR="00196EC9" w:rsidRPr="00396F4C">
        <w:t>1,520</w:t>
      </w:r>
      <w:r w:rsidR="00824DD3" w:rsidRPr="00396F4C">
        <w:t xml:space="preserve"> per </w:t>
      </w:r>
      <w:r w:rsidR="00BB2EF2">
        <w:t>request</w:t>
      </w:r>
      <w:r w:rsidR="00824DD3" w:rsidRPr="00396F4C">
        <w:t xml:space="preserve"> × </w:t>
      </w:r>
      <w:r w:rsidR="00196EC9" w:rsidRPr="00396F4C">
        <w:t>10</w:t>
      </w:r>
      <w:r w:rsidR="00824DD3" w:rsidRPr="00396F4C">
        <w:t> </w:t>
      </w:r>
      <w:r w:rsidR="00BB2EF2">
        <w:t>requests</w:t>
      </w:r>
      <w:r w:rsidR="00824DD3" w:rsidRPr="00396F4C">
        <w:t xml:space="preserve"> per year × </w:t>
      </w:r>
      <w:r w:rsidR="00196EC9" w:rsidRPr="00396F4C">
        <w:t>96</w:t>
      </w:r>
      <w:r w:rsidR="00824DD3" w:rsidRPr="00396F4C">
        <w:t xml:space="preserve"> states and </w:t>
      </w:r>
      <w:r w:rsidR="00BB2EF2">
        <w:t xml:space="preserve">authorized </w:t>
      </w:r>
      <w:r w:rsidR="00824DD3" w:rsidRPr="00396F4C">
        <w:t>tribes) to $</w:t>
      </w:r>
      <w:r w:rsidR="00196EC9" w:rsidRPr="005A75FD">
        <w:t>3,533,000</w:t>
      </w:r>
      <w:r w:rsidR="00824DD3" w:rsidRPr="005A75FD">
        <w:t xml:space="preserve"> per year ($</w:t>
      </w:r>
      <w:r w:rsidR="00196EC9" w:rsidRPr="005A75FD">
        <w:t>3,680</w:t>
      </w:r>
      <w:r w:rsidR="00824DD3" w:rsidRPr="005A75FD">
        <w:t xml:space="preserve"> per </w:t>
      </w:r>
      <w:r w:rsidR="00BB2EF2">
        <w:t>request</w:t>
      </w:r>
      <w:r w:rsidR="00824DD3" w:rsidRPr="005A75FD">
        <w:t xml:space="preserve"> × </w:t>
      </w:r>
      <w:r w:rsidR="00196EC9" w:rsidRPr="005A75FD">
        <w:t>10</w:t>
      </w:r>
      <w:r w:rsidR="00824DD3" w:rsidRPr="005A75FD">
        <w:t> </w:t>
      </w:r>
      <w:r w:rsidR="00BB2EF2">
        <w:t>requests</w:t>
      </w:r>
      <w:r w:rsidR="00824DD3" w:rsidRPr="005A75FD">
        <w:t xml:space="preserve"> per year × </w:t>
      </w:r>
      <w:r w:rsidR="00196EC9" w:rsidRPr="005A75FD">
        <w:t>96</w:t>
      </w:r>
      <w:r w:rsidR="00824DD3" w:rsidRPr="005A75FD">
        <w:t xml:space="preserve"> states and </w:t>
      </w:r>
      <w:r w:rsidR="00B7618A" w:rsidRPr="00B7618A">
        <w:t xml:space="preserve">authorized </w:t>
      </w:r>
      <w:r w:rsidR="00824DD3" w:rsidRPr="00B7618A">
        <w:t>tribes).</w:t>
      </w:r>
    </w:p>
    <w:p w14:paraId="51E8FBA5" w14:textId="092C3722" w:rsidR="002370EE" w:rsidRPr="00B7618A" w:rsidRDefault="00625E0C" w:rsidP="00381864">
      <w:pPr>
        <w:pStyle w:val="Heading4"/>
        <w:tabs>
          <w:tab w:val="clear" w:pos="990"/>
          <w:tab w:val="num" w:pos="720"/>
        </w:tabs>
        <w:ind w:left="720"/>
      </w:pPr>
      <w:r>
        <w:t>Reevaluations</w:t>
      </w:r>
    </w:p>
    <w:p w14:paraId="47A903CD" w14:textId="59B01FA8" w:rsidR="00893283" w:rsidRDefault="00893283" w:rsidP="00DC3143">
      <w:pPr>
        <w:pStyle w:val="BodyText"/>
      </w:pPr>
      <w:r>
        <w:t>EPA estimates the rule provisions related to WQS variance reevaluation requirements could result in incremental burden and cost as follows:</w:t>
      </w:r>
    </w:p>
    <w:p w14:paraId="7300C620" w14:textId="7F54908D" w:rsidR="00EF6543" w:rsidRPr="00B7618A" w:rsidRDefault="00893283" w:rsidP="00381864">
      <w:pPr>
        <w:pStyle w:val="bulletlist"/>
        <w:numPr>
          <w:ilvl w:val="0"/>
          <w:numId w:val="22"/>
        </w:numPr>
      </w:pPr>
      <w:r>
        <w:t>EPA estimates the incremental burden for each WQS variance</w:t>
      </w:r>
      <w:r w:rsidR="00EF6543">
        <w:t xml:space="preserve"> </w:t>
      </w:r>
      <w:r w:rsidR="00145DB0">
        <w:t>reevaluation</w:t>
      </w:r>
      <w:r w:rsidR="00EF6543">
        <w:t xml:space="preserve"> </w:t>
      </w:r>
      <w:r>
        <w:t>ranges</w:t>
      </w:r>
      <w:r w:rsidR="00687355" w:rsidRPr="00B7618A">
        <w:t xml:space="preserve"> from </w:t>
      </w:r>
      <w:r w:rsidR="00196EC9" w:rsidRPr="00B7618A">
        <w:t>23</w:t>
      </w:r>
      <w:r w:rsidR="00687355" w:rsidRPr="00B7618A">
        <w:t xml:space="preserve"> hours (</w:t>
      </w:r>
      <w:r w:rsidR="005A4281">
        <w:t>156</w:t>
      </w:r>
      <w:r w:rsidR="0055120E">
        <w:t xml:space="preserve"> hours </w:t>
      </w:r>
      <w:r w:rsidR="00196EC9" w:rsidRPr="00B7618A">
        <w:t>× 15%</w:t>
      </w:r>
      <w:r w:rsidR="0055120E">
        <w:t>)</w:t>
      </w:r>
      <w:r w:rsidR="00687355" w:rsidRPr="00B7618A">
        <w:t xml:space="preserve"> to </w:t>
      </w:r>
      <w:r w:rsidR="00196EC9" w:rsidRPr="00B7618A">
        <w:t>56</w:t>
      </w:r>
      <w:r w:rsidR="00687355" w:rsidRPr="00B7618A">
        <w:t xml:space="preserve"> hours (</w:t>
      </w:r>
      <w:r w:rsidR="005A4281">
        <w:t>375</w:t>
      </w:r>
      <w:r w:rsidR="0055120E">
        <w:t xml:space="preserve"> hours</w:t>
      </w:r>
      <w:r w:rsidR="00196EC9" w:rsidRPr="00B7618A">
        <w:t xml:space="preserve"> × 15%</w:t>
      </w:r>
      <w:r w:rsidR="0055120E">
        <w:t>)</w:t>
      </w:r>
      <w:r>
        <w:t xml:space="preserve"> on the</w:t>
      </w:r>
      <w:r w:rsidR="00687355" w:rsidRPr="00B7618A">
        <w:t xml:space="preserve"> </w:t>
      </w:r>
      <w:r>
        <w:t>basis of EPA’s</w:t>
      </w:r>
      <w:r w:rsidR="00AE6912">
        <w:t xml:space="preserve"> </w:t>
      </w:r>
      <w:r w:rsidR="0055120E">
        <w:t xml:space="preserve">estimate of 156 hours to 375 hours to develop and document a </w:t>
      </w:r>
      <w:r>
        <w:t xml:space="preserve">single </w:t>
      </w:r>
      <w:r w:rsidR="0055120E">
        <w:t>WQS variance</w:t>
      </w:r>
      <w:r>
        <w:t xml:space="preserve"> </w:t>
      </w:r>
      <w:r w:rsidR="0055120E">
        <w:t xml:space="preserve">and </w:t>
      </w:r>
      <w:r>
        <w:t xml:space="preserve">an additional </w:t>
      </w:r>
      <w:r w:rsidR="0055120E">
        <w:t>15</w:t>
      </w:r>
      <w:r w:rsidR="00830F0B">
        <w:t>% of th</w:t>
      </w:r>
      <w:r w:rsidR="0055120E">
        <w:t xml:space="preserve">is effort is needed </w:t>
      </w:r>
      <w:r>
        <w:t xml:space="preserve">for each WQS variance </w:t>
      </w:r>
      <w:r w:rsidR="0055120E">
        <w:t>reevaluat</w:t>
      </w:r>
      <w:r>
        <w:t>ion</w:t>
      </w:r>
      <w:r w:rsidR="00EF6543" w:rsidRPr="00B7618A">
        <w:t>.</w:t>
      </w:r>
    </w:p>
    <w:p w14:paraId="3ADE560E" w14:textId="06A7F57A" w:rsidR="00687355" w:rsidRPr="00396F4C" w:rsidRDefault="006837A6" w:rsidP="00381864">
      <w:pPr>
        <w:pStyle w:val="bulletlist"/>
        <w:numPr>
          <w:ilvl w:val="0"/>
          <w:numId w:val="22"/>
        </w:numPr>
      </w:pPr>
      <w:r>
        <w:lastRenderedPageBreak/>
        <w:t xml:space="preserve">The cost per entity for WQS variance reevaluations ranges from $11,300 (23 hours per reevaluation </w:t>
      </w:r>
      <w:r w:rsidRPr="00B7618A">
        <w:t>×</w:t>
      </w:r>
      <w:r>
        <w:t xml:space="preserve"> 10 reevaluations per year </w:t>
      </w:r>
      <w:r w:rsidRPr="00B7618A">
        <w:t>×</w:t>
      </w:r>
      <w:r>
        <w:t xml:space="preserve"> $49 per hour) to $82,300 (56 hours per reevaluation </w:t>
      </w:r>
      <w:r w:rsidRPr="00B7618A">
        <w:t>×</w:t>
      </w:r>
      <w:r>
        <w:t xml:space="preserve"> 30 reevaluations per year </w:t>
      </w:r>
      <w:r w:rsidRPr="00B7618A">
        <w:t>×</w:t>
      </w:r>
      <w:r>
        <w:t xml:space="preserve"> $49 per hour) on the basis of EPA’s estimate that all 96 states and authorized tribes adopt an average of 10 WQS variances each year</w:t>
      </w:r>
      <w:r w:rsidRPr="00893283">
        <w:t xml:space="preserve"> </w:t>
      </w:r>
      <w:r>
        <w:t xml:space="preserve">with a </w:t>
      </w:r>
      <w:r w:rsidRPr="007A1061">
        <w:t xml:space="preserve">term </w:t>
      </w:r>
      <w:r>
        <w:t>of</w:t>
      </w:r>
      <w:r w:rsidRPr="007A1061">
        <w:t xml:space="preserve"> 10 years</w:t>
      </w:r>
      <w:r>
        <w:t xml:space="preserve"> and will </w:t>
      </w:r>
      <w:r w:rsidRPr="007A1061">
        <w:t xml:space="preserve">reevaluate </w:t>
      </w:r>
      <w:r>
        <w:t xml:space="preserve">all </w:t>
      </w:r>
      <w:r w:rsidRPr="007A1061">
        <w:t xml:space="preserve">WQS variances either every </w:t>
      </w:r>
      <w:r>
        <w:t>three</w:t>
      </w:r>
      <w:r w:rsidRPr="007A1061">
        <w:t xml:space="preserve"> years </w:t>
      </w:r>
      <w:r>
        <w:t xml:space="preserve">(27 per 10 years, rounded to 30) </w:t>
      </w:r>
      <w:r w:rsidRPr="007A1061">
        <w:t xml:space="preserve">during </w:t>
      </w:r>
      <w:r>
        <w:t xml:space="preserve">the </w:t>
      </w:r>
      <w:r w:rsidRPr="007A1061">
        <w:t xml:space="preserve">triennial review or every </w:t>
      </w:r>
      <w:r>
        <w:t>five</w:t>
      </w:r>
      <w:r w:rsidRPr="007A1061">
        <w:t xml:space="preserve"> years </w:t>
      </w:r>
      <w:r>
        <w:t xml:space="preserve">(10 per 10 years) </w:t>
      </w:r>
      <w:r w:rsidRPr="007A1061">
        <w:t>during permit reissuance</w:t>
      </w:r>
      <w:r>
        <w:t>.</w:t>
      </w:r>
    </w:p>
    <w:p w14:paraId="7E981B91" w14:textId="4EE79B91" w:rsidR="005B2276" w:rsidRPr="00B7618A" w:rsidRDefault="00145DB0" w:rsidP="00381864">
      <w:pPr>
        <w:pStyle w:val="bulletlist"/>
        <w:numPr>
          <w:ilvl w:val="0"/>
          <w:numId w:val="22"/>
        </w:numPr>
      </w:pPr>
      <w:r>
        <w:t>T</w:t>
      </w:r>
      <w:r w:rsidR="00F92C08" w:rsidRPr="00B7618A">
        <w:t xml:space="preserve">otal </w:t>
      </w:r>
      <w:r w:rsidR="0055120E">
        <w:t xml:space="preserve">annual </w:t>
      </w:r>
      <w:r w:rsidR="00893283">
        <w:t xml:space="preserve">incremental </w:t>
      </w:r>
      <w:r w:rsidR="00F92C08" w:rsidRPr="00B7618A">
        <w:t xml:space="preserve">burden </w:t>
      </w:r>
      <w:r w:rsidR="00893283" w:rsidRPr="00B7618A">
        <w:t>rang</w:t>
      </w:r>
      <w:r w:rsidR="00893283">
        <w:t>es</w:t>
      </w:r>
      <w:r w:rsidR="00893283" w:rsidRPr="00B7618A">
        <w:t xml:space="preserve"> </w:t>
      </w:r>
      <w:r w:rsidR="00F92C08" w:rsidRPr="00B7618A">
        <w:t xml:space="preserve">from approximately 22,080 hours (23 hours per </w:t>
      </w:r>
      <w:r>
        <w:t>reevaluation</w:t>
      </w:r>
      <w:r w:rsidR="00F92C08" w:rsidRPr="00B7618A">
        <w:t> × 10 WQS variances per year × 96 states and authorized tribes) to 161,280 hours (56 hours per WQS variance × </w:t>
      </w:r>
      <w:r w:rsidR="007A1061">
        <w:t>3</w:t>
      </w:r>
      <w:r w:rsidR="00F92C08" w:rsidRPr="00B7618A">
        <w:t xml:space="preserve">0 </w:t>
      </w:r>
      <w:r w:rsidR="007A1061">
        <w:t>reevaluations</w:t>
      </w:r>
      <w:r w:rsidR="00F92C08" w:rsidRPr="00B7618A">
        <w:t xml:space="preserve"> per year × 96 states and authorized tribes)</w:t>
      </w:r>
      <w:r w:rsidR="006837A6">
        <w:t>.</w:t>
      </w:r>
    </w:p>
    <w:p w14:paraId="2C668AA1" w14:textId="4D001CA6" w:rsidR="00244975" w:rsidRPr="00B7618A" w:rsidRDefault="00244975" w:rsidP="00381864">
      <w:pPr>
        <w:pStyle w:val="bulletlist"/>
        <w:numPr>
          <w:ilvl w:val="0"/>
          <w:numId w:val="22"/>
        </w:numPr>
      </w:pPr>
      <w:r w:rsidRPr="00B7618A">
        <w:t>Total an</w:t>
      </w:r>
      <w:r w:rsidRPr="00417120">
        <w:t xml:space="preserve">nual </w:t>
      </w:r>
      <w:r w:rsidR="00747C5B">
        <w:t>cost</w:t>
      </w:r>
      <w:r w:rsidRPr="00417120">
        <w:t xml:space="preserve"> </w:t>
      </w:r>
      <w:r w:rsidR="00893283">
        <w:t>ranges</w:t>
      </w:r>
      <w:r w:rsidR="00893283" w:rsidRPr="00417120">
        <w:t xml:space="preserve"> </w:t>
      </w:r>
      <w:r w:rsidR="0055120E">
        <w:t>from</w:t>
      </w:r>
      <w:r w:rsidRPr="00417120">
        <w:t xml:space="preserve"> approximately $</w:t>
      </w:r>
      <w:r w:rsidR="00F92C08" w:rsidRPr="00417120">
        <w:t>1,085,000</w:t>
      </w:r>
      <w:r w:rsidRPr="00417120">
        <w:t xml:space="preserve"> (</w:t>
      </w:r>
      <w:r w:rsidR="006837A6" w:rsidRPr="00B7618A">
        <w:t>22,080</w:t>
      </w:r>
      <w:r w:rsidRPr="00417120">
        <w:t xml:space="preserve"> hours per </w:t>
      </w:r>
      <w:r w:rsidRPr="00396F4C">
        <w:t>× $</w:t>
      </w:r>
      <w:r w:rsidR="00D164B3" w:rsidRPr="00396F4C">
        <w:t>49</w:t>
      </w:r>
      <w:r w:rsidR="00145DB0">
        <w:t xml:space="preserve"> per </w:t>
      </w:r>
      <w:r w:rsidRPr="00396F4C">
        <w:t>hour</w:t>
      </w:r>
      <w:r w:rsidRPr="00417120">
        <w:t>) to $</w:t>
      </w:r>
      <w:r w:rsidR="00860E43" w:rsidRPr="00417120">
        <w:t>7,901,000</w:t>
      </w:r>
      <w:r w:rsidRPr="00417120">
        <w:t xml:space="preserve"> (</w:t>
      </w:r>
      <w:r w:rsidR="006837A6" w:rsidRPr="00B7618A">
        <w:t>161,280</w:t>
      </w:r>
      <w:r w:rsidRPr="00417120">
        <w:t xml:space="preserve"> × $</w:t>
      </w:r>
      <w:r w:rsidR="00860E43" w:rsidRPr="00417120">
        <w:t>49</w:t>
      </w:r>
      <w:r w:rsidR="00145DB0">
        <w:t xml:space="preserve"> per </w:t>
      </w:r>
      <w:r w:rsidRPr="00417120">
        <w:t>hour).</w:t>
      </w:r>
    </w:p>
    <w:p w14:paraId="78C3EE4F" w14:textId="1426F468" w:rsidR="007212B5" w:rsidRPr="003B3A98" w:rsidRDefault="007212B5" w:rsidP="003B3A98">
      <w:pPr>
        <w:pStyle w:val="Heading3"/>
      </w:pPr>
      <w:bookmarkStart w:id="51" w:name="_Toc406051445"/>
      <w:r w:rsidRPr="003B3A98">
        <w:t xml:space="preserve">Summary of </w:t>
      </w:r>
      <w:r w:rsidR="001B3816">
        <w:t>Burden</w:t>
      </w:r>
      <w:r w:rsidRPr="003B3A98">
        <w:t xml:space="preserve"> and Cost</w:t>
      </w:r>
      <w:bookmarkEnd w:id="51"/>
    </w:p>
    <w:p w14:paraId="2BB9205C" w14:textId="62A0E07B" w:rsidR="00023B44" w:rsidRPr="003B3A98" w:rsidRDefault="00E9712C" w:rsidP="003B3A98">
      <w:pPr>
        <w:pStyle w:val="BodyText"/>
      </w:pPr>
      <w:r w:rsidRPr="003B3A98">
        <w:t>S</w:t>
      </w:r>
      <w:r w:rsidR="005F4AE1" w:rsidRPr="003B3A98">
        <w:t xml:space="preserve">umming the total incremental burden across all provisions, the total one-time </w:t>
      </w:r>
      <w:r w:rsidR="00AC63D2" w:rsidRPr="003B3A98">
        <w:t xml:space="preserve">(nonrecurring) </w:t>
      </w:r>
      <w:r w:rsidR="00D511D4" w:rsidRPr="003B3A98">
        <w:t>burden associated with the</w:t>
      </w:r>
      <w:r w:rsidR="005F4AE1" w:rsidRPr="003B3A98">
        <w:t xml:space="preserve"> rule ranges from </w:t>
      </w:r>
      <w:r w:rsidR="00244FF6" w:rsidRPr="003B3A98">
        <w:t>54,450</w:t>
      </w:r>
      <w:r w:rsidR="005F4AE1" w:rsidRPr="003B3A98">
        <w:t xml:space="preserve"> hours to </w:t>
      </w:r>
      <w:r w:rsidR="00244FF6" w:rsidRPr="003B3A98">
        <w:t>108,900</w:t>
      </w:r>
      <w:r w:rsidR="00AC63D2" w:rsidRPr="003B3A98">
        <w:t xml:space="preserve"> hours</w:t>
      </w:r>
      <w:r w:rsidR="00A72514" w:rsidRPr="003B3A98">
        <w:t xml:space="preserve">. Assuming that the total one-time burden and </w:t>
      </w:r>
      <w:r w:rsidR="00747C5B">
        <w:t>cost</w:t>
      </w:r>
      <w:r w:rsidR="00A72514" w:rsidRPr="003B3A98">
        <w:t xml:space="preserve"> are incurred over an initial 3-year period, annual burden associated with one</w:t>
      </w:r>
      <w:r w:rsidRPr="003B3A98">
        <w:t>-</w:t>
      </w:r>
      <w:r w:rsidR="00A72514" w:rsidRPr="003B3A98">
        <w:t>time activities ranges from 18,150 (54,450 hours ÷ 3 years) to 36,300 (108,900 hours ÷ 3 years) hours. T</w:t>
      </w:r>
      <w:r w:rsidR="00AC63D2" w:rsidRPr="003B3A98">
        <w:t xml:space="preserve">he total annual (recurring) burden ranges from </w:t>
      </w:r>
      <w:r w:rsidR="00C1356F" w:rsidRPr="003B3A98">
        <w:t>106,</w:t>
      </w:r>
      <w:r w:rsidR="00780F58">
        <w:t>425</w:t>
      </w:r>
      <w:r w:rsidR="00AC63D2" w:rsidRPr="003B3A98">
        <w:t xml:space="preserve"> hours to </w:t>
      </w:r>
      <w:r w:rsidR="00C1356F" w:rsidRPr="003B3A98">
        <w:t>402,</w:t>
      </w:r>
      <w:r w:rsidR="00780F58">
        <w:t>780</w:t>
      </w:r>
      <w:r w:rsidR="00AC63D2" w:rsidRPr="003B3A98">
        <w:t xml:space="preserve"> hours</w:t>
      </w:r>
      <w:r w:rsidR="00D61A55" w:rsidRPr="003B3A98">
        <w:t>.</w:t>
      </w:r>
      <w:r w:rsidR="005F4AE1" w:rsidRPr="003B3A98">
        <w:t xml:space="preserve"> </w:t>
      </w:r>
      <w:r w:rsidR="00AC63D2" w:rsidRPr="003B3A98">
        <w:t>Similarly, t</w:t>
      </w:r>
      <w:r w:rsidR="005F4AE1" w:rsidRPr="003B3A98">
        <w:t xml:space="preserve">he total </w:t>
      </w:r>
      <w:r w:rsidR="00943C8E" w:rsidRPr="003B3A98">
        <w:t xml:space="preserve">one-time </w:t>
      </w:r>
      <w:r w:rsidR="005F4AE1" w:rsidRPr="003B3A98">
        <w:t xml:space="preserve">incremental </w:t>
      </w:r>
      <w:r w:rsidR="00747C5B">
        <w:t>cost</w:t>
      </w:r>
      <w:r w:rsidR="00AC63D2" w:rsidRPr="003B3A98">
        <w:t xml:space="preserve"> for all provisions are between $</w:t>
      </w:r>
      <w:r w:rsidR="00244FF6" w:rsidRPr="003B3A98">
        <w:t>2.67</w:t>
      </w:r>
      <w:r w:rsidR="00AC63D2" w:rsidRPr="003B3A98">
        <w:t xml:space="preserve"> million and $</w:t>
      </w:r>
      <w:r w:rsidR="00244FF6" w:rsidRPr="003B3A98">
        <w:t>5.34</w:t>
      </w:r>
      <w:r w:rsidR="00AC63D2" w:rsidRPr="003B3A98">
        <w:t xml:space="preserve"> million, </w:t>
      </w:r>
      <w:r w:rsidRPr="003B3A98">
        <w:t>which corresponds to</w:t>
      </w:r>
      <w:r w:rsidR="00AC63D2" w:rsidRPr="003B3A98">
        <w:t xml:space="preserve"> </w:t>
      </w:r>
      <w:r w:rsidR="00A72514" w:rsidRPr="003B3A98">
        <w:t xml:space="preserve">annual cost associated with one time activities </w:t>
      </w:r>
      <w:r w:rsidR="009A60A6" w:rsidRPr="003B3A98">
        <w:t xml:space="preserve">of </w:t>
      </w:r>
      <w:r w:rsidRPr="003B3A98">
        <w:t>between</w:t>
      </w:r>
      <w:r w:rsidR="00A72514" w:rsidRPr="003B3A98">
        <w:t xml:space="preserve"> $0.89 </w:t>
      </w:r>
      <w:r w:rsidRPr="003B3A98">
        <w:t xml:space="preserve">million </w:t>
      </w:r>
      <w:r w:rsidR="00A72514" w:rsidRPr="003B3A98">
        <w:t xml:space="preserve">($2.67 million ÷ 3 years) </w:t>
      </w:r>
      <w:r w:rsidRPr="003B3A98">
        <w:t>and</w:t>
      </w:r>
      <w:r w:rsidR="00A72514" w:rsidRPr="003B3A98">
        <w:t xml:space="preserve"> $1.78 </w:t>
      </w:r>
      <w:r w:rsidRPr="003B3A98">
        <w:t xml:space="preserve">million </w:t>
      </w:r>
      <w:r w:rsidR="00A72514" w:rsidRPr="003B3A98">
        <w:t>($5.34 million ÷ 3 years). T</w:t>
      </w:r>
      <w:r w:rsidR="00AC63D2" w:rsidRPr="003B3A98">
        <w:t xml:space="preserve">otal </w:t>
      </w:r>
      <w:r w:rsidR="00943C8E" w:rsidRPr="003B3A98">
        <w:t xml:space="preserve">annual </w:t>
      </w:r>
      <w:r w:rsidR="00AC63D2" w:rsidRPr="003B3A98">
        <w:t xml:space="preserve">incremental </w:t>
      </w:r>
      <w:r w:rsidR="00747C5B">
        <w:t>cost</w:t>
      </w:r>
      <w:r w:rsidR="00943C8E" w:rsidRPr="003B3A98">
        <w:t xml:space="preserve"> range from $</w:t>
      </w:r>
      <w:r w:rsidR="00C1356F" w:rsidRPr="003B3A98">
        <w:t>5.24</w:t>
      </w:r>
      <w:r w:rsidR="00943C8E" w:rsidRPr="003B3A98">
        <w:t xml:space="preserve"> million to $</w:t>
      </w:r>
      <w:r w:rsidR="00C1356F" w:rsidRPr="003B3A98">
        <w:t>19.73</w:t>
      </w:r>
      <w:r w:rsidR="00943C8E" w:rsidRPr="003B3A98">
        <w:t xml:space="preserve"> million.</w:t>
      </w:r>
      <w:r w:rsidR="004D6680" w:rsidRPr="003B3A98">
        <w:t xml:space="preserve"> </w:t>
      </w:r>
      <w:r w:rsidR="00C1356F" w:rsidRPr="003B3A98">
        <w:fldChar w:fldCharType="begin"/>
      </w:r>
      <w:r w:rsidR="00C1356F" w:rsidRPr="003B3A98">
        <w:instrText xml:space="preserve"> REF _Ref361830190 \h </w:instrText>
      </w:r>
      <w:r w:rsidR="00B7618A" w:rsidRPr="003B3A98">
        <w:instrText xml:space="preserve"> \* MERGEFORMAT </w:instrText>
      </w:r>
      <w:r w:rsidR="00C1356F" w:rsidRPr="003B3A98">
        <w:fldChar w:fldCharType="separate"/>
      </w:r>
      <w:r w:rsidR="00C1356F" w:rsidRPr="003B3A98">
        <w:t>Table 6</w:t>
      </w:r>
      <w:r w:rsidR="00C1356F" w:rsidRPr="003B3A98">
        <w:noBreakHyphen/>
        <w:t>2</w:t>
      </w:r>
      <w:r w:rsidR="00C1356F" w:rsidRPr="003B3A98">
        <w:fldChar w:fldCharType="end"/>
      </w:r>
      <w:r w:rsidR="006B5FFE" w:rsidRPr="003B3A98">
        <w:fldChar w:fldCharType="begin"/>
      </w:r>
      <w:r w:rsidR="006B5FFE" w:rsidRPr="003B3A98">
        <w:instrText xml:space="preserve"> REF _Ref301789340 \h  \* MERGEFORMAT </w:instrText>
      </w:r>
      <w:r w:rsidR="006B5FFE" w:rsidRPr="003B3A98">
        <w:fldChar w:fldCharType="end"/>
      </w:r>
      <w:r w:rsidR="001E681D" w:rsidRPr="003B3A98">
        <w:t xml:space="preserve"> provides a summary of the estimated national </w:t>
      </w:r>
      <w:r w:rsidR="00747C5B">
        <w:t>cost</w:t>
      </w:r>
      <w:r w:rsidR="001E681D" w:rsidRPr="003B3A98">
        <w:t xml:space="preserve"> to all s</w:t>
      </w:r>
      <w:r w:rsidR="00D511D4" w:rsidRPr="003B3A98">
        <w:t xml:space="preserve">tates and </w:t>
      </w:r>
      <w:r w:rsidR="00417120" w:rsidRPr="003B3A98">
        <w:t xml:space="preserve">authorized </w:t>
      </w:r>
      <w:r w:rsidR="00D511D4" w:rsidRPr="003B3A98">
        <w:t xml:space="preserve">tribes. </w:t>
      </w:r>
    </w:p>
    <w:tbl>
      <w:tblPr>
        <w:tblW w:w="93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845"/>
        <w:gridCol w:w="1710"/>
        <w:gridCol w:w="2205"/>
        <w:gridCol w:w="1777"/>
        <w:gridCol w:w="1778"/>
      </w:tblGrid>
      <w:tr w:rsidR="00932B55" w:rsidRPr="00417120" w14:paraId="0963BD88" w14:textId="77777777" w:rsidTr="00381864">
        <w:trPr>
          <w:trHeight w:val="255"/>
          <w:tblHeader/>
        </w:trPr>
        <w:tc>
          <w:tcPr>
            <w:tcW w:w="9315" w:type="dxa"/>
            <w:gridSpan w:val="5"/>
            <w:shd w:val="clear" w:color="auto" w:fill="D9D9D9"/>
            <w:vAlign w:val="center"/>
          </w:tcPr>
          <w:p w14:paraId="453E7D8F" w14:textId="78310C9D" w:rsidR="00932B55" w:rsidRPr="00417120" w:rsidRDefault="00765D6E" w:rsidP="001B3816">
            <w:pPr>
              <w:pStyle w:val="Caption"/>
              <w:rPr>
                <w:szCs w:val="24"/>
              </w:rPr>
            </w:pPr>
            <w:bookmarkStart w:id="52" w:name="_Ref361830190"/>
            <w:bookmarkStart w:id="53" w:name="_Ref361830185"/>
            <w:r w:rsidRPr="00417120">
              <w:rPr>
                <w:szCs w:val="24"/>
              </w:rPr>
              <w:lastRenderedPageBreak/>
              <w:t xml:space="preserve">Table </w:t>
            </w:r>
            <w:r w:rsidR="00B52228" w:rsidRPr="00417120">
              <w:rPr>
                <w:szCs w:val="24"/>
              </w:rPr>
              <w:fldChar w:fldCharType="begin"/>
            </w:r>
            <w:r w:rsidR="00B52228" w:rsidRPr="00417120">
              <w:rPr>
                <w:szCs w:val="24"/>
              </w:rPr>
              <w:instrText xml:space="preserve"> STYLEREF 1 \s </w:instrText>
            </w:r>
            <w:r w:rsidR="00B52228" w:rsidRPr="00417120">
              <w:rPr>
                <w:szCs w:val="24"/>
              </w:rPr>
              <w:fldChar w:fldCharType="separate"/>
            </w:r>
            <w:r w:rsidR="00AC008A" w:rsidRPr="00417120">
              <w:rPr>
                <w:noProof/>
                <w:szCs w:val="24"/>
              </w:rPr>
              <w:t>6</w:t>
            </w:r>
            <w:r w:rsidR="00B52228" w:rsidRPr="00417120">
              <w:rPr>
                <w:noProof/>
                <w:szCs w:val="24"/>
              </w:rPr>
              <w:fldChar w:fldCharType="end"/>
            </w:r>
            <w:r w:rsidR="00AC008A" w:rsidRPr="00417120">
              <w:rPr>
                <w:szCs w:val="24"/>
              </w:rPr>
              <w:noBreakHyphen/>
            </w:r>
            <w:r w:rsidR="00B52228" w:rsidRPr="00417120">
              <w:rPr>
                <w:szCs w:val="24"/>
              </w:rPr>
              <w:fldChar w:fldCharType="begin"/>
            </w:r>
            <w:r w:rsidR="00B52228" w:rsidRPr="00417120">
              <w:rPr>
                <w:szCs w:val="24"/>
              </w:rPr>
              <w:instrText xml:space="preserve"> SEQ Table \* ARABIC \s 1 </w:instrText>
            </w:r>
            <w:r w:rsidR="00B52228" w:rsidRPr="00417120">
              <w:rPr>
                <w:szCs w:val="24"/>
              </w:rPr>
              <w:fldChar w:fldCharType="separate"/>
            </w:r>
            <w:r w:rsidR="00AC008A" w:rsidRPr="00417120">
              <w:rPr>
                <w:noProof/>
                <w:szCs w:val="24"/>
              </w:rPr>
              <w:t>2</w:t>
            </w:r>
            <w:r w:rsidR="00B52228" w:rsidRPr="00417120">
              <w:rPr>
                <w:noProof/>
                <w:szCs w:val="24"/>
              </w:rPr>
              <w:fldChar w:fldCharType="end"/>
            </w:r>
            <w:bookmarkEnd w:id="52"/>
            <w:r w:rsidR="00932B55" w:rsidRPr="00417120">
              <w:rPr>
                <w:szCs w:val="24"/>
              </w:rPr>
              <w:t>: Summary of Burden and Cost</w:t>
            </w:r>
            <w:bookmarkEnd w:id="53"/>
          </w:p>
        </w:tc>
      </w:tr>
      <w:tr w:rsidR="00932B55" w:rsidRPr="003B3A98" w14:paraId="3BE7EE57" w14:textId="77777777" w:rsidTr="00381864">
        <w:trPr>
          <w:trHeight w:val="70"/>
          <w:tblHeader/>
        </w:trPr>
        <w:tc>
          <w:tcPr>
            <w:tcW w:w="1845" w:type="dxa"/>
            <w:vMerge w:val="restart"/>
            <w:shd w:val="clear" w:color="auto" w:fill="FFFF99"/>
            <w:vAlign w:val="center"/>
          </w:tcPr>
          <w:p w14:paraId="526AB112" w14:textId="77777777" w:rsidR="00932B55" w:rsidRPr="003B3A98" w:rsidRDefault="00932B55" w:rsidP="003B3A98">
            <w:pPr>
              <w:pStyle w:val="ExhibitHeading"/>
              <w:rPr>
                <w:sz w:val="24"/>
              </w:rPr>
            </w:pPr>
            <w:r w:rsidRPr="003B3A98">
              <w:rPr>
                <w:sz w:val="24"/>
              </w:rPr>
              <w:t>Provision</w:t>
            </w:r>
          </w:p>
        </w:tc>
        <w:tc>
          <w:tcPr>
            <w:tcW w:w="3915" w:type="dxa"/>
            <w:gridSpan w:val="2"/>
            <w:shd w:val="clear" w:color="auto" w:fill="FFFF99"/>
            <w:noWrap/>
            <w:vAlign w:val="center"/>
          </w:tcPr>
          <w:p w14:paraId="6217CEE3" w14:textId="77777777" w:rsidR="00932B55" w:rsidRPr="003B3A98" w:rsidRDefault="00932B55" w:rsidP="003B3A98">
            <w:pPr>
              <w:pStyle w:val="ExhibitHeading"/>
              <w:rPr>
                <w:sz w:val="24"/>
              </w:rPr>
            </w:pPr>
            <w:r w:rsidRPr="003B3A98">
              <w:rPr>
                <w:sz w:val="24"/>
              </w:rPr>
              <w:t>One-time</w:t>
            </w:r>
            <w:r w:rsidR="00B35257" w:rsidRPr="003B3A98">
              <w:rPr>
                <w:sz w:val="24"/>
              </w:rPr>
              <w:t xml:space="preserve"> Activities</w:t>
            </w:r>
            <w:r w:rsidR="00B35257" w:rsidRPr="00E548AE">
              <w:rPr>
                <w:sz w:val="24"/>
                <w:vertAlign w:val="superscript"/>
              </w:rPr>
              <w:t>1</w:t>
            </w:r>
          </w:p>
        </w:tc>
        <w:tc>
          <w:tcPr>
            <w:tcW w:w="3555" w:type="dxa"/>
            <w:gridSpan w:val="2"/>
            <w:shd w:val="clear" w:color="auto" w:fill="FFFF99"/>
            <w:vAlign w:val="center"/>
          </w:tcPr>
          <w:p w14:paraId="4668C204" w14:textId="77777777" w:rsidR="00932B55" w:rsidRPr="003B3A98" w:rsidRDefault="00932B55" w:rsidP="003B3A98">
            <w:pPr>
              <w:pStyle w:val="ExhibitHeading"/>
              <w:rPr>
                <w:sz w:val="24"/>
              </w:rPr>
            </w:pPr>
            <w:r w:rsidRPr="003B3A98">
              <w:rPr>
                <w:sz w:val="24"/>
              </w:rPr>
              <w:t>Annual</w:t>
            </w:r>
            <w:r w:rsidR="00B35257" w:rsidRPr="003B3A98">
              <w:rPr>
                <w:sz w:val="24"/>
              </w:rPr>
              <w:t xml:space="preserve"> Activities</w:t>
            </w:r>
          </w:p>
        </w:tc>
      </w:tr>
      <w:tr w:rsidR="00932B55" w:rsidRPr="003B3A98" w14:paraId="07D2A860" w14:textId="77777777" w:rsidTr="00381864">
        <w:trPr>
          <w:trHeight w:val="255"/>
        </w:trPr>
        <w:tc>
          <w:tcPr>
            <w:tcW w:w="1845" w:type="dxa"/>
            <w:vMerge/>
            <w:shd w:val="clear" w:color="auto" w:fill="FFFF99"/>
            <w:vAlign w:val="center"/>
          </w:tcPr>
          <w:p w14:paraId="4BAF661B" w14:textId="77777777" w:rsidR="00932B55" w:rsidRPr="003B3A98" w:rsidRDefault="00932B55" w:rsidP="003B3A98">
            <w:pPr>
              <w:pStyle w:val="ExhibitHeading"/>
              <w:rPr>
                <w:sz w:val="24"/>
              </w:rPr>
            </w:pPr>
          </w:p>
        </w:tc>
        <w:tc>
          <w:tcPr>
            <w:tcW w:w="1710" w:type="dxa"/>
            <w:shd w:val="clear" w:color="auto" w:fill="FFFF99"/>
            <w:noWrap/>
            <w:vAlign w:val="center"/>
          </w:tcPr>
          <w:p w14:paraId="22ED063B" w14:textId="77777777" w:rsidR="00932B55" w:rsidRPr="003B3A98" w:rsidRDefault="00932B55" w:rsidP="003B3A98">
            <w:pPr>
              <w:pStyle w:val="ExhibitHeading"/>
              <w:rPr>
                <w:sz w:val="24"/>
              </w:rPr>
            </w:pPr>
            <w:r w:rsidRPr="003B3A98">
              <w:rPr>
                <w:sz w:val="24"/>
              </w:rPr>
              <w:t>Burden (hours</w:t>
            </w:r>
            <w:r w:rsidR="00EE5219" w:rsidRPr="003B3A98">
              <w:rPr>
                <w:sz w:val="24"/>
              </w:rPr>
              <w:t>/year</w:t>
            </w:r>
            <w:r w:rsidRPr="003B3A98">
              <w:rPr>
                <w:sz w:val="24"/>
              </w:rPr>
              <w:t>)</w:t>
            </w:r>
          </w:p>
        </w:tc>
        <w:tc>
          <w:tcPr>
            <w:tcW w:w="2205" w:type="dxa"/>
            <w:shd w:val="clear" w:color="auto" w:fill="FFFF99"/>
            <w:vAlign w:val="center"/>
          </w:tcPr>
          <w:p w14:paraId="7A14D8E7" w14:textId="77777777" w:rsidR="00932B55" w:rsidRPr="003B3A98" w:rsidRDefault="00932B55" w:rsidP="003B3A98">
            <w:pPr>
              <w:pStyle w:val="ExhibitHeading"/>
              <w:rPr>
                <w:sz w:val="24"/>
              </w:rPr>
            </w:pPr>
            <w:r w:rsidRPr="003B3A98">
              <w:rPr>
                <w:sz w:val="24"/>
              </w:rPr>
              <w:t xml:space="preserve">Cost </w:t>
            </w:r>
          </w:p>
          <w:p w14:paraId="0CD1FD19" w14:textId="77777777" w:rsidR="00932B55" w:rsidRPr="003B3A98" w:rsidRDefault="00932B55" w:rsidP="003B3A98">
            <w:pPr>
              <w:pStyle w:val="ExhibitHeading"/>
              <w:rPr>
                <w:sz w:val="24"/>
              </w:rPr>
            </w:pPr>
            <w:r w:rsidRPr="003B3A98">
              <w:rPr>
                <w:sz w:val="24"/>
              </w:rPr>
              <w:t>(2013$ million</w:t>
            </w:r>
            <w:r w:rsidR="00EE5219" w:rsidRPr="003B3A98">
              <w:rPr>
                <w:sz w:val="24"/>
              </w:rPr>
              <w:t>/year</w:t>
            </w:r>
            <w:r w:rsidRPr="003B3A98">
              <w:rPr>
                <w:sz w:val="24"/>
              </w:rPr>
              <w:t>)</w:t>
            </w:r>
          </w:p>
        </w:tc>
        <w:tc>
          <w:tcPr>
            <w:tcW w:w="1777" w:type="dxa"/>
            <w:shd w:val="clear" w:color="auto" w:fill="FFFF99"/>
            <w:noWrap/>
            <w:vAlign w:val="center"/>
          </w:tcPr>
          <w:p w14:paraId="6EE76033" w14:textId="77777777" w:rsidR="00932B55" w:rsidRPr="003B3A98" w:rsidRDefault="00932B55" w:rsidP="003B3A98">
            <w:pPr>
              <w:pStyle w:val="ExhibitHeading"/>
              <w:rPr>
                <w:sz w:val="24"/>
              </w:rPr>
            </w:pPr>
            <w:r w:rsidRPr="003B3A98">
              <w:rPr>
                <w:sz w:val="24"/>
              </w:rPr>
              <w:t>Burden (hours/year)</w:t>
            </w:r>
          </w:p>
        </w:tc>
        <w:tc>
          <w:tcPr>
            <w:tcW w:w="1778" w:type="dxa"/>
            <w:shd w:val="clear" w:color="auto" w:fill="FFFF99"/>
            <w:vAlign w:val="center"/>
          </w:tcPr>
          <w:p w14:paraId="3D62869A" w14:textId="77777777" w:rsidR="00932B55" w:rsidRPr="003B3A98" w:rsidRDefault="00932B55" w:rsidP="003B3A98">
            <w:pPr>
              <w:pStyle w:val="ExhibitHeading"/>
              <w:rPr>
                <w:sz w:val="24"/>
              </w:rPr>
            </w:pPr>
            <w:r w:rsidRPr="003B3A98">
              <w:rPr>
                <w:sz w:val="24"/>
              </w:rPr>
              <w:t>Cost (2013$</w:t>
            </w:r>
            <w:r w:rsidR="00B35257" w:rsidRPr="003B3A98">
              <w:rPr>
                <w:sz w:val="24"/>
              </w:rPr>
              <w:t xml:space="preserve"> </w:t>
            </w:r>
            <w:r w:rsidRPr="003B3A98">
              <w:rPr>
                <w:sz w:val="24"/>
              </w:rPr>
              <w:t>million/year)</w:t>
            </w:r>
          </w:p>
        </w:tc>
      </w:tr>
      <w:tr w:rsidR="00274C90" w:rsidRPr="00417120" w14:paraId="6F02A8D2" w14:textId="77777777" w:rsidTr="00381864">
        <w:trPr>
          <w:trHeight w:val="255"/>
        </w:trPr>
        <w:tc>
          <w:tcPr>
            <w:tcW w:w="1845" w:type="dxa"/>
            <w:vAlign w:val="center"/>
          </w:tcPr>
          <w:p w14:paraId="379229F7" w14:textId="77777777" w:rsidR="00274C90" w:rsidRPr="00417120" w:rsidRDefault="00C46517" w:rsidP="00B52228">
            <w:pPr>
              <w:pStyle w:val="ExhibitLeft"/>
              <w:keepNext/>
              <w:keepLines/>
              <w:rPr>
                <w:szCs w:val="24"/>
              </w:rPr>
            </w:pPr>
            <w:r w:rsidRPr="00417120">
              <w:rPr>
                <w:szCs w:val="24"/>
              </w:rPr>
              <w:t>Rulemaking</w:t>
            </w:r>
            <w:r w:rsidR="00274C90" w:rsidRPr="00417120">
              <w:rPr>
                <w:szCs w:val="24"/>
              </w:rPr>
              <w:t>s</w:t>
            </w:r>
          </w:p>
        </w:tc>
        <w:tc>
          <w:tcPr>
            <w:tcW w:w="1710" w:type="dxa"/>
            <w:noWrap/>
            <w:vAlign w:val="bottom"/>
          </w:tcPr>
          <w:p w14:paraId="7D60C051" w14:textId="77777777" w:rsidR="00274C90" w:rsidRPr="00417120" w:rsidRDefault="00EE5219" w:rsidP="003B3A98">
            <w:pPr>
              <w:pStyle w:val="ExhibitCenter"/>
            </w:pPr>
            <w:r w:rsidRPr="00417120">
              <w:t>16,000</w:t>
            </w:r>
            <w:r w:rsidR="00274C90" w:rsidRPr="00417120">
              <w:t xml:space="preserve"> – </w:t>
            </w:r>
            <w:r w:rsidRPr="00417120">
              <w:t>32,000</w:t>
            </w:r>
          </w:p>
        </w:tc>
        <w:tc>
          <w:tcPr>
            <w:tcW w:w="2205" w:type="dxa"/>
            <w:vAlign w:val="bottom"/>
          </w:tcPr>
          <w:p w14:paraId="03BEF098" w14:textId="77777777" w:rsidR="00274C90" w:rsidRPr="00417120" w:rsidRDefault="00274C90" w:rsidP="003B3A98">
            <w:pPr>
              <w:pStyle w:val="ExhibitCenter"/>
            </w:pPr>
            <w:r w:rsidRPr="00417120">
              <w:t>$</w:t>
            </w:r>
            <w:r w:rsidR="00EE5219" w:rsidRPr="00417120">
              <w:t>0.78</w:t>
            </w:r>
            <w:r w:rsidRPr="00417120">
              <w:t xml:space="preserve"> - $</w:t>
            </w:r>
            <w:r w:rsidR="00EE5219" w:rsidRPr="00417120">
              <w:t>1.57</w:t>
            </w:r>
          </w:p>
        </w:tc>
        <w:tc>
          <w:tcPr>
            <w:tcW w:w="1777" w:type="dxa"/>
            <w:noWrap/>
            <w:vAlign w:val="bottom"/>
          </w:tcPr>
          <w:p w14:paraId="4F20B2C9" w14:textId="77777777" w:rsidR="00274C90" w:rsidRPr="00417120" w:rsidRDefault="00274C90" w:rsidP="003B3A98">
            <w:pPr>
              <w:pStyle w:val="ExhibitCenter"/>
            </w:pPr>
            <w:r w:rsidRPr="00417120">
              <w:t>--</w:t>
            </w:r>
          </w:p>
        </w:tc>
        <w:tc>
          <w:tcPr>
            <w:tcW w:w="1778" w:type="dxa"/>
            <w:vAlign w:val="bottom"/>
          </w:tcPr>
          <w:p w14:paraId="3477B25F" w14:textId="77777777" w:rsidR="00274C90" w:rsidRPr="00417120" w:rsidRDefault="00274C90" w:rsidP="003B3A98">
            <w:pPr>
              <w:pStyle w:val="ExhibitCenter"/>
            </w:pPr>
            <w:r w:rsidRPr="00417120">
              <w:t>--</w:t>
            </w:r>
          </w:p>
        </w:tc>
      </w:tr>
      <w:tr w:rsidR="00274C90" w:rsidRPr="00417120" w14:paraId="6EAF4088" w14:textId="77777777" w:rsidTr="00381864">
        <w:trPr>
          <w:trHeight w:val="255"/>
        </w:trPr>
        <w:tc>
          <w:tcPr>
            <w:tcW w:w="1845" w:type="dxa"/>
            <w:vAlign w:val="center"/>
          </w:tcPr>
          <w:p w14:paraId="541376F9" w14:textId="77777777" w:rsidR="00274C90" w:rsidRPr="00417120" w:rsidRDefault="00C46517" w:rsidP="00765D6E">
            <w:pPr>
              <w:pStyle w:val="ExhibitLeft"/>
              <w:keepNext/>
              <w:keepLines/>
              <w:rPr>
                <w:szCs w:val="24"/>
              </w:rPr>
            </w:pPr>
            <w:r w:rsidRPr="00417120">
              <w:rPr>
                <w:szCs w:val="24"/>
              </w:rPr>
              <w:t>Designated u</w:t>
            </w:r>
            <w:r w:rsidR="00274C90" w:rsidRPr="00417120">
              <w:rPr>
                <w:szCs w:val="24"/>
              </w:rPr>
              <w:t>ses</w:t>
            </w:r>
          </w:p>
        </w:tc>
        <w:tc>
          <w:tcPr>
            <w:tcW w:w="1710" w:type="dxa"/>
            <w:noWrap/>
            <w:vAlign w:val="center"/>
          </w:tcPr>
          <w:p w14:paraId="09C823E0" w14:textId="77777777" w:rsidR="00274C90" w:rsidRPr="00417120" w:rsidRDefault="00274C90" w:rsidP="003B3A98">
            <w:pPr>
              <w:pStyle w:val="ExhibitCenter"/>
            </w:pPr>
            <w:r w:rsidRPr="00417120">
              <w:t>--</w:t>
            </w:r>
          </w:p>
        </w:tc>
        <w:tc>
          <w:tcPr>
            <w:tcW w:w="2205" w:type="dxa"/>
            <w:vAlign w:val="bottom"/>
          </w:tcPr>
          <w:p w14:paraId="5E14EDB0" w14:textId="77777777" w:rsidR="00274C90" w:rsidRPr="00417120" w:rsidRDefault="00274C90" w:rsidP="003B3A98">
            <w:pPr>
              <w:pStyle w:val="ExhibitCenter"/>
            </w:pPr>
            <w:r w:rsidRPr="00417120">
              <w:t>--</w:t>
            </w:r>
          </w:p>
        </w:tc>
        <w:tc>
          <w:tcPr>
            <w:tcW w:w="1777" w:type="dxa"/>
            <w:noWrap/>
            <w:vAlign w:val="bottom"/>
          </w:tcPr>
          <w:p w14:paraId="63EF644F" w14:textId="77777777" w:rsidR="00274C90" w:rsidRPr="00417120" w:rsidRDefault="00274C90" w:rsidP="003B3A98">
            <w:pPr>
              <w:pStyle w:val="ExhibitCenter"/>
            </w:pPr>
            <w:r w:rsidRPr="00417120">
              <w:t>2,250 - 4,500</w:t>
            </w:r>
          </w:p>
        </w:tc>
        <w:tc>
          <w:tcPr>
            <w:tcW w:w="1778" w:type="dxa"/>
            <w:vAlign w:val="bottom"/>
          </w:tcPr>
          <w:p w14:paraId="71E80FB3" w14:textId="77777777" w:rsidR="00274C90" w:rsidRPr="00417120" w:rsidRDefault="00274C90" w:rsidP="003B3A98">
            <w:pPr>
              <w:pStyle w:val="ExhibitCenter"/>
            </w:pPr>
            <w:r w:rsidRPr="00417120">
              <w:t>$0.11 - $0.22</w:t>
            </w:r>
          </w:p>
        </w:tc>
      </w:tr>
      <w:tr w:rsidR="00274C90" w:rsidRPr="00417120" w14:paraId="0612B654" w14:textId="77777777" w:rsidTr="00381864">
        <w:trPr>
          <w:trHeight w:val="255"/>
        </w:trPr>
        <w:tc>
          <w:tcPr>
            <w:tcW w:w="1845" w:type="dxa"/>
            <w:vAlign w:val="center"/>
          </w:tcPr>
          <w:p w14:paraId="544BA102" w14:textId="77777777" w:rsidR="00274C90" w:rsidRPr="00417120" w:rsidRDefault="00C46517" w:rsidP="00765D6E">
            <w:pPr>
              <w:pStyle w:val="ExhibitLeft"/>
              <w:keepNext/>
              <w:keepLines/>
              <w:rPr>
                <w:szCs w:val="24"/>
              </w:rPr>
            </w:pPr>
            <w:r w:rsidRPr="00417120">
              <w:rPr>
                <w:szCs w:val="24"/>
              </w:rPr>
              <w:t>Triennial r</w:t>
            </w:r>
            <w:r w:rsidR="00274C90" w:rsidRPr="00417120">
              <w:rPr>
                <w:szCs w:val="24"/>
              </w:rPr>
              <w:t>eview</w:t>
            </w:r>
          </w:p>
        </w:tc>
        <w:tc>
          <w:tcPr>
            <w:tcW w:w="1710" w:type="dxa"/>
            <w:noWrap/>
            <w:vAlign w:val="center"/>
          </w:tcPr>
          <w:p w14:paraId="746CB073" w14:textId="77777777" w:rsidR="00274C90" w:rsidRPr="00417120" w:rsidRDefault="00274C90" w:rsidP="003B3A98">
            <w:pPr>
              <w:pStyle w:val="ExhibitCenter"/>
            </w:pPr>
            <w:r w:rsidRPr="00417120">
              <w:t>--</w:t>
            </w:r>
          </w:p>
        </w:tc>
        <w:tc>
          <w:tcPr>
            <w:tcW w:w="2205" w:type="dxa"/>
            <w:vAlign w:val="bottom"/>
          </w:tcPr>
          <w:p w14:paraId="08BA2D1B" w14:textId="77777777" w:rsidR="00274C90" w:rsidRPr="00417120" w:rsidRDefault="00274C90" w:rsidP="003B3A98">
            <w:pPr>
              <w:pStyle w:val="ExhibitCenter"/>
            </w:pPr>
            <w:r w:rsidRPr="00417120">
              <w:t>--</w:t>
            </w:r>
          </w:p>
        </w:tc>
        <w:tc>
          <w:tcPr>
            <w:tcW w:w="1777" w:type="dxa"/>
            <w:noWrap/>
            <w:vAlign w:val="bottom"/>
          </w:tcPr>
          <w:p w14:paraId="69612C10" w14:textId="77777777" w:rsidR="00274C90" w:rsidRPr="00417120" w:rsidRDefault="00274C90" w:rsidP="003B3A98">
            <w:pPr>
              <w:pStyle w:val="ExhibitCenter"/>
            </w:pPr>
            <w:r w:rsidRPr="00417120">
              <w:t>4,320 - 21,600</w:t>
            </w:r>
          </w:p>
        </w:tc>
        <w:tc>
          <w:tcPr>
            <w:tcW w:w="1778" w:type="dxa"/>
            <w:vAlign w:val="bottom"/>
          </w:tcPr>
          <w:p w14:paraId="4FE4580C" w14:textId="77777777" w:rsidR="00274C90" w:rsidRPr="00417120" w:rsidRDefault="00274C90" w:rsidP="003B3A98">
            <w:pPr>
              <w:pStyle w:val="ExhibitCenter"/>
            </w:pPr>
            <w:r w:rsidRPr="00417120">
              <w:t>$0.21 - $1.06</w:t>
            </w:r>
          </w:p>
        </w:tc>
      </w:tr>
      <w:tr w:rsidR="00274C90" w:rsidRPr="00417120" w14:paraId="08C97CD6" w14:textId="77777777" w:rsidTr="00381864">
        <w:trPr>
          <w:trHeight w:val="255"/>
        </w:trPr>
        <w:tc>
          <w:tcPr>
            <w:tcW w:w="1845" w:type="dxa"/>
            <w:vAlign w:val="center"/>
          </w:tcPr>
          <w:p w14:paraId="16E9728F" w14:textId="77777777" w:rsidR="00274C90" w:rsidRPr="00417120" w:rsidRDefault="00274C90" w:rsidP="00765D6E">
            <w:pPr>
              <w:pStyle w:val="ExhibitLeft"/>
              <w:keepNext/>
              <w:keepLines/>
              <w:rPr>
                <w:szCs w:val="24"/>
              </w:rPr>
            </w:pPr>
            <w:r w:rsidRPr="00417120">
              <w:rPr>
                <w:szCs w:val="24"/>
              </w:rPr>
              <w:t>Antidegradation</w:t>
            </w:r>
          </w:p>
        </w:tc>
        <w:tc>
          <w:tcPr>
            <w:tcW w:w="1710" w:type="dxa"/>
            <w:noWrap/>
            <w:vAlign w:val="bottom"/>
          </w:tcPr>
          <w:p w14:paraId="14DC9AB7" w14:textId="77777777" w:rsidR="00274C90" w:rsidRPr="00417120" w:rsidRDefault="00EE5219" w:rsidP="003B3A98">
            <w:pPr>
              <w:pStyle w:val="ExhibitCenter"/>
            </w:pPr>
            <w:r w:rsidRPr="00417120">
              <w:t>2,150</w:t>
            </w:r>
            <w:r w:rsidR="00274C90" w:rsidRPr="00417120">
              <w:t xml:space="preserve"> – </w:t>
            </w:r>
            <w:r w:rsidRPr="00417120">
              <w:t>4,300</w:t>
            </w:r>
          </w:p>
        </w:tc>
        <w:tc>
          <w:tcPr>
            <w:tcW w:w="2205" w:type="dxa"/>
            <w:vAlign w:val="bottom"/>
          </w:tcPr>
          <w:p w14:paraId="6E280BE2" w14:textId="77777777" w:rsidR="00274C90" w:rsidRPr="00417120" w:rsidRDefault="00274C90" w:rsidP="003B3A98">
            <w:pPr>
              <w:pStyle w:val="ExhibitCenter"/>
            </w:pPr>
            <w:r w:rsidRPr="00417120">
              <w:t>$</w:t>
            </w:r>
            <w:r w:rsidR="00EE5219" w:rsidRPr="00417120">
              <w:t>0.11</w:t>
            </w:r>
            <w:r w:rsidRPr="00417120">
              <w:t xml:space="preserve"> - $</w:t>
            </w:r>
            <w:r w:rsidR="00EE5219" w:rsidRPr="00417120">
              <w:t>0.21</w:t>
            </w:r>
          </w:p>
        </w:tc>
        <w:tc>
          <w:tcPr>
            <w:tcW w:w="1777" w:type="dxa"/>
            <w:noWrap/>
            <w:vAlign w:val="bottom"/>
          </w:tcPr>
          <w:p w14:paraId="115CE028" w14:textId="737E6494" w:rsidR="00274C90" w:rsidRPr="00417120" w:rsidRDefault="00780F58" w:rsidP="00780F58">
            <w:pPr>
              <w:pStyle w:val="ExhibitCenter"/>
            </w:pPr>
            <w:r>
              <w:t>48,015</w:t>
            </w:r>
            <w:r w:rsidR="00274C90" w:rsidRPr="00417120">
              <w:t xml:space="preserve"> - </w:t>
            </w:r>
            <w:r>
              <w:t>143,400</w:t>
            </w:r>
          </w:p>
        </w:tc>
        <w:tc>
          <w:tcPr>
            <w:tcW w:w="1778" w:type="dxa"/>
            <w:vAlign w:val="bottom"/>
          </w:tcPr>
          <w:p w14:paraId="3310062B" w14:textId="77777777" w:rsidR="00274C90" w:rsidRPr="00417120" w:rsidRDefault="00274C90" w:rsidP="003B3A98">
            <w:pPr>
              <w:pStyle w:val="ExhibitCenter"/>
            </w:pPr>
            <w:r w:rsidRPr="00417120">
              <w:t>$2.37 - $7.02</w:t>
            </w:r>
          </w:p>
        </w:tc>
      </w:tr>
      <w:tr w:rsidR="00274C90" w:rsidRPr="00417120" w14:paraId="7F238BB8" w14:textId="77777777" w:rsidTr="00381864">
        <w:trPr>
          <w:trHeight w:val="255"/>
        </w:trPr>
        <w:tc>
          <w:tcPr>
            <w:tcW w:w="1845" w:type="dxa"/>
            <w:vAlign w:val="center"/>
          </w:tcPr>
          <w:p w14:paraId="34C6CFB8" w14:textId="2F19A13D" w:rsidR="00274C90" w:rsidRPr="00417120" w:rsidRDefault="00417120" w:rsidP="00765D6E">
            <w:pPr>
              <w:pStyle w:val="ExhibitLeft"/>
              <w:keepNext/>
              <w:keepLines/>
              <w:rPr>
                <w:szCs w:val="24"/>
              </w:rPr>
            </w:pPr>
            <w:r>
              <w:rPr>
                <w:szCs w:val="24"/>
              </w:rPr>
              <w:t xml:space="preserve">WQS </w:t>
            </w:r>
            <w:r w:rsidR="00274C90" w:rsidRPr="00417120">
              <w:rPr>
                <w:szCs w:val="24"/>
              </w:rPr>
              <w:t>Variances</w:t>
            </w:r>
          </w:p>
        </w:tc>
        <w:tc>
          <w:tcPr>
            <w:tcW w:w="1710" w:type="dxa"/>
            <w:noWrap/>
            <w:vAlign w:val="bottom"/>
          </w:tcPr>
          <w:p w14:paraId="4A1BA59A" w14:textId="77777777" w:rsidR="00274C90" w:rsidRPr="00417120" w:rsidRDefault="00274C90" w:rsidP="003B3A98">
            <w:pPr>
              <w:pStyle w:val="ExhibitCenter"/>
            </w:pPr>
            <w:r w:rsidRPr="00417120">
              <w:t>--</w:t>
            </w:r>
          </w:p>
        </w:tc>
        <w:tc>
          <w:tcPr>
            <w:tcW w:w="2205" w:type="dxa"/>
            <w:vAlign w:val="bottom"/>
          </w:tcPr>
          <w:p w14:paraId="21ACE408" w14:textId="77777777" w:rsidR="00274C90" w:rsidRPr="00417120" w:rsidRDefault="00274C90" w:rsidP="003B3A98">
            <w:pPr>
              <w:pStyle w:val="ExhibitCenter"/>
            </w:pPr>
            <w:r w:rsidRPr="00417120">
              <w:t>--</w:t>
            </w:r>
          </w:p>
        </w:tc>
        <w:tc>
          <w:tcPr>
            <w:tcW w:w="1777" w:type="dxa"/>
            <w:noWrap/>
            <w:vAlign w:val="bottom"/>
          </w:tcPr>
          <w:p w14:paraId="00B4CDA5" w14:textId="77777777" w:rsidR="00274C90" w:rsidRPr="00417120" w:rsidRDefault="00274C90" w:rsidP="003B3A98">
            <w:pPr>
              <w:pStyle w:val="ExhibitCenter"/>
            </w:pPr>
            <w:r w:rsidRPr="00417120">
              <w:t>51,840 - 233,280</w:t>
            </w:r>
          </w:p>
        </w:tc>
        <w:tc>
          <w:tcPr>
            <w:tcW w:w="1778" w:type="dxa"/>
            <w:vAlign w:val="bottom"/>
          </w:tcPr>
          <w:p w14:paraId="3341D20A" w14:textId="77777777" w:rsidR="00274C90" w:rsidRPr="00417120" w:rsidRDefault="00274C90" w:rsidP="003B3A98">
            <w:pPr>
              <w:pStyle w:val="ExhibitCenter"/>
            </w:pPr>
            <w:r w:rsidRPr="00417120">
              <w:t>$2.54 - $11.43</w:t>
            </w:r>
          </w:p>
        </w:tc>
      </w:tr>
      <w:tr w:rsidR="00274C90" w:rsidRPr="00417120" w14:paraId="6F8DBF70" w14:textId="77777777" w:rsidTr="00381864">
        <w:trPr>
          <w:trHeight w:val="255"/>
        </w:trPr>
        <w:tc>
          <w:tcPr>
            <w:tcW w:w="1845" w:type="dxa"/>
            <w:vAlign w:val="center"/>
          </w:tcPr>
          <w:p w14:paraId="11B3FF21" w14:textId="77777777" w:rsidR="00274C90" w:rsidRPr="00417120" w:rsidRDefault="00274C90" w:rsidP="00765D6E">
            <w:pPr>
              <w:pStyle w:val="ExhibitLeft"/>
              <w:keepNext/>
              <w:keepLines/>
              <w:rPr>
                <w:b/>
                <w:szCs w:val="24"/>
              </w:rPr>
            </w:pPr>
            <w:r w:rsidRPr="00417120">
              <w:rPr>
                <w:b/>
                <w:szCs w:val="24"/>
              </w:rPr>
              <w:t>Total</w:t>
            </w:r>
          </w:p>
        </w:tc>
        <w:tc>
          <w:tcPr>
            <w:tcW w:w="1710" w:type="dxa"/>
            <w:noWrap/>
            <w:vAlign w:val="bottom"/>
          </w:tcPr>
          <w:p w14:paraId="414F58CC" w14:textId="77777777" w:rsidR="00274C90" w:rsidRPr="00417120" w:rsidRDefault="00EE5219" w:rsidP="003B3A98">
            <w:pPr>
              <w:pStyle w:val="ExhibitCenter"/>
              <w:rPr>
                <w:b/>
              </w:rPr>
            </w:pPr>
            <w:r w:rsidRPr="00417120">
              <w:rPr>
                <w:b/>
              </w:rPr>
              <w:t>18,150</w:t>
            </w:r>
            <w:r w:rsidR="00EC2FDD" w:rsidRPr="00417120">
              <w:rPr>
                <w:b/>
              </w:rPr>
              <w:t xml:space="preserve"> – </w:t>
            </w:r>
            <w:r w:rsidRPr="00417120">
              <w:rPr>
                <w:b/>
              </w:rPr>
              <w:t>36,300</w:t>
            </w:r>
          </w:p>
        </w:tc>
        <w:tc>
          <w:tcPr>
            <w:tcW w:w="2205" w:type="dxa"/>
            <w:vAlign w:val="bottom"/>
          </w:tcPr>
          <w:p w14:paraId="1C0E72B6" w14:textId="77777777" w:rsidR="00274C90" w:rsidRPr="00417120" w:rsidRDefault="00274C90" w:rsidP="003B3A98">
            <w:pPr>
              <w:pStyle w:val="ExhibitCenter"/>
              <w:rPr>
                <w:b/>
              </w:rPr>
            </w:pPr>
            <w:r w:rsidRPr="00417120">
              <w:rPr>
                <w:b/>
              </w:rPr>
              <w:t>$</w:t>
            </w:r>
            <w:r w:rsidR="00EE5219" w:rsidRPr="00417120">
              <w:rPr>
                <w:b/>
              </w:rPr>
              <w:t>0.89</w:t>
            </w:r>
            <w:r w:rsidRPr="00417120">
              <w:rPr>
                <w:b/>
              </w:rPr>
              <w:t xml:space="preserve"> - $</w:t>
            </w:r>
            <w:r w:rsidR="00EE5219" w:rsidRPr="00417120">
              <w:rPr>
                <w:b/>
              </w:rPr>
              <w:t>1.78</w:t>
            </w:r>
          </w:p>
        </w:tc>
        <w:tc>
          <w:tcPr>
            <w:tcW w:w="1777" w:type="dxa"/>
            <w:noWrap/>
            <w:vAlign w:val="bottom"/>
          </w:tcPr>
          <w:p w14:paraId="71537978" w14:textId="45A467B6" w:rsidR="00274C90" w:rsidRPr="00417120" w:rsidRDefault="00274C90" w:rsidP="00780F58">
            <w:pPr>
              <w:pStyle w:val="ExhibitCenter"/>
              <w:rPr>
                <w:b/>
              </w:rPr>
            </w:pPr>
            <w:r w:rsidRPr="00417120">
              <w:rPr>
                <w:b/>
              </w:rPr>
              <w:t>106,</w:t>
            </w:r>
            <w:r w:rsidR="00780F58">
              <w:rPr>
                <w:b/>
              </w:rPr>
              <w:t>425</w:t>
            </w:r>
            <w:r w:rsidR="00780F58" w:rsidRPr="00417120">
              <w:rPr>
                <w:b/>
              </w:rPr>
              <w:t xml:space="preserve"> </w:t>
            </w:r>
            <w:r w:rsidRPr="00417120">
              <w:rPr>
                <w:b/>
              </w:rPr>
              <w:t>- 402,</w:t>
            </w:r>
            <w:r w:rsidR="00780F58">
              <w:rPr>
                <w:b/>
              </w:rPr>
              <w:t>780</w:t>
            </w:r>
          </w:p>
        </w:tc>
        <w:tc>
          <w:tcPr>
            <w:tcW w:w="1778" w:type="dxa"/>
            <w:vAlign w:val="bottom"/>
          </w:tcPr>
          <w:p w14:paraId="2A67EA21" w14:textId="77777777" w:rsidR="00274C90" w:rsidRPr="00417120" w:rsidRDefault="00274C90" w:rsidP="003B3A98">
            <w:pPr>
              <w:pStyle w:val="ExhibitCenter"/>
              <w:rPr>
                <w:b/>
              </w:rPr>
            </w:pPr>
            <w:r w:rsidRPr="00417120">
              <w:rPr>
                <w:b/>
              </w:rPr>
              <w:t>$5.24 - $19.73</w:t>
            </w:r>
          </w:p>
        </w:tc>
      </w:tr>
      <w:tr w:rsidR="00932B55" w:rsidRPr="00417120" w14:paraId="6945798C" w14:textId="77777777" w:rsidTr="00381864">
        <w:trPr>
          <w:trHeight w:val="255"/>
        </w:trPr>
        <w:tc>
          <w:tcPr>
            <w:tcW w:w="9315" w:type="dxa"/>
            <w:gridSpan w:val="5"/>
            <w:vAlign w:val="center"/>
          </w:tcPr>
          <w:p w14:paraId="2BF62885" w14:textId="77777777" w:rsidR="00932B55" w:rsidRPr="00417120" w:rsidRDefault="00932B55" w:rsidP="003B3A98">
            <w:pPr>
              <w:pStyle w:val="Exhibitnotes"/>
            </w:pPr>
            <w:r w:rsidRPr="00417120">
              <w:t xml:space="preserve"> ‘--‘ = not applicable</w:t>
            </w:r>
          </w:p>
          <w:p w14:paraId="1D7D4179" w14:textId="0B144FC5" w:rsidR="00EE5219" w:rsidRPr="00417120" w:rsidRDefault="009A60A6" w:rsidP="003B3A98">
            <w:pPr>
              <w:pStyle w:val="Exhibitnotes"/>
            </w:pPr>
            <w:r w:rsidRPr="00417120">
              <w:t xml:space="preserve">1. </w:t>
            </w:r>
            <w:r w:rsidR="00023B44" w:rsidRPr="00417120">
              <w:t>T</w:t>
            </w:r>
            <w:r w:rsidR="00EE5219" w:rsidRPr="00417120">
              <w:t xml:space="preserve">otal one-time burden and </w:t>
            </w:r>
            <w:r w:rsidR="00747C5B">
              <w:t>cost</w:t>
            </w:r>
            <w:r w:rsidR="00EE5219" w:rsidRPr="00417120">
              <w:t xml:space="preserve"> </w:t>
            </w:r>
            <w:r w:rsidR="00023B44" w:rsidRPr="00417120">
              <w:t xml:space="preserve">divided </w:t>
            </w:r>
            <w:r w:rsidR="00EE5219" w:rsidRPr="00417120">
              <w:t xml:space="preserve">over </w:t>
            </w:r>
            <w:r w:rsidR="00023B44" w:rsidRPr="00417120">
              <w:t xml:space="preserve">the </w:t>
            </w:r>
            <w:r w:rsidR="00EE5219" w:rsidRPr="00417120">
              <w:t>3-year period</w:t>
            </w:r>
            <w:r w:rsidR="00E548AE">
              <w:t xml:space="preserve"> (for Rulemaking, see </w:t>
            </w:r>
            <w:r w:rsidR="00C449A7">
              <w:t>S</w:t>
            </w:r>
            <w:r w:rsidR="00E548AE">
              <w:t xml:space="preserve">ection </w:t>
            </w:r>
            <w:r w:rsidR="00E548AE">
              <w:fldChar w:fldCharType="begin"/>
            </w:r>
            <w:r w:rsidR="00E548AE">
              <w:instrText xml:space="preserve"> REF _Ref403037005 \r \h </w:instrText>
            </w:r>
            <w:r w:rsidR="00E548AE">
              <w:fldChar w:fldCharType="separate"/>
            </w:r>
            <w:r w:rsidR="00E548AE">
              <w:t>6.1.1</w:t>
            </w:r>
            <w:r w:rsidR="00E548AE">
              <w:fldChar w:fldCharType="end"/>
            </w:r>
            <w:r w:rsidR="00E548AE">
              <w:t xml:space="preserve">; for Antidegradation, see </w:t>
            </w:r>
            <w:r w:rsidR="00C449A7">
              <w:t>S</w:t>
            </w:r>
            <w:r w:rsidR="00E548AE">
              <w:t xml:space="preserve">ection </w:t>
            </w:r>
            <w:r w:rsidR="00E548AE">
              <w:fldChar w:fldCharType="begin"/>
            </w:r>
            <w:r w:rsidR="00E548AE">
              <w:instrText xml:space="preserve"> REF _Ref403036957 \r \h </w:instrText>
            </w:r>
            <w:r w:rsidR="00E548AE">
              <w:fldChar w:fldCharType="separate"/>
            </w:r>
            <w:r w:rsidR="00E548AE">
              <w:t>6.1.4</w:t>
            </w:r>
            <w:r w:rsidR="00E548AE">
              <w:fldChar w:fldCharType="end"/>
            </w:r>
            <w:r w:rsidR="00E548AE">
              <w:t>)</w:t>
            </w:r>
            <w:r w:rsidRPr="00417120">
              <w:t>.</w:t>
            </w:r>
          </w:p>
        </w:tc>
      </w:tr>
    </w:tbl>
    <w:p w14:paraId="2954F1B6" w14:textId="77777777" w:rsidR="00F622A2" w:rsidRPr="00417120" w:rsidRDefault="00F622A2" w:rsidP="003B3A98">
      <w:pPr>
        <w:pStyle w:val="BodyText"/>
      </w:pPr>
    </w:p>
    <w:p w14:paraId="3AC9A4A4" w14:textId="5D41C165" w:rsidR="00F622A2" w:rsidRPr="00417120" w:rsidRDefault="00C72C0C" w:rsidP="003B3A98">
      <w:pPr>
        <w:pStyle w:val="BodyText"/>
      </w:pPr>
      <w:r w:rsidRPr="00417120">
        <w:fldChar w:fldCharType="begin"/>
      </w:r>
      <w:r w:rsidRPr="00417120">
        <w:instrText xml:space="preserve"> REF _Ref402182052 \h  \* MERGEFORMAT </w:instrText>
      </w:r>
      <w:r w:rsidRPr="00417120">
        <w:fldChar w:fldCharType="separate"/>
      </w:r>
      <w:r w:rsidRPr="00417120">
        <w:t xml:space="preserve">Table </w:t>
      </w:r>
      <w:r w:rsidRPr="00417120">
        <w:rPr>
          <w:noProof/>
        </w:rPr>
        <w:t>6</w:t>
      </w:r>
      <w:r w:rsidRPr="00417120">
        <w:noBreakHyphen/>
      </w:r>
      <w:r w:rsidRPr="00417120">
        <w:rPr>
          <w:noProof/>
        </w:rPr>
        <w:t>3</w:t>
      </w:r>
      <w:r w:rsidRPr="00417120">
        <w:fldChar w:fldCharType="end"/>
      </w:r>
      <w:r w:rsidRPr="00417120">
        <w:t xml:space="preserve"> provides a summary of the annual burden hours (based on dividing one-time activities equally over the three-year period to obtain an annual equivalent) and number of responses. EPA</w:t>
      </w:r>
      <w:r w:rsidR="00F622A2" w:rsidRPr="00396F4C">
        <w:t xml:space="preserve"> estimate</w:t>
      </w:r>
      <w:r w:rsidRPr="00396F4C">
        <w:t>s a total annual burden of 124,</w:t>
      </w:r>
      <w:r w:rsidR="00780F58">
        <w:t>575</w:t>
      </w:r>
      <w:r w:rsidR="00780F58" w:rsidRPr="00396F4C">
        <w:t xml:space="preserve"> </w:t>
      </w:r>
      <w:r w:rsidRPr="00396F4C">
        <w:t xml:space="preserve">– </w:t>
      </w:r>
      <w:r w:rsidR="00780F58">
        <w:t>439,080</w:t>
      </w:r>
      <w:r w:rsidR="00C46517" w:rsidRPr="00396F4C">
        <w:t xml:space="preserve"> hours, for </w:t>
      </w:r>
      <w:r w:rsidR="00F622A2" w:rsidRPr="00396F4C">
        <w:t>3,176 to 5,096 responses per year.</w:t>
      </w:r>
      <w:r w:rsidR="00F622A2" w:rsidRPr="00417120">
        <w:t xml:space="preserve"> </w:t>
      </w:r>
      <w:r w:rsidR="00F622A2" w:rsidRPr="00B7618A">
        <w:t>Thus, the average burden per response ranges from 39.2 (124,</w:t>
      </w:r>
      <w:r w:rsidR="00B6618F" w:rsidRPr="00B7618A">
        <w:t>5</w:t>
      </w:r>
      <w:r w:rsidR="00B6618F">
        <w:t>75</w:t>
      </w:r>
      <w:r w:rsidR="00B6618F" w:rsidRPr="00B7618A">
        <w:t xml:space="preserve"> </w:t>
      </w:r>
      <w:r w:rsidR="00F622A2" w:rsidRPr="00B7618A">
        <w:t>hours ÷ 3,176 responses)</w:t>
      </w:r>
      <w:r w:rsidR="00F622A2" w:rsidRPr="00417120">
        <w:t xml:space="preserve"> </w:t>
      </w:r>
      <w:r w:rsidR="00F622A2" w:rsidRPr="00396F4C">
        <w:t>to 86.</w:t>
      </w:r>
      <w:r w:rsidR="00B6618F">
        <w:t>2</w:t>
      </w:r>
      <w:r w:rsidR="00B6618F" w:rsidRPr="00396F4C">
        <w:t xml:space="preserve"> </w:t>
      </w:r>
      <w:r w:rsidR="00F622A2" w:rsidRPr="00396F4C">
        <w:t>(</w:t>
      </w:r>
      <w:r w:rsidR="00B6618F">
        <w:t>439,080</w:t>
      </w:r>
      <w:r w:rsidR="00F622A2" w:rsidRPr="00396F4C">
        <w:t xml:space="preserve"> hours </w:t>
      </w:r>
      <w:r w:rsidR="00F622A2" w:rsidRPr="00B7618A">
        <w:t>÷ 5,096 responses) hours.</w:t>
      </w:r>
      <w:r w:rsidR="00F622A2" w:rsidRPr="00396F4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4"/>
        <w:gridCol w:w="2107"/>
        <w:gridCol w:w="1689"/>
      </w:tblGrid>
      <w:tr w:rsidR="00F622A2" w:rsidRPr="00417120" w14:paraId="6621505F" w14:textId="77777777" w:rsidTr="00381864">
        <w:trPr>
          <w:trHeight w:val="300"/>
          <w:tblHeader/>
        </w:trPr>
        <w:tc>
          <w:tcPr>
            <w:tcW w:w="5000" w:type="pct"/>
            <w:gridSpan w:val="3"/>
            <w:shd w:val="clear" w:color="auto" w:fill="D9D9D9"/>
            <w:noWrap/>
            <w:vAlign w:val="bottom"/>
          </w:tcPr>
          <w:p w14:paraId="64BDF307" w14:textId="5EBF05B5" w:rsidR="00F622A2" w:rsidRPr="00417120" w:rsidRDefault="00F622A2" w:rsidP="001B3816">
            <w:pPr>
              <w:pStyle w:val="ExhibitHeading"/>
              <w:rPr>
                <w:rFonts w:ascii="Times New Roman" w:hAnsi="Times New Roman" w:cs="Times New Roman"/>
                <w:sz w:val="24"/>
                <w:szCs w:val="24"/>
              </w:rPr>
            </w:pPr>
            <w:r w:rsidRPr="00417120">
              <w:rPr>
                <w:rFonts w:ascii="Times New Roman" w:hAnsi="Times New Roman" w:cs="Times New Roman"/>
                <w:sz w:val="24"/>
                <w:szCs w:val="24"/>
              </w:rPr>
              <w:t xml:space="preserve">Table </w:t>
            </w:r>
            <w:r w:rsidRPr="00417120">
              <w:rPr>
                <w:rFonts w:ascii="Times New Roman" w:hAnsi="Times New Roman" w:cs="Times New Roman"/>
                <w:sz w:val="24"/>
                <w:szCs w:val="24"/>
              </w:rPr>
              <w:fldChar w:fldCharType="begin"/>
            </w:r>
            <w:r w:rsidRPr="00417120">
              <w:rPr>
                <w:rFonts w:ascii="Times New Roman" w:hAnsi="Times New Roman" w:cs="Times New Roman"/>
                <w:sz w:val="24"/>
                <w:szCs w:val="24"/>
              </w:rPr>
              <w:instrText xml:space="preserve"> STYLEREF 1 \s </w:instrText>
            </w:r>
            <w:r w:rsidRPr="00417120">
              <w:rPr>
                <w:rFonts w:ascii="Times New Roman" w:hAnsi="Times New Roman" w:cs="Times New Roman"/>
                <w:sz w:val="24"/>
                <w:szCs w:val="24"/>
              </w:rPr>
              <w:fldChar w:fldCharType="separate"/>
            </w:r>
            <w:r w:rsidRPr="00417120">
              <w:rPr>
                <w:rFonts w:ascii="Times New Roman" w:hAnsi="Times New Roman" w:cs="Times New Roman"/>
                <w:noProof/>
                <w:sz w:val="24"/>
                <w:szCs w:val="24"/>
              </w:rPr>
              <w:t>6</w:t>
            </w:r>
            <w:r w:rsidRPr="00417120">
              <w:rPr>
                <w:rFonts w:ascii="Times New Roman" w:hAnsi="Times New Roman" w:cs="Times New Roman"/>
                <w:sz w:val="24"/>
                <w:szCs w:val="24"/>
              </w:rPr>
              <w:fldChar w:fldCharType="end"/>
            </w:r>
            <w:r w:rsidRPr="00417120">
              <w:rPr>
                <w:rFonts w:ascii="Times New Roman" w:hAnsi="Times New Roman" w:cs="Times New Roman"/>
                <w:sz w:val="24"/>
                <w:szCs w:val="24"/>
              </w:rPr>
              <w:noBreakHyphen/>
            </w:r>
            <w:r w:rsidRPr="00417120">
              <w:rPr>
                <w:rFonts w:ascii="Times New Roman" w:hAnsi="Times New Roman" w:cs="Times New Roman"/>
                <w:sz w:val="24"/>
                <w:szCs w:val="24"/>
              </w:rPr>
              <w:fldChar w:fldCharType="begin"/>
            </w:r>
            <w:r w:rsidRPr="00417120">
              <w:rPr>
                <w:rFonts w:ascii="Times New Roman" w:hAnsi="Times New Roman" w:cs="Times New Roman"/>
                <w:sz w:val="24"/>
                <w:szCs w:val="24"/>
              </w:rPr>
              <w:instrText xml:space="preserve"> SEQ Table \* ARABIC \s 1 </w:instrText>
            </w:r>
            <w:r w:rsidRPr="00417120">
              <w:rPr>
                <w:rFonts w:ascii="Times New Roman" w:hAnsi="Times New Roman" w:cs="Times New Roman"/>
                <w:sz w:val="24"/>
                <w:szCs w:val="24"/>
              </w:rPr>
              <w:fldChar w:fldCharType="separate"/>
            </w:r>
            <w:r w:rsidRPr="00417120">
              <w:rPr>
                <w:rFonts w:ascii="Times New Roman" w:hAnsi="Times New Roman" w:cs="Times New Roman"/>
                <w:noProof/>
                <w:sz w:val="24"/>
                <w:szCs w:val="24"/>
              </w:rPr>
              <w:t>3</w:t>
            </w:r>
            <w:r w:rsidRPr="00417120">
              <w:rPr>
                <w:rFonts w:ascii="Times New Roman" w:hAnsi="Times New Roman" w:cs="Times New Roman"/>
                <w:sz w:val="24"/>
                <w:szCs w:val="24"/>
              </w:rPr>
              <w:fldChar w:fldCharType="end"/>
            </w:r>
            <w:r w:rsidRPr="00417120">
              <w:rPr>
                <w:rFonts w:ascii="Times New Roman" w:hAnsi="Times New Roman" w:cs="Times New Roman"/>
                <w:sz w:val="24"/>
                <w:szCs w:val="24"/>
              </w:rPr>
              <w:t xml:space="preserve">: </w:t>
            </w:r>
            <w:r w:rsidR="00C46517" w:rsidRPr="00417120">
              <w:rPr>
                <w:rFonts w:ascii="Times New Roman" w:hAnsi="Times New Roman" w:cs="Times New Roman"/>
                <w:sz w:val="24"/>
                <w:szCs w:val="24"/>
              </w:rPr>
              <w:t xml:space="preserve">Summary of </w:t>
            </w:r>
            <w:r w:rsidRPr="00417120">
              <w:rPr>
                <w:rFonts w:ascii="Times New Roman" w:hAnsi="Times New Roman" w:cs="Times New Roman"/>
                <w:sz w:val="24"/>
                <w:szCs w:val="24"/>
              </w:rPr>
              <w:t xml:space="preserve">Information Collection </w:t>
            </w:r>
            <w:r w:rsidR="00C46517" w:rsidRPr="00417120">
              <w:rPr>
                <w:rFonts w:ascii="Times New Roman" w:hAnsi="Times New Roman" w:cs="Times New Roman"/>
                <w:sz w:val="24"/>
                <w:szCs w:val="24"/>
              </w:rPr>
              <w:t>Request</w:t>
            </w:r>
            <w:r w:rsidR="00C46517" w:rsidRPr="00417120">
              <w:rPr>
                <w:rFonts w:ascii="Times New Roman" w:hAnsi="Times New Roman" w:cs="Times New Roman"/>
                <w:sz w:val="24"/>
                <w:szCs w:val="24"/>
                <w:vertAlign w:val="superscript"/>
              </w:rPr>
              <w:t>1</w:t>
            </w:r>
          </w:p>
        </w:tc>
      </w:tr>
      <w:tr w:rsidR="00C46517" w:rsidRPr="00417120" w14:paraId="7F55AB19" w14:textId="77777777" w:rsidTr="00381864">
        <w:trPr>
          <w:trHeight w:val="300"/>
          <w:tblHeader/>
        </w:trPr>
        <w:tc>
          <w:tcPr>
            <w:tcW w:w="2970" w:type="pct"/>
            <w:shd w:val="clear" w:color="auto" w:fill="FFFF99"/>
            <w:noWrap/>
            <w:vAlign w:val="center"/>
            <w:hideMark/>
          </w:tcPr>
          <w:p w14:paraId="27153DE1" w14:textId="77777777" w:rsidR="00F622A2" w:rsidRPr="00417120" w:rsidRDefault="00F622A2" w:rsidP="003B3A98">
            <w:pPr>
              <w:pStyle w:val="ExhibitHeading"/>
              <w:rPr>
                <w:sz w:val="24"/>
                <w:szCs w:val="24"/>
              </w:rPr>
            </w:pPr>
            <w:r w:rsidRPr="00417120">
              <w:rPr>
                <w:sz w:val="24"/>
                <w:szCs w:val="24"/>
              </w:rPr>
              <w:t>Provision</w:t>
            </w:r>
          </w:p>
        </w:tc>
        <w:tc>
          <w:tcPr>
            <w:tcW w:w="1127" w:type="pct"/>
            <w:shd w:val="clear" w:color="auto" w:fill="FFFF99"/>
            <w:noWrap/>
            <w:vAlign w:val="center"/>
            <w:hideMark/>
          </w:tcPr>
          <w:p w14:paraId="74F3B3C2" w14:textId="77777777" w:rsidR="00F622A2" w:rsidRPr="00417120" w:rsidRDefault="00F622A2" w:rsidP="003B3A98">
            <w:pPr>
              <w:pStyle w:val="ExhibitHeading"/>
              <w:rPr>
                <w:sz w:val="24"/>
                <w:szCs w:val="24"/>
              </w:rPr>
            </w:pPr>
            <w:r w:rsidRPr="00417120">
              <w:rPr>
                <w:sz w:val="24"/>
                <w:szCs w:val="24"/>
              </w:rPr>
              <w:t>Burden (hours)</w:t>
            </w:r>
          </w:p>
        </w:tc>
        <w:tc>
          <w:tcPr>
            <w:tcW w:w="903" w:type="pct"/>
            <w:shd w:val="clear" w:color="auto" w:fill="FFFF99"/>
            <w:noWrap/>
            <w:vAlign w:val="center"/>
            <w:hideMark/>
          </w:tcPr>
          <w:p w14:paraId="4443FD35" w14:textId="77777777" w:rsidR="00F622A2" w:rsidRPr="00417120" w:rsidRDefault="00F622A2" w:rsidP="003B3A98">
            <w:pPr>
              <w:pStyle w:val="ExhibitHeading"/>
              <w:rPr>
                <w:sz w:val="24"/>
                <w:szCs w:val="24"/>
              </w:rPr>
            </w:pPr>
            <w:r w:rsidRPr="00417120">
              <w:rPr>
                <w:sz w:val="24"/>
                <w:szCs w:val="24"/>
              </w:rPr>
              <w:t>Number of Responses</w:t>
            </w:r>
          </w:p>
        </w:tc>
      </w:tr>
      <w:tr w:rsidR="00C46517" w:rsidRPr="00417120" w14:paraId="20E9DDCC" w14:textId="77777777" w:rsidTr="00381864">
        <w:trPr>
          <w:trHeight w:val="259"/>
        </w:trPr>
        <w:tc>
          <w:tcPr>
            <w:tcW w:w="2970" w:type="pct"/>
            <w:shd w:val="clear" w:color="auto" w:fill="auto"/>
            <w:noWrap/>
            <w:vAlign w:val="center"/>
            <w:hideMark/>
          </w:tcPr>
          <w:p w14:paraId="1491DDEA" w14:textId="77777777" w:rsidR="00F622A2" w:rsidRPr="00417120" w:rsidRDefault="00F622A2" w:rsidP="003B3A98">
            <w:pPr>
              <w:pStyle w:val="ExhibitLeft"/>
            </w:pPr>
            <w:r w:rsidRPr="00417120">
              <w:t>Rulemakings</w:t>
            </w:r>
            <w:r w:rsidR="00C46517" w:rsidRPr="00417120">
              <w:rPr>
                <w:vertAlign w:val="superscript"/>
              </w:rPr>
              <w:t>2</w:t>
            </w:r>
          </w:p>
        </w:tc>
        <w:tc>
          <w:tcPr>
            <w:tcW w:w="1127" w:type="pct"/>
            <w:shd w:val="clear" w:color="auto" w:fill="auto"/>
            <w:noWrap/>
            <w:vAlign w:val="center"/>
            <w:hideMark/>
          </w:tcPr>
          <w:p w14:paraId="3AFB08FD" w14:textId="77777777" w:rsidR="00F622A2" w:rsidRPr="00417120" w:rsidRDefault="00F622A2" w:rsidP="003B3A98">
            <w:pPr>
              <w:pStyle w:val="ExhibitCenter"/>
            </w:pPr>
            <w:r w:rsidRPr="00417120">
              <w:t>16,000 - 32,000</w:t>
            </w:r>
          </w:p>
        </w:tc>
        <w:tc>
          <w:tcPr>
            <w:tcW w:w="903" w:type="pct"/>
            <w:shd w:val="clear" w:color="auto" w:fill="auto"/>
            <w:noWrap/>
            <w:vAlign w:val="center"/>
            <w:hideMark/>
          </w:tcPr>
          <w:p w14:paraId="4B94A77A" w14:textId="77777777" w:rsidR="00F622A2" w:rsidRPr="00417120" w:rsidRDefault="00F622A2" w:rsidP="003B3A98">
            <w:pPr>
              <w:pStyle w:val="ExhibitCenter"/>
            </w:pPr>
            <w:r w:rsidRPr="00417120">
              <w:t>32</w:t>
            </w:r>
          </w:p>
        </w:tc>
      </w:tr>
      <w:tr w:rsidR="00C46517" w:rsidRPr="00417120" w14:paraId="61DB1016" w14:textId="77777777" w:rsidTr="00381864">
        <w:trPr>
          <w:trHeight w:val="259"/>
        </w:trPr>
        <w:tc>
          <w:tcPr>
            <w:tcW w:w="2970" w:type="pct"/>
            <w:shd w:val="clear" w:color="auto" w:fill="auto"/>
            <w:noWrap/>
            <w:vAlign w:val="center"/>
            <w:hideMark/>
          </w:tcPr>
          <w:p w14:paraId="46EE92DB" w14:textId="77777777" w:rsidR="00F622A2" w:rsidRPr="00417120" w:rsidRDefault="00C46517" w:rsidP="003B3A98">
            <w:pPr>
              <w:pStyle w:val="ExhibitLeft"/>
            </w:pPr>
            <w:r w:rsidRPr="00417120">
              <w:t>Designated u</w:t>
            </w:r>
            <w:r w:rsidR="00C72C0C" w:rsidRPr="00417120">
              <w:t>ses</w:t>
            </w:r>
          </w:p>
        </w:tc>
        <w:tc>
          <w:tcPr>
            <w:tcW w:w="1127" w:type="pct"/>
            <w:shd w:val="clear" w:color="auto" w:fill="auto"/>
            <w:noWrap/>
            <w:vAlign w:val="center"/>
            <w:hideMark/>
          </w:tcPr>
          <w:p w14:paraId="4984BACB" w14:textId="77777777" w:rsidR="00F622A2" w:rsidRPr="00417120" w:rsidRDefault="00F622A2" w:rsidP="003B3A98">
            <w:pPr>
              <w:pStyle w:val="ExhibitCenter"/>
            </w:pPr>
            <w:r w:rsidRPr="00417120">
              <w:t>2,250 - 4,500</w:t>
            </w:r>
          </w:p>
        </w:tc>
        <w:tc>
          <w:tcPr>
            <w:tcW w:w="903" w:type="pct"/>
            <w:shd w:val="clear" w:color="auto" w:fill="auto"/>
            <w:noWrap/>
            <w:vAlign w:val="center"/>
            <w:hideMark/>
          </w:tcPr>
          <w:p w14:paraId="03FED26B" w14:textId="77777777" w:rsidR="00F622A2" w:rsidRPr="00417120" w:rsidRDefault="00F622A2" w:rsidP="003B3A98">
            <w:pPr>
              <w:pStyle w:val="ExhibitCenter"/>
            </w:pPr>
            <w:r w:rsidRPr="00417120">
              <w:t>15</w:t>
            </w:r>
          </w:p>
        </w:tc>
      </w:tr>
      <w:tr w:rsidR="00C46517" w:rsidRPr="00417120" w14:paraId="50FFAA54" w14:textId="77777777" w:rsidTr="00381864">
        <w:trPr>
          <w:trHeight w:val="259"/>
        </w:trPr>
        <w:tc>
          <w:tcPr>
            <w:tcW w:w="2970" w:type="pct"/>
            <w:shd w:val="clear" w:color="auto" w:fill="auto"/>
            <w:noWrap/>
            <w:vAlign w:val="center"/>
            <w:hideMark/>
          </w:tcPr>
          <w:p w14:paraId="2C050531" w14:textId="77777777" w:rsidR="00F622A2" w:rsidRPr="00417120" w:rsidRDefault="00C46517" w:rsidP="003B3A98">
            <w:pPr>
              <w:pStyle w:val="ExhibitLeft"/>
            </w:pPr>
            <w:r w:rsidRPr="00417120">
              <w:t>Triennial r</w:t>
            </w:r>
            <w:r w:rsidR="00C72C0C" w:rsidRPr="00417120">
              <w:t>eview</w:t>
            </w:r>
          </w:p>
        </w:tc>
        <w:tc>
          <w:tcPr>
            <w:tcW w:w="1127" w:type="pct"/>
            <w:shd w:val="clear" w:color="auto" w:fill="auto"/>
            <w:noWrap/>
            <w:vAlign w:val="center"/>
            <w:hideMark/>
          </w:tcPr>
          <w:p w14:paraId="57A5038A" w14:textId="77777777" w:rsidR="00F622A2" w:rsidRPr="00417120" w:rsidRDefault="00F622A2" w:rsidP="003B3A98">
            <w:pPr>
              <w:pStyle w:val="ExhibitCenter"/>
            </w:pPr>
            <w:r w:rsidRPr="00417120">
              <w:t>4,320 - 21,600</w:t>
            </w:r>
          </w:p>
        </w:tc>
        <w:tc>
          <w:tcPr>
            <w:tcW w:w="903" w:type="pct"/>
            <w:shd w:val="clear" w:color="auto" w:fill="auto"/>
            <w:noWrap/>
            <w:vAlign w:val="center"/>
            <w:hideMark/>
          </w:tcPr>
          <w:p w14:paraId="70859DB2" w14:textId="77777777" w:rsidR="00F622A2" w:rsidRPr="00417120" w:rsidRDefault="00F622A2" w:rsidP="003B3A98">
            <w:pPr>
              <w:pStyle w:val="ExhibitCenter"/>
            </w:pPr>
            <w:r w:rsidRPr="00417120">
              <w:t>432</w:t>
            </w:r>
          </w:p>
        </w:tc>
      </w:tr>
      <w:tr w:rsidR="00B52228" w:rsidRPr="00417120" w14:paraId="248EDC52" w14:textId="77777777" w:rsidTr="00381864">
        <w:trPr>
          <w:trHeight w:val="259"/>
        </w:trPr>
        <w:tc>
          <w:tcPr>
            <w:tcW w:w="2970" w:type="pct"/>
            <w:shd w:val="clear" w:color="auto" w:fill="auto"/>
            <w:noWrap/>
            <w:vAlign w:val="center"/>
          </w:tcPr>
          <w:p w14:paraId="7B362B4F" w14:textId="77777777" w:rsidR="00B52228" w:rsidRPr="00417120" w:rsidRDefault="00B52228" w:rsidP="003B3A98">
            <w:pPr>
              <w:pStyle w:val="ExhibitLeft"/>
            </w:pPr>
            <w:r w:rsidRPr="00417120">
              <w:t>Antidegradation: implementation methods</w:t>
            </w:r>
          </w:p>
        </w:tc>
        <w:tc>
          <w:tcPr>
            <w:tcW w:w="1127" w:type="pct"/>
            <w:shd w:val="clear" w:color="auto" w:fill="auto"/>
            <w:noWrap/>
            <w:vAlign w:val="center"/>
          </w:tcPr>
          <w:p w14:paraId="68286AE3" w14:textId="77777777" w:rsidR="00B52228" w:rsidRPr="00417120" w:rsidRDefault="00B52228" w:rsidP="003B3A98">
            <w:pPr>
              <w:pStyle w:val="ExhibitCenter"/>
            </w:pPr>
            <w:r w:rsidRPr="00417120">
              <w:t>645 - 1,290</w:t>
            </w:r>
          </w:p>
        </w:tc>
        <w:tc>
          <w:tcPr>
            <w:tcW w:w="903" w:type="pct"/>
            <w:shd w:val="clear" w:color="auto" w:fill="auto"/>
            <w:noWrap/>
            <w:vAlign w:val="center"/>
          </w:tcPr>
          <w:p w14:paraId="71996399" w14:textId="77777777" w:rsidR="00B52228" w:rsidRPr="00417120" w:rsidRDefault="00B52228" w:rsidP="003B3A98">
            <w:pPr>
              <w:pStyle w:val="ExhibitCenter"/>
            </w:pPr>
            <w:r w:rsidRPr="00417120">
              <w:t>43</w:t>
            </w:r>
          </w:p>
        </w:tc>
      </w:tr>
      <w:tr w:rsidR="00B52228" w:rsidRPr="00417120" w14:paraId="66438594" w14:textId="77777777" w:rsidTr="00381864">
        <w:trPr>
          <w:trHeight w:val="259"/>
        </w:trPr>
        <w:tc>
          <w:tcPr>
            <w:tcW w:w="2970" w:type="pct"/>
            <w:shd w:val="clear" w:color="auto" w:fill="auto"/>
            <w:noWrap/>
            <w:vAlign w:val="center"/>
            <w:hideMark/>
          </w:tcPr>
          <w:p w14:paraId="17A6F375" w14:textId="77777777" w:rsidR="00B52228" w:rsidRPr="00417120" w:rsidRDefault="00B52228" w:rsidP="003B3A98">
            <w:pPr>
              <w:pStyle w:val="ExhibitLeft"/>
            </w:pPr>
            <w:r w:rsidRPr="00417120">
              <w:t>Antidegradation: Tier 2 protection</w:t>
            </w:r>
            <w:r w:rsidRPr="00417120">
              <w:rPr>
                <w:vertAlign w:val="superscript"/>
              </w:rPr>
              <w:t>2</w:t>
            </w:r>
          </w:p>
        </w:tc>
        <w:tc>
          <w:tcPr>
            <w:tcW w:w="1127" w:type="pct"/>
            <w:shd w:val="clear" w:color="auto" w:fill="auto"/>
            <w:noWrap/>
            <w:vAlign w:val="center"/>
            <w:hideMark/>
          </w:tcPr>
          <w:p w14:paraId="7AD695C9" w14:textId="77777777" w:rsidR="00B52228" w:rsidRPr="00417120" w:rsidRDefault="00B52228" w:rsidP="003B3A98">
            <w:pPr>
              <w:pStyle w:val="ExhibitCenter"/>
            </w:pPr>
            <w:r w:rsidRPr="00417120">
              <w:t>2,150 - 4,300</w:t>
            </w:r>
          </w:p>
        </w:tc>
        <w:tc>
          <w:tcPr>
            <w:tcW w:w="903" w:type="pct"/>
            <w:shd w:val="clear" w:color="auto" w:fill="auto"/>
            <w:noWrap/>
            <w:vAlign w:val="center"/>
            <w:hideMark/>
          </w:tcPr>
          <w:p w14:paraId="153D2866" w14:textId="77777777" w:rsidR="00B52228" w:rsidRPr="00417120" w:rsidRDefault="00B52228" w:rsidP="003B3A98">
            <w:pPr>
              <w:pStyle w:val="ExhibitCenter"/>
            </w:pPr>
            <w:r w:rsidRPr="00417120">
              <w:t>15</w:t>
            </w:r>
          </w:p>
        </w:tc>
      </w:tr>
      <w:tr w:rsidR="00B52228" w:rsidRPr="00417120" w14:paraId="399200E5" w14:textId="77777777" w:rsidTr="00381864">
        <w:trPr>
          <w:trHeight w:val="259"/>
        </w:trPr>
        <w:tc>
          <w:tcPr>
            <w:tcW w:w="2970" w:type="pct"/>
            <w:shd w:val="clear" w:color="auto" w:fill="auto"/>
            <w:noWrap/>
            <w:vAlign w:val="center"/>
            <w:hideMark/>
          </w:tcPr>
          <w:p w14:paraId="47686544" w14:textId="77777777" w:rsidR="00B52228" w:rsidRPr="00417120" w:rsidRDefault="00B52228" w:rsidP="003B3A98">
            <w:pPr>
              <w:pStyle w:val="ExhibitLeft"/>
            </w:pPr>
            <w:r w:rsidRPr="00417120">
              <w:t>Antidegradation: alternatives analyses</w:t>
            </w:r>
          </w:p>
        </w:tc>
        <w:tc>
          <w:tcPr>
            <w:tcW w:w="1127" w:type="pct"/>
            <w:shd w:val="clear" w:color="auto" w:fill="auto"/>
            <w:noWrap/>
            <w:vAlign w:val="center"/>
            <w:hideMark/>
          </w:tcPr>
          <w:p w14:paraId="0B01CE21" w14:textId="6188E8C8" w:rsidR="00B52228" w:rsidRPr="00417120" w:rsidRDefault="00B52228" w:rsidP="00780F58">
            <w:pPr>
              <w:pStyle w:val="ExhibitCenter"/>
            </w:pPr>
            <w:r w:rsidRPr="00417120">
              <w:t>13,</w:t>
            </w:r>
            <w:r w:rsidR="00780F58">
              <w:t>830</w:t>
            </w:r>
            <w:r w:rsidR="00780F58" w:rsidRPr="00417120">
              <w:t xml:space="preserve"> </w:t>
            </w:r>
            <w:r w:rsidRPr="00417120">
              <w:t>- 41,</w:t>
            </w:r>
            <w:r w:rsidR="00780F58">
              <w:t>490</w:t>
            </w:r>
          </w:p>
        </w:tc>
        <w:tc>
          <w:tcPr>
            <w:tcW w:w="903" w:type="pct"/>
            <w:shd w:val="clear" w:color="auto" w:fill="auto"/>
            <w:noWrap/>
            <w:vAlign w:val="center"/>
            <w:hideMark/>
          </w:tcPr>
          <w:p w14:paraId="5F4D7518" w14:textId="77777777" w:rsidR="00B52228" w:rsidRPr="00417120" w:rsidRDefault="00B52228" w:rsidP="003B3A98">
            <w:pPr>
              <w:pStyle w:val="ExhibitCenter"/>
            </w:pPr>
            <w:r w:rsidRPr="00417120">
              <w:t>461</w:t>
            </w:r>
          </w:p>
        </w:tc>
      </w:tr>
      <w:tr w:rsidR="00B52228" w:rsidRPr="00417120" w14:paraId="16B06F47" w14:textId="77777777" w:rsidTr="00381864">
        <w:trPr>
          <w:trHeight w:val="259"/>
        </w:trPr>
        <w:tc>
          <w:tcPr>
            <w:tcW w:w="2970" w:type="pct"/>
            <w:shd w:val="clear" w:color="auto" w:fill="auto"/>
            <w:noWrap/>
            <w:vAlign w:val="center"/>
            <w:hideMark/>
          </w:tcPr>
          <w:p w14:paraId="31392F9A" w14:textId="77777777" w:rsidR="00B52228" w:rsidRPr="00417120" w:rsidRDefault="00B52228" w:rsidP="003B3A98">
            <w:pPr>
              <w:pStyle w:val="ExhibitLeft"/>
            </w:pPr>
            <w:r w:rsidRPr="00417120">
              <w:t>Antidegradation: additional requests</w:t>
            </w:r>
          </w:p>
        </w:tc>
        <w:tc>
          <w:tcPr>
            <w:tcW w:w="1127" w:type="pct"/>
            <w:shd w:val="clear" w:color="auto" w:fill="auto"/>
            <w:noWrap/>
            <w:vAlign w:val="center"/>
            <w:hideMark/>
          </w:tcPr>
          <w:p w14:paraId="79E3FBB0" w14:textId="1494CC54" w:rsidR="00B52228" w:rsidRPr="00417120" w:rsidRDefault="00B52228" w:rsidP="00780F58">
            <w:pPr>
              <w:pStyle w:val="ExhibitCenter"/>
            </w:pPr>
            <w:r w:rsidRPr="00417120">
              <w:t>33,</w:t>
            </w:r>
            <w:r w:rsidR="00780F58">
              <w:t>540</w:t>
            </w:r>
            <w:r w:rsidR="00780F58" w:rsidRPr="00417120">
              <w:t xml:space="preserve"> </w:t>
            </w:r>
            <w:r w:rsidRPr="00417120">
              <w:t>- 100,</w:t>
            </w:r>
            <w:r w:rsidR="00780F58">
              <w:t>620</w:t>
            </w:r>
          </w:p>
        </w:tc>
        <w:tc>
          <w:tcPr>
            <w:tcW w:w="903" w:type="pct"/>
            <w:shd w:val="clear" w:color="auto" w:fill="auto"/>
            <w:noWrap/>
            <w:vAlign w:val="center"/>
            <w:hideMark/>
          </w:tcPr>
          <w:p w14:paraId="3A3B797C" w14:textId="77777777" w:rsidR="00B52228" w:rsidRPr="00417120" w:rsidRDefault="00B52228" w:rsidP="003B3A98">
            <w:pPr>
              <w:pStyle w:val="ExhibitCenter"/>
            </w:pPr>
            <w:r w:rsidRPr="00417120">
              <w:t>258</w:t>
            </w:r>
          </w:p>
        </w:tc>
      </w:tr>
      <w:tr w:rsidR="00B52228" w:rsidRPr="00B7618A" w14:paraId="43E6101C" w14:textId="77777777" w:rsidTr="00381864">
        <w:trPr>
          <w:trHeight w:val="259"/>
        </w:trPr>
        <w:tc>
          <w:tcPr>
            <w:tcW w:w="2970" w:type="pct"/>
            <w:shd w:val="clear" w:color="auto" w:fill="auto"/>
            <w:noWrap/>
            <w:vAlign w:val="center"/>
            <w:hideMark/>
          </w:tcPr>
          <w:p w14:paraId="09A9B97C" w14:textId="054B6666" w:rsidR="00B52228" w:rsidRPr="00417120" w:rsidRDefault="00417120" w:rsidP="003B3A98">
            <w:pPr>
              <w:pStyle w:val="ExhibitLeft"/>
            </w:pPr>
            <w:r>
              <w:t xml:space="preserve">WQS </w:t>
            </w:r>
            <w:r w:rsidR="00B52228" w:rsidRPr="00417120">
              <w:t>Variances: submission requirements</w:t>
            </w:r>
          </w:p>
        </w:tc>
        <w:tc>
          <w:tcPr>
            <w:tcW w:w="1127" w:type="pct"/>
            <w:shd w:val="clear" w:color="auto" w:fill="auto"/>
            <w:noWrap/>
            <w:vAlign w:val="center"/>
            <w:hideMark/>
          </w:tcPr>
          <w:p w14:paraId="4F3D707C" w14:textId="77777777" w:rsidR="00B52228" w:rsidRPr="00417120" w:rsidRDefault="00B52228" w:rsidP="003B3A98">
            <w:pPr>
              <w:pStyle w:val="ExhibitCenter"/>
            </w:pPr>
            <w:r w:rsidRPr="00417120">
              <w:t>29,760 - 72,000</w:t>
            </w:r>
          </w:p>
        </w:tc>
        <w:tc>
          <w:tcPr>
            <w:tcW w:w="903" w:type="pct"/>
            <w:shd w:val="clear" w:color="auto" w:fill="auto"/>
            <w:noWrap/>
            <w:vAlign w:val="center"/>
            <w:hideMark/>
          </w:tcPr>
          <w:p w14:paraId="031125DC" w14:textId="77777777" w:rsidR="00B52228" w:rsidRPr="00417120" w:rsidRDefault="00B52228" w:rsidP="003B3A98">
            <w:pPr>
              <w:pStyle w:val="ExhibitCenter"/>
            </w:pPr>
            <w:r w:rsidRPr="00417120">
              <w:t>960</w:t>
            </w:r>
          </w:p>
        </w:tc>
      </w:tr>
      <w:tr w:rsidR="00B52228" w:rsidRPr="00B7618A" w14:paraId="73C58BE3" w14:textId="77777777" w:rsidTr="00381864">
        <w:trPr>
          <w:trHeight w:val="259"/>
        </w:trPr>
        <w:tc>
          <w:tcPr>
            <w:tcW w:w="2970" w:type="pct"/>
            <w:shd w:val="clear" w:color="auto" w:fill="auto"/>
            <w:noWrap/>
            <w:vAlign w:val="center"/>
            <w:hideMark/>
          </w:tcPr>
          <w:p w14:paraId="6C04DBF0" w14:textId="07C86150" w:rsidR="00B52228" w:rsidRPr="00417120" w:rsidRDefault="00417120" w:rsidP="00625E0C">
            <w:pPr>
              <w:pStyle w:val="ExhibitLeft"/>
            </w:pPr>
            <w:r>
              <w:t xml:space="preserve">WQS </w:t>
            </w:r>
            <w:r w:rsidR="00B52228" w:rsidRPr="00417120">
              <w:t xml:space="preserve">Variances: </w:t>
            </w:r>
            <w:r w:rsidR="00625E0C">
              <w:t>reevaluations</w:t>
            </w:r>
          </w:p>
        </w:tc>
        <w:tc>
          <w:tcPr>
            <w:tcW w:w="1127" w:type="pct"/>
            <w:shd w:val="clear" w:color="auto" w:fill="auto"/>
            <w:noWrap/>
            <w:vAlign w:val="center"/>
            <w:hideMark/>
          </w:tcPr>
          <w:p w14:paraId="117667E6" w14:textId="77777777" w:rsidR="00B52228" w:rsidRPr="00417120" w:rsidRDefault="00B52228" w:rsidP="003B3A98">
            <w:pPr>
              <w:pStyle w:val="ExhibitCenter"/>
            </w:pPr>
            <w:r w:rsidRPr="00417120">
              <w:t>22,080 - 161,280</w:t>
            </w:r>
          </w:p>
        </w:tc>
        <w:tc>
          <w:tcPr>
            <w:tcW w:w="903" w:type="pct"/>
            <w:shd w:val="clear" w:color="auto" w:fill="auto"/>
            <w:noWrap/>
            <w:vAlign w:val="center"/>
            <w:hideMark/>
          </w:tcPr>
          <w:p w14:paraId="067C90A4" w14:textId="77777777" w:rsidR="00B52228" w:rsidRPr="00417120" w:rsidRDefault="00B52228" w:rsidP="003B3A98">
            <w:pPr>
              <w:pStyle w:val="ExhibitCenter"/>
            </w:pPr>
            <w:r w:rsidRPr="00417120">
              <w:t>960 - 2,880</w:t>
            </w:r>
          </w:p>
        </w:tc>
      </w:tr>
      <w:tr w:rsidR="00B52228" w:rsidRPr="00417120" w14:paraId="6FD732E8" w14:textId="77777777" w:rsidTr="00381864">
        <w:trPr>
          <w:trHeight w:val="259"/>
        </w:trPr>
        <w:tc>
          <w:tcPr>
            <w:tcW w:w="2970" w:type="pct"/>
            <w:shd w:val="clear" w:color="auto" w:fill="auto"/>
            <w:noWrap/>
            <w:vAlign w:val="center"/>
            <w:hideMark/>
          </w:tcPr>
          <w:p w14:paraId="7C947906" w14:textId="77777777" w:rsidR="00B52228" w:rsidRPr="00417120" w:rsidRDefault="00B52228" w:rsidP="003B3A98">
            <w:pPr>
              <w:pStyle w:val="ExhibitLeft"/>
              <w:rPr>
                <w:b/>
              </w:rPr>
            </w:pPr>
            <w:r w:rsidRPr="00417120">
              <w:rPr>
                <w:b/>
              </w:rPr>
              <w:t>Total</w:t>
            </w:r>
          </w:p>
        </w:tc>
        <w:tc>
          <w:tcPr>
            <w:tcW w:w="1127" w:type="pct"/>
            <w:shd w:val="clear" w:color="auto" w:fill="auto"/>
            <w:noWrap/>
            <w:vAlign w:val="center"/>
            <w:hideMark/>
          </w:tcPr>
          <w:p w14:paraId="66F3DB3B" w14:textId="6E0FB744" w:rsidR="00B52228" w:rsidRPr="00417120" w:rsidRDefault="00B52228" w:rsidP="00780F58">
            <w:pPr>
              <w:pStyle w:val="ExhibitCenter"/>
              <w:rPr>
                <w:b/>
              </w:rPr>
            </w:pPr>
            <w:r w:rsidRPr="00417120">
              <w:rPr>
                <w:b/>
              </w:rPr>
              <w:t>124,</w:t>
            </w:r>
            <w:r w:rsidR="00780F58">
              <w:rPr>
                <w:b/>
              </w:rPr>
              <w:t>575</w:t>
            </w:r>
            <w:r w:rsidR="00780F58" w:rsidRPr="00417120">
              <w:rPr>
                <w:b/>
              </w:rPr>
              <w:t xml:space="preserve"> </w:t>
            </w:r>
            <w:r w:rsidRPr="00417120">
              <w:rPr>
                <w:b/>
              </w:rPr>
              <w:t xml:space="preserve">- </w:t>
            </w:r>
            <w:r w:rsidR="00780F58">
              <w:rPr>
                <w:b/>
              </w:rPr>
              <w:t>439,080</w:t>
            </w:r>
          </w:p>
        </w:tc>
        <w:tc>
          <w:tcPr>
            <w:tcW w:w="903" w:type="pct"/>
            <w:shd w:val="clear" w:color="auto" w:fill="auto"/>
            <w:noWrap/>
            <w:vAlign w:val="center"/>
            <w:hideMark/>
          </w:tcPr>
          <w:p w14:paraId="342E509C" w14:textId="77777777" w:rsidR="00B52228" w:rsidRPr="00417120" w:rsidRDefault="00B52228" w:rsidP="003B3A98">
            <w:pPr>
              <w:pStyle w:val="ExhibitCenter"/>
              <w:rPr>
                <w:b/>
              </w:rPr>
            </w:pPr>
            <w:r w:rsidRPr="00417120">
              <w:rPr>
                <w:b/>
              </w:rPr>
              <w:t>3,176 - 5,096</w:t>
            </w:r>
          </w:p>
        </w:tc>
      </w:tr>
      <w:tr w:rsidR="00B52228" w:rsidRPr="00417120" w14:paraId="36AD3829" w14:textId="77777777" w:rsidTr="00381864">
        <w:trPr>
          <w:trHeight w:val="259"/>
        </w:trPr>
        <w:tc>
          <w:tcPr>
            <w:tcW w:w="5000" w:type="pct"/>
            <w:gridSpan w:val="3"/>
            <w:shd w:val="clear" w:color="auto" w:fill="auto"/>
            <w:noWrap/>
            <w:vAlign w:val="bottom"/>
          </w:tcPr>
          <w:p w14:paraId="2DC8DE00" w14:textId="77777777" w:rsidR="00B52228" w:rsidRPr="00417120" w:rsidRDefault="00B52228" w:rsidP="003B3A98">
            <w:pPr>
              <w:pStyle w:val="Exhibitnotes"/>
            </w:pPr>
            <w:r w:rsidRPr="00417120">
              <w:t>1. Annual for three years.</w:t>
            </w:r>
          </w:p>
          <w:p w14:paraId="0DF97940" w14:textId="3233447E" w:rsidR="00B52228" w:rsidRPr="00417120" w:rsidRDefault="00B52228" w:rsidP="00E548AE">
            <w:pPr>
              <w:pStyle w:val="Exhibitnotes"/>
            </w:pPr>
            <w:r w:rsidRPr="00417120">
              <w:t>2. Number of responses for one-time activities divided by three years</w:t>
            </w:r>
            <w:r w:rsidR="00E548AE">
              <w:t xml:space="preserve"> (for Rulemaking, see </w:t>
            </w:r>
            <w:r w:rsidR="003F36DA">
              <w:t>S</w:t>
            </w:r>
            <w:r w:rsidR="00C449A7">
              <w:t>ection</w:t>
            </w:r>
            <w:r w:rsidR="00E548AE">
              <w:t xml:space="preserve"> </w:t>
            </w:r>
            <w:r w:rsidR="00E548AE">
              <w:fldChar w:fldCharType="begin"/>
            </w:r>
            <w:r w:rsidR="00E548AE">
              <w:instrText xml:space="preserve"> REF _Ref403037005 \r \h </w:instrText>
            </w:r>
            <w:r w:rsidR="00E548AE">
              <w:fldChar w:fldCharType="separate"/>
            </w:r>
            <w:r w:rsidR="00E548AE">
              <w:t>6.1.1</w:t>
            </w:r>
            <w:r w:rsidR="00E548AE">
              <w:fldChar w:fldCharType="end"/>
            </w:r>
            <w:r w:rsidR="00E548AE">
              <w:t xml:space="preserve">; for Antidegradation, see </w:t>
            </w:r>
            <w:r w:rsidR="003F36DA">
              <w:t>S</w:t>
            </w:r>
            <w:r w:rsidR="00C449A7">
              <w:t>ection</w:t>
            </w:r>
            <w:r w:rsidR="00E548AE">
              <w:t xml:space="preserve"> </w:t>
            </w:r>
            <w:r w:rsidR="00E548AE">
              <w:fldChar w:fldCharType="begin"/>
            </w:r>
            <w:r w:rsidR="00E548AE">
              <w:instrText xml:space="preserve"> REF _Ref403036957 \r \h </w:instrText>
            </w:r>
            <w:r w:rsidR="00E548AE">
              <w:fldChar w:fldCharType="separate"/>
            </w:r>
            <w:r w:rsidR="00E548AE">
              <w:t>6.1.4</w:t>
            </w:r>
            <w:r w:rsidR="00E548AE">
              <w:fldChar w:fldCharType="end"/>
            </w:r>
            <w:r w:rsidR="00E548AE">
              <w:t>).</w:t>
            </w:r>
          </w:p>
        </w:tc>
      </w:tr>
    </w:tbl>
    <w:p w14:paraId="2E50414E" w14:textId="77777777" w:rsidR="001C7A1D" w:rsidRPr="003B3A98" w:rsidRDefault="001C7A1D" w:rsidP="003B3A98">
      <w:pPr>
        <w:pStyle w:val="BodyText"/>
      </w:pPr>
    </w:p>
    <w:p w14:paraId="57E620F4" w14:textId="3FA61DA1" w:rsidR="00BB53F6" w:rsidRPr="003B3A98" w:rsidRDefault="00F622A2" w:rsidP="003B3A98">
      <w:pPr>
        <w:pStyle w:val="BodyText"/>
      </w:pPr>
      <w:r w:rsidRPr="003B3A98">
        <w:fldChar w:fldCharType="begin"/>
      </w:r>
      <w:r w:rsidRPr="003B3A98">
        <w:instrText xml:space="preserve"> REF _Ref402182052 \h </w:instrText>
      </w:r>
      <w:r w:rsidR="00B7618A" w:rsidRPr="003B3A98">
        <w:instrText xml:space="preserve"> \* MERGEFORMAT </w:instrText>
      </w:r>
      <w:r w:rsidRPr="003B3A98">
        <w:fldChar w:fldCharType="separate"/>
      </w:r>
      <w:r w:rsidRPr="003B3A98">
        <w:t xml:space="preserve">Table </w:t>
      </w:r>
      <w:r w:rsidRPr="00AA16F3">
        <w:t>6</w:t>
      </w:r>
      <w:r w:rsidRPr="00AA16F3">
        <w:noBreakHyphen/>
        <w:t>4</w:t>
      </w:r>
      <w:r w:rsidRPr="003B3A98">
        <w:fldChar w:fldCharType="end"/>
      </w:r>
      <w:r w:rsidRPr="003B3A98">
        <w:t xml:space="preserve"> </w:t>
      </w:r>
      <w:r w:rsidR="001C7A1D" w:rsidRPr="003B3A98">
        <w:t>provides a summary of the uncertainties associated with the estimates.</w:t>
      </w: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55"/>
        <w:gridCol w:w="2040"/>
        <w:gridCol w:w="3765"/>
      </w:tblGrid>
      <w:tr w:rsidR="006837A6" w14:paraId="20C42184" w14:textId="77777777" w:rsidTr="00DF204A">
        <w:trPr>
          <w:cantSplit/>
          <w:trHeight w:val="70"/>
          <w:tblHead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A9A8F8" w14:textId="709A114C" w:rsidR="006837A6" w:rsidRDefault="006837A6" w:rsidP="00DF204A">
            <w:pPr>
              <w:pStyle w:val="Caption"/>
              <w:rPr>
                <w:szCs w:val="24"/>
              </w:rPr>
            </w:pPr>
            <w:bookmarkStart w:id="54" w:name="_Toc279663513"/>
            <w:bookmarkStart w:id="55" w:name="_Toc295293549"/>
            <w:bookmarkStart w:id="56" w:name="_Toc404352331"/>
            <w:r>
              <w:lastRenderedPageBreak/>
              <w:t>Table 6-4</w:t>
            </w:r>
            <w:r>
              <w:rPr>
                <w:szCs w:val="24"/>
              </w:rPr>
              <w:t>: Uncertainties in the Analysis</w:t>
            </w:r>
            <w:bookmarkEnd w:id="54"/>
            <w:bookmarkEnd w:id="55"/>
            <w:bookmarkEnd w:id="56"/>
          </w:p>
        </w:tc>
      </w:tr>
      <w:tr w:rsidR="006837A6" w14:paraId="16CDD05F" w14:textId="77777777" w:rsidTr="00DF204A">
        <w:trPr>
          <w:cantSplit/>
          <w:trHeight w:val="520"/>
          <w:tblHeader/>
        </w:trPr>
        <w:tc>
          <w:tcPr>
            <w:tcW w:w="355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467C54" w14:textId="77777777" w:rsidR="006837A6" w:rsidRDefault="006837A6" w:rsidP="00DF204A">
            <w:pPr>
              <w:pStyle w:val="ExhibitHeading"/>
            </w:pPr>
            <w:r>
              <w:t>Key Assumption/Uncertainty</w:t>
            </w:r>
          </w:p>
        </w:tc>
        <w:tc>
          <w:tcPr>
            <w:tcW w:w="204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1C5EE8" w14:textId="77777777" w:rsidR="006837A6" w:rsidRDefault="006837A6" w:rsidP="00DF204A">
            <w:pPr>
              <w:pStyle w:val="ExhibitHeading"/>
            </w:pPr>
            <w:r>
              <w:t>Potential Impact on Estimated Burden and Cost</w:t>
            </w:r>
          </w:p>
        </w:tc>
        <w:tc>
          <w:tcPr>
            <w:tcW w:w="376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71D38E" w14:textId="77777777" w:rsidR="006837A6" w:rsidRDefault="006837A6" w:rsidP="00DF204A">
            <w:pPr>
              <w:pStyle w:val="ExhibitHeading"/>
            </w:pPr>
            <w:r>
              <w:t>Comment</w:t>
            </w:r>
          </w:p>
        </w:tc>
      </w:tr>
      <w:tr w:rsidR="006837A6" w14:paraId="44B4D7BF" w14:textId="77777777" w:rsidTr="00DF204A">
        <w:trPr>
          <w:cantSplit/>
          <w:trHeight w:val="720"/>
        </w:trPr>
        <w:tc>
          <w:tcPr>
            <w:tcW w:w="3555" w:type="dxa"/>
            <w:tcBorders>
              <w:top w:val="single" w:sz="4" w:space="0" w:color="auto"/>
              <w:left w:val="single" w:sz="4" w:space="0" w:color="auto"/>
              <w:bottom w:val="single" w:sz="4" w:space="0" w:color="auto"/>
              <w:right w:val="single" w:sz="4" w:space="0" w:color="auto"/>
            </w:tcBorders>
            <w:vAlign w:val="center"/>
            <w:hideMark/>
          </w:tcPr>
          <w:p w14:paraId="70BF818F" w14:textId="77777777" w:rsidR="006837A6" w:rsidRDefault="006837A6" w:rsidP="00DF204A">
            <w:pPr>
              <w:pStyle w:val="ExhibitLeft"/>
            </w:pPr>
            <w:r>
              <w:t>Labor hours required to implement various provisions based on best professional judgment.</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DDA3BDD"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3837834C" w14:textId="73D761F9" w:rsidR="006837A6" w:rsidRDefault="006837A6" w:rsidP="00DF204A">
            <w:pPr>
              <w:pStyle w:val="ExhibitLeft"/>
            </w:pPr>
            <w:r>
              <w:t>Labor hours needed depend on a number of factors including state and authorized tribe sizes, level of economic activity involving dischargers to water, as well as existing regulatory framework and may be higher or lower than EPA’s estimates. The estimates do not account for potential reductions in burden resulting from the increased clarity provided by t</w:t>
            </w:r>
            <w:r w:rsidR="00A01E49">
              <w:t>he</w:t>
            </w:r>
            <w:r>
              <w:t xml:space="preserve"> rule.</w:t>
            </w:r>
          </w:p>
        </w:tc>
      </w:tr>
      <w:tr w:rsidR="006837A6" w14:paraId="2CF509D2" w14:textId="77777777" w:rsidTr="00DF204A">
        <w:trPr>
          <w:cantSplit/>
          <w:trHeight w:val="720"/>
        </w:trPr>
        <w:tc>
          <w:tcPr>
            <w:tcW w:w="3555" w:type="dxa"/>
            <w:tcBorders>
              <w:top w:val="single" w:sz="4" w:space="0" w:color="auto"/>
              <w:left w:val="single" w:sz="4" w:space="0" w:color="auto"/>
              <w:bottom w:val="single" w:sz="4" w:space="0" w:color="auto"/>
              <w:right w:val="single" w:sz="4" w:space="0" w:color="auto"/>
            </w:tcBorders>
            <w:vAlign w:val="center"/>
            <w:hideMark/>
          </w:tcPr>
          <w:p w14:paraId="68C58BC2" w14:textId="77777777" w:rsidR="006837A6" w:rsidRDefault="006837A6" w:rsidP="00DF204A">
            <w:pPr>
              <w:pStyle w:val="ExhibitLeft"/>
            </w:pPr>
            <w:r>
              <w:t>Number of states and authorized tribes affected by each provision is uncertain.</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D8F755A" w14:textId="556C8ED2" w:rsidR="00071994" w:rsidRDefault="006837A6" w:rsidP="00DF204A">
            <w:pPr>
              <w:pStyle w:val="ExhibitCenter"/>
            </w:pPr>
            <w:r>
              <w:t>?</w:t>
            </w:r>
          </w:p>
          <w:p w14:paraId="40AFE2E2" w14:textId="77777777" w:rsidR="006837A6" w:rsidRPr="00071994" w:rsidRDefault="006837A6" w:rsidP="00071994"/>
        </w:tc>
        <w:tc>
          <w:tcPr>
            <w:tcW w:w="3765" w:type="dxa"/>
            <w:tcBorders>
              <w:top w:val="single" w:sz="4" w:space="0" w:color="auto"/>
              <w:left w:val="single" w:sz="4" w:space="0" w:color="auto"/>
              <w:bottom w:val="single" w:sz="4" w:space="0" w:color="auto"/>
              <w:right w:val="single" w:sz="4" w:space="0" w:color="auto"/>
            </w:tcBorders>
            <w:vAlign w:val="center"/>
            <w:hideMark/>
          </w:tcPr>
          <w:p w14:paraId="039602C6" w14:textId="28D6833F" w:rsidR="006837A6" w:rsidRDefault="006837A6" w:rsidP="00DF204A">
            <w:pPr>
              <w:pStyle w:val="ExhibitLeft"/>
            </w:pPr>
            <w:r>
              <w:t>Actual number of states and authorized tribes that will incur cost could be higher or lower than EPA estimates.</w:t>
            </w:r>
          </w:p>
        </w:tc>
      </w:tr>
      <w:tr w:rsidR="006837A6" w14:paraId="2FF7E7DB" w14:textId="77777777" w:rsidTr="00DF204A">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hideMark/>
          </w:tcPr>
          <w:p w14:paraId="4F86975A" w14:textId="4875D00B" w:rsidR="006837A6" w:rsidRDefault="006837A6" w:rsidP="00DF204A">
            <w:pPr>
              <w:pStyle w:val="ExhibitLeft"/>
            </w:pPr>
            <w:r>
              <w:t>Labor cost</w:t>
            </w:r>
            <w:r w:rsidR="003E1B7D">
              <w:t xml:space="preserve"> is</w:t>
            </w:r>
            <w:r>
              <w:t xml:space="preserve"> based </w:t>
            </w:r>
            <w:r w:rsidR="003E1B7D">
              <w:t>on</w:t>
            </w:r>
            <w:r>
              <w:t xml:space="preserve"> state government wage rates.</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9693E45"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52E0DB5E" w14:textId="0C10C712" w:rsidR="006837A6" w:rsidRPr="00071994" w:rsidRDefault="006837A6" w:rsidP="00071994">
            <w:pPr>
              <w:pStyle w:val="ExhibitLeft"/>
            </w:pPr>
            <w:r>
              <w:t>The mix of labor categories (e.g., environmental scientist, engineer, etc.) may be different for individual states from the mix that EPA used to calculate a wage rate. Also, labor cost for authorized tribes and territories may differ from states.</w:t>
            </w:r>
          </w:p>
        </w:tc>
      </w:tr>
      <w:tr w:rsidR="006837A6" w14:paraId="234CC8E2" w14:textId="77777777" w:rsidTr="00DF204A">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tcPr>
          <w:p w14:paraId="54867DBF" w14:textId="24E57BB8" w:rsidR="006837A6" w:rsidRDefault="006837A6" w:rsidP="003A29A8">
            <w:pPr>
              <w:pStyle w:val="ExhibitLeft"/>
            </w:pPr>
            <w:r>
              <w:t xml:space="preserve">States and authorized tribes are not currently documenting their reasons for not adopting new or revised criteria </w:t>
            </w:r>
            <w:r w:rsidR="002118D5">
              <w:t xml:space="preserve">during the triennial review process </w:t>
            </w:r>
            <w:r>
              <w:t xml:space="preserve">for parameters for which EPA published </w:t>
            </w:r>
            <w:r w:rsidR="002118D5">
              <w:t xml:space="preserve">new or updated </w:t>
            </w:r>
            <w:r>
              <w:t>CWA section 304(a</w:t>
            </w:r>
            <w:r w:rsidR="002118D5">
              <w:t>) criteria recommendations</w:t>
            </w:r>
            <w:r>
              <w:t>.</w:t>
            </w:r>
          </w:p>
        </w:tc>
        <w:tc>
          <w:tcPr>
            <w:tcW w:w="2040" w:type="dxa"/>
            <w:tcBorders>
              <w:top w:val="single" w:sz="4" w:space="0" w:color="auto"/>
              <w:left w:val="single" w:sz="4" w:space="0" w:color="auto"/>
              <w:bottom w:val="single" w:sz="4" w:space="0" w:color="auto"/>
              <w:right w:val="single" w:sz="4" w:space="0" w:color="auto"/>
            </w:tcBorders>
            <w:vAlign w:val="center"/>
          </w:tcPr>
          <w:p w14:paraId="4692E346"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tcPr>
          <w:p w14:paraId="00F249EC" w14:textId="1E5CE278" w:rsidR="006837A6" w:rsidRPr="00071994" w:rsidRDefault="006837A6" w:rsidP="00071994">
            <w:pPr>
              <w:pStyle w:val="ExhibitLeft"/>
            </w:pPr>
            <w:r>
              <w:t xml:space="preserve">The cost may be overestimated because the WQS regulation already requires states and authorized tribes to submit the results of their triennial review to EPA. </w:t>
            </w:r>
            <w:r w:rsidR="00A434C6">
              <w:t>If this submission includes explanation as to why new or revised criteria are not adopted for parameters for which EPA published new or updated CWA section 304(a) criteria recommendations, the cost could be lower.</w:t>
            </w:r>
          </w:p>
        </w:tc>
      </w:tr>
      <w:tr w:rsidR="006837A6" w14:paraId="633EC212" w14:textId="77777777" w:rsidTr="00DF204A">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tcPr>
          <w:p w14:paraId="53C35992" w14:textId="77777777" w:rsidR="006837A6" w:rsidRDefault="006837A6" w:rsidP="00DF204A">
            <w:pPr>
              <w:pStyle w:val="ExhibitLeft"/>
            </w:pPr>
            <w:r>
              <w:t>States and authorized tribes do not currently involve the public in antidegradation determinations or in the development of their implementation methods.</w:t>
            </w:r>
          </w:p>
        </w:tc>
        <w:tc>
          <w:tcPr>
            <w:tcW w:w="2040" w:type="dxa"/>
            <w:tcBorders>
              <w:top w:val="single" w:sz="4" w:space="0" w:color="auto"/>
              <w:left w:val="single" w:sz="4" w:space="0" w:color="auto"/>
              <w:bottom w:val="single" w:sz="4" w:space="0" w:color="auto"/>
              <w:right w:val="single" w:sz="4" w:space="0" w:color="auto"/>
            </w:tcBorders>
            <w:vAlign w:val="center"/>
          </w:tcPr>
          <w:p w14:paraId="08501D38"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tcPr>
          <w:p w14:paraId="047DA565" w14:textId="6C68D847" w:rsidR="006837A6" w:rsidRDefault="006837A6" w:rsidP="003A29A8">
            <w:pPr>
              <w:pStyle w:val="ExhibitLeft"/>
            </w:pPr>
            <w:r>
              <w:t xml:space="preserve">The cost </w:t>
            </w:r>
            <w:r w:rsidR="00DF4B87">
              <w:t xml:space="preserve">is </w:t>
            </w:r>
            <w:r>
              <w:t>overestimated for states and authorized tribes that already solicit public involvement in accordance with the WQS regulation revisions.</w:t>
            </w:r>
          </w:p>
        </w:tc>
      </w:tr>
      <w:tr w:rsidR="00DF4B87" w14:paraId="28E0E096" w14:textId="77777777" w:rsidTr="00DF204A">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hideMark/>
          </w:tcPr>
          <w:p w14:paraId="79A81715" w14:textId="0D3E0EF6" w:rsidR="00DF4B87" w:rsidRDefault="00DF4B87" w:rsidP="00DF4B87">
            <w:pPr>
              <w:pStyle w:val="ExhibitLeft"/>
            </w:pPr>
            <w:r>
              <w:lastRenderedPageBreak/>
              <w:t>States or authorized tribes do not reevaluate WQS variances at regular intervals.</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08A8C12" w14:textId="77777777" w:rsidR="00DF4B87" w:rsidRDefault="00DF4B87" w:rsidP="00DF4B87">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1E2C69BB" w14:textId="00ABB1FD" w:rsidR="00DF4B87" w:rsidRDefault="00DF4B87" w:rsidP="00DF4B87">
            <w:pPr>
              <w:pStyle w:val="ExhibitLeft"/>
            </w:pPr>
            <w:r>
              <w:t>The cost is overestimated for states and authorized tribes that reevaluate WQS variance at least every 3 - 5 years.</w:t>
            </w:r>
          </w:p>
        </w:tc>
      </w:tr>
      <w:tr w:rsidR="00DF4B87" w14:paraId="133E8733" w14:textId="77777777" w:rsidTr="00DF204A">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14:paraId="56149011" w14:textId="77777777" w:rsidR="00DF4B87" w:rsidRDefault="00DF4B87" w:rsidP="00DF4B87">
            <w:pPr>
              <w:pStyle w:val="ExhibitLeft"/>
            </w:pPr>
            <w:r>
              <w:t>All states and authorized tribes undertake a rulemaking effort in response to today’s rule.</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DE7B124" w14:textId="77777777" w:rsidR="00DF4B87" w:rsidRDefault="00DF4B87" w:rsidP="00DF4B87">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6C83B187" w14:textId="55D7E630" w:rsidR="00DF4B87" w:rsidRDefault="00DF4B87" w:rsidP="00DF4B87">
            <w:pPr>
              <w:pStyle w:val="ExhibitLeft"/>
            </w:pPr>
            <w:r>
              <w:t>States and authorized tribes that already have policies and methods consistent with EPA’s rule do not incur an incremental cost.</w:t>
            </w:r>
          </w:p>
        </w:tc>
      </w:tr>
      <w:tr w:rsidR="006837A6" w14:paraId="35136C3F" w14:textId="77777777" w:rsidTr="00DF204A">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14:paraId="60D56C71" w14:textId="56A6B0E1" w:rsidR="006837A6" w:rsidRDefault="006837A6" w:rsidP="003A29A8">
            <w:pPr>
              <w:pStyle w:val="ExhibitLeft"/>
            </w:pPr>
            <w:r>
              <w:t xml:space="preserve">The number of Tier 2 antidegradation </w:t>
            </w:r>
            <w:r w:rsidR="00C72708">
              <w:t xml:space="preserve">requests </w:t>
            </w:r>
            <w:r>
              <w:t>per year is based on information from two states (Iowa and Missouri).</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6AE1EBD"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10DE23E3" w14:textId="53DC8D31" w:rsidR="006837A6" w:rsidRDefault="006837A6" w:rsidP="00DF204A">
            <w:pPr>
              <w:pStyle w:val="ExhibitLeft"/>
            </w:pPr>
            <w:r>
              <w:t>The actual number of Tier 2 antidegradation re</w:t>
            </w:r>
            <w:r w:rsidR="00C72708">
              <w:t>quest</w:t>
            </w:r>
            <w:r>
              <w:t>s per state or authorized tribe may be higher or lower than EPA’s estimates.</w:t>
            </w:r>
          </w:p>
        </w:tc>
      </w:tr>
      <w:tr w:rsidR="006837A6" w14:paraId="46D68F2B" w14:textId="77777777" w:rsidTr="00DF204A">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14:paraId="452C69E1" w14:textId="77777777" w:rsidR="006837A6" w:rsidRDefault="006837A6" w:rsidP="00DF204A">
            <w:pPr>
              <w:pStyle w:val="ExhibitLeft"/>
            </w:pPr>
            <w:r>
              <w:t>WQS variances last for 10 years.</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3E6B108" w14:textId="77777777" w:rsidR="006837A6" w:rsidRDefault="006837A6" w:rsidP="00DF204A">
            <w:pPr>
              <w:pStyle w:val="Exhibit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14:paraId="54226702" w14:textId="77777777" w:rsidR="006837A6" w:rsidRDefault="006837A6" w:rsidP="00DF204A">
            <w:pPr>
              <w:pStyle w:val="ExhibitLeft"/>
            </w:pPr>
            <w:r>
              <w:t>The number of reevaluations per WQS variance depends, in part, on the duration of the WQS variance. Shorter WQS variance periods result in fewer reevaluations and vice versa.</w:t>
            </w:r>
          </w:p>
        </w:tc>
      </w:tr>
      <w:tr w:rsidR="00E53FDF" w14:paraId="08979146" w14:textId="77777777" w:rsidTr="00DF204A">
        <w:trPr>
          <w:cantSplit/>
          <w:trHeight w:val="960"/>
        </w:trPr>
        <w:tc>
          <w:tcPr>
            <w:tcW w:w="3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F3D7D" w14:textId="4F216864" w:rsidR="00E53FDF" w:rsidRDefault="00E53FDF" w:rsidP="00E53FDF">
            <w:pPr>
              <w:pStyle w:val="ExhibitLeft"/>
            </w:pPr>
            <w:r>
              <w:t>States and authorized tribes may be required to undertake activities related to the rule that EPA has not identified in this analysis.</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26A839" w14:textId="77777777" w:rsidR="00E53FDF" w:rsidRDefault="00E53FDF" w:rsidP="00E53FDF">
            <w:pPr>
              <w:pStyle w:val="ExhibitCenter"/>
            </w:pPr>
            <w:r>
              <w:t>–</w:t>
            </w:r>
          </w:p>
        </w:tc>
        <w:tc>
          <w:tcPr>
            <w:tcW w:w="37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054F2" w14:textId="7AE7F2EB" w:rsidR="00E53FDF" w:rsidRDefault="00E53FDF" w:rsidP="00E53FDF">
            <w:pPr>
              <w:pStyle w:val="ExhibitLeft"/>
            </w:pPr>
            <w:r>
              <w:t xml:space="preserve">To the extent that affected states and authorized tribes may be required to undertake additional activities that EPA has not identified in this analysis, the analysis may underestimate actual burden and cost. </w:t>
            </w:r>
          </w:p>
        </w:tc>
      </w:tr>
      <w:tr w:rsidR="00E53FDF" w14:paraId="249AEF16" w14:textId="77777777" w:rsidTr="00DF204A">
        <w:trPr>
          <w:cantSplit/>
          <w:trHeight w:val="960"/>
        </w:trPr>
        <w:tc>
          <w:tcPr>
            <w:tcW w:w="3555" w:type="dxa"/>
            <w:tcBorders>
              <w:top w:val="single" w:sz="4" w:space="0" w:color="auto"/>
              <w:left w:val="single" w:sz="4" w:space="0" w:color="auto"/>
              <w:bottom w:val="single" w:sz="4" w:space="0" w:color="auto"/>
              <w:right w:val="single" w:sz="4" w:space="0" w:color="auto"/>
            </w:tcBorders>
            <w:shd w:val="clear" w:color="auto" w:fill="FFFFFF"/>
            <w:vAlign w:val="center"/>
          </w:tcPr>
          <w:p w14:paraId="39ACD73D" w14:textId="2F5F0AB9" w:rsidR="00E53FDF" w:rsidRDefault="00E53FDF" w:rsidP="00E53FDF">
            <w:pPr>
              <w:pStyle w:val="ExhibitLeft"/>
            </w:pPr>
            <w:r>
              <w:t>Incremental cost to the Agency is equal to 20% of the cost to states and authorized tribes.</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36CA0A77" w14:textId="77777777" w:rsidR="00E53FDF" w:rsidRDefault="00E53FDF" w:rsidP="00E53FDF">
            <w:pPr>
              <w:pStyle w:val="ExhibitCenter"/>
            </w:pPr>
            <w:r>
              <w:t>+</w:t>
            </w:r>
          </w:p>
        </w:tc>
        <w:tc>
          <w:tcPr>
            <w:tcW w:w="3765" w:type="dxa"/>
            <w:tcBorders>
              <w:top w:val="single" w:sz="4" w:space="0" w:color="auto"/>
              <w:left w:val="single" w:sz="4" w:space="0" w:color="auto"/>
              <w:bottom w:val="single" w:sz="4" w:space="0" w:color="auto"/>
              <w:right w:val="single" w:sz="4" w:space="0" w:color="auto"/>
            </w:tcBorders>
            <w:shd w:val="clear" w:color="auto" w:fill="FFFFFF"/>
            <w:vAlign w:val="center"/>
          </w:tcPr>
          <w:p w14:paraId="00003FC4" w14:textId="140E0190" w:rsidR="00E53FDF" w:rsidRDefault="00E53FDF" w:rsidP="00E53FDF">
            <w:pPr>
              <w:pStyle w:val="ExhibitLeft"/>
            </w:pPr>
            <w:r>
              <w:t>The burden on the Agency to review and approve WQS materials submitted by states and authorized tribes may be overestimated.</w:t>
            </w:r>
          </w:p>
        </w:tc>
      </w:tr>
      <w:tr w:rsidR="006837A6" w14:paraId="3333D4A2" w14:textId="77777777" w:rsidTr="00DF204A">
        <w:trPr>
          <w:cantSplit/>
          <w:trHeight w:val="70"/>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14:paraId="66D2F143" w14:textId="77777777" w:rsidR="006837A6" w:rsidRDefault="006837A6" w:rsidP="00DF204A">
            <w:pPr>
              <w:pStyle w:val="ExhibitLeft"/>
              <w:rPr>
                <w:sz w:val="22"/>
              </w:rPr>
            </w:pPr>
            <w:r>
              <w:t>Key:</w:t>
            </w:r>
          </w:p>
          <w:p w14:paraId="457E8FE6" w14:textId="77777777" w:rsidR="006837A6" w:rsidRDefault="006837A6" w:rsidP="00DF204A">
            <w:pPr>
              <w:pStyle w:val="ExhibitLeft"/>
            </w:pPr>
            <w:r>
              <w:t>“+” = Burden and cost potentially overestimated</w:t>
            </w:r>
          </w:p>
          <w:p w14:paraId="23634E5C" w14:textId="77777777" w:rsidR="006837A6" w:rsidRDefault="006837A6" w:rsidP="00DF204A">
            <w:pPr>
              <w:pStyle w:val="ExhibitLeft"/>
            </w:pPr>
            <w:r>
              <w:t>“-“ = Burden and cost potentially underestimated</w:t>
            </w:r>
          </w:p>
          <w:p w14:paraId="33C1F72A" w14:textId="77777777" w:rsidR="006837A6" w:rsidRDefault="006837A6" w:rsidP="00DF204A">
            <w:pPr>
              <w:pStyle w:val="ExhibitLeft"/>
            </w:pPr>
            <w:r>
              <w:t>“?” = Impact on burden and cost uncertain</w:t>
            </w:r>
          </w:p>
        </w:tc>
      </w:tr>
    </w:tbl>
    <w:p w14:paraId="2CCDB059" w14:textId="77777777" w:rsidR="006A4927" w:rsidRPr="00B7618A" w:rsidRDefault="006A4927" w:rsidP="003B3A98">
      <w:pPr>
        <w:pStyle w:val="BodyText"/>
      </w:pPr>
    </w:p>
    <w:p w14:paraId="69F2FE9A" w14:textId="77777777" w:rsidR="00826119" w:rsidRPr="003B3A98" w:rsidRDefault="00FB4E52" w:rsidP="003B3A98">
      <w:pPr>
        <w:pStyle w:val="Heading3"/>
      </w:pPr>
      <w:bookmarkStart w:id="57" w:name="_Toc406051446"/>
      <w:r w:rsidRPr="003B3A98">
        <w:t>Incremental Agency Burden</w:t>
      </w:r>
      <w:bookmarkEnd w:id="57"/>
    </w:p>
    <w:p w14:paraId="6613FC67" w14:textId="6CCBB1AD" w:rsidR="00FB4E52" w:rsidRPr="00B7618A" w:rsidRDefault="00FB4E52" w:rsidP="003B3A98">
      <w:pPr>
        <w:pStyle w:val="BodyText"/>
        <w:rPr>
          <w:szCs w:val="24"/>
        </w:rPr>
      </w:pPr>
      <w:r w:rsidRPr="00B7618A">
        <w:rPr>
          <w:szCs w:val="24"/>
        </w:rPr>
        <w:t xml:space="preserve">In addition to the potential burden and </w:t>
      </w:r>
      <w:r w:rsidR="00747C5B">
        <w:rPr>
          <w:szCs w:val="24"/>
        </w:rPr>
        <w:t>cost</w:t>
      </w:r>
      <w:r w:rsidRPr="00B7618A">
        <w:rPr>
          <w:szCs w:val="24"/>
        </w:rPr>
        <w:t xml:space="preserve"> to states and </w:t>
      </w:r>
      <w:r w:rsidR="00DC3143">
        <w:rPr>
          <w:szCs w:val="24"/>
        </w:rPr>
        <w:t xml:space="preserve">authorized </w:t>
      </w:r>
      <w:r w:rsidRPr="00B7618A">
        <w:rPr>
          <w:szCs w:val="24"/>
        </w:rPr>
        <w:t xml:space="preserve">tribes, the </w:t>
      </w:r>
      <w:r w:rsidR="001561C3">
        <w:rPr>
          <w:szCs w:val="24"/>
        </w:rPr>
        <w:t>rule could result in</w:t>
      </w:r>
      <w:r w:rsidRPr="00B7618A">
        <w:rPr>
          <w:szCs w:val="24"/>
        </w:rPr>
        <w:t xml:space="preserve"> incremental burden and </w:t>
      </w:r>
      <w:r w:rsidR="00747C5B">
        <w:rPr>
          <w:szCs w:val="24"/>
        </w:rPr>
        <w:t>cost</w:t>
      </w:r>
      <w:r w:rsidRPr="00B7618A">
        <w:rPr>
          <w:szCs w:val="24"/>
        </w:rPr>
        <w:t xml:space="preserve"> to </w:t>
      </w:r>
      <w:r w:rsidR="00E01A0B" w:rsidRPr="00B7618A">
        <w:rPr>
          <w:szCs w:val="24"/>
        </w:rPr>
        <w:t>EPA</w:t>
      </w:r>
      <w:r w:rsidR="00E12993">
        <w:rPr>
          <w:szCs w:val="24"/>
        </w:rPr>
        <w:t xml:space="preserve"> associated with </w:t>
      </w:r>
      <w:r w:rsidRPr="00B7618A">
        <w:rPr>
          <w:szCs w:val="24"/>
        </w:rPr>
        <w:t>review</w:t>
      </w:r>
      <w:r w:rsidR="00E12993">
        <w:rPr>
          <w:szCs w:val="24"/>
        </w:rPr>
        <w:t>ing</w:t>
      </w:r>
      <w:r w:rsidRPr="00B7618A">
        <w:rPr>
          <w:szCs w:val="24"/>
        </w:rPr>
        <w:t xml:space="preserve"> the</w:t>
      </w:r>
      <w:r w:rsidR="00C2255A">
        <w:rPr>
          <w:szCs w:val="24"/>
        </w:rPr>
        <w:t xml:space="preserve"> WQS program</w:t>
      </w:r>
      <w:r w:rsidRPr="00B7618A">
        <w:rPr>
          <w:szCs w:val="24"/>
        </w:rPr>
        <w:t xml:space="preserve"> </w:t>
      </w:r>
      <w:r w:rsidR="001561C3">
        <w:rPr>
          <w:szCs w:val="24"/>
        </w:rPr>
        <w:t>information s</w:t>
      </w:r>
      <w:r w:rsidRPr="00B7618A">
        <w:rPr>
          <w:szCs w:val="24"/>
        </w:rPr>
        <w:t xml:space="preserve">ubmitted by states and </w:t>
      </w:r>
      <w:r w:rsidR="00CF32C7" w:rsidRPr="00381864">
        <w:rPr>
          <w:szCs w:val="24"/>
        </w:rPr>
        <w:t>authorized</w:t>
      </w:r>
      <w:r w:rsidR="00CF32C7" w:rsidRPr="00CF32C7">
        <w:rPr>
          <w:szCs w:val="24"/>
        </w:rPr>
        <w:t xml:space="preserve"> </w:t>
      </w:r>
      <w:r w:rsidRPr="00CF32C7">
        <w:rPr>
          <w:szCs w:val="24"/>
        </w:rPr>
        <w:t>tribes. On the basis of best professional ju</w:t>
      </w:r>
      <w:r w:rsidRPr="00B7618A">
        <w:rPr>
          <w:szCs w:val="24"/>
        </w:rPr>
        <w:t xml:space="preserve">dgment, </w:t>
      </w:r>
      <w:r w:rsidR="00E01A0B" w:rsidRPr="00B7618A">
        <w:rPr>
          <w:szCs w:val="24"/>
        </w:rPr>
        <w:t>EPA</w:t>
      </w:r>
      <w:r w:rsidRPr="00B7618A">
        <w:rPr>
          <w:szCs w:val="24"/>
        </w:rPr>
        <w:t xml:space="preserve"> conservatively estimates the incremental burden and </w:t>
      </w:r>
      <w:r w:rsidR="00747C5B">
        <w:rPr>
          <w:szCs w:val="24"/>
        </w:rPr>
        <w:t>cost</w:t>
      </w:r>
      <w:r w:rsidRPr="00B7618A">
        <w:rPr>
          <w:szCs w:val="24"/>
        </w:rPr>
        <w:t xml:space="preserve"> to </w:t>
      </w:r>
      <w:r w:rsidR="00E01A0B" w:rsidRPr="00B7618A">
        <w:rPr>
          <w:szCs w:val="24"/>
        </w:rPr>
        <w:t>EPA</w:t>
      </w:r>
      <w:r w:rsidRPr="00B7618A">
        <w:rPr>
          <w:szCs w:val="24"/>
        </w:rPr>
        <w:t xml:space="preserve"> </w:t>
      </w:r>
      <w:r w:rsidR="001561C3">
        <w:rPr>
          <w:szCs w:val="24"/>
        </w:rPr>
        <w:t>as</w:t>
      </w:r>
      <w:r w:rsidRPr="00B7618A">
        <w:rPr>
          <w:szCs w:val="24"/>
        </w:rPr>
        <w:t xml:space="preserve"> </w:t>
      </w:r>
      <w:r w:rsidR="00E12993">
        <w:rPr>
          <w:szCs w:val="24"/>
        </w:rPr>
        <w:t>approximately</w:t>
      </w:r>
      <w:r w:rsidRPr="00B7618A">
        <w:rPr>
          <w:szCs w:val="24"/>
        </w:rPr>
        <w:t xml:space="preserve"> 20% of the </w:t>
      </w:r>
      <w:r w:rsidR="00747C5B">
        <w:rPr>
          <w:szCs w:val="24"/>
        </w:rPr>
        <w:t>cost</w:t>
      </w:r>
      <w:r w:rsidRPr="00B7618A">
        <w:rPr>
          <w:szCs w:val="24"/>
        </w:rPr>
        <w:t xml:space="preserve"> to states and </w:t>
      </w:r>
      <w:r w:rsidR="00DC3143">
        <w:rPr>
          <w:szCs w:val="24"/>
        </w:rPr>
        <w:t xml:space="preserve">authorized </w:t>
      </w:r>
      <w:r w:rsidRPr="00B7618A">
        <w:rPr>
          <w:szCs w:val="24"/>
        </w:rPr>
        <w:t xml:space="preserve">tribes. Thus, </w:t>
      </w:r>
      <w:r w:rsidR="00E01A0B" w:rsidRPr="00B7618A">
        <w:rPr>
          <w:szCs w:val="24"/>
        </w:rPr>
        <w:t>EPA</w:t>
      </w:r>
      <w:r w:rsidRPr="00B7618A">
        <w:rPr>
          <w:szCs w:val="24"/>
        </w:rPr>
        <w:t xml:space="preserve"> estimates that one-time incremental </w:t>
      </w:r>
      <w:r w:rsidR="00747C5B">
        <w:rPr>
          <w:szCs w:val="24"/>
        </w:rPr>
        <w:t>cost</w:t>
      </w:r>
      <w:r w:rsidRPr="00B7618A">
        <w:rPr>
          <w:szCs w:val="24"/>
        </w:rPr>
        <w:t xml:space="preserve"> to the Agency </w:t>
      </w:r>
      <w:r w:rsidR="00E12993">
        <w:rPr>
          <w:szCs w:val="24"/>
        </w:rPr>
        <w:t>c</w:t>
      </w:r>
      <w:r w:rsidR="00E12993" w:rsidRPr="00B7618A">
        <w:rPr>
          <w:szCs w:val="24"/>
        </w:rPr>
        <w:t xml:space="preserve">ould </w:t>
      </w:r>
      <w:r w:rsidRPr="00B7618A">
        <w:rPr>
          <w:szCs w:val="24"/>
        </w:rPr>
        <w:t>range from $</w:t>
      </w:r>
      <w:r w:rsidR="00244FF6" w:rsidRPr="00B7618A">
        <w:rPr>
          <w:szCs w:val="24"/>
        </w:rPr>
        <w:t>534,000</w:t>
      </w:r>
      <w:r w:rsidRPr="00B7618A">
        <w:rPr>
          <w:szCs w:val="24"/>
        </w:rPr>
        <w:t xml:space="preserve"> ($</w:t>
      </w:r>
      <w:r w:rsidR="00244FF6" w:rsidRPr="00B7618A">
        <w:rPr>
          <w:szCs w:val="24"/>
        </w:rPr>
        <w:t>2,670,000</w:t>
      </w:r>
      <w:r w:rsidRPr="00B7618A">
        <w:rPr>
          <w:szCs w:val="24"/>
        </w:rPr>
        <w:t>× 20%) to $</w:t>
      </w:r>
      <w:r w:rsidR="00244FF6" w:rsidRPr="00B7618A">
        <w:rPr>
          <w:szCs w:val="24"/>
        </w:rPr>
        <w:t>1,067,000</w:t>
      </w:r>
      <w:r w:rsidRPr="00B7618A">
        <w:rPr>
          <w:szCs w:val="24"/>
        </w:rPr>
        <w:t xml:space="preserve"> ($</w:t>
      </w:r>
      <w:r w:rsidR="00244FF6" w:rsidRPr="00B7618A">
        <w:rPr>
          <w:szCs w:val="24"/>
        </w:rPr>
        <w:t>5,336,000</w:t>
      </w:r>
      <w:r w:rsidR="001561C3">
        <w:rPr>
          <w:szCs w:val="24"/>
        </w:rPr>
        <w:t xml:space="preserve"> × 20%), and </w:t>
      </w:r>
      <w:r w:rsidRPr="00B7618A">
        <w:rPr>
          <w:szCs w:val="24"/>
        </w:rPr>
        <w:lastRenderedPageBreak/>
        <w:t xml:space="preserve">annual incremental </w:t>
      </w:r>
      <w:r w:rsidR="00747C5B">
        <w:rPr>
          <w:szCs w:val="24"/>
        </w:rPr>
        <w:t>cost</w:t>
      </w:r>
      <w:r w:rsidRPr="00B7618A">
        <w:rPr>
          <w:szCs w:val="24"/>
        </w:rPr>
        <w:t xml:space="preserve"> </w:t>
      </w:r>
      <w:r w:rsidR="00E12993">
        <w:rPr>
          <w:szCs w:val="24"/>
        </w:rPr>
        <w:t xml:space="preserve">could </w:t>
      </w:r>
      <w:r w:rsidRPr="00B7618A">
        <w:rPr>
          <w:szCs w:val="24"/>
        </w:rPr>
        <w:t>range from $</w:t>
      </w:r>
      <w:r w:rsidR="001A6275" w:rsidRPr="00B7618A">
        <w:rPr>
          <w:szCs w:val="24"/>
        </w:rPr>
        <w:t>1,</w:t>
      </w:r>
      <w:r w:rsidR="001C40A2" w:rsidRPr="00B7618A">
        <w:rPr>
          <w:szCs w:val="24"/>
        </w:rPr>
        <w:t>04</w:t>
      </w:r>
      <w:r w:rsidR="001C40A2">
        <w:rPr>
          <w:szCs w:val="24"/>
        </w:rPr>
        <w:t>8</w:t>
      </w:r>
      <w:r w:rsidR="001A6275" w:rsidRPr="00B7618A">
        <w:rPr>
          <w:szCs w:val="24"/>
        </w:rPr>
        <w:t>,000</w:t>
      </w:r>
      <w:r w:rsidRPr="00B7618A">
        <w:rPr>
          <w:szCs w:val="24"/>
        </w:rPr>
        <w:t xml:space="preserve"> ($</w:t>
      </w:r>
      <w:r w:rsidR="001A6275" w:rsidRPr="00B7618A">
        <w:rPr>
          <w:szCs w:val="24"/>
        </w:rPr>
        <w:t>5,</w:t>
      </w:r>
      <w:r w:rsidR="001C40A2" w:rsidRPr="00B7618A">
        <w:rPr>
          <w:szCs w:val="24"/>
        </w:rPr>
        <w:t>23</w:t>
      </w:r>
      <w:r w:rsidR="001C40A2">
        <w:rPr>
          <w:szCs w:val="24"/>
        </w:rPr>
        <w:t>9</w:t>
      </w:r>
      <w:r w:rsidR="001A6275" w:rsidRPr="00B7618A">
        <w:rPr>
          <w:szCs w:val="24"/>
        </w:rPr>
        <w:t>,000</w:t>
      </w:r>
      <w:r w:rsidRPr="00B7618A">
        <w:rPr>
          <w:szCs w:val="24"/>
        </w:rPr>
        <w:t xml:space="preserve"> × 20%) to $</w:t>
      </w:r>
      <w:r w:rsidR="001A6275" w:rsidRPr="00B7618A">
        <w:rPr>
          <w:szCs w:val="24"/>
        </w:rPr>
        <w:t>3,</w:t>
      </w:r>
      <w:r w:rsidR="001C40A2" w:rsidRPr="00B7618A">
        <w:rPr>
          <w:szCs w:val="24"/>
        </w:rPr>
        <w:t>94</w:t>
      </w:r>
      <w:r w:rsidR="001C40A2">
        <w:rPr>
          <w:szCs w:val="24"/>
        </w:rPr>
        <w:t>6</w:t>
      </w:r>
      <w:r w:rsidR="001A6275" w:rsidRPr="00B7618A">
        <w:rPr>
          <w:szCs w:val="24"/>
        </w:rPr>
        <w:t>,000</w:t>
      </w:r>
      <w:r w:rsidRPr="00B7618A">
        <w:rPr>
          <w:szCs w:val="24"/>
        </w:rPr>
        <w:t xml:space="preserve"> ($</w:t>
      </w:r>
      <w:r w:rsidR="001A6275" w:rsidRPr="00B7618A">
        <w:rPr>
          <w:szCs w:val="24"/>
        </w:rPr>
        <w:t>19,</w:t>
      </w:r>
      <w:r w:rsidR="001C40A2" w:rsidRPr="00B7618A">
        <w:rPr>
          <w:szCs w:val="24"/>
        </w:rPr>
        <w:t>7</w:t>
      </w:r>
      <w:r w:rsidR="001C40A2">
        <w:rPr>
          <w:szCs w:val="24"/>
        </w:rPr>
        <w:t>32</w:t>
      </w:r>
      <w:r w:rsidR="001A6275" w:rsidRPr="00B7618A">
        <w:rPr>
          <w:szCs w:val="24"/>
        </w:rPr>
        <w:t>,000</w:t>
      </w:r>
      <w:r w:rsidRPr="00B7618A">
        <w:rPr>
          <w:szCs w:val="24"/>
        </w:rPr>
        <w:t xml:space="preserve"> × 20%).</w:t>
      </w:r>
      <w:r w:rsidR="000279BA" w:rsidRPr="00B7618A">
        <w:rPr>
          <w:szCs w:val="24"/>
        </w:rPr>
        <w:t xml:space="preserve"> Annual incremental </w:t>
      </w:r>
      <w:r w:rsidR="00747C5B">
        <w:rPr>
          <w:szCs w:val="24"/>
        </w:rPr>
        <w:t>cost</w:t>
      </w:r>
      <w:r w:rsidR="000279BA" w:rsidRPr="00B7618A">
        <w:rPr>
          <w:szCs w:val="24"/>
        </w:rPr>
        <w:t xml:space="preserve"> </w:t>
      </w:r>
      <w:r w:rsidR="005F390B" w:rsidRPr="00B7618A">
        <w:rPr>
          <w:szCs w:val="24"/>
        </w:rPr>
        <w:t xml:space="preserve">associated with one-time activities </w:t>
      </w:r>
      <w:r w:rsidR="00E12993">
        <w:rPr>
          <w:szCs w:val="24"/>
        </w:rPr>
        <w:t>c</w:t>
      </w:r>
      <w:r w:rsidR="00E12993" w:rsidRPr="00B7618A">
        <w:rPr>
          <w:szCs w:val="24"/>
        </w:rPr>
        <w:t xml:space="preserve">ould </w:t>
      </w:r>
      <w:r w:rsidR="000279BA" w:rsidRPr="00B7618A">
        <w:rPr>
          <w:szCs w:val="24"/>
        </w:rPr>
        <w:t>range from $178,000 (534,000 ÷ 3 years) to $356,000 ($1,067,000 ÷ 3 years).</w:t>
      </w:r>
    </w:p>
    <w:p w14:paraId="27C6E19F" w14:textId="5D6C3C39" w:rsidR="00673189" w:rsidRPr="00B7618A" w:rsidRDefault="00673189" w:rsidP="003B3A98">
      <w:pPr>
        <w:pStyle w:val="BodyText"/>
        <w:rPr>
          <w:szCs w:val="24"/>
        </w:rPr>
      </w:pPr>
      <w:r w:rsidRPr="00B7618A">
        <w:rPr>
          <w:szCs w:val="24"/>
        </w:rPr>
        <w:t xml:space="preserve">EPA </w:t>
      </w:r>
      <w:r w:rsidR="001561C3">
        <w:rPr>
          <w:szCs w:val="24"/>
        </w:rPr>
        <w:t>assu</w:t>
      </w:r>
      <w:r w:rsidR="00F622A2" w:rsidRPr="00B7618A">
        <w:rPr>
          <w:szCs w:val="24"/>
        </w:rPr>
        <w:t>mes that review</w:t>
      </w:r>
      <w:r w:rsidR="00C2255A">
        <w:rPr>
          <w:szCs w:val="24"/>
        </w:rPr>
        <w:t xml:space="preserve"> of</w:t>
      </w:r>
      <w:r w:rsidR="00F622A2" w:rsidRPr="00B7618A">
        <w:rPr>
          <w:szCs w:val="24"/>
        </w:rPr>
        <w:t xml:space="preserve"> </w:t>
      </w:r>
      <w:r w:rsidR="00C2255A">
        <w:rPr>
          <w:szCs w:val="24"/>
        </w:rPr>
        <w:t>WQS program submissions</w:t>
      </w:r>
      <w:r w:rsidRPr="00B7618A">
        <w:rPr>
          <w:szCs w:val="24"/>
        </w:rPr>
        <w:t xml:space="preserve"> </w:t>
      </w:r>
      <w:r w:rsidR="00C2255A">
        <w:rPr>
          <w:szCs w:val="24"/>
        </w:rPr>
        <w:t>would be performed by</w:t>
      </w:r>
      <w:r w:rsidRPr="00B7618A">
        <w:rPr>
          <w:szCs w:val="24"/>
        </w:rPr>
        <w:t xml:space="preserve"> General Schedule (GS) 13, Step 5 federal employees (including EPA regional staff). In 2013, the average hourly wage rate for all federal employees at this grade and step was $47.13 per hour (U.S. Office of Personnel Management 2013).</w:t>
      </w:r>
      <w:r w:rsidRPr="00B7618A">
        <w:rPr>
          <w:rStyle w:val="FootnoteReference"/>
          <w:szCs w:val="24"/>
        </w:rPr>
        <w:footnoteReference w:id="5"/>
      </w:r>
      <w:r w:rsidRPr="00B7618A">
        <w:rPr>
          <w:szCs w:val="24"/>
        </w:rPr>
        <w:t xml:space="preserve"> Assuming that benefits and overhead are equal to 60% of the hourly wage, the average loaded hourly wage rate for federal employees is equal to $75.41 ($47.13 per hour + (60% × ($47.13 per hour)). Full-time equivalent (FTE) employees work 2,080 hours per year (40 hours per week × 52 weeks).</w:t>
      </w:r>
    </w:p>
    <w:p w14:paraId="13CA6150" w14:textId="69B58FD6" w:rsidR="00673189" w:rsidRPr="00B7618A" w:rsidRDefault="00673189" w:rsidP="003B3A98">
      <w:pPr>
        <w:pStyle w:val="BodyText"/>
        <w:rPr>
          <w:szCs w:val="24"/>
        </w:rPr>
      </w:pPr>
      <w:r w:rsidRPr="00B7618A">
        <w:rPr>
          <w:szCs w:val="24"/>
        </w:rPr>
        <w:t>Using the average loaded wage rate and the number of hours worked per FTE, EPA estimates the burden and EPA FTEs associated with the incre</w:t>
      </w:r>
      <w:r w:rsidR="00C2255A">
        <w:rPr>
          <w:szCs w:val="24"/>
        </w:rPr>
        <w:t>mental effort</w:t>
      </w:r>
      <w:r w:rsidRPr="00B7618A">
        <w:rPr>
          <w:szCs w:val="24"/>
        </w:rPr>
        <w:t xml:space="preserve">. </w:t>
      </w:r>
      <w:r w:rsidR="005F390B" w:rsidRPr="00B7618A">
        <w:rPr>
          <w:szCs w:val="24"/>
        </w:rPr>
        <w:t>B</w:t>
      </w:r>
      <w:r w:rsidRPr="00B7618A">
        <w:rPr>
          <w:szCs w:val="24"/>
        </w:rPr>
        <w:t xml:space="preserve">urden to EPA </w:t>
      </w:r>
      <w:r w:rsidR="005F390B" w:rsidRPr="00B7618A">
        <w:rPr>
          <w:szCs w:val="24"/>
        </w:rPr>
        <w:t xml:space="preserve">associated with one-time incremental activities </w:t>
      </w:r>
      <w:r w:rsidRPr="00B7618A">
        <w:rPr>
          <w:szCs w:val="24"/>
        </w:rPr>
        <w:t xml:space="preserve">ranges from </w:t>
      </w:r>
      <w:r w:rsidR="000606FC" w:rsidRPr="00B7618A">
        <w:rPr>
          <w:szCs w:val="24"/>
        </w:rPr>
        <w:t>2,360</w:t>
      </w:r>
      <w:r w:rsidRPr="00B7618A">
        <w:rPr>
          <w:szCs w:val="24"/>
        </w:rPr>
        <w:t xml:space="preserve"> hours ($534,000÷ $75.41 per hour</w:t>
      </w:r>
      <w:r w:rsidR="005F390B" w:rsidRPr="00B7618A">
        <w:rPr>
          <w:szCs w:val="24"/>
        </w:rPr>
        <w:t xml:space="preserve"> ÷ 3 years</w:t>
      </w:r>
      <w:r w:rsidRPr="00B7618A">
        <w:rPr>
          <w:szCs w:val="24"/>
        </w:rPr>
        <w:t xml:space="preserve">) to </w:t>
      </w:r>
      <w:r w:rsidR="005F390B" w:rsidRPr="00B7618A">
        <w:rPr>
          <w:szCs w:val="24"/>
        </w:rPr>
        <w:t xml:space="preserve">4,717 </w:t>
      </w:r>
      <w:r w:rsidRPr="00B7618A">
        <w:rPr>
          <w:szCs w:val="24"/>
        </w:rPr>
        <w:t>hours ($1,067,000 ÷ $75.41 per hour</w:t>
      </w:r>
      <w:r w:rsidR="005F390B" w:rsidRPr="00B7618A">
        <w:rPr>
          <w:szCs w:val="24"/>
        </w:rPr>
        <w:t xml:space="preserve"> ÷ 3 years</w:t>
      </w:r>
      <w:r w:rsidRPr="00B7618A">
        <w:rPr>
          <w:szCs w:val="24"/>
        </w:rPr>
        <w:t xml:space="preserve">). These one-time incremental burden estimates correspond to </w:t>
      </w:r>
      <w:r w:rsidR="005F390B" w:rsidRPr="00B7618A">
        <w:rPr>
          <w:szCs w:val="24"/>
        </w:rPr>
        <w:t>1.1</w:t>
      </w:r>
      <w:r w:rsidRPr="00B7618A">
        <w:rPr>
          <w:szCs w:val="24"/>
        </w:rPr>
        <w:t xml:space="preserve"> FTEs (</w:t>
      </w:r>
      <w:r w:rsidR="005F390B" w:rsidRPr="00B7618A">
        <w:rPr>
          <w:szCs w:val="24"/>
        </w:rPr>
        <w:t>2,360</w:t>
      </w:r>
      <w:r w:rsidRPr="00B7618A">
        <w:rPr>
          <w:szCs w:val="24"/>
        </w:rPr>
        <w:t xml:space="preserve"> burden hours ÷ 2,080 hours worked per FTE per year) to </w:t>
      </w:r>
      <w:r w:rsidR="005F390B" w:rsidRPr="00B7618A">
        <w:rPr>
          <w:szCs w:val="24"/>
        </w:rPr>
        <w:t>2.3</w:t>
      </w:r>
      <w:r w:rsidRPr="00B7618A">
        <w:rPr>
          <w:szCs w:val="24"/>
        </w:rPr>
        <w:t xml:space="preserve"> FTEs (</w:t>
      </w:r>
      <w:r w:rsidR="005F390B" w:rsidRPr="00B7618A">
        <w:rPr>
          <w:szCs w:val="24"/>
        </w:rPr>
        <w:t>4,717</w:t>
      </w:r>
      <w:r w:rsidRPr="00B7618A">
        <w:rPr>
          <w:szCs w:val="24"/>
        </w:rPr>
        <w:t xml:space="preserve"> burden hours ÷ 2,080 hours worked per FTE per year)</w:t>
      </w:r>
      <w:r w:rsidR="00E9712C" w:rsidRPr="00B7618A">
        <w:rPr>
          <w:szCs w:val="24"/>
        </w:rPr>
        <w:t xml:space="preserve"> each year for three years</w:t>
      </w:r>
      <w:r w:rsidRPr="00B7618A">
        <w:rPr>
          <w:szCs w:val="24"/>
        </w:rPr>
        <w:t xml:space="preserve">. </w:t>
      </w:r>
    </w:p>
    <w:p w14:paraId="5603F7A7" w14:textId="2C8C7B03" w:rsidR="00FB4E52" w:rsidRPr="00B7618A" w:rsidRDefault="00673189" w:rsidP="003B3A98">
      <w:pPr>
        <w:pStyle w:val="BodyText"/>
        <w:rPr>
          <w:szCs w:val="24"/>
        </w:rPr>
      </w:pPr>
      <w:r w:rsidRPr="00B7618A">
        <w:rPr>
          <w:szCs w:val="24"/>
        </w:rPr>
        <w:t>Estimated annual incremental burden to EPA ranges from 13,</w:t>
      </w:r>
      <w:r w:rsidR="00B6618F">
        <w:rPr>
          <w:szCs w:val="24"/>
        </w:rPr>
        <w:t>900</w:t>
      </w:r>
      <w:r w:rsidR="00B6618F" w:rsidRPr="00B7618A">
        <w:rPr>
          <w:szCs w:val="24"/>
        </w:rPr>
        <w:t xml:space="preserve"> </w:t>
      </w:r>
      <w:r w:rsidRPr="00B7618A">
        <w:rPr>
          <w:szCs w:val="24"/>
        </w:rPr>
        <w:t>hours per year ($1,</w:t>
      </w:r>
      <w:r w:rsidR="001C40A2" w:rsidRPr="00B7618A">
        <w:rPr>
          <w:szCs w:val="24"/>
        </w:rPr>
        <w:t>04</w:t>
      </w:r>
      <w:r w:rsidR="001C40A2">
        <w:rPr>
          <w:szCs w:val="24"/>
        </w:rPr>
        <w:t>8</w:t>
      </w:r>
      <w:r w:rsidRPr="00B7618A">
        <w:rPr>
          <w:szCs w:val="24"/>
        </w:rPr>
        <w:t>,000÷ $75.41 per hour) to 52,</w:t>
      </w:r>
      <w:r w:rsidR="00B6618F">
        <w:rPr>
          <w:szCs w:val="24"/>
        </w:rPr>
        <w:t>320</w:t>
      </w:r>
      <w:r w:rsidR="00B6618F" w:rsidRPr="00B7618A">
        <w:rPr>
          <w:szCs w:val="24"/>
        </w:rPr>
        <w:t xml:space="preserve"> </w:t>
      </w:r>
      <w:r w:rsidRPr="00B7618A">
        <w:rPr>
          <w:szCs w:val="24"/>
        </w:rPr>
        <w:t>hours per year ($3,</w:t>
      </w:r>
      <w:r w:rsidR="001C40A2" w:rsidRPr="00B7618A">
        <w:rPr>
          <w:szCs w:val="24"/>
        </w:rPr>
        <w:t>94</w:t>
      </w:r>
      <w:r w:rsidR="001C40A2">
        <w:rPr>
          <w:szCs w:val="24"/>
        </w:rPr>
        <w:t>6</w:t>
      </w:r>
      <w:r w:rsidRPr="00B7618A">
        <w:rPr>
          <w:szCs w:val="24"/>
        </w:rPr>
        <w:t>,000÷ $75.41 per hour). These annual incremental burden estimates correspond to 6.7 FTEs per year (13,</w:t>
      </w:r>
      <w:r w:rsidR="001C40A2">
        <w:rPr>
          <w:szCs w:val="24"/>
        </w:rPr>
        <w:t>900</w:t>
      </w:r>
      <w:r w:rsidR="001C40A2" w:rsidRPr="00B7618A">
        <w:rPr>
          <w:szCs w:val="24"/>
        </w:rPr>
        <w:t xml:space="preserve"> </w:t>
      </w:r>
      <w:r w:rsidRPr="00B7618A">
        <w:rPr>
          <w:szCs w:val="24"/>
        </w:rPr>
        <w:t>burden hours ÷ 2,080 hours worked per FTE per year) to 25.2 FTEs per year (52,</w:t>
      </w:r>
      <w:r w:rsidR="001C40A2" w:rsidRPr="00B7618A">
        <w:rPr>
          <w:szCs w:val="24"/>
        </w:rPr>
        <w:t>3</w:t>
      </w:r>
      <w:r w:rsidR="001C40A2">
        <w:rPr>
          <w:szCs w:val="24"/>
        </w:rPr>
        <w:t>2</w:t>
      </w:r>
      <w:r w:rsidR="001C40A2" w:rsidRPr="00B7618A">
        <w:rPr>
          <w:szCs w:val="24"/>
        </w:rPr>
        <w:t xml:space="preserve">0 </w:t>
      </w:r>
      <w:r w:rsidRPr="00B7618A">
        <w:rPr>
          <w:szCs w:val="24"/>
        </w:rPr>
        <w:t>burden hours ÷ 2,080 hours worked per FTE per year).</w:t>
      </w:r>
    </w:p>
    <w:p w14:paraId="7140A758" w14:textId="58C1AFB9" w:rsidR="00A40F85" w:rsidRPr="00CF32C7" w:rsidRDefault="00EA39AA" w:rsidP="003B3A98">
      <w:pPr>
        <w:pStyle w:val="BodyText"/>
        <w:rPr>
          <w:szCs w:val="24"/>
        </w:rPr>
      </w:pPr>
      <w:r w:rsidRPr="00396F4C">
        <w:rPr>
          <w:szCs w:val="24"/>
        </w:rPr>
        <w:fldChar w:fldCharType="begin"/>
      </w:r>
      <w:r w:rsidR="00FB4E52" w:rsidRPr="00B7618A">
        <w:rPr>
          <w:szCs w:val="24"/>
        </w:rPr>
        <w:instrText xml:space="preserve"> REF Exhibit310 \h </w:instrText>
      </w:r>
      <w:r w:rsidR="005F390B" w:rsidRPr="00B7618A">
        <w:rPr>
          <w:szCs w:val="24"/>
        </w:rPr>
        <w:instrText xml:space="preserve"> \* MERGEFORMAT </w:instrText>
      </w:r>
      <w:r w:rsidRPr="00396F4C">
        <w:rPr>
          <w:szCs w:val="24"/>
        </w:rPr>
      </w:r>
      <w:r w:rsidRPr="00396F4C">
        <w:rPr>
          <w:szCs w:val="24"/>
        </w:rPr>
        <w:fldChar w:fldCharType="separate"/>
      </w:r>
      <w:r w:rsidR="00C1356F" w:rsidRPr="00B7618A">
        <w:rPr>
          <w:rFonts w:cs="Arial"/>
          <w:szCs w:val="24"/>
        </w:rPr>
        <w:t xml:space="preserve">Table </w:t>
      </w:r>
      <w:r w:rsidR="00C1356F" w:rsidRPr="00B7618A">
        <w:rPr>
          <w:rFonts w:cs="Arial"/>
          <w:noProof/>
          <w:szCs w:val="24"/>
        </w:rPr>
        <w:t>6</w:t>
      </w:r>
      <w:r w:rsidR="00C1356F" w:rsidRPr="00B7618A">
        <w:rPr>
          <w:rFonts w:cs="Arial"/>
          <w:szCs w:val="24"/>
        </w:rPr>
        <w:t>-5</w:t>
      </w:r>
      <w:r w:rsidRPr="00396F4C">
        <w:rPr>
          <w:szCs w:val="24"/>
        </w:rPr>
        <w:fldChar w:fldCharType="end"/>
      </w:r>
      <w:r w:rsidR="00FB4E52" w:rsidRPr="00B7618A">
        <w:rPr>
          <w:szCs w:val="24"/>
        </w:rPr>
        <w:t xml:space="preserve"> summarizes the potential incremental annual bur</w:t>
      </w:r>
      <w:r w:rsidR="00FB4E52" w:rsidRPr="00CF32C7">
        <w:rPr>
          <w:szCs w:val="24"/>
        </w:rPr>
        <w:t xml:space="preserve">den and </w:t>
      </w:r>
      <w:r w:rsidR="00747C5B">
        <w:rPr>
          <w:szCs w:val="24"/>
        </w:rPr>
        <w:t>cost</w:t>
      </w:r>
      <w:r w:rsidR="00FB4E52" w:rsidRPr="00CF32C7">
        <w:rPr>
          <w:szCs w:val="24"/>
        </w:rPr>
        <w:t xml:space="preserve"> to the Agency associated with the </w:t>
      </w:r>
      <w:r w:rsidR="00C2255A">
        <w:rPr>
          <w:szCs w:val="24"/>
        </w:rPr>
        <w:t>rule</w:t>
      </w:r>
      <w:r w:rsidR="00FB4E52" w:rsidRPr="00CF32C7">
        <w:rPr>
          <w:szCs w:val="24"/>
        </w:rPr>
        <w:t>.</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778"/>
        <w:gridCol w:w="1080"/>
        <w:gridCol w:w="1620"/>
        <w:gridCol w:w="1530"/>
        <w:gridCol w:w="1710"/>
        <w:gridCol w:w="1778"/>
      </w:tblGrid>
      <w:tr w:rsidR="00FB4E52" w:rsidRPr="00CF32C7" w14:paraId="13D0FAAC" w14:textId="77777777" w:rsidTr="00381864">
        <w:trPr>
          <w:cantSplit/>
          <w:trHeight w:val="70"/>
          <w:tblHeader/>
          <w:jc w:val="center"/>
        </w:trPr>
        <w:tc>
          <w:tcPr>
            <w:tcW w:w="9496" w:type="dxa"/>
            <w:gridSpan w:val="6"/>
            <w:shd w:val="clear" w:color="auto" w:fill="D9D9D9"/>
            <w:vAlign w:val="center"/>
          </w:tcPr>
          <w:p w14:paraId="5860C777" w14:textId="19C3DB4D" w:rsidR="00FB4E52" w:rsidRPr="00CF32C7" w:rsidRDefault="00826119" w:rsidP="00C2255A">
            <w:pPr>
              <w:pStyle w:val="Caption"/>
              <w:rPr>
                <w:szCs w:val="24"/>
              </w:rPr>
            </w:pPr>
            <w:bookmarkStart w:id="58" w:name="Exhibit310"/>
            <w:bookmarkStart w:id="59" w:name="_Toc362953288"/>
            <w:r w:rsidRPr="00CF32C7">
              <w:rPr>
                <w:szCs w:val="24"/>
              </w:rPr>
              <w:t>Table</w:t>
            </w:r>
            <w:r w:rsidR="00FB4E52" w:rsidRPr="00CF32C7">
              <w:rPr>
                <w:szCs w:val="24"/>
              </w:rPr>
              <w:t xml:space="preserve"> </w:t>
            </w:r>
            <w:r w:rsidR="00EA39AA" w:rsidRPr="00CF32C7">
              <w:rPr>
                <w:szCs w:val="24"/>
              </w:rPr>
              <w:fldChar w:fldCharType="begin"/>
            </w:r>
            <w:r w:rsidR="00FB4E52" w:rsidRPr="00CF32C7">
              <w:rPr>
                <w:szCs w:val="24"/>
              </w:rPr>
              <w:instrText xml:space="preserve"> STYLEREF 1 \s </w:instrText>
            </w:r>
            <w:r w:rsidR="00EA39AA" w:rsidRPr="00CF32C7">
              <w:rPr>
                <w:szCs w:val="24"/>
              </w:rPr>
              <w:fldChar w:fldCharType="separate"/>
            </w:r>
            <w:r w:rsidR="006371E1" w:rsidRPr="00CF32C7">
              <w:rPr>
                <w:noProof/>
                <w:szCs w:val="24"/>
              </w:rPr>
              <w:t>6</w:t>
            </w:r>
            <w:r w:rsidR="00EA39AA" w:rsidRPr="00CF32C7">
              <w:rPr>
                <w:szCs w:val="24"/>
              </w:rPr>
              <w:fldChar w:fldCharType="end"/>
            </w:r>
            <w:r w:rsidRPr="00CF32C7">
              <w:rPr>
                <w:szCs w:val="24"/>
              </w:rPr>
              <w:t>-5</w:t>
            </w:r>
            <w:bookmarkEnd w:id="58"/>
            <w:r w:rsidR="00FB4E52" w:rsidRPr="00CF32C7">
              <w:rPr>
                <w:szCs w:val="24"/>
              </w:rPr>
              <w:t xml:space="preserve">: Potential Incremental Burden and </w:t>
            </w:r>
            <w:r w:rsidR="00747C5B">
              <w:rPr>
                <w:szCs w:val="24"/>
              </w:rPr>
              <w:t>Cost</w:t>
            </w:r>
            <w:r w:rsidR="00FB4E52" w:rsidRPr="00CF32C7">
              <w:rPr>
                <w:szCs w:val="24"/>
              </w:rPr>
              <w:t xml:space="preserve"> to the Agency</w:t>
            </w:r>
            <w:bookmarkEnd w:id="59"/>
          </w:p>
        </w:tc>
      </w:tr>
      <w:tr w:rsidR="00FB4E52" w:rsidRPr="00CF32C7" w14:paraId="0BD8AF94" w14:textId="77777777" w:rsidTr="00381864">
        <w:trPr>
          <w:cantSplit/>
          <w:trHeight w:val="305"/>
          <w:tblHeader/>
          <w:jc w:val="center"/>
        </w:trPr>
        <w:tc>
          <w:tcPr>
            <w:tcW w:w="4478" w:type="dxa"/>
            <w:gridSpan w:val="3"/>
            <w:shd w:val="clear" w:color="auto" w:fill="FFFF99"/>
            <w:vAlign w:val="center"/>
          </w:tcPr>
          <w:p w14:paraId="532D552D" w14:textId="77777777" w:rsidR="00FB4E52" w:rsidRPr="00CF32C7" w:rsidRDefault="00FB4E52" w:rsidP="00826119">
            <w:pPr>
              <w:pStyle w:val="ExhibitHeading"/>
              <w:keepLines/>
              <w:rPr>
                <w:sz w:val="24"/>
                <w:szCs w:val="24"/>
              </w:rPr>
            </w:pPr>
            <w:r w:rsidRPr="00CF32C7">
              <w:rPr>
                <w:sz w:val="24"/>
                <w:szCs w:val="24"/>
              </w:rPr>
              <w:t>One-time Activities</w:t>
            </w:r>
            <w:r w:rsidR="00023B44" w:rsidRPr="00CF32C7">
              <w:rPr>
                <w:sz w:val="24"/>
                <w:szCs w:val="24"/>
                <w:vertAlign w:val="superscript"/>
              </w:rPr>
              <w:t>1</w:t>
            </w:r>
          </w:p>
        </w:tc>
        <w:tc>
          <w:tcPr>
            <w:tcW w:w="5018" w:type="dxa"/>
            <w:gridSpan w:val="3"/>
            <w:shd w:val="clear" w:color="auto" w:fill="FFFF99"/>
            <w:vAlign w:val="center"/>
          </w:tcPr>
          <w:p w14:paraId="0D297E23" w14:textId="77777777" w:rsidR="00FB4E52" w:rsidRPr="00CF32C7" w:rsidRDefault="00FB4E52" w:rsidP="00826119">
            <w:pPr>
              <w:pStyle w:val="ExhibitHeading"/>
              <w:keepLines/>
              <w:rPr>
                <w:sz w:val="24"/>
                <w:szCs w:val="24"/>
              </w:rPr>
            </w:pPr>
            <w:r w:rsidRPr="00CF32C7">
              <w:rPr>
                <w:sz w:val="24"/>
                <w:szCs w:val="24"/>
              </w:rPr>
              <w:t>Annual Activities</w:t>
            </w:r>
          </w:p>
        </w:tc>
      </w:tr>
      <w:tr w:rsidR="00023B44" w:rsidRPr="00CF32C7" w14:paraId="18A34801" w14:textId="77777777" w:rsidTr="00381864">
        <w:trPr>
          <w:cantSplit/>
          <w:trHeight w:val="350"/>
          <w:tblHeader/>
          <w:jc w:val="center"/>
        </w:trPr>
        <w:tc>
          <w:tcPr>
            <w:tcW w:w="1778" w:type="dxa"/>
            <w:vMerge w:val="restart"/>
            <w:shd w:val="clear" w:color="auto" w:fill="FFFF99"/>
            <w:vAlign w:val="center"/>
          </w:tcPr>
          <w:p w14:paraId="12D47059" w14:textId="00DEB8FB" w:rsidR="00023B44" w:rsidRPr="00CF32C7" w:rsidRDefault="00023B44" w:rsidP="00023B44">
            <w:pPr>
              <w:pStyle w:val="ExhibitHeading"/>
              <w:keepLines/>
              <w:rPr>
                <w:sz w:val="24"/>
                <w:szCs w:val="24"/>
                <w:vertAlign w:val="superscript"/>
              </w:rPr>
            </w:pPr>
            <w:r w:rsidRPr="00CF32C7">
              <w:rPr>
                <w:sz w:val="24"/>
                <w:szCs w:val="24"/>
              </w:rPr>
              <w:t xml:space="preserve">Annual </w:t>
            </w:r>
            <w:r w:rsidR="00747C5B">
              <w:rPr>
                <w:sz w:val="24"/>
                <w:szCs w:val="24"/>
              </w:rPr>
              <w:t>Cost</w:t>
            </w:r>
            <w:r w:rsidRPr="00CF32C7">
              <w:rPr>
                <w:sz w:val="24"/>
                <w:szCs w:val="24"/>
              </w:rPr>
              <w:t xml:space="preserve"> (2013$ million per year)</w:t>
            </w:r>
          </w:p>
        </w:tc>
        <w:tc>
          <w:tcPr>
            <w:tcW w:w="2700" w:type="dxa"/>
            <w:gridSpan w:val="2"/>
            <w:shd w:val="clear" w:color="auto" w:fill="FFFF99"/>
            <w:vAlign w:val="center"/>
          </w:tcPr>
          <w:p w14:paraId="7AE6C6EB" w14:textId="77777777" w:rsidR="00023B44" w:rsidRPr="00CF32C7" w:rsidRDefault="00023B44" w:rsidP="00826119">
            <w:pPr>
              <w:pStyle w:val="ExhibitHeading"/>
              <w:keepLines/>
              <w:rPr>
                <w:sz w:val="24"/>
                <w:szCs w:val="24"/>
                <w:vertAlign w:val="superscript"/>
              </w:rPr>
            </w:pPr>
            <w:r w:rsidRPr="00CF32C7">
              <w:rPr>
                <w:sz w:val="24"/>
                <w:szCs w:val="24"/>
              </w:rPr>
              <w:t>Burden per year</w:t>
            </w:r>
          </w:p>
        </w:tc>
        <w:tc>
          <w:tcPr>
            <w:tcW w:w="1530" w:type="dxa"/>
            <w:vMerge w:val="restart"/>
            <w:shd w:val="clear" w:color="auto" w:fill="FFFF99"/>
            <w:vAlign w:val="center"/>
          </w:tcPr>
          <w:p w14:paraId="026A153E" w14:textId="57713F2C" w:rsidR="00023B44" w:rsidRPr="00CF32C7" w:rsidRDefault="00747C5B" w:rsidP="00023B44">
            <w:pPr>
              <w:pStyle w:val="ExhibitHeading"/>
              <w:keepLines/>
              <w:rPr>
                <w:sz w:val="24"/>
                <w:szCs w:val="24"/>
                <w:vertAlign w:val="superscript"/>
              </w:rPr>
            </w:pPr>
            <w:r>
              <w:rPr>
                <w:sz w:val="24"/>
                <w:szCs w:val="24"/>
              </w:rPr>
              <w:t>Cost</w:t>
            </w:r>
            <w:r w:rsidR="00023B44" w:rsidRPr="00CF32C7">
              <w:rPr>
                <w:sz w:val="24"/>
                <w:szCs w:val="24"/>
                <w:vertAlign w:val="superscript"/>
              </w:rPr>
              <w:t xml:space="preserve">1 </w:t>
            </w:r>
            <w:r w:rsidR="00023B44" w:rsidRPr="00CF32C7">
              <w:rPr>
                <w:sz w:val="24"/>
                <w:szCs w:val="24"/>
              </w:rPr>
              <w:t>(2013$ million per year)</w:t>
            </w:r>
          </w:p>
        </w:tc>
        <w:tc>
          <w:tcPr>
            <w:tcW w:w="3488" w:type="dxa"/>
            <w:gridSpan w:val="2"/>
            <w:shd w:val="clear" w:color="auto" w:fill="FFFF99"/>
            <w:vAlign w:val="center"/>
          </w:tcPr>
          <w:p w14:paraId="3ABDA658" w14:textId="77777777" w:rsidR="00023B44" w:rsidRPr="00CF32C7" w:rsidRDefault="00023B44" w:rsidP="00826119">
            <w:pPr>
              <w:pStyle w:val="ExhibitHeading"/>
              <w:keepLines/>
              <w:rPr>
                <w:sz w:val="24"/>
                <w:szCs w:val="24"/>
                <w:vertAlign w:val="superscript"/>
              </w:rPr>
            </w:pPr>
            <w:r w:rsidRPr="00CF32C7">
              <w:rPr>
                <w:sz w:val="24"/>
                <w:szCs w:val="24"/>
              </w:rPr>
              <w:t>Burden per year</w:t>
            </w:r>
          </w:p>
        </w:tc>
      </w:tr>
      <w:tr w:rsidR="00F06DBA" w:rsidRPr="00CF32C7" w14:paraId="11E62B08" w14:textId="77777777" w:rsidTr="00625E0C">
        <w:trPr>
          <w:cantSplit/>
          <w:trHeight w:val="458"/>
          <w:tblHeader/>
          <w:jc w:val="center"/>
        </w:trPr>
        <w:tc>
          <w:tcPr>
            <w:tcW w:w="1778" w:type="dxa"/>
            <w:vMerge/>
            <w:shd w:val="clear" w:color="auto" w:fill="FFFF99"/>
            <w:vAlign w:val="center"/>
          </w:tcPr>
          <w:p w14:paraId="4B0E0429" w14:textId="77777777" w:rsidR="00023B44" w:rsidRPr="00CF32C7" w:rsidRDefault="00023B44" w:rsidP="00826119">
            <w:pPr>
              <w:pStyle w:val="ExhibitHeading"/>
              <w:keepLines/>
              <w:rPr>
                <w:sz w:val="24"/>
                <w:szCs w:val="24"/>
              </w:rPr>
            </w:pPr>
          </w:p>
        </w:tc>
        <w:tc>
          <w:tcPr>
            <w:tcW w:w="1080" w:type="dxa"/>
            <w:shd w:val="clear" w:color="auto" w:fill="FFFF99"/>
            <w:vAlign w:val="center"/>
          </w:tcPr>
          <w:p w14:paraId="73C282C4" w14:textId="77777777" w:rsidR="00023B44" w:rsidRPr="00CF32C7" w:rsidRDefault="00023B44" w:rsidP="00826119">
            <w:pPr>
              <w:pStyle w:val="ExhibitHeading"/>
              <w:keepLines/>
              <w:rPr>
                <w:sz w:val="24"/>
                <w:szCs w:val="24"/>
              </w:rPr>
            </w:pPr>
            <w:r w:rsidRPr="00CF32C7">
              <w:rPr>
                <w:sz w:val="24"/>
                <w:szCs w:val="24"/>
              </w:rPr>
              <w:t>Hours</w:t>
            </w:r>
            <w:r w:rsidRPr="00CF32C7">
              <w:rPr>
                <w:sz w:val="24"/>
                <w:szCs w:val="24"/>
                <w:vertAlign w:val="superscript"/>
              </w:rPr>
              <w:t>2</w:t>
            </w:r>
          </w:p>
        </w:tc>
        <w:tc>
          <w:tcPr>
            <w:tcW w:w="1620" w:type="dxa"/>
            <w:shd w:val="clear" w:color="auto" w:fill="FFFF99"/>
            <w:vAlign w:val="center"/>
          </w:tcPr>
          <w:p w14:paraId="081F8C4C" w14:textId="77777777" w:rsidR="00023B44" w:rsidRPr="00CF32C7" w:rsidRDefault="00023B44" w:rsidP="00826119">
            <w:pPr>
              <w:pStyle w:val="ExhibitHeading"/>
              <w:keepLines/>
              <w:rPr>
                <w:sz w:val="24"/>
                <w:szCs w:val="24"/>
              </w:rPr>
            </w:pPr>
            <w:r w:rsidRPr="00CF32C7">
              <w:rPr>
                <w:sz w:val="24"/>
                <w:szCs w:val="24"/>
              </w:rPr>
              <w:t>FTEs</w:t>
            </w:r>
            <w:r w:rsidRPr="00CF32C7">
              <w:rPr>
                <w:sz w:val="24"/>
                <w:szCs w:val="24"/>
                <w:vertAlign w:val="superscript"/>
              </w:rPr>
              <w:t>3</w:t>
            </w:r>
          </w:p>
        </w:tc>
        <w:tc>
          <w:tcPr>
            <w:tcW w:w="1530" w:type="dxa"/>
            <w:vMerge/>
            <w:shd w:val="clear" w:color="auto" w:fill="FFFF99"/>
            <w:vAlign w:val="center"/>
          </w:tcPr>
          <w:p w14:paraId="3D55F316" w14:textId="77777777" w:rsidR="00023B44" w:rsidRPr="00CF32C7" w:rsidRDefault="00023B44" w:rsidP="00826119">
            <w:pPr>
              <w:pStyle w:val="ExhibitHeading"/>
              <w:keepLines/>
              <w:rPr>
                <w:sz w:val="24"/>
                <w:szCs w:val="24"/>
              </w:rPr>
            </w:pPr>
          </w:p>
        </w:tc>
        <w:tc>
          <w:tcPr>
            <w:tcW w:w="1710" w:type="dxa"/>
            <w:shd w:val="clear" w:color="auto" w:fill="FFFF99"/>
            <w:vAlign w:val="center"/>
          </w:tcPr>
          <w:p w14:paraId="255B64AA" w14:textId="77777777" w:rsidR="00023B44" w:rsidRPr="00CF32C7" w:rsidRDefault="00023B44" w:rsidP="00C848E0">
            <w:pPr>
              <w:pStyle w:val="ExhibitHeading"/>
              <w:keepLines/>
              <w:rPr>
                <w:sz w:val="24"/>
                <w:szCs w:val="24"/>
              </w:rPr>
            </w:pPr>
            <w:r w:rsidRPr="00CF32C7">
              <w:rPr>
                <w:sz w:val="24"/>
                <w:szCs w:val="24"/>
              </w:rPr>
              <w:t>Hours</w:t>
            </w:r>
            <w:r w:rsidRPr="00CF32C7">
              <w:rPr>
                <w:sz w:val="24"/>
                <w:szCs w:val="24"/>
                <w:vertAlign w:val="superscript"/>
              </w:rPr>
              <w:t>2</w:t>
            </w:r>
          </w:p>
        </w:tc>
        <w:tc>
          <w:tcPr>
            <w:tcW w:w="1778" w:type="dxa"/>
            <w:shd w:val="clear" w:color="auto" w:fill="FFFF99"/>
            <w:vAlign w:val="center"/>
          </w:tcPr>
          <w:p w14:paraId="3E31A726" w14:textId="77777777" w:rsidR="00023B44" w:rsidRPr="00CF32C7" w:rsidRDefault="00023B44" w:rsidP="00C848E0">
            <w:pPr>
              <w:pStyle w:val="ExhibitHeading"/>
              <w:keepLines/>
              <w:rPr>
                <w:sz w:val="24"/>
                <w:szCs w:val="24"/>
              </w:rPr>
            </w:pPr>
            <w:r w:rsidRPr="00CF32C7">
              <w:rPr>
                <w:sz w:val="24"/>
                <w:szCs w:val="24"/>
              </w:rPr>
              <w:t>FTEs</w:t>
            </w:r>
            <w:r w:rsidRPr="00CF32C7">
              <w:rPr>
                <w:sz w:val="24"/>
                <w:szCs w:val="24"/>
                <w:vertAlign w:val="superscript"/>
              </w:rPr>
              <w:t>3</w:t>
            </w:r>
          </w:p>
        </w:tc>
      </w:tr>
      <w:tr w:rsidR="00023B44" w:rsidRPr="00CF32C7" w14:paraId="29B4C0BB" w14:textId="77777777" w:rsidTr="00381864">
        <w:trPr>
          <w:cantSplit/>
          <w:trHeight w:val="70"/>
          <w:jc w:val="center"/>
        </w:trPr>
        <w:tc>
          <w:tcPr>
            <w:tcW w:w="1778" w:type="dxa"/>
            <w:vAlign w:val="center"/>
          </w:tcPr>
          <w:p w14:paraId="460D9DA9" w14:textId="77777777" w:rsidR="00023B44" w:rsidRPr="00B7618A" w:rsidRDefault="00023B44" w:rsidP="003B3A98">
            <w:pPr>
              <w:pStyle w:val="ExhibitCenter"/>
            </w:pPr>
            <w:r w:rsidRPr="00CF32C7">
              <w:t>$0.18 - $0.36</w:t>
            </w:r>
          </w:p>
        </w:tc>
        <w:tc>
          <w:tcPr>
            <w:tcW w:w="1080" w:type="dxa"/>
            <w:shd w:val="clear" w:color="auto" w:fill="auto"/>
            <w:noWrap/>
            <w:vAlign w:val="center"/>
          </w:tcPr>
          <w:p w14:paraId="13662860" w14:textId="77777777" w:rsidR="00023B44" w:rsidRPr="00B7618A" w:rsidRDefault="00023B44" w:rsidP="003B3A98">
            <w:pPr>
              <w:pStyle w:val="ExhibitCenter"/>
            </w:pPr>
            <w:r w:rsidRPr="00CF32C7">
              <w:t>2,360 - 4,717</w:t>
            </w:r>
          </w:p>
        </w:tc>
        <w:tc>
          <w:tcPr>
            <w:tcW w:w="1620" w:type="dxa"/>
            <w:shd w:val="clear" w:color="auto" w:fill="auto"/>
            <w:vAlign w:val="center"/>
          </w:tcPr>
          <w:p w14:paraId="5127A565" w14:textId="77777777" w:rsidR="00023B44" w:rsidRPr="00B7618A" w:rsidRDefault="00023B44" w:rsidP="003B3A98">
            <w:pPr>
              <w:pStyle w:val="ExhibitCenter"/>
            </w:pPr>
            <w:r w:rsidRPr="00CF32C7">
              <w:t>1.1 - 2.3</w:t>
            </w:r>
          </w:p>
        </w:tc>
        <w:tc>
          <w:tcPr>
            <w:tcW w:w="1530" w:type="dxa"/>
            <w:shd w:val="clear" w:color="auto" w:fill="auto"/>
            <w:noWrap/>
            <w:vAlign w:val="center"/>
          </w:tcPr>
          <w:p w14:paraId="7900E835" w14:textId="77777777" w:rsidR="00023B44" w:rsidRPr="00B7618A" w:rsidRDefault="00023B44" w:rsidP="003B3A98">
            <w:pPr>
              <w:pStyle w:val="ExhibitCenter"/>
            </w:pPr>
            <w:r w:rsidRPr="00CF32C7">
              <w:t>$1.05 - $3.95</w:t>
            </w:r>
          </w:p>
        </w:tc>
        <w:tc>
          <w:tcPr>
            <w:tcW w:w="1710" w:type="dxa"/>
            <w:shd w:val="clear" w:color="auto" w:fill="auto"/>
            <w:vAlign w:val="center"/>
          </w:tcPr>
          <w:p w14:paraId="32D93543" w14:textId="5CF5DBD0" w:rsidR="00023B44" w:rsidRPr="00B7618A" w:rsidRDefault="00023B44" w:rsidP="00B6618F">
            <w:pPr>
              <w:pStyle w:val="ExhibitCenter"/>
            </w:pPr>
            <w:r w:rsidRPr="00CF32C7">
              <w:t>13,</w:t>
            </w:r>
            <w:r w:rsidR="00B6618F">
              <w:t>900</w:t>
            </w:r>
            <w:r w:rsidRPr="00CF32C7">
              <w:t xml:space="preserve"> – 52,</w:t>
            </w:r>
            <w:r w:rsidR="00B6618F">
              <w:t>320</w:t>
            </w:r>
          </w:p>
        </w:tc>
        <w:tc>
          <w:tcPr>
            <w:tcW w:w="1778" w:type="dxa"/>
            <w:shd w:val="clear" w:color="auto" w:fill="auto"/>
            <w:vAlign w:val="center"/>
          </w:tcPr>
          <w:p w14:paraId="51DD167E" w14:textId="77777777" w:rsidR="00023B44" w:rsidRPr="00B7618A" w:rsidRDefault="00023B44" w:rsidP="003B3A98">
            <w:pPr>
              <w:pStyle w:val="ExhibitCenter"/>
            </w:pPr>
            <w:r w:rsidRPr="00CF32C7">
              <w:t>6.7 – 25.2</w:t>
            </w:r>
          </w:p>
        </w:tc>
      </w:tr>
      <w:tr w:rsidR="00FB4E52" w:rsidRPr="00CF32C7" w14:paraId="15A6CB56" w14:textId="77777777" w:rsidTr="00381864">
        <w:trPr>
          <w:cantSplit/>
          <w:trHeight w:val="135"/>
          <w:jc w:val="center"/>
        </w:trPr>
        <w:tc>
          <w:tcPr>
            <w:tcW w:w="9496" w:type="dxa"/>
            <w:gridSpan w:val="6"/>
            <w:vAlign w:val="center"/>
          </w:tcPr>
          <w:p w14:paraId="1652A16D" w14:textId="77777777" w:rsidR="00023B44" w:rsidRPr="00CF32C7" w:rsidRDefault="00023B44" w:rsidP="003B3A98">
            <w:pPr>
              <w:pStyle w:val="Exhibitnotes"/>
            </w:pPr>
            <w:r w:rsidRPr="00CF32C7">
              <w:lastRenderedPageBreak/>
              <w:t>FTE = full-time equivalent</w:t>
            </w:r>
          </w:p>
          <w:p w14:paraId="7B077DC1" w14:textId="1A52DE9A" w:rsidR="00023B44" w:rsidRPr="00CF32C7" w:rsidRDefault="00FB4E52" w:rsidP="003B3A98">
            <w:pPr>
              <w:pStyle w:val="Exhibitnotes"/>
            </w:pPr>
            <w:r w:rsidRPr="00CF32C7">
              <w:t xml:space="preserve">1. </w:t>
            </w:r>
            <w:r w:rsidR="00023B44" w:rsidRPr="00CF32C7">
              <w:t xml:space="preserve">Total one-time </w:t>
            </w:r>
            <w:r w:rsidR="00747C5B">
              <w:t>cost</w:t>
            </w:r>
            <w:r w:rsidR="00023B44" w:rsidRPr="00CF32C7">
              <w:t xml:space="preserve"> and burden divided </w:t>
            </w:r>
            <w:r w:rsidR="00B52228" w:rsidRPr="00CF32C7">
              <w:t xml:space="preserve">equally </w:t>
            </w:r>
            <w:r w:rsidR="00023B44" w:rsidRPr="00CF32C7">
              <w:t>over the three</w:t>
            </w:r>
            <w:r w:rsidR="00B52228" w:rsidRPr="00CF32C7">
              <w:t>-</w:t>
            </w:r>
            <w:r w:rsidR="00023B44" w:rsidRPr="00CF32C7">
              <w:t>year period.</w:t>
            </w:r>
          </w:p>
          <w:p w14:paraId="697046ED" w14:textId="6FA34AD5" w:rsidR="00FB4E52" w:rsidRPr="00CF32C7" w:rsidRDefault="00FB4E52" w:rsidP="003B3A98">
            <w:pPr>
              <w:pStyle w:val="Exhibitnotes"/>
            </w:pPr>
            <w:r w:rsidRPr="00CF32C7">
              <w:t xml:space="preserve">2. Total </w:t>
            </w:r>
            <w:r w:rsidR="00E9712C" w:rsidRPr="00CF32C7">
              <w:t xml:space="preserve">annual </w:t>
            </w:r>
            <w:r w:rsidR="00747C5B">
              <w:t>cost</w:t>
            </w:r>
            <w:r w:rsidRPr="00CF32C7">
              <w:t xml:space="preserve"> to the Agency divided by hourly wage rate ($</w:t>
            </w:r>
            <w:r w:rsidR="00CE323D">
              <w:t>75.41</w:t>
            </w:r>
            <w:r w:rsidR="00CE323D" w:rsidRPr="00CF32C7">
              <w:t xml:space="preserve"> </w:t>
            </w:r>
            <w:r w:rsidRPr="00CF32C7">
              <w:t>per hour).</w:t>
            </w:r>
          </w:p>
          <w:p w14:paraId="135DEF02" w14:textId="4D79F1CD" w:rsidR="00FB4E52" w:rsidRPr="00CF32C7" w:rsidRDefault="00023B44" w:rsidP="00C2255A">
            <w:pPr>
              <w:pStyle w:val="Exhibitnotes"/>
            </w:pPr>
            <w:r w:rsidRPr="00CF32C7">
              <w:t>3</w:t>
            </w:r>
            <w:r w:rsidR="00FB4E52" w:rsidRPr="00CF32C7">
              <w:t xml:space="preserve">. </w:t>
            </w:r>
            <w:r w:rsidR="00E9712C" w:rsidRPr="00CF32C7">
              <w:t>Annual b</w:t>
            </w:r>
            <w:r w:rsidR="00FB4E52" w:rsidRPr="00CF32C7">
              <w:t>urden to the Agency divided by hours worked by FTE employees per year (2,080 hours per year).</w:t>
            </w:r>
          </w:p>
        </w:tc>
      </w:tr>
    </w:tbl>
    <w:p w14:paraId="3AD37124" w14:textId="77777777" w:rsidR="00FB4E52" w:rsidRPr="00CF32C7" w:rsidRDefault="00FB4E52" w:rsidP="00D61A55">
      <w:pPr>
        <w:tabs>
          <w:tab w:val="left" w:pos="0"/>
        </w:tabs>
        <w:rPr>
          <w:color w:val="000000"/>
        </w:rPr>
      </w:pPr>
    </w:p>
    <w:p w14:paraId="5CA8562E" w14:textId="77777777" w:rsidR="00D9711C" w:rsidRPr="00CF32C7" w:rsidRDefault="00D9711C" w:rsidP="00704F82">
      <w:pPr>
        <w:pStyle w:val="Heading2"/>
      </w:pPr>
      <w:bookmarkStart w:id="60" w:name="_Toc406051447"/>
      <w:r w:rsidRPr="00CF32C7">
        <w:t>Potential Incremental Benefits Associated with the Rule</w:t>
      </w:r>
      <w:bookmarkEnd w:id="60"/>
    </w:p>
    <w:p w14:paraId="1EDED76B" w14:textId="5D41756F" w:rsidR="00E12993" w:rsidRDefault="00E12993" w:rsidP="00E12993">
      <w:pPr>
        <w:pStyle w:val="BodyText"/>
      </w:pPr>
      <w:r w:rsidRPr="006C4B0F">
        <w:t xml:space="preserve">The </w:t>
      </w:r>
      <w:r>
        <w:t>CWA</w:t>
      </w:r>
      <w:r w:rsidRPr="006C4B0F">
        <w:t xml:space="preserve"> establishes the national objective to “restore and maintain the chemical, physical, and biological integrity of the Nation’s waters,” and </w:t>
      </w:r>
      <w:r>
        <w:t xml:space="preserve">to </w:t>
      </w:r>
      <w:r w:rsidRPr="006C4B0F">
        <w:t>achiev</w:t>
      </w:r>
      <w:r>
        <w:t>e</w:t>
      </w:r>
      <w:r w:rsidRPr="006C4B0F">
        <w:t xml:space="preserve"> “wherever attainable, an interim goal of water quality which provides for the protection and propagation of fish, shellfish, and wildlife and for recreation in and on the water</w:t>
      </w:r>
      <w:r>
        <w:t>.</w:t>
      </w:r>
      <w:r w:rsidRPr="006C4B0F">
        <w:t xml:space="preserve">” The requirements </w:t>
      </w:r>
      <w:r>
        <w:t>of the</w:t>
      </w:r>
      <w:r w:rsidRPr="006C4B0F">
        <w:t xml:space="preserve"> </w:t>
      </w:r>
      <w:r>
        <w:t xml:space="preserve">CWA implementing regulations </w:t>
      </w:r>
      <w:r w:rsidRPr="006C4B0F">
        <w:t>provid</w:t>
      </w:r>
      <w:r>
        <w:t>e</w:t>
      </w:r>
      <w:r w:rsidRPr="006C4B0F">
        <w:t xml:space="preserve"> a strong foundation for water quality-based controls, including water quality assessments, impaired waters lists, and </w:t>
      </w:r>
      <w:r w:rsidRPr="003720AD">
        <w:t>total maximum daily loads (TMDLs)</w:t>
      </w:r>
      <w:r w:rsidRPr="006C4B0F">
        <w:t xml:space="preserve"> under CWA </w:t>
      </w:r>
      <w:r>
        <w:t xml:space="preserve">section </w:t>
      </w:r>
      <w:r w:rsidRPr="006C4B0F">
        <w:t xml:space="preserve">303(d), as well as for </w:t>
      </w:r>
      <w:r>
        <w:t>WQBELs</w:t>
      </w:r>
      <w:r w:rsidRPr="006C4B0F">
        <w:t xml:space="preserve"> in NPDES discharge permits</w:t>
      </w:r>
      <w:r>
        <w:t>.</w:t>
      </w:r>
    </w:p>
    <w:p w14:paraId="713975D4" w14:textId="71D35F93" w:rsidR="00E12993" w:rsidRDefault="00E12993" w:rsidP="00E12993">
      <w:pPr>
        <w:pStyle w:val="BodyText"/>
        <w:rPr>
          <w:color w:val="000000"/>
        </w:rPr>
      </w:pPr>
      <w:r w:rsidRPr="006C4B0F">
        <w:t xml:space="preserve">As with the development and operation of any program, a number of policy and technical issues have recurred over the past </w:t>
      </w:r>
      <w:r w:rsidRPr="004F4075">
        <w:t>31 years</w:t>
      </w:r>
      <w:r w:rsidRPr="006C4B0F">
        <w:t xml:space="preserve"> in individual standards reviews, stakeholder comments, and litigation</w:t>
      </w:r>
      <w:r>
        <w:t>. C</w:t>
      </w:r>
      <w:r w:rsidRPr="006C4B0F">
        <w:t xml:space="preserve">larifying, updating and revising the </w:t>
      </w:r>
      <w:r>
        <w:t>WQS</w:t>
      </w:r>
      <w:r w:rsidRPr="006C4B0F">
        <w:t xml:space="preserve"> regulation to </w:t>
      </w:r>
      <w:r>
        <w:t>en</w:t>
      </w:r>
      <w:r w:rsidRPr="006C4B0F">
        <w:t>sure greater public transparency, better stakeholder information, and more effective implementation</w:t>
      </w:r>
      <w:r>
        <w:t xml:space="preserve"> may address and more efficiently resolve these issues</w:t>
      </w:r>
      <w:r w:rsidRPr="006C4B0F">
        <w:t xml:space="preserve">. </w:t>
      </w:r>
      <w:r>
        <w:rPr>
          <w:color w:val="000000"/>
        </w:rPr>
        <w:t xml:space="preserve">All states and authorized tribes that implement a WQS program benefit to some degree from the clarifications and revisions to the WQS regulation. </w:t>
      </w:r>
    </w:p>
    <w:p w14:paraId="21135595" w14:textId="55067074" w:rsidR="00E12993" w:rsidRPr="00CF32C7" w:rsidRDefault="00E12993" w:rsidP="00E12993">
      <w:pPr>
        <w:pStyle w:val="BodyText"/>
      </w:pPr>
      <w:r>
        <w:rPr>
          <w:color w:val="000000"/>
        </w:rPr>
        <w:t>The rule also</w:t>
      </w:r>
      <w:r w:rsidRPr="006C4B0F">
        <w:t xml:space="preserve"> improve</w:t>
      </w:r>
      <w:r>
        <w:t>s</w:t>
      </w:r>
      <w:r w:rsidRPr="006C4B0F">
        <w:t xml:space="preserve"> the CWA’s effectiveness of restoring and maintaining the chemical, physical, and biological integrity of the nation’s waters</w:t>
      </w:r>
      <w:r>
        <w:t xml:space="preserve">. </w:t>
      </w:r>
      <w:r w:rsidRPr="00CF32C7">
        <w:t>One market benefit is water supply and use, including drinking water treatment and household water use, agricultural water use, reservoir dredging, and industrial water use. Other market benefits consist of commercial fishing and public and private property ownership. Nonmarket benefits include human health improvements, recreational benefits, and nonuse benefits.</w:t>
      </w:r>
    </w:p>
    <w:p w14:paraId="0339181C" w14:textId="77777777" w:rsidR="00972FB2" w:rsidRPr="00CF32C7" w:rsidRDefault="00972FB2" w:rsidP="00704F82">
      <w:pPr>
        <w:pStyle w:val="Heading2"/>
      </w:pPr>
      <w:bookmarkStart w:id="61" w:name="_Toc406051448"/>
      <w:r w:rsidRPr="00CF32C7">
        <w:t>Reasons for Change in Burden</w:t>
      </w:r>
      <w:bookmarkEnd w:id="61"/>
    </w:p>
    <w:p w14:paraId="0923375D" w14:textId="61F8CA26" w:rsidR="00972FB2" w:rsidRPr="00CF32C7" w:rsidRDefault="00E01A0B" w:rsidP="003B3A98">
      <w:pPr>
        <w:pStyle w:val="BodyText"/>
      </w:pPr>
      <w:r w:rsidRPr="00CF32C7">
        <w:t>EPA</w:t>
      </w:r>
      <w:r w:rsidR="00972FB2" w:rsidRPr="00CF32C7">
        <w:t xml:space="preserve"> </w:t>
      </w:r>
      <w:r w:rsidR="00E12993">
        <w:t xml:space="preserve">is </w:t>
      </w:r>
      <w:r w:rsidR="00CF32C7">
        <w:t>finaliz</w:t>
      </w:r>
      <w:r w:rsidR="00E12993">
        <w:t>ing</w:t>
      </w:r>
      <w:r w:rsidR="00972FB2" w:rsidRPr="00CF32C7">
        <w:t xml:space="preserve"> </w:t>
      </w:r>
      <w:r w:rsidR="00CF32C7">
        <w:t xml:space="preserve">changes to </w:t>
      </w:r>
      <w:r w:rsidR="00972FB2" w:rsidRPr="00CF32C7">
        <w:t xml:space="preserve">the WQS regulation at 40 CFR </w:t>
      </w:r>
      <w:r w:rsidR="00497B26">
        <w:t>Part</w:t>
      </w:r>
      <w:r w:rsidR="00972FB2" w:rsidRPr="00CF32C7">
        <w:t xml:space="preserve"> 131. The </w:t>
      </w:r>
      <w:r w:rsidR="00CF32C7">
        <w:t xml:space="preserve">rule </w:t>
      </w:r>
      <w:r w:rsidR="00972FB2" w:rsidRPr="00CF32C7">
        <w:t xml:space="preserve">will add new burden as </w:t>
      </w:r>
      <w:r w:rsidR="00497B26">
        <w:t>described</w:t>
      </w:r>
      <w:r w:rsidR="00972FB2" w:rsidRPr="00CF32C7">
        <w:t xml:space="preserve"> in this ICR.</w:t>
      </w:r>
    </w:p>
    <w:p w14:paraId="1ACD3DD2" w14:textId="77777777" w:rsidR="00826119" w:rsidRPr="003B3A98" w:rsidRDefault="002C7AB1" w:rsidP="003B3A98">
      <w:pPr>
        <w:pStyle w:val="Heading2"/>
      </w:pPr>
      <w:bookmarkStart w:id="62" w:name="_Toc406051449"/>
      <w:r w:rsidRPr="003B3A98">
        <w:t>Burden Statement</w:t>
      </w:r>
      <w:bookmarkEnd w:id="62"/>
      <w:r w:rsidR="003C4B12" w:rsidRPr="003B3A98">
        <w:t xml:space="preserve"> </w:t>
      </w:r>
    </w:p>
    <w:p w14:paraId="45B27C26" w14:textId="04D26B17" w:rsidR="003C4B12" w:rsidRPr="00CF32C7" w:rsidRDefault="002C7AB1" w:rsidP="003B3A98">
      <w:pPr>
        <w:pStyle w:val="BodyText"/>
      </w:pPr>
      <w:r w:rsidRPr="00CF32C7">
        <w:t xml:space="preserve">The annual public reporting and recordkeeping burden for this collection of information is estimated to </w:t>
      </w:r>
      <w:r w:rsidR="00AD7B0A" w:rsidRPr="00CF32C7">
        <w:t>range from</w:t>
      </w:r>
      <w:r w:rsidRPr="00CF32C7">
        <w:t xml:space="preserve"> </w:t>
      </w:r>
      <w:r w:rsidR="00AD7B0A" w:rsidRPr="00CF32C7">
        <w:t>39.2 to 86.</w:t>
      </w:r>
      <w:r w:rsidR="00ED74F5">
        <w:t>2</w:t>
      </w:r>
      <w:r w:rsidR="00ED74F5" w:rsidRPr="00CF32C7">
        <w:rPr>
          <w:color w:val="000000"/>
        </w:rPr>
        <w:t xml:space="preserve"> </w:t>
      </w:r>
      <w:r w:rsidRPr="00CF32C7">
        <w:rPr>
          <w:color w:val="000000"/>
        </w:rPr>
        <w:t xml:space="preserve">hours per response. Burden means the total time, effort, or </w:t>
      </w:r>
      <w:r w:rsidRPr="00CF32C7">
        <w:rPr>
          <w:color w:val="000000"/>
        </w:rPr>
        <w:lastRenderedPageBreak/>
        <w:t xml:space="preserve">financial resources expended by persons to generate, maintain, retain, or disclose or provide information to or for a Federal agency. </w:t>
      </w:r>
      <w:r w:rsidR="005617A5">
        <w:rPr>
          <w:color w:val="000000"/>
        </w:rPr>
        <w:t>Burden</w:t>
      </w:r>
      <w:r w:rsidRPr="00CF32C7">
        <w:rPr>
          <w:color w:val="000000"/>
        </w:rPr>
        <w:t xml:space="preserv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AC2267">
        <w:rPr>
          <w:color w:val="000000"/>
        </w:rPr>
        <w:t>’</w:t>
      </w:r>
      <w:r w:rsidRPr="00CF32C7">
        <w:rPr>
          <w:color w:val="000000"/>
        </w:rPr>
        <w:t xml:space="preserve">s regulations are listed in 40 CFR </w:t>
      </w:r>
      <w:r w:rsidR="00AC2267">
        <w:rPr>
          <w:color w:val="000000"/>
        </w:rPr>
        <w:t>Part</w:t>
      </w:r>
      <w:r w:rsidR="00AC2267" w:rsidRPr="00CF32C7">
        <w:rPr>
          <w:color w:val="000000"/>
        </w:rPr>
        <w:t xml:space="preserve"> </w:t>
      </w:r>
      <w:r w:rsidRPr="00CF32C7">
        <w:rPr>
          <w:color w:val="000000"/>
        </w:rPr>
        <w:t>9 and 48 CFR chapter 15.</w:t>
      </w:r>
    </w:p>
    <w:sectPr w:rsidR="003C4B12" w:rsidRPr="00CF32C7" w:rsidSect="00AD6354">
      <w:pgSz w:w="12240" w:h="15840"/>
      <w:pgMar w:top="1440" w:right="1440" w:bottom="1440" w:left="1440" w:header="720" w:footer="1440"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3302E" w14:textId="77777777" w:rsidR="007B7D96" w:rsidRDefault="007B7D96">
      <w:r>
        <w:separator/>
      </w:r>
    </w:p>
  </w:endnote>
  <w:endnote w:type="continuationSeparator" w:id="0">
    <w:p w14:paraId="46F3D350" w14:textId="77777777" w:rsidR="007B7D96" w:rsidRDefault="007B7D96">
      <w:r>
        <w:continuationSeparator/>
      </w:r>
    </w:p>
  </w:endnote>
  <w:endnote w:type="continuationNotice" w:id="1">
    <w:p w14:paraId="497889D9" w14:textId="77777777" w:rsidR="007B7D96" w:rsidRDefault="007B7D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25B4" w14:textId="22E787D7" w:rsidR="00600A32" w:rsidRPr="00E77608" w:rsidRDefault="00600A32" w:rsidP="00071994">
    <w:pPr>
      <w:spacing w:line="240" w:lineRule="exact"/>
    </w:pPr>
    <w:r>
      <w:rPr>
        <w:noProof/>
      </w:rPr>
      <w:t>December</w:t>
    </w:r>
    <w:r>
      <w:rPr>
        <w:noProof/>
      </w:rPr>
      <mc:AlternateContent>
        <mc:Choice Requires="wps">
          <w:drawing>
            <wp:anchor distT="4294967294" distB="4294967294" distL="114300" distR="114300" simplePos="0" relativeHeight="251659776" behindDoc="0" locked="0" layoutInCell="1" allowOverlap="1" wp14:anchorId="1B2D39E9" wp14:editId="3113585E">
              <wp:simplePos x="0" y="0"/>
              <wp:positionH relativeFrom="column">
                <wp:align>center</wp:align>
              </wp:positionH>
              <wp:positionV relativeFrom="paragraph">
                <wp:posOffset>-27306</wp:posOffset>
              </wp:positionV>
              <wp:extent cx="5943600" cy="0"/>
              <wp:effectExtent l="0" t="0" r="19050" b="1905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30246" id="Line 1" o:spid="_x0000_s1026" style="position:absolute;z-index:251659776;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Jl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"/>
          </w:pict>
        </mc:Fallback>
      </mc:AlternateContent>
    </w:r>
    <w:r>
      <w:rPr>
        <w:szCs w:val="16"/>
      </w:rPr>
      <w:t xml:space="preserve"> 2014</w:t>
    </w:r>
    <w:r>
      <w:rPr>
        <w:szCs w:val="16"/>
      </w:rPr>
      <w:tab/>
    </w:r>
    <w:r>
      <w:rPr>
        <w:szCs w:val="16"/>
      </w:rPr>
      <w:tab/>
    </w:r>
    <w:r>
      <w:rPr>
        <w:szCs w:val="16"/>
      </w:rPr>
      <w:tab/>
    </w:r>
    <w:r>
      <w:rPr>
        <w:szCs w:val="16"/>
      </w:rPr>
      <w:tab/>
    </w:r>
    <w:r w:rsidRPr="00E77608">
      <w:rPr>
        <w:rStyle w:val="PageNumber"/>
      </w:rPr>
      <w:fldChar w:fldCharType="begin"/>
    </w:r>
    <w:r w:rsidRPr="00E77608">
      <w:rPr>
        <w:rStyle w:val="PageNumber"/>
      </w:rPr>
      <w:instrText xml:space="preserve"> PAGE </w:instrText>
    </w:r>
    <w:r w:rsidRPr="00E77608">
      <w:rPr>
        <w:rStyle w:val="PageNumber"/>
      </w:rPr>
      <w:fldChar w:fldCharType="separate"/>
    </w:r>
    <w:r w:rsidR="00F71ADB">
      <w:rPr>
        <w:rStyle w:val="PageNumber"/>
        <w:noProof/>
      </w:rPr>
      <w:t>6-3</w:t>
    </w:r>
    <w:r w:rsidRPr="00E7760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720EC" w14:textId="77777777" w:rsidR="007B7D96" w:rsidRDefault="007B7D96">
      <w:r>
        <w:separator/>
      </w:r>
    </w:p>
  </w:footnote>
  <w:footnote w:type="continuationSeparator" w:id="0">
    <w:p w14:paraId="5F29A65D" w14:textId="77777777" w:rsidR="007B7D96" w:rsidRDefault="007B7D96">
      <w:r>
        <w:continuationSeparator/>
      </w:r>
    </w:p>
  </w:footnote>
  <w:footnote w:type="continuationNotice" w:id="1">
    <w:p w14:paraId="426C7EF7" w14:textId="77777777" w:rsidR="007B7D96" w:rsidRDefault="007B7D96">
      <w:pPr>
        <w:spacing w:after="0"/>
      </w:pPr>
    </w:p>
  </w:footnote>
  <w:footnote w:id="2">
    <w:p w14:paraId="13A4CA5B" w14:textId="3FBD4923" w:rsidR="00600A32" w:rsidRPr="00596832" w:rsidRDefault="00600A32" w:rsidP="00596832">
      <w:pPr>
        <w:pStyle w:val="Foonote"/>
        <w:ind w:left="360" w:hanging="360"/>
        <w:rPr>
          <w:rStyle w:val="Footnote"/>
        </w:rPr>
      </w:pPr>
      <w:r w:rsidRPr="00596832">
        <w:rPr>
          <w:rStyle w:val="Footnote"/>
          <w:vertAlign w:val="superscript"/>
        </w:rPr>
        <w:footnoteRef/>
      </w:r>
      <w:r>
        <w:rPr>
          <w:rStyle w:val="Footnote"/>
        </w:rPr>
        <w:t xml:space="preserve"> </w:t>
      </w:r>
      <w:r w:rsidRPr="00596832">
        <w:rPr>
          <w:rStyle w:val="Footnote"/>
        </w:rPr>
        <w:t xml:space="preserve">“State” in the CWA and this document refers to the 50 states, the District of Columbia, the Commonwealth of Puerto Rico, the U.S. Virgin Islands, Guam, American Samoa, and the Commonwealth of the Northern Mariana Islands. </w:t>
      </w:r>
    </w:p>
  </w:footnote>
  <w:footnote w:id="3">
    <w:p w14:paraId="33F3C353" w14:textId="77777777" w:rsidR="00600A32" w:rsidRPr="00596832" w:rsidRDefault="00600A32" w:rsidP="00596832">
      <w:pPr>
        <w:pStyle w:val="Foonote"/>
        <w:ind w:left="450" w:hanging="450"/>
        <w:rPr>
          <w:rStyle w:val="Footnote"/>
        </w:rPr>
      </w:pPr>
      <w:r w:rsidRPr="00596832">
        <w:rPr>
          <w:rStyle w:val="Footnote"/>
          <w:vertAlign w:val="superscript"/>
        </w:rPr>
        <w:footnoteRef/>
      </w:r>
      <w:r w:rsidRPr="00596832">
        <w:rPr>
          <w:rStyle w:val="Footnote"/>
        </w:rPr>
        <w:t xml:space="preserve"> “Authorized tribes” refers to those federally recognized Indian tribes with authority to administer a CWA WQS program.</w:t>
      </w:r>
    </w:p>
  </w:footnote>
  <w:footnote w:id="4">
    <w:p w14:paraId="724025B1" w14:textId="46F12669" w:rsidR="00600A32" w:rsidRPr="00596832" w:rsidRDefault="00600A32" w:rsidP="00596832">
      <w:pPr>
        <w:pStyle w:val="Foonote"/>
        <w:ind w:left="360" w:hanging="360"/>
        <w:rPr>
          <w:rStyle w:val="Footnote"/>
        </w:rPr>
      </w:pPr>
      <w:r w:rsidRPr="00596832">
        <w:rPr>
          <w:rStyle w:val="Footnote"/>
          <w:vertAlign w:val="superscript"/>
        </w:rPr>
        <w:footnoteRef/>
      </w:r>
      <w:r>
        <w:rPr>
          <w:rStyle w:val="Footnote"/>
        </w:rPr>
        <w:t xml:space="preserve"> </w:t>
      </w:r>
      <w:r w:rsidRPr="00596832">
        <w:rPr>
          <w:rStyle w:val="Footnote"/>
        </w:rPr>
        <w:t xml:space="preserve">48 Tribes have received EPA authorization to administer the water quality standards program under 40 CFR 131.8. </w:t>
      </w:r>
      <w:r>
        <w:rPr>
          <w:rStyle w:val="Footnote"/>
        </w:rPr>
        <w:t>EPA</w:t>
      </w:r>
      <w:r w:rsidRPr="00596832">
        <w:rPr>
          <w:rStyle w:val="Footnote"/>
        </w:rPr>
        <w:t xml:space="preserve"> maintains a current list of such authorized tribes at </w:t>
      </w:r>
      <w:hyperlink r:id="rId1" w:history="1">
        <w:r w:rsidRPr="00D41EB8">
          <w:rPr>
            <w:rStyle w:val="Hyperlink"/>
          </w:rPr>
          <w:t>http://water.epa.gov/scitech/swguidance/standards/wqslibrary/approvtable.cfm</w:t>
        </w:r>
      </w:hyperlink>
      <w:r w:rsidRPr="00596832">
        <w:rPr>
          <w:rStyle w:val="Footnote"/>
        </w:rPr>
        <w:t>.</w:t>
      </w:r>
      <w:r>
        <w:rPr>
          <w:rStyle w:val="Footnote"/>
        </w:rPr>
        <w:t xml:space="preserve"> </w:t>
      </w:r>
      <w:r w:rsidRPr="00596832">
        <w:rPr>
          <w:rStyle w:val="Footnote"/>
        </w:rPr>
        <w:t xml:space="preserve">However, for this ICR, </w:t>
      </w:r>
      <w:r>
        <w:rPr>
          <w:rStyle w:val="Footnote"/>
        </w:rPr>
        <w:t>EPA</w:t>
      </w:r>
      <w:r w:rsidRPr="00596832">
        <w:rPr>
          <w:rStyle w:val="Footnote"/>
        </w:rPr>
        <w:t xml:space="preserve"> assumes that only 40 tribes will be adopting or revising standards every three years, since, to date, only 40 of the 48 authorized tribes have EPA-approved WQS.</w:t>
      </w:r>
    </w:p>
  </w:footnote>
  <w:footnote w:id="5">
    <w:p w14:paraId="01A63AAF" w14:textId="77777777" w:rsidR="00600A32" w:rsidRPr="00596832" w:rsidRDefault="00600A32" w:rsidP="00596832">
      <w:pPr>
        <w:pStyle w:val="FootnoteText"/>
        <w:ind w:left="360" w:hanging="360"/>
        <w:rPr>
          <w:rStyle w:val="Footnote"/>
        </w:rPr>
      </w:pPr>
      <w:r w:rsidRPr="00596832">
        <w:rPr>
          <w:rStyle w:val="Footnote"/>
          <w:vertAlign w:val="superscript"/>
        </w:rPr>
        <w:footnoteRef/>
      </w:r>
      <w:r w:rsidRPr="00596832">
        <w:rPr>
          <w:rStyle w:val="Footnote"/>
        </w:rPr>
        <w:t xml:space="preserve"> The employees reviewing and approving WQS materials submitted by states and authorized tribes include EPA staff in the Washington, DC area and EPA regional staff. Hence, EPA calculates the average of all locality wage rates for federal employees at GS 13, Step 5 in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7AAEC" w14:textId="77777777" w:rsidR="00600A32" w:rsidRPr="00F12F00" w:rsidRDefault="00600A32" w:rsidP="00EB2145">
    <w:pPr>
      <w:pStyle w:val="Header"/>
      <w:jc w:val="center"/>
      <w:rPr>
        <w:i/>
      </w:rPr>
    </w:pPr>
    <w:r w:rsidRPr="00F12F00">
      <w:rPr>
        <w:i/>
      </w:rPr>
      <w:t>*** E.O. 12866 Review – Draft – Do Not Cite, Quote, or Release During Review ***</w:t>
    </w:r>
  </w:p>
  <w:p w14:paraId="781E5F10" w14:textId="77777777" w:rsidR="00600A32" w:rsidRDefault="00600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06EF" w14:textId="77777777" w:rsidR="00600A32" w:rsidRPr="00F12F00" w:rsidRDefault="00600A32" w:rsidP="00332C05">
    <w:pPr>
      <w:pStyle w:val="Header"/>
      <w:jc w:val="center"/>
      <w:rPr>
        <w:i/>
      </w:rPr>
    </w:pPr>
    <w:r w:rsidRPr="00F12F00">
      <w:rPr>
        <w:i/>
      </w:rPr>
      <w:t>*** E.O. 12866 Review – Draft – Do Not Cite, Quote, or Release During Review ***</w:t>
    </w:r>
  </w:p>
  <w:p w14:paraId="751FD98B" w14:textId="5E02D26E" w:rsidR="00600A32" w:rsidRPr="0049406C" w:rsidRDefault="00600A32">
    <w:pPr>
      <w:rPr>
        <w:rFonts w:ascii="Shruti" w:hAnsi="Shruti" w:cs="Shruti"/>
        <w:sz w:val="22"/>
        <w:szCs w:val="22"/>
      </w:rPr>
    </w:pPr>
    <w:r w:rsidRPr="0049406C">
      <w:rPr>
        <w:rFonts w:ascii="Shruti" w:hAnsi="Shruti" w:cs="Shruti"/>
        <w:sz w:val="22"/>
        <w:szCs w:val="22"/>
      </w:rPr>
      <w:t>Water Quality Standards Regulat</w:t>
    </w:r>
    <w:r>
      <w:rPr>
        <w:rFonts w:ascii="Shruti" w:hAnsi="Shruti" w:cs="Shruti"/>
        <w:sz w:val="22"/>
        <w:szCs w:val="22"/>
      </w:rPr>
      <w:t xml:space="preserve">ory Revisions </w:t>
    </w:r>
    <w:r w:rsidRPr="0049406C">
      <w:rPr>
        <w:rFonts w:ascii="Shruti" w:hAnsi="Shruti" w:cs="Shruti"/>
        <w:sz w:val="22"/>
        <w:szCs w:val="22"/>
      </w:rPr>
      <w:t>ICR</w:t>
    </w:r>
  </w:p>
  <w:p w14:paraId="61E9A460" w14:textId="77777777" w:rsidR="00600A32" w:rsidRDefault="00600A32">
    <w:pPr>
      <w:spacing w:line="19" w:lineRule="exact"/>
      <w:rPr>
        <w:rFonts w:ascii="Shruti" w:hAnsi="Shruti" w:cs="Shruti"/>
      </w:rPr>
    </w:pPr>
    <w:r>
      <w:rPr>
        <w:noProof/>
      </w:rPr>
      <mc:AlternateContent>
        <mc:Choice Requires="wps">
          <w:drawing>
            <wp:anchor distT="0" distB="0" distL="114300" distR="114300" simplePos="0" relativeHeight="251657728" behindDoc="1" locked="1" layoutInCell="0" allowOverlap="1" wp14:anchorId="40C3BFC3" wp14:editId="30A0608D">
              <wp:simplePos x="0" y="0"/>
              <wp:positionH relativeFrom="page">
                <wp:posOffset>914400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F438C"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5B53F2E1" w14:textId="77777777" w:rsidR="00600A32" w:rsidRDefault="00600A32">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3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nsid w:val="00000002"/>
    <w:multiLevelType w:val="multilevel"/>
    <w:tmpl w:val="00000000"/>
    <w:name w:val="AutoList1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2">
    <w:nsid w:val="00000003"/>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3">
    <w:nsid w:val="00000004"/>
    <w:multiLevelType w:val="multilevel"/>
    <w:tmpl w:val="00000000"/>
    <w:name w:val="AutoList3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nsid w:val="00000005"/>
    <w:multiLevelType w:val="multilevel"/>
    <w:tmpl w:val="00000000"/>
    <w:name w:val="AutoList14"/>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5">
    <w:nsid w:val="015414BF"/>
    <w:multiLevelType w:val="multilevel"/>
    <w:tmpl w:val="50F6781C"/>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840"/>
        </w:tabs>
        <w:ind w:left="84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color w:val="auto"/>
      </w:rPr>
    </w:lvl>
    <w:lvl w:ilvl="3">
      <w:start w:val="1"/>
      <w:numFmt w:val="decimal"/>
      <w:pStyle w:val="Heading4"/>
      <w:lvlText w:val="%1.%2.%3.%4"/>
      <w:lvlJc w:val="left"/>
      <w:pPr>
        <w:tabs>
          <w:tab w:val="num" w:pos="990"/>
        </w:tabs>
        <w:ind w:left="990" w:hanging="720"/>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028556F4"/>
    <w:multiLevelType w:val="multilevel"/>
    <w:tmpl w:val="D56ADAC0"/>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pStyle w:val="Heading9"/>
      <w:lvlText w:val=""/>
      <w:lvlJc w:val="left"/>
      <w:pPr>
        <w:tabs>
          <w:tab w:val="num" w:pos="3240"/>
        </w:tabs>
        <w:ind w:left="3240" w:hanging="360"/>
      </w:pPr>
      <w:rPr>
        <w:rFonts w:ascii="Symbol" w:hAnsi="Symbol" w:hint="default"/>
      </w:rPr>
    </w:lvl>
  </w:abstractNum>
  <w:abstractNum w:abstractNumId="7">
    <w:nsid w:val="07712B29"/>
    <w:multiLevelType w:val="hybridMultilevel"/>
    <w:tmpl w:val="1B2A5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5C7261"/>
    <w:multiLevelType w:val="hybridMultilevel"/>
    <w:tmpl w:val="AB9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C7AD3"/>
    <w:multiLevelType w:val="hybridMultilevel"/>
    <w:tmpl w:val="7A5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A68B4"/>
    <w:multiLevelType w:val="hybridMultilevel"/>
    <w:tmpl w:val="067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5693C"/>
    <w:multiLevelType w:val="hybridMultilevel"/>
    <w:tmpl w:val="032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B4A15"/>
    <w:multiLevelType w:val="hybridMultilevel"/>
    <w:tmpl w:val="9E4A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92592"/>
    <w:multiLevelType w:val="hybridMultilevel"/>
    <w:tmpl w:val="082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A850AA"/>
    <w:multiLevelType w:val="hybridMultilevel"/>
    <w:tmpl w:val="236AFB96"/>
    <w:lvl w:ilvl="0" w:tplc="6A943AE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5F3E5D"/>
    <w:multiLevelType w:val="hybridMultilevel"/>
    <w:tmpl w:val="7458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B0AA2"/>
    <w:multiLevelType w:val="hybridMultilevel"/>
    <w:tmpl w:val="5026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47E13"/>
    <w:multiLevelType w:val="hybridMultilevel"/>
    <w:tmpl w:val="02B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A6CE9"/>
    <w:multiLevelType w:val="hybridMultilevel"/>
    <w:tmpl w:val="0D9A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E85023"/>
    <w:multiLevelType w:val="hybridMultilevel"/>
    <w:tmpl w:val="07E68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D6C9C"/>
    <w:multiLevelType w:val="hybridMultilevel"/>
    <w:tmpl w:val="B4A6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B72D4"/>
    <w:multiLevelType w:val="hybridMultilevel"/>
    <w:tmpl w:val="EC1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DD62DF"/>
    <w:multiLevelType w:val="multilevel"/>
    <w:tmpl w:val="04090023"/>
    <w:styleLink w:val="ArticleSection"/>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638D58BC"/>
    <w:multiLevelType w:val="hybridMultilevel"/>
    <w:tmpl w:val="FA74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7204F"/>
    <w:multiLevelType w:val="hybridMultilevel"/>
    <w:tmpl w:val="3F94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F81EE1"/>
    <w:multiLevelType w:val="hybridMultilevel"/>
    <w:tmpl w:val="512A33CE"/>
    <w:lvl w:ilvl="0" w:tplc="BBA41AAA">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82B53"/>
    <w:multiLevelType w:val="hybridMultilevel"/>
    <w:tmpl w:val="723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56AB4"/>
    <w:multiLevelType w:val="hybridMultilevel"/>
    <w:tmpl w:val="8D3A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9"/>
  </w:num>
  <w:num w:numId="4">
    <w:abstractNumId w:val="25"/>
  </w:num>
  <w:num w:numId="5">
    <w:abstractNumId w:val="5"/>
  </w:num>
  <w:num w:numId="6">
    <w:abstractNumId w:val="14"/>
  </w:num>
  <w:num w:numId="7">
    <w:abstractNumId w:val="12"/>
  </w:num>
  <w:num w:numId="8">
    <w:abstractNumId w:val="7"/>
  </w:num>
  <w:num w:numId="9">
    <w:abstractNumId w:val="18"/>
  </w:num>
  <w:num w:numId="10">
    <w:abstractNumId w:val="17"/>
  </w:num>
  <w:num w:numId="11">
    <w:abstractNumId w:val="11"/>
  </w:num>
  <w:num w:numId="12">
    <w:abstractNumId w:val="20"/>
  </w:num>
  <w:num w:numId="13">
    <w:abstractNumId w:val="26"/>
  </w:num>
  <w:num w:numId="14">
    <w:abstractNumId w:val="21"/>
  </w:num>
  <w:num w:numId="15">
    <w:abstractNumId w:val="10"/>
  </w:num>
  <w:num w:numId="16">
    <w:abstractNumId w:val="16"/>
  </w:num>
  <w:num w:numId="17">
    <w:abstractNumId w:val="15"/>
  </w:num>
  <w:num w:numId="18">
    <w:abstractNumId w:val="23"/>
  </w:num>
  <w:num w:numId="19">
    <w:abstractNumId w:val="27"/>
  </w:num>
  <w:num w:numId="20">
    <w:abstractNumId w:val="24"/>
  </w:num>
  <w:num w:numId="21">
    <w:abstractNumId w:val="9"/>
  </w:num>
  <w:num w:numId="22">
    <w:abstractNumId w:val="8"/>
  </w:num>
  <w:num w:numId="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0289"/>
    <w:rsid w:val="00002208"/>
    <w:rsid w:val="00012670"/>
    <w:rsid w:val="00016D1F"/>
    <w:rsid w:val="00022A23"/>
    <w:rsid w:val="00022BCC"/>
    <w:rsid w:val="000234AA"/>
    <w:rsid w:val="00023B44"/>
    <w:rsid w:val="00024A2E"/>
    <w:rsid w:val="000279BA"/>
    <w:rsid w:val="0003412A"/>
    <w:rsid w:val="00037518"/>
    <w:rsid w:val="000416E8"/>
    <w:rsid w:val="00042B2A"/>
    <w:rsid w:val="00045F9B"/>
    <w:rsid w:val="000531A7"/>
    <w:rsid w:val="000606FC"/>
    <w:rsid w:val="00061CFF"/>
    <w:rsid w:val="00062D7D"/>
    <w:rsid w:val="000631F8"/>
    <w:rsid w:val="00063CD5"/>
    <w:rsid w:val="00067B76"/>
    <w:rsid w:val="000709E2"/>
    <w:rsid w:val="00071994"/>
    <w:rsid w:val="00075A8B"/>
    <w:rsid w:val="00076C06"/>
    <w:rsid w:val="00076DFE"/>
    <w:rsid w:val="00077E84"/>
    <w:rsid w:val="00081720"/>
    <w:rsid w:val="00083D36"/>
    <w:rsid w:val="00084B4A"/>
    <w:rsid w:val="00097E59"/>
    <w:rsid w:val="000A38EA"/>
    <w:rsid w:val="000B04ED"/>
    <w:rsid w:val="000B4EB5"/>
    <w:rsid w:val="000C18F9"/>
    <w:rsid w:val="000C678F"/>
    <w:rsid w:val="000C6CD6"/>
    <w:rsid w:val="000D4C15"/>
    <w:rsid w:val="000D7928"/>
    <w:rsid w:val="000E0483"/>
    <w:rsid w:val="000E2790"/>
    <w:rsid w:val="000E2837"/>
    <w:rsid w:val="000E3C65"/>
    <w:rsid w:val="000F36A7"/>
    <w:rsid w:val="00102F7E"/>
    <w:rsid w:val="00103C0B"/>
    <w:rsid w:val="00105A6D"/>
    <w:rsid w:val="00114AB3"/>
    <w:rsid w:val="00121389"/>
    <w:rsid w:val="001241A0"/>
    <w:rsid w:val="00133668"/>
    <w:rsid w:val="00141127"/>
    <w:rsid w:val="00143463"/>
    <w:rsid w:val="001457E7"/>
    <w:rsid w:val="00145DB0"/>
    <w:rsid w:val="00147A1E"/>
    <w:rsid w:val="001561C3"/>
    <w:rsid w:val="00157BB2"/>
    <w:rsid w:val="001632BC"/>
    <w:rsid w:val="001635C2"/>
    <w:rsid w:val="001730E1"/>
    <w:rsid w:val="00177233"/>
    <w:rsid w:val="001818E2"/>
    <w:rsid w:val="00184B7F"/>
    <w:rsid w:val="0019285A"/>
    <w:rsid w:val="001952D3"/>
    <w:rsid w:val="001968D7"/>
    <w:rsid w:val="00196EC5"/>
    <w:rsid w:val="00196EC9"/>
    <w:rsid w:val="00197612"/>
    <w:rsid w:val="001A045C"/>
    <w:rsid w:val="001A2466"/>
    <w:rsid w:val="001A6275"/>
    <w:rsid w:val="001A6BD0"/>
    <w:rsid w:val="001B0EAE"/>
    <w:rsid w:val="001B3816"/>
    <w:rsid w:val="001B49F5"/>
    <w:rsid w:val="001B4D3C"/>
    <w:rsid w:val="001B63D9"/>
    <w:rsid w:val="001C40A2"/>
    <w:rsid w:val="001C671A"/>
    <w:rsid w:val="001C7A1D"/>
    <w:rsid w:val="001D11FB"/>
    <w:rsid w:val="001E1D4A"/>
    <w:rsid w:val="001E66DF"/>
    <w:rsid w:val="001E681D"/>
    <w:rsid w:val="001F0113"/>
    <w:rsid w:val="001F070B"/>
    <w:rsid w:val="001F2C83"/>
    <w:rsid w:val="001F426D"/>
    <w:rsid w:val="001F6498"/>
    <w:rsid w:val="00203212"/>
    <w:rsid w:val="002118D5"/>
    <w:rsid w:val="00224461"/>
    <w:rsid w:val="0022611F"/>
    <w:rsid w:val="00234AF7"/>
    <w:rsid w:val="00235BC0"/>
    <w:rsid w:val="002370EE"/>
    <w:rsid w:val="00240814"/>
    <w:rsid w:val="00241D56"/>
    <w:rsid w:val="0024385E"/>
    <w:rsid w:val="00244975"/>
    <w:rsid w:val="00244FF6"/>
    <w:rsid w:val="00247365"/>
    <w:rsid w:val="00250703"/>
    <w:rsid w:val="00256385"/>
    <w:rsid w:val="00260BFE"/>
    <w:rsid w:val="00261560"/>
    <w:rsid w:val="00265FFE"/>
    <w:rsid w:val="002670AF"/>
    <w:rsid w:val="002704A9"/>
    <w:rsid w:val="00271917"/>
    <w:rsid w:val="00274C17"/>
    <w:rsid w:val="00274C90"/>
    <w:rsid w:val="00282419"/>
    <w:rsid w:val="00287348"/>
    <w:rsid w:val="00287779"/>
    <w:rsid w:val="0029092D"/>
    <w:rsid w:val="002909BE"/>
    <w:rsid w:val="002976A0"/>
    <w:rsid w:val="002B5DF3"/>
    <w:rsid w:val="002C49F3"/>
    <w:rsid w:val="002C53C3"/>
    <w:rsid w:val="002C7AB1"/>
    <w:rsid w:val="002D072D"/>
    <w:rsid w:val="002D2131"/>
    <w:rsid w:val="002D2F63"/>
    <w:rsid w:val="002D3715"/>
    <w:rsid w:val="002D72F6"/>
    <w:rsid w:val="002E062B"/>
    <w:rsid w:val="002E19A3"/>
    <w:rsid w:val="002E3EEB"/>
    <w:rsid w:val="002E4B36"/>
    <w:rsid w:val="002E50A3"/>
    <w:rsid w:val="002E525B"/>
    <w:rsid w:val="002E6F4E"/>
    <w:rsid w:val="002F0D5B"/>
    <w:rsid w:val="002F14FF"/>
    <w:rsid w:val="002F531F"/>
    <w:rsid w:val="002F55B4"/>
    <w:rsid w:val="002F6AC2"/>
    <w:rsid w:val="002F6F12"/>
    <w:rsid w:val="002F79A2"/>
    <w:rsid w:val="0030101F"/>
    <w:rsid w:val="00302F81"/>
    <w:rsid w:val="0031626B"/>
    <w:rsid w:val="003207F4"/>
    <w:rsid w:val="00320F9D"/>
    <w:rsid w:val="00321286"/>
    <w:rsid w:val="0032361E"/>
    <w:rsid w:val="00324F19"/>
    <w:rsid w:val="003253F2"/>
    <w:rsid w:val="003262D9"/>
    <w:rsid w:val="003301A2"/>
    <w:rsid w:val="00330A4F"/>
    <w:rsid w:val="00332C05"/>
    <w:rsid w:val="00333219"/>
    <w:rsid w:val="0033403D"/>
    <w:rsid w:val="00335507"/>
    <w:rsid w:val="00343EE4"/>
    <w:rsid w:val="00344572"/>
    <w:rsid w:val="00344C82"/>
    <w:rsid w:val="003473F0"/>
    <w:rsid w:val="003504F1"/>
    <w:rsid w:val="003508D4"/>
    <w:rsid w:val="003556C4"/>
    <w:rsid w:val="003558AF"/>
    <w:rsid w:val="003608B9"/>
    <w:rsid w:val="0036314A"/>
    <w:rsid w:val="003635B1"/>
    <w:rsid w:val="00363D0A"/>
    <w:rsid w:val="00367B72"/>
    <w:rsid w:val="00372855"/>
    <w:rsid w:val="003730FD"/>
    <w:rsid w:val="003766ED"/>
    <w:rsid w:val="00380EE0"/>
    <w:rsid w:val="00381864"/>
    <w:rsid w:val="00384E0E"/>
    <w:rsid w:val="00392982"/>
    <w:rsid w:val="00396F4C"/>
    <w:rsid w:val="003A29A8"/>
    <w:rsid w:val="003B1AFF"/>
    <w:rsid w:val="003B2649"/>
    <w:rsid w:val="003B3A98"/>
    <w:rsid w:val="003B573E"/>
    <w:rsid w:val="003B71F6"/>
    <w:rsid w:val="003C02FF"/>
    <w:rsid w:val="003C36C6"/>
    <w:rsid w:val="003C4B12"/>
    <w:rsid w:val="003C5CF6"/>
    <w:rsid w:val="003C5F1D"/>
    <w:rsid w:val="003C7352"/>
    <w:rsid w:val="003D2039"/>
    <w:rsid w:val="003E0C9A"/>
    <w:rsid w:val="003E1B7D"/>
    <w:rsid w:val="003E435F"/>
    <w:rsid w:val="003F36DA"/>
    <w:rsid w:val="004045DF"/>
    <w:rsid w:val="00404AAA"/>
    <w:rsid w:val="00404BCC"/>
    <w:rsid w:val="00406708"/>
    <w:rsid w:val="004073BE"/>
    <w:rsid w:val="00416A4B"/>
    <w:rsid w:val="00417120"/>
    <w:rsid w:val="0042239F"/>
    <w:rsid w:val="00424F54"/>
    <w:rsid w:val="0043329C"/>
    <w:rsid w:val="00433B9B"/>
    <w:rsid w:val="00436EBB"/>
    <w:rsid w:val="00440B87"/>
    <w:rsid w:val="00441DB4"/>
    <w:rsid w:val="004464B2"/>
    <w:rsid w:val="004464F9"/>
    <w:rsid w:val="00450B86"/>
    <w:rsid w:val="00450E20"/>
    <w:rsid w:val="0045256B"/>
    <w:rsid w:val="0045406D"/>
    <w:rsid w:val="00460441"/>
    <w:rsid w:val="00463574"/>
    <w:rsid w:val="004637F0"/>
    <w:rsid w:val="00465D56"/>
    <w:rsid w:val="004723E4"/>
    <w:rsid w:val="004758D4"/>
    <w:rsid w:val="00480F25"/>
    <w:rsid w:val="004863AF"/>
    <w:rsid w:val="00491000"/>
    <w:rsid w:val="0049198C"/>
    <w:rsid w:val="0049406C"/>
    <w:rsid w:val="004943D5"/>
    <w:rsid w:val="004953D5"/>
    <w:rsid w:val="004967F2"/>
    <w:rsid w:val="00497B26"/>
    <w:rsid w:val="00497E55"/>
    <w:rsid w:val="004A7961"/>
    <w:rsid w:val="004D55F3"/>
    <w:rsid w:val="004D6680"/>
    <w:rsid w:val="004E6730"/>
    <w:rsid w:val="004F5ECD"/>
    <w:rsid w:val="004F7931"/>
    <w:rsid w:val="0050157D"/>
    <w:rsid w:val="00503FEF"/>
    <w:rsid w:val="005046E3"/>
    <w:rsid w:val="005077B1"/>
    <w:rsid w:val="00513443"/>
    <w:rsid w:val="005210A4"/>
    <w:rsid w:val="00523340"/>
    <w:rsid w:val="00527728"/>
    <w:rsid w:val="00527CFB"/>
    <w:rsid w:val="005309AE"/>
    <w:rsid w:val="005319C8"/>
    <w:rsid w:val="00533214"/>
    <w:rsid w:val="00541F82"/>
    <w:rsid w:val="005467CE"/>
    <w:rsid w:val="0055120E"/>
    <w:rsid w:val="005512DB"/>
    <w:rsid w:val="00552FA9"/>
    <w:rsid w:val="00553227"/>
    <w:rsid w:val="0055400B"/>
    <w:rsid w:val="00555881"/>
    <w:rsid w:val="0056166F"/>
    <w:rsid w:val="005617A5"/>
    <w:rsid w:val="00563712"/>
    <w:rsid w:val="005641CE"/>
    <w:rsid w:val="005652F6"/>
    <w:rsid w:val="00567F32"/>
    <w:rsid w:val="00570161"/>
    <w:rsid w:val="00573A74"/>
    <w:rsid w:val="005754E6"/>
    <w:rsid w:val="005755E8"/>
    <w:rsid w:val="00576948"/>
    <w:rsid w:val="00580340"/>
    <w:rsid w:val="005857DC"/>
    <w:rsid w:val="00587A3A"/>
    <w:rsid w:val="0059671E"/>
    <w:rsid w:val="00596832"/>
    <w:rsid w:val="00596A08"/>
    <w:rsid w:val="005974B0"/>
    <w:rsid w:val="005A0123"/>
    <w:rsid w:val="005A4281"/>
    <w:rsid w:val="005A75FD"/>
    <w:rsid w:val="005B2276"/>
    <w:rsid w:val="005B5593"/>
    <w:rsid w:val="005B7926"/>
    <w:rsid w:val="005B7A7F"/>
    <w:rsid w:val="005C208F"/>
    <w:rsid w:val="005C3C0E"/>
    <w:rsid w:val="005C57DE"/>
    <w:rsid w:val="005C72C2"/>
    <w:rsid w:val="005D3E40"/>
    <w:rsid w:val="005D5CC8"/>
    <w:rsid w:val="005D7685"/>
    <w:rsid w:val="005E1036"/>
    <w:rsid w:val="005E43A9"/>
    <w:rsid w:val="005E468D"/>
    <w:rsid w:val="005E4CAC"/>
    <w:rsid w:val="005E6B10"/>
    <w:rsid w:val="005F390B"/>
    <w:rsid w:val="005F3A70"/>
    <w:rsid w:val="005F4AE1"/>
    <w:rsid w:val="005F5BCC"/>
    <w:rsid w:val="00600A32"/>
    <w:rsid w:val="00602D02"/>
    <w:rsid w:val="006045EB"/>
    <w:rsid w:val="006125C2"/>
    <w:rsid w:val="00614D75"/>
    <w:rsid w:val="00617AED"/>
    <w:rsid w:val="00625E0C"/>
    <w:rsid w:val="006330EF"/>
    <w:rsid w:val="00635D0E"/>
    <w:rsid w:val="006371E1"/>
    <w:rsid w:val="006401CE"/>
    <w:rsid w:val="006429F8"/>
    <w:rsid w:val="00643B34"/>
    <w:rsid w:val="00647540"/>
    <w:rsid w:val="00655000"/>
    <w:rsid w:val="00656F82"/>
    <w:rsid w:val="00663B38"/>
    <w:rsid w:val="00664981"/>
    <w:rsid w:val="00665F7A"/>
    <w:rsid w:val="00673189"/>
    <w:rsid w:val="00673589"/>
    <w:rsid w:val="006748E7"/>
    <w:rsid w:val="006774B1"/>
    <w:rsid w:val="00681F56"/>
    <w:rsid w:val="006820FC"/>
    <w:rsid w:val="00682A53"/>
    <w:rsid w:val="006837A6"/>
    <w:rsid w:val="0068517A"/>
    <w:rsid w:val="006853C9"/>
    <w:rsid w:val="00686E79"/>
    <w:rsid w:val="00687355"/>
    <w:rsid w:val="0068763C"/>
    <w:rsid w:val="0068775D"/>
    <w:rsid w:val="00687CD3"/>
    <w:rsid w:val="00687E7D"/>
    <w:rsid w:val="006934E4"/>
    <w:rsid w:val="00693F8E"/>
    <w:rsid w:val="006968F5"/>
    <w:rsid w:val="006A08A1"/>
    <w:rsid w:val="006A20CE"/>
    <w:rsid w:val="006A4927"/>
    <w:rsid w:val="006B0B6D"/>
    <w:rsid w:val="006B50D0"/>
    <w:rsid w:val="006B5FFE"/>
    <w:rsid w:val="006C42EE"/>
    <w:rsid w:val="006D4FC1"/>
    <w:rsid w:val="006D590B"/>
    <w:rsid w:val="006D7660"/>
    <w:rsid w:val="006E6E4C"/>
    <w:rsid w:val="006E703C"/>
    <w:rsid w:val="006E757E"/>
    <w:rsid w:val="006F3D04"/>
    <w:rsid w:val="006F466B"/>
    <w:rsid w:val="006F59F3"/>
    <w:rsid w:val="00700C47"/>
    <w:rsid w:val="00701540"/>
    <w:rsid w:val="0070388C"/>
    <w:rsid w:val="00704A75"/>
    <w:rsid w:val="00704F82"/>
    <w:rsid w:val="00714CB0"/>
    <w:rsid w:val="00717331"/>
    <w:rsid w:val="007212B5"/>
    <w:rsid w:val="00721A2C"/>
    <w:rsid w:val="00722C41"/>
    <w:rsid w:val="00731DC1"/>
    <w:rsid w:val="0073269D"/>
    <w:rsid w:val="00733419"/>
    <w:rsid w:val="00735CA2"/>
    <w:rsid w:val="00744965"/>
    <w:rsid w:val="007473E4"/>
    <w:rsid w:val="00747875"/>
    <w:rsid w:val="00747B77"/>
    <w:rsid w:val="00747C5B"/>
    <w:rsid w:val="007554C8"/>
    <w:rsid w:val="007609E2"/>
    <w:rsid w:val="0076123B"/>
    <w:rsid w:val="00762D98"/>
    <w:rsid w:val="00765D6E"/>
    <w:rsid w:val="00766725"/>
    <w:rsid w:val="0076688D"/>
    <w:rsid w:val="00775065"/>
    <w:rsid w:val="007808C1"/>
    <w:rsid w:val="00780F58"/>
    <w:rsid w:val="0078227A"/>
    <w:rsid w:val="0078785F"/>
    <w:rsid w:val="0079021B"/>
    <w:rsid w:val="007A0C7B"/>
    <w:rsid w:val="007A1061"/>
    <w:rsid w:val="007A2E7D"/>
    <w:rsid w:val="007A3EFB"/>
    <w:rsid w:val="007B4CF7"/>
    <w:rsid w:val="007B7D96"/>
    <w:rsid w:val="007D2422"/>
    <w:rsid w:val="007D2CBE"/>
    <w:rsid w:val="007D309D"/>
    <w:rsid w:val="007D3FF8"/>
    <w:rsid w:val="007E40E2"/>
    <w:rsid w:val="007E77C2"/>
    <w:rsid w:val="007F1282"/>
    <w:rsid w:val="007F52FD"/>
    <w:rsid w:val="007F6326"/>
    <w:rsid w:val="007F6BCA"/>
    <w:rsid w:val="007F78E7"/>
    <w:rsid w:val="008027D1"/>
    <w:rsid w:val="00805643"/>
    <w:rsid w:val="00810244"/>
    <w:rsid w:val="00810772"/>
    <w:rsid w:val="008131B7"/>
    <w:rsid w:val="00817744"/>
    <w:rsid w:val="00820637"/>
    <w:rsid w:val="00824DD3"/>
    <w:rsid w:val="00825117"/>
    <w:rsid w:val="00826119"/>
    <w:rsid w:val="00830F0B"/>
    <w:rsid w:val="00837531"/>
    <w:rsid w:val="00840C7F"/>
    <w:rsid w:val="00843D69"/>
    <w:rsid w:val="008516C8"/>
    <w:rsid w:val="008520CE"/>
    <w:rsid w:val="00856090"/>
    <w:rsid w:val="00860E43"/>
    <w:rsid w:val="00861755"/>
    <w:rsid w:val="00861B3E"/>
    <w:rsid w:val="00864673"/>
    <w:rsid w:val="008661C0"/>
    <w:rsid w:val="00867538"/>
    <w:rsid w:val="008710E3"/>
    <w:rsid w:val="00873637"/>
    <w:rsid w:val="00877526"/>
    <w:rsid w:val="00890398"/>
    <w:rsid w:val="00891634"/>
    <w:rsid w:val="00893283"/>
    <w:rsid w:val="008941A7"/>
    <w:rsid w:val="008A2F93"/>
    <w:rsid w:val="008B0214"/>
    <w:rsid w:val="008B085E"/>
    <w:rsid w:val="008C0548"/>
    <w:rsid w:val="008D0F72"/>
    <w:rsid w:val="008D1E6F"/>
    <w:rsid w:val="008D598E"/>
    <w:rsid w:val="008D732A"/>
    <w:rsid w:val="008D781B"/>
    <w:rsid w:val="008E2A20"/>
    <w:rsid w:val="008E3118"/>
    <w:rsid w:val="008E35B2"/>
    <w:rsid w:val="008F30B6"/>
    <w:rsid w:val="008F3525"/>
    <w:rsid w:val="008F4B0A"/>
    <w:rsid w:val="008F6FC0"/>
    <w:rsid w:val="008F74A4"/>
    <w:rsid w:val="009014F2"/>
    <w:rsid w:val="00907498"/>
    <w:rsid w:val="00912385"/>
    <w:rsid w:val="00920648"/>
    <w:rsid w:val="009249FB"/>
    <w:rsid w:val="00924DC6"/>
    <w:rsid w:val="0092508A"/>
    <w:rsid w:val="00932B55"/>
    <w:rsid w:val="00934F18"/>
    <w:rsid w:val="009361AC"/>
    <w:rsid w:val="00943C8E"/>
    <w:rsid w:val="009458A3"/>
    <w:rsid w:val="009460E1"/>
    <w:rsid w:val="0095395D"/>
    <w:rsid w:val="00957A33"/>
    <w:rsid w:val="00957DEC"/>
    <w:rsid w:val="00962FE7"/>
    <w:rsid w:val="009677ED"/>
    <w:rsid w:val="00967E94"/>
    <w:rsid w:val="00970F30"/>
    <w:rsid w:val="00972FB2"/>
    <w:rsid w:val="00982F3D"/>
    <w:rsid w:val="009833C7"/>
    <w:rsid w:val="009856BA"/>
    <w:rsid w:val="009860E7"/>
    <w:rsid w:val="00987DCC"/>
    <w:rsid w:val="00990946"/>
    <w:rsid w:val="00990E2B"/>
    <w:rsid w:val="00991398"/>
    <w:rsid w:val="009946F3"/>
    <w:rsid w:val="00995655"/>
    <w:rsid w:val="009A3117"/>
    <w:rsid w:val="009A4AEA"/>
    <w:rsid w:val="009A60A6"/>
    <w:rsid w:val="009B0CD7"/>
    <w:rsid w:val="009B3653"/>
    <w:rsid w:val="009B36D5"/>
    <w:rsid w:val="009B544B"/>
    <w:rsid w:val="009C2F2F"/>
    <w:rsid w:val="009C2F94"/>
    <w:rsid w:val="009C75F4"/>
    <w:rsid w:val="009E09F0"/>
    <w:rsid w:val="009E1D15"/>
    <w:rsid w:val="009E20AC"/>
    <w:rsid w:val="009E2107"/>
    <w:rsid w:val="009E2A7B"/>
    <w:rsid w:val="009F0C8F"/>
    <w:rsid w:val="00A00CD0"/>
    <w:rsid w:val="00A01E49"/>
    <w:rsid w:val="00A074E2"/>
    <w:rsid w:val="00A1442D"/>
    <w:rsid w:val="00A14D24"/>
    <w:rsid w:val="00A179A2"/>
    <w:rsid w:val="00A17DBC"/>
    <w:rsid w:val="00A2089B"/>
    <w:rsid w:val="00A20E08"/>
    <w:rsid w:val="00A22639"/>
    <w:rsid w:val="00A23801"/>
    <w:rsid w:val="00A23938"/>
    <w:rsid w:val="00A26D2B"/>
    <w:rsid w:val="00A27F3D"/>
    <w:rsid w:val="00A30F1D"/>
    <w:rsid w:val="00A34874"/>
    <w:rsid w:val="00A40776"/>
    <w:rsid w:val="00A40F85"/>
    <w:rsid w:val="00A434C6"/>
    <w:rsid w:val="00A43964"/>
    <w:rsid w:val="00A5253A"/>
    <w:rsid w:val="00A5376F"/>
    <w:rsid w:val="00A551EF"/>
    <w:rsid w:val="00A6223C"/>
    <w:rsid w:val="00A63D37"/>
    <w:rsid w:val="00A676E6"/>
    <w:rsid w:val="00A72514"/>
    <w:rsid w:val="00A72AD5"/>
    <w:rsid w:val="00A73CAC"/>
    <w:rsid w:val="00A75D85"/>
    <w:rsid w:val="00A9755D"/>
    <w:rsid w:val="00AA16F3"/>
    <w:rsid w:val="00AA23B4"/>
    <w:rsid w:val="00AA5B05"/>
    <w:rsid w:val="00AB02E2"/>
    <w:rsid w:val="00AB136F"/>
    <w:rsid w:val="00AB4124"/>
    <w:rsid w:val="00AB49DB"/>
    <w:rsid w:val="00AB567E"/>
    <w:rsid w:val="00AB6264"/>
    <w:rsid w:val="00AC008A"/>
    <w:rsid w:val="00AC050E"/>
    <w:rsid w:val="00AC1A4B"/>
    <w:rsid w:val="00AC2267"/>
    <w:rsid w:val="00AC412A"/>
    <w:rsid w:val="00AC54CE"/>
    <w:rsid w:val="00AC57EB"/>
    <w:rsid w:val="00AC63D2"/>
    <w:rsid w:val="00AD6354"/>
    <w:rsid w:val="00AD7B0A"/>
    <w:rsid w:val="00AE05C7"/>
    <w:rsid w:val="00AE2753"/>
    <w:rsid w:val="00AE2D00"/>
    <w:rsid w:val="00AE3689"/>
    <w:rsid w:val="00AE6912"/>
    <w:rsid w:val="00AF270B"/>
    <w:rsid w:val="00AF67C1"/>
    <w:rsid w:val="00B009F7"/>
    <w:rsid w:val="00B00DD7"/>
    <w:rsid w:val="00B2406D"/>
    <w:rsid w:val="00B254DC"/>
    <w:rsid w:val="00B35257"/>
    <w:rsid w:val="00B36BCE"/>
    <w:rsid w:val="00B5193F"/>
    <w:rsid w:val="00B52228"/>
    <w:rsid w:val="00B546F5"/>
    <w:rsid w:val="00B6618F"/>
    <w:rsid w:val="00B70B6A"/>
    <w:rsid w:val="00B71560"/>
    <w:rsid w:val="00B7466B"/>
    <w:rsid w:val="00B7618A"/>
    <w:rsid w:val="00B80253"/>
    <w:rsid w:val="00B90926"/>
    <w:rsid w:val="00B911AC"/>
    <w:rsid w:val="00B95A97"/>
    <w:rsid w:val="00BA1E1B"/>
    <w:rsid w:val="00BA26BD"/>
    <w:rsid w:val="00BA4364"/>
    <w:rsid w:val="00BB2EF2"/>
    <w:rsid w:val="00BB3653"/>
    <w:rsid w:val="00BB3706"/>
    <w:rsid w:val="00BB3CC5"/>
    <w:rsid w:val="00BB53F6"/>
    <w:rsid w:val="00BB563B"/>
    <w:rsid w:val="00BB6EEA"/>
    <w:rsid w:val="00BC03AB"/>
    <w:rsid w:val="00BC05DA"/>
    <w:rsid w:val="00BC0EB1"/>
    <w:rsid w:val="00BC3DBD"/>
    <w:rsid w:val="00BC43D2"/>
    <w:rsid w:val="00BC47EB"/>
    <w:rsid w:val="00BD3345"/>
    <w:rsid w:val="00BE0A54"/>
    <w:rsid w:val="00BE4CAD"/>
    <w:rsid w:val="00BE4E5E"/>
    <w:rsid w:val="00BE68DC"/>
    <w:rsid w:val="00BE702B"/>
    <w:rsid w:val="00BE70DA"/>
    <w:rsid w:val="00BF18EE"/>
    <w:rsid w:val="00BF1FD9"/>
    <w:rsid w:val="00BF4A9B"/>
    <w:rsid w:val="00BF6459"/>
    <w:rsid w:val="00C006D5"/>
    <w:rsid w:val="00C00798"/>
    <w:rsid w:val="00C01EB7"/>
    <w:rsid w:val="00C03A4D"/>
    <w:rsid w:val="00C1356F"/>
    <w:rsid w:val="00C13781"/>
    <w:rsid w:val="00C13C4D"/>
    <w:rsid w:val="00C14EF2"/>
    <w:rsid w:val="00C16ED1"/>
    <w:rsid w:val="00C2255A"/>
    <w:rsid w:val="00C238E5"/>
    <w:rsid w:val="00C353D6"/>
    <w:rsid w:val="00C375A0"/>
    <w:rsid w:val="00C378B0"/>
    <w:rsid w:val="00C4285B"/>
    <w:rsid w:val="00C4315E"/>
    <w:rsid w:val="00C449A7"/>
    <w:rsid w:val="00C45E9E"/>
    <w:rsid w:val="00C46517"/>
    <w:rsid w:val="00C502CD"/>
    <w:rsid w:val="00C50A35"/>
    <w:rsid w:val="00C5149C"/>
    <w:rsid w:val="00C556E3"/>
    <w:rsid w:val="00C63AD6"/>
    <w:rsid w:val="00C648A1"/>
    <w:rsid w:val="00C71600"/>
    <w:rsid w:val="00C72708"/>
    <w:rsid w:val="00C72C0C"/>
    <w:rsid w:val="00C83A63"/>
    <w:rsid w:val="00C848E0"/>
    <w:rsid w:val="00C85AEA"/>
    <w:rsid w:val="00C86A59"/>
    <w:rsid w:val="00C90905"/>
    <w:rsid w:val="00C94A38"/>
    <w:rsid w:val="00CA0086"/>
    <w:rsid w:val="00CA0CB5"/>
    <w:rsid w:val="00CA109B"/>
    <w:rsid w:val="00CA181A"/>
    <w:rsid w:val="00CA2B4D"/>
    <w:rsid w:val="00CA3FF4"/>
    <w:rsid w:val="00CA4319"/>
    <w:rsid w:val="00CA5A17"/>
    <w:rsid w:val="00CB0566"/>
    <w:rsid w:val="00CB15BB"/>
    <w:rsid w:val="00CB3C86"/>
    <w:rsid w:val="00CB7EE3"/>
    <w:rsid w:val="00CC0C01"/>
    <w:rsid w:val="00CC0E0B"/>
    <w:rsid w:val="00CC584B"/>
    <w:rsid w:val="00CD30E9"/>
    <w:rsid w:val="00CD3249"/>
    <w:rsid w:val="00CD3B30"/>
    <w:rsid w:val="00CD4947"/>
    <w:rsid w:val="00CD4CE4"/>
    <w:rsid w:val="00CE323D"/>
    <w:rsid w:val="00CF32C7"/>
    <w:rsid w:val="00D01229"/>
    <w:rsid w:val="00D01FA4"/>
    <w:rsid w:val="00D02557"/>
    <w:rsid w:val="00D06B9C"/>
    <w:rsid w:val="00D10B55"/>
    <w:rsid w:val="00D110E2"/>
    <w:rsid w:val="00D14627"/>
    <w:rsid w:val="00D15B71"/>
    <w:rsid w:val="00D15E72"/>
    <w:rsid w:val="00D164B3"/>
    <w:rsid w:val="00D17547"/>
    <w:rsid w:val="00D21B0B"/>
    <w:rsid w:val="00D22F62"/>
    <w:rsid w:val="00D24BE0"/>
    <w:rsid w:val="00D265B9"/>
    <w:rsid w:val="00D30824"/>
    <w:rsid w:val="00D366D5"/>
    <w:rsid w:val="00D40348"/>
    <w:rsid w:val="00D40658"/>
    <w:rsid w:val="00D40E5B"/>
    <w:rsid w:val="00D44608"/>
    <w:rsid w:val="00D5028E"/>
    <w:rsid w:val="00D50313"/>
    <w:rsid w:val="00D511D4"/>
    <w:rsid w:val="00D51771"/>
    <w:rsid w:val="00D56E35"/>
    <w:rsid w:val="00D575C6"/>
    <w:rsid w:val="00D61A55"/>
    <w:rsid w:val="00D62D2B"/>
    <w:rsid w:val="00D64AB8"/>
    <w:rsid w:val="00D710D6"/>
    <w:rsid w:val="00D71DB1"/>
    <w:rsid w:val="00D75A36"/>
    <w:rsid w:val="00D76942"/>
    <w:rsid w:val="00D82994"/>
    <w:rsid w:val="00D91DDE"/>
    <w:rsid w:val="00D93A2E"/>
    <w:rsid w:val="00D9711C"/>
    <w:rsid w:val="00DA1275"/>
    <w:rsid w:val="00DA5BD3"/>
    <w:rsid w:val="00DB0434"/>
    <w:rsid w:val="00DB07CB"/>
    <w:rsid w:val="00DB7013"/>
    <w:rsid w:val="00DC1B19"/>
    <w:rsid w:val="00DC3143"/>
    <w:rsid w:val="00DC6AC8"/>
    <w:rsid w:val="00DC7EDB"/>
    <w:rsid w:val="00DD56F0"/>
    <w:rsid w:val="00DD62B1"/>
    <w:rsid w:val="00DE3154"/>
    <w:rsid w:val="00DE51B1"/>
    <w:rsid w:val="00DF204A"/>
    <w:rsid w:val="00DF4B87"/>
    <w:rsid w:val="00DF5D12"/>
    <w:rsid w:val="00E01A0B"/>
    <w:rsid w:val="00E03559"/>
    <w:rsid w:val="00E05BD8"/>
    <w:rsid w:val="00E07E85"/>
    <w:rsid w:val="00E12993"/>
    <w:rsid w:val="00E2190B"/>
    <w:rsid w:val="00E2333D"/>
    <w:rsid w:val="00E23416"/>
    <w:rsid w:val="00E26040"/>
    <w:rsid w:val="00E3592F"/>
    <w:rsid w:val="00E3720F"/>
    <w:rsid w:val="00E40728"/>
    <w:rsid w:val="00E465ED"/>
    <w:rsid w:val="00E53107"/>
    <w:rsid w:val="00E539DE"/>
    <w:rsid w:val="00E53FDF"/>
    <w:rsid w:val="00E54015"/>
    <w:rsid w:val="00E548AE"/>
    <w:rsid w:val="00E56DAB"/>
    <w:rsid w:val="00E60214"/>
    <w:rsid w:val="00E61DB1"/>
    <w:rsid w:val="00E652E6"/>
    <w:rsid w:val="00E65B3C"/>
    <w:rsid w:val="00E7083C"/>
    <w:rsid w:val="00E708E1"/>
    <w:rsid w:val="00E71A33"/>
    <w:rsid w:val="00E71E62"/>
    <w:rsid w:val="00E737AD"/>
    <w:rsid w:val="00E77362"/>
    <w:rsid w:val="00E77608"/>
    <w:rsid w:val="00E777E7"/>
    <w:rsid w:val="00E81D62"/>
    <w:rsid w:val="00E85FD6"/>
    <w:rsid w:val="00E91F28"/>
    <w:rsid w:val="00E92685"/>
    <w:rsid w:val="00E93B1A"/>
    <w:rsid w:val="00E94363"/>
    <w:rsid w:val="00E94BC8"/>
    <w:rsid w:val="00E9712C"/>
    <w:rsid w:val="00EA0475"/>
    <w:rsid w:val="00EA2EB2"/>
    <w:rsid w:val="00EA2F59"/>
    <w:rsid w:val="00EA3669"/>
    <w:rsid w:val="00EA39AA"/>
    <w:rsid w:val="00EA6000"/>
    <w:rsid w:val="00EA74F9"/>
    <w:rsid w:val="00EB20F2"/>
    <w:rsid w:val="00EB2145"/>
    <w:rsid w:val="00EB5356"/>
    <w:rsid w:val="00EB7AC9"/>
    <w:rsid w:val="00EC2FDD"/>
    <w:rsid w:val="00EC54D4"/>
    <w:rsid w:val="00EC56E9"/>
    <w:rsid w:val="00EC6D76"/>
    <w:rsid w:val="00EC7D84"/>
    <w:rsid w:val="00EC7F29"/>
    <w:rsid w:val="00ED295F"/>
    <w:rsid w:val="00ED6A9C"/>
    <w:rsid w:val="00ED74F5"/>
    <w:rsid w:val="00EE0268"/>
    <w:rsid w:val="00EE2C9F"/>
    <w:rsid w:val="00EE3121"/>
    <w:rsid w:val="00EE5219"/>
    <w:rsid w:val="00EF0754"/>
    <w:rsid w:val="00EF254C"/>
    <w:rsid w:val="00EF370D"/>
    <w:rsid w:val="00EF5D1A"/>
    <w:rsid w:val="00EF6543"/>
    <w:rsid w:val="00EF7337"/>
    <w:rsid w:val="00F061FC"/>
    <w:rsid w:val="00F06DBA"/>
    <w:rsid w:val="00F0773E"/>
    <w:rsid w:val="00F11708"/>
    <w:rsid w:val="00F13C69"/>
    <w:rsid w:val="00F14E48"/>
    <w:rsid w:val="00F317D3"/>
    <w:rsid w:val="00F32709"/>
    <w:rsid w:val="00F3340B"/>
    <w:rsid w:val="00F354EF"/>
    <w:rsid w:val="00F43A01"/>
    <w:rsid w:val="00F540EA"/>
    <w:rsid w:val="00F56E21"/>
    <w:rsid w:val="00F61307"/>
    <w:rsid w:val="00F616B8"/>
    <w:rsid w:val="00F622A2"/>
    <w:rsid w:val="00F62C71"/>
    <w:rsid w:val="00F701C7"/>
    <w:rsid w:val="00F71ADB"/>
    <w:rsid w:val="00F7775E"/>
    <w:rsid w:val="00F8307F"/>
    <w:rsid w:val="00F83B4E"/>
    <w:rsid w:val="00F90B9D"/>
    <w:rsid w:val="00F914C8"/>
    <w:rsid w:val="00F92C08"/>
    <w:rsid w:val="00F9492B"/>
    <w:rsid w:val="00FA08BB"/>
    <w:rsid w:val="00FB4E52"/>
    <w:rsid w:val="00FB69FE"/>
    <w:rsid w:val="00FC07D9"/>
    <w:rsid w:val="00FC098A"/>
    <w:rsid w:val="00FC0F24"/>
    <w:rsid w:val="00FC2E73"/>
    <w:rsid w:val="00FC3DCF"/>
    <w:rsid w:val="00FC6EB5"/>
    <w:rsid w:val="00FD53CD"/>
    <w:rsid w:val="00FE016E"/>
    <w:rsid w:val="00FE1442"/>
    <w:rsid w:val="00FE653F"/>
    <w:rsid w:val="00FE660D"/>
    <w:rsid w:val="00FE7A02"/>
    <w:rsid w:val="00FF1705"/>
    <w:rsid w:val="00FF324A"/>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118C3"/>
  <w15:docId w15:val="{0A73A703-292C-419D-BC45-4A6F9282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4C"/>
    <w:pPr>
      <w:spacing w:after="120"/>
    </w:pPr>
    <w:rPr>
      <w:sz w:val="24"/>
    </w:rPr>
  </w:style>
  <w:style w:type="paragraph" w:styleId="Heading1">
    <w:name w:val="heading 1"/>
    <w:basedOn w:val="Normal"/>
    <w:next w:val="BodyText"/>
    <w:link w:val="Heading1Char"/>
    <w:uiPriority w:val="99"/>
    <w:qFormat/>
    <w:rsid w:val="00396F4C"/>
    <w:pPr>
      <w:keepNext/>
      <w:keepLines/>
      <w:pageBreakBefore/>
      <w:numPr>
        <w:numId w:val="5"/>
      </w:numPr>
      <w:pBdr>
        <w:top w:val="single" w:sz="48" w:space="1" w:color="000066"/>
        <w:bottom w:val="single" w:sz="48" w:space="1" w:color="000066"/>
      </w:pBdr>
      <w:shd w:val="clear" w:color="auto" w:fill="000066"/>
      <w:spacing w:before="240" w:after="240"/>
      <w:outlineLvl w:val="0"/>
    </w:pPr>
    <w:rPr>
      <w:rFonts w:ascii="Arial" w:hAnsi="Arial"/>
      <w:b/>
      <w:color w:val="FFFFFF"/>
      <w:kern w:val="28"/>
      <w:sz w:val="28"/>
    </w:rPr>
  </w:style>
  <w:style w:type="paragraph" w:styleId="Heading2">
    <w:name w:val="heading 2"/>
    <w:basedOn w:val="Heading1"/>
    <w:next w:val="BodyText"/>
    <w:link w:val="Heading2Char"/>
    <w:uiPriority w:val="99"/>
    <w:qFormat/>
    <w:rsid w:val="005A75FD"/>
    <w:pPr>
      <w:pageBreakBefore w:val="0"/>
      <w:numPr>
        <w:ilvl w:val="1"/>
      </w:numPr>
      <w:pBdr>
        <w:top w:val="none" w:sz="0" w:space="0" w:color="auto"/>
        <w:bottom w:val="none" w:sz="0" w:space="0" w:color="auto"/>
      </w:pBdr>
      <w:shd w:val="clear" w:color="auto" w:fill="auto"/>
      <w:spacing w:after="60"/>
      <w:ind w:left="720"/>
      <w:outlineLvl w:val="1"/>
    </w:pPr>
    <w:rPr>
      <w:bCs/>
      <w:color w:val="auto"/>
      <w:sz w:val="24"/>
    </w:rPr>
  </w:style>
  <w:style w:type="paragraph" w:styleId="Heading3">
    <w:name w:val="heading 3"/>
    <w:basedOn w:val="Heading2"/>
    <w:next w:val="BodyText"/>
    <w:link w:val="Heading3Char"/>
    <w:uiPriority w:val="99"/>
    <w:qFormat/>
    <w:rsid w:val="00396F4C"/>
    <w:pPr>
      <w:numPr>
        <w:ilvl w:val="2"/>
      </w:numPr>
      <w:spacing w:before="180"/>
      <w:outlineLvl w:val="2"/>
    </w:pPr>
    <w:rPr>
      <w:iCs/>
      <w:sz w:val="22"/>
    </w:rPr>
  </w:style>
  <w:style w:type="paragraph" w:styleId="Heading4">
    <w:name w:val="heading 4"/>
    <w:basedOn w:val="Heading3"/>
    <w:link w:val="Heading4Char"/>
    <w:uiPriority w:val="99"/>
    <w:qFormat/>
    <w:rsid w:val="00396F4C"/>
    <w:pPr>
      <w:numPr>
        <w:ilvl w:val="3"/>
      </w:numPr>
      <w:tabs>
        <w:tab w:val="left" w:pos="1152"/>
      </w:tabs>
      <w:outlineLvl w:val="3"/>
    </w:pPr>
    <w:rPr>
      <w:iCs w:val="0"/>
    </w:rPr>
  </w:style>
  <w:style w:type="paragraph" w:styleId="Heading5">
    <w:name w:val="heading 5"/>
    <w:basedOn w:val="Heading4"/>
    <w:link w:val="Heading5Char"/>
    <w:uiPriority w:val="99"/>
    <w:qFormat/>
    <w:rsid w:val="00396F4C"/>
    <w:pPr>
      <w:numPr>
        <w:ilvl w:val="4"/>
      </w:numPr>
      <w:outlineLvl w:val="4"/>
    </w:pPr>
  </w:style>
  <w:style w:type="paragraph" w:styleId="Heading6">
    <w:name w:val="heading 6"/>
    <w:basedOn w:val="Normal"/>
    <w:next w:val="Normal"/>
    <w:link w:val="Heading6Char"/>
    <w:uiPriority w:val="99"/>
    <w:qFormat/>
    <w:rsid w:val="00396F4C"/>
    <w:pPr>
      <w:numPr>
        <w:ilvl w:val="5"/>
        <w:numId w:val="5"/>
      </w:numPr>
      <w:spacing w:before="240" w:after="60"/>
      <w:outlineLvl w:val="5"/>
    </w:pPr>
    <w:rPr>
      <w:i/>
      <w:sz w:val="20"/>
    </w:rPr>
  </w:style>
  <w:style w:type="paragraph" w:styleId="Heading7">
    <w:name w:val="heading 7"/>
    <w:basedOn w:val="Heading1"/>
    <w:next w:val="Normal"/>
    <w:link w:val="Heading7Char"/>
    <w:uiPriority w:val="99"/>
    <w:qFormat/>
    <w:rsid w:val="00396F4C"/>
    <w:pPr>
      <w:numPr>
        <w:ilvl w:val="6"/>
      </w:numPr>
      <w:spacing w:after="60"/>
      <w:outlineLvl w:val="6"/>
    </w:pPr>
    <w:rPr>
      <w:rFonts w:ascii="Arial Bold" w:hAnsi="Arial Bold"/>
    </w:rPr>
  </w:style>
  <w:style w:type="paragraph" w:styleId="Heading8">
    <w:name w:val="heading 8"/>
    <w:basedOn w:val="Normal"/>
    <w:next w:val="Normal"/>
    <w:link w:val="Heading8Char"/>
    <w:uiPriority w:val="99"/>
    <w:qFormat/>
    <w:rsid w:val="00396F4C"/>
    <w:pPr>
      <w:numPr>
        <w:ilvl w:val="7"/>
        <w:numId w:val="5"/>
      </w:numPr>
      <w:spacing w:before="240" w:after="60"/>
      <w:ind w:left="1440" w:hanging="1440"/>
      <w:outlineLvl w:val="7"/>
    </w:pPr>
    <w:rPr>
      <w:rFonts w:ascii="Arial" w:hAnsi="Arial"/>
      <w:i/>
      <w:sz w:val="20"/>
    </w:rPr>
  </w:style>
  <w:style w:type="paragraph" w:styleId="Heading9">
    <w:name w:val="heading 9"/>
    <w:basedOn w:val="Normal"/>
    <w:next w:val="Normal"/>
    <w:link w:val="Heading9Char"/>
    <w:uiPriority w:val="99"/>
    <w:qFormat/>
    <w:rsid w:val="00396F4C"/>
    <w:pPr>
      <w:numPr>
        <w:ilvl w:val="8"/>
        <w:numId w:val="1"/>
      </w:numPr>
      <w:tabs>
        <w:tab w:val="clear" w:pos="3240"/>
      </w:tabs>
      <w:spacing w:before="240" w:after="60"/>
      <w:ind w:left="0"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C3C0E"/>
    <w:rPr>
      <w:vertAlign w:val="superscript"/>
    </w:rPr>
  </w:style>
  <w:style w:type="paragraph" w:styleId="TOC1">
    <w:name w:val="toc 1"/>
    <w:basedOn w:val="Normal"/>
    <w:next w:val="Normal"/>
    <w:uiPriority w:val="39"/>
    <w:rsid w:val="00AA16F3"/>
    <w:pPr>
      <w:ind w:left="720" w:hanging="720"/>
    </w:pPr>
    <w:rPr>
      <w:b/>
    </w:rPr>
  </w:style>
  <w:style w:type="paragraph" w:styleId="TOC2">
    <w:name w:val="toc 2"/>
    <w:basedOn w:val="Normal"/>
    <w:next w:val="Normal"/>
    <w:uiPriority w:val="39"/>
    <w:rsid w:val="00AA16F3"/>
    <w:pPr>
      <w:ind w:left="720" w:hanging="720"/>
    </w:pPr>
  </w:style>
  <w:style w:type="character" w:customStyle="1" w:styleId="Level-01">
    <w:name w:val="Level-01"/>
    <w:rsid w:val="00F914C8"/>
    <w:rPr>
      <w:rFonts w:ascii="Shruti" w:hAnsi="Shruti" w:cs="Shruti"/>
      <w:sz w:val="20"/>
      <w:szCs w:val="20"/>
    </w:rPr>
  </w:style>
  <w:style w:type="character" w:customStyle="1" w:styleId="Hypertext">
    <w:name w:val="Hypertext"/>
    <w:rsid w:val="00F914C8"/>
    <w:rPr>
      <w:color w:val="0000FF"/>
      <w:u w:val="single"/>
    </w:rPr>
  </w:style>
  <w:style w:type="paragraph" w:customStyle="1" w:styleId="Level1">
    <w:name w:val="Level 1"/>
    <w:basedOn w:val="Normal"/>
    <w:rsid w:val="00F914C8"/>
    <w:pPr>
      <w:ind w:left="1440" w:hanging="720"/>
    </w:pPr>
  </w:style>
  <w:style w:type="paragraph" w:customStyle="1" w:styleId="a">
    <w:name w:val="_"/>
    <w:basedOn w:val="Normal"/>
    <w:rsid w:val="00F914C8"/>
    <w:pPr>
      <w:ind w:left="1440" w:hanging="720"/>
    </w:pPr>
  </w:style>
  <w:style w:type="paragraph" w:styleId="BalloonText">
    <w:name w:val="Balloon Text"/>
    <w:basedOn w:val="Normal"/>
    <w:semiHidden/>
    <w:rsid w:val="001B63D9"/>
    <w:rPr>
      <w:rFonts w:ascii="Tahoma" w:hAnsi="Tahoma" w:cs="Tahoma"/>
      <w:sz w:val="16"/>
      <w:szCs w:val="16"/>
    </w:rPr>
  </w:style>
  <w:style w:type="paragraph" w:styleId="Header">
    <w:name w:val="header"/>
    <w:basedOn w:val="Normal"/>
    <w:link w:val="HeaderChar"/>
    <w:uiPriority w:val="99"/>
    <w:rsid w:val="0049406C"/>
    <w:pPr>
      <w:tabs>
        <w:tab w:val="center" w:pos="4320"/>
        <w:tab w:val="right" w:pos="8640"/>
      </w:tabs>
    </w:pPr>
  </w:style>
  <w:style w:type="paragraph" w:styleId="Footer">
    <w:name w:val="footer"/>
    <w:basedOn w:val="Normal"/>
    <w:rsid w:val="0049406C"/>
    <w:pPr>
      <w:tabs>
        <w:tab w:val="center" w:pos="4320"/>
        <w:tab w:val="right" w:pos="8640"/>
      </w:tabs>
    </w:pPr>
  </w:style>
  <w:style w:type="character" w:styleId="Hyperlink">
    <w:name w:val="Hyperlink"/>
    <w:rsid w:val="00B70B6A"/>
    <w:rPr>
      <w:color w:val="0000FF"/>
      <w:u w:val="single"/>
    </w:rPr>
  </w:style>
  <w:style w:type="character" w:styleId="PageNumber">
    <w:name w:val="page number"/>
    <w:basedOn w:val="DefaultParagraphFont"/>
    <w:rsid w:val="005E4CAC"/>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121389"/>
    <w:rPr>
      <w:sz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link w:val="FootnoteText"/>
    <w:rsid w:val="00121389"/>
    <w:rPr>
      <w:rFonts w:ascii="Courier" w:hAnsi="Courier"/>
    </w:rPr>
  </w:style>
  <w:style w:type="character" w:styleId="CommentReference">
    <w:name w:val="annotation reference"/>
    <w:rsid w:val="00E71A33"/>
    <w:rPr>
      <w:sz w:val="16"/>
      <w:szCs w:val="16"/>
    </w:rPr>
  </w:style>
  <w:style w:type="paragraph" w:styleId="CommentText">
    <w:name w:val="annotation text"/>
    <w:basedOn w:val="Normal"/>
    <w:link w:val="CommentTextChar"/>
    <w:rsid w:val="00E71A33"/>
    <w:rPr>
      <w:sz w:val="20"/>
    </w:rPr>
  </w:style>
  <w:style w:type="character" w:customStyle="1" w:styleId="CommentTextChar">
    <w:name w:val="Comment Text Char"/>
    <w:link w:val="CommentText"/>
    <w:rsid w:val="00E71A33"/>
    <w:rPr>
      <w:rFonts w:ascii="Courier" w:hAnsi="Courier"/>
    </w:rPr>
  </w:style>
  <w:style w:type="paragraph" w:styleId="CommentSubject">
    <w:name w:val="annotation subject"/>
    <w:basedOn w:val="CommentText"/>
    <w:next w:val="CommentText"/>
    <w:link w:val="CommentSubjectChar"/>
    <w:rsid w:val="00E71A33"/>
    <w:rPr>
      <w:b/>
      <w:bCs/>
    </w:rPr>
  </w:style>
  <w:style w:type="character" w:customStyle="1" w:styleId="CommentSubjectChar">
    <w:name w:val="Comment Subject Char"/>
    <w:link w:val="CommentSubject"/>
    <w:rsid w:val="00E71A33"/>
    <w:rPr>
      <w:rFonts w:ascii="Courier" w:hAnsi="Courier"/>
      <w:b/>
      <w:bCs/>
    </w:rPr>
  </w:style>
  <w:style w:type="paragraph" w:customStyle="1" w:styleId="Bodynoindent">
    <w:name w:val="Bodynoindent"/>
    <w:basedOn w:val="BodyText"/>
    <w:next w:val="BodyText"/>
    <w:link w:val="BodynoindentChar"/>
    <w:qFormat/>
    <w:rsid w:val="00396F4C"/>
    <w:pPr>
      <w:numPr>
        <w:ilvl w:val="12"/>
      </w:numPr>
      <w:spacing w:before="120" w:line="240" w:lineRule="auto"/>
    </w:pPr>
    <w:rPr>
      <w:szCs w:val="24"/>
    </w:rPr>
  </w:style>
  <w:style w:type="character" w:customStyle="1" w:styleId="BodynoindentChar">
    <w:name w:val="Bodynoindent Char"/>
    <w:basedOn w:val="BodyTextChar"/>
    <w:link w:val="Bodynoindent"/>
    <w:rsid w:val="00396F4C"/>
    <w:rPr>
      <w:sz w:val="24"/>
      <w:szCs w:val="24"/>
    </w:rPr>
  </w:style>
  <w:style w:type="character" w:customStyle="1" w:styleId="Heading1Char">
    <w:name w:val="Heading 1 Char"/>
    <w:link w:val="Heading1"/>
    <w:uiPriority w:val="99"/>
    <w:rsid w:val="00396F4C"/>
    <w:rPr>
      <w:rFonts w:ascii="Arial" w:hAnsi="Arial"/>
      <w:b/>
      <w:color w:val="FFFFFF"/>
      <w:kern w:val="28"/>
      <w:sz w:val="28"/>
      <w:shd w:val="clear" w:color="auto" w:fill="000066"/>
    </w:rPr>
  </w:style>
  <w:style w:type="character" w:customStyle="1" w:styleId="Heading2Char">
    <w:name w:val="Heading 2 Char"/>
    <w:link w:val="Heading2"/>
    <w:uiPriority w:val="99"/>
    <w:rsid w:val="005A75FD"/>
    <w:rPr>
      <w:rFonts w:ascii="Arial" w:hAnsi="Arial"/>
      <w:b/>
      <w:bCs/>
      <w:kern w:val="28"/>
      <w:sz w:val="24"/>
    </w:rPr>
  </w:style>
  <w:style w:type="character" w:customStyle="1" w:styleId="Heading3Char">
    <w:name w:val="Heading 3 Char"/>
    <w:link w:val="Heading3"/>
    <w:uiPriority w:val="99"/>
    <w:rsid w:val="00396F4C"/>
    <w:rPr>
      <w:rFonts w:ascii="Arial" w:hAnsi="Arial"/>
      <w:b/>
      <w:bCs/>
      <w:iCs/>
      <w:kern w:val="28"/>
      <w:sz w:val="22"/>
    </w:rPr>
  </w:style>
  <w:style w:type="character" w:customStyle="1" w:styleId="Heading4Char">
    <w:name w:val="Heading 4 Char"/>
    <w:link w:val="Heading4"/>
    <w:uiPriority w:val="99"/>
    <w:rsid w:val="00396F4C"/>
    <w:rPr>
      <w:rFonts w:ascii="Arial" w:hAnsi="Arial"/>
      <w:b/>
      <w:bCs/>
      <w:kern w:val="28"/>
      <w:sz w:val="22"/>
    </w:rPr>
  </w:style>
  <w:style w:type="character" w:customStyle="1" w:styleId="Heading5Char">
    <w:name w:val="Heading 5 Char"/>
    <w:link w:val="Heading5"/>
    <w:uiPriority w:val="99"/>
    <w:rsid w:val="00396F4C"/>
    <w:rPr>
      <w:rFonts w:ascii="Arial" w:hAnsi="Arial"/>
      <w:b/>
      <w:bCs/>
      <w:kern w:val="28"/>
      <w:sz w:val="22"/>
    </w:rPr>
  </w:style>
  <w:style w:type="character" w:customStyle="1" w:styleId="Heading6Char">
    <w:name w:val="Heading 6 Char"/>
    <w:link w:val="Heading6"/>
    <w:uiPriority w:val="99"/>
    <w:rsid w:val="00396F4C"/>
    <w:rPr>
      <w:i/>
    </w:rPr>
  </w:style>
  <w:style w:type="character" w:customStyle="1" w:styleId="Heading7Char">
    <w:name w:val="Heading 7 Char"/>
    <w:link w:val="Heading7"/>
    <w:uiPriority w:val="99"/>
    <w:rsid w:val="00396F4C"/>
    <w:rPr>
      <w:rFonts w:ascii="Arial Bold" w:hAnsi="Arial Bold"/>
      <w:b/>
      <w:color w:val="FFFFFF"/>
      <w:kern w:val="28"/>
      <w:sz w:val="28"/>
      <w:shd w:val="clear" w:color="auto" w:fill="000066"/>
    </w:rPr>
  </w:style>
  <w:style w:type="character" w:customStyle="1" w:styleId="Heading8Char">
    <w:name w:val="Heading 8 Char"/>
    <w:link w:val="Heading8"/>
    <w:uiPriority w:val="99"/>
    <w:rsid w:val="00396F4C"/>
    <w:rPr>
      <w:rFonts w:ascii="Arial" w:hAnsi="Arial"/>
      <w:i/>
    </w:rPr>
  </w:style>
  <w:style w:type="character" w:customStyle="1" w:styleId="Heading9Char">
    <w:name w:val="Heading 9 Char"/>
    <w:link w:val="Heading9"/>
    <w:uiPriority w:val="99"/>
    <w:rsid w:val="00396F4C"/>
    <w:rPr>
      <w:rFonts w:ascii="Arial" w:hAnsi="Arial"/>
      <w:b/>
      <w:i/>
      <w:sz w:val="18"/>
    </w:rPr>
  </w:style>
  <w:style w:type="paragraph" w:styleId="BodyText">
    <w:name w:val="Body Text"/>
    <w:basedOn w:val="Normal"/>
    <w:link w:val="BodyTextChar"/>
    <w:uiPriority w:val="99"/>
    <w:rsid w:val="00077E84"/>
    <w:pPr>
      <w:spacing w:before="60" w:line="264" w:lineRule="auto"/>
    </w:pPr>
  </w:style>
  <w:style w:type="character" w:customStyle="1" w:styleId="BodyTextChar">
    <w:name w:val="Body Text Char"/>
    <w:link w:val="BodyText"/>
    <w:uiPriority w:val="99"/>
    <w:rsid w:val="00077E84"/>
    <w:rPr>
      <w:sz w:val="24"/>
    </w:rPr>
  </w:style>
  <w:style w:type="paragraph" w:styleId="Caption">
    <w:name w:val="caption"/>
    <w:basedOn w:val="Normal"/>
    <w:next w:val="Normal"/>
    <w:link w:val="CaptionChar1"/>
    <w:autoRedefine/>
    <w:uiPriority w:val="99"/>
    <w:qFormat/>
    <w:rsid w:val="003B3A98"/>
    <w:pPr>
      <w:keepNext/>
      <w:keepLines/>
      <w:spacing w:after="0"/>
      <w:jc w:val="center"/>
    </w:pPr>
    <w:rPr>
      <w:rFonts w:cs="Arial"/>
      <w:b/>
    </w:rPr>
  </w:style>
  <w:style w:type="character" w:customStyle="1" w:styleId="CaptionChar">
    <w:name w:val="Caption Char"/>
    <w:uiPriority w:val="99"/>
    <w:locked/>
    <w:rsid w:val="00D71DB1"/>
    <w:rPr>
      <w:rFonts w:cs="Arial"/>
      <w:b/>
      <w:sz w:val="22"/>
    </w:rPr>
  </w:style>
  <w:style w:type="paragraph" w:customStyle="1" w:styleId="ExhibitHeading">
    <w:name w:val="Exhibit Heading"/>
    <w:basedOn w:val="Normal"/>
    <w:uiPriority w:val="99"/>
    <w:rsid w:val="00780F58"/>
    <w:pPr>
      <w:keepNext/>
      <w:spacing w:after="0"/>
      <w:jc w:val="center"/>
    </w:pPr>
    <w:rPr>
      <w:rFonts w:ascii="Garamond" w:hAnsi="Garamond" w:cs="Arial"/>
      <w:b/>
      <w:bCs/>
      <w:sz w:val="22"/>
      <w:szCs w:val="22"/>
    </w:rPr>
  </w:style>
  <w:style w:type="paragraph" w:customStyle="1" w:styleId="ExhibitLeft">
    <w:name w:val="Exhibit Left"/>
    <w:basedOn w:val="Normal"/>
    <w:uiPriority w:val="99"/>
    <w:rsid w:val="005A75FD"/>
    <w:pPr>
      <w:spacing w:after="0"/>
    </w:pPr>
    <w:rPr>
      <w:rFonts w:ascii="Garamond" w:hAnsi="Garamond" w:cs="Arial"/>
      <w:szCs w:val="22"/>
    </w:rPr>
  </w:style>
  <w:style w:type="paragraph" w:customStyle="1" w:styleId="ExhibitCenter">
    <w:name w:val="Exhibit Center"/>
    <w:basedOn w:val="Normal"/>
    <w:autoRedefine/>
    <w:uiPriority w:val="99"/>
    <w:rsid w:val="005A75FD"/>
    <w:pPr>
      <w:spacing w:after="0"/>
      <w:jc w:val="center"/>
    </w:pPr>
    <w:rPr>
      <w:rFonts w:ascii="Garamond" w:hAnsi="Garamond" w:cs="Arial"/>
    </w:rPr>
  </w:style>
  <w:style w:type="paragraph" w:customStyle="1" w:styleId="ExhibitTitle">
    <w:name w:val="Exhibit Title"/>
    <w:basedOn w:val="Normal"/>
    <w:uiPriority w:val="99"/>
    <w:rsid w:val="00D71DB1"/>
    <w:pPr>
      <w:jc w:val="center"/>
    </w:pPr>
    <w:rPr>
      <w:rFonts w:cs="Arial"/>
      <w:b/>
      <w:bCs/>
    </w:rPr>
  </w:style>
  <w:style w:type="paragraph" w:styleId="ListBullet">
    <w:name w:val="List Bullet"/>
    <w:basedOn w:val="Normal"/>
    <w:link w:val="ListBulletChar"/>
    <w:uiPriority w:val="99"/>
    <w:rsid w:val="00D71DB1"/>
    <w:pPr>
      <w:numPr>
        <w:numId w:val="1"/>
      </w:numPr>
      <w:spacing w:line="264" w:lineRule="auto"/>
    </w:pPr>
    <w:rPr>
      <w:sz w:val="20"/>
    </w:rPr>
  </w:style>
  <w:style w:type="character" w:customStyle="1" w:styleId="ListBulletChar">
    <w:name w:val="List Bullet Char"/>
    <w:link w:val="ListBullet"/>
    <w:uiPriority w:val="99"/>
    <w:locked/>
    <w:rsid w:val="00D71DB1"/>
  </w:style>
  <w:style w:type="paragraph" w:styleId="DocumentMap">
    <w:name w:val="Document Map"/>
    <w:basedOn w:val="Normal"/>
    <w:semiHidden/>
    <w:rsid w:val="00DC6AC8"/>
    <w:pPr>
      <w:shd w:val="clear" w:color="auto" w:fill="000080"/>
    </w:pPr>
    <w:rPr>
      <w:rFonts w:ascii="Tahoma" w:hAnsi="Tahoma" w:cs="Tahoma"/>
      <w:sz w:val="20"/>
    </w:rPr>
  </w:style>
  <w:style w:type="character" w:styleId="FollowedHyperlink">
    <w:name w:val="FollowedHyperlink"/>
    <w:rsid w:val="009B0CD7"/>
    <w:rPr>
      <w:color w:val="800080"/>
      <w:u w:val="single"/>
    </w:rPr>
  </w:style>
  <w:style w:type="character" w:customStyle="1" w:styleId="CaptionChar1">
    <w:name w:val="Caption Char1"/>
    <w:link w:val="Caption"/>
    <w:uiPriority w:val="99"/>
    <w:locked/>
    <w:rsid w:val="003B3A98"/>
    <w:rPr>
      <w:rFonts w:cs="Arial"/>
      <w:b/>
      <w:sz w:val="24"/>
    </w:rPr>
  </w:style>
  <w:style w:type="paragraph" w:styleId="ListNumber5">
    <w:name w:val="List Number 5"/>
    <w:basedOn w:val="Normal"/>
    <w:uiPriority w:val="99"/>
    <w:rsid w:val="00F317D3"/>
    <w:pPr>
      <w:numPr>
        <w:numId w:val="2"/>
      </w:numPr>
      <w:tabs>
        <w:tab w:val="clear" w:pos="1440"/>
        <w:tab w:val="num" w:pos="1800"/>
      </w:tabs>
      <w:ind w:left="1800" w:hanging="360"/>
    </w:pPr>
  </w:style>
  <w:style w:type="numbering" w:styleId="ArticleSection">
    <w:name w:val="Outline List 3"/>
    <w:basedOn w:val="NoList"/>
    <w:uiPriority w:val="99"/>
    <w:unhideWhenUsed/>
    <w:rsid w:val="00F317D3"/>
    <w:pPr>
      <w:numPr>
        <w:numId w:val="2"/>
      </w:numPr>
    </w:pPr>
  </w:style>
  <w:style w:type="paragraph" w:customStyle="1" w:styleId="Exhibitright">
    <w:name w:val="Exhibit right"/>
    <w:basedOn w:val="ExhibitLeft"/>
    <w:uiPriority w:val="99"/>
    <w:rsid w:val="00F317D3"/>
    <w:pPr>
      <w:spacing w:after="120"/>
      <w:jc w:val="right"/>
    </w:pPr>
    <w:rPr>
      <w:b/>
    </w:rPr>
  </w:style>
  <w:style w:type="paragraph" w:styleId="Revision">
    <w:name w:val="Revision"/>
    <w:hidden/>
    <w:uiPriority w:val="99"/>
    <w:semiHidden/>
    <w:rsid w:val="00FF6CDC"/>
    <w:rPr>
      <w:rFonts w:ascii="Courier" w:hAnsi="Courier"/>
      <w:sz w:val="24"/>
      <w:szCs w:val="24"/>
    </w:rPr>
  </w:style>
  <w:style w:type="paragraph" w:styleId="TOC3">
    <w:name w:val="toc 3"/>
    <w:basedOn w:val="Normal"/>
    <w:next w:val="Normal"/>
    <w:autoRedefine/>
    <w:uiPriority w:val="39"/>
    <w:rsid w:val="00AA16F3"/>
    <w:pPr>
      <w:ind w:left="720"/>
    </w:pPr>
  </w:style>
  <w:style w:type="character" w:customStyle="1" w:styleId="HeaderChar">
    <w:name w:val="Header Char"/>
    <w:basedOn w:val="DefaultParagraphFont"/>
    <w:link w:val="Header"/>
    <w:uiPriority w:val="99"/>
    <w:rsid w:val="00EB5356"/>
    <w:rPr>
      <w:rFonts w:ascii="Courier" w:hAnsi="Courier"/>
      <w:sz w:val="24"/>
      <w:szCs w:val="24"/>
    </w:rPr>
  </w:style>
  <w:style w:type="character" w:customStyle="1" w:styleId="Footnote">
    <w:name w:val="Footnote"/>
    <w:uiPriority w:val="99"/>
    <w:locked/>
    <w:rsid w:val="00FB4E52"/>
    <w:rPr>
      <w:rFonts w:ascii="Times New Roman" w:eastAsia="Times New Roman" w:hAnsi="Times New Roman" w:cs="Times New Roman"/>
      <w:sz w:val="18"/>
      <w:szCs w:val="20"/>
    </w:rPr>
  </w:style>
  <w:style w:type="paragraph" w:styleId="ListParagraph">
    <w:name w:val="List Paragraph"/>
    <w:basedOn w:val="Normal"/>
    <w:uiPriority w:val="34"/>
    <w:qFormat/>
    <w:rsid w:val="00396F4C"/>
    <w:pPr>
      <w:ind w:left="720"/>
      <w:contextualSpacing/>
    </w:pPr>
    <w:rPr>
      <w:rFonts w:cs="Arial"/>
    </w:rPr>
  </w:style>
  <w:style w:type="paragraph" w:customStyle="1" w:styleId="ChapSum">
    <w:name w:val="ChapSum"/>
    <w:basedOn w:val="BodyText"/>
    <w:next w:val="BodyText"/>
    <w:uiPriority w:val="99"/>
    <w:rsid w:val="00673189"/>
    <w:pPr>
      <w:pBdr>
        <w:top w:val="single" w:sz="4" w:space="1" w:color="808080"/>
        <w:bottom w:val="single" w:sz="4" w:space="1" w:color="808080"/>
      </w:pBdr>
      <w:shd w:val="clear" w:color="auto" w:fill="FFFFCC"/>
      <w:spacing w:before="0" w:line="240" w:lineRule="auto"/>
    </w:pPr>
  </w:style>
  <w:style w:type="paragraph" w:customStyle="1" w:styleId="bullet">
    <w:name w:val="bullet"/>
    <w:basedOn w:val="Normal"/>
    <w:qFormat/>
    <w:rsid w:val="00396F4C"/>
    <w:pPr>
      <w:numPr>
        <w:numId w:val="6"/>
      </w:numPr>
      <w:tabs>
        <w:tab w:val="left" w:pos="810"/>
      </w:tabs>
      <w:autoSpaceDE w:val="0"/>
      <w:autoSpaceDN w:val="0"/>
      <w:adjustRightInd w:val="0"/>
      <w:spacing w:before="60" w:after="60"/>
    </w:pPr>
    <w:rPr>
      <w:szCs w:val="24"/>
    </w:rPr>
  </w:style>
  <w:style w:type="paragraph" w:styleId="Title">
    <w:name w:val="Title"/>
    <w:basedOn w:val="Normal"/>
    <w:next w:val="Normal"/>
    <w:link w:val="TitleChar"/>
    <w:uiPriority w:val="10"/>
    <w:qFormat/>
    <w:rsid w:val="00396F4C"/>
    <w:pPr>
      <w:keepNext/>
      <w:keepLines/>
      <w:spacing w:after="180"/>
    </w:pPr>
    <w:rPr>
      <w:rFonts w:ascii="Cambria" w:hAnsi="Cambria"/>
      <w:b/>
      <w:bCs/>
      <w:kern w:val="28"/>
      <w:sz w:val="32"/>
      <w:szCs w:val="32"/>
    </w:rPr>
  </w:style>
  <w:style w:type="character" w:customStyle="1" w:styleId="TitleChar">
    <w:name w:val="Title Char"/>
    <w:link w:val="Title"/>
    <w:uiPriority w:val="10"/>
    <w:rsid w:val="00396F4C"/>
    <w:rPr>
      <w:rFonts w:ascii="Cambria" w:hAnsi="Cambria"/>
      <w:b/>
      <w:bCs/>
      <w:kern w:val="28"/>
      <w:sz w:val="32"/>
      <w:szCs w:val="32"/>
    </w:rPr>
  </w:style>
  <w:style w:type="character" w:styleId="Strong">
    <w:name w:val="Strong"/>
    <w:uiPriority w:val="99"/>
    <w:qFormat/>
    <w:rsid w:val="00396F4C"/>
    <w:rPr>
      <w:rFonts w:cs="Times New Roman"/>
      <w:b/>
      <w:bCs/>
    </w:rPr>
  </w:style>
  <w:style w:type="character" w:styleId="Emphasis">
    <w:name w:val="Emphasis"/>
    <w:uiPriority w:val="99"/>
    <w:qFormat/>
    <w:rsid w:val="00396F4C"/>
    <w:rPr>
      <w:rFonts w:cs="Times New Roman"/>
      <w:i/>
      <w:iCs/>
    </w:rPr>
  </w:style>
  <w:style w:type="paragraph" w:styleId="NoSpacing">
    <w:name w:val="No Spacing"/>
    <w:uiPriority w:val="99"/>
    <w:qFormat/>
    <w:rsid w:val="00396F4C"/>
    <w:rPr>
      <w:rFonts w:ascii="Calibri" w:hAnsi="Calibri"/>
      <w:sz w:val="22"/>
      <w:szCs w:val="22"/>
    </w:rPr>
  </w:style>
  <w:style w:type="paragraph" w:styleId="TOCHeading">
    <w:name w:val="TOC Heading"/>
    <w:basedOn w:val="Heading1"/>
    <w:uiPriority w:val="99"/>
    <w:qFormat/>
    <w:rsid w:val="00396F4C"/>
    <w:pPr>
      <w:pageBreakBefore w:val="0"/>
      <w:numPr>
        <w:numId w:val="0"/>
      </w:numPr>
      <w:tabs>
        <w:tab w:val="left" w:pos="360"/>
      </w:tabs>
    </w:pPr>
  </w:style>
  <w:style w:type="paragraph" w:customStyle="1" w:styleId="bulletlist">
    <w:name w:val="bullet list"/>
    <w:basedOn w:val="a"/>
    <w:rsid w:val="00FB69FE"/>
    <w:pPr>
      <w:keepLines/>
      <w:numPr>
        <w:numId w:val="4"/>
      </w:numPr>
      <w:tabs>
        <w:tab w:val="left" w:pos="0"/>
        <w:tab w:val="left" w:pos="1080"/>
      </w:tabs>
      <w:spacing w:line="276" w:lineRule="auto"/>
    </w:pPr>
    <w:rPr>
      <w:iCs/>
      <w:color w:val="000000"/>
    </w:rPr>
  </w:style>
  <w:style w:type="paragraph" w:styleId="Quote">
    <w:name w:val="Quote"/>
    <w:basedOn w:val="Normal"/>
    <w:next w:val="Normal"/>
    <w:link w:val="QuoteChar"/>
    <w:uiPriority w:val="29"/>
    <w:qFormat/>
    <w:rsid w:val="005A75FD"/>
    <w:pPr>
      <w:ind w:left="1440" w:right="1440"/>
      <w:jc w:val="both"/>
    </w:pPr>
    <w:rPr>
      <w:i/>
      <w:iCs/>
      <w:color w:val="000000" w:themeColor="text1"/>
      <w:sz w:val="22"/>
    </w:rPr>
  </w:style>
  <w:style w:type="character" w:customStyle="1" w:styleId="QuoteChar">
    <w:name w:val="Quote Char"/>
    <w:basedOn w:val="DefaultParagraphFont"/>
    <w:link w:val="Quote"/>
    <w:uiPriority w:val="29"/>
    <w:rsid w:val="005A75FD"/>
    <w:rPr>
      <w:i/>
      <w:iCs/>
      <w:color w:val="000000" w:themeColor="text1"/>
      <w:sz w:val="22"/>
    </w:rPr>
  </w:style>
  <w:style w:type="paragraph" w:customStyle="1" w:styleId="Exhibitnotes">
    <w:name w:val="Exhibit notes"/>
    <w:basedOn w:val="ExhibitLeft"/>
    <w:rsid w:val="005A75FD"/>
    <w:pPr>
      <w:keepNext/>
      <w:keepLines/>
    </w:pPr>
    <w:rPr>
      <w:sz w:val="22"/>
      <w:szCs w:val="24"/>
    </w:rPr>
  </w:style>
  <w:style w:type="paragraph" w:customStyle="1" w:styleId="Subheading">
    <w:name w:val="Subheading"/>
    <w:basedOn w:val="BodyText"/>
    <w:rsid w:val="003B3A98"/>
    <w:pPr>
      <w:keepNext/>
    </w:pPr>
    <w:rPr>
      <w:b/>
      <w:szCs w:val="24"/>
    </w:rPr>
  </w:style>
  <w:style w:type="paragraph" w:customStyle="1" w:styleId="Subheading2">
    <w:name w:val="Subheading 2"/>
    <w:basedOn w:val="BodyText"/>
    <w:rsid w:val="003B3A98"/>
    <w:pPr>
      <w:keepNext/>
      <w:spacing w:line="240" w:lineRule="auto"/>
    </w:pPr>
    <w:rPr>
      <w:szCs w:val="24"/>
      <w:u w:val="single"/>
    </w:rPr>
  </w:style>
  <w:style w:type="paragraph" w:customStyle="1" w:styleId="Foonote">
    <w:name w:val="Foonote"/>
    <w:basedOn w:val="Normal"/>
    <w:rsid w:val="00596832"/>
    <w:pPr>
      <w:spacing w:after="2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81491">
      <w:bodyDiv w:val="1"/>
      <w:marLeft w:val="0"/>
      <w:marRight w:val="0"/>
      <w:marTop w:val="0"/>
      <w:marBottom w:val="0"/>
      <w:divBdr>
        <w:top w:val="none" w:sz="0" w:space="0" w:color="auto"/>
        <w:left w:val="none" w:sz="0" w:space="0" w:color="auto"/>
        <w:bottom w:val="none" w:sz="0" w:space="0" w:color="auto"/>
        <w:right w:val="none" w:sz="0" w:space="0" w:color="auto"/>
      </w:divBdr>
    </w:div>
    <w:div w:id="411778996">
      <w:bodyDiv w:val="1"/>
      <w:marLeft w:val="0"/>
      <w:marRight w:val="0"/>
      <w:marTop w:val="0"/>
      <w:marBottom w:val="0"/>
      <w:divBdr>
        <w:top w:val="none" w:sz="0" w:space="0" w:color="auto"/>
        <w:left w:val="none" w:sz="0" w:space="0" w:color="auto"/>
        <w:bottom w:val="none" w:sz="0" w:space="0" w:color="auto"/>
        <w:right w:val="none" w:sz="0" w:space="0" w:color="auto"/>
      </w:divBdr>
    </w:div>
    <w:div w:id="1132288407">
      <w:bodyDiv w:val="1"/>
      <w:marLeft w:val="0"/>
      <w:marRight w:val="0"/>
      <w:marTop w:val="0"/>
      <w:marBottom w:val="0"/>
      <w:divBdr>
        <w:top w:val="none" w:sz="0" w:space="0" w:color="auto"/>
        <w:left w:val="none" w:sz="0" w:space="0" w:color="auto"/>
        <w:bottom w:val="none" w:sz="0" w:space="0" w:color="auto"/>
        <w:right w:val="none" w:sz="0" w:space="0" w:color="auto"/>
      </w:divBdr>
    </w:div>
    <w:div w:id="1140540695">
      <w:bodyDiv w:val="1"/>
      <w:marLeft w:val="0"/>
      <w:marRight w:val="0"/>
      <w:marTop w:val="0"/>
      <w:marBottom w:val="0"/>
      <w:divBdr>
        <w:top w:val="none" w:sz="0" w:space="0" w:color="auto"/>
        <w:left w:val="none" w:sz="0" w:space="0" w:color="auto"/>
        <w:bottom w:val="none" w:sz="0" w:space="0" w:color="auto"/>
        <w:right w:val="none" w:sz="0" w:space="0" w:color="auto"/>
      </w:divBdr>
    </w:div>
    <w:div w:id="1352411395">
      <w:bodyDiv w:val="1"/>
      <w:marLeft w:val="0"/>
      <w:marRight w:val="0"/>
      <w:marTop w:val="0"/>
      <w:marBottom w:val="0"/>
      <w:divBdr>
        <w:top w:val="none" w:sz="0" w:space="0" w:color="auto"/>
        <w:left w:val="none" w:sz="0" w:space="0" w:color="auto"/>
        <w:bottom w:val="none" w:sz="0" w:space="0" w:color="auto"/>
        <w:right w:val="none" w:sz="0" w:space="0" w:color="auto"/>
      </w:divBdr>
    </w:div>
    <w:div w:id="1436438088">
      <w:bodyDiv w:val="1"/>
      <w:marLeft w:val="0"/>
      <w:marRight w:val="0"/>
      <w:marTop w:val="0"/>
      <w:marBottom w:val="0"/>
      <w:divBdr>
        <w:top w:val="none" w:sz="0" w:space="0" w:color="auto"/>
        <w:left w:val="none" w:sz="0" w:space="0" w:color="auto"/>
        <w:bottom w:val="none" w:sz="0" w:space="0" w:color="auto"/>
        <w:right w:val="none" w:sz="0" w:space="0" w:color="auto"/>
      </w:divBdr>
    </w:div>
    <w:div w:id="1447117995">
      <w:bodyDiv w:val="1"/>
      <w:marLeft w:val="0"/>
      <w:marRight w:val="0"/>
      <w:marTop w:val="0"/>
      <w:marBottom w:val="0"/>
      <w:divBdr>
        <w:top w:val="none" w:sz="0" w:space="0" w:color="auto"/>
        <w:left w:val="none" w:sz="0" w:space="0" w:color="auto"/>
        <w:bottom w:val="none" w:sz="0" w:space="0" w:color="auto"/>
        <w:right w:val="none" w:sz="0" w:space="0" w:color="auto"/>
      </w:divBdr>
    </w:div>
    <w:div w:id="16554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ater.epa.gov/scitech/swguidance/standards/wqsregs.cf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ater.epa.gov/scitech/swguidance/standards/wqslibrary/index.cfm" TargetMode="External"/><Relationship Id="rId2" Type="http://schemas.openxmlformats.org/officeDocument/2006/relationships/customXml" Target="../customXml/item2.xml"/><Relationship Id="rId16" Type="http://schemas.openxmlformats.org/officeDocument/2006/relationships/hyperlink" Target="http://water.epa.gov/scite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wqslibrary/approvtab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627966597464EB04285A1C8A704FD" ma:contentTypeVersion="18" ma:contentTypeDescription="Create a new document." ma:contentTypeScope="" ma:versionID="972d4f6b2617e8e8021c6677675f6a8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d1f5b74-8f6e-4759-b6ee-bb8852face9a" targetNamespace="http://schemas.microsoft.com/office/2006/metadata/properties" ma:root="true" ma:fieldsID="d9d6f302d21669f5d91dd08b1cd69f96" ns1:_="" ns3:_="" ns4:_="" ns5:_="" ns6:_="">
    <xsd:import namespace="http://schemas.microsoft.com/sharepoint/v3"/>
    <xsd:import namespace="4ffa91fb-a0ff-4ac5-b2db-65c790d184a4"/>
    <xsd:import namespace="http://schemas.microsoft.com/sharepoint.v3"/>
    <xsd:import namespace="http://schemas.microsoft.com/sharepoint/v3/fields"/>
    <xsd:import namespace="2d1f5b74-8f6e-4759-b6ee-bb8852face9a"/>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33f2ff3-fdb6-44fe-9fb2-57f4b6ef08a5}" ma:internalName="TaxCatchAllLabel" ma:readOnly="true" ma:showField="CatchAllDataLabel" ma:web="2d1f5b74-8f6e-4759-b6ee-bb8852face9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33f2ff3-fdb6-44fe-9fb2-57f4b6ef08a5}" ma:internalName="TaxCatchAll" ma:showField="CatchAllData" ma:web="2d1f5b74-8f6e-4759-b6ee-bb8852face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f5b74-8f6e-4759-b6ee-bb8852face9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2014-11-20T21:27:49+00:00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C7CB-62FA-4EDF-8001-A73435B18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d1f5b74-8f6e-4759-b6ee-bb8852fac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76F28-3F42-45AC-A1F5-B76B7FC1265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5AB852E8-A440-4F3B-8C83-E82ABB85637C}">
  <ds:schemaRefs>
    <ds:schemaRef ds:uri="Microsoft.SharePoint.Taxonomy.ContentTypeSync"/>
  </ds:schemaRefs>
</ds:datastoreItem>
</file>

<file path=customXml/itemProps4.xml><?xml version="1.0" encoding="utf-8"?>
<ds:datastoreItem xmlns:ds="http://schemas.openxmlformats.org/officeDocument/2006/customXml" ds:itemID="{669FB8ED-2CED-4473-BAE1-944B5AFD99AD}">
  <ds:schemaRefs>
    <ds:schemaRef ds:uri="http://schemas.microsoft.com/sharepoint/v3/contenttype/forms"/>
  </ds:schemaRefs>
</ds:datastoreItem>
</file>

<file path=customXml/itemProps5.xml><?xml version="1.0" encoding="utf-8"?>
<ds:datastoreItem xmlns:ds="http://schemas.openxmlformats.org/officeDocument/2006/customXml" ds:itemID="{01B65458-D62B-436F-8AF6-953121790612}">
  <ds:schemaRefs>
    <ds:schemaRef ds:uri="http://schemas.openxmlformats.org/officeDocument/2006/bibliography"/>
  </ds:schemaRefs>
</ds:datastoreItem>
</file>

<file path=customXml/itemProps6.xml><?xml version="1.0" encoding="utf-8"?>
<ds:datastoreItem xmlns:ds="http://schemas.openxmlformats.org/officeDocument/2006/customXml" ds:itemID="{75386DF3-51D5-4005-9D2C-F1AE8047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28</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56969</CharactersWithSpaces>
  <SharedDoc>false</SharedDoc>
  <HLinks>
    <vt:vector size="18" baseType="variant">
      <vt:variant>
        <vt:i4>3473452</vt:i4>
      </vt:variant>
      <vt:variant>
        <vt:i4>6</vt:i4>
      </vt:variant>
      <vt:variant>
        <vt:i4>0</vt:i4>
      </vt:variant>
      <vt:variant>
        <vt:i4>5</vt:i4>
      </vt:variant>
      <vt:variant>
        <vt:lpwstr>http://www.epa.gov/waterscience/standards/</vt:lpwstr>
      </vt:variant>
      <vt:variant>
        <vt:lpwstr/>
      </vt:variant>
      <vt:variant>
        <vt:i4>4063294</vt:i4>
      </vt:variant>
      <vt:variant>
        <vt:i4>3</vt:i4>
      </vt:variant>
      <vt:variant>
        <vt:i4>0</vt:i4>
      </vt:variant>
      <vt:variant>
        <vt:i4>5</vt:i4>
      </vt:variant>
      <vt:variant>
        <vt:lpwstr>http://www.epa.gov/wqsdatabase</vt:lpwstr>
      </vt:variant>
      <vt:variant>
        <vt:lpwstr/>
      </vt:variant>
      <vt:variant>
        <vt:i4>7209078</vt:i4>
      </vt:variant>
      <vt:variant>
        <vt:i4>0</vt:i4>
      </vt:variant>
      <vt:variant>
        <vt:i4>0</vt:i4>
      </vt:variant>
      <vt:variant>
        <vt:i4>5</vt:i4>
      </vt:variant>
      <vt:variant>
        <vt:lpwstr>http://epa.gov/waterscience/tribes/approvtable.htm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Aguirre.Janita@epa.gov</dc:creator>
  <cp:lastModifiedBy>Clark, Spencer</cp:lastModifiedBy>
  <cp:revision>3</cp:revision>
  <cp:lastPrinted>2013-08-13T16:25:00Z</cp:lastPrinted>
  <dcterms:created xsi:type="dcterms:W3CDTF">2015-07-28T19:29:00Z</dcterms:created>
  <dcterms:modified xsi:type="dcterms:W3CDTF">2015-07-28T20:16:00Z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0x010100316627966597464EB04285A1C8A704FD</vt:lpwstr>
  </property>
  <property fmtid="{D5CDD505-2E9C-101B-9397-08002B2CF9AE}" pid="3" name="IsMyDocuments">
    <vt:bool>true</vt:bool>
  </property>
</Properties>
</file>