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D2B2C2" w14:textId="5E010DBE" w:rsidR="007F2877" w:rsidRPr="000D1564" w:rsidRDefault="007F2877" w:rsidP="0058298C">
      <w:pPr>
        <w:jc w:val="center"/>
        <w:rPr>
          <w:rFonts w:asciiTheme="majorHAnsi" w:hAnsiTheme="majorHAnsi"/>
          <w:b/>
          <w:sz w:val="32"/>
          <w:szCs w:val="32"/>
        </w:rPr>
      </w:pPr>
      <w:r w:rsidRPr="000D1564">
        <w:rPr>
          <w:rFonts w:asciiTheme="majorHAnsi" w:hAnsiTheme="majorHAnsi"/>
          <w:b/>
          <w:sz w:val="32"/>
          <w:szCs w:val="32"/>
        </w:rPr>
        <w:t>ICR Supporting Statement</w:t>
      </w:r>
    </w:p>
    <w:p w14:paraId="54209FE8" w14:textId="69791138" w:rsidR="00EA4EE5" w:rsidRPr="000D1564" w:rsidRDefault="00EA4EE5" w:rsidP="0058298C">
      <w:pPr>
        <w:jc w:val="center"/>
        <w:rPr>
          <w:rFonts w:asciiTheme="majorHAnsi" w:hAnsiTheme="majorHAnsi"/>
          <w:b/>
          <w:sz w:val="32"/>
          <w:szCs w:val="32"/>
        </w:rPr>
      </w:pPr>
      <w:r w:rsidRPr="000D1564">
        <w:rPr>
          <w:rFonts w:asciiTheme="majorHAnsi" w:hAnsiTheme="majorHAnsi"/>
          <w:b/>
          <w:sz w:val="32"/>
          <w:szCs w:val="32"/>
        </w:rPr>
        <w:t>Information Collection Request:</w:t>
      </w:r>
    </w:p>
    <w:p w14:paraId="02A3628C" w14:textId="77777777" w:rsidR="00EA4EE5" w:rsidRPr="000D1564" w:rsidRDefault="00EA4EE5" w:rsidP="0058298C">
      <w:pPr>
        <w:jc w:val="center"/>
        <w:rPr>
          <w:rFonts w:asciiTheme="majorHAnsi" w:hAnsiTheme="majorHAnsi"/>
          <w:b/>
          <w:sz w:val="32"/>
          <w:szCs w:val="32"/>
        </w:rPr>
      </w:pPr>
      <w:r w:rsidRPr="000D1564">
        <w:rPr>
          <w:rFonts w:asciiTheme="majorHAnsi" w:hAnsiTheme="majorHAnsi"/>
          <w:b/>
          <w:sz w:val="32"/>
          <w:szCs w:val="32"/>
        </w:rPr>
        <w:t>National Pretreatment Program</w:t>
      </w:r>
    </w:p>
    <w:p w14:paraId="7CE9BA5B" w14:textId="77777777" w:rsidR="00957B2F" w:rsidRPr="000D1564" w:rsidRDefault="00957B2F" w:rsidP="0058298C">
      <w:pPr>
        <w:jc w:val="center"/>
        <w:rPr>
          <w:rFonts w:asciiTheme="majorHAnsi" w:hAnsiTheme="majorHAnsi"/>
          <w:b/>
          <w:sz w:val="32"/>
          <w:szCs w:val="32"/>
        </w:rPr>
      </w:pPr>
    </w:p>
    <w:p w14:paraId="43144849" w14:textId="375252DE" w:rsidR="00953D0B" w:rsidRPr="000D1564" w:rsidRDefault="00EA4EE5" w:rsidP="0058298C">
      <w:pPr>
        <w:jc w:val="center"/>
        <w:rPr>
          <w:rFonts w:asciiTheme="majorHAnsi" w:hAnsiTheme="majorHAnsi"/>
          <w:b/>
          <w:sz w:val="32"/>
          <w:szCs w:val="32"/>
        </w:rPr>
      </w:pPr>
      <w:r w:rsidRPr="000D1564">
        <w:rPr>
          <w:rFonts w:asciiTheme="majorHAnsi" w:hAnsiTheme="majorHAnsi"/>
          <w:b/>
          <w:sz w:val="32"/>
          <w:szCs w:val="32"/>
        </w:rPr>
        <w:t>OMB Control No</w:t>
      </w:r>
      <w:r w:rsidR="00B0016F">
        <w:rPr>
          <w:rFonts w:asciiTheme="majorHAnsi" w:hAnsiTheme="majorHAnsi"/>
          <w:b/>
          <w:sz w:val="32"/>
          <w:szCs w:val="32"/>
        </w:rPr>
        <w:t>. 2040-0009, EPA ICR No. 0002.16</w:t>
      </w:r>
      <w:bookmarkStart w:id="0" w:name="_GoBack"/>
      <w:bookmarkEnd w:id="0"/>
    </w:p>
    <w:p w14:paraId="2D9F3842" w14:textId="77777777" w:rsidR="00957B2F" w:rsidRDefault="00957B2F" w:rsidP="0058298C">
      <w:pPr>
        <w:jc w:val="center"/>
        <w:rPr>
          <w:rFonts w:asciiTheme="minorHAnsi" w:hAnsiTheme="minorHAnsi"/>
          <w:sz w:val="32"/>
          <w:szCs w:val="32"/>
        </w:rPr>
      </w:pPr>
    </w:p>
    <w:p w14:paraId="61CF025D" w14:textId="77777777" w:rsidR="000D1564" w:rsidRDefault="000D1564" w:rsidP="000D1564">
      <w:pPr>
        <w:rPr>
          <w:rFonts w:asciiTheme="minorHAnsi" w:hAnsiTheme="minorHAnsi"/>
          <w:sz w:val="32"/>
          <w:szCs w:val="32"/>
        </w:rPr>
      </w:pPr>
    </w:p>
    <w:p w14:paraId="6F992936" w14:textId="77777777" w:rsidR="000D1564" w:rsidRDefault="000D1564" w:rsidP="0058298C">
      <w:pPr>
        <w:jc w:val="center"/>
        <w:rPr>
          <w:rFonts w:asciiTheme="minorHAnsi" w:hAnsiTheme="minorHAnsi"/>
          <w:sz w:val="32"/>
          <w:szCs w:val="32"/>
        </w:rPr>
      </w:pPr>
    </w:p>
    <w:p w14:paraId="2710707A" w14:textId="77777777" w:rsidR="000D1564" w:rsidRDefault="000D1564" w:rsidP="0058298C">
      <w:pPr>
        <w:jc w:val="center"/>
        <w:rPr>
          <w:rFonts w:asciiTheme="minorHAnsi" w:hAnsiTheme="minorHAnsi"/>
          <w:sz w:val="32"/>
          <w:szCs w:val="32"/>
        </w:rPr>
      </w:pPr>
    </w:p>
    <w:p w14:paraId="7CC2317E" w14:textId="77777777" w:rsidR="000D1564" w:rsidRDefault="000D1564" w:rsidP="0058298C">
      <w:pPr>
        <w:jc w:val="center"/>
        <w:rPr>
          <w:rFonts w:asciiTheme="minorHAnsi" w:hAnsiTheme="minorHAnsi"/>
          <w:sz w:val="32"/>
          <w:szCs w:val="32"/>
        </w:rPr>
      </w:pPr>
    </w:p>
    <w:p w14:paraId="792840F9" w14:textId="77777777" w:rsidR="00957B2F" w:rsidRDefault="00957B2F" w:rsidP="0058298C">
      <w:pPr>
        <w:jc w:val="center"/>
        <w:rPr>
          <w:rFonts w:asciiTheme="minorHAnsi" w:hAnsiTheme="minorHAnsi"/>
          <w:sz w:val="32"/>
          <w:szCs w:val="32"/>
        </w:rPr>
      </w:pPr>
    </w:p>
    <w:p w14:paraId="18518FEA" w14:textId="77777777" w:rsidR="00957B2F" w:rsidRDefault="00957B2F" w:rsidP="0058298C">
      <w:pPr>
        <w:jc w:val="center"/>
        <w:rPr>
          <w:rFonts w:asciiTheme="minorHAnsi" w:hAnsiTheme="minorHAnsi"/>
          <w:sz w:val="32"/>
          <w:szCs w:val="32"/>
        </w:rPr>
      </w:pPr>
    </w:p>
    <w:p w14:paraId="6081E25A" w14:textId="7D5F5EC3" w:rsidR="006949C5" w:rsidRDefault="00957B2F" w:rsidP="0058298C">
      <w:pPr>
        <w:jc w:val="center"/>
      </w:pPr>
      <w:r>
        <w:t>December 2015</w:t>
      </w:r>
    </w:p>
    <w:p w14:paraId="2B2DAA10" w14:textId="77777777" w:rsidR="00957B2F" w:rsidRDefault="00957B2F" w:rsidP="0058298C">
      <w:pPr>
        <w:jc w:val="center"/>
      </w:pPr>
    </w:p>
    <w:p w14:paraId="5D9A8C77" w14:textId="77777777" w:rsidR="000D1564" w:rsidRDefault="000D1564" w:rsidP="0058298C">
      <w:pPr>
        <w:jc w:val="center"/>
      </w:pPr>
    </w:p>
    <w:p w14:paraId="0D0B938A" w14:textId="77777777" w:rsidR="000D1564" w:rsidRDefault="000D1564" w:rsidP="0058298C">
      <w:pPr>
        <w:jc w:val="center"/>
      </w:pPr>
    </w:p>
    <w:p w14:paraId="11E1E6FB" w14:textId="77777777" w:rsidR="00957B2F" w:rsidRDefault="00957B2F" w:rsidP="0058298C">
      <w:pPr>
        <w:jc w:val="center"/>
      </w:pPr>
    </w:p>
    <w:p w14:paraId="112911B6" w14:textId="77777777" w:rsidR="000D1564" w:rsidRDefault="000D1564" w:rsidP="0058298C">
      <w:pPr>
        <w:jc w:val="center"/>
      </w:pPr>
    </w:p>
    <w:p w14:paraId="602DE2EB" w14:textId="77777777" w:rsidR="00957B2F" w:rsidRDefault="00957B2F" w:rsidP="0058298C">
      <w:pPr>
        <w:jc w:val="center"/>
      </w:pPr>
    </w:p>
    <w:p w14:paraId="5B6733AD" w14:textId="77777777" w:rsidR="00957B2F" w:rsidRDefault="00957B2F" w:rsidP="0058298C">
      <w:pPr>
        <w:jc w:val="center"/>
      </w:pPr>
    </w:p>
    <w:p w14:paraId="213659AD" w14:textId="77777777" w:rsidR="00957B2F" w:rsidRDefault="00957B2F" w:rsidP="0058298C">
      <w:pPr>
        <w:jc w:val="center"/>
      </w:pPr>
    </w:p>
    <w:p w14:paraId="20B6BD9A" w14:textId="77777777" w:rsidR="00957B2F" w:rsidRPr="005A1A1F" w:rsidRDefault="00957B2F" w:rsidP="00957B2F">
      <w:pPr>
        <w:jc w:val="center"/>
        <w:rPr>
          <w:i/>
          <w:iCs/>
        </w:rPr>
      </w:pPr>
      <w:r w:rsidRPr="005A1A1F">
        <w:rPr>
          <w:i/>
          <w:iCs/>
        </w:rPr>
        <w:t>Prepared for</w:t>
      </w:r>
    </w:p>
    <w:p w14:paraId="1D9477C4" w14:textId="77777777" w:rsidR="00957B2F" w:rsidRPr="005A1A1F" w:rsidRDefault="00957B2F" w:rsidP="00957B2F">
      <w:pPr>
        <w:jc w:val="center"/>
      </w:pPr>
      <w:r w:rsidRPr="005A1A1F">
        <w:t>United States Environmental Protection Agency</w:t>
      </w:r>
    </w:p>
    <w:p w14:paraId="63C3643B" w14:textId="77777777" w:rsidR="00957B2F" w:rsidRPr="005A1A1F" w:rsidRDefault="00957B2F" w:rsidP="00957B2F">
      <w:pPr>
        <w:jc w:val="center"/>
      </w:pPr>
      <w:r w:rsidRPr="005A1A1F">
        <w:t>Office of Wastewater Management</w:t>
      </w:r>
    </w:p>
    <w:p w14:paraId="59E916F4" w14:textId="77777777" w:rsidR="00957B2F" w:rsidRPr="005A1A1F" w:rsidRDefault="00957B2F" w:rsidP="00957B2F">
      <w:pPr>
        <w:jc w:val="center"/>
      </w:pPr>
      <w:smartTag w:uri="urn:schemas-microsoft-com:office:smarttags" w:element="Street">
        <w:smartTag w:uri="urn:schemas-microsoft-com:office:smarttags" w:element="address">
          <w:r w:rsidRPr="005A1A1F">
            <w:t>1200 Pennsylvania Avenue, NW</w:t>
          </w:r>
        </w:smartTag>
      </w:smartTag>
    </w:p>
    <w:p w14:paraId="4EE4F5D2" w14:textId="00601F2A" w:rsidR="00957B2F" w:rsidRPr="005A1A1F" w:rsidRDefault="00957B2F" w:rsidP="000D1564">
      <w:pPr>
        <w:jc w:val="center"/>
      </w:pPr>
      <w:r w:rsidRPr="005A1A1F">
        <w:t>Washington, DC 2046</w:t>
      </w:r>
      <w:r w:rsidR="000B2057">
        <w:t>0</w:t>
      </w:r>
    </w:p>
    <w:p w14:paraId="40B751EE" w14:textId="77777777" w:rsidR="00957B2F" w:rsidRPr="005A1A1F" w:rsidRDefault="00957B2F" w:rsidP="00957B2F">
      <w:pPr>
        <w:jc w:val="both"/>
      </w:pPr>
    </w:p>
    <w:p w14:paraId="53CEECBA" w14:textId="77777777" w:rsidR="00957B2F" w:rsidRDefault="00957B2F" w:rsidP="00957B2F">
      <w:pPr>
        <w:jc w:val="both"/>
      </w:pPr>
    </w:p>
    <w:p w14:paraId="5A230619" w14:textId="77777777" w:rsidR="000D1564" w:rsidRDefault="000D1564" w:rsidP="00957B2F">
      <w:pPr>
        <w:jc w:val="both"/>
      </w:pPr>
    </w:p>
    <w:p w14:paraId="5CBA244D" w14:textId="77777777" w:rsidR="000D1564" w:rsidRDefault="000D1564" w:rsidP="00957B2F">
      <w:pPr>
        <w:jc w:val="both"/>
      </w:pPr>
    </w:p>
    <w:p w14:paraId="5BA3A39A" w14:textId="77777777" w:rsidR="000D1564" w:rsidRDefault="000D1564" w:rsidP="00957B2F">
      <w:pPr>
        <w:jc w:val="both"/>
      </w:pPr>
    </w:p>
    <w:p w14:paraId="0CADE126" w14:textId="77777777" w:rsidR="000D1564" w:rsidRPr="005A1A1F" w:rsidRDefault="000D1564" w:rsidP="00957B2F">
      <w:pPr>
        <w:jc w:val="both"/>
      </w:pPr>
    </w:p>
    <w:p w14:paraId="445C9089" w14:textId="77777777" w:rsidR="00957B2F" w:rsidRPr="005A1A1F" w:rsidRDefault="00957B2F" w:rsidP="00957B2F">
      <w:pPr>
        <w:jc w:val="both"/>
      </w:pPr>
    </w:p>
    <w:p w14:paraId="2E21A000" w14:textId="77777777" w:rsidR="00957B2F" w:rsidRPr="005A1A1F" w:rsidRDefault="00957B2F" w:rsidP="00957B2F">
      <w:pPr>
        <w:jc w:val="both"/>
      </w:pPr>
    </w:p>
    <w:p w14:paraId="5B03FDBC" w14:textId="77777777" w:rsidR="00957B2F" w:rsidRPr="005A1A1F" w:rsidRDefault="00957B2F" w:rsidP="00957B2F">
      <w:pPr>
        <w:jc w:val="center"/>
      </w:pPr>
      <w:r w:rsidRPr="005A1A1F">
        <w:t>EPA Contract Number EP-C-</w:t>
      </w:r>
      <w:r>
        <w:t>11</w:t>
      </w:r>
      <w:r w:rsidRPr="005A1A1F">
        <w:t>-0</w:t>
      </w:r>
      <w:r>
        <w:t>09</w:t>
      </w:r>
    </w:p>
    <w:p w14:paraId="4329F80D" w14:textId="6B1F2645" w:rsidR="00957B2F" w:rsidRDefault="00957B2F" w:rsidP="00957B2F">
      <w:pPr>
        <w:jc w:val="center"/>
      </w:pPr>
      <w:r w:rsidRPr="005A1A1F">
        <w:t xml:space="preserve">EPA Work Assignment Number </w:t>
      </w:r>
      <w:r>
        <w:t>4-22</w:t>
      </w:r>
    </w:p>
    <w:p w14:paraId="250C250C" w14:textId="77777777" w:rsidR="00957B2F" w:rsidRDefault="00957B2F">
      <w:pPr>
        <w:widowControl/>
        <w:autoSpaceDE/>
        <w:autoSpaceDN/>
        <w:adjustRightInd/>
        <w:spacing w:after="160" w:line="259" w:lineRule="auto"/>
      </w:pPr>
      <w:r>
        <w:br w:type="page"/>
      </w:r>
    </w:p>
    <w:sdt>
      <w:sdtPr>
        <w:rPr>
          <w:rFonts w:ascii="Times New Roman" w:eastAsia="Times New Roman" w:hAnsi="Times New Roman" w:cs="Times New Roman"/>
          <w:color w:val="auto"/>
          <w:sz w:val="24"/>
          <w:szCs w:val="24"/>
        </w:rPr>
        <w:id w:val="1794483223"/>
        <w:docPartObj>
          <w:docPartGallery w:val="Table of Contents"/>
          <w:docPartUnique/>
        </w:docPartObj>
      </w:sdtPr>
      <w:sdtEndPr>
        <w:rPr>
          <w:b/>
          <w:bCs/>
          <w:noProof/>
        </w:rPr>
      </w:sdtEndPr>
      <w:sdtContent>
        <w:p w14:paraId="269DA6C3" w14:textId="192B8432" w:rsidR="00957B2F" w:rsidRDefault="00957B2F">
          <w:pPr>
            <w:pStyle w:val="TOCHeading"/>
          </w:pPr>
          <w:r>
            <w:t>Contents</w:t>
          </w:r>
        </w:p>
        <w:p w14:paraId="791E2C13" w14:textId="77777777" w:rsidR="00436731" w:rsidRDefault="00957B2F">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37867190" w:history="1">
            <w:r w:rsidR="00436731" w:rsidRPr="00674762">
              <w:rPr>
                <w:rStyle w:val="Hyperlink"/>
                <w:noProof/>
              </w:rPr>
              <w:t>A. Justification</w:t>
            </w:r>
            <w:r w:rsidR="00436731">
              <w:rPr>
                <w:noProof/>
                <w:webHidden/>
              </w:rPr>
              <w:tab/>
            </w:r>
            <w:r w:rsidR="00436731">
              <w:rPr>
                <w:noProof/>
                <w:webHidden/>
              </w:rPr>
              <w:fldChar w:fldCharType="begin"/>
            </w:r>
            <w:r w:rsidR="00436731">
              <w:rPr>
                <w:noProof/>
                <w:webHidden/>
              </w:rPr>
              <w:instrText xml:space="preserve"> PAGEREF _Toc437867190 \h </w:instrText>
            </w:r>
            <w:r w:rsidR="00436731">
              <w:rPr>
                <w:noProof/>
                <w:webHidden/>
              </w:rPr>
            </w:r>
            <w:r w:rsidR="00436731">
              <w:rPr>
                <w:noProof/>
                <w:webHidden/>
              </w:rPr>
              <w:fldChar w:fldCharType="separate"/>
            </w:r>
            <w:r w:rsidR="00436731">
              <w:rPr>
                <w:noProof/>
                <w:webHidden/>
              </w:rPr>
              <w:t>1</w:t>
            </w:r>
            <w:r w:rsidR="00436731">
              <w:rPr>
                <w:noProof/>
                <w:webHidden/>
              </w:rPr>
              <w:fldChar w:fldCharType="end"/>
            </w:r>
          </w:hyperlink>
        </w:p>
        <w:p w14:paraId="158DDABA" w14:textId="77777777" w:rsidR="00436731" w:rsidRDefault="00172777">
          <w:pPr>
            <w:pStyle w:val="TOC2"/>
            <w:tabs>
              <w:tab w:val="right" w:leader="dot" w:pos="9350"/>
            </w:tabs>
            <w:rPr>
              <w:rFonts w:asciiTheme="minorHAnsi" w:eastAsiaTheme="minorEastAsia" w:hAnsiTheme="minorHAnsi" w:cstheme="minorBidi"/>
              <w:noProof/>
              <w:sz w:val="22"/>
              <w:szCs w:val="22"/>
            </w:rPr>
          </w:pPr>
          <w:hyperlink w:anchor="_Toc437867191" w:history="1">
            <w:r w:rsidR="00436731" w:rsidRPr="00674762">
              <w:rPr>
                <w:rStyle w:val="Hyperlink"/>
                <w:noProof/>
              </w:rPr>
              <w:t>1. Explain the circumstances that make the collection necessary and explain the legal or administrative requirements relevant to the collection and attach a copy of the statute or regulation authorizing the collection</w:t>
            </w:r>
            <w:r w:rsidR="00436731">
              <w:rPr>
                <w:noProof/>
                <w:webHidden/>
              </w:rPr>
              <w:tab/>
            </w:r>
            <w:r w:rsidR="00436731">
              <w:rPr>
                <w:noProof/>
                <w:webHidden/>
              </w:rPr>
              <w:fldChar w:fldCharType="begin"/>
            </w:r>
            <w:r w:rsidR="00436731">
              <w:rPr>
                <w:noProof/>
                <w:webHidden/>
              </w:rPr>
              <w:instrText xml:space="preserve"> PAGEREF _Toc437867191 \h </w:instrText>
            </w:r>
            <w:r w:rsidR="00436731">
              <w:rPr>
                <w:noProof/>
                <w:webHidden/>
              </w:rPr>
            </w:r>
            <w:r w:rsidR="00436731">
              <w:rPr>
                <w:noProof/>
                <w:webHidden/>
              </w:rPr>
              <w:fldChar w:fldCharType="separate"/>
            </w:r>
            <w:r w:rsidR="00436731">
              <w:rPr>
                <w:noProof/>
                <w:webHidden/>
              </w:rPr>
              <w:t>1</w:t>
            </w:r>
            <w:r w:rsidR="00436731">
              <w:rPr>
                <w:noProof/>
                <w:webHidden/>
              </w:rPr>
              <w:fldChar w:fldCharType="end"/>
            </w:r>
          </w:hyperlink>
        </w:p>
        <w:p w14:paraId="7E0CD4ED" w14:textId="77777777" w:rsidR="00436731" w:rsidRDefault="00172777">
          <w:pPr>
            <w:pStyle w:val="TOC2"/>
            <w:tabs>
              <w:tab w:val="right" w:leader="dot" w:pos="9350"/>
            </w:tabs>
            <w:rPr>
              <w:rFonts w:asciiTheme="minorHAnsi" w:eastAsiaTheme="minorEastAsia" w:hAnsiTheme="minorHAnsi" w:cstheme="minorBidi"/>
              <w:noProof/>
              <w:sz w:val="22"/>
              <w:szCs w:val="22"/>
            </w:rPr>
          </w:pPr>
          <w:hyperlink w:anchor="_Toc437867192" w:history="1">
            <w:r w:rsidR="00436731" w:rsidRPr="00674762">
              <w:rPr>
                <w:rStyle w:val="Hyperlink"/>
                <w:noProof/>
              </w:rPr>
              <w:t>2. Indicate how, by whom and for what purpose the information is to be used</w:t>
            </w:r>
            <w:r w:rsidR="00436731">
              <w:rPr>
                <w:noProof/>
                <w:webHidden/>
              </w:rPr>
              <w:tab/>
            </w:r>
            <w:r w:rsidR="00436731">
              <w:rPr>
                <w:noProof/>
                <w:webHidden/>
              </w:rPr>
              <w:fldChar w:fldCharType="begin"/>
            </w:r>
            <w:r w:rsidR="00436731">
              <w:rPr>
                <w:noProof/>
                <w:webHidden/>
              </w:rPr>
              <w:instrText xml:space="preserve"> PAGEREF _Toc437867192 \h </w:instrText>
            </w:r>
            <w:r w:rsidR="00436731">
              <w:rPr>
                <w:noProof/>
                <w:webHidden/>
              </w:rPr>
            </w:r>
            <w:r w:rsidR="00436731">
              <w:rPr>
                <w:noProof/>
                <w:webHidden/>
              </w:rPr>
              <w:fldChar w:fldCharType="separate"/>
            </w:r>
            <w:r w:rsidR="00436731">
              <w:rPr>
                <w:noProof/>
                <w:webHidden/>
              </w:rPr>
              <w:t>2</w:t>
            </w:r>
            <w:r w:rsidR="00436731">
              <w:rPr>
                <w:noProof/>
                <w:webHidden/>
              </w:rPr>
              <w:fldChar w:fldCharType="end"/>
            </w:r>
          </w:hyperlink>
        </w:p>
        <w:p w14:paraId="4D51939D" w14:textId="77777777" w:rsidR="00436731" w:rsidRDefault="00172777">
          <w:pPr>
            <w:pStyle w:val="TOC2"/>
            <w:tabs>
              <w:tab w:val="right" w:leader="dot" w:pos="9350"/>
            </w:tabs>
            <w:rPr>
              <w:rFonts w:asciiTheme="minorHAnsi" w:eastAsiaTheme="minorEastAsia" w:hAnsiTheme="minorHAnsi" w:cstheme="minorBidi"/>
              <w:noProof/>
              <w:sz w:val="22"/>
              <w:szCs w:val="22"/>
            </w:rPr>
          </w:pPr>
          <w:hyperlink w:anchor="_Toc437867193" w:history="1">
            <w:r w:rsidR="00436731" w:rsidRPr="00674762">
              <w:rPr>
                <w:rStyle w:val="Hyperlink"/>
                <w:noProof/>
              </w:rPr>
              <w:t>3. Describe whether and to what extent the collection involves the use of automated processes or information technology to aid with the collection</w:t>
            </w:r>
            <w:r w:rsidR="00436731">
              <w:rPr>
                <w:noProof/>
                <w:webHidden/>
              </w:rPr>
              <w:tab/>
            </w:r>
            <w:r w:rsidR="00436731">
              <w:rPr>
                <w:noProof/>
                <w:webHidden/>
              </w:rPr>
              <w:fldChar w:fldCharType="begin"/>
            </w:r>
            <w:r w:rsidR="00436731">
              <w:rPr>
                <w:noProof/>
                <w:webHidden/>
              </w:rPr>
              <w:instrText xml:space="preserve"> PAGEREF _Toc437867193 \h </w:instrText>
            </w:r>
            <w:r w:rsidR="00436731">
              <w:rPr>
                <w:noProof/>
                <w:webHidden/>
              </w:rPr>
            </w:r>
            <w:r w:rsidR="00436731">
              <w:rPr>
                <w:noProof/>
                <w:webHidden/>
              </w:rPr>
              <w:fldChar w:fldCharType="separate"/>
            </w:r>
            <w:r w:rsidR="00436731">
              <w:rPr>
                <w:noProof/>
                <w:webHidden/>
              </w:rPr>
              <w:t>9</w:t>
            </w:r>
            <w:r w:rsidR="00436731">
              <w:rPr>
                <w:noProof/>
                <w:webHidden/>
              </w:rPr>
              <w:fldChar w:fldCharType="end"/>
            </w:r>
          </w:hyperlink>
        </w:p>
        <w:p w14:paraId="4D98D044" w14:textId="77777777" w:rsidR="00436731" w:rsidRDefault="00172777">
          <w:pPr>
            <w:pStyle w:val="TOC2"/>
            <w:tabs>
              <w:tab w:val="right" w:leader="dot" w:pos="9350"/>
            </w:tabs>
            <w:rPr>
              <w:rFonts w:asciiTheme="minorHAnsi" w:eastAsiaTheme="minorEastAsia" w:hAnsiTheme="minorHAnsi" w:cstheme="minorBidi"/>
              <w:noProof/>
              <w:sz w:val="22"/>
              <w:szCs w:val="22"/>
            </w:rPr>
          </w:pPr>
          <w:hyperlink w:anchor="_Toc437867194" w:history="1">
            <w:r w:rsidR="00436731" w:rsidRPr="00674762">
              <w:rPr>
                <w:rStyle w:val="Hyperlink"/>
                <w:noProof/>
              </w:rPr>
              <w:t>4. Describe the efforts to identify duplication</w:t>
            </w:r>
            <w:r w:rsidR="00436731">
              <w:rPr>
                <w:noProof/>
                <w:webHidden/>
              </w:rPr>
              <w:tab/>
            </w:r>
            <w:r w:rsidR="00436731">
              <w:rPr>
                <w:noProof/>
                <w:webHidden/>
              </w:rPr>
              <w:fldChar w:fldCharType="begin"/>
            </w:r>
            <w:r w:rsidR="00436731">
              <w:rPr>
                <w:noProof/>
                <w:webHidden/>
              </w:rPr>
              <w:instrText xml:space="preserve"> PAGEREF _Toc437867194 \h </w:instrText>
            </w:r>
            <w:r w:rsidR="00436731">
              <w:rPr>
                <w:noProof/>
                <w:webHidden/>
              </w:rPr>
            </w:r>
            <w:r w:rsidR="00436731">
              <w:rPr>
                <w:noProof/>
                <w:webHidden/>
              </w:rPr>
              <w:fldChar w:fldCharType="separate"/>
            </w:r>
            <w:r w:rsidR="00436731">
              <w:rPr>
                <w:noProof/>
                <w:webHidden/>
              </w:rPr>
              <w:t>10</w:t>
            </w:r>
            <w:r w:rsidR="00436731">
              <w:rPr>
                <w:noProof/>
                <w:webHidden/>
              </w:rPr>
              <w:fldChar w:fldCharType="end"/>
            </w:r>
          </w:hyperlink>
        </w:p>
        <w:p w14:paraId="7A7A9F8F" w14:textId="77777777" w:rsidR="00436731" w:rsidRDefault="00172777">
          <w:pPr>
            <w:pStyle w:val="TOC2"/>
            <w:tabs>
              <w:tab w:val="right" w:leader="dot" w:pos="9350"/>
            </w:tabs>
            <w:rPr>
              <w:rFonts w:asciiTheme="minorHAnsi" w:eastAsiaTheme="minorEastAsia" w:hAnsiTheme="minorHAnsi" w:cstheme="minorBidi"/>
              <w:noProof/>
              <w:sz w:val="22"/>
              <w:szCs w:val="22"/>
            </w:rPr>
          </w:pPr>
          <w:hyperlink w:anchor="_Toc437867195" w:history="1">
            <w:r w:rsidR="00436731" w:rsidRPr="00674762">
              <w:rPr>
                <w:rStyle w:val="Hyperlink"/>
                <w:noProof/>
              </w:rPr>
              <w:t>5. Explain whether or not the collection impacts small entities</w:t>
            </w:r>
            <w:r w:rsidR="00436731">
              <w:rPr>
                <w:noProof/>
                <w:webHidden/>
              </w:rPr>
              <w:tab/>
            </w:r>
            <w:r w:rsidR="00436731">
              <w:rPr>
                <w:noProof/>
                <w:webHidden/>
              </w:rPr>
              <w:fldChar w:fldCharType="begin"/>
            </w:r>
            <w:r w:rsidR="00436731">
              <w:rPr>
                <w:noProof/>
                <w:webHidden/>
              </w:rPr>
              <w:instrText xml:space="preserve"> PAGEREF _Toc437867195 \h </w:instrText>
            </w:r>
            <w:r w:rsidR="00436731">
              <w:rPr>
                <w:noProof/>
                <w:webHidden/>
              </w:rPr>
            </w:r>
            <w:r w:rsidR="00436731">
              <w:rPr>
                <w:noProof/>
                <w:webHidden/>
              </w:rPr>
              <w:fldChar w:fldCharType="separate"/>
            </w:r>
            <w:r w:rsidR="00436731">
              <w:rPr>
                <w:noProof/>
                <w:webHidden/>
              </w:rPr>
              <w:t>10</w:t>
            </w:r>
            <w:r w:rsidR="00436731">
              <w:rPr>
                <w:noProof/>
                <w:webHidden/>
              </w:rPr>
              <w:fldChar w:fldCharType="end"/>
            </w:r>
          </w:hyperlink>
        </w:p>
        <w:p w14:paraId="4D482F81" w14:textId="77777777" w:rsidR="00436731" w:rsidRDefault="00172777">
          <w:pPr>
            <w:pStyle w:val="TOC2"/>
            <w:tabs>
              <w:tab w:val="right" w:leader="dot" w:pos="9350"/>
            </w:tabs>
            <w:rPr>
              <w:rFonts w:asciiTheme="minorHAnsi" w:eastAsiaTheme="minorEastAsia" w:hAnsiTheme="minorHAnsi" w:cstheme="minorBidi"/>
              <w:noProof/>
              <w:sz w:val="22"/>
              <w:szCs w:val="22"/>
            </w:rPr>
          </w:pPr>
          <w:hyperlink w:anchor="_Toc437867196" w:history="1">
            <w:r w:rsidR="00436731" w:rsidRPr="00674762">
              <w:rPr>
                <w:rStyle w:val="Hyperlink"/>
                <w:noProof/>
              </w:rPr>
              <w:t>6. Describe the consequences to the program if the collection is not conducted or is conducted less frequently</w:t>
            </w:r>
            <w:r w:rsidR="00436731">
              <w:rPr>
                <w:noProof/>
                <w:webHidden/>
              </w:rPr>
              <w:tab/>
            </w:r>
            <w:r w:rsidR="00436731">
              <w:rPr>
                <w:noProof/>
                <w:webHidden/>
              </w:rPr>
              <w:fldChar w:fldCharType="begin"/>
            </w:r>
            <w:r w:rsidR="00436731">
              <w:rPr>
                <w:noProof/>
                <w:webHidden/>
              </w:rPr>
              <w:instrText xml:space="preserve"> PAGEREF _Toc437867196 \h </w:instrText>
            </w:r>
            <w:r w:rsidR="00436731">
              <w:rPr>
                <w:noProof/>
                <w:webHidden/>
              </w:rPr>
            </w:r>
            <w:r w:rsidR="00436731">
              <w:rPr>
                <w:noProof/>
                <w:webHidden/>
              </w:rPr>
              <w:fldChar w:fldCharType="separate"/>
            </w:r>
            <w:r w:rsidR="00436731">
              <w:rPr>
                <w:noProof/>
                <w:webHidden/>
              </w:rPr>
              <w:t>11</w:t>
            </w:r>
            <w:r w:rsidR="00436731">
              <w:rPr>
                <w:noProof/>
                <w:webHidden/>
              </w:rPr>
              <w:fldChar w:fldCharType="end"/>
            </w:r>
          </w:hyperlink>
        </w:p>
        <w:p w14:paraId="655339C2" w14:textId="77777777" w:rsidR="00436731" w:rsidRDefault="00172777">
          <w:pPr>
            <w:pStyle w:val="TOC2"/>
            <w:tabs>
              <w:tab w:val="right" w:leader="dot" w:pos="9350"/>
            </w:tabs>
            <w:rPr>
              <w:rFonts w:asciiTheme="minorHAnsi" w:eastAsiaTheme="minorEastAsia" w:hAnsiTheme="minorHAnsi" w:cstheme="minorBidi"/>
              <w:noProof/>
              <w:sz w:val="22"/>
              <w:szCs w:val="22"/>
            </w:rPr>
          </w:pPr>
          <w:hyperlink w:anchor="_Toc437867197" w:history="1">
            <w:r w:rsidR="00436731" w:rsidRPr="00674762">
              <w:rPr>
                <w:rStyle w:val="Hyperlink"/>
                <w:noProof/>
              </w:rPr>
              <w:t>7. Explain any special circumstances associated with “extraordinary burden” placed on respondents</w:t>
            </w:r>
            <w:r w:rsidR="00436731">
              <w:rPr>
                <w:noProof/>
                <w:webHidden/>
              </w:rPr>
              <w:tab/>
            </w:r>
            <w:r w:rsidR="00436731">
              <w:rPr>
                <w:noProof/>
                <w:webHidden/>
              </w:rPr>
              <w:fldChar w:fldCharType="begin"/>
            </w:r>
            <w:r w:rsidR="00436731">
              <w:rPr>
                <w:noProof/>
                <w:webHidden/>
              </w:rPr>
              <w:instrText xml:space="preserve"> PAGEREF _Toc437867197 \h </w:instrText>
            </w:r>
            <w:r w:rsidR="00436731">
              <w:rPr>
                <w:noProof/>
                <w:webHidden/>
              </w:rPr>
            </w:r>
            <w:r w:rsidR="00436731">
              <w:rPr>
                <w:noProof/>
                <w:webHidden/>
              </w:rPr>
              <w:fldChar w:fldCharType="separate"/>
            </w:r>
            <w:r w:rsidR="00436731">
              <w:rPr>
                <w:noProof/>
                <w:webHidden/>
              </w:rPr>
              <w:t>11</w:t>
            </w:r>
            <w:r w:rsidR="00436731">
              <w:rPr>
                <w:noProof/>
                <w:webHidden/>
              </w:rPr>
              <w:fldChar w:fldCharType="end"/>
            </w:r>
          </w:hyperlink>
        </w:p>
        <w:p w14:paraId="44DBB5C5" w14:textId="77777777" w:rsidR="00436731" w:rsidRDefault="00172777">
          <w:pPr>
            <w:pStyle w:val="TOC2"/>
            <w:tabs>
              <w:tab w:val="right" w:leader="dot" w:pos="9350"/>
            </w:tabs>
            <w:rPr>
              <w:rFonts w:asciiTheme="minorHAnsi" w:eastAsiaTheme="minorEastAsia" w:hAnsiTheme="minorHAnsi" w:cstheme="minorBidi"/>
              <w:noProof/>
              <w:sz w:val="22"/>
              <w:szCs w:val="22"/>
            </w:rPr>
          </w:pPr>
          <w:hyperlink w:anchor="_Toc437867198" w:history="1">
            <w:r w:rsidR="00436731" w:rsidRPr="00674762">
              <w:rPr>
                <w:rStyle w:val="Hyperlink"/>
                <w:noProof/>
              </w:rPr>
              <w:t>8. Provide a copy and identify the date and page number of the notice in the Federal Register</w:t>
            </w:r>
            <w:r w:rsidR="00436731">
              <w:rPr>
                <w:noProof/>
                <w:webHidden/>
              </w:rPr>
              <w:tab/>
            </w:r>
            <w:r w:rsidR="00436731">
              <w:rPr>
                <w:noProof/>
                <w:webHidden/>
              </w:rPr>
              <w:fldChar w:fldCharType="begin"/>
            </w:r>
            <w:r w:rsidR="00436731">
              <w:rPr>
                <w:noProof/>
                <w:webHidden/>
              </w:rPr>
              <w:instrText xml:space="preserve"> PAGEREF _Toc437867198 \h </w:instrText>
            </w:r>
            <w:r w:rsidR="00436731">
              <w:rPr>
                <w:noProof/>
                <w:webHidden/>
              </w:rPr>
            </w:r>
            <w:r w:rsidR="00436731">
              <w:rPr>
                <w:noProof/>
                <w:webHidden/>
              </w:rPr>
              <w:fldChar w:fldCharType="separate"/>
            </w:r>
            <w:r w:rsidR="00436731">
              <w:rPr>
                <w:noProof/>
                <w:webHidden/>
              </w:rPr>
              <w:t>11</w:t>
            </w:r>
            <w:r w:rsidR="00436731">
              <w:rPr>
                <w:noProof/>
                <w:webHidden/>
              </w:rPr>
              <w:fldChar w:fldCharType="end"/>
            </w:r>
          </w:hyperlink>
        </w:p>
        <w:p w14:paraId="3BD92ECB" w14:textId="77777777" w:rsidR="00436731" w:rsidRDefault="00172777">
          <w:pPr>
            <w:pStyle w:val="TOC2"/>
            <w:tabs>
              <w:tab w:val="right" w:leader="dot" w:pos="9350"/>
            </w:tabs>
            <w:rPr>
              <w:rFonts w:asciiTheme="minorHAnsi" w:eastAsiaTheme="minorEastAsia" w:hAnsiTheme="minorHAnsi" w:cstheme="minorBidi"/>
              <w:noProof/>
              <w:sz w:val="22"/>
              <w:szCs w:val="22"/>
            </w:rPr>
          </w:pPr>
          <w:hyperlink w:anchor="_Toc437867199" w:history="1">
            <w:r w:rsidR="00436731" w:rsidRPr="00674762">
              <w:rPr>
                <w:rStyle w:val="Hyperlink"/>
                <w:noProof/>
              </w:rPr>
              <w:t>9. Explain any decision to provide compensation to respondents</w:t>
            </w:r>
            <w:r w:rsidR="00436731">
              <w:rPr>
                <w:noProof/>
                <w:webHidden/>
              </w:rPr>
              <w:tab/>
            </w:r>
            <w:r w:rsidR="00436731">
              <w:rPr>
                <w:noProof/>
                <w:webHidden/>
              </w:rPr>
              <w:fldChar w:fldCharType="begin"/>
            </w:r>
            <w:r w:rsidR="00436731">
              <w:rPr>
                <w:noProof/>
                <w:webHidden/>
              </w:rPr>
              <w:instrText xml:space="preserve"> PAGEREF _Toc437867199 \h </w:instrText>
            </w:r>
            <w:r w:rsidR="00436731">
              <w:rPr>
                <w:noProof/>
                <w:webHidden/>
              </w:rPr>
            </w:r>
            <w:r w:rsidR="00436731">
              <w:rPr>
                <w:noProof/>
                <w:webHidden/>
              </w:rPr>
              <w:fldChar w:fldCharType="separate"/>
            </w:r>
            <w:r w:rsidR="00436731">
              <w:rPr>
                <w:noProof/>
                <w:webHidden/>
              </w:rPr>
              <w:t>11</w:t>
            </w:r>
            <w:r w:rsidR="00436731">
              <w:rPr>
                <w:noProof/>
                <w:webHidden/>
              </w:rPr>
              <w:fldChar w:fldCharType="end"/>
            </w:r>
          </w:hyperlink>
        </w:p>
        <w:p w14:paraId="15E4EEA0" w14:textId="77777777" w:rsidR="00436731" w:rsidRDefault="00172777">
          <w:pPr>
            <w:pStyle w:val="TOC2"/>
            <w:tabs>
              <w:tab w:val="right" w:leader="dot" w:pos="9350"/>
            </w:tabs>
            <w:rPr>
              <w:rFonts w:asciiTheme="minorHAnsi" w:eastAsiaTheme="minorEastAsia" w:hAnsiTheme="minorHAnsi" w:cstheme="minorBidi"/>
              <w:noProof/>
              <w:sz w:val="22"/>
              <w:szCs w:val="22"/>
            </w:rPr>
          </w:pPr>
          <w:hyperlink w:anchor="_Toc437867200" w:history="1">
            <w:r w:rsidR="00436731" w:rsidRPr="00674762">
              <w:rPr>
                <w:rStyle w:val="Hyperlink"/>
                <w:noProof/>
              </w:rPr>
              <w:t>10. Describe any assurance of confidentiality provided to respondents</w:t>
            </w:r>
            <w:r w:rsidR="00436731">
              <w:rPr>
                <w:noProof/>
                <w:webHidden/>
              </w:rPr>
              <w:tab/>
            </w:r>
            <w:r w:rsidR="00436731">
              <w:rPr>
                <w:noProof/>
                <w:webHidden/>
              </w:rPr>
              <w:fldChar w:fldCharType="begin"/>
            </w:r>
            <w:r w:rsidR="00436731">
              <w:rPr>
                <w:noProof/>
                <w:webHidden/>
              </w:rPr>
              <w:instrText xml:space="preserve"> PAGEREF _Toc437867200 \h </w:instrText>
            </w:r>
            <w:r w:rsidR="00436731">
              <w:rPr>
                <w:noProof/>
                <w:webHidden/>
              </w:rPr>
            </w:r>
            <w:r w:rsidR="00436731">
              <w:rPr>
                <w:noProof/>
                <w:webHidden/>
              </w:rPr>
              <w:fldChar w:fldCharType="separate"/>
            </w:r>
            <w:r w:rsidR="00436731">
              <w:rPr>
                <w:noProof/>
                <w:webHidden/>
              </w:rPr>
              <w:t>11</w:t>
            </w:r>
            <w:r w:rsidR="00436731">
              <w:rPr>
                <w:noProof/>
                <w:webHidden/>
              </w:rPr>
              <w:fldChar w:fldCharType="end"/>
            </w:r>
          </w:hyperlink>
        </w:p>
        <w:p w14:paraId="0AA3318A" w14:textId="77777777" w:rsidR="00436731" w:rsidRDefault="00172777">
          <w:pPr>
            <w:pStyle w:val="TOC2"/>
            <w:tabs>
              <w:tab w:val="right" w:leader="dot" w:pos="9350"/>
            </w:tabs>
            <w:rPr>
              <w:rFonts w:asciiTheme="minorHAnsi" w:eastAsiaTheme="minorEastAsia" w:hAnsiTheme="minorHAnsi" w:cstheme="minorBidi"/>
              <w:noProof/>
              <w:sz w:val="22"/>
              <w:szCs w:val="22"/>
            </w:rPr>
          </w:pPr>
          <w:hyperlink w:anchor="_Toc437867201" w:history="1">
            <w:r w:rsidR="00436731" w:rsidRPr="00674762">
              <w:rPr>
                <w:rStyle w:val="Hyperlink"/>
                <w:noProof/>
              </w:rPr>
              <w:t>11. Provide additional justification for any questions of a sensitive nature</w:t>
            </w:r>
            <w:r w:rsidR="00436731">
              <w:rPr>
                <w:noProof/>
                <w:webHidden/>
              </w:rPr>
              <w:tab/>
            </w:r>
            <w:r w:rsidR="00436731">
              <w:rPr>
                <w:noProof/>
                <w:webHidden/>
              </w:rPr>
              <w:fldChar w:fldCharType="begin"/>
            </w:r>
            <w:r w:rsidR="00436731">
              <w:rPr>
                <w:noProof/>
                <w:webHidden/>
              </w:rPr>
              <w:instrText xml:space="preserve"> PAGEREF _Toc437867201 \h </w:instrText>
            </w:r>
            <w:r w:rsidR="00436731">
              <w:rPr>
                <w:noProof/>
                <w:webHidden/>
              </w:rPr>
            </w:r>
            <w:r w:rsidR="00436731">
              <w:rPr>
                <w:noProof/>
                <w:webHidden/>
              </w:rPr>
              <w:fldChar w:fldCharType="separate"/>
            </w:r>
            <w:r w:rsidR="00436731">
              <w:rPr>
                <w:noProof/>
                <w:webHidden/>
              </w:rPr>
              <w:t>12</w:t>
            </w:r>
            <w:r w:rsidR="00436731">
              <w:rPr>
                <w:noProof/>
                <w:webHidden/>
              </w:rPr>
              <w:fldChar w:fldCharType="end"/>
            </w:r>
          </w:hyperlink>
        </w:p>
        <w:p w14:paraId="31B04490" w14:textId="77777777" w:rsidR="00436731" w:rsidRDefault="00172777">
          <w:pPr>
            <w:pStyle w:val="TOC2"/>
            <w:tabs>
              <w:tab w:val="right" w:leader="dot" w:pos="9350"/>
            </w:tabs>
            <w:rPr>
              <w:rFonts w:asciiTheme="minorHAnsi" w:eastAsiaTheme="minorEastAsia" w:hAnsiTheme="minorHAnsi" w:cstheme="minorBidi"/>
              <w:noProof/>
              <w:sz w:val="22"/>
              <w:szCs w:val="22"/>
            </w:rPr>
          </w:pPr>
          <w:hyperlink w:anchor="_Toc437867202" w:history="1">
            <w:r w:rsidR="00436731" w:rsidRPr="00674762">
              <w:rPr>
                <w:rStyle w:val="Hyperlink"/>
                <w:noProof/>
              </w:rPr>
              <w:t>12. Provide estimates of the hour burden of the collection of information</w:t>
            </w:r>
            <w:r w:rsidR="00436731">
              <w:rPr>
                <w:noProof/>
                <w:webHidden/>
              </w:rPr>
              <w:tab/>
            </w:r>
            <w:r w:rsidR="00436731">
              <w:rPr>
                <w:noProof/>
                <w:webHidden/>
              </w:rPr>
              <w:fldChar w:fldCharType="begin"/>
            </w:r>
            <w:r w:rsidR="00436731">
              <w:rPr>
                <w:noProof/>
                <w:webHidden/>
              </w:rPr>
              <w:instrText xml:space="preserve"> PAGEREF _Toc437867202 \h </w:instrText>
            </w:r>
            <w:r w:rsidR="00436731">
              <w:rPr>
                <w:noProof/>
                <w:webHidden/>
              </w:rPr>
            </w:r>
            <w:r w:rsidR="00436731">
              <w:rPr>
                <w:noProof/>
                <w:webHidden/>
              </w:rPr>
              <w:fldChar w:fldCharType="separate"/>
            </w:r>
            <w:r w:rsidR="00436731">
              <w:rPr>
                <w:noProof/>
                <w:webHidden/>
              </w:rPr>
              <w:t>12</w:t>
            </w:r>
            <w:r w:rsidR="00436731">
              <w:rPr>
                <w:noProof/>
                <w:webHidden/>
              </w:rPr>
              <w:fldChar w:fldCharType="end"/>
            </w:r>
          </w:hyperlink>
        </w:p>
        <w:p w14:paraId="52432273" w14:textId="77777777" w:rsidR="00436731" w:rsidRDefault="00172777">
          <w:pPr>
            <w:pStyle w:val="TOC2"/>
            <w:tabs>
              <w:tab w:val="right" w:leader="dot" w:pos="9350"/>
            </w:tabs>
            <w:rPr>
              <w:rFonts w:asciiTheme="minorHAnsi" w:eastAsiaTheme="minorEastAsia" w:hAnsiTheme="minorHAnsi" w:cstheme="minorBidi"/>
              <w:noProof/>
              <w:sz w:val="22"/>
              <w:szCs w:val="22"/>
            </w:rPr>
          </w:pPr>
          <w:hyperlink w:anchor="_Toc437867203" w:history="1">
            <w:r w:rsidR="00436731" w:rsidRPr="00674762">
              <w:rPr>
                <w:rStyle w:val="Hyperlink"/>
                <w:noProof/>
              </w:rPr>
              <w:t>13. Provide an estimate of the total annual cost burden to Respondents</w:t>
            </w:r>
            <w:r w:rsidR="00436731">
              <w:rPr>
                <w:noProof/>
                <w:webHidden/>
              </w:rPr>
              <w:tab/>
            </w:r>
            <w:r w:rsidR="00436731">
              <w:rPr>
                <w:noProof/>
                <w:webHidden/>
              </w:rPr>
              <w:fldChar w:fldCharType="begin"/>
            </w:r>
            <w:r w:rsidR="00436731">
              <w:rPr>
                <w:noProof/>
                <w:webHidden/>
              </w:rPr>
              <w:instrText xml:space="preserve"> PAGEREF _Toc437867203 \h </w:instrText>
            </w:r>
            <w:r w:rsidR="00436731">
              <w:rPr>
                <w:noProof/>
                <w:webHidden/>
              </w:rPr>
            </w:r>
            <w:r w:rsidR="00436731">
              <w:rPr>
                <w:noProof/>
                <w:webHidden/>
              </w:rPr>
              <w:fldChar w:fldCharType="separate"/>
            </w:r>
            <w:r w:rsidR="00436731">
              <w:rPr>
                <w:noProof/>
                <w:webHidden/>
              </w:rPr>
              <w:t>13</w:t>
            </w:r>
            <w:r w:rsidR="00436731">
              <w:rPr>
                <w:noProof/>
                <w:webHidden/>
              </w:rPr>
              <w:fldChar w:fldCharType="end"/>
            </w:r>
          </w:hyperlink>
        </w:p>
        <w:p w14:paraId="748D8352" w14:textId="77777777" w:rsidR="00436731" w:rsidRDefault="00172777">
          <w:pPr>
            <w:pStyle w:val="TOC2"/>
            <w:tabs>
              <w:tab w:val="right" w:leader="dot" w:pos="9350"/>
            </w:tabs>
            <w:rPr>
              <w:rFonts w:asciiTheme="minorHAnsi" w:eastAsiaTheme="minorEastAsia" w:hAnsiTheme="minorHAnsi" w:cstheme="minorBidi"/>
              <w:noProof/>
              <w:sz w:val="22"/>
              <w:szCs w:val="22"/>
            </w:rPr>
          </w:pPr>
          <w:hyperlink w:anchor="_Toc437867204" w:history="1">
            <w:r w:rsidR="00436731" w:rsidRPr="00674762">
              <w:rPr>
                <w:rStyle w:val="Hyperlink"/>
                <w:noProof/>
              </w:rPr>
              <w:t>14. Provide an estimate of the annualized cost to the federal government</w:t>
            </w:r>
            <w:r w:rsidR="00436731">
              <w:rPr>
                <w:noProof/>
                <w:webHidden/>
              </w:rPr>
              <w:tab/>
            </w:r>
            <w:r w:rsidR="00436731">
              <w:rPr>
                <w:noProof/>
                <w:webHidden/>
              </w:rPr>
              <w:fldChar w:fldCharType="begin"/>
            </w:r>
            <w:r w:rsidR="00436731">
              <w:rPr>
                <w:noProof/>
                <w:webHidden/>
              </w:rPr>
              <w:instrText xml:space="preserve"> PAGEREF _Toc437867204 \h </w:instrText>
            </w:r>
            <w:r w:rsidR="00436731">
              <w:rPr>
                <w:noProof/>
                <w:webHidden/>
              </w:rPr>
            </w:r>
            <w:r w:rsidR="00436731">
              <w:rPr>
                <w:noProof/>
                <w:webHidden/>
              </w:rPr>
              <w:fldChar w:fldCharType="separate"/>
            </w:r>
            <w:r w:rsidR="00436731">
              <w:rPr>
                <w:noProof/>
                <w:webHidden/>
              </w:rPr>
              <w:t>13</w:t>
            </w:r>
            <w:r w:rsidR="00436731">
              <w:rPr>
                <w:noProof/>
                <w:webHidden/>
              </w:rPr>
              <w:fldChar w:fldCharType="end"/>
            </w:r>
          </w:hyperlink>
        </w:p>
        <w:p w14:paraId="73F3D00E" w14:textId="77777777" w:rsidR="00436731" w:rsidRDefault="00172777">
          <w:pPr>
            <w:pStyle w:val="TOC2"/>
            <w:tabs>
              <w:tab w:val="right" w:leader="dot" w:pos="9350"/>
            </w:tabs>
            <w:rPr>
              <w:rFonts w:asciiTheme="minorHAnsi" w:eastAsiaTheme="minorEastAsia" w:hAnsiTheme="minorHAnsi" w:cstheme="minorBidi"/>
              <w:noProof/>
              <w:sz w:val="22"/>
              <w:szCs w:val="22"/>
            </w:rPr>
          </w:pPr>
          <w:hyperlink w:anchor="_Toc437867205" w:history="1">
            <w:r w:rsidR="00436731" w:rsidRPr="00674762">
              <w:rPr>
                <w:rStyle w:val="Hyperlink"/>
                <w:noProof/>
              </w:rPr>
              <w:t>15. Explain the reasons for an adjustments reported in items 13 or 14 of OMB Form 83-I</w:t>
            </w:r>
            <w:r w:rsidR="00436731">
              <w:rPr>
                <w:noProof/>
                <w:webHidden/>
              </w:rPr>
              <w:tab/>
            </w:r>
            <w:r w:rsidR="00436731">
              <w:rPr>
                <w:noProof/>
                <w:webHidden/>
              </w:rPr>
              <w:fldChar w:fldCharType="begin"/>
            </w:r>
            <w:r w:rsidR="00436731">
              <w:rPr>
                <w:noProof/>
                <w:webHidden/>
              </w:rPr>
              <w:instrText xml:space="preserve"> PAGEREF _Toc437867205 \h </w:instrText>
            </w:r>
            <w:r w:rsidR="00436731">
              <w:rPr>
                <w:noProof/>
                <w:webHidden/>
              </w:rPr>
            </w:r>
            <w:r w:rsidR="00436731">
              <w:rPr>
                <w:noProof/>
                <w:webHidden/>
              </w:rPr>
              <w:fldChar w:fldCharType="separate"/>
            </w:r>
            <w:r w:rsidR="00436731">
              <w:rPr>
                <w:noProof/>
                <w:webHidden/>
              </w:rPr>
              <w:t>14</w:t>
            </w:r>
            <w:r w:rsidR="00436731">
              <w:rPr>
                <w:noProof/>
                <w:webHidden/>
              </w:rPr>
              <w:fldChar w:fldCharType="end"/>
            </w:r>
          </w:hyperlink>
        </w:p>
        <w:p w14:paraId="6B819F3F" w14:textId="77777777" w:rsidR="00436731" w:rsidRDefault="00172777">
          <w:pPr>
            <w:pStyle w:val="TOC2"/>
            <w:tabs>
              <w:tab w:val="right" w:leader="dot" w:pos="9350"/>
            </w:tabs>
            <w:rPr>
              <w:rFonts w:asciiTheme="minorHAnsi" w:eastAsiaTheme="minorEastAsia" w:hAnsiTheme="minorHAnsi" w:cstheme="minorBidi"/>
              <w:noProof/>
              <w:sz w:val="22"/>
              <w:szCs w:val="22"/>
            </w:rPr>
          </w:pPr>
          <w:hyperlink w:anchor="_Toc437867206" w:history="1">
            <w:r w:rsidR="00436731" w:rsidRPr="00674762">
              <w:rPr>
                <w:rStyle w:val="Hyperlink"/>
                <w:noProof/>
              </w:rPr>
              <w:t>16. Outline any plans for tabulation and publication of the information</w:t>
            </w:r>
            <w:r w:rsidR="00436731">
              <w:rPr>
                <w:noProof/>
                <w:webHidden/>
              </w:rPr>
              <w:tab/>
            </w:r>
            <w:r w:rsidR="00436731">
              <w:rPr>
                <w:noProof/>
                <w:webHidden/>
              </w:rPr>
              <w:fldChar w:fldCharType="begin"/>
            </w:r>
            <w:r w:rsidR="00436731">
              <w:rPr>
                <w:noProof/>
                <w:webHidden/>
              </w:rPr>
              <w:instrText xml:space="preserve"> PAGEREF _Toc437867206 \h </w:instrText>
            </w:r>
            <w:r w:rsidR="00436731">
              <w:rPr>
                <w:noProof/>
                <w:webHidden/>
              </w:rPr>
            </w:r>
            <w:r w:rsidR="00436731">
              <w:rPr>
                <w:noProof/>
                <w:webHidden/>
              </w:rPr>
              <w:fldChar w:fldCharType="separate"/>
            </w:r>
            <w:r w:rsidR="00436731">
              <w:rPr>
                <w:noProof/>
                <w:webHidden/>
              </w:rPr>
              <w:t>14</w:t>
            </w:r>
            <w:r w:rsidR="00436731">
              <w:rPr>
                <w:noProof/>
                <w:webHidden/>
              </w:rPr>
              <w:fldChar w:fldCharType="end"/>
            </w:r>
          </w:hyperlink>
        </w:p>
        <w:p w14:paraId="66C71EF5" w14:textId="77777777" w:rsidR="00436731" w:rsidRDefault="00172777">
          <w:pPr>
            <w:pStyle w:val="TOC2"/>
            <w:tabs>
              <w:tab w:val="right" w:leader="dot" w:pos="9350"/>
            </w:tabs>
            <w:rPr>
              <w:rFonts w:asciiTheme="minorHAnsi" w:eastAsiaTheme="minorEastAsia" w:hAnsiTheme="minorHAnsi" w:cstheme="minorBidi"/>
              <w:noProof/>
              <w:sz w:val="22"/>
              <w:szCs w:val="22"/>
            </w:rPr>
          </w:pPr>
          <w:hyperlink w:anchor="_Toc437867207" w:history="1">
            <w:r w:rsidR="00436731" w:rsidRPr="00674762">
              <w:rPr>
                <w:rStyle w:val="Hyperlink"/>
                <w:noProof/>
              </w:rPr>
              <w:t>17. Explain any requests to not display the expiration date of OMB approval</w:t>
            </w:r>
            <w:r w:rsidR="00436731">
              <w:rPr>
                <w:noProof/>
                <w:webHidden/>
              </w:rPr>
              <w:tab/>
            </w:r>
            <w:r w:rsidR="00436731">
              <w:rPr>
                <w:noProof/>
                <w:webHidden/>
              </w:rPr>
              <w:fldChar w:fldCharType="begin"/>
            </w:r>
            <w:r w:rsidR="00436731">
              <w:rPr>
                <w:noProof/>
                <w:webHidden/>
              </w:rPr>
              <w:instrText xml:space="preserve"> PAGEREF _Toc437867207 \h </w:instrText>
            </w:r>
            <w:r w:rsidR="00436731">
              <w:rPr>
                <w:noProof/>
                <w:webHidden/>
              </w:rPr>
            </w:r>
            <w:r w:rsidR="00436731">
              <w:rPr>
                <w:noProof/>
                <w:webHidden/>
              </w:rPr>
              <w:fldChar w:fldCharType="separate"/>
            </w:r>
            <w:r w:rsidR="00436731">
              <w:rPr>
                <w:noProof/>
                <w:webHidden/>
              </w:rPr>
              <w:t>15</w:t>
            </w:r>
            <w:r w:rsidR="00436731">
              <w:rPr>
                <w:noProof/>
                <w:webHidden/>
              </w:rPr>
              <w:fldChar w:fldCharType="end"/>
            </w:r>
          </w:hyperlink>
        </w:p>
        <w:p w14:paraId="7FFB8C92" w14:textId="77777777" w:rsidR="00436731" w:rsidRDefault="00172777">
          <w:pPr>
            <w:pStyle w:val="TOC2"/>
            <w:tabs>
              <w:tab w:val="right" w:leader="dot" w:pos="9350"/>
            </w:tabs>
            <w:rPr>
              <w:rFonts w:asciiTheme="minorHAnsi" w:eastAsiaTheme="minorEastAsia" w:hAnsiTheme="minorHAnsi" w:cstheme="minorBidi"/>
              <w:noProof/>
              <w:sz w:val="22"/>
              <w:szCs w:val="22"/>
            </w:rPr>
          </w:pPr>
          <w:hyperlink w:anchor="_Toc437867208" w:history="1">
            <w:r w:rsidR="00436731" w:rsidRPr="00674762">
              <w:rPr>
                <w:rStyle w:val="Hyperlink"/>
                <w:noProof/>
              </w:rPr>
              <w:t>18. Explain any exceptions to the certification statement 5 CFR 1320.9, “Agency Certifications for Proposed Collections of Information.”</w:t>
            </w:r>
            <w:r w:rsidR="00436731">
              <w:rPr>
                <w:noProof/>
                <w:webHidden/>
              </w:rPr>
              <w:tab/>
            </w:r>
            <w:r w:rsidR="00436731">
              <w:rPr>
                <w:noProof/>
                <w:webHidden/>
              </w:rPr>
              <w:fldChar w:fldCharType="begin"/>
            </w:r>
            <w:r w:rsidR="00436731">
              <w:rPr>
                <w:noProof/>
                <w:webHidden/>
              </w:rPr>
              <w:instrText xml:space="preserve"> PAGEREF _Toc437867208 \h </w:instrText>
            </w:r>
            <w:r w:rsidR="00436731">
              <w:rPr>
                <w:noProof/>
                <w:webHidden/>
              </w:rPr>
            </w:r>
            <w:r w:rsidR="00436731">
              <w:rPr>
                <w:noProof/>
                <w:webHidden/>
              </w:rPr>
              <w:fldChar w:fldCharType="separate"/>
            </w:r>
            <w:r w:rsidR="00436731">
              <w:rPr>
                <w:noProof/>
                <w:webHidden/>
              </w:rPr>
              <w:t>15</w:t>
            </w:r>
            <w:r w:rsidR="00436731">
              <w:rPr>
                <w:noProof/>
                <w:webHidden/>
              </w:rPr>
              <w:fldChar w:fldCharType="end"/>
            </w:r>
          </w:hyperlink>
        </w:p>
        <w:p w14:paraId="704CA8A2" w14:textId="77777777" w:rsidR="00436731" w:rsidRDefault="00172777">
          <w:pPr>
            <w:pStyle w:val="TOC1"/>
            <w:rPr>
              <w:rFonts w:asciiTheme="minorHAnsi" w:eastAsiaTheme="minorEastAsia" w:hAnsiTheme="minorHAnsi" w:cstheme="minorBidi"/>
              <w:noProof/>
              <w:sz w:val="22"/>
              <w:szCs w:val="22"/>
            </w:rPr>
          </w:pPr>
          <w:hyperlink w:anchor="_Toc437867209" w:history="1">
            <w:r w:rsidR="00436731" w:rsidRPr="00674762">
              <w:rPr>
                <w:rStyle w:val="Hyperlink"/>
                <w:noProof/>
              </w:rPr>
              <w:t>B. Statistical Methods (used for collection of information employing statistical methods)</w:t>
            </w:r>
            <w:r w:rsidR="00436731">
              <w:rPr>
                <w:noProof/>
                <w:webHidden/>
              </w:rPr>
              <w:tab/>
            </w:r>
            <w:r w:rsidR="00436731">
              <w:rPr>
                <w:noProof/>
                <w:webHidden/>
              </w:rPr>
              <w:fldChar w:fldCharType="begin"/>
            </w:r>
            <w:r w:rsidR="00436731">
              <w:rPr>
                <w:noProof/>
                <w:webHidden/>
              </w:rPr>
              <w:instrText xml:space="preserve"> PAGEREF _Toc437867209 \h </w:instrText>
            </w:r>
            <w:r w:rsidR="00436731">
              <w:rPr>
                <w:noProof/>
                <w:webHidden/>
              </w:rPr>
            </w:r>
            <w:r w:rsidR="00436731">
              <w:rPr>
                <w:noProof/>
                <w:webHidden/>
              </w:rPr>
              <w:fldChar w:fldCharType="separate"/>
            </w:r>
            <w:r w:rsidR="00436731">
              <w:rPr>
                <w:noProof/>
                <w:webHidden/>
              </w:rPr>
              <w:t>15</w:t>
            </w:r>
            <w:r w:rsidR="00436731">
              <w:rPr>
                <w:noProof/>
                <w:webHidden/>
              </w:rPr>
              <w:fldChar w:fldCharType="end"/>
            </w:r>
          </w:hyperlink>
        </w:p>
        <w:p w14:paraId="47EE48C2" w14:textId="77777777" w:rsidR="00436731" w:rsidRDefault="00172777">
          <w:pPr>
            <w:pStyle w:val="TOC1"/>
            <w:rPr>
              <w:rFonts w:asciiTheme="minorHAnsi" w:eastAsiaTheme="minorEastAsia" w:hAnsiTheme="minorHAnsi" w:cstheme="minorBidi"/>
              <w:noProof/>
              <w:sz w:val="22"/>
              <w:szCs w:val="22"/>
            </w:rPr>
          </w:pPr>
          <w:hyperlink w:anchor="_Toc437867210" w:history="1">
            <w:r w:rsidR="00436731" w:rsidRPr="00674762">
              <w:rPr>
                <w:rStyle w:val="Hyperlink"/>
                <w:noProof/>
              </w:rPr>
              <w:t>Appendix A - Description of the Information Collected and Methodology for Estimating Respondent Burden and Cost of Collection</w:t>
            </w:r>
            <w:r w:rsidR="00436731">
              <w:rPr>
                <w:noProof/>
                <w:webHidden/>
              </w:rPr>
              <w:tab/>
            </w:r>
            <w:r w:rsidR="00436731">
              <w:rPr>
                <w:noProof/>
                <w:webHidden/>
              </w:rPr>
              <w:fldChar w:fldCharType="begin"/>
            </w:r>
            <w:r w:rsidR="00436731">
              <w:rPr>
                <w:noProof/>
                <w:webHidden/>
              </w:rPr>
              <w:instrText xml:space="preserve"> PAGEREF _Toc437867210 \h </w:instrText>
            </w:r>
            <w:r w:rsidR="00436731">
              <w:rPr>
                <w:noProof/>
                <w:webHidden/>
              </w:rPr>
            </w:r>
            <w:r w:rsidR="00436731">
              <w:rPr>
                <w:noProof/>
                <w:webHidden/>
              </w:rPr>
              <w:fldChar w:fldCharType="separate"/>
            </w:r>
            <w:r w:rsidR="00436731">
              <w:rPr>
                <w:noProof/>
                <w:webHidden/>
              </w:rPr>
              <w:t>16</w:t>
            </w:r>
            <w:r w:rsidR="00436731">
              <w:rPr>
                <w:noProof/>
                <w:webHidden/>
              </w:rPr>
              <w:fldChar w:fldCharType="end"/>
            </w:r>
          </w:hyperlink>
        </w:p>
        <w:p w14:paraId="1B6A28B3" w14:textId="77777777" w:rsidR="00436731" w:rsidRDefault="00172777">
          <w:pPr>
            <w:pStyle w:val="TOC2"/>
            <w:tabs>
              <w:tab w:val="left" w:pos="1440"/>
              <w:tab w:val="right" w:leader="dot" w:pos="9350"/>
            </w:tabs>
            <w:rPr>
              <w:rFonts w:asciiTheme="minorHAnsi" w:eastAsiaTheme="minorEastAsia" w:hAnsiTheme="minorHAnsi" w:cstheme="minorBidi"/>
              <w:noProof/>
              <w:sz w:val="22"/>
              <w:szCs w:val="22"/>
            </w:rPr>
          </w:pPr>
          <w:hyperlink w:anchor="_Toc437867211" w:history="1">
            <w:r w:rsidR="00436731" w:rsidRPr="00674762">
              <w:rPr>
                <w:rStyle w:val="Hyperlink"/>
                <w:noProof/>
              </w:rPr>
              <w:t>A.1.</w:t>
            </w:r>
            <w:r w:rsidR="00436731">
              <w:rPr>
                <w:rFonts w:asciiTheme="minorHAnsi" w:eastAsiaTheme="minorEastAsia" w:hAnsiTheme="minorHAnsi" w:cstheme="minorBidi"/>
                <w:noProof/>
                <w:sz w:val="22"/>
                <w:szCs w:val="22"/>
              </w:rPr>
              <w:tab/>
            </w:r>
            <w:r w:rsidR="00436731" w:rsidRPr="00674762">
              <w:rPr>
                <w:rStyle w:val="Hyperlink"/>
                <w:noProof/>
              </w:rPr>
              <w:t>Respondent Burden</w:t>
            </w:r>
            <w:r w:rsidR="00436731">
              <w:rPr>
                <w:noProof/>
                <w:webHidden/>
              </w:rPr>
              <w:tab/>
            </w:r>
            <w:r w:rsidR="00436731">
              <w:rPr>
                <w:noProof/>
                <w:webHidden/>
              </w:rPr>
              <w:fldChar w:fldCharType="begin"/>
            </w:r>
            <w:r w:rsidR="00436731">
              <w:rPr>
                <w:noProof/>
                <w:webHidden/>
              </w:rPr>
              <w:instrText xml:space="preserve"> PAGEREF _Toc437867211 \h </w:instrText>
            </w:r>
            <w:r w:rsidR="00436731">
              <w:rPr>
                <w:noProof/>
                <w:webHidden/>
              </w:rPr>
            </w:r>
            <w:r w:rsidR="00436731">
              <w:rPr>
                <w:noProof/>
                <w:webHidden/>
              </w:rPr>
              <w:fldChar w:fldCharType="separate"/>
            </w:r>
            <w:r w:rsidR="00436731">
              <w:rPr>
                <w:noProof/>
                <w:webHidden/>
              </w:rPr>
              <w:t>16</w:t>
            </w:r>
            <w:r w:rsidR="00436731">
              <w:rPr>
                <w:noProof/>
                <w:webHidden/>
              </w:rPr>
              <w:fldChar w:fldCharType="end"/>
            </w:r>
          </w:hyperlink>
        </w:p>
        <w:p w14:paraId="52A815EC" w14:textId="77777777" w:rsidR="00436731" w:rsidRDefault="00172777">
          <w:pPr>
            <w:pStyle w:val="TOC3"/>
            <w:tabs>
              <w:tab w:val="left" w:pos="2183"/>
              <w:tab w:val="right" w:leader="dot" w:pos="9350"/>
            </w:tabs>
            <w:rPr>
              <w:rFonts w:asciiTheme="minorHAnsi" w:eastAsiaTheme="minorEastAsia" w:hAnsiTheme="minorHAnsi" w:cstheme="minorBidi"/>
              <w:noProof/>
              <w:sz w:val="22"/>
              <w:szCs w:val="22"/>
            </w:rPr>
          </w:pPr>
          <w:hyperlink w:anchor="_Toc437867212" w:history="1">
            <w:r w:rsidR="00436731" w:rsidRPr="00674762">
              <w:rPr>
                <w:rStyle w:val="Hyperlink"/>
                <w:noProof/>
              </w:rPr>
              <w:t>A.1.1.</w:t>
            </w:r>
            <w:r w:rsidR="00436731">
              <w:rPr>
                <w:rFonts w:asciiTheme="minorHAnsi" w:eastAsiaTheme="minorEastAsia" w:hAnsiTheme="minorHAnsi" w:cstheme="minorBidi"/>
                <w:noProof/>
                <w:sz w:val="22"/>
                <w:szCs w:val="22"/>
              </w:rPr>
              <w:tab/>
            </w:r>
            <w:r w:rsidR="00436731" w:rsidRPr="00674762">
              <w:rPr>
                <w:rStyle w:val="Hyperlink"/>
                <w:noProof/>
              </w:rPr>
              <w:t>Burden to States</w:t>
            </w:r>
            <w:r w:rsidR="00436731">
              <w:rPr>
                <w:noProof/>
                <w:webHidden/>
              </w:rPr>
              <w:tab/>
            </w:r>
            <w:r w:rsidR="00436731">
              <w:rPr>
                <w:noProof/>
                <w:webHidden/>
              </w:rPr>
              <w:fldChar w:fldCharType="begin"/>
            </w:r>
            <w:r w:rsidR="00436731">
              <w:rPr>
                <w:noProof/>
                <w:webHidden/>
              </w:rPr>
              <w:instrText xml:space="preserve"> PAGEREF _Toc437867212 \h </w:instrText>
            </w:r>
            <w:r w:rsidR="00436731">
              <w:rPr>
                <w:noProof/>
                <w:webHidden/>
              </w:rPr>
            </w:r>
            <w:r w:rsidR="00436731">
              <w:rPr>
                <w:noProof/>
                <w:webHidden/>
              </w:rPr>
              <w:fldChar w:fldCharType="separate"/>
            </w:r>
            <w:r w:rsidR="00436731">
              <w:rPr>
                <w:noProof/>
                <w:webHidden/>
              </w:rPr>
              <w:t>17</w:t>
            </w:r>
            <w:r w:rsidR="00436731">
              <w:rPr>
                <w:noProof/>
                <w:webHidden/>
              </w:rPr>
              <w:fldChar w:fldCharType="end"/>
            </w:r>
          </w:hyperlink>
        </w:p>
        <w:p w14:paraId="155DCFBC" w14:textId="77777777" w:rsidR="00436731" w:rsidRDefault="00172777">
          <w:pPr>
            <w:pStyle w:val="TOC3"/>
            <w:tabs>
              <w:tab w:val="left" w:pos="2183"/>
              <w:tab w:val="right" w:leader="dot" w:pos="9350"/>
            </w:tabs>
            <w:rPr>
              <w:rFonts w:asciiTheme="minorHAnsi" w:eastAsiaTheme="minorEastAsia" w:hAnsiTheme="minorHAnsi" w:cstheme="minorBidi"/>
              <w:noProof/>
              <w:sz w:val="22"/>
              <w:szCs w:val="22"/>
            </w:rPr>
          </w:pPr>
          <w:hyperlink w:anchor="_Toc437867213" w:history="1">
            <w:r w:rsidR="00436731" w:rsidRPr="00674762">
              <w:rPr>
                <w:rStyle w:val="Hyperlink"/>
                <w:noProof/>
              </w:rPr>
              <w:t>A.1.2.</w:t>
            </w:r>
            <w:r w:rsidR="00436731">
              <w:rPr>
                <w:rFonts w:asciiTheme="minorHAnsi" w:eastAsiaTheme="minorEastAsia" w:hAnsiTheme="minorHAnsi" w:cstheme="minorBidi"/>
                <w:noProof/>
                <w:sz w:val="22"/>
                <w:szCs w:val="22"/>
              </w:rPr>
              <w:tab/>
            </w:r>
            <w:r w:rsidR="00436731" w:rsidRPr="00674762">
              <w:rPr>
                <w:rStyle w:val="Hyperlink"/>
                <w:noProof/>
              </w:rPr>
              <w:t>Burden to POTWs</w:t>
            </w:r>
            <w:r w:rsidR="00436731">
              <w:rPr>
                <w:noProof/>
                <w:webHidden/>
              </w:rPr>
              <w:tab/>
            </w:r>
            <w:r w:rsidR="00436731">
              <w:rPr>
                <w:noProof/>
                <w:webHidden/>
              </w:rPr>
              <w:fldChar w:fldCharType="begin"/>
            </w:r>
            <w:r w:rsidR="00436731">
              <w:rPr>
                <w:noProof/>
                <w:webHidden/>
              </w:rPr>
              <w:instrText xml:space="preserve"> PAGEREF _Toc437867213 \h </w:instrText>
            </w:r>
            <w:r w:rsidR="00436731">
              <w:rPr>
                <w:noProof/>
                <w:webHidden/>
              </w:rPr>
            </w:r>
            <w:r w:rsidR="00436731">
              <w:rPr>
                <w:noProof/>
                <w:webHidden/>
              </w:rPr>
              <w:fldChar w:fldCharType="separate"/>
            </w:r>
            <w:r w:rsidR="00436731">
              <w:rPr>
                <w:noProof/>
                <w:webHidden/>
              </w:rPr>
              <w:t>19</w:t>
            </w:r>
            <w:r w:rsidR="00436731">
              <w:rPr>
                <w:noProof/>
                <w:webHidden/>
              </w:rPr>
              <w:fldChar w:fldCharType="end"/>
            </w:r>
          </w:hyperlink>
        </w:p>
        <w:p w14:paraId="4AF72056" w14:textId="77777777" w:rsidR="00436731" w:rsidRDefault="00172777">
          <w:pPr>
            <w:pStyle w:val="TOC3"/>
            <w:tabs>
              <w:tab w:val="left" w:pos="2183"/>
              <w:tab w:val="right" w:leader="dot" w:pos="9350"/>
            </w:tabs>
            <w:rPr>
              <w:rFonts w:asciiTheme="minorHAnsi" w:eastAsiaTheme="minorEastAsia" w:hAnsiTheme="minorHAnsi" w:cstheme="minorBidi"/>
              <w:noProof/>
              <w:sz w:val="22"/>
              <w:szCs w:val="22"/>
            </w:rPr>
          </w:pPr>
          <w:hyperlink w:anchor="_Toc437867214" w:history="1">
            <w:r w:rsidR="00436731" w:rsidRPr="00674762">
              <w:rPr>
                <w:rStyle w:val="Hyperlink"/>
                <w:noProof/>
              </w:rPr>
              <w:t>A.1.3.</w:t>
            </w:r>
            <w:r w:rsidR="00436731">
              <w:rPr>
                <w:rFonts w:asciiTheme="minorHAnsi" w:eastAsiaTheme="minorEastAsia" w:hAnsiTheme="minorHAnsi" w:cstheme="minorBidi"/>
                <w:noProof/>
                <w:sz w:val="22"/>
                <w:szCs w:val="22"/>
              </w:rPr>
              <w:tab/>
            </w:r>
            <w:r w:rsidR="00436731" w:rsidRPr="00674762">
              <w:rPr>
                <w:rStyle w:val="Hyperlink"/>
                <w:noProof/>
              </w:rPr>
              <w:t>Burden to Industrial Users</w:t>
            </w:r>
            <w:r w:rsidR="00436731">
              <w:rPr>
                <w:noProof/>
                <w:webHidden/>
              </w:rPr>
              <w:tab/>
            </w:r>
            <w:r w:rsidR="00436731">
              <w:rPr>
                <w:noProof/>
                <w:webHidden/>
              </w:rPr>
              <w:fldChar w:fldCharType="begin"/>
            </w:r>
            <w:r w:rsidR="00436731">
              <w:rPr>
                <w:noProof/>
                <w:webHidden/>
              </w:rPr>
              <w:instrText xml:space="preserve"> PAGEREF _Toc437867214 \h </w:instrText>
            </w:r>
            <w:r w:rsidR="00436731">
              <w:rPr>
                <w:noProof/>
                <w:webHidden/>
              </w:rPr>
            </w:r>
            <w:r w:rsidR="00436731">
              <w:rPr>
                <w:noProof/>
                <w:webHidden/>
              </w:rPr>
              <w:fldChar w:fldCharType="separate"/>
            </w:r>
            <w:r w:rsidR="00436731">
              <w:rPr>
                <w:noProof/>
                <w:webHidden/>
              </w:rPr>
              <w:t>22</w:t>
            </w:r>
            <w:r w:rsidR="00436731">
              <w:rPr>
                <w:noProof/>
                <w:webHidden/>
              </w:rPr>
              <w:fldChar w:fldCharType="end"/>
            </w:r>
          </w:hyperlink>
        </w:p>
        <w:p w14:paraId="05A05033" w14:textId="77777777" w:rsidR="00436731" w:rsidRDefault="00172777">
          <w:pPr>
            <w:pStyle w:val="TOC2"/>
            <w:tabs>
              <w:tab w:val="left" w:pos="1440"/>
              <w:tab w:val="right" w:leader="dot" w:pos="9350"/>
            </w:tabs>
            <w:rPr>
              <w:rFonts w:asciiTheme="minorHAnsi" w:eastAsiaTheme="minorEastAsia" w:hAnsiTheme="minorHAnsi" w:cstheme="minorBidi"/>
              <w:noProof/>
              <w:sz w:val="22"/>
              <w:szCs w:val="22"/>
            </w:rPr>
          </w:pPr>
          <w:hyperlink w:anchor="_Toc437867215" w:history="1">
            <w:r w:rsidR="00436731" w:rsidRPr="00674762">
              <w:rPr>
                <w:rStyle w:val="Hyperlink"/>
                <w:noProof/>
              </w:rPr>
              <w:t>A.2.</w:t>
            </w:r>
            <w:r w:rsidR="00436731">
              <w:rPr>
                <w:rFonts w:asciiTheme="minorHAnsi" w:eastAsiaTheme="minorEastAsia" w:hAnsiTheme="minorHAnsi" w:cstheme="minorBidi"/>
                <w:noProof/>
                <w:sz w:val="22"/>
                <w:szCs w:val="22"/>
              </w:rPr>
              <w:tab/>
            </w:r>
            <w:r w:rsidR="00436731" w:rsidRPr="00674762">
              <w:rPr>
                <w:rStyle w:val="Hyperlink"/>
                <w:noProof/>
              </w:rPr>
              <w:t>Respondent Costs</w:t>
            </w:r>
            <w:r w:rsidR="00436731">
              <w:rPr>
                <w:noProof/>
                <w:webHidden/>
              </w:rPr>
              <w:tab/>
            </w:r>
            <w:r w:rsidR="00436731">
              <w:rPr>
                <w:noProof/>
                <w:webHidden/>
              </w:rPr>
              <w:fldChar w:fldCharType="begin"/>
            </w:r>
            <w:r w:rsidR="00436731">
              <w:rPr>
                <w:noProof/>
                <w:webHidden/>
              </w:rPr>
              <w:instrText xml:space="preserve"> PAGEREF _Toc437867215 \h </w:instrText>
            </w:r>
            <w:r w:rsidR="00436731">
              <w:rPr>
                <w:noProof/>
                <w:webHidden/>
              </w:rPr>
            </w:r>
            <w:r w:rsidR="00436731">
              <w:rPr>
                <w:noProof/>
                <w:webHidden/>
              </w:rPr>
              <w:fldChar w:fldCharType="separate"/>
            </w:r>
            <w:r w:rsidR="00436731">
              <w:rPr>
                <w:noProof/>
                <w:webHidden/>
              </w:rPr>
              <w:t>28</w:t>
            </w:r>
            <w:r w:rsidR="00436731">
              <w:rPr>
                <w:noProof/>
                <w:webHidden/>
              </w:rPr>
              <w:fldChar w:fldCharType="end"/>
            </w:r>
          </w:hyperlink>
        </w:p>
        <w:p w14:paraId="7231568B" w14:textId="77777777" w:rsidR="00436731" w:rsidRDefault="00172777">
          <w:pPr>
            <w:pStyle w:val="TOC3"/>
            <w:tabs>
              <w:tab w:val="left" w:pos="2183"/>
              <w:tab w:val="right" w:leader="dot" w:pos="9350"/>
            </w:tabs>
            <w:rPr>
              <w:rFonts w:asciiTheme="minorHAnsi" w:eastAsiaTheme="minorEastAsia" w:hAnsiTheme="minorHAnsi" w:cstheme="minorBidi"/>
              <w:noProof/>
              <w:sz w:val="22"/>
              <w:szCs w:val="22"/>
            </w:rPr>
          </w:pPr>
          <w:hyperlink w:anchor="_Toc437867216" w:history="1">
            <w:r w:rsidR="00436731" w:rsidRPr="00674762">
              <w:rPr>
                <w:rStyle w:val="Hyperlink"/>
                <w:noProof/>
              </w:rPr>
              <w:t>A.2.1.</w:t>
            </w:r>
            <w:r w:rsidR="00436731">
              <w:rPr>
                <w:rFonts w:asciiTheme="minorHAnsi" w:eastAsiaTheme="minorEastAsia" w:hAnsiTheme="minorHAnsi" w:cstheme="minorBidi"/>
                <w:noProof/>
                <w:sz w:val="22"/>
                <w:szCs w:val="22"/>
              </w:rPr>
              <w:tab/>
            </w:r>
            <w:r w:rsidR="00436731" w:rsidRPr="00674762">
              <w:rPr>
                <w:rStyle w:val="Hyperlink"/>
                <w:noProof/>
              </w:rPr>
              <w:t>Cost to States</w:t>
            </w:r>
            <w:r w:rsidR="00436731">
              <w:rPr>
                <w:noProof/>
                <w:webHidden/>
              </w:rPr>
              <w:tab/>
            </w:r>
            <w:r w:rsidR="00436731">
              <w:rPr>
                <w:noProof/>
                <w:webHidden/>
              </w:rPr>
              <w:fldChar w:fldCharType="begin"/>
            </w:r>
            <w:r w:rsidR="00436731">
              <w:rPr>
                <w:noProof/>
                <w:webHidden/>
              </w:rPr>
              <w:instrText xml:space="preserve"> PAGEREF _Toc437867216 \h </w:instrText>
            </w:r>
            <w:r w:rsidR="00436731">
              <w:rPr>
                <w:noProof/>
                <w:webHidden/>
              </w:rPr>
            </w:r>
            <w:r w:rsidR="00436731">
              <w:rPr>
                <w:noProof/>
                <w:webHidden/>
              </w:rPr>
              <w:fldChar w:fldCharType="separate"/>
            </w:r>
            <w:r w:rsidR="00436731">
              <w:rPr>
                <w:noProof/>
                <w:webHidden/>
              </w:rPr>
              <w:t>28</w:t>
            </w:r>
            <w:r w:rsidR="00436731">
              <w:rPr>
                <w:noProof/>
                <w:webHidden/>
              </w:rPr>
              <w:fldChar w:fldCharType="end"/>
            </w:r>
          </w:hyperlink>
        </w:p>
        <w:p w14:paraId="69D1FE2A" w14:textId="77777777" w:rsidR="00436731" w:rsidRDefault="00172777">
          <w:pPr>
            <w:pStyle w:val="TOC3"/>
            <w:tabs>
              <w:tab w:val="left" w:pos="2183"/>
              <w:tab w:val="right" w:leader="dot" w:pos="9350"/>
            </w:tabs>
            <w:rPr>
              <w:rFonts w:asciiTheme="minorHAnsi" w:eastAsiaTheme="minorEastAsia" w:hAnsiTheme="minorHAnsi" w:cstheme="minorBidi"/>
              <w:noProof/>
              <w:sz w:val="22"/>
              <w:szCs w:val="22"/>
            </w:rPr>
          </w:pPr>
          <w:hyperlink w:anchor="_Toc437867217" w:history="1">
            <w:r w:rsidR="00436731" w:rsidRPr="00674762">
              <w:rPr>
                <w:rStyle w:val="Hyperlink"/>
                <w:noProof/>
              </w:rPr>
              <w:t>A.2.2.</w:t>
            </w:r>
            <w:r w:rsidR="00436731">
              <w:rPr>
                <w:rFonts w:asciiTheme="minorHAnsi" w:eastAsiaTheme="minorEastAsia" w:hAnsiTheme="minorHAnsi" w:cstheme="minorBidi"/>
                <w:noProof/>
                <w:sz w:val="22"/>
                <w:szCs w:val="22"/>
              </w:rPr>
              <w:tab/>
            </w:r>
            <w:r w:rsidR="00436731" w:rsidRPr="00674762">
              <w:rPr>
                <w:rStyle w:val="Hyperlink"/>
                <w:noProof/>
              </w:rPr>
              <w:t>Cost to POTWs</w:t>
            </w:r>
            <w:r w:rsidR="00436731">
              <w:rPr>
                <w:noProof/>
                <w:webHidden/>
              </w:rPr>
              <w:tab/>
            </w:r>
            <w:r w:rsidR="00436731">
              <w:rPr>
                <w:noProof/>
                <w:webHidden/>
              </w:rPr>
              <w:fldChar w:fldCharType="begin"/>
            </w:r>
            <w:r w:rsidR="00436731">
              <w:rPr>
                <w:noProof/>
                <w:webHidden/>
              </w:rPr>
              <w:instrText xml:space="preserve"> PAGEREF _Toc437867217 \h </w:instrText>
            </w:r>
            <w:r w:rsidR="00436731">
              <w:rPr>
                <w:noProof/>
                <w:webHidden/>
              </w:rPr>
            </w:r>
            <w:r w:rsidR="00436731">
              <w:rPr>
                <w:noProof/>
                <w:webHidden/>
              </w:rPr>
              <w:fldChar w:fldCharType="separate"/>
            </w:r>
            <w:r w:rsidR="00436731">
              <w:rPr>
                <w:noProof/>
                <w:webHidden/>
              </w:rPr>
              <w:t>29</w:t>
            </w:r>
            <w:r w:rsidR="00436731">
              <w:rPr>
                <w:noProof/>
                <w:webHidden/>
              </w:rPr>
              <w:fldChar w:fldCharType="end"/>
            </w:r>
          </w:hyperlink>
        </w:p>
        <w:p w14:paraId="38109236" w14:textId="77777777" w:rsidR="00436731" w:rsidRDefault="00172777">
          <w:pPr>
            <w:pStyle w:val="TOC3"/>
            <w:tabs>
              <w:tab w:val="left" w:pos="2183"/>
              <w:tab w:val="right" w:leader="dot" w:pos="9350"/>
            </w:tabs>
            <w:rPr>
              <w:rFonts w:asciiTheme="minorHAnsi" w:eastAsiaTheme="minorEastAsia" w:hAnsiTheme="minorHAnsi" w:cstheme="minorBidi"/>
              <w:noProof/>
              <w:sz w:val="22"/>
              <w:szCs w:val="22"/>
            </w:rPr>
          </w:pPr>
          <w:hyperlink w:anchor="_Toc437867218" w:history="1">
            <w:r w:rsidR="00436731" w:rsidRPr="00674762">
              <w:rPr>
                <w:rStyle w:val="Hyperlink"/>
                <w:noProof/>
              </w:rPr>
              <w:t>A.2.3.</w:t>
            </w:r>
            <w:r w:rsidR="00436731">
              <w:rPr>
                <w:rFonts w:asciiTheme="minorHAnsi" w:eastAsiaTheme="minorEastAsia" w:hAnsiTheme="minorHAnsi" w:cstheme="minorBidi"/>
                <w:noProof/>
                <w:sz w:val="22"/>
                <w:szCs w:val="22"/>
              </w:rPr>
              <w:tab/>
            </w:r>
            <w:r w:rsidR="00436731" w:rsidRPr="00674762">
              <w:rPr>
                <w:rStyle w:val="Hyperlink"/>
                <w:noProof/>
              </w:rPr>
              <w:t>Cost to Industrial Users</w:t>
            </w:r>
            <w:r w:rsidR="00436731">
              <w:rPr>
                <w:noProof/>
                <w:webHidden/>
              </w:rPr>
              <w:tab/>
            </w:r>
            <w:r w:rsidR="00436731">
              <w:rPr>
                <w:noProof/>
                <w:webHidden/>
              </w:rPr>
              <w:fldChar w:fldCharType="begin"/>
            </w:r>
            <w:r w:rsidR="00436731">
              <w:rPr>
                <w:noProof/>
                <w:webHidden/>
              </w:rPr>
              <w:instrText xml:space="preserve"> PAGEREF _Toc437867218 \h </w:instrText>
            </w:r>
            <w:r w:rsidR="00436731">
              <w:rPr>
                <w:noProof/>
                <w:webHidden/>
              </w:rPr>
            </w:r>
            <w:r w:rsidR="00436731">
              <w:rPr>
                <w:noProof/>
                <w:webHidden/>
              </w:rPr>
              <w:fldChar w:fldCharType="separate"/>
            </w:r>
            <w:r w:rsidR="00436731">
              <w:rPr>
                <w:noProof/>
                <w:webHidden/>
              </w:rPr>
              <w:t>29</w:t>
            </w:r>
            <w:r w:rsidR="00436731">
              <w:rPr>
                <w:noProof/>
                <w:webHidden/>
              </w:rPr>
              <w:fldChar w:fldCharType="end"/>
            </w:r>
          </w:hyperlink>
        </w:p>
        <w:p w14:paraId="6EC5EC3E" w14:textId="77777777" w:rsidR="00436731" w:rsidRDefault="00172777">
          <w:pPr>
            <w:pStyle w:val="TOC1"/>
            <w:rPr>
              <w:rFonts w:asciiTheme="minorHAnsi" w:eastAsiaTheme="minorEastAsia" w:hAnsiTheme="minorHAnsi" w:cstheme="minorBidi"/>
              <w:noProof/>
              <w:sz w:val="22"/>
              <w:szCs w:val="22"/>
            </w:rPr>
          </w:pPr>
          <w:hyperlink w:anchor="_Toc437867219" w:history="1">
            <w:r w:rsidR="00436731" w:rsidRPr="00674762">
              <w:rPr>
                <w:rStyle w:val="Hyperlink"/>
                <w:noProof/>
              </w:rPr>
              <w:t>Appendix B – Assumptions for Developing Burden and Cost Estimates</w:t>
            </w:r>
            <w:r w:rsidR="00436731">
              <w:rPr>
                <w:noProof/>
                <w:webHidden/>
              </w:rPr>
              <w:tab/>
            </w:r>
            <w:r w:rsidR="00436731">
              <w:rPr>
                <w:noProof/>
                <w:webHidden/>
              </w:rPr>
              <w:fldChar w:fldCharType="begin"/>
            </w:r>
            <w:r w:rsidR="00436731">
              <w:rPr>
                <w:noProof/>
                <w:webHidden/>
              </w:rPr>
              <w:instrText xml:space="preserve"> PAGEREF _Toc437867219 \h </w:instrText>
            </w:r>
            <w:r w:rsidR="00436731">
              <w:rPr>
                <w:noProof/>
                <w:webHidden/>
              </w:rPr>
            </w:r>
            <w:r w:rsidR="00436731">
              <w:rPr>
                <w:noProof/>
                <w:webHidden/>
              </w:rPr>
              <w:fldChar w:fldCharType="separate"/>
            </w:r>
            <w:r w:rsidR="00436731">
              <w:rPr>
                <w:noProof/>
                <w:webHidden/>
              </w:rPr>
              <w:t>31</w:t>
            </w:r>
            <w:r w:rsidR="00436731">
              <w:rPr>
                <w:noProof/>
                <w:webHidden/>
              </w:rPr>
              <w:fldChar w:fldCharType="end"/>
            </w:r>
          </w:hyperlink>
        </w:p>
        <w:p w14:paraId="3A05036E" w14:textId="77777777" w:rsidR="00436731" w:rsidRDefault="00172777">
          <w:pPr>
            <w:pStyle w:val="TOC1"/>
            <w:rPr>
              <w:rFonts w:asciiTheme="minorHAnsi" w:eastAsiaTheme="minorEastAsia" w:hAnsiTheme="minorHAnsi" w:cstheme="minorBidi"/>
              <w:noProof/>
              <w:sz w:val="22"/>
              <w:szCs w:val="22"/>
            </w:rPr>
          </w:pPr>
          <w:hyperlink w:anchor="_Toc437867220" w:history="1">
            <w:r w:rsidR="00436731" w:rsidRPr="00674762">
              <w:rPr>
                <w:rStyle w:val="Hyperlink"/>
                <w:noProof/>
              </w:rPr>
              <w:t>Appendix C – Detailed Results of Respondent Burden and Cost Analysis for the Information Collection Requirements of the National Pretreatment Program</w:t>
            </w:r>
            <w:r w:rsidR="00436731">
              <w:rPr>
                <w:noProof/>
                <w:webHidden/>
              </w:rPr>
              <w:tab/>
            </w:r>
            <w:r w:rsidR="00436731">
              <w:rPr>
                <w:noProof/>
                <w:webHidden/>
              </w:rPr>
              <w:fldChar w:fldCharType="begin"/>
            </w:r>
            <w:r w:rsidR="00436731">
              <w:rPr>
                <w:noProof/>
                <w:webHidden/>
              </w:rPr>
              <w:instrText xml:space="preserve"> PAGEREF _Toc437867220 \h </w:instrText>
            </w:r>
            <w:r w:rsidR="00436731">
              <w:rPr>
                <w:noProof/>
                <w:webHidden/>
              </w:rPr>
            </w:r>
            <w:r w:rsidR="00436731">
              <w:rPr>
                <w:noProof/>
                <w:webHidden/>
              </w:rPr>
              <w:fldChar w:fldCharType="separate"/>
            </w:r>
            <w:r w:rsidR="00436731">
              <w:rPr>
                <w:noProof/>
                <w:webHidden/>
              </w:rPr>
              <w:t>33</w:t>
            </w:r>
            <w:r w:rsidR="00436731">
              <w:rPr>
                <w:noProof/>
                <w:webHidden/>
              </w:rPr>
              <w:fldChar w:fldCharType="end"/>
            </w:r>
          </w:hyperlink>
        </w:p>
        <w:p w14:paraId="6D616501" w14:textId="77777777" w:rsidR="00436731" w:rsidRDefault="00172777">
          <w:pPr>
            <w:pStyle w:val="TOC1"/>
            <w:rPr>
              <w:rFonts w:asciiTheme="minorHAnsi" w:eastAsiaTheme="minorEastAsia" w:hAnsiTheme="minorHAnsi" w:cstheme="minorBidi"/>
              <w:noProof/>
              <w:sz w:val="22"/>
              <w:szCs w:val="22"/>
            </w:rPr>
          </w:pPr>
          <w:hyperlink w:anchor="_Toc437867221" w:history="1">
            <w:r w:rsidR="00436731" w:rsidRPr="00674762">
              <w:rPr>
                <w:rStyle w:val="Hyperlink"/>
                <w:noProof/>
              </w:rPr>
              <w:t>Appendix D - Copy of Regulation Authorizing Data Collection and Federal Register Notice</w:t>
            </w:r>
            <w:r w:rsidR="00436731">
              <w:rPr>
                <w:noProof/>
                <w:webHidden/>
              </w:rPr>
              <w:tab/>
            </w:r>
            <w:r w:rsidR="00436731">
              <w:rPr>
                <w:noProof/>
                <w:webHidden/>
              </w:rPr>
              <w:fldChar w:fldCharType="begin"/>
            </w:r>
            <w:r w:rsidR="00436731">
              <w:rPr>
                <w:noProof/>
                <w:webHidden/>
              </w:rPr>
              <w:instrText xml:space="preserve"> PAGEREF _Toc437867221 \h </w:instrText>
            </w:r>
            <w:r w:rsidR="00436731">
              <w:rPr>
                <w:noProof/>
                <w:webHidden/>
              </w:rPr>
            </w:r>
            <w:r w:rsidR="00436731">
              <w:rPr>
                <w:noProof/>
                <w:webHidden/>
              </w:rPr>
              <w:fldChar w:fldCharType="separate"/>
            </w:r>
            <w:r w:rsidR="00436731">
              <w:rPr>
                <w:noProof/>
                <w:webHidden/>
              </w:rPr>
              <w:t>34</w:t>
            </w:r>
            <w:r w:rsidR="00436731">
              <w:rPr>
                <w:noProof/>
                <w:webHidden/>
              </w:rPr>
              <w:fldChar w:fldCharType="end"/>
            </w:r>
          </w:hyperlink>
        </w:p>
        <w:p w14:paraId="4C6CD398" w14:textId="77777777" w:rsidR="00436731" w:rsidRDefault="00172777">
          <w:pPr>
            <w:pStyle w:val="TOC2"/>
            <w:tabs>
              <w:tab w:val="right" w:leader="dot" w:pos="9350"/>
            </w:tabs>
            <w:rPr>
              <w:rFonts w:asciiTheme="minorHAnsi" w:eastAsiaTheme="minorEastAsia" w:hAnsiTheme="minorHAnsi" w:cstheme="minorBidi"/>
              <w:noProof/>
              <w:sz w:val="22"/>
              <w:szCs w:val="22"/>
            </w:rPr>
          </w:pPr>
          <w:hyperlink w:anchor="_Toc437867222" w:history="1">
            <w:r w:rsidR="00436731" w:rsidRPr="00674762">
              <w:rPr>
                <w:rStyle w:val="Hyperlink"/>
                <w:noProof/>
              </w:rPr>
              <w:t>D.1 Pretreatment Streamlining Rule</w:t>
            </w:r>
            <w:r w:rsidR="00436731">
              <w:rPr>
                <w:noProof/>
                <w:webHidden/>
              </w:rPr>
              <w:tab/>
            </w:r>
            <w:r w:rsidR="00436731">
              <w:rPr>
                <w:noProof/>
                <w:webHidden/>
              </w:rPr>
              <w:fldChar w:fldCharType="begin"/>
            </w:r>
            <w:r w:rsidR="00436731">
              <w:rPr>
                <w:noProof/>
                <w:webHidden/>
              </w:rPr>
              <w:instrText xml:space="preserve"> PAGEREF _Toc437867222 \h </w:instrText>
            </w:r>
            <w:r w:rsidR="00436731">
              <w:rPr>
                <w:noProof/>
                <w:webHidden/>
              </w:rPr>
            </w:r>
            <w:r w:rsidR="00436731">
              <w:rPr>
                <w:noProof/>
                <w:webHidden/>
              </w:rPr>
              <w:fldChar w:fldCharType="separate"/>
            </w:r>
            <w:r w:rsidR="00436731">
              <w:rPr>
                <w:noProof/>
                <w:webHidden/>
              </w:rPr>
              <w:t>34</w:t>
            </w:r>
            <w:r w:rsidR="00436731">
              <w:rPr>
                <w:noProof/>
                <w:webHidden/>
              </w:rPr>
              <w:fldChar w:fldCharType="end"/>
            </w:r>
          </w:hyperlink>
        </w:p>
        <w:p w14:paraId="05FE4E5B" w14:textId="77777777" w:rsidR="00436731" w:rsidRDefault="00172777">
          <w:pPr>
            <w:pStyle w:val="TOC2"/>
            <w:tabs>
              <w:tab w:val="right" w:leader="dot" w:pos="9350"/>
            </w:tabs>
            <w:rPr>
              <w:rFonts w:asciiTheme="minorHAnsi" w:eastAsiaTheme="minorEastAsia" w:hAnsiTheme="minorHAnsi" w:cstheme="minorBidi"/>
              <w:noProof/>
              <w:sz w:val="22"/>
              <w:szCs w:val="22"/>
            </w:rPr>
          </w:pPr>
          <w:hyperlink w:anchor="_Toc437867223" w:history="1">
            <w:r w:rsidR="00436731" w:rsidRPr="00674762">
              <w:rPr>
                <w:rStyle w:val="Hyperlink"/>
                <w:noProof/>
              </w:rPr>
              <w:t>D.2 ICR Federal Register Notice</w:t>
            </w:r>
            <w:r w:rsidR="00436731">
              <w:rPr>
                <w:noProof/>
                <w:webHidden/>
              </w:rPr>
              <w:tab/>
            </w:r>
            <w:r w:rsidR="00436731">
              <w:rPr>
                <w:noProof/>
                <w:webHidden/>
              </w:rPr>
              <w:fldChar w:fldCharType="begin"/>
            </w:r>
            <w:r w:rsidR="00436731">
              <w:rPr>
                <w:noProof/>
                <w:webHidden/>
              </w:rPr>
              <w:instrText xml:space="preserve"> PAGEREF _Toc437867223 \h </w:instrText>
            </w:r>
            <w:r w:rsidR="00436731">
              <w:rPr>
                <w:noProof/>
                <w:webHidden/>
              </w:rPr>
            </w:r>
            <w:r w:rsidR="00436731">
              <w:rPr>
                <w:noProof/>
                <w:webHidden/>
              </w:rPr>
              <w:fldChar w:fldCharType="separate"/>
            </w:r>
            <w:r w:rsidR="00436731">
              <w:rPr>
                <w:noProof/>
                <w:webHidden/>
              </w:rPr>
              <w:t>34</w:t>
            </w:r>
            <w:r w:rsidR="00436731">
              <w:rPr>
                <w:noProof/>
                <w:webHidden/>
              </w:rPr>
              <w:fldChar w:fldCharType="end"/>
            </w:r>
          </w:hyperlink>
        </w:p>
        <w:p w14:paraId="09134077" w14:textId="03C78AFB" w:rsidR="00957B2F" w:rsidRDefault="00957B2F">
          <w:r>
            <w:rPr>
              <w:b/>
              <w:bCs/>
              <w:noProof/>
            </w:rPr>
            <w:fldChar w:fldCharType="end"/>
          </w:r>
        </w:p>
      </w:sdtContent>
    </w:sdt>
    <w:p w14:paraId="276BBC2F" w14:textId="77777777" w:rsidR="00957B2F" w:rsidRPr="005A1A1F" w:rsidRDefault="00957B2F" w:rsidP="00957B2F">
      <w:pPr>
        <w:jc w:val="center"/>
      </w:pPr>
    </w:p>
    <w:p w14:paraId="3D1B15EB" w14:textId="77777777" w:rsidR="00957B2F" w:rsidRPr="0058298C" w:rsidRDefault="00957B2F" w:rsidP="0058298C">
      <w:pPr>
        <w:jc w:val="center"/>
      </w:pPr>
    </w:p>
    <w:p w14:paraId="762B959E" w14:textId="77777777" w:rsidR="006949C5" w:rsidRDefault="006949C5" w:rsidP="0058298C"/>
    <w:p w14:paraId="0117D520" w14:textId="77777777" w:rsidR="006949C5" w:rsidRDefault="006949C5" w:rsidP="0058298C"/>
    <w:p w14:paraId="6362D6BE" w14:textId="77777777" w:rsidR="006949C5" w:rsidRDefault="006949C5" w:rsidP="006949C5">
      <w:pPr>
        <w:sectPr w:rsidR="006949C5" w:rsidSect="0058298C">
          <w:footerReference w:type="default" r:id="rId8"/>
          <w:pgSz w:w="12240" w:h="15840"/>
          <w:pgMar w:top="1440" w:right="1440" w:bottom="1440" w:left="1440" w:header="720" w:footer="720" w:gutter="0"/>
          <w:cols w:space="720"/>
          <w:titlePg/>
          <w:docGrid w:linePitch="360"/>
        </w:sectPr>
      </w:pPr>
    </w:p>
    <w:p w14:paraId="0A57D085" w14:textId="29B016AE" w:rsidR="006949C5" w:rsidRPr="0058298C" w:rsidRDefault="006949C5" w:rsidP="0058298C"/>
    <w:p w14:paraId="472A8D23" w14:textId="77777777" w:rsidR="007F2877" w:rsidRPr="00673714" w:rsidRDefault="007F2877" w:rsidP="007F2877">
      <w:pPr>
        <w:pStyle w:val="Heading1"/>
      </w:pPr>
      <w:bookmarkStart w:id="1" w:name="_Toc437867190"/>
      <w:r w:rsidRPr="00673714">
        <w:t>A. Justification</w:t>
      </w:r>
      <w:bookmarkEnd w:id="1"/>
    </w:p>
    <w:p w14:paraId="46756410" w14:textId="76068C4E" w:rsidR="007F2877" w:rsidRDefault="007F2877" w:rsidP="007F2877">
      <w:pPr>
        <w:pStyle w:val="Heading2"/>
      </w:pPr>
      <w:bookmarkStart w:id="2" w:name="_Toc437867191"/>
      <w:r>
        <w:t xml:space="preserve">1. </w:t>
      </w:r>
      <w:r w:rsidRPr="00673714">
        <w:t>Explain the circumstances that make the collection necessary and explain the legal or administrative requirements relevant to the</w:t>
      </w:r>
      <w:r>
        <w:t xml:space="preserve"> </w:t>
      </w:r>
      <w:r w:rsidRPr="00673714">
        <w:t xml:space="preserve">collection and attach a copy of the statute or regulation authorizing the </w:t>
      </w:r>
      <w:r>
        <w:t>collection</w:t>
      </w:r>
      <w:bookmarkEnd w:id="2"/>
    </w:p>
    <w:p w14:paraId="208C8651" w14:textId="77777777" w:rsidR="00EA4EE5" w:rsidRDefault="00EA4EE5" w:rsidP="00EA4EE5">
      <w:r>
        <w:t xml:space="preserve">This Information Collection Request (ICR) calculates the burden and costs associated with managing and implementing the National Pretreatment Program as mandated under sections 402(a) and (b) and 307(b) of the Clean Water Act (CWA or the Act). This ICR includes all existing tasks under the National Pretreatment Program, as amended by the U.S. Environmental Protection Agency’s (EPA) Streamlining Rule.  </w:t>
      </w:r>
    </w:p>
    <w:p w14:paraId="4A09965C" w14:textId="77777777" w:rsidR="00EA4EE5" w:rsidRDefault="00EA4EE5" w:rsidP="00EA4EE5"/>
    <w:p w14:paraId="6CDA2574" w14:textId="79A13DDB" w:rsidR="00EA4EE5" w:rsidRDefault="00EA4EE5" w:rsidP="00EA4EE5">
      <w:r>
        <w:t>EPA’s Office of Wastewater Management (OWM) implements the National Pretreatment Program on the basis of requirements first promulgated in the CWA in June 1978. The CWA requires EPA to develop these regulations to establish responsibilities among federal, state, and local government, industry, and the public to implement pretreatment standards to control pollutants that pass through or interfere with publicly owned treatment works’ (POTW) treatment processes or that may contaminate sewage sludge. The regulations have been revised numerous times since they were first published in 1978; currently, they consist of 20 sections and several appendices. The most recent revision, the Streamlining Rule (Federal Register [FR] vol. 70, page 60134), was published on October 14, 2005, and became effective November 14, 2005.</w:t>
      </w:r>
      <w:r w:rsidR="00483EFC">
        <w:t xml:space="preserve"> See Appendix D</w:t>
      </w:r>
      <w:r w:rsidR="00E863F1" w:rsidRPr="00E863F1">
        <w:t xml:space="preserve"> for a copy</w:t>
      </w:r>
      <w:r w:rsidR="00E863F1">
        <w:t xml:space="preserve"> of the regulations </w:t>
      </w:r>
      <w:r w:rsidR="00E863F1" w:rsidRPr="00E863F1">
        <w:t>authorizing the information collection</w:t>
      </w:r>
      <w:r w:rsidR="00E863F1">
        <w:t>.</w:t>
      </w:r>
    </w:p>
    <w:p w14:paraId="07DBD1C6" w14:textId="77777777" w:rsidR="00EA4EE5" w:rsidRDefault="00EA4EE5" w:rsidP="00EA4EE5"/>
    <w:p w14:paraId="170B4B82" w14:textId="41F1ECE1" w:rsidR="00EA4EE5" w:rsidRDefault="00EA4EE5" w:rsidP="00EA4EE5">
      <w:r>
        <w:t xml:space="preserve">Unlike other environmental programs that rely on federal or state governments to implement and enforce specific requirements, the National Pretreatment Program places most of the responsibility on local municipalities. Specifically, the program requires all POTWs with design flows of more than 5 million gallons per day (mgd), as well as small POTWs with design flow less than 5 mgd that receive discharges from significant industrial users (SIUs), which may pass through or interfere with the operation of the POTW, or are otherwise subject to National Pretreatment Standards, to establish local pretreatment programs. </w:t>
      </w:r>
      <w:r w:rsidR="00166975">
        <w:t xml:space="preserve">Approved </w:t>
      </w:r>
      <w:r>
        <w:t xml:space="preserve">POTWs enforce all national Pretreatment Standards and Requirements, as well as any more stringent local requirements determined necessary to protect the POTW and its workers, through local programs. </w:t>
      </w:r>
      <w:r w:rsidR="00166975">
        <w:t>Authorized s</w:t>
      </w:r>
      <w:r>
        <w:t xml:space="preserve">tates may opt to implement statewide pretreatment programs in lieu of requiring POTWs to do so. In statewide </w:t>
      </w:r>
      <w:r w:rsidR="006F7F36">
        <w:t xml:space="preserve">pretreatment </w:t>
      </w:r>
      <w:r>
        <w:t xml:space="preserve">programs, industrial users (IUs) </w:t>
      </w:r>
      <w:r w:rsidR="006F7F36">
        <w:t xml:space="preserve">submit data directly to </w:t>
      </w:r>
      <w:r>
        <w:t>state control authorities.</w:t>
      </w:r>
    </w:p>
    <w:p w14:paraId="275C8502" w14:textId="77777777" w:rsidR="00EA4EE5" w:rsidRDefault="00EA4EE5" w:rsidP="00EA4EE5"/>
    <w:p w14:paraId="23675BD8" w14:textId="7919457B" w:rsidR="00EA4EE5" w:rsidRDefault="00EA4EE5" w:rsidP="002C26E9">
      <w:r>
        <w:t xml:space="preserve">Each control authority, in turn, must have its program approved by the entity responsible for overseeing implementation and enforcement of the National Pretreatment Program. An </w:t>
      </w:r>
      <w:r w:rsidR="00CD6D56">
        <w:t>approval authority</w:t>
      </w:r>
      <w:r>
        <w:t xml:space="preserve"> is either a state, provided it is authorized by EPA to implement the National Pollutant Discharge Elimination System (NPDES) and National Pretreatment Program, or an EPA regional office. EPA </w:t>
      </w:r>
      <w:r w:rsidR="00CD6D56">
        <w:t>Regional Office</w:t>
      </w:r>
      <w:r>
        <w:t xml:space="preserve">s are the approval authorities for states that opt to implement statewide pretreatment programs rather than requiring their POTWs to implement programs. </w:t>
      </w:r>
      <w:r w:rsidR="007965E5">
        <w:t>Information is</w:t>
      </w:r>
      <w:r>
        <w:t xml:space="preserve"> routinely </w:t>
      </w:r>
      <w:r w:rsidR="006F7F36">
        <w:t>shared</w:t>
      </w:r>
      <w:r>
        <w:t xml:space="preserve"> between approval authorities and control authorities to ensure that the National Pretreatment Program is being properly implemented.</w:t>
      </w:r>
    </w:p>
    <w:p w14:paraId="4F3B3733" w14:textId="77777777" w:rsidR="006D4208" w:rsidRDefault="006D4208" w:rsidP="002C26E9"/>
    <w:p w14:paraId="2DC16F2D" w14:textId="04598734" w:rsidR="006D4208" w:rsidRPr="00EA4EE5" w:rsidRDefault="00917CB0" w:rsidP="002C26E9">
      <w:r w:rsidRPr="00917CB0">
        <w:t>The active ICR (OMB Control No</w:t>
      </w:r>
      <w:r w:rsidR="00172777">
        <w:t>. 2040-0009, EPA ICR No. 0002.15</w:t>
      </w:r>
      <w:r w:rsidRPr="00917CB0">
        <w:t xml:space="preserve">) was published in the Federal Register on </w:t>
      </w:r>
      <w:r w:rsidR="00A00130" w:rsidRPr="00A00130">
        <w:t xml:space="preserve">August, 25, 2011 (76 FR 53123). </w:t>
      </w:r>
      <w:r w:rsidR="006D4208" w:rsidRPr="006D4208">
        <w:t xml:space="preserve">This ICR </w:t>
      </w:r>
      <w:r>
        <w:t xml:space="preserve">renewal </w:t>
      </w:r>
      <w:r w:rsidR="006D4208" w:rsidRPr="006D4208">
        <w:t>estimates the program bu</w:t>
      </w:r>
      <w:r w:rsidR="006D4208">
        <w:t xml:space="preserve">rden and costs for </w:t>
      </w:r>
      <w:r w:rsidR="006E456F">
        <w:t>January</w:t>
      </w:r>
      <w:r w:rsidR="006D4208">
        <w:t xml:space="preserve"> 201</w:t>
      </w:r>
      <w:r w:rsidR="00FE191C">
        <w:t>6</w:t>
      </w:r>
      <w:r w:rsidR="006D4208" w:rsidRPr="006D4208">
        <w:t xml:space="preserve">, through </w:t>
      </w:r>
      <w:r w:rsidR="006E456F">
        <w:t>January</w:t>
      </w:r>
      <w:r w:rsidR="006D4208" w:rsidRPr="006D4208">
        <w:t xml:space="preserve"> 201</w:t>
      </w:r>
      <w:r w:rsidR="00FE191C">
        <w:t>9</w:t>
      </w:r>
      <w:r w:rsidR="006D4208" w:rsidRPr="006D4208">
        <w:t>.</w:t>
      </w:r>
    </w:p>
    <w:p w14:paraId="70D2EE68" w14:textId="77777777" w:rsidR="007F2877" w:rsidRDefault="007F2877" w:rsidP="007F2877">
      <w:pPr>
        <w:pStyle w:val="Heading2"/>
      </w:pPr>
      <w:bookmarkStart w:id="3" w:name="_Toc437867192"/>
      <w:r>
        <w:t xml:space="preserve">2. </w:t>
      </w:r>
      <w:r w:rsidRPr="00673714">
        <w:t>Indicate how, by whom and for what purpose the information is to be used</w:t>
      </w:r>
      <w:bookmarkEnd w:id="3"/>
    </w:p>
    <w:p w14:paraId="11B56EF0" w14:textId="598B8667" w:rsidR="00EA4EE5" w:rsidRPr="00EA4EE5" w:rsidRDefault="00EA4EE5" w:rsidP="00EA4EE5">
      <w:pPr>
        <w:widowControl/>
        <w:autoSpaceDE/>
        <w:autoSpaceDN/>
        <w:adjustRightInd/>
      </w:pPr>
      <w:r w:rsidRPr="00EA4EE5">
        <w:t xml:space="preserve">Section 402(b) of CWA requires EPA to develop national pretreatment standards to control industrial discharges into sewage systems. The purpose of these standards is to prevent pollutants from </w:t>
      </w:r>
      <w:r w:rsidRPr="007965E5">
        <w:t>passing through</w:t>
      </w:r>
      <w:r w:rsidRPr="00EA4EE5">
        <w:t xml:space="preserve"> </w:t>
      </w:r>
      <w:r w:rsidR="00FA3520">
        <w:t xml:space="preserve">the treatment plant </w:t>
      </w:r>
      <w:r w:rsidRPr="007965E5">
        <w:t>or interfering</w:t>
      </w:r>
      <w:r w:rsidRPr="00EA4EE5">
        <w:t xml:space="preserve"> with treatment plant operations</w:t>
      </w:r>
      <w:r w:rsidR="00FA3520">
        <w:t>, possibly</w:t>
      </w:r>
      <w:r w:rsidRPr="00EA4EE5">
        <w:t xml:space="preserve"> result</w:t>
      </w:r>
      <w:r w:rsidR="00FA3520">
        <w:t>ing</w:t>
      </w:r>
      <w:r w:rsidRPr="00EA4EE5">
        <w:t xml:space="preserve"> in damage to the environment or a threat to public health. As detailed below, several serious problems can occur when industrial wastes are </w:t>
      </w:r>
      <w:r w:rsidR="006F7F36">
        <w:t>introduced</w:t>
      </w:r>
      <w:r w:rsidRPr="00EA4EE5">
        <w:t xml:space="preserve"> into sewage systems.</w:t>
      </w:r>
    </w:p>
    <w:p w14:paraId="786DAC20" w14:textId="77777777" w:rsidR="00EA4EE5" w:rsidRPr="00EA4EE5" w:rsidRDefault="00EA4EE5" w:rsidP="00EA4EE5">
      <w:pPr>
        <w:widowControl/>
        <w:autoSpaceDE/>
        <w:autoSpaceDN/>
        <w:adjustRightInd/>
      </w:pPr>
    </w:p>
    <w:p w14:paraId="227137A5" w14:textId="77777777" w:rsidR="00EA4EE5" w:rsidRPr="00EA4EE5" w:rsidRDefault="00EA4EE5" w:rsidP="00EA4EE5">
      <w:pPr>
        <w:widowControl/>
        <w:numPr>
          <w:ilvl w:val="0"/>
          <w:numId w:val="9"/>
        </w:numPr>
        <w:tabs>
          <w:tab w:val="left" w:pos="720"/>
          <w:tab w:val="left" w:pos="1440"/>
        </w:tabs>
        <w:autoSpaceDE/>
        <w:autoSpaceDN/>
        <w:adjustRightInd/>
        <w:spacing w:after="120"/>
      </w:pPr>
      <w:r w:rsidRPr="00EA4EE5">
        <w:rPr>
          <w:i/>
          <w:iCs/>
        </w:rPr>
        <w:t xml:space="preserve">Pass through of toxic pollutants into receiving waters. </w:t>
      </w:r>
      <w:r w:rsidRPr="00EA4EE5">
        <w:t xml:space="preserve">Industrial pollutants that pass through treatment systems into receiving waters can cause fish kills, destroy aquatic habitat, increase </w:t>
      </w:r>
      <w:smartTag w:uri="urn:schemas-microsoft-com:office:smarttags" w:element="PersonName">
        <w:r w:rsidRPr="00EA4EE5">
          <w:t>the</w:t>
        </w:r>
      </w:smartTag>
      <w:r w:rsidRPr="00EA4EE5">
        <w:t xml:space="preserve"> risk of cancer in humans, and render receiving waters unsuitable for drinking or recreation.</w:t>
      </w:r>
    </w:p>
    <w:p w14:paraId="6C707DB2" w14:textId="77777777" w:rsidR="00EA4EE5" w:rsidRPr="00EA4EE5" w:rsidRDefault="00EA4EE5" w:rsidP="00EA4EE5">
      <w:pPr>
        <w:widowControl/>
        <w:numPr>
          <w:ilvl w:val="0"/>
          <w:numId w:val="1"/>
        </w:numPr>
        <w:tabs>
          <w:tab w:val="left" w:pos="720"/>
          <w:tab w:val="left" w:pos="1440"/>
        </w:tabs>
        <w:autoSpaceDE/>
        <w:autoSpaceDN/>
        <w:adjustRightInd/>
        <w:spacing w:after="120"/>
      </w:pPr>
      <w:r w:rsidRPr="00EA4EE5">
        <w:rPr>
          <w:i/>
          <w:iCs/>
        </w:rPr>
        <w:t xml:space="preserve">Interference with treatment plant operations. </w:t>
      </w:r>
      <w:r w:rsidRPr="00EA4EE5">
        <w:t xml:space="preserve">Municipal wastewater treatment systems are designed to handle typical household waste and biodegradable commercial and industrial wastes. Toxic industrial compounds that do not pass directly through </w:t>
      </w:r>
      <w:smartTag w:uri="urn:schemas-microsoft-com:office:smarttags" w:element="PersonName">
        <w:r w:rsidRPr="00EA4EE5">
          <w:t>the</w:t>
        </w:r>
      </w:smartTag>
      <w:r w:rsidRPr="00EA4EE5">
        <w:t xml:space="preserve"> system might interfere with plant operations.</w:t>
      </w:r>
    </w:p>
    <w:p w14:paraId="3292FDD1" w14:textId="58B00E09" w:rsidR="00EA4EE5" w:rsidRPr="00EA4EE5" w:rsidRDefault="00EA4EE5" w:rsidP="00EA4EE5">
      <w:pPr>
        <w:widowControl/>
        <w:numPr>
          <w:ilvl w:val="0"/>
          <w:numId w:val="1"/>
        </w:numPr>
        <w:tabs>
          <w:tab w:val="left" w:pos="720"/>
          <w:tab w:val="left" w:pos="1440"/>
        </w:tabs>
        <w:autoSpaceDE/>
        <w:autoSpaceDN/>
        <w:adjustRightInd/>
        <w:spacing w:after="120"/>
      </w:pPr>
      <w:r w:rsidRPr="00EA4EE5">
        <w:rPr>
          <w:i/>
          <w:iCs/>
        </w:rPr>
        <w:t xml:space="preserve">Contamination of sewage sludge. </w:t>
      </w:r>
      <w:r w:rsidRPr="00EA4EE5">
        <w:t>Toxic compounds remaining in sewage sludge might render it unsuitable for certain disposal methods, such as land application or incineration.</w:t>
      </w:r>
    </w:p>
    <w:p w14:paraId="4C2000FC" w14:textId="77777777" w:rsidR="00EA4EE5" w:rsidRPr="00EA4EE5" w:rsidRDefault="00EA4EE5" w:rsidP="00EA4EE5">
      <w:pPr>
        <w:widowControl/>
        <w:autoSpaceDE/>
        <w:autoSpaceDN/>
        <w:adjustRightInd/>
        <w:spacing w:line="2" w:lineRule="exact"/>
      </w:pPr>
    </w:p>
    <w:p w14:paraId="02D29705" w14:textId="75174955" w:rsidR="00EA4EE5" w:rsidRPr="00EA4EE5" w:rsidRDefault="00EA4EE5" w:rsidP="00EA4EE5">
      <w:pPr>
        <w:widowControl/>
        <w:numPr>
          <w:ilvl w:val="0"/>
          <w:numId w:val="1"/>
        </w:numPr>
        <w:tabs>
          <w:tab w:val="left" w:pos="720"/>
          <w:tab w:val="left" w:pos="1440"/>
        </w:tabs>
        <w:autoSpaceDE/>
        <w:autoSpaceDN/>
        <w:adjustRightInd/>
        <w:spacing w:after="120"/>
      </w:pPr>
      <w:r w:rsidRPr="00EA4EE5">
        <w:rPr>
          <w:i/>
          <w:iCs/>
        </w:rPr>
        <w:t>Corrosion of pipes and equipment</w:t>
      </w:r>
      <w:r w:rsidRPr="00EA4EE5">
        <w:t>. Industrial discharges with high or low pH values can cause corrosion in the sewage collection system or the treatment plant, resulting in the need for premature repair or replacement of pipes and equipment.</w:t>
      </w:r>
    </w:p>
    <w:p w14:paraId="63F85BA1" w14:textId="19652875" w:rsidR="00EA4EE5" w:rsidRPr="00EA4EE5" w:rsidRDefault="00EA4EE5" w:rsidP="00EA4EE5">
      <w:pPr>
        <w:widowControl/>
        <w:numPr>
          <w:ilvl w:val="0"/>
          <w:numId w:val="1"/>
        </w:numPr>
        <w:tabs>
          <w:tab w:val="left" w:pos="720"/>
          <w:tab w:val="left" w:pos="1440"/>
        </w:tabs>
        <w:autoSpaceDE/>
        <w:autoSpaceDN/>
        <w:adjustRightInd/>
        <w:spacing w:after="120"/>
      </w:pPr>
      <w:r w:rsidRPr="00EA4EE5">
        <w:rPr>
          <w:i/>
          <w:iCs/>
        </w:rPr>
        <w:t xml:space="preserve">Explosion of highly volatile wastes. </w:t>
      </w:r>
      <w:r w:rsidRPr="00EA4EE5">
        <w:t>Industrial wastes can explode under particular conditions within the sewage collection system or treatment operations as a result of inadvertent mixing of volatile compounds, causing widespread damage to treatment facilities and posing a serious risk to plant operators.</w:t>
      </w:r>
    </w:p>
    <w:p w14:paraId="49E00DE6" w14:textId="58CDDD9B" w:rsidR="00EA4EE5" w:rsidRPr="00EA4EE5" w:rsidRDefault="00EA4EE5" w:rsidP="00EA4EE5">
      <w:pPr>
        <w:widowControl/>
        <w:numPr>
          <w:ilvl w:val="0"/>
          <w:numId w:val="1"/>
        </w:numPr>
        <w:tabs>
          <w:tab w:val="left" w:pos="720"/>
          <w:tab w:val="left" w:pos="1440"/>
        </w:tabs>
        <w:autoSpaceDE/>
        <w:autoSpaceDN/>
        <w:adjustRightInd/>
      </w:pPr>
      <w:r w:rsidRPr="00EA4EE5">
        <w:rPr>
          <w:i/>
          <w:iCs/>
        </w:rPr>
        <w:t xml:space="preserve">Interaction of wastes to produce toxic gases. </w:t>
      </w:r>
      <w:r w:rsidRPr="00EA4EE5">
        <w:t>Industrial discharges such as acidic wastes can interact with other wastes in the collection system, causing the release of toxic gases.</w:t>
      </w:r>
    </w:p>
    <w:p w14:paraId="33821C4D" w14:textId="77777777" w:rsidR="00EA4EE5" w:rsidRPr="00EA4EE5" w:rsidRDefault="00EA4EE5" w:rsidP="00EA4EE5">
      <w:pPr>
        <w:widowControl/>
        <w:numPr>
          <w:ilvl w:val="12"/>
          <w:numId w:val="0"/>
        </w:numPr>
        <w:autoSpaceDE/>
        <w:autoSpaceDN/>
        <w:adjustRightInd/>
      </w:pPr>
    </w:p>
    <w:p w14:paraId="6D89DAB2" w14:textId="6A6A328D" w:rsidR="00EA4EE5" w:rsidRDefault="00EA4EE5" w:rsidP="00191E14">
      <w:pPr>
        <w:widowControl/>
        <w:tabs>
          <w:tab w:val="left" w:pos="720"/>
          <w:tab w:val="left" w:pos="1440"/>
        </w:tabs>
        <w:autoSpaceDE/>
        <w:autoSpaceDN/>
        <w:adjustRightInd/>
      </w:pPr>
      <w:r w:rsidRPr="00EA4EE5">
        <w:t xml:space="preserve">EPA has developed National Pretreatment Program standards for </w:t>
      </w:r>
      <w:r w:rsidR="00261E92">
        <w:t>situations</w:t>
      </w:r>
      <w:r w:rsidRPr="00EA4EE5">
        <w:t xml:space="preserve"> common to all sewage systems, as well as those serving specific industries. National standards apply regardless of whether the source is subject to other federal, state, or local pretreatment standards. The regulations establish general and specific discharge </w:t>
      </w:r>
      <w:r w:rsidR="00261E92">
        <w:t>prohibitions</w:t>
      </w:r>
      <w:r w:rsidRPr="00EA4EE5">
        <w:t xml:space="preserve"> (40 CFR 403.5(a) and (b)) that apply to all IUs. </w:t>
      </w:r>
    </w:p>
    <w:p w14:paraId="6AF2808B" w14:textId="77777777" w:rsidR="001A699A" w:rsidRPr="00EA4EE5" w:rsidRDefault="001A699A" w:rsidP="00191E14">
      <w:pPr>
        <w:widowControl/>
        <w:tabs>
          <w:tab w:val="left" w:pos="720"/>
          <w:tab w:val="left" w:pos="1440"/>
        </w:tabs>
        <w:autoSpaceDE/>
        <w:autoSpaceDN/>
        <w:adjustRightInd/>
      </w:pPr>
    </w:p>
    <w:p w14:paraId="5C97D892" w14:textId="4D9320C9" w:rsidR="00EA4EE5" w:rsidRPr="00EA4EE5" w:rsidRDefault="00EA4EE5" w:rsidP="00EA4EE5">
      <w:pPr>
        <w:widowControl/>
        <w:numPr>
          <w:ilvl w:val="12"/>
          <w:numId w:val="0"/>
        </w:numPr>
        <w:autoSpaceDE/>
        <w:autoSpaceDN/>
        <w:adjustRightInd/>
      </w:pPr>
      <w:r w:rsidRPr="00EA4EE5">
        <w:t xml:space="preserve">In addition to the </w:t>
      </w:r>
      <w:r w:rsidR="00261E92">
        <w:t>general and specific prohibitions</w:t>
      </w:r>
      <w:r w:rsidRPr="00EA4EE5">
        <w:t xml:space="preserve">, EPA has developed specific standards for certain industrial categories; they are called </w:t>
      </w:r>
      <w:r w:rsidRPr="00EA4EE5">
        <w:rPr>
          <w:i/>
        </w:rPr>
        <w:t>categorical pretreatment standards</w:t>
      </w:r>
      <w:r w:rsidRPr="00EA4EE5">
        <w:t xml:space="preserve">. These standards specify </w:t>
      </w:r>
      <w:r w:rsidR="00261E92">
        <w:t xml:space="preserve">maximum and average </w:t>
      </w:r>
      <w:r w:rsidRPr="00EA4EE5">
        <w:t xml:space="preserve">quantities or concentrations of certain pollutants or pollutant properties that IUs in certain industrial categories may discharge to a POTW. The categorical standards may also specify other </w:t>
      </w:r>
      <w:r w:rsidR="00261E92">
        <w:t>practices</w:t>
      </w:r>
      <w:r w:rsidRPr="00EA4EE5">
        <w:t xml:space="preserve"> that categorical industrial users (CIUs) must </w:t>
      </w:r>
      <w:r w:rsidR="00261E92">
        <w:t>employ</w:t>
      </w:r>
      <w:r w:rsidRPr="00EA4EE5">
        <w:t xml:space="preserve"> </w:t>
      </w:r>
      <w:r w:rsidRPr="00EA4EE5">
        <w:lastRenderedPageBreak/>
        <w:t xml:space="preserve">to protect POTWs. EPA develops </w:t>
      </w:r>
      <w:smartTag w:uri="urn:schemas-microsoft-com:office:smarttags" w:element="PersonName">
        <w:r w:rsidRPr="00EA4EE5">
          <w:t>the</w:t>
        </w:r>
      </w:smartTag>
      <w:r w:rsidRPr="00EA4EE5">
        <w:t xml:space="preserve">se categorical standards to restrict </w:t>
      </w:r>
      <w:smartTag w:uri="urn:schemas-microsoft-com:office:smarttags" w:element="PersonName">
        <w:r w:rsidRPr="00EA4EE5">
          <w:t>the</w:t>
        </w:r>
      </w:smartTag>
      <w:r w:rsidRPr="00EA4EE5">
        <w:t xml:space="preserve"> discharge of certain toxic pollutants that </w:t>
      </w:r>
      <w:smartTag w:uri="urn:schemas-microsoft-com:office:smarttags" w:element="PersonName">
        <w:r w:rsidRPr="00EA4EE5">
          <w:t>the</w:t>
        </w:r>
      </w:smartTag>
      <w:r w:rsidRPr="00EA4EE5">
        <w:t xml:space="preserve"> Agency has identified as posing </w:t>
      </w:r>
      <w:smartTag w:uri="urn:schemas-microsoft-com:office:smarttags" w:element="PersonName">
        <w:r w:rsidRPr="00EA4EE5">
          <w:t>the</w:t>
        </w:r>
      </w:smartTag>
      <w:r w:rsidRPr="00EA4EE5">
        <w:t xml:space="preserve"> greatest threat to human health or </w:t>
      </w:r>
      <w:smartTag w:uri="urn:schemas-microsoft-com:office:smarttags" w:element="PersonName">
        <w:r w:rsidRPr="00EA4EE5">
          <w:t>the</w:t>
        </w:r>
      </w:smartTag>
      <w:r w:rsidRPr="00EA4EE5">
        <w:t xml:space="preserve"> environment. Facilities subject to categorical standards must also comply with </w:t>
      </w:r>
      <w:r w:rsidR="00261E92">
        <w:t>the general and specific prohibitions</w:t>
      </w:r>
      <w:r w:rsidRPr="00EA4EE5">
        <w:t>. Certain categorical standards allow CIUs to submit periodic certifications or develop pollution prevention plans to reduce or take the place of analytical sampling requirements.</w:t>
      </w:r>
    </w:p>
    <w:p w14:paraId="485C4742" w14:textId="77777777" w:rsidR="00EA4EE5" w:rsidRPr="00EA4EE5" w:rsidRDefault="00EA4EE5" w:rsidP="00EA4EE5">
      <w:pPr>
        <w:widowControl/>
        <w:numPr>
          <w:ilvl w:val="12"/>
          <w:numId w:val="0"/>
        </w:numPr>
        <w:autoSpaceDE/>
        <w:autoSpaceDN/>
        <w:adjustRightInd/>
      </w:pPr>
    </w:p>
    <w:p w14:paraId="1726903C" w14:textId="4CB42CCF" w:rsidR="00EA4EE5" w:rsidRPr="00EA4EE5" w:rsidRDefault="00EA4EE5" w:rsidP="00EA4EE5">
      <w:pPr>
        <w:widowControl/>
        <w:numPr>
          <w:ilvl w:val="12"/>
          <w:numId w:val="0"/>
        </w:numPr>
        <w:autoSpaceDE/>
        <w:autoSpaceDN/>
        <w:adjustRightInd/>
      </w:pPr>
      <w:r w:rsidRPr="00EA4EE5">
        <w:t xml:space="preserve">Finally, EPA requires </w:t>
      </w:r>
      <w:smartTag w:uri="urn:schemas-microsoft-com:office:smarttags" w:element="PersonName">
        <w:r w:rsidRPr="00EA4EE5">
          <w:t>the</w:t>
        </w:r>
      </w:smartTag>
      <w:r w:rsidRPr="00EA4EE5">
        <w:t xml:space="preserve"> </w:t>
      </w:r>
      <w:r w:rsidRPr="00EA4EE5">
        <w:rPr>
          <w:i/>
        </w:rPr>
        <w:t xml:space="preserve">control authority </w:t>
      </w:r>
      <w:r w:rsidRPr="00EA4EE5">
        <w:t xml:space="preserve">(CA), which is usually </w:t>
      </w:r>
      <w:smartTag w:uri="urn:schemas-microsoft-com:office:smarttags" w:element="PersonName">
        <w:r w:rsidRPr="00EA4EE5">
          <w:t>the</w:t>
        </w:r>
      </w:smartTag>
      <w:r w:rsidRPr="00EA4EE5">
        <w:t xml:space="preserve"> POTW, to develop and enforce limits according to local, site-specific situations. These local limits ensure that IUs meet general and specific prohibitions detailed at 40 CFR 403.5(a) and (b). They are federally enforceable pretreatment standards, as defined in section 307(d) of </w:t>
      </w:r>
      <w:smartTag w:uri="urn:schemas-microsoft-com:office:smarttags" w:element="PersonName">
        <w:r w:rsidRPr="00EA4EE5">
          <w:t>the</w:t>
        </w:r>
      </w:smartTag>
      <w:r w:rsidRPr="00EA4EE5">
        <w:t xml:space="preserve"> CWA. If the local limits are more stringent than the categorical standards, the more stringent limit applies and is enforceable as a federal standard. </w:t>
      </w:r>
    </w:p>
    <w:p w14:paraId="3D781ECB" w14:textId="77777777" w:rsidR="00EA4EE5" w:rsidRPr="00EA4EE5" w:rsidRDefault="00EA4EE5" w:rsidP="00EA4EE5">
      <w:pPr>
        <w:widowControl/>
        <w:numPr>
          <w:ilvl w:val="12"/>
          <w:numId w:val="0"/>
        </w:numPr>
        <w:autoSpaceDE/>
        <w:autoSpaceDN/>
        <w:adjustRightInd/>
      </w:pPr>
    </w:p>
    <w:p w14:paraId="44423926" w14:textId="326804EA" w:rsidR="00EA4EE5" w:rsidRPr="00EA4EE5" w:rsidRDefault="00EA4EE5" w:rsidP="00EA4EE5">
      <w:pPr>
        <w:widowControl/>
        <w:numPr>
          <w:ilvl w:val="12"/>
          <w:numId w:val="0"/>
        </w:numPr>
        <w:autoSpaceDE/>
        <w:autoSpaceDN/>
        <w:adjustRightInd/>
      </w:pPr>
      <w:r w:rsidRPr="00EA4EE5">
        <w:t xml:space="preserve">EPA, together with the various </w:t>
      </w:r>
      <w:r w:rsidRPr="00EA4EE5">
        <w:rPr>
          <w:i/>
        </w:rPr>
        <w:t xml:space="preserve">approval authorities </w:t>
      </w:r>
      <w:r w:rsidRPr="00EA4EE5">
        <w:t xml:space="preserve">and </w:t>
      </w:r>
      <w:r w:rsidRPr="00EA4EE5">
        <w:rPr>
          <w:i/>
        </w:rPr>
        <w:t>control authorities</w:t>
      </w:r>
      <w:r w:rsidR="00285C89">
        <w:rPr>
          <w:i/>
        </w:rPr>
        <w:t xml:space="preserve"> </w:t>
      </w:r>
      <w:r w:rsidR="00285C89" w:rsidRPr="00191E14">
        <w:t>(described below)</w:t>
      </w:r>
      <w:r w:rsidRPr="00285C89">
        <w:t>,</w:t>
      </w:r>
      <w:r w:rsidRPr="00EA4EE5">
        <w:t xml:space="preserve"> implements these standards through the National Pretreatment Program. These entities need information to </w:t>
      </w:r>
    </w:p>
    <w:p w14:paraId="3B9733C2" w14:textId="77777777" w:rsidR="00EA4EE5" w:rsidRPr="00EA4EE5" w:rsidRDefault="00EA4EE5" w:rsidP="00EA4EE5">
      <w:pPr>
        <w:widowControl/>
        <w:numPr>
          <w:ilvl w:val="12"/>
          <w:numId w:val="0"/>
        </w:numPr>
        <w:autoSpaceDE/>
        <w:autoSpaceDN/>
        <w:adjustRightInd/>
      </w:pPr>
    </w:p>
    <w:p w14:paraId="32A961DC" w14:textId="77777777" w:rsidR="00EA4EE5" w:rsidRPr="00EA4EE5" w:rsidRDefault="00EA4EE5" w:rsidP="00EA4EE5">
      <w:pPr>
        <w:widowControl/>
        <w:numPr>
          <w:ilvl w:val="0"/>
          <w:numId w:val="3"/>
        </w:numPr>
        <w:tabs>
          <w:tab w:val="left" w:pos="720"/>
          <w:tab w:val="left" w:pos="1440"/>
        </w:tabs>
        <w:autoSpaceDE/>
        <w:autoSpaceDN/>
        <w:adjustRightInd/>
      </w:pPr>
      <w:r w:rsidRPr="00EA4EE5">
        <w:t>Authorize state and local programs</w:t>
      </w:r>
    </w:p>
    <w:p w14:paraId="271BFA3B" w14:textId="77777777" w:rsidR="00EA4EE5" w:rsidRPr="00EA4EE5" w:rsidRDefault="00EA4EE5" w:rsidP="00EA4EE5">
      <w:pPr>
        <w:widowControl/>
        <w:numPr>
          <w:ilvl w:val="0"/>
          <w:numId w:val="2"/>
        </w:numPr>
        <w:tabs>
          <w:tab w:val="left" w:pos="720"/>
          <w:tab w:val="left" w:pos="1440"/>
        </w:tabs>
        <w:autoSpaceDE/>
        <w:autoSpaceDN/>
        <w:adjustRightInd/>
      </w:pPr>
      <w:r w:rsidRPr="00EA4EE5">
        <w:t xml:space="preserve">Monitor and enforce compliance with </w:t>
      </w:r>
      <w:smartTag w:uri="urn:schemas-microsoft-com:office:smarttags" w:element="PersonName">
        <w:r w:rsidRPr="00EA4EE5">
          <w:t>the</w:t>
        </w:r>
      </w:smartTag>
      <w:r w:rsidRPr="00EA4EE5">
        <w:t xml:space="preserve"> national standards</w:t>
      </w:r>
    </w:p>
    <w:p w14:paraId="775B83F2" w14:textId="77777777" w:rsidR="00EA4EE5" w:rsidRPr="00EA4EE5" w:rsidRDefault="00EA4EE5" w:rsidP="00EA4EE5">
      <w:pPr>
        <w:widowControl/>
        <w:numPr>
          <w:ilvl w:val="0"/>
          <w:numId w:val="2"/>
        </w:numPr>
        <w:tabs>
          <w:tab w:val="left" w:pos="720"/>
          <w:tab w:val="left" w:pos="1440"/>
        </w:tabs>
        <w:autoSpaceDE/>
        <w:autoSpaceDN/>
        <w:adjustRightInd/>
      </w:pPr>
      <w:r w:rsidRPr="00EA4EE5">
        <w:t xml:space="preserve">Determine </w:t>
      </w:r>
      <w:smartTag w:uri="urn:schemas-microsoft-com:office:smarttags" w:element="PersonName">
        <w:r w:rsidRPr="00EA4EE5">
          <w:t>the</w:t>
        </w:r>
      </w:smartTag>
      <w:r w:rsidRPr="00EA4EE5">
        <w:t xml:space="preserve"> applicability of categorical standards</w:t>
      </w:r>
    </w:p>
    <w:p w14:paraId="0CE1C4F1" w14:textId="77777777" w:rsidR="00EA4EE5" w:rsidRPr="00EA4EE5" w:rsidRDefault="00EA4EE5" w:rsidP="00EA4EE5">
      <w:pPr>
        <w:widowControl/>
        <w:numPr>
          <w:ilvl w:val="0"/>
          <w:numId w:val="2"/>
        </w:numPr>
        <w:tabs>
          <w:tab w:val="left" w:pos="720"/>
          <w:tab w:val="left" w:pos="1440"/>
        </w:tabs>
        <w:autoSpaceDE/>
        <w:autoSpaceDN/>
        <w:adjustRightInd/>
      </w:pPr>
      <w:r w:rsidRPr="00EA4EE5">
        <w:t>Develop and enforce local limits</w:t>
      </w:r>
    </w:p>
    <w:p w14:paraId="4C4D05ED" w14:textId="77777777" w:rsidR="00EA4EE5" w:rsidRPr="00EA4EE5" w:rsidRDefault="00EA4EE5" w:rsidP="00EA4EE5">
      <w:pPr>
        <w:widowControl/>
        <w:numPr>
          <w:ilvl w:val="12"/>
          <w:numId w:val="0"/>
        </w:numPr>
        <w:autoSpaceDE/>
        <w:autoSpaceDN/>
        <w:adjustRightInd/>
      </w:pPr>
    </w:p>
    <w:p w14:paraId="1FF48F2C" w14:textId="2FBD86A8" w:rsidR="00EA4EE5" w:rsidRPr="00EA4EE5" w:rsidRDefault="00EA4EE5" w:rsidP="00EA4EE5">
      <w:pPr>
        <w:widowControl/>
        <w:numPr>
          <w:ilvl w:val="12"/>
          <w:numId w:val="0"/>
        </w:numPr>
        <w:autoSpaceDE/>
        <w:autoSpaceDN/>
        <w:adjustRightInd/>
      </w:pPr>
      <w:r w:rsidRPr="00EA4EE5">
        <w:t xml:space="preserve">The information collection requirements discussed in this ICR are authorized by sections 301, 307(b), 308, 402(a), and 402(b) of the CWA. These sections provide for state administration of </w:t>
      </w:r>
      <w:smartTag w:uri="urn:schemas-microsoft-com:office:smarttags" w:element="PersonName">
        <w:r w:rsidRPr="00EA4EE5">
          <w:t>the</w:t>
        </w:r>
      </w:smartTag>
      <w:r w:rsidRPr="00EA4EE5">
        <w:t xml:space="preserve"> NPDES program, which controls point source discharges of pollutants to waters of </w:t>
      </w:r>
      <w:smartTag w:uri="urn:schemas-microsoft-com:office:smarttags" w:element="PersonName">
        <w:r w:rsidRPr="00EA4EE5">
          <w:t>the</w:t>
        </w:r>
      </w:smartTag>
      <w:r w:rsidRPr="00EA4EE5">
        <w:t xml:space="preserve"> </w:t>
      </w:r>
      <w:smartTag w:uri="urn:schemas-microsoft-com:office:smarttags" w:element="place">
        <w:smartTag w:uri="urn:schemas-microsoft-com:office:smarttags" w:element="country-region">
          <w:r w:rsidRPr="00EA4EE5">
            <w:t>United States</w:t>
          </w:r>
        </w:smartTag>
      </w:smartTag>
      <w:r w:rsidRPr="00EA4EE5">
        <w:t xml:space="preserve">. According to </w:t>
      </w:r>
      <w:smartTag w:uri="urn:schemas-microsoft-com:office:smarttags" w:element="PersonName">
        <w:r w:rsidRPr="00EA4EE5">
          <w:t>the</w:t>
        </w:r>
      </w:smartTag>
      <w:r w:rsidRPr="00EA4EE5">
        <w:t xml:space="preserve"> CWA, states must also develop programs to ensure POTW compliance with </w:t>
      </w:r>
      <w:smartTag w:uri="urn:schemas-microsoft-com:office:smarttags" w:element="PersonName">
        <w:r w:rsidRPr="00EA4EE5">
          <w:t>the</w:t>
        </w:r>
      </w:smartTag>
      <w:r w:rsidRPr="00EA4EE5">
        <w:t xml:space="preserve"> requirements of </w:t>
      </w:r>
      <w:smartTag w:uri="urn:schemas-microsoft-com:office:smarttags" w:element="PersonName">
        <w:r w:rsidRPr="00EA4EE5">
          <w:t>the</w:t>
        </w:r>
      </w:smartTag>
      <w:r w:rsidRPr="00EA4EE5">
        <w:t xml:space="preserve"> national pretreatment regulations. Under the same authority, POTWs must identify all IUs that discharge pollutants subject to categorical standards under section 307(b) of the Act and </w:t>
      </w:r>
      <w:r w:rsidR="00F34C5B">
        <w:t xml:space="preserve">certain POTWs </w:t>
      </w:r>
      <w:r w:rsidRPr="00EA4EE5">
        <w:t>must develop a pretreatment program to ensure compliance with these standards.</w:t>
      </w:r>
    </w:p>
    <w:p w14:paraId="042552D8" w14:textId="77777777" w:rsidR="00EA4EE5" w:rsidRPr="00EA4EE5" w:rsidRDefault="00EA4EE5" w:rsidP="00EA4EE5">
      <w:pPr>
        <w:widowControl/>
        <w:numPr>
          <w:ilvl w:val="12"/>
          <w:numId w:val="0"/>
        </w:numPr>
        <w:autoSpaceDE/>
        <w:autoSpaceDN/>
        <w:adjustRightInd/>
      </w:pPr>
    </w:p>
    <w:p w14:paraId="26E7E35D" w14:textId="77777777" w:rsidR="00EA4EE5" w:rsidRPr="00EA4EE5" w:rsidRDefault="00EA4EE5" w:rsidP="00EA4EE5">
      <w:pPr>
        <w:keepLines/>
        <w:widowControl/>
        <w:numPr>
          <w:ilvl w:val="12"/>
          <w:numId w:val="0"/>
        </w:numPr>
        <w:autoSpaceDE/>
        <w:autoSpaceDN/>
        <w:adjustRightInd/>
      </w:pPr>
      <w:r w:rsidRPr="00EA4EE5">
        <w:t>The administration of the National Pretreatment Program involves three levels of authority, as described below.</w:t>
      </w:r>
    </w:p>
    <w:p w14:paraId="290A37C9" w14:textId="77777777" w:rsidR="00EA4EE5" w:rsidRPr="00EA4EE5" w:rsidRDefault="00EA4EE5" w:rsidP="00EA4EE5">
      <w:pPr>
        <w:widowControl/>
        <w:autoSpaceDE/>
        <w:autoSpaceDN/>
        <w:adjustRightInd/>
      </w:pPr>
    </w:p>
    <w:p w14:paraId="080ADB10" w14:textId="7CC17626" w:rsidR="00EA4EE5" w:rsidRPr="00EA4EE5" w:rsidRDefault="00EA4EE5" w:rsidP="00EA4EE5">
      <w:pPr>
        <w:widowControl/>
        <w:numPr>
          <w:ilvl w:val="0"/>
          <w:numId w:val="4"/>
        </w:numPr>
        <w:tabs>
          <w:tab w:val="left" w:pos="720"/>
          <w:tab w:val="left" w:pos="1440"/>
        </w:tabs>
        <w:autoSpaceDE/>
        <w:autoSpaceDN/>
        <w:adjustRightInd/>
        <w:spacing w:after="120"/>
      </w:pPr>
      <w:r w:rsidRPr="00EA4EE5">
        <w:rPr>
          <w:i/>
          <w:iCs/>
        </w:rPr>
        <w:t>Oversight Authority (OA).</w:t>
      </w:r>
      <w:r w:rsidRPr="00EA4EE5">
        <w:t xml:space="preserve">  EPA </w:t>
      </w:r>
      <w:r w:rsidR="00CD6D56">
        <w:t>Regional Office</w:t>
      </w:r>
      <w:r w:rsidRPr="00EA4EE5">
        <w:t xml:space="preserve">s oversee state pretreatment programs. They also assume the responsibilities of the </w:t>
      </w:r>
      <w:r w:rsidR="00CD6D56">
        <w:t>approval authority</w:t>
      </w:r>
      <w:r w:rsidRPr="00EA4EE5">
        <w:t xml:space="preserve"> (AA) or control authority (CA) </w:t>
      </w:r>
      <w:r w:rsidR="00F34C5B">
        <w:t xml:space="preserve">where </w:t>
      </w:r>
      <w:r w:rsidRPr="00EA4EE5">
        <w:t>states or POTWs do not have authorized pretreatment programs.</w:t>
      </w:r>
    </w:p>
    <w:p w14:paraId="23829B67" w14:textId="083EFA60" w:rsidR="00EA4EE5" w:rsidRPr="00EA4EE5" w:rsidRDefault="00EA4EE5" w:rsidP="00EA4EE5">
      <w:pPr>
        <w:widowControl/>
        <w:numPr>
          <w:ilvl w:val="0"/>
          <w:numId w:val="4"/>
        </w:numPr>
        <w:tabs>
          <w:tab w:val="left" w:pos="720"/>
          <w:tab w:val="left" w:pos="1440"/>
        </w:tabs>
        <w:autoSpaceDE/>
        <w:autoSpaceDN/>
        <w:adjustRightInd/>
        <w:spacing w:after="120"/>
      </w:pPr>
      <w:r w:rsidRPr="00EA4EE5">
        <w:rPr>
          <w:i/>
          <w:iCs/>
        </w:rPr>
        <w:t>Approval Authority (AA).</w:t>
      </w:r>
      <w:r w:rsidRPr="00EA4EE5">
        <w:t xml:space="preserve">  A state </w:t>
      </w:r>
      <w:r w:rsidR="00F34C5B">
        <w:t>applying for</w:t>
      </w:r>
      <w:r w:rsidRPr="00EA4EE5">
        <w:t xml:space="preserve"> an approved NPDES program must</w:t>
      </w:r>
      <w:r w:rsidR="00F34C5B">
        <w:t xml:space="preserve"> also</w:t>
      </w:r>
      <w:r w:rsidRPr="00EA4EE5">
        <w:t xml:space="preserve"> obtain </w:t>
      </w:r>
      <w:r w:rsidR="00CD6D56">
        <w:t>approval authority</w:t>
      </w:r>
      <w:r w:rsidRPr="00EA4EE5">
        <w:t xml:space="preserve"> for its pretreatment program. The AA approves POTW pretreatment programs, oversees POTW program implementation, and assumes </w:t>
      </w:r>
      <w:smartTag w:uri="urn:schemas-microsoft-com:office:smarttags" w:element="PersonName">
        <w:r w:rsidRPr="00EA4EE5">
          <w:t>the</w:t>
        </w:r>
      </w:smartTag>
      <w:r w:rsidRPr="00EA4EE5">
        <w:t xml:space="preserve"> responsibility of </w:t>
      </w:r>
      <w:smartTag w:uri="urn:schemas-microsoft-com:office:smarttags" w:element="PersonName">
        <w:r w:rsidRPr="00EA4EE5">
          <w:t>the</w:t>
        </w:r>
      </w:smartTag>
      <w:r w:rsidRPr="00EA4EE5">
        <w:t xml:space="preserve"> CA for POTWs that do not have a pretreatment program.</w:t>
      </w:r>
    </w:p>
    <w:p w14:paraId="649086CC" w14:textId="77777777" w:rsidR="00EA4EE5" w:rsidRPr="00EA4EE5" w:rsidRDefault="00EA4EE5" w:rsidP="00EA4EE5">
      <w:pPr>
        <w:widowControl/>
        <w:numPr>
          <w:ilvl w:val="0"/>
          <w:numId w:val="4"/>
        </w:numPr>
        <w:tabs>
          <w:tab w:val="left" w:pos="720"/>
          <w:tab w:val="left" w:pos="1440"/>
        </w:tabs>
        <w:autoSpaceDE/>
        <w:autoSpaceDN/>
        <w:adjustRightInd/>
      </w:pPr>
      <w:r w:rsidRPr="00EA4EE5">
        <w:rPr>
          <w:i/>
          <w:iCs/>
        </w:rPr>
        <w:t>Control Authority (CA).</w:t>
      </w:r>
      <w:r w:rsidRPr="00EA4EE5">
        <w:t xml:space="preserve">  The CA is responsible for implementing </w:t>
      </w:r>
      <w:smartTag w:uri="urn:schemas-microsoft-com:office:smarttags" w:element="PersonName">
        <w:r w:rsidRPr="00EA4EE5">
          <w:t>the</w:t>
        </w:r>
      </w:smartTag>
      <w:r w:rsidRPr="00EA4EE5">
        <w:t xml:space="preserve"> pretreatment program, including establishing control mechanisms for compliance assessment and enforcement of </w:t>
      </w:r>
      <w:smartTag w:uri="urn:schemas-microsoft-com:office:smarttags" w:element="PersonName">
        <w:r w:rsidRPr="00EA4EE5">
          <w:t>the</w:t>
        </w:r>
      </w:smartTag>
      <w:r w:rsidRPr="00EA4EE5">
        <w:t xml:space="preserve"> national standards, categorical standards, and local limits. A POTW with a pretreatment </w:t>
      </w:r>
      <w:r w:rsidRPr="00EA4EE5">
        <w:lastRenderedPageBreak/>
        <w:t xml:space="preserve">program approved by </w:t>
      </w:r>
      <w:smartTag w:uri="urn:schemas-microsoft-com:office:smarttags" w:element="PersonName">
        <w:r w:rsidRPr="00EA4EE5">
          <w:t>the</w:t>
        </w:r>
      </w:smartTag>
      <w:r w:rsidRPr="00EA4EE5">
        <w:t xml:space="preserve"> AA becomes </w:t>
      </w:r>
      <w:smartTag w:uri="urn:schemas-microsoft-com:office:smarttags" w:element="PersonName">
        <w:r w:rsidRPr="00EA4EE5">
          <w:t>the</w:t>
        </w:r>
      </w:smartTag>
      <w:r w:rsidRPr="00EA4EE5">
        <w:t xml:space="preserve"> CA. If </w:t>
      </w:r>
      <w:smartTag w:uri="urn:schemas-microsoft-com:office:smarttags" w:element="PersonName">
        <w:r w:rsidRPr="00EA4EE5">
          <w:t>the</w:t>
        </w:r>
      </w:smartTag>
      <w:r w:rsidRPr="00EA4EE5">
        <w:t xml:space="preserve"> POTW does not obtain such approval, the state or </w:t>
      </w:r>
      <w:smartTag w:uri="urn:schemas-microsoft-com:office:smarttags" w:element="PersonName">
        <w:r w:rsidRPr="00EA4EE5">
          <w:t>the</w:t>
        </w:r>
      </w:smartTag>
      <w:r w:rsidRPr="00EA4EE5">
        <w:t xml:space="preserve"> EPA region assumes </w:t>
      </w:r>
      <w:smartTag w:uri="urn:schemas-microsoft-com:office:smarttags" w:element="PersonName">
        <w:r w:rsidRPr="00EA4EE5">
          <w:t>the</w:t>
        </w:r>
      </w:smartTag>
      <w:r w:rsidRPr="00EA4EE5">
        <w:t xml:space="preserve"> responsibility of </w:t>
      </w:r>
      <w:smartTag w:uri="urn:schemas-microsoft-com:office:smarttags" w:element="PersonName">
        <w:r w:rsidRPr="00EA4EE5">
          <w:t>the</w:t>
        </w:r>
      </w:smartTag>
      <w:r w:rsidRPr="00EA4EE5">
        <w:t xml:space="preserve"> CA.</w:t>
      </w:r>
    </w:p>
    <w:p w14:paraId="17902BC9" w14:textId="77777777" w:rsidR="00EA4EE5" w:rsidRPr="00EA4EE5" w:rsidRDefault="00EA4EE5" w:rsidP="00EA4EE5">
      <w:pPr>
        <w:widowControl/>
        <w:autoSpaceDE/>
        <w:autoSpaceDN/>
        <w:adjustRightInd/>
      </w:pPr>
    </w:p>
    <w:p w14:paraId="10EC722C" w14:textId="4158DB8F" w:rsidR="00EA4EE5" w:rsidRPr="00EA4EE5" w:rsidRDefault="00953D0B" w:rsidP="00EA4EE5">
      <w:pPr>
        <w:widowControl/>
        <w:numPr>
          <w:ilvl w:val="12"/>
          <w:numId w:val="0"/>
        </w:numPr>
        <w:autoSpaceDE/>
        <w:autoSpaceDN/>
        <w:adjustRightInd/>
      </w:pPr>
      <w:r>
        <w:t>Table</w:t>
      </w:r>
      <w:r w:rsidR="00EA4EE5" w:rsidRPr="00EA4EE5">
        <w:t xml:space="preserve"> </w:t>
      </w:r>
      <w:r w:rsidR="003012E5">
        <w:t>2.</w:t>
      </w:r>
      <w:r w:rsidR="00EA4EE5" w:rsidRPr="00EA4EE5">
        <w:t xml:space="preserve">1 shows the possible combinations of authority, while </w:t>
      </w:r>
      <w:r>
        <w:t>Table</w:t>
      </w:r>
      <w:r w:rsidR="00EA4EE5" w:rsidRPr="00EA4EE5">
        <w:t xml:space="preserve"> </w:t>
      </w:r>
      <w:r w:rsidR="003012E5">
        <w:t>2.</w:t>
      </w:r>
      <w:r w:rsidR="00EA4EE5" w:rsidRPr="00EA4EE5">
        <w:t>2 outlines the responsibilities of each authority.</w:t>
      </w:r>
    </w:p>
    <w:p w14:paraId="59E4C5A5" w14:textId="77777777" w:rsidR="00EA4EE5" w:rsidRPr="00EA4EE5" w:rsidRDefault="00EA4EE5" w:rsidP="00EA4EE5">
      <w:pPr>
        <w:widowControl/>
        <w:numPr>
          <w:ilvl w:val="12"/>
          <w:numId w:val="0"/>
        </w:numPr>
        <w:autoSpaceDE/>
        <w:autoSpaceDN/>
        <w:adjustRightInd/>
      </w:pPr>
    </w:p>
    <w:p w14:paraId="5A68366C" w14:textId="4420FEF6" w:rsidR="0058298C" w:rsidRPr="00F25DE1" w:rsidRDefault="0058298C" w:rsidP="000959D8">
      <w:pPr>
        <w:pStyle w:val="Caption"/>
        <w:keepNext/>
      </w:pPr>
      <w:r w:rsidRPr="00F25DE1">
        <w:t xml:space="preserve">Table </w:t>
      </w:r>
      <w:r w:rsidR="005D0A80" w:rsidRPr="00F25DE1">
        <w:t>2.1</w:t>
      </w:r>
      <w:r w:rsidR="005D0A80">
        <w:t xml:space="preserve"> </w:t>
      </w:r>
      <w:r w:rsidRPr="00F25DE1">
        <w:rPr>
          <w:rFonts w:ascii="Arial" w:hAnsi="Arial" w:cs="Arial"/>
          <w:bCs w:val="0"/>
          <w:sz w:val="20"/>
        </w:rPr>
        <w:t>Authority under the pretreatment program</w:t>
      </w:r>
    </w:p>
    <w:tbl>
      <w:tblPr>
        <w:tblW w:w="9359" w:type="dxa"/>
        <w:tblInd w:w="86" w:type="dxa"/>
        <w:tblLayout w:type="fixed"/>
        <w:tblCellMar>
          <w:left w:w="86" w:type="dxa"/>
          <w:right w:w="86" w:type="dxa"/>
        </w:tblCellMar>
        <w:tblLook w:val="0000" w:firstRow="0" w:lastRow="0" w:firstColumn="0" w:lastColumn="0" w:noHBand="0" w:noVBand="0"/>
      </w:tblPr>
      <w:tblGrid>
        <w:gridCol w:w="2160"/>
        <w:gridCol w:w="2160"/>
        <w:gridCol w:w="1275"/>
        <w:gridCol w:w="1874"/>
        <w:gridCol w:w="1890"/>
      </w:tblGrid>
      <w:tr w:rsidR="000959D8" w:rsidRPr="00EA4EE5" w14:paraId="6324DFCE" w14:textId="77777777" w:rsidTr="000959D8">
        <w:trPr>
          <w:cantSplit/>
        </w:trPr>
        <w:tc>
          <w:tcPr>
            <w:tcW w:w="2160" w:type="dxa"/>
            <w:tcBorders>
              <w:top w:val="single" w:sz="6" w:space="0" w:color="000000"/>
              <w:left w:val="single" w:sz="6" w:space="0" w:color="000000"/>
              <w:bottom w:val="single" w:sz="6" w:space="0" w:color="000000"/>
              <w:right w:val="nil"/>
            </w:tcBorders>
            <w:shd w:val="clear" w:color="auto" w:fill="D9D9D9"/>
          </w:tcPr>
          <w:p w14:paraId="00D27CE9" w14:textId="1745EBC1" w:rsidR="000959D8" w:rsidRPr="00EA4EE5" w:rsidRDefault="000959D8" w:rsidP="00EA4EE5">
            <w:pPr>
              <w:keepNext/>
              <w:widowControl/>
              <w:numPr>
                <w:ilvl w:val="12"/>
                <w:numId w:val="0"/>
              </w:numPr>
              <w:autoSpaceDE/>
              <w:autoSpaceDN/>
              <w:adjustRightInd/>
              <w:spacing w:beforeLines="40" w:before="96" w:afterLines="40" w:after="96"/>
              <w:jc w:val="center"/>
              <w:rPr>
                <w:rFonts w:ascii="Arial" w:hAnsi="Arial" w:cs="Arial"/>
                <w:sz w:val="20"/>
                <w:szCs w:val="20"/>
              </w:rPr>
            </w:pPr>
            <w:r w:rsidRPr="00EA4EE5">
              <w:rPr>
                <w:rFonts w:ascii="Arial" w:hAnsi="Arial" w:cs="Arial"/>
                <w:b/>
                <w:bCs/>
                <w:sz w:val="20"/>
                <w:szCs w:val="20"/>
              </w:rPr>
              <w:t>POTW with Approved Pretreatment Program</w:t>
            </w:r>
          </w:p>
        </w:tc>
        <w:tc>
          <w:tcPr>
            <w:tcW w:w="2160" w:type="dxa"/>
            <w:tcBorders>
              <w:top w:val="single" w:sz="6" w:space="0" w:color="000000"/>
              <w:left w:val="single" w:sz="6" w:space="0" w:color="000000"/>
              <w:bottom w:val="single" w:sz="6" w:space="0" w:color="000000"/>
              <w:right w:val="nil"/>
            </w:tcBorders>
            <w:shd w:val="clear" w:color="auto" w:fill="D9D9D9"/>
          </w:tcPr>
          <w:p w14:paraId="260EA2B4" w14:textId="433EFB9C" w:rsidR="000959D8" w:rsidRPr="00EA4EE5" w:rsidRDefault="000959D8" w:rsidP="00EA4EE5">
            <w:pPr>
              <w:keepNext/>
              <w:widowControl/>
              <w:numPr>
                <w:ilvl w:val="12"/>
                <w:numId w:val="0"/>
              </w:numPr>
              <w:autoSpaceDE/>
              <w:autoSpaceDN/>
              <w:adjustRightInd/>
              <w:spacing w:beforeLines="40" w:before="96" w:afterLines="40" w:after="96"/>
              <w:jc w:val="center"/>
              <w:rPr>
                <w:rFonts w:ascii="Arial" w:hAnsi="Arial" w:cs="Arial"/>
                <w:sz w:val="20"/>
                <w:szCs w:val="20"/>
              </w:rPr>
            </w:pPr>
            <w:r w:rsidRPr="00EA4EE5">
              <w:rPr>
                <w:rFonts w:ascii="Arial" w:hAnsi="Arial" w:cs="Arial"/>
                <w:b/>
                <w:bCs/>
                <w:sz w:val="20"/>
                <w:szCs w:val="20"/>
              </w:rPr>
              <w:t>State with Approved Pretreatment Program</w:t>
            </w:r>
          </w:p>
        </w:tc>
        <w:tc>
          <w:tcPr>
            <w:tcW w:w="1275" w:type="dxa"/>
            <w:tcBorders>
              <w:top w:val="single" w:sz="6" w:space="0" w:color="000000"/>
              <w:left w:val="single" w:sz="6" w:space="0" w:color="000000"/>
              <w:bottom w:val="single" w:sz="6" w:space="0" w:color="000000"/>
              <w:right w:val="nil"/>
            </w:tcBorders>
            <w:shd w:val="clear" w:color="auto" w:fill="D9D9D9"/>
          </w:tcPr>
          <w:p w14:paraId="1A84A5BE" w14:textId="77777777" w:rsidR="000959D8" w:rsidRPr="00EA4EE5" w:rsidRDefault="000959D8" w:rsidP="00EA4EE5">
            <w:pPr>
              <w:keepNext/>
              <w:widowControl/>
              <w:numPr>
                <w:ilvl w:val="12"/>
                <w:numId w:val="0"/>
              </w:numPr>
              <w:autoSpaceDE/>
              <w:autoSpaceDN/>
              <w:adjustRightInd/>
              <w:spacing w:beforeLines="40" w:before="96" w:afterLines="40" w:after="96"/>
              <w:jc w:val="center"/>
              <w:rPr>
                <w:rFonts w:ascii="Arial" w:hAnsi="Arial" w:cs="Arial"/>
                <w:sz w:val="20"/>
                <w:szCs w:val="20"/>
              </w:rPr>
            </w:pPr>
            <w:r w:rsidRPr="00EA4EE5">
              <w:rPr>
                <w:rFonts w:ascii="Arial" w:hAnsi="Arial" w:cs="Arial"/>
                <w:b/>
                <w:bCs/>
                <w:sz w:val="20"/>
                <w:szCs w:val="20"/>
              </w:rPr>
              <w:t xml:space="preserve">Control Authority </w:t>
            </w:r>
          </w:p>
        </w:tc>
        <w:tc>
          <w:tcPr>
            <w:tcW w:w="1874" w:type="dxa"/>
            <w:tcBorders>
              <w:top w:val="single" w:sz="6" w:space="0" w:color="000000"/>
              <w:left w:val="single" w:sz="6" w:space="0" w:color="000000"/>
              <w:bottom w:val="single" w:sz="6" w:space="0" w:color="000000"/>
              <w:right w:val="nil"/>
            </w:tcBorders>
            <w:shd w:val="clear" w:color="auto" w:fill="D9D9D9"/>
          </w:tcPr>
          <w:p w14:paraId="6DD71A89" w14:textId="77777777" w:rsidR="000959D8" w:rsidRPr="00EA4EE5" w:rsidRDefault="000959D8" w:rsidP="00EA4EE5">
            <w:pPr>
              <w:keepNext/>
              <w:widowControl/>
              <w:numPr>
                <w:ilvl w:val="12"/>
                <w:numId w:val="0"/>
              </w:numPr>
              <w:autoSpaceDE/>
              <w:autoSpaceDN/>
              <w:adjustRightInd/>
              <w:spacing w:beforeLines="40" w:before="96" w:afterLines="40" w:after="96"/>
              <w:jc w:val="center"/>
              <w:rPr>
                <w:rFonts w:ascii="Arial" w:hAnsi="Arial" w:cs="Arial"/>
                <w:sz w:val="20"/>
                <w:szCs w:val="20"/>
              </w:rPr>
            </w:pPr>
            <w:r w:rsidRPr="00EA4EE5">
              <w:rPr>
                <w:rFonts w:ascii="Arial" w:hAnsi="Arial" w:cs="Arial"/>
                <w:b/>
                <w:bCs/>
                <w:sz w:val="20"/>
                <w:szCs w:val="20"/>
              </w:rPr>
              <w:t>Approval Authority</w:t>
            </w:r>
          </w:p>
        </w:tc>
        <w:tc>
          <w:tcPr>
            <w:tcW w:w="1890" w:type="dxa"/>
            <w:tcBorders>
              <w:top w:val="single" w:sz="6" w:space="0" w:color="000000"/>
              <w:left w:val="single" w:sz="6" w:space="0" w:color="000000"/>
              <w:bottom w:val="single" w:sz="6" w:space="0" w:color="000000"/>
              <w:right w:val="single" w:sz="6" w:space="0" w:color="000000"/>
            </w:tcBorders>
            <w:shd w:val="clear" w:color="auto" w:fill="D9D9D9"/>
          </w:tcPr>
          <w:p w14:paraId="7021FE47" w14:textId="77777777" w:rsidR="000959D8" w:rsidRPr="00EA4EE5" w:rsidRDefault="000959D8" w:rsidP="00EA4EE5">
            <w:pPr>
              <w:keepNext/>
              <w:widowControl/>
              <w:numPr>
                <w:ilvl w:val="12"/>
                <w:numId w:val="0"/>
              </w:numPr>
              <w:autoSpaceDE/>
              <w:autoSpaceDN/>
              <w:adjustRightInd/>
              <w:spacing w:beforeLines="40" w:before="96" w:afterLines="40" w:after="96"/>
              <w:jc w:val="center"/>
              <w:rPr>
                <w:rFonts w:ascii="Arial" w:hAnsi="Arial" w:cs="Arial"/>
                <w:sz w:val="20"/>
                <w:szCs w:val="20"/>
              </w:rPr>
            </w:pPr>
            <w:r w:rsidRPr="00EA4EE5">
              <w:rPr>
                <w:rFonts w:ascii="Arial" w:hAnsi="Arial" w:cs="Arial"/>
                <w:b/>
                <w:bCs/>
                <w:sz w:val="20"/>
                <w:szCs w:val="20"/>
              </w:rPr>
              <w:t>Oversight Authority</w:t>
            </w:r>
          </w:p>
        </w:tc>
      </w:tr>
      <w:tr w:rsidR="000959D8" w:rsidRPr="00EA4EE5" w14:paraId="0368400D" w14:textId="77777777" w:rsidTr="000959D8">
        <w:trPr>
          <w:cantSplit/>
          <w:trHeight w:val="442"/>
        </w:trPr>
        <w:tc>
          <w:tcPr>
            <w:tcW w:w="2160" w:type="dxa"/>
            <w:tcBorders>
              <w:top w:val="single" w:sz="6" w:space="0" w:color="000000"/>
              <w:left w:val="single" w:sz="6" w:space="0" w:color="000000"/>
              <w:bottom w:val="nil"/>
              <w:right w:val="nil"/>
            </w:tcBorders>
          </w:tcPr>
          <w:p w14:paraId="18AABEF9" w14:textId="77777777" w:rsidR="000959D8" w:rsidRPr="00EA4EE5" w:rsidRDefault="000959D8" w:rsidP="00EA4EE5">
            <w:pPr>
              <w:keepNext/>
              <w:widowControl/>
              <w:numPr>
                <w:ilvl w:val="12"/>
                <w:numId w:val="0"/>
              </w:numPr>
              <w:autoSpaceDE/>
              <w:autoSpaceDN/>
              <w:adjustRightInd/>
              <w:spacing w:before="40" w:after="40"/>
              <w:jc w:val="center"/>
              <w:rPr>
                <w:rFonts w:ascii="Arial" w:hAnsi="Arial" w:cs="Arial"/>
                <w:sz w:val="20"/>
                <w:szCs w:val="20"/>
              </w:rPr>
            </w:pPr>
            <w:r w:rsidRPr="00EA4EE5">
              <w:rPr>
                <w:rFonts w:ascii="Arial" w:hAnsi="Arial" w:cs="Arial"/>
                <w:sz w:val="20"/>
                <w:szCs w:val="20"/>
              </w:rPr>
              <w:t>Yes</w:t>
            </w:r>
          </w:p>
        </w:tc>
        <w:tc>
          <w:tcPr>
            <w:tcW w:w="2160" w:type="dxa"/>
            <w:tcBorders>
              <w:top w:val="single" w:sz="6" w:space="0" w:color="000000"/>
              <w:left w:val="single" w:sz="6" w:space="0" w:color="000000"/>
              <w:bottom w:val="nil"/>
              <w:right w:val="nil"/>
            </w:tcBorders>
          </w:tcPr>
          <w:p w14:paraId="696D27D4" w14:textId="69B8ABF9" w:rsidR="000959D8" w:rsidRPr="00EA4EE5" w:rsidRDefault="000959D8" w:rsidP="00EA4EE5">
            <w:pPr>
              <w:keepNext/>
              <w:widowControl/>
              <w:numPr>
                <w:ilvl w:val="12"/>
                <w:numId w:val="0"/>
              </w:numPr>
              <w:autoSpaceDE/>
              <w:autoSpaceDN/>
              <w:adjustRightInd/>
              <w:spacing w:before="40" w:after="40"/>
              <w:jc w:val="center"/>
              <w:rPr>
                <w:rFonts w:ascii="Arial" w:hAnsi="Arial" w:cs="Arial"/>
                <w:sz w:val="20"/>
                <w:szCs w:val="20"/>
              </w:rPr>
            </w:pPr>
            <w:r w:rsidRPr="00EA4EE5">
              <w:rPr>
                <w:rFonts w:ascii="Arial" w:hAnsi="Arial" w:cs="Arial"/>
                <w:sz w:val="20"/>
                <w:szCs w:val="20"/>
              </w:rPr>
              <w:t>Yes</w:t>
            </w:r>
          </w:p>
        </w:tc>
        <w:tc>
          <w:tcPr>
            <w:tcW w:w="1275" w:type="dxa"/>
            <w:tcBorders>
              <w:top w:val="single" w:sz="6" w:space="0" w:color="000000"/>
              <w:left w:val="single" w:sz="6" w:space="0" w:color="000000"/>
              <w:bottom w:val="nil"/>
              <w:right w:val="nil"/>
            </w:tcBorders>
          </w:tcPr>
          <w:p w14:paraId="1B9DD3E6" w14:textId="77777777" w:rsidR="000959D8" w:rsidRPr="00EA4EE5" w:rsidRDefault="000959D8" w:rsidP="00EA4EE5">
            <w:pPr>
              <w:keepNext/>
              <w:widowControl/>
              <w:numPr>
                <w:ilvl w:val="12"/>
                <w:numId w:val="0"/>
              </w:numPr>
              <w:autoSpaceDE/>
              <w:autoSpaceDN/>
              <w:adjustRightInd/>
              <w:spacing w:before="40" w:after="40"/>
              <w:jc w:val="center"/>
              <w:rPr>
                <w:rFonts w:ascii="Arial" w:hAnsi="Arial" w:cs="Arial"/>
                <w:sz w:val="20"/>
                <w:szCs w:val="20"/>
              </w:rPr>
            </w:pPr>
            <w:r w:rsidRPr="00EA4EE5">
              <w:rPr>
                <w:rFonts w:ascii="Arial" w:hAnsi="Arial" w:cs="Arial"/>
                <w:sz w:val="20"/>
                <w:szCs w:val="20"/>
              </w:rPr>
              <w:t>POTW</w:t>
            </w:r>
          </w:p>
        </w:tc>
        <w:tc>
          <w:tcPr>
            <w:tcW w:w="1874" w:type="dxa"/>
            <w:tcBorders>
              <w:top w:val="single" w:sz="6" w:space="0" w:color="000000"/>
              <w:left w:val="single" w:sz="6" w:space="0" w:color="000000"/>
              <w:bottom w:val="nil"/>
              <w:right w:val="nil"/>
            </w:tcBorders>
          </w:tcPr>
          <w:p w14:paraId="10D6D6E7" w14:textId="77777777" w:rsidR="000959D8" w:rsidRPr="00EA4EE5" w:rsidRDefault="000959D8" w:rsidP="00EA4EE5">
            <w:pPr>
              <w:keepNext/>
              <w:widowControl/>
              <w:numPr>
                <w:ilvl w:val="12"/>
                <w:numId w:val="0"/>
              </w:numPr>
              <w:autoSpaceDE/>
              <w:autoSpaceDN/>
              <w:adjustRightInd/>
              <w:spacing w:before="40" w:after="40"/>
              <w:jc w:val="center"/>
              <w:rPr>
                <w:rFonts w:ascii="Arial" w:hAnsi="Arial" w:cs="Arial"/>
                <w:sz w:val="20"/>
                <w:szCs w:val="20"/>
              </w:rPr>
            </w:pPr>
            <w:r w:rsidRPr="00EA4EE5">
              <w:rPr>
                <w:rFonts w:ascii="Arial" w:hAnsi="Arial" w:cs="Arial"/>
                <w:sz w:val="20"/>
                <w:szCs w:val="20"/>
              </w:rPr>
              <w:t>State</w:t>
            </w:r>
          </w:p>
        </w:tc>
        <w:tc>
          <w:tcPr>
            <w:tcW w:w="1890" w:type="dxa"/>
            <w:tcBorders>
              <w:top w:val="single" w:sz="6" w:space="0" w:color="000000"/>
              <w:left w:val="single" w:sz="6" w:space="0" w:color="000000"/>
              <w:bottom w:val="nil"/>
              <w:right w:val="single" w:sz="6" w:space="0" w:color="000000"/>
            </w:tcBorders>
          </w:tcPr>
          <w:p w14:paraId="1CFF262D" w14:textId="77777777" w:rsidR="000959D8" w:rsidRPr="00EA4EE5" w:rsidRDefault="000959D8" w:rsidP="00EA4EE5">
            <w:pPr>
              <w:keepNext/>
              <w:widowControl/>
              <w:numPr>
                <w:ilvl w:val="12"/>
                <w:numId w:val="0"/>
              </w:numPr>
              <w:autoSpaceDE/>
              <w:autoSpaceDN/>
              <w:adjustRightInd/>
              <w:spacing w:before="40" w:after="40"/>
              <w:jc w:val="center"/>
              <w:rPr>
                <w:rFonts w:ascii="Arial" w:hAnsi="Arial" w:cs="Arial"/>
                <w:sz w:val="20"/>
                <w:szCs w:val="20"/>
              </w:rPr>
            </w:pPr>
            <w:r w:rsidRPr="00EA4EE5">
              <w:rPr>
                <w:rFonts w:ascii="Arial" w:hAnsi="Arial" w:cs="Arial"/>
                <w:sz w:val="20"/>
                <w:szCs w:val="20"/>
              </w:rPr>
              <w:t>EPA</w:t>
            </w:r>
          </w:p>
        </w:tc>
      </w:tr>
      <w:tr w:rsidR="000959D8" w:rsidRPr="00EA4EE5" w14:paraId="762C6C9C" w14:textId="77777777" w:rsidTr="000959D8">
        <w:trPr>
          <w:cantSplit/>
          <w:trHeight w:val="360"/>
        </w:trPr>
        <w:tc>
          <w:tcPr>
            <w:tcW w:w="2160" w:type="dxa"/>
            <w:tcBorders>
              <w:top w:val="single" w:sz="6" w:space="0" w:color="000000"/>
              <w:left w:val="single" w:sz="6" w:space="0" w:color="000000"/>
              <w:bottom w:val="nil"/>
              <w:right w:val="nil"/>
            </w:tcBorders>
          </w:tcPr>
          <w:p w14:paraId="516DF2EF" w14:textId="77777777" w:rsidR="000959D8" w:rsidRPr="00EA4EE5" w:rsidRDefault="000959D8" w:rsidP="00EA4EE5">
            <w:pPr>
              <w:widowControl/>
              <w:numPr>
                <w:ilvl w:val="12"/>
                <w:numId w:val="0"/>
              </w:numPr>
              <w:autoSpaceDE/>
              <w:autoSpaceDN/>
              <w:adjustRightInd/>
              <w:spacing w:before="40" w:after="40"/>
              <w:jc w:val="center"/>
              <w:rPr>
                <w:rFonts w:ascii="Arial" w:hAnsi="Arial" w:cs="Arial"/>
                <w:sz w:val="20"/>
                <w:szCs w:val="20"/>
              </w:rPr>
            </w:pPr>
            <w:r w:rsidRPr="00EA4EE5">
              <w:rPr>
                <w:rFonts w:ascii="Arial" w:hAnsi="Arial" w:cs="Arial"/>
                <w:sz w:val="20"/>
                <w:szCs w:val="20"/>
              </w:rPr>
              <w:t>Yes</w:t>
            </w:r>
          </w:p>
        </w:tc>
        <w:tc>
          <w:tcPr>
            <w:tcW w:w="2160" w:type="dxa"/>
            <w:tcBorders>
              <w:top w:val="single" w:sz="6" w:space="0" w:color="000000"/>
              <w:left w:val="single" w:sz="6" w:space="0" w:color="000000"/>
              <w:bottom w:val="nil"/>
              <w:right w:val="nil"/>
            </w:tcBorders>
          </w:tcPr>
          <w:p w14:paraId="020DAE38" w14:textId="604B666B" w:rsidR="000959D8" w:rsidRPr="00EA4EE5" w:rsidRDefault="000959D8" w:rsidP="00EA4EE5">
            <w:pPr>
              <w:widowControl/>
              <w:numPr>
                <w:ilvl w:val="12"/>
                <w:numId w:val="0"/>
              </w:numPr>
              <w:autoSpaceDE/>
              <w:autoSpaceDN/>
              <w:adjustRightInd/>
              <w:spacing w:before="40" w:after="40"/>
              <w:jc w:val="center"/>
              <w:rPr>
                <w:rFonts w:ascii="Arial" w:hAnsi="Arial" w:cs="Arial"/>
                <w:sz w:val="20"/>
                <w:szCs w:val="20"/>
              </w:rPr>
            </w:pPr>
            <w:r w:rsidRPr="00EA4EE5">
              <w:rPr>
                <w:rFonts w:ascii="Arial" w:hAnsi="Arial" w:cs="Arial"/>
                <w:sz w:val="20"/>
                <w:szCs w:val="20"/>
              </w:rPr>
              <w:t>No</w:t>
            </w:r>
          </w:p>
        </w:tc>
        <w:tc>
          <w:tcPr>
            <w:tcW w:w="1275" w:type="dxa"/>
            <w:tcBorders>
              <w:top w:val="single" w:sz="6" w:space="0" w:color="000000"/>
              <w:left w:val="single" w:sz="6" w:space="0" w:color="000000"/>
              <w:bottom w:val="nil"/>
              <w:right w:val="nil"/>
            </w:tcBorders>
          </w:tcPr>
          <w:p w14:paraId="61E14354" w14:textId="77777777" w:rsidR="000959D8" w:rsidRPr="00EA4EE5" w:rsidRDefault="000959D8" w:rsidP="00EA4EE5">
            <w:pPr>
              <w:widowControl/>
              <w:numPr>
                <w:ilvl w:val="12"/>
                <w:numId w:val="0"/>
              </w:numPr>
              <w:autoSpaceDE/>
              <w:autoSpaceDN/>
              <w:adjustRightInd/>
              <w:spacing w:before="40" w:after="40"/>
              <w:jc w:val="center"/>
              <w:rPr>
                <w:rFonts w:ascii="Arial" w:hAnsi="Arial" w:cs="Arial"/>
                <w:sz w:val="20"/>
                <w:szCs w:val="20"/>
              </w:rPr>
            </w:pPr>
            <w:r w:rsidRPr="00EA4EE5">
              <w:rPr>
                <w:rFonts w:ascii="Arial" w:hAnsi="Arial" w:cs="Arial"/>
                <w:sz w:val="20"/>
                <w:szCs w:val="20"/>
              </w:rPr>
              <w:t>POTW</w:t>
            </w:r>
          </w:p>
        </w:tc>
        <w:tc>
          <w:tcPr>
            <w:tcW w:w="1874" w:type="dxa"/>
            <w:tcBorders>
              <w:top w:val="single" w:sz="6" w:space="0" w:color="000000"/>
              <w:left w:val="single" w:sz="6" w:space="0" w:color="000000"/>
              <w:bottom w:val="nil"/>
              <w:right w:val="nil"/>
            </w:tcBorders>
          </w:tcPr>
          <w:p w14:paraId="19E0D512" w14:textId="77777777" w:rsidR="000959D8" w:rsidRPr="00EA4EE5" w:rsidRDefault="000959D8" w:rsidP="00EA4EE5">
            <w:pPr>
              <w:widowControl/>
              <w:numPr>
                <w:ilvl w:val="12"/>
                <w:numId w:val="0"/>
              </w:numPr>
              <w:autoSpaceDE/>
              <w:autoSpaceDN/>
              <w:adjustRightInd/>
              <w:spacing w:before="40" w:after="40"/>
              <w:jc w:val="center"/>
              <w:rPr>
                <w:rFonts w:ascii="Arial" w:hAnsi="Arial" w:cs="Arial"/>
                <w:sz w:val="20"/>
                <w:szCs w:val="20"/>
              </w:rPr>
            </w:pPr>
            <w:r w:rsidRPr="00EA4EE5">
              <w:rPr>
                <w:rFonts w:ascii="Arial" w:hAnsi="Arial" w:cs="Arial"/>
                <w:sz w:val="20"/>
                <w:szCs w:val="20"/>
              </w:rPr>
              <w:t>EPA</w:t>
            </w:r>
          </w:p>
        </w:tc>
        <w:tc>
          <w:tcPr>
            <w:tcW w:w="1890" w:type="dxa"/>
            <w:tcBorders>
              <w:top w:val="single" w:sz="6" w:space="0" w:color="000000"/>
              <w:left w:val="single" w:sz="6" w:space="0" w:color="000000"/>
              <w:bottom w:val="nil"/>
              <w:right w:val="single" w:sz="6" w:space="0" w:color="000000"/>
            </w:tcBorders>
          </w:tcPr>
          <w:p w14:paraId="615ADF11" w14:textId="77777777" w:rsidR="000959D8" w:rsidRPr="00EA4EE5" w:rsidRDefault="000959D8" w:rsidP="00EA4EE5">
            <w:pPr>
              <w:widowControl/>
              <w:numPr>
                <w:ilvl w:val="12"/>
                <w:numId w:val="0"/>
              </w:numPr>
              <w:autoSpaceDE/>
              <w:autoSpaceDN/>
              <w:adjustRightInd/>
              <w:spacing w:before="40" w:after="40"/>
              <w:jc w:val="center"/>
              <w:rPr>
                <w:rFonts w:ascii="Arial" w:hAnsi="Arial" w:cs="Arial"/>
                <w:sz w:val="20"/>
                <w:szCs w:val="20"/>
              </w:rPr>
            </w:pPr>
            <w:r w:rsidRPr="00EA4EE5">
              <w:rPr>
                <w:rFonts w:ascii="Arial" w:hAnsi="Arial" w:cs="Arial"/>
                <w:sz w:val="20"/>
                <w:szCs w:val="20"/>
              </w:rPr>
              <w:t>EPA</w:t>
            </w:r>
          </w:p>
        </w:tc>
      </w:tr>
      <w:tr w:rsidR="000959D8" w:rsidRPr="00EA4EE5" w14:paraId="2BB63FCA" w14:textId="77777777" w:rsidTr="000959D8">
        <w:trPr>
          <w:cantSplit/>
          <w:trHeight w:val="429"/>
        </w:trPr>
        <w:tc>
          <w:tcPr>
            <w:tcW w:w="2160" w:type="dxa"/>
            <w:tcBorders>
              <w:top w:val="single" w:sz="6" w:space="0" w:color="000000"/>
              <w:left w:val="single" w:sz="6" w:space="0" w:color="000000"/>
              <w:bottom w:val="nil"/>
              <w:right w:val="nil"/>
            </w:tcBorders>
          </w:tcPr>
          <w:p w14:paraId="214F89EB" w14:textId="77777777" w:rsidR="000959D8" w:rsidRPr="00EA4EE5" w:rsidRDefault="000959D8" w:rsidP="00EA4EE5">
            <w:pPr>
              <w:widowControl/>
              <w:numPr>
                <w:ilvl w:val="12"/>
                <w:numId w:val="0"/>
              </w:numPr>
              <w:autoSpaceDE/>
              <w:autoSpaceDN/>
              <w:adjustRightInd/>
              <w:spacing w:before="40" w:after="40"/>
              <w:jc w:val="center"/>
              <w:rPr>
                <w:rFonts w:ascii="Arial" w:hAnsi="Arial" w:cs="Arial"/>
                <w:sz w:val="20"/>
                <w:szCs w:val="20"/>
              </w:rPr>
            </w:pPr>
            <w:r w:rsidRPr="00EA4EE5">
              <w:rPr>
                <w:rFonts w:ascii="Arial" w:hAnsi="Arial" w:cs="Arial"/>
                <w:sz w:val="20"/>
                <w:szCs w:val="20"/>
              </w:rPr>
              <w:t>No</w:t>
            </w:r>
          </w:p>
        </w:tc>
        <w:tc>
          <w:tcPr>
            <w:tcW w:w="2160" w:type="dxa"/>
            <w:tcBorders>
              <w:top w:val="single" w:sz="6" w:space="0" w:color="000000"/>
              <w:left w:val="single" w:sz="6" w:space="0" w:color="000000"/>
              <w:bottom w:val="nil"/>
              <w:right w:val="nil"/>
            </w:tcBorders>
          </w:tcPr>
          <w:p w14:paraId="036ACFEC" w14:textId="22F48B44" w:rsidR="000959D8" w:rsidRPr="00EA4EE5" w:rsidRDefault="000959D8" w:rsidP="00EA4EE5">
            <w:pPr>
              <w:widowControl/>
              <w:numPr>
                <w:ilvl w:val="12"/>
                <w:numId w:val="0"/>
              </w:numPr>
              <w:autoSpaceDE/>
              <w:autoSpaceDN/>
              <w:adjustRightInd/>
              <w:spacing w:before="40" w:after="40"/>
              <w:jc w:val="center"/>
              <w:rPr>
                <w:rFonts w:ascii="Arial" w:hAnsi="Arial" w:cs="Arial"/>
                <w:sz w:val="20"/>
                <w:szCs w:val="20"/>
              </w:rPr>
            </w:pPr>
            <w:r w:rsidRPr="00EA4EE5">
              <w:rPr>
                <w:rFonts w:ascii="Arial" w:hAnsi="Arial" w:cs="Arial"/>
                <w:sz w:val="20"/>
                <w:szCs w:val="20"/>
              </w:rPr>
              <w:t>Yes</w:t>
            </w:r>
          </w:p>
        </w:tc>
        <w:tc>
          <w:tcPr>
            <w:tcW w:w="1275" w:type="dxa"/>
            <w:tcBorders>
              <w:top w:val="single" w:sz="6" w:space="0" w:color="000000"/>
              <w:left w:val="single" w:sz="6" w:space="0" w:color="000000"/>
              <w:bottom w:val="nil"/>
              <w:right w:val="nil"/>
            </w:tcBorders>
          </w:tcPr>
          <w:p w14:paraId="33B73227" w14:textId="77777777" w:rsidR="000959D8" w:rsidRPr="00EA4EE5" w:rsidRDefault="000959D8" w:rsidP="00EA4EE5">
            <w:pPr>
              <w:widowControl/>
              <w:numPr>
                <w:ilvl w:val="12"/>
                <w:numId w:val="0"/>
              </w:numPr>
              <w:autoSpaceDE/>
              <w:autoSpaceDN/>
              <w:adjustRightInd/>
              <w:spacing w:before="40" w:after="40"/>
              <w:jc w:val="center"/>
              <w:rPr>
                <w:rFonts w:ascii="Arial" w:hAnsi="Arial" w:cs="Arial"/>
                <w:sz w:val="20"/>
                <w:szCs w:val="20"/>
              </w:rPr>
            </w:pPr>
            <w:r w:rsidRPr="00EA4EE5">
              <w:rPr>
                <w:rFonts w:ascii="Arial" w:hAnsi="Arial" w:cs="Arial"/>
                <w:sz w:val="20"/>
                <w:szCs w:val="20"/>
              </w:rPr>
              <w:t>State</w:t>
            </w:r>
          </w:p>
        </w:tc>
        <w:tc>
          <w:tcPr>
            <w:tcW w:w="1874" w:type="dxa"/>
            <w:tcBorders>
              <w:top w:val="single" w:sz="6" w:space="0" w:color="000000"/>
              <w:left w:val="single" w:sz="6" w:space="0" w:color="000000"/>
              <w:bottom w:val="nil"/>
              <w:right w:val="nil"/>
            </w:tcBorders>
          </w:tcPr>
          <w:p w14:paraId="160BDC76" w14:textId="77777777" w:rsidR="000959D8" w:rsidRPr="00EA4EE5" w:rsidRDefault="000959D8" w:rsidP="00EA4EE5">
            <w:pPr>
              <w:widowControl/>
              <w:numPr>
                <w:ilvl w:val="12"/>
                <w:numId w:val="0"/>
              </w:numPr>
              <w:autoSpaceDE/>
              <w:autoSpaceDN/>
              <w:adjustRightInd/>
              <w:spacing w:before="40" w:after="40"/>
              <w:jc w:val="center"/>
              <w:rPr>
                <w:rFonts w:ascii="Arial" w:hAnsi="Arial" w:cs="Arial"/>
                <w:sz w:val="20"/>
                <w:szCs w:val="20"/>
              </w:rPr>
            </w:pPr>
            <w:r w:rsidRPr="00EA4EE5">
              <w:rPr>
                <w:rFonts w:ascii="Arial" w:hAnsi="Arial" w:cs="Arial"/>
                <w:sz w:val="20"/>
                <w:szCs w:val="20"/>
              </w:rPr>
              <w:t>State</w:t>
            </w:r>
          </w:p>
        </w:tc>
        <w:tc>
          <w:tcPr>
            <w:tcW w:w="1890" w:type="dxa"/>
            <w:tcBorders>
              <w:top w:val="single" w:sz="6" w:space="0" w:color="000000"/>
              <w:left w:val="single" w:sz="6" w:space="0" w:color="000000"/>
              <w:bottom w:val="nil"/>
              <w:right w:val="single" w:sz="6" w:space="0" w:color="000000"/>
            </w:tcBorders>
          </w:tcPr>
          <w:p w14:paraId="6015499F" w14:textId="77777777" w:rsidR="000959D8" w:rsidRPr="00EA4EE5" w:rsidRDefault="000959D8" w:rsidP="00EA4EE5">
            <w:pPr>
              <w:widowControl/>
              <w:numPr>
                <w:ilvl w:val="12"/>
                <w:numId w:val="0"/>
              </w:numPr>
              <w:autoSpaceDE/>
              <w:autoSpaceDN/>
              <w:adjustRightInd/>
              <w:spacing w:before="40" w:after="40"/>
              <w:jc w:val="center"/>
              <w:rPr>
                <w:rFonts w:ascii="Arial" w:hAnsi="Arial" w:cs="Arial"/>
                <w:sz w:val="20"/>
                <w:szCs w:val="20"/>
              </w:rPr>
            </w:pPr>
            <w:r w:rsidRPr="00EA4EE5">
              <w:rPr>
                <w:rFonts w:ascii="Arial" w:hAnsi="Arial" w:cs="Arial"/>
                <w:sz w:val="20"/>
                <w:szCs w:val="20"/>
              </w:rPr>
              <w:t>EPA</w:t>
            </w:r>
          </w:p>
        </w:tc>
      </w:tr>
      <w:tr w:rsidR="000959D8" w:rsidRPr="00EA4EE5" w14:paraId="1A013479" w14:textId="77777777" w:rsidTr="000959D8">
        <w:trPr>
          <w:cantSplit/>
          <w:trHeight w:val="360"/>
        </w:trPr>
        <w:tc>
          <w:tcPr>
            <w:tcW w:w="2160" w:type="dxa"/>
            <w:tcBorders>
              <w:top w:val="single" w:sz="6" w:space="0" w:color="000000"/>
              <w:left w:val="single" w:sz="6" w:space="0" w:color="000000"/>
              <w:bottom w:val="single" w:sz="6" w:space="0" w:color="000000"/>
              <w:right w:val="nil"/>
            </w:tcBorders>
          </w:tcPr>
          <w:p w14:paraId="09B9F8DC" w14:textId="77777777" w:rsidR="000959D8" w:rsidRPr="00EA4EE5" w:rsidRDefault="000959D8" w:rsidP="00EA4EE5">
            <w:pPr>
              <w:widowControl/>
              <w:numPr>
                <w:ilvl w:val="12"/>
                <w:numId w:val="0"/>
              </w:numPr>
              <w:autoSpaceDE/>
              <w:autoSpaceDN/>
              <w:adjustRightInd/>
              <w:spacing w:before="40" w:after="40"/>
              <w:jc w:val="center"/>
              <w:rPr>
                <w:rFonts w:ascii="Arial" w:hAnsi="Arial" w:cs="Arial"/>
                <w:sz w:val="20"/>
                <w:szCs w:val="20"/>
              </w:rPr>
            </w:pPr>
            <w:r w:rsidRPr="00EA4EE5">
              <w:rPr>
                <w:rFonts w:ascii="Arial" w:hAnsi="Arial" w:cs="Arial"/>
                <w:sz w:val="20"/>
                <w:szCs w:val="20"/>
              </w:rPr>
              <w:t>No</w:t>
            </w:r>
          </w:p>
        </w:tc>
        <w:tc>
          <w:tcPr>
            <w:tcW w:w="2160" w:type="dxa"/>
            <w:tcBorders>
              <w:top w:val="single" w:sz="6" w:space="0" w:color="000000"/>
              <w:left w:val="single" w:sz="6" w:space="0" w:color="000000"/>
              <w:bottom w:val="single" w:sz="6" w:space="0" w:color="000000"/>
              <w:right w:val="nil"/>
            </w:tcBorders>
          </w:tcPr>
          <w:p w14:paraId="3E8CC68C" w14:textId="0DF8BE0E" w:rsidR="000959D8" w:rsidRPr="00EA4EE5" w:rsidRDefault="000959D8" w:rsidP="00EA4EE5">
            <w:pPr>
              <w:widowControl/>
              <w:numPr>
                <w:ilvl w:val="12"/>
                <w:numId w:val="0"/>
              </w:numPr>
              <w:autoSpaceDE/>
              <w:autoSpaceDN/>
              <w:adjustRightInd/>
              <w:spacing w:before="40" w:after="40"/>
              <w:jc w:val="center"/>
              <w:rPr>
                <w:rFonts w:ascii="Arial" w:hAnsi="Arial" w:cs="Arial"/>
                <w:sz w:val="20"/>
                <w:szCs w:val="20"/>
              </w:rPr>
            </w:pPr>
            <w:r w:rsidRPr="00EA4EE5">
              <w:rPr>
                <w:rFonts w:ascii="Arial" w:hAnsi="Arial" w:cs="Arial"/>
                <w:sz w:val="20"/>
                <w:szCs w:val="20"/>
              </w:rPr>
              <w:t>No</w:t>
            </w:r>
          </w:p>
        </w:tc>
        <w:tc>
          <w:tcPr>
            <w:tcW w:w="1275" w:type="dxa"/>
            <w:tcBorders>
              <w:top w:val="single" w:sz="6" w:space="0" w:color="000000"/>
              <w:left w:val="single" w:sz="6" w:space="0" w:color="000000"/>
              <w:bottom w:val="single" w:sz="6" w:space="0" w:color="000000"/>
              <w:right w:val="nil"/>
            </w:tcBorders>
          </w:tcPr>
          <w:p w14:paraId="39A9AC4C" w14:textId="77777777" w:rsidR="000959D8" w:rsidRPr="00EA4EE5" w:rsidRDefault="000959D8" w:rsidP="00EA4EE5">
            <w:pPr>
              <w:widowControl/>
              <w:numPr>
                <w:ilvl w:val="12"/>
                <w:numId w:val="0"/>
              </w:numPr>
              <w:autoSpaceDE/>
              <w:autoSpaceDN/>
              <w:adjustRightInd/>
              <w:spacing w:before="40" w:after="40"/>
              <w:jc w:val="center"/>
              <w:rPr>
                <w:rFonts w:ascii="Arial" w:hAnsi="Arial" w:cs="Arial"/>
                <w:sz w:val="20"/>
                <w:szCs w:val="20"/>
              </w:rPr>
            </w:pPr>
            <w:r w:rsidRPr="00EA4EE5">
              <w:rPr>
                <w:rFonts w:ascii="Arial" w:hAnsi="Arial" w:cs="Arial"/>
                <w:sz w:val="20"/>
                <w:szCs w:val="20"/>
              </w:rPr>
              <w:t>EPA</w:t>
            </w:r>
          </w:p>
        </w:tc>
        <w:tc>
          <w:tcPr>
            <w:tcW w:w="1874" w:type="dxa"/>
            <w:tcBorders>
              <w:top w:val="single" w:sz="6" w:space="0" w:color="000000"/>
              <w:left w:val="single" w:sz="6" w:space="0" w:color="000000"/>
              <w:bottom w:val="single" w:sz="6" w:space="0" w:color="000000"/>
              <w:right w:val="nil"/>
            </w:tcBorders>
          </w:tcPr>
          <w:p w14:paraId="3D43A55E" w14:textId="77777777" w:rsidR="000959D8" w:rsidRPr="00EA4EE5" w:rsidRDefault="000959D8" w:rsidP="00EA4EE5">
            <w:pPr>
              <w:widowControl/>
              <w:numPr>
                <w:ilvl w:val="12"/>
                <w:numId w:val="0"/>
              </w:numPr>
              <w:autoSpaceDE/>
              <w:autoSpaceDN/>
              <w:adjustRightInd/>
              <w:spacing w:before="40" w:after="40"/>
              <w:jc w:val="center"/>
              <w:rPr>
                <w:rFonts w:ascii="Arial" w:hAnsi="Arial" w:cs="Arial"/>
                <w:sz w:val="20"/>
                <w:szCs w:val="20"/>
              </w:rPr>
            </w:pPr>
            <w:r w:rsidRPr="00EA4EE5">
              <w:rPr>
                <w:rFonts w:ascii="Arial" w:hAnsi="Arial" w:cs="Arial"/>
                <w:sz w:val="20"/>
                <w:szCs w:val="20"/>
              </w:rPr>
              <w:t>EPA</w:t>
            </w:r>
          </w:p>
        </w:tc>
        <w:tc>
          <w:tcPr>
            <w:tcW w:w="1890" w:type="dxa"/>
            <w:tcBorders>
              <w:top w:val="single" w:sz="6" w:space="0" w:color="000000"/>
              <w:left w:val="single" w:sz="6" w:space="0" w:color="000000"/>
              <w:bottom w:val="single" w:sz="6" w:space="0" w:color="000000"/>
              <w:right w:val="single" w:sz="6" w:space="0" w:color="000000"/>
            </w:tcBorders>
          </w:tcPr>
          <w:p w14:paraId="672BE51B" w14:textId="77777777" w:rsidR="000959D8" w:rsidRPr="00EA4EE5" w:rsidRDefault="000959D8" w:rsidP="00EA4EE5">
            <w:pPr>
              <w:widowControl/>
              <w:numPr>
                <w:ilvl w:val="12"/>
                <w:numId w:val="0"/>
              </w:numPr>
              <w:autoSpaceDE/>
              <w:autoSpaceDN/>
              <w:adjustRightInd/>
              <w:spacing w:before="40" w:after="40"/>
              <w:jc w:val="center"/>
              <w:rPr>
                <w:rFonts w:ascii="Arial" w:hAnsi="Arial" w:cs="Arial"/>
                <w:sz w:val="20"/>
                <w:szCs w:val="20"/>
              </w:rPr>
            </w:pPr>
            <w:r w:rsidRPr="00EA4EE5">
              <w:rPr>
                <w:rFonts w:ascii="Arial" w:hAnsi="Arial" w:cs="Arial"/>
                <w:sz w:val="20"/>
                <w:szCs w:val="20"/>
              </w:rPr>
              <w:t>EPA</w:t>
            </w:r>
          </w:p>
        </w:tc>
      </w:tr>
    </w:tbl>
    <w:p w14:paraId="3B46BC81" w14:textId="77777777" w:rsidR="00EA4EE5" w:rsidRPr="00EA4EE5" w:rsidRDefault="00EA4EE5" w:rsidP="00EA4EE5">
      <w:pPr>
        <w:widowControl/>
        <w:numPr>
          <w:ilvl w:val="12"/>
          <w:numId w:val="0"/>
        </w:numPr>
        <w:autoSpaceDE/>
        <w:autoSpaceDN/>
        <w:adjustRightInd/>
      </w:pPr>
    </w:p>
    <w:p w14:paraId="34461B92" w14:textId="40E1F5CA" w:rsidR="005D0A80" w:rsidRDefault="005D0A80" w:rsidP="000959D8">
      <w:pPr>
        <w:pStyle w:val="Caption"/>
        <w:keepNext/>
      </w:pPr>
      <w:r>
        <w:t xml:space="preserve">Table 2.2 </w:t>
      </w:r>
      <w:r w:rsidRPr="005D0A80">
        <w:t>Responsibilities of each authority</w:t>
      </w:r>
    </w:p>
    <w:tbl>
      <w:tblPr>
        <w:tblW w:w="9360" w:type="dxa"/>
        <w:tblInd w:w="120" w:type="dxa"/>
        <w:tblLayout w:type="fixed"/>
        <w:tblCellMar>
          <w:left w:w="120" w:type="dxa"/>
          <w:right w:w="120" w:type="dxa"/>
        </w:tblCellMar>
        <w:tblLook w:val="0000" w:firstRow="0" w:lastRow="0" w:firstColumn="0" w:lastColumn="0" w:noHBand="0" w:noVBand="0"/>
      </w:tblPr>
      <w:tblGrid>
        <w:gridCol w:w="9360"/>
      </w:tblGrid>
      <w:tr w:rsidR="00EA4EE5" w:rsidRPr="00EA4EE5" w14:paraId="0DF95683" w14:textId="77777777" w:rsidTr="000959D8">
        <w:trPr>
          <w:cantSplit/>
        </w:trPr>
        <w:tc>
          <w:tcPr>
            <w:tcW w:w="9360" w:type="dxa"/>
            <w:tcBorders>
              <w:top w:val="single" w:sz="6" w:space="0" w:color="000000"/>
              <w:left w:val="single" w:sz="6" w:space="0" w:color="000000"/>
              <w:bottom w:val="nil"/>
              <w:right w:val="single" w:sz="6" w:space="0" w:color="000000"/>
            </w:tcBorders>
          </w:tcPr>
          <w:p w14:paraId="455B0D8B" w14:textId="77777777" w:rsidR="00EA4EE5" w:rsidRPr="00EA4EE5" w:rsidRDefault="00EA4EE5" w:rsidP="00EA4EE5">
            <w:pPr>
              <w:keepNext/>
              <w:widowControl/>
              <w:numPr>
                <w:ilvl w:val="12"/>
                <w:numId w:val="0"/>
              </w:numPr>
              <w:autoSpaceDE/>
              <w:autoSpaceDN/>
              <w:adjustRightInd/>
              <w:spacing w:before="40"/>
              <w:jc w:val="center"/>
              <w:rPr>
                <w:rFonts w:ascii="Arial" w:hAnsi="Arial" w:cs="Arial"/>
                <w:sz w:val="20"/>
                <w:szCs w:val="20"/>
              </w:rPr>
            </w:pPr>
            <w:r w:rsidRPr="00EA4EE5">
              <w:rPr>
                <w:rFonts w:ascii="Arial" w:hAnsi="Arial" w:cs="Arial"/>
                <w:b/>
                <w:bCs/>
                <w:sz w:val="20"/>
                <w:szCs w:val="20"/>
              </w:rPr>
              <w:t>Oversight Authority</w:t>
            </w:r>
          </w:p>
          <w:p w14:paraId="51236B15" w14:textId="77777777" w:rsidR="00EA4EE5" w:rsidRPr="00EA4EE5" w:rsidRDefault="00EA4EE5" w:rsidP="00EA4EE5">
            <w:pPr>
              <w:keepNext/>
              <w:widowControl/>
              <w:numPr>
                <w:ilvl w:val="12"/>
                <w:numId w:val="0"/>
              </w:numPr>
              <w:autoSpaceDE/>
              <w:autoSpaceDN/>
              <w:adjustRightInd/>
              <w:spacing w:after="40"/>
              <w:jc w:val="center"/>
              <w:rPr>
                <w:rFonts w:ascii="Arial" w:hAnsi="Arial" w:cs="Arial"/>
                <w:sz w:val="20"/>
                <w:szCs w:val="20"/>
              </w:rPr>
            </w:pPr>
            <w:r w:rsidRPr="00EA4EE5">
              <w:rPr>
                <w:rFonts w:ascii="Arial" w:hAnsi="Arial" w:cs="Arial"/>
                <w:sz w:val="20"/>
                <w:szCs w:val="20"/>
              </w:rPr>
              <w:t>(EPA)</w:t>
            </w:r>
          </w:p>
          <w:p w14:paraId="56CFD972" w14:textId="77777777" w:rsidR="00EA4EE5" w:rsidRPr="00EA4EE5" w:rsidRDefault="00EA4EE5" w:rsidP="00EA4EE5">
            <w:pPr>
              <w:keepNext/>
              <w:widowControl/>
              <w:numPr>
                <w:ilvl w:val="0"/>
                <w:numId w:val="6"/>
              </w:numPr>
              <w:tabs>
                <w:tab w:val="left" w:pos="720"/>
              </w:tabs>
              <w:autoSpaceDE/>
              <w:autoSpaceDN/>
              <w:adjustRightInd/>
              <w:spacing w:afterLines="20" w:after="48"/>
              <w:rPr>
                <w:rFonts w:ascii="Arial" w:hAnsi="Arial" w:cs="Arial"/>
                <w:sz w:val="20"/>
                <w:szCs w:val="20"/>
              </w:rPr>
            </w:pPr>
            <w:r w:rsidRPr="00EA4EE5">
              <w:rPr>
                <w:rFonts w:ascii="Arial" w:hAnsi="Arial" w:cs="Arial"/>
                <w:sz w:val="20"/>
                <w:szCs w:val="20"/>
              </w:rPr>
              <w:t xml:space="preserve">Evaluates pretreatment programs on a national basis and oversees state pretreatment programs to ensure that </w:t>
            </w:r>
            <w:smartTag w:uri="urn:schemas-microsoft-com:office:smarttags" w:element="PersonName">
              <w:r w:rsidRPr="00EA4EE5">
                <w:rPr>
                  <w:rFonts w:ascii="Arial" w:hAnsi="Arial" w:cs="Arial"/>
                  <w:sz w:val="20"/>
                  <w:szCs w:val="20"/>
                </w:rPr>
                <w:t>the</w:t>
              </w:r>
            </w:smartTag>
            <w:r w:rsidRPr="00EA4EE5">
              <w:rPr>
                <w:rFonts w:ascii="Arial" w:hAnsi="Arial" w:cs="Arial"/>
                <w:sz w:val="20"/>
                <w:szCs w:val="20"/>
              </w:rPr>
              <w:t>y meet federal requirements.</w:t>
            </w:r>
          </w:p>
          <w:p w14:paraId="7ED5DBED" w14:textId="77777777" w:rsidR="00EA4EE5" w:rsidRPr="00EA4EE5" w:rsidRDefault="00EA4EE5" w:rsidP="00EA4EE5">
            <w:pPr>
              <w:keepNext/>
              <w:widowControl/>
              <w:numPr>
                <w:ilvl w:val="0"/>
                <w:numId w:val="6"/>
              </w:numPr>
              <w:tabs>
                <w:tab w:val="left" w:pos="720"/>
              </w:tabs>
              <w:autoSpaceDE/>
              <w:autoSpaceDN/>
              <w:adjustRightInd/>
              <w:spacing w:afterLines="20" w:after="48"/>
              <w:rPr>
                <w:rFonts w:ascii="Arial" w:hAnsi="Arial" w:cs="Arial"/>
                <w:sz w:val="20"/>
                <w:szCs w:val="20"/>
              </w:rPr>
            </w:pPr>
            <w:r w:rsidRPr="00EA4EE5">
              <w:rPr>
                <w:rFonts w:ascii="Arial" w:hAnsi="Arial" w:cs="Arial"/>
                <w:sz w:val="20"/>
                <w:szCs w:val="20"/>
              </w:rPr>
              <w:t>Approves state pretreatment program requests.</w:t>
            </w:r>
          </w:p>
          <w:p w14:paraId="6D631A6A" w14:textId="77777777" w:rsidR="00EA4EE5" w:rsidRPr="00EA4EE5" w:rsidRDefault="00EA4EE5" w:rsidP="00EA4EE5">
            <w:pPr>
              <w:keepNext/>
              <w:widowControl/>
              <w:numPr>
                <w:ilvl w:val="0"/>
                <w:numId w:val="6"/>
              </w:numPr>
              <w:tabs>
                <w:tab w:val="left" w:pos="720"/>
              </w:tabs>
              <w:autoSpaceDE/>
              <w:autoSpaceDN/>
              <w:adjustRightInd/>
              <w:spacing w:afterLines="20" w:after="48"/>
              <w:rPr>
                <w:rFonts w:ascii="Arial" w:hAnsi="Arial" w:cs="Arial"/>
                <w:sz w:val="20"/>
                <w:szCs w:val="20"/>
              </w:rPr>
            </w:pPr>
            <w:r w:rsidRPr="00EA4EE5">
              <w:rPr>
                <w:rFonts w:ascii="Arial" w:hAnsi="Arial" w:cs="Arial"/>
                <w:sz w:val="20"/>
                <w:szCs w:val="20"/>
              </w:rPr>
              <w:t>Acts as AA or CA in cases where states or POTWs do not have pretreatment programs.</w:t>
            </w:r>
          </w:p>
        </w:tc>
      </w:tr>
      <w:tr w:rsidR="00EA4EE5" w:rsidRPr="00EA4EE5" w14:paraId="20916FE3" w14:textId="77777777" w:rsidTr="000959D8">
        <w:trPr>
          <w:cantSplit/>
        </w:trPr>
        <w:tc>
          <w:tcPr>
            <w:tcW w:w="9360" w:type="dxa"/>
            <w:tcBorders>
              <w:top w:val="single" w:sz="6" w:space="0" w:color="000000"/>
              <w:left w:val="single" w:sz="6" w:space="0" w:color="000000"/>
              <w:bottom w:val="nil"/>
              <w:right w:val="single" w:sz="6" w:space="0" w:color="000000"/>
            </w:tcBorders>
          </w:tcPr>
          <w:p w14:paraId="317898C3" w14:textId="0DE83856" w:rsidR="00EA4EE5" w:rsidRPr="00EA4EE5" w:rsidRDefault="00CD6D56" w:rsidP="00EA4EE5">
            <w:pPr>
              <w:keepNext/>
              <w:widowControl/>
              <w:numPr>
                <w:ilvl w:val="12"/>
                <w:numId w:val="0"/>
              </w:numPr>
              <w:autoSpaceDE/>
              <w:autoSpaceDN/>
              <w:adjustRightInd/>
              <w:spacing w:before="40"/>
              <w:jc w:val="center"/>
              <w:rPr>
                <w:rFonts w:ascii="Arial" w:hAnsi="Arial" w:cs="Arial"/>
                <w:sz w:val="20"/>
                <w:szCs w:val="20"/>
              </w:rPr>
            </w:pPr>
            <w:r>
              <w:rPr>
                <w:rFonts w:ascii="Arial" w:hAnsi="Arial" w:cs="Arial"/>
                <w:b/>
                <w:bCs/>
                <w:sz w:val="20"/>
                <w:szCs w:val="20"/>
              </w:rPr>
              <w:t>Approval Authority</w:t>
            </w:r>
          </w:p>
          <w:p w14:paraId="7A893B04" w14:textId="77777777" w:rsidR="00EA4EE5" w:rsidRPr="00EA4EE5" w:rsidRDefault="00EA4EE5" w:rsidP="00EA4EE5">
            <w:pPr>
              <w:keepNext/>
              <w:widowControl/>
              <w:numPr>
                <w:ilvl w:val="12"/>
                <w:numId w:val="0"/>
              </w:numPr>
              <w:autoSpaceDE/>
              <w:autoSpaceDN/>
              <w:adjustRightInd/>
              <w:spacing w:after="40"/>
              <w:jc w:val="center"/>
              <w:rPr>
                <w:rFonts w:ascii="Arial" w:hAnsi="Arial" w:cs="Arial"/>
                <w:sz w:val="20"/>
                <w:szCs w:val="20"/>
              </w:rPr>
            </w:pPr>
            <w:r w:rsidRPr="00EA4EE5">
              <w:rPr>
                <w:rFonts w:ascii="Arial" w:hAnsi="Arial" w:cs="Arial"/>
                <w:sz w:val="20"/>
                <w:szCs w:val="20"/>
              </w:rPr>
              <w:t>(Approved States or EPA Regions)</w:t>
            </w:r>
          </w:p>
          <w:p w14:paraId="7DAA01E9" w14:textId="77777777" w:rsidR="00EA4EE5" w:rsidRPr="00EA4EE5" w:rsidRDefault="00EA4EE5" w:rsidP="00EA4EE5">
            <w:pPr>
              <w:keepNext/>
              <w:widowControl/>
              <w:numPr>
                <w:ilvl w:val="0"/>
                <w:numId w:val="7"/>
              </w:numPr>
              <w:tabs>
                <w:tab w:val="left" w:pos="720"/>
              </w:tabs>
              <w:autoSpaceDE/>
              <w:autoSpaceDN/>
              <w:adjustRightInd/>
              <w:spacing w:afterLines="20" w:after="48"/>
              <w:rPr>
                <w:rFonts w:ascii="Arial" w:hAnsi="Arial" w:cs="Arial"/>
                <w:sz w:val="20"/>
                <w:szCs w:val="20"/>
              </w:rPr>
            </w:pPr>
            <w:r w:rsidRPr="00EA4EE5">
              <w:rPr>
                <w:rFonts w:ascii="Arial" w:hAnsi="Arial" w:cs="Arial"/>
                <w:sz w:val="20"/>
                <w:szCs w:val="20"/>
              </w:rPr>
              <w:t>Reviews POTW pretreatment programs to determine adequacy.</w:t>
            </w:r>
          </w:p>
          <w:p w14:paraId="7E18326A" w14:textId="77777777" w:rsidR="00EA4EE5" w:rsidRPr="00EA4EE5" w:rsidRDefault="00EA4EE5" w:rsidP="00EA4EE5">
            <w:pPr>
              <w:keepNext/>
              <w:widowControl/>
              <w:numPr>
                <w:ilvl w:val="0"/>
                <w:numId w:val="7"/>
              </w:numPr>
              <w:tabs>
                <w:tab w:val="left" w:pos="720"/>
              </w:tabs>
              <w:autoSpaceDE/>
              <w:autoSpaceDN/>
              <w:adjustRightInd/>
              <w:spacing w:afterLines="20" w:after="48"/>
              <w:rPr>
                <w:rFonts w:ascii="Arial" w:hAnsi="Arial" w:cs="Arial"/>
                <w:sz w:val="20"/>
                <w:szCs w:val="20"/>
              </w:rPr>
            </w:pPr>
            <w:r w:rsidRPr="00EA4EE5">
              <w:rPr>
                <w:rFonts w:ascii="Arial" w:hAnsi="Arial" w:cs="Arial"/>
                <w:sz w:val="20"/>
                <w:szCs w:val="20"/>
              </w:rPr>
              <w:t>Assists POTWs in ensuring compliance with pretreatment requirements.</w:t>
            </w:r>
          </w:p>
          <w:p w14:paraId="01530692" w14:textId="77777777" w:rsidR="00EA4EE5" w:rsidRPr="00EA4EE5" w:rsidRDefault="00EA4EE5" w:rsidP="00EA4EE5">
            <w:pPr>
              <w:keepNext/>
              <w:widowControl/>
              <w:numPr>
                <w:ilvl w:val="0"/>
                <w:numId w:val="7"/>
              </w:numPr>
              <w:tabs>
                <w:tab w:val="left" w:pos="720"/>
              </w:tabs>
              <w:autoSpaceDE/>
              <w:autoSpaceDN/>
              <w:adjustRightInd/>
              <w:spacing w:afterLines="20" w:after="48"/>
              <w:rPr>
                <w:rFonts w:ascii="Arial" w:hAnsi="Arial" w:cs="Arial"/>
                <w:sz w:val="20"/>
                <w:szCs w:val="20"/>
              </w:rPr>
            </w:pPr>
            <w:r w:rsidRPr="00EA4EE5">
              <w:rPr>
                <w:rFonts w:ascii="Arial" w:hAnsi="Arial" w:cs="Arial"/>
                <w:sz w:val="20"/>
                <w:szCs w:val="20"/>
              </w:rPr>
              <w:t>Audits/inspects approved POTWs to assess compliance (may also inspect IUs).</w:t>
            </w:r>
          </w:p>
          <w:p w14:paraId="692FBE77" w14:textId="77777777" w:rsidR="00EA4EE5" w:rsidRPr="00EA4EE5" w:rsidRDefault="00EA4EE5" w:rsidP="00EA4EE5">
            <w:pPr>
              <w:keepNext/>
              <w:widowControl/>
              <w:numPr>
                <w:ilvl w:val="0"/>
                <w:numId w:val="7"/>
              </w:numPr>
              <w:tabs>
                <w:tab w:val="left" w:pos="720"/>
              </w:tabs>
              <w:autoSpaceDE/>
              <w:autoSpaceDN/>
              <w:adjustRightInd/>
              <w:spacing w:afterLines="20" w:after="48"/>
              <w:rPr>
                <w:rFonts w:ascii="Arial" w:hAnsi="Arial" w:cs="Arial"/>
                <w:sz w:val="20"/>
                <w:szCs w:val="20"/>
              </w:rPr>
            </w:pPr>
            <w:r w:rsidRPr="00EA4EE5">
              <w:rPr>
                <w:rFonts w:ascii="Arial" w:hAnsi="Arial" w:cs="Arial"/>
                <w:sz w:val="20"/>
                <w:szCs w:val="20"/>
              </w:rPr>
              <w:t>Takes appropriate action against POTWs that fail to implement or enforce pretreatment standards at IUs not in compliance (where POTW does not take action).</w:t>
            </w:r>
          </w:p>
          <w:p w14:paraId="67AADA9C" w14:textId="77777777" w:rsidR="00EA4EE5" w:rsidRPr="00EA4EE5" w:rsidRDefault="00EA4EE5" w:rsidP="00EA4EE5">
            <w:pPr>
              <w:keepNext/>
              <w:widowControl/>
              <w:numPr>
                <w:ilvl w:val="0"/>
                <w:numId w:val="7"/>
              </w:numPr>
              <w:tabs>
                <w:tab w:val="left" w:pos="720"/>
              </w:tabs>
              <w:autoSpaceDE/>
              <w:autoSpaceDN/>
              <w:adjustRightInd/>
              <w:spacing w:after="40"/>
              <w:rPr>
                <w:rFonts w:ascii="Arial" w:hAnsi="Arial" w:cs="Arial"/>
                <w:sz w:val="20"/>
                <w:szCs w:val="20"/>
              </w:rPr>
            </w:pPr>
            <w:r w:rsidRPr="00EA4EE5">
              <w:rPr>
                <w:rFonts w:ascii="Arial" w:hAnsi="Arial" w:cs="Arial"/>
                <w:sz w:val="20"/>
                <w:szCs w:val="20"/>
              </w:rPr>
              <w:t xml:space="preserve">Acts as CA in cases where </w:t>
            </w:r>
            <w:smartTag w:uri="urn:schemas-microsoft-com:office:smarttags" w:element="PersonName">
              <w:r w:rsidRPr="00EA4EE5">
                <w:rPr>
                  <w:rFonts w:ascii="Arial" w:hAnsi="Arial" w:cs="Arial"/>
                  <w:sz w:val="20"/>
                  <w:szCs w:val="20"/>
                </w:rPr>
                <w:t>the</w:t>
              </w:r>
            </w:smartTag>
            <w:r w:rsidRPr="00EA4EE5">
              <w:rPr>
                <w:rFonts w:ascii="Arial" w:hAnsi="Arial" w:cs="Arial"/>
                <w:sz w:val="20"/>
                <w:szCs w:val="20"/>
              </w:rPr>
              <w:t xml:space="preserve"> POTW does not have a pretreatment program.</w:t>
            </w:r>
          </w:p>
        </w:tc>
      </w:tr>
      <w:tr w:rsidR="00EA4EE5" w:rsidRPr="00EA4EE5" w14:paraId="549EC690" w14:textId="77777777" w:rsidTr="000959D8">
        <w:trPr>
          <w:cantSplit/>
        </w:trPr>
        <w:tc>
          <w:tcPr>
            <w:tcW w:w="9360" w:type="dxa"/>
            <w:tcBorders>
              <w:top w:val="single" w:sz="6" w:space="0" w:color="000000"/>
              <w:left w:val="single" w:sz="6" w:space="0" w:color="000000"/>
              <w:bottom w:val="single" w:sz="6" w:space="0" w:color="000000"/>
              <w:right w:val="single" w:sz="6" w:space="0" w:color="000000"/>
            </w:tcBorders>
          </w:tcPr>
          <w:p w14:paraId="067E0972" w14:textId="77777777" w:rsidR="00EA4EE5" w:rsidRPr="00EA4EE5" w:rsidRDefault="00EA4EE5" w:rsidP="00EA4EE5">
            <w:pPr>
              <w:keepNext/>
              <w:widowControl/>
              <w:numPr>
                <w:ilvl w:val="12"/>
                <w:numId w:val="0"/>
              </w:numPr>
              <w:autoSpaceDE/>
              <w:autoSpaceDN/>
              <w:adjustRightInd/>
              <w:spacing w:before="40"/>
              <w:jc w:val="center"/>
              <w:rPr>
                <w:rFonts w:ascii="Arial" w:hAnsi="Arial" w:cs="Arial"/>
                <w:sz w:val="20"/>
                <w:szCs w:val="20"/>
              </w:rPr>
            </w:pPr>
            <w:r w:rsidRPr="00EA4EE5">
              <w:rPr>
                <w:rFonts w:ascii="Arial" w:hAnsi="Arial" w:cs="Arial"/>
                <w:b/>
                <w:bCs/>
                <w:sz w:val="20"/>
                <w:szCs w:val="20"/>
              </w:rPr>
              <w:t>Control Authority</w:t>
            </w:r>
          </w:p>
          <w:p w14:paraId="2C3D13D0" w14:textId="77777777" w:rsidR="00EA4EE5" w:rsidRPr="00EA4EE5" w:rsidRDefault="00EA4EE5" w:rsidP="00EA4EE5">
            <w:pPr>
              <w:keepNext/>
              <w:widowControl/>
              <w:numPr>
                <w:ilvl w:val="12"/>
                <w:numId w:val="0"/>
              </w:numPr>
              <w:autoSpaceDE/>
              <w:autoSpaceDN/>
              <w:adjustRightInd/>
              <w:spacing w:after="40"/>
              <w:jc w:val="center"/>
              <w:rPr>
                <w:rFonts w:ascii="Arial" w:hAnsi="Arial" w:cs="Arial"/>
                <w:sz w:val="20"/>
                <w:szCs w:val="20"/>
              </w:rPr>
            </w:pPr>
            <w:r w:rsidRPr="00EA4EE5">
              <w:rPr>
                <w:rFonts w:ascii="Arial" w:hAnsi="Arial" w:cs="Arial"/>
                <w:sz w:val="20"/>
                <w:szCs w:val="20"/>
              </w:rPr>
              <w:t>(Approved POTWs, Approved States, or EPA Regions)</w:t>
            </w:r>
          </w:p>
          <w:p w14:paraId="3E2DCB49" w14:textId="77777777" w:rsidR="00EA4EE5" w:rsidRPr="00EA4EE5" w:rsidRDefault="00EA4EE5" w:rsidP="00EA4EE5">
            <w:pPr>
              <w:keepNext/>
              <w:widowControl/>
              <w:numPr>
                <w:ilvl w:val="0"/>
                <w:numId w:val="8"/>
              </w:numPr>
              <w:tabs>
                <w:tab w:val="left" w:pos="720"/>
              </w:tabs>
              <w:autoSpaceDE/>
              <w:autoSpaceDN/>
              <w:adjustRightInd/>
              <w:spacing w:afterLines="20" w:after="48"/>
              <w:rPr>
                <w:rFonts w:ascii="Arial" w:hAnsi="Arial" w:cs="Arial"/>
                <w:sz w:val="20"/>
                <w:szCs w:val="20"/>
              </w:rPr>
            </w:pPr>
            <w:r w:rsidRPr="00EA4EE5">
              <w:rPr>
                <w:rFonts w:ascii="Arial" w:hAnsi="Arial" w:cs="Arial"/>
                <w:sz w:val="20"/>
                <w:szCs w:val="20"/>
              </w:rPr>
              <w:t xml:space="preserve">Has primary responsibility for implementing </w:t>
            </w:r>
            <w:smartTag w:uri="urn:schemas-microsoft-com:office:smarttags" w:element="PersonName">
              <w:r w:rsidRPr="00EA4EE5">
                <w:rPr>
                  <w:rFonts w:ascii="Arial" w:hAnsi="Arial" w:cs="Arial"/>
                  <w:sz w:val="20"/>
                  <w:szCs w:val="20"/>
                </w:rPr>
                <w:t>the</w:t>
              </w:r>
            </w:smartTag>
            <w:r w:rsidRPr="00EA4EE5">
              <w:rPr>
                <w:rFonts w:ascii="Arial" w:hAnsi="Arial" w:cs="Arial"/>
                <w:sz w:val="20"/>
                <w:szCs w:val="20"/>
              </w:rPr>
              <w:t xml:space="preserve"> pretreatment program.</w:t>
            </w:r>
          </w:p>
          <w:p w14:paraId="7DDC7640" w14:textId="7317EA5F" w:rsidR="00EA4EE5" w:rsidRPr="00EA4EE5" w:rsidRDefault="00EA4EE5" w:rsidP="00EA4EE5">
            <w:pPr>
              <w:keepNext/>
              <w:widowControl/>
              <w:numPr>
                <w:ilvl w:val="0"/>
                <w:numId w:val="8"/>
              </w:numPr>
              <w:tabs>
                <w:tab w:val="left" w:pos="720"/>
              </w:tabs>
              <w:autoSpaceDE/>
              <w:autoSpaceDN/>
              <w:adjustRightInd/>
              <w:spacing w:afterLines="20" w:after="48"/>
              <w:rPr>
                <w:rFonts w:ascii="Arial" w:hAnsi="Arial" w:cs="Arial"/>
                <w:sz w:val="20"/>
                <w:szCs w:val="20"/>
              </w:rPr>
            </w:pPr>
            <w:r w:rsidRPr="00EA4EE5">
              <w:rPr>
                <w:rFonts w:ascii="Arial" w:hAnsi="Arial" w:cs="Arial"/>
                <w:sz w:val="20"/>
                <w:szCs w:val="20"/>
              </w:rPr>
              <w:t xml:space="preserve">Ensures that IUs comply with discharge </w:t>
            </w:r>
            <w:r w:rsidR="00F34C5B">
              <w:rPr>
                <w:rFonts w:ascii="Arial" w:hAnsi="Arial" w:cs="Arial"/>
                <w:sz w:val="20"/>
                <w:szCs w:val="20"/>
              </w:rPr>
              <w:t>standards</w:t>
            </w:r>
            <w:r w:rsidRPr="00EA4EE5">
              <w:rPr>
                <w:rFonts w:ascii="Arial" w:hAnsi="Arial" w:cs="Arial"/>
                <w:sz w:val="20"/>
                <w:szCs w:val="20"/>
              </w:rPr>
              <w:t>, reporting requirements, and certification requirements.</w:t>
            </w:r>
          </w:p>
          <w:p w14:paraId="0DB16113" w14:textId="77777777" w:rsidR="00EA4EE5" w:rsidRPr="00EA4EE5" w:rsidRDefault="00EA4EE5" w:rsidP="00EA4EE5">
            <w:pPr>
              <w:keepNext/>
              <w:widowControl/>
              <w:numPr>
                <w:ilvl w:val="0"/>
                <w:numId w:val="8"/>
              </w:numPr>
              <w:tabs>
                <w:tab w:val="left" w:pos="720"/>
              </w:tabs>
              <w:autoSpaceDE/>
              <w:autoSpaceDN/>
              <w:adjustRightInd/>
              <w:spacing w:afterLines="20" w:after="48"/>
              <w:rPr>
                <w:rFonts w:ascii="Arial" w:hAnsi="Arial" w:cs="Arial"/>
                <w:sz w:val="20"/>
                <w:szCs w:val="20"/>
              </w:rPr>
            </w:pPr>
            <w:r w:rsidRPr="00EA4EE5">
              <w:rPr>
                <w:rFonts w:ascii="Arial" w:hAnsi="Arial" w:cs="Arial"/>
                <w:sz w:val="20"/>
                <w:szCs w:val="20"/>
              </w:rPr>
              <w:t>Inspects or reviews self-monitoring reports from IUs.</w:t>
            </w:r>
          </w:p>
          <w:p w14:paraId="68E5D810" w14:textId="77777777" w:rsidR="00EA4EE5" w:rsidRPr="00EA4EE5" w:rsidRDefault="00EA4EE5" w:rsidP="00EA4EE5">
            <w:pPr>
              <w:widowControl/>
              <w:numPr>
                <w:ilvl w:val="0"/>
                <w:numId w:val="8"/>
              </w:numPr>
              <w:tabs>
                <w:tab w:val="left" w:pos="720"/>
              </w:tabs>
              <w:autoSpaceDE/>
              <w:autoSpaceDN/>
              <w:adjustRightInd/>
              <w:spacing w:after="40"/>
              <w:rPr>
                <w:rFonts w:ascii="Arial" w:hAnsi="Arial" w:cs="Arial"/>
                <w:sz w:val="20"/>
                <w:szCs w:val="20"/>
              </w:rPr>
            </w:pPr>
            <w:r w:rsidRPr="00EA4EE5">
              <w:rPr>
                <w:rFonts w:ascii="Arial" w:hAnsi="Arial" w:cs="Arial"/>
                <w:sz w:val="20"/>
                <w:szCs w:val="20"/>
              </w:rPr>
              <w:t>Enforces against noncomplying IUs.</w:t>
            </w:r>
          </w:p>
        </w:tc>
      </w:tr>
      <w:tr w:rsidR="003F265F" w:rsidRPr="00EA4EE5" w14:paraId="12FBF903" w14:textId="77777777" w:rsidTr="000959D8">
        <w:trPr>
          <w:cantSplit/>
        </w:trPr>
        <w:tc>
          <w:tcPr>
            <w:tcW w:w="9360" w:type="dxa"/>
            <w:tcBorders>
              <w:top w:val="single" w:sz="6" w:space="0" w:color="000000"/>
              <w:left w:val="single" w:sz="6" w:space="0" w:color="000000"/>
              <w:bottom w:val="single" w:sz="6" w:space="0" w:color="000000"/>
              <w:right w:val="single" w:sz="6" w:space="0" w:color="000000"/>
            </w:tcBorders>
          </w:tcPr>
          <w:p w14:paraId="3832E15A" w14:textId="77777777" w:rsidR="003F265F" w:rsidRPr="00EA4EE5" w:rsidRDefault="003F265F" w:rsidP="00EA4EE5">
            <w:pPr>
              <w:keepNext/>
              <w:widowControl/>
              <w:numPr>
                <w:ilvl w:val="12"/>
                <w:numId w:val="0"/>
              </w:numPr>
              <w:autoSpaceDE/>
              <w:autoSpaceDN/>
              <w:adjustRightInd/>
              <w:spacing w:before="40"/>
              <w:jc w:val="center"/>
              <w:rPr>
                <w:rFonts w:ascii="Arial" w:hAnsi="Arial" w:cs="Arial"/>
                <w:b/>
                <w:bCs/>
                <w:sz w:val="20"/>
                <w:szCs w:val="20"/>
              </w:rPr>
            </w:pPr>
          </w:p>
        </w:tc>
      </w:tr>
    </w:tbl>
    <w:p w14:paraId="6A34599A" w14:textId="77777777" w:rsidR="00EA4EE5" w:rsidRPr="00EA4EE5" w:rsidRDefault="00EA4EE5" w:rsidP="00EA4EE5">
      <w:pPr>
        <w:widowControl/>
        <w:numPr>
          <w:ilvl w:val="12"/>
          <w:numId w:val="0"/>
        </w:numPr>
        <w:autoSpaceDE/>
        <w:autoSpaceDN/>
        <w:adjustRightInd/>
      </w:pPr>
    </w:p>
    <w:p w14:paraId="00DBD285" w14:textId="4D278885" w:rsidR="00EA4EE5" w:rsidRPr="00EA4EE5" w:rsidRDefault="003F265F" w:rsidP="00EA4EE5">
      <w:pPr>
        <w:widowControl/>
        <w:numPr>
          <w:ilvl w:val="12"/>
          <w:numId w:val="0"/>
        </w:num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spacing w:after="15"/>
      </w:pPr>
      <w:r w:rsidRPr="003F265F">
        <w:t>The monitoring, recordkeeping, and reporting requirements for these three types of pretreatment standards (general, specific, and local limits) are explained in more detail in Appendix A.</w:t>
      </w:r>
    </w:p>
    <w:p w14:paraId="62EA2A46" w14:textId="1FDAE5D4" w:rsidR="007D1395" w:rsidRPr="007D1395" w:rsidRDefault="007D1395" w:rsidP="007D1395">
      <w:pPr>
        <w:widowControl/>
        <w:numPr>
          <w:ilvl w:val="12"/>
          <w:numId w:val="0"/>
        </w:num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spacing w:after="15"/>
      </w:pPr>
      <w:r w:rsidRPr="007D1395">
        <w:t xml:space="preserve">In general, EPA, states, and POTWs use the information collected under the National Pretreatment Program for program development and implementation purposes. </w:t>
      </w:r>
      <w:r w:rsidR="00953D0B">
        <w:t>Table</w:t>
      </w:r>
      <w:r w:rsidRPr="007D1395">
        <w:t xml:space="preserve">s </w:t>
      </w:r>
      <w:r w:rsidR="003012E5">
        <w:t>2.</w:t>
      </w:r>
      <w:r w:rsidRPr="007D1395">
        <w:t>3</w:t>
      </w:r>
      <w:r>
        <w:t xml:space="preserve"> through </w:t>
      </w:r>
      <w:r w:rsidR="003012E5">
        <w:t>2.</w:t>
      </w:r>
      <w:r w:rsidR="00953D0B">
        <w:t>5</w:t>
      </w:r>
      <w:r w:rsidRPr="007D1395">
        <w:t xml:space="preserve"> summarize the information collected by type and indicate how and by whom the </w:t>
      </w:r>
      <w:r w:rsidRPr="007D1395">
        <w:lastRenderedPageBreak/>
        <w:t xml:space="preserve">information is used. Users of </w:t>
      </w:r>
      <w:smartTag w:uri="urn:schemas-microsoft-com:office:smarttags" w:element="PersonName">
        <w:r w:rsidRPr="007D1395">
          <w:t>the</w:t>
        </w:r>
      </w:smartTag>
      <w:r w:rsidRPr="007D1395">
        <w:t xml:space="preserve"> information include oversight authorities, approval authorities, control authorities, POTWs, IUs, and </w:t>
      </w:r>
      <w:smartTag w:uri="urn:schemas-microsoft-com:office:smarttags" w:element="PersonName">
        <w:r w:rsidRPr="007D1395">
          <w:t>the</w:t>
        </w:r>
      </w:smartTag>
      <w:r w:rsidRPr="007D1395">
        <w:t xml:space="preserve"> public.</w:t>
      </w:r>
    </w:p>
    <w:p w14:paraId="4C64AC4D" w14:textId="77777777" w:rsidR="007D1395" w:rsidRPr="007D1395" w:rsidRDefault="007D1395" w:rsidP="007D1395">
      <w:pPr>
        <w:widowControl/>
        <w:numPr>
          <w:ilvl w:val="12"/>
          <w:numId w:val="0"/>
        </w:num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spacing w:after="15"/>
      </w:pPr>
    </w:p>
    <w:p w14:paraId="74BF36D9" w14:textId="3D68ED05" w:rsidR="005D0A80" w:rsidRPr="00F25DE1" w:rsidRDefault="000959D8" w:rsidP="000959D8">
      <w:pPr>
        <w:pStyle w:val="Caption"/>
        <w:keepNext/>
      </w:pPr>
      <w:r w:rsidRPr="00F25DE1">
        <w:t xml:space="preserve">Table </w:t>
      </w:r>
      <w:r>
        <w:t>2.3</w:t>
      </w:r>
      <w:r w:rsidRPr="00F25DE1">
        <w:rPr>
          <w:rFonts w:ascii="Arial" w:hAnsi="Arial" w:cs="Arial"/>
          <w:bCs w:val="0"/>
          <w:sz w:val="20"/>
        </w:rPr>
        <w:t xml:space="preserve"> </w:t>
      </w:r>
      <w:r>
        <w:rPr>
          <w:rFonts w:ascii="Arial" w:hAnsi="Arial" w:cs="Arial"/>
          <w:bCs w:val="0"/>
          <w:sz w:val="20"/>
        </w:rPr>
        <w:t>Uses</w:t>
      </w:r>
      <w:r w:rsidR="005D0A80" w:rsidRPr="00F25DE1">
        <w:rPr>
          <w:rFonts w:ascii="Arial" w:hAnsi="Arial" w:cs="Arial"/>
          <w:bCs w:val="0"/>
          <w:sz w:val="20"/>
        </w:rPr>
        <w:t xml:space="preserve"> of data collected for program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7"/>
        <w:gridCol w:w="816"/>
        <w:gridCol w:w="893"/>
        <w:gridCol w:w="1252"/>
        <w:gridCol w:w="3862"/>
      </w:tblGrid>
      <w:tr w:rsidR="007D1395" w:rsidRPr="007D1395" w14:paraId="528A9D9C" w14:textId="77777777" w:rsidTr="000959D8">
        <w:trPr>
          <w:tblHeader/>
        </w:trPr>
        <w:tc>
          <w:tcPr>
            <w:tcW w:w="2527" w:type="dxa"/>
            <w:shd w:val="clear" w:color="auto" w:fill="D9D9D9"/>
          </w:tcPr>
          <w:p w14:paraId="3350E547" w14:textId="77777777" w:rsidR="007D1395" w:rsidRPr="007D1395" w:rsidRDefault="007D1395" w:rsidP="007D1395">
            <w:pPr>
              <w:widowControl/>
              <w:autoSpaceDE/>
              <w:autoSpaceDN/>
              <w:adjustRightInd/>
              <w:spacing w:beforeLines="40" w:before="96" w:afterLines="40" w:after="96"/>
              <w:jc w:val="center"/>
              <w:rPr>
                <w:rFonts w:ascii="Arial" w:hAnsi="Arial" w:cs="Arial"/>
                <w:b/>
                <w:sz w:val="20"/>
                <w:szCs w:val="20"/>
              </w:rPr>
            </w:pPr>
            <w:r w:rsidRPr="007D1395">
              <w:rPr>
                <w:rFonts w:ascii="Arial" w:hAnsi="Arial" w:cs="Arial"/>
                <w:b/>
                <w:sz w:val="20"/>
                <w:szCs w:val="20"/>
              </w:rPr>
              <w:t>Type of Data Collected</w:t>
            </w:r>
          </w:p>
        </w:tc>
        <w:tc>
          <w:tcPr>
            <w:tcW w:w="816" w:type="dxa"/>
            <w:shd w:val="clear" w:color="auto" w:fill="D9D9D9"/>
          </w:tcPr>
          <w:p w14:paraId="4178B573" w14:textId="77777777" w:rsidR="007D1395" w:rsidRPr="007D1395" w:rsidRDefault="007D1395" w:rsidP="007D1395">
            <w:pPr>
              <w:widowControl/>
              <w:autoSpaceDE/>
              <w:autoSpaceDN/>
              <w:adjustRightInd/>
              <w:spacing w:beforeLines="40" w:before="96" w:afterLines="40" w:after="96"/>
              <w:jc w:val="center"/>
              <w:rPr>
                <w:rFonts w:ascii="Arial" w:hAnsi="Arial" w:cs="Arial"/>
                <w:b/>
                <w:sz w:val="20"/>
                <w:szCs w:val="20"/>
              </w:rPr>
            </w:pPr>
            <w:r w:rsidRPr="007D1395">
              <w:rPr>
                <w:rFonts w:ascii="Arial" w:hAnsi="Arial" w:cs="Arial"/>
                <w:b/>
                <w:sz w:val="20"/>
                <w:szCs w:val="20"/>
              </w:rPr>
              <w:t>From</w:t>
            </w:r>
          </w:p>
        </w:tc>
        <w:tc>
          <w:tcPr>
            <w:tcW w:w="893" w:type="dxa"/>
            <w:shd w:val="clear" w:color="auto" w:fill="D9D9D9"/>
          </w:tcPr>
          <w:p w14:paraId="4ED5E2C1" w14:textId="77777777" w:rsidR="007D1395" w:rsidRPr="007D1395" w:rsidRDefault="007D1395" w:rsidP="007D1395">
            <w:pPr>
              <w:widowControl/>
              <w:autoSpaceDE/>
              <w:autoSpaceDN/>
              <w:adjustRightInd/>
              <w:spacing w:beforeLines="40" w:before="96" w:afterLines="40" w:after="96"/>
              <w:jc w:val="center"/>
              <w:rPr>
                <w:rFonts w:ascii="Arial" w:hAnsi="Arial" w:cs="Arial"/>
                <w:b/>
                <w:sz w:val="20"/>
                <w:szCs w:val="20"/>
              </w:rPr>
            </w:pPr>
            <w:r w:rsidRPr="007D1395">
              <w:rPr>
                <w:rFonts w:ascii="Arial" w:hAnsi="Arial" w:cs="Arial"/>
                <w:b/>
                <w:sz w:val="20"/>
                <w:szCs w:val="20"/>
              </w:rPr>
              <w:t>To</w:t>
            </w:r>
          </w:p>
        </w:tc>
        <w:tc>
          <w:tcPr>
            <w:tcW w:w="1252" w:type="dxa"/>
            <w:shd w:val="clear" w:color="auto" w:fill="D9D9D9"/>
          </w:tcPr>
          <w:p w14:paraId="7E68E81E" w14:textId="77777777" w:rsidR="007D1395" w:rsidRPr="007D1395" w:rsidRDefault="007D1395" w:rsidP="007D1395">
            <w:pPr>
              <w:widowControl/>
              <w:autoSpaceDE/>
              <w:autoSpaceDN/>
              <w:adjustRightInd/>
              <w:spacing w:beforeLines="40" w:before="96" w:afterLines="40" w:after="96"/>
              <w:jc w:val="center"/>
              <w:rPr>
                <w:rFonts w:ascii="Arial" w:hAnsi="Arial" w:cs="Arial"/>
                <w:b/>
                <w:sz w:val="20"/>
                <w:szCs w:val="20"/>
              </w:rPr>
            </w:pPr>
            <w:r w:rsidRPr="007D1395">
              <w:rPr>
                <w:rFonts w:ascii="Arial" w:hAnsi="Arial" w:cs="Arial"/>
                <w:b/>
                <w:sz w:val="20"/>
                <w:szCs w:val="20"/>
              </w:rPr>
              <w:t>Authority/ Citation (40 CFR)</w:t>
            </w:r>
          </w:p>
        </w:tc>
        <w:tc>
          <w:tcPr>
            <w:tcW w:w="3862" w:type="dxa"/>
            <w:shd w:val="clear" w:color="auto" w:fill="D9D9D9"/>
          </w:tcPr>
          <w:p w14:paraId="199DB738" w14:textId="77777777" w:rsidR="007D1395" w:rsidRPr="007D1395" w:rsidRDefault="007D1395" w:rsidP="007D1395">
            <w:pPr>
              <w:widowControl/>
              <w:autoSpaceDE/>
              <w:autoSpaceDN/>
              <w:adjustRightInd/>
              <w:spacing w:beforeLines="40" w:before="96" w:afterLines="40" w:after="96"/>
              <w:jc w:val="center"/>
              <w:rPr>
                <w:rFonts w:ascii="Arial" w:hAnsi="Arial" w:cs="Arial"/>
                <w:b/>
                <w:sz w:val="20"/>
                <w:szCs w:val="20"/>
              </w:rPr>
            </w:pPr>
            <w:r w:rsidRPr="007D1395">
              <w:rPr>
                <w:rFonts w:ascii="Arial" w:hAnsi="Arial" w:cs="Arial"/>
                <w:b/>
                <w:sz w:val="20"/>
                <w:szCs w:val="20"/>
              </w:rPr>
              <w:t xml:space="preserve">Uses of </w:t>
            </w:r>
            <w:smartTag w:uri="urn:schemas-microsoft-com:office:smarttags" w:element="PersonName">
              <w:r w:rsidRPr="007D1395">
                <w:rPr>
                  <w:rFonts w:ascii="Arial" w:hAnsi="Arial" w:cs="Arial"/>
                  <w:b/>
                  <w:sz w:val="20"/>
                  <w:szCs w:val="20"/>
                </w:rPr>
                <w:t>the</w:t>
              </w:r>
            </w:smartTag>
            <w:r w:rsidRPr="007D1395">
              <w:rPr>
                <w:rFonts w:ascii="Arial" w:hAnsi="Arial" w:cs="Arial"/>
                <w:b/>
                <w:sz w:val="20"/>
                <w:szCs w:val="20"/>
              </w:rPr>
              <w:t xml:space="preserve"> Data</w:t>
            </w:r>
          </w:p>
        </w:tc>
      </w:tr>
      <w:tr w:rsidR="007D1395" w:rsidRPr="007D1395" w14:paraId="2D6EF4F1" w14:textId="77777777" w:rsidTr="000959D8">
        <w:tc>
          <w:tcPr>
            <w:tcW w:w="2527" w:type="dxa"/>
          </w:tcPr>
          <w:p w14:paraId="2ACD4157" w14:textId="77777777" w:rsidR="007D1395" w:rsidRPr="007D1395" w:rsidRDefault="007D1395" w:rsidP="007D1395">
            <w:pPr>
              <w:widowControl/>
              <w:autoSpaceDE/>
              <w:autoSpaceDN/>
              <w:adjustRightInd/>
              <w:spacing w:beforeLines="40" w:before="96" w:afterLines="40" w:after="96"/>
              <w:rPr>
                <w:rFonts w:ascii="Arial" w:hAnsi="Arial" w:cs="Arial"/>
                <w:sz w:val="20"/>
                <w:szCs w:val="20"/>
              </w:rPr>
            </w:pPr>
            <w:r w:rsidRPr="007D1395">
              <w:rPr>
                <w:rFonts w:ascii="Arial" w:hAnsi="Arial" w:cs="Arial"/>
                <w:sz w:val="20"/>
                <w:szCs w:val="20"/>
              </w:rPr>
              <w:t>State pretreatment program approval request</w:t>
            </w:r>
          </w:p>
        </w:tc>
        <w:tc>
          <w:tcPr>
            <w:tcW w:w="816" w:type="dxa"/>
          </w:tcPr>
          <w:p w14:paraId="1F506E04" w14:textId="77777777" w:rsidR="007D1395" w:rsidRPr="007D1395" w:rsidRDefault="007D1395" w:rsidP="007D1395">
            <w:pPr>
              <w:widowControl/>
              <w:autoSpaceDE/>
              <w:autoSpaceDN/>
              <w:adjustRightInd/>
              <w:spacing w:beforeLines="40" w:before="96" w:afterLines="40" w:after="96"/>
              <w:jc w:val="center"/>
              <w:rPr>
                <w:rFonts w:ascii="Arial" w:hAnsi="Arial" w:cs="Arial"/>
                <w:sz w:val="20"/>
                <w:szCs w:val="20"/>
              </w:rPr>
            </w:pPr>
            <w:r w:rsidRPr="007D1395">
              <w:rPr>
                <w:rFonts w:ascii="Arial" w:hAnsi="Arial" w:cs="Arial"/>
                <w:sz w:val="20"/>
                <w:szCs w:val="20"/>
              </w:rPr>
              <w:t>State</w:t>
            </w:r>
          </w:p>
        </w:tc>
        <w:tc>
          <w:tcPr>
            <w:tcW w:w="893" w:type="dxa"/>
          </w:tcPr>
          <w:p w14:paraId="6B9946E6" w14:textId="77777777" w:rsidR="007D1395" w:rsidRPr="007D1395" w:rsidRDefault="007D1395" w:rsidP="007D1395">
            <w:pPr>
              <w:widowControl/>
              <w:autoSpaceDE/>
              <w:autoSpaceDN/>
              <w:adjustRightInd/>
              <w:spacing w:beforeLines="40" w:before="96" w:afterLines="40" w:after="96"/>
              <w:jc w:val="center"/>
              <w:rPr>
                <w:rFonts w:ascii="Arial" w:hAnsi="Arial" w:cs="Arial"/>
                <w:sz w:val="20"/>
                <w:szCs w:val="20"/>
              </w:rPr>
            </w:pPr>
            <w:r w:rsidRPr="007D1395">
              <w:rPr>
                <w:rFonts w:ascii="Arial" w:hAnsi="Arial" w:cs="Arial"/>
                <w:sz w:val="20"/>
                <w:szCs w:val="20"/>
              </w:rPr>
              <w:t>OA</w:t>
            </w:r>
          </w:p>
        </w:tc>
        <w:tc>
          <w:tcPr>
            <w:tcW w:w="1252" w:type="dxa"/>
          </w:tcPr>
          <w:p w14:paraId="7241CF47" w14:textId="77777777" w:rsidR="007D1395" w:rsidRPr="007D1395" w:rsidRDefault="007D1395" w:rsidP="007D1395">
            <w:pPr>
              <w:widowControl/>
              <w:autoSpaceDE/>
              <w:autoSpaceDN/>
              <w:adjustRightInd/>
              <w:spacing w:beforeLines="40" w:before="96" w:afterLines="40" w:after="96"/>
              <w:jc w:val="center"/>
              <w:rPr>
                <w:rFonts w:ascii="Arial" w:hAnsi="Arial" w:cs="Arial"/>
                <w:sz w:val="20"/>
                <w:szCs w:val="20"/>
              </w:rPr>
            </w:pPr>
            <w:r w:rsidRPr="007D1395">
              <w:rPr>
                <w:rFonts w:ascii="Arial" w:hAnsi="Arial" w:cs="Arial"/>
                <w:sz w:val="20"/>
                <w:szCs w:val="20"/>
              </w:rPr>
              <w:t>403.10</w:t>
            </w:r>
          </w:p>
        </w:tc>
        <w:tc>
          <w:tcPr>
            <w:tcW w:w="3862" w:type="dxa"/>
          </w:tcPr>
          <w:p w14:paraId="61B9BC05" w14:textId="77777777" w:rsidR="007D1395" w:rsidRPr="007D1395" w:rsidRDefault="007D1395" w:rsidP="007D1395">
            <w:pPr>
              <w:widowControl/>
              <w:autoSpaceDE/>
              <w:autoSpaceDN/>
              <w:adjustRightInd/>
              <w:spacing w:beforeLines="40" w:before="96" w:afterLines="40" w:after="96"/>
              <w:rPr>
                <w:rFonts w:ascii="Arial" w:hAnsi="Arial" w:cs="Arial"/>
                <w:sz w:val="20"/>
                <w:szCs w:val="20"/>
              </w:rPr>
            </w:pPr>
            <w:r w:rsidRPr="007D1395">
              <w:rPr>
                <w:rFonts w:ascii="Arial" w:hAnsi="Arial" w:cs="Arial"/>
                <w:sz w:val="20"/>
                <w:szCs w:val="20"/>
              </w:rPr>
              <w:t xml:space="preserve">To evaluate </w:t>
            </w:r>
            <w:smartTag w:uri="urn:schemas-microsoft-com:office:smarttags" w:element="PersonName">
              <w:r w:rsidRPr="007D1395">
                <w:rPr>
                  <w:rFonts w:ascii="Arial" w:hAnsi="Arial" w:cs="Arial"/>
                  <w:sz w:val="20"/>
                  <w:szCs w:val="20"/>
                </w:rPr>
                <w:t>the</w:t>
              </w:r>
            </w:smartTag>
            <w:r w:rsidRPr="007D1395">
              <w:rPr>
                <w:rFonts w:ascii="Arial" w:hAnsi="Arial" w:cs="Arial"/>
                <w:sz w:val="20"/>
                <w:szCs w:val="20"/>
              </w:rPr>
              <w:t xml:space="preserve"> adequacy of </w:t>
            </w:r>
            <w:smartTag w:uri="urn:schemas-microsoft-com:office:smarttags" w:element="PersonName">
              <w:r w:rsidRPr="007D1395">
                <w:rPr>
                  <w:rFonts w:ascii="Arial" w:hAnsi="Arial" w:cs="Arial"/>
                  <w:sz w:val="20"/>
                  <w:szCs w:val="20"/>
                </w:rPr>
                <w:t>the</w:t>
              </w:r>
            </w:smartTag>
            <w:r w:rsidRPr="007D1395">
              <w:rPr>
                <w:rFonts w:ascii="Arial" w:hAnsi="Arial" w:cs="Arial"/>
                <w:sz w:val="20"/>
                <w:szCs w:val="20"/>
              </w:rPr>
              <w:t xml:space="preserve"> state’s pretreatment program in terms of legal authority, procedural requirements, and appropriate staff and funding</w:t>
            </w:r>
          </w:p>
        </w:tc>
      </w:tr>
      <w:tr w:rsidR="007D1395" w:rsidRPr="007D1395" w14:paraId="7B111528" w14:textId="77777777" w:rsidTr="000959D8">
        <w:tc>
          <w:tcPr>
            <w:tcW w:w="2527" w:type="dxa"/>
          </w:tcPr>
          <w:p w14:paraId="14B79553" w14:textId="77777777" w:rsidR="007D1395" w:rsidRPr="007D1395" w:rsidRDefault="007D1395" w:rsidP="007D1395">
            <w:pPr>
              <w:widowControl/>
              <w:autoSpaceDE/>
              <w:autoSpaceDN/>
              <w:adjustRightInd/>
              <w:spacing w:before="40" w:after="40"/>
              <w:rPr>
                <w:rFonts w:ascii="Arial" w:hAnsi="Arial" w:cs="Arial"/>
                <w:sz w:val="20"/>
                <w:szCs w:val="20"/>
              </w:rPr>
            </w:pPr>
            <w:r w:rsidRPr="007D1395">
              <w:rPr>
                <w:rFonts w:ascii="Arial" w:hAnsi="Arial" w:cs="Arial"/>
                <w:sz w:val="20"/>
                <w:szCs w:val="20"/>
              </w:rPr>
              <w:t>POTW pretreatment compliance schedule progress report</w:t>
            </w:r>
          </w:p>
        </w:tc>
        <w:tc>
          <w:tcPr>
            <w:tcW w:w="816" w:type="dxa"/>
          </w:tcPr>
          <w:p w14:paraId="61E84779" w14:textId="77777777" w:rsidR="007D1395" w:rsidRPr="007D1395" w:rsidRDefault="007D1395" w:rsidP="007D1395">
            <w:pPr>
              <w:widowControl/>
              <w:autoSpaceDE/>
              <w:autoSpaceDN/>
              <w:adjustRightInd/>
              <w:spacing w:before="40" w:after="40"/>
              <w:jc w:val="center"/>
              <w:rPr>
                <w:rFonts w:ascii="Arial" w:hAnsi="Arial" w:cs="Arial"/>
                <w:sz w:val="20"/>
                <w:szCs w:val="20"/>
              </w:rPr>
            </w:pPr>
            <w:r w:rsidRPr="007D1395">
              <w:rPr>
                <w:rFonts w:ascii="Arial" w:hAnsi="Arial" w:cs="Arial"/>
                <w:sz w:val="20"/>
                <w:szCs w:val="20"/>
              </w:rPr>
              <w:t>POTW</w:t>
            </w:r>
          </w:p>
        </w:tc>
        <w:tc>
          <w:tcPr>
            <w:tcW w:w="893" w:type="dxa"/>
          </w:tcPr>
          <w:p w14:paraId="270AE13F" w14:textId="77777777" w:rsidR="007D1395" w:rsidRPr="007D1395" w:rsidRDefault="007D1395" w:rsidP="007D1395">
            <w:pPr>
              <w:widowControl/>
              <w:autoSpaceDE/>
              <w:autoSpaceDN/>
              <w:adjustRightInd/>
              <w:spacing w:before="40" w:after="40"/>
              <w:jc w:val="center"/>
              <w:rPr>
                <w:rFonts w:ascii="Arial" w:hAnsi="Arial" w:cs="Arial"/>
                <w:sz w:val="20"/>
                <w:szCs w:val="20"/>
              </w:rPr>
            </w:pPr>
            <w:r w:rsidRPr="007D1395">
              <w:rPr>
                <w:rFonts w:ascii="Arial" w:hAnsi="Arial" w:cs="Arial"/>
                <w:sz w:val="20"/>
                <w:szCs w:val="20"/>
              </w:rPr>
              <w:t>AA</w:t>
            </w:r>
          </w:p>
        </w:tc>
        <w:tc>
          <w:tcPr>
            <w:tcW w:w="1252" w:type="dxa"/>
          </w:tcPr>
          <w:p w14:paraId="67700421" w14:textId="77777777" w:rsidR="007D1395" w:rsidRPr="007D1395" w:rsidRDefault="007D1395" w:rsidP="007D1395">
            <w:pPr>
              <w:widowControl/>
              <w:autoSpaceDE/>
              <w:autoSpaceDN/>
              <w:adjustRightInd/>
              <w:spacing w:before="40" w:after="40"/>
              <w:jc w:val="center"/>
              <w:rPr>
                <w:rFonts w:ascii="Arial" w:hAnsi="Arial" w:cs="Arial"/>
                <w:sz w:val="20"/>
                <w:szCs w:val="20"/>
              </w:rPr>
            </w:pPr>
            <w:r w:rsidRPr="007D1395">
              <w:rPr>
                <w:rFonts w:ascii="Arial" w:hAnsi="Arial" w:cs="Arial"/>
                <w:sz w:val="20"/>
                <w:szCs w:val="20"/>
              </w:rPr>
              <w:t>403.8, 403.9, 403.12(k)</w:t>
            </w:r>
          </w:p>
        </w:tc>
        <w:tc>
          <w:tcPr>
            <w:tcW w:w="3862" w:type="dxa"/>
          </w:tcPr>
          <w:p w14:paraId="4F5B4273" w14:textId="77777777" w:rsidR="007D1395" w:rsidRPr="007D1395" w:rsidRDefault="007D1395" w:rsidP="007D1395">
            <w:pPr>
              <w:widowControl/>
              <w:autoSpaceDE/>
              <w:autoSpaceDN/>
              <w:adjustRightInd/>
              <w:spacing w:before="40" w:after="40"/>
              <w:rPr>
                <w:rFonts w:ascii="Arial" w:hAnsi="Arial" w:cs="Arial"/>
                <w:sz w:val="20"/>
                <w:szCs w:val="20"/>
              </w:rPr>
            </w:pPr>
            <w:r w:rsidRPr="007D1395">
              <w:rPr>
                <w:rFonts w:ascii="Arial" w:hAnsi="Arial" w:cs="Arial"/>
                <w:sz w:val="20"/>
                <w:szCs w:val="20"/>
              </w:rPr>
              <w:t xml:space="preserve">To determine whether </w:t>
            </w:r>
            <w:smartTag w:uri="urn:schemas-microsoft-com:office:smarttags" w:element="PersonName">
              <w:r w:rsidRPr="007D1395">
                <w:rPr>
                  <w:rFonts w:ascii="Arial" w:hAnsi="Arial" w:cs="Arial"/>
                  <w:sz w:val="20"/>
                  <w:szCs w:val="20"/>
                </w:rPr>
                <w:t>the</w:t>
              </w:r>
            </w:smartTag>
            <w:r w:rsidRPr="007D1395">
              <w:rPr>
                <w:rFonts w:ascii="Arial" w:hAnsi="Arial" w:cs="Arial"/>
                <w:sz w:val="20"/>
                <w:szCs w:val="20"/>
              </w:rPr>
              <w:t xml:space="preserve"> POTW is on schedule in developing its program so that </w:t>
            </w:r>
            <w:smartTag w:uri="urn:schemas-microsoft-com:office:smarttags" w:element="PersonName">
              <w:r w:rsidRPr="007D1395">
                <w:rPr>
                  <w:rFonts w:ascii="Arial" w:hAnsi="Arial" w:cs="Arial"/>
                  <w:sz w:val="20"/>
                  <w:szCs w:val="20"/>
                </w:rPr>
                <w:t>the</w:t>
              </w:r>
            </w:smartTag>
            <w:r w:rsidRPr="007D1395">
              <w:rPr>
                <w:rFonts w:ascii="Arial" w:hAnsi="Arial" w:cs="Arial"/>
                <w:sz w:val="20"/>
                <w:szCs w:val="20"/>
              </w:rPr>
              <w:t xml:space="preserve"> AA can provide assistance or take enforcement action, if necessary</w:t>
            </w:r>
          </w:p>
        </w:tc>
      </w:tr>
      <w:tr w:rsidR="007D1395" w:rsidRPr="007D1395" w14:paraId="26437A1B" w14:textId="77777777" w:rsidTr="000959D8">
        <w:tc>
          <w:tcPr>
            <w:tcW w:w="2527" w:type="dxa"/>
          </w:tcPr>
          <w:p w14:paraId="5965A880" w14:textId="77777777" w:rsidR="007D1395" w:rsidRPr="007D1395" w:rsidRDefault="007D1395" w:rsidP="007D1395">
            <w:pPr>
              <w:widowControl/>
              <w:autoSpaceDE/>
              <w:autoSpaceDN/>
              <w:adjustRightInd/>
              <w:spacing w:before="40" w:after="40"/>
              <w:rPr>
                <w:rFonts w:ascii="Arial" w:hAnsi="Arial" w:cs="Arial"/>
                <w:sz w:val="20"/>
                <w:szCs w:val="20"/>
              </w:rPr>
            </w:pPr>
            <w:r w:rsidRPr="007D1395">
              <w:rPr>
                <w:rFonts w:ascii="Arial" w:hAnsi="Arial" w:cs="Arial"/>
                <w:sz w:val="20"/>
                <w:szCs w:val="20"/>
              </w:rPr>
              <w:t>POTW pretreatment program approval request</w:t>
            </w:r>
          </w:p>
        </w:tc>
        <w:tc>
          <w:tcPr>
            <w:tcW w:w="816" w:type="dxa"/>
          </w:tcPr>
          <w:p w14:paraId="2BFE11D7" w14:textId="77777777" w:rsidR="007D1395" w:rsidRPr="007D1395" w:rsidRDefault="007D1395" w:rsidP="007D1395">
            <w:pPr>
              <w:widowControl/>
              <w:autoSpaceDE/>
              <w:autoSpaceDN/>
              <w:adjustRightInd/>
              <w:spacing w:before="40" w:after="40"/>
              <w:jc w:val="center"/>
              <w:rPr>
                <w:rFonts w:ascii="Arial" w:hAnsi="Arial" w:cs="Arial"/>
                <w:sz w:val="20"/>
                <w:szCs w:val="20"/>
              </w:rPr>
            </w:pPr>
            <w:r w:rsidRPr="007D1395">
              <w:rPr>
                <w:rFonts w:ascii="Arial" w:hAnsi="Arial" w:cs="Arial"/>
                <w:sz w:val="20"/>
                <w:szCs w:val="20"/>
              </w:rPr>
              <w:t>POTW</w:t>
            </w:r>
          </w:p>
        </w:tc>
        <w:tc>
          <w:tcPr>
            <w:tcW w:w="893" w:type="dxa"/>
          </w:tcPr>
          <w:p w14:paraId="4CFF28B1" w14:textId="77777777" w:rsidR="007D1395" w:rsidRPr="007D1395" w:rsidRDefault="007D1395" w:rsidP="007D1395">
            <w:pPr>
              <w:widowControl/>
              <w:autoSpaceDE/>
              <w:autoSpaceDN/>
              <w:adjustRightInd/>
              <w:spacing w:before="40" w:after="40"/>
              <w:jc w:val="center"/>
              <w:rPr>
                <w:rFonts w:ascii="Arial" w:hAnsi="Arial" w:cs="Arial"/>
                <w:sz w:val="20"/>
                <w:szCs w:val="20"/>
              </w:rPr>
            </w:pPr>
            <w:r w:rsidRPr="007D1395">
              <w:rPr>
                <w:rFonts w:ascii="Arial" w:hAnsi="Arial" w:cs="Arial"/>
                <w:sz w:val="20"/>
                <w:szCs w:val="20"/>
              </w:rPr>
              <w:t>AA</w:t>
            </w:r>
          </w:p>
        </w:tc>
        <w:tc>
          <w:tcPr>
            <w:tcW w:w="1252" w:type="dxa"/>
          </w:tcPr>
          <w:p w14:paraId="73C8E1FE" w14:textId="77777777" w:rsidR="007D1395" w:rsidRPr="007D1395" w:rsidRDefault="007D1395" w:rsidP="007D1395">
            <w:pPr>
              <w:widowControl/>
              <w:autoSpaceDE/>
              <w:autoSpaceDN/>
              <w:adjustRightInd/>
              <w:spacing w:before="40" w:after="40"/>
              <w:jc w:val="center"/>
              <w:rPr>
                <w:rFonts w:ascii="Arial" w:hAnsi="Arial" w:cs="Arial"/>
                <w:sz w:val="20"/>
                <w:szCs w:val="20"/>
              </w:rPr>
            </w:pPr>
            <w:r w:rsidRPr="007D1395">
              <w:rPr>
                <w:rFonts w:ascii="Arial" w:hAnsi="Arial" w:cs="Arial"/>
                <w:sz w:val="20"/>
                <w:szCs w:val="20"/>
              </w:rPr>
              <w:t>403.8(b), 403.9</w:t>
            </w:r>
          </w:p>
        </w:tc>
        <w:tc>
          <w:tcPr>
            <w:tcW w:w="3862" w:type="dxa"/>
          </w:tcPr>
          <w:p w14:paraId="7C92C95A" w14:textId="77777777" w:rsidR="007D1395" w:rsidRPr="007D1395" w:rsidRDefault="007D1395" w:rsidP="007D1395">
            <w:pPr>
              <w:widowControl/>
              <w:autoSpaceDE/>
              <w:autoSpaceDN/>
              <w:adjustRightInd/>
              <w:spacing w:before="40" w:after="40"/>
              <w:rPr>
                <w:rFonts w:ascii="Arial" w:hAnsi="Arial" w:cs="Arial"/>
                <w:sz w:val="20"/>
                <w:szCs w:val="20"/>
              </w:rPr>
            </w:pPr>
            <w:r w:rsidRPr="007D1395">
              <w:rPr>
                <w:rFonts w:ascii="Arial" w:hAnsi="Arial" w:cs="Arial"/>
                <w:sz w:val="20"/>
                <w:szCs w:val="20"/>
              </w:rPr>
              <w:t xml:space="preserve">To evaluate </w:t>
            </w:r>
            <w:smartTag w:uri="urn:schemas-microsoft-com:office:smarttags" w:element="PersonName">
              <w:r w:rsidRPr="007D1395">
                <w:rPr>
                  <w:rFonts w:ascii="Arial" w:hAnsi="Arial" w:cs="Arial"/>
                  <w:sz w:val="20"/>
                  <w:szCs w:val="20"/>
                </w:rPr>
                <w:t>the</w:t>
              </w:r>
            </w:smartTag>
            <w:r w:rsidRPr="007D1395">
              <w:rPr>
                <w:rFonts w:ascii="Arial" w:hAnsi="Arial" w:cs="Arial"/>
                <w:sz w:val="20"/>
                <w:szCs w:val="20"/>
              </w:rPr>
              <w:t xml:space="preserve"> adequacy of </w:t>
            </w:r>
            <w:smartTag w:uri="urn:schemas-microsoft-com:office:smarttags" w:element="PersonName">
              <w:r w:rsidRPr="007D1395">
                <w:rPr>
                  <w:rFonts w:ascii="Arial" w:hAnsi="Arial" w:cs="Arial"/>
                  <w:sz w:val="20"/>
                  <w:szCs w:val="20"/>
                </w:rPr>
                <w:t>the</w:t>
              </w:r>
            </w:smartTag>
            <w:r w:rsidRPr="007D1395">
              <w:rPr>
                <w:rFonts w:ascii="Arial" w:hAnsi="Arial" w:cs="Arial"/>
                <w:sz w:val="20"/>
                <w:szCs w:val="20"/>
              </w:rPr>
              <w:t xml:space="preserve"> POTW’s pretreatment program in terms of legal authority, justification of local limits, compliance monitoring, administrative procedures, and appropriate staff and funding</w:t>
            </w:r>
          </w:p>
        </w:tc>
      </w:tr>
      <w:tr w:rsidR="007D1395" w:rsidRPr="007D1395" w14:paraId="4E6BCA8D" w14:textId="77777777" w:rsidTr="000959D8">
        <w:tc>
          <w:tcPr>
            <w:tcW w:w="2527" w:type="dxa"/>
          </w:tcPr>
          <w:p w14:paraId="05B033C1" w14:textId="77777777" w:rsidR="007D1395" w:rsidRPr="007D1395" w:rsidRDefault="007D1395" w:rsidP="007D1395">
            <w:pPr>
              <w:widowControl/>
              <w:autoSpaceDE/>
              <w:autoSpaceDN/>
              <w:adjustRightInd/>
              <w:spacing w:before="40" w:after="40"/>
              <w:rPr>
                <w:rFonts w:ascii="Arial" w:hAnsi="Arial" w:cs="Arial"/>
                <w:sz w:val="20"/>
                <w:szCs w:val="20"/>
              </w:rPr>
            </w:pPr>
            <w:r w:rsidRPr="007D1395">
              <w:rPr>
                <w:rFonts w:ascii="Arial" w:hAnsi="Arial" w:cs="Arial"/>
                <w:sz w:val="20"/>
                <w:szCs w:val="20"/>
              </w:rPr>
              <w:t>Maintain pretreatment program information*</w:t>
            </w:r>
          </w:p>
        </w:tc>
        <w:tc>
          <w:tcPr>
            <w:tcW w:w="816" w:type="dxa"/>
          </w:tcPr>
          <w:p w14:paraId="53BE33B3" w14:textId="77777777" w:rsidR="007D1395" w:rsidRPr="007D1395" w:rsidRDefault="007D1395" w:rsidP="007D1395">
            <w:pPr>
              <w:widowControl/>
              <w:autoSpaceDE/>
              <w:autoSpaceDN/>
              <w:adjustRightInd/>
              <w:spacing w:before="40" w:after="40"/>
              <w:jc w:val="center"/>
              <w:rPr>
                <w:rFonts w:ascii="Arial" w:hAnsi="Arial" w:cs="Arial"/>
                <w:sz w:val="20"/>
                <w:szCs w:val="20"/>
              </w:rPr>
            </w:pPr>
            <w:r w:rsidRPr="007D1395">
              <w:rPr>
                <w:rFonts w:ascii="Arial" w:hAnsi="Arial" w:cs="Arial"/>
                <w:sz w:val="20"/>
                <w:szCs w:val="20"/>
              </w:rPr>
              <w:t>AA, OA, POTW</w:t>
            </w:r>
          </w:p>
        </w:tc>
        <w:tc>
          <w:tcPr>
            <w:tcW w:w="893" w:type="dxa"/>
          </w:tcPr>
          <w:p w14:paraId="42D249E5" w14:textId="77777777" w:rsidR="007D1395" w:rsidRPr="007D1395" w:rsidRDefault="007D1395" w:rsidP="007D1395">
            <w:pPr>
              <w:widowControl/>
              <w:autoSpaceDE/>
              <w:autoSpaceDN/>
              <w:adjustRightInd/>
              <w:spacing w:before="40" w:after="40"/>
              <w:jc w:val="center"/>
              <w:rPr>
                <w:rFonts w:ascii="Arial" w:hAnsi="Arial" w:cs="Arial"/>
                <w:sz w:val="20"/>
                <w:szCs w:val="20"/>
              </w:rPr>
            </w:pPr>
            <w:r w:rsidRPr="007D1395">
              <w:rPr>
                <w:rFonts w:ascii="Arial" w:hAnsi="Arial" w:cs="Arial"/>
                <w:sz w:val="20"/>
                <w:szCs w:val="20"/>
              </w:rPr>
              <w:t>Stored on-site</w:t>
            </w:r>
          </w:p>
        </w:tc>
        <w:tc>
          <w:tcPr>
            <w:tcW w:w="1252" w:type="dxa"/>
          </w:tcPr>
          <w:p w14:paraId="1869B74D" w14:textId="77777777" w:rsidR="007D1395" w:rsidRPr="007D1395" w:rsidRDefault="007D1395" w:rsidP="007D1395">
            <w:pPr>
              <w:widowControl/>
              <w:autoSpaceDE/>
              <w:autoSpaceDN/>
              <w:adjustRightInd/>
              <w:spacing w:before="40" w:after="40"/>
              <w:jc w:val="center"/>
              <w:rPr>
                <w:rFonts w:ascii="Arial" w:hAnsi="Arial" w:cs="Arial"/>
                <w:sz w:val="20"/>
                <w:szCs w:val="20"/>
              </w:rPr>
            </w:pPr>
            <w:r w:rsidRPr="007D1395">
              <w:rPr>
                <w:rFonts w:ascii="Arial" w:hAnsi="Arial" w:cs="Arial"/>
                <w:sz w:val="20"/>
                <w:szCs w:val="20"/>
              </w:rPr>
              <w:t>403.11(f), 403.14</w:t>
            </w:r>
          </w:p>
        </w:tc>
        <w:tc>
          <w:tcPr>
            <w:tcW w:w="3862" w:type="dxa"/>
          </w:tcPr>
          <w:p w14:paraId="2AA9C809" w14:textId="77777777" w:rsidR="007D1395" w:rsidRPr="007D1395" w:rsidRDefault="007D1395" w:rsidP="007D1395">
            <w:pPr>
              <w:widowControl/>
              <w:autoSpaceDE/>
              <w:autoSpaceDN/>
              <w:adjustRightInd/>
              <w:spacing w:before="40" w:after="40"/>
              <w:rPr>
                <w:rFonts w:ascii="Arial" w:hAnsi="Arial" w:cs="Arial"/>
                <w:sz w:val="20"/>
                <w:szCs w:val="20"/>
              </w:rPr>
            </w:pPr>
            <w:r w:rsidRPr="007D1395">
              <w:rPr>
                <w:rFonts w:ascii="Arial" w:hAnsi="Arial" w:cs="Arial"/>
                <w:sz w:val="20"/>
                <w:szCs w:val="20"/>
              </w:rPr>
              <w:t xml:space="preserve">To provide public access to information characterizing </w:t>
            </w:r>
            <w:smartTag w:uri="urn:schemas-microsoft-com:office:smarttags" w:element="PersonName">
              <w:r w:rsidRPr="007D1395">
                <w:rPr>
                  <w:rFonts w:ascii="Arial" w:hAnsi="Arial" w:cs="Arial"/>
                  <w:sz w:val="20"/>
                  <w:szCs w:val="20"/>
                </w:rPr>
                <w:t>the</w:t>
              </w:r>
            </w:smartTag>
            <w:r w:rsidRPr="007D1395">
              <w:rPr>
                <w:rFonts w:ascii="Arial" w:hAnsi="Arial" w:cs="Arial"/>
                <w:sz w:val="20"/>
                <w:szCs w:val="20"/>
              </w:rPr>
              <w:t xml:space="preserve"> pretreatment program (e.g., information about POTW program approval submissions)</w:t>
            </w:r>
          </w:p>
        </w:tc>
      </w:tr>
    </w:tbl>
    <w:p w14:paraId="18464F6D" w14:textId="77777777" w:rsidR="007D1395" w:rsidRPr="007D1395" w:rsidRDefault="007D1395" w:rsidP="007D1395">
      <w:pPr>
        <w:widowControl/>
        <w:autoSpaceDE/>
        <w:autoSpaceDN/>
        <w:adjustRightInd/>
        <w:rPr>
          <w:rFonts w:ascii="Arial" w:hAnsi="Arial" w:cs="Arial"/>
          <w:sz w:val="18"/>
          <w:szCs w:val="18"/>
        </w:rPr>
      </w:pPr>
      <w:r w:rsidRPr="007D1395">
        <w:rPr>
          <w:rFonts w:ascii="Arial" w:hAnsi="Arial" w:cs="Arial"/>
          <w:sz w:val="18"/>
          <w:szCs w:val="18"/>
        </w:rPr>
        <w:t>*This is a recordkeeping requirement, not a reporting requirement. Though no submission is required, AAs, OAs, and POTWs incur burden.</w:t>
      </w:r>
    </w:p>
    <w:p w14:paraId="5C61D805" w14:textId="77777777" w:rsidR="007D1395" w:rsidRPr="007D1395" w:rsidRDefault="007D1395" w:rsidP="007D1395">
      <w:pPr>
        <w:widowControl/>
        <w:autoSpaceDE/>
        <w:autoSpaceDN/>
        <w:adjustRightInd/>
      </w:pPr>
    </w:p>
    <w:p w14:paraId="30A92656" w14:textId="18B798AA" w:rsidR="007D1395" w:rsidRPr="007D1395" w:rsidRDefault="007D1395" w:rsidP="007D1395">
      <w:pPr>
        <w:widowControl/>
        <w:numPr>
          <w:ilvl w:val="12"/>
          <w:numId w:val="0"/>
        </w:num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spacing w:after="15"/>
      </w:pPr>
      <w:r w:rsidRPr="007D1395">
        <w:t>Oversight authorities evaluate state pretreatment programs based on information about the programs' legal authority, procedural requirements, and staff and funding appropriateness. In addition, oversight authorities use information about an IU to determine whether a particular categorical standard or subcategory applies to the IU.</w:t>
      </w:r>
      <w:r w:rsidR="00DE0088">
        <w:t xml:space="preserve"> The oversight authority burden is incurred by the </w:t>
      </w:r>
      <w:r w:rsidR="002320BC">
        <w:t>f</w:t>
      </w:r>
      <w:r w:rsidR="00DE0088">
        <w:t xml:space="preserve">ederal </w:t>
      </w:r>
      <w:r w:rsidR="002320BC">
        <w:t>g</w:t>
      </w:r>
      <w:r w:rsidR="00DE0088">
        <w:t>overnment only and is a small component of overall burden.</w:t>
      </w:r>
    </w:p>
    <w:p w14:paraId="64308802" w14:textId="77777777" w:rsidR="007D1395" w:rsidRPr="007D1395" w:rsidRDefault="007D1395" w:rsidP="007D1395">
      <w:pPr>
        <w:widowControl/>
        <w:numPr>
          <w:ilvl w:val="12"/>
          <w:numId w:val="0"/>
        </w:num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spacing w:after="15"/>
      </w:pPr>
    </w:p>
    <w:p w14:paraId="34DE9B9B" w14:textId="166D46E4" w:rsidR="007D1395" w:rsidRPr="007D1395" w:rsidRDefault="007D1395" w:rsidP="007D1395">
      <w:pPr>
        <w:widowControl/>
        <w:numPr>
          <w:ilvl w:val="12"/>
          <w:numId w:val="0"/>
        </w:num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spacing w:after="15"/>
      </w:pPr>
      <w:r w:rsidRPr="007D1395">
        <w:t xml:space="preserve">Approval authorities use information collected under </w:t>
      </w:r>
      <w:smartTag w:uri="urn:schemas-microsoft-com:office:smarttags" w:element="PersonName">
        <w:r w:rsidRPr="007D1395">
          <w:t>the</w:t>
        </w:r>
      </w:smartTag>
      <w:r w:rsidRPr="007D1395">
        <w:t xml:space="preserve"> pretreatment program to identify and locate IUs that might be subject to national pretreatment standards. Approval authorities also use information about IUs to protect </w:t>
      </w:r>
      <w:smartTag w:uri="urn:schemas-microsoft-com:office:smarttags" w:element="PersonName">
        <w:r w:rsidRPr="007D1395">
          <w:t>the</w:t>
        </w:r>
      </w:smartTag>
      <w:r w:rsidRPr="007D1395">
        <w:t xml:space="preserve"> POTW and its workers by prohibiting ignitable, obstructive, or reactive discharges from IUs. These authorities also use </w:t>
      </w:r>
      <w:smartTag w:uri="urn:schemas-microsoft-com:office:smarttags" w:element="PersonName">
        <w:r w:rsidRPr="007D1395">
          <w:t>the</w:t>
        </w:r>
      </w:smartTag>
      <w:r w:rsidRPr="007D1395">
        <w:t xml:space="preserve"> data to determine whe</w:t>
      </w:r>
      <w:smartTag w:uri="urn:schemas-microsoft-com:office:smarttags" w:element="PersonName">
        <w:r w:rsidRPr="007D1395">
          <w:t>the</w:t>
        </w:r>
      </w:smartTag>
      <w:r w:rsidRPr="007D1395">
        <w:t>r a POTW’s pretreatment program is adequate and properly implemented. In addition, approval authorities use the information to monitor a POTW’s compliance with pretreatment program requirements.</w:t>
      </w:r>
      <w:r w:rsidR="004052D1">
        <w:t xml:space="preserve"> Note that </w:t>
      </w:r>
      <w:r w:rsidR="002320BC">
        <w:t xml:space="preserve">much </w:t>
      </w:r>
      <w:r w:rsidR="004052D1">
        <w:t xml:space="preserve">of the </w:t>
      </w:r>
      <w:r w:rsidR="002320BC">
        <w:t xml:space="preserve">data </w:t>
      </w:r>
      <w:r w:rsidR="004052D1">
        <w:t>use</w:t>
      </w:r>
      <w:r w:rsidR="002320BC">
        <w:t>d</w:t>
      </w:r>
      <w:r w:rsidR="004052D1">
        <w:t xml:space="preserve"> by approval authorities </w:t>
      </w:r>
      <w:r w:rsidR="002320BC">
        <w:t>could also be used by</w:t>
      </w:r>
      <w:r w:rsidR="004052D1">
        <w:t xml:space="preserve"> control authorities.</w:t>
      </w:r>
    </w:p>
    <w:p w14:paraId="5B044BD8" w14:textId="77777777" w:rsidR="007D1395" w:rsidRPr="007D1395" w:rsidRDefault="007D1395" w:rsidP="007D1395">
      <w:pPr>
        <w:widowControl/>
        <w:numPr>
          <w:ilvl w:val="12"/>
          <w:numId w:val="0"/>
        </w:num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spacing w:after="15"/>
      </w:pPr>
    </w:p>
    <w:p w14:paraId="4EDE82B2" w14:textId="7ED536E5" w:rsidR="007D1395" w:rsidRPr="007D1395" w:rsidRDefault="007D1395" w:rsidP="007D1395">
      <w:pPr>
        <w:widowControl/>
        <w:numPr>
          <w:ilvl w:val="12"/>
          <w:numId w:val="0"/>
        </w:num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spacing w:after="15"/>
      </w:pPr>
      <w:r w:rsidRPr="007D1395">
        <w:t xml:space="preserve">Control authorities use data from IUs to determine the types and amounts of pollutants that industries are discharging to a POTW, to track IU compliance with installation schedules for pretreatment equipment, and to ensure IU compliance with applicable certification requirements. Control authorities also use IU data to monitor an industry’s compliance with pretreatment standards, to enforce </w:t>
      </w:r>
      <w:smartTag w:uri="urn:schemas-microsoft-com:office:smarttags" w:element="PersonName">
        <w:r w:rsidRPr="007D1395">
          <w:t>the</w:t>
        </w:r>
      </w:smartTag>
      <w:r w:rsidRPr="007D1395">
        <w:t xml:space="preserve">se standards, to note changes in </w:t>
      </w:r>
      <w:smartTag w:uri="urn:schemas-microsoft-com:office:smarttags" w:element="PersonName">
        <w:r w:rsidRPr="007D1395">
          <w:t>the</w:t>
        </w:r>
      </w:smartTag>
      <w:r w:rsidRPr="007D1395">
        <w:t xml:space="preserve"> volume or nature of pollutants, and </w:t>
      </w:r>
      <w:r w:rsidRPr="007D1395">
        <w:lastRenderedPageBreak/>
        <w:t xml:space="preserve">to evaluate </w:t>
      </w:r>
      <w:smartTag w:uri="urn:schemas-microsoft-com:office:smarttags" w:element="PersonName">
        <w:r w:rsidRPr="007D1395">
          <w:t>the</w:t>
        </w:r>
      </w:smartTag>
      <w:r w:rsidRPr="007D1395">
        <w:t xml:space="preserve"> effects of an anticipated bypass. In addition, control authorities use IU </w:t>
      </w:r>
      <w:r w:rsidR="006F1D6D">
        <w:t>in</w:t>
      </w:r>
      <w:r w:rsidR="001A6CB7">
        <w:t>s</w:t>
      </w:r>
      <w:r w:rsidR="006F1D6D">
        <w:t>pections</w:t>
      </w:r>
      <w:r w:rsidRPr="007D1395">
        <w:t xml:space="preserve"> to determine whether the </w:t>
      </w:r>
      <w:r w:rsidR="006F1D6D">
        <w:t>IU</w:t>
      </w:r>
      <w:r w:rsidRPr="007D1395">
        <w:t xml:space="preserve"> needs to take steps to reduce the risks of slug, spill, and batch discharges.</w:t>
      </w:r>
    </w:p>
    <w:p w14:paraId="4948CFB7" w14:textId="77777777" w:rsidR="007D1395" w:rsidRPr="007D1395" w:rsidRDefault="007D1395" w:rsidP="007D1395">
      <w:pPr>
        <w:widowControl/>
        <w:numPr>
          <w:ilvl w:val="12"/>
          <w:numId w:val="0"/>
        </w:num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spacing w:after="15"/>
      </w:pPr>
    </w:p>
    <w:p w14:paraId="09556C49" w14:textId="77777777" w:rsidR="007D1395" w:rsidRPr="007D1395" w:rsidRDefault="007D1395" w:rsidP="007D1395">
      <w:pPr>
        <w:widowControl/>
        <w:numPr>
          <w:ilvl w:val="12"/>
          <w:numId w:val="0"/>
        </w:num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spacing w:after="15"/>
      </w:pPr>
      <w:r w:rsidRPr="007D1395">
        <w:t xml:space="preserve">Control authorities use information from approval authorities to determine </w:t>
      </w:r>
      <w:smartTag w:uri="urn:schemas-microsoft-com:office:smarttags" w:element="PersonName">
        <w:r w:rsidRPr="007D1395">
          <w:t>the</w:t>
        </w:r>
      </w:smartTag>
      <w:r w:rsidRPr="007D1395">
        <w:t xml:space="preserve">ir obligations under </w:t>
      </w:r>
      <w:smartTag w:uri="urn:schemas-microsoft-com:office:smarttags" w:element="PersonName">
        <w:r w:rsidRPr="007D1395">
          <w:t>the</w:t>
        </w:r>
      </w:smartTag>
      <w:r w:rsidRPr="007D1395">
        <w:t xml:space="preserve"> national pretreatment regulations, specifically those for operating and maintaining equipment and those requiring sampling and reporting of pollutant levels.</w:t>
      </w:r>
    </w:p>
    <w:p w14:paraId="2D27E6F7" w14:textId="77777777" w:rsidR="007D1395" w:rsidRPr="007D1395" w:rsidRDefault="007D1395" w:rsidP="007D1395">
      <w:pPr>
        <w:widowControl/>
        <w:numPr>
          <w:ilvl w:val="12"/>
          <w:numId w:val="0"/>
        </w:num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spacing w:after="15"/>
      </w:pPr>
    </w:p>
    <w:p w14:paraId="6ED45F47" w14:textId="77777777" w:rsidR="007D1395" w:rsidRPr="007D1395" w:rsidRDefault="007D1395" w:rsidP="007D1395">
      <w:pPr>
        <w:widowControl/>
        <w:numPr>
          <w:ilvl w:val="12"/>
          <w:numId w:val="0"/>
        </w:num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spacing w:after="15"/>
      </w:pPr>
      <w:r w:rsidRPr="007D1395">
        <w:t xml:space="preserve">IUs use information received from control authorities to understand </w:t>
      </w:r>
      <w:smartTag w:uri="urn:schemas-microsoft-com:office:smarttags" w:element="PersonName">
        <w:r w:rsidRPr="007D1395">
          <w:t>the</w:t>
        </w:r>
      </w:smartTag>
      <w:r w:rsidRPr="007D1395">
        <w:t xml:space="preserve"> pollutant levels that must not be exceeded in </w:t>
      </w:r>
      <w:smartTag w:uri="urn:schemas-microsoft-com:office:smarttags" w:element="PersonName">
        <w:r w:rsidRPr="007D1395">
          <w:t>the</w:t>
        </w:r>
      </w:smartTag>
      <w:r w:rsidRPr="007D1395">
        <w:t>ir discharges and related treatment, sampling, and reporting requirements.</w:t>
      </w:r>
    </w:p>
    <w:p w14:paraId="645826EB" w14:textId="77777777" w:rsidR="007D1395" w:rsidRPr="007D1395" w:rsidRDefault="007D1395" w:rsidP="007D1395">
      <w:pPr>
        <w:widowControl/>
        <w:numPr>
          <w:ilvl w:val="12"/>
          <w:numId w:val="0"/>
        </w:num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spacing w:after="15"/>
      </w:pPr>
    </w:p>
    <w:p w14:paraId="24D9F697" w14:textId="77777777" w:rsidR="007D1395" w:rsidRPr="007D1395" w:rsidRDefault="007D1395" w:rsidP="007D1395">
      <w:pPr>
        <w:widowControl/>
        <w:autoSpaceDE/>
        <w:autoSpaceDN/>
        <w:adjustRightInd/>
      </w:pPr>
      <w:r w:rsidRPr="007D1395">
        <w:t xml:space="preserve">The public also uses information received under </w:t>
      </w:r>
      <w:smartTag w:uri="urn:schemas-microsoft-com:office:smarttags" w:element="PersonName">
        <w:r w:rsidRPr="007D1395">
          <w:t>the</w:t>
        </w:r>
      </w:smartTag>
      <w:r w:rsidRPr="007D1395">
        <w:t xml:space="preserve"> National Pretreatment Program when notices of significant noncompliance (SNC) by IUs or control authorities are published in local newspapers.</w:t>
      </w:r>
    </w:p>
    <w:p w14:paraId="58D5C3F0" w14:textId="77777777" w:rsidR="007D1395" w:rsidRPr="007D1395" w:rsidRDefault="007D1395" w:rsidP="007D1395">
      <w:pPr>
        <w:widowControl/>
        <w:autoSpaceDE/>
        <w:autoSpaceDN/>
        <w:adjustRightInd/>
      </w:pPr>
    </w:p>
    <w:p w14:paraId="230463BB" w14:textId="7D59BEA4" w:rsidR="005D0A80" w:rsidRPr="00F25DE1" w:rsidRDefault="005D0A80" w:rsidP="00F25DE1">
      <w:pPr>
        <w:pStyle w:val="Caption"/>
        <w:keepNext/>
      </w:pPr>
      <w:bookmarkStart w:id="4" w:name="OLE_LINK6"/>
      <w:bookmarkStart w:id="5" w:name="OLE_LINK7"/>
      <w:r w:rsidRPr="00F25DE1">
        <w:t xml:space="preserve">Table </w:t>
      </w:r>
      <w:r w:rsidR="000959D8" w:rsidRPr="00F25DE1">
        <w:rPr>
          <w:rFonts w:ascii="Arial" w:hAnsi="Arial" w:cs="Arial"/>
          <w:bCs w:val="0"/>
          <w:sz w:val="20"/>
        </w:rPr>
        <w:t>2.4 Uses</w:t>
      </w:r>
      <w:r w:rsidRPr="00F25DE1">
        <w:rPr>
          <w:rFonts w:ascii="Arial" w:hAnsi="Arial" w:cs="Arial"/>
          <w:bCs w:val="0"/>
          <w:sz w:val="20"/>
        </w:rPr>
        <w:t xml:space="preserve"> of data collected for program implementation</w:t>
      </w:r>
    </w:p>
    <w:tbl>
      <w:tblPr>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2"/>
        <w:gridCol w:w="864"/>
        <w:gridCol w:w="869"/>
        <w:gridCol w:w="1517"/>
        <w:gridCol w:w="4019"/>
      </w:tblGrid>
      <w:tr w:rsidR="007D1395" w:rsidRPr="007D1395" w14:paraId="4463C64F" w14:textId="77777777" w:rsidTr="00F25DE1">
        <w:trPr>
          <w:tblHeader/>
        </w:trPr>
        <w:tc>
          <w:tcPr>
            <w:tcW w:w="2442" w:type="dxa"/>
            <w:shd w:val="clear" w:color="auto" w:fill="D9D9D9"/>
          </w:tcPr>
          <w:bookmarkEnd w:id="4"/>
          <w:bookmarkEnd w:id="5"/>
          <w:p w14:paraId="4B5486EB" w14:textId="77777777" w:rsidR="007D1395" w:rsidRPr="007D1395" w:rsidRDefault="007D1395" w:rsidP="007D1395">
            <w:pPr>
              <w:widowControl/>
              <w:autoSpaceDE/>
              <w:autoSpaceDN/>
              <w:adjustRightInd/>
              <w:spacing w:beforeLines="40" w:before="96" w:afterLines="40" w:after="96"/>
              <w:jc w:val="center"/>
              <w:rPr>
                <w:rFonts w:ascii="Arial" w:hAnsi="Arial" w:cs="Arial"/>
                <w:b/>
                <w:sz w:val="20"/>
                <w:szCs w:val="20"/>
              </w:rPr>
            </w:pPr>
            <w:r w:rsidRPr="007D1395">
              <w:rPr>
                <w:rFonts w:ascii="Arial" w:hAnsi="Arial" w:cs="Arial"/>
                <w:b/>
                <w:sz w:val="20"/>
                <w:szCs w:val="20"/>
              </w:rPr>
              <w:t>Type of Data Collected</w:t>
            </w:r>
          </w:p>
        </w:tc>
        <w:tc>
          <w:tcPr>
            <w:tcW w:w="864" w:type="dxa"/>
            <w:shd w:val="clear" w:color="auto" w:fill="D9D9D9"/>
          </w:tcPr>
          <w:p w14:paraId="04C8BEEA" w14:textId="77777777" w:rsidR="007D1395" w:rsidRPr="007D1395" w:rsidRDefault="007D1395" w:rsidP="007D1395">
            <w:pPr>
              <w:widowControl/>
              <w:autoSpaceDE/>
              <w:autoSpaceDN/>
              <w:adjustRightInd/>
              <w:spacing w:beforeLines="40" w:before="96" w:afterLines="40" w:after="96"/>
              <w:jc w:val="center"/>
              <w:rPr>
                <w:rFonts w:ascii="Arial" w:hAnsi="Arial" w:cs="Arial"/>
                <w:b/>
                <w:sz w:val="20"/>
                <w:szCs w:val="20"/>
              </w:rPr>
            </w:pPr>
            <w:r w:rsidRPr="007D1395">
              <w:rPr>
                <w:rFonts w:ascii="Arial" w:hAnsi="Arial" w:cs="Arial"/>
                <w:b/>
                <w:sz w:val="20"/>
                <w:szCs w:val="20"/>
              </w:rPr>
              <w:t>From</w:t>
            </w:r>
          </w:p>
        </w:tc>
        <w:tc>
          <w:tcPr>
            <w:tcW w:w="869" w:type="dxa"/>
            <w:shd w:val="clear" w:color="auto" w:fill="D9D9D9"/>
          </w:tcPr>
          <w:p w14:paraId="2450CCCF" w14:textId="77777777" w:rsidR="007D1395" w:rsidRPr="007D1395" w:rsidRDefault="007D1395" w:rsidP="007D1395">
            <w:pPr>
              <w:widowControl/>
              <w:autoSpaceDE/>
              <w:autoSpaceDN/>
              <w:adjustRightInd/>
              <w:spacing w:beforeLines="40" w:before="96" w:afterLines="40" w:after="96"/>
              <w:jc w:val="center"/>
              <w:rPr>
                <w:rFonts w:ascii="Arial" w:hAnsi="Arial" w:cs="Arial"/>
                <w:b/>
                <w:sz w:val="20"/>
                <w:szCs w:val="20"/>
              </w:rPr>
            </w:pPr>
            <w:r w:rsidRPr="007D1395">
              <w:rPr>
                <w:rFonts w:ascii="Arial" w:hAnsi="Arial" w:cs="Arial"/>
                <w:b/>
                <w:sz w:val="20"/>
                <w:szCs w:val="20"/>
              </w:rPr>
              <w:t>To</w:t>
            </w:r>
          </w:p>
        </w:tc>
        <w:tc>
          <w:tcPr>
            <w:tcW w:w="1517" w:type="dxa"/>
            <w:shd w:val="clear" w:color="auto" w:fill="D9D9D9"/>
          </w:tcPr>
          <w:p w14:paraId="4ACDE4B6" w14:textId="77777777" w:rsidR="007D1395" w:rsidRPr="007D1395" w:rsidRDefault="007D1395" w:rsidP="007D1395">
            <w:pPr>
              <w:widowControl/>
              <w:autoSpaceDE/>
              <w:autoSpaceDN/>
              <w:adjustRightInd/>
              <w:spacing w:beforeLines="40" w:before="96" w:afterLines="40" w:after="96"/>
              <w:jc w:val="center"/>
              <w:rPr>
                <w:rFonts w:ascii="Arial" w:hAnsi="Arial" w:cs="Arial"/>
                <w:b/>
                <w:sz w:val="20"/>
                <w:szCs w:val="20"/>
              </w:rPr>
            </w:pPr>
            <w:r w:rsidRPr="007D1395">
              <w:rPr>
                <w:rFonts w:ascii="Arial" w:hAnsi="Arial" w:cs="Arial"/>
                <w:b/>
                <w:sz w:val="20"/>
                <w:szCs w:val="20"/>
              </w:rPr>
              <w:t>Authority/ Citation (40 CFR)</w:t>
            </w:r>
          </w:p>
        </w:tc>
        <w:tc>
          <w:tcPr>
            <w:tcW w:w="4019" w:type="dxa"/>
            <w:shd w:val="clear" w:color="auto" w:fill="D9D9D9"/>
          </w:tcPr>
          <w:p w14:paraId="57CBE6D8" w14:textId="77777777" w:rsidR="007D1395" w:rsidRPr="007D1395" w:rsidRDefault="007D1395" w:rsidP="007D1395">
            <w:pPr>
              <w:widowControl/>
              <w:autoSpaceDE/>
              <w:autoSpaceDN/>
              <w:adjustRightInd/>
              <w:spacing w:beforeLines="40" w:before="96" w:afterLines="40" w:after="96"/>
              <w:jc w:val="center"/>
              <w:rPr>
                <w:rFonts w:ascii="Arial" w:hAnsi="Arial" w:cs="Arial"/>
                <w:b/>
                <w:sz w:val="20"/>
                <w:szCs w:val="20"/>
              </w:rPr>
            </w:pPr>
            <w:r w:rsidRPr="007D1395">
              <w:rPr>
                <w:rFonts w:ascii="Arial" w:hAnsi="Arial" w:cs="Arial"/>
                <w:b/>
                <w:sz w:val="20"/>
                <w:szCs w:val="20"/>
              </w:rPr>
              <w:t xml:space="preserve">Uses of </w:t>
            </w:r>
            <w:smartTag w:uri="urn:schemas-microsoft-com:office:smarttags" w:element="PersonName">
              <w:r w:rsidRPr="007D1395">
                <w:rPr>
                  <w:rFonts w:ascii="Arial" w:hAnsi="Arial" w:cs="Arial"/>
                  <w:b/>
                  <w:sz w:val="20"/>
                  <w:szCs w:val="20"/>
                </w:rPr>
                <w:t>the</w:t>
              </w:r>
            </w:smartTag>
            <w:r w:rsidRPr="007D1395">
              <w:rPr>
                <w:rFonts w:ascii="Arial" w:hAnsi="Arial" w:cs="Arial"/>
                <w:b/>
                <w:sz w:val="20"/>
                <w:szCs w:val="20"/>
              </w:rPr>
              <w:t xml:space="preserve"> Data</w:t>
            </w:r>
          </w:p>
        </w:tc>
      </w:tr>
      <w:tr w:rsidR="007D1395" w:rsidRPr="007D1395" w14:paraId="65BC961C" w14:textId="77777777" w:rsidTr="00F25DE1">
        <w:tc>
          <w:tcPr>
            <w:tcW w:w="2442" w:type="dxa"/>
          </w:tcPr>
          <w:p w14:paraId="42BB965F" w14:textId="77777777" w:rsidR="007D1395" w:rsidRPr="007D1395" w:rsidRDefault="007D1395" w:rsidP="007D1395">
            <w:pPr>
              <w:widowControl/>
              <w:autoSpaceDE/>
              <w:autoSpaceDN/>
              <w:adjustRightInd/>
              <w:spacing w:beforeLines="20" w:before="48" w:afterLines="20" w:after="48"/>
              <w:rPr>
                <w:rFonts w:ascii="Arial" w:hAnsi="Arial" w:cs="Arial"/>
                <w:sz w:val="20"/>
                <w:szCs w:val="20"/>
              </w:rPr>
            </w:pPr>
            <w:r w:rsidRPr="007D1395">
              <w:rPr>
                <w:rFonts w:ascii="Arial" w:hAnsi="Arial" w:cs="Arial"/>
                <w:sz w:val="20"/>
                <w:szCs w:val="20"/>
              </w:rPr>
              <w:t xml:space="preserve">Baseline monitoring report </w:t>
            </w:r>
          </w:p>
        </w:tc>
        <w:tc>
          <w:tcPr>
            <w:tcW w:w="864" w:type="dxa"/>
          </w:tcPr>
          <w:p w14:paraId="318493E7" w14:textId="77777777" w:rsidR="007D1395" w:rsidRPr="007D1395" w:rsidRDefault="007D1395" w:rsidP="007D1395">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IU</w:t>
            </w:r>
          </w:p>
        </w:tc>
        <w:tc>
          <w:tcPr>
            <w:tcW w:w="869" w:type="dxa"/>
          </w:tcPr>
          <w:p w14:paraId="462AD325" w14:textId="77777777" w:rsidR="007D1395" w:rsidRPr="007D1395" w:rsidRDefault="007D1395" w:rsidP="007D1395">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CA</w:t>
            </w:r>
          </w:p>
        </w:tc>
        <w:tc>
          <w:tcPr>
            <w:tcW w:w="1517" w:type="dxa"/>
          </w:tcPr>
          <w:p w14:paraId="73F2FE31" w14:textId="77777777" w:rsidR="007D1395" w:rsidRPr="007D1395" w:rsidRDefault="007D1395" w:rsidP="007D1395">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403.12(b)</w:t>
            </w:r>
          </w:p>
        </w:tc>
        <w:tc>
          <w:tcPr>
            <w:tcW w:w="4019" w:type="dxa"/>
          </w:tcPr>
          <w:p w14:paraId="4C0E9024" w14:textId="7C4B39DB" w:rsidR="007D1395" w:rsidRPr="007D1395" w:rsidRDefault="00F71819" w:rsidP="00F050BA">
            <w:pPr>
              <w:widowControl/>
              <w:autoSpaceDE/>
              <w:autoSpaceDN/>
              <w:adjustRightInd/>
              <w:spacing w:beforeLines="20" w:before="48" w:afterLines="20" w:after="48"/>
              <w:rPr>
                <w:rFonts w:ascii="Arial" w:hAnsi="Arial" w:cs="Arial"/>
                <w:sz w:val="20"/>
                <w:szCs w:val="20"/>
              </w:rPr>
            </w:pPr>
            <w:r>
              <w:rPr>
                <w:rFonts w:ascii="Arial" w:hAnsi="Arial" w:cs="Arial"/>
                <w:sz w:val="20"/>
                <w:szCs w:val="20"/>
              </w:rPr>
              <w:t>To identify appropriate pretreatment stand</w:t>
            </w:r>
            <w:r w:rsidR="00F050BA">
              <w:rPr>
                <w:rFonts w:ascii="Arial" w:hAnsi="Arial" w:cs="Arial"/>
                <w:sz w:val="20"/>
                <w:szCs w:val="20"/>
              </w:rPr>
              <w:t>ar</w:t>
            </w:r>
            <w:r>
              <w:rPr>
                <w:rFonts w:ascii="Arial" w:hAnsi="Arial" w:cs="Arial"/>
                <w:sz w:val="20"/>
                <w:szCs w:val="20"/>
              </w:rPr>
              <w:t>ds; t</w:t>
            </w:r>
            <w:r w:rsidR="007D1395" w:rsidRPr="007D1395">
              <w:rPr>
                <w:rFonts w:ascii="Arial" w:hAnsi="Arial" w:cs="Arial"/>
                <w:sz w:val="20"/>
                <w:szCs w:val="20"/>
              </w:rPr>
              <w:t xml:space="preserve">o ensure compliance with the standards by each source; to determine whether schedules for compliance are reasonable; and to establish, verify, or expand </w:t>
            </w:r>
            <w:r>
              <w:rPr>
                <w:rFonts w:ascii="Arial" w:hAnsi="Arial" w:cs="Arial"/>
                <w:sz w:val="20"/>
                <w:szCs w:val="20"/>
              </w:rPr>
              <w:t>knowledge</w:t>
            </w:r>
            <w:r w:rsidR="007D1395" w:rsidRPr="007D1395">
              <w:rPr>
                <w:rFonts w:ascii="Arial" w:hAnsi="Arial" w:cs="Arial"/>
                <w:sz w:val="20"/>
                <w:szCs w:val="20"/>
              </w:rPr>
              <w:t xml:space="preserve"> o</w:t>
            </w:r>
            <w:r>
              <w:rPr>
                <w:rFonts w:ascii="Arial" w:hAnsi="Arial" w:cs="Arial"/>
                <w:sz w:val="20"/>
                <w:szCs w:val="20"/>
              </w:rPr>
              <w:t>f</w:t>
            </w:r>
            <w:r w:rsidR="007D1395" w:rsidRPr="007D1395">
              <w:rPr>
                <w:rFonts w:ascii="Arial" w:hAnsi="Arial" w:cs="Arial"/>
                <w:sz w:val="20"/>
                <w:szCs w:val="20"/>
              </w:rPr>
              <w:t xml:space="preserve"> the types and extent of industrial contributions to POTWs</w:t>
            </w:r>
          </w:p>
        </w:tc>
      </w:tr>
      <w:tr w:rsidR="007D1395" w:rsidRPr="007D1395" w14:paraId="7B3AFC05" w14:textId="77777777" w:rsidTr="00F25DE1">
        <w:tc>
          <w:tcPr>
            <w:tcW w:w="2442" w:type="dxa"/>
          </w:tcPr>
          <w:p w14:paraId="0ED792A2" w14:textId="77777777" w:rsidR="007D1395" w:rsidRPr="007D1395" w:rsidRDefault="007D1395" w:rsidP="007D1395">
            <w:pPr>
              <w:widowControl/>
              <w:autoSpaceDE/>
              <w:autoSpaceDN/>
              <w:adjustRightInd/>
              <w:spacing w:beforeLines="20" w:before="48" w:afterLines="20" w:after="48"/>
              <w:rPr>
                <w:rFonts w:ascii="Arial" w:hAnsi="Arial" w:cs="Arial"/>
                <w:sz w:val="20"/>
                <w:szCs w:val="20"/>
              </w:rPr>
            </w:pPr>
            <w:r w:rsidRPr="007D1395">
              <w:rPr>
                <w:rFonts w:ascii="Arial" w:hAnsi="Arial" w:cs="Arial"/>
                <w:sz w:val="20"/>
                <w:szCs w:val="20"/>
              </w:rPr>
              <w:t>IU compliance schedule progress report</w:t>
            </w:r>
          </w:p>
        </w:tc>
        <w:tc>
          <w:tcPr>
            <w:tcW w:w="864" w:type="dxa"/>
          </w:tcPr>
          <w:p w14:paraId="7F20F7E3" w14:textId="77777777" w:rsidR="007D1395" w:rsidRPr="007D1395" w:rsidRDefault="007D1395" w:rsidP="007D1395">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IU</w:t>
            </w:r>
          </w:p>
        </w:tc>
        <w:tc>
          <w:tcPr>
            <w:tcW w:w="869" w:type="dxa"/>
          </w:tcPr>
          <w:p w14:paraId="2ED2B1A8" w14:textId="77777777" w:rsidR="007D1395" w:rsidRPr="007D1395" w:rsidRDefault="007D1395" w:rsidP="007D1395">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CA</w:t>
            </w:r>
          </w:p>
        </w:tc>
        <w:tc>
          <w:tcPr>
            <w:tcW w:w="1517" w:type="dxa"/>
          </w:tcPr>
          <w:p w14:paraId="63F64CFA" w14:textId="77777777" w:rsidR="007D1395" w:rsidRPr="007D1395" w:rsidRDefault="007D1395" w:rsidP="007D1395">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403.12(c)</w:t>
            </w:r>
          </w:p>
        </w:tc>
        <w:tc>
          <w:tcPr>
            <w:tcW w:w="4019" w:type="dxa"/>
          </w:tcPr>
          <w:p w14:paraId="7AF3EF94" w14:textId="77777777" w:rsidR="007D1395" w:rsidRPr="007D1395" w:rsidRDefault="007D1395" w:rsidP="007D1395">
            <w:pPr>
              <w:widowControl/>
              <w:autoSpaceDE/>
              <w:autoSpaceDN/>
              <w:adjustRightInd/>
              <w:spacing w:beforeLines="20" w:before="48" w:afterLines="20" w:after="48"/>
              <w:rPr>
                <w:rFonts w:ascii="Arial" w:hAnsi="Arial" w:cs="Arial"/>
                <w:sz w:val="20"/>
                <w:szCs w:val="20"/>
              </w:rPr>
            </w:pPr>
            <w:r w:rsidRPr="007D1395">
              <w:rPr>
                <w:rFonts w:ascii="Arial" w:hAnsi="Arial" w:cs="Arial"/>
                <w:sz w:val="20"/>
                <w:szCs w:val="20"/>
                <w:lang w:val="en-CA"/>
              </w:rPr>
              <w:fldChar w:fldCharType="begin"/>
            </w:r>
            <w:r w:rsidRPr="007D1395">
              <w:rPr>
                <w:rFonts w:ascii="Arial" w:hAnsi="Arial" w:cs="Arial"/>
                <w:sz w:val="20"/>
                <w:szCs w:val="20"/>
                <w:lang w:val="en-CA"/>
              </w:rPr>
              <w:instrText xml:space="preserve"> SEQ CHAPTER \h \r 1</w:instrText>
            </w:r>
            <w:r w:rsidRPr="007D1395">
              <w:rPr>
                <w:rFonts w:ascii="Arial" w:hAnsi="Arial" w:cs="Arial"/>
                <w:sz w:val="20"/>
                <w:szCs w:val="20"/>
                <w:lang w:val="en-CA"/>
              </w:rPr>
              <w:fldChar w:fldCharType="end"/>
            </w:r>
            <w:r w:rsidRPr="007D1395">
              <w:rPr>
                <w:rFonts w:ascii="Arial" w:hAnsi="Arial" w:cs="Arial"/>
                <w:sz w:val="20"/>
                <w:szCs w:val="20"/>
              </w:rPr>
              <w:t xml:space="preserve">To determine compliance with scheduled deadlines for installation of pretreatment technology and categorical standards </w:t>
            </w:r>
          </w:p>
        </w:tc>
      </w:tr>
      <w:tr w:rsidR="007D1395" w:rsidRPr="007D1395" w14:paraId="59E5308B" w14:textId="77777777" w:rsidTr="00F25DE1">
        <w:tc>
          <w:tcPr>
            <w:tcW w:w="2442" w:type="dxa"/>
          </w:tcPr>
          <w:p w14:paraId="20E34461" w14:textId="77777777" w:rsidR="007D1395" w:rsidRPr="007D1395" w:rsidRDefault="007D1395" w:rsidP="007D1395">
            <w:pPr>
              <w:widowControl/>
              <w:autoSpaceDE/>
              <w:autoSpaceDN/>
              <w:adjustRightInd/>
              <w:spacing w:beforeLines="20" w:before="48" w:afterLines="20" w:after="48"/>
              <w:rPr>
                <w:rFonts w:ascii="Arial" w:hAnsi="Arial" w:cs="Arial"/>
                <w:sz w:val="20"/>
                <w:szCs w:val="20"/>
              </w:rPr>
            </w:pPr>
            <w:r w:rsidRPr="007D1395">
              <w:rPr>
                <w:rFonts w:ascii="Arial" w:hAnsi="Arial" w:cs="Arial"/>
                <w:sz w:val="20"/>
                <w:szCs w:val="20"/>
              </w:rPr>
              <w:t>IU compliance attainment report</w:t>
            </w:r>
          </w:p>
        </w:tc>
        <w:tc>
          <w:tcPr>
            <w:tcW w:w="864" w:type="dxa"/>
          </w:tcPr>
          <w:p w14:paraId="49C2FAC1" w14:textId="77777777" w:rsidR="007D1395" w:rsidRPr="007D1395" w:rsidRDefault="007D1395" w:rsidP="007D1395">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IU</w:t>
            </w:r>
          </w:p>
        </w:tc>
        <w:tc>
          <w:tcPr>
            <w:tcW w:w="869" w:type="dxa"/>
          </w:tcPr>
          <w:p w14:paraId="581A9CD2" w14:textId="77777777" w:rsidR="007D1395" w:rsidRPr="007D1395" w:rsidRDefault="007D1395" w:rsidP="007D1395">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CA</w:t>
            </w:r>
          </w:p>
        </w:tc>
        <w:tc>
          <w:tcPr>
            <w:tcW w:w="1517" w:type="dxa"/>
          </w:tcPr>
          <w:p w14:paraId="0FFF14E9" w14:textId="77777777" w:rsidR="007D1395" w:rsidRPr="007D1395" w:rsidRDefault="007D1395" w:rsidP="007D1395">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403.12(d)</w:t>
            </w:r>
          </w:p>
        </w:tc>
        <w:tc>
          <w:tcPr>
            <w:tcW w:w="4019" w:type="dxa"/>
          </w:tcPr>
          <w:p w14:paraId="47D1E258" w14:textId="77777777" w:rsidR="007D1395" w:rsidRPr="007D1395" w:rsidRDefault="007D1395" w:rsidP="007D1395">
            <w:pPr>
              <w:widowControl/>
              <w:autoSpaceDE/>
              <w:autoSpaceDN/>
              <w:adjustRightInd/>
              <w:spacing w:beforeLines="20" w:before="48" w:afterLines="20" w:after="48"/>
              <w:rPr>
                <w:rFonts w:ascii="Arial" w:hAnsi="Arial" w:cs="Arial"/>
                <w:sz w:val="20"/>
                <w:szCs w:val="20"/>
              </w:rPr>
            </w:pPr>
            <w:r w:rsidRPr="007D1395">
              <w:rPr>
                <w:rFonts w:ascii="Arial" w:hAnsi="Arial" w:cs="Arial"/>
                <w:sz w:val="20"/>
                <w:szCs w:val="20"/>
                <w:lang w:val="en-CA"/>
              </w:rPr>
              <w:fldChar w:fldCharType="begin"/>
            </w:r>
            <w:r w:rsidRPr="007D1395">
              <w:rPr>
                <w:rFonts w:ascii="Arial" w:hAnsi="Arial" w:cs="Arial"/>
                <w:sz w:val="20"/>
                <w:szCs w:val="20"/>
                <w:lang w:val="en-CA"/>
              </w:rPr>
              <w:instrText xml:space="preserve"> SEQ CHAPTER \h \r 1</w:instrText>
            </w:r>
            <w:r w:rsidRPr="007D1395">
              <w:rPr>
                <w:rFonts w:ascii="Arial" w:hAnsi="Arial" w:cs="Arial"/>
                <w:sz w:val="20"/>
                <w:szCs w:val="20"/>
                <w:lang w:val="en-CA"/>
              </w:rPr>
              <w:fldChar w:fldCharType="end"/>
            </w:r>
            <w:r w:rsidRPr="007D1395">
              <w:rPr>
                <w:rFonts w:ascii="Arial" w:hAnsi="Arial" w:cs="Arial"/>
                <w:sz w:val="20"/>
                <w:szCs w:val="20"/>
              </w:rPr>
              <w:t>To determine compliance with final applicable pretreatment standards and whe</w:t>
            </w:r>
            <w:smartTag w:uri="urn:schemas-microsoft-com:office:smarttags" w:element="PersonName">
              <w:r w:rsidRPr="007D1395">
                <w:rPr>
                  <w:rFonts w:ascii="Arial" w:hAnsi="Arial" w:cs="Arial"/>
                  <w:sz w:val="20"/>
                  <w:szCs w:val="20"/>
                </w:rPr>
                <w:t>the</w:t>
              </w:r>
            </w:smartTag>
            <w:r w:rsidRPr="007D1395">
              <w:rPr>
                <w:rFonts w:ascii="Arial" w:hAnsi="Arial" w:cs="Arial"/>
                <w:sz w:val="20"/>
                <w:szCs w:val="20"/>
              </w:rPr>
              <w:t>r IU needs additional operation and maintenance (O&amp;M) or pretreatment to attain standards</w:t>
            </w:r>
          </w:p>
        </w:tc>
      </w:tr>
      <w:tr w:rsidR="007D1395" w:rsidRPr="007D1395" w14:paraId="6A9E51B7" w14:textId="77777777" w:rsidTr="00F25DE1">
        <w:tc>
          <w:tcPr>
            <w:tcW w:w="2442" w:type="dxa"/>
          </w:tcPr>
          <w:p w14:paraId="488437E3" w14:textId="77777777" w:rsidR="007D1395" w:rsidRPr="007D1395" w:rsidRDefault="007D1395" w:rsidP="007D1395">
            <w:pPr>
              <w:widowControl/>
              <w:autoSpaceDE/>
              <w:autoSpaceDN/>
              <w:adjustRightInd/>
              <w:spacing w:beforeLines="20" w:before="48" w:afterLines="20" w:after="48"/>
              <w:rPr>
                <w:rFonts w:ascii="Arial" w:hAnsi="Arial" w:cs="Arial"/>
                <w:sz w:val="20"/>
                <w:szCs w:val="20"/>
              </w:rPr>
            </w:pPr>
            <w:r w:rsidRPr="007D1395">
              <w:rPr>
                <w:rFonts w:ascii="Arial" w:hAnsi="Arial" w:cs="Arial"/>
                <w:sz w:val="20"/>
                <w:szCs w:val="20"/>
              </w:rPr>
              <w:t>IU resampling compliance report</w:t>
            </w:r>
          </w:p>
        </w:tc>
        <w:tc>
          <w:tcPr>
            <w:tcW w:w="864" w:type="dxa"/>
          </w:tcPr>
          <w:p w14:paraId="1360CED1" w14:textId="77777777" w:rsidR="007D1395" w:rsidRPr="007D1395" w:rsidRDefault="007D1395" w:rsidP="007D1395">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IU</w:t>
            </w:r>
          </w:p>
        </w:tc>
        <w:tc>
          <w:tcPr>
            <w:tcW w:w="869" w:type="dxa"/>
          </w:tcPr>
          <w:p w14:paraId="03EAE91E" w14:textId="77777777" w:rsidR="007D1395" w:rsidRPr="007D1395" w:rsidRDefault="007D1395" w:rsidP="007D1395">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CA</w:t>
            </w:r>
          </w:p>
        </w:tc>
        <w:tc>
          <w:tcPr>
            <w:tcW w:w="1517" w:type="dxa"/>
          </w:tcPr>
          <w:p w14:paraId="65FDD86C" w14:textId="77777777" w:rsidR="007D1395" w:rsidRPr="007D1395" w:rsidRDefault="007D1395" w:rsidP="007D1395">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403.12(g)</w:t>
            </w:r>
          </w:p>
        </w:tc>
        <w:tc>
          <w:tcPr>
            <w:tcW w:w="4019" w:type="dxa"/>
          </w:tcPr>
          <w:p w14:paraId="56648DBC" w14:textId="77777777" w:rsidR="007D1395" w:rsidRPr="007D1395" w:rsidRDefault="007D1395" w:rsidP="007D1395">
            <w:pPr>
              <w:widowControl/>
              <w:autoSpaceDE/>
              <w:autoSpaceDN/>
              <w:adjustRightInd/>
              <w:spacing w:beforeLines="20" w:before="48" w:afterLines="20" w:after="48"/>
              <w:rPr>
                <w:rFonts w:ascii="Arial" w:hAnsi="Arial" w:cs="Arial"/>
                <w:sz w:val="20"/>
                <w:szCs w:val="20"/>
              </w:rPr>
            </w:pPr>
            <w:r w:rsidRPr="007D1395">
              <w:rPr>
                <w:rFonts w:ascii="Arial" w:hAnsi="Arial" w:cs="Arial"/>
                <w:sz w:val="20"/>
                <w:szCs w:val="20"/>
                <w:lang w:val="en-CA"/>
              </w:rPr>
              <w:fldChar w:fldCharType="begin"/>
            </w:r>
            <w:r w:rsidRPr="007D1395">
              <w:rPr>
                <w:rFonts w:ascii="Arial" w:hAnsi="Arial" w:cs="Arial"/>
                <w:sz w:val="20"/>
                <w:szCs w:val="20"/>
                <w:lang w:val="en-CA"/>
              </w:rPr>
              <w:instrText xml:space="preserve"> SEQ CHAPTER \h \r 1</w:instrText>
            </w:r>
            <w:r w:rsidRPr="007D1395">
              <w:rPr>
                <w:rFonts w:ascii="Arial" w:hAnsi="Arial" w:cs="Arial"/>
                <w:sz w:val="20"/>
                <w:szCs w:val="20"/>
                <w:lang w:val="en-CA"/>
              </w:rPr>
              <w:fldChar w:fldCharType="end"/>
            </w:r>
            <w:r w:rsidRPr="007D1395">
              <w:rPr>
                <w:rFonts w:ascii="Arial" w:hAnsi="Arial" w:cs="Arial"/>
                <w:sz w:val="20"/>
                <w:szCs w:val="20"/>
              </w:rPr>
              <w:t>To demonstrate return to compliance.</w:t>
            </w:r>
          </w:p>
        </w:tc>
      </w:tr>
      <w:tr w:rsidR="007D1395" w:rsidRPr="007D1395" w14:paraId="405D2290" w14:textId="77777777" w:rsidTr="00F25DE1">
        <w:tc>
          <w:tcPr>
            <w:tcW w:w="2442" w:type="dxa"/>
          </w:tcPr>
          <w:p w14:paraId="56B1D350" w14:textId="77777777" w:rsidR="007D1395" w:rsidRPr="007D1395" w:rsidRDefault="007D1395" w:rsidP="007D1395">
            <w:pPr>
              <w:keepNext/>
              <w:keepLines/>
              <w:widowControl/>
              <w:autoSpaceDE/>
              <w:autoSpaceDN/>
              <w:adjustRightInd/>
              <w:spacing w:beforeLines="20" w:before="48" w:afterLines="20" w:after="48"/>
              <w:rPr>
                <w:rFonts w:ascii="Arial" w:hAnsi="Arial" w:cs="Arial"/>
                <w:sz w:val="20"/>
                <w:szCs w:val="20"/>
              </w:rPr>
            </w:pPr>
            <w:r w:rsidRPr="007D1395">
              <w:rPr>
                <w:rFonts w:ascii="Arial" w:hAnsi="Arial" w:cs="Arial"/>
                <w:sz w:val="20"/>
                <w:szCs w:val="20"/>
              </w:rPr>
              <w:t>IU request for coverage under general control mechanism</w:t>
            </w:r>
          </w:p>
        </w:tc>
        <w:tc>
          <w:tcPr>
            <w:tcW w:w="864" w:type="dxa"/>
          </w:tcPr>
          <w:p w14:paraId="7F048B3C" w14:textId="77777777" w:rsidR="007D1395" w:rsidRPr="007D1395" w:rsidRDefault="007D1395" w:rsidP="007D1395">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IU</w:t>
            </w:r>
          </w:p>
        </w:tc>
        <w:tc>
          <w:tcPr>
            <w:tcW w:w="869" w:type="dxa"/>
          </w:tcPr>
          <w:p w14:paraId="6C5E8191" w14:textId="77777777" w:rsidR="007D1395" w:rsidRPr="007D1395" w:rsidRDefault="007D1395" w:rsidP="007D1395">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CA</w:t>
            </w:r>
          </w:p>
        </w:tc>
        <w:tc>
          <w:tcPr>
            <w:tcW w:w="1517" w:type="dxa"/>
          </w:tcPr>
          <w:p w14:paraId="009D92CA" w14:textId="77777777" w:rsidR="007D1395" w:rsidRPr="007D1395" w:rsidRDefault="007D1395" w:rsidP="007D1395">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403.8(f)(1)</w:t>
            </w:r>
          </w:p>
          <w:p w14:paraId="3814ED48" w14:textId="77777777" w:rsidR="007D1395" w:rsidRPr="007D1395" w:rsidRDefault="007D1395" w:rsidP="007D1395">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 xml:space="preserve"> (A)(2)</w:t>
            </w:r>
          </w:p>
        </w:tc>
        <w:tc>
          <w:tcPr>
            <w:tcW w:w="4019" w:type="dxa"/>
          </w:tcPr>
          <w:p w14:paraId="15DFA8D8" w14:textId="77777777" w:rsidR="007D1395" w:rsidRPr="007D1395" w:rsidRDefault="007D1395" w:rsidP="007D1395">
            <w:pPr>
              <w:widowControl/>
              <w:autoSpaceDE/>
              <w:autoSpaceDN/>
              <w:adjustRightInd/>
              <w:spacing w:beforeLines="20" w:before="48" w:afterLines="20" w:after="48"/>
              <w:rPr>
                <w:rFonts w:ascii="Arial" w:hAnsi="Arial" w:cs="Arial"/>
                <w:sz w:val="20"/>
                <w:szCs w:val="20"/>
                <w:lang w:val="en-CA"/>
              </w:rPr>
            </w:pPr>
            <w:r w:rsidRPr="007D1395">
              <w:rPr>
                <w:rFonts w:ascii="Arial" w:hAnsi="Arial" w:cs="Arial"/>
                <w:sz w:val="20"/>
                <w:szCs w:val="20"/>
                <w:lang w:val="en-CA"/>
              </w:rPr>
              <w:t>To determine whether an IU qualifies for a general permit</w:t>
            </w:r>
          </w:p>
        </w:tc>
      </w:tr>
      <w:tr w:rsidR="007D1395" w:rsidRPr="007D1395" w14:paraId="370B82A5" w14:textId="77777777" w:rsidTr="00F25DE1">
        <w:tc>
          <w:tcPr>
            <w:tcW w:w="2442" w:type="dxa"/>
          </w:tcPr>
          <w:p w14:paraId="5003BBB6" w14:textId="77777777" w:rsidR="007D1395" w:rsidRPr="007D1395" w:rsidRDefault="007D1395" w:rsidP="007D1395">
            <w:pPr>
              <w:widowControl/>
              <w:autoSpaceDE/>
              <w:autoSpaceDN/>
              <w:adjustRightInd/>
              <w:spacing w:beforeLines="20" w:before="48" w:afterLines="20" w:after="48"/>
              <w:rPr>
                <w:rFonts w:ascii="Arial" w:hAnsi="Arial" w:cs="Arial"/>
                <w:sz w:val="20"/>
                <w:szCs w:val="20"/>
              </w:rPr>
            </w:pPr>
            <w:r w:rsidRPr="007D1395">
              <w:rPr>
                <w:rFonts w:ascii="Arial" w:hAnsi="Arial" w:cs="Arial"/>
                <w:sz w:val="20"/>
                <w:szCs w:val="20"/>
              </w:rPr>
              <w:t>IU self-monitoring compliance report</w:t>
            </w:r>
          </w:p>
        </w:tc>
        <w:tc>
          <w:tcPr>
            <w:tcW w:w="864" w:type="dxa"/>
          </w:tcPr>
          <w:p w14:paraId="3A45274F" w14:textId="77777777" w:rsidR="007D1395" w:rsidRPr="007D1395" w:rsidRDefault="007D1395" w:rsidP="007D1395">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IU</w:t>
            </w:r>
          </w:p>
        </w:tc>
        <w:tc>
          <w:tcPr>
            <w:tcW w:w="869" w:type="dxa"/>
          </w:tcPr>
          <w:p w14:paraId="0A01D4A6" w14:textId="77777777" w:rsidR="007D1395" w:rsidRPr="007D1395" w:rsidRDefault="007D1395" w:rsidP="007D1395">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CA</w:t>
            </w:r>
          </w:p>
        </w:tc>
        <w:tc>
          <w:tcPr>
            <w:tcW w:w="1517" w:type="dxa"/>
          </w:tcPr>
          <w:p w14:paraId="03479AB5" w14:textId="77777777" w:rsidR="007D1395" w:rsidRPr="007D1395" w:rsidRDefault="007D1395" w:rsidP="007D1395">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403.12(e), 403.12(h)</w:t>
            </w:r>
          </w:p>
        </w:tc>
        <w:tc>
          <w:tcPr>
            <w:tcW w:w="4019" w:type="dxa"/>
          </w:tcPr>
          <w:p w14:paraId="6D06C048" w14:textId="77777777" w:rsidR="007D1395" w:rsidRPr="007D1395" w:rsidRDefault="007D1395" w:rsidP="007D1395">
            <w:pPr>
              <w:widowControl/>
              <w:autoSpaceDE/>
              <w:autoSpaceDN/>
              <w:adjustRightInd/>
              <w:spacing w:beforeLines="20" w:before="48" w:afterLines="20" w:after="48"/>
              <w:rPr>
                <w:rFonts w:ascii="Arial" w:hAnsi="Arial" w:cs="Arial"/>
                <w:sz w:val="20"/>
                <w:szCs w:val="20"/>
              </w:rPr>
            </w:pPr>
            <w:r w:rsidRPr="007D1395">
              <w:rPr>
                <w:rFonts w:ascii="Arial" w:hAnsi="Arial" w:cs="Arial"/>
                <w:sz w:val="20"/>
                <w:szCs w:val="20"/>
                <w:lang w:val="en-CA"/>
              </w:rPr>
              <w:fldChar w:fldCharType="begin"/>
            </w:r>
            <w:r w:rsidRPr="007D1395">
              <w:rPr>
                <w:rFonts w:ascii="Arial" w:hAnsi="Arial" w:cs="Arial"/>
                <w:sz w:val="20"/>
                <w:szCs w:val="20"/>
                <w:lang w:val="en-CA"/>
              </w:rPr>
              <w:instrText xml:space="preserve"> SEQ CHAPTER \h \r 1</w:instrText>
            </w:r>
            <w:r w:rsidRPr="007D1395">
              <w:rPr>
                <w:rFonts w:ascii="Arial" w:hAnsi="Arial" w:cs="Arial"/>
                <w:sz w:val="20"/>
                <w:szCs w:val="20"/>
                <w:lang w:val="en-CA"/>
              </w:rPr>
              <w:fldChar w:fldCharType="end"/>
            </w:r>
            <w:r w:rsidRPr="007D1395">
              <w:rPr>
                <w:rFonts w:ascii="Arial" w:hAnsi="Arial" w:cs="Arial"/>
                <w:sz w:val="20"/>
                <w:szCs w:val="20"/>
              </w:rPr>
              <w:t xml:space="preserve">To ensure continued IU compliance with </w:t>
            </w:r>
            <w:smartTag w:uri="urn:schemas-microsoft-com:office:smarttags" w:element="PersonName">
              <w:r w:rsidRPr="007D1395">
                <w:rPr>
                  <w:rFonts w:ascii="Arial" w:hAnsi="Arial" w:cs="Arial"/>
                  <w:sz w:val="20"/>
                  <w:szCs w:val="20"/>
                </w:rPr>
                <w:t>the</w:t>
              </w:r>
            </w:smartTag>
            <w:r w:rsidRPr="007D1395">
              <w:rPr>
                <w:rFonts w:ascii="Arial" w:hAnsi="Arial" w:cs="Arial"/>
                <w:sz w:val="20"/>
                <w:szCs w:val="20"/>
              </w:rPr>
              <w:t xml:space="preserve"> pretreatment standards and to determine whether enforcement actions are necessary</w:t>
            </w:r>
          </w:p>
        </w:tc>
      </w:tr>
      <w:tr w:rsidR="007D1395" w:rsidRPr="007D1395" w14:paraId="33D97A81" w14:textId="77777777" w:rsidTr="00F25DE1">
        <w:tc>
          <w:tcPr>
            <w:tcW w:w="2442" w:type="dxa"/>
          </w:tcPr>
          <w:p w14:paraId="4F9FC17E" w14:textId="77777777" w:rsidR="007D1395" w:rsidRPr="007D1395" w:rsidRDefault="007D1395" w:rsidP="007D1395">
            <w:pPr>
              <w:widowControl/>
              <w:autoSpaceDE/>
              <w:autoSpaceDN/>
              <w:adjustRightInd/>
              <w:spacing w:beforeLines="20" w:before="48" w:afterLines="20" w:after="48"/>
              <w:rPr>
                <w:rFonts w:ascii="Arial" w:hAnsi="Arial" w:cs="Arial"/>
                <w:sz w:val="20"/>
                <w:szCs w:val="20"/>
              </w:rPr>
            </w:pPr>
            <w:r w:rsidRPr="007D1395">
              <w:rPr>
                <w:rFonts w:ascii="Arial" w:hAnsi="Arial" w:cs="Arial"/>
                <w:sz w:val="20"/>
                <w:szCs w:val="20"/>
              </w:rPr>
              <w:t>Pollution prevention plan (Voluntary)</w:t>
            </w:r>
          </w:p>
        </w:tc>
        <w:tc>
          <w:tcPr>
            <w:tcW w:w="864" w:type="dxa"/>
          </w:tcPr>
          <w:p w14:paraId="3ECED88A" w14:textId="77777777" w:rsidR="007D1395" w:rsidRPr="007D1395" w:rsidRDefault="007D1395" w:rsidP="007D1395">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IU</w:t>
            </w:r>
          </w:p>
        </w:tc>
        <w:tc>
          <w:tcPr>
            <w:tcW w:w="869" w:type="dxa"/>
          </w:tcPr>
          <w:p w14:paraId="2055F0D7" w14:textId="77777777" w:rsidR="007D1395" w:rsidRPr="007D1395" w:rsidRDefault="007D1395" w:rsidP="007D1395">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CA</w:t>
            </w:r>
          </w:p>
        </w:tc>
        <w:tc>
          <w:tcPr>
            <w:tcW w:w="1517" w:type="dxa"/>
          </w:tcPr>
          <w:p w14:paraId="1C051F41" w14:textId="77777777" w:rsidR="007D1395" w:rsidRPr="007D1395" w:rsidRDefault="007D1395" w:rsidP="007D1395">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455.41</w:t>
            </w:r>
          </w:p>
        </w:tc>
        <w:tc>
          <w:tcPr>
            <w:tcW w:w="4019" w:type="dxa"/>
          </w:tcPr>
          <w:p w14:paraId="0B8CCE78" w14:textId="6DBD86CF" w:rsidR="007D1395" w:rsidRPr="007D1395" w:rsidRDefault="0054364E" w:rsidP="0054364E">
            <w:pPr>
              <w:widowControl/>
              <w:autoSpaceDE/>
              <w:autoSpaceDN/>
              <w:adjustRightInd/>
              <w:spacing w:beforeLines="20" w:before="48" w:afterLines="20" w:after="48"/>
              <w:rPr>
                <w:rFonts w:ascii="Arial" w:hAnsi="Arial" w:cs="Arial"/>
                <w:sz w:val="20"/>
                <w:szCs w:val="20"/>
              </w:rPr>
            </w:pPr>
            <w:r>
              <w:rPr>
                <w:rFonts w:ascii="Arial" w:hAnsi="Arial" w:cs="Arial"/>
                <w:sz w:val="20"/>
                <w:szCs w:val="20"/>
                <w:lang w:val="en-CA"/>
              </w:rPr>
              <w:t>T</w:t>
            </w:r>
            <w:r w:rsidRPr="0054364E">
              <w:rPr>
                <w:rFonts w:ascii="Arial" w:hAnsi="Arial" w:cs="Arial"/>
                <w:sz w:val="20"/>
                <w:szCs w:val="20"/>
                <w:lang w:val="en-CA"/>
              </w:rPr>
              <w:t>o support decisions regarding allowing CIUs to reduce or eliminate analytical sampling requirements</w:t>
            </w:r>
            <w:r>
              <w:rPr>
                <w:rFonts w:ascii="Arial" w:hAnsi="Arial" w:cs="Arial"/>
                <w:sz w:val="20"/>
                <w:szCs w:val="20"/>
                <w:lang w:val="en-CA"/>
              </w:rPr>
              <w:t xml:space="preserve">; </w:t>
            </w:r>
            <w:r w:rsidRPr="007D1395">
              <w:rPr>
                <w:rFonts w:ascii="Arial" w:hAnsi="Arial" w:cs="Arial"/>
                <w:sz w:val="20"/>
                <w:szCs w:val="20"/>
                <w:lang w:val="en-CA"/>
              </w:rPr>
              <w:fldChar w:fldCharType="begin"/>
            </w:r>
            <w:r w:rsidRPr="007D1395">
              <w:rPr>
                <w:rFonts w:ascii="Arial" w:hAnsi="Arial" w:cs="Arial"/>
                <w:sz w:val="20"/>
                <w:szCs w:val="20"/>
                <w:lang w:val="en-CA"/>
              </w:rPr>
              <w:instrText xml:space="preserve"> SEQ CHAPTER \h \r 1</w:instrText>
            </w:r>
            <w:r w:rsidRPr="007D1395">
              <w:rPr>
                <w:rFonts w:ascii="Arial" w:hAnsi="Arial" w:cs="Arial"/>
                <w:sz w:val="20"/>
                <w:szCs w:val="20"/>
                <w:lang w:val="en-CA"/>
              </w:rPr>
              <w:fldChar w:fldCharType="end"/>
            </w:r>
            <w:r>
              <w:rPr>
                <w:rFonts w:ascii="Arial" w:hAnsi="Arial" w:cs="Arial"/>
                <w:sz w:val="20"/>
                <w:szCs w:val="20"/>
                <w:lang w:val="en-CA"/>
              </w:rPr>
              <w:t>t</w:t>
            </w:r>
            <w:r w:rsidRPr="007D1395">
              <w:rPr>
                <w:rFonts w:ascii="Arial" w:hAnsi="Arial" w:cs="Arial"/>
                <w:sz w:val="20"/>
                <w:szCs w:val="20"/>
              </w:rPr>
              <w:t xml:space="preserve">o </w:t>
            </w:r>
            <w:r w:rsidR="007D1395" w:rsidRPr="007D1395">
              <w:rPr>
                <w:rFonts w:ascii="Arial" w:hAnsi="Arial" w:cs="Arial"/>
                <w:sz w:val="20"/>
                <w:szCs w:val="20"/>
              </w:rPr>
              <w:t xml:space="preserve">ensure that IUs covered by the Pesticides Formulating, Packaging, and Repackaging effluent </w:t>
            </w:r>
            <w:r w:rsidR="007D1395" w:rsidRPr="007D1395">
              <w:rPr>
                <w:rFonts w:ascii="Arial" w:hAnsi="Arial" w:cs="Arial"/>
                <w:sz w:val="20"/>
                <w:szCs w:val="20"/>
              </w:rPr>
              <w:lastRenderedPageBreak/>
              <w:t>guidelines have prepared a pollution prevention plan as an alternative to zero discharge</w:t>
            </w:r>
          </w:p>
        </w:tc>
      </w:tr>
      <w:tr w:rsidR="002C26E9" w:rsidRPr="007D1395" w14:paraId="7EC6D704" w14:textId="77777777" w:rsidTr="00F25DE1">
        <w:tc>
          <w:tcPr>
            <w:tcW w:w="2442" w:type="dxa"/>
          </w:tcPr>
          <w:p w14:paraId="17EE5724" w14:textId="7257DFB3" w:rsidR="002C26E9" w:rsidRPr="007D1395" w:rsidRDefault="002C26E9" w:rsidP="002C26E9">
            <w:pPr>
              <w:widowControl/>
              <w:autoSpaceDE/>
              <w:autoSpaceDN/>
              <w:adjustRightInd/>
              <w:spacing w:beforeLines="20" w:before="48" w:afterLines="20" w:after="48"/>
              <w:rPr>
                <w:rFonts w:ascii="Arial" w:hAnsi="Arial" w:cs="Arial"/>
                <w:sz w:val="20"/>
                <w:szCs w:val="20"/>
              </w:rPr>
            </w:pPr>
            <w:r w:rsidRPr="007D1395">
              <w:rPr>
                <w:rFonts w:ascii="Arial" w:hAnsi="Arial" w:cs="Arial"/>
                <w:sz w:val="20"/>
                <w:szCs w:val="20"/>
              </w:rPr>
              <w:lastRenderedPageBreak/>
              <w:t>Periodic certifications</w:t>
            </w:r>
          </w:p>
        </w:tc>
        <w:tc>
          <w:tcPr>
            <w:tcW w:w="864" w:type="dxa"/>
          </w:tcPr>
          <w:p w14:paraId="2D91B67A" w14:textId="302DBB68" w:rsidR="002C26E9" w:rsidRPr="007D1395" w:rsidRDefault="002C26E9" w:rsidP="002C26E9">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IU</w:t>
            </w:r>
          </w:p>
        </w:tc>
        <w:tc>
          <w:tcPr>
            <w:tcW w:w="869" w:type="dxa"/>
          </w:tcPr>
          <w:p w14:paraId="4A123B37" w14:textId="657B557A" w:rsidR="002C26E9" w:rsidRPr="007D1395" w:rsidRDefault="002C26E9" w:rsidP="002C26E9">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CA</w:t>
            </w:r>
          </w:p>
        </w:tc>
        <w:tc>
          <w:tcPr>
            <w:tcW w:w="1517" w:type="dxa"/>
          </w:tcPr>
          <w:p w14:paraId="38767F1A" w14:textId="478B1B36" w:rsidR="002C26E9" w:rsidRPr="007D1395" w:rsidRDefault="002C26E9" w:rsidP="002C26E9">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Varies**</w:t>
            </w:r>
          </w:p>
        </w:tc>
        <w:tc>
          <w:tcPr>
            <w:tcW w:w="4019" w:type="dxa"/>
          </w:tcPr>
          <w:p w14:paraId="34F6E548" w14:textId="67C85992" w:rsidR="002C26E9" w:rsidRPr="007D1395" w:rsidRDefault="002C26E9" w:rsidP="002C26E9">
            <w:pPr>
              <w:widowControl/>
              <w:autoSpaceDE/>
              <w:autoSpaceDN/>
              <w:adjustRightInd/>
              <w:spacing w:beforeLines="20" w:before="48" w:afterLines="20" w:after="48"/>
              <w:rPr>
                <w:rFonts w:ascii="Arial" w:hAnsi="Arial" w:cs="Arial"/>
                <w:sz w:val="20"/>
                <w:szCs w:val="20"/>
                <w:lang w:val="en-CA"/>
              </w:rPr>
            </w:pPr>
            <w:r w:rsidRPr="002C26E9">
              <w:rPr>
                <w:rFonts w:ascii="Arial" w:hAnsi="Arial" w:cs="Arial"/>
                <w:sz w:val="20"/>
                <w:szCs w:val="20"/>
                <w:lang w:val="en-CA"/>
              </w:rPr>
              <w:t>To ensure IUs practicing reduced monitoring comply with certification requirements and meet criteria for reduced monitoring</w:t>
            </w:r>
          </w:p>
        </w:tc>
      </w:tr>
      <w:tr w:rsidR="00F25DE1" w:rsidRPr="007D1395" w14:paraId="29F9E1E1" w14:textId="77777777" w:rsidTr="00F25DE1">
        <w:tc>
          <w:tcPr>
            <w:tcW w:w="2442" w:type="dxa"/>
          </w:tcPr>
          <w:p w14:paraId="75E50A18" w14:textId="03823BE4" w:rsidR="00F25DE1" w:rsidRPr="007D1395" w:rsidRDefault="00F25DE1" w:rsidP="00F25DE1">
            <w:pPr>
              <w:widowControl/>
              <w:autoSpaceDE/>
              <w:autoSpaceDN/>
              <w:adjustRightInd/>
              <w:spacing w:beforeLines="20" w:before="48" w:afterLines="20" w:after="48"/>
              <w:rPr>
                <w:rFonts w:ascii="Arial" w:hAnsi="Arial" w:cs="Arial"/>
                <w:sz w:val="20"/>
                <w:szCs w:val="20"/>
              </w:rPr>
            </w:pPr>
            <w:r w:rsidRPr="007D1395">
              <w:rPr>
                <w:rFonts w:ascii="Arial" w:hAnsi="Arial" w:cs="Arial"/>
                <w:sz w:val="20"/>
                <w:szCs w:val="20"/>
              </w:rPr>
              <w:t>POTW monitoring records and documentation of best management practices (BMPs)*</w:t>
            </w:r>
          </w:p>
        </w:tc>
        <w:tc>
          <w:tcPr>
            <w:tcW w:w="864" w:type="dxa"/>
          </w:tcPr>
          <w:p w14:paraId="6EC12C62" w14:textId="36404729" w:rsidR="00F25DE1" w:rsidRPr="007D1395" w:rsidRDefault="00F25DE1" w:rsidP="00F25DE1">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POTW</w:t>
            </w:r>
          </w:p>
        </w:tc>
        <w:tc>
          <w:tcPr>
            <w:tcW w:w="869" w:type="dxa"/>
          </w:tcPr>
          <w:p w14:paraId="03D09A93" w14:textId="5AF6C59C" w:rsidR="00F25DE1" w:rsidRPr="007D1395" w:rsidRDefault="00F25DE1" w:rsidP="00F25DE1">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Stored on site</w:t>
            </w:r>
          </w:p>
        </w:tc>
        <w:tc>
          <w:tcPr>
            <w:tcW w:w="1517" w:type="dxa"/>
          </w:tcPr>
          <w:p w14:paraId="74C6AD53" w14:textId="4807EA15" w:rsidR="00F25DE1" w:rsidRPr="007D1395" w:rsidRDefault="00F25DE1" w:rsidP="00F25DE1">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 xml:space="preserve">403.12(o), </w:t>
            </w:r>
          </w:p>
        </w:tc>
        <w:tc>
          <w:tcPr>
            <w:tcW w:w="4019" w:type="dxa"/>
          </w:tcPr>
          <w:p w14:paraId="04F444A3" w14:textId="72ABFD7E" w:rsidR="00F25DE1" w:rsidRPr="002C26E9" w:rsidRDefault="00F25DE1" w:rsidP="00F25DE1">
            <w:pPr>
              <w:widowControl/>
              <w:autoSpaceDE/>
              <w:autoSpaceDN/>
              <w:adjustRightInd/>
              <w:spacing w:beforeLines="20" w:before="48" w:afterLines="20" w:after="48"/>
              <w:rPr>
                <w:rFonts w:ascii="Arial" w:hAnsi="Arial" w:cs="Arial"/>
                <w:sz w:val="20"/>
                <w:szCs w:val="20"/>
                <w:lang w:val="en-CA"/>
              </w:rPr>
            </w:pPr>
            <w:r w:rsidRPr="007D1395">
              <w:rPr>
                <w:rFonts w:ascii="Arial" w:hAnsi="Arial" w:cs="Arial"/>
                <w:sz w:val="20"/>
                <w:szCs w:val="20"/>
                <w:lang w:val="en-CA"/>
              </w:rPr>
              <w:fldChar w:fldCharType="begin"/>
            </w:r>
            <w:r w:rsidRPr="007D1395">
              <w:rPr>
                <w:rFonts w:ascii="Arial" w:hAnsi="Arial" w:cs="Arial"/>
                <w:sz w:val="20"/>
                <w:szCs w:val="20"/>
                <w:lang w:val="en-CA"/>
              </w:rPr>
              <w:instrText xml:space="preserve"> SEQ CHAPTER \h \r 1</w:instrText>
            </w:r>
            <w:r w:rsidRPr="007D1395">
              <w:rPr>
                <w:rFonts w:ascii="Arial" w:hAnsi="Arial" w:cs="Arial"/>
                <w:sz w:val="20"/>
                <w:szCs w:val="20"/>
                <w:lang w:val="en-CA"/>
              </w:rPr>
              <w:fldChar w:fldCharType="end"/>
            </w:r>
            <w:r w:rsidRPr="007D1395">
              <w:rPr>
                <w:rFonts w:ascii="Arial" w:hAnsi="Arial" w:cs="Arial"/>
                <w:sz w:val="20"/>
                <w:szCs w:val="20"/>
              </w:rPr>
              <w:t xml:space="preserve">To allow AA to verify POTW compliance with national </w:t>
            </w:r>
            <w:r>
              <w:rPr>
                <w:rFonts w:ascii="Arial" w:hAnsi="Arial" w:cs="Arial"/>
                <w:sz w:val="20"/>
                <w:szCs w:val="20"/>
              </w:rPr>
              <w:t>p</w:t>
            </w:r>
            <w:r w:rsidRPr="007D1395">
              <w:rPr>
                <w:rFonts w:ascii="Arial" w:hAnsi="Arial" w:cs="Arial"/>
                <w:sz w:val="20"/>
                <w:szCs w:val="20"/>
              </w:rPr>
              <w:t xml:space="preserve">retreatment </w:t>
            </w:r>
            <w:r>
              <w:rPr>
                <w:rFonts w:ascii="Arial" w:hAnsi="Arial" w:cs="Arial"/>
                <w:sz w:val="20"/>
                <w:szCs w:val="20"/>
              </w:rPr>
              <w:t>s</w:t>
            </w:r>
            <w:r w:rsidRPr="007D1395">
              <w:rPr>
                <w:rFonts w:ascii="Arial" w:hAnsi="Arial" w:cs="Arial"/>
                <w:sz w:val="20"/>
                <w:szCs w:val="20"/>
              </w:rPr>
              <w:t xml:space="preserve">tandards and </w:t>
            </w:r>
            <w:r>
              <w:rPr>
                <w:rFonts w:ascii="Arial" w:hAnsi="Arial" w:cs="Arial"/>
                <w:sz w:val="20"/>
                <w:szCs w:val="20"/>
              </w:rPr>
              <w:t>r</w:t>
            </w:r>
            <w:r w:rsidRPr="007D1395">
              <w:rPr>
                <w:rFonts w:ascii="Arial" w:hAnsi="Arial" w:cs="Arial"/>
                <w:sz w:val="20"/>
                <w:szCs w:val="20"/>
              </w:rPr>
              <w:t>equirements</w:t>
            </w:r>
          </w:p>
        </w:tc>
      </w:tr>
      <w:tr w:rsidR="00F25DE1" w:rsidRPr="007D1395" w14:paraId="26DC14A0" w14:textId="77777777" w:rsidTr="00F25DE1">
        <w:tc>
          <w:tcPr>
            <w:tcW w:w="2442" w:type="dxa"/>
          </w:tcPr>
          <w:p w14:paraId="6F8E08FE" w14:textId="4B28D11F" w:rsidR="00F25DE1" w:rsidRPr="007D1395" w:rsidRDefault="00F25DE1" w:rsidP="00F25DE1">
            <w:pPr>
              <w:widowControl/>
              <w:autoSpaceDE/>
              <w:autoSpaceDN/>
              <w:adjustRightInd/>
              <w:spacing w:beforeLines="20" w:before="48" w:afterLines="20" w:after="48"/>
              <w:rPr>
                <w:rFonts w:ascii="Arial" w:hAnsi="Arial" w:cs="Arial"/>
                <w:sz w:val="20"/>
                <w:szCs w:val="20"/>
              </w:rPr>
            </w:pPr>
            <w:r w:rsidRPr="007D1395">
              <w:rPr>
                <w:rFonts w:ascii="Arial" w:hAnsi="Arial" w:cs="Arial"/>
                <w:sz w:val="20"/>
                <w:szCs w:val="20"/>
              </w:rPr>
              <w:t>IU monitoring records and documentation of BMPs*</w:t>
            </w:r>
          </w:p>
        </w:tc>
        <w:tc>
          <w:tcPr>
            <w:tcW w:w="864" w:type="dxa"/>
          </w:tcPr>
          <w:p w14:paraId="36FBD8A2" w14:textId="77EB5FF6" w:rsidR="00F25DE1" w:rsidRPr="007D1395" w:rsidRDefault="00F25DE1" w:rsidP="00F25DE1">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IU</w:t>
            </w:r>
          </w:p>
        </w:tc>
        <w:tc>
          <w:tcPr>
            <w:tcW w:w="869" w:type="dxa"/>
          </w:tcPr>
          <w:p w14:paraId="76B2891A" w14:textId="1BCD4812" w:rsidR="00F25DE1" w:rsidRPr="007D1395" w:rsidRDefault="00F25DE1" w:rsidP="00F25DE1">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Stored on site</w:t>
            </w:r>
          </w:p>
        </w:tc>
        <w:tc>
          <w:tcPr>
            <w:tcW w:w="1517" w:type="dxa"/>
          </w:tcPr>
          <w:p w14:paraId="3A42AAE0" w14:textId="2D529D00" w:rsidR="00F25DE1" w:rsidRPr="007D1395" w:rsidRDefault="00F25DE1" w:rsidP="00F25DE1">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403.12(o)</w:t>
            </w:r>
          </w:p>
        </w:tc>
        <w:tc>
          <w:tcPr>
            <w:tcW w:w="4019" w:type="dxa"/>
          </w:tcPr>
          <w:p w14:paraId="2AA213BD" w14:textId="555DE742" w:rsidR="00F25DE1" w:rsidRPr="002C26E9" w:rsidRDefault="00F25DE1" w:rsidP="00F25DE1">
            <w:pPr>
              <w:widowControl/>
              <w:autoSpaceDE/>
              <w:autoSpaceDN/>
              <w:adjustRightInd/>
              <w:spacing w:beforeLines="20" w:before="48" w:afterLines="20" w:after="48"/>
              <w:rPr>
                <w:rFonts w:ascii="Arial" w:hAnsi="Arial" w:cs="Arial"/>
                <w:sz w:val="20"/>
                <w:szCs w:val="20"/>
                <w:lang w:val="en-CA"/>
              </w:rPr>
            </w:pPr>
            <w:r w:rsidRPr="007D1395">
              <w:rPr>
                <w:rFonts w:ascii="Arial" w:hAnsi="Arial" w:cs="Arial"/>
                <w:sz w:val="20"/>
                <w:szCs w:val="20"/>
                <w:lang w:val="en-CA"/>
              </w:rPr>
              <w:fldChar w:fldCharType="begin"/>
            </w:r>
            <w:r w:rsidRPr="007D1395">
              <w:rPr>
                <w:rFonts w:ascii="Arial" w:hAnsi="Arial" w:cs="Arial"/>
                <w:sz w:val="20"/>
                <w:szCs w:val="20"/>
                <w:lang w:val="en-CA"/>
              </w:rPr>
              <w:instrText xml:space="preserve"> SEQ CHAPTER \h \r 1</w:instrText>
            </w:r>
            <w:r w:rsidRPr="007D1395">
              <w:rPr>
                <w:rFonts w:ascii="Arial" w:hAnsi="Arial" w:cs="Arial"/>
                <w:sz w:val="20"/>
                <w:szCs w:val="20"/>
                <w:lang w:val="en-CA"/>
              </w:rPr>
              <w:fldChar w:fldCharType="end"/>
            </w:r>
            <w:r w:rsidRPr="007D1395">
              <w:rPr>
                <w:rFonts w:ascii="Arial" w:hAnsi="Arial" w:cs="Arial"/>
                <w:sz w:val="20"/>
                <w:szCs w:val="20"/>
              </w:rPr>
              <w:t xml:space="preserve">To allow CA to verify IU compliance with national </w:t>
            </w:r>
            <w:r>
              <w:rPr>
                <w:rFonts w:ascii="Arial" w:hAnsi="Arial" w:cs="Arial"/>
                <w:sz w:val="20"/>
                <w:szCs w:val="20"/>
              </w:rPr>
              <w:t xml:space="preserve">pretreatment </w:t>
            </w:r>
            <w:r w:rsidRPr="007D1395">
              <w:rPr>
                <w:rFonts w:ascii="Arial" w:hAnsi="Arial" w:cs="Arial"/>
                <w:sz w:val="20"/>
                <w:szCs w:val="20"/>
              </w:rPr>
              <w:t>standards and requirements</w:t>
            </w:r>
          </w:p>
        </w:tc>
      </w:tr>
      <w:tr w:rsidR="00F25DE1" w:rsidRPr="007D1395" w14:paraId="0086C2E4" w14:textId="77777777" w:rsidTr="00F25DE1">
        <w:tc>
          <w:tcPr>
            <w:tcW w:w="2442" w:type="dxa"/>
          </w:tcPr>
          <w:p w14:paraId="1EE03224" w14:textId="0E7DBC27" w:rsidR="00F25DE1" w:rsidRPr="007D1395" w:rsidRDefault="00F25DE1" w:rsidP="00F25DE1">
            <w:pPr>
              <w:widowControl/>
              <w:autoSpaceDE/>
              <w:autoSpaceDN/>
              <w:adjustRightInd/>
              <w:spacing w:beforeLines="20" w:before="48" w:afterLines="20" w:after="48"/>
              <w:rPr>
                <w:rFonts w:ascii="Arial" w:hAnsi="Arial" w:cs="Arial"/>
                <w:sz w:val="20"/>
                <w:szCs w:val="20"/>
              </w:rPr>
            </w:pPr>
            <w:r w:rsidRPr="007D1395">
              <w:rPr>
                <w:rFonts w:ascii="Arial" w:hAnsi="Arial" w:cs="Arial"/>
                <w:sz w:val="20"/>
                <w:szCs w:val="20"/>
              </w:rPr>
              <w:t>Annual POTW reports</w:t>
            </w:r>
          </w:p>
        </w:tc>
        <w:tc>
          <w:tcPr>
            <w:tcW w:w="864" w:type="dxa"/>
          </w:tcPr>
          <w:p w14:paraId="19F048B3" w14:textId="08A7CA3C" w:rsidR="00F25DE1" w:rsidRPr="007D1395" w:rsidRDefault="00F25DE1" w:rsidP="00F25DE1">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CA</w:t>
            </w:r>
          </w:p>
        </w:tc>
        <w:tc>
          <w:tcPr>
            <w:tcW w:w="869" w:type="dxa"/>
          </w:tcPr>
          <w:p w14:paraId="3221C8A7" w14:textId="28061DC4" w:rsidR="00F25DE1" w:rsidRPr="007D1395" w:rsidRDefault="00F25DE1" w:rsidP="00F25DE1">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AA</w:t>
            </w:r>
          </w:p>
        </w:tc>
        <w:tc>
          <w:tcPr>
            <w:tcW w:w="1517" w:type="dxa"/>
          </w:tcPr>
          <w:p w14:paraId="551B8F66" w14:textId="0DB0A400" w:rsidR="00F25DE1" w:rsidRPr="007D1395" w:rsidRDefault="00F25DE1" w:rsidP="00F25DE1">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403.12(i)</w:t>
            </w:r>
          </w:p>
        </w:tc>
        <w:tc>
          <w:tcPr>
            <w:tcW w:w="4019" w:type="dxa"/>
          </w:tcPr>
          <w:p w14:paraId="1D592901" w14:textId="4C904587" w:rsidR="00F25DE1" w:rsidRPr="002C26E9" w:rsidRDefault="00F25DE1" w:rsidP="00F25DE1">
            <w:pPr>
              <w:widowControl/>
              <w:autoSpaceDE/>
              <w:autoSpaceDN/>
              <w:adjustRightInd/>
              <w:spacing w:beforeLines="20" w:before="48" w:afterLines="20" w:after="48"/>
              <w:rPr>
                <w:rFonts w:ascii="Arial" w:hAnsi="Arial" w:cs="Arial"/>
                <w:sz w:val="20"/>
                <w:szCs w:val="20"/>
                <w:lang w:val="en-CA"/>
              </w:rPr>
            </w:pPr>
            <w:r w:rsidRPr="007D1395">
              <w:rPr>
                <w:rFonts w:ascii="Arial" w:hAnsi="Arial" w:cs="Arial"/>
                <w:sz w:val="20"/>
                <w:szCs w:val="20"/>
                <w:lang w:val="en-CA"/>
              </w:rPr>
              <w:fldChar w:fldCharType="begin"/>
            </w:r>
            <w:r w:rsidRPr="007D1395">
              <w:rPr>
                <w:rFonts w:ascii="Arial" w:hAnsi="Arial" w:cs="Arial"/>
                <w:sz w:val="20"/>
                <w:szCs w:val="20"/>
                <w:lang w:val="en-CA"/>
              </w:rPr>
              <w:instrText xml:space="preserve"> SEQ CHAPTER \h \r 1</w:instrText>
            </w:r>
            <w:r w:rsidRPr="007D1395">
              <w:rPr>
                <w:rFonts w:ascii="Arial" w:hAnsi="Arial" w:cs="Arial"/>
                <w:sz w:val="20"/>
                <w:szCs w:val="20"/>
                <w:lang w:val="en-CA"/>
              </w:rPr>
              <w:fldChar w:fldCharType="end"/>
            </w:r>
            <w:r w:rsidRPr="007D1395">
              <w:rPr>
                <w:rFonts w:ascii="Arial" w:hAnsi="Arial" w:cs="Arial"/>
                <w:sz w:val="20"/>
                <w:szCs w:val="20"/>
              </w:rPr>
              <w:t xml:space="preserve">To adequately oversee POTW pretreatment programs and resulting national implementation status; also, to ensure compliance with </w:t>
            </w:r>
            <w:r>
              <w:rPr>
                <w:rFonts w:ascii="Arial" w:hAnsi="Arial" w:cs="Arial"/>
                <w:sz w:val="20"/>
                <w:szCs w:val="20"/>
              </w:rPr>
              <w:t>n</w:t>
            </w:r>
            <w:r w:rsidRPr="007D1395">
              <w:rPr>
                <w:rFonts w:ascii="Arial" w:hAnsi="Arial" w:cs="Arial"/>
                <w:sz w:val="20"/>
                <w:szCs w:val="20"/>
              </w:rPr>
              <w:t xml:space="preserve">ational </w:t>
            </w:r>
            <w:r>
              <w:rPr>
                <w:rFonts w:ascii="Arial" w:hAnsi="Arial" w:cs="Arial"/>
                <w:sz w:val="20"/>
                <w:szCs w:val="20"/>
              </w:rPr>
              <w:t>p</w:t>
            </w:r>
            <w:r w:rsidRPr="007D1395">
              <w:rPr>
                <w:rFonts w:ascii="Arial" w:hAnsi="Arial" w:cs="Arial"/>
                <w:sz w:val="20"/>
                <w:szCs w:val="20"/>
              </w:rPr>
              <w:t xml:space="preserve">retreatment </w:t>
            </w:r>
            <w:r>
              <w:rPr>
                <w:rFonts w:ascii="Arial" w:hAnsi="Arial" w:cs="Arial"/>
                <w:sz w:val="20"/>
                <w:szCs w:val="20"/>
              </w:rPr>
              <w:t>s</w:t>
            </w:r>
            <w:r w:rsidRPr="007D1395">
              <w:rPr>
                <w:rFonts w:ascii="Arial" w:hAnsi="Arial" w:cs="Arial"/>
                <w:sz w:val="20"/>
                <w:szCs w:val="20"/>
              </w:rPr>
              <w:t xml:space="preserve">tandards and </w:t>
            </w:r>
            <w:r>
              <w:rPr>
                <w:rFonts w:ascii="Arial" w:hAnsi="Arial" w:cs="Arial"/>
                <w:sz w:val="20"/>
                <w:szCs w:val="20"/>
              </w:rPr>
              <w:t>r</w:t>
            </w:r>
            <w:r w:rsidRPr="007D1395">
              <w:rPr>
                <w:rFonts w:ascii="Arial" w:hAnsi="Arial" w:cs="Arial"/>
                <w:sz w:val="20"/>
                <w:szCs w:val="20"/>
              </w:rPr>
              <w:t>equirements</w:t>
            </w:r>
          </w:p>
        </w:tc>
      </w:tr>
      <w:tr w:rsidR="00F25DE1" w:rsidRPr="007D1395" w14:paraId="28F0EBA0" w14:textId="77777777" w:rsidTr="00F25DE1">
        <w:tc>
          <w:tcPr>
            <w:tcW w:w="2442" w:type="dxa"/>
          </w:tcPr>
          <w:p w14:paraId="1CB9D29C" w14:textId="55C8285B" w:rsidR="00F25DE1" w:rsidRPr="007D1395" w:rsidRDefault="00F25DE1" w:rsidP="00F25DE1">
            <w:pPr>
              <w:widowControl/>
              <w:autoSpaceDE/>
              <w:autoSpaceDN/>
              <w:adjustRightInd/>
              <w:spacing w:beforeLines="20" w:before="48" w:afterLines="20" w:after="48"/>
              <w:rPr>
                <w:rFonts w:ascii="Arial" w:hAnsi="Arial" w:cs="Arial"/>
                <w:sz w:val="20"/>
                <w:szCs w:val="20"/>
              </w:rPr>
            </w:pPr>
            <w:r w:rsidRPr="007D1395">
              <w:rPr>
                <w:rFonts w:ascii="Arial" w:hAnsi="Arial" w:cs="Arial"/>
                <w:sz w:val="20"/>
                <w:szCs w:val="20"/>
              </w:rPr>
              <w:t>Pretreatment Compliance Inspection (PCI)</w:t>
            </w:r>
          </w:p>
        </w:tc>
        <w:tc>
          <w:tcPr>
            <w:tcW w:w="864" w:type="dxa"/>
          </w:tcPr>
          <w:p w14:paraId="1FD15F59" w14:textId="7AC0FC81" w:rsidR="00F25DE1" w:rsidRPr="007D1395" w:rsidRDefault="00F25DE1" w:rsidP="00F25DE1">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AA</w:t>
            </w:r>
          </w:p>
        </w:tc>
        <w:tc>
          <w:tcPr>
            <w:tcW w:w="869" w:type="dxa"/>
          </w:tcPr>
          <w:p w14:paraId="3E43A768" w14:textId="58A3CBB6" w:rsidR="00F25DE1" w:rsidRPr="007D1395" w:rsidRDefault="00F25DE1" w:rsidP="00F25DE1">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OA</w:t>
            </w:r>
          </w:p>
        </w:tc>
        <w:tc>
          <w:tcPr>
            <w:tcW w:w="1517" w:type="dxa"/>
          </w:tcPr>
          <w:p w14:paraId="447A24F6" w14:textId="1ECADFDC" w:rsidR="00F25DE1" w:rsidRPr="007D1395" w:rsidRDefault="00F25DE1" w:rsidP="00F25DE1">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Compliance Monitoring Strategy</w:t>
            </w:r>
          </w:p>
        </w:tc>
        <w:tc>
          <w:tcPr>
            <w:tcW w:w="4019" w:type="dxa"/>
          </w:tcPr>
          <w:p w14:paraId="1CE8C597" w14:textId="67FAAD1F" w:rsidR="00F25DE1" w:rsidRPr="002C26E9" w:rsidRDefault="00F25DE1" w:rsidP="00F25DE1">
            <w:pPr>
              <w:widowControl/>
              <w:autoSpaceDE/>
              <w:autoSpaceDN/>
              <w:adjustRightInd/>
              <w:spacing w:beforeLines="20" w:before="48" w:afterLines="20" w:after="48"/>
              <w:rPr>
                <w:rFonts w:ascii="Arial" w:hAnsi="Arial" w:cs="Arial"/>
                <w:sz w:val="20"/>
                <w:szCs w:val="20"/>
                <w:lang w:val="en-CA"/>
              </w:rPr>
            </w:pPr>
            <w:r w:rsidRPr="007D1395">
              <w:rPr>
                <w:rFonts w:ascii="Arial" w:hAnsi="Arial" w:cs="Arial"/>
                <w:sz w:val="20"/>
                <w:szCs w:val="20"/>
                <w:lang w:val="en-CA"/>
              </w:rPr>
              <w:t xml:space="preserve">The PCI evaluates the POTW’s implementation of its authorized </w:t>
            </w:r>
            <w:r w:rsidRPr="007D1395">
              <w:rPr>
                <w:rFonts w:ascii="Arial" w:hAnsi="Arial" w:cs="Arial"/>
                <w:sz w:val="20"/>
                <w:szCs w:val="20"/>
              </w:rPr>
              <w:t xml:space="preserve">pretreatment </w:t>
            </w:r>
            <w:r w:rsidRPr="007D1395">
              <w:rPr>
                <w:rFonts w:ascii="Arial" w:hAnsi="Arial" w:cs="Arial"/>
                <w:sz w:val="20"/>
                <w:szCs w:val="20"/>
                <w:lang w:val="en-CA"/>
              </w:rPr>
              <w:t>program. It includes a review of the POTW’s records on monitoring, inspections, and enforcement activities for its industrial users. The PCI may be supplemented with industrial user inspections.</w:t>
            </w:r>
          </w:p>
        </w:tc>
      </w:tr>
      <w:tr w:rsidR="00F25DE1" w:rsidRPr="007D1395" w14:paraId="4C44A959" w14:textId="77777777" w:rsidTr="00F25DE1">
        <w:tc>
          <w:tcPr>
            <w:tcW w:w="2442" w:type="dxa"/>
          </w:tcPr>
          <w:p w14:paraId="29A96A78" w14:textId="16D072EE" w:rsidR="00F25DE1" w:rsidRPr="007D1395" w:rsidRDefault="00F25DE1" w:rsidP="00F25DE1">
            <w:pPr>
              <w:widowControl/>
              <w:autoSpaceDE/>
              <w:autoSpaceDN/>
              <w:adjustRightInd/>
              <w:spacing w:beforeLines="20" w:before="48" w:afterLines="20" w:after="48"/>
              <w:rPr>
                <w:rFonts w:ascii="Arial" w:hAnsi="Arial" w:cs="Arial"/>
                <w:sz w:val="20"/>
                <w:szCs w:val="20"/>
              </w:rPr>
            </w:pPr>
            <w:r w:rsidRPr="007D1395">
              <w:rPr>
                <w:rFonts w:ascii="Arial" w:hAnsi="Arial" w:cs="Arial"/>
                <w:sz w:val="20"/>
                <w:szCs w:val="20"/>
              </w:rPr>
              <w:t>POTW program modifications</w:t>
            </w:r>
          </w:p>
        </w:tc>
        <w:tc>
          <w:tcPr>
            <w:tcW w:w="864" w:type="dxa"/>
          </w:tcPr>
          <w:p w14:paraId="63663FAE" w14:textId="55D5C0D1" w:rsidR="00F25DE1" w:rsidRPr="007D1395" w:rsidRDefault="00F25DE1" w:rsidP="00F25DE1">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CA</w:t>
            </w:r>
          </w:p>
        </w:tc>
        <w:tc>
          <w:tcPr>
            <w:tcW w:w="869" w:type="dxa"/>
          </w:tcPr>
          <w:p w14:paraId="64A5D7FE" w14:textId="04530026" w:rsidR="00F25DE1" w:rsidRPr="007D1395" w:rsidRDefault="00F25DE1" w:rsidP="00F25DE1">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AA</w:t>
            </w:r>
          </w:p>
        </w:tc>
        <w:tc>
          <w:tcPr>
            <w:tcW w:w="1517" w:type="dxa"/>
          </w:tcPr>
          <w:p w14:paraId="495C06B0" w14:textId="7F396CB2" w:rsidR="00F25DE1" w:rsidRPr="007D1395" w:rsidRDefault="00F25DE1" w:rsidP="00F25DE1">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403.18</w:t>
            </w:r>
          </w:p>
        </w:tc>
        <w:tc>
          <w:tcPr>
            <w:tcW w:w="4019" w:type="dxa"/>
          </w:tcPr>
          <w:p w14:paraId="6A79587D" w14:textId="590BE006" w:rsidR="00F25DE1" w:rsidRPr="002C26E9" w:rsidRDefault="00F25DE1" w:rsidP="00F25DE1">
            <w:pPr>
              <w:widowControl/>
              <w:autoSpaceDE/>
              <w:autoSpaceDN/>
              <w:adjustRightInd/>
              <w:spacing w:beforeLines="20" w:before="48" w:afterLines="20" w:after="48"/>
              <w:rPr>
                <w:rFonts w:ascii="Arial" w:hAnsi="Arial" w:cs="Arial"/>
                <w:sz w:val="20"/>
                <w:szCs w:val="20"/>
                <w:lang w:val="en-CA"/>
              </w:rPr>
            </w:pPr>
            <w:r w:rsidRPr="007D1395">
              <w:rPr>
                <w:rFonts w:ascii="Arial" w:hAnsi="Arial" w:cs="Arial"/>
                <w:sz w:val="20"/>
                <w:szCs w:val="20"/>
                <w:lang w:val="en-CA"/>
              </w:rPr>
              <w:fldChar w:fldCharType="begin"/>
            </w:r>
            <w:r w:rsidRPr="007D1395">
              <w:rPr>
                <w:rFonts w:ascii="Arial" w:hAnsi="Arial" w:cs="Arial"/>
                <w:sz w:val="20"/>
                <w:szCs w:val="20"/>
                <w:lang w:val="en-CA"/>
              </w:rPr>
              <w:instrText xml:space="preserve"> SEQ CHAPTER \h \r 1</w:instrText>
            </w:r>
            <w:r w:rsidRPr="007D1395">
              <w:rPr>
                <w:rFonts w:ascii="Arial" w:hAnsi="Arial" w:cs="Arial"/>
                <w:sz w:val="20"/>
                <w:szCs w:val="20"/>
                <w:lang w:val="en-CA"/>
              </w:rPr>
              <w:fldChar w:fldCharType="end"/>
            </w:r>
            <w:r w:rsidRPr="007D1395">
              <w:rPr>
                <w:rFonts w:ascii="Arial" w:hAnsi="Arial" w:cs="Arial"/>
                <w:sz w:val="20"/>
                <w:szCs w:val="20"/>
              </w:rPr>
              <w:t>To modify pretreatment programs on the basis of local conditions and to provide AAs with opportunities to accept or deny such requests</w:t>
            </w:r>
          </w:p>
        </w:tc>
      </w:tr>
      <w:tr w:rsidR="00F25DE1" w:rsidRPr="007D1395" w14:paraId="04988EA9" w14:textId="77777777" w:rsidTr="00F25DE1">
        <w:tc>
          <w:tcPr>
            <w:tcW w:w="2442" w:type="dxa"/>
          </w:tcPr>
          <w:p w14:paraId="43906A78" w14:textId="379E2DA8" w:rsidR="00F25DE1" w:rsidRPr="007D1395" w:rsidRDefault="00F25DE1" w:rsidP="00F25DE1">
            <w:pPr>
              <w:widowControl/>
              <w:autoSpaceDE/>
              <w:autoSpaceDN/>
              <w:adjustRightInd/>
              <w:spacing w:beforeLines="20" w:before="48" w:afterLines="20" w:after="48"/>
              <w:rPr>
                <w:rFonts w:ascii="Arial" w:hAnsi="Arial" w:cs="Arial"/>
                <w:sz w:val="20"/>
                <w:szCs w:val="20"/>
              </w:rPr>
            </w:pPr>
            <w:r w:rsidRPr="00E666E5">
              <w:rPr>
                <w:rFonts w:ascii="Arial" w:hAnsi="Arial" w:cs="Arial"/>
                <w:sz w:val="20"/>
                <w:szCs w:val="20"/>
              </w:rPr>
              <w:t>Notice of potential problems, including slug loading</w:t>
            </w:r>
          </w:p>
        </w:tc>
        <w:tc>
          <w:tcPr>
            <w:tcW w:w="864" w:type="dxa"/>
          </w:tcPr>
          <w:p w14:paraId="16516140" w14:textId="4A4A59F3" w:rsidR="00F25DE1" w:rsidRPr="007D1395" w:rsidRDefault="00F25DE1" w:rsidP="00F25DE1">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IU</w:t>
            </w:r>
          </w:p>
        </w:tc>
        <w:tc>
          <w:tcPr>
            <w:tcW w:w="869" w:type="dxa"/>
          </w:tcPr>
          <w:p w14:paraId="4B0C9E0E" w14:textId="2169A9E7" w:rsidR="00F25DE1" w:rsidRPr="007D1395" w:rsidRDefault="00F25DE1" w:rsidP="00F25DE1">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CA</w:t>
            </w:r>
          </w:p>
        </w:tc>
        <w:tc>
          <w:tcPr>
            <w:tcW w:w="1517" w:type="dxa"/>
          </w:tcPr>
          <w:p w14:paraId="3E1855B4" w14:textId="6DA7C899" w:rsidR="00F25DE1" w:rsidRPr="007D1395" w:rsidRDefault="00F25DE1" w:rsidP="00F25DE1">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403.12(f)</w:t>
            </w:r>
          </w:p>
        </w:tc>
        <w:tc>
          <w:tcPr>
            <w:tcW w:w="4019" w:type="dxa"/>
          </w:tcPr>
          <w:p w14:paraId="469CB355" w14:textId="58C792F0" w:rsidR="00F25DE1" w:rsidRPr="002C26E9" w:rsidRDefault="00F25DE1" w:rsidP="00F25DE1">
            <w:pPr>
              <w:widowControl/>
              <w:autoSpaceDE/>
              <w:autoSpaceDN/>
              <w:adjustRightInd/>
              <w:spacing w:beforeLines="20" w:before="48" w:afterLines="20" w:after="48"/>
              <w:rPr>
                <w:rFonts w:ascii="Arial" w:hAnsi="Arial" w:cs="Arial"/>
                <w:sz w:val="20"/>
                <w:szCs w:val="20"/>
                <w:lang w:val="en-CA"/>
              </w:rPr>
            </w:pPr>
            <w:r w:rsidRPr="007D1395">
              <w:rPr>
                <w:rFonts w:ascii="Arial" w:hAnsi="Arial" w:cs="Arial"/>
                <w:sz w:val="20"/>
                <w:szCs w:val="20"/>
                <w:lang w:val="en-CA"/>
              </w:rPr>
              <w:fldChar w:fldCharType="begin"/>
            </w:r>
            <w:r w:rsidRPr="007D1395">
              <w:rPr>
                <w:rFonts w:ascii="Arial" w:hAnsi="Arial" w:cs="Arial"/>
                <w:sz w:val="20"/>
                <w:szCs w:val="20"/>
                <w:lang w:val="en-CA"/>
              </w:rPr>
              <w:instrText xml:space="preserve"> SEQ CHAPTER \h \r 1</w:instrText>
            </w:r>
            <w:r w:rsidRPr="007D1395">
              <w:rPr>
                <w:rFonts w:ascii="Arial" w:hAnsi="Arial" w:cs="Arial"/>
                <w:sz w:val="20"/>
                <w:szCs w:val="20"/>
                <w:lang w:val="en-CA"/>
              </w:rPr>
              <w:fldChar w:fldCharType="end"/>
            </w:r>
            <w:r w:rsidRPr="007D1395">
              <w:rPr>
                <w:rFonts w:ascii="Arial" w:hAnsi="Arial" w:cs="Arial"/>
                <w:sz w:val="20"/>
                <w:szCs w:val="20"/>
              </w:rPr>
              <w:t xml:space="preserve">To enable </w:t>
            </w:r>
            <w:smartTag w:uri="urn:schemas-microsoft-com:office:smarttags" w:element="PersonName">
              <w:r w:rsidRPr="007D1395">
                <w:rPr>
                  <w:rFonts w:ascii="Arial" w:hAnsi="Arial" w:cs="Arial"/>
                  <w:sz w:val="20"/>
                  <w:szCs w:val="20"/>
                </w:rPr>
                <w:t>the</w:t>
              </w:r>
            </w:smartTag>
            <w:r w:rsidRPr="007D1395">
              <w:rPr>
                <w:rFonts w:ascii="Arial" w:hAnsi="Arial" w:cs="Arial"/>
                <w:sz w:val="20"/>
                <w:szCs w:val="20"/>
              </w:rPr>
              <w:t xml:space="preserve"> POTW to plan and carry out protective actions immediately after a change in volume or character of an IU discharge</w:t>
            </w:r>
          </w:p>
        </w:tc>
      </w:tr>
      <w:tr w:rsidR="00F25DE1" w:rsidRPr="007D1395" w14:paraId="035BAE2D" w14:textId="77777777" w:rsidTr="00F25DE1">
        <w:tc>
          <w:tcPr>
            <w:tcW w:w="2442" w:type="dxa"/>
          </w:tcPr>
          <w:p w14:paraId="0C2D102C" w14:textId="7B5CD6AD" w:rsidR="00F25DE1" w:rsidRPr="007D1395" w:rsidRDefault="00F25DE1" w:rsidP="00F25DE1">
            <w:pPr>
              <w:widowControl/>
              <w:autoSpaceDE/>
              <w:autoSpaceDN/>
              <w:adjustRightInd/>
              <w:spacing w:beforeLines="20" w:before="48" w:afterLines="20" w:after="48"/>
              <w:rPr>
                <w:rFonts w:ascii="Arial" w:hAnsi="Arial" w:cs="Arial"/>
                <w:sz w:val="20"/>
                <w:szCs w:val="20"/>
              </w:rPr>
            </w:pPr>
            <w:r w:rsidRPr="007D1395">
              <w:rPr>
                <w:rFonts w:ascii="Arial" w:hAnsi="Arial" w:cs="Arial"/>
                <w:sz w:val="20"/>
                <w:szCs w:val="20"/>
              </w:rPr>
              <w:t xml:space="preserve">Notification of significant change affecting equivalent mass limits or concentration limits </w:t>
            </w:r>
          </w:p>
        </w:tc>
        <w:tc>
          <w:tcPr>
            <w:tcW w:w="864" w:type="dxa"/>
          </w:tcPr>
          <w:p w14:paraId="37D21FF5" w14:textId="33A4B4B7" w:rsidR="00F25DE1" w:rsidRPr="007D1395" w:rsidRDefault="00F25DE1" w:rsidP="00F25DE1">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IU</w:t>
            </w:r>
          </w:p>
        </w:tc>
        <w:tc>
          <w:tcPr>
            <w:tcW w:w="869" w:type="dxa"/>
          </w:tcPr>
          <w:p w14:paraId="1320C7C8" w14:textId="50B5B2B6" w:rsidR="00F25DE1" w:rsidRPr="007D1395" w:rsidRDefault="00F25DE1" w:rsidP="00F25DE1">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CA</w:t>
            </w:r>
          </w:p>
        </w:tc>
        <w:tc>
          <w:tcPr>
            <w:tcW w:w="1517" w:type="dxa"/>
          </w:tcPr>
          <w:p w14:paraId="6B9D0BF6" w14:textId="6595CEF9" w:rsidR="00F25DE1" w:rsidRPr="007D1395" w:rsidRDefault="00F25DE1" w:rsidP="00F25DE1">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403.6(c)(9)</w:t>
            </w:r>
          </w:p>
        </w:tc>
        <w:tc>
          <w:tcPr>
            <w:tcW w:w="4019" w:type="dxa"/>
          </w:tcPr>
          <w:p w14:paraId="02E0C113" w14:textId="3F322503" w:rsidR="00F25DE1" w:rsidRPr="002C26E9" w:rsidRDefault="00F25DE1" w:rsidP="00F25DE1">
            <w:pPr>
              <w:widowControl/>
              <w:autoSpaceDE/>
              <w:autoSpaceDN/>
              <w:adjustRightInd/>
              <w:spacing w:beforeLines="20" w:before="48" w:afterLines="20" w:after="48"/>
              <w:rPr>
                <w:rFonts w:ascii="Arial" w:hAnsi="Arial" w:cs="Arial"/>
                <w:sz w:val="20"/>
                <w:szCs w:val="20"/>
                <w:lang w:val="en-CA"/>
              </w:rPr>
            </w:pPr>
            <w:r w:rsidRPr="007D1395">
              <w:rPr>
                <w:rFonts w:ascii="Arial" w:hAnsi="Arial" w:cs="Arial"/>
                <w:sz w:val="20"/>
                <w:szCs w:val="20"/>
              </w:rPr>
              <w:t xml:space="preserve">To ensure that </w:t>
            </w:r>
            <w:smartTag w:uri="urn:schemas-microsoft-com:office:smarttags" w:element="PersonName">
              <w:r w:rsidRPr="007D1395">
                <w:rPr>
                  <w:rFonts w:ascii="Arial" w:hAnsi="Arial" w:cs="Arial"/>
                  <w:sz w:val="20"/>
                  <w:szCs w:val="20"/>
                </w:rPr>
                <w:t>the</w:t>
              </w:r>
            </w:smartTag>
            <w:r w:rsidRPr="007D1395">
              <w:rPr>
                <w:rFonts w:ascii="Arial" w:hAnsi="Arial" w:cs="Arial"/>
                <w:sz w:val="20"/>
                <w:szCs w:val="20"/>
              </w:rPr>
              <w:t xml:space="preserve"> CA has a reasonable basis for calculating mass or concentration limits based on a production-based standard</w:t>
            </w:r>
          </w:p>
        </w:tc>
      </w:tr>
      <w:tr w:rsidR="00F25DE1" w:rsidRPr="007D1395" w14:paraId="4549C1B7" w14:textId="77777777" w:rsidTr="00F25DE1">
        <w:tc>
          <w:tcPr>
            <w:tcW w:w="2442" w:type="dxa"/>
          </w:tcPr>
          <w:p w14:paraId="1FAB0FB0" w14:textId="01C2B5EA" w:rsidR="00F25DE1" w:rsidRPr="007D1395" w:rsidRDefault="00F25DE1" w:rsidP="00F25DE1">
            <w:pPr>
              <w:widowControl/>
              <w:autoSpaceDE/>
              <w:autoSpaceDN/>
              <w:adjustRightInd/>
              <w:spacing w:beforeLines="20" w:before="48" w:afterLines="20" w:after="48"/>
              <w:rPr>
                <w:rFonts w:ascii="Arial" w:hAnsi="Arial" w:cs="Arial"/>
                <w:sz w:val="20"/>
                <w:szCs w:val="20"/>
              </w:rPr>
            </w:pPr>
            <w:r w:rsidRPr="007D1395">
              <w:rPr>
                <w:rFonts w:ascii="Arial" w:hAnsi="Arial" w:cs="Arial"/>
                <w:sz w:val="20"/>
                <w:szCs w:val="20"/>
              </w:rPr>
              <w:t>Notification of changed discharge</w:t>
            </w:r>
          </w:p>
        </w:tc>
        <w:tc>
          <w:tcPr>
            <w:tcW w:w="864" w:type="dxa"/>
          </w:tcPr>
          <w:p w14:paraId="00859ACC" w14:textId="25C992F9" w:rsidR="00F25DE1" w:rsidRPr="007D1395" w:rsidRDefault="00F25DE1" w:rsidP="00F25DE1">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IU</w:t>
            </w:r>
          </w:p>
        </w:tc>
        <w:tc>
          <w:tcPr>
            <w:tcW w:w="869" w:type="dxa"/>
          </w:tcPr>
          <w:p w14:paraId="20903F01" w14:textId="41182071" w:rsidR="00F25DE1" w:rsidRPr="007D1395" w:rsidRDefault="00F25DE1" w:rsidP="00F25DE1">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CA</w:t>
            </w:r>
          </w:p>
        </w:tc>
        <w:tc>
          <w:tcPr>
            <w:tcW w:w="1517" w:type="dxa"/>
          </w:tcPr>
          <w:p w14:paraId="55A1728E" w14:textId="77777777" w:rsidR="00F25DE1" w:rsidRPr="007D1395" w:rsidRDefault="00F25DE1" w:rsidP="00F25DE1">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403.12(j)</w:t>
            </w:r>
          </w:p>
          <w:p w14:paraId="58CDDA5C" w14:textId="77777777" w:rsidR="00F25DE1" w:rsidRPr="007D1395" w:rsidRDefault="00F25DE1" w:rsidP="00F25DE1">
            <w:pPr>
              <w:widowControl/>
              <w:autoSpaceDE/>
              <w:autoSpaceDN/>
              <w:adjustRightInd/>
              <w:spacing w:beforeLines="20" w:before="48" w:afterLines="20" w:after="48"/>
              <w:jc w:val="center"/>
              <w:rPr>
                <w:rFonts w:ascii="Arial" w:hAnsi="Arial" w:cs="Arial"/>
                <w:sz w:val="20"/>
                <w:szCs w:val="20"/>
              </w:rPr>
            </w:pPr>
          </w:p>
        </w:tc>
        <w:tc>
          <w:tcPr>
            <w:tcW w:w="4019" w:type="dxa"/>
          </w:tcPr>
          <w:p w14:paraId="6C3EEE52" w14:textId="2DB493D2" w:rsidR="00F25DE1" w:rsidRPr="002C26E9" w:rsidRDefault="00F25DE1" w:rsidP="00F25DE1">
            <w:pPr>
              <w:widowControl/>
              <w:autoSpaceDE/>
              <w:autoSpaceDN/>
              <w:adjustRightInd/>
              <w:spacing w:beforeLines="20" w:before="48" w:afterLines="20" w:after="48"/>
              <w:rPr>
                <w:rFonts w:ascii="Arial" w:hAnsi="Arial" w:cs="Arial"/>
                <w:sz w:val="20"/>
                <w:szCs w:val="20"/>
                <w:lang w:val="en-CA"/>
              </w:rPr>
            </w:pPr>
            <w:r w:rsidRPr="007D1395">
              <w:rPr>
                <w:rFonts w:ascii="Arial" w:hAnsi="Arial" w:cs="Arial"/>
                <w:sz w:val="20"/>
                <w:szCs w:val="20"/>
                <w:lang w:val="en-CA"/>
              </w:rPr>
              <w:fldChar w:fldCharType="begin"/>
            </w:r>
            <w:r w:rsidRPr="007D1395">
              <w:rPr>
                <w:rFonts w:ascii="Arial" w:hAnsi="Arial" w:cs="Arial"/>
                <w:sz w:val="20"/>
                <w:szCs w:val="20"/>
                <w:lang w:val="en-CA"/>
              </w:rPr>
              <w:instrText xml:space="preserve"> SEQ CHAPTER \h \r 1</w:instrText>
            </w:r>
            <w:r w:rsidRPr="007D1395">
              <w:rPr>
                <w:rFonts w:ascii="Arial" w:hAnsi="Arial" w:cs="Arial"/>
                <w:sz w:val="20"/>
                <w:szCs w:val="20"/>
                <w:lang w:val="en-CA"/>
              </w:rPr>
              <w:fldChar w:fldCharType="end"/>
            </w:r>
            <w:r w:rsidRPr="007D1395">
              <w:rPr>
                <w:rFonts w:ascii="Arial" w:hAnsi="Arial" w:cs="Arial"/>
                <w:sz w:val="20"/>
                <w:szCs w:val="20"/>
              </w:rPr>
              <w:t xml:space="preserve">To ensure that the CA has the necessary information to adequately notify the NPDES </w:t>
            </w:r>
            <w:r>
              <w:rPr>
                <w:rFonts w:ascii="Arial" w:hAnsi="Arial" w:cs="Arial"/>
                <w:sz w:val="20"/>
                <w:szCs w:val="20"/>
              </w:rPr>
              <w:t>pretreatment</w:t>
            </w:r>
            <w:r w:rsidRPr="007D1395">
              <w:rPr>
                <w:rFonts w:ascii="Arial" w:hAnsi="Arial" w:cs="Arial"/>
                <w:sz w:val="20"/>
                <w:szCs w:val="20"/>
              </w:rPr>
              <w:t xml:space="preserve"> authority of substantial changes in discharge</w:t>
            </w:r>
          </w:p>
        </w:tc>
      </w:tr>
      <w:tr w:rsidR="00F25DE1" w:rsidRPr="007D1395" w14:paraId="394E645F" w14:textId="77777777" w:rsidTr="00F25DE1">
        <w:tc>
          <w:tcPr>
            <w:tcW w:w="2442" w:type="dxa"/>
          </w:tcPr>
          <w:p w14:paraId="22A4F16B" w14:textId="039797CA" w:rsidR="00F25DE1" w:rsidRPr="007D1395" w:rsidRDefault="00F25DE1" w:rsidP="00F25DE1">
            <w:pPr>
              <w:widowControl/>
              <w:autoSpaceDE/>
              <w:autoSpaceDN/>
              <w:adjustRightInd/>
              <w:spacing w:beforeLines="20" w:before="48" w:afterLines="20" w:after="48"/>
              <w:rPr>
                <w:rFonts w:ascii="Arial" w:hAnsi="Arial" w:cs="Arial"/>
                <w:sz w:val="20"/>
                <w:szCs w:val="20"/>
              </w:rPr>
            </w:pPr>
            <w:r w:rsidRPr="007D1395">
              <w:rPr>
                <w:rFonts w:ascii="Arial" w:hAnsi="Arial" w:cs="Arial"/>
                <w:sz w:val="20"/>
                <w:szCs w:val="20"/>
              </w:rPr>
              <w:t xml:space="preserve">Upset notification </w:t>
            </w:r>
          </w:p>
        </w:tc>
        <w:tc>
          <w:tcPr>
            <w:tcW w:w="864" w:type="dxa"/>
          </w:tcPr>
          <w:p w14:paraId="2CCE58C9" w14:textId="69A6D235" w:rsidR="00F25DE1" w:rsidRPr="007D1395" w:rsidRDefault="00F25DE1" w:rsidP="00F25DE1">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IU</w:t>
            </w:r>
          </w:p>
        </w:tc>
        <w:tc>
          <w:tcPr>
            <w:tcW w:w="869" w:type="dxa"/>
          </w:tcPr>
          <w:p w14:paraId="0330D25E" w14:textId="3FDB3370" w:rsidR="00F25DE1" w:rsidRPr="007D1395" w:rsidRDefault="00F25DE1" w:rsidP="00F25DE1">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CA</w:t>
            </w:r>
          </w:p>
        </w:tc>
        <w:tc>
          <w:tcPr>
            <w:tcW w:w="1517" w:type="dxa"/>
          </w:tcPr>
          <w:p w14:paraId="03030E3C" w14:textId="57513703" w:rsidR="00F25DE1" w:rsidRPr="007D1395" w:rsidRDefault="00F25DE1" w:rsidP="00F25DE1">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403.16</w:t>
            </w:r>
          </w:p>
        </w:tc>
        <w:tc>
          <w:tcPr>
            <w:tcW w:w="4019" w:type="dxa"/>
          </w:tcPr>
          <w:p w14:paraId="2745BC1D" w14:textId="61B85A6F" w:rsidR="00F25DE1" w:rsidRPr="002C26E9" w:rsidRDefault="00F25DE1" w:rsidP="00F25DE1">
            <w:pPr>
              <w:widowControl/>
              <w:autoSpaceDE/>
              <w:autoSpaceDN/>
              <w:adjustRightInd/>
              <w:spacing w:beforeLines="20" w:before="48" w:afterLines="20" w:after="48"/>
              <w:rPr>
                <w:rFonts w:ascii="Arial" w:hAnsi="Arial" w:cs="Arial"/>
                <w:sz w:val="20"/>
                <w:szCs w:val="20"/>
                <w:lang w:val="en-CA"/>
              </w:rPr>
            </w:pPr>
            <w:r w:rsidRPr="007D1395">
              <w:rPr>
                <w:rFonts w:ascii="Arial" w:hAnsi="Arial" w:cs="Arial"/>
                <w:sz w:val="20"/>
                <w:szCs w:val="20"/>
                <w:lang w:val="en-CA"/>
              </w:rPr>
              <w:t xml:space="preserve">To inform the CA of descriptions of known upsets at the IU. Reporting of upsets is required particularly if IU wishes to </w:t>
            </w:r>
            <w:r w:rsidRPr="007D1395">
              <w:rPr>
                <w:rFonts w:ascii="Arial" w:hAnsi="Arial" w:cs="Arial"/>
                <w:sz w:val="20"/>
                <w:szCs w:val="20"/>
                <w:lang w:val="en-CA"/>
              </w:rPr>
              <w:lastRenderedPageBreak/>
              <w:t>establish the affirmative defense of the upset for an action brought for non-compliance</w:t>
            </w:r>
          </w:p>
        </w:tc>
      </w:tr>
      <w:tr w:rsidR="00F25DE1" w:rsidRPr="007D1395" w14:paraId="32B73171" w14:textId="77777777" w:rsidTr="00F25DE1">
        <w:tc>
          <w:tcPr>
            <w:tcW w:w="2442" w:type="dxa"/>
          </w:tcPr>
          <w:p w14:paraId="26EFBB3C" w14:textId="78724730" w:rsidR="00F25DE1" w:rsidRPr="007D1395" w:rsidRDefault="00F25DE1" w:rsidP="00F25DE1">
            <w:pPr>
              <w:widowControl/>
              <w:autoSpaceDE/>
              <w:autoSpaceDN/>
              <w:adjustRightInd/>
              <w:spacing w:beforeLines="20" w:before="48" w:afterLines="20" w:after="48"/>
              <w:rPr>
                <w:rFonts w:ascii="Arial" w:hAnsi="Arial" w:cs="Arial"/>
                <w:sz w:val="20"/>
                <w:szCs w:val="20"/>
              </w:rPr>
            </w:pPr>
            <w:r w:rsidRPr="007D1395">
              <w:rPr>
                <w:rFonts w:ascii="Arial" w:hAnsi="Arial" w:cs="Arial"/>
                <w:sz w:val="20"/>
                <w:szCs w:val="20"/>
              </w:rPr>
              <w:lastRenderedPageBreak/>
              <w:t>Bypass notification</w:t>
            </w:r>
          </w:p>
        </w:tc>
        <w:tc>
          <w:tcPr>
            <w:tcW w:w="864" w:type="dxa"/>
          </w:tcPr>
          <w:p w14:paraId="55EEA238" w14:textId="5321E7BC" w:rsidR="00F25DE1" w:rsidRPr="007D1395" w:rsidRDefault="00F25DE1" w:rsidP="00F25DE1">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IU</w:t>
            </w:r>
          </w:p>
        </w:tc>
        <w:tc>
          <w:tcPr>
            <w:tcW w:w="869" w:type="dxa"/>
          </w:tcPr>
          <w:p w14:paraId="3ED22BBD" w14:textId="56C3F555" w:rsidR="00F25DE1" w:rsidRPr="007D1395" w:rsidRDefault="00F25DE1" w:rsidP="00F25DE1">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CA</w:t>
            </w:r>
          </w:p>
        </w:tc>
        <w:tc>
          <w:tcPr>
            <w:tcW w:w="1517" w:type="dxa"/>
          </w:tcPr>
          <w:p w14:paraId="1FE4D2FF" w14:textId="36A79625" w:rsidR="00F25DE1" w:rsidRPr="007D1395" w:rsidRDefault="00F25DE1" w:rsidP="00F25DE1">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403.17</w:t>
            </w:r>
          </w:p>
        </w:tc>
        <w:tc>
          <w:tcPr>
            <w:tcW w:w="4019" w:type="dxa"/>
          </w:tcPr>
          <w:p w14:paraId="287F323E" w14:textId="5637E23B" w:rsidR="00F25DE1" w:rsidRPr="002C26E9" w:rsidRDefault="00F25DE1" w:rsidP="00F25DE1">
            <w:pPr>
              <w:widowControl/>
              <w:autoSpaceDE/>
              <w:autoSpaceDN/>
              <w:adjustRightInd/>
              <w:spacing w:beforeLines="20" w:before="48" w:afterLines="20" w:after="48"/>
              <w:rPr>
                <w:rFonts w:ascii="Arial" w:hAnsi="Arial" w:cs="Arial"/>
                <w:sz w:val="20"/>
                <w:szCs w:val="20"/>
                <w:lang w:val="en-CA"/>
              </w:rPr>
            </w:pPr>
            <w:r w:rsidRPr="007D1395">
              <w:rPr>
                <w:rFonts w:ascii="Arial" w:hAnsi="Arial" w:cs="Arial"/>
                <w:sz w:val="20"/>
                <w:szCs w:val="20"/>
                <w:lang w:val="en-CA"/>
              </w:rPr>
              <w:fldChar w:fldCharType="begin"/>
            </w:r>
            <w:r w:rsidRPr="007D1395">
              <w:rPr>
                <w:rFonts w:ascii="Arial" w:hAnsi="Arial" w:cs="Arial"/>
                <w:sz w:val="20"/>
                <w:szCs w:val="20"/>
                <w:lang w:val="en-CA"/>
              </w:rPr>
              <w:instrText xml:space="preserve"> SEQ CHAPTER \h \r 1</w:instrText>
            </w:r>
            <w:r w:rsidRPr="007D1395">
              <w:rPr>
                <w:rFonts w:ascii="Arial" w:hAnsi="Arial" w:cs="Arial"/>
                <w:sz w:val="20"/>
                <w:szCs w:val="20"/>
                <w:lang w:val="en-CA"/>
              </w:rPr>
              <w:fldChar w:fldCharType="end"/>
            </w:r>
            <w:r w:rsidRPr="007D1395">
              <w:rPr>
                <w:rFonts w:ascii="Arial" w:hAnsi="Arial" w:cs="Arial"/>
                <w:sz w:val="20"/>
                <w:szCs w:val="20"/>
              </w:rPr>
              <w:t xml:space="preserve">To inform </w:t>
            </w:r>
            <w:smartTag w:uri="urn:schemas-microsoft-com:office:smarttags" w:element="PersonName">
              <w:r w:rsidRPr="007D1395">
                <w:rPr>
                  <w:rFonts w:ascii="Arial" w:hAnsi="Arial" w:cs="Arial"/>
                  <w:sz w:val="20"/>
                  <w:szCs w:val="20"/>
                </w:rPr>
                <w:t>the</w:t>
              </w:r>
            </w:smartTag>
            <w:r w:rsidRPr="007D1395">
              <w:rPr>
                <w:rFonts w:ascii="Arial" w:hAnsi="Arial" w:cs="Arial"/>
                <w:sz w:val="20"/>
                <w:szCs w:val="20"/>
              </w:rPr>
              <w:t xml:space="preserve"> CA of </w:t>
            </w:r>
            <w:smartTag w:uri="urn:schemas-microsoft-com:office:smarttags" w:element="PersonName">
              <w:r w:rsidRPr="007D1395">
                <w:rPr>
                  <w:rFonts w:ascii="Arial" w:hAnsi="Arial" w:cs="Arial"/>
                  <w:sz w:val="20"/>
                  <w:szCs w:val="20"/>
                </w:rPr>
                <w:t>the</w:t>
              </w:r>
            </w:smartTag>
            <w:r w:rsidRPr="007D1395">
              <w:rPr>
                <w:rFonts w:ascii="Arial" w:hAnsi="Arial" w:cs="Arial"/>
                <w:sz w:val="20"/>
                <w:szCs w:val="20"/>
              </w:rPr>
              <w:t xml:space="preserve"> intentional diversion of wastestreams from any portion of an IU’s treatment facility</w:t>
            </w:r>
          </w:p>
        </w:tc>
      </w:tr>
      <w:tr w:rsidR="00F25DE1" w:rsidRPr="007D1395" w14:paraId="5B57002B" w14:textId="77777777" w:rsidTr="00F25DE1">
        <w:tc>
          <w:tcPr>
            <w:tcW w:w="2442" w:type="dxa"/>
          </w:tcPr>
          <w:p w14:paraId="3F04606B" w14:textId="3162CAC5" w:rsidR="00F25DE1" w:rsidRPr="007D1395" w:rsidRDefault="00F25DE1" w:rsidP="00F25DE1">
            <w:pPr>
              <w:widowControl/>
              <w:autoSpaceDE/>
              <w:autoSpaceDN/>
              <w:adjustRightInd/>
              <w:spacing w:beforeLines="20" w:before="48" w:afterLines="20" w:after="48"/>
              <w:rPr>
                <w:rFonts w:ascii="Arial" w:hAnsi="Arial" w:cs="Arial"/>
                <w:sz w:val="20"/>
                <w:szCs w:val="20"/>
              </w:rPr>
            </w:pPr>
            <w:r w:rsidRPr="007D1395">
              <w:rPr>
                <w:rFonts w:ascii="Arial" w:hAnsi="Arial" w:cs="Arial"/>
                <w:sz w:val="20"/>
                <w:szCs w:val="20"/>
              </w:rPr>
              <w:t>Notification of changed monitoring location</w:t>
            </w:r>
          </w:p>
        </w:tc>
        <w:tc>
          <w:tcPr>
            <w:tcW w:w="864" w:type="dxa"/>
          </w:tcPr>
          <w:p w14:paraId="25F3ACC2" w14:textId="3609B305" w:rsidR="00F25DE1" w:rsidRPr="007D1395" w:rsidRDefault="00F25DE1" w:rsidP="00F25DE1">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IU</w:t>
            </w:r>
          </w:p>
        </w:tc>
        <w:tc>
          <w:tcPr>
            <w:tcW w:w="869" w:type="dxa"/>
          </w:tcPr>
          <w:p w14:paraId="103757AF" w14:textId="2D259D49" w:rsidR="00F25DE1" w:rsidRPr="007D1395" w:rsidRDefault="00F25DE1" w:rsidP="00F25DE1">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CA</w:t>
            </w:r>
          </w:p>
        </w:tc>
        <w:tc>
          <w:tcPr>
            <w:tcW w:w="1517" w:type="dxa"/>
          </w:tcPr>
          <w:p w14:paraId="362B99CF" w14:textId="170FC487" w:rsidR="00F25DE1" w:rsidRPr="007D1395" w:rsidRDefault="00F25DE1" w:rsidP="00F25DE1">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403.6(e)(4)</w:t>
            </w:r>
          </w:p>
        </w:tc>
        <w:tc>
          <w:tcPr>
            <w:tcW w:w="4019" w:type="dxa"/>
          </w:tcPr>
          <w:p w14:paraId="41B86DBF" w14:textId="52F31BB3" w:rsidR="00F25DE1" w:rsidRPr="007D1395" w:rsidRDefault="00F25DE1" w:rsidP="00F25DE1">
            <w:pPr>
              <w:widowControl/>
              <w:autoSpaceDE/>
              <w:autoSpaceDN/>
              <w:adjustRightInd/>
              <w:spacing w:beforeLines="20" w:before="48" w:afterLines="20" w:after="48"/>
              <w:rPr>
                <w:rFonts w:ascii="Arial" w:hAnsi="Arial" w:cs="Arial"/>
                <w:sz w:val="20"/>
                <w:szCs w:val="20"/>
                <w:lang w:val="en-CA"/>
              </w:rPr>
            </w:pPr>
            <w:r w:rsidRPr="007D1395">
              <w:rPr>
                <w:rFonts w:ascii="Arial" w:hAnsi="Arial" w:cs="Arial"/>
                <w:sz w:val="20"/>
                <w:szCs w:val="20"/>
                <w:lang w:val="en-CA"/>
              </w:rPr>
              <w:fldChar w:fldCharType="begin"/>
            </w:r>
            <w:r w:rsidRPr="007D1395">
              <w:rPr>
                <w:rFonts w:ascii="Arial" w:hAnsi="Arial" w:cs="Arial"/>
                <w:sz w:val="20"/>
                <w:szCs w:val="20"/>
                <w:lang w:val="en-CA"/>
              </w:rPr>
              <w:instrText xml:space="preserve"> SEQ CHAPTER \h \r 1</w:instrText>
            </w:r>
            <w:r w:rsidRPr="007D1395">
              <w:rPr>
                <w:rFonts w:ascii="Arial" w:hAnsi="Arial" w:cs="Arial"/>
                <w:sz w:val="20"/>
                <w:szCs w:val="20"/>
                <w:lang w:val="en-CA"/>
              </w:rPr>
              <w:fldChar w:fldCharType="end"/>
            </w:r>
            <w:r w:rsidRPr="007D1395">
              <w:rPr>
                <w:rFonts w:ascii="Arial" w:hAnsi="Arial" w:cs="Arial"/>
                <w:sz w:val="20"/>
                <w:szCs w:val="20"/>
              </w:rPr>
              <w:t xml:space="preserve">To inform </w:t>
            </w:r>
            <w:smartTag w:uri="urn:schemas-microsoft-com:office:smarttags" w:element="PersonName">
              <w:r w:rsidRPr="007D1395">
                <w:rPr>
                  <w:rFonts w:ascii="Arial" w:hAnsi="Arial" w:cs="Arial"/>
                  <w:sz w:val="20"/>
                  <w:szCs w:val="20"/>
                </w:rPr>
                <w:t>the</w:t>
              </w:r>
            </w:smartTag>
            <w:r w:rsidRPr="007D1395">
              <w:rPr>
                <w:rFonts w:ascii="Arial" w:hAnsi="Arial" w:cs="Arial"/>
                <w:sz w:val="20"/>
                <w:szCs w:val="20"/>
              </w:rPr>
              <w:t xml:space="preserve"> CA of any change in location of an IU's monitoring point(s) so that </w:t>
            </w:r>
            <w:smartTag w:uri="urn:schemas-microsoft-com:office:smarttags" w:element="PersonName">
              <w:r w:rsidRPr="007D1395">
                <w:rPr>
                  <w:rFonts w:ascii="Arial" w:hAnsi="Arial" w:cs="Arial"/>
                  <w:sz w:val="20"/>
                  <w:szCs w:val="20"/>
                </w:rPr>
                <w:t>the</w:t>
              </w:r>
            </w:smartTag>
            <w:r w:rsidRPr="007D1395">
              <w:rPr>
                <w:rFonts w:ascii="Arial" w:hAnsi="Arial" w:cs="Arial"/>
                <w:sz w:val="20"/>
                <w:szCs w:val="20"/>
              </w:rPr>
              <w:t xml:space="preserve"> CA may carry out its compliance monitoring and enforcement responsibilities</w:t>
            </w:r>
          </w:p>
        </w:tc>
      </w:tr>
      <w:tr w:rsidR="00F25DE1" w:rsidRPr="007D1395" w14:paraId="70922A0D" w14:textId="77777777" w:rsidTr="00F25DE1">
        <w:tc>
          <w:tcPr>
            <w:tcW w:w="2442" w:type="dxa"/>
          </w:tcPr>
          <w:p w14:paraId="27BC0AB0" w14:textId="537A85C2" w:rsidR="00F25DE1" w:rsidRPr="007D1395" w:rsidRDefault="00F25DE1" w:rsidP="00F25DE1">
            <w:pPr>
              <w:widowControl/>
              <w:autoSpaceDE/>
              <w:autoSpaceDN/>
              <w:adjustRightInd/>
              <w:spacing w:beforeLines="20" w:before="48" w:afterLines="20" w:after="48"/>
              <w:rPr>
                <w:rFonts w:ascii="Arial" w:hAnsi="Arial" w:cs="Arial"/>
                <w:sz w:val="20"/>
                <w:szCs w:val="20"/>
              </w:rPr>
            </w:pPr>
            <w:r w:rsidRPr="007D1395">
              <w:rPr>
                <w:rFonts w:ascii="Arial" w:hAnsi="Arial" w:cs="Arial"/>
                <w:sz w:val="20"/>
                <w:szCs w:val="20"/>
              </w:rPr>
              <w:t>Determination of non-significant categorical industrial users (NSCIUs) and middle tier CIUs (Voluntary)</w:t>
            </w:r>
          </w:p>
        </w:tc>
        <w:tc>
          <w:tcPr>
            <w:tcW w:w="864" w:type="dxa"/>
          </w:tcPr>
          <w:p w14:paraId="1E6A3440" w14:textId="77777777" w:rsidR="00F25DE1" w:rsidRPr="007D1395" w:rsidRDefault="00F25DE1" w:rsidP="00F25DE1">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CA</w:t>
            </w:r>
          </w:p>
          <w:p w14:paraId="73F2C7B1" w14:textId="6B634DBE" w:rsidR="00F25DE1" w:rsidRPr="007D1395" w:rsidRDefault="00F25DE1" w:rsidP="00F25DE1">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IU</w:t>
            </w:r>
          </w:p>
        </w:tc>
        <w:tc>
          <w:tcPr>
            <w:tcW w:w="869" w:type="dxa"/>
          </w:tcPr>
          <w:p w14:paraId="5BAA71B3" w14:textId="77777777" w:rsidR="00F25DE1" w:rsidRPr="007D1395" w:rsidRDefault="00F25DE1" w:rsidP="00F25DE1">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AA, IU</w:t>
            </w:r>
          </w:p>
          <w:p w14:paraId="43E3D5A0" w14:textId="34D8CDA6" w:rsidR="00F25DE1" w:rsidRPr="007D1395" w:rsidRDefault="00F25DE1" w:rsidP="00F25DE1">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CA</w:t>
            </w:r>
          </w:p>
        </w:tc>
        <w:tc>
          <w:tcPr>
            <w:tcW w:w="1517" w:type="dxa"/>
          </w:tcPr>
          <w:p w14:paraId="16872C93" w14:textId="7C56292D" w:rsidR="00F25DE1" w:rsidRPr="007D1395" w:rsidRDefault="00F25DE1" w:rsidP="00F25DE1">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403.3(v)(2), 403.8(f)(2)(v), 403.12(e), (g), (i), and (q)</w:t>
            </w:r>
          </w:p>
        </w:tc>
        <w:tc>
          <w:tcPr>
            <w:tcW w:w="4019" w:type="dxa"/>
          </w:tcPr>
          <w:p w14:paraId="5AC5C7E3" w14:textId="10769551" w:rsidR="00F25DE1" w:rsidRPr="007D1395" w:rsidRDefault="00F25DE1" w:rsidP="00F25DE1">
            <w:pPr>
              <w:widowControl/>
              <w:autoSpaceDE/>
              <w:autoSpaceDN/>
              <w:adjustRightInd/>
              <w:spacing w:beforeLines="20" w:before="48" w:afterLines="20" w:after="48"/>
              <w:rPr>
                <w:rFonts w:ascii="Arial" w:hAnsi="Arial" w:cs="Arial"/>
                <w:sz w:val="20"/>
                <w:szCs w:val="20"/>
                <w:lang w:val="en-CA"/>
              </w:rPr>
            </w:pPr>
            <w:r w:rsidRPr="007D1395">
              <w:rPr>
                <w:rFonts w:ascii="Arial" w:hAnsi="Arial" w:cs="Arial"/>
                <w:sz w:val="20"/>
                <w:szCs w:val="20"/>
                <w:lang w:val="en-CA"/>
              </w:rPr>
              <w:t>For CA to determine whether IU is an NSCIU or middle tier CIU and thus subject to less stringent reporting, inspection, and sampling requirements</w:t>
            </w:r>
          </w:p>
        </w:tc>
      </w:tr>
      <w:tr w:rsidR="00F25DE1" w:rsidRPr="007D1395" w14:paraId="67FA62DF" w14:textId="77777777" w:rsidTr="00F25DE1">
        <w:tc>
          <w:tcPr>
            <w:tcW w:w="2442" w:type="dxa"/>
          </w:tcPr>
          <w:p w14:paraId="57FDF268" w14:textId="304B028B" w:rsidR="00F25DE1" w:rsidRPr="007D1395" w:rsidRDefault="00F25DE1" w:rsidP="00F25DE1">
            <w:pPr>
              <w:widowControl/>
              <w:autoSpaceDE/>
              <w:autoSpaceDN/>
              <w:adjustRightInd/>
              <w:spacing w:beforeLines="20" w:before="48" w:afterLines="20" w:after="48"/>
              <w:rPr>
                <w:rFonts w:ascii="Arial" w:hAnsi="Arial" w:cs="Arial"/>
                <w:sz w:val="20"/>
                <w:szCs w:val="20"/>
              </w:rPr>
            </w:pPr>
            <w:r w:rsidRPr="007D1395">
              <w:rPr>
                <w:rFonts w:ascii="Arial" w:hAnsi="Arial" w:cs="Arial"/>
                <w:sz w:val="20"/>
                <w:szCs w:val="20"/>
              </w:rPr>
              <w:t xml:space="preserve">Issuance of discharge permits or other control mechanisms for SIUs </w:t>
            </w:r>
          </w:p>
        </w:tc>
        <w:tc>
          <w:tcPr>
            <w:tcW w:w="864" w:type="dxa"/>
          </w:tcPr>
          <w:p w14:paraId="44496409" w14:textId="48AD583A" w:rsidR="00F25DE1" w:rsidRPr="007D1395" w:rsidRDefault="00F25DE1" w:rsidP="00F25DE1">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CA</w:t>
            </w:r>
          </w:p>
        </w:tc>
        <w:tc>
          <w:tcPr>
            <w:tcW w:w="869" w:type="dxa"/>
          </w:tcPr>
          <w:p w14:paraId="4E8F8875" w14:textId="3D1E78B8" w:rsidR="00F25DE1" w:rsidRPr="007D1395" w:rsidRDefault="00F25DE1" w:rsidP="00F25DE1">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IU</w:t>
            </w:r>
          </w:p>
        </w:tc>
        <w:tc>
          <w:tcPr>
            <w:tcW w:w="1517" w:type="dxa"/>
          </w:tcPr>
          <w:p w14:paraId="7372CC83" w14:textId="550A07E7" w:rsidR="00F25DE1" w:rsidRPr="007D1395" w:rsidRDefault="00F25DE1" w:rsidP="00F25DE1">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403.8(f)</w:t>
            </w:r>
          </w:p>
        </w:tc>
        <w:tc>
          <w:tcPr>
            <w:tcW w:w="4019" w:type="dxa"/>
          </w:tcPr>
          <w:p w14:paraId="161CBFE5" w14:textId="7CDE19AF" w:rsidR="00F25DE1" w:rsidRPr="007D1395" w:rsidRDefault="00F25DE1" w:rsidP="00F25DE1">
            <w:pPr>
              <w:widowControl/>
              <w:autoSpaceDE/>
              <w:autoSpaceDN/>
              <w:adjustRightInd/>
              <w:spacing w:beforeLines="20" w:before="48" w:afterLines="20" w:after="48"/>
              <w:rPr>
                <w:rFonts w:ascii="Arial" w:hAnsi="Arial" w:cs="Arial"/>
                <w:sz w:val="20"/>
                <w:szCs w:val="20"/>
                <w:lang w:val="en-CA"/>
              </w:rPr>
            </w:pPr>
            <w:r w:rsidRPr="007D1395">
              <w:rPr>
                <w:rFonts w:ascii="Arial" w:hAnsi="Arial" w:cs="Arial"/>
                <w:sz w:val="20"/>
                <w:szCs w:val="20"/>
                <w:lang w:val="en-CA"/>
              </w:rPr>
              <w:fldChar w:fldCharType="begin"/>
            </w:r>
            <w:r w:rsidRPr="007D1395">
              <w:rPr>
                <w:rFonts w:ascii="Arial" w:hAnsi="Arial" w:cs="Arial"/>
                <w:sz w:val="20"/>
                <w:szCs w:val="20"/>
                <w:lang w:val="en-CA"/>
              </w:rPr>
              <w:instrText xml:space="preserve"> SEQ CHAPTER \h \r 1</w:instrText>
            </w:r>
            <w:r w:rsidRPr="007D1395">
              <w:rPr>
                <w:rFonts w:ascii="Arial" w:hAnsi="Arial" w:cs="Arial"/>
                <w:sz w:val="20"/>
                <w:szCs w:val="20"/>
                <w:lang w:val="en-CA"/>
              </w:rPr>
              <w:fldChar w:fldCharType="end"/>
            </w:r>
            <w:r w:rsidRPr="007D1395">
              <w:rPr>
                <w:rFonts w:ascii="Arial" w:hAnsi="Arial" w:cs="Arial"/>
                <w:sz w:val="20"/>
                <w:szCs w:val="20"/>
              </w:rPr>
              <w:t>To give SIUs notice of all pretreatment requirements and to improve enforcement</w:t>
            </w:r>
          </w:p>
        </w:tc>
      </w:tr>
      <w:tr w:rsidR="00F25DE1" w:rsidRPr="007D1395" w14:paraId="063101A7" w14:textId="77777777" w:rsidTr="00F25DE1">
        <w:tc>
          <w:tcPr>
            <w:tcW w:w="2442" w:type="dxa"/>
          </w:tcPr>
          <w:p w14:paraId="22290E36" w14:textId="6F8C3692" w:rsidR="00F25DE1" w:rsidRPr="007D1395" w:rsidRDefault="00F25DE1" w:rsidP="00F25DE1">
            <w:pPr>
              <w:widowControl/>
              <w:autoSpaceDE/>
              <w:autoSpaceDN/>
              <w:adjustRightInd/>
              <w:spacing w:beforeLines="20" w:before="48" w:afterLines="20" w:after="48"/>
              <w:rPr>
                <w:rFonts w:ascii="Arial" w:hAnsi="Arial" w:cs="Arial"/>
                <w:sz w:val="20"/>
                <w:szCs w:val="20"/>
              </w:rPr>
            </w:pPr>
            <w:r w:rsidRPr="007D1395">
              <w:rPr>
                <w:rFonts w:ascii="Arial" w:hAnsi="Arial" w:cs="Arial"/>
                <w:sz w:val="20"/>
                <w:szCs w:val="20"/>
              </w:rPr>
              <w:t>Inspection and sampling of IU effluent (including slug control plans)</w:t>
            </w:r>
          </w:p>
        </w:tc>
        <w:tc>
          <w:tcPr>
            <w:tcW w:w="864" w:type="dxa"/>
          </w:tcPr>
          <w:p w14:paraId="1C12F819" w14:textId="711683BC" w:rsidR="00F25DE1" w:rsidRPr="007D1395" w:rsidRDefault="00F25DE1" w:rsidP="00F25DE1">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CA</w:t>
            </w:r>
          </w:p>
        </w:tc>
        <w:tc>
          <w:tcPr>
            <w:tcW w:w="869" w:type="dxa"/>
          </w:tcPr>
          <w:p w14:paraId="1EC49FB1" w14:textId="07C8B784" w:rsidR="00F25DE1" w:rsidRPr="007D1395" w:rsidRDefault="00F25DE1" w:rsidP="00F25DE1">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AA</w:t>
            </w:r>
          </w:p>
        </w:tc>
        <w:tc>
          <w:tcPr>
            <w:tcW w:w="1517" w:type="dxa"/>
          </w:tcPr>
          <w:p w14:paraId="782EFD26" w14:textId="3A34EBF1" w:rsidR="00F25DE1" w:rsidRPr="007D1395" w:rsidRDefault="00F25DE1" w:rsidP="00F25DE1">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403.8(f)(2)(v)</w:t>
            </w:r>
          </w:p>
        </w:tc>
        <w:tc>
          <w:tcPr>
            <w:tcW w:w="4019" w:type="dxa"/>
          </w:tcPr>
          <w:p w14:paraId="3DB28F52" w14:textId="1B4C3DBE" w:rsidR="00F25DE1" w:rsidRPr="007D1395" w:rsidRDefault="00F25DE1" w:rsidP="00F25DE1">
            <w:pPr>
              <w:widowControl/>
              <w:autoSpaceDE/>
              <w:autoSpaceDN/>
              <w:adjustRightInd/>
              <w:spacing w:beforeLines="20" w:before="48" w:afterLines="20" w:after="48"/>
              <w:rPr>
                <w:rFonts w:ascii="Arial" w:hAnsi="Arial" w:cs="Arial"/>
                <w:sz w:val="20"/>
                <w:szCs w:val="20"/>
                <w:lang w:val="en-CA"/>
              </w:rPr>
            </w:pPr>
            <w:r w:rsidRPr="007D1395">
              <w:rPr>
                <w:rFonts w:ascii="Arial" w:hAnsi="Arial" w:cs="Arial"/>
                <w:sz w:val="20"/>
                <w:szCs w:val="20"/>
                <w:lang w:val="en-CA"/>
              </w:rPr>
              <w:fldChar w:fldCharType="begin"/>
            </w:r>
            <w:r w:rsidRPr="007D1395">
              <w:rPr>
                <w:rFonts w:ascii="Arial" w:hAnsi="Arial" w:cs="Arial"/>
                <w:sz w:val="20"/>
                <w:szCs w:val="20"/>
                <w:lang w:val="en-CA"/>
              </w:rPr>
              <w:instrText xml:space="preserve"> SEQ CHAPTER \h \r 1</w:instrText>
            </w:r>
            <w:r w:rsidRPr="007D1395">
              <w:rPr>
                <w:rFonts w:ascii="Arial" w:hAnsi="Arial" w:cs="Arial"/>
                <w:sz w:val="20"/>
                <w:szCs w:val="20"/>
                <w:lang w:val="en-CA"/>
              </w:rPr>
              <w:fldChar w:fldCharType="end"/>
            </w:r>
            <w:r w:rsidRPr="007D1395">
              <w:rPr>
                <w:rFonts w:ascii="Arial" w:hAnsi="Arial" w:cs="Arial"/>
                <w:sz w:val="20"/>
                <w:szCs w:val="20"/>
              </w:rPr>
              <w:t>To monitor industrial discharges to POTW treatment facilities</w:t>
            </w:r>
          </w:p>
        </w:tc>
      </w:tr>
      <w:tr w:rsidR="00F25DE1" w:rsidRPr="007D1395" w14:paraId="5BB1090B" w14:textId="77777777" w:rsidTr="00F25DE1">
        <w:tc>
          <w:tcPr>
            <w:tcW w:w="2442" w:type="dxa"/>
          </w:tcPr>
          <w:p w14:paraId="17F3E2DF" w14:textId="56E9568C" w:rsidR="00F25DE1" w:rsidRPr="007D1395" w:rsidRDefault="00F25DE1" w:rsidP="00F25DE1">
            <w:pPr>
              <w:widowControl/>
              <w:autoSpaceDE/>
              <w:autoSpaceDN/>
              <w:adjustRightInd/>
              <w:spacing w:beforeLines="20" w:before="48" w:afterLines="20" w:after="48"/>
              <w:rPr>
                <w:rFonts w:ascii="Arial" w:hAnsi="Arial" w:cs="Arial"/>
                <w:sz w:val="20"/>
                <w:szCs w:val="20"/>
              </w:rPr>
            </w:pPr>
            <w:r w:rsidRPr="007D1395">
              <w:rPr>
                <w:rFonts w:ascii="Arial" w:hAnsi="Arial" w:cs="Arial"/>
                <w:sz w:val="20"/>
                <w:szCs w:val="20"/>
              </w:rPr>
              <w:t>Public notification of significant noncompliance</w:t>
            </w:r>
          </w:p>
        </w:tc>
        <w:tc>
          <w:tcPr>
            <w:tcW w:w="864" w:type="dxa"/>
          </w:tcPr>
          <w:p w14:paraId="025354E4" w14:textId="50AA1F5C" w:rsidR="00F25DE1" w:rsidRPr="007D1395" w:rsidRDefault="00F25DE1" w:rsidP="00F25DE1">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CA</w:t>
            </w:r>
          </w:p>
        </w:tc>
        <w:tc>
          <w:tcPr>
            <w:tcW w:w="869" w:type="dxa"/>
          </w:tcPr>
          <w:p w14:paraId="51EC5411" w14:textId="2981F8D8" w:rsidR="00F25DE1" w:rsidRPr="007D1395" w:rsidRDefault="00F25DE1" w:rsidP="00F25DE1">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Public</w:t>
            </w:r>
          </w:p>
        </w:tc>
        <w:tc>
          <w:tcPr>
            <w:tcW w:w="1517" w:type="dxa"/>
          </w:tcPr>
          <w:p w14:paraId="7A3449F0" w14:textId="77777777" w:rsidR="00F25DE1" w:rsidRPr="007D1395" w:rsidRDefault="00F25DE1" w:rsidP="00F25DE1">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403.8(f)(2)(viii)</w:t>
            </w:r>
          </w:p>
          <w:p w14:paraId="7261F494" w14:textId="77777777" w:rsidR="00F25DE1" w:rsidRPr="007D1395" w:rsidRDefault="00F25DE1" w:rsidP="00F25DE1">
            <w:pPr>
              <w:widowControl/>
              <w:autoSpaceDE/>
              <w:autoSpaceDN/>
              <w:adjustRightInd/>
              <w:spacing w:beforeLines="20" w:before="48" w:afterLines="20" w:after="48"/>
              <w:jc w:val="center"/>
              <w:rPr>
                <w:rFonts w:ascii="Arial" w:hAnsi="Arial" w:cs="Arial"/>
                <w:sz w:val="20"/>
                <w:szCs w:val="20"/>
              </w:rPr>
            </w:pPr>
          </w:p>
        </w:tc>
        <w:tc>
          <w:tcPr>
            <w:tcW w:w="4019" w:type="dxa"/>
          </w:tcPr>
          <w:p w14:paraId="32F0D1E5" w14:textId="4305635D" w:rsidR="00F25DE1" w:rsidRPr="007D1395" w:rsidRDefault="00F25DE1" w:rsidP="00F25DE1">
            <w:pPr>
              <w:widowControl/>
              <w:autoSpaceDE/>
              <w:autoSpaceDN/>
              <w:adjustRightInd/>
              <w:spacing w:beforeLines="20" w:before="48" w:afterLines="20" w:after="48"/>
              <w:rPr>
                <w:rFonts w:ascii="Arial" w:hAnsi="Arial" w:cs="Arial"/>
                <w:sz w:val="20"/>
                <w:szCs w:val="20"/>
                <w:lang w:val="en-CA"/>
              </w:rPr>
            </w:pPr>
            <w:r w:rsidRPr="007D1395">
              <w:rPr>
                <w:rFonts w:ascii="Arial" w:hAnsi="Arial" w:cs="Arial"/>
                <w:sz w:val="20"/>
                <w:szCs w:val="20"/>
                <w:lang w:val="en-CA"/>
              </w:rPr>
              <w:fldChar w:fldCharType="begin"/>
            </w:r>
            <w:r w:rsidRPr="007D1395">
              <w:rPr>
                <w:rFonts w:ascii="Arial" w:hAnsi="Arial" w:cs="Arial"/>
                <w:sz w:val="20"/>
                <w:szCs w:val="20"/>
                <w:lang w:val="en-CA"/>
              </w:rPr>
              <w:instrText xml:space="preserve"> SEQ CHAPTER \h \r 1</w:instrText>
            </w:r>
            <w:r w:rsidRPr="007D1395">
              <w:rPr>
                <w:rFonts w:ascii="Arial" w:hAnsi="Arial" w:cs="Arial"/>
                <w:sz w:val="20"/>
                <w:szCs w:val="20"/>
                <w:lang w:val="en-CA"/>
              </w:rPr>
              <w:fldChar w:fldCharType="end"/>
            </w:r>
            <w:r w:rsidRPr="007D1395">
              <w:rPr>
                <w:rFonts w:ascii="Arial" w:hAnsi="Arial" w:cs="Arial"/>
                <w:sz w:val="20"/>
                <w:szCs w:val="20"/>
              </w:rPr>
              <w:t xml:space="preserve">To inform </w:t>
            </w:r>
            <w:smartTag w:uri="urn:schemas-microsoft-com:office:smarttags" w:element="PersonName">
              <w:r w:rsidRPr="007D1395">
                <w:rPr>
                  <w:rFonts w:ascii="Arial" w:hAnsi="Arial" w:cs="Arial"/>
                  <w:sz w:val="20"/>
                  <w:szCs w:val="20"/>
                </w:rPr>
                <w:t>the</w:t>
              </w:r>
            </w:smartTag>
            <w:r w:rsidRPr="007D1395">
              <w:rPr>
                <w:rFonts w:ascii="Arial" w:hAnsi="Arial" w:cs="Arial"/>
                <w:sz w:val="20"/>
                <w:szCs w:val="20"/>
              </w:rPr>
              <w:t xml:space="preserve"> public of instances of significant noncompliance</w:t>
            </w:r>
          </w:p>
        </w:tc>
      </w:tr>
      <w:tr w:rsidR="00F25DE1" w:rsidRPr="007D1395" w14:paraId="548FF34F" w14:textId="77777777" w:rsidTr="00F25DE1">
        <w:tc>
          <w:tcPr>
            <w:tcW w:w="2442" w:type="dxa"/>
          </w:tcPr>
          <w:p w14:paraId="394FFE3F" w14:textId="40C1C545" w:rsidR="00F25DE1" w:rsidRPr="007D1395" w:rsidRDefault="00F25DE1" w:rsidP="00F25DE1">
            <w:pPr>
              <w:widowControl/>
              <w:autoSpaceDE/>
              <w:autoSpaceDN/>
              <w:adjustRightInd/>
              <w:spacing w:beforeLines="20" w:before="48" w:afterLines="20" w:after="48"/>
              <w:rPr>
                <w:rFonts w:ascii="Arial" w:hAnsi="Arial" w:cs="Arial"/>
                <w:sz w:val="20"/>
                <w:szCs w:val="20"/>
              </w:rPr>
            </w:pPr>
            <w:r w:rsidRPr="007D1395">
              <w:rPr>
                <w:rFonts w:ascii="Arial" w:hAnsi="Arial" w:cs="Arial"/>
                <w:sz w:val="20"/>
                <w:szCs w:val="20"/>
              </w:rPr>
              <w:t>Prevention and control plan for spills and batch discharges</w:t>
            </w:r>
          </w:p>
        </w:tc>
        <w:tc>
          <w:tcPr>
            <w:tcW w:w="864" w:type="dxa"/>
          </w:tcPr>
          <w:p w14:paraId="64B9C3C7" w14:textId="77777777" w:rsidR="00F25DE1" w:rsidRPr="007D1395" w:rsidRDefault="00F25DE1" w:rsidP="00F25DE1">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IU</w:t>
            </w:r>
          </w:p>
          <w:p w14:paraId="4CD993B9" w14:textId="45988FB8" w:rsidR="00F25DE1" w:rsidRPr="007D1395" w:rsidRDefault="00F25DE1" w:rsidP="00F25DE1">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CA</w:t>
            </w:r>
          </w:p>
        </w:tc>
        <w:tc>
          <w:tcPr>
            <w:tcW w:w="869" w:type="dxa"/>
          </w:tcPr>
          <w:p w14:paraId="08CE6B4D" w14:textId="77777777" w:rsidR="00F25DE1" w:rsidRPr="007D1395" w:rsidRDefault="00F25DE1" w:rsidP="00F25DE1">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CA</w:t>
            </w:r>
          </w:p>
          <w:p w14:paraId="5204FC11" w14:textId="71F71A33" w:rsidR="00F25DE1" w:rsidRPr="007D1395" w:rsidRDefault="00F25DE1" w:rsidP="00F25DE1">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AA</w:t>
            </w:r>
          </w:p>
        </w:tc>
        <w:tc>
          <w:tcPr>
            <w:tcW w:w="1517" w:type="dxa"/>
          </w:tcPr>
          <w:p w14:paraId="24470C8B" w14:textId="2FB4FD55" w:rsidR="00F25DE1" w:rsidRPr="007D1395" w:rsidRDefault="00F25DE1" w:rsidP="00F25DE1">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403.8(f)(2)(vi)</w:t>
            </w:r>
          </w:p>
        </w:tc>
        <w:tc>
          <w:tcPr>
            <w:tcW w:w="4019" w:type="dxa"/>
          </w:tcPr>
          <w:p w14:paraId="54B8E758" w14:textId="4D676172" w:rsidR="00F25DE1" w:rsidRPr="007D1395" w:rsidRDefault="00F25DE1" w:rsidP="00F25DE1">
            <w:pPr>
              <w:widowControl/>
              <w:autoSpaceDE/>
              <w:autoSpaceDN/>
              <w:adjustRightInd/>
              <w:spacing w:beforeLines="20" w:before="48" w:afterLines="20" w:after="48"/>
              <w:rPr>
                <w:rFonts w:ascii="Arial" w:hAnsi="Arial" w:cs="Arial"/>
                <w:sz w:val="20"/>
                <w:szCs w:val="20"/>
                <w:lang w:val="en-CA"/>
              </w:rPr>
            </w:pPr>
            <w:r w:rsidRPr="007D1395">
              <w:rPr>
                <w:rFonts w:ascii="Arial" w:hAnsi="Arial" w:cs="Arial"/>
                <w:sz w:val="20"/>
                <w:szCs w:val="20"/>
                <w:lang w:val="en-CA"/>
              </w:rPr>
              <w:t>For CAs t</w:t>
            </w:r>
            <w:r w:rsidRPr="007D1395">
              <w:rPr>
                <w:rFonts w:ascii="Arial" w:hAnsi="Arial" w:cs="Arial"/>
                <w:sz w:val="20"/>
                <w:szCs w:val="20"/>
                <w:lang w:val="en-CA"/>
              </w:rPr>
              <w:fldChar w:fldCharType="begin"/>
            </w:r>
            <w:r w:rsidRPr="007D1395">
              <w:rPr>
                <w:rFonts w:ascii="Arial" w:hAnsi="Arial" w:cs="Arial"/>
                <w:sz w:val="20"/>
                <w:szCs w:val="20"/>
                <w:lang w:val="en-CA"/>
              </w:rPr>
              <w:instrText xml:space="preserve"> SEQ CHAPTER \h \r 1</w:instrText>
            </w:r>
            <w:r w:rsidRPr="007D1395">
              <w:rPr>
                <w:rFonts w:ascii="Arial" w:hAnsi="Arial" w:cs="Arial"/>
                <w:sz w:val="20"/>
                <w:szCs w:val="20"/>
                <w:lang w:val="en-CA"/>
              </w:rPr>
              <w:fldChar w:fldCharType="end"/>
            </w:r>
            <w:r w:rsidRPr="007D1395">
              <w:rPr>
                <w:rFonts w:ascii="Arial" w:hAnsi="Arial" w:cs="Arial"/>
                <w:sz w:val="20"/>
                <w:szCs w:val="20"/>
              </w:rPr>
              <w:t xml:space="preserve">o notify SIUs of </w:t>
            </w:r>
            <w:smartTag w:uri="urn:schemas-microsoft-com:office:smarttags" w:element="PersonName">
              <w:r w:rsidRPr="007D1395">
                <w:rPr>
                  <w:rFonts w:ascii="Arial" w:hAnsi="Arial" w:cs="Arial"/>
                  <w:sz w:val="20"/>
                  <w:szCs w:val="20"/>
                </w:rPr>
                <w:t>the</w:t>
              </w:r>
            </w:smartTag>
            <w:r w:rsidRPr="007D1395">
              <w:rPr>
                <w:rFonts w:ascii="Arial" w:hAnsi="Arial" w:cs="Arial"/>
                <w:sz w:val="20"/>
                <w:szCs w:val="20"/>
              </w:rPr>
              <w:t xml:space="preserve"> need for planning to minimize </w:t>
            </w:r>
            <w:smartTag w:uri="urn:schemas-microsoft-com:office:smarttags" w:element="PersonName">
              <w:r w:rsidRPr="007D1395">
                <w:rPr>
                  <w:rFonts w:ascii="Arial" w:hAnsi="Arial" w:cs="Arial"/>
                  <w:sz w:val="20"/>
                  <w:szCs w:val="20"/>
                </w:rPr>
                <w:t>the</w:t>
              </w:r>
            </w:smartTag>
            <w:r w:rsidRPr="007D1395">
              <w:rPr>
                <w:rFonts w:ascii="Arial" w:hAnsi="Arial" w:cs="Arial"/>
                <w:sz w:val="20"/>
                <w:szCs w:val="20"/>
              </w:rPr>
              <w:t xml:space="preserve"> risk of slug, spill, and batch discharges. Documentation of the POTW’s activities must be made available to the AA upon request so the AA can determine whether the POTW is adequately evaluating whether its SIUs need slug discharge control plans.</w:t>
            </w:r>
          </w:p>
        </w:tc>
      </w:tr>
      <w:tr w:rsidR="00F25DE1" w:rsidRPr="007D1395" w14:paraId="6992CDBC" w14:textId="77777777" w:rsidTr="00F25DE1">
        <w:tc>
          <w:tcPr>
            <w:tcW w:w="2442" w:type="dxa"/>
          </w:tcPr>
          <w:p w14:paraId="6AB61D85" w14:textId="12123BC4" w:rsidR="00F25DE1" w:rsidRPr="007D1395" w:rsidRDefault="00F25DE1" w:rsidP="00F25DE1">
            <w:pPr>
              <w:widowControl/>
              <w:autoSpaceDE/>
              <w:autoSpaceDN/>
              <w:adjustRightInd/>
              <w:spacing w:beforeLines="20" w:before="48" w:afterLines="20" w:after="48"/>
              <w:rPr>
                <w:rFonts w:ascii="Arial" w:hAnsi="Arial" w:cs="Arial"/>
                <w:sz w:val="20"/>
                <w:szCs w:val="20"/>
              </w:rPr>
            </w:pPr>
            <w:r w:rsidRPr="007D1395">
              <w:rPr>
                <w:rFonts w:ascii="Arial" w:hAnsi="Arial" w:cs="Arial"/>
                <w:sz w:val="20"/>
                <w:szCs w:val="20"/>
              </w:rPr>
              <w:t xml:space="preserve">Evaluation of </w:t>
            </w:r>
            <w:smartTag w:uri="urn:schemas-microsoft-com:office:smarttags" w:element="PersonName">
              <w:r w:rsidRPr="007D1395">
                <w:rPr>
                  <w:rFonts w:ascii="Arial" w:hAnsi="Arial" w:cs="Arial"/>
                  <w:sz w:val="20"/>
                  <w:szCs w:val="20"/>
                </w:rPr>
                <w:t>the</w:t>
              </w:r>
            </w:smartTag>
            <w:r w:rsidRPr="007D1395">
              <w:rPr>
                <w:rFonts w:ascii="Arial" w:hAnsi="Arial" w:cs="Arial"/>
                <w:sz w:val="20"/>
                <w:szCs w:val="20"/>
              </w:rPr>
              <w:t xml:space="preserve"> need to revise local limits</w:t>
            </w:r>
          </w:p>
        </w:tc>
        <w:tc>
          <w:tcPr>
            <w:tcW w:w="864" w:type="dxa"/>
          </w:tcPr>
          <w:p w14:paraId="679760AA" w14:textId="608B9083" w:rsidR="00F25DE1" w:rsidRPr="007D1395" w:rsidRDefault="00F25DE1" w:rsidP="00F25DE1">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CA</w:t>
            </w:r>
          </w:p>
        </w:tc>
        <w:tc>
          <w:tcPr>
            <w:tcW w:w="869" w:type="dxa"/>
          </w:tcPr>
          <w:p w14:paraId="3564426F" w14:textId="6533E846" w:rsidR="00F25DE1" w:rsidRPr="007D1395" w:rsidRDefault="00F25DE1" w:rsidP="00F25DE1">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AA</w:t>
            </w:r>
          </w:p>
        </w:tc>
        <w:tc>
          <w:tcPr>
            <w:tcW w:w="1517" w:type="dxa"/>
          </w:tcPr>
          <w:p w14:paraId="62556CA5" w14:textId="1362BAD8" w:rsidR="00F25DE1" w:rsidRPr="007D1395" w:rsidRDefault="00F25DE1" w:rsidP="00F25DE1">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403.5(c)</w:t>
            </w:r>
          </w:p>
        </w:tc>
        <w:tc>
          <w:tcPr>
            <w:tcW w:w="4019" w:type="dxa"/>
          </w:tcPr>
          <w:p w14:paraId="0235EB5C" w14:textId="4DA6BC25" w:rsidR="00F25DE1" w:rsidRPr="007D1395" w:rsidRDefault="00F25DE1" w:rsidP="00F25DE1">
            <w:pPr>
              <w:widowControl/>
              <w:autoSpaceDE/>
              <w:autoSpaceDN/>
              <w:adjustRightInd/>
              <w:spacing w:beforeLines="20" w:before="48" w:afterLines="20" w:after="48"/>
              <w:rPr>
                <w:rFonts w:ascii="Arial" w:hAnsi="Arial" w:cs="Arial"/>
                <w:sz w:val="20"/>
                <w:szCs w:val="20"/>
                <w:lang w:val="en-CA"/>
              </w:rPr>
            </w:pPr>
            <w:r w:rsidRPr="007D1395">
              <w:rPr>
                <w:rFonts w:ascii="Arial" w:hAnsi="Arial" w:cs="Arial"/>
                <w:sz w:val="20"/>
                <w:szCs w:val="20"/>
                <w:lang w:val="en-CA"/>
              </w:rPr>
              <w:fldChar w:fldCharType="begin"/>
            </w:r>
            <w:r w:rsidRPr="007D1395">
              <w:rPr>
                <w:rFonts w:ascii="Arial" w:hAnsi="Arial" w:cs="Arial"/>
                <w:sz w:val="20"/>
                <w:szCs w:val="20"/>
                <w:lang w:val="en-CA"/>
              </w:rPr>
              <w:instrText xml:space="preserve"> SEQ CHAPTER \h \r 1</w:instrText>
            </w:r>
            <w:r w:rsidRPr="007D1395">
              <w:rPr>
                <w:rFonts w:ascii="Arial" w:hAnsi="Arial" w:cs="Arial"/>
                <w:sz w:val="20"/>
                <w:szCs w:val="20"/>
                <w:lang w:val="en-CA"/>
              </w:rPr>
              <w:fldChar w:fldCharType="end"/>
            </w:r>
            <w:r w:rsidRPr="007D1395">
              <w:rPr>
                <w:rFonts w:ascii="Arial" w:hAnsi="Arial" w:cs="Arial"/>
                <w:sz w:val="20"/>
                <w:szCs w:val="20"/>
              </w:rPr>
              <w:t xml:space="preserve">To evaluate whether CAs have developed appropriate local limits to </w:t>
            </w:r>
            <w:r w:rsidRPr="00E666E5">
              <w:rPr>
                <w:rFonts w:ascii="Arial" w:hAnsi="Arial" w:cs="Arial"/>
                <w:sz w:val="20"/>
                <w:szCs w:val="20"/>
              </w:rPr>
              <w:t>implement the general and specific prohibitions</w:t>
            </w:r>
            <w:r>
              <w:rPr>
                <w:rFonts w:ascii="Arial" w:hAnsi="Arial" w:cs="Arial"/>
                <w:sz w:val="20"/>
                <w:szCs w:val="20"/>
              </w:rPr>
              <w:t>.</w:t>
            </w:r>
          </w:p>
        </w:tc>
      </w:tr>
      <w:tr w:rsidR="00F25DE1" w:rsidRPr="007D1395" w14:paraId="75363A94" w14:textId="77777777" w:rsidTr="00F25DE1">
        <w:tc>
          <w:tcPr>
            <w:tcW w:w="2442" w:type="dxa"/>
          </w:tcPr>
          <w:p w14:paraId="68E3CACB" w14:textId="108CC2D1" w:rsidR="00F25DE1" w:rsidRPr="007D1395" w:rsidRDefault="00F25DE1" w:rsidP="00F25DE1">
            <w:pPr>
              <w:widowControl/>
              <w:autoSpaceDE/>
              <w:autoSpaceDN/>
              <w:adjustRightInd/>
              <w:spacing w:beforeLines="20" w:before="48" w:afterLines="20" w:after="48"/>
              <w:rPr>
                <w:rFonts w:ascii="Arial" w:hAnsi="Arial" w:cs="Arial"/>
                <w:sz w:val="20"/>
                <w:szCs w:val="20"/>
              </w:rPr>
            </w:pPr>
            <w:r w:rsidRPr="007D1395">
              <w:rPr>
                <w:rFonts w:ascii="Arial" w:hAnsi="Arial" w:cs="Arial"/>
                <w:sz w:val="20"/>
                <w:szCs w:val="20"/>
              </w:rPr>
              <w:t>POTW enforcement response plan</w:t>
            </w:r>
          </w:p>
        </w:tc>
        <w:tc>
          <w:tcPr>
            <w:tcW w:w="864" w:type="dxa"/>
          </w:tcPr>
          <w:p w14:paraId="05E7C316" w14:textId="031A8A92" w:rsidR="00F25DE1" w:rsidRPr="007D1395" w:rsidRDefault="00F25DE1" w:rsidP="00F25DE1">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CA</w:t>
            </w:r>
          </w:p>
        </w:tc>
        <w:tc>
          <w:tcPr>
            <w:tcW w:w="869" w:type="dxa"/>
          </w:tcPr>
          <w:p w14:paraId="2733E7B4" w14:textId="2C42B0D2" w:rsidR="00F25DE1" w:rsidRPr="007D1395" w:rsidRDefault="00F25DE1" w:rsidP="00F25DE1">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AA</w:t>
            </w:r>
          </w:p>
        </w:tc>
        <w:tc>
          <w:tcPr>
            <w:tcW w:w="1517" w:type="dxa"/>
          </w:tcPr>
          <w:p w14:paraId="0D4CAD86" w14:textId="15864176" w:rsidR="00F25DE1" w:rsidRPr="007D1395" w:rsidRDefault="00F25DE1" w:rsidP="00F25DE1">
            <w:pPr>
              <w:widowControl/>
              <w:autoSpaceDE/>
              <w:autoSpaceDN/>
              <w:adjustRightInd/>
              <w:spacing w:beforeLines="20" w:before="48" w:afterLines="20" w:after="48"/>
              <w:jc w:val="center"/>
              <w:rPr>
                <w:rFonts w:ascii="Arial" w:hAnsi="Arial" w:cs="Arial"/>
                <w:sz w:val="20"/>
                <w:szCs w:val="20"/>
              </w:rPr>
            </w:pPr>
            <w:r w:rsidRPr="007D1395">
              <w:rPr>
                <w:rFonts w:ascii="Arial" w:hAnsi="Arial" w:cs="Arial"/>
                <w:sz w:val="20"/>
                <w:szCs w:val="20"/>
              </w:rPr>
              <w:t>403.8(f)(5)</w:t>
            </w:r>
          </w:p>
        </w:tc>
        <w:tc>
          <w:tcPr>
            <w:tcW w:w="4019" w:type="dxa"/>
          </w:tcPr>
          <w:p w14:paraId="51A9ABF2" w14:textId="5A89F5D3" w:rsidR="00F25DE1" w:rsidRPr="007D1395" w:rsidRDefault="00F25DE1" w:rsidP="00F25DE1">
            <w:pPr>
              <w:widowControl/>
              <w:autoSpaceDE/>
              <w:autoSpaceDN/>
              <w:adjustRightInd/>
              <w:spacing w:beforeLines="20" w:before="48" w:afterLines="20" w:after="48"/>
              <w:rPr>
                <w:rFonts w:ascii="Arial" w:hAnsi="Arial" w:cs="Arial"/>
                <w:sz w:val="20"/>
                <w:szCs w:val="20"/>
                <w:lang w:val="en-CA"/>
              </w:rPr>
            </w:pPr>
            <w:r w:rsidRPr="007D1395">
              <w:rPr>
                <w:rFonts w:ascii="Arial" w:hAnsi="Arial" w:cs="Arial"/>
                <w:sz w:val="20"/>
                <w:szCs w:val="20"/>
                <w:lang w:val="en-CA"/>
              </w:rPr>
              <w:fldChar w:fldCharType="begin"/>
            </w:r>
            <w:r w:rsidRPr="007D1395">
              <w:rPr>
                <w:rFonts w:ascii="Arial" w:hAnsi="Arial" w:cs="Arial"/>
                <w:sz w:val="20"/>
                <w:szCs w:val="20"/>
                <w:lang w:val="en-CA"/>
              </w:rPr>
              <w:instrText xml:space="preserve"> SEQ CHAPTER \h \r 1</w:instrText>
            </w:r>
            <w:r w:rsidRPr="007D1395">
              <w:rPr>
                <w:rFonts w:ascii="Arial" w:hAnsi="Arial" w:cs="Arial"/>
                <w:sz w:val="20"/>
                <w:szCs w:val="20"/>
                <w:lang w:val="en-CA"/>
              </w:rPr>
              <w:fldChar w:fldCharType="end"/>
            </w:r>
            <w:r w:rsidRPr="007D1395">
              <w:rPr>
                <w:rFonts w:ascii="Arial" w:hAnsi="Arial" w:cs="Arial"/>
                <w:sz w:val="20"/>
                <w:szCs w:val="20"/>
              </w:rPr>
              <w:t>To assist in determining whether CAs have effective enforcement programs</w:t>
            </w:r>
          </w:p>
        </w:tc>
      </w:tr>
      <w:tr w:rsidR="00F25DE1" w:rsidRPr="007D1395" w14:paraId="6FDEA3F0" w14:textId="77777777" w:rsidTr="00F25DE1">
        <w:tc>
          <w:tcPr>
            <w:tcW w:w="9711" w:type="dxa"/>
            <w:gridSpan w:val="5"/>
          </w:tcPr>
          <w:p w14:paraId="71892D20" w14:textId="77777777" w:rsidR="00F25DE1" w:rsidRPr="007D1395" w:rsidRDefault="00F25DE1" w:rsidP="00F25DE1">
            <w:pPr>
              <w:widowControl/>
              <w:autoSpaceDE/>
              <w:autoSpaceDN/>
              <w:adjustRightInd/>
              <w:rPr>
                <w:rFonts w:ascii="Arial" w:hAnsi="Arial" w:cs="Arial"/>
                <w:sz w:val="18"/>
                <w:szCs w:val="18"/>
              </w:rPr>
            </w:pPr>
            <w:r w:rsidRPr="007D1395">
              <w:rPr>
                <w:rFonts w:ascii="Arial" w:hAnsi="Arial" w:cs="Arial"/>
                <w:sz w:val="18"/>
                <w:szCs w:val="18"/>
              </w:rPr>
              <w:t>*This is a recordkeeping requirement, not a reporting requirement. Though no submission is required, IUs incur burden.</w:t>
            </w:r>
          </w:p>
          <w:p w14:paraId="6F5375E4" w14:textId="36952042" w:rsidR="00F25DE1" w:rsidRPr="007D1395" w:rsidRDefault="00F25DE1" w:rsidP="00F25DE1">
            <w:pPr>
              <w:widowControl/>
              <w:autoSpaceDE/>
              <w:autoSpaceDN/>
              <w:adjustRightInd/>
              <w:spacing w:beforeLines="20" w:before="48" w:afterLines="20" w:after="48"/>
              <w:rPr>
                <w:rFonts w:ascii="Arial" w:hAnsi="Arial" w:cs="Arial"/>
                <w:sz w:val="20"/>
                <w:szCs w:val="20"/>
                <w:lang w:val="en-CA"/>
              </w:rPr>
            </w:pPr>
            <w:r>
              <w:rPr>
                <w:rFonts w:ascii="Arial" w:hAnsi="Arial" w:cs="Arial"/>
                <w:sz w:val="18"/>
                <w:szCs w:val="18"/>
              </w:rPr>
              <w:t>**See section 2</w:t>
            </w:r>
            <w:r w:rsidRPr="007D1395">
              <w:rPr>
                <w:rFonts w:ascii="Arial" w:hAnsi="Arial" w:cs="Arial"/>
                <w:sz w:val="18"/>
                <w:szCs w:val="18"/>
              </w:rPr>
              <w:t xml:space="preserve"> of this ICR.</w:t>
            </w:r>
          </w:p>
        </w:tc>
      </w:tr>
    </w:tbl>
    <w:p w14:paraId="0881FF6D" w14:textId="15658932" w:rsidR="007D1395" w:rsidRPr="007D1395" w:rsidRDefault="007D1395" w:rsidP="007D1395">
      <w:pPr>
        <w:keepNext/>
        <w:widowControl/>
        <w:tabs>
          <w:tab w:val="left" w:pos="1080"/>
        </w:tabs>
        <w:autoSpaceDE/>
        <w:autoSpaceDN/>
        <w:adjustRightInd/>
        <w:rPr>
          <w:rFonts w:ascii="Arial" w:hAnsi="Arial" w:cs="Arial"/>
          <w:b/>
          <w:sz w:val="20"/>
          <w:szCs w:val="20"/>
        </w:rPr>
      </w:pPr>
    </w:p>
    <w:p w14:paraId="087AC7FA" w14:textId="4266EE19" w:rsidR="00F25DE1" w:rsidRDefault="00F25DE1" w:rsidP="000959D8">
      <w:pPr>
        <w:pStyle w:val="Caption"/>
        <w:keepNext/>
      </w:pPr>
      <w:r>
        <w:t xml:space="preserve">Table </w:t>
      </w:r>
      <w:r w:rsidR="000959D8">
        <w:t>2.5 Uses</w:t>
      </w:r>
      <w:r w:rsidRPr="00F25DE1">
        <w:t xml:space="preserve"> of data collected for program/categorical determinations</w:t>
      </w:r>
    </w:p>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3"/>
        <w:gridCol w:w="816"/>
        <w:gridCol w:w="894"/>
        <w:gridCol w:w="1247"/>
        <w:gridCol w:w="4032"/>
      </w:tblGrid>
      <w:tr w:rsidR="007D1395" w:rsidRPr="007D1395" w14:paraId="3373445F" w14:textId="77777777" w:rsidTr="000E3BC1">
        <w:trPr>
          <w:tblHeader/>
        </w:trPr>
        <w:tc>
          <w:tcPr>
            <w:tcW w:w="2533" w:type="dxa"/>
            <w:shd w:val="clear" w:color="auto" w:fill="D9D9D9"/>
          </w:tcPr>
          <w:p w14:paraId="45675818" w14:textId="77777777" w:rsidR="007D1395" w:rsidRPr="007D1395" w:rsidRDefault="007D1395" w:rsidP="007D1395">
            <w:pPr>
              <w:widowControl/>
              <w:autoSpaceDE/>
              <w:autoSpaceDN/>
              <w:adjustRightInd/>
              <w:spacing w:beforeLines="40" w:before="96" w:afterLines="40" w:after="96"/>
              <w:jc w:val="center"/>
              <w:rPr>
                <w:rFonts w:ascii="Arial" w:hAnsi="Arial" w:cs="Arial"/>
                <w:b/>
                <w:sz w:val="20"/>
                <w:szCs w:val="20"/>
              </w:rPr>
            </w:pPr>
            <w:r w:rsidRPr="007D1395">
              <w:rPr>
                <w:rFonts w:ascii="Arial" w:hAnsi="Arial" w:cs="Arial"/>
                <w:b/>
                <w:sz w:val="20"/>
                <w:szCs w:val="20"/>
              </w:rPr>
              <w:t>Type of Data Collected</w:t>
            </w:r>
          </w:p>
        </w:tc>
        <w:tc>
          <w:tcPr>
            <w:tcW w:w="816" w:type="dxa"/>
            <w:shd w:val="clear" w:color="auto" w:fill="D9D9D9"/>
          </w:tcPr>
          <w:p w14:paraId="28AB6E9B" w14:textId="77777777" w:rsidR="007D1395" w:rsidRPr="007D1395" w:rsidRDefault="007D1395" w:rsidP="007D1395">
            <w:pPr>
              <w:widowControl/>
              <w:autoSpaceDE/>
              <w:autoSpaceDN/>
              <w:adjustRightInd/>
              <w:spacing w:beforeLines="40" w:before="96" w:afterLines="40" w:after="96"/>
              <w:jc w:val="center"/>
              <w:rPr>
                <w:rFonts w:ascii="Arial" w:hAnsi="Arial" w:cs="Arial"/>
                <w:b/>
                <w:sz w:val="20"/>
                <w:szCs w:val="20"/>
              </w:rPr>
            </w:pPr>
            <w:r w:rsidRPr="007D1395">
              <w:rPr>
                <w:rFonts w:ascii="Arial" w:hAnsi="Arial" w:cs="Arial"/>
                <w:b/>
                <w:sz w:val="20"/>
                <w:szCs w:val="20"/>
              </w:rPr>
              <w:t>From</w:t>
            </w:r>
          </w:p>
        </w:tc>
        <w:tc>
          <w:tcPr>
            <w:tcW w:w="894" w:type="dxa"/>
            <w:shd w:val="clear" w:color="auto" w:fill="D9D9D9"/>
          </w:tcPr>
          <w:p w14:paraId="53BEFAA3" w14:textId="77777777" w:rsidR="007D1395" w:rsidRPr="007D1395" w:rsidRDefault="007D1395" w:rsidP="007D1395">
            <w:pPr>
              <w:widowControl/>
              <w:autoSpaceDE/>
              <w:autoSpaceDN/>
              <w:adjustRightInd/>
              <w:spacing w:beforeLines="40" w:before="96" w:afterLines="40" w:after="96"/>
              <w:jc w:val="center"/>
              <w:rPr>
                <w:rFonts w:ascii="Arial" w:hAnsi="Arial" w:cs="Arial"/>
                <w:b/>
                <w:sz w:val="20"/>
                <w:szCs w:val="20"/>
              </w:rPr>
            </w:pPr>
            <w:r w:rsidRPr="007D1395">
              <w:rPr>
                <w:rFonts w:ascii="Arial" w:hAnsi="Arial" w:cs="Arial"/>
                <w:b/>
                <w:sz w:val="20"/>
                <w:szCs w:val="20"/>
              </w:rPr>
              <w:t>To</w:t>
            </w:r>
          </w:p>
        </w:tc>
        <w:tc>
          <w:tcPr>
            <w:tcW w:w="1247" w:type="dxa"/>
            <w:shd w:val="clear" w:color="auto" w:fill="D9D9D9"/>
          </w:tcPr>
          <w:p w14:paraId="60A2203F" w14:textId="77777777" w:rsidR="007D1395" w:rsidRPr="007D1395" w:rsidRDefault="007D1395" w:rsidP="007D1395">
            <w:pPr>
              <w:widowControl/>
              <w:autoSpaceDE/>
              <w:autoSpaceDN/>
              <w:adjustRightInd/>
              <w:spacing w:beforeLines="40" w:before="96" w:afterLines="40" w:after="96"/>
              <w:jc w:val="center"/>
              <w:rPr>
                <w:rFonts w:ascii="Arial" w:hAnsi="Arial" w:cs="Arial"/>
                <w:b/>
                <w:sz w:val="20"/>
                <w:szCs w:val="20"/>
              </w:rPr>
            </w:pPr>
            <w:r w:rsidRPr="007D1395">
              <w:rPr>
                <w:rFonts w:ascii="Arial" w:hAnsi="Arial" w:cs="Arial"/>
                <w:b/>
                <w:sz w:val="20"/>
                <w:szCs w:val="20"/>
              </w:rPr>
              <w:t>Authority / Citation (40 CFR)</w:t>
            </w:r>
          </w:p>
        </w:tc>
        <w:tc>
          <w:tcPr>
            <w:tcW w:w="4032" w:type="dxa"/>
            <w:shd w:val="clear" w:color="auto" w:fill="D9D9D9"/>
          </w:tcPr>
          <w:p w14:paraId="46BBF358" w14:textId="77777777" w:rsidR="007D1395" w:rsidRPr="007D1395" w:rsidRDefault="007D1395" w:rsidP="007D1395">
            <w:pPr>
              <w:widowControl/>
              <w:autoSpaceDE/>
              <w:autoSpaceDN/>
              <w:adjustRightInd/>
              <w:spacing w:beforeLines="40" w:before="96" w:afterLines="40" w:after="96"/>
              <w:jc w:val="center"/>
              <w:rPr>
                <w:rFonts w:ascii="Arial" w:hAnsi="Arial" w:cs="Arial"/>
                <w:b/>
                <w:sz w:val="20"/>
                <w:szCs w:val="20"/>
              </w:rPr>
            </w:pPr>
            <w:r w:rsidRPr="007D1395">
              <w:rPr>
                <w:rFonts w:ascii="Arial" w:hAnsi="Arial" w:cs="Arial"/>
                <w:b/>
                <w:sz w:val="20"/>
                <w:szCs w:val="20"/>
              </w:rPr>
              <w:t xml:space="preserve">Uses of </w:t>
            </w:r>
            <w:smartTag w:uri="urn:schemas-microsoft-com:office:smarttags" w:element="PersonName">
              <w:r w:rsidRPr="007D1395">
                <w:rPr>
                  <w:rFonts w:ascii="Arial" w:hAnsi="Arial" w:cs="Arial"/>
                  <w:b/>
                  <w:sz w:val="20"/>
                  <w:szCs w:val="20"/>
                </w:rPr>
                <w:t>the</w:t>
              </w:r>
            </w:smartTag>
            <w:r w:rsidRPr="007D1395">
              <w:rPr>
                <w:rFonts w:ascii="Arial" w:hAnsi="Arial" w:cs="Arial"/>
                <w:b/>
                <w:sz w:val="20"/>
                <w:szCs w:val="20"/>
              </w:rPr>
              <w:t xml:space="preserve"> Data</w:t>
            </w:r>
          </w:p>
        </w:tc>
      </w:tr>
      <w:tr w:rsidR="007D1395" w:rsidRPr="007D1395" w14:paraId="03D482D3" w14:textId="77777777" w:rsidTr="000E3BC1">
        <w:tc>
          <w:tcPr>
            <w:tcW w:w="2533" w:type="dxa"/>
          </w:tcPr>
          <w:p w14:paraId="6812BC56" w14:textId="77777777" w:rsidR="007D1395" w:rsidRPr="007D1395" w:rsidRDefault="007D1395" w:rsidP="007D1395">
            <w:pPr>
              <w:widowControl/>
              <w:autoSpaceDE/>
              <w:autoSpaceDN/>
              <w:adjustRightInd/>
              <w:spacing w:before="40" w:after="40"/>
              <w:rPr>
                <w:rFonts w:ascii="Arial" w:hAnsi="Arial" w:cs="Arial"/>
                <w:sz w:val="20"/>
                <w:szCs w:val="20"/>
              </w:rPr>
            </w:pPr>
            <w:r w:rsidRPr="007D1395">
              <w:rPr>
                <w:rFonts w:ascii="Arial" w:hAnsi="Arial" w:cs="Arial"/>
                <w:sz w:val="20"/>
                <w:szCs w:val="20"/>
              </w:rPr>
              <w:t>Categorical determination request</w:t>
            </w:r>
          </w:p>
        </w:tc>
        <w:tc>
          <w:tcPr>
            <w:tcW w:w="816" w:type="dxa"/>
          </w:tcPr>
          <w:p w14:paraId="31D0288D" w14:textId="77777777" w:rsidR="007D1395" w:rsidRPr="007D1395" w:rsidRDefault="007D1395" w:rsidP="007D1395">
            <w:pPr>
              <w:widowControl/>
              <w:autoSpaceDE/>
              <w:autoSpaceDN/>
              <w:adjustRightInd/>
              <w:spacing w:before="40" w:after="40"/>
              <w:jc w:val="center"/>
              <w:rPr>
                <w:rFonts w:ascii="Arial" w:hAnsi="Arial" w:cs="Arial"/>
                <w:sz w:val="20"/>
                <w:szCs w:val="20"/>
              </w:rPr>
            </w:pPr>
            <w:r w:rsidRPr="007D1395">
              <w:rPr>
                <w:rFonts w:ascii="Arial" w:hAnsi="Arial" w:cs="Arial"/>
                <w:sz w:val="20"/>
                <w:szCs w:val="20"/>
              </w:rPr>
              <w:t>IU, CA</w:t>
            </w:r>
          </w:p>
        </w:tc>
        <w:tc>
          <w:tcPr>
            <w:tcW w:w="894" w:type="dxa"/>
          </w:tcPr>
          <w:p w14:paraId="19B085FD" w14:textId="77777777" w:rsidR="007D1395" w:rsidRPr="007D1395" w:rsidRDefault="007D1395" w:rsidP="007D1395">
            <w:pPr>
              <w:widowControl/>
              <w:autoSpaceDE/>
              <w:autoSpaceDN/>
              <w:adjustRightInd/>
              <w:spacing w:before="40" w:after="40"/>
              <w:jc w:val="center"/>
              <w:rPr>
                <w:rFonts w:ascii="Arial" w:hAnsi="Arial" w:cs="Arial"/>
                <w:sz w:val="20"/>
                <w:szCs w:val="20"/>
              </w:rPr>
            </w:pPr>
            <w:r w:rsidRPr="007D1395">
              <w:rPr>
                <w:rFonts w:ascii="Arial" w:hAnsi="Arial" w:cs="Arial"/>
                <w:sz w:val="20"/>
                <w:szCs w:val="20"/>
              </w:rPr>
              <w:t>AA/OA</w:t>
            </w:r>
          </w:p>
        </w:tc>
        <w:tc>
          <w:tcPr>
            <w:tcW w:w="1247" w:type="dxa"/>
          </w:tcPr>
          <w:p w14:paraId="2410E971" w14:textId="77777777" w:rsidR="007D1395" w:rsidRPr="007D1395" w:rsidRDefault="007D1395" w:rsidP="007D1395">
            <w:pPr>
              <w:widowControl/>
              <w:autoSpaceDE/>
              <w:autoSpaceDN/>
              <w:adjustRightInd/>
              <w:spacing w:before="40" w:after="40"/>
              <w:jc w:val="center"/>
              <w:rPr>
                <w:rFonts w:ascii="Arial" w:hAnsi="Arial" w:cs="Arial"/>
                <w:sz w:val="20"/>
                <w:szCs w:val="20"/>
              </w:rPr>
            </w:pPr>
            <w:r w:rsidRPr="007D1395">
              <w:rPr>
                <w:rFonts w:ascii="Arial" w:hAnsi="Arial" w:cs="Arial"/>
                <w:sz w:val="20"/>
                <w:szCs w:val="20"/>
              </w:rPr>
              <w:t>403.6(a)</w:t>
            </w:r>
          </w:p>
        </w:tc>
        <w:tc>
          <w:tcPr>
            <w:tcW w:w="4032" w:type="dxa"/>
          </w:tcPr>
          <w:p w14:paraId="37D8662C" w14:textId="77777777" w:rsidR="007D1395" w:rsidRPr="007D1395" w:rsidRDefault="007D1395" w:rsidP="007D1395">
            <w:pPr>
              <w:widowControl/>
              <w:autoSpaceDE/>
              <w:autoSpaceDN/>
              <w:adjustRightInd/>
              <w:spacing w:before="40" w:after="40"/>
              <w:rPr>
                <w:rFonts w:ascii="Arial" w:hAnsi="Arial" w:cs="Arial"/>
                <w:sz w:val="20"/>
                <w:szCs w:val="20"/>
              </w:rPr>
            </w:pPr>
            <w:r w:rsidRPr="007D1395">
              <w:rPr>
                <w:rFonts w:ascii="Arial" w:hAnsi="Arial" w:cs="Arial"/>
                <w:sz w:val="20"/>
                <w:szCs w:val="20"/>
              </w:rPr>
              <w:t xml:space="preserve">To enable </w:t>
            </w:r>
            <w:smartTag w:uri="urn:schemas-microsoft-com:office:smarttags" w:element="PersonName">
              <w:r w:rsidRPr="007D1395">
                <w:rPr>
                  <w:rFonts w:ascii="Arial" w:hAnsi="Arial" w:cs="Arial"/>
                  <w:sz w:val="20"/>
                  <w:szCs w:val="20"/>
                </w:rPr>
                <w:t>the</w:t>
              </w:r>
            </w:smartTag>
            <w:r w:rsidRPr="007D1395">
              <w:rPr>
                <w:rFonts w:ascii="Arial" w:hAnsi="Arial" w:cs="Arial"/>
                <w:sz w:val="20"/>
                <w:szCs w:val="20"/>
              </w:rPr>
              <w:t xml:space="preserve"> AA/OA to determine </w:t>
            </w:r>
            <w:smartTag w:uri="urn:schemas-microsoft-com:office:smarttags" w:element="PersonName">
              <w:r w:rsidRPr="007D1395">
                <w:rPr>
                  <w:rFonts w:ascii="Arial" w:hAnsi="Arial" w:cs="Arial"/>
                  <w:sz w:val="20"/>
                  <w:szCs w:val="20"/>
                </w:rPr>
                <w:t>the</w:t>
              </w:r>
            </w:smartTag>
            <w:r w:rsidRPr="007D1395">
              <w:rPr>
                <w:rFonts w:ascii="Arial" w:hAnsi="Arial" w:cs="Arial"/>
                <w:sz w:val="20"/>
                <w:szCs w:val="20"/>
              </w:rPr>
              <w:t xml:space="preserve"> applicability of a categorical standard or subcategory to an IU</w:t>
            </w:r>
          </w:p>
        </w:tc>
      </w:tr>
      <w:tr w:rsidR="007D1395" w:rsidRPr="007D1395" w14:paraId="7B4BFA2D" w14:textId="77777777" w:rsidTr="000E3BC1">
        <w:tc>
          <w:tcPr>
            <w:tcW w:w="2533" w:type="dxa"/>
          </w:tcPr>
          <w:p w14:paraId="0AAB8E28" w14:textId="77777777" w:rsidR="007D1395" w:rsidRPr="007D1395" w:rsidRDefault="007D1395" w:rsidP="007D1395">
            <w:pPr>
              <w:widowControl/>
              <w:autoSpaceDE/>
              <w:autoSpaceDN/>
              <w:adjustRightInd/>
              <w:spacing w:before="40" w:after="40"/>
              <w:rPr>
                <w:rFonts w:ascii="Arial" w:hAnsi="Arial" w:cs="Arial"/>
                <w:sz w:val="20"/>
                <w:szCs w:val="20"/>
              </w:rPr>
            </w:pPr>
            <w:r w:rsidRPr="007D1395">
              <w:rPr>
                <w:rFonts w:ascii="Arial" w:hAnsi="Arial" w:cs="Arial"/>
                <w:sz w:val="20"/>
                <w:szCs w:val="20"/>
              </w:rPr>
              <w:t>Alternative limits modification request</w:t>
            </w:r>
          </w:p>
        </w:tc>
        <w:tc>
          <w:tcPr>
            <w:tcW w:w="816" w:type="dxa"/>
          </w:tcPr>
          <w:p w14:paraId="72793C2A" w14:textId="77777777" w:rsidR="007D1395" w:rsidRPr="007D1395" w:rsidRDefault="007D1395" w:rsidP="007D1395">
            <w:pPr>
              <w:widowControl/>
              <w:autoSpaceDE/>
              <w:autoSpaceDN/>
              <w:adjustRightInd/>
              <w:spacing w:before="40" w:after="40"/>
              <w:jc w:val="center"/>
              <w:rPr>
                <w:rFonts w:ascii="Arial" w:hAnsi="Arial" w:cs="Arial"/>
                <w:sz w:val="20"/>
                <w:szCs w:val="20"/>
              </w:rPr>
            </w:pPr>
            <w:r w:rsidRPr="007D1395">
              <w:rPr>
                <w:rFonts w:ascii="Arial" w:hAnsi="Arial" w:cs="Arial"/>
                <w:sz w:val="20"/>
                <w:szCs w:val="20"/>
              </w:rPr>
              <w:t>IU</w:t>
            </w:r>
          </w:p>
        </w:tc>
        <w:tc>
          <w:tcPr>
            <w:tcW w:w="894" w:type="dxa"/>
          </w:tcPr>
          <w:p w14:paraId="30061AD5" w14:textId="77777777" w:rsidR="007D1395" w:rsidRPr="007D1395" w:rsidRDefault="007D1395" w:rsidP="007D1395">
            <w:pPr>
              <w:widowControl/>
              <w:autoSpaceDE/>
              <w:autoSpaceDN/>
              <w:adjustRightInd/>
              <w:spacing w:before="40" w:after="40"/>
              <w:jc w:val="center"/>
              <w:rPr>
                <w:rFonts w:ascii="Arial" w:hAnsi="Arial" w:cs="Arial"/>
                <w:sz w:val="20"/>
                <w:szCs w:val="20"/>
              </w:rPr>
            </w:pPr>
            <w:r w:rsidRPr="007D1395">
              <w:rPr>
                <w:rFonts w:ascii="Arial" w:hAnsi="Arial" w:cs="Arial"/>
                <w:sz w:val="20"/>
                <w:szCs w:val="20"/>
              </w:rPr>
              <w:t>CA</w:t>
            </w:r>
          </w:p>
        </w:tc>
        <w:tc>
          <w:tcPr>
            <w:tcW w:w="1247" w:type="dxa"/>
          </w:tcPr>
          <w:p w14:paraId="754035B7" w14:textId="77777777" w:rsidR="007D1395" w:rsidRPr="007D1395" w:rsidRDefault="007D1395" w:rsidP="007D1395">
            <w:pPr>
              <w:widowControl/>
              <w:autoSpaceDE/>
              <w:autoSpaceDN/>
              <w:adjustRightInd/>
              <w:spacing w:before="40" w:after="40"/>
              <w:jc w:val="center"/>
              <w:rPr>
                <w:rFonts w:ascii="Arial" w:hAnsi="Arial" w:cs="Arial"/>
                <w:sz w:val="20"/>
                <w:szCs w:val="20"/>
              </w:rPr>
            </w:pPr>
            <w:r w:rsidRPr="007D1395">
              <w:rPr>
                <w:rFonts w:ascii="Arial" w:hAnsi="Arial" w:cs="Arial"/>
                <w:sz w:val="20"/>
                <w:szCs w:val="20"/>
              </w:rPr>
              <w:t>403.6(e)</w:t>
            </w:r>
          </w:p>
        </w:tc>
        <w:tc>
          <w:tcPr>
            <w:tcW w:w="4032" w:type="dxa"/>
          </w:tcPr>
          <w:p w14:paraId="3B59B39A" w14:textId="77777777" w:rsidR="007D1395" w:rsidRPr="007D1395" w:rsidRDefault="007D1395" w:rsidP="007D1395">
            <w:pPr>
              <w:widowControl/>
              <w:autoSpaceDE/>
              <w:autoSpaceDN/>
              <w:adjustRightInd/>
              <w:spacing w:before="40" w:after="40"/>
              <w:rPr>
                <w:rFonts w:ascii="Arial" w:hAnsi="Arial" w:cs="Arial"/>
                <w:sz w:val="20"/>
                <w:szCs w:val="20"/>
              </w:rPr>
            </w:pPr>
            <w:r w:rsidRPr="007D1395">
              <w:rPr>
                <w:rFonts w:ascii="Arial" w:hAnsi="Arial" w:cs="Arial"/>
                <w:sz w:val="20"/>
                <w:szCs w:val="20"/>
                <w:lang w:val="en-CA"/>
              </w:rPr>
              <w:fldChar w:fldCharType="begin"/>
            </w:r>
            <w:r w:rsidRPr="007D1395">
              <w:rPr>
                <w:rFonts w:ascii="Arial" w:hAnsi="Arial" w:cs="Arial"/>
                <w:sz w:val="20"/>
                <w:szCs w:val="20"/>
                <w:lang w:val="en-CA"/>
              </w:rPr>
              <w:instrText xml:space="preserve"> SEQ CHAPTER \h \r 1</w:instrText>
            </w:r>
            <w:r w:rsidRPr="007D1395">
              <w:rPr>
                <w:rFonts w:ascii="Arial" w:hAnsi="Arial" w:cs="Arial"/>
                <w:sz w:val="20"/>
                <w:szCs w:val="20"/>
                <w:lang w:val="en-CA"/>
              </w:rPr>
              <w:fldChar w:fldCharType="end"/>
            </w:r>
            <w:r w:rsidRPr="007D1395">
              <w:rPr>
                <w:rFonts w:ascii="Arial" w:hAnsi="Arial" w:cs="Arial"/>
                <w:sz w:val="20"/>
                <w:szCs w:val="20"/>
              </w:rPr>
              <w:t xml:space="preserve">To notify </w:t>
            </w:r>
            <w:smartTag w:uri="urn:schemas-microsoft-com:office:smarttags" w:element="PersonName">
              <w:r w:rsidRPr="007D1395">
                <w:rPr>
                  <w:rFonts w:ascii="Arial" w:hAnsi="Arial" w:cs="Arial"/>
                  <w:sz w:val="20"/>
                  <w:szCs w:val="20"/>
                </w:rPr>
                <w:t>the</w:t>
              </w:r>
            </w:smartTag>
            <w:r w:rsidRPr="007D1395">
              <w:rPr>
                <w:rFonts w:ascii="Arial" w:hAnsi="Arial" w:cs="Arial"/>
                <w:sz w:val="20"/>
                <w:szCs w:val="20"/>
              </w:rPr>
              <w:t xml:space="preserve"> CA of any material or significant change in </w:t>
            </w:r>
            <w:smartTag w:uri="urn:schemas-microsoft-com:office:smarttags" w:element="PersonName">
              <w:r w:rsidRPr="007D1395">
                <w:rPr>
                  <w:rFonts w:ascii="Arial" w:hAnsi="Arial" w:cs="Arial"/>
                  <w:sz w:val="20"/>
                  <w:szCs w:val="20"/>
                </w:rPr>
                <w:t>the</w:t>
              </w:r>
            </w:smartTag>
            <w:r w:rsidRPr="007D1395">
              <w:rPr>
                <w:rFonts w:ascii="Arial" w:hAnsi="Arial" w:cs="Arial"/>
                <w:sz w:val="20"/>
                <w:szCs w:val="20"/>
              </w:rPr>
              <w:t xml:space="preserve"> values used to calculate an alternative limit</w:t>
            </w:r>
          </w:p>
        </w:tc>
      </w:tr>
      <w:tr w:rsidR="007D1395" w:rsidRPr="007D1395" w14:paraId="70A5F9BB" w14:textId="77777777" w:rsidTr="000E3BC1">
        <w:tc>
          <w:tcPr>
            <w:tcW w:w="2533" w:type="dxa"/>
          </w:tcPr>
          <w:p w14:paraId="2CC98B62" w14:textId="77777777" w:rsidR="007D1395" w:rsidRPr="007D1395" w:rsidRDefault="007D1395" w:rsidP="007D1395">
            <w:pPr>
              <w:widowControl/>
              <w:autoSpaceDE/>
              <w:autoSpaceDN/>
              <w:adjustRightInd/>
              <w:spacing w:before="40" w:after="40"/>
              <w:rPr>
                <w:rFonts w:ascii="Arial" w:hAnsi="Arial" w:cs="Arial"/>
                <w:sz w:val="20"/>
                <w:szCs w:val="20"/>
              </w:rPr>
            </w:pPr>
            <w:r w:rsidRPr="007D1395">
              <w:rPr>
                <w:rFonts w:ascii="Arial" w:hAnsi="Arial" w:cs="Arial"/>
                <w:sz w:val="20"/>
                <w:szCs w:val="20"/>
              </w:rPr>
              <w:t>Fundamentally different factors variance request</w:t>
            </w:r>
          </w:p>
        </w:tc>
        <w:tc>
          <w:tcPr>
            <w:tcW w:w="816" w:type="dxa"/>
          </w:tcPr>
          <w:p w14:paraId="4AF4EBF8" w14:textId="77777777" w:rsidR="007D1395" w:rsidRPr="007D1395" w:rsidRDefault="007D1395" w:rsidP="007D1395">
            <w:pPr>
              <w:widowControl/>
              <w:autoSpaceDE/>
              <w:autoSpaceDN/>
              <w:adjustRightInd/>
              <w:spacing w:before="40" w:after="40"/>
              <w:jc w:val="center"/>
              <w:rPr>
                <w:rFonts w:ascii="Arial" w:hAnsi="Arial" w:cs="Arial"/>
                <w:sz w:val="20"/>
                <w:szCs w:val="20"/>
              </w:rPr>
            </w:pPr>
            <w:r w:rsidRPr="007D1395">
              <w:rPr>
                <w:rFonts w:ascii="Arial" w:hAnsi="Arial" w:cs="Arial"/>
                <w:sz w:val="20"/>
                <w:szCs w:val="20"/>
              </w:rPr>
              <w:t>IU, CA</w:t>
            </w:r>
          </w:p>
        </w:tc>
        <w:tc>
          <w:tcPr>
            <w:tcW w:w="894" w:type="dxa"/>
          </w:tcPr>
          <w:p w14:paraId="310D59DE" w14:textId="77777777" w:rsidR="007D1395" w:rsidRPr="007D1395" w:rsidRDefault="007D1395" w:rsidP="007D1395">
            <w:pPr>
              <w:widowControl/>
              <w:autoSpaceDE/>
              <w:autoSpaceDN/>
              <w:adjustRightInd/>
              <w:spacing w:before="40" w:after="40"/>
              <w:jc w:val="center"/>
              <w:rPr>
                <w:rFonts w:ascii="Arial" w:hAnsi="Arial" w:cs="Arial"/>
                <w:sz w:val="20"/>
                <w:szCs w:val="20"/>
              </w:rPr>
            </w:pPr>
            <w:r w:rsidRPr="007D1395">
              <w:rPr>
                <w:rFonts w:ascii="Arial" w:hAnsi="Arial" w:cs="Arial"/>
                <w:sz w:val="20"/>
                <w:szCs w:val="20"/>
              </w:rPr>
              <w:t>OA</w:t>
            </w:r>
          </w:p>
        </w:tc>
        <w:tc>
          <w:tcPr>
            <w:tcW w:w="1247" w:type="dxa"/>
          </w:tcPr>
          <w:p w14:paraId="683D6C24" w14:textId="77777777" w:rsidR="007D1395" w:rsidRPr="007D1395" w:rsidRDefault="007D1395" w:rsidP="007D1395">
            <w:pPr>
              <w:widowControl/>
              <w:autoSpaceDE/>
              <w:autoSpaceDN/>
              <w:adjustRightInd/>
              <w:spacing w:before="40" w:after="40"/>
              <w:jc w:val="center"/>
              <w:rPr>
                <w:rFonts w:ascii="Arial" w:hAnsi="Arial" w:cs="Arial"/>
                <w:sz w:val="20"/>
                <w:szCs w:val="20"/>
              </w:rPr>
            </w:pPr>
            <w:r w:rsidRPr="007D1395">
              <w:rPr>
                <w:rFonts w:ascii="Arial" w:hAnsi="Arial" w:cs="Arial"/>
                <w:sz w:val="20"/>
                <w:szCs w:val="20"/>
              </w:rPr>
              <w:t>403.13</w:t>
            </w:r>
          </w:p>
        </w:tc>
        <w:tc>
          <w:tcPr>
            <w:tcW w:w="4032" w:type="dxa"/>
          </w:tcPr>
          <w:p w14:paraId="176AA0C2" w14:textId="77777777" w:rsidR="007D1395" w:rsidRPr="007D1395" w:rsidRDefault="007D1395" w:rsidP="007D1395">
            <w:pPr>
              <w:widowControl/>
              <w:autoSpaceDE/>
              <w:autoSpaceDN/>
              <w:adjustRightInd/>
              <w:spacing w:before="40" w:after="40"/>
              <w:rPr>
                <w:rFonts w:ascii="Arial" w:hAnsi="Arial" w:cs="Arial"/>
                <w:sz w:val="20"/>
                <w:szCs w:val="20"/>
              </w:rPr>
            </w:pPr>
            <w:r w:rsidRPr="007D1395">
              <w:rPr>
                <w:rFonts w:ascii="Arial" w:hAnsi="Arial" w:cs="Arial"/>
                <w:sz w:val="20"/>
                <w:szCs w:val="20"/>
                <w:lang w:val="en-CA"/>
              </w:rPr>
              <w:fldChar w:fldCharType="begin"/>
            </w:r>
            <w:r w:rsidRPr="007D1395">
              <w:rPr>
                <w:rFonts w:ascii="Arial" w:hAnsi="Arial" w:cs="Arial"/>
                <w:sz w:val="20"/>
                <w:szCs w:val="20"/>
                <w:lang w:val="en-CA"/>
              </w:rPr>
              <w:instrText xml:space="preserve"> SEQ CHAPTER \h \r 1</w:instrText>
            </w:r>
            <w:r w:rsidRPr="007D1395">
              <w:rPr>
                <w:rFonts w:ascii="Arial" w:hAnsi="Arial" w:cs="Arial"/>
                <w:sz w:val="20"/>
                <w:szCs w:val="20"/>
                <w:lang w:val="en-CA"/>
              </w:rPr>
              <w:fldChar w:fldCharType="end"/>
            </w:r>
            <w:r w:rsidRPr="007D1395">
              <w:rPr>
                <w:rFonts w:ascii="Arial" w:hAnsi="Arial" w:cs="Arial"/>
                <w:sz w:val="20"/>
                <w:szCs w:val="20"/>
              </w:rPr>
              <w:t>To provide plant-specific data necessary for a CA to determine whe</w:t>
            </w:r>
            <w:smartTag w:uri="urn:schemas-microsoft-com:office:smarttags" w:element="PersonName">
              <w:r w:rsidRPr="007D1395">
                <w:rPr>
                  <w:rFonts w:ascii="Arial" w:hAnsi="Arial" w:cs="Arial"/>
                  <w:sz w:val="20"/>
                  <w:szCs w:val="20"/>
                </w:rPr>
                <w:t>the</w:t>
              </w:r>
            </w:smartTag>
            <w:r w:rsidRPr="007D1395">
              <w:rPr>
                <w:rFonts w:ascii="Arial" w:hAnsi="Arial" w:cs="Arial"/>
                <w:sz w:val="20"/>
                <w:szCs w:val="20"/>
              </w:rPr>
              <w:t xml:space="preserve">r an IU's production processes or technologies are fundamentally different from </w:t>
            </w:r>
            <w:smartTag w:uri="urn:schemas-microsoft-com:office:smarttags" w:element="PersonName">
              <w:r w:rsidRPr="007D1395">
                <w:rPr>
                  <w:rFonts w:ascii="Arial" w:hAnsi="Arial" w:cs="Arial"/>
                  <w:sz w:val="20"/>
                  <w:szCs w:val="20"/>
                </w:rPr>
                <w:t>the</w:t>
              </w:r>
            </w:smartTag>
            <w:r w:rsidRPr="007D1395">
              <w:rPr>
                <w:rFonts w:ascii="Arial" w:hAnsi="Arial" w:cs="Arial"/>
                <w:sz w:val="20"/>
                <w:szCs w:val="20"/>
              </w:rPr>
              <w:t xml:space="preserve"> representative facilities used to determine </w:t>
            </w:r>
            <w:smartTag w:uri="urn:schemas-microsoft-com:office:smarttags" w:element="PersonName">
              <w:r w:rsidRPr="007D1395">
                <w:rPr>
                  <w:rFonts w:ascii="Arial" w:hAnsi="Arial" w:cs="Arial"/>
                  <w:sz w:val="20"/>
                  <w:szCs w:val="20"/>
                </w:rPr>
                <w:t>the</w:t>
              </w:r>
            </w:smartTag>
            <w:r w:rsidRPr="007D1395">
              <w:rPr>
                <w:rFonts w:ascii="Arial" w:hAnsi="Arial" w:cs="Arial"/>
                <w:sz w:val="20"/>
                <w:szCs w:val="20"/>
              </w:rPr>
              <w:t xml:space="preserve"> limits specified in a categorical standard and, if so, to adjust the limits. </w:t>
            </w:r>
            <w:bookmarkStart w:id="6" w:name="OLE_LINK8"/>
            <w:bookmarkStart w:id="7" w:name="OLE_LINK9"/>
            <w:r w:rsidRPr="007D1395">
              <w:rPr>
                <w:rFonts w:ascii="Arial" w:hAnsi="Arial" w:cs="Arial"/>
                <w:sz w:val="20"/>
                <w:szCs w:val="20"/>
              </w:rPr>
              <w:t>This information provides the empirical data used to evaluate the appropriateness of national standards</w:t>
            </w:r>
            <w:bookmarkEnd w:id="6"/>
            <w:bookmarkEnd w:id="7"/>
            <w:r w:rsidRPr="007D1395">
              <w:rPr>
                <w:rFonts w:ascii="Arial" w:hAnsi="Arial" w:cs="Arial"/>
                <w:sz w:val="20"/>
                <w:szCs w:val="20"/>
              </w:rPr>
              <w:t>.</w:t>
            </w:r>
          </w:p>
        </w:tc>
      </w:tr>
      <w:tr w:rsidR="007D1395" w:rsidRPr="007D1395" w14:paraId="59489496" w14:textId="77777777" w:rsidTr="000E3BC1">
        <w:tc>
          <w:tcPr>
            <w:tcW w:w="2533" w:type="dxa"/>
          </w:tcPr>
          <w:p w14:paraId="2A6A712C" w14:textId="77777777" w:rsidR="007D1395" w:rsidRPr="007D1395" w:rsidRDefault="007D1395" w:rsidP="007D1395">
            <w:pPr>
              <w:widowControl/>
              <w:autoSpaceDE/>
              <w:autoSpaceDN/>
              <w:adjustRightInd/>
              <w:spacing w:before="40" w:after="40"/>
              <w:rPr>
                <w:rFonts w:ascii="Arial" w:hAnsi="Arial" w:cs="Arial"/>
                <w:sz w:val="20"/>
                <w:szCs w:val="20"/>
              </w:rPr>
            </w:pPr>
            <w:r w:rsidRPr="007D1395">
              <w:rPr>
                <w:rFonts w:ascii="Arial" w:hAnsi="Arial" w:cs="Arial"/>
                <w:sz w:val="20"/>
                <w:szCs w:val="20"/>
              </w:rPr>
              <w:t>Net/gross adjustment request</w:t>
            </w:r>
          </w:p>
        </w:tc>
        <w:tc>
          <w:tcPr>
            <w:tcW w:w="816" w:type="dxa"/>
          </w:tcPr>
          <w:p w14:paraId="508470BC" w14:textId="77777777" w:rsidR="007D1395" w:rsidRPr="007D1395" w:rsidRDefault="007D1395" w:rsidP="007D1395">
            <w:pPr>
              <w:widowControl/>
              <w:autoSpaceDE/>
              <w:autoSpaceDN/>
              <w:adjustRightInd/>
              <w:spacing w:before="40" w:after="40"/>
              <w:jc w:val="center"/>
              <w:rPr>
                <w:rFonts w:ascii="Arial" w:hAnsi="Arial" w:cs="Arial"/>
                <w:sz w:val="20"/>
                <w:szCs w:val="20"/>
              </w:rPr>
            </w:pPr>
            <w:r w:rsidRPr="007D1395">
              <w:rPr>
                <w:rFonts w:ascii="Arial" w:hAnsi="Arial" w:cs="Arial"/>
                <w:sz w:val="20"/>
                <w:szCs w:val="20"/>
              </w:rPr>
              <w:t>IU</w:t>
            </w:r>
          </w:p>
        </w:tc>
        <w:tc>
          <w:tcPr>
            <w:tcW w:w="894" w:type="dxa"/>
          </w:tcPr>
          <w:p w14:paraId="03E5CEA4" w14:textId="77777777" w:rsidR="007D1395" w:rsidRPr="007D1395" w:rsidRDefault="007D1395" w:rsidP="007D1395">
            <w:pPr>
              <w:widowControl/>
              <w:autoSpaceDE/>
              <w:autoSpaceDN/>
              <w:adjustRightInd/>
              <w:spacing w:before="40" w:after="40"/>
              <w:jc w:val="center"/>
              <w:rPr>
                <w:rFonts w:ascii="Arial" w:hAnsi="Arial" w:cs="Arial"/>
                <w:sz w:val="20"/>
                <w:szCs w:val="20"/>
              </w:rPr>
            </w:pPr>
            <w:r w:rsidRPr="007D1395">
              <w:rPr>
                <w:rFonts w:ascii="Arial" w:hAnsi="Arial" w:cs="Arial"/>
                <w:sz w:val="20"/>
                <w:szCs w:val="20"/>
              </w:rPr>
              <w:t>CA</w:t>
            </w:r>
          </w:p>
        </w:tc>
        <w:tc>
          <w:tcPr>
            <w:tcW w:w="1247" w:type="dxa"/>
          </w:tcPr>
          <w:p w14:paraId="22352419" w14:textId="77777777" w:rsidR="007D1395" w:rsidRPr="007D1395" w:rsidRDefault="007D1395" w:rsidP="007D1395">
            <w:pPr>
              <w:widowControl/>
              <w:autoSpaceDE/>
              <w:autoSpaceDN/>
              <w:adjustRightInd/>
              <w:spacing w:before="40" w:after="40"/>
              <w:jc w:val="center"/>
              <w:rPr>
                <w:rFonts w:ascii="Arial" w:hAnsi="Arial" w:cs="Arial"/>
                <w:sz w:val="20"/>
                <w:szCs w:val="20"/>
              </w:rPr>
            </w:pPr>
            <w:r w:rsidRPr="007D1395">
              <w:rPr>
                <w:rFonts w:ascii="Arial" w:hAnsi="Arial" w:cs="Arial"/>
                <w:sz w:val="20"/>
                <w:szCs w:val="20"/>
              </w:rPr>
              <w:t>403.15</w:t>
            </w:r>
          </w:p>
        </w:tc>
        <w:tc>
          <w:tcPr>
            <w:tcW w:w="4032" w:type="dxa"/>
          </w:tcPr>
          <w:p w14:paraId="6BB6A799" w14:textId="77777777" w:rsidR="007D1395" w:rsidRPr="007D1395" w:rsidRDefault="007D1395" w:rsidP="007D1395">
            <w:pPr>
              <w:widowControl/>
              <w:autoSpaceDE/>
              <w:autoSpaceDN/>
              <w:adjustRightInd/>
              <w:spacing w:before="40" w:after="40"/>
              <w:rPr>
                <w:rFonts w:ascii="Arial" w:hAnsi="Arial" w:cs="Arial"/>
                <w:sz w:val="20"/>
                <w:szCs w:val="20"/>
              </w:rPr>
            </w:pPr>
            <w:r w:rsidRPr="007D1395">
              <w:rPr>
                <w:rFonts w:ascii="Arial" w:hAnsi="Arial" w:cs="Arial"/>
                <w:sz w:val="20"/>
                <w:szCs w:val="20"/>
                <w:lang w:val="en-CA"/>
              </w:rPr>
              <w:fldChar w:fldCharType="begin"/>
            </w:r>
            <w:r w:rsidRPr="007D1395">
              <w:rPr>
                <w:rFonts w:ascii="Arial" w:hAnsi="Arial" w:cs="Arial"/>
                <w:sz w:val="20"/>
                <w:szCs w:val="20"/>
                <w:lang w:val="en-CA"/>
              </w:rPr>
              <w:instrText xml:space="preserve"> SEQ CHAPTER \h \r 1</w:instrText>
            </w:r>
            <w:r w:rsidRPr="007D1395">
              <w:rPr>
                <w:rFonts w:ascii="Arial" w:hAnsi="Arial" w:cs="Arial"/>
                <w:sz w:val="20"/>
                <w:szCs w:val="20"/>
                <w:lang w:val="en-CA"/>
              </w:rPr>
              <w:fldChar w:fldCharType="end"/>
            </w:r>
            <w:r w:rsidRPr="007D1395">
              <w:rPr>
                <w:rFonts w:ascii="Arial" w:hAnsi="Arial" w:cs="Arial"/>
                <w:sz w:val="20"/>
                <w:szCs w:val="20"/>
              </w:rPr>
              <w:t>To enable CA to determine whether an applicable pretreatment standard should be revised (i.e., to ensure that an IU is not required to remove a greater amount of a pollutant than is already present in its intake water)</w:t>
            </w:r>
          </w:p>
        </w:tc>
      </w:tr>
      <w:tr w:rsidR="007D1395" w:rsidRPr="007D1395" w14:paraId="48567E22" w14:textId="77777777" w:rsidTr="000E3BC1">
        <w:tc>
          <w:tcPr>
            <w:tcW w:w="2533" w:type="dxa"/>
          </w:tcPr>
          <w:p w14:paraId="50793002" w14:textId="77777777" w:rsidR="007D1395" w:rsidRPr="007D1395" w:rsidRDefault="007D1395" w:rsidP="007D1395">
            <w:pPr>
              <w:widowControl/>
              <w:autoSpaceDE/>
              <w:autoSpaceDN/>
              <w:adjustRightInd/>
              <w:spacing w:before="40" w:after="40"/>
              <w:rPr>
                <w:rFonts w:ascii="Arial" w:hAnsi="Arial" w:cs="Arial"/>
                <w:sz w:val="20"/>
                <w:szCs w:val="20"/>
              </w:rPr>
            </w:pPr>
            <w:r w:rsidRPr="007D1395">
              <w:rPr>
                <w:rFonts w:ascii="Arial" w:hAnsi="Arial" w:cs="Arial"/>
                <w:sz w:val="20"/>
                <w:szCs w:val="20"/>
              </w:rPr>
              <w:t>Removal credit approval request</w:t>
            </w:r>
          </w:p>
        </w:tc>
        <w:tc>
          <w:tcPr>
            <w:tcW w:w="816" w:type="dxa"/>
          </w:tcPr>
          <w:p w14:paraId="54339DAF" w14:textId="77777777" w:rsidR="007D1395" w:rsidRPr="007D1395" w:rsidRDefault="007D1395" w:rsidP="007D1395">
            <w:pPr>
              <w:widowControl/>
              <w:autoSpaceDE/>
              <w:autoSpaceDN/>
              <w:adjustRightInd/>
              <w:spacing w:before="40" w:after="40"/>
              <w:jc w:val="center"/>
              <w:rPr>
                <w:rFonts w:ascii="Arial" w:hAnsi="Arial" w:cs="Arial"/>
                <w:sz w:val="20"/>
                <w:szCs w:val="20"/>
              </w:rPr>
            </w:pPr>
            <w:r w:rsidRPr="007D1395">
              <w:rPr>
                <w:rFonts w:ascii="Arial" w:hAnsi="Arial" w:cs="Arial"/>
                <w:sz w:val="20"/>
                <w:szCs w:val="20"/>
              </w:rPr>
              <w:t>POTW</w:t>
            </w:r>
          </w:p>
        </w:tc>
        <w:tc>
          <w:tcPr>
            <w:tcW w:w="894" w:type="dxa"/>
          </w:tcPr>
          <w:p w14:paraId="5B351E0F" w14:textId="77777777" w:rsidR="007D1395" w:rsidRPr="007D1395" w:rsidRDefault="007D1395" w:rsidP="007D1395">
            <w:pPr>
              <w:widowControl/>
              <w:autoSpaceDE/>
              <w:autoSpaceDN/>
              <w:adjustRightInd/>
              <w:spacing w:before="40" w:after="40"/>
              <w:jc w:val="center"/>
              <w:rPr>
                <w:rFonts w:ascii="Arial" w:hAnsi="Arial" w:cs="Arial"/>
                <w:sz w:val="20"/>
                <w:szCs w:val="20"/>
              </w:rPr>
            </w:pPr>
            <w:r w:rsidRPr="007D1395">
              <w:rPr>
                <w:rFonts w:ascii="Arial" w:hAnsi="Arial" w:cs="Arial"/>
                <w:sz w:val="20"/>
                <w:szCs w:val="20"/>
              </w:rPr>
              <w:t>AA</w:t>
            </w:r>
          </w:p>
        </w:tc>
        <w:tc>
          <w:tcPr>
            <w:tcW w:w="1247" w:type="dxa"/>
          </w:tcPr>
          <w:p w14:paraId="1FCF1D56" w14:textId="77777777" w:rsidR="007D1395" w:rsidRPr="007D1395" w:rsidRDefault="007D1395" w:rsidP="007D1395">
            <w:pPr>
              <w:widowControl/>
              <w:autoSpaceDE/>
              <w:autoSpaceDN/>
              <w:adjustRightInd/>
              <w:spacing w:before="40" w:after="40"/>
              <w:jc w:val="center"/>
              <w:rPr>
                <w:rFonts w:ascii="Arial" w:hAnsi="Arial" w:cs="Arial"/>
                <w:sz w:val="20"/>
                <w:szCs w:val="20"/>
              </w:rPr>
            </w:pPr>
            <w:r w:rsidRPr="007D1395">
              <w:rPr>
                <w:rFonts w:ascii="Arial" w:hAnsi="Arial" w:cs="Arial"/>
                <w:sz w:val="20"/>
                <w:szCs w:val="20"/>
              </w:rPr>
              <w:t>403.7</w:t>
            </w:r>
          </w:p>
        </w:tc>
        <w:tc>
          <w:tcPr>
            <w:tcW w:w="4032" w:type="dxa"/>
          </w:tcPr>
          <w:p w14:paraId="67A537B1" w14:textId="77777777" w:rsidR="007D1395" w:rsidRPr="007D1395" w:rsidRDefault="007D1395" w:rsidP="007D1395">
            <w:pPr>
              <w:widowControl/>
              <w:autoSpaceDE/>
              <w:autoSpaceDN/>
              <w:adjustRightInd/>
              <w:spacing w:before="40" w:after="40"/>
              <w:rPr>
                <w:rFonts w:ascii="Arial" w:hAnsi="Arial" w:cs="Arial"/>
                <w:sz w:val="20"/>
                <w:szCs w:val="20"/>
              </w:rPr>
            </w:pPr>
            <w:r w:rsidRPr="007D1395">
              <w:rPr>
                <w:rFonts w:ascii="Arial" w:hAnsi="Arial" w:cs="Arial"/>
                <w:sz w:val="20"/>
                <w:szCs w:val="20"/>
                <w:lang w:val="en-CA"/>
              </w:rPr>
              <w:fldChar w:fldCharType="begin"/>
            </w:r>
            <w:r w:rsidRPr="007D1395">
              <w:rPr>
                <w:rFonts w:ascii="Arial" w:hAnsi="Arial" w:cs="Arial"/>
                <w:sz w:val="20"/>
                <w:szCs w:val="20"/>
                <w:lang w:val="en-CA"/>
              </w:rPr>
              <w:instrText xml:space="preserve"> SEQ CHAPTER \h \r 1</w:instrText>
            </w:r>
            <w:r w:rsidRPr="007D1395">
              <w:rPr>
                <w:rFonts w:ascii="Arial" w:hAnsi="Arial" w:cs="Arial"/>
                <w:sz w:val="20"/>
                <w:szCs w:val="20"/>
                <w:lang w:val="en-CA"/>
              </w:rPr>
              <w:fldChar w:fldCharType="end"/>
            </w:r>
            <w:r w:rsidRPr="007D1395">
              <w:rPr>
                <w:rFonts w:ascii="Arial" w:hAnsi="Arial" w:cs="Arial"/>
                <w:sz w:val="20"/>
                <w:szCs w:val="20"/>
              </w:rPr>
              <w:t>To enable AA to authorize a POTW to calculate a revised categorical standard reflecting pollutant removals already resulting from specific POTW design capabilities</w:t>
            </w:r>
          </w:p>
        </w:tc>
      </w:tr>
      <w:tr w:rsidR="007D1395" w:rsidRPr="007D1395" w14:paraId="76DDB6E4" w14:textId="77777777" w:rsidTr="000E3BC1">
        <w:tc>
          <w:tcPr>
            <w:tcW w:w="2533" w:type="dxa"/>
          </w:tcPr>
          <w:p w14:paraId="3931A95B" w14:textId="77777777" w:rsidR="007D1395" w:rsidRPr="007D1395" w:rsidRDefault="007D1395" w:rsidP="007D1395">
            <w:pPr>
              <w:widowControl/>
              <w:autoSpaceDE/>
              <w:autoSpaceDN/>
              <w:adjustRightInd/>
              <w:spacing w:before="40" w:after="40"/>
              <w:rPr>
                <w:rFonts w:ascii="Arial" w:hAnsi="Arial" w:cs="Arial"/>
                <w:sz w:val="20"/>
                <w:szCs w:val="20"/>
              </w:rPr>
            </w:pPr>
            <w:r w:rsidRPr="007D1395">
              <w:rPr>
                <w:rFonts w:ascii="Arial" w:hAnsi="Arial" w:cs="Arial"/>
                <w:sz w:val="20"/>
                <w:szCs w:val="20"/>
              </w:rPr>
              <w:t>Removal credit self-monitoring report</w:t>
            </w:r>
          </w:p>
        </w:tc>
        <w:tc>
          <w:tcPr>
            <w:tcW w:w="816" w:type="dxa"/>
          </w:tcPr>
          <w:p w14:paraId="413ADB14" w14:textId="77777777" w:rsidR="007D1395" w:rsidRPr="007D1395" w:rsidRDefault="007D1395" w:rsidP="007D1395">
            <w:pPr>
              <w:widowControl/>
              <w:autoSpaceDE/>
              <w:autoSpaceDN/>
              <w:adjustRightInd/>
              <w:spacing w:before="40" w:after="40"/>
              <w:jc w:val="center"/>
              <w:rPr>
                <w:rFonts w:ascii="Arial" w:hAnsi="Arial" w:cs="Arial"/>
                <w:sz w:val="20"/>
                <w:szCs w:val="20"/>
              </w:rPr>
            </w:pPr>
            <w:r w:rsidRPr="007D1395">
              <w:rPr>
                <w:rFonts w:ascii="Arial" w:hAnsi="Arial" w:cs="Arial"/>
                <w:sz w:val="20"/>
                <w:szCs w:val="20"/>
              </w:rPr>
              <w:t>POTW</w:t>
            </w:r>
          </w:p>
        </w:tc>
        <w:tc>
          <w:tcPr>
            <w:tcW w:w="894" w:type="dxa"/>
          </w:tcPr>
          <w:p w14:paraId="09F37200" w14:textId="77777777" w:rsidR="007D1395" w:rsidRPr="007D1395" w:rsidRDefault="007D1395" w:rsidP="007D1395">
            <w:pPr>
              <w:widowControl/>
              <w:autoSpaceDE/>
              <w:autoSpaceDN/>
              <w:adjustRightInd/>
              <w:spacing w:before="40" w:after="40"/>
              <w:jc w:val="center"/>
              <w:rPr>
                <w:rFonts w:ascii="Arial" w:hAnsi="Arial" w:cs="Arial"/>
                <w:sz w:val="20"/>
                <w:szCs w:val="20"/>
              </w:rPr>
            </w:pPr>
            <w:r w:rsidRPr="007D1395">
              <w:rPr>
                <w:rFonts w:ascii="Arial" w:hAnsi="Arial" w:cs="Arial"/>
                <w:sz w:val="20"/>
                <w:szCs w:val="20"/>
              </w:rPr>
              <w:t>AA</w:t>
            </w:r>
          </w:p>
        </w:tc>
        <w:tc>
          <w:tcPr>
            <w:tcW w:w="1247" w:type="dxa"/>
          </w:tcPr>
          <w:p w14:paraId="5B691468" w14:textId="77777777" w:rsidR="007D1395" w:rsidRPr="007D1395" w:rsidRDefault="007D1395" w:rsidP="007D1395">
            <w:pPr>
              <w:widowControl/>
              <w:autoSpaceDE/>
              <w:autoSpaceDN/>
              <w:adjustRightInd/>
              <w:spacing w:before="40" w:after="40"/>
              <w:jc w:val="center"/>
              <w:rPr>
                <w:rFonts w:ascii="Arial" w:hAnsi="Arial" w:cs="Arial"/>
                <w:sz w:val="20"/>
                <w:szCs w:val="20"/>
              </w:rPr>
            </w:pPr>
            <w:r w:rsidRPr="007D1395">
              <w:rPr>
                <w:rFonts w:ascii="Arial" w:hAnsi="Arial" w:cs="Arial"/>
                <w:sz w:val="20"/>
                <w:szCs w:val="20"/>
              </w:rPr>
              <w:t>403.7</w:t>
            </w:r>
          </w:p>
        </w:tc>
        <w:tc>
          <w:tcPr>
            <w:tcW w:w="4032" w:type="dxa"/>
          </w:tcPr>
          <w:p w14:paraId="6940D2A3" w14:textId="77777777" w:rsidR="007D1395" w:rsidRPr="007D1395" w:rsidRDefault="007D1395" w:rsidP="007D1395">
            <w:pPr>
              <w:widowControl/>
              <w:autoSpaceDE/>
              <w:autoSpaceDN/>
              <w:adjustRightInd/>
              <w:spacing w:before="40" w:after="40"/>
              <w:rPr>
                <w:rFonts w:ascii="Arial" w:hAnsi="Arial" w:cs="Arial"/>
                <w:sz w:val="20"/>
                <w:szCs w:val="20"/>
              </w:rPr>
            </w:pPr>
            <w:r w:rsidRPr="007D1395">
              <w:rPr>
                <w:rFonts w:ascii="Arial" w:hAnsi="Arial" w:cs="Arial"/>
                <w:sz w:val="20"/>
                <w:szCs w:val="20"/>
                <w:lang w:val="en-CA"/>
              </w:rPr>
              <w:fldChar w:fldCharType="begin"/>
            </w:r>
            <w:r w:rsidRPr="007D1395">
              <w:rPr>
                <w:rFonts w:ascii="Arial" w:hAnsi="Arial" w:cs="Arial"/>
                <w:sz w:val="20"/>
                <w:szCs w:val="20"/>
                <w:lang w:val="en-CA"/>
              </w:rPr>
              <w:instrText xml:space="preserve"> SEQ CHAPTER \h \r 1</w:instrText>
            </w:r>
            <w:r w:rsidRPr="007D1395">
              <w:rPr>
                <w:rFonts w:ascii="Arial" w:hAnsi="Arial" w:cs="Arial"/>
                <w:sz w:val="20"/>
                <w:szCs w:val="20"/>
                <w:lang w:val="en-CA"/>
              </w:rPr>
              <w:fldChar w:fldCharType="end"/>
            </w:r>
            <w:r w:rsidRPr="007D1395">
              <w:rPr>
                <w:rFonts w:ascii="Arial" w:hAnsi="Arial" w:cs="Arial"/>
                <w:sz w:val="20"/>
                <w:szCs w:val="20"/>
              </w:rPr>
              <w:t xml:space="preserve">To enable AA to monitor ongoing POTW pollutant removals, which form </w:t>
            </w:r>
            <w:smartTag w:uri="urn:schemas-microsoft-com:office:smarttags" w:element="PersonName">
              <w:r w:rsidRPr="007D1395">
                <w:rPr>
                  <w:rFonts w:ascii="Arial" w:hAnsi="Arial" w:cs="Arial"/>
                  <w:sz w:val="20"/>
                  <w:szCs w:val="20"/>
                </w:rPr>
                <w:t>the</w:t>
              </w:r>
            </w:smartTag>
            <w:r w:rsidRPr="007D1395">
              <w:rPr>
                <w:rFonts w:ascii="Arial" w:hAnsi="Arial" w:cs="Arial"/>
                <w:sz w:val="20"/>
                <w:szCs w:val="20"/>
              </w:rPr>
              <w:t xml:space="preserve"> basis for revised categorical standards for </w:t>
            </w:r>
            <w:smartTag w:uri="urn:schemas-microsoft-com:office:smarttags" w:element="PersonName">
              <w:r w:rsidRPr="007D1395">
                <w:rPr>
                  <w:rFonts w:ascii="Arial" w:hAnsi="Arial" w:cs="Arial"/>
                  <w:sz w:val="20"/>
                  <w:szCs w:val="20"/>
                </w:rPr>
                <w:t>the</w:t>
              </w:r>
            </w:smartTag>
            <w:r w:rsidRPr="007D1395">
              <w:rPr>
                <w:rFonts w:ascii="Arial" w:hAnsi="Arial" w:cs="Arial"/>
                <w:sz w:val="20"/>
                <w:szCs w:val="20"/>
              </w:rPr>
              <w:t xml:space="preserve"> POTW's users</w:t>
            </w:r>
          </w:p>
        </w:tc>
      </w:tr>
    </w:tbl>
    <w:p w14:paraId="32BE3673" w14:textId="77777777" w:rsidR="00EA4EE5" w:rsidRPr="00EA4EE5" w:rsidRDefault="00EA4EE5" w:rsidP="007D1395"/>
    <w:p w14:paraId="463BA9BA" w14:textId="77777777" w:rsidR="00C47B4C" w:rsidRDefault="007F2877" w:rsidP="00C47B4C">
      <w:pPr>
        <w:pStyle w:val="Heading2"/>
      </w:pPr>
      <w:bookmarkStart w:id="8" w:name="_Toc437867193"/>
      <w:r>
        <w:t xml:space="preserve">3. </w:t>
      </w:r>
      <w:r w:rsidRPr="00673714">
        <w:t>Describe whether and to what extent the collection involves the use of automated processes or information technol</w:t>
      </w:r>
      <w:r>
        <w:t>ogy to aid with the collection</w:t>
      </w:r>
      <w:bookmarkEnd w:id="8"/>
    </w:p>
    <w:p w14:paraId="4F874EB5" w14:textId="0A3A6734" w:rsidR="008145A7" w:rsidRPr="007D1395" w:rsidRDefault="00C47B4C" w:rsidP="000E3BC1">
      <w:r w:rsidRPr="00C47B4C">
        <w:t xml:space="preserve">In general, IUs and POTWs provide written requests and reports. IUs and POTWs give oral notices in emergencies; however, </w:t>
      </w:r>
      <w:smartTag w:uri="urn:schemas-microsoft-com:office:smarttags" w:element="PersonName">
        <w:r w:rsidRPr="00C47B4C">
          <w:t>the</w:t>
        </w:r>
      </w:smartTag>
      <w:r w:rsidRPr="00C47B4C">
        <w:t xml:space="preserve"> IUs and POTWs follow </w:t>
      </w:r>
      <w:smartTag w:uri="urn:schemas-microsoft-com:office:smarttags" w:element="PersonName">
        <w:r w:rsidRPr="00C47B4C">
          <w:t>the</w:t>
        </w:r>
      </w:smartTag>
      <w:r w:rsidRPr="00C47B4C">
        <w:t xml:space="preserve">se notices with written ones. EPA uses the Integrated Compliance Information System </w:t>
      </w:r>
      <w:r>
        <w:t xml:space="preserve">(ICIS) </w:t>
      </w:r>
      <w:r w:rsidRPr="00C47B4C">
        <w:t xml:space="preserve">to </w:t>
      </w:r>
      <w:r>
        <w:t xml:space="preserve">electronically </w:t>
      </w:r>
      <w:r w:rsidRPr="00C47B4C">
        <w:t>store, track, and access pretreatment-related program information.</w:t>
      </w:r>
    </w:p>
    <w:p w14:paraId="4AE3A05C" w14:textId="77777777" w:rsidR="007F2877" w:rsidRDefault="007F2877">
      <w:pPr>
        <w:pStyle w:val="Heading2"/>
      </w:pPr>
      <w:bookmarkStart w:id="9" w:name="_Toc437867194"/>
      <w:r>
        <w:lastRenderedPageBreak/>
        <w:t xml:space="preserve">4. </w:t>
      </w:r>
      <w:r w:rsidRPr="00673714">
        <w:t xml:space="preserve">Describe the efforts to </w:t>
      </w:r>
      <w:r>
        <w:t>identify duplication</w:t>
      </w:r>
      <w:bookmarkEnd w:id="9"/>
    </w:p>
    <w:p w14:paraId="198BD300" w14:textId="77777777" w:rsidR="00C47B4C" w:rsidRPr="00C47B4C" w:rsidRDefault="00C47B4C" w:rsidP="00C47B4C">
      <w:pPr>
        <w:widowControl/>
        <w:autoSpaceDE/>
        <w:autoSpaceDN/>
        <w:adjustRightInd/>
      </w:pPr>
      <w:r w:rsidRPr="00C47B4C">
        <w:rPr>
          <w:lang w:val="en-CA"/>
        </w:rPr>
        <w:fldChar w:fldCharType="begin"/>
      </w:r>
      <w:r w:rsidRPr="00C47B4C">
        <w:rPr>
          <w:lang w:val="en-CA"/>
        </w:rPr>
        <w:instrText xml:space="preserve"> SEQ CHAPTER \h \r 1</w:instrText>
      </w:r>
      <w:r w:rsidRPr="00C47B4C">
        <w:rPr>
          <w:lang w:val="en-CA"/>
        </w:rPr>
        <w:fldChar w:fldCharType="end"/>
      </w:r>
      <w:r w:rsidRPr="00C47B4C">
        <w:t>EPA has examined all o</w:t>
      </w:r>
      <w:smartTag w:uri="urn:schemas-microsoft-com:office:smarttags" w:element="PersonName">
        <w:r w:rsidRPr="00C47B4C">
          <w:t>the</w:t>
        </w:r>
      </w:smartTag>
      <w:r w:rsidRPr="00C47B4C">
        <w:t xml:space="preserve">r reporting requirements contained in </w:t>
      </w:r>
      <w:smartTag w:uri="urn:schemas-microsoft-com:office:smarttags" w:element="PersonName">
        <w:r w:rsidRPr="00C47B4C">
          <w:t>the</w:t>
        </w:r>
      </w:smartTag>
      <w:r w:rsidRPr="00C47B4C">
        <w:t xml:space="preserve"> CWA and 40 CFR Part 403. In addition, </w:t>
      </w:r>
      <w:smartTag w:uri="urn:schemas-microsoft-com:office:smarttags" w:element="PersonName">
        <w:r w:rsidRPr="00C47B4C">
          <w:t>the</w:t>
        </w:r>
      </w:smartTag>
      <w:r w:rsidRPr="00C47B4C">
        <w:t xml:space="preserve"> Agency has examined </w:t>
      </w:r>
      <w:smartTag w:uri="urn:schemas-microsoft-com:office:smarttags" w:element="PersonName">
        <w:r w:rsidRPr="00C47B4C">
          <w:t>the</w:t>
        </w:r>
      </w:smartTag>
      <w:r w:rsidRPr="00C47B4C">
        <w:t xml:space="preserve"> following sources to determine whether similar or duplicative information is available elsewhere:</w:t>
      </w:r>
    </w:p>
    <w:p w14:paraId="242A57DB" w14:textId="77777777" w:rsidR="00C47B4C" w:rsidRPr="00C47B4C" w:rsidRDefault="00C47B4C" w:rsidP="00C47B4C">
      <w:pPr>
        <w:widowControl/>
        <w:autoSpaceDE/>
        <w:autoSpaceDN/>
        <w:adjustRightInd/>
      </w:pPr>
    </w:p>
    <w:p w14:paraId="07793086" w14:textId="77777777" w:rsidR="007C21AD" w:rsidRPr="00C47B4C" w:rsidRDefault="007C21AD" w:rsidP="007C21AD">
      <w:pPr>
        <w:widowControl/>
        <w:numPr>
          <w:ilvl w:val="0"/>
          <w:numId w:val="13"/>
        </w:numPr>
        <w:tabs>
          <w:tab w:val="left" w:pos="720"/>
        </w:tabs>
        <w:autoSpaceDE/>
        <w:autoSpaceDN/>
        <w:adjustRightInd/>
      </w:pPr>
      <w:r w:rsidRPr="007C21AD">
        <w:t>Integrated Compliance Information System (ICIS)</w:t>
      </w:r>
    </w:p>
    <w:p w14:paraId="4F472E7D" w14:textId="77777777" w:rsidR="00C47B4C" w:rsidRPr="00C47B4C" w:rsidRDefault="00C47B4C" w:rsidP="00C47B4C">
      <w:pPr>
        <w:widowControl/>
        <w:numPr>
          <w:ilvl w:val="0"/>
          <w:numId w:val="13"/>
        </w:numPr>
        <w:tabs>
          <w:tab w:val="left" w:pos="720"/>
        </w:tabs>
        <w:autoSpaceDE/>
        <w:autoSpaceDN/>
        <w:adjustRightInd/>
      </w:pPr>
      <w:r w:rsidRPr="00C47B4C">
        <w:t>Management Information and Data Systems Division Inventory of Automated Systems</w:t>
      </w:r>
    </w:p>
    <w:p w14:paraId="78CF58E2" w14:textId="77777777" w:rsidR="00C47B4C" w:rsidRPr="00C47B4C" w:rsidRDefault="00C47B4C" w:rsidP="00C47B4C">
      <w:pPr>
        <w:widowControl/>
        <w:numPr>
          <w:ilvl w:val="0"/>
          <w:numId w:val="13"/>
        </w:numPr>
        <w:tabs>
          <w:tab w:val="left" w:pos="720"/>
        </w:tabs>
        <w:autoSpaceDE/>
        <w:autoSpaceDN/>
        <w:adjustRightInd/>
      </w:pPr>
      <w:r w:rsidRPr="00C47B4C">
        <w:t>Environmental Information Clearinghouse</w:t>
      </w:r>
    </w:p>
    <w:p w14:paraId="4591D062" w14:textId="77777777" w:rsidR="00C47B4C" w:rsidRPr="00C47B4C" w:rsidRDefault="00C47B4C" w:rsidP="00C47B4C">
      <w:pPr>
        <w:widowControl/>
        <w:numPr>
          <w:ilvl w:val="0"/>
          <w:numId w:val="13"/>
        </w:numPr>
        <w:tabs>
          <w:tab w:val="left" w:pos="720"/>
        </w:tabs>
        <w:autoSpaceDE/>
        <w:autoSpaceDN/>
        <w:adjustRightInd/>
      </w:pPr>
      <w:r w:rsidRPr="00C47B4C">
        <w:t>Inventory of ICRs</w:t>
      </w:r>
    </w:p>
    <w:p w14:paraId="05F42A3A" w14:textId="77777777" w:rsidR="00C47B4C" w:rsidRPr="00C47B4C" w:rsidRDefault="00C47B4C" w:rsidP="00C47B4C">
      <w:pPr>
        <w:widowControl/>
        <w:numPr>
          <w:ilvl w:val="12"/>
          <w:numId w:val="0"/>
        </w:numPr>
        <w:autoSpaceDE/>
        <w:autoSpaceDN/>
        <w:adjustRightInd/>
      </w:pPr>
    </w:p>
    <w:p w14:paraId="0304B8C2" w14:textId="77777777" w:rsidR="00C47B4C" w:rsidRPr="00C47B4C" w:rsidRDefault="00C47B4C" w:rsidP="00C47B4C">
      <w:pPr>
        <w:widowControl/>
        <w:autoSpaceDE/>
        <w:autoSpaceDN/>
        <w:adjustRightInd/>
      </w:pPr>
      <w:r w:rsidRPr="00C47B4C">
        <w:t>EPA did not find any similar or duplicative reporting requirements. No o</w:t>
      </w:r>
      <w:smartTag w:uri="urn:schemas-microsoft-com:office:smarttags" w:element="PersonName">
        <w:r w:rsidRPr="00C47B4C">
          <w:t>the</w:t>
        </w:r>
      </w:smartTag>
      <w:r w:rsidRPr="00C47B4C">
        <w:t>r mechanism for obtaining information on continued compliance with pretreatment standards is available.</w:t>
      </w:r>
    </w:p>
    <w:p w14:paraId="67309B1A" w14:textId="77777777" w:rsidR="00C47B4C" w:rsidRPr="00C47B4C" w:rsidRDefault="00C47B4C" w:rsidP="002C26E9"/>
    <w:p w14:paraId="4EBB303B" w14:textId="77777777" w:rsidR="007F2877" w:rsidRDefault="007F2877" w:rsidP="007F2877">
      <w:pPr>
        <w:pStyle w:val="Heading2"/>
      </w:pPr>
      <w:bookmarkStart w:id="10" w:name="_Toc437867195"/>
      <w:r>
        <w:t xml:space="preserve">5. </w:t>
      </w:r>
      <w:r w:rsidRPr="00673714">
        <w:t>Explain whether or not the collection impacts small entities</w:t>
      </w:r>
      <w:bookmarkEnd w:id="10"/>
    </w:p>
    <w:p w14:paraId="7E36149B" w14:textId="77777777" w:rsidR="007D1395" w:rsidRPr="007D1395" w:rsidRDefault="007D1395" w:rsidP="007D1395">
      <w:pPr>
        <w:widowControl/>
        <w:numPr>
          <w:ilvl w:val="12"/>
          <w:numId w:val="0"/>
        </w:numPr>
        <w:autoSpaceDE/>
        <w:autoSpaceDN/>
        <w:adjustRightInd/>
      </w:pPr>
      <w:r w:rsidRPr="007D1395">
        <w:t xml:space="preserve">In developing this ICR, EPA considered </w:t>
      </w:r>
      <w:smartTag w:uri="urn:schemas-microsoft-com:office:smarttags" w:element="PersonName">
        <w:r w:rsidRPr="007D1395">
          <w:t>the</w:t>
        </w:r>
      </w:smartTag>
      <w:r w:rsidRPr="007D1395">
        <w:t xml:space="preserve"> requirement of </w:t>
      </w:r>
      <w:smartTag w:uri="urn:schemas-microsoft-com:office:smarttags" w:element="PersonName">
        <w:r w:rsidRPr="007D1395">
          <w:t>the</w:t>
        </w:r>
      </w:smartTag>
      <w:r w:rsidRPr="007D1395">
        <w:t xml:space="preserve"> Small Business Regulatory Enforcement Fairness Act (SBREFA) to minimize </w:t>
      </w:r>
      <w:smartTag w:uri="urn:schemas-microsoft-com:office:smarttags" w:element="PersonName">
        <w:r w:rsidRPr="007D1395">
          <w:t>the</w:t>
        </w:r>
      </w:smartTag>
      <w:r w:rsidRPr="007D1395">
        <w:t xml:space="preserve"> burden of information collections on small entities. Small entities include small businesses, small organizations, and small government jurisdictions, all of which are defined as follows in section 601 of the Regulatory Flexibility Act:</w:t>
      </w:r>
    </w:p>
    <w:p w14:paraId="7BC181F4" w14:textId="77777777" w:rsidR="007D1395" w:rsidRPr="007D1395" w:rsidRDefault="007D1395" w:rsidP="007D1395">
      <w:pPr>
        <w:widowControl/>
        <w:numPr>
          <w:ilvl w:val="12"/>
          <w:numId w:val="0"/>
        </w:numPr>
        <w:autoSpaceDE/>
        <w:autoSpaceDN/>
        <w:adjustRightInd/>
      </w:pPr>
    </w:p>
    <w:p w14:paraId="49A37363" w14:textId="77777777" w:rsidR="007D1395" w:rsidRPr="007D1395" w:rsidRDefault="007D1395" w:rsidP="007D1395">
      <w:pPr>
        <w:widowControl/>
        <w:autoSpaceDE/>
        <w:autoSpaceDN/>
        <w:adjustRightInd/>
        <w:spacing w:line="2" w:lineRule="exact"/>
      </w:pPr>
    </w:p>
    <w:p w14:paraId="1E8E7FA6" w14:textId="77777777" w:rsidR="007D1395" w:rsidRPr="007D1395" w:rsidRDefault="007D1395" w:rsidP="007D1395">
      <w:pPr>
        <w:widowControl/>
        <w:numPr>
          <w:ilvl w:val="0"/>
          <w:numId w:val="10"/>
        </w:numPr>
        <w:tabs>
          <w:tab w:val="left" w:pos="720"/>
          <w:tab w:val="left" w:pos="1440"/>
        </w:tabs>
        <w:autoSpaceDE/>
        <w:autoSpaceDN/>
        <w:adjustRightInd/>
        <w:spacing w:after="120"/>
        <w:ind w:left="360" w:right="720"/>
      </w:pPr>
      <w:r w:rsidRPr="007D1395">
        <w:t xml:space="preserve">A </w:t>
      </w:r>
      <w:r w:rsidRPr="007D1395">
        <w:rPr>
          <w:bCs/>
          <w:i/>
        </w:rPr>
        <w:t>small business</w:t>
      </w:r>
      <w:r w:rsidRPr="007D1395">
        <w:t xml:space="preserve"> is any business that is independently owned and operated and not dominant in its field, as defined by </w:t>
      </w:r>
      <w:smartTag w:uri="urn:schemas-microsoft-com:office:smarttags" w:element="PersonName">
        <w:r w:rsidRPr="007D1395">
          <w:t>the</w:t>
        </w:r>
      </w:smartTag>
      <w:r w:rsidRPr="007D1395">
        <w:t xml:space="preserve"> Small Business Administration (SBA) Regulations under section 3 of </w:t>
      </w:r>
      <w:smartTag w:uri="urn:schemas-microsoft-com:office:smarttags" w:element="PersonName">
        <w:r w:rsidRPr="007D1395">
          <w:t>the</w:t>
        </w:r>
      </w:smartTag>
      <w:r w:rsidRPr="007D1395">
        <w:t xml:space="preserve"> Small Business Act.</w:t>
      </w:r>
    </w:p>
    <w:p w14:paraId="5BC3BF3F" w14:textId="77777777" w:rsidR="007D1395" w:rsidRPr="007D1395" w:rsidRDefault="007D1395" w:rsidP="007D1395">
      <w:pPr>
        <w:widowControl/>
        <w:numPr>
          <w:ilvl w:val="0"/>
          <w:numId w:val="11"/>
        </w:numPr>
        <w:tabs>
          <w:tab w:val="left" w:pos="720"/>
          <w:tab w:val="left" w:pos="1440"/>
        </w:tabs>
        <w:autoSpaceDE/>
        <w:autoSpaceDN/>
        <w:adjustRightInd/>
        <w:spacing w:after="120"/>
        <w:ind w:right="720"/>
      </w:pPr>
      <w:r w:rsidRPr="007D1395">
        <w:t xml:space="preserve">A </w:t>
      </w:r>
      <w:r w:rsidRPr="007D1395">
        <w:rPr>
          <w:bCs/>
          <w:i/>
        </w:rPr>
        <w:t>small organization</w:t>
      </w:r>
      <w:r w:rsidRPr="007D1395">
        <w:t xml:space="preserve"> is any non-profit enterprise that is independently owned and operated and not dominant in its field.</w:t>
      </w:r>
    </w:p>
    <w:p w14:paraId="7F8CB9B6" w14:textId="77777777" w:rsidR="007D1395" w:rsidRPr="007D1395" w:rsidRDefault="007D1395" w:rsidP="007D1395">
      <w:pPr>
        <w:widowControl/>
        <w:autoSpaceDE/>
        <w:autoSpaceDN/>
        <w:adjustRightInd/>
        <w:spacing w:line="2" w:lineRule="exact"/>
      </w:pPr>
    </w:p>
    <w:p w14:paraId="54BD758D" w14:textId="77777777" w:rsidR="007D1395" w:rsidRPr="007D1395" w:rsidRDefault="007D1395" w:rsidP="007D1395">
      <w:pPr>
        <w:widowControl/>
        <w:numPr>
          <w:ilvl w:val="0"/>
          <w:numId w:val="12"/>
        </w:numPr>
        <w:tabs>
          <w:tab w:val="left" w:pos="720"/>
          <w:tab w:val="left" w:pos="1440"/>
        </w:tabs>
        <w:autoSpaceDE/>
        <w:autoSpaceDN/>
        <w:adjustRightInd/>
        <w:ind w:right="720"/>
      </w:pPr>
      <w:r w:rsidRPr="007D1395">
        <w:t>A</w:t>
      </w:r>
      <w:r w:rsidRPr="007D1395">
        <w:rPr>
          <w:i/>
        </w:rPr>
        <w:t xml:space="preserve"> </w:t>
      </w:r>
      <w:r w:rsidRPr="007D1395">
        <w:rPr>
          <w:bCs/>
          <w:i/>
        </w:rPr>
        <w:t>small governmental jurisdiction</w:t>
      </w:r>
      <w:r w:rsidRPr="007D1395">
        <w:t xml:space="preserve"> is </w:t>
      </w:r>
      <w:smartTag w:uri="urn:schemas-microsoft-com:office:smarttags" w:element="PersonName">
        <w:r w:rsidRPr="007D1395">
          <w:t>the</w:t>
        </w:r>
      </w:smartTag>
      <w:r w:rsidRPr="007D1395">
        <w:t xml:space="preserve"> government of a city, county, town, township, village, school district, or special district that has a population fewer than 50,000. This definition may also include Indian tribes.</w:t>
      </w:r>
    </w:p>
    <w:p w14:paraId="03537493" w14:textId="77777777" w:rsidR="007D1395" w:rsidRPr="007D1395" w:rsidRDefault="007D1395" w:rsidP="007D1395">
      <w:pPr>
        <w:widowControl/>
        <w:numPr>
          <w:ilvl w:val="12"/>
          <w:numId w:val="0"/>
        </w:numPr>
        <w:autoSpaceDE/>
        <w:autoSpaceDN/>
        <w:adjustRightInd/>
      </w:pPr>
    </w:p>
    <w:p w14:paraId="33ABD06B" w14:textId="77777777" w:rsidR="007D1395" w:rsidRPr="007D1395" w:rsidRDefault="007D1395" w:rsidP="007D1395">
      <w:pPr>
        <w:widowControl/>
        <w:numPr>
          <w:ilvl w:val="12"/>
          <w:numId w:val="0"/>
        </w:numPr>
        <w:autoSpaceDE/>
        <w:autoSpaceDN/>
        <w:adjustRightInd/>
      </w:pPr>
      <w:r w:rsidRPr="007D1395">
        <w:t>The reporting requirements for pretreatment program development affect only state governments and municipal governments (i.e., POTWs). Requirements for pretreatment program implementation and program/categorical determinations involve some small businesses. The information requested, however, is not available from o</w:t>
      </w:r>
      <w:smartTag w:uri="urn:schemas-microsoft-com:office:smarttags" w:element="PersonName">
        <w:r w:rsidRPr="007D1395">
          <w:t>the</w:t>
        </w:r>
      </w:smartTag>
      <w:r w:rsidRPr="007D1395">
        <w:t>r sources and is essential for implementing the pretreatment program.</w:t>
      </w:r>
    </w:p>
    <w:p w14:paraId="6167685F" w14:textId="77777777" w:rsidR="007D1395" w:rsidRPr="007D1395" w:rsidRDefault="007D1395" w:rsidP="007D1395">
      <w:pPr>
        <w:widowControl/>
        <w:numPr>
          <w:ilvl w:val="12"/>
          <w:numId w:val="0"/>
        </w:numPr>
        <w:autoSpaceDE/>
        <w:autoSpaceDN/>
        <w:adjustRightInd/>
      </w:pPr>
    </w:p>
    <w:p w14:paraId="571BEAA3" w14:textId="2E06291E" w:rsidR="007D1395" w:rsidRPr="007D1395" w:rsidRDefault="007D1395" w:rsidP="002C26E9">
      <w:r w:rsidRPr="007D1395">
        <w:t xml:space="preserve">Overall, </w:t>
      </w:r>
      <w:smartTag w:uri="urn:schemas-microsoft-com:office:smarttags" w:element="PersonName">
        <w:r w:rsidRPr="007D1395">
          <w:t>the</w:t>
        </w:r>
      </w:smartTag>
      <w:r w:rsidRPr="007D1395">
        <w:t xml:space="preserve"> burden for small industries is likely to be inherently smaller than that for o</w:t>
      </w:r>
      <w:smartTag w:uri="urn:schemas-microsoft-com:office:smarttags" w:element="PersonName">
        <w:r w:rsidRPr="007D1395">
          <w:t>the</w:t>
        </w:r>
      </w:smartTag>
      <w:r w:rsidRPr="007D1395">
        <w:t xml:space="preserve">r IUs because </w:t>
      </w:r>
      <w:smartTag w:uri="urn:schemas-microsoft-com:office:smarttags" w:element="PersonName">
        <w:r w:rsidRPr="007D1395">
          <w:t>the</w:t>
        </w:r>
      </w:smartTag>
      <w:r w:rsidRPr="007D1395">
        <w:t xml:space="preserve">ir facilities are less complex. Reporting burdens are less for SIUs than for CIUs. Under </w:t>
      </w:r>
      <w:smartTag w:uri="urn:schemas-microsoft-com:office:smarttags" w:element="PersonName">
        <w:r w:rsidRPr="007D1395">
          <w:t>the</w:t>
        </w:r>
      </w:smartTag>
      <w:r w:rsidRPr="007D1395">
        <w:t xml:space="preserve"> Streamlining Rule, EPA modified some of </w:t>
      </w:r>
      <w:smartTag w:uri="urn:schemas-microsoft-com:office:smarttags" w:element="PersonName">
        <w:r w:rsidRPr="007D1395">
          <w:t>the</w:t>
        </w:r>
      </w:smartTag>
      <w:r w:rsidRPr="007D1395">
        <w:t xml:space="preserve"> sampling requirements for CIUs to provide greater flexibility; </w:t>
      </w:r>
      <w:smartTag w:uri="urn:schemas-microsoft-com:office:smarttags" w:element="PersonName">
        <w:r w:rsidRPr="007D1395">
          <w:t>the</w:t>
        </w:r>
      </w:smartTag>
      <w:r w:rsidRPr="007D1395">
        <w:t xml:space="preserve">se changes will benefit some of </w:t>
      </w:r>
      <w:smartTag w:uri="urn:schemas-microsoft-com:office:smarttags" w:element="PersonName">
        <w:r w:rsidRPr="007D1395">
          <w:t>the</w:t>
        </w:r>
      </w:smartTag>
      <w:r w:rsidRPr="007D1395">
        <w:t xml:space="preserve"> smaller CIUs. Under the Streamlining Rule, EPA also provided states and POTWs opportunities to </w:t>
      </w:r>
      <w:r w:rsidR="00025B6A">
        <w:t>reduce reporting</w:t>
      </w:r>
      <w:r w:rsidRPr="007D1395">
        <w:t xml:space="preserve"> requirements </w:t>
      </w:r>
      <w:r w:rsidR="00025B6A">
        <w:t xml:space="preserve">for </w:t>
      </w:r>
      <w:r w:rsidRPr="007D1395">
        <w:t xml:space="preserve">CIUs that never discharge more than 100 gpd of total process wastewater. POTWs and states may also categorize some CIUs as </w:t>
      </w:r>
      <w:r w:rsidRPr="007D1395">
        <w:rPr>
          <w:i/>
        </w:rPr>
        <w:t>middle tier,</w:t>
      </w:r>
      <w:r w:rsidRPr="007D1395">
        <w:t xml:space="preserve"> meaning they, too, may be subject to fewer reporting requirements. A number of small facilities are likely to fall into </w:t>
      </w:r>
      <w:smartTag w:uri="urn:schemas-microsoft-com:office:smarttags" w:element="PersonName">
        <w:r w:rsidRPr="007D1395">
          <w:t>the</w:t>
        </w:r>
      </w:smartTag>
      <w:r w:rsidRPr="007D1395">
        <w:t>se categories.</w:t>
      </w:r>
    </w:p>
    <w:p w14:paraId="65055F28" w14:textId="77777777" w:rsidR="007F2877" w:rsidRDefault="007F2877" w:rsidP="007F2877">
      <w:pPr>
        <w:pStyle w:val="Heading2"/>
      </w:pPr>
      <w:bookmarkStart w:id="11" w:name="_Toc437867196"/>
      <w:r>
        <w:lastRenderedPageBreak/>
        <w:t xml:space="preserve">6. </w:t>
      </w:r>
      <w:r w:rsidRPr="00673714">
        <w:t xml:space="preserve">Describe the consequences to the program if the collection is not conducted </w:t>
      </w:r>
      <w:r>
        <w:t>or is conducted less frequently</w:t>
      </w:r>
      <w:bookmarkEnd w:id="11"/>
    </w:p>
    <w:p w14:paraId="1BD504B1" w14:textId="03A1CFD3" w:rsidR="00C47B4C" w:rsidRDefault="00C47B4C" w:rsidP="00C47B4C">
      <w:pPr>
        <w:widowControl/>
        <w:autoSpaceDE/>
        <w:autoSpaceDN/>
        <w:adjustRightInd/>
      </w:pPr>
      <w:r w:rsidRPr="00C47B4C">
        <w:rPr>
          <w:lang w:val="en-CA"/>
        </w:rPr>
        <w:fldChar w:fldCharType="begin"/>
      </w:r>
      <w:r w:rsidRPr="00C47B4C">
        <w:rPr>
          <w:lang w:val="en-CA"/>
        </w:rPr>
        <w:instrText xml:space="preserve"> SEQ CHAPTER \h \r 1</w:instrText>
      </w:r>
      <w:r w:rsidRPr="00C47B4C">
        <w:rPr>
          <w:lang w:val="en-CA"/>
        </w:rPr>
        <w:fldChar w:fldCharType="end"/>
      </w:r>
      <w:r w:rsidRPr="00C47B4C">
        <w:t xml:space="preserve">EPA considers </w:t>
      </w:r>
      <w:smartTag w:uri="urn:schemas-microsoft-com:office:smarttags" w:element="PersonName">
        <w:r w:rsidRPr="00C47B4C">
          <w:t>the</w:t>
        </w:r>
      </w:smartTag>
      <w:r w:rsidRPr="00C47B4C">
        <w:t xml:space="preserve"> reporting requirements associated with </w:t>
      </w:r>
      <w:smartTag w:uri="urn:schemas-microsoft-com:office:smarttags" w:element="PersonName">
        <w:r w:rsidRPr="00C47B4C">
          <w:t>the</w:t>
        </w:r>
      </w:smartTag>
      <w:r w:rsidRPr="00C47B4C">
        <w:t xml:space="preserve"> pretreatment program (both </w:t>
      </w:r>
      <w:smartTag w:uri="urn:schemas-microsoft-com:office:smarttags" w:element="PersonName">
        <w:r w:rsidRPr="00C47B4C">
          <w:t>the</w:t>
        </w:r>
      </w:smartTag>
      <w:r w:rsidRPr="00C47B4C">
        <w:t xml:space="preserve"> one-time and ongoing monitoring and reporting requirements) the minimum necessary for effective administration of </w:t>
      </w:r>
      <w:smartTag w:uri="urn:schemas-microsoft-com:office:smarttags" w:element="PersonName">
        <w:r w:rsidRPr="00C47B4C">
          <w:t>the</w:t>
        </w:r>
      </w:smartTag>
      <w:r w:rsidRPr="00C47B4C">
        <w:t xml:space="preserve"> program. EPA also considers the reporting requirements the minimum necessary to ensure effective control of hazardous wastes and to implement RCRA section 3018(b). </w:t>
      </w:r>
      <w:r w:rsidR="00D83C3D">
        <w:t>Most</w:t>
      </w:r>
      <w:r w:rsidRPr="00C47B4C">
        <w:t xml:space="preserve"> alternative</w:t>
      </w:r>
      <w:r w:rsidR="00D83C3D">
        <w:t>s</w:t>
      </w:r>
      <w:r w:rsidRPr="00C47B4C">
        <w:t xml:space="preserve"> to the present set of minimal requirements would entail an increase in reporting burden to respondents.</w:t>
      </w:r>
      <w:r w:rsidR="000E3BC1">
        <w:t xml:space="preserve">  </w:t>
      </w:r>
      <w:r w:rsidRPr="00C47B4C">
        <w:t>In addition, EPA considers the specific requirements for SIUs and for reporting the discharge of RCRA hazardous substances preferable to repealing the domestic sewage exclusion</w:t>
      </w:r>
      <w:r w:rsidR="003012E5">
        <w:t xml:space="preserve">. The domestic sewage exclusion is a RCRA provision that </w:t>
      </w:r>
      <w:r w:rsidR="00D83C3D">
        <w:t>excludes</w:t>
      </w:r>
      <w:r w:rsidR="00D83C3D" w:rsidRPr="00D83C3D">
        <w:t xml:space="preserve"> domestic sewage and any mixture of domestic sewage and other wastes that pass through a sewer system to a POTW for treatment</w:t>
      </w:r>
      <w:r w:rsidR="00D83C3D">
        <w:t xml:space="preserve"> </w:t>
      </w:r>
      <w:r w:rsidR="003012E5">
        <w:t xml:space="preserve">from being classified </w:t>
      </w:r>
      <w:r w:rsidR="00D83C3D">
        <w:t xml:space="preserve">as a RCRA </w:t>
      </w:r>
      <w:r w:rsidR="003012E5">
        <w:t>hazardous waste</w:t>
      </w:r>
      <w:r w:rsidRPr="00C47B4C">
        <w:t>.</w:t>
      </w:r>
    </w:p>
    <w:p w14:paraId="50F0B4D8" w14:textId="77777777" w:rsidR="00835DD0" w:rsidRDefault="00835DD0" w:rsidP="00C47B4C">
      <w:pPr>
        <w:widowControl/>
        <w:autoSpaceDE/>
        <w:autoSpaceDN/>
        <w:adjustRightInd/>
      </w:pPr>
    </w:p>
    <w:p w14:paraId="6D434A2E" w14:textId="74E00ED9" w:rsidR="000E3BC1" w:rsidRPr="00C47B4C" w:rsidRDefault="000E3BC1" w:rsidP="00C47B4C">
      <w:pPr>
        <w:widowControl/>
        <w:autoSpaceDE/>
        <w:autoSpaceDN/>
        <w:adjustRightInd/>
      </w:pPr>
      <w:r w:rsidRPr="000E3BC1">
        <w:t xml:space="preserve">The data collection is mandatory and the consequences of not collecting the information would result in a failure of the regulated facilities and/or control authorities to comply with the authorizing </w:t>
      </w:r>
      <w:r>
        <w:t>Pretreatment Program</w:t>
      </w:r>
      <w:r w:rsidRPr="000E3BC1">
        <w:t xml:space="preserve"> regulations. Failure to comply could result in enforcement actions including civil or criminal penalties.</w:t>
      </w:r>
    </w:p>
    <w:p w14:paraId="5621C2FB" w14:textId="77777777" w:rsidR="00C47B4C" w:rsidRPr="00C47B4C" w:rsidRDefault="00C47B4C" w:rsidP="00C47B4C"/>
    <w:p w14:paraId="6841F85D" w14:textId="77777777" w:rsidR="007F2877" w:rsidRDefault="007F2877" w:rsidP="007F2877">
      <w:pPr>
        <w:pStyle w:val="Heading2"/>
      </w:pPr>
      <w:bookmarkStart w:id="12" w:name="_Toc437867197"/>
      <w:r>
        <w:t xml:space="preserve">7. </w:t>
      </w:r>
      <w:r w:rsidRPr="00673714">
        <w:t>Explain any special circumstances associated with “extraordinar</w:t>
      </w:r>
      <w:r>
        <w:t>y burden” placed on respondents</w:t>
      </w:r>
      <w:bookmarkEnd w:id="12"/>
    </w:p>
    <w:p w14:paraId="5A5FFC6B" w14:textId="14905044" w:rsidR="002277E6" w:rsidRDefault="002277E6" w:rsidP="000E3BC1">
      <w:r w:rsidRPr="002277E6">
        <w:t xml:space="preserve">There are no special circumstances where “extraordinary burden” is placed on respondents. </w:t>
      </w:r>
      <w:r w:rsidR="005948DC" w:rsidRPr="005948DC">
        <w:t>The collection of information is conducted in a manner consistent with the Paperwork Reduction Act guidelines at 5 CFR 1320.5(d)(2). Requests for supplemental information for the purposes of emergency response or enforcement activities are exempt from the Paperwork Reduction Act requirements.</w:t>
      </w:r>
    </w:p>
    <w:p w14:paraId="24AF0244" w14:textId="77777777" w:rsidR="00517844" w:rsidRPr="002277E6" w:rsidRDefault="00517844" w:rsidP="000E3BC1"/>
    <w:p w14:paraId="45E1F82D" w14:textId="062D1EB7" w:rsidR="007F2877" w:rsidRDefault="007F2877" w:rsidP="007F2877">
      <w:pPr>
        <w:pStyle w:val="Heading2"/>
      </w:pPr>
      <w:bookmarkStart w:id="13" w:name="_Toc437867198"/>
      <w:r>
        <w:t xml:space="preserve">8. </w:t>
      </w:r>
      <w:r w:rsidRPr="00673714">
        <w:t>Provide a copy and identify the date and page number of the</w:t>
      </w:r>
      <w:r>
        <w:t xml:space="preserve"> notice in the Federal Register</w:t>
      </w:r>
      <w:bookmarkEnd w:id="13"/>
    </w:p>
    <w:p w14:paraId="0375F0C3" w14:textId="41EF5081" w:rsidR="00C47B4C" w:rsidRPr="00C47B4C" w:rsidRDefault="00C47B4C" w:rsidP="00CC5D12">
      <w:r w:rsidRPr="00C47B4C">
        <w:t xml:space="preserve">This ICR was published in the Federal Register on </w:t>
      </w:r>
      <w:r w:rsidR="00135D78" w:rsidRPr="00135D78">
        <w:t>October 5, 2015</w:t>
      </w:r>
      <w:r w:rsidRPr="00C47B4C">
        <w:t xml:space="preserve"> (</w:t>
      </w:r>
      <w:r w:rsidR="00135D78" w:rsidRPr="00135D78">
        <w:t>80 FR 60142</w:t>
      </w:r>
      <w:r w:rsidRPr="00C47B4C">
        <w:t>). The notice included a request for comments on the content and impact of these information collection requirements on the regulated community.  EPA did not receive any comments on this ICR.</w:t>
      </w:r>
      <w:r w:rsidR="00073638" w:rsidRPr="00073638">
        <w:t xml:space="preserve"> See Appendix D for a copy of the </w:t>
      </w:r>
      <w:r w:rsidR="00073638">
        <w:t>Federal Register notice.</w:t>
      </w:r>
    </w:p>
    <w:p w14:paraId="5EA21C64" w14:textId="77777777" w:rsidR="00C47B4C" w:rsidRPr="00C47B4C" w:rsidRDefault="00C47B4C" w:rsidP="00C47B4C"/>
    <w:p w14:paraId="0C2800F9" w14:textId="77777777" w:rsidR="007F2877" w:rsidRDefault="007F2877" w:rsidP="007F2877">
      <w:pPr>
        <w:pStyle w:val="Heading2"/>
      </w:pPr>
      <w:bookmarkStart w:id="14" w:name="_Toc437867199"/>
      <w:r>
        <w:t xml:space="preserve">9. </w:t>
      </w:r>
      <w:r w:rsidRPr="00673714">
        <w:t>Explain any decision to prov</w:t>
      </w:r>
      <w:r>
        <w:t>ide compensation to respondents</w:t>
      </w:r>
      <w:bookmarkEnd w:id="14"/>
    </w:p>
    <w:p w14:paraId="516D2EB3" w14:textId="7ECED60E" w:rsidR="00CC5D12" w:rsidRDefault="001B5F67" w:rsidP="00CC5D12">
      <w:r w:rsidRPr="001B5F67">
        <w:t>No payments or gifts are provided to respondents.</w:t>
      </w:r>
    </w:p>
    <w:p w14:paraId="68F6A512" w14:textId="77777777" w:rsidR="00517844" w:rsidRDefault="00517844" w:rsidP="00CC5D12"/>
    <w:p w14:paraId="6D52DB45" w14:textId="64A57B4B" w:rsidR="007F2877" w:rsidRDefault="007F2877" w:rsidP="007F2877">
      <w:pPr>
        <w:pStyle w:val="Heading2"/>
      </w:pPr>
      <w:bookmarkStart w:id="15" w:name="_Toc437867200"/>
      <w:r>
        <w:t xml:space="preserve">10. </w:t>
      </w:r>
      <w:r w:rsidRPr="00673714">
        <w:t>Describe any assurance of confiden</w:t>
      </w:r>
      <w:r>
        <w:t>tiality provided to respondents</w:t>
      </w:r>
      <w:bookmarkEnd w:id="15"/>
    </w:p>
    <w:p w14:paraId="1EB2CAD9" w14:textId="77777777" w:rsidR="007C21AD" w:rsidRPr="007C21AD" w:rsidRDefault="007C21AD" w:rsidP="007C21AD">
      <w:pPr>
        <w:widowControl/>
        <w:autoSpaceDE/>
        <w:autoSpaceDN/>
        <w:adjustRightInd/>
      </w:pPr>
      <w:r w:rsidRPr="007C21AD">
        <w:t>The following reporting requirements may contain confidential business information (CBI), proprietary information, or information containing compromising trade secrets:</w:t>
      </w:r>
    </w:p>
    <w:p w14:paraId="4C1CA625" w14:textId="77777777" w:rsidR="007C21AD" w:rsidRPr="007C21AD" w:rsidRDefault="007C21AD" w:rsidP="007C21AD">
      <w:pPr>
        <w:widowControl/>
        <w:autoSpaceDE/>
        <w:autoSpaceDN/>
        <w:adjustRightInd/>
      </w:pPr>
    </w:p>
    <w:p w14:paraId="021EC5F1" w14:textId="77777777" w:rsidR="007C21AD" w:rsidRPr="007C21AD" w:rsidRDefault="007C21AD" w:rsidP="007C21AD">
      <w:pPr>
        <w:widowControl/>
        <w:numPr>
          <w:ilvl w:val="0"/>
          <w:numId w:val="14"/>
        </w:numPr>
        <w:tabs>
          <w:tab w:val="left" w:pos="720"/>
          <w:tab w:val="left" w:pos="1440"/>
        </w:tabs>
        <w:autoSpaceDE/>
        <w:autoSpaceDN/>
        <w:adjustRightInd/>
      </w:pPr>
      <w:r w:rsidRPr="007C21AD">
        <w:lastRenderedPageBreak/>
        <w:t>Pretreatment Baseline Monitoring Report (BMR)</w:t>
      </w:r>
    </w:p>
    <w:p w14:paraId="719C62A0" w14:textId="77777777" w:rsidR="007C21AD" w:rsidRPr="007C21AD" w:rsidRDefault="007C21AD" w:rsidP="007C21AD">
      <w:pPr>
        <w:widowControl/>
        <w:numPr>
          <w:ilvl w:val="0"/>
          <w:numId w:val="14"/>
        </w:numPr>
        <w:tabs>
          <w:tab w:val="left" w:pos="720"/>
          <w:tab w:val="left" w:pos="1440"/>
        </w:tabs>
        <w:autoSpaceDE/>
        <w:autoSpaceDN/>
        <w:adjustRightInd/>
      </w:pPr>
      <w:r w:rsidRPr="007C21AD">
        <w:t>IU Compliance Schedule Report</w:t>
      </w:r>
    </w:p>
    <w:p w14:paraId="1780772F" w14:textId="0D752607" w:rsidR="007C21AD" w:rsidRPr="007C21AD" w:rsidRDefault="007C21AD" w:rsidP="007C21AD">
      <w:pPr>
        <w:widowControl/>
        <w:numPr>
          <w:ilvl w:val="0"/>
          <w:numId w:val="14"/>
        </w:numPr>
        <w:tabs>
          <w:tab w:val="left" w:pos="720"/>
          <w:tab w:val="left" w:pos="1440"/>
        </w:tabs>
        <w:autoSpaceDE/>
        <w:autoSpaceDN/>
        <w:adjustRightInd/>
      </w:pPr>
      <w:r w:rsidRPr="007C21AD">
        <w:t>POTW and IU Maintenance o</w:t>
      </w:r>
      <w:r w:rsidR="009F6DB5">
        <w:t>r</w:t>
      </w:r>
      <w:r w:rsidRPr="007C21AD">
        <w:t xml:space="preserve"> Monitoring Records</w:t>
      </w:r>
      <w:r w:rsidR="009F6DB5">
        <w:t xml:space="preserve"> (excluding effluent data)</w:t>
      </w:r>
    </w:p>
    <w:p w14:paraId="36691593" w14:textId="77777777" w:rsidR="007C21AD" w:rsidRPr="007C21AD" w:rsidRDefault="007C21AD" w:rsidP="007C21AD">
      <w:pPr>
        <w:widowControl/>
        <w:numPr>
          <w:ilvl w:val="0"/>
          <w:numId w:val="14"/>
        </w:numPr>
        <w:tabs>
          <w:tab w:val="left" w:pos="720"/>
          <w:tab w:val="left" w:pos="1440"/>
        </w:tabs>
        <w:autoSpaceDE/>
        <w:autoSpaceDN/>
        <w:adjustRightInd/>
      </w:pPr>
      <w:r w:rsidRPr="007C21AD">
        <w:t>Pretreatment Categorical Determination Request</w:t>
      </w:r>
    </w:p>
    <w:p w14:paraId="786D7786" w14:textId="77777777" w:rsidR="007C21AD" w:rsidRPr="007C21AD" w:rsidRDefault="007C21AD" w:rsidP="007C21AD">
      <w:pPr>
        <w:widowControl/>
        <w:numPr>
          <w:ilvl w:val="0"/>
          <w:numId w:val="14"/>
        </w:numPr>
        <w:tabs>
          <w:tab w:val="left" w:pos="720"/>
          <w:tab w:val="left" w:pos="1440"/>
        </w:tabs>
        <w:autoSpaceDE/>
        <w:autoSpaceDN/>
        <w:adjustRightInd/>
      </w:pPr>
      <w:r w:rsidRPr="007C21AD">
        <w:t>Pretreatment Fundamentally Different Factors (FDF) Variance Request</w:t>
      </w:r>
    </w:p>
    <w:p w14:paraId="1A8F48B1" w14:textId="77777777" w:rsidR="007C21AD" w:rsidRPr="007C21AD" w:rsidRDefault="007C21AD" w:rsidP="007C21AD">
      <w:pPr>
        <w:widowControl/>
        <w:numPr>
          <w:ilvl w:val="12"/>
          <w:numId w:val="0"/>
        </w:numPr>
        <w:autoSpaceDE/>
        <w:autoSpaceDN/>
        <w:adjustRightInd/>
      </w:pPr>
    </w:p>
    <w:p w14:paraId="05E46F44" w14:textId="77777777" w:rsidR="007C21AD" w:rsidRPr="007C21AD" w:rsidRDefault="007C21AD" w:rsidP="007C21AD">
      <w:pPr>
        <w:widowControl/>
        <w:numPr>
          <w:ilvl w:val="12"/>
          <w:numId w:val="0"/>
        </w:numPr>
        <w:autoSpaceDE/>
        <w:autoSpaceDN/>
        <w:adjustRightInd/>
      </w:pPr>
      <w:r w:rsidRPr="007C21AD">
        <w:t xml:space="preserve">In such cases, </w:t>
      </w:r>
      <w:smartTag w:uri="urn:schemas-microsoft-com:office:smarttags" w:element="PersonName">
        <w:r w:rsidRPr="007C21AD">
          <w:t>the</w:t>
        </w:r>
      </w:smartTag>
      <w:r w:rsidRPr="007C21AD">
        <w:t xml:space="preserve"> respondent has </w:t>
      </w:r>
      <w:smartTag w:uri="urn:schemas-microsoft-com:office:smarttags" w:element="PersonName">
        <w:r w:rsidRPr="007C21AD">
          <w:t>the</w:t>
        </w:r>
      </w:smartTag>
      <w:r w:rsidRPr="007C21AD">
        <w:t xml:space="preserve"> right to request that </w:t>
      </w:r>
      <w:smartTag w:uri="urn:schemas-microsoft-com:office:smarttags" w:element="PersonName">
        <w:r w:rsidRPr="007C21AD">
          <w:t>the</w:t>
        </w:r>
      </w:smartTag>
      <w:r w:rsidRPr="007C21AD">
        <w:t xml:space="preserve"> information be treated as CBI. EPA and its agents will handle all data so designated in accordance with </w:t>
      </w:r>
      <w:smartTag w:uri="urn:schemas-microsoft-com:office:smarttags" w:element="PersonName">
        <w:r w:rsidRPr="007C21AD">
          <w:t>the</w:t>
        </w:r>
      </w:smartTag>
      <w:r w:rsidRPr="007C21AD">
        <w:t xml:space="preserve"> requirements at 40 CFR 403.14(a): </w:t>
      </w:r>
    </w:p>
    <w:p w14:paraId="278D49B0" w14:textId="77777777" w:rsidR="007C21AD" w:rsidRPr="007C21AD" w:rsidRDefault="007C21AD" w:rsidP="007C21AD">
      <w:pPr>
        <w:widowControl/>
        <w:numPr>
          <w:ilvl w:val="12"/>
          <w:numId w:val="0"/>
        </w:numPr>
        <w:autoSpaceDE/>
        <w:autoSpaceDN/>
        <w:adjustRightInd/>
      </w:pPr>
    </w:p>
    <w:p w14:paraId="7250B170" w14:textId="77777777" w:rsidR="007C21AD" w:rsidRPr="007C21AD" w:rsidRDefault="007C21AD" w:rsidP="007C21AD">
      <w:pPr>
        <w:widowControl/>
        <w:numPr>
          <w:ilvl w:val="12"/>
          <w:numId w:val="0"/>
        </w:numPr>
        <w:autoSpaceDE/>
        <w:autoSpaceDN/>
        <w:adjustRightInd/>
        <w:ind w:left="720" w:right="720"/>
        <w:rPr>
          <w:iCs/>
        </w:rPr>
      </w:pPr>
      <w:r w:rsidRPr="007C21AD">
        <w:rPr>
          <w:iCs/>
        </w:rPr>
        <w:t xml:space="preserve">In accordance with 40 CFR Part 2, any information submitted to EPA pursuant to </w:t>
      </w:r>
      <w:smartTag w:uri="urn:schemas-microsoft-com:office:smarttags" w:element="PersonName">
        <w:r w:rsidRPr="007C21AD">
          <w:rPr>
            <w:iCs/>
          </w:rPr>
          <w:t>the</w:t>
        </w:r>
      </w:smartTag>
      <w:r w:rsidRPr="007C21AD">
        <w:rPr>
          <w:iCs/>
        </w:rPr>
        <w:t xml:space="preserve">se regulations may be claimed as confidential by </w:t>
      </w:r>
      <w:smartTag w:uri="urn:schemas-microsoft-com:office:smarttags" w:element="PersonName">
        <w:r w:rsidRPr="007C21AD">
          <w:rPr>
            <w:iCs/>
          </w:rPr>
          <w:t>the</w:t>
        </w:r>
      </w:smartTag>
      <w:r w:rsidRPr="007C21AD">
        <w:rPr>
          <w:iCs/>
        </w:rPr>
        <w:t xml:space="preserve"> submitter. Any such claim must be asserted at </w:t>
      </w:r>
      <w:smartTag w:uri="urn:schemas-microsoft-com:office:smarttags" w:element="PersonName">
        <w:r w:rsidRPr="007C21AD">
          <w:rPr>
            <w:iCs/>
          </w:rPr>
          <w:t>the</w:t>
        </w:r>
      </w:smartTag>
      <w:r w:rsidRPr="007C21AD">
        <w:rPr>
          <w:iCs/>
        </w:rPr>
        <w:t xml:space="preserve"> time of submission in </w:t>
      </w:r>
      <w:smartTag w:uri="urn:schemas-microsoft-com:office:smarttags" w:element="PersonName">
        <w:r w:rsidRPr="007C21AD">
          <w:rPr>
            <w:iCs/>
          </w:rPr>
          <w:t>the</w:t>
        </w:r>
      </w:smartTag>
      <w:r w:rsidRPr="007C21AD">
        <w:rPr>
          <w:iCs/>
        </w:rPr>
        <w:t xml:space="preserve"> manner prescribed on </w:t>
      </w:r>
      <w:smartTag w:uri="urn:schemas-microsoft-com:office:smarttags" w:element="PersonName">
        <w:r w:rsidRPr="007C21AD">
          <w:rPr>
            <w:iCs/>
          </w:rPr>
          <w:t>the</w:t>
        </w:r>
      </w:smartTag>
      <w:r w:rsidRPr="007C21AD">
        <w:rPr>
          <w:iCs/>
        </w:rPr>
        <w:t xml:space="preserve"> application form or instructions, or, in </w:t>
      </w:r>
      <w:smartTag w:uri="urn:schemas-microsoft-com:office:smarttags" w:element="PersonName">
        <w:r w:rsidRPr="007C21AD">
          <w:rPr>
            <w:iCs/>
          </w:rPr>
          <w:t>the</w:t>
        </w:r>
      </w:smartTag>
      <w:r w:rsidRPr="007C21AD">
        <w:rPr>
          <w:iCs/>
        </w:rPr>
        <w:t xml:space="preserve"> case of o</w:t>
      </w:r>
      <w:smartTag w:uri="urn:schemas-microsoft-com:office:smarttags" w:element="PersonName">
        <w:r w:rsidRPr="007C21AD">
          <w:rPr>
            <w:iCs/>
          </w:rPr>
          <w:t>the</w:t>
        </w:r>
      </w:smartTag>
      <w:r w:rsidRPr="007C21AD">
        <w:rPr>
          <w:iCs/>
        </w:rPr>
        <w:t xml:space="preserve">r submissions, by </w:t>
      </w:r>
      <w:smartTag w:uri="urn:schemas-microsoft-com:office:smarttags" w:element="PersonName">
        <w:r w:rsidRPr="007C21AD">
          <w:rPr>
            <w:iCs/>
          </w:rPr>
          <w:t>the</w:t>
        </w:r>
      </w:smartTag>
      <w:r w:rsidRPr="007C21AD">
        <w:rPr>
          <w:iCs/>
        </w:rPr>
        <w:t xml:space="preserve"> words “confidential business information” on each page containing such information. If no claim is made at </w:t>
      </w:r>
      <w:smartTag w:uri="urn:schemas-microsoft-com:office:smarttags" w:element="PersonName">
        <w:r w:rsidRPr="007C21AD">
          <w:rPr>
            <w:iCs/>
          </w:rPr>
          <w:t>the</w:t>
        </w:r>
      </w:smartTag>
      <w:r w:rsidRPr="007C21AD">
        <w:rPr>
          <w:iCs/>
        </w:rPr>
        <w:t xml:space="preserve"> time of submission, EPA may make </w:t>
      </w:r>
      <w:smartTag w:uri="urn:schemas-microsoft-com:office:smarttags" w:element="PersonName">
        <w:r w:rsidRPr="007C21AD">
          <w:rPr>
            <w:iCs/>
          </w:rPr>
          <w:t>the</w:t>
        </w:r>
      </w:smartTag>
      <w:r w:rsidRPr="007C21AD">
        <w:rPr>
          <w:iCs/>
        </w:rPr>
        <w:t xml:space="preserve"> information available to </w:t>
      </w:r>
      <w:smartTag w:uri="urn:schemas-microsoft-com:office:smarttags" w:element="PersonName">
        <w:r w:rsidRPr="007C21AD">
          <w:rPr>
            <w:iCs/>
          </w:rPr>
          <w:t>the</w:t>
        </w:r>
      </w:smartTag>
      <w:r w:rsidRPr="007C21AD">
        <w:rPr>
          <w:iCs/>
        </w:rPr>
        <w:t xml:space="preserve"> public without fur</w:t>
      </w:r>
      <w:smartTag w:uri="urn:schemas-microsoft-com:office:smarttags" w:element="PersonName">
        <w:r w:rsidRPr="007C21AD">
          <w:rPr>
            <w:iCs/>
          </w:rPr>
          <w:t>the</w:t>
        </w:r>
      </w:smartTag>
      <w:r w:rsidRPr="007C21AD">
        <w:rPr>
          <w:iCs/>
        </w:rPr>
        <w:t xml:space="preserve">r notice. If a claim is asserted, </w:t>
      </w:r>
      <w:smartTag w:uri="urn:schemas-microsoft-com:office:smarttags" w:element="PersonName">
        <w:r w:rsidRPr="007C21AD">
          <w:rPr>
            <w:iCs/>
          </w:rPr>
          <w:t>the</w:t>
        </w:r>
      </w:smartTag>
      <w:r w:rsidRPr="007C21AD">
        <w:rPr>
          <w:iCs/>
        </w:rPr>
        <w:t xml:space="preserve"> information will be treated in accordance with </w:t>
      </w:r>
      <w:smartTag w:uri="urn:schemas-microsoft-com:office:smarttags" w:element="PersonName">
        <w:r w:rsidRPr="007C21AD">
          <w:rPr>
            <w:iCs/>
          </w:rPr>
          <w:t>the</w:t>
        </w:r>
      </w:smartTag>
      <w:r w:rsidRPr="007C21AD">
        <w:rPr>
          <w:iCs/>
        </w:rPr>
        <w:t xml:space="preserve"> procedures in 40 CFR Part 2 (Public Information).</w:t>
      </w:r>
    </w:p>
    <w:p w14:paraId="1CB400FD" w14:textId="77777777" w:rsidR="007C21AD" w:rsidRPr="007C21AD" w:rsidRDefault="007C21AD" w:rsidP="007C21AD">
      <w:pPr>
        <w:widowControl/>
        <w:numPr>
          <w:ilvl w:val="12"/>
          <w:numId w:val="0"/>
        </w:numPr>
        <w:autoSpaceDE/>
        <w:autoSpaceDN/>
        <w:adjustRightInd/>
      </w:pPr>
    </w:p>
    <w:p w14:paraId="4096A195" w14:textId="77777777" w:rsidR="007C21AD" w:rsidRPr="007C21AD" w:rsidRDefault="007C21AD" w:rsidP="007C21AD">
      <w:pPr>
        <w:widowControl/>
        <w:numPr>
          <w:ilvl w:val="12"/>
          <w:numId w:val="0"/>
        </w:numPr>
        <w:autoSpaceDE/>
        <w:autoSpaceDN/>
        <w:adjustRightInd/>
      </w:pPr>
      <w:r w:rsidRPr="007C21AD">
        <w:t xml:space="preserve">The pretreatment regulations, however, stipulate at 40 CFR 403.14(b) that industrial effluent data “… shall be made available to </w:t>
      </w:r>
      <w:smartTag w:uri="urn:schemas-microsoft-com:office:smarttags" w:element="PersonName">
        <w:r w:rsidRPr="007C21AD">
          <w:t>the</w:t>
        </w:r>
      </w:smartTag>
      <w:r w:rsidRPr="007C21AD">
        <w:t xml:space="preserve"> public without restriction.”</w:t>
      </w:r>
    </w:p>
    <w:p w14:paraId="6DC1A964" w14:textId="77777777" w:rsidR="00C47B4C" w:rsidRPr="00C47B4C" w:rsidRDefault="00C47B4C" w:rsidP="000E3BC1"/>
    <w:p w14:paraId="398C607B" w14:textId="77777777" w:rsidR="007F2877" w:rsidRDefault="007F2877" w:rsidP="007F2877">
      <w:pPr>
        <w:pStyle w:val="Heading2"/>
      </w:pPr>
      <w:bookmarkStart w:id="16" w:name="_Toc437867201"/>
      <w:r>
        <w:t xml:space="preserve">11. </w:t>
      </w:r>
      <w:r w:rsidRPr="00673714">
        <w:t xml:space="preserve">Provide additional justification for any </w:t>
      </w:r>
      <w:r>
        <w:t>questions of a sensitive nature</w:t>
      </w:r>
      <w:bookmarkEnd w:id="16"/>
    </w:p>
    <w:p w14:paraId="595E31F6" w14:textId="0A3C39EC" w:rsidR="00C654EE" w:rsidRPr="00C654EE" w:rsidRDefault="00A65012" w:rsidP="00C654EE">
      <w:pPr>
        <w:widowControl/>
        <w:numPr>
          <w:ilvl w:val="12"/>
          <w:numId w:val="0"/>
        </w:numPr>
        <w:autoSpaceDE/>
        <w:autoSpaceDN/>
        <w:adjustRightInd/>
      </w:pPr>
      <w:r w:rsidRPr="00A65012">
        <w:t xml:space="preserve">Questions of a sensitive nature are not found in this information collection.  </w:t>
      </w:r>
    </w:p>
    <w:p w14:paraId="0DAF9E0F" w14:textId="77777777" w:rsidR="00C654EE" w:rsidRPr="00C654EE" w:rsidRDefault="00C654EE" w:rsidP="000E3BC1"/>
    <w:p w14:paraId="254F6A4F" w14:textId="77777777" w:rsidR="007F2877" w:rsidRDefault="007F2877" w:rsidP="007F2877">
      <w:pPr>
        <w:pStyle w:val="Heading2"/>
      </w:pPr>
      <w:bookmarkStart w:id="17" w:name="_Toc437867202"/>
      <w:r>
        <w:t xml:space="preserve">12. </w:t>
      </w:r>
      <w:r w:rsidRPr="00673714">
        <w:t>Provide estimates of the hour burden o</w:t>
      </w:r>
      <w:r>
        <w:t>f the collection of information</w:t>
      </w:r>
      <w:bookmarkEnd w:id="17"/>
    </w:p>
    <w:p w14:paraId="7B7145CB" w14:textId="4386CD67" w:rsidR="003F1D51" w:rsidRDefault="005F6307" w:rsidP="000E3BC1">
      <w:r>
        <w:t>Appendix A presents a detailed d</w:t>
      </w:r>
      <w:r w:rsidRPr="005F6307">
        <w:t xml:space="preserve">escription of the </w:t>
      </w:r>
      <w:r>
        <w:t>i</w:t>
      </w:r>
      <w:r w:rsidRPr="005F6307">
        <w:t xml:space="preserve">nformation </w:t>
      </w:r>
      <w:r>
        <w:t>c</w:t>
      </w:r>
      <w:r w:rsidRPr="005F6307">
        <w:t xml:space="preserve">ollected and </w:t>
      </w:r>
      <w:r>
        <w:t>m</w:t>
      </w:r>
      <w:r w:rsidRPr="005F6307">
        <w:t xml:space="preserve">ethodology for </w:t>
      </w:r>
      <w:r>
        <w:t>e</w:t>
      </w:r>
      <w:r w:rsidRPr="005F6307">
        <w:t xml:space="preserve">stimating </w:t>
      </w:r>
      <w:r>
        <w:t>r</w:t>
      </w:r>
      <w:r w:rsidRPr="005F6307">
        <w:t xml:space="preserve">espondent </w:t>
      </w:r>
      <w:r>
        <w:t>b</w:t>
      </w:r>
      <w:r w:rsidRPr="005F6307">
        <w:t xml:space="preserve">urden and </w:t>
      </w:r>
      <w:r>
        <w:t>c</w:t>
      </w:r>
      <w:r w:rsidRPr="005F6307">
        <w:t xml:space="preserve">ost of </w:t>
      </w:r>
      <w:r>
        <w:t>c</w:t>
      </w:r>
      <w:r w:rsidRPr="005F6307">
        <w:t>ollection</w:t>
      </w:r>
      <w:r>
        <w:t xml:space="preserve">. </w:t>
      </w:r>
      <w:r w:rsidR="003F1D51" w:rsidRPr="003F1D51">
        <w:t xml:space="preserve">The total annual respondent burden associated with this ICR is estimated to </w:t>
      </w:r>
      <w:r w:rsidR="003F1D51" w:rsidRPr="00CC5D12">
        <w:t xml:space="preserve">be </w:t>
      </w:r>
      <w:r w:rsidR="00250058" w:rsidRPr="00CC5D12">
        <w:t>1.</w:t>
      </w:r>
      <w:r w:rsidR="00514E2B" w:rsidRPr="00CC5D12">
        <w:t>74</w:t>
      </w:r>
      <w:r w:rsidR="003F1D51" w:rsidRPr="00B84025">
        <w:t xml:space="preserve"> million hours</w:t>
      </w:r>
      <w:r w:rsidR="003F1D51" w:rsidRPr="003F1D51">
        <w:t xml:space="preserve"> per year.</w:t>
      </w:r>
      <w:r w:rsidR="00250058">
        <w:t xml:space="preserve"> Table 12.1 presents the distribution of annual number of respondents, average annual burden, and average annual total labor costs between </w:t>
      </w:r>
      <w:r w:rsidR="00835DD0">
        <w:t>s</w:t>
      </w:r>
      <w:r w:rsidR="00250058">
        <w:t>tates, POTWs, and IUs</w:t>
      </w:r>
      <w:r w:rsidR="003F1D51" w:rsidRPr="003F1D51">
        <w:t xml:space="preserve">. </w:t>
      </w:r>
    </w:p>
    <w:p w14:paraId="4E0A2443" w14:textId="77777777" w:rsidR="007A4EB2" w:rsidRDefault="007A4EB2" w:rsidP="000E3BC1"/>
    <w:p w14:paraId="5BC7E774" w14:textId="13C61A93" w:rsidR="00F25DE1" w:rsidRDefault="00F25DE1" w:rsidP="00F25DE1">
      <w:pPr>
        <w:pStyle w:val="Caption"/>
        <w:keepNext/>
      </w:pPr>
      <w:r>
        <w:t xml:space="preserve">Table </w:t>
      </w:r>
      <w:r w:rsidRPr="00F25DE1">
        <w:t>12.1 Summary of Respondent Burden and Labor Costs</w:t>
      </w:r>
    </w:p>
    <w:tbl>
      <w:tblPr>
        <w:tblW w:w="9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813"/>
        <w:gridCol w:w="2611"/>
        <w:gridCol w:w="2049"/>
        <w:gridCol w:w="2049"/>
      </w:tblGrid>
      <w:tr w:rsidR="007A4EB2" w:rsidRPr="002C004B" w14:paraId="282C4638" w14:textId="77777777" w:rsidTr="00CA6996">
        <w:trPr>
          <w:jc w:val="center"/>
        </w:trPr>
        <w:tc>
          <w:tcPr>
            <w:tcW w:w="2813" w:type="dxa"/>
            <w:shd w:val="pct10" w:color="000000" w:fill="FFFFFF"/>
          </w:tcPr>
          <w:p w14:paraId="7CD0708D" w14:textId="77777777" w:rsidR="007A4EB2" w:rsidRPr="002C004B" w:rsidRDefault="007A4EB2" w:rsidP="002B6F2F">
            <w:pPr>
              <w:keepNext/>
              <w:keepLines/>
              <w:widowControl/>
              <w:jc w:val="center"/>
              <w:rPr>
                <w:rFonts w:ascii="Arial" w:hAnsi="Arial" w:cs="Arial"/>
                <w:color w:val="000000"/>
                <w:sz w:val="20"/>
                <w:szCs w:val="20"/>
              </w:rPr>
            </w:pPr>
          </w:p>
        </w:tc>
        <w:tc>
          <w:tcPr>
            <w:tcW w:w="2611" w:type="dxa"/>
            <w:shd w:val="pct10" w:color="000000" w:fill="FFFFFF"/>
          </w:tcPr>
          <w:p w14:paraId="637ACFB3" w14:textId="77777777" w:rsidR="007A4EB2" w:rsidRPr="002C004B" w:rsidRDefault="007A4EB2" w:rsidP="002B6F2F">
            <w:pPr>
              <w:keepNext/>
              <w:keepLines/>
              <w:widowControl/>
              <w:jc w:val="center"/>
              <w:rPr>
                <w:rFonts w:ascii="Arial" w:hAnsi="Arial" w:cs="Arial"/>
                <w:b/>
                <w:bCs/>
                <w:color w:val="000000"/>
                <w:sz w:val="20"/>
                <w:szCs w:val="20"/>
              </w:rPr>
            </w:pPr>
            <w:r>
              <w:rPr>
                <w:rFonts w:ascii="Arial" w:hAnsi="Arial" w:cs="Arial"/>
                <w:b/>
                <w:bCs/>
                <w:color w:val="000000"/>
                <w:sz w:val="20"/>
                <w:szCs w:val="20"/>
              </w:rPr>
              <w:t>Average Annual Respondents</w:t>
            </w:r>
          </w:p>
        </w:tc>
        <w:tc>
          <w:tcPr>
            <w:tcW w:w="2049" w:type="dxa"/>
            <w:shd w:val="pct10" w:color="000000" w:fill="FFFFFF"/>
          </w:tcPr>
          <w:p w14:paraId="797EF73E" w14:textId="77777777" w:rsidR="007A4EB2" w:rsidRPr="002C004B" w:rsidRDefault="007A4EB2" w:rsidP="002B6F2F">
            <w:pPr>
              <w:keepNext/>
              <w:keepLines/>
              <w:widowControl/>
              <w:jc w:val="center"/>
              <w:rPr>
                <w:rFonts w:ascii="Arial" w:hAnsi="Arial" w:cs="Arial"/>
                <w:b/>
                <w:bCs/>
                <w:color w:val="000000"/>
                <w:sz w:val="20"/>
                <w:szCs w:val="20"/>
              </w:rPr>
            </w:pPr>
            <w:r w:rsidRPr="002C004B">
              <w:rPr>
                <w:rFonts w:ascii="Arial" w:hAnsi="Arial" w:cs="Arial"/>
                <w:b/>
                <w:bCs/>
                <w:color w:val="000000"/>
                <w:sz w:val="20"/>
                <w:szCs w:val="20"/>
              </w:rPr>
              <w:t xml:space="preserve">Average Annual </w:t>
            </w:r>
            <w:r>
              <w:rPr>
                <w:rFonts w:ascii="Arial" w:hAnsi="Arial" w:cs="Arial"/>
                <w:b/>
                <w:bCs/>
                <w:color w:val="000000"/>
                <w:sz w:val="20"/>
                <w:szCs w:val="20"/>
              </w:rPr>
              <w:t xml:space="preserve">Total </w:t>
            </w:r>
            <w:r w:rsidRPr="002C004B">
              <w:rPr>
                <w:rFonts w:ascii="Arial" w:hAnsi="Arial" w:cs="Arial"/>
                <w:b/>
                <w:bCs/>
                <w:color w:val="000000"/>
                <w:sz w:val="20"/>
                <w:szCs w:val="20"/>
              </w:rPr>
              <w:t xml:space="preserve">Burden (hours) </w:t>
            </w:r>
          </w:p>
        </w:tc>
        <w:tc>
          <w:tcPr>
            <w:tcW w:w="2049" w:type="dxa"/>
            <w:shd w:val="pct10" w:color="000000" w:fill="FFFFFF"/>
          </w:tcPr>
          <w:p w14:paraId="16DFF0F9" w14:textId="77777777" w:rsidR="007A4EB2" w:rsidRPr="002C004B" w:rsidRDefault="007A4EB2" w:rsidP="002B6F2F">
            <w:pPr>
              <w:keepNext/>
              <w:keepLines/>
              <w:widowControl/>
              <w:jc w:val="center"/>
              <w:rPr>
                <w:rFonts w:ascii="Arial" w:hAnsi="Arial" w:cs="Arial"/>
                <w:b/>
                <w:bCs/>
                <w:color w:val="000000"/>
                <w:sz w:val="20"/>
                <w:szCs w:val="20"/>
              </w:rPr>
            </w:pPr>
            <w:r w:rsidRPr="002C004B">
              <w:rPr>
                <w:rFonts w:ascii="Arial" w:hAnsi="Arial" w:cs="Arial"/>
                <w:b/>
                <w:bCs/>
                <w:color w:val="000000"/>
                <w:sz w:val="20"/>
                <w:szCs w:val="20"/>
              </w:rPr>
              <w:t xml:space="preserve">Average Annual </w:t>
            </w:r>
            <w:r>
              <w:rPr>
                <w:rFonts w:ascii="Arial" w:hAnsi="Arial" w:cs="Arial"/>
                <w:b/>
                <w:bCs/>
                <w:color w:val="000000"/>
                <w:sz w:val="20"/>
                <w:szCs w:val="20"/>
              </w:rPr>
              <w:t xml:space="preserve">Total </w:t>
            </w:r>
            <w:r w:rsidRPr="002C004B">
              <w:rPr>
                <w:rFonts w:ascii="Arial" w:hAnsi="Arial" w:cs="Arial"/>
                <w:b/>
                <w:bCs/>
                <w:color w:val="000000"/>
                <w:sz w:val="20"/>
                <w:szCs w:val="20"/>
              </w:rPr>
              <w:t>Labor Costs (201</w:t>
            </w:r>
            <w:r>
              <w:rPr>
                <w:rFonts w:ascii="Arial" w:hAnsi="Arial" w:cs="Arial"/>
                <w:b/>
                <w:bCs/>
                <w:color w:val="000000"/>
                <w:sz w:val="20"/>
                <w:szCs w:val="20"/>
              </w:rPr>
              <w:t>4</w:t>
            </w:r>
            <w:r w:rsidRPr="002C004B">
              <w:rPr>
                <w:rFonts w:ascii="Arial" w:hAnsi="Arial" w:cs="Arial"/>
                <w:b/>
                <w:bCs/>
                <w:color w:val="000000"/>
                <w:sz w:val="20"/>
                <w:szCs w:val="20"/>
              </w:rPr>
              <w:t>$)</w:t>
            </w:r>
          </w:p>
        </w:tc>
      </w:tr>
      <w:tr w:rsidR="00514E2B" w:rsidRPr="002C004B" w14:paraId="01555271" w14:textId="77777777" w:rsidTr="00B84025">
        <w:trPr>
          <w:jc w:val="center"/>
        </w:trPr>
        <w:tc>
          <w:tcPr>
            <w:tcW w:w="2813" w:type="dxa"/>
          </w:tcPr>
          <w:p w14:paraId="458E89F1" w14:textId="04E010E3" w:rsidR="00514E2B" w:rsidRPr="002C004B" w:rsidRDefault="00514E2B" w:rsidP="00514E2B">
            <w:pPr>
              <w:keepNext/>
              <w:keepLines/>
              <w:widowControl/>
              <w:rPr>
                <w:rFonts w:ascii="Arial" w:hAnsi="Arial" w:cs="Arial"/>
                <w:color w:val="000000"/>
                <w:sz w:val="20"/>
                <w:szCs w:val="20"/>
              </w:rPr>
            </w:pPr>
            <w:r>
              <w:rPr>
                <w:rFonts w:ascii="Arial" w:hAnsi="Arial" w:cs="Arial"/>
                <w:color w:val="000000"/>
                <w:sz w:val="20"/>
                <w:szCs w:val="20"/>
              </w:rPr>
              <w:t>States</w:t>
            </w:r>
          </w:p>
        </w:tc>
        <w:tc>
          <w:tcPr>
            <w:tcW w:w="2611" w:type="dxa"/>
            <w:tcBorders>
              <w:top w:val="single" w:sz="4" w:space="0" w:color="auto"/>
              <w:left w:val="single" w:sz="4" w:space="0" w:color="auto"/>
              <w:bottom w:val="single" w:sz="4" w:space="0" w:color="auto"/>
              <w:right w:val="single" w:sz="4" w:space="0" w:color="auto"/>
            </w:tcBorders>
            <w:shd w:val="clear" w:color="auto" w:fill="auto"/>
            <w:vAlign w:val="bottom"/>
          </w:tcPr>
          <w:p w14:paraId="084EB3DA" w14:textId="2582CAE0" w:rsidR="00514E2B" w:rsidRPr="002C004B" w:rsidRDefault="00514E2B" w:rsidP="00514E2B">
            <w:pPr>
              <w:jc w:val="right"/>
              <w:rPr>
                <w:rFonts w:ascii="Arial" w:hAnsi="Arial" w:cs="Arial"/>
                <w:sz w:val="20"/>
                <w:szCs w:val="20"/>
              </w:rPr>
            </w:pPr>
            <w:r>
              <w:rPr>
                <w:rFonts w:ascii="Arial" w:hAnsi="Arial" w:cs="Arial"/>
                <w:sz w:val="18"/>
                <w:szCs w:val="18"/>
              </w:rPr>
              <w:t>36</w:t>
            </w:r>
          </w:p>
        </w:tc>
        <w:tc>
          <w:tcPr>
            <w:tcW w:w="2049" w:type="dxa"/>
            <w:tcBorders>
              <w:top w:val="single" w:sz="4" w:space="0" w:color="auto"/>
              <w:left w:val="nil"/>
              <w:bottom w:val="single" w:sz="4" w:space="0" w:color="auto"/>
              <w:right w:val="single" w:sz="4" w:space="0" w:color="auto"/>
            </w:tcBorders>
            <w:shd w:val="clear" w:color="auto" w:fill="auto"/>
            <w:vAlign w:val="bottom"/>
          </w:tcPr>
          <w:p w14:paraId="4E5668BE" w14:textId="25ADC0C7" w:rsidR="00514E2B" w:rsidRPr="002C004B" w:rsidRDefault="00514E2B" w:rsidP="00514E2B">
            <w:pPr>
              <w:jc w:val="right"/>
              <w:rPr>
                <w:rFonts w:ascii="Arial" w:hAnsi="Arial" w:cs="Arial"/>
                <w:sz w:val="20"/>
                <w:szCs w:val="20"/>
              </w:rPr>
            </w:pPr>
            <w:r>
              <w:rPr>
                <w:rFonts w:ascii="Arial" w:hAnsi="Arial" w:cs="Arial"/>
                <w:sz w:val="18"/>
                <w:szCs w:val="18"/>
              </w:rPr>
              <w:t>128,774</w:t>
            </w:r>
          </w:p>
        </w:tc>
        <w:tc>
          <w:tcPr>
            <w:tcW w:w="2049" w:type="dxa"/>
            <w:tcBorders>
              <w:top w:val="single" w:sz="4" w:space="0" w:color="auto"/>
              <w:left w:val="nil"/>
              <w:bottom w:val="single" w:sz="4" w:space="0" w:color="auto"/>
              <w:right w:val="single" w:sz="4" w:space="0" w:color="auto"/>
            </w:tcBorders>
            <w:shd w:val="clear" w:color="auto" w:fill="auto"/>
            <w:vAlign w:val="bottom"/>
          </w:tcPr>
          <w:p w14:paraId="63FD23DA" w14:textId="15C95E20" w:rsidR="00514E2B" w:rsidRPr="002C004B" w:rsidRDefault="00514E2B" w:rsidP="00514E2B">
            <w:pPr>
              <w:jc w:val="right"/>
              <w:rPr>
                <w:rFonts w:ascii="Arial" w:hAnsi="Arial" w:cs="Arial"/>
                <w:sz w:val="20"/>
                <w:szCs w:val="20"/>
              </w:rPr>
            </w:pPr>
            <w:r>
              <w:rPr>
                <w:rFonts w:ascii="Arial" w:hAnsi="Arial" w:cs="Arial"/>
                <w:sz w:val="18"/>
                <w:szCs w:val="18"/>
              </w:rPr>
              <w:t>$5,609,378</w:t>
            </w:r>
          </w:p>
        </w:tc>
      </w:tr>
      <w:tr w:rsidR="00514E2B" w:rsidRPr="002C004B" w14:paraId="3FFE93A2" w14:textId="77777777" w:rsidTr="00B84025">
        <w:trPr>
          <w:jc w:val="center"/>
        </w:trPr>
        <w:tc>
          <w:tcPr>
            <w:tcW w:w="2813" w:type="dxa"/>
          </w:tcPr>
          <w:p w14:paraId="41487046" w14:textId="22F47C41" w:rsidR="00514E2B" w:rsidRPr="002C004B" w:rsidRDefault="00514E2B" w:rsidP="00514E2B">
            <w:pPr>
              <w:keepNext/>
              <w:keepLines/>
              <w:widowControl/>
              <w:rPr>
                <w:rFonts w:ascii="Arial" w:hAnsi="Arial" w:cs="Arial"/>
                <w:color w:val="000000"/>
                <w:sz w:val="20"/>
                <w:szCs w:val="20"/>
              </w:rPr>
            </w:pPr>
            <w:r>
              <w:rPr>
                <w:rFonts w:ascii="Arial" w:hAnsi="Arial" w:cs="Arial"/>
                <w:color w:val="000000"/>
                <w:sz w:val="20"/>
                <w:szCs w:val="20"/>
              </w:rPr>
              <w:t>POTWs</w:t>
            </w:r>
          </w:p>
        </w:tc>
        <w:tc>
          <w:tcPr>
            <w:tcW w:w="2611" w:type="dxa"/>
            <w:tcBorders>
              <w:top w:val="nil"/>
              <w:left w:val="single" w:sz="4" w:space="0" w:color="auto"/>
              <w:bottom w:val="single" w:sz="4" w:space="0" w:color="auto"/>
              <w:right w:val="single" w:sz="4" w:space="0" w:color="auto"/>
            </w:tcBorders>
            <w:shd w:val="clear" w:color="auto" w:fill="auto"/>
            <w:vAlign w:val="bottom"/>
          </w:tcPr>
          <w:p w14:paraId="13080241" w14:textId="692C9E35" w:rsidR="00514E2B" w:rsidRPr="002C004B" w:rsidRDefault="00514E2B" w:rsidP="00514E2B">
            <w:pPr>
              <w:jc w:val="right"/>
              <w:rPr>
                <w:rFonts w:ascii="Arial" w:hAnsi="Arial" w:cs="Arial"/>
                <w:sz w:val="20"/>
                <w:szCs w:val="20"/>
              </w:rPr>
            </w:pPr>
            <w:r>
              <w:rPr>
                <w:rFonts w:ascii="Arial" w:hAnsi="Arial" w:cs="Arial"/>
                <w:sz w:val="18"/>
                <w:szCs w:val="18"/>
              </w:rPr>
              <w:t>1,576</w:t>
            </w:r>
          </w:p>
        </w:tc>
        <w:tc>
          <w:tcPr>
            <w:tcW w:w="2049" w:type="dxa"/>
            <w:tcBorders>
              <w:top w:val="nil"/>
              <w:left w:val="nil"/>
              <w:bottom w:val="single" w:sz="4" w:space="0" w:color="auto"/>
              <w:right w:val="single" w:sz="4" w:space="0" w:color="auto"/>
            </w:tcBorders>
            <w:shd w:val="clear" w:color="auto" w:fill="auto"/>
            <w:vAlign w:val="bottom"/>
          </w:tcPr>
          <w:p w14:paraId="354B27DE" w14:textId="6FBE3403" w:rsidR="00514E2B" w:rsidRPr="002C004B" w:rsidRDefault="00514E2B" w:rsidP="00514E2B">
            <w:pPr>
              <w:jc w:val="right"/>
              <w:rPr>
                <w:rFonts w:ascii="Arial" w:hAnsi="Arial" w:cs="Arial"/>
                <w:sz w:val="20"/>
                <w:szCs w:val="20"/>
              </w:rPr>
            </w:pPr>
            <w:r>
              <w:rPr>
                <w:rFonts w:ascii="Arial" w:hAnsi="Arial" w:cs="Arial"/>
                <w:sz w:val="18"/>
                <w:szCs w:val="18"/>
              </w:rPr>
              <w:t>836,040</w:t>
            </w:r>
          </w:p>
        </w:tc>
        <w:tc>
          <w:tcPr>
            <w:tcW w:w="2049" w:type="dxa"/>
            <w:tcBorders>
              <w:top w:val="nil"/>
              <w:left w:val="nil"/>
              <w:bottom w:val="single" w:sz="4" w:space="0" w:color="auto"/>
              <w:right w:val="single" w:sz="4" w:space="0" w:color="auto"/>
            </w:tcBorders>
            <w:shd w:val="clear" w:color="auto" w:fill="auto"/>
            <w:vAlign w:val="bottom"/>
          </w:tcPr>
          <w:p w14:paraId="1F454897" w14:textId="6EDE5258" w:rsidR="00514E2B" w:rsidRPr="002C004B" w:rsidRDefault="00514E2B" w:rsidP="00514E2B">
            <w:pPr>
              <w:jc w:val="right"/>
              <w:rPr>
                <w:rFonts w:ascii="Arial" w:hAnsi="Arial" w:cs="Arial"/>
                <w:sz w:val="20"/>
                <w:szCs w:val="20"/>
              </w:rPr>
            </w:pPr>
            <w:r>
              <w:rPr>
                <w:rFonts w:ascii="Arial" w:hAnsi="Arial" w:cs="Arial"/>
                <w:sz w:val="18"/>
                <w:szCs w:val="18"/>
              </w:rPr>
              <w:t>$34,077,004</w:t>
            </w:r>
          </w:p>
        </w:tc>
      </w:tr>
      <w:tr w:rsidR="00514E2B" w:rsidRPr="002C004B" w14:paraId="0B663332" w14:textId="77777777" w:rsidTr="00B84025">
        <w:trPr>
          <w:jc w:val="center"/>
        </w:trPr>
        <w:tc>
          <w:tcPr>
            <w:tcW w:w="2813" w:type="dxa"/>
          </w:tcPr>
          <w:p w14:paraId="461005B7" w14:textId="6AC6A9BA" w:rsidR="00514E2B" w:rsidRPr="002C004B" w:rsidRDefault="00514E2B" w:rsidP="00514E2B">
            <w:pPr>
              <w:keepNext/>
              <w:keepLines/>
              <w:widowControl/>
              <w:rPr>
                <w:rFonts w:ascii="Arial" w:hAnsi="Arial" w:cs="Arial"/>
                <w:bCs/>
                <w:color w:val="000000"/>
                <w:sz w:val="20"/>
                <w:szCs w:val="20"/>
              </w:rPr>
            </w:pPr>
            <w:r>
              <w:rPr>
                <w:rFonts w:ascii="Arial" w:hAnsi="Arial" w:cs="Arial"/>
                <w:bCs/>
                <w:color w:val="000000"/>
                <w:sz w:val="20"/>
                <w:szCs w:val="20"/>
              </w:rPr>
              <w:t>IUs</w:t>
            </w:r>
          </w:p>
        </w:tc>
        <w:tc>
          <w:tcPr>
            <w:tcW w:w="2611" w:type="dxa"/>
            <w:tcBorders>
              <w:top w:val="nil"/>
              <w:left w:val="single" w:sz="4" w:space="0" w:color="auto"/>
              <w:bottom w:val="single" w:sz="4" w:space="0" w:color="auto"/>
              <w:right w:val="single" w:sz="4" w:space="0" w:color="auto"/>
            </w:tcBorders>
            <w:shd w:val="clear" w:color="auto" w:fill="auto"/>
            <w:vAlign w:val="bottom"/>
          </w:tcPr>
          <w:p w14:paraId="6FB806AF" w14:textId="6209F287" w:rsidR="00514E2B" w:rsidRPr="002C004B" w:rsidRDefault="00514E2B" w:rsidP="00514E2B">
            <w:pPr>
              <w:jc w:val="right"/>
              <w:rPr>
                <w:rFonts w:ascii="Arial" w:hAnsi="Arial" w:cs="Arial"/>
                <w:b/>
                <w:bCs/>
                <w:sz w:val="20"/>
                <w:szCs w:val="20"/>
              </w:rPr>
            </w:pPr>
            <w:r>
              <w:rPr>
                <w:rFonts w:ascii="Arial" w:hAnsi="Arial" w:cs="Arial"/>
                <w:sz w:val="18"/>
                <w:szCs w:val="18"/>
              </w:rPr>
              <w:t>22,139</w:t>
            </w:r>
          </w:p>
        </w:tc>
        <w:tc>
          <w:tcPr>
            <w:tcW w:w="2049" w:type="dxa"/>
            <w:tcBorders>
              <w:top w:val="nil"/>
              <w:left w:val="nil"/>
              <w:bottom w:val="single" w:sz="4" w:space="0" w:color="auto"/>
              <w:right w:val="single" w:sz="4" w:space="0" w:color="auto"/>
            </w:tcBorders>
            <w:shd w:val="clear" w:color="auto" w:fill="auto"/>
            <w:vAlign w:val="bottom"/>
          </w:tcPr>
          <w:p w14:paraId="01E5532D" w14:textId="32AA08EC" w:rsidR="00514E2B" w:rsidRPr="002C004B" w:rsidRDefault="00514E2B" w:rsidP="00514E2B">
            <w:pPr>
              <w:jc w:val="right"/>
              <w:rPr>
                <w:rFonts w:ascii="Arial" w:hAnsi="Arial" w:cs="Arial"/>
                <w:b/>
                <w:bCs/>
                <w:sz w:val="20"/>
                <w:szCs w:val="20"/>
              </w:rPr>
            </w:pPr>
            <w:r>
              <w:rPr>
                <w:rFonts w:ascii="Arial" w:hAnsi="Arial" w:cs="Arial"/>
                <w:sz w:val="18"/>
                <w:szCs w:val="18"/>
              </w:rPr>
              <w:t>779,592</w:t>
            </w:r>
          </w:p>
        </w:tc>
        <w:tc>
          <w:tcPr>
            <w:tcW w:w="2049" w:type="dxa"/>
            <w:tcBorders>
              <w:top w:val="nil"/>
              <w:left w:val="nil"/>
              <w:bottom w:val="single" w:sz="4" w:space="0" w:color="auto"/>
              <w:right w:val="single" w:sz="4" w:space="0" w:color="auto"/>
            </w:tcBorders>
            <w:shd w:val="clear" w:color="auto" w:fill="auto"/>
            <w:vAlign w:val="bottom"/>
          </w:tcPr>
          <w:p w14:paraId="55B49287" w14:textId="40252472" w:rsidR="00514E2B" w:rsidRPr="002C004B" w:rsidRDefault="00514E2B" w:rsidP="00514E2B">
            <w:pPr>
              <w:jc w:val="right"/>
              <w:rPr>
                <w:rFonts w:ascii="Arial" w:hAnsi="Arial" w:cs="Arial"/>
                <w:b/>
                <w:bCs/>
                <w:sz w:val="20"/>
                <w:szCs w:val="20"/>
              </w:rPr>
            </w:pPr>
            <w:r>
              <w:rPr>
                <w:rFonts w:ascii="Arial" w:hAnsi="Arial" w:cs="Arial"/>
                <w:sz w:val="18"/>
                <w:szCs w:val="18"/>
              </w:rPr>
              <w:t>$41,754,968</w:t>
            </w:r>
          </w:p>
        </w:tc>
      </w:tr>
      <w:tr w:rsidR="00514E2B" w:rsidRPr="002C004B" w14:paraId="0A44C39A" w14:textId="77777777" w:rsidTr="00B84025">
        <w:trPr>
          <w:jc w:val="center"/>
        </w:trPr>
        <w:tc>
          <w:tcPr>
            <w:tcW w:w="2813" w:type="dxa"/>
          </w:tcPr>
          <w:p w14:paraId="24729255" w14:textId="77777777" w:rsidR="00514E2B" w:rsidRPr="002C004B" w:rsidRDefault="00514E2B" w:rsidP="00514E2B">
            <w:pPr>
              <w:keepNext/>
              <w:keepLines/>
              <w:widowControl/>
              <w:rPr>
                <w:rFonts w:ascii="Arial" w:hAnsi="Arial" w:cs="Arial"/>
                <w:bCs/>
                <w:color w:val="000000"/>
                <w:sz w:val="20"/>
                <w:szCs w:val="20"/>
              </w:rPr>
            </w:pPr>
            <w:r w:rsidRPr="002C004B">
              <w:rPr>
                <w:rFonts w:ascii="Arial" w:hAnsi="Arial" w:cs="Arial"/>
                <w:bCs/>
                <w:color w:val="000000"/>
                <w:sz w:val="20"/>
                <w:szCs w:val="20"/>
              </w:rPr>
              <w:t>Totals</w:t>
            </w:r>
          </w:p>
        </w:tc>
        <w:tc>
          <w:tcPr>
            <w:tcW w:w="2611" w:type="dxa"/>
            <w:tcBorders>
              <w:top w:val="nil"/>
              <w:left w:val="single" w:sz="4" w:space="0" w:color="auto"/>
              <w:bottom w:val="single" w:sz="4" w:space="0" w:color="auto"/>
              <w:right w:val="single" w:sz="4" w:space="0" w:color="auto"/>
            </w:tcBorders>
            <w:shd w:val="clear" w:color="auto" w:fill="auto"/>
            <w:vAlign w:val="bottom"/>
          </w:tcPr>
          <w:p w14:paraId="5A64909B" w14:textId="6BF3F3AA" w:rsidR="00514E2B" w:rsidRPr="002C004B" w:rsidRDefault="00514E2B" w:rsidP="00514E2B">
            <w:pPr>
              <w:jc w:val="right"/>
              <w:rPr>
                <w:rFonts w:ascii="Arial" w:hAnsi="Arial" w:cs="Arial"/>
                <w:b/>
                <w:bCs/>
                <w:sz w:val="20"/>
                <w:szCs w:val="20"/>
              </w:rPr>
            </w:pPr>
            <w:r>
              <w:rPr>
                <w:rFonts w:ascii="Arial" w:hAnsi="Arial" w:cs="Arial"/>
                <w:sz w:val="18"/>
                <w:szCs w:val="18"/>
              </w:rPr>
              <w:t>23,751</w:t>
            </w:r>
          </w:p>
        </w:tc>
        <w:tc>
          <w:tcPr>
            <w:tcW w:w="2049" w:type="dxa"/>
            <w:tcBorders>
              <w:top w:val="nil"/>
              <w:left w:val="nil"/>
              <w:bottom w:val="single" w:sz="4" w:space="0" w:color="auto"/>
              <w:right w:val="single" w:sz="4" w:space="0" w:color="auto"/>
            </w:tcBorders>
            <w:shd w:val="clear" w:color="auto" w:fill="auto"/>
            <w:vAlign w:val="bottom"/>
          </w:tcPr>
          <w:p w14:paraId="5F0C8052" w14:textId="08D7C130" w:rsidR="00514E2B" w:rsidRPr="002C004B" w:rsidRDefault="00514E2B" w:rsidP="00514E2B">
            <w:pPr>
              <w:jc w:val="right"/>
              <w:rPr>
                <w:rFonts w:ascii="Arial" w:hAnsi="Arial" w:cs="Arial"/>
                <w:b/>
                <w:bCs/>
                <w:sz w:val="20"/>
                <w:szCs w:val="20"/>
              </w:rPr>
            </w:pPr>
            <w:r>
              <w:rPr>
                <w:rFonts w:ascii="Arial" w:hAnsi="Arial" w:cs="Arial"/>
                <w:sz w:val="18"/>
                <w:szCs w:val="18"/>
              </w:rPr>
              <w:t>1,744,406</w:t>
            </w:r>
          </w:p>
        </w:tc>
        <w:tc>
          <w:tcPr>
            <w:tcW w:w="2049" w:type="dxa"/>
            <w:tcBorders>
              <w:top w:val="nil"/>
              <w:left w:val="nil"/>
              <w:bottom w:val="single" w:sz="4" w:space="0" w:color="auto"/>
              <w:right w:val="single" w:sz="4" w:space="0" w:color="auto"/>
            </w:tcBorders>
            <w:shd w:val="clear" w:color="auto" w:fill="auto"/>
            <w:vAlign w:val="bottom"/>
          </w:tcPr>
          <w:p w14:paraId="7DA3A6D9" w14:textId="581B0ECD" w:rsidR="00514E2B" w:rsidRPr="002C004B" w:rsidRDefault="00514E2B" w:rsidP="00514E2B">
            <w:pPr>
              <w:jc w:val="right"/>
              <w:rPr>
                <w:rFonts w:ascii="Arial" w:hAnsi="Arial" w:cs="Arial"/>
                <w:b/>
                <w:bCs/>
                <w:sz w:val="20"/>
                <w:szCs w:val="20"/>
              </w:rPr>
            </w:pPr>
            <w:r>
              <w:rPr>
                <w:rFonts w:ascii="Arial" w:hAnsi="Arial" w:cs="Arial"/>
                <w:sz w:val="18"/>
                <w:szCs w:val="18"/>
              </w:rPr>
              <w:t>$75,391,717</w:t>
            </w:r>
          </w:p>
        </w:tc>
      </w:tr>
    </w:tbl>
    <w:p w14:paraId="0B10ACA9" w14:textId="77777777" w:rsidR="007A4EB2" w:rsidRDefault="007A4EB2" w:rsidP="007A4EB2"/>
    <w:p w14:paraId="761DEAEA" w14:textId="4C9852CB" w:rsidR="007A4EB2" w:rsidRPr="003F1D51" w:rsidRDefault="00F254CD" w:rsidP="000E3BC1">
      <w:r>
        <w:t xml:space="preserve">Cost of labor is </w:t>
      </w:r>
      <w:r w:rsidRPr="00F254CD">
        <w:t>based on a</w:t>
      </w:r>
      <w:r w:rsidR="00635D96">
        <w:t xml:space="preserve"> loaded </w:t>
      </w:r>
      <w:r w:rsidRPr="00F254CD">
        <w:t>hourly rate of $43.56</w:t>
      </w:r>
      <w:r>
        <w:t xml:space="preserve"> for </w:t>
      </w:r>
      <w:r w:rsidR="00835DD0">
        <w:t>s</w:t>
      </w:r>
      <w:r>
        <w:t xml:space="preserve">tates, </w:t>
      </w:r>
      <w:r w:rsidRPr="00F254CD">
        <w:t xml:space="preserve">$40.76 </w:t>
      </w:r>
      <w:r>
        <w:t xml:space="preserve">for POTWs, and </w:t>
      </w:r>
      <w:r w:rsidRPr="00F254CD">
        <w:lastRenderedPageBreak/>
        <w:t xml:space="preserve">$53.56 </w:t>
      </w:r>
      <w:r>
        <w:t xml:space="preserve">for IUs. See section </w:t>
      </w:r>
      <w:r w:rsidR="00635D96">
        <w:t xml:space="preserve">A.2 of </w:t>
      </w:r>
      <w:r>
        <w:t xml:space="preserve">Appendix </w:t>
      </w:r>
      <w:r w:rsidR="00635D96">
        <w:t>A for more details.</w:t>
      </w:r>
    </w:p>
    <w:p w14:paraId="72AE2FC3" w14:textId="77777777" w:rsidR="00C654EE" w:rsidRPr="00C654EE" w:rsidRDefault="00C654EE" w:rsidP="000E3BC1"/>
    <w:p w14:paraId="1F6B4E98" w14:textId="0E8BEBA9" w:rsidR="007F2877" w:rsidRDefault="007F2877" w:rsidP="007F2877">
      <w:pPr>
        <w:pStyle w:val="Heading2"/>
      </w:pPr>
      <w:bookmarkStart w:id="18" w:name="_Toc437867203"/>
      <w:r>
        <w:t xml:space="preserve">13. </w:t>
      </w:r>
      <w:r w:rsidRPr="00673714">
        <w:t>Provide an estimate of the total an</w:t>
      </w:r>
      <w:r>
        <w:t>nual cost burden to</w:t>
      </w:r>
      <w:r w:rsidR="00060EA0">
        <w:t xml:space="preserve"> </w:t>
      </w:r>
      <w:r w:rsidR="00BE5178">
        <w:t>R</w:t>
      </w:r>
      <w:r>
        <w:t>espondents</w:t>
      </w:r>
      <w:bookmarkEnd w:id="18"/>
    </w:p>
    <w:p w14:paraId="16A47722" w14:textId="2113A970" w:rsidR="00BE5178" w:rsidRDefault="00FD74ED" w:rsidP="000E3BC1">
      <w:r w:rsidRPr="00FD74ED">
        <w:t>The</w:t>
      </w:r>
      <w:r>
        <w:t xml:space="preserve"> only </w:t>
      </w:r>
      <w:r w:rsidRPr="00FD74ED">
        <w:t xml:space="preserve">non-labor costs for </w:t>
      </w:r>
      <w:r>
        <w:t xml:space="preserve">capital and O&amp;M </w:t>
      </w:r>
      <w:r w:rsidRPr="00FD74ED">
        <w:t xml:space="preserve">are </w:t>
      </w:r>
      <w:r>
        <w:t>those</w:t>
      </w:r>
      <w:r w:rsidRPr="00FD74ED">
        <w:t xml:space="preserve"> incurred by IUs that receive mass limits as an alternative to concentration based standards</w:t>
      </w:r>
      <w:r>
        <w:t xml:space="preserve">. </w:t>
      </w:r>
      <w:r w:rsidR="00BE5178" w:rsidRPr="00BE5178">
        <w:t xml:space="preserve">The total annual </w:t>
      </w:r>
      <w:r>
        <w:t xml:space="preserve">non-labor </w:t>
      </w:r>
      <w:r w:rsidR="00BE5178" w:rsidRPr="00BE5178">
        <w:t xml:space="preserve">respondent costs associated with this ICR are estimated to be </w:t>
      </w:r>
      <w:r w:rsidR="00060EA0" w:rsidRPr="00060EA0">
        <w:t>$</w:t>
      </w:r>
      <w:r w:rsidR="00612C32">
        <w:t>2,515,470</w:t>
      </w:r>
      <w:r w:rsidR="00EF238F">
        <w:t xml:space="preserve"> and are adjusted for inflation </w:t>
      </w:r>
      <w:r w:rsidR="00F22374">
        <w:t xml:space="preserve">to November 2014 dollars </w:t>
      </w:r>
      <w:r w:rsidR="00EF238F">
        <w:t>using the C</w:t>
      </w:r>
      <w:r w:rsidR="00F22374">
        <w:t>PI</w:t>
      </w:r>
      <w:r w:rsidR="00060EA0">
        <w:t xml:space="preserve">. </w:t>
      </w:r>
    </w:p>
    <w:p w14:paraId="45E91527" w14:textId="77777777" w:rsidR="00517844" w:rsidRPr="00BE5178" w:rsidRDefault="00517844" w:rsidP="000E3BC1"/>
    <w:p w14:paraId="72B2CF58" w14:textId="0A57F4CC" w:rsidR="007F2877" w:rsidRDefault="007F2877" w:rsidP="007F2877">
      <w:pPr>
        <w:pStyle w:val="Heading2"/>
      </w:pPr>
      <w:bookmarkStart w:id="19" w:name="_Toc437867204"/>
      <w:r>
        <w:t xml:space="preserve">14. </w:t>
      </w:r>
      <w:r w:rsidRPr="00673714">
        <w:t xml:space="preserve">Provide an estimate of the annualized cost to </w:t>
      </w:r>
      <w:r>
        <w:t xml:space="preserve">the </w:t>
      </w:r>
      <w:r w:rsidR="002320BC">
        <w:t>f</w:t>
      </w:r>
      <w:r>
        <w:t>ederal government</w:t>
      </w:r>
      <w:bookmarkEnd w:id="19"/>
    </w:p>
    <w:p w14:paraId="56286099" w14:textId="77777777" w:rsidR="00C759BD" w:rsidRPr="00C759BD" w:rsidRDefault="00C759BD" w:rsidP="00C759B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p>
    <w:p w14:paraId="660EBB6D" w14:textId="1F85869F" w:rsidR="00C759BD" w:rsidRPr="00C759BD" w:rsidRDefault="00C759BD" w:rsidP="00C759B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 w:rsidRPr="00C759BD">
        <w:t xml:space="preserve">The federal government (EPA </w:t>
      </w:r>
      <w:r w:rsidR="002320BC">
        <w:t>R</w:t>
      </w:r>
      <w:r w:rsidRPr="00C759BD">
        <w:t xml:space="preserve">egions and </w:t>
      </w:r>
      <w:r w:rsidR="002320BC">
        <w:t>H</w:t>
      </w:r>
      <w:r w:rsidRPr="00C759BD">
        <w:t xml:space="preserve">eadquarters) incurs burden and costs to process, analyze, and maintain the information collected. EPA </w:t>
      </w:r>
      <w:r w:rsidR="006569D0">
        <w:t>R</w:t>
      </w:r>
      <w:r w:rsidRPr="00C759BD">
        <w:t>egions, in their role as OAs, are users of the State Program Approval Requests, Categorical Determination Requests, FDF Variance Requests, and other types of information.</w:t>
      </w:r>
    </w:p>
    <w:p w14:paraId="5E392960" w14:textId="77777777" w:rsidR="00C759BD" w:rsidRPr="00C759BD" w:rsidRDefault="00C759BD" w:rsidP="00C759B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p>
    <w:p w14:paraId="51F52D7A" w14:textId="06279652" w:rsidR="00C759BD" w:rsidRPr="00C759BD" w:rsidRDefault="00C759BD" w:rsidP="00C759B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 w:rsidRPr="00C759BD">
        <w:t xml:space="preserve">Most of the respondent activities </w:t>
      </w:r>
      <w:r w:rsidRPr="006D5BAD">
        <w:t xml:space="preserve">described in </w:t>
      </w:r>
      <w:r w:rsidR="002A4E99" w:rsidRPr="006D5BAD">
        <w:t xml:space="preserve">Appendix </w:t>
      </w:r>
      <w:r w:rsidR="00EF3D8A" w:rsidRPr="006D5BAD">
        <w:t>A</w:t>
      </w:r>
      <w:r w:rsidRPr="006D5BAD">
        <w:t xml:space="preserve"> of this ICR generate</w:t>
      </w:r>
      <w:r w:rsidRPr="00C759BD">
        <w:t xml:space="preserve"> reports, information, or data, which must be received, reviewed, and stored by an OA. Table </w:t>
      </w:r>
      <w:r w:rsidR="00350CE5">
        <w:t>C.</w:t>
      </w:r>
      <w:r w:rsidR="00F51C0F">
        <w:t>8</w:t>
      </w:r>
      <w:r w:rsidRPr="00AC12F1">
        <w:t xml:space="preserve"> in Appendix </w:t>
      </w:r>
      <w:r w:rsidR="00EF3D8A" w:rsidRPr="00AC12F1">
        <w:t>C</w:t>
      </w:r>
      <w:r w:rsidRPr="00AC12F1">
        <w:t xml:space="preserve"> cal</w:t>
      </w:r>
      <w:r w:rsidRPr="00C759BD">
        <w:t xml:space="preserve">culates the burden to federal agencies (primarily EPA </w:t>
      </w:r>
      <w:r w:rsidR="006569D0">
        <w:t>R</w:t>
      </w:r>
      <w:r w:rsidRPr="00C759BD">
        <w:t xml:space="preserve">egions) as users of these data. Where EPA is </w:t>
      </w:r>
      <w:smartTag w:uri="urn:schemas-microsoft-com:office:smarttags" w:element="PersonName">
        <w:r w:rsidRPr="00C759BD">
          <w:t>the</w:t>
        </w:r>
      </w:smartTag>
      <w:r w:rsidRPr="00C759BD">
        <w:t xml:space="preserve"> AA (i.e., in </w:t>
      </w:r>
      <w:r w:rsidRPr="00612C32">
        <w:t>2</w:t>
      </w:r>
      <w:r w:rsidR="00AF13AD">
        <w:t>5.7</w:t>
      </w:r>
      <w:r w:rsidRPr="00C759BD">
        <w:t xml:space="preserve"> percent of pretreatment programs), the Agency reviews reports generated by pretreatment POTWs. Therefore, the associated review burden for the activities detailed </w:t>
      </w:r>
      <w:r w:rsidRPr="00AC12F1">
        <w:t xml:space="preserve">in Appendix </w:t>
      </w:r>
      <w:r w:rsidR="00EF3D8A" w:rsidRPr="00AC12F1">
        <w:t>C</w:t>
      </w:r>
      <w:r w:rsidRPr="00AC12F1">
        <w:t xml:space="preserve">, Table </w:t>
      </w:r>
      <w:r w:rsidR="00350CE5">
        <w:t>C.</w:t>
      </w:r>
      <w:r w:rsidRPr="00AC12F1">
        <w:t>3</w:t>
      </w:r>
      <w:r w:rsidR="00B12B0D">
        <w:t xml:space="preserve"> </w:t>
      </w:r>
      <w:r w:rsidRPr="00C759BD">
        <w:t>for which reports or data are submitted to federal agencies (as AAs) has been apportioned accordingly.</w:t>
      </w:r>
    </w:p>
    <w:p w14:paraId="45DE86D9" w14:textId="77777777" w:rsidR="00C759BD" w:rsidRPr="00C759BD" w:rsidRDefault="00C759BD" w:rsidP="00C759B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p>
    <w:p w14:paraId="04E81165" w14:textId="7FA4B469" w:rsidR="00C759BD" w:rsidRPr="00C759BD" w:rsidRDefault="00C759BD" w:rsidP="00C759B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 w:rsidRPr="00F44C91">
        <w:t xml:space="preserve">Appendix </w:t>
      </w:r>
      <w:r w:rsidR="00EF3D8A" w:rsidRPr="00F44C91">
        <w:t>C</w:t>
      </w:r>
      <w:r w:rsidRPr="00F44C91">
        <w:t xml:space="preserve">, Table </w:t>
      </w:r>
      <w:r w:rsidR="00350CE5">
        <w:t>C.</w:t>
      </w:r>
      <w:r w:rsidR="00F51C0F">
        <w:t>8</w:t>
      </w:r>
      <w:r w:rsidRPr="00F44C91">
        <w:t>, outlines the hours per response, number of responses per year, and total hours per year expended</w:t>
      </w:r>
      <w:r w:rsidRPr="00C759BD">
        <w:t xml:space="preserve"> by the federal government (EPA) for reviewing state and POTW reports. </w:t>
      </w:r>
      <w:r w:rsidR="003D5086">
        <w:t>Appendix C, Table C.6</w:t>
      </w:r>
      <w:r w:rsidR="003D5086" w:rsidRPr="003D5086">
        <w:t>, outlines the hours per response, number of responses per year, and total hours per year expended by the federal government (EPA)</w:t>
      </w:r>
      <w:r w:rsidR="003D5086">
        <w:t xml:space="preserve"> in instances where the </w:t>
      </w:r>
      <w:r w:rsidR="004630E5">
        <w:t>f</w:t>
      </w:r>
      <w:r w:rsidR="003D5086">
        <w:t>ed</w:t>
      </w:r>
      <w:r w:rsidR="009B2EA7">
        <w:t>eral</w:t>
      </w:r>
      <w:r w:rsidR="003D5086">
        <w:t xml:space="preserve"> government regulate</w:t>
      </w:r>
      <w:r w:rsidR="004630E5">
        <w:t>s</w:t>
      </w:r>
      <w:r w:rsidR="003D5086">
        <w:t xml:space="preserve"> SIUs as the control authority. </w:t>
      </w:r>
      <w:r w:rsidRPr="00C759BD">
        <w:t xml:space="preserve">The annual average number of hours expended by EPA as a user of the data </w:t>
      </w:r>
      <w:r w:rsidRPr="008D03D0">
        <w:t xml:space="preserve">is </w:t>
      </w:r>
      <w:r w:rsidR="00711537" w:rsidRPr="008D03D0">
        <w:t>2</w:t>
      </w:r>
      <w:r w:rsidR="004630E5" w:rsidRPr="008D03D0">
        <w:t>1</w:t>
      </w:r>
      <w:r w:rsidR="004F5C09" w:rsidRPr="008D03D0">
        <w:t>,582</w:t>
      </w:r>
      <w:r w:rsidRPr="008D03D0">
        <w:t>. Based on an average hourly rate of $</w:t>
      </w:r>
      <w:r w:rsidR="006D5BAD" w:rsidRPr="008D03D0">
        <w:t>42.40</w:t>
      </w:r>
      <w:r w:rsidRPr="008D03D0">
        <w:rPr>
          <w:vertAlign w:val="superscript"/>
        </w:rPr>
        <w:footnoteReference w:id="1"/>
      </w:r>
      <w:r w:rsidRPr="008D03D0">
        <w:t xml:space="preserve"> for a federal employee, the estimated annual cost to EPA is $</w:t>
      </w:r>
      <w:r w:rsidR="004F5C09" w:rsidRPr="008D03D0">
        <w:t>915,086</w:t>
      </w:r>
      <w:r w:rsidRPr="008D03D0">
        <w:t>.</w:t>
      </w:r>
    </w:p>
    <w:p w14:paraId="55F00C02" w14:textId="77777777" w:rsidR="00C759BD" w:rsidRPr="00C759BD" w:rsidRDefault="00C759BD" w:rsidP="00C759B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p>
    <w:p w14:paraId="049B674E" w14:textId="561DA2B3" w:rsidR="0029690D" w:rsidRPr="00C759BD" w:rsidRDefault="00C759BD" w:rsidP="0029690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 w:rsidRPr="00C759BD">
        <w:t xml:space="preserve">In addition, EPA is </w:t>
      </w:r>
      <w:smartTag w:uri="urn:schemas-microsoft-com:office:smarttags" w:element="PersonName">
        <w:r w:rsidRPr="00C759BD">
          <w:t>the</w:t>
        </w:r>
      </w:smartTag>
      <w:r w:rsidRPr="00C759BD">
        <w:t xml:space="preserve"> OA for states acting as AAs. Data or reports generated by the activities listed in </w:t>
      </w:r>
      <w:r w:rsidRPr="00F44C91">
        <w:t xml:space="preserve">Table </w:t>
      </w:r>
      <w:r w:rsidR="00350CE5">
        <w:t>C.</w:t>
      </w:r>
      <w:r w:rsidRPr="00F44C91">
        <w:t xml:space="preserve">2 of Appendix </w:t>
      </w:r>
      <w:r w:rsidR="00EF3D8A" w:rsidRPr="00F44C91">
        <w:t>C</w:t>
      </w:r>
      <w:r w:rsidRPr="00C759BD">
        <w:t xml:space="preserve"> will be sent to EPA </w:t>
      </w:r>
      <w:r w:rsidR="006569D0">
        <w:t>R</w:t>
      </w:r>
      <w:r w:rsidRPr="00C759BD">
        <w:t xml:space="preserve">egions for review. The burden for these review activities is also included </w:t>
      </w:r>
      <w:r w:rsidRPr="00F44C91">
        <w:t xml:space="preserve">in Appendix </w:t>
      </w:r>
      <w:r w:rsidR="00EF3D8A" w:rsidRPr="00F44C91">
        <w:t>C</w:t>
      </w:r>
      <w:r w:rsidRPr="00F44C91">
        <w:t xml:space="preserve">, Table </w:t>
      </w:r>
      <w:r w:rsidR="00350CE5">
        <w:t>C.</w:t>
      </w:r>
      <w:r w:rsidR="00F51C0F">
        <w:t>8</w:t>
      </w:r>
      <w:r w:rsidRPr="00F44C91">
        <w:t xml:space="preserve">. </w:t>
      </w:r>
      <w:r w:rsidR="0029690D" w:rsidRPr="00BE5178">
        <w:t xml:space="preserve">The agency burden for the federal government </w:t>
      </w:r>
      <w:r w:rsidR="0029690D">
        <w:t>is summarized in Table 14.1</w:t>
      </w:r>
      <w:r w:rsidR="0029690D" w:rsidRPr="00BE5178">
        <w:t>.</w:t>
      </w:r>
    </w:p>
    <w:p w14:paraId="58D6C85E" w14:textId="77777777" w:rsidR="0029690D" w:rsidRDefault="0029690D" w:rsidP="0029690D">
      <w:pPr>
        <w:pStyle w:val="TableTitle"/>
        <w:rPr>
          <w:b w:val="0"/>
          <w:bCs w:val="0"/>
        </w:rPr>
      </w:pPr>
    </w:p>
    <w:p w14:paraId="1052E98C" w14:textId="77777777" w:rsidR="00F25DE1" w:rsidRDefault="00F25DE1" w:rsidP="0029690D">
      <w:pPr>
        <w:pStyle w:val="TableTitle"/>
        <w:rPr>
          <w:b w:val="0"/>
          <w:bCs w:val="0"/>
        </w:rPr>
      </w:pPr>
    </w:p>
    <w:p w14:paraId="31ABDBEC" w14:textId="6B8F22E7" w:rsidR="00F25DE1" w:rsidRDefault="00F25DE1" w:rsidP="000959D8">
      <w:pPr>
        <w:pStyle w:val="Caption"/>
        <w:keepNext/>
      </w:pPr>
      <w:r>
        <w:t xml:space="preserve">Table </w:t>
      </w:r>
      <w:r w:rsidRPr="00F25DE1">
        <w:t>14.1 Summary of Average Annual Respondents, Responses, Burden, and Costs for Federal Agency for the 3-Year Period Covered by this ICR</w:t>
      </w:r>
    </w:p>
    <w:tbl>
      <w:tblPr>
        <w:tblStyle w:val="TableGrid"/>
        <w:tblW w:w="9358" w:type="dxa"/>
        <w:tblLayout w:type="fixed"/>
        <w:tblLook w:val="0000" w:firstRow="0" w:lastRow="0" w:firstColumn="0" w:lastColumn="0" w:noHBand="0" w:noVBand="0"/>
      </w:tblPr>
      <w:tblGrid>
        <w:gridCol w:w="1998"/>
        <w:gridCol w:w="1892"/>
        <w:gridCol w:w="1786"/>
        <w:gridCol w:w="1892"/>
        <w:gridCol w:w="1790"/>
      </w:tblGrid>
      <w:tr w:rsidR="0029690D" w:rsidRPr="009A7966" w14:paraId="62FC4787" w14:textId="77777777" w:rsidTr="000959D8">
        <w:tc>
          <w:tcPr>
            <w:tcW w:w="1998" w:type="dxa"/>
          </w:tcPr>
          <w:p w14:paraId="7EB4EB96" w14:textId="77777777" w:rsidR="0029690D" w:rsidRPr="009A7966" w:rsidRDefault="0029690D" w:rsidP="00F43C79">
            <w:pPr>
              <w:widowControl/>
              <w:jc w:val="center"/>
              <w:rPr>
                <w:rFonts w:ascii="Arial" w:hAnsi="Arial" w:cs="Arial"/>
                <w:color w:val="000000"/>
                <w:sz w:val="20"/>
                <w:szCs w:val="20"/>
              </w:rPr>
            </w:pPr>
          </w:p>
        </w:tc>
        <w:tc>
          <w:tcPr>
            <w:tcW w:w="1892" w:type="dxa"/>
          </w:tcPr>
          <w:p w14:paraId="7DBED439" w14:textId="77777777" w:rsidR="0029690D" w:rsidRPr="009A7966" w:rsidRDefault="0029690D" w:rsidP="00F43C79">
            <w:pPr>
              <w:widowControl/>
              <w:jc w:val="center"/>
              <w:rPr>
                <w:rFonts w:ascii="Arial" w:hAnsi="Arial" w:cs="Arial"/>
                <w:b/>
                <w:bCs/>
                <w:color w:val="000000"/>
                <w:sz w:val="20"/>
                <w:szCs w:val="20"/>
              </w:rPr>
            </w:pPr>
            <w:r w:rsidRPr="009A7966">
              <w:rPr>
                <w:rFonts w:ascii="Arial" w:hAnsi="Arial" w:cs="Arial"/>
                <w:b/>
                <w:bCs/>
                <w:color w:val="000000"/>
                <w:sz w:val="20"/>
                <w:szCs w:val="20"/>
              </w:rPr>
              <w:t xml:space="preserve">Average Annual Burden (hours) </w:t>
            </w:r>
          </w:p>
        </w:tc>
        <w:tc>
          <w:tcPr>
            <w:tcW w:w="1786" w:type="dxa"/>
          </w:tcPr>
          <w:p w14:paraId="1CE07CEE" w14:textId="77777777" w:rsidR="0029690D" w:rsidRPr="009A7966" w:rsidRDefault="0029690D" w:rsidP="00F43C79">
            <w:pPr>
              <w:widowControl/>
              <w:jc w:val="center"/>
              <w:rPr>
                <w:rFonts w:ascii="Arial" w:hAnsi="Arial" w:cs="Arial"/>
                <w:b/>
                <w:bCs/>
                <w:color w:val="000000"/>
                <w:sz w:val="20"/>
                <w:szCs w:val="20"/>
              </w:rPr>
            </w:pPr>
            <w:r w:rsidRPr="009A7966">
              <w:rPr>
                <w:rFonts w:ascii="Arial" w:hAnsi="Arial" w:cs="Arial"/>
                <w:b/>
                <w:bCs/>
                <w:color w:val="000000"/>
                <w:sz w:val="20"/>
                <w:szCs w:val="20"/>
              </w:rPr>
              <w:t>Average Annual Labor Costs (20</w:t>
            </w:r>
            <w:r>
              <w:rPr>
                <w:rFonts w:ascii="Arial" w:hAnsi="Arial" w:cs="Arial"/>
                <w:b/>
                <w:bCs/>
                <w:color w:val="000000"/>
                <w:sz w:val="20"/>
                <w:szCs w:val="20"/>
              </w:rPr>
              <w:t>14</w:t>
            </w:r>
            <w:r w:rsidRPr="009A7966">
              <w:rPr>
                <w:rFonts w:ascii="Arial" w:hAnsi="Arial" w:cs="Arial"/>
                <w:b/>
                <w:bCs/>
                <w:color w:val="000000"/>
                <w:sz w:val="20"/>
                <w:szCs w:val="20"/>
              </w:rPr>
              <w:t>$)</w:t>
            </w:r>
          </w:p>
        </w:tc>
        <w:tc>
          <w:tcPr>
            <w:tcW w:w="1892" w:type="dxa"/>
          </w:tcPr>
          <w:p w14:paraId="6B25716D" w14:textId="77777777" w:rsidR="0029690D" w:rsidRPr="009A7966" w:rsidRDefault="0029690D" w:rsidP="00F43C79">
            <w:pPr>
              <w:widowControl/>
              <w:jc w:val="center"/>
              <w:rPr>
                <w:rFonts w:ascii="Arial" w:hAnsi="Arial" w:cs="Arial"/>
                <w:b/>
                <w:bCs/>
                <w:color w:val="000000"/>
                <w:sz w:val="20"/>
                <w:szCs w:val="20"/>
              </w:rPr>
            </w:pPr>
            <w:r w:rsidRPr="009A7966">
              <w:rPr>
                <w:rFonts w:ascii="Arial" w:hAnsi="Arial" w:cs="Arial"/>
                <w:b/>
                <w:bCs/>
                <w:color w:val="000000"/>
                <w:sz w:val="20"/>
                <w:szCs w:val="20"/>
              </w:rPr>
              <w:t>Average Annual O&amp;M Costs (20</w:t>
            </w:r>
            <w:r>
              <w:rPr>
                <w:rFonts w:ascii="Arial" w:hAnsi="Arial" w:cs="Arial"/>
                <w:b/>
                <w:bCs/>
                <w:color w:val="000000"/>
                <w:sz w:val="20"/>
                <w:szCs w:val="20"/>
              </w:rPr>
              <w:t>14</w:t>
            </w:r>
            <w:r w:rsidRPr="009A7966">
              <w:rPr>
                <w:rFonts w:ascii="Arial" w:hAnsi="Arial" w:cs="Arial"/>
                <w:b/>
                <w:bCs/>
                <w:color w:val="000000"/>
                <w:sz w:val="20"/>
                <w:szCs w:val="20"/>
              </w:rPr>
              <w:t>$)</w:t>
            </w:r>
          </w:p>
        </w:tc>
        <w:tc>
          <w:tcPr>
            <w:tcW w:w="1790" w:type="dxa"/>
          </w:tcPr>
          <w:p w14:paraId="167D60EE" w14:textId="77777777" w:rsidR="0029690D" w:rsidRPr="009A7966" w:rsidRDefault="0029690D" w:rsidP="00F43C79">
            <w:pPr>
              <w:widowControl/>
              <w:jc w:val="center"/>
              <w:rPr>
                <w:rFonts w:ascii="Arial" w:hAnsi="Arial" w:cs="Arial"/>
                <w:b/>
                <w:bCs/>
                <w:color w:val="000000"/>
                <w:sz w:val="20"/>
                <w:szCs w:val="20"/>
              </w:rPr>
            </w:pPr>
            <w:r w:rsidRPr="009A7966">
              <w:rPr>
                <w:rFonts w:ascii="Arial" w:hAnsi="Arial" w:cs="Arial"/>
                <w:b/>
                <w:bCs/>
                <w:color w:val="000000"/>
                <w:sz w:val="20"/>
                <w:szCs w:val="20"/>
              </w:rPr>
              <w:t>Total Average Annual Costs (20</w:t>
            </w:r>
            <w:r>
              <w:rPr>
                <w:rFonts w:ascii="Arial" w:hAnsi="Arial" w:cs="Arial"/>
                <w:b/>
                <w:bCs/>
                <w:color w:val="000000"/>
                <w:sz w:val="20"/>
                <w:szCs w:val="20"/>
              </w:rPr>
              <w:t>14</w:t>
            </w:r>
            <w:r w:rsidRPr="009A7966">
              <w:rPr>
                <w:rFonts w:ascii="Arial" w:hAnsi="Arial" w:cs="Arial"/>
                <w:b/>
                <w:bCs/>
                <w:color w:val="000000"/>
                <w:sz w:val="20"/>
                <w:szCs w:val="20"/>
              </w:rPr>
              <w:t>$)</w:t>
            </w:r>
          </w:p>
        </w:tc>
      </w:tr>
      <w:tr w:rsidR="004F5C09" w:rsidRPr="009A7966" w14:paraId="7F4924F5" w14:textId="77777777" w:rsidTr="000959D8">
        <w:tc>
          <w:tcPr>
            <w:tcW w:w="1998" w:type="dxa"/>
          </w:tcPr>
          <w:p w14:paraId="0350E14F" w14:textId="77777777" w:rsidR="004F5C09" w:rsidRPr="009A7966" w:rsidRDefault="004F5C09" w:rsidP="004F5C09">
            <w:pPr>
              <w:widowControl/>
              <w:jc w:val="center"/>
              <w:rPr>
                <w:rFonts w:ascii="Arial" w:hAnsi="Arial" w:cs="Arial"/>
                <w:bCs/>
                <w:color w:val="000000"/>
                <w:sz w:val="20"/>
                <w:szCs w:val="20"/>
              </w:rPr>
            </w:pPr>
            <w:r w:rsidRPr="009A7966">
              <w:rPr>
                <w:rFonts w:ascii="Arial" w:hAnsi="Arial" w:cs="Arial"/>
                <w:bCs/>
                <w:color w:val="000000"/>
                <w:sz w:val="20"/>
                <w:szCs w:val="20"/>
              </w:rPr>
              <w:t>Agency Totals</w:t>
            </w:r>
          </w:p>
        </w:tc>
        <w:tc>
          <w:tcPr>
            <w:tcW w:w="1892" w:type="dxa"/>
            <w:shd w:val="clear" w:color="auto" w:fill="auto"/>
          </w:tcPr>
          <w:p w14:paraId="50E05051" w14:textId="49F79D58" w:rsidR="004F5C09" w:rsidRPr="009A7966" w:rsidRDefault="004F5C09" w:rsidP="004F5C09">
            <w:pPr>
              <w:jc w:val="center"/>
              <w:rPr>
                <w:rFonts w:ascii="Arial" w:hAnsi="Arial" w:cs="Arial"/>
                <w:color w:val="000000"/>
                <w:sz w:val="20"/>
                <w:szCs w:val="20"/>
              </w:rPr>
            </w:pPr>
            <w:r>
              <w:rPr>
                <w:rFonts w:ascii="Arial" w:hAnsi="Arial" w:cs="Arial"/>
                <w:sz w:val="18"/>
                <w:szCs w:val="18"/>
              </w:rPr>
              <w:t>21,582</w:t>
            </w:r>
          </w:p>
        </w:tc>
        <w:tc>
          <w:tcPr>
            <w:tcW w:w="1786" w:type="dxa"/>
            <w:shd w:val="clear" w:color="auto" w:fill="auto"/>
          </w:tcPr>
          <w:p w14:paraId="48760B3E" w14:textId="3B5C1D86" w:rsidR="004F5C09" w:rsidRPr="009A7966" w:rsidRDefault="004F5C09" w:rsidP="004F5C09">
            <w:pPr>
              <w:jc w:val="center"/>
              <w:rPr>
                <w:rFonts w:ascii="Arial" w:hAnsi="Arial" w:cs="Arial"/>
                <w:color w:val="000000"/>
                <w:sz w:val="20"/>
                <w:szCs w:val="20"/>
              </w:rPr>
            </w:pPr>
            <w:r>
              <w:rPr>
                <w:rFonts w:ascii="Arial" w:hAnsi="Arial" w:cs="Arial"/>
                <w:sz w:val="18"/>
                <w:szCs w:val="18"/>
              </w:rPr>
              <w:t>$915,086</w:t>
            </w:r>
          </w:p>
        </w:tc>
        <w:tc>
          <w:tcPr>
            <w:tcW w:w="1892" w:type="dxa"/>
            <w:shd w:val="clear" w:color="auto" w:fill="auto"/>
          </w:tcPr>
          <w:p w14:paraId="739A35DE" w14:textId="57E56E60" w:rsidR="004F5C09" w:rsidRPr="009A7966" w:rsidRDefault="004F5C09" w:rsidP="004F5C09">
            <w:pPr>
              <w:jc w:val="center"/>
              <w:rPr>
                <w:rFonts w:ascii="Arial" w:hAnsi="Arial" w:cs="Arial"/>
                <w:color w:val="000000"/>
                <w:sz w:val="20"/>
                <w:szCs w:val="20"/>
              </w:rPr>
            </w:pPr>
            <w:r>
              <w:rPr>
                <w:rFonts w:ascii="Arial" w:hAnsi="Arial" w:cs="Arial"/>
                <w:sz w:val="18"/>
                <w:szCs w:val="18"/>
              </w:rPr>
              <w:t>$0</w:t>
            </w:r>
          </w:p>
        </w:tc>
        <w:tc>
          <w:tcPr>
            <w:tcW w:w="1790" w:type="dxa"/>
            <w:shd w:val="clear" w:color="auto" w:fill="auto"/>
          </w:tcPr>
          <w:p w14:paraId="7E117883" w14:textId="17C84AC5" w:rsidR="004F5C09" w:rsidRPr="0033030D" w:rsidRDefault="004F5C09" w:rsidP="004F5C09">
            <w:pPr>
              <w:widowControl/>
              <w:autoSpaceDE/>
              <w:autoSpaceDN/>
              <w:adjustRightInd/>
              <w:jc w:val="center"/>
              <w:rPr>
                <w:rFonts w:ascii="Arial" w:hAnsi="Arial" w:cs="Arial"/>
                <w:sz w:val="18"/>
                <w:szCs w:val="18"/>
              </w:rPr>
            </w:pPr>
            <w:r>
              <w:rPr>
                <w:rFonts w:ascii="Arial" w:hAnsi="Arial" w:cs="Arial"/>
                <w:sz w:val="18"/>
                <w:szCs w:val="18"/>
              </w:rPr>
              <w:t>$915,086</w:t>
            </w:r>
          </w:p>
        </w:tc>
      </w:tr>
    </w:tbl>
    <w:p w14:paraId="341BD672" w14:textId="77777777" w:rsidR="0029690D" w:rsidRPr="00C759BD" w:rsidRDefault="0029690D" w:rsidP="0029690D"/>
    <w:p w14:paraId="60725DEE" w14:textId="77777777" w:rsidR="00281015" w:rsidRDefault="007F2877" w:rsidP="00281015">
      <w:pPr>
        <w:pStyle w:val="Heading2"/>
      </w:pPr>
      <w:bookmarkStart w:id="20" w:name="_Toc437867205"/>
      <w:r>
        <w:t xml:space="preserve">15. </w:t>
      </w:r>
      <w:r w:rsidRPr="00673714">
        <w:t xml:space="preserve">Explain the reasons for an adjustments reported in </w:t>
      </w:r>
      <w:r>
        <w:t>items 13 or 14 of OMB Form 83-I</w:t>
      </w:r>
      <w:bookmarkEnd w:id="20"/>
    </w:p>
    <w:p w14:paraId="59B7A51D" w14:textId="7C6C0509" w:rsidR="008A4546" w:rsidRDefault="00281015" w:rsidP="00DA6FCE">
      <w:r w:rsidRPr="00281015">
        <w:t>The current burden approved by OMB for the existing ICR</w:t>
      </w:r>
      <w:r w:rsidR="00897F68" w:rsidRPr="00897F68">
        <w:t xml:space="preserve"> </w:t>
      </w:r>
      <w:r w:rsidR="00897F68">
        <w:t>(</w:t>
      </w:r>
      <w:r w:rsidR="00897F68" w:rsidRPr="00897F68">
        <w:t>OMB Control No. 2040-0009, EPA ICR No. 0002.1</w:t>
      </w:r>
      <w:r w:rsidR="005D24D7">
        <w:t>5</w:t>
      </w:r>
      <w:r w:rsidR="00897F68">
        <w:t>)</w:t>
      </w:r>
      <w:r w:rsidRPr="00281015">
        <w:t xml:space="preserve"> is </w:t>
      </w:r>
      <w:r w:rsidR="00BD6ECC">
        <w:t>1,806,516</w:t>
      </w:r>
      <w:r w:rsidR="0011793B">
        <w:t xml:space="preserve"> hours</w:t>
      </w:r>
      <w:r w:rsidRPr="00281015">
        <w:t>. Th</w:t>
      </w:r>
      <w:r w:rsidR="002320BC">
        <w:t>e burden request in this ICR</w:t>
      </w:r>
      <w:r w:rsidRPr="00281015">
        <w:t xml:space="preserve"> is </w:t>
      </w:r>
      <w:r w:rsidR="009B2EA7" w:rsidRPr="008D03D0">
        <w:t>62,110</w:t>
      </w:r>
      <w:r w:rsidRPr="008D03D0">
        <w:t xml:space="preserve"> (</w:t>
      </w:r>
      <w:r w:rsidR="009B2EA7" w:rsidRPr="008D03D0">
        <w:t>3.</w:t>
      </w:r>
      <w:r w:rsidR="006569D0" w:rsidRPr="008D03D0">
        <w:t>6</w:t>
      </w:r>
      <w:r w:rsidRPr="008D03D0">
        <w:t>%</w:t>
      </w:r>
      <w:r w:rsidR="0098730C" w:rsidRPr="008D03D0">
        <w:t>)</w:t>
      </w:r>
      <w:r w:rsidR="0098730C" w:rsidRPr="00281015">
        <w:t xml:space="preserve"> hours</w:t>
      </w:r>
      <w:r w:rsidRPr="00281015">
        <w:t xml:space="preserve"> </w:t>
      </w:r>
      <w:r w:rsidR="002320BC">
        <w:t xml:space="preserve">less </w:t>
      </w:r>
      <w:r w:rsidRPr="00281015">
        <w:t xml:space="preserve">than </w:t>
      </w:r>
      <w:r w:rsidR="002320BC">
        <w:t>the current approved burden</w:t>
      </w:r>
      <w:r w:rsidRPr="00281015">
        <w:t xml:space="preserve">. </w:t>
      </w:r>
      <w:r w:rsidR="00897F68" w:rsidRPr="00897F68">
        <w:t xml:space="preserve">There were no new rules, agency actions or program changes that resulted in </w:t>
      </w:r>
      <w:r w:rsidR="00897F68">
        <w:t xml:space="preserve">changes to the burden estimates. </w:t>
      </w:r>
      <w:r w:rsidR="008A4546">
        <w:t xml:space="preserve">The </w:t>
      </w:r>
      <w:r w:rsidR="000E1020">
        <w:t xml:space="preserve">estimated burden </w:t>
      </w:r>
      <w:r w:rsidR="00897F68">
        <w:t xml:space="preserve">for this ICR </w:t>
      </w:r>
      <w:r w:rsidR="000E1020">
        <w:t xml:space="preserve">is based upon the assumptions </w:t>
      </w:r>
      <w:r w:rsidR="00897F68" w:rsidRPr="00897F68">
        <w:t xml:space="preserve">presented in Appendix B </w:t>
      </w:r>
      <w:r w:rsidR="00EC7DFD">
        <w:t xml:space="preserve">including number of SIUs </w:t>
      </w:r>
      <w:r>
        <w:t>and approved pretreatment programs</w:t>
      </w:r>
      <w:r w:rsidR="000E1020">
        <w:t>. These assumptions are based upon previous ICR estimates</w:t>
      </w:r>
      <w:r w:rsidR="00EC7DFD">
        <w:t xml:space="preserve"> plus adjustments to the</w:t>
      </w:r>
      <w:r w:rsidR="0029690D">
        <w:t xml:space="preserve"> </w:t>
      </w:r>
      <w:r w:rsidR="0029690D" w:rsidRPr="0029690D">
        <w:t xml:space="preserve">number of SIUs and pretreatment programs </w:t>
      </w:r>
      <w:r w:rsidR="00EC7DFD">
        <w:t>that resulted from e</w:t>
      </w:r>
      <w:r w:rsidR="0029690D" w:rsidRPr="0029690D">
        <w:t xml:space="preserve">xtensive consultation with the </w:t>
      </w:r>
      <w:r w:rsidR="00AC3C25">
        <w:t xml:space="preserve">States and </w:t>
      </w:r>
      <w:r w:rsidR="0029690D" w:rsidRPr="0029690D">
        <w:t xml:space="preserve">EPA </w:t>
      </w:r>
      <w:r w:rsidR="006569D0">
        <w:t>R</w:t>
      </w:r>
      <w:r w:rsidR="0029690D" w:rsidRPr="0029690D">
        <w:t>egions</w:t>
      </w:r>
      <w:r w:rsidR="0029690D">
        <w:t xml:space="preserve">. The </w:t>
      </w:r>
      <w:r w:rsidR="00EC7DFD">
        <w:t>adjustment in</w:t>
      </w:r>
      <w:r w:rsidR="0029690D">
        <w:t xml:space="preserve"> burdens </w:t>
      </w:r>
      <w:r w:rsidR="009000A2">
        <w:t xml:space="preserve">are </w:t>
      </w:r>
      <w:r w:rsidR="00EC7DFD">
        <w:t xml:space="preserve">minor </w:t>
      </w:r>
      <w:r w:rsidR="009000A2">
        <w:t>a</w:t>
      </w:r>
      <w:r w:rsidR="00EC7DFD">
        <w:t xml:space="preserve">nd </w:t>
      </w:r>
      <w:r w:rsidR="009000A2">
        <w:t xml:space="preserve">mostly result from </w:t>
      </w:r>
      <w:r w:rsidR="00EC7DFD">
        <w:t xml:space="preserve">changes in the number of SIUs which will include the net effect of reductions due to </w:t>
      </w:r>
      <w:r w:rsidR="00EC7DFD" w:rsidRPr="00EC7DFD">
        <w:t>facilities that closed</w:t>
      </w:r>
      <w:r w:rsidR="0011793B">
        <w:t xml:space="preserve">, were </w:t>
      </w:r>
      <w:r w:rsidR="00EC7DFD" w:rsidRPr="00EC7DFD">
        <w:t>downgraded</w:t>
      </w:r>
      <w:r w:rsidR="00EC7DFD">
        <w:t xml:space="preserve"> </w:t>
      </w:r>
      <w:r w:rsidR="0011793B">
        <w:t xml:space="preserve">from CIU or SIU status, </w:t>
      </w:r>
      <w:r w:rsidR="00EC7DFD">
        <w:t>and the addition of</w:t>
      </w:r>
      <w:r w:rsidR="000E1020">
        <w:t xml:space="preserve"> </w:t>
      </w:r>
      <w:r w:rsidR="00EC7DFD" w:rsidRPr="00EC7DFD">
        <w:t>facilities that opened or are newly permitted</w:t>
      </w:r>
      <w:r w:rsidR="00EC7DFD">
        <w:t xml:space="preserve">. </w:t>
      </w:r>
      <w:r w:rsidR="00200857">
        <w:t>The reduction also reflects a reduction in the number</w:t>
      </w:r>
      <w:r w:rsidR="00200857" w:rsidRPr="00200857">
        <w:t xml:space="preserve"> of POTWs projected to develop a pretreatment program during the three-year ICR period </w:t>
      </w:r>
      <w:r w:rsidR="00200857">
        <w:t xml:space="preserve">from 64 to 20. </w:t>
      </w:r>
      <w:r w:rsidR="009B2EA7">
        <w:t xml:space="preserve">Another small component of this adjustment was the reassignment of burden from the states to the </w:t>
      </w:r>
      <w:r w:rsidR="00E9524A">
        <w:t>f</w:t>
      </w:r>
      <w:r w:rsidR="009B2EA7">
        <w:t xml:space="preserve">ederal government for instances where the </w:t>
      </w:r>
      <w:r w:rsidR="00E9524A">
        <w:t>f</w:t>
      </w:r>
      <w:r w:rsidR="009B2EA7">
        <w:t xml:space="preserve">ederal government </w:t>
      </w:r>
      <w:r w:rsidR="009A591A" w:rsidRPr="009A591A">
        <w:t>regulated SIUs as the control authority</w:t>
      </w:r>
      <w:r w:rsidR="009B2EA7">
        <w:t>. In the previous ICR</w:t>
      </w:r>
      <w:r w:rsidR="00E9524A">
        <w:t>,</w:t>
      </w:r>
      <w:r w:rsidR="009B2EA7">
        <w:t xml:space="preserve"> this component had been included in the state burden estimate.</w:t>
      </w:r>
      <w:r w:rsidR="00D117B0" w:rsidRPr="00D117B0">
        <w:t xml:space="preserve"> Table 15.1 presents a summary of the adjustments in burden estimates from the previously approved ICR.</w:t>
      </w:r>
    </w:p>
    <w:p w14:paraId="6413C835" w14:textId="77777777" w:rsidR="00D117B0" w:rsidRDefault="00D117B0" w:rsidP="00DA6FCE"/>
    <w:p w14:paraId="59511C39" w14:textId="15D298BD" w:rsidR="00F25DE1" w:rsidRDefault="00F25DE1" w:rsidP="000959D8">
      <w:pPr>
        <w:pStyle w:val="Caption"/>
        <w:keepNext/>
      </w:pPr>
      <w:r>
        <w:t xml:space="preserve">Table </w:t>
      </w:r>
      <w:r w:rsidR="00E7407F" w:rsidRPr="00E7407F">
        <w:t>15.1 Summary of Adjustments in Burden Estimate</w:t>
      </w:r>
    </w:p>
    <w:tbl>
      <w:tblPr>
        <w:tblW w:w="0" w:type="auto"/>
        <w:tblLook w:val="04A0" w:firstRow="1" w:lastRow="0" w:firstColumn="1" w:lastColumn="0" w:noHBand="0" w:noVBand="1"/>
      </w:tblPr>
      <w:tblGrid>
        <w:gridCol w:w="1866"/>
        <w:gridCol w:w="1535"/>
        <w:gridCol w:w="1599"/>
        <w:gridCol w:w="1377"/>
        <w:gridCol w:w="1282"/>
        <w:gridCol w:w="1691"/>
      </w:tblGrid>
      <w:tr w:rsidR="00D430E7" w:rsidRPr="00D430E7" w14:paraId="004F4DA6" w14:textId="77777777" w:rsidTr="006569D0">
        <w:trPr>
          <w:trHeight w:val="62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4D26FE2" w14:textId="77777777" w:rsidR="00D430E7" w:rsidRPr="00D430E7" w:rsidRDefault="00D430E7" w:rsidP="00D430E7">
            <w:pPr>
              <w:widowControl/>
              <w:autoSpaceDE/>
              <w:autoSpaceDN/>
              <w:adjustRightInd/>
            </w:pPr>
            <w:r w:rsidRPr="00D430E7">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81AE4E1" w14:textId="77777777" w:rsidR="00D430E7" w:rsidRPr="00D430E7" w:rsidRDefault="00D430E7" w:rsidP="00D430E7">
            <w:pPr>
              <w:widowControl/>
              <w:autoSpaceDE/>
              <w:autoSpaceDN/>
              <w:adjustRightInd/>
            </w:pPr>
            <w:r w:rsidRPr="00D430E7">
              <w:t>Reason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ACB52EB" w14:textId="77777777" w:rsidR="00D430E7" w:rsidRPr="00D430E7" w:rsidRDefault="00D430E7" w:rsidP="00D430E7">
            <w:pPr>
              <w:widowControl/>
              <w:autoSpaceDE/>
              <w:autoSpaceDN/>
              <w:adjustRightInd/>
            </w:pPr>
            <w:r w:rsidRPr="00D430E7">
              <w:t>Previous Burden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538F0A4" w14:textId="77777777" w:rsidR="00D430E7" w:rsidRPr="00D430E7" w:rsidRDefault="00D430E7" w:rsidP="00D430E7">
            <w:pPr>
              <w:widowControl/>
              <w:autoSpaceDE/>
              <w:autoSpaceDN/>
              <w:adjustRightInd/>
            </w:pPr>
            <w:r w:rsidRPr="00D430E7">
              <w:t>New Burden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474934E" w14:textId="77777777" w:rsidR="00D430E7" w:rsidRPr="00D430E7" w:rsidRDefault="00D430E7" w:rsidP="00D430E7">
            <w:pPr>
              <w:widowControl/>
              <w:autoSpaceDE/>
              <w:autoSpaceDN/>
              <w:adjustRightInd/>
            </w:pPr>
            <w:r w:rsidRPr="00D430E7">
              <w:t>Difference</w:t>
            </w:r>
            <w:r w:rsidRPr="00D430E7">
              <w:rPr>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743D500" w14:textId="77777777" w:rsidR="00D430E7" w:rsidRPr="00D430E7" w:rsidRDefault="00D430E7" w:rsidP="00D430E7">
            <w:pPr>
              <w:widowControl/>
              <w:autoSpaceDE/>
              <w:autoSpaceDN/>
              <w:adjustRightInd/>
            </w:pPr>
            <w:r w:rsidRPr="00D430E7">
              <w:t>Percent Difference</w:t>
            </w:r>
          </w:p>
        </w:tc>
      </w:tr>
      <w:tr w:rsidR="006569D0" w:rsidRPr="00D430E7" w14:paraId="3541ECE6" w14:textId="77777777" w:rsidTr="006569D0">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629B77" w14:textId="77777777" w:rsidR="006569D0" w:rsidRPr="00D430E7" w:rsidRDefault="006569D0" w:rsidP="006569D0">
            <w:pPr>
              <w:widowControl/>
              <w:autoSpaceDE/>
              <w:autoSpaceDN/>
              <w:adjustRightInd/>
            </w:pPr>
            <w:r w:rsidRPr="00D430E7">
              <w:t>Annual Responses</w:t>
            </w:r>
          </w:p>
        </w:tc>
        <w:tc>
          <w:tcPr>
            <w:tcW w:w="0" w:type="auto"/>
            <w:tcBorders>
              <w:top w:val="nil"/>
              <w:left w:val="nil"/>
              <w:bottom w:val="single" w:sz="4" w:space="0" w:color="auto"/>
              <w:right w:val="single" w:sz="4" w:space="0" w:color="auto"/>
            </w:tcBorders>
            <w:shd w:val="clear" w:color="auto" w:fill="auto"/>
            <w:vAlign w:val="center"/>
            <w:hideMark/>
          </w:tcPr>
          <w:p w14:paraId="4AF30CFB" w14:textId="77777777" w:rsidR="006569D0" w:rsidRPr="00D430E7" w:rsidRDefault="006569D0" w:rsidP="006569D0">
            <w:pPr>
              <w:widowControl/>
              <w:autoSpaceDE/>
              <w:autoSpaceDN/>
              <w:adjustRightInd/>
            </w:pPr>
            <w:r w:rsidRPr="00D430E7">
              <w:t>Revised Estimate</w:t>
            </w:r>
          </w:p>
        </w:tc>
        <w:tc>
          <w:tcPr>
            <w:tcW w:w="0" w:type="auto"/>
            <w:tcBorders>
              <w:top w:val="nil"/>
              <w:left w:val="nil"/>
              <w:bottom w:val="single" w:sz="4" w:space="0" w:color="auto"/>
              <w:right w:val="single" w:sz="4" w:space="0" w:color="auto"/>
            </w:tcBorders>
            <w:shd w:val="clear" w:color="auto" w:fill="auto"/>
            <w:vAlign w:val="center"/>
            <w:hideMark/>
          </w:tcPr>
          <w:p w14:paraId="6945DEDC" w14:textId="77777777" w:rsidR="006569D0" w:rsidRPr="00D430E7" w:rsidRDefault="006569D0" w:rsidP="006569D0">
            <w:pPr>
              <w:widowControl/>
              <w:autoSpaceDE/>
              <w:autoSpaceDN/>
              <w:adjustRightInd/>
              <w:jc w:val="center"/>
            </w:pPr>
            <w:r w:rsidRPr="00D430E7">
              <w:t>98,438</w:t>
            </w:r>
          </w:p>
        </w:tc>
        <w:tc>
          <w:tcPr>
            <w:tcW w:w="0" w:type="auto"/>
            <w:tcBorders>
              <w:top w:val="nil"/>
              <w:left w:val="nil"/>
              <w:bottom w:val="single" w:sz="4" w:space="0" w:color="auto"/>
              <w:right w:val="single" w:sz="4" w:space="0" w:color="auto"/>
            </w:tcBorders>
            <w:shd w:val="clear" w:color="auto" w:fill="auto"/>
            <w:vAlign w:val="center"/>
            <w:hideMark/>
          </w:tcPr>
          <w:p w14:paraId="38838A6B" w14:textId="77777777" w:rsidR="006569D0" w:rsidRPr="00D430E7" w:rsidRDefault="006569D0" w:rsidP="006569D0">
            <w:pPr>
              <w:widowControl/>
              <w:autoSpaceDE/>
              <w:autoSpaceDN/>
              <w:adjustRightInd/>
              <w:jc w:val="center"/>
            </w:pPr>
            <w:r w:rsidRPr="00D430E7">
              <w:t>95,462</w:t>
            </w:r>
          </w:p>
        </w:tc>
        <w:tc>
          <w:tcPr>
            <w:tcW w:w="0" w:type="auto"/>
            <w:tcBorders>
              <w:top w:val="nil"/>
              <w:left w:val="nil"/>
              <w:bottom w:val="single" w:sz="4" w:space="0" w:color="auto"/>
              <w:right w:val="single" w:sz="4" w:space="0" w:color="auto"/>
            </w:tcBorders>
            <w:shd w:val="clear" w:color="auto" w:fill="auto"/>
            <w:vAlign w:val="center"/>
            <w:hideMark/>
          </w:tcPr>
          <w:p w14:paraId="29620550" w14:textId="77777777" w:rsidR="006569D0" w:rsidRPr="00D430E7" w:rsidRDefault="006569D0" w:rsidP="006569D0">
            <w:pPr>
              <w:widowControl/>
              <w:autoSpaceDE/>
              <w:autoSpaceDN/>
              <w:adjustRightInd/>
              <w:jc w:val="center"/>
            </w:pPr>
            <w:r w:rsidRPr="00D430E7">
              <w:t>-2,976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0728AC1" w14:textId="6FD2B32E" w:rsidR="006569D0" w:rsidRPr="00D430E7" w:rsidRDefault="006569D0" w:rsidP="006569D0">
            <w:pPr>
              <w:widowControl/>
              <w:autoSpaceDE/>
              <w:autoSpaceDN/>
              <w:adjustRightInd/>
              <w:jc w:val="center"/>
            </w:pPr>
            <w:r>
              <w:t>-3.1%</w:t>
            </w:r>
          </w:p>
        </w:tc>
      </w:tr>
      <w:tr w:rsidR="006569D0" w:rsidRPr="00D430E7" w14:paraId="76F71558" w14:textId="77777777" w:rsidTr="006569D0">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2A04C7" w14:textId="77777777" w:rsidR="006569D0" w:rsidRPr="00D430E7" w:rsidRDefault="006569D0" w:rsidP="006569D0">
            <w:pPr>
              <w:widowControl/>
              <w:autoSpaceDE/>
              <w:autoSpaceDN/>
              <w:adjustRightInd/>
            </w:pPr>
            <w:r w:rsidRPr="00D430E7">
              <w:t>Annual Burden Hours</w:t>
            </w:r>
          </w:p>
        </w:tc>
        <w:tc>
          <w:tcPr>
            <w:tcW w:w="0" w:type="auto"/>
            <w:tcBorders>
              <w:top w:val="nil"/>
              <w:left w:val="nil"/>
              <w:bottom w:val="single" w:sz="4" w:space="0" w:color="auto"/>
              <w:right w:val="single" w:sz="4" w:space="0" w:color="auto"/>
            </w:tcBorders>
            <w:shd w:val="clear" w:color="auto" w:fill="auto"/>
            <w:vAlign w:val="center"/>
            <w:hideMark/>
          </w:tcPr>
          <w:p w14:paraId="10061C3D" w14:textId="77777777" w:rsidR="006569D0" w:rsidRPr="00D430E7" w:rsidRDefault="006569D0" w:rsidP="006569D0">
            <w:pPr>
              <w:widowControl/>
              <w:autoSpaceDE/>
              <w:autoSpaceDN/>
              <w:adjustRightInd/>
            </w:pPr>
            <w:r w:rsidRPr="00D430E7">
              <w:t>Revised Estimate</w:t>
            </w:r>
          </w:p>
        </w:tc>
        <w:tc>
          <w:tcPr>
            <w:tcW w:w="0" w:type="auto"/>
            <w:tcBorders>
              <w:top w:val="nil"/>
              <w:left w:val="nil"/>
              <w:bottom w:val="single" w:sz="4" w:space="0" w:color="auto"/>
              <w:right w:val="single" w:sz="4" w:space="0" w:color="auto"/>
            </w:tcBorders>
            <w:shd w:val="clear" w:color="auto" w:fill="auto"/>
            <w:vAlign w:val="center"/>
            <w:hideMark/>
          </w:tcPr>
          <w:p w14:paraId="557610BF" w14:textId="3E3AAB90" w:rsidR="006569D0" w:rsidRPr="00D430E7" w:rsidRDefault="006569D0" w:rsidP="006569D0">
            <w:pPr>
              <w:widowControl/>
              <w:autoSpaceDE/>
              <w:autoSpaceDN/>
              <w:adjustRightInd/>
              <w:jc w:val="center"/>
            </w:pPr>
            <w:r>
              <w:t>1,806,516</w:t>
            </w:r>
          </w:p>
        </w:tc>
        <w:tc>
          <w:tcPr>
            <w:tcW w:w="0" w:type="auto"/>
            <w:tcBorders>
              <w:top w:val="nil"/>
              <w:left w:val="nil"/>
              <w:bottom w:val="single" w:sz="4" w:space="0" w:color="auto"/>
              <w:right w:val="single" w:sz="4" w:space="0" w:color="auto"/>
            </w:tcBorders>
            <w:shd w:val="clear" w:color="auto" w:fill="auto"/>
            <w:vAlign w:val="center"/>
            <w:hideMark/>
          </w:tcPr>
          <w:p w14:paraId="2D6D5F42" w14:textId="77777777" w:rsidR="006569D0" w:rsidRPr="00D430E7" w:rsidRDefault="006569D0" w:rsidP="006569D0">
            <w:pPr>
              <w:widowControl/>
              <w:autoSpaceDE/>
              <w:autoSpaceDN/>
              <w:adjustRightInd/>
              <w:jc w:val="center"/>
            </w:pPr>
            <w:r w:rsidRPr="00D430E7">
              <w:t>1,744,406</w:t>
            </w:r>
          </w:p>
        </w:tc>
        <w:tc>
          <w:tcPr>
            <w:tcW w:w="0" w:type="auto"/>
            <w:tcBorders>
              <w:top w:val="nil"/>
              <w:left w:val="nil"/>
              <w:bottom w:val="single" w:sz="4" w:space="0" w:color="auto"/>
              <w:right w:val="single" w:sz="4" w:space="0" w:color="auto"/>
            </w:tcBorders>
            <w:shd w:val="clear" w:color="auto" w:fill="auto"/>
            <w:vAlign w:val="center"/>
            <w:hideMark/>
          </w:tcPr>
          <w:p w14:paraId="57EC21B8" w14:textId="77777777" w:rsidR="006569D0" w:rsidRPr="00D430E7" w:rsidRDefault="006569D0" w:rsidP="006569D0">
            <w:pPr>
              <w:widowControl/>
              <w:autoSpaceDE/>
              <w:autoSpaceDN/>
              <w:adjustRightInd/>
              <w:jc w:val="center"/>
            </w:pPr>
            <w:r w:rsidRPr="00D430E7">
              <w:t>-62,110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8D67945" w14:textId="4AE31842" w:rsidR="006569D0" w:rsidRPr="00D430E7" w:rsidRDefault="006569D0" w:rsidP="006569D0">
            <w:pPr>
              <w:widowControl/>
              <w:autoSpaceDE/>
              <w:autoSpaceDN/>
              <w:adjustRightInd/>
              <w:jc w:val="center"/>
            </w:pPr>
            <w:r>
              <w:t>-3.6%</w:t>
            </w:r>
          </w:p>
        </w:tc>
      </w:tr>
      <w:tr w:rsidR="006569D0" w:rsidRPr="00D430E7" w14:paraId="7F67B3B4" w14:textId="77777777" w:rsidTr="006569D0">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FAC388" w14:textId="77777777" w:rsidR="006569D0" w:rsidRPr="00D430E7" w:rsidRDefault="006569D0" w:rsidP="006569D0">
            <w:pPr>
              <w:widowControl/>
              <w:autoSpaceDE/>
              <w:autoSpaceDN/>
              <w:adjustRightInd/>
            </w:pPr>
            <w:r w:rsidRPr="00D430E7">
              <w:t>Annual Costs</w:t>
            </w:r>
          </w:p>
        </w:tc>
        <w:tc>
          <w:tcPr>
            <w:tcW w:w="0" w:type="auto"/>
            <w:tcBorders>
              <w:top w:val="nil"/>
              <w:left w:val="nil"/>
              <w:bottom w:val="single" w:sz="4" w:space="0" w:color="auto"/>
              <w:right w:val="single" w:sz="4" w:space="0" w:color="auto"/>
            </w:tcBorders>
            <w:shd w:val="clear" w:color="auto" w:fill="auto"/>
            <w:vAlign w:val="center"/>
            <w:hideMark/>
          </w:tcPr>
          <w:p w14:paraId="522C2E45" w14:textId="77777777" w:rsidR="006569D0" w:rsidRPr="00D430E7" w:rsidRDefault="006569D0" w:rsidP="006569D0">
            <w:pPr>
              <w:widowControl/>
              <w:autoSpaceDE/>
              <w:autoSpaceDN/>
              <w:adjustRightInd/>
            </w:pPr>
            <w:r w:rsidRPr="00D430E7">
              <w:t>Revised Estimate</w:t>
            </w:r>
          </w:p>
        </w:tc>
        <w:tc>
          <w:tcPr>
            <w:tcW w:w="0" w:type="auto"/>
            <w:tcBorders>
              <w:top w:val="nil"/>
              <w:left w:val="nil"/>
              <w:bottom w:val="single" w:sz="4" w:space="0" w:color="auto"/>
              <w:right w:val="single" w:sz="4" w:space="0" w:color="auto"/>
            </w:tcBorders>
            <w:shd w:val="clear" w:color="auto" w:fill="auto"/>
            <w:vAlign w:val="center"/>
            <w:hideMark/>
          </w:tcPr>
          <w:p w14:paraId="03F7DC45" w14:textId="77777777" w:rsidR="006569D0" w:rsidRPr="00D430E7" w:rsidRDefault="006569D0" w:rsidP="006569D0">
            <w:pPr>
              <w:widowControl/>
              <w:autoSpaceDE/>
              <w:autoSpaceDN/>
              <w:adjustRightInd/>
              <w:jc w:val="center"/>
            </w:pPr>
            <w:r w:rsidRPr="00D430E7">
              <w:t xml:space="preserve">$2,318,913 </w:t>
            </w:r>
          </w:p>
        </w:tc>
        <w:tc>
          <w:tcPr>
            <w:tcW w:w="0" w:type="auto"/>
            <w:tcBorders>
              <w:top w:val="nil"/>
              <w:left w:val="nil"/>
              <w:bottom w:val="single" w:sz="4" w:space="0" w:color="auto"/>
              <w:right w:val="single" w:sz="4" w:space="0" w:color="auto"/>
            </w:tcBorders>
            <w:shd w:val="clear" w:color="auto" w:fill="auto"/>
            <w:vAlign w:val="center"/>
            <w:hideMark/>
          </w:tcPr>
          <w:p w14:paraId="56C9F651" w14:textId="77777777" w:rsidR="006569D0" w:rsidRPr="00D430E7" w:rsidRDefault="006569D0" w:rsidP="006569D0">
            <w:pPr>
              <w:widowControl/>
              <w:autoSpaceDE/>
              <w:autoSpaceDN/>
              <w:adjustRightInd/>
              <w:jc w:val="center"/>
            </w:pPr>
            <w:r w:rsidRPr="00D430E7">
              <w:t xml:space="preserve">$2,515,470 </w:t>
            </w:r>
          </w:p>
        </w:tc>
        <w:tc>
          <w:tcPr>
            <w:tcW w:w="0" w:type="auto"/>
            <w:tcBorders>
              <w:top w:val="nil"/>
              <w:left w:val="nil"/>
              <w:bottom w:val="single" w:sz="4" w:space="0" w:color="auto"/>
              <w:right w:val="single" w:sz="4" w:space="0" w:color="auto"/>
            </w:tcBorders>
            <w:shd w:val="clear" w:color="auto" w:fill="auto"/>
            <w:vAlign w:val="center"/>
            <w:hideMark/>
          </w:tcPr>
          <w:p w14:paraId="1CFB648F" w14:textId="77777777" w:rsidR="006569D0" w:rsidRPr="00D430E7" w:rsidRDefault="006569D0" w:rsidP="006569D0">
            <w:pPr>
              <w:widowControl/>
              <w:autoSpaceDE/>
              <w:autoSpaceDN/>
              <w:adjustRightInd/>
              <w:jc w:val="center"/>
            </w:pPr>
            <w:r w:rsidRPr="00D430E7">
              <w:t>$196,557</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34D8156" w14:textId="2EB6993F" w:rsidR="006569D0" w:rsidRPr="00D430E7" w:rsidRDefault="006569D0" w:rsidP="006569D0">
            <w:pPr>
              <w:widowControl/>
              <w:autoSpaceDE/>
              <w:autoSpaceDN/>
              <w:adjustRightInd/>
              <w:jc w:val="center"/>
            </w:pPr>
            <w:r>
              <w:t>7.8%</w:t>
            </w:r>
          </w:p>
        </w:tc>
      </w:tr>
    </w:tbl>
    <w:p w14:paraId="5BE472F2" w14:textId="77777777" w:rsidR="00D117B0" w:rsidRDefault="00D117B0" w:rsidP="00DA6FCE"/>
    <w:p w14:paraId="6B935737" w14:textId="4D8FD991" w:rsidR="00C759BD" w:rsidRDefault="007F2877" w:rsidP="007F2877">
      <w:pPr>
        <w:pStyle w:val="Heading2"/>
      </w:pPr>
      <w:bookmarkStart w:id="21" w:name="_Toc437867206"/>
      <w:r>
        <w:t xml:space="preserve">16. </w:t>
      </w:r>
      <w:r w:rsidRPr="00673714">
        <w:t>Outline any plans for tabulation and</w:t>
      </w:r>
      <w:r>
        <w:t xml:space="preserve"> publication of the information</w:t>
      </w:r>
      <w:bookmarkEnd w:id="21"/>
    </w:p>
    <w:p w14:paraId="0E85B8AB" w14:textId="37A77D0D" w:rsidR="00AD6ED3" w:rsidRPr="00AD6ED3" w:rsidRDefault="00C759BD" w:rsidP="00DA6FCE">
      <w:r w:rsidRPr="00B84025">
        <w:t xml:space="preserve">EPA uses </w:t>
      </w:r>
      <w:r w:rsidR="0011793B">
        <w:t>ICIS</w:t>
      </w:r>
      <w:r w:rsidRPr="00B84025">
        <w:t xml:space="preserve"> to store, t</w:t>
      </w:r>
      <w:r w:rsidR="009000A2" w:rsidRPr="009000A2">
        <w:t xml:space="preserve">rack, and access pretreatment program </w:t>
      </w:r>
      <w:r w:rsidRPr="00B84025">
        <w:t>related information.</w:t>
      </w:r>
      <w:r w:rsidR="00AD6ED3">
        <w:t xml:space="preserve"> </w:t>
      </w:r>
      <w:r w:rsidR="00AD6ED3" w:rsidRPr="00AD6ED3">
        <w:t>ICIS is the national computerized management information system that automates entry, updates, and facilitates retrieval of NPDES data and tracks permit issuance, permit limits and monitoring data, and other data pertaining to facilities regulated under NPDES</w:t>
      </w:r>
      <w:r w:rsidR="0011793B">
        <w:t>.</w:t>
      </w:r>
      <w:r w:rsidR="00AD6ED3">
        <w:t xml:space="preserve"> </w:t>
      </w:r>
      <w:r w:rsidR="00854141">
        <w:t>In general</w:t>
      </w:r>
      <w:r w:rsidR="0011793B">
        <w:t>,</w:t>
      </w:r>
      <w:r w:rsidR="00854141">
        <w:t xml:space="preserve"> pretreatment related data contained in ICIS includes data concerning pretreatment programs, p</w:t>
      </w:r>
      <w:r w:rsidR="00854141" w:rsidRPr="00854141">
        <w:t xml:space="preserve">retreatment </w:t>
      </w:r>
      <w:r w:rsidR="00854141">
        <w:t>c</w:t>
      </w:r>
      <w:r w:rsidR="00854141" w:rsidRPr="00854141">
        <w:t xml:space="preserve">ompliance </w:t>
      </w:r>
      <w:r w:rsidR="00854141">
        <w:lastRenderedPageBreak/>
        <w:t>i</w:t>
      </w:r>
      <w:r w:rsidR="00854141" w:rsidRPr="00854141">
        <w:t>nspection</w:t>
      </w:r>
      <w:r w:rsidR="00854141">
        <w:t xml:space="preserve">s, and other program oversight related activities. Information concerning IUs overseen by the </w:t>
      </w:r>
      <w:r w:rsidR="0011793B">
        <w:t>s</w:t>
      </w:r>
      <w:r w:rsidR="00854141">
        <w:t xml:space="preserve">tate or EPA may also be included in ICIS. </w:t>
      </w:r>
      <w:r w:rsidR="00AD6ED3" w:rsidRPr="00AD6ED3">
        <w:t>P</w:t>
      </w:r>
      <w:r w:rsidR="009000A2">
        <w:t>retreatment program</w:t>
      </w:r>
      <w:r w:rsidR="0011793B">
        <w:t>-</w:t>
      </w:r>
      <w:r w:rsidR="009000A2">
        <w:t>related</w:t>
      </w:r>
      <w:r w:rsidR="00AD6ED3" w:rsidRPr="00AD6ED3">
        <w:t xml:space="preserve"> data can be accessed by the public in one of two ways: </w:t>
      </w:r>
    </w:p>
    <w:p w14:paraId="315AA39B" w14:textId="74E8BB9B" w:rsidR="00DA6FCE" w:rsidRDefault="00AD6ED3" w:rsidP="00DA6FCE">
      <w:pPr>
        <w:pStyle w:val="ListParagraph"/>
        <w:numPr>
          <w:ilvl w:val="0"/>
          <w:numId w:val="21"/>
        </w:numPr>
      </w:pPr>
      <w:r w:rsidRPr="00AD6ED3">
        <w:t xml:space="preserve">via an on-line query using EPA’s Envirofacts Data Warehouse and Applications website at http://www.epa.gov/enviro/index_java.html. Accessing data via Envirofacts provides a method to combine ICIS data with other </w:t>
      </w:r>
      <w:r w:rsidR="00DA6FCE">
        <w:t>EPA databases and mapping tools,</w:t>
      </w:r>
    </w:p>
    <w:p w14:paraId="3D1AA369" w14:textId="09D2C431" w:rsidR="007F2877" w:rsidRPr="00673714" w:rsidRDefault="00DA6FCE" w:rsidP="00DA6FCE">
      <w:pPr>
        <w:pStyle w:val="ListParagraph"/>
        <w:numPr>
          <w:ilvl w:val="0"/>
          <w:numId w:val="21"/>
        </w:numPr>
      </w:pPr>
      <w:r>
        <w:t xml:space="preserve">via </w:t>
      </w:r>
      <w:r w:rsidRPr="00DA6FCE">
        <w:t>the Freedom of Information Act (FOIA) by submitting a request to EPA</w:t>
      </w:r>
      <w:r w:rsidR="00E9524A">
        <w:t>,</w:t>
      </w:r>
      <w:r w:rsidRPr="00DA6FCE">
        <w:t xml:space="preserve"> the state</w:t>
      </w:r>
      <w:r w:rsidR="000C033E">
        <w:t>, or the POTW</w:t>
      </w:r>
      <w:r w:rsidRPr="00DA6FCE">
        <w:t>.</w:t>
      </w:r>
      <w:r w:rsidR="00C654EE">
        <w:br/>
      </w:r>
    </w:p>
    <w:p w14:paraId="41FBB921" w14:textId="77777777" w:rsidR="007F2877" w:rsidRDefault="007F2877" w:rsidP="007F2877">
      <w:pPr>
        <w:pStyle w:val="Heading2"/>
      </w:pPr>
      <w:bookmarkStart w:id="22" w:name="_Toc437867207"/>
      <w:r>
        <w:t xml:space="preserve">17. </w:t>
      </w:r>
      <w:r w:rsidRPr="00673714">
        <w:t>Explain any requests to not display the expiration date of OMB approval</w:t>
      </w:r>
      <w:bookmarkEnd w:id="22"/>
    </w:p>
    <w:p w14:paraId="55ECB0CE" w14:textId="0D256584" w:rsidR="00854141" w:rsidRDefault="00CC5D12" w:rsidP="00DA6FCE">
      <w:r w:rsidRPr="00CC5D12">
        <w:t xml:space="preserve"> EPA has not made a request regarding display of the expiration date.</w:t>
      </w:r>
    </w:p>
    <w:p w14:paraId="7447A30D" w14:textId="77777777" w:rsidR="00854141" w:rsidRPr="00854141" w:rsidRDefault="00854141" w:rsidP="00DA6FCE"/>
    <w:p w14:paraId="70F9F37D" w14:textId="77777777" w:rsidR="007F2877" w:rsidRDefault="007F2877" w:rsidP="007F2877">
      <w:pPr>
        <w:pStyle w:val="Heading2"/>
      </w:pPr>
      <w:bookmarkStart w:id="23" w:name="_Toc437867208"/>
      <w:r>
        <w:t xml:space="preserve">18. </w:t>
      </w:r>
      <w:r w:rsidRPr="00673714">
        <w:t>Explain any exceptions to the certification statement 5 CFR 1320.9, “Agency Certifications for Proposed Collections of Information.”</w:t>
      </w:r>
      <w:bookmarkEnd w:id="23"/>
    </w:p>
    <w:p w14:paraId="05D7B551" w14:textId="77777777" w:rsidR="00CC5D12" w:rsidRDefault="00CC5D12" w:rsidP="00CC5D12">
      <w:r w:rsidRPr="00CC5D12">
        <w:t xml:space="preserve"> The agency is able to certify compliance with all provisions under Item 19 of OMB Form 83-I.</w:t>
      </w:r>
      <w:r w:rsidR="007F2877" w:rsidRPr="00673714">
        <w:t>B.</w:t>
      </w:r>
    </w:p>
    <w:p w14:paraId="2CDCDD3B" w14:textId="77777777" w:rsidR="009C57FA" w:rsidRDefault="009C57FA" w:rsidP="00CC5D12"/>
    <w:p w14:paraId="31F216CA" w14:textId="59FD5494" w:rsidR="007F2877" w:rsidRDefault="00B612D8" w:rsidP="007F2877">
      <w:pPr>
        <w:pStyle w:val="Heading1"/>
      </w:pPr>
      <w:bookmarkStart w:id="24" w:name="_Toc437867209"/>
      <w:r>
        <w:t>B.</w:t>
      </w:r>
      <w:r w:rsidR="007F2877" w:rsidRPr="00673714">
        <w:t xml:space="preserve"> Statistical Methods</w:t>
      </w:r>
      <w:r w:rsidR="007F2877">
        <w:t xml:space="preserve"> </w:t>
      </w:r>
      <w:r w:rsidR="007F2877" w:rsidRPr="00673714">
        <w:t>(used for collection of information</w:t>
      </w:r>
      <w:r w:rsidR="00DA6FCE">
        <w:t xml:space="preserve"> </w:t>
      </w:r>
      <w:r w:rsidR="007F2877" w:rsidRPr="00673714">
        <w:t>employing statistical methods)</w:t>
      </w:r>
      <w:bookmarkEnd w:id="24"/>
    </w:p>
    <w:p w14:paraId="2F611BA6" w14:textId="17E226F5" w:rsidR="004D2C3E" w:rsidRPr="004D2C3E" w:rsidRDefault="00B612D8" w:rsidP="00DA6FCE">
      <w:r w:rsidRPr="00B612D8">
        <w:t>Statistical methods are not used with this collection.</w:t>
      </w:r>
    </w:p>
    <w:p w14:paraId="7722A4F3" w14:textId="77777777" w:rsidR="00DA6FCE" w:rsidRDefault="00DA6FCE">
      <w:pPr>
        <w:widowControl/>
        <w:autoSpaceDE/>
        <w:autoSpaceDN/>
        <w:adjustRightInd/>
        <w:spacing w:after="160" w:line="259" w:lineRule="auto"/>
        <w:rPr>
          <w:rFonts w:ascii="Arial" w:hAnsi="Arial" w:cs="Arial"/>
          <w:b/>
          <w:bCs/>
          <w:kern w:val="32"/>
          <w:sz w:val="32"/>
          <w:szCs w:val="32"/>
        </w:rPr>
      </w:pPr>
      <w:r>
        <w:br w:type="page"/>
      </w:r>
    </w:p>
    <w:p w14:paraId="35F66FA5" w14:textId="1CD9F394" w:rsidR="007D1395" w:rsidRDefault="00E75FA4" w:rsidP="00833EA0">
      <w:pPr>
        <w:pStyle w:val="Heading1"/>
      </w:pPr>
      <w:bookmarkStart w:id="25" w:name="_Toc437867210"/>
      <w:r w:rsidRPr="00E75FA4">
        <w:lastRenderedPageBreak/>
        <w:t xml:space="preserve">Appendix </w:t>
      </w:r>
      <w:r>
        <w:t>A</w:t>
      </w:r>
      <w:r w:rsidRPr="00E75FA4">
        <w:t xml:space="preserve"> - Description of the Information Collected and Methodology for Estimating Respondent Burden and Cost of Collection</w:t>
      </w:r>
      <w:bookmarkEnd w:id="25"/>
    </w:p>
    <w:p w14:paraId="44DA6260" w14:textId="77777777" w:rsidR="00C033F7" w:rsidRDefault="00C033F7" w:rsidP="00C033F7"/>
    <w:p w14:paraId="5CBFD472" w14:textId="108BC5B8" w:rsidR="00E75FA4" w:rsidRPr="00E53C89" w:rsidRDefault="00E75FA4" w:rsidP="00E75FA4">
      <w:pPr>
        <w:numPr>
          <w:ilvl w:val="12"/>
          <w:numId w:val="0"/>
        </w:numPr>
      </w:pPr>
      <w:r w:rsidRPr="00E53C89">
        <w:t xml:space="preserve">This </w:t>
      </w:r>
      <w:r w:rsidR="00970800">
        <w:t xml:space="preserve">appendix </w:t>
      </w:r>
      <w:r w:rsidRPr="00E53C89">
        <w:t xml:space="preserve">section </w:t>
      </w:r>
      <w:r w:rsidR="00124C8A">
        <w:t xml:space="preserve">provides the methodology for </w:t>
      </w:r>
      <w:r w:rsidRPr="00E53C89">
        <w:t>estimat</w:t>
      </w:r>
      <w:r w:rsidR="00124C8A">
        <w:t>ing</w:t>
      </w:r>
      <w:r w:rsidRPr="00E53C89">
        <w:t xml:space="preserve"> the burden and cost to states, POTWs, and IUs for complying with the National Pretreatment Program requirements </w:t>
      </w:r>
      <w:r w:rsidR="00124C8A">
        <w:t xml:space="preserve">summarized </w:t>
      </w:r>
      <w:r w:rsidRPr="00E53C89">
        <w:t xml:space="preserve">in </w:t>
      </w:r>
      <w:r w:rsidRPr="00970800">
        <w:t xml:space="preserve">section </w:t>
      </w:r>
      <w:r w:rsidR="00124C8A">
        <w:t>12</w:t>
      </w:r>
      <w:r w:rsidRPr="00970800">
        <w:t>. This</w:t>
      </w:r>
      <w:r w:rsidRPr="00E53C89">
        <w:t xml:space="preserve"> section also discusses the assumptions used to estimate costs and burden</w:t>
      </w:r>
      <w:r w:rsidR="00124C8A">
        <w:t xml:space="preserve">. </w:t>
      </w:r>
      <w:r w:rsidRPr="00970800">
        <w:t>Additional detail about assum</w:t>
      </w:r>
      <w:r w:rsidR="00483EFC">
        <w:t>ptions is provided in Appendix B</w:t>
      </w:r>
      <w:r w:rsidRPr="00970800">
        <w:t>. Detailed burden and cost calculations</w:t>
      </w:r>
      <w:r w:rsidR="00483EFC">
        <w:t xml:space="preserve"> are shown in Appendix C</w:t>
      </w:r>
      <w:r w:rsidRPr="00E53C89">
        <w:t>.</w:t>
      </w:r>
    </w:p>
    <w:p w14:paraId="464603F7" w14:textId="06F8B536" w:rsidR="00E75FA4" w:rsidRPr="00E53C89" w:rsidRDefault="00EF3D8A" w:rsidP="00E75FA4">
      <w:pPr>
        <w:pStyle w:val="Heading2"/>
        <w:tabs>
          <w:tab w:val="left" w:pos="1080"/>
        </w:tabs>
      </w:pPr>
      <w:bookmarkStart w:id="26" w:name="_Toc166405821"/>
      <w:bookmarkStart w:id="27" w:name="_Toc437867211"/>
      <w:r>
        <w:t>A</w:t>
      </w:r>
      <w:r w:rsidR="00B12B0D">
        <w:t>.1</w:t>
      </w:r>
      <w:r w:rsidR="00E75FA4" w:rsidRPr="00E53C89">
        <w:t>.</w:t>
      </w:r>
      <w:r w:rsidR="00E75FA4" w:rsidRPr="00E53C89">
        <w:tab/>
        <w:t>Respondent Burden</w:t>
      </w:r>
      <w:bookmarkEnd w:id="26"/>
      <w:bookmarkEnd w:id="27"/>
    </w:p>
    <w:p w14:paraId="0712E7D6" w14:textId="2A6169F4" w:rsidR="00E75FA4" w:rsidRPr="00E53C89" w:rsidRDefault="0079405E" w:rsidP="00E75FA4">
      <w:pPr>
        <w:keepNext/>
        <w:tabs>
          <w:tab w:val="left" w:pos="-1440"/>
        </w:tabs>
      </w:pPr>
      <w:r>
        <w:t>Changes related to</w:t>
      </w:r>
      <w:r w:rsidR="00DA6FCE">
        <w:t xml:space="preserve"> </w:t>
      </w:r>
      <w:r w:rsidR="00E75FA4" w:rsidRPr="00E53C89">
        <w:t xml:space="preserve">EPA’s Streamlining Rule </w:t>
      </w:r>
      <w:r>
        <w:t xml:space="preserve">were incorporated </w:t>
      </w:r>
      <w:r w:rsidR="0098730C">
        <w:t>into previous</w:t>
      </w:r>
      <w:r w:rsidR="007C0EEC">
        <w:t xml:space="preserve"> Pretreatment ICR</w:t>
      </w:r>
      <w:r w:rsidR="00DF1B87">
        <w:t>s</w:t>
      </w:r>
      <w:r w:rsidR="007C0EEC">
        <w:t xml:space="preserve"> and </w:t>
      </w:r>
      <w:r>
        <w:t xml:space="preserve">are </w:t>
      </w:r>
      <w:r w:rsidR="007C0EEC">
        <w:t>carried forward into this ICR</w:t>
      </w:r>
      <w:r w:rsidR="00E75FA4" w:rsidRPr="00E53C89">
        <w:t>. Specifically, the</w:t>
      </w:r>
      <w:r w:rsidR="00DA6FCE">
        <w:t xml:space="preserve"> Streamlining Rule enabled</w:t>
      </w:r>
      <w:r w:rsidR="00E75FA4" w:rsidRPr="00E53C89">
        <w:t xml:space="preserve"> CAs to designate certain NSCIUs and other CIUs as </w:t>
      </w:r>
      <w:r w:rsidR="00E75FA4" w:rsidRPr="00E53C89">
        <w:rPr>
          <w:i/>
        </w:rPr>
        <w:t>middle tier CIUs</w:t>
      </w:r>
      <w:r w:rsidR="00E75FA4" w:rsidRPr="00E53C89">
        <w:t>. Those CIUs designated as NSCIUs</w:t>
      </w:r>
      <w:r w:rsidR="00E75FA4">
        <w:t xml:space="preserve"> and</w:t>
      </w:r>
      <w:r w:rsidR="00E75FA4" w:rsidRPr="00E53C89">
        <w:t xml:space="preserve"> Middle tier CIUs may have reduced reporting burdens. Based on data from annual reports, award applications, public comments, and o</w:t>
      </w:r>
      <w:smartTag w:uri="urn:schemas-microsoft-com:office:smarttags" w:element="PersonName">
        <w:r w:rsidR="00E75FA4" w:rsidRPr="00E53C89">
          <w:t>the</w:t>
        </w:r>
      </w:smartTag>
      <w:r w:rsidR="00E75FA4" w:rsidRPr="00E53C89">
        <w:t xml:space="preserve">r EPA sources, </w:t>
      </w:r>
      <w:r w:rsidR="00E75FA4" w:rsidRPr="00003B41">
        <w:t>9.3</w:t>
      </w:r>
      <w:r w:rsidR="00C574A2">
        <w:rPr>
          <w:rStyle w:val="FootnoteReference"/>
        </w:rPr>
        <w:footnoteReference w:id="2"/>
      </w:r>
      <w:r w:rsidR="00E75FA4" w:rsidRPr="00003B41">
        <w:t xml:space="preserve"> percent of existing CIUs discharge more than 0 gpd, but less than 100 gpd. An additional 5.7</w:t>
      </w:r>
      <w:r w:rsidR="000C033E">
        <w:rPr>
          <w:vertAlign w:val="superscript"/>
        </w:rPr>
        <w:t>2</w:t>
      </w:r>
      <w:r w:rsidR="00E75FA4" w:rsidRPr="00E53C89">
        <w:t xml:space="preserve"> percent of existing CIUs are zero dischargers. Approximately 30</w:t>
      </w:r>
      <w:r>
        <w:rPr>
          <w:vertAlign w:val="superscript"/>
        </w:rPr>
        <w:t>2</w:t>
      </w:r>
      <w:r w:rsidR="00E75FA4" w:rsidRPr="00E53C89">
        <w:t xml:space="preserve"> percent of existing CIUs are assumed to have flows more than 100 gpd, but less than 5,000 gpd and less than 0.01 percent of their POTW’s design flow (referred to as </w:t>
      </w:r>
      <w:r w:rsidR="00E75FA4" w:rsidRPr="00E53C89">
        <w:rPr>
          <w:i/>
        </w:rPr>
        <w:t>middle tier CIUs</w:t>
      </w:r>
      <w:r w:rsidR="00E75FA4" w:rsidRPr="00E53C89">
        <w:t>).</w:t>
      </w:r>
      <w:r w:rsidR="00DA6FCE">
        <w:t xml:space="preserve"> EPA developed these estimates for a previous ICR and did not attempt to recalculate the numbers</w:t>
      </w:r>
      <w:r w:rsidR="00C574A2">
        <w:t xml:space="preserve"> as there is no indication these assumptions are incorrect or require revision</w:t>
      </w:r>
    </w:p>
    <w:p w14:paraId="7B54ACB1" w14:textId="77777777" w:rsidR="00E75FA4" w:rsidRPr="00E53C89" w:rsidRDefault="00E75FA4" w:rsidP="00E75FA4">
      <w:pPr>
        <w:tabs>
          <w:tab w:val="left" w:pos="-1440"/>
        </w:tabs>
      </w:pPr>
    </w:p>
    <w:p w14:paraId="7A720C17" w14:textId="520F8915" w:rsidR="00E75FA4" w:rsidRPr="00E53C89" w:rsidRDefault="00E75FA4" w:rsidP="00E75FA4">
      <w:pPr>
        <w:keepNext/>
        <w:tabs>
          <w:tab w:val="left" w:pos="-1440"/>
        </w:tabs>
      </w:pPr>
      <w:r w:rsidRPr="00E53C89">
        <w:t>Based on discussions between EPA OWM and EPA regional staff, all zero-discharging CIUs may be considered NSCIUs. Based on data collected from eight POTW programs, EPA estimates that 71</w:t>
      </w:r>
      <w:r w:rsidR="0079405E">
        <w:rPr>
          <w:vertAlign w:val="superscript"/>
        </w:rPr>
        <w:t>2</w:t>
      </w:r>
      <w:r w:rsidRPr="00E53C89">
        <w:t xml:space="preserve"> percent of small CIUs currently monitor more frequently than the minimum requirement of twice a year. Therefore, this ICR assumes that the monitoring and reporting frequency will not change for IUs that already monitor and report more frequently than the current minimum requirement</w:t>
      </w:r>
      <w:r w:rsidR="003F03FA">
        <w:t xml:space="preserve"> (</w:t>
      </w:r>
      <w:r w:rsidRPr="00E53C89">
        <w:t>twice a year</w:t>
      </w:r>
      <w:r w:rsidR="003F03FA">
        <w:t>)</w:t>
      </w:r>
      <w:r w:rsidRPr="00E53C89">
        <w:t xml:space="preserve">. In addition, EPA estimates that CAs will not reduce </w:t>
      </w:r>
      <w:smartTag w:uri="urn:schemas-microsoft-com:office:smarttags" w:element="PersonName">
        <w:r w:rsidRPr="00E53C89">
          <w:t>the</w:t>
        </w:r>
      </w:smartTag>
      <w:r w:rsidRPr="00E53C89">
        <w:t xml:space="preserve"> frequency with which </w:t>
      </w:r>
      <w:smartTag w:uri="urn:schemas-microsoft-com:office:smarttags" w:element="PersonName">
        <w:r w:rsidRPr="00E53C89">
          <w:t>the</w:t>
        </w:r>
      </w:smartTag>
      <w:r w:rsidRPr="00E53C89">
        <w:t xml:space="preserve">y issue permits, monitor, or conduct inspections for </w:t>
      </w:r>
      <w:smartTag w:uri="urn:schemas-microsoft-com:office:smarttags" w:element="PersonName">
        <w:r w:rsidRPr="00E53C89">
          <w:t>the</w:t>
        </w:r>
      </w:smartTag>
      <w:r w:rsidRPr="00E53C89">
        <w:t>se systems (i.e., 71 percent of small CIUs). NSCIUs (the remaining 29 percent along with all zero-discharging CIUs) will complete annual certifications in lieu of annual monitoring and reporting. To ga</w:t>
      </w:r>
      <w:smartTag w:uri="urn:schemas-microsoft-com:office:smarttags" w:element="PersonName">
        <w:r w:rsidRPr="00E53C89">
          <w:t>the</w:t>
        </w:r>
      </w:smartTag>
      <w:r w:rsidRPr="00E53C89">
        <w:t xml:space="preserve">r data to complete this certification, IUs with flows greater than zero will monitor once every 5 years, on average. CAs will discontinue control mechanism issuance and formal inspections for this 29 percent of NSCIUs with flows greater than zero (along with all zero-discharging CIUs); instead, CAs will conduct an annual 2-hour evaluation, as required by </w:t>
      </w:r>
      <w:smartTag w:uri="urn:schemas-microsoft-com:office:smarttags" w:element="PersonName">
        <w:r w:rsidRPr="00E53C89">
          <w:t>the</w:t>
        </w:r>
      </w:smartTag>
      <w:r w:rsidRPr="00E53C89">
        <w:t xml:space="preserve"> revised regulations.</w:t>
      </w:r>
    </w:p>
    <w:p w14:paraId="0446D00F" w14:textId="77777777" w:rsidR="00E75FA4" w:rsidRPr="00E53C89" w:rsidRDefault="00E75FA4" w:rsidP="00E75FA4">
      <w:pPr>
        <w:tabs>
          <w:tab w:val="left" w:pos="-1440"/>
        </w:tabs>
      </w:pPr>
    </w:p>
    <w:p w14:paraId="2BA8931C" w14:textId="390AC0B9" w:rsidR="00E75FA4" w:rsidRPr="00E53C89" w:rsidRDefault="00E75FA4" w:rsidP="00E75FA4">
      <w:pPr>
        <w:tabs>
          <w:tab w:val="left" w:pos="-1440"/>
        </w:tabs>
      </w:pPr>
      <w:r w:rsidRPr="00E53C89">
        <w:t>EPA estimates that 29 percent of the middle tier CIUs will be authorized to reduce their monitoring and reporting requirements from semiannually to annually. This estimate is based on the estimate that 71</w:t>
      </w:r>
      <w:r w:rsidR="0079405E">
        <w:rPr>
          <w:vertAlign w:val="superscript"/>
        </w:rPr>
        <w:t>2</w:t>
      </w:r>
      <w:r w:rsidRPr="00E53C89">
        <w:t xml:space="preserve"> percent are currently subject to monitoring and reporting requirements that exceed the minimum requirements. In addition, this ICR assumes that for 29 percent of potential </w:t>
      </w:r>
      <w:r w:rsidRPr="00E53C89">
        <w:lastRenderedPageBreak/>
        <w:t>middle tier CIUs, CAs will reduce inspections to once every 2 years instead of once a year.</w:t>
      </w:r>
    </w:p>
    <w:p w14:paraId="7D2073D5" w14:textId="77777777" w:rsidR="00E75FA4" w:rsidRPr="00E53C89" w:rsidRDefault="00E75FA4" w:rsidP="00E75FA4">
      <w:pPr>
        <w:tabs>
          <w:tab w:val="left" w:pos="-1440"/>
        </w:tabs>
      </w:pPr>
    </w:p>
    <w:p w14:paraId="6108AA56" w14:textId="46E127E1" w:rsidR="00E75FA4" w:rsidRPr="00E53C89" w:rsidRDefault="00E75FA4" w:rsidP="00E75FA4">
      <w:pPr>
        <w:tabs>
          <w:tab w:val="left" w:pos="-1440"/>
        </w:tabs>
      </w:pPr>
      <w:r w:rsidRPr="00E53C89">
        <w:t xml:space="preserve">The Streamlining Rule </w:t>
      </w:r>
      <w:r w:rsidR="00742E1E">
        <w:t>(</w:t>
      </w:r>
      <w:r w:rsidR="00DF1B87">
        <w:t>incorporated into previous Pretreatment ICRs</w:t>
      </w:r>
      <w:r w:rsidR="00742E1E">
        <w:t>)</w:t>
      </w:r>
      <w:r w:rsidR="00DF1B87">
        <w:t xml:space="preserve"> </w:t>
      </w:r>
      <w:r w:rsidRPr="00E53C89">
        <w:t>also enable</w:t>
      </w:r>
      <w:r w:rsidR="00DF1B87">
        <w:t>d</w:t>
      </w:r>
      <w:r w:rsidRPr="00E53C89">
        <w:t xml:space="preserve"> zero-discharging CIUs that previously reported data semiannually to instead conduct an annual certification. CAs, in turn, shift</w:t>
      </w:r>
      <w:r w:rsidR="00DF1B87">
        <w:t>ed</w:t>
      </w:r>
      <w:r w:rsidRPr="00E53C89">
        <w:t xml:space="preserve"> from issuing control mechanisms and conducting annual inspections of these facilities to conducting an annual evaluation. </w:t>
      </w:r>
      <w:r>
        <w:t>EPA estimates that the burden for this evaluation to be 2 hours.</w:t>
      </w:r>
    </w:p>
    <w:p w14:paraId="247B9E1B" w14:textId="36BFA87F" w:rsidR="00E75FA4" w:rsidRPr="00E53C89" w:rsidRDefault="00EF3D8A" w:rsidP="00E75FA4">
      <w:pPr>
        <w:pStyle w:val="Heading3"/>
        <w:tabs>
          <w:tab w:val="left" w:pos="1080"/>
        </w:tabs>
      </w:pPr>
      <w:bookmarkStart w:id="28" w:name="_Toc166405822"/>
      <w:bookmarkStart w:id="29" w:name="_Toc437867212"/>
      <w:r>
        <w:t>A</w:t>
      </w:r>
      <w:r w:rsidR="00B12B0D">
        <w:t>.1.1</w:t>
      </w:r>
      <w:r w:rsidR="00E75FA4" w:rsidRPr="00E53C89">
        <w:t>.</w:t>
      </w:r>
      <w:r w:rsidR="00E75FA4" w:rsidRPr="00E53C89">
        <w:tab/>
        <w:t>Burden to States</w:t>
      </w:r>
      <w:bookmarkEnd w:id="28"/>
      <w:bookmarkEnd w:id="29"/>
    </w:p>
    <w:p w14:paraId="356D24C3" w14:textId="3F7CC0E2" w:rsidR="00E75FA4" w:rsidRPr="00E53C89" w:rsidRDefault="00CD2DD3" w:rsidP="00E75FA4">
      <w:pPr>
        <w:numPr>
          <w:ilvl w:val="12"/>
          <w:numId w:val="0"/>
        </w:numPr>
      </w:pPr>
      <w:r w:rsidRPr="007B1DEF">
        <w:t>Table</w:t>
      </w:r>
      <w:r w:rsidR="00E75FA4" w:rsidRPr="007B1DEF">
        <w:t xml:space="preserve"> </w:t>
      </w:r>
      <w:r w:rsidR="006458E0" w:rsidRPr="007B1DEF">
        <w:t>A.</w:t>
      </w:r>
      <w:r>
        <w:t>1</w:t>
      </w:r>
      <w:r w:rsidR="00E75FA4" w:rsidRPr="00E53C89">
        <w:t xml:space="preserve"> at the end of </w:t>
      </w:r>
      <w:r w:rsidR="006458E0">
        <w:t xml:space="preserve">this </w:t>
      </w:r>
      <w:r w:rsidR="00E75FA4" w:rsidRPr="00E53C89">
        <w:t xml:space="preserve">section shows the annual burden hours on an activity-specific basis, and Appendix </w:t>
      </w:r>
      <w:r w:rsidR="005F6307">
        <w:t>B</w:t>
      </w:r>
      <w:r w:rsidR="00E75FA4" w:rsidRPr="00E53C89">
        <w:t xml:space="preserve"> summarizes the assumptions EPA made in developing the estimates. The following paragraphs briefly describe </w:t>
      </w:r>
      <w:smartTag w:uri="urn:schemas-microsoft-com:office:smarttags" w:element="PersonName">
        <w:r w:rsidR="00E75FA4" w:rsidRPr="00E53C89">
          <w:t>the</w:t>
        </w:r>
      </w:smartTag>
      <w:r w:rsidR="00E75FA4" w:rsidRPr="00E53C89">
        <w:t xml:space="preserve"> bases for </w:t>
      </w:r>
      <w:smartTag w:uri="urn:schemas-microsoft-com:office:smarttags" w:element="PersonName">
        <w:r w:rsidR="00E75FA4" w:rsidRPr="00E53C89">
          <w:t>the</w:t>
        </w:r>
      </w:smartTag>
      <w:r w:rsidR="00E75FA4" w:rsidRPr="00E53C89">
        <w:t xml:space="preserve"> burden estimates.</w:t>
      </w:r>
    </w:p>
    <w:p w14:paraId="37281419" w14:textId="77777777" w:rsidR="00E75FA4" w:rsidRPr="00E53C89" w:rsidRDefault="00E75FA4" w:rsidP="00E75FA4">
      <w:pPr>
        <w:numPr>
          <w:ilvl w:val="12"/>
          <w:numId w:val="0"/>
        </w:numPr>
      </w:pPr>
    </w:p>
    <w:p w14:paraId="1797D2F5" w14:textId="77777777" w:rsidR="00E75FA4" w:rsidRPr="00E53C89" w:rsidRDefault="00E75FA4" w:rsidP="00E75FA4">
      <w:pPr>
        <w:keepNext/>
        <w:numPr>
          <w:ilvl w:val="12"/>
          <w:numId w:val="0"/>
        </w:numPr>
        <w:rPr>
          <w:rFonts w:ascii="Arial" w:hAnsi="Arial" w:cs="Arial"/>
        </w:rPr>
      </w:pPr>
      <w:r w:rsidRPr="00E53C89">
        <w:rPr>
          <w:b/>
          <w:bCs/>
        </w:rPr>
        <w:tab/>
      </w:r>
      <w:r w:rsidRPr="00E53C89">
        <w:rPr>
          <w:rFonts w:ascii="Arial" w:hAnsi="Arial" w:cs="Arial"/>
          <w:b/>
          <w:bCs/>
          <w:u w:val="single"/>
        </w:rPr>
        <w:t>Program Development</w:t>
      </w:r>
    </w:p>
    <w:p w14:paraId="3684CC9C" w14:textId="77777777" w:rsidR="00E75FA4" w:rsidRPr="00E53C89" w:rsidRDefault="00E75FA4" w:rsidP="00E75FA4">
      <w:pPr>
        <w:keepNext/>
        <w:numPr>
          <w:ilvl w:val="12"/>
          <w:numId w:val="0"/>
        </w:numPr>
        <w:spacing w:before="120" w:after="120"/>
      </w:pPr>
      <w:r w:rsidRPr="00E53C89">
        <w:tab/>
      </w:r>
      <w:bookmarkStart w:id="30" w:name="OLE_LINK1"/>
      <w:bookmarkStart w:id="31" w:name="OLE_LINK2"/>
      <w:r w:rsidRPr="00E53C89">
        <w:rPr>
          <w:b/>
          <w:bCs/>
          <w:i/>
          <w:iCs/>
        </w:rPr>
        <w:t>State Pretreatment Program Approval Request</w:t>
      </w:r>
      <w:bookmarkEnd w:id="30"/>
      <w:bookmarkEnd w:id="31"/>
    </w:p>
    <w:p w14:paraId="1FAA3AB7" w14:textId="2F50B4AB" w:rsidR="00E75FA4" w:rsidRPr="00E53C89" w:rsidRDefault="00E75FA4" w:rsidP="00E75FA4">
      <w:pPr>
        <w:numPr>
          <w:ilvl w:val="12"/>
          <w:numId w:val="0"/>
        </w:numPr>
        <w:ind w:left="720"/>
      </w:pPr>
      <w:r w:rsidRPr="00E53C89">
        <w:t xml:space="preserve">Pursuant to consultation with the National Pretreatment Coordinator and EPA </w:t>
      </w:r>
      <w:r w:rsidR="00CD6D56">
        <w:t>Regional Office</w:t>
      </w:r>
      <w:r w:rsidRPr="00E53C89">
        <w:t>s, EPA anticipate</w:t>
      </w:r>
      <w:r w:rsidR="00DF09C1">
        <w:t xml:space="preserve">s one </w:t>
      </w:r>
      <w:r w:rsidRPr="00E53C89">
        <w:t xml:space="preserve">state </w:t>
      </w:r>
      <w:r w:rsidR="00DF09C1">
        <w:t xml:space="preserve">will </w:t>
      </w:r>
      <w:r w:rsidRPr="00E53C89">
        <w:t xml:space="preserve">seek pretreatment program authority during this 3-year ICR period. </w:t>
      </w:r>
    </w:p>
    <w:p w14:paraId="609B413D" w14:textId="77777777" w:rsidR="00E75FA4" w:rsidRPr="00E53C89" w:rsidRDefault="00E75FA4" w:rsidP="00E75FA4">
      <w:pPr>
        <w:numPr>
          <w:ilvl w:val="12"/>
          <w:numId w:val="0"/>
        </w:numPr>
      </w:pPr>
    </w:p>
    <w:p w14:paraId="3F22BB4B" w14:textId="77777777" w:rsidR="00E75FA4" w:rsidRPr="00E53C89" w:rsidRDefault="00E75FA4" w:rsidP="00E75FA4">
      <w:pPr>
        <w:keepNext/>
        <w:keepLines/>
        <w:numPr>
          <w:ilvl w:val="12"/>
          <w:numId w:val="0"/>
        </w:numPr>
        <w:rPr>
          <w:rFonts w:ascii="Arial" w:hAnsi="Arial" w:cs="Arial"/>
        </w:rPr>
      </w:pPr>
      <w:r w:rsidRPr="00E53C89">
        <w:tab/>
      </w:r>
      <w:r w:rsidRPr="00E53C89">
        <w:rPr>
          <w:rFonts w:ascii="Arial" w:hAnsi="Arial" w:cs="Arial"/>
          <w:b/>
          <w:bCs/>
          <w:u w:val="single"/>
        </w:rPr>
        <w:t>Program Implementation</w:t>
      </w:r>
    </w:p>
    <w:p w14:paraId="327808EF" w14:textId="77777777" w:rsidR="00E75FA4" w:rsidRPr="00E53C89" w:rsidRDefault="00E75FA4" w:rsidP="00E75FA4">
      <w:pPr>
        <w:keepNext/>
        <w:keepLines/>
        <w:numPr>
          <w:ilvl w:val="12"/>
          <w:numId w:val="0"/>
        </w:numPr>
        <w:spacing w:before="120" w:after="120"/>
      </w:pPr>
      <w:r w:rsidRPr="00E53C89">
        <w:tab/>
      </w:r>
      <w:r w:rsidRPr="00E53C89">
        <w:rPr>
          <w:b/>
          <w:bCs/>
          <w:i/>
          <w:iCs/>
        </w:rPr>
        <w:t>Issuance of SIU Discharge Permits</w:t>
      </w:r>
      <w:r w:rsidRPr="00E53C89">
        <w:t xml:space="preserve"> </w:t>
      </w:r>
    </w:p>
    <w:p w14:paraId="41FB86C0" w14:textId="07E8D2D4" w:rsidR="00E75FA4" w:rsidRPr="00E53C89" w:rsidRDefault="00E75FA4" w:rsidP="00E75FA4">
      <w:pPr>
        <w:numPr>
          <w:ilvl w:val="12"/>
          <w:numId w:val="0"/>
        </w:numPr>
        <w:ind w:left="720"/>
      </w:pPr>
      <w:r w:rsidRPr="00E53C89">
        <w:t xml:space="preserve">EPA assumes that all approved pretreatment states (36) will issue some permits to SIUs. EPA assumes that some of these states might issue general control mechanisms in place of individual permits. </w:t>
      </w:r>
      <w:r>
        <w:t>T</w:t>
      </w:r>
      <w:r w:rsidRPr="00E53C89">
        <w:t xml:space="preserve">he number of responses per year is calculated based on </w:t>
      </w:r>
      <w:r>
        <w:t xml:space="preserve">information submitted by states and EPA </w:t>
      </w:r>
      <w:r w:rsidR="006569D0">
        <w:t>R</w:t>
      </w:r>
      <w:r>
        <w:t xml:space="preserve">egions </w:t>
      </w:r>
      <w:r w:rsidRPr="00E53C89">
        <w:t>that</w:t>
      </w:r>
      <w:r>
        <w:t xml:space="preserve"> indicate that</w:t>
      </w:r>
      <w:r w:rsidRPr="00E53C89">
        <w:t xml:space="preserve"> states directly </w:t>
      </w:r>
      <w:r w:rsidRPr="008D03D0">
        <w:t xml:space="preserve">regulate </w:t>
      </w:r>
      <w:r w:rsidR="00924FEB" w:rsidRPr="008D03D0">
        <w:t>8.5</w:t>
      </w:r>
      <w:r w:rsidR="007F1D30" w:rsidRPr="008D03D0">
        <w:t xml:space="preserve"> </w:t>
      </w:r>
      <w:r w:rsidRPr="008D03D0">
        <w:t>percent</w:t>
      </w:r>
      <w:r w:rsidRPr="00E53C89">
        <w:t xml:space="preserve"> of all SIUs. (See Appendix </w:t>
      </w:r>
      <w:r w:rsidR="00483EFC">
        <w:t>B</w:t>
      </w:r>
      <w:r w:rsidRPr="00E53C89">
        <w:t xml:space="preserve"> for additional information about this assumption.) CAs will no longer be required to issue permits to NSCIUs. Because some SIUs can now be regulated with general control mechanisms, EPA estimates that 2 percent of SIUs will no longer require an individual permit. Thus, the number of responses for each state </w:t>
      </w:r>
      <w:r w:rsidR="00BA5FB9">
        <w:t>was reduced</w:t>
      </w:r>
      <w:r w:rsidRPr="00E53C89">
        <w:t xml:space="preserve"> by 2 percent. EPA also estimates that it takes 20 burden hours for a CA to issue a discharge permit; this estimate is carried forward in this ICR.</w:t>
      </w:r>
    </w:p>
    <w:p w14:paraId="696D49FE" w14:textId="77777777" w:rsidR="00E75FA4" w:rsidRPr="00E53C89" w:rsidRDefault="00E75FA4" w:rsidP="00E75FA4">
      <w:pPr>
        <w:numPr>
          <w:ilvl w:val="12"/>
          <w:numId w:val="0"/>
        </w:numPr>
        <w:spacing w:before="120" w:after="120"/>
      </w:pPr>
      <w:r w:rsidRPr="00E53C89">
        <w:tab/>
      </w:r>
      <w:bookmarkStart w:id="32" w:name="OLE_LINK12"/>
      <w:bookmarkStart w:id="33" w:name="OLE_LINK13"/>
      <w:r w:rsidRPr="00E53C89">
        <w:rPr>
          <w:b/>
          <w:bCs/>
          <w:i/>
          <w:iCs/>
        </w:rPr>
        <w:t>Inspection and Sampling of SIUs</w:t>
      </w:r>
      <w:r w:rsidRPr="00E53C89">
        <w:t xml:space="preserve"> </w:t>
      </w:r>
      <w:bookmarkEnd w:id="32"/>
      <w:bookmarkEnd w:id="33"/>
    </w:p>
    <w:p w14:paraId="20BC71BD" w14:textId="09ECD18E" w:rsidR="00E75FA4" w:rsidRPr="00E53C89" w:rsidRDefault="00E75FA4" w:rsidP="00E75FA4">
      <w:pPr>
        <w:numPr>
          <w:ilvl w:val="12"/>
          <w:numId w:val="0"/>
        </w:numPr>
        <w:ind w:left="720"/>
      </w:pPr>
      <w:r w:rsidRPr="00E53C89">
        <w:rPr>
          <w:u w:val="single"/>
        </w:rPr>
        <w:t>Inspection</w:t>
      </w:r>
      <w:r w:rsidRPr="00E53C89">
        <w:t xml:space="preserve">:  EPA estimates that all </w:t>
      </w:r>
      <w:r w:rsidRPr="009A5D71">
        <w:t>36</w:t>
      </w:r>
      <w:r w:rsidRPr="00E53C89">
        <w:t xml:space="preserve"> pretreatment states will provide oversight for some SIUs. This ICR assumes 8 burden hours to perform one inspection per year </w:t>
      </w:r>
      <w:r w:rsidRPr="008D03D0">
        <w:t xml:space="preserve">for </w:t>
      </w:r>
      <w:r w:rsidR="00924FEB" w:rsidRPr="008D03D0">
        <w:t>8.5</w:t>
      </w:r>
      <w:r w:rsidRPr="00E53C89">
        <w:t xml:space="preserve"> percent of all SIUs. Middle-Tier SIUs will be inspected less frequently (every other year instead of every year). This includes </w:t>
      </w:r>
      <w:smartTag w:uri="urn:schemas-microsoft-com:office:smarttags" w:element="PersonName">
        <w:r w:rsidRPr="00E53C89">
          <w:t>the</w:t>
        </w:r>
      </w:smartTag>
      <w:r w:rsidRPr="00E53C89">
        <w:t xml:space="preserve"> time necessary to collect an effluent sample.</w:t>
      </w:r>
    </w:p>
    <w:p w14:paraId="786418AD" w14:textId="77777777" w:rsidR="00E75FA4" w:rsidRPr="00E53C89" w:rsidRDefault="00E75FA4" w:rsidP="00E75FA4">
      <w:pPr>
        <w:numPr>
          <w:ilvl w:val="12"/>
          <w:numId w:val="0"/>
        </w:numPr>
        <w:ind w:left="720"/>
      </w:pPr>
    </w:p>
    <w:p w14:paraId="3313ADD1" w14:textId="5D2FF373" w:rsidR="00E75FA4" w:rsidRPr="00E53C89" w:rsidRDefault="00E75FA4" w:rsidP="00E75FA4">
      <w:pPr>
        <w:numPr>
          <w:ilvl w:val="12"/>
          <w:numId w:val="0"/>
        </w:numPr>
        <w:ind w:left="720"/>
        <w:rPr>
          <w:u w:val="single"/>
        </w:rPr>
      </w:pPr>
      <w:r w:rsidRPr="00E53C89">
        <w:rPr>
          <w:u w:val="single"/>
        </w:rPr>
        <w:t>Sampling and Analysis</w:t>
      </w:r>
      <w:r w:rsidRPr="00E53C89">
        <w:t xml:space="preserve">: All pretreatment states are assumed to perform in-house analyses for the SIUs that they regulate. This ICR estimates an average sample analysis burden of 15.2 hours. This burden was estimated based on regional feedback during the development of the ICR for the Streamlining Rule, and it is carried forward </w:t>
      </w:r>
      <w:r w:rsidR="004D702D">
        <w:t xml:space="preserve">from previous </w:t>
      </w:r>
      <w:r w:rsidRPr="00E53C89">
        <w:t>ICR</w:t>
      </w:r>
      <w:r w:rsidR="004D702D">
        <w:t>s</w:t>
      </w:r>
      <w:r w:rsidRPr="00E53C89">
        <w:t xml:space="preserve">. </w:t>
      </w:r>
      <w:r w:rsidR="007C0EEC">
        <w:t>P</w:t>
      </w:r>
      <w:r w:rsidR="007C0EEC" w:rsidRPr="007C0EEC">
        <w:t>esticide formulating, packaging, and repackaging (PFPR) industry</w:t>
      </w:r>
      <w:r w:rsidRPr="00E53C89">
        <w:t xml:space="preserve"> facilities opting for the pollution prevention option are excluded because there are no </w:t>
      </w:r>
      <w:r w:rsidRPr="00E53C89">
        <w:lastRenderedPageBreak/>
        <w:t>monitoring requirements.</w:t>
      </w:r>
    </w:p>
    <w:p w14:paraId="15000644" w14:textId="77777777" w:rsidR="00E75FA4" w:rsidRPr="00E53C89" w:rsidRDefault="00E75FA4" w:rsidP="00E75FA4">
      <w:pPr>
        <w:keepNext/>
        <w:keepLines/>
        <w:numPr>
          <w:ilvl w:val="12"/>
          <w:numId w:val="0"/>
        </w:numPr>
        <w:spacing w:before="120" w:after="120"/>
      </w:pPr>
      <w:r w:rsidRPr="00E53C89">
        <w:tab/>
      </w:r>
      <w:r w:rsidRPr="00E53C89">
        <w:rPr>
          <w:b/>
          <w:bCs/>
          <w:i/>
          <w:iCs/>
        </w:rPr>
        <w:t>Public Notification of Significant Noncompliance</w:t>
      </w:r>
    </w:p>
    <w:p w14:paraId="3CFD224A" w14:textId="744F13D8" w:rsidR="00E75FA4" w:rsidRPr="00E53C89" w:rsidRDefault="00E75FA4" w:rsidP="00E75FA4">
      <w:pPr>
        <w:numPr>
          <w:ilvl w:val="12"/>
          <w:numId w:val="0"/>
        </w:numPr>
        <w:ind w:left="720"/>
      </w:pPr>
      <w:r w:rsidRPr="00E53C89">
        <w:t xml:space="preserve">In this ICR, EPA estimates that only </w:t>
      </w:r>
      <w:smartTag w:uri="urn:schemas-microsoft-com:office:smarttags" w:element="PersonName">
        <w:r w:rsidRPr="00E53C89">
          <w:t>the</w:t>
        </w:r>
      </w:smartTag>
      <w:r w:rsidRPr="00E53C89">
        <w:t xml:space="preserve"> five states that directly implement </w:t>
      </w:r>
      <w:smartTag w:uri="urn:schemas-microsoft-com:office:smarttags" w:element="PersonName">
        <w:r w:rsidRPr="00E53C89">
          <w:t>the</w:t>
        </w:r>
      </w:smartTag>
      <w:r w:rsidRPr="00E53C89">
        <w:t xml:space="preserve"> pretreatment program at </w:t>
      </w:r>
      <w:smartTag w:uri="urn:schemas-microsoft-com:office:smarttags" w:element="PersonName">
        <w:r w:rsidRPr="00E53C89">
          <w:t>the</w:t>
        </w:r>
      </w:smartTag>
      <w:r w:rsidRPr="00E53C89">
        <w:t xml:space="preserve"> local level (40 CFR 403.10(e) states) will be required to publish notices of SNC for </w:t>
      </w:r>
      <w:smartTag w:uri="urn:schemas-microsoft-com:office:smarttags" w:element="PersonName">
        <w:r w:rsidRPr="00E53C89">
          <w:t>the</w:t>
        </w:r>
      </w:smartTag>
      <w:r w:rsidRPr="00E53C89">
        <w:t xml:space="preserve">ir POTWs. EPA estimates that, on average, approximately </w:t>
      </w:r>
      <w:r w:rsidRPr="006569D0">
        <w:t>1</w:t>
      </w:r>
      <w:r w:rsidR="00AF13AD">
        <w:t>7</w:t>
      </w:r>
      <w:r w:rsidRPr="00E53C89">
        <w:t xml:space="preserve"> POTWs per state (a total of </w:t>
      </w:r>
      <w:r w:rsidR="009A5D71" w:rsidRPr="006569D0">
        <w:t>8</w:t>
      </w:r>
      <w:r w:rsidR="00AF13AD">
        <w:t>5</w:t>
      </w:r>
      <w:r w:rsidRPr="00E53C89">
        <w:t xml:space="preserve"> POTWs in the five 403.10(e) states) receive discharges from SIUs. One-third of the POTWs in these states (approximately </w:t>
      </w:r>
      <w:r w:rsidR="009A5D71" w:rsidRPr="006569D0">
        <w:t>2</w:t>
      </w:r>
      <w:r w:rsidR="00AF13AD">
        <w:t>8</w:t>
      </w:r>
      <w:r w:rsidRPr="00E53C89">
        <w:t xml:space="preserve"> POTWs, or </w:t>
      </w:r>
      <w:r w:rsidR="009A5D71" w:rsidRPr="006569D0">
        <w:t>5.</w:t>
      </w:r>
      <w:r w:rsidR="00AF13AD">
        <w:t>6</w:t>
      </w:r>
      <w:r w:rsidRPr="00E53C89">
        <w:t xml:space="preserve"> per state) are estimated to have SIUs in SNC in a given year. EPA estimates that 3 burden hours are required to complete this activity. </w:t>
      </w:r>
    </w:p>
    <w:p w14:paraId="56194494" w14:textId="77777777" w:rsidR="00E75FA4" w:rsidRPr="00E53C89" w:rsidRDefault="00E75FA4" w:rsidP="00E75FA4">
      <w:pPr>
        <w:keepNext/>
        <w:numPr>
          <w:ilvl w:val="12"/>
          <w:numId w:val="0"/>
        </w:numPr>
        <w:spacing w:before="120" w:after="120"/>
      </w:pPr>
      <w:r w:rsidRPr="00E53C89">
        <w:tab/>
      </w:r>
      <w:r w:rsidRPr="00E53C89">
        <w:rPr>
          <w:b/>
          <w:bCs/>
          <w:i/>
          <w:iCs/>
        </w:rPr>
        <w:t xml:space="preserve">Evaluation of </w:t>
      </w:r>
      <w:smartTag w:uri="urn:schemas-microsoft-com:office:smarttags" w:element="PersonName">
        <w:r w:rsidRPr="00E53C89">
          <w:rPr>
            <w:b/>
            <w:bCs/>
            <w:i/>
            <w:iCs/>
          </w:rPr>
          <w:t>the</w:t>
        </w:r>
      </w:smartTag>
      <w:r w:rsidRPr="00E53C89">
        <w:rPr>
          <w:b/>
          <w:bCs/>
          <w:i/>
          <w:iCs/>
        </w:rPr>
        <w:t xml:space="preserve"> Need to Revise Local Limits</w:t>
      </w:r>
      <w:r w:rsidRPr="00E53C89">
        <w:t xml:space="preserve"> </w:t>
      </w:r>
    </w:p>
    <w:p w14:paraId="2268B77C" w14:textId="18B94599" w:rsidR="00E75FA4" w:rsidRPr="00E53C89" w:rsidRDefault="00E75FA4" w:rsidP="00E75FA4">
      <w:pPr>
        <w:numPr>
          <w:ilvl w:val="12"/>
          <w:numId w:val="0"/>
        </w:numPr>
        <w:ind w:left="720"/>
      </w:pPr>
      <w:r w:rsidRPr="00E53C89">
        <w:t xml:space="preserve">This ICR assumes that only </w:t>
      </w:r>
      <w:smartTag w:uri="urn:schemas-microsoft-com:office:smarttags" w:element="PersonName">
        <w:r w:rsidRPr="00E53C89">
          <w:t>the</w:t>
        </w:r>
      </w:smartTag>
      <w:r w:rsidRPr="00E53C89">
        <w:t xml:space="preserve"> five 40 CFR 403.10(e) states will be required to develop local limits for </w:t>
      </w:r>
      <w:smartTag w:uri="urn:schemas-microsoft-com:office:smarttags" w:element="PersonName">
        <w:r w:rsidRPr="00E53C89">
          <w:t>the</w:t>
        </w:r>
      </w:smartTag>
      <w:r w:rsidRPr="00E53C89">
        <w:t>ir POTWs. Each POTW for which the state has assumed CA responsibility (</w:t>
      </w:r>
      <w:r w:rsidR="00CA1498" w:rsidRPr="006569D0">
        <w:t>8</w:t>
      </w:r>
      <w:r w:rsidR="00AF13AD">
        <w:t>5</w:t>
      </w:r>
      <w:r w:rsidRPr="00E53C89">
        <w:t xml:space="preserve"> total) will require local limits development once every 5 years. The Agency estimates a burden of 50 hours for this activity.</w:t>
      </w:r>
    </w:p>
    <w:p w14:paraId="2653E218" w14:textId="77777777" w:rsidR="00E75FA4" w:rsidRPr="00E53C89" w:rsidRDefault="00E75FA4" w:rsidP="00E75FA4">
      <w:pPr>
        <w:numPr>
          <w:ilvl w:val="12"/>
          <w:numId w:val="0"/>
        </w:numPr>
        <w:spacing w:before="120" w:after="120"/>
        <w:rPr>
          <w:rFonts w:ascii="Arial" w:hAnsi="Arial" w:cs="Arial"/>
        </w:rPr>
      </w:pPr>
      <w:r w:rsidRPr="00E53C89">
        <w:tab/>
      </w:r>
      <w:r w:rsidRPr="00E53C89">
        <w:rPr>
          <w:rFonts w:ascii="Arial" w:hAnsi="Arial" w:cs="Arial"/>
          <w:b/>
          <w:bCs/>
          <w:u w:val="single"/>
        </w:rPr>
        <w:t>Program/Categorical Determination</w:t>
      </w:r>
    </w:p>
    <w:p w14:paraId="7B158895" w14:textId="77777777" w:rsidR="00E75FA4" w:rsidRPr="00E53C89" w:rsidRDefault="00E75FA4" w:rsidP="00E75FA4">
      <w:pPr>
        <w:numPr>
          <w:ilvl w:val="12"/>
          <w:numId w:val="0"/>
        </w:numPr>
      </w:pPr>
      <w:r w:rsidRPr="00E53C89">
        <w:tab/>
        <w:t>There is no burden for states associated with program/categorical determinations.</w:t>
      </w:r>
    </w:p>
    <w:p w14:paraId="0425C27B" w14:textId="77777777" w:rsidR="00E75FA4" w:rsidRPr="00E53C89" w:rsidRDefault="00E75FA4" w:rsidP="00E75FA4">
      <w:pPr>
        <w:keepNext/>
        <w:keepLines/>
        <w:numPr>
          <w:ilvl w:val="12"/>
          <w:numId w:val="0"/>
        </w:numPr>
        <w:spacing w:before="120" w:after="120"/>
        <w:rPr>
          <w:rFonts w:ascii="Arial" w:hAnsi="Arial" w:cs="Arial"/>
        </w:rPr>
      </w:pPr>
      <w:r w:rsidRPr="00E53C89">
        <w:tab/>
      </w:r>
      <w:r w:rsidRPr="00E53C89">
        <w:rPr>
          <w:rFonts w:ascii="Arial" w:hAnsi="Arial" w:cs="Arial"/>
          <w:b/>
          <w:bCs/>
          <w:u w:val="single"/>
        </w:rPr>
        <w:t xml:space="preserve">States as Users of </w:t>
      </w:r>
      <w:smartTag w:uri="urn:schemas-microsoft-com:office:smarttags" w:element="PersonName">
        <w:r w:rsidRPr="00E53C89">
          <w:rPr>
            <w:rFonts w:ascii="Arial" w:hAnsi="Arial" w:cs="Arial"/>
            <w:b/>
            <w:bCs/>
            <w:u w:val="single"/>
          </w:rPr>
          <w:t>the</w:t>
        </w:r>
      </w:smartTag>
      <w:r w:rsidRPr="00E53C89">
        <w:rPr>
          <w:rFonts w:ascii="Arial" w:hAnsi="Arial" w:cs="Arial"/>
          <w:b/>
          <w:bCs/>
          <w:u w:val="single"/>
        </w:rPr>
        <w:t xml:space="preserve"> Data</w:t>
      </w:r>
    </w:p>
    <w:p w14:paraId="37A29006" w14:textId="16AFC970" w:rsidR="00E75FA4" w:rsidRPr="00E53C89" w:rsidRDefault="00E75FA4" w:rsidP="00E75FA4">
      <w:pPr>
        <w:numPr>
          <w:ilvl w:val="12"/>
          <w:numId w:val="0"/>
        </w:numPr>
        <w:ind w:left="720"/>
      </w:pPr>
      <w:r w:rsidRPr="00E53C89">
        <w:t xml:space="preserve">Under </w:t>
      </w:r>
      <w:smartTag w:uri="urn:schemas-microsoft-com:office:smarttags" w:element="PersonName">
        <w:r w:rsidRPr="00E53C89">
          <w:t>the</w:t>
        </w:r>
      </w:smartTag>
      <w:r w:rsidRPr="00E53C89">
        <w:t xml:space="preserve"> National Pretreatment Program, AAs (or </w:t>
      </w:r>
      <w:smartTag w:uri="urn:schemas-microsoft-com:office:smarttags" w:element="PersonName">
        <w:r w:rsidRPr="00E53C89">
          <w:t>the</w:t>
        </w:r>
      </w:smartTag>
      <w:r w:rsidRPr="00E53C89">
        <w:t xml:space="preserve"> state acting as a CA) must receive, review, and store various requests and reports filed by IUs and POTWs. Table </w:t>
      </w:r>
      <w:r w:rsidR="00483EFC">
        <w:t>C</w:t>
      </w:r>
      <w:r w:rsidR="00350CE5">
        <w:t>.</w:t>
      </w:r>
      <w:r w:rsidR="00F51C0F">
        <w:t>6</w:t>
      </w:r>
      <w:r w:rsidRPr="00E53C89">
        <w:t xml:space="preserve"> in Appendix </w:t>
      </w:r>
      <w:r w:rsidR="00483EFC">
        <w:t>C</w:t>
      </w:r>
      <w:r w:rsidRPr="00E53C89">
        <w:t xml:space="preserve"> calculates the burden to state agencies as users of these data.</w:t>
      </w:r>
    </w:p>
    <w:p w14:paraId="727BF784" w14:textId="77777777" w:rsidR="00E75FA4" w:rsidRPr="00E53C89" w:rsidRDefault="00E75FA4" w:rsidP="00E75FA4">
      <w:pPr>
        <w:numPr>
          <w:ilvl w:val="12"/>
          <w:numId w:val="0"/>
        </w:numPr>
        <w:ind w:left="720"/>
      </w:pPr>
    </w:p>
    <w:p w14:paraId="18D36BC8" w14:textId="663E7B89" w:rsidR="00E75FA4" w:rsidRPr="00E53C89" w:rsidRDefault="00E75FA4" w:rsidP="00E75FA4">
      <w:pPr>
        <w:numPr>
          <w:ilvl w:val="12"/>
          <w:numId w:val="0"/>
        </w:numPr>
        <w:ind w:left="720"/>
      </w:pPr>
      <w:r w:rsidRPr="00E53C89">
        <w:t xml:space="preserve">When states are </w:t>
      </w:r>
      <w:smartTag w:uri="urn:schemas-microsoft-com:office:smarttags" w:element="PersonName">
        <w:r w:rsidRPr="00E53C89">
          <w:t>the</w:t>
        </w:r>
      </w:smartTag>
      <w:r w:rsidRPr="00E53C89">
        <w:t xml:space="preserve"> AA (i.e., </w:t>
      </w:r>
      <w:r w:rsidRPr="008D03D0">
        <w:t>for 7</w:t>
      </w:r>
      <w:r w:rsidR="00AF13AD" w:rsidRPr="008D03D0">
        <w:t>4.3</w:t>
      </w:r>
      <w:r w:rsidRPr="008D03D0">
        <w:t xml:space="preserve"> </w:t>
      </w:r>
      <w:r w:rsidRPr="00E53C89">
        <w:t xml:space="preserve">percent of pretreatment programs), the states review reports generated by pretreatment POTWs. Therefore, the associated review burden for IU and POTW activities described below and in Appendix </w:t>
      </w:r>
      <w:r w:rsidR="00483EFC">
        <w:t>C</w:t>
      </w:r>
      <w:r w:rsidRPr="00E53C89">
        <w:t xml:space="preserve"> (Table </w:t>
      </w:r>
      <w:r w:rsidR="00483EFC">
        <w:t>C</w:t>
      </w:r>
      <w:r w:rsidR="00350CE5">
        <w:t>.</w:t>
      </w:r>
      <w:r w:rsidRPr="00E53C89">
        <w:t xml:space="preserve">3) for which reports or data are submitted to states (as AAs) has been apportioned accordingly. The numbers of respondents and responses are linked directly to </w:t>
      </w:r>
      <w:smartTag w:uri="urn:schemas-microsoft-com:office:smarttags" w:element="PersonName">
        <w:r w:rsidRPr="00E53C89">
          <w:t>the</w:t>
        </w:r>
      </w:smartTag>
      <w:r w:rsidRPr="00E53C89">
        <w:t xml:space="preserve"> corresponding activities.</w:t>
      </w:r>
    </w:p>
    <w:p w14:paraId="01DA8FA2" w14:textId="77777777" w:rsidR="00E75FA4" w:rsidRPr="00E53C89" w:rsidRDefault="00E75FA4" w:rsidP="00E75FA4">
      <w:pPr>
        <w:numPr>
          <w:ilvl w:val="12"/>
          <w:numId w:val="0"/>
        </w:numPr>
      </w:pPr>
    </w:p>
    <w:p w14:paraId="38C4E144" w14:textId="64E0C597" w:rsidR="00E75FA4" w:rsidRPr="00E53C89" w:rsidRDefault="00E75FA4" w:rsidP="00E75FA4">
      <w:pPr>
        <w:numPr>
          <w:ilvl w:val="12"/>
          <w:numId w:val="0"/>
        </w:numPr>
        <w:ind w:left="720"/>
      </w:pPr>
      <w:r w:rsidRPr="00E53C89">
        <w:t xml:space="preserve">In addition to AA activities, states are </w:t>
      </w:r>
      <w:smartTag w:uri="urn:schemas-microsoft-com:office:smarttags" w:element="PersonName">
        <w:r w:rsidRPr="00E53C89">
          <w:t>the</w:t>
        </w:r>
      </w:smartTag>
      <w:r w:rsidRPr="00E53C89">
        <w:t xml:space="preserve"> CAs for approximately </w:t>
      </w:r>
      <w:r w:rsidR="00924FEB">
        <w:t>8.5</w:t>
      </w:r>
      <w:r w:rsidRPr="00E53C89">
        <w:t xml:space="preserve"> percent of SIUs. As CAs, </w:t>
      </w:r>
      <w:smartTag w:uri="urn:schemas-microsoft-com:office:smarttags" w:element="PersonName">
        <w:r w:rsidRPr="00E53C89">
          <w:t>the</w:t>
        </w:r>
      </w:smartTag>
      <w:r w:rsidRPr="00E53C89">
        <w:t xml:space="preserve"> states are responsible for receipt and review </w:t>
      </w:r>
      <w:r w:rsidRPr="006569D0">
        <w:t xml:space="preserve">of </w:t>
      </w:r>
      <w:r w:rsidR="00924FEB">
        <w:t>8.5</w:t>
      </w:r>
      <w:r w:rsidRPr="00E53C89">
        <w:t xml:space="preserve"> percent of all reports, certifications, and data submitted by SIUs. Table </w:t>
      </w:r>
      <w:r w:rsidR="00483EFC">
        <w:t>C</w:t>
      </w:r>
      <w:r w:rsidR="00350CE5">
        <w:t>.</w:t>
      </w:r>
      <w:r w:rsidR="00F51C0F">
        <w:t>6</w:t>
      </w:r>
      <w:r w:rsidRPr="00E53C89">
        <w:t xml:space="preserve"> in Appendix </w:t>
      </w:r>
      <w:r w:rsidR="00483EFC">
        <w:t>C</w:t>
      </w:r>
      <w:r w:rsidRPr="00E53C89">
        <w:t xml:space="preserve">, therefore, includes burden for these activities. </w:t>
      </w:r>
      <w:r w:rsidR="00024A3B">
        <w:t xml:space="preserve">Table </w:t>
      </w:r>
      <w:r w:rsidR="00483EFC">
        <w:t>C</w:t>
      </w:r>
      <w:r w:rsidR="00024A3B">
        <w:t>.1</w:t>
      </w:r>
      <w:r w:rsidRPr="00E53C89">
        <w:t xml:space="preserve"> shows the total state review burden associated with the aforementioned activities.</w:t>
      </w:r>
    </w:p>
    <w:p w14:paraId="7402B602" w14:textId="4FC077A7" w:rsidR="00E75FA4" w:rsidRPr="00E53C89" w:rsidRDefault="00E75FA4" w:rsidP="00E75FA4">
      <w:pPr>
        <w:keepNext/>
        <w:numPr>
          <w:ilvl w:val="12"/>
          <w:numId w:val="0"/>
        </w:numPr>
        <w:spacing w:before="120" w:after="120"/>
        <w:rPr>
          <w:rFonts w:ascii="Arial" w:hAnsi="Arial" w:cs="Arial"/>
        </w:rPr>
      </w:pPr>
      <w:r w:rsidRPr="00E53C89">
        <w:tab/>
      </w:r>
      <w:r w:rsidRPr="00E53C89">
        <w:rPr>
          <w:rFonts w:ascii="Arial" w:hAnsi="Arial" w:cs="Arial"/>
          <w:b/>
          <w:bCs/>
          <w:u w:val="single"/>
        </w:rPr>
        <w:t>Recordkeeping</w:t>
      </w:r>
    </w:p>
    <w:p w14:paraId="270D666F" w14:textId="77777777" w:rsidR="00E75FA4" w:rsidRPr="00E53C89" w:rsidRDefault="00E75FA4" w:rsidP="00E75FA4">
      <w:pPr>
        <w:numPr>
          <w:ilvl w:val="12"/>
          <w:numId w:val="0"/>
        </w:numPr>
        <w:spacing w:before="120" w:after="120"/>
      </w:pPr>
      <w:r w:rsidRPr="00E53C89">
        <w:tab/>
      </w:r>
      <w:r w:rsidRPr="00E53C89">
        <w:rPr>
          <w:b/>
          <w:bCs/>
          <w:i/>
          <w:iCs/>
        </w:rPr>
        <w:t xml:space="preserve">Maintain Pretreatment Program Information </w:t>
      </w:r>
    </w:p>
    <w:p w14:paraId="481F85F8" w14:textId="229BBBB0" w:rsidR="00E75FA4" w:rsidRPr="00E53C89" w:rsidRDefault="00E75FA4" w:rsidP="00E75FA4">
      <w:pPr>
        <w:numPr>
          <w:ilvl w:val="12"/>
          <w:numId w:val="0"/>
        </w:numPr>
        <w:ind w:left="720"/>
      </w:pPr>
      <w:r w:rsidRPr="00E53C89">
        <w:t xml:space="preserve">This ICR assumes that each pretreatment state (as </w:t>
      </w:r>
      <w:smartTag w:uri="urn:schemas-microsoft-com:office:smarttags" w:element="PersonName">
        <w:r w:rsidRPr="00E53C89">
          <w:t>the</w:t>
        </w:r>
      </w:smartTag>
      <w:r w:rsidRPr="00E53C89">
        <w:t xml:space="preserve"> AA) spends 50 hours per year maintaining records from POTW pretreatment programs. In addition, states act as CAs </w:t>
      </w:r>
      <w:r w:rsidRPr="00CA1498">
        <w:t xml:space="preserve">for </w:t>
      </w:r>
      <w:r w:rsidR="00924FEB">
        <w:t>8.5</w:t>
      </w:r>
      <w:r w:rsidRPr="00E53C89">
        <w:t xml:space="preserve"> percent of SIUs. An additional burden of 5 hours per SIU per year (i.e., 5 * </w:t>
      </w:r>
      <w:r w:rsidR="006902F0" w:rsidRPr="008D03D0">
        <w:t>2,487</w:t>
      </w:r>
      <w:r w:rsidRPr="008D03D0">
        <w:t>)</w:t>
      </w:r>
      <w:r w:rsidRPr="00E53C89">
        <w:t xml:space="preserve"> is included for states acting as CAs. (See Appendix </w:t>
      </w:r>
      <w:r w:rsidR="002B6F2F">
        <w:t>C</w:t>
      </w:r>
      <w:r w:rsidRPr="00E53C89">
        <w:t xml:space="preserve">, Table </w:t>
      </w:r>
      <w:r w:rsidR="00350CE5">
        <w:t>C.</w:t>
      </w:r>
      <w:r w:rsidRPr="00E53C89">
        <w:t xml:space="preserve">5, for the calculations.) </w:t>
      </w:r>
    </w:p>
    <w:p w14:paraId="7C63462B" w14:textId="77777777" w:rsidR="00E75FA4" w:rsidRPr="00E53C89" w:rsidRDefault="00E75FA4" w:rsidP="00E75FA4">
      <w:pPr>
        <w:numPr>
          <w:ilvl w:val="12"/>
          <w:numId w:val="0"/>
        </w:numPr>
        <w:ind w:left="720"/>
      </w:pPr>
    </w:p>
    <w:p w14:paraId="0787DFFA" w14:textId="77777777" w:rsidR="00E75FA4" w:rsidRPr="00E53C89" w:rsidRDefault="00E75FA4" w:rsidP="00E75FA4">
      <w:pPr>
        <w:numPr>
          <w:ilvl w:val="12"/>
          <w:numId w:val="0"/>
        </w:numPr>
        <w:ind w:left="720"/>
      </w:pPr>
      <w:r w:rsidRPr="00E53C89">
        <w:t xml:space="preserve">The Streamlining Rule amended </w:t>
      </w:r>
      <w:smartTag w:uri="urn:schemas-microsoft-com:office:smarttags" w:element="PersonName">
        <w:r w:rsidRPr="00E53C89">
          <w:t>the</w:t>
        </w:r>
      </w:smartTag>
      <w:r w:rsidRPr="00E53C89">
        <w:t xml:space="preserve"> pretreatment regulations to require that states maintain records for IUs regulated under general control mechanisms, for IU’s initial </w:t>
      </w:r>
      <w:r w:rsidRPr="00E53C89">
        <w:lastRenderedPageBreak/>
        <w:t xml:space="preserve">samples to demonstrate pollutants not present nor expected to be present, and for POTWs that request a significant modification. Because states already maintain records on IUs under individual permits, IU sampling records, and records on POTW significant modification requests, EPA does not expect </w:t>
      </w:r>
      <w:smartTag w:uri="urn:schemas-microsoft-com:office:smarttags" w:element="PersonName">
        <w:r w:rsidRPr="00E53C89">
          <w:t>the</w:t>
        </w:r>
      </w:smartTag>
      <w:r w:rsidRPr="00E53C89">
        <w:t xml:space="preserve"> Streamlining Rule changes to result in changes in the recordkeeping burden.</w:t>
      </w:r>
    </w:p>
    <w:p w14:paraId="02A83325" w14:textId="5E84475D" w:rsidR="00E75FA4" w:rsidRPr="00E53C89" w:rsidRDefault="00EF3D8A" w:rsidP="00E75FA4">
      <w:pPr>
        <w:pStyle w:val="Heading3"/>
        <w:tabs>
          <w:tab w:val="left" w:pos="1080"/>
        </w:tabs>
      </w:pPr>
      <w:bookmarkStart w:id="34" w:name="_Toc166405823"/>
      <w:bookmarkStart w:id="35" w:name="_Toc437867213"/>
      <w:r>
        <w:t>A</w:t>
      </w:r>
      <w:r w:rsidR="00B12B0D">
        <w:t>.1.2</w:t>
      </w:r>
      <w:r w:rsidR="00E75FA4" w:rsidRPr="00E53C89">
        <w:t>.</w:t>
      </w:r>
      <w:r w:rsidR="00E75FA4" w:rsidRPr="00E53C89">
        <w:tab/>
        <w:t>Burden to POTWs</w:t>
      </w:r>
      <w:bookmarkEnd w:id="34"/>
      <w:bookmarkEnd w:id="35"/>
    </w:p>
    <w:p w14:paraId="09BEC433" w14:textId="41FC1C6C" w:rsidR="00E75FA4" w:rsidRPr="00E53C89" w:rsidRDefault="002B6F2F" w:rsidP="00E75FA4">
      <w:pPr>
        <w:numPr>
          <w:ilvl w:val="12"/>
          <w:numId w:val="0"/>
        </w:numPr>
      </w:pPr>
      <w:r>
        <w:t>Table A.2</w:t>
      </w:r>
      <w:r w:rsidR="00E75FA4" w:rsidRPr="00E53C89">
        <w:t xml:space="preserve"> (at the end of </w:t>
      </w:r>
      <w:r>
        <w:t xml:space="preserve">this </w:t>
      </w:r>
      <w:r w:rsidR="00E75FA4" w:rsidRPr="00E53C89">
        <w:t>section</w:t>
      </w:r>
      <w:r w:rsidR="00393226">
        <w:t>)</w:t>
      </w:r>
      <w:r w:rsidR="00E75FA4" w:rsidRPr="00E53C89">
        <w:t xml:space="preserve"> shows the annual burden hours on an activity-specific basis, and Appendix </w:t>
      </w:r>
      <w:r>
        <w:t>C</w:t>
      </w:r>
      <w:r w:rsidR="00E75FA4" w:rsidRPr="00E53C89">
        <w:t xml:space="preserve"> details these burden calculations. The following paragraphs briefly describe </w:t>
      </w:r>
      <w:smartTag w:uri="urn:schemas-microsoft-com:office:smarttags" w:element="PersonName">
        <w:r w:rsidR="00E75FA4" w:rsidRPr="00E53C89">
          <w:t>the</w:t>
        </w:r>
      </w:smartTag>
      <w:r w:rsidR="00E75FA4" w:rsidRPr="00E53C89">
        <w:t xml:space="preserve"> bases for </w:t>
      </w:r>
      <w:smartTag w:uri="urn:schemas-microsoft-com:office:smarttags" w:element="PersonName">
        <w:r w:rsidR="00E75FA4" w:rsidRPr="00E53C89">
          <w:t>the</w:t>
        </w:r>
      </w:smartTag>
      <w:r w:rsidR="00E75FA4" w:rsidRPr="00E53C89">
        <w:t xml:space="preserve"> burden estimates.</w:t>
      </w:r>
    </w:p>
    <w:p w14:paraId="76797D04" w14:textId="77777777" w:rsidR="00E75FA4" w:rsidRPr="00E53C89" w:rsidRDefault="00E75FA4" w:rsidP="00E75FA4">
      <w:pPr>
        <w:keepNext/>
        <w:numPr>
          <w:ilvl w:val="12"/>
          <w:numId w:val="0"/>
        </w:numPr>
        <w:spacing w:before="120" w:after="120"/>
        <w:rPr>
          <w:rFonts w:ascii="Arial" w:hAnsi="Arial" w:cs="Arial"/>
          <w:i/>
          <w:iCs/>
        </w:rPr>
      </w:pPr>
      <w:r w:rsidRPr="00E53C89">
        <w:tab/>
      </w:r>
      <w:r w:rsidRPr="00E53C89">
        <w:rPr>
          <w:rFonts w:ascii="Arial" w:hAnsi="Arial" w:cs="Arial"/>
          <w:b/>
          <w:bCs/>
          <w:u w:val="single"/>
        </w:rPr>
        <w:t>Program Development</w:t>
      </w:r>
    </w:p>
    <w:p w14:paraId="2DBE04E5" w14:textId="77777777" w:rsidR="00E75FA4" w:rsidRPr="00E53C89" w:rsidRDefault="00E75FA4" w:rsidP="00E75FA4">
      <w:pPr>
        <w:numPr>
          <w:ilvl w:val="12"/>
          <w:numId w:val="0"/>
        </w:numPr>
        <w:spacing w:before="120" w:after="120"/>
      </w:pPr>
      <w:r w:rsidRPr="00E53C89">
        <w:rPr>
          <w:i/>
          <w:iCs/>
        </w:rPr>
        <w:tab/>
      </w:r>
      <w:r w:rsidRPr="00E53C89">
        <w:rPr>
          <w:b/>
          <w:bCs/>
          <w:i/>
          <w:iCs/>
        </w:rPr>
        <w:t>POTW Pretreatment Program Approval Request</w:t>
      </w:r>
      <w:r w:rsidRPr="00E53C89">
        <w:t xml:space="preserve"> </w:t>
      </w:r>
    </w:p>
    <w:p w14:paraId="6DCE98E2" w14:textId="4B7C227B" w:rsidR="00E75FA4" w:rsidRPr="00E53C89" w:rsidRDefault="00E75FA4" w:rsidP="00E75FA4">
      <w:pPr>
        <w:numPr>
          <w:ilvl w:val="12"/>
          <w:numId w:val="0"/>
        </w:numPr>
        <w:ind w:left="720"/>
      </w:pPr>
      <w:r w:rsidRPr="00E53C89">
        <w:t xml:space="preserve">EPA </w:t>
      </w:r>
      <w:r w:rsidR="006569D0">
        <w:t>R</w:t>
      </w:r>
      <w:r w:rsidRPr="00E53C89">
        <w:t xml:space="preserve">egions have indicated that they expect </w:t>
      </w:r>
      <w:r w:rsidR="00641523">
        <w:t>20</w:t>
      </w:r>
      <w:r w:rsidRPr="00E53C89">
        <w:t xml:space="preserve"> new programs over the next 3 years. EPA estimates that preparing a program approval request will require 250 burden hours. The regulations also require all approved POTWs to develop and implement enforcement response plans describing procedures for investigating and responding to IU noncompliance. EPA assumes that POTWs will have completed this requirement as part of </w:t>
      </w:r>
      <w:smartTag w:uri="urn:schemas-microsoft-com:office:smarttags" w:element="PersonName">
        <w:r w:rsidRPr="00E53C89">
          <w:t>the</w:t>
        </w:r>
      </w:smartTag>
      <w:r w:rsidRPr="00E53C89">
        <w:t>ir approval request and therefore has not included any additional burden for this activity. This burden was included in the 250 hours for a new program.</w:t>
      </w:r>
    </w:p>
    <w:p w14:paraId="29CC122F" w14:textId="77777777" w:rsidR="00E75FA4" w:rsidRPr="00E53C89" w:rsidRDefault="00E75FA4" w:rsidP="00E75FA4">
      <w:pPr>
        <w:numPr>
          <w:ilvl w:val="12"/>
          <w:numId w:val="0"/>
        </w:numPr>
        <w:ind w:left="720"/>
      </w:pPr>
    </w:p>
    <w:p w14:paraId="14E26720" w14:textId="77777777" w:rsidR="00E75FA4" w:rsidRPr="00E53C89" w:rsidRDefault="00E75FA4" w:rsidP="00E75FA4">
      <w:pPr>
        <w:numPr>
          <w:ilvl w:val="12"/>
          <w:numId w:val="0"/>
        </w:numPr>
        <w:ind w:left="720"/>
      </w:pPr>
      <w:r w:rsidRPr="00E53C89">
        <w:t>The Streamlining Rule did not make any changes to the pretreatment regulations that affect program development burden.</w:t>
      </w:r>
    </w:p>
    <w:p w14:paraId="4C9AE621" w14:textId="77777777" w:rsidR="00E75FA4" w:rsidRPr="00E53C89" w:rsidRDefault="00E75FA4" w:rsidP="00E75FA4">
      <w:pPr>
        <w:numPr>
          <w:ilvl w:val="12"/>
          <w:numId w:val="0"/>
        </w:numPr>
        <w:spacing w:before="120" w:after="120"/>
      </w:pPr>
      <w:r w:rsidRPr="00E53C89">
        <w:tab/>
      </w:r>
      <w:r w:rsidRPr="00E53C89">
        <w:rPr>
          <w:b/>
          <w:bCs/>
          <w:i/>
          <w:iCs/>
        </w:rPr>
        <w:t>POTW Pretreatment Compliance Schedule Progress Report</w:t>
      </w:r>
      <w:r w:rsidRPr="00E53C89">
        <w:t xml:space="preserve"> </w:t>
      </w:r>
    </w:p>
    <w:p w14:paraId="6D7B5FF8" w14:textId="7443B6D3" w:rsidR="00E75FA4" w:rsidRPr="00E53C89" w:rsidRDefault="00E75FA4" w:rsidP="00E75FA4">
      <w:pPr>
        <w:numPr>
          <w:ilvl w:val="12"/>
          <w:numId w:val="0"/>
        </w:numPr>
        <w:ind w:left="720"/>
      </w:pPr>
      <w:r w:rsidRPr="00E53C89">
        <w:t xml:space="preserve">EPA </w:t>
      </w:r>
      <w:r w:rsidRPr="008D03D0">
        <w:t>expects 46</w:t>
      </w:r>
      <w:r w:rsidR="006902F0" w:rsidRPr="008D03D0">
        <w:rPr>
          <w:rStyle w:val="FootnoteReference"/>
        </w:rPr>
        <w:footnoteReference w:id="3"/>
      </w:r>
      <w:r w:rsidRPr="00E53C89">
        <w:t xml:space="preserve"> POTWs per year to be </w:t>
      </w:r>
      <w:r w:rsidR="00A1033D">
        <w:t>subject to</w:t>
      </w:r>
      <w:r w:rsidRPr="00E53C89">
        <w:t xml:space="preserve"> pretreatment-related compliance schedules. The Agency estimates that each schedule will require the submission of three reports per year. EPA estimates that each report will require 5 burden hours to complete.</w:t>
      </w:r>
    </w:p>
    <w:p w14:paraId="311DA115" w14:textId="77777777" w:rsidR="00E75FA4" w:rsidRPr="00E53C89" w:rsidRDefault="00E75FA4" w:rsidP="00E75FA4">
      <w:pPr>
        <w:keepNext/>
        <w:numPr>
          <w:ilvl w:val="12"/>
          <w:numId w:val="0"/>
        </w:numPr>
        <w:spacing w:before="120" w:after="120"/>
        <w:ind w:left="720"/>
        <w:rPr>
          <w:rFonts w:ascii="Arial" w:hAnsi="Arial" w:cs="Arial"/>
          <w:b/>
          <w:bCs/>
          <w:u w:val="single"/>
        </w:rPr>
      </w:pPr>
      <w:r w:rsidRPr="00E53C89">
        <w:rPr>
          <w:rFonts w:ascii="Arial" w:hAnsi="Arial" w:cs="Arial"/>
          <w:b/>
          <w:bCs/>
          <w:u w:val="single"/>
        </w:rPr>
        <w:t>Program Implementation</w:t>
      </w:r>
    </w:p>
    <w:p w14:paraId="58B9835C" w14:textId="77777777" w:rsidR="00E75FA4" w:rsidRPr="00E53C89" w:rsidRDefault="00E75FA4" w:rsidP="00E75FA4">
      <w:pPr>
        <w:numPr>
          <w:ilvl w:val="12"/>
          <w:numId w:val="0"/>
        </w:numPr>
        <w:spacing w:before="120" w:after="120"/>
        <w:ind w:left="720"/>
      </w:pPr>
      <w:r w:rsidRPr="00E53C89">
        <w:rPr>
          <w:b/>
          <w:bCs/>
          <w:i/>
          <w:iCs/>
        </w:rPr>
        <w:t>Annual POTW Report</w:t>
      </w:r>
      <w:r w:rsidRPr="00E53C89">
        <w:t xml:space="preserve"> </w:t>
      </w:r>
    </w:p>
    <w:p w14:paraId="5FF14D5E" w14:textId="1A7207D4" w:rsidR="00E75FA4" w:rsidRDefault="00E75FA4" w:rsidP="00E75FA4">
      <w:pPr>
        <w:numPr>
          <w:ilvl w:val="12"/>
          <w:numId w:val="0"/>
        </w:numPr>
        <w:spacing w:before="120" w:after="120"/>
        <w:ind w:left="720"/>
      </w:pPr>
      <w:r w:rsidRPr="00E53C89">
        <w:t>For this program activity, EPA assumes one report per program per year. EPA further estimates that report preparation will take each POTW 40 burden hours</w:t>
      </w:r>
      <w:r w:rsidR="00A1033D">
        <w:t xml:space="preserve"> to develop</w:t>
      </w:r>
      <w:r w:rsidRPr="00E53C89">
        <w:t xml:space="preserve">. </w:t>
      </w:r>
    </w:p>
    <w:p w14:paraId="4731ED09" w14:textId="77777777" w:rsidR="00E75FA4" w:rsidRPr="00E53C89" w:rsidRDefault="00E75FA4" w:rsidP="00E75FA4">
      <w:pPr>
        <w:keepNext/>
        <w:keepLines/>
        <w:numPr>
          <w:ilvl w:val="12"/>
          <w:numId w:val="0"/>
        </w:numPr>
        <w:spacing w:before="120" w:after="120"/>
      </w:pPr>
      <w:r w:rsidRPr="00E53C89">
        <w:tab/>
      </w:r>
      <w:r w:rsidRPr="00E53C89">
        <w:rPr>
          <w:b/>
          <w:bCs/>
          <w:i/>
          <w:iCs/>
        </w:rPr>
        <w:t>POTW Program Modifications</w:t>
      </w:r>
      <w:r w:rsidRPr="00E53C89">
        <w:t xml:space="preserve"> </w:t>
      </w:r>
    </w:p>
    <w:p w14:paraId="615F3C99" w14:textId="77777777" w:rsidR="00E75FA4" w:rsidRPr="00E53C89" w:rsidRDefault="00E75FA4" w:rsidP="00E75FA4">
      <w:pPr>
        <w:keepNext/>
        <w:keepLines/>
        <w:numPr>
          <w:ilvl w:val="12"/>
          <w:numId w:val="0"/>
        </w:numPr>
        <w:ind w:left="720"/>
      </w:pPr>
      <w:r w:rsidRPr="00E53C89">
        <w:t xml:space="preserve">EPA estimates that 20 percent of approved programs will request program modifications of some type each year. EPA estimates that preparing program approval requests will take each POTW 40 burden hours. </w:t>
      </w:r>
    </w:p>
    <w:p w14:paraId="1DA49A9E" w14:textId="77777777" w:rsidR="00E75FA4" w:rsidRPr="00E53C89" w:rsidRDefault="00E75FA4" w:rsidP="00E75FA4">
      <w:pPr>
        <w:keepNext/>
        <w:keepLines/>
        <w:numPr>
          <w:ilvl w:val="12"/>
          <w:numId w:val="0"/>
        </w:numPr>
        <w:spacing w:before="120" w:after="120"/>
        <w:ind w:left="720"/>
      </w:pPr>
      <w:r w:rsidRPr="00E53C89">
        <w:rPr>
          <w:b/>
          <w:bCs/>
          <w:i/>
          <w:iCs/>
        </w:rPr>
        <w:t>Issuance of Discharge Permits or O</w:t>
      </w:r>
      <w:smartTag w:uri="urn:schemas-microsoft-com:office:smarttags" w:element="PersonName">
        <w:r w:rsidRPr="00E53C89">
          <w:rPr>
            <w:b/>
            <w:bCs/>
            <w:i/>
            <w:iCs/>
          </w:rPr>
          <w:t>the</w:t>
        </w:r>
      </w:smartTag>
      <w:r w:rsidRPr="00E53C89">
        <w:rPr>
          <w:b/>
          <w:bCs/>
          <w:i/>
          <w:iCs/>
        </w:rPr>
        <w:t>r Control Mechanisms for SIUs</w:t>
      </w:r>
      <w:r w:rsidRPr="00E53C89">
        <w:t xml:space="preserve"> </w:t>
      </w:r>
    </w:p>
    <w:p w14:paraId="4ECC5B7E" w14:textId="7A565193" w:rsidR="00E75FA4" w:rsidRPr="00E53C89" w:rsidRDefault="00E75FA4" w:rsidP="00E75FA4">
      <w:pPr>
        <w:tabs>
          <w:tab w:val="left" w:pos="-1440"/>
        </w:tabs>
        <w:ind w:left="720"/>
      </w:pPr>
      <w:r w:rsidRPr="00E53C89">
        <w:t xml:space="preserve">Because SIU control mechanisms typically have 5-year terms, EPA </w:t>
      </w:r>
      <w:r>
        <w:t>estimates</w:t>
      </w:r>
      <w:r w:rsidRPr="00E53C89">
        <w:t xml:space="preserve"> that each year POTWs (as CAs) will issue control mechanisms to 20 percent of the SIUs that are regulated by </w:t>
      </w:r>
      <w:r w:rsidRPr="006902F0">
        <w:t xml:space="preserve">POTWs </w:t>
      </w:r>
      <w:r w:rsidRPr="006569D0">
        <w:t>(</w:t>
      </w:r>
      <w:r w:rsidR="00CA1498" w:rsidRPr="006569D0">
        <w:t>88.8</w:t>
      </w:r>
      <w:r w:rsidRPr="006569D0">
        <w:t xml:space="preserve"> </w:t>
      </w:r>
      <w:r w:rsidRPr="00E53C89">
        <w:t xml:space="preserve">percent of all SIUs). Under Streamlining, POTWs will not be </w:t>
      </w:r>
      <w:r w:rsidRPr="00E53C89">
        <w:lastRenderedPageBreak/>
        <w:t xml:space="preserve">required to issue permits to NSCIUs. In addition, because POTWs may regulate some SIUs with general control mechanisms, EPA estimates that 2 percent of SIUs will no longer require an individual control mechanism. Thus, </w:t>
      </w:r>
      <w:smartTag w:uri="urn:schemas-microsoft-com:office:smarttags" w:element="PersonName">
        <w:r w:rsidRPr="00E53C89">
          <w:t>the</w:t>
        </w:r>
      </w:smartTag>
      <w:r w:rsidRPr="00E53C89">
        <w:t xml:space="preserve"> number of responses for each POTW will fall by 2 percent. EPA estimates that POTWs will require 20 hours to issue a control mechanism. EPA’s estimate of the number of SIUs to be covered by general control mechanisms is carried forward from the Pretreatment Streamlining ICR. EPA’s estimate of the number of hours POTWs will require to issue individual control mechanisms is carried forward from the Pretreatment Program ICR.</w:t>
      </w:r>
    </w:p>
    <w:p w14:paraId="10DEBE2D" w14:textId="77777777" w:rsidR="00E75FA4" w:rsidRPr="00E53C89" w:rsidRDefault="00E75FA4" w:rsidP="00E75FA4">
      <w:pPr>
        <w:keepNext/>
        <w:numPr>
          <w:ilvl w:val="12"/>
          <w:numId w:val="0"/>
        </w:numPr>
        <w:spacing w:before="120" w:after="120"/>
      </w:pPr>
      <w:r w:rsidRPr="00E53C89">
        <w:tab/>
      </w:r>
      <w:r w:rsidRPr="00E53C89">
        <w:rPr>
          <w:b/>
          <w:bCs/>
          <w:i/>
          <w:iCs/>
        </w:rPr>
        <w:t>Inspection and Sampling of CIU and SIU Effluent</w:t>
      </w:r>
    </w:p>
    <w:p w14:paraId="4C32902D" w14:textId="77777777" w:rsidR="00E75FA4" w:rsidRPr="00E53C89" w:rsidRDefault="00E75FA4" w:rsidP="00E75FA4">
      <w:pPr>
        <w:numPr>
          <w:ilvl w:val="12"/>
          <w:numId w:val="0"/>
        </w:numPr>
        <w:ind w:left="720"/>
      </w:pPr>
      <w:r w:rsidRPr="00E53C89">
        <w:rPr>
          <w:u w:val="single"/>
        </w:rPr>
        <w:t xml:space="preserve">Inspection: </w:t>
      </w:r>
      <w:r w:rsidRPr="00E53C89">
        <w:t xml:space="preserve"> This ICR assumes 8 burden hours to perform one inspection per year for all SIUs regulated by POTWs. Middle</w:t>
      </w:r>
      <w:r>
        <w:t xml:space="preserve"> t</w:t>
      </w:r>
      <w:r w:rsidRPr="00E53C89">
        <w:t xml:space="preserve">ier </w:t>
      </w:r>
      <w:r>
        <w:t>C</w:t>
      </w:r>
      <w:r w:rsidRPr="00E53C89">
        <w:t>IUs will be inspected less frequently (every other year instead of every year). This includes the time necessary to collect an effluent sample. This assumption was carried forward from the previous ICR.</w:t>
      </w:r>
    </w:p>
    <w:p w14:paraId="4AD1E14B" w14:textId="77777777" w:rsidR="00E75FA4" w:rsidRPr="00E53C89" w:rsidRDefault="00E75FA4" w:rsidP="00E75FA4">
      <w:pPr>
        <w:numPr>
          <w:ilvl w:val="12"/>
          <w:numId w:val="0"/>
        </w:numPr>
        <w:ind w:left="720"/>
      </w:pPr>
    </w:p>
    <w:p w14:paraId="70BCD701" w14:textId="77777777" w:rsidR="00E75FA4" w:rsidRPr="00E53C89" w:rsidRDefault="00E75FA4" w:rsidP="00E75FA4">
      <w:pPr>
        <w:numPr>
          <w:ilvl w:val="12"/>
          <w:numId w:val="0"/>
        </w:numPr>
        <w:ind w:left="720"/>
      </w:pPr>
      <w:r w:rsidRPr="00E53C89">
        <w:rPr>
          <w:u w:val="single"/>
        </w:rPr>
        <w:t>Sampling and Analysis</w:t>
      </w:r>
      <w:r w:rsidRPr="00E53C89">
        <w:t>: EPA assumes that in-house sampling and analysis will require 15.2 hours. PFPR facilities opting for the pollution prevention option are excluded because there are no monitoring requirements.</w:t>
      </w:r>
    </w:p>
    <w:p w14:paraId="17913CA0" w14:textId="77777777" w:rsidR="00E75FA4" w:rsidRPr="00E53C89" w:rsidRDefault="00E75FA4" w:rsidP="00E75FA4">
      <w:pPr>
        <w:keepNext/>
        <w:tabs>
          <w:tab w:val="left" w:pos="-1440"/>
        </w:tabs>
        <w:spacing w:before="120" w:after="120"/>
        <w:ind w:left="720"/>
        <w:rPr>
          <w:b/>
          <w:i/>
        </w:rPr>
      </w:pPr>
      <w:r w:rsidRPr="00E53C89">
        <w:rPr>
          <w:b/>
          <w:i/>
        </w:rPr>
        <w:t>Mass Limits</w:t>
      </w:r>
    </w:p>
    <w:p w14:paraId="39CF71F5" w14:textId="77777777" w:rsidR="00E75FA4" w:rsidRPr="00E53C89" w:rsidRDefault="00E75FA4" w:rsidP="00E75FA4">
      <w:pPr>
        <w:tabs>
          <w:tab w:val="left" w:pos="-1440"/>
        </w:tabs>
        <w:ind w:left="720"/>
      </w:pPr>
      <w:r w:rsidRPr="00E53C89">
        <w:t>POTWs establishing equivalent mass limits as an alternative to concentration limits to meet concentration-based categorical pretreatment standards must determine whe</w:t>
      </w:r>
      <w:smartTag w:uri="urn:schemas-microsoft-com:office:smarttags" w:element="PersonName">
        <w:r w:rsidRPr="00E53C89">
          <w:t>the</w:t>
        </w:r>
      </w:smartTag>
      <w:r w:rsidRPr="00E53C89">
        <w:t xml:space="preserve">r </w:t>
      </w:r>
      <w:smartTag w:uri="urn:schemas-microsoft-com:office:smarttags" w:element="PersonName">
        <w:r w:rsidRPr="00E53C89">
          <w:t>the</w:t>
        </w:r>
      </w:smartTag>
      <w:r w:rsidRPr="00E53C89">
        <w:t xml:space="preserve"> application of a mass limit is appropriate. POTWs will perform </w:t>
      </w:r>
      <w:smartTag w:uri="urn:schemas-microsoft-com:office:smarttags" w:element="PersonName">
        <w:r w:rsidRPr="00E53C89">
          <w:t>the</w:t>
        </w:r>
      </w:smartTag>
      <w:r w:rsidRPr="00E53C89">
        <w:t xml:space="preserve">se demonstrations. Currently, 14 Pretreatment Standards categories are expressed as concentration limits alone and are </w:t>
      </w:r>
      <w:smartTag w:uri="urn:schemas-microsoft-com:office:smarttags" w:element="PersonName">
        <w:r w:rsidRPr="00E53C89">
          <w:t>the</w:t>
        </w:r>
      </w:smartTag>
      <w:r w:rsidRPr="00E53C89">
        <w:t>refore eligible for equivalent mass limits under 40 CFR 403.6(c )(5). The following categories are included in this list:</w:t>
      </w:r>
    </w:p>
    <w:p w14:paraId="6653A7CE" w14:textId="77777777" w:rsidR="00E75FA4" w:rsidRPr="00E53C89" w:rsidRDefault="00E75FA4" w:rsidP="00E75FA4">
      <w:pPr>
        <w:tabs>
          <w:tab w:val="left" w:pos="-1440"/>
        </w:tabs>
      </w:pPr>
    </w:p>
    <w:p w14:paraId="325987F1" w14:textId="77777777" w:rsidR="00E75FA4" w:rsidRPr="00E53C89" w:rsidRDefault="00E75FA4" w:rsidP="0043159B">
      <w:pPr>
        <w:widowControl/>
        <w:numPr>
          <w:ilvl w:val="0"/>
          <w:numId w:val="16"/>
        </w:numPr>
        <w:tabs>
          <w:tab w:val="left" w:pos="-1440"/>
        </w:tabs>
      </w:pPr>
      <w:r w:rsidRPr="00E53C89">
        <w:t>Inorganic Chemicals (§ 415)</w:t>
      </w:r>
    </w:p>
    <w:p w14:paraId="2FC0F6ED" w14:textId="77777777" w:rsidR="00E75FA4" w:rsidRPr="00E53C89" w:rsidRDefault="00E75FA4" w:rsidP="0043159B">
      <w:pPr>
        <w:widowControl/>
        <w:numPr>
          <w:ilvl w:val="0"/>
          <w:numId w:val="16"/>
        </w:numPr>
        <w:tabs>
          <w:tab w:val="left" w:pos="-1440"/>
        </w:tabs>
      </w:pPr>
      <w:r w:rsidRPr="00E53C89">
        <w:t>Fertilizer manufacturing (§ 418)</w:t>
      </w:r>
    </w:p>
    <w:p w14:paraId="18CDBBCA" w14:textId="77777777" w:rsidR="00E75FA4" w:rsidRPr="00E53C89" w:rsidRDefault="00E75FA4" w:rsidP="0043159B">
      <w:pPr>
        <w:widowControl/>
        <w:numPr>
          <w:ilvl w:val="0"/>
          <w:numId w:val="16"/>
        </w:numPr>
        <w:tabs>
          <w:tab w:val="left" w:pos="-1440"/>
        </w:tabs>
      </w:pPr>
      <w:r w:rsidRPr="00E53C89">
        <w:t>Petroleum refining (§ 419)</w:t>
      </w:r>
    </w:p>
    <w:p w14:paraId="27A9F81F" w14:textId="77777777" w:rsidR="00E75FA4" w:rsidRPr="00E53C89" w:rsidRDefault="00E75FA4" w:rsidP="0043159B">
      <w:pPr>
        <w:widowControl/>
        <w:numPr>
          <w:ilvl w:val="0"/>
          <w:numId w:val="16"/>
        </w:numPr>
        <w:tabs>
          <w:tab w:val="left" w:pos="-1440"/>
        </w:tabs>
      </w:pPr>
      <w:r w:rsidRPr="00E53C89">
        <w:t>Steam Electric Power Generating (§ 423)</w:t>
      </w:r>
    </w:p>
    <w:p w14:paraId="3EA07888" w14:textId="77777777" w:rsidR="00E75FA4" w:rsidRPr="00E53C89" w:rsidRDefault="00E75FA4" w:rsidP="0043159B">
      <w:pPr>
        <w:widowControl/>
        <w:numPr>
          <w:ilvl w:val="0"/>
          <w:numId w:val="16"/>
        </w:numPr>
        <w:tabs>
          <w:tab w:val="left" w:pos="-1440"/>
        </w:tabs>
      </w:pPr>
      <w:r w:rsidRPr="00E53C89">
        <w:t>Lea</w:t>
      </w:r>
      <w:smartTag w:uri="urn:schemas-microsoft-com:office:smarttags" w:element="PersonName">
        <w:r w:rsidRPr="00E53C89">
          <w:t>the</w:t>
        </w:r>
      </w:smartTag>
      <w:r w:rsidRPr="00E53C89">
        <w:t>r Tanning (§ 425)</w:t>
      </w:r>
    </w:p>
    <w:p w14:paraId="2D3CC6E2" w14:textId="77777777" w:rsidR="00E75FA4" w:rsidRPr="00E53C89" w:rsidRDefault="00E75FA4" w:rsidP="0043159B">
      <w:pPr>
        <w:widowControl/>
        <w:numPr>
          <w:ilvl w:val="0"/>
          <w:numId w:val="16"/>
        </w:numPr>
        <w:tabs>
          <w:tab w:val="left" w:pos="-1440"/>
        </w:tabs>
      </w:pPr>
      <w:r w:rsidRPr="00E53C89">
        <w:t>Glass Manufacturing (§ 426)</w:t>
      </w:r>
    </w:p>
    <w:p w14:paraId="0FA69EE7" w14:textId="77777777" w:rsidR="00E75FA4" w:rsidRPr="00E53C89" w:rsidRDefault="00E75FA4" w:rsidP="0043159B">
      <w:pPr>
        <w:widowControl/>
        <w:numPr>
          <w:ilvl w:val="0"/>
          <w:numId w:val="16"/>
        </w:numPr>
        <w:tabs>
          <w:tab w:val="left" w:pos="-1440"/>
        </w:tabs>
      </w:pPr>
      <w:r w:rsidRPr="00E53C89">
        <w:t>Rubber Manufacturing (§ 428)</w:t>
      </w:r>
    </w:p>
    <w:p w14:paraId="062AAC62" w14:textId="77777777" w:rsidR="00E75FA4" w:rsidRPr="00E53C89" w:rsidRDefault="00E75FA4" w:rsidP="0043159B">
      <w:pPr>
        <w:widowControl/>
        <w:numPr>
          <w:ilvl w:val="0"/>
          <w:numId w:val="16"/>
        </w:numPr>
        <w:tabs>
          <w:tab w:val="left" w:pos="-1440"/>
        </w:tabs>
      </w:pPr>
      <w:r w:rsidRPr="00E53C89">
        <w:t>Metal Finishing (§ 433)</w:t>
      </w:r>
    </w:p>
    <w:p w14:paraId="2E23E260" w14:textId="77777777" w:rsidR="00E75FA4" w:rsidRPr="00E53C89" w:rsidRDefault="00E75FA4" w:rsidP="0043159B">
      <w:pPr>
        <w:widowControl/>
        <w:numPr>
          <w:ilvl w:val="0"/>
          <w:numId w:val="16"/>
        </w:numPr>
        <w:tabs>
          <w:tab w:val="left" w:pos="-1440"/>
        </w:tabs>
      </w:pPr>
      <w:r w:rsidRPr="00E53C89">
        <w:t>Pharmaceutical Manufacturing (§ 439)</w:t>
      </w:r>
    </w:p>
    <w:p w14:paraId="31B04E40" w14:textId="77777777" w:rsidR="00E75FA4" w:rsidRPr="00E53C89" w:rsidRDefault="00E75FA4" w:rsidP="0043159B">
      <w:pPr>
        <w:widowControl/>
        <w:numPr>
          <w:ilvl w:val="0"/>
          <w:numId w:val="16"/>
        </w:numPr>
        <w:tabs>
          <w:tab w:val="left" w:pos="-1440"/>
        </w:tabs>
      </w:pPr>
      <w:r w:rsidRPr="00E53C89">
        <w:t>Transportation Equipment Cleaning (§ 442)</w:t>
      </w:r>
    </w:p>
    <w:p w14:paraId="53B6AAC4" w14:textId="77777777" w:rsidR="00E75FA4" w:rsidRPr="00E53C89" w:rsidRDefault="00E75FA4" w:rsidP="0043159B">
      <w:pPr>
        <w:widowControl/>
        <w:numPr>
          <w:ilvl w:val="0"/>
          <w:numId w:val="16"/>
        </w:numPr>
        <w:tabs>
          <w:tab w:val="left" w:pos="-1440"/>
        </w:tabs>
      </w:pPr>
      <w:r w:rsidRPr="00E53C89">
        <w:t>Paving and Roofing Materials (§ 443)</w:t>
      </w:r>
    </w:p>
    <w:p w14:paraId="21C1FFEA" w14:textId="77777777" w:rsidR="00E75FA4" w:rsidRPr="00E53C89" w:rsidRDefault="00E75FA4" w:rsidP="0043159B">
      <w:pPr>
        <w:widowControl/>
        <w:numPr>
          <w:ilvl w:val="0"/>
          <w:numId w:val="16"/>
        </w:numPr>
        <w:tabs>
          <w:tab w:val="left" w:pos="-1440"/>
        </w:tabs>
      </w:pPr>
      <w:r w:rsidRPr="00E53C89">
        <w:t xml:space="preserve">Commercial Hazardous Waste Combustors Subcategory of </w:t>
      </w:r>
      <w:smartTag w:uri="urn:schemas-microsoft-com:office:smarttags" w:element="PersonName">
        <w:r w:rsidRPr="00E53C89">
          <w:t>the</w:t>
        </w:r>
      </w:smartTag>
      <w:r w:rsidRPr="00E53C89">
        <w:t xml:space="preserve"> Waste Combustors Point Source Category (§ 444)</w:t>
      </w:r>
    </w:p>
    <w:p w14:paraId="2A837E43" w14:textId="77777777" w:rsidR="00E75FA4" w:rsidRPr="00E53C89" w:rsidRDefault="00E75FA4" w:rsidP="0043159B">
      <w:pPr>
        <w:widowControl/>
        <w:numPr>
          <w:ilvl w:val="0"/>
          <w:numId w:val="16"/>
        </w:numPr>
        <w:tabs>
          <w:tab w:val="left" w:pos="-1440"/>
        </w:tabs>
      </w:pPr>
      <w:r w:rsidRPr="00E53C89">
        <w:t>Carbon Black Manufacturing (§ 458)</w:t>
      </w:r>
    </w:p>
    <w:p w14:paraId="118FAA68" w14:textId="77777777" w:rsidR="00E75FA4" w:rsidRPr="00E53C89" w:rsidRDefault="00E75FA4" w:rsidP="0043159B">
      <w:pPr>
        <w:widowControl/>
        <w:numPr>
          <w:ilvl w:val="0"/>
          <w:numId w:val="16"/>
        </w:numPr>
        <w:tabs>
          <w:tab w:val="left" w:pos="-1440"/>
        </w:tabs>
      </w:pPr>
      <w:r w:rsidRPr="00E53C89">
        <w:t>Electrical and Electronic Components (§ 469)</w:t>
      </w:r>
    </w:p>
    <w:p w14:paraId="4F8917FF" w14:textId="77777777" w:rsidR="00E75FA4" w:rsidRPr="00E53C89" w:rsidRDefault="00E75FA4" w:rsidP="00E75FA4">
      <w:pPr>
        <w:tabs>
          <w:tab w:val="left" w:pos="-1440"/>
        </w:tabs>
        <w:ind w:left="720"/>
      </w:pPr>
    </w:p>
    <w:p w14:paraId="596A5EA9" w14:textId="1316D962" w:rsidR="00E75FA4" w:rsidRPr="00E53C89" w:rsidRDefault="00E75FA4" w:rsidP="00E75FA4">
      <w:pPr>
        <w:tabs>
          <w:tab w:val="left" w:pos="-1440"/>
        </w:tabs>
        <w:ind w:left="720"/>
      </w:pPr>
      <w:r w:rsidRPr="00E53C89">
        <w:t xml:space="preserve">EPA estimates that there are approximately 12,000 facilities </w:t>
      </w:r>
      <w:r w:rsidR="00A1033D">
        <w:t xml:space="preserve">in these categories </w:t>
      </w:r>
      <w:r w:rsidRPr="00E53C89">
        <w:t xml:space="preserve">and that 1 percent of them will request that the POTW assess flow variability, </w:t>
      </w:r>
      <w:r w:rsidR="00A1033D">
        <w:t>which</w:t>
      </w:r>
      <w:r w:rsidRPr="00E53C89">
        <w:t xml:space="preserve"> will require 8 burden hours to complete. These estimates are carried forward from the assumptions in the recalculation of the entire pretreatment program, which was done as part of the </w:t>
      </w:r>
      <w:r w:rsidRPr="00E53C89">
        <w:lastRenderedPageBreak/>
        <w:t xml:space="preserve">Pretreatment Streamlining ICR (EPA ICR No. 0002.12) and is explained at the beginning of </w:t>
      </w:r>
      <w:r w:rsidR="00D744E1">
        <w:t>section 1.</w:t>
      </w:r>
    </w:p>
    <w:p w14:paraId="60BE6F1B" w14:textId="77777777" w:rsidR="00E75FA4" w:rsidRPr="00E53C89" w:rsidRDefault="00E75FA4" w:rsidP="00E75FA4">
      <w:pPr>
        <w:tabs>
          <w:tab w:val="left" w:pos="-1440"/>
        </w:tabs>
        <w:spacing w:before="120" w:after="120"/>
        <w:rPr>
          <w:b/>
          <w:i/>
        </w:rPr>
      </w:pPr>
      <w:r w:rsidRPr="00E53C89">
        <w:rPr>
          <w:b/>
          <w:i/>
        </w:rPr>
        <w:tab/>
        <w:t>Equivalent Concentration Limits</w:t>
      </w:r>
    </w:p>
    <w:p w14:paraId="04B9465D" w14:textId="473EC469" w:rsidR="00E75FA4" w:rsidRPr="00E53C89" w:rsidRDefault="00E75FA4" w:rsidP="00E75FA4">
      <w:pPr>
        <w:tabs>
          <w:tab w:val="left" w:pos="-1440"/>
        </w:tabs>
        <w:ind w:left="720"/>
      </w:pPr>
      <w:r w:rsidRPr="00E53C89">
        <w:t>CAs establishing concentration</w:t>
      </w:r>
      <w:r>
        <w:t>-</w:t>
      </w:r>
      <w:r w:rsidRPr="00E53C89">
        <w:t>based pretreatment standards instead of mass</w:t>
      </w:r>
      <w:r>
        <w:t>-</w:t>
      </w:r>
      <w:r w:rsidRPr="00E53C89">
        <w:t xml:space="preserve">based limits must document that dilution is not being used as a substitute for treatment (see 40 CFR 403.6(d) and 414.111(a) and Part 419). In addition, </w:t>
      </w:r>
      <w:smartTag w:uri="urn:schemas-microsoft-com:office:smarttags" w:element="PersonName">
        <w:r w:rsidRPr="00E53C89">
          <w:t>the</w:t>
        </w:r>
      </w:smartTag>
      <w:r w:rsidRPr="00E53C89">
        <w:t xml:space="preserve"> CA is required to adjust permit limits using </w:t>
      </w:r>
      <w:smartTag w:uri="urn:schemas-microsoft-com:office:smarttags" w:element="PersonName">
        <w:r w:rsidRPr="00E53C89">
          <w:t>the</w:t>
        </w:r>
      </w:smartTag>
      <w:r w:rsidRPr="00E53C89">
        <w:t xml:space="preserve"> combined wastestream formula in 40 CFR 403.6(e) when </w:t>
      </w:r>
      <w:smartTag w:uri="urn:schemas-microsoft-com:office:smarttags" w:element="PersonName">
        <w:r w:rsidRPr="00E53C89">
          <w:t>the</w:t>
        </w:r>
      </w:smartTag>
      <w:r w:rsidRPr="00E53C89">
        <w:t xml:space="preserve"> wastestream used for demonstrating compliance with </w:t>
      </w:r>
      <w:smartTag w:uri="urn:schemas-microsoft-com:office:smarttags" w:element="PersonName">
        <w:r w:rsidRPr="00E53C89">
          <w:t>the</w:t>
        </w:r>
      </w:smartTag>
      <w:r w:rsidRPr="00E53C89">
        <w:t xml:space="preserve"> permit limits is mixed with non</w:t>
      </w:r>
      <w:r>
        <w:t>-</w:t>
      </w:r>
      <w:r w:rsidRPr="00E53C89">
        <w:t>process wastewater or wastewater from o</w:t>
      </w:r>
      <w:smartTag w:uri="urn:schemas-microsoft-com:office:smarttags" w:element="PersonName">
        <w:r w:rsidRPr="00E53C89">
          <w:t>the</w:t>
        </w:r>
      </w:smartTag>
      <w:r w:rsidRPr="00E53C89">
        <w:t xml:space="preserve">r processes. The POTW will perform </w:t>
      </w:r>
      <w:smartTag w:uri="urn:schemas-microsoft-com:office:smarttags" w:element="PersonName">
        <w:r w:rsidRPr="00E53C89">
          <w:t>the</w:t>
        </w:r>
      </w:smartTag>
      <w:r w:rsidRPr="00E53C89">
        <w:t xml:space="preserve">se demonstrations. Currently, three Pretreatment Standards categories are eligible to </w:t>
      </w:r>
      <w:r w:rsidR="00A1033D">
        <w:t xml:space="preserve">use </w:t>
      </w:r>
      <w:r w:rsidRPr="00E53C89">
        <w:t>this provision––Organic Chemicals, Plastics and Synthetic Fibers (OCPSF); Petroleum Refining; and Pesticide Chemical manufacturing facilities. EPA estimates that there are 420 facilities</w:t>
      </w:r>
      <w:r w:rsidR="00A1033D">
        <w:t xml:space="preserve"> in these categories</w:t>
      </w:r>
      <w:r w:rsidRPr="00E53C89">
        <w:t>. EPA fur</w:t>
      </w:r>
      <w:smartTag w:uri="urn:schemas-microsoft-com:office:smarttags" w:element="PersonName">
        <w:r w:rsidRPr="00E53C89">
          <w:t>the</w:t>
        </w:r>
      </w:smartTag>
      <w:r w:rsidRPr="00E53C89">
        <w:t xml:space="preserve">r estimates that 4 percent of </w:t>
      </w:r>
      <w:smartTag w:uri="urn:schemas-microsoft-com:office:smarttags" w:element="PersonName">
        <w:r w:rsidRPr="00E53C89">
          <w:t>the</w:t>
        </w:r>
      </w:smartTag>
      <w:r w:rsidRPr="00E53C89">
        <w:t xml:space="preserve">se facilities will request that </w:t>
      </w:r>
      <w:smartTag w:uri="urn:schemas-microsoft-com:office:smarttags" w:element="PersonName">
        <w:r w:rsidRPr="00E53C89">
          <w:t>the</w:t>
        </w:r>
      </w:smartTag>
      <w:r w:rsidRPr="00E53C89">
        <w:t xml:space="preserve"> POTW assess flow variability; each assessment will require a POTW 8 burden hours to complete. These estimates are carried forward from the assumptions in the recalculation of the entire pretreatment program, which was done as part of the Pretreatment Streamlining ICR (EPA ICR No. 0002.12) and is explained at the beginning of </w:t>
      </w:r>
      <w:r w:rsidR="00420A01">
        <w:t xml:space="preserve">this </w:t>
      </w:r>
      <w:r w:rsidRPr="00420A01">
        <w:t>section</w:t>
      </w:r>
      <w:r w:rsidRPr="0099054A">
        <w:t>.</w:t>
      </w:r>
    </w:p>
    <w:p w14:paraId="52CD124F" w14:textId="77777777" w:rsidR="00E75FA4" w:rsidRPr="00E53C89" w:rsidRDefault="00E75FA4" w:rsidP="00E75FA4">
      <w:pPr>
        <w:keepNext/>
        <w:keepLines/>
        <w:numPr>
          <w:ilvl w:val="12"/>
          <w:numId w:val="0"/>
        </w:numPr>
        <w:spacing w:before="120" w:after="120"/>
        <w:ind w:left="720"/>
      </w:pPr>
      <w:r w:rsidRPr="00E53C89">
        <w:rPr>
          <w:b/>
          <w:bCs/>
          <w:i/>
          <w:iCs/>
        </w:rPr>
        <w:t>Evaluation of SIUs for Slug Control Plan</w:t>
      </w:r>
      <w:r w:rsidRPr="00E53C89">
        <w:t xml:space="preserve"> </w:t>
      </w:r>
    </w:p>
    <w:p w14:paraId="20444734" w14:textId="77777777" w:rsidR="00E75FA4" w:rsidRPr="00E53C89" w:rsidRDefault="00E75FA4" w:rsidP="00E75FA4">
      <w:pPr>
        <w:tabs>
          <w:tab w:val="left" w:pos="-1440"/>
        </w:tabs>
        <w:ind w:left="720"/>
      </w:pPr>
      <w:r w:rsidRPr="00E53C89">
        <w:t xml:space="preserve">The final regulatory changes eliminate </w:t>
      </w:r>
      <w:smartTag w:uri="urn:schemas-microsoft-com:office:smarttags" w:element="PersonName">
        <w:r w:rsidRPr="00E53C89">
          <w:t>the</w:t>
        </w:r>
      </w:smartTag>
      <w:r w:rsidRPr="00E53C89">
        <w:t xml:space="preserve"> requirement that POTWs evaluate </w:t>
      </w:r>
      <w:smartTag w:uri="urn:schemas-microsoft-com:office:smarttags" w:element="PersonName">
        <w:r w:rsidRPr="00E53C89">
          <w:t>the</w:t>
        </w:r>
      </w:smartTag>
      <w:r w:rsidRPr="00E53C89">
        <w:t xml:space="preserve"> need for a slug control plan for each SIU every 2 years. POTWs may now review </w:t>
      </w:r>
      <w:smartTag w:uri="urn:schemas-microsoft-com:office:smarttags" w:element="PersonName">
        <w:r w:rsidRPr="00E53C89">
          <w:t>the</w:t>
        </w:r>
      </w:smartTag>
      <w:r w:rsidRPr="00E53C89">
        <w:t xml:space="preserve"> need for slug control plans as part of </w:t>
      </w:r>
      <w:smartTag w:uri="urn:schemas-microsoft-com:office:smarttags" w:element="PersonName">
        <w:r w:rsidRPr="00E53C89">
          <w:t>the</w:t>
        </w:r>
      </w:smartTag>
      <w:r w:rsidRPr="00E53C89">
        <w:t>ir ongoing oversight of IUs. Therefore, EPA estimates no burden for this requirement.</w:t>
      </w:r>
    </w:p>
    <w:p w14:paraId="766C5BF2" w14:textId="77777777" w:rsidR="00E75FA4" w:rsidRPr="00E53C89" w:rsidRDefault="00E75FA4" w:rsidP="00E75FA4">
      <w:pPr>
        <w:numPr>
          <w:ilvl w:val="12"/>
          <w:numId w:val="0"/>
        </w:numPr>
        <w:spacing w:before="120" w:after="120"/>
      </w:pPr>
      <w:r w:rsidRPr="00E53C89">
        <w:tab/>
      </w:r>
      <w:r w:rsidRPr="00E53C89">
        <w:rPr>
          <w:b/>
          <w:bCs/>
          <w:i/>
          <w:iCs/>
        </w:rPr>
        <w:t xml:space="preserve">Public Notification of Significant Noncompliance </w:t>
      </w:r>
    </w:p>
    <w:p w14:paraId="36104CC0" w14:textId="4E01D2D3" w:rsidR="00E75FA4" w:rsidRPr="00E53C89" w:rsidRDefault="00E75FA4" w:rsidP="00E75FA4">
      <w:pPr>
        <w:numPr>
          <w:ilvl w:val="12"/>
          <w:numId w:val="0"/>
        </w:numPr>
        <w:ind w:left="720"/>
      </w:pPr>
      <w:r w:rsidRPr="00E53C89">
        <w:t>EPA expects POTWs to require 3 hours for public notification activities. EPA assumes that one-third of POTWs with pretreatment programs will have SIUs in SNC in a given year.</w:t>
      </w:r>
    </w:p>
    <w:p w14:paraId="2A5D22B7" w14:textId="77777777" w:rsidR="00E75FA4" w:rsidRPr="00E53C89" w:rsidRDefault="00E75FA4" w:rsidP="00E75FA4">
      <w:pPr>
        <w:numPr>
          <w:ilvl w:val="12"/>
          <w:numId w:val="0"/>
        </w:numPr>
        <w:spacing w:before="120" w:after="120"/>
      </w:pPr>
      <w:r w:rsidRPr="00E53C89">
        <w:tab/>
      </w:r>
      <w:r w:rsidRPr="00E53C89">
        <w:rPr>
          <w:b/>
          <w:bCs/>
          <w:i/>
          <w:iCs/>
        </w:rPr>
        <w:t xml:space="preserve">Evaluation of </w:t>
      </w:r>
      <w:smartTag w:uri="urn:schemas-microsoft-com:office:smarttags" w:element="PersonName">
        <w:r w:rsidRPr="00E53C89">
          <w:rPr>
            <w:b/>
            <w:bCs/>
            <w:i/>
            <w:iCs/>
          </w:rPr>
          <w:t>the</w:t>
        </w:r>
      </w:smartTag>
      <w:r w:rsidRPr="00E53C89">
        <w:rPr>
          <w:b/>
          <w:bCs/>
          <w:i/>
          <w:iCs/>
        </w:rPr>
        <w:t xml:space="preserve"> Need to Revise Local Limits</w:t>
      </w:r>
      <w:r w:rsidRPr="00E53C89">
        <w:t xml:space="preserve"> </w:t>
      </w:r>
    </w:p>
    <w:p w14:paraId="52098C76" w14:textId="77777777" w:rsidR="00E75FA4" w:rsidRPr="00E53C89" w:rsidRDefault="00E75FA4" w:rsidP="00E75FA4">
      <w:pPr>
        <w:numPr>
          <w:ilvl w:val="12"/>
          <w:numId w:val="0"/>
        </w:numPr>
        <w:ind w:left="720"/>
      </w:pPr>
      <w:r w:rsidRPr="00E53C89">
        <w:t xml:space="preserve">EPA assumes in this ICR that all pretreatment programs will reevaluate </w:t>
      </w:r>
      <w:smartTag w:uri="urn:schemas-microsoft-com:office:smarttags" w:element="PersonName">
        <w:r w:rsidRPr="00E53C89">
          <w:t>the</w:t>
        </w:r>
      </w:smartTag>
      <w:r w:rsidRPr="00E53C89">
        <w:t xml:space="preserve"> need to develop local limits once every 5 years. EPA estimates that POTWs will require 50 hours to complete this activity.</w:t>
      </w:r>
    </w:p>
    <w:p w14:paraId="535E7DBB" w14:textId="77777777" w:rsidR="00E75FA4" w:rsidRPr="00E53C89" w:rsidRDefault="00E75FA4" w:rsidP="00E75FA4">
      <w:pPr>
        <w:keepNext/>
        <w:numPr>
          <w:ilvl w:val="12"/>
          <w:numId w:val="0"/>
        </w:numPr>
        <w:spacing w:before="120" w:after="120"/>
      </w:pPr>
      <w:r w:rsidRPr="00E53C89">
        <w:tab/>
      </w:r>
      <w:r w:rsidRPr="00E53C89">
        <w:rPr>
          <w:b/>
          <w:bCs/>
          <w:i/>
          <w:iCs/>
        </w:rPr>
        <w:t>SIU Notification of Applicable Standards and Regulations</w:t>
      </w:r>
    </w:p>
    <w:p w14:paraId="6B0A5A3B" w14:textId="3701CAF6" w:rsidR="00E75FA4" w:rsidRPr="00E53C89" w:rsidRDefault="00E75FA4" w:rsidP="00E75FA4">
      <w:pPr>
        <w:numPr>
          <w:ilvl w:val="12"/>
          <w:numId w:val="0"/>
        </w:numPr>
        <w:ind w:left="720"/>
      </w:pPr>
      <w:r>
        <w:t>At the time of promulgation of this ICR</w:t>
      </w:r>
      <w:r w:rsidR="00A1033D">
        <w:t>,</w:t>
      </w:r>
      <w:r>
        <w:t xml:space="preserve"> </w:t>
      </w:r>
      <w:r w:rsidRPr="00E53C89">
        <w:t>EPA has not promulgated any new categorical standards</w:t>
      </w:r>
      <w:r>
        <w:t>. EPA is in the process of developing new categorical standards that may be in effect during</w:t>
      </w:r>
      <w:r w:rsidRPr="00E53C89">
        <w:t xml:space="preserve"> </w:t>
      </w:r>
      <w:smartTag w:uri="urn:schemas-microsoft-com:office:smarttags" w:element="PersonName">
        <w:r w:rsidRPr="00E53C89">
          <w:t>the</w:t>
        </w:r>
      </w:smartTag>
      <w:r w:rsidRPr="00E53C89">
        <w:t xml:space="preserve"> 3-year life of this ICR. </w:t>
      </w:r>
      <w:r>
        <w:t>At this time</w:t>
      </w:r>
      <w:r w:rsidR="00A1033D">
        <w:t>,</w:t>
      </w:r>
      <w:r>
        <w:t xml:space="preserve"> </w:t>
      </w:r>
      <w:r w:rsidR="00A1033D">
        <w:t xml:space="preserve">it is not possible to assess </w:t>
      </w:r>
      <w:r>
        <w:t xml:space="preserve">the expected impacts of the new standards. </w:t>
      </w:r>
      <w:r w:rsidRPr="00E53C89">
        <w:t xml:space="preserve">Therefore, EPA </w:t>
      </w:r>
      <w:r>
        <w:t>will develop</w:t>
      </w:r>
      <w:r w:rsidR="00A1033D">
        <w:t xml:space="preserve"> revis</w:t>
      </w:r>
      <w:r>
        <w:t>ed burden estimates once these new standards are finalized</w:t>
      </w:r>
      <w:r w:rsidRPr="00E53C89">
        <w:t>.</w:t>
      </w:r>
    </w:p>
    <w:p w14:paraId="07346779" w14:textId="77777777" w:rsidR="00E75FA4" w:rsidRPr="00E53C89" w:rsidRDefault="00E75FA4" w:rsidP="00E75FA4">
      <w:pPr>
        <w:keepNext/>
        <w:keepLines/>
        <w:numPr>
          <w:ilvl w:val="12"/>
          <w:numId w:val="0"/>
        </w:numPr>
        <w:spacing w:before="120" w:after="120"/>
        <w:rPr>
          <w:rFonts w:ascii="Arial" w:hAnsi="Arial" w:cs="Arial"/>
        </w:rPr>
      </w:pPr>
      <w:r w:rsidRPr="00E53C89">
        <w:tab/>
      </w:r>
      <w:r w:rsidRPr="00E53C89">
        <w:rPr>
          <w:rFonts w:ascii="Arial" w:hAnsi="Arial" w:cs="Arial"/>
          <w:b/>
          <w:bCs/>
          <w:u w:val="single"/>
        </w:rPr>
        <w:t>Program/Categorical Determination</w:t>
      </w:r>
    </w:p>
    <w:p w14:paraId="00723EF0" w14:textId="77777777" w:rsidR="00E75FA4" w:rsidRPr="00E53C89" w:rsidRDefault="00E75FA4" w:rsidP="00E75FA4">
      <w:pPr>
        <w:keepNext/>
        <w:keepLines/>
        <w:numPr>
          <w:ilvl w:val="12"/>
          <w:numId w:val="0"/>
        </w:numPr>
        <w:spacing w:before="120" w:after="120"/>
      </w:pPr>
      <w:r w:rsidRPr="00E53C89">
        <w:tab/>
      </w:r>
      <w:r w:rsidRPr="00E53C89">
        <w:rPr>
          <w:b/>
          <w:bCs/>
          <w:i/>
          <w:iCs/>
        </w:rPr>
        <w:t>Removal Credit Approval Requests</w:t>
      </w:r>
      <w:r w:rsidRPr="00E53C89">
        <w:t xml:space="preserve"> </w:t>
      </w:r>
    </w:p>
    <w:p w14:paraId="39E53695" w14:textId="3050581F" w:rsidR="00E75FA4" w:rsidRPr="00E53C89" w:rsidRDefault="00E75FA4" w:rsidP="00E75FA4">
      <w:pPr>
        <w:numPr>
          <w:ilvl w:val="12"/>
          <w:numId w:val="0"/>
        </w:numPr>
        <w:spacing w:after="120"/>
        <w:ind w:left="720"/>
      </w:pPr>
      <w:r w:rsidRPr="00E53C89">
        <w:t xml:space="preserve">Based on input from EPA </w:t>
      </w:r>
      <w:r w:rsidR="00CD6D56">
        <w:t>Regional Office</w:t>
      </w:r>
      <w:r w:rsidRPr="00E53C89">
        <w:t>s, the Agency estimates three respondents per year. EPA fur</w:t>
      </w:r>
      <w:smartTag w:uri="urn:schemas-microsoft-com:office:smarttags" w:element="PersonName">
        <w:r w:rsidRPr="00E53C89">
          <w:t>the</w:t>
        </w:r>
      </w:smartTag>
      <w:r w:rsidRPr="00E53C89">
        <w:t xml:space="preserve">r estimates that a POTW will require 125 hours to prepare and submit </w:t>
      </w:r>
      <w:r w:rsidRPr="00E53C89">
        <w:lastRenderedPageBreak/>
        <w:t>each request.</w:t>
      </w:r>
    </w:p>
    <w:p w14:paraId="296BD137" w14:textId="77777777" w:rsidR="00E75FA4" w:rsidRPr="00E53C89" w:rsidRDefault="00E75FA4" w:rsidP="00E75FA4">
      <w:pPr>
        <w:keepNext/>
        <w:keepLines/>
        <w:numPr>
          <w:ilvl w:val="12"/>
          <w:numId w:val="0"/>
        </w:numPr>
        <w:spacing w:before="120" w:after="120"/>
        <w:ind w:left="720"/>
      </w:pPr>
      <w:r w:rsidRPr="00E53C89">
        <w:rPr>
          <w:b/>
          <w:bCs/>
          <w:i/>
          <w:iCs/>
        </w:rPr>
        <w:t>Removal Credit Self-Monitoring Reports</w:t>
      </w:r>
      <w:r w:rsidRPr="00E53C89">
        <w:t xml:space="preserve">  </w:t>
      </w:r>
    </w:p>
    <w:p w14:paraId="2845FD2E" w14:textId="71B78D97" w:rsidR="00E75FA4" w:rsidRPr="00E53C89" w:rsidRDefault="00E75FA4" w:rsidP="00E75FA4">
      <w:pPr>
        <w:numPr>
          <w:ilvl w:val="12"/>
          <w:numId w:val="0"/>
        </w:numPr>
        <w:spacing w:after="120"/>
        <w:ind w:left="720"/>
      </w:pPr>
      <w:r w:rsidRPr="00E53C89">
        <w:t xml:space="preserve">EPA estimates 25 respondents per year based on </w:t>
      </w:r>
      <w:smartTag w:uri="urn:schemas-microsoft-com:office:smarttags" w:element="PersonName">
        <w:r w:rsidRPr="00E53C89">
          <w:t>the</w:t>
        </w:r>
      </w:smartTag>
      <w:r w:rsidRPr="00E53C89">
        <w:t xml:space="preserve"> number of POTWs with approved removal credit variances as reported by EPA </w:t>
      </w:r>
      <w:r w:rsidR="00CD6D56">
        <w:t>Regional Office</w:t>
      </w:r>
      <w:r w:rsidRPr="00E53C89">
        <w:t>s. EPA assumes that a POTW will require 40 hours per report.</w:t>
      </w:r>
    </w:p>
    <w:p w14:paraId="200E8B28" w14:textId="77777777" w:rsidR="00E75FA4" w:rsidRPr="00E53C89" w:rsidRDefault="00E75FA4" w:rsidP="00E75FA4">
      <w:pPr>
        <w:keepNext/>
        <w:numPr>
          <w:ilvl w:val="12"/>
          <w:numId w:val="0"/>
        </w:numPr>
        <w:spacing w:before="120" w:after="120"/>
        <w:ind w:left="720"/>
        <w:rPr>
          <w:rFonts w:ascii="Arial" w:hAnsi="Arial" w:cs="Arial"/>
        </w:rPr>
      </w:pPr>
      <w:r w:rsidRPr="00E53C89">
        <w:rPr>
          <w:rFonts w:ascii="Arial" w:hAnsi="Arial" w:cs="Arial"/>
          <w:b/>
          <w:bCs/>
          <w:u w:val="single"/>
        </w:rPr>
        <w:t xml:space="preserve">POTWs as Users of </w:t>
      </w:r>
      <w:smartTag w:uri="urn:schemas-microsoft-com:office:smarttags" w:element="PersonName">
        <w:r w:rsidRPr="00E53C89">
          <w:rPr>
            <w:rFonts w:ascii="Arial" w:hAnsi="Arial" w:cs="Arial"/>
            <w:b/>
            <w:bCs/>
            <w:u w:val="single"/>
          </w:rPr>
          <w:t>the</w:t>
        </w:r>
      </w:smartTag>
      <w:r w:rsidRPr="00E53C89">
        <w:rPr>
          <w:rFonts w:ascii="Arial" w:hAnsi="Arial" w:cs="Arial"/>
          <w:b/>
          <w:bCs/>
          <w:u w:val="single"/>
        </w:rPr>
        <w:t xml:space="preserve"> Data</w:t>
      </w:r>
    </w:p>
    <w:p w14:paraId="68FD2EE8" w14:textId="64C9BD4D" w:rsidR="00E75FA4" w:rsidRPr="00E53C89" w:rsidRDefault="00E75FA4" w:rsidP="00E75FA4">
      <w:pPr>
        <w:tabs>
          <w:tab w:val="left" w:pos="-1440"/>
        </w:tabs>
        <w:ind w:left="720"/>
      </w:pPr>
      <w:r w:rsidRPr="00E53C89">
        <w:t xml:space="preserve">Most of the IU respondents described below and in </w:t>
      </w:r>
      <w:r w:rsidR="0043159B">
        <w:t>Table A.3</w:t>
      </w:r>
      <w:r w:rsidRPr="00E53C89">
        <w:t xml:space="preserve"> generate reports, information, or data that CAs must receive, review, and store. Table </w:t>
      </w:r>
      <w:r w:rsidR="00350CE5">
        <w:t>C.</w:t>
      </w:r>
      <w:r w:rsidR="00F51C0F">
        <w:t>7</w:t>
      </w:r>
      <w:r w:rsidRPr="00E53C89">
        <w:t xml:space="preserve"> in Appendix </w:t>
      </w:r>
      <w:r w:rsidR="0043159B">
        <w:t>C</w:t>
      </w:r>
      <w:r w:rsidRPr="00E53C89">
        <w:t xml:space="preserve"> calculates the burden to POTWs as users of these data. As CAs, POTWs are responsible for receiving and reviewing </w:t>
      </w:r>
      <w:r w:rsidR="00D744E1" w:rsidRPr="009A591A">
        <w:t>88.8</w:t>
      </w:r>
      <w:r w:rsidRPr="00E53C89">
        <w:t xml:space="preserve"> percent of all reports, certifications, and data submitted by SIUs. EPA has, </w:t>
      </w:r>
      <w:smartTag w:uri="urn:schemas-microsoft-com:office:smarttags" w:element="PersonName">
        <w:r w:rsidRPr="00E53C89">
          <w:t>the</w:t>
        </w:r>
      </w:smartTag>
      <w:r w:rsidRPr="00E53C89">
        <w:t xml:space="preserve">refore, apportioned </w:t>
      </w:r>
      <w:smartTag w:uri="urn:schemas-microsoft-com:office:smarttags" w:element="PersonName">
        <w:r w:rsidRPr="00E53C89">
          <w:t>the</w:t>
        </w:r>
      </w:smartTag>
      <w:r w:rsidRPr="00E53C89">
        <w:t xml:space="preserve"> review burden for reports or data submitted by SIUs to POTWs (as CAs). The numbers of respondents and responses are linked directly to the corresponding activities. </w:t>
      </w:r>
      <w:r w:rsidR="0043159B">
        <w:t>Table A.2</w:t>
      </w:r>
      <w:r w:rsidRPr="00E53C89">
        <w:t xml:space="preserve"> shows the total POTW review burden associated with each activity.</w:t>
      </w:r>
    </w:p>
    <w:p w14:paraId="53FD6F05" w14:textId="25BB2852" w:rsidR="00E75FA4" w:rsidRPr="00E53C89" w:rsidRDefault="00E75FA4" w:rsidP="00E75FA4">
      <w:pPr>
        <w:keepNext/>
        <w:numPr>
          <w:ilvl w:val="12"/>
          <w:numId w:val="0"/>
        </w:numPr>
        <w:spacing w:before="120" w:after="120"/>
        <w:rPr>
          <w:rFonts w:ascii="Arial" w:hAnsi="Arial" w:cs="Arial"/>
        </w:rPr>
      </w:pPr>
      <w:r w:rsidRPr="00E53C89">
        <w:tab/>
      </w:r>
      <w:r w:rsidRPr="00E53C89">
        <w:rPr>
          <w:rFonts w:ascii="Arial" w:hAnsi="Arial" w:cs="Arial"/>
          <w:b/>
          <w:bCs/>
          <w:u w:val="single"/>
        </w:rPr>
        <w:t>Recordkeeping</w:t>
      </w:r>
      <w:r w:rsidR="0043159B">
        <w:rPr>
          <w:rFonts w:ascii="Arial" w:hAnsi="Arial" w:cs="Arial"/>
          <w:b/>
          <w:bCs/>
          <w:u w:val="single"/>
        </w:rPr>
        <w:t xml:space="preserve"> </w:t>
      </w:r>
    </w:p>
    <w:p w14:paraId="3C98EC82" w14:textId="77777777" w:rsidR="00E75FA4" w:rsidRPr="00E53C89" w:rsidRDefault="00E75FA4" w:rsidP="00E75FA4">
      <w:pPr>
        <w:numPr>
          <w:ilvl w:val="12"/>
          <w:numId w:val="0"/>
        </w:numPr>
        <w:spacing w:before="120" w:after="120"/>
      </w:pPr>
      <w:r w:rsidRPr="00E53C89">
        <w:rPr>
          <w:b/>
          <w:bCs/>
          <w:i/>
          <w:iCs/>
        </w:rPr>
        <w:tab/>
        <w:t>Maintenance of Monitoring Records</w:t>
      </w:r>
      <w:r w:rsidRPr="00E53C89">
        <w:t xml:space="preserve"> </w:t>
      </w:r>
    </w:p>
    <w:p w14:paraId="51B5FAF6" w14:textId="77777777" w:rsidR="00E75FA4" w:rsidRPr="00E53C89" w:rsidRDefault="00E75FA4" w:rsidP="00E75FA4">
      <w:pPr>
        <w:numPr>
          <w:ilvl w:val="12"/>
          <w:numId w:val="0"/>
        </w:numPr>
        <w:ind w:left="720"/>
      </w:pPr>
      <w:r w:rsidRPr="00E53C89">
        <w:t xml:space="preserve">EPA expects each pretreatment POTW to spend 100 hours per year maintaining SIU monitoring records. Changes in </w:t>
      </w:r>
      <w:smartTag w:uri="urn:schemas-microsoft-com:office:smarttags" w:element="PersonName">
        <w:r w:rsidRPr="00E53C89">
          <w:t>the</w:t>
        </w:r>
      </w:smartTag>
      <w:r w:rsidRPr="00E53C89">
        <w:t xml:space="preserve"> pretreatment regulations due to </w:t>
      </w:r>
      <w:smartTag w:uri="urn:schemas-microsoft-com:office:smarttags" w:element="PersonName">
        <w:r w:rsidRPr="00E53C89">
          <w:t>the</w:t>
        </w:r>
      </w:smartTag>
      <w:r w:rsidRPr="00E53C89">
        <w:t xml:space="preserve"> Streamlining Rule means that POTWs will have to maintain records for IUs regulated under general control mechanisms, as well as IUs’ initial samples to demonstrate pollutants neither present nor expected to be present. Because POTWs already maintain records on IUs under individual permits and IU sampling records, EPA has not estimated any additional recordkeeping burden for POTWs as a result of </w:t>
      </w:r>
      <w:smartTag w:uri="urn:schemas-microsoft-com:office:smarttags" w:element="PersonName">
        <w:r w:rsidRPr="00E53C89">
          <w:t>the</w:t>
        </w:r>
      </w:smartTag>
      <w:r w:rsidRPr="00E53C89">
        <w:t xml:space="preserve"> Streamlining Rule.</w:t>
      </w:r>
    </w:p>
    <w:p w14:paraId="4D699100" w14:textId="54B92FCA" w:rsidR="00E75FA4" w:rsidRPr="00E53C89" w:rsidRDefault="00EF3D8A" w:rsidP="00E75FA4">
      <w:pPr>
        <w:pStyle w:val="Heading3"/>
        <w:tabs>
          <w:tab w:val="left" w:pos="1080"/>
        </w:tabs>
      </w:pPr>
      <w:bookmarkStart w:id="36" w:name="_Toc166405824"/>
      <w:bookmarkStart w:id="37" w:name="_Toc437867214"/>
      <w:r>
        <w:t>A</w:t>
      </w:r>
      <w:r w:rsidR="00B12B0D">
        <w:t>.1.3</w:t>
      </w:r>
      <w:r w:rsidR="00E75FA4" w:rsidRPr="00E53C89">
        <w:t>.</w:t>
      </w:r>
      <w:r w:rsidR="00E75FA4" w:rsidRPr="00E53C89">
        <w:tab/>
        <w:t>Burden to Industrial Users</w:t>
      </w:r>
      <w:bookmarkEnd w:id="36"/>
      <w:bookmarkEnd w:id="37"/>
    </w:p>
    <w:p w14:paraId="65EC7A79" w14:textId="7E7A8055" w:rsidR="00E75FA4" w:rsidRPr="00E53C89" w:rsidRDefault="0043159B" w:rsidP="00E75FA4">
      <w:pPr>
        <w:numPr>
          <w:ilvl w:val="12"/>
          <w:numId w:val="0"/>
        </w:numPr>
      </w:pPr>
      <w:r>
        <w:t>Table A.3</w:t>
      </w:r>
      <w:r w:rsidR="00E75FA4" w:rsidRPr="00E53C89">
        <w:t xml:space="preserve"> (at the end of </w:t>
      </w:r>
      <w:r>
        <w:t xml:space="preserve">this </w:t>
      </w:r>
      <w:r w:rsidR="00E75FA4" w:rsidRPr="00E53C89">
        <w:t xml:space="preserve">section) shows the estimated annual burden hours for each type of information collected, and Appendix </w:t>
      </w:r>
      <w:r>
        <w:t>C</w:t>
      </w:r>
      <w:r w:rsidR="00E75FA4" w:rsidRPr="00E53C89">
        <w:t xml:space="preserve"> details these burden calculations. The bases for </w:t>
      </w:r>
      <w:smartTag w:uri="urn:schemas-microsoft-com:office:smarttags" w:element="PersonName">
        <w:r w:rsidR="00E75FA4" w:rsidRPr="00E53C89">
          <w:t>the</w:t>
        </w:r>
      </w:smartTag>
      <w:r w:rsidR="00E75FA4" w:rsidRPr="00E53C89">
        <w:t xml:space="preserve"> burden estimates are detailed below.</w:t>
      </w:r>
    </w:p>
    <w:p w14:paraId="3C236D1E" w14:textId="77777777" w:rsidR="00E75FA4" w:rsidRPr="00E53C89" w:rsidRDefault="00E75FA4" w:rsidP="00E75FA4">
      <w:pPr>
        <w:keepNext/>
        <w:keepLines/>
        <w:numPr>
          <w:ilvl w:val="12"/>
          <w:numId w:val="0"/>
        </w:numPr>
        <w:spacing w:before="120" w:after="120"/>
        <w:rPr>
          <w:rFonts w:ascii="Arial" w:hAnsi="Arial" w:cs="Arial"/>
        </w:rPr>
      </w:pPr>
      <w:r w:rsidRPr="00E53C89">
        <w:tab/>
      </w:r>
      <w:r w:rsidRPr="00E53C89">
        <w:rPr>
          <w:rFonts w:ascii="Arial" w:hAnsi="Arial" w:cs="Arial"/>
          <w:b/>
          <w:bCs/>
          <w:u w:val="single"/>
        </w:rPr>
        <w:t>Program Development</w:t>
      </w:r>
    </w:p>
    <w:p w14:paraId="361DE6B9" w14:textId="77777777" w:rsidR="00E75FA4" w:rsidRPr="00E53C89" w:rsidRDefault="00E75FA4" w:rsidP="00E75FA4">
      <w:pPr>
        <w:keepLines/>
        <w:numPr>
          <w:ilvl w:val="12"/>
          <w:numId w:val="0"/>
        </w:numPr>
      </w:pPr>
      <w:r w:rsidRPr="00E53C89">
        <w:tab/>
        <w:t>EPA assumes no IU reporting and recordkeeping burden program development.</w:t>
      </w:r>
    </w:p>
    <w:p w14:paraId="34292458" w14:textId="77777777" w:rsidR="00E75FA4" w:rsidRPr="00E53C89" w:rsidRDefault="00E75FA4" w:rsidP="00E75FA4">
      <w:pPr>
        <w:keepNext/>
        <w:keepLines/>
        <w:numPr>
          <w:ilvl w:val="12"/>
          <w:numId w:val="0"/>
        </w:numPr>
        <w:spacing w:before="120" w:after="120"/>
        <w:rPr>
          <w:rFonts w:ascii="Arial" w:hAnsi="Arial" w:cs="Arial"/>
        </w:rPr>
      </w:pPr>
      <w:r w:rsidRPr="00E53C89">
        <w:tab/>
      </w:r>
      <w:r w:rsidRPr="00E53C89">
        <w:rPr>
          <w:rFonts w:ascii="Arial" w:hAnsi="Arial" w:cs="Arial"/>
          <w:b/>
          <w:bCs/>
          <w:u w:val="single"/>
        </w:rPr>
        <w:t>Program Implementation</w:t>
      </w:r>
    </w:p>
    <w:p w14:paraId="29641558" w14:textId="77777777" w:rsidR="00E75FA4" w:rsidRPr="00E53C89" w:rsidRDefault="00E75FA4" w:rsidP="00E75FA4">
      <w:pPr>
        <w:keepLines/>
        <w:numPr>
          <w:ilvl w:val="12"/>
          <w:numId w:val="0"/>
        </w:numPr>
        <w:ind w:left="720"/>
      </w:pPr>
      <w:r w:rsidRPr="00E53C89">
        <w:t>The program implementation burden estimates for IUs were calculated per activity, as detailed below.</w:t>
      </w:r>
    </w:p>
    <w:p w14:paraId="7F938E7B" w14:textId="77777777" w:rsidR="00E75FA4" w:rsidRPr="00E53C89" w:rsidRDefault="00E75FA4" w:rsidP="00E75FA4">
      <w:pPr>
        <w:keepNext/>
        <w:numPr>
          <w:ilvl w:val="12"/>
          <w:numId w:val="0"/>
        </w:numPr>
        <w:spacing w:before="120" w:after="120"/>
      </w:pPr>
      <w:r w:rsidRPr="00E53C89">
        <w:tab/>
      </w:r>
      <w:r w:rsidRPr="00E53C89">
        <w:rPr>
          <w:b/>
          <w:bCs/>
          <w:i/>
          <w:iCs/>
        </w:rPr>
        <w:t>Baseline Monitoring Report</w:t>
      </w:r>
      <w:r w:rsidRPr="00E53C89">
        <w:t xml:space="preserve"> </w:t>
      </w:r>
    </w:p>
    <w:p w14:paraId="5ACE09C1" w14:textId="55FAFF74" w:rsidR="00E75FA4" w:rsidRPr="00E53C89" w:rsidRDefault="00E75FA4" w:rsidP="00E75FA4">
      <w:pPr>
        <w:numPr>
          <w:ilvl w:val="12"/>
          <w:numId w:val="0"/>
        </w:numPr>
        <w:ind w:left="720"/>
      </w:pPr>
      <w:r w:rsidRPr="00E53C89">
        <w:t xml:space="preserve">For new sources, EPA assumes a 2 percent gross annual growth in </w:t>
      </w:r>
      <w:smartTag w:uri="urn:schemas-microsoft-com:office:smarttags" w:element="PersonName">
        <w:r w:rsidRPr="00E53C89">
          <w:t>the</w:t>
        </w:r>
      </w:smartTag>
      <w:r w:rsidRPr="00E53C89">
        <w:t xml:space="preserve"> number of CIUs. EPA </w:t>
      </w:r>
      <w:r w:rsidR="0098730C" w:rsidRPr="00E53C89">
        <w:t>does anticipate</w:t>
      </w:r>
      <w:r w:rsidRPr="00E53C89">
        <w:t xml:space="preserve"> </w:t>
      </w:r>
      <w:r w:rsidR="00D35879">
        <w:t xml:space="preserve">the </w:t>
      </w:r>
      <w:r w:rsidRPr="00E53C89">
        <w:t xml:space="preserve">promulgation of </w:t>
      </w:r>
      <w:r w:rsidR="00D35879">
        <w:t xml:space="preserve">a </w:t>
      </w:r>
      <w:r w:rsidRPr="00E53C89">
        <w:t>new effluent guidelines for indirect dischargers</w:t>
      </w:r>
      <w:r w:rsidR="00D35879">
        <w:t xml:space="preserve"> in the Dental </w:t>
      </w:r>
      <w:r w:rsidR="003413D4">
        <w:t>Category</w:t>
      </w:r>
      <w:r w:rsidR="00DC7937">
        <w:t xml:space="preserve"> and in the</w:t>
      </w:r>
      <w:r w:rsidR="00DC7937" w:rsidRPr="00DC7937">
        <w:t xml:space="preserve"> Unconventional Oil &amp; Gas </w:t>
      </w:r>
      <w:r w:rsidR="00DC7937">
        <w:t>D</w:t>
      </w:r>
      <w:r w:rsidR="00DC7937" w:rsidRPr="00DC7937">
        <w:t xml:space="preserve">rilling </w:t>
      </w:r>
      <w:r w:rsidR="00DC7937">
        <w:t xml:space="preserve">Categories. </w:t>
      </w:r>
      <w:r w:rsidR="003413D4">
        <w:t>However, the reporting burden for th</w:t>
      </w:r>
      <w:r w:rsidR="00DC7937">
        <w:t>ese</w:t>
      </w:r>
      <w:r w:rsidR="003413D4">
        <w:t xml:space="preserve"> categor</w:t>
      </w:r>
      <w:r w:rsidR="00DC7937">
        <w:t>ies</w:t>
      </w:r>
      <w:r w:rsidR="003413D4">
        <w:t xml:space="preserve"> will be included in separate ICR</w:t>
      </w:r>
      <w:r w:rsidR="00DC7937">
        <w:t>s</w:t>
      </w:r>
      <w:r w:rsidR="003413D4">
        <w:t xml:space="preserve"> specific to th</w:t>
      </w:r>
      <w:r w:rsidR="00DC7937">
        <w:t>ose</w:t>
      </w:r>
      <w:r w:rsidR="003413D4">
        <w:t xml:space="preserve"> rulemaking effort</w:t>
      </w:r>
      <w:r w:rsidR="00DC7937">
        <w:t>s</w:t>
      </w:r>
      <w:r w:rsidR="003413D4">
        <w:t>. EPA does not anticipate</w:t>
      </w:r>
      <w:r w:rsidR="003413D4" w:rsidRPr="003413D4">
        <w:t xml:space="preserve"> the promulgation of </w:t>
      </w:r>
      <w:r w:rsidR="00742E1E">
        <w:t>other</w:t>
      </w:r>
      <w:r w:rsidR="003413D4" w:rsidRPr="003413D4">
        <w:t xml:space="preserve"> new effluent guidelines for indirect dischargers</w:t>
      </w:r>
      <w:r w:rsidRPr="00E53C89">
        <w:t xml:space="preserve"> which would result in </w:t>
      </w:r>
      <w:r w:rsidR="00742E1E">
        <w:t xml:space="preserve">additional </w:t>
      </w:r>
      <w:r w:rsidRPr="00E53C89">
        <w:t>associated BMR requirements.</w:t>
      </w:r>
    </w:p>
    <w:p w14:paraId="2D5921BB" w14:textId="77777777" w:rsidR="00E75FA4" w:rsidRPr="00E53C89" w:rsidRDefault="00E75FA4" w:rsidP="00E75FA4">
      <w:pPr>
        <w:numPr>
          <w:ilvl w:val="12"/>
          <w:numId w:val="0"/>
        </w:numPr>
      </w:pPr>
    </w:p>
    <w:p w14:paraId="4F6FDCFF" w14:textId="77777777" w:rsidR="00E75FA4" w:rsidRPr="00E53C89" w:rsidRDefault="00E75FA4" w:rsidP="00E75FA4">
      <w:pPr>
        <w:numPr>
          <w:ilvl w:val="12"/>
          <w:numId w:val="0"/>
        </w:numPr>
        <w:ind w:left="720"/>
      </w:pPr>
      <w:r w:rsidRPr="00E53C89">
        <w:t>EPA assumes 14.3 hours for new source CIUs conducting baseline monitoring analysis and 28 burden hours for preparing a Baseline Monitoring Report.</w:t>
      </w:r>
    </w:p>
    <w:p w14:paraId="117E0937" w14:textId="77777777" w:rsidR="00E75FA4" w:rsidRPr="00E53C89" w:rsidRDefault="00E75FA4" w:rsidP="00E75FA4">
      <w:pPr>
        <w:numPr>
          <w:ilvl w:val="12"/>
          <w:numId w:val="0"/>
        </w:numPr>
        <w:spacing w:before="120" w:after="120"/>
      </w:pPr>
      <w:r w:rsidRPr="00E53C89">
        <w:tab/>
      </w:r>
      <w:r w:rsidRPr="00E53C89">
        <w:rPr>
          <w:b/>
          <w:bCs/>
          <w:i/>
          <w:iCs/>
        </w:rPr>
        <w:t>IU Compliance Schedule Progress Report</w:t>
      </w:r>
      <w:r w:rsidRPr="00E53C89">
        <w:t xml:space="preserve"> </w:t>
      </w:r>
    </w:p>
    <w:p w14:paraId="2B345002" w14:textId="33FFC42D" w:rsidR="00E75FA4" w:rsidRPr="00E53C89" w:rsidRDefault="00E75FA4" w:rsidP="00E75FA4">
      <w:pPr>
        <w:numPr>
          <w:ilvl w:val="12"/>
          <w:numId w:val="0"/>
        </w:numPr>
        <w:ind w:left="720"/>
      </w:pPr>
      <w:r w:rsidRPr="00E53C89">
        <w:t>For new sources, EPA assumes a 2 percent gross annual growth in the number of CIUs. In the recalculation of the entire pretreatment program</w:t>
      </w:r>
      <w:r w:rsidRPr="00D744E1">
        <w:t xml:space="preserve">, done as part of the Pretreatment Streamlining ICR (EPA ICR No. 0002.12) and explained </w:t>
      </w:r>
      <w:r w:rsidR="00D744E1" w:rsidRPr="00D744E1">
        <w:t>in</w:t>
      </w:r>
      <w:r w:rsidR="007C3AF0" w:rsidRPr="00D744E1">
        <w:t xml:space="preserve"> section</w:t>
      </w:r>
      <w:r w:rsidR="00D744E1" w:rsidRPr="00D744E1">
        <w:t xml:space="preserve"> 1</w:t>
      </w:r>
      <w:r w:rsidRPr="00E53C89">
        <w:t>, EPA estimated that 25 percent of new sources or facilities subject to new effluent guidelines would need to complete compliance schedules. The Agency fur</w:t>
      </w:r>
      <w:smartTag w:uri="urn:schemas-microsoft-com:office:smarttags" w:element="PersonName">
        <w:r w:rsidRPr="00E53C89">
          <w:t>the</w:t>
        </w:r>
      </w:smartTag>
      <w:r w:rsidRPr="00E53C89">
        <w:t xml:space="preserve">r assumed an IU would require 4 hours to prepare each compliance schedule progress report. EPA is carrying forward </w:t>
      </w:r>
      <w:smartTag w:uri="urn:schemas-microsoft-com:office:smarttags" w:element="PersonName">
        <w:r w:rsidRPr="00E53C89">
          <w:t>the</w:t>
        </w:r>
      </w:smartTag>
      <w:r w:rsidRPr="00E53C89">
        <w:t>se assumptions for this ICR.</w:t>
      </w:r>
    </w:p>
    <w:p w14:paraId="10EE2C14" w14:textId="77777777" w:rsidR="00E75FA4" w:rsidRPr="00E53C89" w:rsidRDefault="00E75FA4" w:rsidP="00E75FA4">
      <w:pPr>
        <w:keepNext/>
        <w:keepLines/>
        <w:numPr>
          <w:ilvl w:val="12"/>
          <w:numId w:val="0"/>
        </w:numPr>
        <w:spacing w:before="120" w:after="120"/>
      </w:pPr>
      <w:r w:rsidRPr="00E53C89">
        <w:tab/>
      </w:r>
      <w:r w:rsidRPr="00E53C89">
        <w:rPr>
          <w:b/>
          <w:bCs/>
          <w:i/>
          <w:iCs/>
        </w:rPr>
        <w:t>IU Compliance Attainment Report</w:t>
      </w:r>
      <w:r w:rsidRPr="00E53C89">
        <w:t xml:space="preserve"> </w:t>
      </w:r>
    </w:p>
    <w:p w14:paraId="1C1DBC75" w14:textId="77777777" w:rsidR="00E75FA4" w:rsidRPr="00E53C89" w:rsidRDefault="00E75FA4" w:rsidP="00E75FA4">
      <w:pPr>
        <w:numPr>
          <w:ilvl w:val="12"/>
          <w:numId w:val="0"/>
        </w:numPr>
        <w:ind w:left="720"/>
      </w:pPr>
      <w:r w:rsidRPr="00E53C89">
        <w:t xml:space="preserve">CIUs must complete a compliance attainment report within 90 days following </w:t>
      </w:r>
      <w:smartTag w:uri="urn:schemas-microsoft-com:office:smarttags" w:element="PersonName">
        <w:r w:rsidRPr="00E53C89">
          <w:t>the</w:t>
        </w:r>
      </w:smartTag>
      <w:r w:rsidRPr="00E53C89">
        <w:t xml:space="preserve"> date for final compliance with a categorical pretreatment standard. New source CIUs must provide such a report within 90 days of commencing discharge of </w:t>
      </w:r>
      <w:smartTag w:uri="urn:schemas-microsoft-com:office:smarttags" w:element="PersonName">
        <w:r w:rsidRPr="00E53C89">
          <w:t>the</w:t>
        </w:r>
      </w:smartTag>
      <w:r w:rsidRPr="00E53C89">
        <w:t xml:space="preserve"> categorically regulated wastestream to </w:t>
      </w:r>
      <w:smartTag w:uri="urn:schemas-microsoft-com:office:smarttags" w:element="PersonName">
        <w:r w:rsidRPr="00E53C89">
          <w:t>the</w:t>
        </w:r>
      </w:smartTag>
      <w:r w:rsidRPr="00E53C89">
        <w:t xml:space="preserve"> POTW. EPA has annualized </w:t>
      </w:r>
      <w:smartTag w:uri="urn:schemas-microsoft-com:office:smarttags" w:element="PersonName">
        <w:r w:rsidRPr="00E53C89">
          <w:t>the</w:t>
        </w:r>
      </w:smartTag>
      <w:r w:rsidRPr="00E53C89">
        <w:t xml:space="preserve"> burden for new sources over </w:t>
      </w:r>
      <w:smartTag w:uri="urn:schemas-microsoft-com:office:smarttags" w:element="PersonName">
        <w:r w:rsidRPr="00E53C89">
          <w:t>the</w:t>
        </w:r>
      </w:smartTag>
      <w:r w:rsidRPr="00E53C89">
        <w:t xml:space="preserve"> 3-year ICR period. EPA estimates that </w:t>
      </w:r>
      <w:r>
        <w:t>C</w:t>
      </w:r>
      <w:r w:rsidRPr="00E53C89">
        <w:t xml:space="preserve">IUs will require 20 hours to prepare </w:t>
      </w:r>
      <w:smartTag w:uri="urn:schemas-microsoft-com:office:smarttags" w:element="PersonName">
        <w:r w:rsidRPr="00E53C89">
          <w:t>the</w:t>
        </w:r>
      </w:smartTag>
      <w:r w:rsidRPr="00E53C89">
        <w:t xml:space="preserve"> compliance attainment reports and </w:t>
      </w:r>
      <w:r w:rsidRPr="006569D0">
        <w:t>14.3</w:t>
      </w:r>
      <w:r w:rsidRPr="00E53C89">
        <w:t xml:space="preserve"> hours to conduct </w:t>
      </w:r>
      <w:smartTag w:uri="urn:schemas-microsoft-com:office:smarttags" w:element="PersonName">
        <w:r w:rsidRPr="00E53C89">
          <w:t>the</w:t>
        </w:r>
      </w:smartTag>
      <w:r w:rsidRPr="00E53C89">
        <w:t xml:space="preserve"> associated analyses.</w:t>
      </w:r>
    </w:p>
    <w:p w14:paraId="3BD38907" w14:textId="77777777" w:rsidR="00E75FA4" w:rsidRPr="00E53C89" w:rsidRDefault="00E75FA4" w:rsidP="00E75FA4">
      <w:pPr>
        <w:numPr>
          <w:ilvl w:val="12"/>
          <w:numId w:val="0"/>
        </w:numPr>
        <w:spacing w:before="120" w:after="120"/>
      </w:pPr>
      <w:r w:rsidRPr="00E53C89">
        <w:rPr>
          <w:b/>
          <w:bCs/>
          <w:i/>
          <w:iCs/>
        </w:rPr>
        <w:tab/>
        <w:t>IU Resampling Compliance Report</w:t>
      </w:r>
    </w:p>
    <w:p w14:paraId="3D3CB80C" w14:textId="77777777" w:rsidR="00E75FA4" w:rsidRPr="00E53C89" w:rsidRDefault="00E75FA4" w:rsidP="00E75FA4">
      <w:pPr>
        <w:numPr>
          <w:ilvl w:val="12"/>
          <w:numId w:val="0"/>
        </w:numPr>
        <w:ind w:left="720"/>
      </w:pPr>
      <w:r w:rsidRPr="00E53C89">
        <w:t xml:space="preserve">All IUs are required to notify </w:t>
      </w:r>
      <w:smartTag w:uri="urn:schemas-microsoft-com:office:smarttags" w:element="PersonName">
        <w:r w:rsidRPr="00E53C89">
          <w:t>the</w:t>
        </w:r>
      </w:smartTag>
      <w:r w:rsidRPr="00E53C89">
        <w:t xml:space="preserve"> CA immediately of all discharges that could potentially cause problems for </w:t>
      </w:r>
      <w:smartTag w:uri="urn:schemas-microsoft-com:office:smarttags" w:element="PersonName">
        <w:r w:rsidRPr="00E53C89">
          <w:t>the</w:t>
        </w:r>
      </w:smartTag>
      <w:r w:rsidRPr="00E53C89">
        <w:t xml:space="preserve"> POTW. IUs are fur</w:t>
      </w:r>
      <w:smartTag w:uri="urn:schemas-microsoft-com:office:smarttags" w:element="PersonName">
        <w:r w:rsidRPr="00E53C89">
          <w:t>the</w:t>
        </w:r>
      </w:smartTag>
      <w:r w:rsidRPr="00E53C89">
        <w:t xml:space="preserve">r required to notify the CA and resample following a violation. EPA assumes that 10 percent of all IUs will need to resample every year. The 1,500 IUs with PFPR P2 certification are not included in </w:t>
      </w:r>
      <w:smartTag w:uri="urn:schemas-microsoft-com:office:smarttags" w:element="PersonName">
        <w:r w:rsidRPr="00E53C89">
          <w:t>the</w:t>
        </w:r>
      </w:smartTag>
      <w:r w:rsidRPr="00E53C89">
        <w:t xml:space="preserve"> estimate because </w:t>
      </w:r>
      <w:smartTag w:uri="urn:schemas-microsoft-com:office:smarttags" w:element="PersonName">
        <w:r w:rsidRPr="00E53C89">
          <w:t>the</w:t>
        </w:r>
      </w:smartTag>
      <w:r w:rsidRPr="00E53C89">
        <w:t xml:space="preserve"> resampling requirements do not apply to </w:t>
      </w:r>
      <w:smartTag w:uri="urn:schemas-microsoft-com:office:smarttags" w:element="PersonName">
        <w:r w:rsidRPr="00E53C89">
          <w:t>the</w:t>
        </w:r>
      </w:smartTag>
      <w:r w:rsidRPr="00E53C89">
        <w:t xml:space="preserve">se facilities. EPA assumes that an IU will require 4 hours for sampling, 12 hours for analysis, and 1 hour for reporting each year. </w:t>
      </w:r>
    </w:p>
    <w:p w14:paraId="5D6D6A6A" w14:textId="77777777" w:rsidR="00E75FA4" w:rsidRPr="00E53C89" w:rsidRDefault="00E75FA4" w:rsidP="00E75FA4">
      <w:pPr>
        <w:numPr>
          <w:ilvl w:val="12"/>
          <w:numId w:val="0"/>
        </w:numPr>
        <w:spacing w:before="120" w:after="120"/>
      </w:pPr>
      <w:r w:rsidRPr="00E53C89">
        <w:tab/>
      </w:r>
      <w:r w:rsidRPr="00E53C89">
        <w:rPr>
          <w:b/>
          <w:bCs/>
          <w:i/>
          <w:iCs/>
        </w:rPr>
        <w:t>IU Self-Monitoring Compliance Report</w:t>
      </w:r>
      <w:r w:rsidRPr="00E53C89">
        <w:t xml:space="preserve"> </w:t>
      </w:r>
    </w:p>
    <w:p w14:paraId="49985E57" w14:textId="77777777" w:rsidR="00E75FA4" w:rsidRPr="00E53C89" w:rsidRDefault="00E75FA4" w:rsidP="00E75FA4">
      <w:pPr>
        <w:keepNext/>
        <w:keepLines/>
        <w:tabs>
          <w:tab w:val="left" w:pos="-1440"/>
        </w:tabs>
        <w:ind w:left="720"/>
      </w:pPr>
      <w:r w:rsidRPr="00E53C89">
        <w:t xml:space="preserve">Under </w:t>
      </w:r>
      <w:smartTag w:uri="urn:schemas-microsoft-com:office:smarttags" w:element="PersonName">
        <w:r w:rsidRPr="00E53C89">
          <w:t>the</w:t>
        </w:r>
      </w:smartTag>
      <w:r w:rsidRPr="00E53C89">
        <w:t xml:space="preserve"> Streamlining Rule, NSCIUs are not required to conduct periodic self-monitoring; instead, </w:t>
      </w:r>
      <w:smartTag w:uri="urn:schemas-microsoft-com:office:smarttags" w:element="PersonName">
        <w:r w:rsidRPr="00E53C89">
          <w:t>the</w:t>
        </w:r>
      </w:smartTag>
      <w:r w:rsidRPr="00E53C89">
        <w:t>y are required to submit annual certifications. (This ICR assumes that sampling and analysis is required once every 5 years to complete this certification.) In addition, certain middle tier CIUs will monitor and report once a year instead of twice a year. These assumption</w:t>
      </w:r>
      <w:r>
        <w:t>s</w:t>
      </w:r>
      <w:r w:rsidRPr="00E53C89">
        <w:t xml:space="preserve"> are carried forward from the Pretreatment Streamlining ICR.</w:t>
      </w:r>
    </w:p>
    <w:p w14:paraId="756816C7" w14:textId="77777777" w:rsidR="00E75FA4" w:rsidRPr="00E53C89" w:rsidRDefault="00E75FA4" w:rsidP="00E75FA4">
      <w:pPr>
        <w:tabs>
          <w:tab w:val="left" w:pos="-1440"/>
        </w:tabs>
      </w:pPr>
    </w:p>
    <w:p w14:paraId="353ED511" w14:textId="77777777" w:rsidR="00E75FA4" w:rsidRPr="00E53C89" w:rsidRDefault="00E75FA4" w:rsidP="00E75FA4">
      <w:pPr>
        <w:tabs>
          <w:tab w:val="left" w:pos="-1440"/>
        </w:tabs>
        <w:ind w:left="720"/>
      </w:pPr>
      <w:r w:rsidRPr="00E53C89">
        <w:t xml:space="preserve">The Streamlining Rule ICR assumed that a CIU will require </w:t>
      </w:r>
      <w:r w:rsidRPr="001426BC">
        <w:t>11.6</w:t>
      </w:r>
      <w:r w:rsidRPr="00E53C89">
        <w:t xml:space="preserve"> hours and a non-categorical SIU will require 9.5 hours to complete the report twice per year. EPA has excluded PFPR facilities opting for </w:t>
      </w:r>
      <w:smartTag w:uri="urn:schemas-microsoft-com:office:smarttags" w:element="PersonName">
        <w:r w:rsidRPr="00E53C89">
          <w:t>the</w:t>
        </w:r>
      </w:smartTag>
      <w:r w:rsidRPr="00E53C89">
        <w:t xml:space="preserve"> P2 option from </w:t>
      </w:r>
      <w:smartTag w:uri="urn:schemas-microsoft-com:office:smarttags" w:element="PersonName">
        <w:r w:rsidRPr="00E53C89">
          <w:t>the</w:t>
        </w:r>
      </w:smartTag>
      <w:r w:rsidRPr="00E53C89">
        <w:t xml:space="preserve"> estimate because </w:t>
      </w:r>
      <w:smartTag w:uri="urn:schemas-microsoft-com:office:smarttags" w:element="PersonName">
        <w:r w:rsidRPr="00E53C89">
          <w:t>the</w:t>
        </w:r>
      </w:smartTag>
      <w:r w:rsidRPr="00E53C89">
        <w:t>se facilities have no monitoring requirements.</w:t>
      </w:r>
    </w:p>
    <w:p w14:paraId="4680C1EB" w14:textId="77777777" w:rsidR="00E75FA4" w:rsidRPr="00E53C89" w:rsidRDefault="00E75FA4" w:rsidP="00E75FA4">
      <w:pPr>
        <w:keepNext/>
        <w:numPr>
          <w:ilvl w:val="12"/>
          <w:numId w:val="0"/>
        </w:numPr>
        <w:spacing w:before="120" w:after="120"/>
        <w:rPr>
          <w:b/>
          <w:bCs/>
          <w:i/>
          <w:iCs/>
        </w:rPr>
      </w:pPr>
      <w:r w:rsidRPr="00E53C89">
        <w:tab/>
      </w:r>
      <w:r w:rsidRPr="00E53C89">
        <w:rPr>
          <w:b/>
          <w:bCs/>
          <w:i/>
          <w:iCs/>
        </w:rPr>
        <w:t>Pollution Prevention Plans</w:t>
      </w:r>
    </w:p>
    <w:p w14:paraId="549C3EEB" w14:textId="77777777" w:rsidR="00E75FA4" w:rsidRPr="00E53C89" w:rsidRDefault="00E75FA4" w:rsidP="00E75FA4">
      <w:pPr>
        <w:numPr>
          <w:ilvl w:val="12"/>
          <w:numId w:val="0"/>
        </w:numPr>
        <w:ind w:left="720"/>
      </w:pPr>
      <w:r w:rsidRPr="00E53C89">
        <w:t xml:space="preserve">This ICR assumes that all PFPR facilities (1,500 facilities) will opt for </w:t>
      </w:r>
      <w:smartTag w:uri="urn:schemas-microsoft-com:office:smarttags" w:element="PersonName">
        <w:r w:rsidRPr="00E53C89">
          <w:t>the</w:t>
        </w:r>
      </w:smartTag>
      <w:r w:rsidRPr="00E53C89">
        <w:t xml:space="preserve"> P2 alternative and that all 1,500 facilities have already prepared and submitted an initial certification for </w:t>
      </w:r>
      <w:smartTag w:uri="urn:schemas-microsoft-com:office:smarttags" w:element="PersonName">
        <w:r w:rsidRPr="00E53C89">
          <w:t>the</w:t>
        </w:r>
      </w:smartTag>
      <w:r w:rsidRPr="00E53C89">
        <w:t xml:space="preserve"> P2 alternative. Consistent with </w:t>
      </w:r>
      <w:smartTag w:uri="urn:schemas-microsoft-com:office:smarttags" w:element="PersonName">
        <w:r w:rsidRPr="00E53C89">
          <w:t>the</w:t>
        </w:r>
      </w:smartTag>
      <w:r w:rsidRPr="00E53C89">
        <w:t xml:space="preserve"> assumptions in </w:t>
      </w:r>
      <w:smartTag w:uri="urn:schemas-microsoft-com:office:smarttags" w:element="PersonName">
        <w:r w:rsidRPr="00E53C89">
          <w:t>the</w:t>
        </w:r>
      </w:smartTag>
      <w:r w:rsidRPr="00E53C89">
        <w:t xml:space="preserve"> preamble for </w:t>
      </w:r>
      <w:smartTag w:uri="urn:schemas-microsoft-com:office:smarttags" w:element="PersonName">
        <w:r w:rsidRPr="00E53C89">
          <w:t>the</w:t>
        </w:r>
      </w:smartTag>
      <w:r w:rsidRPr="00E53C89">
        <w:t xml:space="preserve"> PFPR rule (61 FR 57541), this ICR assumes that 10 percent of </w:t>
      </w:r>
      <w:smartTag w:uri="urn:schemas-microsoft-com:office:smarttags" w:element="PersonName">
        <w:r w:rsidRPr="00E53C89">
          <w:t>the</w:t>
        </w:r>
      </w:smartTag>
      <w:r w:rsidRPr="00E53C89">
        <w:t xml:space="preserve"> facilities that are implementing a P2 alternative plan will submit modifications to P2 plans. The burden for </w:t>
      </w:r>
      <w:smartTag w:uri="urn:schemas-microsoft-com:office:smarttags" w:element="PersonName">
        <w:r w:rsidRPr="00E53C89">
          <w:t>the</w:t>
        </w:r>
      </w:smartTag>
      <w:r w:rsidRPr="00E53C89">
        <w:t xml:space="preserve"> periodic </w:t>
      </w:r>
      <w:r w:rsidRPr="00E53C89">
        <w:lastRenderedPageBreak/>
        <w:t>certification requirements is discussed below under “Periodic Certifications.”</w:t>
      </w:r>
    </w:p>
    <w:p w14:paraId="0926A274" w14:textId="77777777" w:rsidR="00E75FA4" w:rsidRPr="00E53C89" w:rsidRDefault="00E75FA4" w:rsidP="00E75FA4">
      <w:pPr>
        <w:keepNext/>
        <w:numPr>
          <w:ilvl w:val="12"/>
          <w:numId w:val="0"/>
        </w:numPr>
        <w:spacing w:before="120" w:after="120"/>
        <w:ind w:left="720"/>
        <w:rPr>
          <w:b/>
          <w:bCs/>
          <w:i/>
          <w:iCs/>
        </w:rPr>
      </w:pPr>
      <w:r w:rsidRPr="00E53C89">
        <w:rPr>
          <w:b/>
          <w:bCs/>
          <w:i/>
          <w:iCs/>
        </w:rPr>
        <w:t>Minimum Monitoring Requirements for Indirect Discharging Mills in the Bleached Papergrade Kraft and Soda Subcategory and the Papergrade Sulfite Subcategory of the Pulp, Paper, and Paperboard Point Source Category</w:t>
      </w:r>
    </w:p>
    <w:p w14:paraId="2A32F0E4" w14:textId="77777777" w:rsidR="00E75FA4" w:rsidRPr="00E53C89" w:rsidRDefault="00E75FA4" w:rsidP="00E75FA4">
      <w:pPr>
        <w:numPr>
          <w:ilvl w:val="12"/>
          <w:numId w:val="0"/>
        </w:numPr>
        <w:ind w:left="720"/>
      </w:pPr>
      <w:r w:rsidRPr="00E53C89">
        <w:t>EPA estimates that 10 facilities would be subject to these requirements. EPA estimates that the burden to respondents associated with collecting, reporting and maintaining records of monitoring data is 826 hours.</w:t>
      </w:r>
    </w:p>
    <w:p w14:paraId="7F502FDE" w14:textId="77777777" w:rsidR="00E75FA4" w:rsidRPr="00725A49" w:rsidRDefault="00E75FA4" w:rsidP="00E75FA4">
      <w:pPr>
        <w:keepNext/>
        <w:numPr>
          <w:ilvl w:val="12"/>
          <w:numId w:val="0"/>
        </w:numPr>
        <w:spacing w:before="120" w:after="120"/>
        <w:ind w:left="720"/>
        <w:rPr>
          <w:b/>
          <w:bCs/>
          <w:i/>
          <w:iCs/>
        </w:rPr>
      </w:pPr>
      <w:r w:rsidRPr="0071779B">
        <w:rPr>
          <w:b/>
          <w:bCs/>
          <w:i/>
          <w:iCs/>
        </w:rPr>
        <w:t>Pollution Prevention Compliance Alternative; Transportation Equipment Cl</w:t>
      </w:r>
      <w:r w:rsidRPr="00725A49">
        <w:rPr>
          <w:b/>
          <w:bCs/>
          <w:i/>
          <w:iCs/>
        </w:rPr>
        <w:t>eaning Point Source Category.</w:t>
      </w:r>
    </w:p>
    <w:p w14:paraId="42495E12" w14:textId="77777777" w:rsidR="00E75FA4" w:rsidRPr="00E53C89" w:rsidRDefault="00E75FA4" w:rsidP="00E75FA4">
      <w:pPr>
        <w:numPr>
          <w:ilvl w:val="12"/>
          <w:numId w:val="0"/>
        </w:numPr>
        <w:ind w:left="720"/>
      </w:pPr>
      <w:r w:rsidRPr="004D1BC8">
        <w:t>EPA estimates that 84 facilities would be subject to these requirements.</w:t>
      </w:r>
    </w:p>
    <w:p w14:paraId="13AAAD49" w14:textId="77777777" w:rsidR="00E75FA4" w:rsidRPr="00E53C89" w:rsidRDefault="00E75FA4" w:rsidP="00E75FA4">
      <w:pPr>
        <w:numPr>
          <w:ilvl w:val="12"/>
          <w:numId w:val="0"/>
        </w:numPr>
        <w:spacing w:before="120" w:after="120"/>
        <w:ind w:left="720"/>
        <w:rPr>
          <w:i/>
          <w:iCs/>
        </w:rPr>
      </w:pPr>
      <w:r w:rsidRPr="00E53C89">
        <w:rPr>
          <w:b/>
          <w:bCs/>
          <w:i/>
          <w:iCs/>
        </w:rPr>
        <w:t xml:space="preserve">Best Management Practices for the Bleached Papergrade Kraft and Soda Subcategory and the Papergrade Sulfite Subcategory of the Pulp, Paper and Paperboard Point Source Category </w:t>
      </w:r>
    </w:p>
    <w:p w14:paraId="15C68DB5" w14:textId="77777777" w:rsidR="00E75FA4" w:rsidRPr="00E53C89" w:rsidRDefault="00E75FA4" w:rsidP="00E75FA4">
      <w:pPr>
        <w:numPr>
          <w:ilvl w:val="12"/>
          <w:numId w:val="0"/>
        </w:numPr>
        <w:ind w:left="720"/>
      </w:pPr>
      <w:r w:rsidRPr="00E53C89">
        <w:t xml:space="preserve">EPA estimates that 10 facilities would be subject to these requirements. </w:t>
      </w:r>
    </w:p>
    <w:p w14:paraId="2E5BC1CD" w14:textId="47003CA1" w:rsidR="00E75FA4" w:rsidRPr="00E53C89" w:rsidRDefault="00E75FA4" w:rsidP="00E75FA4">
      <w:pPr>
        <w:keepNext/>
        <w:numPr>
          <w:ilvl w:val="12"/>
          <w:numId w:val="0"/>
        </w:numPr>
        <w:spacing w:before="120" w:after="120"/>
        <w:rPr>
          <w:b/>
          <w:i/>
        </w:rPr>
      </w:pPr>
      <w:r w:rsidRPr="00E53C89">
        <w:tab/>
      </w:r>
      <w:r w:rsidRPr="00E53C89">
        <w:rPr>
          <w:b/>
          <w:i/>
        </w:rPr>
        <w:t>Request for Coverage Under a General Control Mechanism</w:t>
      </w:r>
    </w:p>
    <w:p w14:paraId="11268F2C" w14:textId="77777777" w:rsidR="00E75FA4" w:rsidRPr="00E53C89" w:rsidRDefault="00E75FA4" w:rsidP="00E75FA4">
      <w:pPr>
        <w:keepNext/>
        <w:tabs>
          <w:tab w:val="left" w:pos="-1440"/>
        </w:tabs>
        <w:ind w:left="720"/>
      </w:pPr>
      <w:r w:rsidRPr="00E53C89">
        <w:t xml:space="preserve">This ICR assumes that </w:t>
      </w:r>
      <w:r>
        <w:t>2 percent of all</w:t>
      </w:r>
      <w:r w:rsidRPr="00E53C89">
        <w:t xml:space="preserve"> </w:t>
      </w:r>
      <w:r>
        <w:t>S</w:t>
      </w:r>
      <w:r w:rsidRPr="00E53C89">
        <w:t xml:space="preserve">IUs will </w:t>
      </w:r>
      <w:r>
        <w:t>be</w:t>
      </w:r>
      <w:r w:rsidRPr="00E53C89">
        <w:t xml:space="preserve"> </w:t>
      </w:r>
      <w:r>
        <w:t>covered</w:t>
      </w:r>
      <w:r w:rsidRPr="00E53C89">
        <w:t xml:space="preserve"> under a general control mechanism. EPA estimates that an IU will require 0.5 hour to complete each request.</w:t>
      </w:r>
    </w:p>
    <w:p w14:paraId="0F4F3938" w14:textId="77777777" w:rsidR="00E75FA4" w:rsidRPr="00E53C89" w:rsidRDefault="00E75FA4" w:rsidP="00E75FA4">
      <w:pPr>
        <w:numPr>
          <w:ilvl w:val="12"/>
          <w:numId w:val="0"/>
        </w:numPr>
        <w:spacing w:before="120" w:after="120"/>
        <w:ind w:left="720"/>
      </w:pPr>
      <w:r w:rsidRPr="00E53C89">
        <w:rPr>
          <w:b/>
          <w:bCs/>
          <w:i/>
          <w:iCs/>
        </w:rPr>
        <w:t>Periodic Certifications</w:t>
      </w:r>
    </w:p>
    <w:p w14:paraId="6D52CF97" w14:textId="7FC3D574" w:rsidR="00E75FA4" w:rsidRPr="00E53C89" w:rsidRDefault="00E75FA4" w:rsidP="00E75FA4">
      <w:pPr>
        <w:numPr>
          <w:ilvl w:val="12"/>
          <w:numId w:val="0"/>
        </w:numPr>
        <w:ind w:left="720"/>
      </w:pPr>
      <w:r w:rsidRPr="00E53C89">
        <w:t xml:space="preserve">Below is a summary of assumptions about </w:t>
      </w:r>
      <w:smartTag w:uri="urn:schemas-microsoft-com:office:smarttags" w:element="PersonName">
        <w:r w:rsidRPr="00E53C89">
          <w:t>the</w:t>
        </w:r>
      </w:smartTag>
      <w:r w:rsidRPr="00E53C89">
        <w:t xml:space="preserve"> universe of indirect dischargers with certification potential (the number of facilities covered by </w:t>
      </w:r>
      <w:smartTag w:uri="urn:schemas-microsoft-com:office:smarttags" w:element="PersonName">
        <w:r w:rsidRPr="00E53C89">
          <w:t>the</w:t>
        </w:r>
      </w:smartTag>
      <w:r w:rsidRPr="00E53C89">
        <w:t xml:space="preserve"> relevant part or subpart(s) of 40 CFR, Chapter I, Subchapter N). EPA assumes in this ICR that periodic certifications require </w:t>
      </w:r>
      <w:r>
        <w:t>C</w:t>
      </w:r>
      <w:r w:rsidRPr="00E53C89">
        <w:t xml:space="preserve">IUs 1 hour to complete, which is consistent with </w:t>
      </w:r>
      <w:smartTag w:uri="urn:schemas-microsoft-com:office:smarttags" w:element="PersonName">
        <w:r w:rsidRPr="00E53C89">
          <w:t>the</w:t>
        </w:r>
      </w:smartTag>
      <w:r w:rsidRPr="00E53C89">
        <w:t xml:space="preserve"> </w:t>
      </w:r>
      <w:r w:rsidRPr="00E53C89">
        <w:rPr>
          <w:i/>
          <w:iCs/>
        </w:rPr>
        <w:t xml:space="preserve">Information Collection Request for </w:t>
      </w:r>
      <w:smartTag w:uri="urn:schemas-microsoft-com:office:smarttags" w:element="PersonName">
        <w:r w:rsidRPr="00E53C89">
          <w:rPr>
            <w:i/>
            <w:iCs/>
          </w:rPr>
          <w:t>the</w:t>
        </w:r>
      </w:smartTag>
      <w:r w:rsidRPr="00E53C89">
        <w:rPr>
          <w:i/>
          <w:iCs/>
        </w:rPr>
        <w:t xml:space="preserve"> NPDES/ Compliance Assessment/ Certification Information </w:t>
      </w:r>
      <w:r w:rsidRPr="00E53C89">
        <w:t xml:space="preserve">(OMB No. 2040-0110, EPA ICR No. 1427.07). Assumptions regarding </w:t>
      </w:r>
      <w:smartTag w:uri="urn:schemas-microsoft-com:office:smarttags" w:element="PersonName">
        <w:r w:rsidRPr="00E53C89">
          <w:t>the</w:t>
        </w:r>
      </w:smartTag>
      <w:r w:rsidRPr="00E53C89">
        <w:t xml:space="preserve"> percentage of facilities that will undertake certifications activities are summarized below. Except where noted, </w:t>
      </w:r>
      <w:smartTag w:uri="urn:schemas-microsoft-com:office:smarttags" w:element="PersonName">
        <w:r w:rsidRPr="00E53C89">
          <w:t>the</w:t>
        </w:r>
      </w:smartTag>
      <w:r w:rsidRPr="00E53C89">
        <w:t xml:space="preserve">se assumptions are also consistent with </w:t>
      </w:r>
      <w:smartTag w:uri="urn:schemas-microsoft-com:office:smarttags" w:element="PersonName">
        <w:r w:rsidRPr="00E53C89">
          <w:t>the</w:t>
        </w:r>
      </w:smartTag>
      <w:r w:rsidRPr="00E53C89">
        <w:t xml:space="preserve"> </w:t>
      </w:r>
      <w:r w:rsidRPr="00E53C89">
        <w:rPr>
          <w:i/>
          <w:iCs/>
        </w:rPr>
        <w:t xml:space="preserve">Information Collection Request for </w:t>
      </w:r>
      <w:smartTag w:uri="urn:schemas-microsoft-com:office:smarttags" w:element="PersonName">
        <w:r w:rsidRPr="00E53C89">
          <w:rPr>
            <w:i/>
            <w:iCs/>
          </w:rPr>
          <w:t>the</w:t>
        </w:r>
      </w:smartTag>
      <w:r w:rsidRPr="00E53C89">
        <w:rPr>
          <w:i/>
          <w:iCs/>
        </w:rPr>
        <w:t xml:space="preserve"> NPDES/ Compliance Assessment/ Certification Information. </w:t>
      </w:r>
      <w:r w:rsidRPr="00E53C89">
        <w:rPr>
          <w:iCs/>
        </w:rPr>
        <w:t>A</w:t>
      </w:r>
      <w:r w:rsidRPr="00E53C89">
        <w:t xml:space="preserve">ssumptions regarding </w:t>
      </w:r>
      <w:smartTag w:uri="urn:schemas-microsoft-com:office:smarttags" w:element="PersonName">
        <w:r w:rsidRPr="00E53C89">
          <w:t>the</w:t>
        </w:r>
      </w:smartTag>
      <w:r w:rsidRPr="00E53C89">
        <w:t xml:space="preserve"> number of responses per year are also explained below.</w:t>
      </w:r>
      <w:r w:rsidR="004B15F7" w:rsidRPr="004B15F7">
        <w:t xml:space="preserve"> EPA developed these estimates for a previous ICR and did not attempt to recalculate the numbers as there is no </w:t>
      </w:r>
      <w:r w:rsidR="004B15F7">
        <w:t xml:space="preserve">readily available source or </w:t>
      </w:r>
      <w:r w:rsidR="004B15F7" w:rsidRPr="004B15F7">
        <w:t xml:space="preserve">indication </w:t>
      </w:r>
      <w:r w:rsidR="004B15F7">
        <w:t xml:space="preserve">that </w:t>
      </w:r>
      <w:r w:rsidR="004B15F7" w:rsidRPr="004B15F7">
        <w:t>these assumptions are incorrect or require revision</w:t>
      </w:r>
      <w:r w:rsidR="004B15F7">
        <w:t>.</w:t>
      </w:r>
    </w:p>
    <w:p w14:paraId="1CF2C12E" w14:textId="77777777" w:rsidR="00E75FA4" w:rsidRPr="00E53C89" w:rsidRDefault="00E75FA4" w:rsidP="00E75FA4">
      <w:pPr>
        <w:numPr>
          <w:ilvl w:val="12"/>
          <w:numId w:val="0"/>
        </w:numPr>
      </w:pPr>
    </w:p>
    <w:p w14:paraId="27E9B5CA" w14:textId="77777777" w:rsidR="00E75FA4" w:rsidRPr="00E53C89" w:rsidRDefault="00E75FA4" w:rsidP="00436B56">
      <w:pPr>
        <w:widowControl/>
        <w:numPr>
          <w:ilvl w:val="0"/>
          <w:numId w:val="15"/>
        </w:numPr>
        <w:tabs>
          <w:tab w:val="left" w:pos="720"/>
          <w:tab w:val="left" w:pos="1440"/>
        </w:tabs>
        <w:autoSpaceDE/>
        <w:autoSpaceDN/>
        <w:adjustRightInd/>
        <w:spacing w:before="120" w:after="120"/>
      </w:pPr>
      <w:r w:rsidRPr="00E53C89">
        <w:rPr>
          <w:i/>
          <w:iCs/>
        </w:rPr>
        <w:t>Aluminum Forming Point Source Category (Part 467)</w:t>
      </w:r>
      <w:r w:rsidRPr="00E53C89">
        <w:t xml:space="preserve">. The estimated number of indirect dischargers in the Aluminum Forming Point Source Category (72 facilities) is from the </w:t>
      </w:r>
      <w:r w:rsidRPr="00E53C89">
        <w:rPr>
          <w:i/>
          <w:iCs/>
        </w:rPr>
        <w:t xml:space="preserve">Development Document for Effluent Limitations Guidelines and Standards for the Aluminum Forming: Point Source Category </w:t>
      </w:r>
      <w:r w:rsidRPr="00E53C89">
        <w:t xml:space="preserve">(EPA 440184073, June 1984). EPA estimates that approximately 75 percent of </w:t>
      </w:r>
      <w:smartTag w:uri="urn:schemas-microsoft-com:office:smarttags" w:element="PersonName">
        <w:r w:rsidRPr="00E53C89">
          <w:t>the</w:t>
        </w:r>
      </w:smartTag>
      <w:r w:rsidRPr="00E53C89">
        <w:t>se 72 aluminum forming facilities will choose to submit an annual certification requesting an exemption from cyanide monitoring.</w:t>
      </w:r>
    </w:p>
    <w:p w14:paraId="4BEFC313" w14:textId="77777777" w:rsidR="00E75FA4" w:rsidRPr="00E53C89" w:rsidRDefault="00E75FA4" w:rsidP="00436B56">
      <w:pPr>
        <w:widowControl/>
        <w:numPr>
          <w:ilvl w:val="0"/>
          <w:numId w:val="15"/>
        </w:numPr>
        <w:tabs>
          <w:tab w:val="left" w:pos="720"/>
          <w:tab w:val="left" w:pos="1440"/>
        </w:tabs>
        <w:autoSpaceDE/>
        <w:autoSpaceDN/>
        <w:adjustRightInd/>
        <w:spacing w:before="120" w:after="120"/>
      </w:pPr>
      <w:r w:rsidRPr="00E53C89">
        <w:rPr>
          <w:i/>
          <w:iCs/>
        </w:rPr>
        <w:t>Canmaking (Part 465, Subpart D)</w:t>
      </w:r>
      <w:r w:rsidRPr="00E53C89">
        <w:t xml:space="preserve">. Canmaking facilities covered by Part 465, Subpart D, are required to submit a one-time notification if </w:t>
      </w:r>
      <w:smartTag w:uri="urn:schemas-microsoft-com:office:smarttags" w:element="PersonName">
        <w:r w:rsidRPr="00E53C89">
          <w:t>the</w:t>
        </w:r>
      </w:smartTag>
      <w:r w:rsidRPr="00E53C89">
        <w:t xml:space="preserve"> alloy used in making cans </w:t>
      </w:r>
      <w:r w:rsidRPr="00E53C89">
        <w:lastRenderedPageBreak/>
        <w:t xml:space="preserve">contains less than 1 percent manganese. For indirect dischargers, EPA expects few (if any) such notifications in </w:t>
      </w:r>
      <w:smartTag w:uri="urn:schemas-microsoft-com:office:smarttags" w:element="PersonName">
        <w:r w:rsidRPr="00E53C89">
          <w:t>the</w:t>
        </w:r>
      </w:smartTag>
      <w:r w:rsidRPr="00E53C89">
        <w:t xml:space="preserve"> future. As a conservative estimate, this ICR assumes one such notification during </w:t>
      </w:r>
      <w:smartTag w:uri="urn:schemas-microsoft-com:office:smarttags" w:element="PersonName">
        <w:r w:rsidRPr="00E53C89">
          <w:t>the</w:t>
        </w:r>
      </w:smartTag>
      <w:r w:rsidRPr="00E53C89">
        <w:t xml:space="preserve"> next 3 years.</w:t>
      </w:r>
    </w:p>
    <w:p w14:paraId="481B8EB0" w14:textId="77777777" w:rsidR="00E75FA4" w:rsidRPr="00E53C89" w:rsidRDefault="00E75FA4" w:rsidP="00436B56">
      <w:pPr>
        <w:widowControl/>
        <w:numPr>
          <w:ilvl w:val="0"/>
          <w:numId w:val="15"/>
        </w:numPr>
        <w:tabs>
          <w:tab w:val="left" w:pos="720"/>
          <w:tab w:val="left" w:pos="1440"/>
        </w:tabs>
        <w:autoSpaceDE/>
        <w:autoSpaceDN/>
        <w:adjustRightInd/>
        <w:spacing w:before="120" w:after="120"/>
      </w:pPr>
      <w:r w:rsidRPr="00E53C89">
        <w:rPr>
          <w:i/>
          <w:iCs/>
        </w:rPr>
        <w:t>Centralized Waste Treatment Point Source Category (Part 437)</w:t>
      </w:r>
      <w:r w:rsidRPr="00E53C89">
        <w:t xml:space="preserve">. The preamble to </w:t>
      </w:r>
      <w:smartTag w:uri="urn:schemas-microsoft-com:office:smarttags" w:element="PersonName">
        <w:r w:rsidRPr="00E53C89">
          <w:t>the</w:t>
        </w:r>
      </w:smartTag>
      <w:r w:rsidRPr="00E53C89">
        <w:t xml:space="preserve"> final Central Waste Treatment Rule indicates that 37 facilities “accept wastes from multiple subcategories and could be subject to </w:t>
      </w:r>
      <w:smartTag w:uri="urn:schemas-microsoft-com:office:smarttags" w:element="PersonName">
        <w:r w:rsidRPr="00E53C89">
          <w:t>the</w:t>
        </w:r>
      </w:smartTag>
      <w:r w:rsidRPr="00E53C89">
        <w:t xml:space="preserve"> multiple wastestream subcategory” (65 FR 81267). Based on data in </w:t>
      </w:r>
      <w:smartTag w:uri="urn:schemas-microsoft-com:office:smarttags" w:element="PersonName">
        <w:r w:rsidRPr="00E53C89">
          <w:t>the</w:t>
        </w:r>
      </w:smartTag>
      <w:r w:rsidRPr="00E53C89">
        <w:t xml:space="preserve"> development document for </w:t>
      </w:r>
      <w:smartTag w:uri="urn:schemas-microsoft-com:office:smarttags" w:element="PersonName">
        <w:r w:rsidRPr="00E53C89">
          <w:t>the</w:t>
        </w:r>
      </w:smartTag>
      <w:r w:rsidRPr="00E53C89">
        <w:t xml:space="preserve"> final rule, approximately 91.5 percent of CWT facilities are indirect dischargers (pp. 4–6). In this ICR, EPA applies </w:t>
      </w:r>
      <w:smartTag w:uri="urn:schemas-microsoft-com:office:smarttags" w:element="PersonName">
        <w:r w:rsidRPr="00E53C89">
          <w:t>the</w:t>
        </w:r>
      </w:smartTag>
      <w:r w:rsidRPr="00E53C89">
        <w:t xml:space="preserve"> overall percentage of indirect dischargers to </w:t>
      </w:r>
      <w:smartTag w:uri="urn:schemas-microsoft-com:office:smarttags" w:element="PersonName">
        <w:r w:rsidRPr="00E53C89">
          <w:t>the</w:t>
        </w:r>
      </w:smartTag>
      <w:r w:rsidRPr="00E53C89">
        <w:t xml:space="preserve"> total number of dischargers that accept wastes from multiple subcategories to arrive at 34 indirect discharger that accept waste from multiple subcategories (37 * 91.5% = 34). EPA also assumes that 34 respondents complete initial certification statements for coverage under Part 437, Subpart D. Each of </w:t>
      </w:r>
      <w:smartTag w:uri="urn:schemas-microsoft-com:office:smarttags" w:element="PersonName">
        <w:r w:rsidRPr="00E53C89">
          <w:t>the</w:t>
        </w:r>
      </w:smartTag>
      <w:r w:rsidRPr="00E53C89">
        <w:t xml:space="preserve">se 34 facilities must submit an annual certification. (This burden was discussed in </w:t>
      </w:r>
      <w:smartTag w:uri="urn:schemas-microsoft-com:office:smarttags" w:element="PersonName">
        <w:r w:rsidRPr="00E53C89">
          <w:t>the</w:t>
        </w:r>
      </w:smartTag>
      <w:r w:rsidRPr="00E53C89">
        <w:t xml:space="preserve"> 2003 Pretreatment Program ICR, but it is repeated here for completeness.)</w:t>
      </w:r>
    </w:p>
    <w:p w14:paraId="643DC728" w14:textId="77777777" w:rsidR="00E75FA4" w:rsidRPr="00E53C89" w:rsidRDefault="00E75FA4" w:rsidP="00436B56">
      <w:pPr>
        <w:widowControl/>
        <w:numPr>
          <w:ilvl w:val="0"/>
          <w:numId w:val="15"/>
        </w:numPr>
        <w:tabs>
          <w:tab w:val="left" w:pos="720"/>
          <w:tab w:val="left" w:pos="1440"/>
        </w:tabs>
        <w:autoSpaceDE/>
        <w:autoSpaceDN/>
        <w:adjustRightInd/>
        <w:spacing w:before="120" w:after="120"/>
      </w:pPr>
      <w:r w:rsidRPr="00E53C89">
        <w:rPr>
          <w:i/>
          <w:iCs/>
        </w:rPr>
        <w:t>Coil Coating Point Source Category (Part 465)</w:t>
      </w:r>
      <w:r w:rsidRPr="00E53C89">
        <w:t xml:space="preserve">. The estimated number of indirect dischargers in </w:t>
      </w:r>
      <w:smartTag w:uri="urn:schemas-microsoft-com:office:smarttags" w:element="PersonName">
        <w:r w:rsidRPr="00E53C89">
          <w:t>the</w:t>
        </w:r>
      </w:smartTag>
      <w:r w:rsidRPr="00E53C89">
        <w:t xml:space="preserve"> Coil Coating Point Source Categories (41 facilities) is from </w:t>
      </w:r>
      <w:smartTag w:uri="urn:schemas-microsoft-com:office:smarttags" w:element="PersonName">
        <w:r w:rsidRPr="00E53C89">
          <w:t>the</w:t>
        </w:r>
      </w:smartTag>
      <w:r w:rsidRPr="00E53C89">
        <w:t xml:space="preserve"> </w:t>
      </w:r>
      <w:r w:rsidRPr="00E53C89">
        <w:rPr>
          <w:i/>
          <w:iCs/>
        </w:rPr>
        <w:t xml:space="preserve">Technical Support Document for </w:t>
      </w:r>
      <w:smartTag w:uri="urn:schemas-microsoft-com:office:smarttags" w:element="PersonName">
        <w:r w:rsidRPr="00E53C89">
          <w:rPr>
            <w:i/>
            <w:iCs/>
          </w:rPr>
          <w:t>the</w:t>
        </w:r>
      </w:smartTag>
      <w:r w:rsidRPr="00E53C89">
        <w:rPr>
          <w:i/>
          <w:iCs/>
        </w:rPr>
        <w:t xml:space="preserve"> 2004 Effluent Guidelines Program Plan</w:t>
      </w:r>
      <w:r w:rsidRPr="00E53C89">
        <w:t xml:space="preserve"> (EPA-821-R-04-014, August 2004) (“</w:t>
      </w:r>
      <w:smartTag w:uri="urn:schemas-microsoft-com:office:smarttags" w:element="PersonName">
        <w:r w:rsidRPr="00E53C89">
          <w:t>the</w:t>
        </w:r>
      </w:smartTag>
      <w:r w:rsidRPr="00E53C89">
        <w:t xml:space="preserve"> TSD”).</w:t>
      </w:r>
      <w:r w:rsidRPr="00E53C89">
        <w:rPr>
          <w:rStyle w:val="FootnoteReference"/>
        </w:rPr>
        <w:footnoteReference w:id="4"/>
      </w:r>
      <w:r w:rsidRPr="00E53C89">
        <w:t xml:space="preserve"> EPA estimates that approximately 75 percent of </w:t>
      </w:r>
      <w:smartTag w:uri="urn:schemas-microsoft-com:office:smarttags" w:element="PersonName">
        <w:r w:rsidRPr="00E53C89">
          <w:t>the</w:t>
        </w:r>
      </w:smartTag>
      <w:r w:rsidRPr="00E53C89">
        <w:t xml:space="preserve">se 41 coil coating facilities will choose to submit an annual certification requesting an exemption from cyanide monitoring. This information collection item does not apply to canmaking facilities (Part 465, Subpart D) because </w:t>
      </w:r>
      <w:smartTag w:uri="urn:schemas-microsoft-com:office:smarttags" w:element="PersonName">
        <w:r w:rsidRPr="00E53C89">
          <w:t>the</w:t>
        </w:r>
      </w:smartTag>
      <w:r w:rsidRPr="00E53C89">
        <w:t xml:space="preserve">y are not required to monitor for cyanide. </w:t>
      </w:r>
      <w:r w:rsidRPr="00E53C89">
        <w:tab/>
      </w:r>
    </w:p>
    <w:p w14:paraId="310E45D7" w14:textId="77777777" w:rsidR="00E75FA4" w:rsidRPr="00E53C89" w:rsidRDefault="00E75FA4" w:rsidP="00436B56">
      <w:pPr>
        <w:widowControl/>
        <w:numPr>
          <w:ilvl w:val="0"/>
          <w:numId w:val="15"/>
        </w:numPr>
        <w:tabs>
          <w:tab w:val="left" w:pos="720"/>
          <w:tab w:val="left" w:pos="1440"/>
        </w:tabs>
        <w:autoSpaceDE/>
        <w:autoSpaceDN/>
        <w:adjustRightInd/>
        <w:spacing w:before="120" w:after="120"/>
      </w:pPr>
      <w:r w:rsidRPr="00E53C89">
        <w:rPr>
          <w:i/>
          <w:iCs/>
        </w:rPr>
        <w:t>Electrical and Electronic Components (Part 469)</w:t>
      </w:r>
      <w:r w:rsidRPr="00E53C89">
        <w:t xml:space="preserve">. The number of indirect dischargers in </w:t>
      </w:r>
      <w:smartTag w:uri="urn:schemas-microsoft-com:office:smarttags" w:element="PersonName">
        <w:r w:rsidRPr="00E53C89">
          <w:t>the</w:t>
        </w:r>
      </w:smartTag>
      <w:r w:rsidRPr="00E53C89">
        <w:t xml:space="preserve"> Electrical and Electronic Components Point Source Category (91 facilities) is also from </w:t>
      </w:r>
      <w:smartTag w:uri="urn:schemas-microsoft-com:office:smarttags" w:element="PersonName">
        <w:r w:rsidRPr="00E53C89">
          <w:t>the</w:t>
        </w:r>
      </w:smartTag>
      <w:r w:rsidRPr="00E53C89">
        <w:t xml:space="preserve"> August 2004 TSD, which in turn uses Toxics Release Inventory (TRI) data. EPA estimates that approximately 50 percent of </w:t>
      </w:r>
      <w:smartTag w:uri="urn:schemas-microsoft-com:office:smarttags" w:element="PersonName">
        <w:r w:rsidRPr="00E53C89">
          <w:t>the</w:t>
        </w:r>
      </w:smartTag>
      <w:r w:rsidRPr="00E53C89">
        <w:t>se 91 electrical and electronic components facilities will choose to submit a total toxic organic (TTO) certification in lieu of TTO monitoring. Certifications must be submitted twice a year.</w:t>
      </w:r>
    </w:p>
    <w:p w14:paraId="0B9A09B2" w14:textId="77777777" w:rsidR="00E75FA4" w:rsidRPr="00E53C89" w:rsidRDefault="00E75FA4" w:rsidP="00436B56">
      <w:pPr>
        <w:widowControl/>
        <w:numPr>
          <w:ilvl w:val="0"/>
          <w:numId w:val="15"/>
        </w:numPr>
        <w:tabs>
          <w:tab w:val="left" w:pos="720"/>
          <w:tab w:val="left" w:pos="1440"/>
        </w:tabs>
        <w:autoSpaceDE/>
        <w:autoSpaceDN/>
        <w:adjustRightInd/>
        <w:spacing w:before="120" w:after="120"/>
      </w:pPr>
      <w:r w:rsidRPr="00E53C89">
        <w:rPr>
          <w:i/>
          <w:iCs/>
        </w:rPr>
        <w:t xml:space="preserve">Electroplating Point Source Category (Part 413) </w:t>
      </w:r>
      <w:r w:rsidRPr="00E53C89">
        <w:t>and</w:t>
      </w:r>
      <w:r w:rsidRPr="00E53C89">
        <w:rPr>
          <w:i/>
          <w:iCs/>
        </w:rPr>
        <w:t xml:space="preserve"> Metal Finishing Point Source Category</w:t>
      </w:r>
      <w:r w:rsidRPr="00E53C89">
        <w:t xml:space="preserve">. The estimated number of indirect dischargers in </w:t>
      </w:r>
      <w:smartTag w:uri="urn:schemas-microsoft-com:office:smarttags" w:element="PersonName">
        <w:r w:rsidRPr="00E53C89">
          <w:t>the</w:t>
        </w:r>
      </w:smartTag>
      <w:r w:rsidRPr="00E53C89">
        <w:t xml:space="preserve"> Electroplating and Metal Finishing Point Source Categories (7,644 total) is from data compiled by EPA’s Office of Science and Technology (OST) during </w:t>
      </w:r>
      <w:smartTag w:uri="urn:schemas-microsoft-com:office:smarttags" w:element="PersonName">
        <w:r w:rsidRPr="00E53C89">
          <w:t>the</w:t>
        </w:r>
      </w:smartTag>
      <w:r w:rsidRPr="00E53C89">
        <w:t xml:space="preserve"> development of </w:t>
      </w:r>
      <w:smartTag w:uri="urn:schemas-microsoft-com:office:smarttags" w:element="PersonName">
        <w:r w:rsidRPr="00E53C89">
          <w:t>the</w:t>
        </w:r>
      </w:smartTag>
      <w:r w:rsidRPr="00E53C89">
        <w:t xml:space="preserve"> Metal Products and Machinery (MP&amp;M) rule. The categories are combined because </w:t>
      </w:r>
      <w:smartTag w:uri="urn:schemas-microsoft-com:office:smarttags" w:element="PersonName">
        <w:r w:rsidRPr="00E53C89">
          <w:t>the</w:t>
        </w:r>
      </w:smartTag>
      <w:r w:rsidRPr="00E53C89">
        <w:t xml:space="preserve"> facilities’ operations are similar. EPA estimates that approximately 75 percent of </w:t>
      </w:r>
      <w:smartTag w:uri="urn:schemas-microsoft-com:office:smarttags" w:element="PersonName">
        <w:r w:rsidRPr="00E53C89">
          <w:t>the</w:t>
        </w:r>
      </w:smartTag>
      <w:r w:rsidRPr="00E53C89">
        <w:t xml:space="preserve">se 7,644 electroplating and metal finishing facilities will choose to submit a TTO </w:t>
      </w:r>
      <w:r w:rsidRPr="00E53C89">
        <w:lastRenderedPageBreak/>
        <w:t xml:space="preserve">certification semiannually in lieu of TTO monitoring. This assumption is consistent with </w:t>
      </w:r>
      <w:smartTag w:uri="urn:schemas-microsoft-com:office:smarttags" w:element="PersonName">
        <w:r w:rsidRPr="00E53C89">
          <w:t>the</w:t>
        </w:r>
      </w:smartTag>
      <w:r w:rsidRPr="00E53C89">
        <w:t xml:space="preserve"> assumptions associated with </w:t>
      </w:r>
      <w:smartTag w:uri="urn:schemas-microsoft-com:office:smarttags" w:element="PersonName">
        <w:r w:rsidRPr="00E53C89">
          <w:t>the</w:t>
        </w:r>
      </w:smartTag>
      <w:r w:rsidRPr="00E53C89">
        <w:t xml:space="preserve"> Metal Finishing category.</w:t>
      </w:r>
    </w:p>
    <w:p w14:paraId="2F72BB2C" w14:textId="77777777" w:rsidR="00E75FA4" w:rsidRPr="00E53C89" w:rsidRDefault="00E75FA4" w:rsidP="00436B56">
      <w:pPr>
        <w:widowControl/>
        <w:numPr>
          <w:ilvl w:val="0"/>
          <w:numId w:val="15"/>
        </w:numPr>
        <w:tabs>
          <w:tab w:val="left" w:pos="720"/>
          <w:tab w:val="left" w:pos="1440"/>
        </w:tabs>
        <w:autoSpaceDE/>
        <w:autoSpaceDN/>
        <w:adjustRightInd/>
        <w:spacing w:before="120" w:after="120"/>
      </w:pPr>
      <w:r w:rsidRPr="00E53C89">
        <w:rPr>
          <w:i/>
          <w:iCs/>
        </w:rPr>
        <w:t>Pesticide Chemicals (Part 455)</w:t>
      </w:r>
      <w:r w:rsidRPr="00E53C89">
        <w:t xml:space="preserve">. The estimated number of indirect dischargers covered by PFPR regulations (1,500 facilities) is from </w:t>
      </w:r>
      <w:smartTag w:uri="urn:schemas-microsoft-com:office:smarttags" w:element="PersonName">
        <w:r w:rsidRPr="00E53C89">
          <w:t>the</w:t>
        </w:r>
      </w:smartTag>
      <w:r w:rsidRPr="00E53C89">
        <w:t xml:space="preserve"> preamble to </w:t>
      </w:r>
      <w:smartTag w:uri="urn:schemas-microsoft-com:office:smarttags" w:element="PersonName">
        <w:r w:rsidRPr="00E53C89">
          <w:t>the</w:t>
        </w:r>
      </w:smartTag>
      <w:r w:rsidRPr="00E53C89">
        <w:t xml:space="preserve"> PFPR rule (61 FR 57541). Consistent with that preamble, EPA assumes in this ICR that all 1,500 indirect dischargers in </w:t>
      </w:r>
      <w:smartTag w:uri="urn:schemas-microsoft-com:office:smarttags" w:element="PersonName">
        <w:r w:rsidRPr="00E53C89">
          <w:t>the</w:t>
        </w:r>
      </w:smartTag>
      <w:r w:rsidRPr="00E53C89">
        <w:t xml:space="preserve"> PFPR category will opt for </w:t>
      </w:r>
      <w:smartTag w:uri="urn:schemas-microsoft-com:office:smarttags" w:element="PersonName">
        <w:r w:rsidRPr="00E53C89">
          <w:t>the</w:t>
        </w:r>
      </w:smartTag>
      <w:r w:rsidRPr="00E53C89">
        <w:t xml:space="preserve"> P2 alternative and that all 1,500 facilities will submit two certifications per year. These assumptions are consistent with </w:t>
      </w:r>
      <w:smartTag w:uri="urn:schemas-microsoft-com:office:smarttags" w:element="PersonName">
        <w:r w:rsidRPr="00E53C89">
          <w:t>the</w:t>
        </w:r>
      </w:smartTag>
      <w:r w:rsidRPr="00E53C89">
        <w:t xml:space="preserve"> 1996, 2000, and 2005 pretreatment program ICRs and with </w:t>
      </w:r>
      <w:smartTag w:uri="urn:schemas-microsoft-com:office:smarttags" w:element="PersonName">
        <w:r w:rsidRPr="00E53C89">
          <w:t>the</w:t>
        </w:r>
      </w:smartTag>
      <w:r w:rsidRPr="00E53C89">
        <w:t xml:space="preserve"> preamble to </w:t>
      </w:r>
      <w:smartTag w:uri="urn:schemas-microsoft-com:office:smarttags" w:element="PersonName">
        <w:r w:rsidRPr="00E53C89">
          <w:t>the</w:t>
        </w:r>
      </w:smartTag>
      <w:r w:rsidRPr="00E53C89">
        <w:t xml:space="preserve"> PFPR rule (61 FR 57541). For consistency with </w:t>
      </w:r>
      <w:smartTag w:uri="urn:schemas-microsoft-com:office:smarttags" w:element="PersonName">
        <w:r w:rsidRPr="00E53C89">
          <w:t>the</w:t>
        </w:r>
      </w:smartTag>
      <w:r w:rsidRPr="00E53C89">
        <w:t xml:space="preserve"> </w:t>
      </w:r>
      <w:r w:rsidRPr="00E53C89">
        <w:rPr>
          <w:i/>
          <w:iCs/>
        </w:rPr>
        <w:t xml:space="preserve">Information Collection Request for </w:t>
      </w:r>
      <w:smartTag w:uri="urn:schemas-microsoft-com:office:smarttags" w:element="PersonName">
        <w:r w:rsidRPr="00E53C89">
          <w:rPr>
            <w:i/>
            <w:iCs/>
          </w:rPr>
          <w:t>the</w:t>
        </w:r>
      </w:smartTag>
      <w:r w:rsidRPr="00E53C89">
        <w:rPr>
          <w:i/>
          <w:iCs/>
        </w:rPr>
        <w:t xml:space="preserve"> NPDES/ Compliance Assessment/ Certification Information, </w:t>
      </w:r>
      <w:r w:rsidRPr="00E53C89">
        <w:rPr>
          <w:iCs/>
        </w:rPr>
        <w:t>EPA assumes t</w:t>
      </w:r>
      <w:r w:rsidRPr="00E53C89">
        <w:t>hat certifications will require IUs 1 hour each.</w:t>
      </w:r>
    </w:p>
    <w:p w14:paraId="5F8341BA" w14:textId="77777777" w:rsidR="00E75FA4" w:rsidRPr="00E53C89" w:rsidRDefault="00E75FA4" w:rsidP="00436B56">
      <w:pPr>
        <w:widowControl/>
        <w:numPr>
          <w:ilvl w:val="0"/>
          <w:numId w:val="15"/>
        </w:numPr>
        <w:tabs>
          <w:tab w:val="left" w:pos="720"/>
          <w:tab w:val="left" w:pos="1440"/>
        </w:tabs>
        <w:autoSpaceDE/>
        <w:autoSpaceDN/>
        <w:adjustRightInd/>
        <w:spacing w:before="120" w:after="120"/>
      </w:pPr>
      <w:r w:rsidRPr="00E53C89">
        <w:rPr>
          <w:i/>
          <w:iCs/>
        </w:rPr>
        <w:t>Pharmaceutical Manufacturing Point Source Category (Part 439)</w:t>
      </w:r>
      <w:r w:rsidRPr="00E53C89">
        <w:t xml:space="preserve">. The estimated number of facilities (286) subject to guidelines for </w:t>
      </w:r>
      <w:smartTag w:uri="urn:schemas-microsoft-com:office:smarttags" w:element="PersonName">
        <w:r w:rsidRPr="00E53C89">
          <w:t>the</w:t>
        </w:r>
      </w:smartTag>
      <w:r w:rsidRPr="00E53C89">
        <w:t xml:space="preserve"> Pharmaceutical Manufacturing Point Source Category is based on data ga</w:t>
      </w:r>
      <w:smartTag w:uri="urn:schemas-microsoft-com:office:smarttags" w:element="PersonName">
        <w:r w:rsidRPr="00E53C89">
          <w:t>the</w:t>
        </w:r>
      </w:smartTag>
      <w:r w:rsidRPr="00E53C89">
        <w:t xml:space="preserve">red by OST during </w:t>
      </w:r>
      <w:smartTag w:uri="urn:schemas-microsoft-com:office:smarttags" w:element="PersonName">
        <w:r w:rsidRPr="00E53C89">
          <w:t>the</w:t>
        </w:r>
      </w:smartTag>
      <w:r w:rsidRPr="00E53C89">
        <w:t xml:space="preserve"> development of </w:t>
      </w:r>
      <w:smartTag w:uri="urn:schemas-microsoft-com:office:smarttags" w:element="PersonName">
        <w:r w:rsidRPr="00E53C89">
          <w:t>the</w:t>
        </w:r>
      </w:smartTag>
      <w:r w:rsidRPr="00E53C89">
        <w:t xml:space="preserve"> 1998 final rule. EPA estimates, on the basis of data in effluent guideline development documents, that approximately 40 percent of </w:t>
      </w:r>
      <w:smartTag w:uri="urn:schemas-microsoft-com:office:smarttags" w:element="PersonName">
        <w:r w:rsidRPr="00E53C89">
          <w:t>the</w:t>
        </w:r>
      </w:smartTag>
      <w:r w:rsidRPr="00E53C89">
        <w:t xml:space="preserve"> pharmaceutical facilities are in a subcategory that potentially uses cyanide. Of </w:t>
      </w:r>
      <w:smartTag w:uri="urn:schemas-microsoft-com:office:smarttags" w:element="PersonName">
        <w:r w:rsidRPr="00E53C89">
          <w:t>the</w:t>
        </w:r>
      </w:smartTag>
      <w:r w:rsidRPr="00E53C89">
        <w:t>se, EPA estimates that 75 percent will choose to submit a certification once every permit cycle (once every 5 years).</w:t>
      </w:r>
    </w:p>
    <w:p w14:paraId="497D65FF" w14:textId="77777777" w:rsidR="00E75FA4" w:rsidRPr="00E53C89" w:rsidRDefault="00E75FA4" w:rsidP="00436B56">
      <w:pPr>
        <w:widowControl/>
        <w:numPr>
          <w:ilvl w:val="0"/>
          <w:numId w:val="15"/>
        </w:numPr>
        <w:tabs>
          <w:tab w:val="left" w:pos="720"/>
          <w:tab w:val="left" w:pos="1440"/>
        </w:tabs>
        <w:autoSpaceDE/>
        <w:autoSpaceDN/>
        <w:adjustRightInd/>
        <w:spacing w:before="120" w:after="120"/>
      </w:pPr>
      <w:r w:rsidRPr="00E53C89">
        <w:rPr>
          <w:i/>
          <w:iCs/>
        </w:rPr>
        <w:t xml:space="preserve">Porcelain Enameling Point Source Category (Part 466). </w:t>
      </w:r>
      <w:r w:rsidRPr="00E53C89">
        <w:t xml:space="preserve">The estimated number of indirect dischargers in </w:t>
      </w:r>
      <w:smartTag w:uri="urn:schemas-microsoft-com:office:smarttags" w:element="PersonName">
        <w:r w:rsidRPr="00E53C89">
          <w:t>the</w:t>
        </w:r>
      </w:smartTag>
      <w:r w:rsidRPr="00E53C89">
        <w:t xml:space="preserve"> Porcelain Enameling Category (146) is from data collected by OST during development of </w:t>
      </w:r>
      <w:smartTag w:uri="urn:schemas-microsoft-com:office:smarttags" w:element="PersonName">
        <w:r w:rsidRPr="00E53C89">
          <w:t>the</w:t>
        </w:r>
      </w:smartTag>
      <w:r w:rsidRPr="00E53C89">
        <w:t xml:space="preserve"> TSD but not included in </w:t>
      </w:r>
      <w:smartTag w:uri="urn:schemas-microsoft-com:office:smarttags" w:element="PersonName">
        <w:r w:rsidRPr="00E53C89">
          <w:t>the</w:t>
        </w:r>
      </w:smartTag>
      <w:r w:rsidRPr="00E53C89">
        <w:t xml:space="preserve"> final TSD. The estimate includes TRI data from facilities with SIC codes 3431, 3469, 3479, 3631, 3633, 3632, and 3639, each of which reported transfers of TRI chemicals to POTWs in 2000. Although this number represents EPA’s best estimate, </w:t>
      </w:r>
      <w:smartTag w:uri="urn:schemas-microsoft-com:office:smarttags" w:element="PersonName">
        <w:r w:rsidRPr="00E53C89">
          <w:t>the</w:t>
        </w:r>
      </w:smartTag>
      <w:r w:rsidRPr="00E53C89">
        <w:t xml:space="preserve"> Agency is uncertain about </w:t>
      </w:r>
      <w:smartTag w:uri="urn:schemas-microsoft-com:office:smarttags" w:element="PersonName">
        <w:r w:rsidRPr="00E53C89">
          <w:t>the</w:t>
        </w:r>
      </w:smartTag>
      <w:r w:rsidRPr="00E53C89">
        <w:t xml:space="preserve"> fit between </w:t>
      </w:r>
      <w:smartTag w:uri="urn:schemas-microsoft-com:office:smarttags" w:element="PersonName">
        <w:r w:rsidRPr="00E53C89">
          <w:t>the</w:t>
        </w:r>
      </w:smartTag>
      <w:r w:rsidRPr="00E53C89">
        <w:t xml:space="preserve">se SIC codes and indirect dischargers covered in </w:t>
      </w:r>
      <w:smartTag w:uri="urn:schemas-microsoft-com:office:smarttags" w:element="PersonName">
        <w:r w:rsidRPr="00E53C89">
          <w:t>the</w:t>
        </w:r>
      </w:smartTag>
      <w:r w:rsidRPr="00E53C89">
        <w:t xml:space="preserve"> Porcelain Enameling Category because operations in </w:t>
      </w:r>
      <w:smartTag w:uri="urn:schemas-microsoft-com:office:smarttags" w:element="PersonName">
        <w:r w:rsidRPr="00E53C89">
          <w:t>the</w:t>
        </w:r>
      </w:smartTag>
      <w:r w:rsidRPr="00E53C89">
        <w:t xml:space="preserve">se SIC codes could be covered by </w:t>
      </w:r>
      <w:smartTag w:uri="urn:schemas-microsoft-com:office:smarttags" w:element="PersonName">
        <w:r w:rsidRPr="00E53C89">
          <w:t>the</w:t>
        </w:r>
      </w:smartTag>
      <w:r w:rsidRPr="00E53C89">
        <w:t xml:space="preserve"> Metal Finishing Category. EPA estimates that 50 percent of </w:t>
      </w:r>
      <w:smartTag w:uri="urn:schemas-microsoft-com:office:smarttags" w:element="PersonName">
        <w:r w:rsidRPr="00E53C89">
          <w:t>the</w:t>
        </w:r>
      </w:smartTag>
      <w:r w:rsidRPr="00E53C89">
        <w:t xml:space="preserve">se 146 porcelain enameling facilities will choose to submit an annual certification requesting an exemption from chromium monitoring </w:t>
      </w:r>
    </w:p>
    <w:p w14:paraId="6ABEB0EA" w14:textId="77777777" w:rsidR="00E75FA4" w:rsidRPr="00E53C89" w:rsidRDefault="00E75FA4" w:rsidP="00436B56">
      <w:pPr>
        <w:widowControl/>
        <w:numPr>
          <w:ilvl w:val="0"/>
          <w:numId w:val="15"/>
        </w:numPr>
        <w:tabs>
          <w:tab w:val="left" w:pos="720"/>
          <w:tab w:val="left" w:pos="1440"/>
        </w:tabs>
        <w:autoSpaceDE/>
        <w:autoSpaceDN/>
        <w:adjustRightInd/>
        <w:spacing w:before="120" w:after="120"/>
      </w:pPr>
      <w:r w:rsidRPr="00E53C89">
        <w:rPr>
          <w:i/>
          <w:iCs/>
        </w:rPr>
        <w:t>Pulp, Paper, and Paperboard Source Category (Part 430)</w:t>
      </w:r>
      <w:r w:rsidRPr="00E53C89">
        <w:t xml:space="preserve">. To estimate </w:t>
      </w:r>
      <w:smartTag w:uri="urn:schemas-microsoft-com:office:smarttags" w:element="PersonName">
        <w:r w:rsidRPr="00E53C89">
          <w:t>the</w:t>
        </w:r>
      </w:smartTag>
      <w:r w:rsidRPr="00E53C89">
        <w:t xml:space="preserve"> universe of potentially affected facilities, EPA has used estimates in this ICR from </w:t>
      </w:r>
      <w:smartTag w:uri="urn:schemas-microsoft-com:office:smarttags" w:element="PersonName">
        <w:r w:rsidRPr="00E53C89">
          <w:t>the</w:t>
        </w:r>
      </w:smartTag>
      <w:r w:rsidRPr="00E53C89">
        <w:t xml:space="preserve"> </w:t>
      </w:r>
      <w:r w:rsidRPr="00E53C89">
        <w:rPr>
          <w:i/>
          <w:iCs/>
        </w:rPr>
        <w:t xml:space="preserve">Supplemental Technical Development Document for Effluent Limitations Guidelines and Standards for </w:t>
      </w:r>
      <w:smartTag w:uri="urn:schemas-microsoft-com:office:smarttags" w:element="PersonName">
        <w:r w:rsidRPr="00E53C89">
          <w:rPr>
            <w:i/>
            <w:iCs/>
          </w:rPr>
          <w:t>the</w:t>
        </w:r>
      </w:smartTag>
      <w:r w:rsidRPr="00E53C89">
        <w:rPr>
          <w:i/>
          <w:iCs/>
        </w:rPr>
        <w:t xml:space="preserve"> Pulp, Paper, and Paperboard Category: Subpart B (Bleached Papergrade Kraft and Soda) and Subpart E (Papergrade Sulfite) </w:t>
      </w:r>
      <w:r w:rsidRPr="00E53C89">
        <w:t xml:space="preserve">and from EPA’s </w:t>
      </w:r>
      <w:r w:rsidRPr="00E53C89">
        <w:rPr>
          <w:i/>
          <w:iCs/>
        </w:rPr>
        <w:t xml:space="preserve">Guidance Manual for Pulp, Paper and Paperboard and Builders’ Paper and Board Mills Pretreatment Standards </w:t>
      </w:r>
      <w:r w:rsidRPr="00E53C89">
        <w:t>(September 21, 1984). EPA estimates that 119 of the Pulp, Paper, and Paperboard Category not including Subpart B (Bleached Papergrade Kraft and Soda) and Subpart E (Papergrade Sulfite) will choose to submit an annual certification requesting an exemption Based on EPA ICR No. 2015.02, OMB Control Number 2040-0242, EPA estimated that six Subpart B (Bleached Papergrade Kraft and Soda) facilities would certify.</w:t>
      </w:r>
    </w:p>
    <w:p w14:paraId="3095F393" w14:textId="77777777" w:rsidR="00E75FA4" w:rsidRPr="00E53C89" w:rsidRDefault="00E75FA4" w:rsidP="00436B56">
      <w:pPr>
        <w:keepLines/>
        <w:widowControl/>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s>
        <w:autoSpaceDE/>
        <w:autoSpaceDN/>
        <w:adjustRightInd/>
        <w:spacing w:before="120" w:after="120"/>
      </w:pPr>
      <w:r w:rsidRPr="00E53C89">
        <w:rPr>
          <w:i/>
          <w:iCs/>
        </w:rPr>
        <w:lastRenderedPageBreak/>
        <w:t>Steam Electric Power Generating Point Source Category (Part 423)</w:t>
      </w:r>
      <w:r w:rsidRPr="00E53C89">
        <w:t xml:space="preserve">. The estimated number of facilities in </w:t>
      </w:r>
      <w:smartTag w:uri="urn:schemas-microsoft-com:office:smarttags" w:element="PersonName">
        <w:r w:rsidRPr="00E53C89">
          <w:t>the</w:t>
        </w:r>
      </w:smartTag>
      <w:r w:rsidRPr="00E53C89">
        <w:t xml:space="preserve"> Steam Electric Power Generating Point Source Category is from </w:t>
      </w:r>
      <w:smartTag w:uri="urn:schemas-microsoft-com:office:smarttags" w:element="PersonName">
        <w:r w:rsidRPr="00E53C89">
          <w:t>the</w:t>
        </w:r>
      </w:smartTag>
      <w:r w:rsidRPr="00E53C89">
        <w:t xml:space="preserve"> </w:t>
      </w:r>
      <w:r w:rsidRPr="00E53C89">
        <w:rPr>
          <w:i/>
          <w:iCs/>
        </w:rPr>
        <w:t xml:space="preserve">Development Document for Effluent Limitations Guidelines and Standards and Pretreatment Standards for </w:t>
      </w:r>
      <w:smartTag w:uri="urn:schemas-microsoft-com:office:smarttags" w:element="PersonName">
        <w:r w:rsidRPr="00E53C89">
          <w:rPr>
            <w:i/>
            <w:iCs/>
          </w:rPr>
          <w:t>the</w:t>
        </w:r>
      </w:smartTag>
      <w:r w:rsidRPr="00E53C89">
        <w:rPr>
          <w:i/>
          <w:iCs/>
        </w:rPr>
        <w:t xml:space="preserve"> Steam Electric Point Source Category </w:t>
      </w:r>
      <w:r w:rsidRPr="00E53C89">
        <w:t xml:space="preserve">(November 1982). EPA estimates that approximately 75 percent of </w:t>
      </w:r>
      <w:smartTag w:uri="urn:schemas-microsoft-com:office:smarttags" w:element="PersonName">
        <w:r w:rsidRPr="00E53C89">
          <w:t>the</w:t>
        </w:r>
      </w:smartTag>
      <w:r w:rsidRPr="00E53C89">
        <w:t>se 117 facilities will choose to provide an annual demonstration and provide a certification requesting an exemption from monitoring requirements for priority pollutants o</w:t>
      </w:r>
      <w:smartTag w:uri="urn:schemas-microsoft-com:office:smarttags" w:element="PersonName">
        <w:r w:rsidRPr="00E53C89">
          <w:t>the</w:t>
        </w:r>
      </w:smartTag>
      <w:r w:rsidRPr="00E53C89">
        <w:t>r than chromium and zinc.</w:t>
      </w:r>
    </w:p>
    <w:p w14:paraId="03AE1DD5" w14:textId="77777777" w:rsidR="00E75FA4" w:rsidRPr="00E53C89" w:rsidRDefault="00E75FA4" w:rsidP="00E75FA4">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120" w:after="120"/>
        <w:rPr>
          <w:b/>
          <w:bCs/>
          <w:i/>
          <w:iCs/>
        </w:rPr>
      </w:pPr>
      <w:r w:rsidRPr="00E53C89">
        <w:tab/>
      </w:r>
      <w:r w:rsidRPr="00E53C89">
        <w:rPr>
          <w:b/>
          <w:bCs/>
          <w:i/>
          <w:iCs/>
        </w:rPr>
        <w:t>IU Slug Load Notification</w:t>
      </w:r>
    </w:p>
    <w:p w14:paraId="49BB162C" w14:textId="77777777" w:rsidR="00E75FA4" w:rsidRPr="00E53C89" w:rsidRDefault="00E75FA4" w:rsidP="00E75F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ind w:left="720"/>
      </w:pPr>
      <w:r w:rsidRPr="00E53C89">
        <w:t xml:space="preserve">In this ICR, EPA assumes that 100 SIUs per year will be required to provide a slug load notification. EPA estimates </w:t>
      </w:r>
      <w:smartTag w:uri="urn:schemas-microsoft-com:office:smarttags" w:element="PersonName">
        <w:r w:rsidRPr="00E53C89">
          <w:t>the</w:t>
        </w:r>
      </w:smartTag>
      <w:r w:rsidRPr="00E53C89">
        <w:t xml:space="preserve"> average burden per CIU response to be 2 hours. The Agency fur</w:t>
      </w:r>
      <w:smartTag w:uri="urn:schemas-microsoft-com:office:smarttags" w:element="PersonName">
        <w:r w:rsidRPr="00E53C89">
          <w:t>the</w:t>
        </w:r>
      </w:smartTag>
      <w:r w:rsidRPr="00E53C89">
        <w:t xml:space="preserve">r estimates that an additional 450 non-categorical SIUs per year will be required to provide a slug load notification. EPA estimates </w:t>
      </w:r>
      <w:smartTag w:uri="urn:schemas-microsoft-com:office:smarttags" w:element="PersonName">
        <w:r w:rsidRPr="00E53C89">
          <w:t>the</w:t>
        </w:r>
      </w:smartTag>
      <w:r w:rsidRPr="00E53C89">
        <w:t xml:space="preserve"> average burden per SIU response to be 0.25 hour. </w:t>
      </w:r>
    </w:p>
    <w:p w14:paraId="294E6CC1" w14:textId="77777777" w:rsidR="00E75FA4" w:rsidRPr="00E53C89" w:rsidRDefault="00E75FA4" w:rsidP="00E75FA4">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120" w:after="120"/>
      </w:pPr>
      <w:r w:rsidRPr="00E53C89">
        <w:tab/>
      </w:r>
      <w:r w:rsidRPr="00E53C89">
        <w:rPr>
          <w:b/>
          <w:bCs/>
          <w:i/>
          <w:iCs/>
        </w:rPr>
        <w:t>Notification of Changed Discharge</w:t>
      </w:r>
      <w:r w:rsidRPr="00E53C89">
        <w:t xml:space="preserve"> </w:t>
      </w:r>
    </w:p>
    <w:p w14:paraId="40AEE8A0" w14:textId="77777777" w:rsidR="00E75FA4" w:rsidRPr="00E53C89" w:rsidRDefault="00E75FA4" w:rsidP="00E75F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ind w:left="720"/>
      </w:pPr>
      <w:r w:rsidRPr="00E53C89">
        <w:t xml:space="preserve">EPA assumes that 1,000 IUs per year will provide notification of a changed discharge. EPA estimates that this notification will require 4 burden hours. </w:t>
      </w:r>
    </w:p>
    <w:p w14:paraId="111F2B07" w14:textId="77777777" w:rsidR="00E75FA4" w:rsidRPr="00E53C89" w:rsidRDefault="00E75FA4" w:rsidP="00E75FA4">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120" w:after="120"/>
      </w:pPr>
      <w:r w:rsidRPr="00E53C89">
        <w:tab/>
      </w:r>
      <w:r w:rsidRPr="00E53C89">
        <w:rPr>
          <w:b/>
          <w:bCs/>
          <w:i/>
          <w:iCs/>
        </w:rPr>
        <w:t>Bypass Notification</w:t>
      </w:r>
      <w:r w:rsidRPr="00E53C89">
        <w:t xml:space="preserve"> </w:t>
      </w:r>
    </w:p>
    <w:p w14:paraId="73C26A68" w14:textId="1DB70E11" w:rsidR="00E75FA4" w:rsidRPr="00E53C89" w:rsidRDefault="00E75FA4" w:rsidP="00E75FA4">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ind w:left="720"/>
      </w:pPr>
      <w:r w:rsidRPr="00E53C89">
        <w:t xml:space="preserve">In this ICR, EPA </w:t>
      </w:r>
      <w:r w:rsidR="004B15F7">
        <w:t xml:space="preserve">carries forward </w:t>
      </w:r>
      <w:r w:rsidR="00CA6996">
        <w:t xml:space="preserve">from the previous ICR </w:t>
      </w:r>
      <w:r w:rsidR="004B15F7">
        <w:t xml:space="preserve">the </w:t>
      </w:r>
      <w:r w:rsidRPr="00E53C89">
        <w:t>assum</w:t>
      </w:r>
      <w:r w:rsidR="004B15F7">
        <w:t>ption</w:t>
      </w:r>
      <w:r w:rsidRPr="00E53C89">
        <w:t xml:space="preserve"> that 1,427 SIUs per year will report bypasses and that CAs will require 75 percent of these SIUs (1,070 SIUs) to conduct follow-up activities. EPA assumes IUs will require 5 hours for bypass notification and 2 hours for follow-up activities. </w:t>
      </w:r>
    </w:p>
    <w:p w14:paraId="047900D6" w14:textId="77777777" w:rsidR="00E75FA4" w:rsidRPr="00E53C89" w:rsidRDefault="00E75FA4" w:rsidP="00E75F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120" w:after="120"/>
      </w:pPr>
      <w:r w:rsidRPr="00E53C89">
        <w:tab/>
      </w:r>
      <w:r w:rsidRPr="00E53C89">
        <w:rPr>
          <w:b/>
          <w:bCs/>
          <w:i/>
          <w:iCs/>
        </w:rPr>
        <w:t>Notification of Changed Monitoring Location</w:t>
      </w:r>
      <w:r w:rsidRPr="00E53C89">
        <w:t xml:space="preserve"> </w:t>
      </w:r>
    </w:p>
    <w:p w14:paraId="3121B855" w14:textId="77777777" w:rsidR="00E75FA4" w:rsidRPr="00E53C89" w:rsidRDefault="00E75FA4" w:rsidP="00E75F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ind w:left="720"/>
      </w:pPr>
      <w:r w:rsidRPr="00E53C89">
        <w:t xml:space="preserve">For this ICR, EPA estimates that 50 SIUs will provide notification of a changed monitoring location per year. EPA estimates </w:t>
      </w:r>
      <w:smartTag w:uri="urn:schemas-microsoft-com:office:smarttags" w:element="PersonName">
        <w:r w:rsidRPr="00E53C89">
          <w:t>the</w:t>
        </w:r>
      </w:smartTag>
      <w:r w:rsidRPr="00E53C89">
        <w:t xml:space="preserve"> SIUs will require 1 hour to provide notification. </w:t>
      </w:r>
    </w:p>
    <w:p w14:paraId="75A95D42" w14:textId="77777777" w:rsidR="00E75FA4" w:rsidRPr="00E53C89" w:rsidRDefault="00E75FA4" w:rsidP="00E75FA4">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120" w:after="120"/>
        <w:rPr>
          <w:b/>
          <w:i/>
        </w:rPr>
      </w:pPr>
      <w:r w:rsidRPr="00E53C89">
        <w:tab/>
      </w:r>
      <w:r w:rsidRPr="00E53C89">
        <w:rPr>
          <w:b/>
          <w:i/>
        </w:rPr>
        <w:t>Slug Control Plan</w:t>
      </w:r>
    </w:p>
    <w:p w14:paraId="7D6B98A5" w14:textId="25E77E86" w:rsidR="00E75FA4" w:rsidRPr="00E53C89" w:rsidRDefault="00E75FA4" w:rsidP="00E75FA4">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ind w:left="720"/>
      </w:pPr>
      <w:r w:rsidRPr="00E53C89">
        <w:t>EPA estima</w:t>
      </w:r>
      <w:r w:rsidR="00594697">
        <w:t>tes that 10 percent of all new C</w:t>
      </w:r>
      <w:r w:rsidRPr="00E53C89">
        <w:t xml:space="preserve">IUs will need to develop a slug control plan. EPA based the number of new </w:t>
      </w:r>
      <w:r w:rsidR="00594697">
        <w:t>C</w:t>
      </w:r>
      <w:r w:rsidRPr="00E53C89">
        <w:t xml:space="preserve">IUs on an assumed growth rate of 2 percent for existing CIUs </w:t>
      </w:r>
      <w:r w:rsidR="00831D7A">
        <w:t xml:space="preserve">and </w:t>
      </w:r>
      <w:r w:rsidRPr="00E53C89">
        <w:t xml:space="preserve">to account for any facilities that will be covered under new categorical standards. </w:t>
      </w:r>
      <w:r w:rsidR="001B0115">
        <w:t>W</w:t>
      </w:r>
      <w:r w:rsidR="00725A49">
        <w:t>hile</w:t>
      </w:r>
      <w:r w:rsidRPr="00E53C89">
        <w:t xml:space="preserve"> new </w:t>
      </w:r>
      <w:r w:rsidR="00725A49">
        <w:t>categorical standards</w:t>
      </w:r>
      <w:r w:rsidRPr="00E53C89">
        <w:t xml:space="preserve"> are anticipated during this ICR cycle</w:t>
      </w:r>
      <w:r w:rsidR="001B0115">
        <w:t>,</w:t>
      </w:r>
      <w:r w:rsidR="00725A49" w:rsidRPr="00725A49">
        <w:t xml:space="preserve"> the expected impacts of the new standards </w:t>
      </w:r>
      <w:r w:rsidR="001B0115">
        <w:t>cannot</w:t>
      </w:r>
      <w:r w:rsidR="00725A49" w:rsidRPr="00725A49">
        <w:t xml:space="preserve"> be </w:t>
      </w:r>
      <w:r w:rsidR="001B0115">
        <w:t xml:space="preserve">specifically </w:t>
      </w:r>
      <w:r w:rsidR="00725A49" w:rsidRPr="00725A49">
        <w:t>assessed</w:t>
      </w:r>
      <w:r w:rsidR="001B0115">
        <w:t xml:space="preserve"> at this time</w:t>
      </w:r>
      <w:r w:rsidR="00594697">
        <w:t xml:space="preserve">. </w:t>
      </w:r>
      <w:r w:rsidR="00594697" w:rsidRPr="00594697">
        <w:t xml:space="preserve">EPA also estimates that 5 percent of all </w:t>
      </w:r>
      <w:r w:rsidR="00594697">
        <w:t xml:space="preserve">new </w:t>
      </w:r>
      <w:r w:rsidR="00594697" w:rsidRPr="00594697">
        <w:t>non-categorical SIUs will need to develop a slug control plan</w:t>
      </w:r>
      <w:r w:rsidR="00594697">
        <w:t xml:space="preserve">. </w:t>
      </w:r>
      <w:r w:rsidRPr="00E53C89">
        <w:t>The Agency estimates that this activity will require 2 hours per SIU</w:t>
      </w:r>
      <w:r w:rsidR="00594697">
        <w:t xml:space="preserve"> </w:t>
      </w:r>
    </w:p>
    <w:p w14:paraId="23CBF2E5" w14:textId="77777777" w:rsidR="00E75FA4" w:rsidRPr="00E53C89" w:rsidRDefault="00E75FA4" w:rsidP="00E75F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120" w:after="120"/>
        <w:rPr>
          <w:rFonts w:ascii="Arial" w:hAnsi="Arial" w:cs="Arial"/>
        </w:rPr>
      </w:pPr>
      <w:r w:rsidRPr="00E53C89">
        <w:rPr>
          <w:b/>
          <w:bCs/>
        </w:rPr>
        <w:tab/>
      </w:r>
      <w:r w:rsidRPr="00E53C89">
        <w:rPr>
          <w:rFonts w:ascii="Arial" w:hAnsi="Arial" w:cs="Arial"/>
          <w:b/>
          <w:bCs/>
          <w:u w:val="single"/>
        </w:rPr>
        <w:t>Program/Categorical Determination</w:t>
      </w:r>
    </w:p>
    <w:p w14:paraId="623205E5" w14:textId="77777777" w:rsidR="00E75FA4" w:rsidRPr="00E53C89" w:rsidRDefault="00E75FA4" w:rsidP="00E75F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120" w:after="120"/>
      </w:pPr>
      <w:r w:rsidRPr="00E53C89">
        <w:tab/>
      </w:r>
      <w:r w:rsidRPr="00E53C89">
        <w:rPr>
          <w:b/>
          <w:bCs/>
          <w:i/>
          <w:iCs/>
        </w:rPr>
        <w:t>Categorical Determination Request</w:t>
      </w:r>
      <w:r w:rsidRPr="00E53C89">
        <w:t xml:space="preserve"> </w:t>
      </w:r>
    </w:p>
    <w:p w14:paraId="3418FFB4" w14:textId="3FEAFBF6" w:rsidR="00E75FA4" w:rsidRPr="00E53C89" w:rsidRDefault="00E75FA4" w:rsidP="00E75F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ind w:left="720"/>
      </w:pPr>
      <w:r w:rsidRPr="00E53C89">
        <w:t>The deadline for a categorical determination request has passed for a</w:t>
      </w:r>
      <w:r w:rsidR="007B61F6">
        <w:t>ll existing effluent guidelines</w:t>
      </w:r>
      <w:r w:rsidRPr="00E53C89">
        <w:t>.</w:t>
      </w:r>
      <w:r w:rsidR="007B61F6" w:rsidRPr="007B61F6">
        <w:t xml:space="preserve"> While new categorical standards are anticipated during this ICR cycle, the expected impacts of the new standards cannot be specifically assessed at this time</w:t>
      </w:r>
      <w:r w:rsidRPr="00E53C89">
        <w:t xml:space="preserve"> Therefore, no </w:t>
      </w:r>
      <w:r w:rsidR="007B61F6">
        <w:t xml:space="preserve">estimate for </w:t>
      </w:r>
      <w:r w:rsidRPr="00E53C89">
        <w:t xml:space="preserve">formal categorical determination requests </w:t>
      </w:r>
      <w:r w:rsidR="007B61F6">
        <w:t xml:space="preserve">are included for </w:t>
      </w:r>
      <w:r w:rsidRPr="00E53C89">
        <w:t>th</w:t>
      </w:r>
      <w:r w:rsidR="007B61F6">
        <w:t>is</w:t>
      </w:r>
      <w:r w:rsidRPr="00E53C89">
        <w:t xml:space="preserve"> 3-year ICR period. A New Source must request this certification prior to commencing </w:t>
      </w:r>
      <w:r w:rsidRPr="00E53C89">
        <w:lastRenderedPageBreak/>
        <w:t>discharge.</w:t>
      </w:r>
    </w:p>
    <w:p w14:paraId="3E166A3E" w14:textId="77777777" w:rsidR="00E75FA4" w:rsidRPr="00E53C89" w:rsidRDefault="00E75FA4" w:rsidP="00E75FA4">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120" w:after="120"/>
      </w:pPr>
      <w:r w:rsidRPr="00E53C89">
        <w:tab/>
      </w:r>
      <w:r w:rsidRPr="00E53C89">
        <w:rPr>
          <w:b/>
          <w:bCs/>
          <w:i/>
          <w:iCs/>
        </w:rPr>
        <w:t>Alternative Limits Modification Request</w:t>
      </w:r>
      <w:r w:rsidRPr="00E53C89">
        <w:t xml:space="preserve"> </w:t>
      </w:r>
    </w:p>
    <w:p w14:paraId="7CF69BCB" w14:textId="77777777" w:rsidR="00E75FA4" w:rsidRPr="00E53C89" w:rsidRDefault="00E75FA4" w:rsidP="00E75F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ind w:left="720"/>
      </w:pPr>
      <w:r w:rsidRPr="00E53C89">
        <w:t xml:space="preserve">In this ICR, EPA assumes that 10 percent of all new CIUs will request alternative limits (i.e., use </w:t>
      </w:r>
      <w:smartTag w:uri="urn:schemas-microsoft-com:office:smarttags" w:element="PersonName">
        <w:r w:rsidRPr="00E53C89">
          <w:t>the</w:t>
        </w:r>
      </w:smartTag>
      <w:r w:rsidRPr="00E53C89">
        <w:t xml:space="preserve"> combined wastestream formula). EPA estimates that an IU will require 2 hours to complete a request. </w:t>
      </w:r>
    </w:p>
    <w:p w14:paraId="1BC3C1B2" w14:textId="77777777" w:rsidR="00E75FA4" w:rsidRPr="00E53C89" w:rsidRDefault="00E75FA4" w:rsidP="00E75FA4">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120" w:after="120"/>
      </w:pPr>
      <w:r w:rsidRPr="00E53C89">
        <w:tab/>
      </w:r>
      <w:r w:rsidRPr="00E53C89">
        <w:rPr>
          <w:b/>
          <w:bCs/>
          <w:i/>
          <w:iCs/>
        </w:rPr>
        <w:t>Fundamentally Different Factors Variance Request</w:t>
      </w:r>
      <w:r w:rsidRPr="00E53C89">
        <w:t xml:space="preserve"> </w:t>
      </w:r>
    </w:p>
    <w:p w14:paraId="3FEA8263" w14:textId="32999B72" w:rsidR="00E75FA4" w:rsidRPr="00E53C89" w:rsidRDefault="00E75FA4" w:rsidP="00E75FA4">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ind w:left="720"/>
      </w:pPr>
      <w:r w:rsidRPr="00E53C89">
        <w:t xml:space="preserve">FDF variance requests must be submitted within 180 days following publication of a new effluent guideline. EPA knows of no pending FDF variance requests associated with recently promulgated guidelines. </w:t>
      </w:r>
      <w:r w:rsidR="007B61F6" w:rsidRPr="007B61F6">
        <w:t>While new categorical standards are anticipated during this ICR cycle, the expected impacts of the new standards cannot be specifically assessed at this time</w:t>
      </w:r>
      <w:r w:rsidRPr="00E53C89">
        <w:t xml:space="preserve">, no </w:t>
      </w:r>
      <w:r w:rsidR="007B61F6">
        <w:t xml:space="preserve">estimate for </w:t>
      </w:r>
      <w:r w:rsidR="007B61F6" w:rsidRPr="007B61F6">
        <w:t xml:space="preserve">FDF variance requests </w:t>
      </w:r>
      <w:r w:rsidRPr="00E53C89">
        <w:t xml:space="preserve">are </w:t>
      </w:r>
      <w:r w:rsidR="007B61F6">
        <w:t>included</w:t>
      </w:r>
      <w:r w:rsidRPr="00E53C89">
        <w:t>. In addition, no new dischargers under existing guidelines are anticipated because facilities are required to submit requests no later than 180 days after promulgation of the categorical pretreatment standard.</w:t>
      </w:r>
    </w:p>
    <w:p w14:paraId="2298D6B3" w14:textId="77777777" w:rsidR="00E75FA4" w:rsidRPr="00E53C89" w:rsidRDefault="00E75FA4" w:rsidP="00E75FA4">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120" w:after="120"/>
      </w:pPr>
      <w:r w:rsidRPr="00E53C89">
        <w:tab/>
      </w:r>
      <w:r w:rsidRPr="00E53C89">
        <w:rPr>
          <w:b/>
          <w:bCs/>
          <w:i/>
          <w:iCs/>
        </w:rPr>
        <w:t>Net/Gross Adjustment Request</w:t>
      </w:r>
      <w:r w:rsidRPr="00E53C89">
        <w:t xml:space="preserve"> </w:t>
      </w:r>
    </w:p>
    <w:p w14:paraId="5C71567C" w14:textId="77777777" w:rsidR="00E75FA4" w:rsidRPr="00E53C89" w:rsidRDefault="00E75FA4" w:rsidP="00E75F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ind w:left="720"/>
      </w:pPr>
      <w:r w:rsidRPr="00E53C89">
        <w:t>Based on information provided by EPA Regional Pretreatment Coordinators, EPA estimates that two net/gross adjustment requests will be submitted each year. The Agency fur</w:t>
      </w:r>
      <w:smartTag w:uri="urn:schemas-microsoft-com:office:smarttags" w:element="PersonName">
        <w:r w:rsidRPr="00E53C89">
          <w:t>the</w:t>
        </w:r>
      </w:smartTag>
      <w:r w:rsidRPr="00E53C89">
        <w:t xml:space="preserve">r estimates that IUs will require 50 hours per request. </w:t>
      </w:r>
    </w:p>
    <w:p w14:paraId="030FBB80" w14:textId="77777777" w:rsidR="00E75FA4" w:rsidRPr="00E53C89" w:rsidRDefault="00E75FA4" w:rsidP="00E75F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120" w:after="120"/>
        <w:rPr>
          <w:rFonts w:ascii="Arial" w:hAnsi="Arial" w:cs="Arial"/>
        </w:rPr>
      </w:pPr>
      <w:r w:rsidRPr="00E53C89">
        <w:tab/>
      </w:r>
      <w:r w:rsidRPr="00E53C89">
        <w:rPr>
          <w:rFonts w:ascii="Arial" w:hAnsi="Arial" w:cs="Arial"/>
          <w:b/>
          <w:bCs/>
          <w:u w:val="single"/>
        </w:rPr>
        <w:t>Recordkeeping</w:t>
      </w:r>
    </w:p>
    <w:p w14:paraId="0D98D8EC" w14:textId="77777777" w:rsidR="00E75FA4" w:rsidRPr="00E53C89" w:rsidRDefault="00E75FA4" w:rsidP="00E75F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120" w:after="120"/>
      </w:pPr>
      <w:r w:rsidRPr="00E53C89">
        <w:rPr>
          <w:b/>
          <w:bCs/>
          <w:i/>
          <w:iCs/>
        </w:rPr>
        <w:tab/>
        <w:t>Maintain Monitoring Records</w:t>
      </w:r>
      <w:r w:rsidRPr="00E53C89">
        <w:t xml:space="preserve"> </w:t>
      </w:r>
    </w:p>
    <w:p w14:paraId="3BC68AC9" w14:textId="548470E9" w:rsidR="00E75FA4" w:rsidRPr="00E53C89" w:rsidRDefault="00E75FA4" w:rsidP="00E75F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ind w:left="720"/>
      </w:pPr>
      <w:r w:rsidRPr="00E53C89">
        <w:t>All SIUs must maintain monitoring records. EPA estimates that SIUs will require 2 hours per year to maintain pretreatment records.</w:t>
      </w:r>
      <w:r w:rsidR="00742E1E">
        <w:t xml:space="preserve"> </w:t>
      </w:r>
      <w:r w:rsidR="00614331">
        <w:t>Also</w:t>
      </w:r>
      <w:r w:rsidRPr="00E53C89">
        <w:t xml:space="preserve">, IUs with general control mechanisms have to maintain associated records. </w:t>
      </w:r>
      <w:r>
        <w:t>CIUs</w:t>
      </w:r>
      <w:r w:rsidRPr="00E53C89">
        <w:t xml:space="preserve"> that request a variance for pollutants neither present nor expected to be present also have to maintain sampling and reporting records. Because IUs already maintain individual permit and sampling records, EPA estimates no additional SIU reporting and recordkeeping burden.</w:t>
      </w:r>
    </w:p>
    <w:p w14:paraId="00411B45" w14:textId="77777777" w:rsidR="00E75FA4" w:rsidRDefault="00E75FA4" w:rsidP="00E75FA4"/>
    <w:p w14:paraId="724B0C09" w14:textId="68B063F7" w:rsidR="006458E0" w:rsidRPr="00E53C89" w:rsidRDefault="006458E0" w:rsidP="006458E0">
      <w:pPr>
        <w:pStyle w:val="Heading2"/>
        <w:tabs>
          <w:tab w:val="left" w:pos="1080"/>
        </w:tabs>
      </w:pPr>
      <w:bookmarkStart w:id="38" w:name="_Toc166405825"/>
      <w:bookmarkStart w:id="39" w:name="_Toc437867215"/>
      <w:r>
        <w:t>A</w:t>
      </w:r>
      <w:r w:rsidR="00B12B0D">
        <w:t>.2</w:t>
      </w:r>
      <w:r w:rsidRPr="00E53C89">
        <w:t>.</w:t>
      </w:r>
      <w:r w:rsidRPr="00E53C89">
        <w:tab/>
        <w:t>Respondent Costs</w:t>
      </w:r>
      <w:bookmarkEnd w:id="38"/>
      <w:bookmarkEnd w:id="39"/>
    </w:p>
    <w:p w14:paraId="4419B014" w14:textId="58A63608" w:rsidR="006458E0" w:rsidRPr="00E53C89" w:rsidRDefault="006458E0" w:rsidP="006458E0">
      <w:pPr>
        <w:pStyle w:val="Heading3"/>
        <w:tabs>
          <w:tab w:val="left" w:pos="1080"/>
        </w:tabs>
      </w:pPr>
      <w:bookmarkStart w:id="40" w:name="_Toc166405826"/>
      <w:bookmarkStart w:id="41" w:name="_Toc437867216"/>
      <w:r>
        <w:t>A</w:t>
      </w:r>
      <w:r w:rsidR="00B12B0D">
        <w:t>.2.1</w:t>
      </w:r>
      <w:r w:rsidRPr="00E53C89">
        <w:t>.</w:t>
      </w:r>
      <w:r w:rsidRPr="00E53C89">
        <w:tab/>
        <w:t>Cost to States</w:t>
      </w:r>
      <w:bookmarkEnd w:id="40"/>
      <w:bookmarkEnd w:id="41"/>
    </w:p>
    <w:p w14:paraId="2884BE04" w14:textId="08DB495F" w:rsidR="006458E0" w:rsidRPr="00E53C89" w:rsidRDefault="00145A69" w:rsidP="006458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Table A.1</w:t>
      </w:r>
      <w:r w:rsidR="006458E0" w:rsidRPr="00E53C89">
        <w:t xml:space="preserve"> shows that the annual costs to states are approximately $</w:t>
      </w:r>
      <w:r w:rsidR="00190E80">
        <w:t>5.6</w:t>
      </w:r>
      <w:r w:rsidR="006458E0" w:rsidRPr="00E53C89">
        <w:t xml:space="preserve"> million. The labor costs, which account for all state costs, are based </w:t>
      </w:r>
      <w:r w:rsidR="00B86F2B" w:rsidRPr="00B86F2B">
        <w:t xml:space="preserve">on </w:t>
      </w:r>
      <w:r w:rsidR="00A91077">
        <w:t xml:space="preserve">an hourly rate of $43.56 from the </w:t>
      </w:r>
      <w:r w:rsidR="00B86F2B" w:rsidRPr="00B86F2B">
        <w:t xml:space="preserve">U.S. Department of Labor, Bureau of Labor Statistics, Employer Costs for Employee Compensation, Table 3: Employer costs per hour worked for employee compensation and costs as a percent of total compensation: State and local government workers, by major occupational and industry group, </w:t>
      </w:r>
      <w:r w:rsidR="00B86F2B">
        <w:t>S</w:t>
      </w:r>
      <w:r w:rsidR="00B86F2B" w:rsidRPr="00B86F2B">
        <w:t>eptember 2014</w:t>
      </w:r>
      <w:r w:rsidR="00A91077">
        <w:t>.</w:t>
      </w:r>
    </w:p>
    <w:p w14:paraId="077A75A0" w14:textId="77777777" w:rsidR="006458E0" w:rsidRPr="00E53C89" w:rsidRDefault="006458E0" w:rsidP="006458E0"/>
    <w:p w14:paraId="233E7BEC" w14:textId="3C44CD97" w:rsidR="007D69E5" w:rsidRDefault="007D69E5" w:rsidP="000959D8">
      <w:pPr>
        <w:pStyle w:val="TableTitle"/>
        <w:tabs>
          <w:tab w:val="left" w:pos="1080"/>
        </w:tabs>
      </w:pPr>
      <w:r>
        <w:lastRenderedPageBreak/>
        <w:t xml:space="preserve">Table A.1. </w:t>
      </w:r>
      <w:r w:rsidRPr="00E53C89">
        <w:t xml:space="preserve">Average </w:t>
      </w:r>
      <w:r>
        <w:t>Annual State Burden a</w:t>
      </w:r>
      <w:r w:rsidRPr="00E53C89">
        <w:t>nd Costs</w:t>
      </w:r>
    </w:p>
    <w:tbl>
      <w:tblPr>
        <w:tblW w:w="0" w:type="auto"/>
        <w:jc w:val="center"/>
        <w:tblLayout w:type="fixed"/>
        <w:tblCellMar>
          <w:left w:w="34" w:type="dxa"/>
          <w:right w:w="34" w:type="dxa"/>
        </w:tblCellMar>
        <w:tblLook w:val="0000" w:firstRow="0" w:lastRow="0" w:firstColumn="0" w:lastColumn="0" w:noHBand="0" w:noVBand="0"/>
      </w:tblPr>
      <w:tblGrid>
        <w:gridCol w:w="3016"/>
        <w:gridCol w:w="1224"/>
        <w:gridCol w:w="1194"/>
        <w:gridCol w:w="1284"/>
        <w:gridCol w:w="1194"/>
        <w:gridCol w:w="1194"/>
      </w:tblGrid>
      <w:tr w:rsidR="006458E0" w:rsidRPr="00E53C89" w14:paraId="109A72E5" w14:textId="77777777" w:rsidTr="002B6F2F">
        <w:trPr>
          <w:jc w:val="center"/>
        </w:trPr>
        <w:tc>
          <w:tcPr>
            <w:tcW w:w="3016" w:type="dxa"/>
            <w:vMerge w:val="restart"/>
            <w:tcBorders>
              <w:top w:val="single" w:sz="6" w:space="0" w:color="000000"/>
              <w:left w:val="single" w:sz="6" w:space="0" w:color="000000"/>
              <w:bottom w:val="single" w:sz="6" w:space="0" w:color="000000"/>
              <w:right w:val="nil"/>
            </w:tcBorders>
            <w:shd w:val="clear" w:color="auto" w:fill="D9D9D9"/>
          </w:tcPr>
          <w:p w14:paraId="7B04E31D" w14:textId="77777777" w:rsidR="006458E0" w:rsidRPr="00E53C89" w:rsidRDefault="006458E0" w:rsidP="002B6F2F">
            <w:pPr>
              <w:keepNext/>
              <w:keepLines/>
              <w:numPr>
                <w:ilvl w:val="12"/>
                <w:numId w:val="0"/>
              </w:numPr>
              <w:tabs>
                <w:tab w:val="left" w:pos="0"/>
                <w:tab w:val="left" w:pos="720"/>
                <w:tab w:val="left" w:pos="1440"/>
                <w:tab w:val="center" w:pos="1474"/>
                <w:tab w:val="left" w:pos="2160"/>
                <w:tab w:val="left" w:pos="2880"/>
              </w:tabs>
              <w:spacing w:before="64" w:after="30"/>
              <w:jc w:val="center"/>
              <w:rPr>
                <w:rFonts w:ascii="Arial" w:hAnsi="Arial" w:cs="Arial"/>
                <w:sz w:val="20"/>
                <w:szCs w:val="20"/>
              </w:rPr>
            </w:pPr>
            <w:r w:rsidRPr="00E53C89">
              <w:rPr>
                <w:rFonts w:ascii="Arial" w:hAnsi="Arial" w:cs="Arial"/>
                <w:b/>
                <w:bCs/>
                <w:sz w:val="20"/>
                <w:szCs w:val="20"/>
              </w:rPr>
              <w:t>Activity</w:t>
            </w:r>
          </w:p>
        </w:tc>
        <w:tc>
          <w:tcPr>
            <w:tcW w:w="1224" w:type="dxa"/>
            <w:vMerge w:val="restart"/>
            <w:tcBorders>
              <w:top w:val="single" w:sz="6" w:space="0" w:color="000000"/>
              <w:left w:val="single" w:sz="2" w:space="0" w:color="000000"/>
              <w:bottom w:val="single" w:sz="6" w:space="0" w:color="000000"/>
              <w:right w:val="nil"/>
            </w:tcBorders>
            <w:shd w:val="clear" w:color="auto" w:fill="D9D9D9"/>
          </w:tcPr>
          <w:p w14:paraId="0589D822" w14:textId="77777777" w:rsidR="006458E0" w:rsidRPr="00E53C89" w:rsidRDefault="006458E0" w:rsidP="002B6F2F">
            <w:pPr>
              <w:keepNext/>
              <w:keepLines/>
              <w:numPr>
                <w:ilvl w:val="12"/>
                <w:numId w:val="0"/>
              </w:numPr>
              <w:tabs>
                <w:tab w:val="left" w:pos="0"/>
                <w:tab w:val="left" w:pos="720"/>
              </w:tabs>
              <w:spacing w:before="64" w:after="30"/>
              <w:jc w:val="center"/>
              <w:rPr>
                <w:rFonts w:ascii="Arial" w:hAnsi="Arial" w:cs="Arial"/>
                <w:sz w:val="20"/>
                <w:szCs w:val="20"/>
              </w:rPr>
            </w:pPr>
            <w:r w:rsidRPr="00E53C89">
              <w:rPr>
                <w:rFonts w:ascii="Arial" w:hAnsi="Arial" w:cs="Arial"/>
                <w:b/>
                <w:bCs/>
                <w:sz w:val="20"/>
                <w:szCs w:val="20"/>
              </w:rPr>
              <w:t>Annual Burden Hours</w:t>
            </w:r>
          </w:p>
        </w:tc>
        <w:tc>
          <w:tcPr>
            <w:tcW w:w="3672" w:type="dxa"/>
            <w:gridSpan w:val="3"/>
            <w:tcBorders>
              <w:top w:val="single" w:sz="6" w:space="0" w:color="000000"/>
              <w:left w:val="single" w:sz="2" w:space="0" w:color="000000"/>
              <w:bottom w:val="single" w:sz="2" w:space="0" w:color="000000"/>
              <w:right w:val="nil"/>
            </w:tcBorders>
            <w:shd w:val="clear" w:color="auto" w:fill="D9D9D9"/>
          </w:tcPr>
          <w:p w14:paraId="143548ED" w14:textId="77777777" w:rsidR="006458E0" w:rsidRPr="00E53C89" w:rsidRDefault="006458E0" w:rsidP="002B6F2F">
            <w:pPr>
              <w:keepNext/>
              <w:keepLines/>
              <w:numPr>
                <w:ilvl w:val="12"/>
                <w:numId w:val="0"/>
              </w:numPr>
              <w:tabs>
                <w:tab w:val="left" w:pos="0"/>
                <w:tab w:val="left" w:pos="720"/>
              </w:tabs>
              <w:spacing w:before="64" w:after="30"/>
              <w:jc w:val="center"/>
              <w:rPr>
                <w:rFonts w:ascii="Arial" w:hAnsi="Arial" w:cs="Arial"/>
                <w:sz w:val="20"/>
                <w:szCs w:val="20"/>
              </w:rPr>
            </w:pPr>
            <w:r w:rsidRPr="00E53C89">
              <w:rPr>
                <w:rFonts w:ascii="Arial" w:hAnsi="Arial" w:cs="Arial"/>
                <w:b/>
                <w:bCs/>
                <w:sz w:val="20"/>
                <w:szCs w:val="20"/>
              </w:rPr>
              <w:t>Annual Cost ($K)</w:t>
            </w:r>
          </w:p>
        </w:tc>
        <w:tc>
          <w:tcPr>
            <w:tcW w:w="1194" w:type="dxa"/>
            <w:vMerge w:val="restart"/>
            <w:tcBorders>
              <w:top w:val="single" w:sz="6" w:space="0" w:color="000000"/>
              <w:left w:val="single" w:sz="2" w:space="0" w:color="000000"/>
              <w:bottom w:val="single" w:sz="6" w:space="0" w:color="000000"/>
              <w:right w:val="single" w:sz="6" w:space="0" w:color="000000"/>
            </w:tcBorders>
            <w:shd w:val="clear" w:color="auto" w:fill="D9D9D9"/>
          </w:tcPr>
          <w:p w14:paraId="5B3B64E4" w14:textId="77777777" w:rsidR="006458E0" w:rsidRPr="00E53C89" w:rsidRDefault="006458E0" w:rsidP="002B6F2F">
            <w:pPr>
              <w:keepNext/>
              <w:keepLines/>
              <w:numPr>
                <w:ilvl w:val="12"/>
                <w:numId w:val="0"/>
              </w:numPr>
              <w:tabs>
                <w:tab w:val="left" w:pos="0"/>
                <w:tab w:val="left" w:pos="720"/>
              </w:tabs>
              <w:spacing w:before="64" w:after="30"/>
              <w:jc w:val="center"/>
              <w:rPr>
                <w:rFonts w:ascii="Arial" w:hAnsi="Arial" w:cs="Arial"/>
                <w:sz w:val="20"/>
                <w:szCs w:val="20"/>
              </w:rPr>
            </w:pPr>
            <w:r w:rsidRPr="00E53C89">
              <w:rPr>
                <w:rFonts w:ascii="Arial" w:hAnsi="Arial" w:cs="Arial"/>
                <w:b/>
                <w:bCs/>
                <w:sz w:val="20"/>
                <w:szCs w:val="20"/>
              </w:rPr>
              <w:t>Responses</w:t>
            </w:r>
          </w:p>
        </w:tc>
      </w:tr>
      <w:tr w:rsidR="006458E0" w:rsidRPr="00E53C89" w14:paraId="2FE4A385" w14:textId="77777777" w:rsidTr="002B6F2F">
        <w:trPr>
          <w:jc w:val="center"/>
        </w:trPr>
        <w:tc>
          <w:tcPr>
            <w:tcW w:w="3016" w:type="dxa"/>
            <w:vMerge/>
            <w:tcBorders>
              <w:top w:val="single" w:sz="6" w:space="0" w:color="000000"/>
              <w:left w:val="single" w:sz="6" w:space="0" w:color="000000"/>
              <w:bottom w:val="single" w:sz="6" w:space="0" w:color="000000"/>
              <w:right w:val="nil"/>
            </w:tcBorders>
          </w:tcPr>
          <w:p w14:paraId="10367C88" w14:textId="77777777" w:rsidR="006458E0" w:rsidRPr="00E53C89" w:rsidRDefault="006458E0" w:rsidP="002B6F2F">
            <w:pPr>
              <w:keepNext/>
              <w:keepLines/>
              <w:numPr>
                <w:ilvl w:val="12"/>
                <w:numId w:val="0"/>
              </w:numPr>
              <w:tabs>
                <w:tab w:val="left" w:pos="0"/>
                <w:tab w:val="left" w:pos="720"/>
                <w:tab w:val="left" w:pos="1440"/>
                <w:tab w:val="left" w:pos="2160"/>
                <w:tab w:val="left" w:pos="2880"/>
              </w:tabs>
              <w:spacing w:before="64" w:after="30"/>
              <w:jc w:val="center"/>
              <w:rPr>
                <w:rFonts w:ascii="Arial" w:hAnsi="Arial" w:cs="Arial"/>
                <w:sz w:val="20"/>
                <w:szCs w:val="20"/>
              </w:rPr>
            </w:pPr>
          </w:p>
        </w:tc>
        <w:tc>
          <w:tcPr>
            <w:tcW w:w="1224" w:type="dxa"/>
            <w:vMerge/>
            <w:tcBorders>
              <w:top w:val="single" w:sz="6" w:space="0" w:color="000000"/>
              <w:left w:val="single" w:sz="2" w:space="0" w:color="000000"/>
              <w:bottom w:val="single" w:sz="6" w:space="0" w:color="000000"/>
              <w:right w:val="nil"/>
            </w:tcBorders>
          </w:tcPr>
          <w:p w14:paraId="15542FDF" w14:textId="77777777" w:rsidR="006458E0" w:rsidRPr="00E53C89" w:rsidRDefault="006458E0" w:rsidP="002B6F2F">
            <w:pPr>
              <w:keepNext/>
              <w:keepLines/>
              <w:numPr>
                <w:ilvl w:val="12"/>
                <w:numId w:val="0"/>
              </w:numPr>
              <w:tabs>
                <w:tab w:val="left" w:pos="0"/>
                <w:tab w:val="left" w:pos="720"/>
              </w:tabs>
              <w:spacing w:before="64" w:after="30"/>
              <w:jc w:val="center"/>
              <w:rPr>
                <w:rFonts w:ascii="Arial" w:hAnsi="Arial" w:cs="Arial"/>
                <w:sz w:val="20"/>
                <w:szCs w:val="20"/>
              </w:rPr>
            </w:pPr>
          </w:p>
        </w:tc>
        <w:tc>
          <w:tcPr>
            <w:tcW w:w="1194" w:type="dxa"/>
            <w:tcBorders>
              <w:top w:val="single" w:sz="2" w:space="0" w:color="000000"/>
              <w:left w:val="single" w:sz="2" w:space="0" w:color="000000"/>
              <w:bottom w:val="single" w:sz="6" w:space="0" w:color="000000"/>
              <w:right w:val="nil"/>
            </w:tcBorders>
            <w:shd w:val="clear" w:color="auto" w:fill="CCCCCC"/>
          </w:tcPr>
          <w:p w14:paraId="59BD35E8" w14:textId="77777777" w:rsidR="006458E0" w:rsidRPr="00E53C89" w:rsidRDefault="006458E0" w:rsidP="002B6F2F">
            <w:pPr>
              <w:keepNext/>
              <w:keepLines/>
              <w:numPr>
                <w:ilvl w:val="12"/>
                <w:numId w:val="0"/>
              </w:numPr>
              <w:tabs>
                <w:tab w:val="left" w:pos="0"/>
                <w:tab w:val="left" w:pos="720"/>
              </w:tabs>
              <w:spacing w:before="64" w:after="30"/>
              <w:jc w:val="center"/>
              <w:rPr>
                <w:rFonts w:ascii="Arial" w:hAnsi="Arial" w:cs="Arial"/>
                <w:sz w:val="20"/>
                <w:szCs w:val="20"/>
              </w:rPr>
            </w:pPr>
            <w:r w:rsidRPr="00E53C89">
              <w:rPr>
                <w:rFonts w:ascii="Arial" w:hAnsi="Arial" w:cs="Arial"/>
                <w:b/>
                <w:bCs/>
                <w:sz w:val="20"/>
                <w:szCs w:val="20"/>
              </w:rPr>
              <w:t>Capital and O&amp;M Cost</w:t>
            </w:r>
          </w:p>
        </w:tc>
        <w:tc>
          <w:tcPr>
            <w:tcW w:w="1284" w:type="dxa"/>
            <w:tcBorders>
              <w:top w:val="single" w:sz="2" w:space="0" w:color="000000"/>
              <w:left w:val="single" w:sz="2" w:space="0" w:color="000000"/>
              <w:bottom w:val="single" w:sz="6" w:space="0" w:color="000000"/>
              <w:right w:val="nil"/>
            </w:tcBorders>
            <w:shd w:val="clear" w:color="auto" w:fill="CCCCCC"/>
          </w:tcPr>
          <w:p w14:paraId="4AC9F274" w14:textId="77777777" w:rsidR="006458E0" w:rsidRPr="00E53C89" w:rsidRDefault="006458E0" w:rsidP="002B6F2F">
            <w:pPr>
              <w:keepNext/>
              <w:keepLines/>
              <w:numPr>
                <w:ilvl w:val="12"/>
                <w:numId w:val="0"/>
              </w:numPr>
              <w:tabs>
                <w:tab w:val="left" w:pos="0"/>
                <w:tab w:val="left" w:pos="720"/>
              </w:tabs>
              <w:spacing w:before="64" w:after="30"/>
              <w:jc w:val="center"/>
              <w:rPr>
                <w:rFonts w:ascii="Arial" w:hAnsi="Arial" w:cs="Arial"/>
                <w:sz w:val="20"/>
                <w:szCs w:val="20"/>
              </w:rPr>
            </w:pPr>
            <w:r w:rsidRPr="00E53C89">
              <w:rPr>
                <w:rFonts w:ascii="Arial" w:hAnsi="Arial" w:cs="Arial"/>
                <w:b/>
                <w:bCs/>
                <w:sz w:val="20"/>
                <w:szCs w:val="20"/>
              </w:rPr>
              <w:t>Labor Cost</w:t>
            </w:r>
          </w:p>
        </w:tc>
        <w:tc>
          <w:tcPr>
            <w:tcW w:w="1194" w:type="dxa"/>
            <w:tcBorders>
              <w:top w:val="single" w:sz="2" w:space="0" w:color="000000"/>
              <w:left w:val="single" w:sz="2" w:space="0" w:color="000000"/>
              <w:bottom w:val="single" w:sz="6" w:space="0" w:color="000000"/>
              <w:right w:val="nil"/>
            </w:tcBorders>
            <w:shd w:val="clear" w:color="auto" w:fill="CCCCCC"/>
          </w:tcPr>
          <w:p w14:paraId="40671891" w14:textId="77777777" w:rsidR="006458E0" w:rsidRPr="00E53C89" w:rsidRDefault="006458E0" w:rsidP="002B6F2F">
            <w:pPr>
              <w:keepNext/>
              <w:keepLines/>
              <w:numPr>
                <w:ilvl w:val="12"/>
                <w:numId w:val="0"/>
              </w:numPr>
              <w:tabs>
                <w:tab w:val="left" w:pos="0"/>
                <w:tab w:val="left" w:pos="720"/>
              </w:tabs>
              <w:spacing w:before="64" w:after="30"/>
              <w:jc w:val="center"/>
              <w:rPr>
                <w:rFonts w:ascii="Arial" w:hAnsi="Arial" w:cs="Arial"/>
                <w:sz w:val="20"/>
                <w:szCs w:val="20"/>
              </w:rPr>
            </w:pPr>
            <w:r w:rsidRPr="00E53C89">
              <w:rPr>
                <w:rFonts w:ascii="Arial" w:hAnsi="Arial" w:cs="Arial"/>
                <w:b/>
                <w:bCs/>
                <w:sz w:val="20"/>
                <w:szCs w:val="20"/>
              </w:rPr>
              <w:t>Total Cost</w:t>
            </w:r>
          </w:p>
        </w:tc>
        <w:tc>
          <w:tcPr>
            <w:tcW w:w="1194" w:type="dxa"/>
            <w:vMerge/>
            <w:tcBorders>
              <w:top w:val="single" w:sz="6" w:space="0" w:color="000000"/>
              <w:left w:val="single" w:sz="2" w:space="0" w:color="000000"/>
              <w:bottom w:val="single" w:sz="6" w:space="0" w:color="000000"/>
              <w:right w:val="single" w:sz="6" w:space="0" w:color="000000"/>
            </w:tcBorders>
          </w:tcPr>
          <w:p w14:paraId="4E265701" w14:textId="77777777" w:rsidR="006458E0" w:rsidRPr="00E53C89" w:rsidRDefault="006458E0" w:rsidP="002B6F2F">
            <w:pPr>
              <w:keepNext/>
              <w:keepLines/>
              <w:numPr>
                <w:ilvl w:val="12"/>
                <w:numId w:val="0"/>
              </w:numPr>
              <w:tabs>
                <w:tab w:val="left" w:pos="0"/>
                <w:tab w:val="left" w:pos="720"/>
              </w:tabs>
              <w:spacing w:before="64" w:after="30"/>
              <w:rPr>
                <w:rFonts w:ascii="Arial" w:hAnsi="Arial" w:cs="Arial"/>
                <w:sz w:val="20"/>
                <w:szCs w:val="20"/>
              </w:rPr>
            </w:pPr>
          </w:p>
        </w:tc>
      </w:tr>
      <w:tr w:rsidR="009A591A" w:rsidRPr="00E53C89" w14:paraId="4D64CF02" w14:textId="77777777" w:rsidTr="006569D0">
        <w:trPr>
          <w:jc w:val="center"/>
        </w:trPr>
        <w:tc>
          <w:tcPr>
            <w:tcW w:w="3016" w:type="dxa"/>
            <w:tcBorders>
              <w:top w:val="single" w:sz="2" w:space="0" w:color="000000"/>
              <w:left w:val="single" w:sz="6" w:space="0" w:color="000000"/>
              <w:bottom w:val="nil"/>
              <w:right w:val="nil"/>
            </w:tcBorders>
          </w:tcPr>
          <w:p w14:paraId="7161FD34" w14:textId="77777777" w:rsidR="009A591A" w:rsidRPr="00E53C89" w:rsidRDefault="009A591A" w:rsidP="009A591A">
            <w:pPr>
              <w:keepNext/>
              <w:keepLines/>
              <w:numPr>
                <w:ilvl w:val="12"/>
                <w:numId w:val="0"/>
              </w:numPr>
              <w:tabs>
                <w:tab w:val="left" w:pos="0"/>
                <w:tab w:val="left" w:pos="720"/>
                <w:tab w:val="left" w:pos="1440"/>
                <w:tab w:val="left" w:pos="2160"/>
                <w:tab w:val="left" w:pos="2880"/>
              </w:tabs>
              <w:spacing w:before="64" w:after="30"/>
              <w:rPr>
                <w:rFonts w:ascii="Arial" w:hAnsi="Arial" w:cs="Arial"/>
                <w:sz w:val="20"/>
                <w:szCs w:val="20"/>
              </w:rPr>
            </w:pPr>
            <w:r w:rsidRPr="00E53C89">
              <w:rPr>
                <w:rFonts w:ascii="Arial" w:hAnsi="Arial" w:cs="Arial"/>
                <w:sz w:val="20"/>
                <w:szCs w:val="20"/>
              </w:rPr>
              <w:t>Program development</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bottom"/>
          </w:tcPr>
          <w:p w14:paraId="573BB691" w14:textId="77EC8E41" w:rsidR="009A591A" w:rsidRPr="004D1BC8" w:rsidRDefault="009A591A" w:rsidP="009A591A">
            <w:pPr>
              <w:jc w:val="right"/>
              <w:rPr>
                <w:rFonts w:ascii="Arial" w:hAnsi="Arial" w:cs="Arial"/>
                <w:sz w:val="20"/>
                <w:szCs w:val="20"/>
                <w:highlight w:val="yellow"/>
              </w:rPr>
            </w:pPr>
            <w:r>
              <w:rPr>
                <w:rFonts w:ascii="Arial" w:hAnsi="Arial" w:cs="Arial"/>
                <w:sz w:val="20"/>
                <w:szCs w:val="20"/>
              </w:rPr>
              <w:t>100</w:t>
            </w:r>
          </w:p>
        </w:tc>
        <w:tc>
          <w:tcPr>
            <w:tcW w:w="1194" w:type="dxa"/>
            <w:tcBorders>
              <w:top w:val="single" w:sz="4" w:space="0" w:color="auto"/>
              <w:left w:val="nil"/>
              <w:bottom w:val="single" w:sz="4" w:space="0" w:color="auto"/>
              <w:right w:val="single" w:sz="4" w:space="0" w:color="auto"/>
            </w:tcBorders>
            <w:shd w:val="clear" w:color="auto" w:fill="auto"/>
            <w:vAlign w:val="bottom"/>
          </w:tcPr>
          <w:p w14:paraId="28D7AA20" w14:textId="491A5E3B" w:rsidR="009A591A" w:rsidRPr="00F06FB5" w:rsidRDefault="009A591A" w:rsidP="009A591A">
            <w:pPr>
              <w:jc w:val="right"/>
              <w:rPr>
                <w:rFonts w:ascii="Arial" w:hAnsi="Arial" w:cs="Arial"/>
                <w:sz w:val="20"/>
                <w:szCs w:val="20"/>
              </w:rPr>
            </w:pPr>
            <w:r>
              <w:rPr>
                <w:rFonts w:ascii="Arial" w:hAnsi="Arial" w:cs="Arial"/>
                <w:sz w:val="20"/>
                <w:szCs w:val="20"/>
              </w:rPr>
              <w:t>$0</w:t>
            </w:r>
          </w:p>
        </w:tc>
        <w:tc>
          <w:tcPr>
            <w:tcW w:w="1284" w:type="dxa"/>
            <w:tcBorders>
              <w:top w:val="single" w:sz="4" w:space="0" w:color="auto"/>
              <w:left w:val="nil"/>
              <w:bottom w:val="single" w:sz="4" w:space="0" w:color="auto"/>
              <w:right w:val="single" w:sz="4" w:space="0" w:color="auto"/>
            </w:tcBorders>
            <w:shd w:val="clear" w:color="auto" w:fill="auto"/>
            <w:vAlign w:val="bottom"/>
          </w:tcPr>
          <w:p w14:paraId="74A6521B" w14:textId="139DD8C6" w:rsidR="009A591A" w:rsidRPr="004D1BC8" w:rsidRDefault="009A591A" w:rsidP="009A591A">
            <w:pPr>
              <w:jc w:val="right"/>
              <w:rPr>
                <w:rFonts w:ascii="Arial" w:hAnsi="Arial" w:cs="Arial"/>
                <w:sz w:val="20"/>
                <w:szCs w:val="20"/>
                <w:highlight w:val="yellow"/>
              </w:rPr>
            </w:pPr>
            <w:r>
              <w:rPr>
                <w:rFonts w:ascii="Arial" w:hAnsi="Arial" w:cs="Arial"/>
                <w:sz w:val="20"/>
                <w:szCs w:val="20"/>
              </w:rPr>
              <w:t>$4.4</w:t>
            </w:r>
          </w:p>
        </w:tc>
        <w:tc>
          <w:tcPr>
            <w:tcW w:w="1194" w:type="dxa"/>
            <w:tcBorders>
              <w:top w:val="single" w:sz="4" w:space="0" w:color="auto"/>
              <w:left w:val="nil"/>
              <w:bottom w:val="single" w:sz="4" w:space="0" w:color="auto"/>
              <w:right w:val="single" w:sz="4" w:space="0" w:color="auto"/>
            </w:tcBorders>
            <w:shd w:val="clear" w:color="auto" w:fill="auto"/>
            <w:vAlign w:val="bottom"/>
          </w:tcPr>
          <w:p w14:paraId="2BA8D6C3" w14:textId="2991E784" w:rsidR="009A591A" w:rsidRPr="004D1BC8" w:rsidRDefault="009A591A" w:rsidP="009A591A">
            <w:pPr>
              <w:jc w:val="right"/>
              <w:rPr>
                <w:rFonts w:ascii="Arial" w:hAnsi="Arial" w:cs="Arial"/>
                <w:sz w:val="20"/>
                <w:szCs w:val="20"/>
                <w:highlight w:val="yellow"/>
              </w:rPr>
            </w:pPr>
            <w:r>
              <w:rPr>
                <w:rFonts w:ascii="Arial" w:hAnsi="Arial" w:cs="Arial"/>
                <w:sz w:val="20"/>
                <w:szCs w:val="20"/>
              </w:rPr>
              <w:t>$4.4</w:t>
            </w:r>
          </w:p>
        </w:tc>
        <w:tc>
          <w:tcPr>
            <w:tcW w:w="1194" w:type="dxa"/>
            <w:tcBorders>
              <w:top w:val="single" w:sz="4" w:space="0" w:color="auto"/>
              <w:left w:val="nil"/>
              <w:bottom w:val="single" w:sz="4" w:space="0" w:color="auto"/>
              <w:right w:val="single" w:sz="4" w:space="0" w:color="auto"/>
            </w:tcBorders>
            <w:shd w:val="clear" w:color="auto" w:fill="auto"/>
            <w:vAlign w:val="bottom"/>
          </w:tcPr>
          <w:p w14:paraId="0743C18C" w14:textId="5D6B86A6" w:rsidR="009A591A" w:rsidRPr="004D1BC8" w:rsidRDefault="009A591A" w:rsidP="009A591A">
            <w:pPr>
              <w:jc w:val="right"/>
              <w:rPr>
                <w:rFonts w:ascii="Arial" w:hAnsi="Arial" w:cs="Arial"/>
                <w:sz w:val="20"/>
                <w:szCs w:val="20"/>
                <w:highlight w:val="yellow"/>
              </w:rPr>
            </w:pPr>
            <w:r>
              <w:rPr>
                <w:rFonts w:ascii="Arial" w:hAnsi="Arial" w:cs="Arial"/>
                <w:sz w:val="20"/>
                <w:szCs w:val="20"/>
              </w:rPr>
              <w:t>0.3</w:t>
            </w:r>
          </w:p>
        </w:tc>
      </w:tr>
      <w:tr w:rsidR="009A591A" w:rsidRPr="00E53C89" w14:paraId="5B657B33" w14:textId="77777777" w:rsidTr="006569D0">
        <w:trPr>
          <w:jc w:val="center"/>
        </w:trPr>
        <w:tc>
          <w:tcPr>
            <w:tcW w:w="3016" w:type="dxa"/>
            <w:tcBorders>
              <w:top w:val="single" w:sz="2" w:space="0" w:color="000000"/>
              <w:left w:val="single" w:sz="6" w:space="0" w:color="000000"/>
              <w:bottom w:val="nil"/>
              <w:right w:val="nil"/>
            </w:tcBorders>
          </w:tcPr>
          <w:p w14:paraId="2F664D94" w14:textId="77777777" w:rsidR="009A591A" w:rsidRPr="00E53C89" w:rsidRDefault="009A591A" w:rsidP="009A591A">
            <w:pPr>
              <w:keepNext/>
              <w:keepLines/>
              <w:numPr>
                <w:ilvl w:val="12"/>
                <w:numId w:val="0"/>
              </w:numPr>
              <w:tabs>
                <w:tab w:val="left" w:pos="0"/>
                <w:tab w:val="left" w:pos="720"/>
                <w:tab w:val="left" w:pos="1440"/>
                <w:tab w:val="left" w:pos="2160"/>
                <w:tab w:val="left" w:pos="2880"/>
              </w:tabs>
              <w:spacing w:before="64" w:after="30"/>
              <w:rPr>
                <w:rFonts w:ascii="Arial" w:hAnsi="Arial" w:cs="Arial"/>
                <w:sz w:val="20"/>
                <w:szCs w:val="20"/>
              </w:rPr>
            </w:pPr>
            <w:r w:rsidRPr="00E53C89">
              <w:rPr>
                <w:rFonts w:ascii="Arial" w:hAnsi="Arial" w:cs="Arial"/>
                <w:sz w:val="20"/>
                <w:szCs w:val="20"/>
              </w:rPr>
              <w:t>Program implementation</w:t>
            </w:r>
          </w:p>
        </w:tc>
        <w:tc>
          <w:tcPr>
            <w:tcW w:w="1224" w:type="dxa"/>
            <w:tcBorders>
              <w:top w:val="nil"/>
              <w:left w:val="single" w:sz="4" w:space="0" w:color="auto"/>
              <w:bottom w:val="single" w:sz="4" w:space="0" w:color="auto"/>
              <w:right w:val="single" w:sz="4" w:space="0" w:color="auto"/>
            </w:tcBorders>
            <w:shd w:val="clear" w:color="auto" w:fill="auto"/>
            <w:vAlign w:val="bottom"/>
          </w:tcPr>
          <w:p w14:paraId="02BAF60B" w14:textId="01196407" w:rsidR="009A591A" w:rsidRPr="004D1BC8" w:rsidRDefault="009A591A" w:rsidP="009A591A">
            <w:pPr>
              <w:jc w:val="right"/>
              <w:rPr>
                <w:rFonts w:ascii="Arial" w:hAnsi="Arial" w:cs="Arial"/>
                <w:sz w:val="20"/>
                <w:szCs w:val="20"/>
                <w:highlight w:val="yellow"/>
              </w:rPr>
            </w:pPr>
            <w:r>
              <w:rPr>
                <w:rFonts w:ascii="Arial" w:hAnsi="Arial" w:cs="Arial"/>
                <w:sz w:val="20"/>
                <w:szCs w:val="20"/>
              </w:rPr>
              <w:t>49,559</w:t>
            </w:r>
          </w:p>
        </w:tc>
        <w:tc>
          <w:tcPr>
            <w:tcW w:w="1194" w:type="dxa"/>
            <w:tcBorders>
              <w:top w:val="nil"/>
              <w:left w:val="nil"/>
              <w:bottom w:val="single" w:sz="4" w:space="0" w:color="auto"/>
              <w:right w:val="single" w:sz="4" w:space="0" w:color="auto"/>
            </w:tcBorders>
            <w:shd w:val="clear" w:color="auto" w:fill="auto"/>
            <w:vAlign w:val="bottom"/>
          </w:tcPr>
          <w:p w14:paraId="597DBE37" w14:textId="461F0C3A" w:rsidR="009A591A" w:rsidRPr="00F06FB5" w:rsidRDefault="009A591A" w:rsidP="009A591A">
            <w:pPr>
              <w:jc w:val="right"/>
              <w:rPr>
                <w:rFonts w:ascii="Arial" w:hAnsi="Arial" w:cs="Arial"/>
                <w:sz w:val="20"/>
                <w:szCs w:val="20"/>
              </w:rPr>
            </w:pPr>
            <w:r>
              <w:rPr>
                <w:rFonts w:ascii="Arial" w:hAnsi="Arial" w:cs="Arial"/>
                <w:sz w:val="20"/>
                <w:szCs w:val="20"/>
              </w:rPr>
              <w:t>$0</w:t>
            </w:r>
          </w:p>
        </w:tc>
        <w:tc>
          <w:tcPr>
            <w:tcW w:w="1284" w:type="dxa"/>
            <w:tcBorders>
              <w:top w:val="nil"/>
              <w:left w:val="nil"/>
              <w:bottom w:val="single" w:sz="4" w:space="0" w:color="auto"/>
              <w:right w:val="single" w:sz="4" w:space="0" w:color="auto"/>
            </w:tcBorders>
            <w:shd w:val="clear" w:color="auto" w:fill="auto"/>
            <w:vAlign w:val="bottom"/>
          </w:tcPr>
          <w:p w14:paraId="47F722FE" w14:textId="3024E2F1" w:rsidR="009A591A" w:rsidRPr="004D1BC8" w:rsidRDefault="009A591A" w:rsidP="009A591A">
            <w:pPr>
              <w:jc w:val="right"/>
              <w:rPr>
                <w:rFonts w:ascii="Arial" w:hAnsi="Arial" w:cs="Arial"/>
                <w:sz w:val="20"/>
                <w:szCs w:val="20"/>
                <w:highlight w:val="yellow"/>
              </w:rPr>
            </w:pPr>
            <w:r>
              <w:rPr>
                <w:rFonts w:ascii="Arial" w:hAnsi="Arial" w:cs="Arial"/>
                <w:sz w:val="20"/>
                <w:szCs w:val="20"/>
              </w:rPr>
              <w:t>$2,159</w:t>
            </w:r>
          </w:p>
        </w:tc>
        <w:tc>
          <w:tcPr>
            <w:tcW w:w="1194" w:type="dxa"/>
            <w:tcBorders>
              <w:top w:val="nil"/>
              <w:left w:val="nil"/>
              <w:bottom w:val="single" w:sz="4" w:space="0" w:color="auto"/>
              <w:right w:val="single" w:sz="4" w:space="0" w:color="auto"/>
            </w:tcBorders>
            <w:shd w:val="clear" w:color="auto" w:fill="auto"/>
            <w:vAlign w:val="bottom"/>
          </w:tcPr>
          <w:p w14:paraId="6F06410A" w14:textId="1222FCA3" w:rsidR="009A591A" w:rsidRPr="004D1BC8" w:rsidRDefault="009A591A" w:rsidP="009A591A">
            <w:pPr>
              <w:jc w:val="right"/>
              <w:rPr>
                <w:rFonts w:ascii="Arial" w:hAnsi="Arial" w:cs="Arial"/>
                <w:sz w:val="20"/>
                <w:szCs w:val="20"/>
                <w:highlight w:val="yellow"/>
              </w:rPr>
            </w:pPr>
            <w:r>
              <w:rPr>
                <w:rFonts w:ascii="Arial" w:hAnsi="Arial" w:cs="Arial"/>
                <w:sz w:val="20"/>
                <w:szCs w:val="20"/>
              </w:rPr>
              <w:t>$2,159</w:t>
            </w:r>
          </w:p>
        </w:tc>
        <w:tc>
          <w:tcPr>
            <w:tcW w:w="1194" w:type="dxa"/>
            <w:tcBorders>
              <w:top w:val="nil"/>
              <w:left w:val="nil"/>
              <w:bottom w:val="single" w:sz="4" w:space="0" w:color="auto"/>
              <w:right w:val="single" w:sz="4" w:space="0" w:color="auto"/>
            </w:tcBorders>
            <w:shd w:val="clear" w:color="auto" w:fill="auto"/>
            <w:vAlign w:val="bottom"/>
          </w:tcPr>
          <w:p w14:paraId="5DFA0382" w14:textId="6342BED2" w:rsidR="009A591A" w:rsidRPr="004D1BC8" w:rsidRDefault="009A591A" w:rsidP="009A591A">
            <w:pPr>
              <w:jc w:val="right"/>
              <w:rPr>
                <w:rFonts w:ascii="Arial" w:hAnsi="Arial" w:cs="Arial"/>
                <w:sz w:val="20"/>
                <w:szCs w:val="20"/>
                <w:highlight w:val="yellow"/>
              </w:rPr>
            </w:pPr>
            <w:r>
              <w:rPr>
                <w:rFonts w:ascii="Arial" w:hAnsi="Arial" w:cs="Arial"/>
                <w:sz w:val="20"/>
                <w:szCs w:val="20"/>
              </w:rPr>
              <w:t>2,346</w:t>
            </w:r>
          </w:p>
        </w:tc>
      </w:tr>
      <w:tr w:rsidR="009A591A" w:rsidRPr="00E53C89" w14:paraId="28125CAD" w14:textId="77777777" w:rsidTr="006569D0">
        <w:trPr>
          <w:jc w:val="center"/>
        </w:trPr>
        <w:tc>
          <w:tcPr>
            <w:tcW w:w="3016" w:type="dxa"/>
            <w:tcBorders>
              <w:top w:val="single" w:sz="2" w:space="0" w:color="000000"/>
              <w:left w:val="single" w:sz="6" w:space="0" w:color="000000"/>
              <w:bottom w:val="nil"/>
              <w:right w:val="nil"/>
            </w:tcBorders>
          </w:tcPr>
          <w:p w14:paraId="5F343FB9" w14:textId="77777777" w:rsidR="009A591A" w:rsidRPr="00E53C89" w:rsidRDefault="009A591A" w:rsidP="009A591A">
            <w:pPr>
              <w:keepNext/>
              <w:keepLines/>
              <w:numPr>
                <w:ilvl w:val="12"/>
                <w:numId w:val="0"/>
              </w:numPr>
              <w:tabs>
                <w:tab w:val="left" w:pos="0"/>
                <w:tab w:val="left" w:pos="720"/>
                <w:tab w:val="left" w:pos="1440"/>
                <w:tab w:val="left" w:pos="2160"/>
                <w:tab w:val="left" w:pos="2880"/>
              </w:tabs>
              <w:spacing w:before="64" w:after="30"/>
              <w:rPr>
                <w:rFonts w:ascii="Arial" w:hAnsi="Arial" w:cs="Arial"/>
                <w:sz w:val="20"/>
                <w:szCs w:val="20"/>
              </w:rPr>
            </w:pPr>
            <w:r w:rsidRPr="00E53C89">
              <w:rPr>
                <w:rFonts w:ascii="Arial" w:hAnsi="Arial" w:cs="Arial"/>
                <w:sz w:val="20"/>
                <w:szCs w:val="20"/>
              </w:rPr>
              <w:t>Program/categorical determination</w:t>
            </w:r>
          </w:p>
        </w:tc>
        <w:tc>
          <w:tcPr>
            <w:tcW w:w="1224" w:type="dxa"/>
            <w:tcBorders>
              <w:top w:val="nil"/>
              <w:left w:val="single" w:sz="4" w:space="0" w:color="auto"/>
              <w:bottom w:val="single" w:sz="4" w:space="0" w:color="auto"/>
              <w:right w:val="single" w:sz="4" w:space="0" w:color="auto"/>
            </w:tcBorders>
            <w:shd w:val="clear" w:color="auto" w:fill="auto"/>
            <w:vAlign w:val="bottom"/>
          </w:tcPr>
          <w:p w14:paraId="727D8122" w14:textId="129F74AE" w:rsidR="009A591A" w:rsidRPr="004D1BC8" w:rsidRDefault="009A591A" w:rsidP="009A591A">
            <w:pPr>
              <w:jc w:val="right"/>
              <w:rPr>
                <w:rFonts w:ascii="Arial" w:hAnsi="Arial" w:cs="Arial"/>
                <w:sz w:val="20"/>
                <w:szCs w:val="20"/>
                <w:highlight w:val="yellow"/>
              </w:rPr>
            </w:pPr>
            <w:r>
              <w:rPr>
                <w:rFonts w:ascii="Arial" w:hAnsi="Arial" w:cs="Arial"/>
                <w:sz w:val="20"/>
                <w:szCs w:val="20"/>
              </w:rPr>
              <w:t>0</w:t>
            </w:r>
          </w:p>
        </w:tc>
        <w:tc>
          <w:tcPr>
            <w:tcW w:w="1194" w:type="dxa"/>
            <w:tcBorders>
              <w:top w:val="nil"/>
              <w:left w:val="nil"/>
              <w:bottom w:val="single" w:sz="4" w:space="0" w:color="auto"/>
              <w:right w:val="single" w:sz="4" w:space="0" w:color="auto"/>
            </w:tcBorders>
            <w:shd w:val="clear" w:color="auto" w:fill="auto"/>
            <w:vAlign w:val="bottom"/>
          </w:tcPr>
          <w:p w14:paraId="53CFE8E4" w14:textId="0A4BEA64" w:rsidR="009A591A" w:rsidRPr="00F06FB5" w:rsidRDefault="009A591A" w:rsidP="009A591A">
            <w:pPr>
              <w:jc w:val="right"/>
              <w:rPr>
                <w:rFonts w:ascii="Arial" w:hAnsi="Arial" w:cs="Arial"/>
                <w:sz w:val="20"/>
                <w:szCs w:val="20"/>
              </w:rPr>
            </w:pPr>
            <w:r>
              <w:rPr>
                <w:rFonts w:ascii="Arial" w:hAnsi="Arial" w:cs="Arial"/>
                <w:sz w:val="20"/>
                <w:szCs w:val="20"/>
              </w:rPr>
              <w:t>$0</w:t>
            </w:r>
          </w:p>
        </w:tc>
        <w:tc>
          <w:tcPr>
            <w:tcW w:w="1284" w:type="dxa"/>
            <w:tcBorders>
              <w:top w:val="nil"/>
              <w:left w:val="nil"/>
              <w:bottom w:val="single" w:sz="4" w:space="0" w:color="auto"/>
              <w:right w:val="single" w:sz="4" w:space="0" w:color="auto"/>
            </w:tcBorders>
            <w:shd w:val="clear" w:color="auto" w:fill="auto"/>
            <w:vAlign w:val="bottom"/>
          </w:tcPr>
          <w:p w14:paraId="6A265043" w14:textId="1D6BB421" w:rsidR="009A591A" w:rsidRPr="004D1BC8" w:rsidRDefault="009A591A" w:rsidP="009A591A">
            <w:pPr>
              <w:jc w:val="right"/>
              <w:rPr>
                <w:rFonts w:ascii="Arial" w:hAnsi="Arial" w:cs="Arial"/>
                <w:sz w:val="20"/>
                <w:szCs w:val="20"/>
                <w:highlight w:val="yellow"/>
              </w:rPr>
            </w:pPr>
            <w:r>
              <w:rPr>
                <w:rFonts w:ascii="Arial" w:hAnsi="Arial" w:cs="Arial"/>
                <w:sz w:val="20"/>
                <w:szCs w:val="20"/>
              </w:rPr>
              <w:t>$0</w:t>
            </w:r>
          </w:p>
        </w:tc>
        <w:tc>
          <w:tcPr>
            <w:tcW w:w="1194" w:type="dxa"/>
            <w:tcBorders>
              <w:top w:val="nil"/>
              <w:left w:val="nil"/>
              <w:bottom w:val="single" w:sz="4" w:space="0" w:color="auto"/>
              <w:right w:val="single" w:sz="4" w:space="0" w:color="auto"/>
            </w:tcBorders>
            <w:shd w:val="clear" w:color="auto" w:fill="auto"/>
            <w:vAlign w:val="bottom"/>
          </w:tcPr>
          <w:p w14:paraId="5AE20795" w14:textId="47EA1980" w:rsidR="009A591A" w:rsidRPr="004D1BC8" w:rsidRDefault="009A591A" w:rsidP="009A591A">
            <w:pPr>
              <w:jc w:val="right"/>
              <w:rPr>
                <w:rFonts w:ascii="Arial" w:hAnsi="Arial" w:cs="Arial"/>
                <w:sz w:val="20"/>
                <w:szCs w:val="20"/>
                <w:highlight w:val="yellow"/>
              </w:rPr>
            </w:pPr>
            <w:r>
              <w:rPr>
                <w:rFonts w:ascii="Arial" w:hAnsi="Arial" w:cs="Arial"/>
                <w:sz w:val="20"/>
                <w:szCs w:val="20"/>
              </w:rPr>
              <w:t>$0</w:t>
            </w:r>
          </w:p>
        </w:tc>
        <w:tc>
          <w:tcPr>
            <w:tcW w:w="1194" w:type="dxa"/>
            <w:tcBorders>
              <w:top w:val="nil"/>
              <w:left w:val="nil"/>
              <w:bottom w:val="single" w:sz="4" w:space="0" w:color="auto"/>
              <w:right w:val="single" w:sz="4" w:space="0" w:color="auto"/>
            </w:tcBorders>
            <w:shd w:val="clear" w:color="auto" w:fill="auto"/>
            <w:vAlign w:val="bottom"/>
          </w:tcPr>
          <w:p w14:paraId="2C49D8E4" w14:textId="7AE11039" w:rsidR="009A591A" w:rsidRPr="004D1BC8" w:rsidRDefault="009A591A" w:rsidP="009A591A">
            <w:pPr>
              <w:jc w:val="right"/>
              <w:rPr>
                <w:rFonts w:ascii="Arial" w:hAnsi="Arial" w:cs="Arial"/>
                <w:sz w:val="20"/>
                <w:szCs w:val="20"/>
                <w:highlight w:val="yellow"/>
              </w:rPr>
            </w:pPr>
            <w:r>
              <w:rPr>
                <w:rFonts w:ascii="Arial" w:hAnsi="Arial" w:cs="Arial"/>
                <w:sz w:val="20"/>
                <w:szCs w:val="20"/>
              </w:rPr>
              <w:t>0</w:t>
            </w:r>
          </w:p>
        </w:tc>
      </w:tr>
      <w:tr w:rsidR="009A591A" w:rsidRPr="00E53C89" w14:paraId="5D47BE6B" w14:textId="77777777" w:rsidTr="006569D0">
        <w:trPr>
          <w:jc w:val="center"/>
        </w:trPr>
        <w:tc>
          <w:tcPr>
            <w:tcW w:w="3016" w:type="dxa"/>
            <w:tcBorders>
              <w:top w:val="single" w:sz="2" w:space="0" w:color="000000"/>
              <w:left w:val="single" w:sz="6" w:space="0" w:color="000000"/>
              <w:bottom w:val="nil"/>
              <w:right w:val="nil"/>
            </w:tcBorders>
          </w:tcPr>
          <w:p w14:paraId="637A1503" w14:textId="77777777" w:rsidR="009A591A" w:rsidRPr="00E53C89" w:rsidRDefault="009A591A" w:rsidP="009A591A">
            <w:pPr>
              <w:keepNext/>
              <w:keepLines/>
              <w:numPr>
                <w:ilvl w:val="12"/>
                <w:numId w:val="0"/>
              </w:numPr>
              <w:tabs>
                <w:tab w:val="left" w:pos="0"/>
                <w:tab w:val="left" w:pos="720"/>
                <w:tab w:val="left" w:pos="1440"/>
                <w:tab w:val="left" w:pos="2160"/>
                <w:tab w:val="left" w:pos="2880"/>
              </w:tabs>
              <w:spacing w:before="64" w:after="30"/>
              <w:rPr>
                <w:rFonts w:ascii="Arial" w:hAnsi="Arial" w:cs="Arial"/>
                <w:sz w:val="20"/>
                <w:szCs w:val="20"/>
              </w:rPr>
            </w:pPr>
            <w:r w:rsidRPr="00E53C89">
              <w:rPr>
                <w:rFonts w:ascii="Arial" w:hAnsi="Arial" w:cs="Arial"/>
                <w:sz w:val="20"/>
                <w:szCs w:val="20"/>
              </w:rPr>
              <w:t>States as users of data</w:t>
            </w:r>
          </w:p>
        </w:tc>
        <w:tc>
          <w:tcPr>
            <w:tcW w:w="1224" w:type="dxa"/>
            <w:tcBorders>
              <w:top w:val="nil"/>
              <w:left w:val="single" w:sz="4" w:space="0" w:color="auto"/>
              <w:bottom w:val="single" w:sz="4" w:space="0" w:color="auto"/>
              <w:right w:val="single" w:sz="4" w:space="0" w:color="auto"/>
            </w:tcBorders>
            <w:shd w:val="clear" w:color="auto" w:fill="auto"/>
            <w:vAlign w:val="bottom"/>
          </w:tcPr>
          <w:p w14:paraId="5D850ED2" w14:textId="27385AE9" w:rsidR="009A591A" w:rsidRPr="004D1BC8" w:rsidRDefault="009A591A" w:rsidP="009A591A">
            <w:pPr>
              <w:jc w:val="right"/>
              <w:rPr>
                <w:rFonts w:ascii="Arial" w:hAnsi="Arial" w:cs="Arial"/>
                <w:sz w:val="20"/>
                <w:szCs w:val="20"/>
                <w:highlight w:val="yellow"/>
              </w:rPr>
            </w:pPr>
            <w:r>
              <w:rPr>
                <w:rFonts w:ascii="Arial" w:hAnsi="Arial" w:cs="Arial"/>
                <w:sz w:val="20"/>
                <w:szCs w:val="20"/>
              </w:rPr>
              <w:t>67,875</w:t>
            </w:r>
          </w:p>
        </w:tc>
        <w:tc>
          <w:tcPr>
            <w:tcW w:w="1194" w:type="dxa"/>
            <w:tcBorders>
              <w:top w:val="nil"/>
              <w:left w:val="nil"/>
              <w:bottom w:val="single" w:sz="4" w:space="0" w:color="auto"/>
              <w:right w:val="single" w:sz="4" w:space="0" w:color="auto"/>
            </w:tcBorders>
            <w:shd w:val="clear" w:color="auto" w:fill="auto"/>
            <w:vAlign w:val="bottom"/>
          </w:tcPr>
          <w:p w14:paraId="54967C5C" w14:textId="38046E64" w:rsidR="009A591A" w:rsidRPr="00F06FB5" w:rsidRDefault="009A591A" w:rsidP="009A591A">
            <w:pPr>
              <w:jc w:val="right"/>
              <w:rPr>
                <w:rFonts w:ascii="Arial" w:hAnsi="Arial" w:cs="Arial"/>
                <w:sz w:val="20"/>
                <w:szCs w:val="20"/>
              </w:rPr>
            </w:pPr>
            <w:r>
              <w:rPr>
                <w:rFonts w:ascii="Arial" w:hAnsi="Arial" w:cs="Arial"/>
                <w:sz w:val="20"/>
                <w:szCs w:val="20"/>
              </w:rPr>
              <w:t>$0</w:t>
            </w:r>
          </w:p>
        </w:tc>
        <w:tc>
          <w:tcPr>
            <w:tcW w:w="1284" w:type="dxa"/>
            <w:tcBorders>
              <w:top w:val="nil"/>
              <w:left w:val="nil"/>
              <w:bottom w:val="single" w:sz="4" w:space="0" w:color="auto"/>
              <w:right w:val="single" w:sz="4" w:space="0" w:color="auto"/>
            </w:tcBorders>
            <w:shd w:val="clear" w:color="auto" w:fill="auto"/>
            <w:vAlign w:val="bottom"/>
          </w:tcPr>
          <w:p w14:paraId="2C2DA8BE" w14:textId="1D0BD2B0" w:rsidR="009A591A" w:rsidRPr="004D1BC8" w:rsidRDefault="009A591A" w:rsidP="009A591A">
            <w:pPr>
              <w:jc w:val="right"/>
              <w:rPr>
                <w:rFonts w:ascii="Arial" w:hAnsi="Arial" w:cs="Arial"/>
                <w:sz w:val="20"/>
                <w:szCs w:val="20"/>
                <w:highlight w:val="yellow"/>
              </w:rPr>
            </w:pPr>
            <w:r>
              <w:rPr>
                <w:rFonts w:ascii="Arial" w:hAnsi="Arial" w:cs="Arial"/>
                <w:sz w:val="20"/>
                <w:szCs w:val="20"/>
              </w:rPr>
              <w:t>$2,957</w:t>
            </w:r>
          </w:p>
        </w:tc>
        <w:tc>
          <w:tcPr>
            <w:tcW w:w="1194" w:type="dxa"/>
            <w:tcBorders>
              <w:top w:val="nil"/>
              <w:left w:val="nil"/>
              <w:bottom w:val="single" w:sz="4" w:space="0" w:color="auto"/>
              <w:right w:val="single" w:sz="4" w:space="0" w:color="auto"/>
            </w:tcBorders>
            <w:shd w:val="clear" w:color="auto" w:fill="auto"/>
            <w:vAlign w:val="bottom"/>
          </w:tcPr>
          <w:p w14:paraId="6EAF5A43" w14:textId="699E740A" w:rsidR="009A591A" w:rsidRPr="004D1BC8" w:rsidRDefault="009A591A" w:rsidP="009A591A">
            <w:pPr>
              <w:jc w:val="right"/>
              <w:rPr>
                <w:rFonts w:ascii="Arial" w:hAnsi="Arial" w:cs="Arial"/>
                <w:sz w:val="20"/>
                <w:szCs w:val="20"/>
                <w:highlight w:val="yellow"/>
              </w:rPr>
            </w:pPr>
            <w:r>
              <w:rPr>
                <w:rFonts w:ascii="Arial" w:hAnsi="Arial" w:cs="Arial"/>
                <w:sz w:val="20"/>
                <w:szCs w:val="20"/>
              </w:rPr>
              <w:t>$2,957</w:t>
            </w:r>
          </w:p>
        </w:tc>
        <w:tc>
          <w:tcPr>
            <w:tcW w:w="1194" w:type="dxa"/>
            <w:tcBorders>
              <w:top w:val="nil"/>
              <w:left w:val="nil"/>
              <w:bottom w:val="single" w:sz="4" w:space="0" w:color="auto"/>
              <w:right w:val="single" w:sz="4" w:space="0" w:color="auto"/>
            </w:tcBorders>
            <w:shd w:val="clear" w:color="auto" w:fill="auto"/>
            <w:vAlign w:val="bottom"/>
          </w:tcPr>
          <w:p w14:paraId="5826A2FE" w14:textId="7ED6961F" w:rsidR="009A591A" w:rsidRPr="004D1BC8" w:rsidRDefault="009A591A" w:rsidP="009A591A">
            <w:pPr>
              <w:jc w:val="right"/>
              <w:rPr>
                <w:rFonts w:ascii="Arial" w:hAnsi="Arial" w:cs="Arial"/>
                <w:sz w:val="20"/>
                <w:szCs w:val="20"/>
                <w:highlight w:val="yellow"/>
              </w:rPr>
            </w:pPr>
            <w:r>
              <w:rPr>
                <w:rFonts w:ascii="Arial" w:hAnsi="Arial" w:cs="Arial"/>
                <w:sz w:val="20"/>
                <w:szCs w:val="20"/>
              </w:rPr>
              <w:t>NA</w:t>
            </w:r>
          </w:p>
        </w:tc>
      </w:tr>
      <w:tr w:rsidR="009A591A" w:rsidRPr="00E53C89" w14:paraId="1136A060" w14:textId="77777777" w:rsidTr="006569D0">
        <w:trPr>
          <w:jc w:val="center"/>
        </w:trPr>
        <w:tc>
          <w:tcPr>
            <w:tcW w:w="3016" w:type="dxa"/>
            <w:tcBorders>
              <w:top w:val="single" w:sz="2" w:space="0" w:color="000000"/>
              <w:left w:val="single" w:sz="6" w:space="0" w:color="000000"/>
              <w:bottom w:val="nil"/>
              <w:right w:val="nil"/>
            </w:tcBorders>
          </w:tcPr>
          <w:p w14:paraId="2460E80A" w14:textId="77777777" w:rsidR="009A591A" w:rsidRPr="00E53C89" w:rsidRDefault="009A591A" w:rsidP="009A591A">
            <w:pPr>
              <w:keepNext/>
              <w:keepLines/>
              <w:numPr>
                <w:ilvl w:val="12"/>
                <w:numId w:val="0"/>
              </w:numPr>
              <w:tabs>
                <w:tab w:val="left" w:pos="0"/>
                <w:tab w:val="left" w:pos="720"/>
                <w:tab w:val="left" w:pos="1440"/>
                <w:tab w:val="left" w:pos="2160"/>
                <w:tab w:val="left" w:pos="2880"/>
              </w:tabs>
              <w:spacing w:before="64" w:after="30"/>
              <w:rPr>
                <w:rFonts w:ascii="Arial" w:hAnsi="Arial" w:cs="Arial"/>
                <w:sz w:val="20"/>
                <w:szCs w:val="20"/>
              </w:rPr>
            </w:pPr>
            <w:r w:rsidRPr="00E53C89">
              <w:rPr>
                <w:rFonts w:ascii="Arial" w:hAnsi="Arial" w:cs="Arial"/>
                <w:sz w:val="20"/>
                <w:szCs w:val="20"/>
              </w:rPr>
              <w:t>Recordkeeping</w:t>
            </w:r>
          </w:p>
        </w:tc>
        <w:tc>
          <w:tcPr>
            <w:tcW w:w="1224" w:type="dxa"/>
            <w:tcBorders>
              <w:top w:val="nil"/>
              <w:left w:val="single" w:sz="4" w:space="0" w:color="auto"/>
              <w:bottom w:val="single" w:sz="4" w:space="0" w:color="auto"/>
              <w:right w:val="single" w:sz="4" w:space="0" w:color="auto"/>
            </w:tcBorders>
            <w:shd w:val="clear" w:color="auto" w:fill="auto"/>
            <w:vAlign w:val="bottom"/>
          </w:tcPr>
          <w:p w14:paraId="34B280F4" w14:textId="094A1216" w:rsidR="009A591A" w:rsidRPr="004D1BC8" w:rsidRDefault="009A591A" w:rsidP="009A591A">
            <w:pPr>
              <w:jc w:val="right"/>
              <w:rPr>
                <w:rFonts w:ascii="Arial" w:hAnsi="Arial" w:cs="Arial"/>
                <w:sz w:val="20"/>
                <w:szCs w:val="20"/>
                <w:highlight w:val="yellow"/>
              </w:rPr>
            </w:pPr>
            <w:r>
              <w:rPr>
                <w:rFonts w:ascii="Arial" w:hAnsi="Arial" w:cs="Arial"/>
                <w:sz w:val="20"/>
                <w:szCs w:val="20"/>
              </w:rPr>
              <w:t>11,240</w:t>
            </w:r>
          </w:p>
        </w:tc>
        <w:tc>
          <w:tcPr>
            <w:tcW w:w="1194" w:type="dxa"/>
            <w:tcBorders>
              <w:top w:val="nil"/>
              <w:left w:val="nil"/>
              <w:bottom w:val="single" w:sz="4" w:space="0" w:color="auto"/>
              <w:right w:val="single" w:sz="4" w:space="0" w:color="auto"/>
            </w:tcBorders>
            <w:shd w:val="clear" w:color="auto" w:fill="auto"/>
            <w:vAlign w:val="bottom"/>
          </w:tcPr>
          <w:p w14:paraId="3F09E8C2" w14:textId="79A47BFA" w:rsidR="009A591A" w:rsidRPr="00F06FB5" w:rsidRDefault="009A591A" w:rsidP="009A591A">
            <w:pPr>
              <w:jc w:val="right"/>
              <w:rPr>
                <w:rFonts w:ascii="Arial" w:hAnsi="Arial" w:cs="Arial"/>
                <w:sz w:val="20"/>
                <w:szCs w:val="20"/>
              </w:rPr>
            </w:pPr>
            <w:r>
              <w:rPr>
                <w:rFonts w:ascii="Arial" w:hAnsi="Arial" w:cs="Arial"/>
                <w:sz w:val="20"/>
                <w:szCs w:val="20"/>
              </w:rPr>
              <w:t>$0</w:t>
            </w:r>
          </w:p>
        </w:tc>
        <w:tc>
          <w:tcPr>
            <w:tcW w:w="1284" w:type="dxa"/>
            <w:tcBorders>
              <w:top w:val="nil"/>
              <w:left w:val="nil"/>
              <w:bottom w:val="single" w:sz="4" w:space="0" w:color="auto"/>
              <w:right w:val="single" w:sz="4" w:space="0" w:color="auto"/>
            </w:tcBorders>
            <w:shd w:val="clear" w:color="auto" w:fill="auto"/>
            <w:vAlign w:val="bottom"/>
          </w:tcPr>
          <w:p w14:paraId="7A332554" w14:textId="3635298C" w:rsidR="009A591A" w:rsidRPr="004D1BC8" w:rsidRDefault="009A591A" w:rsidP="009A591A">
            <w:pPr>
              <w:jc w:val="right"/>
              <w:rPr>
                <w:rFonts w:ascii="Arial" w:hAnsi="Arial" w:cs="Arial"/>
                <w:sz w:val="20"/>
                <w:szCs w:val="20"/>
                <w:highlight w:val="yellow"/>
              </w:rPr>
            </w:pPr>
            <w:r>
              <w:rPr>
                <w:rFonts w:ascii="Arial" w:hAnsi="Arial" w:cs="Arial"/>
                <w:sz w:val="20"/>
                <w:szCs w:val="20"/>
              </w:rPr>
              <w:t>$490</w:t>
            </w:r>
          </w:p>
        </w:tc>
        <w:tc>
          <w:tcPr>
            <w:tcW w:w="1194" w:type="dxa"/>
            <w:tcBorders>
              <w:top w:val="nil"/>
              <w:left w:val="nil"/>
              <w:bottom w:val="single" w:sz="4" w:space="0" w:color="auto"/>
              <w:right w:val="single" w:sz="4" w:space="0" w:color="auto"/>
            </w:tcBorders>
            <w:shd w:val="clear" w:color="auto" w:fill="auto"/>
            <w:vAlign w:val="bottom"/>
          </w:tcPr>
          <w:p w14:paraId="172BF2F7" w14:textId="30879FED" w:rsidR="009A591A" w:rsidRPr="004D1BC8" w:rsidRDefault="009A591A" w:rsidP="009A591A">
            <w:pPr>
              <w:jc w:val="right"/>
              <w:rPr>
                <w:rFonts w:ascii="Arial" w:hAnsi="Arial" w:cs="Arial"/>
                <w:sz w:val="20"/>
                <w:szCs w:val="20"/>
                <w:highlight w:val="yellow"/>
              </w:rPr>
            </w:pPr>
            <w:r>
              <w:rPr>
                <w:rFonts w:ascii="Arial" w:hAnsi="Arial" w:cs="Arial"/>
                <w:sz w:val="20"/>
                <w:szCs w:val="20"/>
              </w:rPr>
              <w:t>$490</w:t>
            </w:r>
          </w:p>
        </w:tc>
        <w:tc>
          <w:tcPr>
            <w:tcW w:w="1194" w:type="dxa"/>
            <w:tcBorders>
              <w:top w:val="nil"/>
              <w:left w:val="nil"/>
              <w:bottom w:val="single" w:sz="4" w:space="0" w:color="auto"/>
              <w:right w:val="single" w:sz="4" w:space="0" w:color="auto"/>
            </w:tcBorders>
            <w:shd w:val="clear" w:color="auto" w:fill="auto"/>
            <w:vAlign w:val="bottom"/>
          </w:tcPr>
          <w:p w14:paraId="0C14B37E" w14:textId="5E0F0630" w:rsidR="009A591A" w:rsidRPr="004D1BC8" w:rsidRDefault="009A591A" w:rsidP="009A591A">
            <w:pPr>
              <w:jc w:val="right"/>
              <w:rPr>
                <w:rFonts w:ascii="Arial" w:hAnsi="Arial" w:cs="Arial"/>
                <w:sz w:val="20"/>
                <w:szCs w:val="20"/>
                <w:highlight w:val="yellow"/>
              </w:rPr>
            </w:pPr>
            <w:r>
              <w:rPr>
                <w:rFonts w:ascii="Arial" w:hAnsi="Arial" w:cs="Arial"/>
                <w:sz w:val="20"/>
                <w:szCs w:val="20"/>
              </w:rPr>
              <w:t>NA</w:t>
            </w:r>
          </w:p>
        </w:tc>
      </w:tr>
      <w:tr w:rsidR="009A591A" w:rsidRPr="00E53C89" w14:paraId="1E00E56E" w14:textId="77777777" w:rsidTr="006569D0">
        <w:trPr>
          <w:jc w:val="center"/>
        </w:trPr>
        <w:tc>
          <w:tcPr>
            <w:tcW w:w="3016" w:type="dxa"/>
            <w:tcBorders>
              <w:top w:val="single" w:sz="6" w:space="0" w:color="000000"/>
              <w:left w:val="single" w:sz="6" w:space="0" w:color="000000"/>
              <w:bottom w:val="single" w:sz="6" w:space="0" w:color="000000"/>
              <w:right w:val="nil"/>
            </w:tcBorders>
          </w:tcPr>
          <w:p w14:paraId="77B32DCE" w14:textId="77777777" w:rsidR="009A591A" w:rsidRPr="00E53C89" w:rsidRDefault="009A591A" w:rsidP="009A591A">
            <w:pPr>
              <w:numPr>
                <w:ilvl w:val="12"/>
                <w:numId w:val="0"/>
              </w:numPr>
              <w:tabs>
                <w:tab w:val="left" w:pos="0"/>
                <w:tab w:val="left" w:pos="720"/>
                <w:tab w:val="left" w:pos="1440"/>
                <w:tab w:val="left" w:pos="2160"/>
                <w:tab w:val="left" w:pos="2880"/>
              </w:tabs>
              <w:spacing w:before="64" w:after="30"/>
              <w:rPr>
                <w:rFonts w:ascii="Arial" w:hAnsi="Arial" w:cs="Arial"/>
                <w:sz w:val="20"/>
                <w:szCs w:val="20"/>
              </w:rPr>
            </w:pPr>
            <w:r w:rsidRPr="00E53C89">
              <w:rPr>
                <w:rFonts w:ascii="Arial" w:hAnsi="Arial" w:cs="Arial"/>
                <w:b/>
                <w:bCs/>
                <w:sz w:val="20"/>
                <w:szCs w:val="20"/>
              </w:rPr>
              <w:t>Total</w:t>
            </w:r>
          </w:p>
        </w:tc>
        <w:tc>
          <w:tcPr>
            <w:tcW w:w="1224" w:type="dxa"/>
            <w:tcBorders>
              <w:top w:val="nil"/>
              <w:left w:val="single" w:sz="4" w:space="0" w:color="auto"/>
              <w:bottom w:val="single" w:sz="4" w:space="0" w:color="auto"/>
              <w:right w:val="single" w:sz="4" w:space="0" w:color="auto"/>
            </w:tcBorders>
            <w:shd w:val="clear" w:color="auto" w:fill="auto"/>
            <w:vAlign w:val="bottom"/>
          </w:tcPr>
          <w:p w14:paraId="2FF13B1D" w14:textId="016D3708" w:rsidR="009A591A" w:rsidRPr="004D1BC8" w:rsidRDefault="009A591A" w:rsidP="009A591A">
            <w:pPr>
              <w:jc w:val="right"/>
              <w:rPr>
                <w:rFonts w:ascii="Arial" w:hAnsi="Arial" w:cs="Arial"/>
                <w:b/>
                <w:sz w:val="20"/>
                <w:szCs w:val="20"/>
                <w:highlight w:val="yellow"/>
              </w:rPr>
            </w:pPr>
            <w:r>
              <w:rPr>
                <w:rFonts w:ascii="Arial" w:hAnsi="Arial" w:cs="Arial"/>
                <w:sz w:val="20"/>
                <w:szCs w:val="20"/>
              </w:rPr>
              <w:t>128,774</w:t>
            </w:r>
          </w:p>
        </w:tc>
        <w:tc>
          <w:tcPr>
            <w:tcW w:w="1194" w:type="dxa"/>
            <w:tcBorders>
              <w:top w:val="nil"/>
              <w:left w:val="nil"/>
              <w:bottom w:val="single" w:sz="4" w:space="0" w:color="auto"/>
              <w:right w:val="single" w:sz="4" w:space="0" w:color="auto"/>
            </w:tcBorders>
            <w:shd w:val="clear" w:color="auto" w:fill="auto"/>
            <w:vAlign w:val="bottom"/>
          </w:tcPr>
          <w:p w14:paraId="54758400" w14:textId="55E4EE58" w:rsidR="009A591A" w:rsidRPr="00F06FB5" w:rsidRDefault="009A591A" w:rsidP="009A591A">
            <w:pPr>
              <w:jc w:val="right"/>
              <w:rPr>
                <w:rFonts w:ascii="Arial" w:hAnsi="Arial" w:cs="Arial"/>
                <w:b/>
                <w:sz w:val="20"/>
                <w:szCs w:val="20"/>
              </w:rPr>
            </w:pPr>
            <w:r>
              <w:rPr>
                <w:rFonts w:ascii="Arial" w:hAnsi="Arial" w:cs="Arial"/>
                <w:sz w:val="20"/>
                <w:szCs w:val="20"/>
              </w:rPr>
              <w:t>$0</w:t>
            </w:r>
          </w:p>
        </w:tc>
        <w:tc>
          <w:tcPr>
            <w:tcW w:w="1284" w:type="dxa"/>
            <w:tcBorders>
              <w:top w:val="nil"/>
              <w:left w:val="nil"/>
              <w:bottom w:val="single" w:sz="4" w:space="0" w:color="auto"/>
              <w:right w:val="single" w:sz="4" w:space="0" w:color="auto"/>
            </w:tcBorders>
            <w:shd w:val="clear" w:color="auto" w:fill="auto"/>
            <w:vAlign w:val="bottom"/>
          </w:tcPr>
          <w:p w14:paraId="3B55E43E" w14:textId="4A9887E7" w:rsidR="009A591A" w:rsidRPr="004D1BC8" w:rsidRDefault="009A591A" w:rsidP="009A591A">
            <w:pPr>
              <w:jc w:val="right"/>
              <w:rPr>
                <w:rFonts w:ascii="Arial" w:hAnsi="Arial" w:cs="Arial"/>
                <w:b/>
                <w:sz w:val="20"/>
                <w:szCs w:val="20"/>
                <w:highlight w:val="yellow"/>
              </w:rPr>
            </w:pPr>
            <w:r>
              <w:rPr>
                <w:rFonts w:ascii="Arial" w:hAnsi="Arial" w:cs="Arial"/>
                <w:sz w:val="20"/>
                <w:szCs w:val="20"/>
              </w:rPr>
              <w:t>$5,609</w:t>
            </w:r>
          </w:p>
        </w:tc>
        <w:tc>
          <w:tcPr>
            <w:tcW w:w="1194" w:type="dxa"/>
            <w:tcBorders>
              <w:top w:val="nil"/>
              <w:left w:val="nil"/>
              <w:bottom w:val="single" w:sz="4" w:space="0" w:color="auto"/>
              <w:right w:val="single" w:sz="4" w:space="0" w:color="auto"/>
            </w:tcBorders>
            <w:shd w:val="clear" w:color="auto" w:fill="auto"/>
            <w:vAlign w:val="bottom"/>
          </w:tcPr>
          <w:p w14:paraId="6921FC1B" w14:textId="58A2775E" w:rsidR="009A591A" w:rsidRPr="004D1BC8" w:rsidRDefault="009A591A" w:rsidP="009A591A">
            <w:pPr>
              <w:jc w:val="right"/>
              <w:rPr>
                <w:rFonts w:ascii="Arial" w:hAnsi="Arial" w:cs="Arial"/>
                <w:b/>
                <w:sz w:val="20"/>
                <w:szCs w:val="20"/>
                <w:highlight w:val="yellow"/>
              </w:rPr>
            </w:pPr>
            <w:r>
              <w:rPr>
                <w:rFonts w:ascii="Arial" w:hAnsi="Arial" w:cs="Arial"/>
                <w:sz w:val="20"/>
                <w:szCs w:val="20"/>
              </w:rPr>
              <w:t>$5,609</w:t>
            </w:r>
          </w:p>
        </w:tc>
        <w:tc>
          <w:tcPr>
            <w:tcW w:w="1194" w:type="dxa"/>
            <w:tcBorders>
              <w:top w:val="nil"/>
              <w:left w:val="nil"/>
              <w:bottom w:val="single" w:sz="4" w:space="0" w:color="auto"/>
              <w:right w:val="single" w:sz="4" w:space="0" w:color="auto"/>
            </w:tcBorders>
            <w:shd w:val="clear" w:color="auto" w:fill="auto"/>
            <w:vAlign w:val="bottom"/>
          </w:tcPr>
          <w:p w14:paraId="57D192FD" w14:textId="46E591D0" w:rsidR="009A591A" w:rsidRPr="004D1BC8" w:rsidRDefault="009A591A" w:rsidP="009A591A">
            <w:pPr>
              <w:jc w:val="right"/>
              <w:rPr>
                <w:rFonts w:ascii="Arial" w:hAnsi="Arial" w:cs="Arial"/>
                <w:b/>
                <w:sz w:val="20"/>
                <w:szCs w:val="20"/>
                <w:highlight w:val="yellow"/>
              </w:rPr>
            </w:pPr>
            <w:r>
              <w:rPr>
                <w:rFonts w:ascii="Arial" w:hAnsi="Arial" w:cs="Arial"/>
                <w:sz w:val="20"/>
                <w:szCs w:val="20"/>
              </w:rPr>
              <w:t>2,347</w:t>
            </w:r>
          </w:p>
        </w:tc>
      </w:tr>
      <w:tr w:rsidR="009A591A" w:rsidRPr="00E53C89" w14:paraId="5D878E12" w14:textId="77777777" w:rsidTr="002B6F2F">
        <w:trPr>
          <w:jc w:val="center"/>
        </w:trPr>
        <w:tc>
          <w:tcPr>
            <w:tcW w:w="9106" w:type="dxa"/>
            <w:gridSpan w:val="6"/>
            <w:tcBorders>
              <w:top w:val="single" w:sz="2" w:space="0" w:color="000000"/>
              <w:left w:val="nil"/>
              <w:bottom w:val="nil"/>
              <w:right w:val="single" w:sz="6" w:space="0" w:color="000000"/>
            </w:tcBorders>
          </w:tcPr>
          <w:p w14:paraId="236E678F" w14:textId="77777777" w:rsidR="009A591A" w:rsidRPr="00E53C89" w:rsidRDefault="009A591A" w:rsidP="009A591A">
            <w:pPr>
              <w:numPr>
                <w:ilvl w:val="12"/>
                <w:numId w:val="0"/>
              </w:numPr>
              <w:tabs>
                <w:tab w:val="left" w:pos="0"/>
                <w:tab w:val="left" w:pos="720"/>
                <w:tab w:val="left" w:pos="1440"/>
                <w:tab w:val="left" w:pos="2160"/>
                <w:tab w:val="left" w:pos="2880"/>
              </w:tabs>
              <w:spacing w:before="64" w:after="30"/>
              <w:rPr>
                <w:rFonts w:ascii="Arial" w:hAnsi="Arial" w:cs="Arial"/>
                <w:sz w:val="18"/>
                <w:szCs w:val="18"/>
              </w:rPr>
            </w:pPr>
            <w:r w:rsidRPr="00E53C89">
              <w:rPr>
                <w:rFonts w:ascii="Arial" w:hAnsi="Arial" w:cs="Arial"/>
                <w:sz w:val="18"/>
                <w:szCs w:val="18"/>
              </w:rPr>
              <w:t>NOTE:  Detail may not add due to independent rounding. Costs in thousands of dollars.</w:t>
            </w:r>
          </w:p>
        </w:tc>
      </w:tr>
    </w:tbl>
    <w:p w14:paraId="3462406D" w14:textId="3C0C8027" w:rsidR="006458E0" w:rsidRPr="00E53C89" w:rsidRDefault="00B12B0D" w:rsidP="006458E0">
      <w:pPr>
        <w:pStyle w:val="Heading3"/>
        <w:tabs>
          <w:tab w:val="left" w:pos="1080"/>
        </w:tabs>
      </w:pPr>
      <w:bookmarkStart w:id="42" w:name="_Toc166405827"/>
      <w:bookmarkStart w:id="43" w:name="_Toc437867217"/>
      <w:r>
        <w:t>A.2.2</w:t>
      </w:r>
      <w:r w:rsidR="006458E0" w:rsidRPr="00E53C89">
        <w:t>.</w:t>
      </w:r>
      <w:r w:rsidR="006458E0" w:rsidRPr="00E53C89">
        <w:tab/>
        <w:t>Cost to POTWs</w:t>
      </w:r>
      <w:bookmarkEnd w:id="42"/>
      <w:bookmarkEnd w:id="43"/>
    </w:p>
    <w:p w14:paraId="384E610D" w14:textId="59601CDD" w:rsidR="006458E0" w:rsidRPr="00E53C89" w:rsidRDefault="00953D0B" w:rsidP="006458E0">
      <w:r>
        <w:t>Table A.2</w:t>
      </w:r>
      <w:r w:rsidR="006458E0" w:rsidRPr="00E53C89">
        <w:t xml:space="preserve"> shows that the annual costs to POTWs are approximately </w:t>
      </w:r>
      <w:r w:rsidR="006458E0" w:rsidRPr="0045773D">
        <w:t>$</w:t>
      </w:r>
      <w:r w:rsidR="000F7475" w:rsidRPr="0045773D">
        <w:t>34</w:t>
      </w:r>
      <w:r w:rsidR="00834EC6">
        <w:t>.1</w:t>
      </w:r>
      <w:r w:rsidR="006458E0" w:rsidRPr="0045773D">
        <w:t xml:space="preserve"> million</w:t>
      </w:r>
      <w:r w:rsidR="006458E0" w:rsidRPr="00E53C89">
        <w:t>. The average hourly rate for municipal employees, which account for all POTW costs, as determined by the U.S. Department of Labor, Bureau of Labor Statistics, is $</w:t>
      </w:r>
      <w:r w:rsidR="006458E0" w:rsidRPr="00D57CA4">
        <w:t xml:space="preserve">40.76 (including 50% overhead). Updated rates are derived from the U.S. Department of Labor, Bureau of Labor Statistics, in a table entitled </w:t>
      </w:r>
      <w:r w:rsidR="006458E0" w:rsidRPr="00D57CA4">
        <w:rPr>
          <w:i/>
        </w:rPr>
        <w:t>May 20</w:t>
      </w:r>
      <w:r w:rsidR="00D57CA4" w:rsidRPr="004D1BC8">
        <w:rPr>
          <w:i/>
        </w:rPr>
        <w:t>13</w:t>
      </w:r>
      <w:r w:rsidR="006458E0" w:rsidRPr="00D57CA4">
        <w:rPr>
          <w:i/>
        </w:rPr>
        <w:t xml:space="preserve"> National Industry-Specific Occupational Employment and Wage Estimates</w:t>
      </w:r>
      <w:r w:rsidR="006458E0" w:rsidRPr="00D57CA4">
        <w:t xml:space="preserve"> and adjusted to </w:t>
      </w:r>
      <w:r w:rsidR="00D57CA4" w:rsidRPr="004D1BC8">
        <w:t>September 2014</w:t>
      </w:r>
      <w:r w:rsidR="006458E0" w:rsidRPr="00D57CA4">
        <w:t xml:space="preserve"> dollars using the ECI.</w:t>
      </w:r>
    </w:p>
    <w:p w14:paraId="31EE0631" w14:textId="77777777" w:rsidR="006458E0" w:rsidRPr="00E53C89" w:rsidRDefault="006458E0" w:rsidP="006458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6D79A911" w14:textId="3AB1AB6D" w:rsidR="007D69E5" w:rsidRDefault="007D69E5" w:rsidP="000959D8">
      <w:pPr>
        <w:pStyle w:val="Caption"/>
        <w:keepNext/>
      </w:pPr>
      <w:r>
        <w:t xml:space="preserve">Table </w:t>
      </w:r>
      <w:r w:rsidR="000959D8">
        <w:t>A.2 Average</w:t>
      </w:r>
      <w:r w:rsidRPr="00E53C89">
        <w:t xml:space="preserve"> Annual POTW </w:t>
      </w:r>
      <w:r>
        <w:t>Burden a</w:t>
      </w:r>
      <w:r w:rsidRPr="00E53C89">
        <w:t>nd Costs</w:t>
      </w:r>
    </w:p>
    <w:tbl>
      <w:tblPr>
        <w:tblW w:w="0" w:type="auto"/>
        <w:jc w:val="center"/>
        <w:tblLayout w:type="fixed"/>
        <w:tblCellMar>
          <w:left w:w="69" w:type="dxa"/>
          <w:right w:w="69" w:type="dxa"/>
        </w:tblCellMar>
        <w:tblLook w:val="0000" w:firstRow="0" w:lastRow="0" w:firstColumn="0" w:lastColumn="0" w:noHBand="0" w:noVBand="0"/>
      </w:tblPr>
      <w:tblGrid>
        <w:gridCol w:w="3016"/>
        <w:gridCol w:w="1224"/>
        <w:gridCol w:w="1277"/>
        <w:gridCol w:w="1260"/>
        <w:gridCol w:w="1135"/>
        <w:gridCol w:w="1321"/>
      </w:tblGrid>
      <w:tr w:rsidR="006458E0" w:rsidRPr="00E53C89" w14:paraId="09013070" w14:textId="77777777" w:rsidTr="002B6F2F">
        <w:trPr>
          <w:jc w:val="center"/>
        </w:trPr>
        <w:tc>
          <w:tcPr>
            <w:tcW w:w="3016" w:type="dxa"/>
            <w:vMerge w:val="restart"/>
            <w:tcBorders>
              <w:top w:val="single" w:sz="6" w:space="0" w:color="000000"/>
              <w:left w:val="single" w:sz="6" w:space="0" w:color="000000"/>
              <w:bottom w:val="single" w:sz="6" w:space="0" w:color="000000"/>
              <w:right w:val="nil"/>
            </w:tcBorders>
            <w:shd w:val="clear" w:color="auto" w:fill="D9D9D9"/>
          </w:tcPr>
          <w:p w14:paraId="56D8C1DB" w14:textId="77777777" w:rsidR="006458E0" w:rsidRPr="00E53C89" w:rsidRDefault="006458E0" w:rsidP="002B6F2F">
            <w:pPr>
              <w:numPr>
                <w:ilvl w:val="12"/>
                <w:numId w:val="0"/>
              </w:numPr>
              <w:tabs>
                <w:tab w:val="left" w:pos="0"/>
                <w:tab w:val="left" w:pos="720"/>
                <w:tab w:val="left" w:pos="1440"/>
                <w:tab w:val="left" w:pos="2160"/>
                <w:tab w:val="left" w:pos="2880"/>
              </w:tabs>
              <w:spacing w:before="55" w:after="27"/>
              <w:jc w:val="center"/>
              <w:rPr>
                <w:rFonts w:ascii="Arial" w:hAnsi="Arial" w:cs="Arial"/>
                <w:sz w:val="20"/>
                <w:szCs w:val="20"/>
              </w:rPr>
            </w:pPr>
            <w:r w:rsidRPr="00E53C89">
              <w:rPr>
                <w:rFonts w:ascii="Arial" w:hAnsi="Arial" w:cs="Arial"/>
                <w:b/>
                <w:bCs/>
                <w:sz w:val="20"/>
                <w:szCs w:val="20"/>
              </w:rPr>
              <w:t>Activity</w:t>
            </w:r>
          </w:p>
        </w:tc>
        <w:tc>
          <w:tcPr>
            <w:tcW w:w="1224" w:type="dxa"/>
            <w:vMerge w:val="restart"/>
            <w:tcBorders>
              <w:top w:val="single" w:sz="6" w:space="0" w:color="000000"/>
              <w:left w:val="single" w:sz="2" w:space="0" w:color="000000"/>
              <w:bottom w:val="single" w:sz="6" w:space="0" w:color="000000"/>
              <w:right w:val="nil"/>
            </w:tcBorders>
            <w:shd w:val="clear" w:color="auto" w:fill="D9D9D9"/>
          </w:tcPr>
          <w:p w14:paraId="5491D24A" w14:textId="77777777" w:rsidR="006458E0" w:rsidRPr="00E53C89" w:rsidRDefault="006458E0" w:rsidP="002B6F2F">
            <w:pPr>
              <w:numPr>
                <w:ilvl w:val="12"/>
                <w:numId w:val="0"/>
              </w:numPr>
              <w:tabs>
                <w:tab w:val="left" w:pos="0"/>
                <w:tab w:val="left" w:pos="720"/>
              </w:tabs>
              <w:spacing w:before="55" w:after="27"/>
              <w:jc w:val="center"/>
              <w:rPr>
                <w:rFonts w:ascii="Arial" w:hAnsi="Arial" w:cs="Arial"/>
                <w:sz w:val="20"/>
                <w:szCs w:val="20"/>
              </w:rPr>
            </w:pPr>
            <w:r w:rsidRPr="00E53C89">
              <w:rPr>
                <w:rFonts w:ascii="Arial" w:hAnsi="Arial" w:cs="Arial"/>
                <w:b/>
                <w:bCs/>
                <w:sz w:val="20"/>
                <w:szCs w:val="20"/>
              </w:rPr>
              <w:t>Annual Burden Hours</w:t>
            </w:r>
          </w:p>
        </w:tc>
        <w:tc>
          <w:tcPr>
            <w:tcW w:w="3672" w:type="dxa"/>
            <w:gridSpan w:val="3"/>
            <w:tcBorders>
              <w:top w:val="single" w:sz="6" w:space="0" w:color="000000"/>
              <w:left w:val="single" w:sz="2" w:space="0" w:color="000000"/>
              <w:bottom w:val="single" w:sz="2" w:space="0" w:color="000000"/>
              <w:right w:val="nil"/>
            </w:tcBorders>
            <w:shd w:val="clear" w:color="auto" w:fill="D9D9D9"/>
          </w:tcPr>
          <w:p w14:paraId="793D31A7" w14:textId="77777777" w:rsidR="006458E0" w:rsidRPr="00E53C89" w:rsidRDefault="006458E0" w:rsidP="002B6F2F">
            <w:pPr>
              <w:numPr>
                <w:ilvl w:val="12"/>
                <w:numId w:val="0"/>
              </w:numPr>
              <w:tabs>
                <w:tab w:val="left" w:pos="0"/>
                <w:tab w:val="left" w:pos="720"/>
              </w:tabs>
              <w:spacing w:before="55" w:after="27"/>
              <w:jc w:val="center"/>
              <w:rPr>
                <w:rFonts w:ascii="Arial" w:hAnsi="Arial" w:cs="Arial"/>
                <w:sz w:val="20"/>
                <w:szCs w:val="20"/>
              </w:rPr>
            </w:pPr>
            <w:r w:rsidRPr="00E53C89">
              <w:rPr>
                <w:rFonts w:ascii="Arial" w:hAnsi="Arial" w:cs="Arial"/>
                <w:b/>
                <w:bCs/>
                <w:sz w:val="20"/>
                <w:szCs w:val="20"/>
              </w:rPr>
              <w:t>Annual Cost ($K)</w:t>
            </w:r>
          </w:p>
        </w:tc>
        <w:tc>
          <w:tcPr>
            <w:tcW w:w="1321" w:type="dxa"/>
            <w:vMerge w:val="restart"/>
            <w:tcBorders>
              <w:top w:val="single" w:sz="6" w:space="0" w:color="000000"/>
              <w:left w:val="single" w:sz="2" w:space="0" w:color="000000"/>
              <w:bottom w:val="single" w:sz="6" w:space="0" w:color="000000"/>
              <w:right w:val="single" w:sz="6" w:space="0" w:color="000000"/>
            </w:tcBorders>
            <w:shd w:val="clear" w:color="auto" w:fill="D9D9D9"/>
          </w:tcPr>
          <w:p w14:paraId="3BA6CC87" w14:textId="77777777" w:rsidR="006458E0" w:rsidRPr="00E53C89" w:rsidRDefault="006458E0" w:rsidP="002B6F2F">
            <w:pPr>
              <w:numPr>
                <w:ilvl w:val="12"/>
                <w:numId w:val="0"/>
              </w:numPr>
              <w:tabs>
                <w:tab w:val="left" w:pos="0"/>
                <w:tab w:val="left" w:pos="720"/>
              </w:tabs>
              <w:spacing w:before="55" w:after="27"/>
              <w:jc w:val="center"/>
              <w:rPr>
                <w:rFonts w:ascii="Arial" w:hAnsi="Arial" w:cs="Arial"/>
                <w:sz w:val="20"/>
                <w:szCs w:val="20"/>
              </w:rPr>
            </w:pPr>
            <w:r w:rsidRPr="00E53C89">
              <w:rPr>
                <w:rFonts w:ascii="Arial" w:hAnsi="Arial" w:cs="Arial"/>
                <w:b/>
                <w:bCs/>
                <w:sz w:val="20"/>
                <w:szCs w:val="20"/>
              </w:rPr>
              <w:t>Responses</w:t>
            </w:r>
          </w:p>
        </w:tc>
      </w:tr>
      <w:tr w:rsidR="006458E0" w:rsidRPr="00E53C89" w14:paraId="55C0E07B" w14:textId="77777777" w:rsidTr="002B6F2F">
        <w:trPr>
          <w:jc w:val="center"/>
        </w:trPr>
        <w:tc>
          <w:tcPr>
            <w:tcW w:w="3016" w:type="dxa"/>
            <w:vMerge/>
            <w:tcBorders>
              <w:top w:val="single" w:sz="6" w:space="0" w:color="000000"/>
              <w:left w:val="single" w:sz="6" w:space="0" w:color="000000"/>
              <w:bottom w:val="single" w:sz="6" w:space="0" w:color="000000"/>
              <w:right w:val="nil"/>
            </w:tcBorders>
          </w:tcPr>
          <w:p w14:paraId="0DABE08E" w14:textId="77777777" w:rsidR="006458E0" w:rsidRPr="00E53C89" w:rsidRDefault="006458E0" w:rsidP="002B6F2F">
            <w:pPr>
              <w:numPr>
                <w:ilvl w:val="12"/>
                <w:numId w:val="0"/>
              </w:numPr>
              <w:tabs>
                <w:tab w:val="left" w:pos="0"/>
                <w:tab w:val="left" w:pos="720"/>
                <w:tab w:val="left" w:pos="1440"/>
                <w:tab w:val="left" w:pos="2160"/>
                <w:tab w:val="left" w:pos="2880"/>
              </w:tabs>
              <w:spacing w:before="55" w:after="27"/>
              <w:jc w:val="center"/>
              <w:rPr>
                <w:rFonts w:ascii="Arial" w:hAnsi="Arial" w:cs="Arial"/>
                <w:sz w:val="20"/>
                <w:szCs w:val="20"/>
              </w:rPr>
            </w:pPr>
          </w:p>
        </w:tc>
        <w:tc>
          <w:tcPr>
            <w:tcW w:w="1224" w:type="dxa"/>
            <w:vMerge/>
            <w:tcBorders>
              <w:top w:val="single" w:sz="6" w:space="0" w:color="000000"/>
              <w:left w:val="single" w:sz="2" w:space="0" w:color="000000"/>
              <w:bottom w:val="single" w:sz="6" w:space="0" w:color="000000"/>
              <w:right w:val="nil"/>
            </w:tcBorders>
          </w:tcPr>
          <w:p w14:paraId="15D24CFA" w14:textId="77777777" w:rsidR="006458E0" w:rsidRPr="00E53C89" w:rsidRDefault="006458E0" w:rsidP="002B6F2F">
            <w:pPr>
              <w:numPr>
                <w:ilvl w:val="12"/>
                <w:numId w:val="0"/>
              </w:numPr>
              <w:tabs>
                <w:tab w:val="left" w:pos="0"/>
                <w:tab w:val="left" w:pos="720"/>
              </w:tabs>
              <w:spacing w:before="55" w:after="27"/>
              <w:jc w:val="center"/>
              <w:rPr>
                <w:rFonts w:ascii="Arial" w:hAnsi="Arial" w:cs="Arial"/>
                <w:sz w:val="20"/>
                <w:szCs w:val="20"/>
              </w:rPr>
            </w:pPr>
          </w:p>
        </w:tc>
        <w:tc>
          <w:tcPr>
            <w:tcW w:w="1277" w:type="dxa"/>
            <w:tcBorders>
              <w:top w:val="single" w:sz="2" w:space="0" w:color="000000"/>
              <w:left w:val="single" w:sz="2" w:space="0" w:color="000000"/>
              <w:bottom w:val="single" w:sz="6" w:space="0" w:color="000000"/>
              <w:right w:val="nil"/>
            </w:tcBorders>
            <w:shd w:val="clear" w:color="auto" w:fill="D9D9D9"/>
          </w:tcPr>
          <w:p w14:paraId="3FDFDECC" w14:textId="77777777" w:rsidR="006458E0" w:rsidRPr="00E53C89" w:rsidRDefault="006458E0" w:rsidP="002B6F2F">
            <w:pPr>
              <w:numPr>
                <w:ilvl w:val="12"/>
                <w:numId w:val="0"/>
              </w:numPr>
              <w:tabs>
                <w:tab w:val="left" w:pos="0"/>
                <w:tab w:val="left" w:pos="720"/>
              </w:tabs>
              <w:spacing w:before="55" w:after="27"/>
              <w:jc w:val="center"/>
              <w:rPr>
                <w:rFonts w:ascii="Arial" w:hAnsi="Arial" w:cs="Arial"/>
                <w:sz w:val="20"/>
                <w:szCs w:val="20"/>
              </w:rPr>
            </w:pPr>
            <w:r w:rsidRPr="00E53C89">
              <w:rPr>
                <w:rFonts w:ascii="Arial" w:hAnsi="Arial" w:cs="Arial"/>
                <w:b/>
                <w:bCs/>
                <w:sz w:val="20"/>
                <w:szCs w:val="20"/>
              </w:rPr>
              <w:t>Capital and O&amp;M Cost</w:t>
            </w:r>
          </w:p>
        </w:tc>
        <w:tc>
          <w:tcPr>
            <w:tcW w:w="1260" w:type="dxa"/>
            <w:tcBorders>
              <w:top w:val="single" w:sz="2" w:space="0" w:color="000000"/>
              <w:left w:val="single" w:sz="2" w:space="0" w:color="000000"/>
              <w:bottom w:val="single" w:sz="6" w:space="0" w:color="000000"/>
              <w:right w:val="nil"/>
            </w:tcBorders>
            <w:shd w:val="clear" w:color="auto" w:fill="D9D9D9"/>
          </w:tcPr>
          <w:p w14:paraId="0A7318FF" w14:textId="77777777" w:rsidR="006458E0" w:rsidRPr="00E53C89" w:rsidRDefault="006458E0" w:rsidP="002B6F2F">
            <w:pPr>
              <w:numPr>
                <w:ilvl w:val="12"/>
                <w:numId w:val="0"/>
              </w:numPr>
              <w:tabs>
                <w:tab w:val="left" w:pos="0"/>
                <w:tab w:val="left" w:pos="720"/>
              </w:tabs>
              <w:spacing w:before="55" w:after="27"/>
              <w:jc w:val="center"/>
              <w:rPr>
                <w:rFonts w:ascii="Arial" w:hAnsi="Arial" w:cs="Arial"/>
                <w:sz w:val="20"/>
                <w:szCs w:val="20"/>
              </w:rPr>
            </w:pPr>
            <w:r w:rsidRPr="00E53C89">
              <w:rPr>
                <w:rFonts w:ascii="Arial" w:hAnsi="Arial" w:cs="Arial"/>
                <w:b/>
                <w:bCs/>
                <w:sz w:val="20"/>
                <w:szCs w:val="20"/>
              </w:rPr>
              <w:t>Labor Cost</w:t>
            </w:r>
          </w:p>
        </w:tc>
        <w:tc>
          <w:tcPr>
            <w:tcW w:w="1135" w:type="dxa"/>
            <w:tcBorders>
              <w:top w:val="single" w:sz="2" w:space="0" w:color="000000"/>
              <w:left w:val="single" w:sz="2" w:space="0" w:color="000000"/>
              <w:bottom w:val="single" w:sz="6" w:space="0" w:color="000000"/>
              <w:right w:val="nil"/>
            </w:tcBorders>
            <w:shd w:val="clear" w:color="auto" w:fill="D9D9D9"/>
          </w:tcPr>
          <w:p w14:paraId="7C929CCA" w14:textId="77777777" w:rsidR="006458E0" w:rsidRPr="00E53C89" w:rsidRDefault="006458E0" w:rsidP="002B6F2F">
            <w:pPr>
              <w:numPr>
                <w:ilvl w:val="12"/>
                <w:numId w:val="0"/>
              </w:numPr>
              <w:tabs>
                <w:tab w:val="left" w:pos="0"/>
                <w:tab w:val="left" w:pos="720"/>
              </w:tabs>
              <w:spacing w:before="55" w:after="27"/>
              <w:jc w:val="center"/>
              <w:rPr>
                <w:rFonts w:ascii="Arial" w:hAnsi="Arial" w:cs="Arial"/>
                <w:sz w:val="20"/>
                <w:szCs w:val="20"/>
              </w:rPr>
            </w:pPr>
            <w:r w:rsidRPr="00E53C89">
              <w:rPr>
                <w:rFonts w:ascii="Arial" w:hAnsi="Arial" w:cs="Arial"/>
                <w:b/>
                <w:bCs/>
                <w:sz w:val="20"/>
                <w:szCs w:val="20"/>
              </w:rPr>
              <w:t>Total Cost</w:t>
            </w:r>
          </w:p>
        </w:tc>
        <w:tc>
          <w:tcPr>
            <w:tcW w:w="1321" w:type="dxa"/>
            <w:vMerge/>
            <w:tcBorders>
              <w:top w:val="single" w:sz="6" w:space="0" w:color="000000"/>
              <w:left w:val="single" w:sz="2" w:space="0" w:color="000000"/>
              <w:bottom w:val="single" w:sz="6" w:space="0" w:color="000000"/>
              <w:right w:val="single" w:sz="6" w:space="0" w:color="000000"/>
            </w:tcBorders>
          </w:tcPr>
          <w:p w14:paraId="1F95ED64" w14:textId="77777777" w:rsidR="006458E0" w:rsidRPr="00E53C89" w:rsidRDefault="006458E0" w:rsidP="002B6F2F">
            <w:pPr>
              <w:numPr>
                <w:ilvl w:val="12"/>
                <w:numId w:val="0"/>
              </w:numPr>
              <w:tabs>
                <w:tab w:val="left" w:pos="0"/>
                <w:tab w:val="left" w:pos="720"/>
              </w:tabs>
              <w:spacing w:before="55" w:after="27"/>
              <w:rPr>
                <w:rFonts w:ascii="Arial" w:hAnsi="Arial" w:cs="Arial"/>
                <w:sz w:val="20"/>
                <w:szCs w:val="20"/>
              </w:rPr>
            </w:pPr>
          </w:p>
        </w:tc>
      </w:tr>
      <w:tr w:rsidR="00834EC6" w:rsidRPr="00E53C89" w14:paraId="6D11AC14" w14:textId="77777777" w:rsidTr="006569D0">
        <w:trPr>
          <w:jc w:val="center"/>
        </w:trPr>
        <w:tc>
          <w:tcPr>
            <w:tcW w:w="3016" w:type="dxa"/>
            <w:tcBorders>
              <w:top w:val="single" w:sz="6" w:space="0" w:color="000000"/>
              <w:left w:val="single" w:sz="6" w:space="0" w:color="000000"/>
              <w:bottom w:val="nil"/>
              <w:right w:val="nil"/>
            </w:tcBorders>
          </w:tcPr>
          <w:p w14:paraId="6370AFA4" w14:textId="77777777" w:rsidR="00834EC6" w:rsidRPr="00E53C89" w:rsidRDefault="00834EC6" w:rsidP="00834EC6">
            <w:pPr>
              <w:numPr>
                <w:ilvl w:val="12"/>
                <w:numId w:val="0"/>
              </w:numPr>
              <w:tabs>
                <w:tab w:val="left" w:pos="0"/>
                <w:tab w:val="left" w:pos="720"/>
                <w:tab w:val="left" w:pos="1440"/>
                <w:tab w:val="left" w:pos="2160"/>
                <w:tab w:val="left" w:pos="2880"/>
              </w:tabs>
              <w:spacing w:before="55" w:after="27"/>
              <w:rPr>
                <w:rFonts w:ascii="Arial" w:hAnsi="Arial" w:cs="Arial"/>
                <w:sz w:val="20"/>
                <w:szCs w:val="20"/>
              </w:rPr>
            </w:pPr>
            <w:r w:rsidRPr="00E53C89">
              <w:rPr>
                <w:rFonts w:ascii="Arial" w:hAnsi="Arial" w:cs="Arial"/>
                <w:sz w:val="20"/>
                <w:szCs w:val="20"/>
              </w:rPr>
              <w:t>Program development</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bottom"/>
          </w:tcPr>
          <w:p w14:paraId="750F0210" w14:textId="57402AB7" w:rsidR="00834EC6" w:rsidRPr="004D1BC8" w:rsidRDefault="00834EC6" w:rsidP="00834EC6">
            <w:pPr>
              <w:jc w:val="right"/>
              <w:rPr>
                <w:rFonts w:ascii="Arial" w:hAnsi="Arial" w:cs="Arial"/>
                <w:sz w:val="20"/>
                <w:szCs w:val="20"/>
                <w:highlight w:val="yellow"/>
              </w:rPr>
            </w:pPr>
            <w:r>
              <w:rPr>
                <w:rFonts w:ascii="Arial" w:hAnsi="Arial" w:cs="Arial"/>
                <w:sz w:val="20"/>
                <w:szCs w:val="20"/>
              </w:rPr>
              <w:t>2,357</w:t>
            </w:r>
          </w:p>
        </w:tc>
        <w:tc>
          <w:tcPr>
            <w:tcW w:w="1277" w:type="dxa"/>
            <w:tcBorders>
              <w:top w:val="single" w:sz="4" w:space="0" w:color="auto"/>
              <w:left w:val="nil"/>
              <w:bottom w:val="single" w:sz="4" w:space="0" w:color="auto"/>
              <w:right w:val="single" w:sz="4" w:space="0" w:color="auto"/>
            </w:tcBorders>
            <w:shd w:val="clear" w:color="auto" w:fill="auto"/>
            <w:vAlign w:val="bottom"/>
          </w:tcPr>
          <w:p w14:paraId="5BCF17B2" w14:textId="53B3A5EA" w:rsidR="00834EC6" w:rsidRPr="004D1BC8" w:rsidRDefault="00834EC6" w:rsidP="00834EC6">
            <w:pPr>
              <w:jc w:val="right"/>
              <w:rPr>
                <w:rFonts w:ascii="Arial" w:hAnsi="Arial" w:cs="Arial"/>
                <w:sz w:val="20"/>
                <w:szCs w:val="20"/>
                <w:highlight w:val="yellow"/>
              </w:rPr>
            </w:pPr>
            <w:r>
              <w:rPr>
                <w:rFonts w:ascii="Arial" w:hAnsi="Arial" w:cs="Arial"/>
                <w:sz w:val="20"/>
                <w:szCs w:val="20"/>
              </w:rPr>
              <w:t>$0</w:t>
            </w:r>
          </w:p>
        </w:tc>
        <w:tc>
          <w:tcPr>
            <w:tcW w:w="1260" w:type="dxa"/>
            <w:tcBorders>
              <w:top w:val="single" w:sz="4" w:space="0" w:color="auto"/>
              <w:left w:val="nil"/>
              <w:bottom w:val="single" w:sz="4" w:space="0" w:color="auto"/>
              <w:right w:val="single" w:sz="4" w:space="0" w:color="auto"/>
            </w:tcBorders>
            <w:shd w:val="clear" w:color="auto" w:fill="auto"/>
            <w:vAlign w:val="bottom"/>
          </w:tcPr>
          <w:p w14:paraId="32CCF97B" w14:textId="2DF0F061" w:rsidR="00834EC6" w:rsidRPr="004D1BC8" w:rsidRDefault="00834EC6" w:rsidP="00834EC6">
            <w:pPr>
              <w:jc w:val="right"/>
              <w:rPr>
                <w:rFonts w:ascii="Arial" w:hAnsi="Arial" w:cs="Arial"/>
                <w:sz w:val="20"/>
                <w:szCs w:val="20"/>
                <w:highlight w:val="yellow"/>
              </w:rPr>
            </w:pPr>
            <w:r>
              <w:rPr>
                <w:rFonts w:ascii="Arial" w:hAnsi="Arial" w:cs="Arial"/>
                <w:sz w:val="20"/>
                <w:szCs w:val="20"/>
              </w:rPr>
              <w:t>$96</w:t>
            </w:r>
          </w:p>
        </w:tc>
        <w:tc>
          <w:tcPr>
            <w:tcW w:w="1135" w:type="dxa"/>
            <w:tcBorders>
              <w:top w:val="single" w:sz="4" w:space="0" w:color="auto"/>
              <w:left w:val="nil"/>
              <w:bottom w:val="single" w:sz="4" w:space="0" w:color="auto"/>
              <w:right w:val="single" w:sz="4" w:space="0" w:color="auto"/>
            </w:tcBorders>
            <w:shd w:val="clear" w:color="auto" w:fill="auto"/>
            <w:vAlign w:val="bottom"/>
          </w:tcPr>
          <w:p w14:paraId="7C8BBA26" w14:textId="0F428212" w:rsidR="00834EC6" w:rsidRPr="004D1BC8" w:rsidRDefault="00834EC6" w:rsidP="00834EC6">
            <w:pPr>
              <w:jc w:val="right"/>
              <w:rPr>
                <w:rFonts w:ascii="Arial" w:hAnsi="Arial" w:cs="Arial"/>
                <w:sz w:val="20"/>
                <w:szCs w:val="20"/>
                <w:highlight w:val="yellow"/>
              </w:rPr>
            </w:pPr>
            <w:r>
              <w:rPr>
                <w:rFonts w:ascii="Arial" w:hAnsi="Arial" w:cs="Arial"/>
                <w:sz w:val="20"/>
                <w:szCs w:val="20"/>
              </w:rPr>
              <w:t>$96</w:t>
            </w:r>
          </w:p>
        </w:tc>
        <w:tc>
          <w:tcPr>
            <w:tcW w:w="1321" w:type="dxa"/>
            <w:tcBorders>
              <w:top w:val="single" w:sz="4" w:space="0" w:color="auto"/>
              <w:left w:val="nil"/>
              <w:bottom w:val="single" w:sz="4" w:space="0" w:color="auto"/>
              <w:right w:val="single" w:sz="4" w:space="0" w:color="auto"/>
            </w:tcBorders>
            <w:shd w:val="clear" w:color="auto" w:fill="auto"/>
            <w:vAlign w:val="bottom"/>
          </w:tcPr>
          <w:p w14:paraId="1771352D" w14:textId="0584B54C" w:rsidR="00834EC6" w:rsidRPr="004D1BC8" w:rsidRDefault="00834EC6" w:rsidP="00834EC6">
            <w:pPr>
              <w:jc w:val="right"/>
              <w:rPr>
                <w:rFonts w:ascii="Arial" w:hAnsi="Arial" w:cs="Arial"/>
                <w:sz w:val="20"/>
                <w:szCs w:val="20"/>
                <w:highlight w:val="yellow"/>
              </w:rPr>
            </w:pPr>
            <w:r>
              <w:rPr>
                <w:rFonts w:ascii="Arial" w:hAnsi="Arial" w:cs="Arial"/>
                <w:sz w:val="20"/>
                <w:szCs w:val="20"/>
              </w:rPr>
              <w:t>145</w:t>
            </w:r>
          </w:p>
        </w:tc>
      </w:tr>
      <w:tr w:rsidR="00834EC6" w:rsidRPr="00E53C89" w14:paraId="139041A3" w14:textId="77777777" w:rsidTr="006569D0">
        <w:trPr>
          <w:jc w:val="center"/>
        </w:trPr>
        <w:tc>
          <w:tcPr>
            <w:tcW w:w="3016" w:type="dxa"/>
            <w:tcBorders>
              <w:top w:val="single" w:sz="2" w:space="0" w:color="000000"/>
              <w:left w:val="single" w:sz="6" w:space="0" w:color="000000"/>
              <w:bottom w:val="nil"/>
              <w:right w:val="nil"/>
            </w:tcBorders>
          </w:tcPr>
          <w:p w14:paraId="5A0365F6" w14:textId="77777777" w:rsidR="00834EC6" w:rsidRPr="00E53C89" w:rsidRDefault="00834EC6" w:rsidP="00834EC6">
            <w:pPr>
              <w:numPr>
                <w:ilvl w:val="12"/>
                <w:numId w:val="0"/>
              </w:numPr>
              <w:tabs>
                <w:tab w:val="left" w:pos="0"/>
                <w:tab w:val="left" w:pos="720"/>
                <w:tab w:val="left" w:pos="1440"/>
                <w:tab w:val="left" w:pos="2160"/>
                <w:tab w:val="left" w:pos="2880"/>
              </w:tabs>
              <w:spacing w:before="55" w:after="27"/>
              <w:rPr>
                <w:rFonts w:ascii="Arial" w:hAnsi="Arial" w:cs="Arial"/>
                <w:sz w:val="20"/>
                <w:szCs w:val="20"/>
              </w:rPr>
            </w:pPr>
            <w:r w:rsidRPr="00E53C89">
              <w:rPr>
                <w:rFonts w:ascii="Arial" w:hAnsi="Arial" w:cs="Arial"/>
                <w:sz w:val="20"/>
                <w:szCs w:val="20"/>
              </w:rPr>
              <w:t>Program implementation</w:t>
            </w:r>
          </w:p>
        </w:tc>
        <w:tc>
          <w:tcPr>
            <w:tcW w:w="1224" w:type="dxa"/>
            <w:tcBorders>
              <w:top w:val="nil"/>
              <w:left w:val="single" w:sz="4" w:space="0" w:color="auto"/>
              <w:bottom w:val="single" w:sz="4" w:space="0" w:color="auto"/>
              <w:right w:val="single" w:sz="4" w:space="0" w:color="auto"/>
            </w:tcBorders>
            <w:shd w:val="clear" w:color="auto" w:fill="auto"/>
            <w:vAlign w:val="bottom"/>
          </w:tcPr>
          <w:p w14:paraId="4F6B8162" w14:textId="4F2BE665" w:rsidR="00834EC6" w:rsidRPr="004D1BC8" w:rsidRDefault="00834EC6" w:rsidP="00834EC6">
            <w:pPr>
              <w:jc w:val="right"/>
              <w:rPr>
                <w:rFonts w:ascii="Arial" w:hAnsi="Arial" w:cs="Arial"/>
                <w:sz w:val="20"/>
                <w:szCs w:val="20"/>
                <w:highlight w:val="yellow"/>
              </w:rPr>
            </w:pPr>
            <w:r>
              <w:rPr>
                <w:rFonts w:ascii="Arial" w:hAnsi="Arial" w:cs="Arial"/>
                <w:sz w:val="20"/>
                <w:szCs w:val="20"/>
              </w:rPr>
              <w:t>598,825</w:t>
            </w:r>
          </w:p>
        </w:tc>
        <w:tc>
          <w:tcPr>
            <w:tcW w:w="1277" w:type="dxa"/>
            <w:tcBorders>
              <w:top w:val="nil"/>
              <w:left w:val="nil"/>
              <w:bottom w:val="single" w:sz="4" w:space="0" w:color="auto"/>
              <w:right w:val="single" w:sz="4" w:space="0" w:color="auto"/>
            </w:tcBorders>
            <w:shd w:val="clear" w:color="auto" w:fill="auto"/>
            <w:vAlign w:val="bottom"/>
          </w:tcPr>
          <w:p w14:paraId="6A4F5F78" w14:textId="62329CF6" w:rsidR="00834EC6" w:rsidRPr="004D1BC8" w:rsidRDefault="00834EC6" w:rsidP="00834EC6">
            <w:pPr>
              <w:jc w:val="right"/>
              <w:rPr>
                <w:rFonts w:ascii="Arial" w:hAnsi="Arial" w:cs="Arial"/>
                <w:sz w:val="20"/>
                <w:szCs w:val="20"/>
                <w:highlight w:val="yellow"/>
              </w:rPr>
            </w:pPr>
            <w:r>
              <w:rPr>
                <w:rFonts w:ascii="Arial" w:hAnsi="Arial" w:cs="Arial"/>
                <w:sz w:val="20"/>
                <w:szCs w:val="20"/>
              </w:rPr>
              <w:t>$0</w:t>
            </w:r>
          </w:p>
        </w:tc>
        <w:tc>
          <w:tcPr>
            <w:tcW w:w="1260" w:type="dxa"/>
            <w:tcBorders>
              <w:top w:val="nil"/>
              <w:left w:val="nil"/>
              <w:bottom w:val="single" w:sz="4" w:space="0" w:color="auto"/>
              <w:right w:val="single" w:sz="4" w:space="0" w:color="auto"/>
            </w:tcBorders>
            <w:shd w:val="clear" w:color="auto" w:fill="auto"/>
            <w:vAlign w:val="bottom"/>
          </w:tcPr>
          <w:p w14:paraId="020E7AC1" w14:textId="4ABC7543" w:rsidR="00834EC6" w:rsidRPr="004D1BC8" w:rsidRDefault="00834EC6" w:rsidP="00834EC6">
            <w:pPr>
              <w:jc w:val="right"/>
              <w:rPr>
                <w:rFonts w:ascii="Arial" w:hAnsi="Arial" w:cs="Arial"/>
                <w:sz w:val="20"/>
                <w:szCs w:val="20"/>
                <w:highlight w:val="yellow"/>
              </w:rPr>
            </w:pPr>
            <w:r>
              <w:rPr>
                <w:rFonts w:ascii="Arial" w:hAnsi="Arial" w:cs="Arial"/>
                <w:sz w:val="20"/>
                <w:szCs w:val="20"/>
              </w:rPr>
              <w:t>$24,408</w:t>
            </w:r>
          </w:p>
        </w:tc>
        <w:tc>
          <w:tcPr>
            <w:tcW w:w="1135" w:type="dxa"/>
            <w:tcBorders>
              <w:top w:val="nil"/>
              <w:left w:val="nil"/>
              <w:bottom w:val="single" w:sz="4" w:space="0" w:color="auto"/>
              <w:right w:val="single" w:sz="4" w:space="0" w:color="auto"/>
            </w:tcBorders>
            <w:shd w:val="clear" w:color="auto" w:fill="auto"/>
            <w:vAlign w:val="bottom"/>
          </w:tcPr>
          <w:p w14:paraId="0087F0C5" w14:textId="3AEB7AC2" w:rsidR="00834EC6" w:rsidRPr="004D1BC8" w:rsidRDefault="00834EC6" w:rsidP="00834EC6">
            <w:pPr>
              <w:jc w:val="right"/>
              <w:rPr>
                <w:rFonts w:ascii="Arial" w:hAnsi="Arial" w:cs="Arial"/>
                <w:sz w:val="20"/>
                <w:szCs w:val="20"/>
                <w:highlight w:val="yellow"/>
              </w:rPr>
            </w:pPr>
            <w:r>
              <w:rPr>
                <w:rFonts w:ascii="Arial" w:hAnsi="Arial" w:cs="Arial"/>
                <w:sz w:val="20"/>
                <w:szCs w:val="20"/>
              </w:rPr>
              <w:t>$24,408</w:t>
            </w:r>
          </w:p>
        </w:tc>
        <w:tc>
          <w:tcPr>
            <w:tcW w:w="1321" w:type="dxa"/>
            <w:tcBorders>
              <w:top w:val="nil"/>
              <w:left w:val="nil"/>
              <w:bottom w:val="single" w:sz="4" w:space="0" w:color="auto"/>
              <w:right w:val="single" w:sz="4" w:space="0" w:color="auto"/>
            </w:tcBorders>
            <w:shd w:val="clear" w:color="auto" w:fill="auto"/>
            <w:vAlign w:val="bottom"/>
          </w:tcPr>
          <w:p w14:paraId="7A2C60F3" w14:textId="76D14222" w:rsidR="00834EC6" w:rsidRPr="004D1BC8" w:rsidRDefault="00834EC6" w:rsidP="00834EC6">
            <w:pPr>
              <w:jc w:val="right"/>
              <w:rPr>
                <w:rFonts w:ascii="Arial" w:hAnsi="Arial" w:cs="Arial"/>
                <w:sz w:val="20"/>
                <w:szCs w:val="20"/>
                <w:highlight w:val="yellow"/>
              </w:rPr>
            </w:pPr>
            <w:r>
              <w:rPr>
                <w:rFonts w:ascii="Arial" w:hAnsi="Arial" w:cs="Arial"/>
                <w:sz w:val="20"/>
                <w:szCs w:val="20"/>
              </w:rPr>
              <w:t>26,611</w:t>
            </w:r>
          </w:p>
        </w:tc>
      </w:tr>
      <w:tr w:rsidR="00834EC6" w:rsidRPr="00E53C89" w14:paraId="0FDCD31B" w14:textId="77777777" w:rsidTr="006569D0">
        <w:trPr>
          <w:jc w:val="center"/>
        </w:trPr>
        <w:tc>
          <w:tcPr>
            <w:tcW w:w="3016" w:type="dxa"/>
            <w:tcBorders>
              <w:top w:val="single" w:sz="2" w:space="0" w:color="000000"/>
              <w:left w:val="single" w:sz="6" w:space="0" w:color="000000"/>
              <w:bottom w:val="nil"/>
              <w:right w:val="nil"/>
            </w:tcBorders>
          </w:tcPr>
          <w:p w14:paraId="2032B826" w14:textId="77777777" w:rsidR="00834EC6" w:rsidRPr="00E53C89" w:rsidRDefault="00834EC6" w:rsidP="00834EC6">
            <w:pPr>
              <w:numPr>
                <w:ilvl w:val="12"/>
                <w:numId w:val="0"/>
              </w:numPr>
              <w:tabs>
                <w:tab w:val="left" w:pos="0"/>
                <w:tab w:val="left" w:pos="720"/>
                <w:tab w:val="left" w:pos="1440"/>
                <w:tab w:val="left" w:pos="2160"/>
                <w:tab w:val="left" w:pos="2880"/>
              </w:tabs>
              <w:spacing w:before="55" w:after="27"/>
              <w:rPr>
                <w:rFonts w:ascii="Arial" w:hAnsi="Arial" w:cs="Arial"/>
                <w:sz w:val="20"/>
                <w:szCs w:val="20"/>
              </w:rPr>
            </w:pPr>
            <w:r w:rsidRPr="00E53C89">
              <w:rPr>
                <w:rFonts w:ascii="Arial" w:hAnsi="Arial" w:cs="Arial"/>
                <w:sz w:val="20"/>
                <w:szCs w:val="20"/>
              </w:rPr>
              <w:t>Program/categorical determination</w:t>
            </w:r>
          </w:p>
        </w:tc>
        <w:tc>
          <w:tcPr>
            <w:tcW w:w="1224" w:type="dxa"/>
            <w:tcBorders>
              <w:top w:val="nil"/>
              <w:left w:val="single" w:sz="4" w:space="0" w:color="auto"/>
              <w:bottom w:val="single" w:sz="4" w:space="0" w:color="auto"/>
              <w:right w:val="single" w:sz="4" w:space="0" w:color="auto"/>
            </w:tcBorders>
            <w:shd w:val="clear" w:color="auto" w:fill="auto"/>
            <w:vAlign w:val="bottom"/>
          </w:tcPr>
          <w:p w14:paraId="54CF4A8B" w14:textId="54E31480" w:rsidR="00834EC6" w:rsidRPr="004D1BC8" w:rsidRDefault="00834EC6" w:rsidP="00834EC6">
            <w:pPr>
              <w:jc w:val="right"/>
              <w:rPr>
                <w:rFonts w:ascii="Arial" w:hAnsi="Arial" w:cs="Arial"/>
                <w:sz w:val="20"/>
                <w:szCs w:val="20"/>
                <w:highlight w:val="yellow"/>
              </w:rPr>
            </w:pPr>
            <w:r>
              <w:rPr>
                <w:rFonts w:ascii="Arial" w:hAnsi="Arial" w:cs="Arial"/>
                <w:sz w:val="20"/>
                <w:szCs w:val="20"/>
              </w:rPr>
              <w:t>1,375</w:t>
            </w:r>
          </w:p>
        </w:tc>
        <w:tc>
          <w:tcPr>
            <w:tcW w:w="1277" w:type="dxa"/>
            <w:tcBorders>
              <w:top w:val="nil"/>
              <w:left w:val="nil"/>
              <w:bottom w:val="single" w:sz="4" w:space="0" w:color="auto"/>
              <w:right w:val="single" w:sz="4" w:space="0" w:color="auto"/>
            </w:tcBorders>
            <w:shd w:val="clear" w:color="auto" w:fill="auto"/>
            <w:vAlign w:val="bottom"/>
          </w:tcPr>
          <w:p w14:paraId="2F6B8DF0" w14:textId="26965FF9" w:rsidR="00834EC6" w:rsidRPr="004D1BC8" w:rsidRDefault="00834EC6" w:rsidP="00834EC6">
            <w:pPr>
              <w:jc w:val="right"/>
              <w:rPr>
                <w:rFonts w:ascii="Arial" w:hAnsi="Arial" w:cs="Arial"/>
                <w:sz w:val="20"/>
                <w:szCs w:val="20"/>
                <w:highlight w:val="yellow"/>
              </w:rPr>
            </w:pPr>
            <w:r>
              <w:rPr>
                <w:rFonts w:ascii="Arial" w:hAnsi="Arial" w:cs="Arial"/>
                <w:sz w:val="20"/>
                <w:szCs w:val="20"/>
              </w:rPr>
              <w:t>$0</w:t>
            </w:r>
          </w:p>
        </w:tc>
        <w:tc>
          <w:tcPr>
            <w:tcW w:w="1260" w:type="dxa"/>
            <w:tcBorders>
              <w:top w:val="nil"/>
              <w:left w:val="nil"/>
              <w:bottom w:val="single" w:sz="4" w:space="0" w:color="auto"/>
              <w:right w:val="single" w:sz="4" w:space="0" w:color="auto"/>
            </w:tcBorders>
            <w:shd w:val="clear" w:color="auto" w:fill="auto"/>
            <w:vAlign w:val="bottom"/>
          </w:tcPr>
          <w:p w14:paraId="4C31090D" w14:textId="71EC9564" w:rsidR="00834EC6" w:rsidRPr="004D1BC8" w:rsidRDefault="00834EC6" w:rsidP="00834EC6">
            <w:pPr>
              <w:jc w:val="right"/>
              <w:rPr>
                <w:rFonts w:ascii="Arial" w:hAnsi="Arial" w:cs="Arial"/>
                <w:sz w:val="20"/>
                <w:szCs w:val="20"/>
                <w:highlight w:val="yellow"/>
              </w:rPr>
            </w:pPr>
            <w:r>
              <w:rPr>
                <w:rFonts w:ascii="Arial" w:hAnsi="Arial" w:cs="Arial"/>
                <w:sz w:val="20"/>
                <w:szCs w:val="20"/>
              </w:rPr>
              <w:t>$56</w:t>
            </w:r>
          </w:p>
        </w:tc>
        <w:tc>
          <w:tcPr>
            <w:tcW w:w="1135" w:type="dxa"/>
            <w:tcBorders>
              <w:top w:val="nil"/>
              <w:left w:val="nil"/>
              <w:bottom w:val="single" w:sz="4" w:space="0" w:color="auto"/>
              <w:right w:val="single" w:sz="4" w:space="0" w:color="auto"/>
            </w:tcBorders>
            <w:shd w:val="clear" w:color="auto" w:fill="auto"/>
            <w:vAlign w:val="bottom"/>
          </w:tcPr>
          <w:p w14:paraId="103521E6" w14:textId="1C2C178A" w:rsidR="00834EC6" w:rsidRPr="004D1BC8" w:rsidRDefault="00834EC6" w:rsidP="00834EC6">
            <w:pPr>
              <w:jc w:val="right"/>
              <w:rPr>
                <w:rFonts w:ascii="Arial" w:hAnsi="Arial" w:cs="Arial"/>
                <w:sz w:val="20"/>
                <w:szCs w:val="20"/>
                <w:highlight w:val="yellow"/>
              </w:rPr>
            </w:pPr>
            <w:r>
              <w:rPr>
                <w:rFonts w:ascii="Arial" w:hAnsi="Arial" w:cs="Arial"/>
                <w:sz w:val="20"/>
                <w:szCs w:val="20"/>
              </w:rPr>
              <w:t>$56</w:t>
            </w:r>
          </w:p>
        </w:tc>
        <w:tc>
          <w:tcPr>
            <w:tcW w:w="1321" w:type="dxa"/>
            <w:tcBorders>
              <w:top w:val="nil"/>
              <w:left w:val="nil"/>
              <w:bottom w:val="single" w:sz="4" w:space="0" w:color="auto"/>
              <w:right w:val="single" w:sz="4" w:space="0" w:color="auto"/>
            </w:tcBorders>
            <w:shd w:val="clear" w:color="auto" w:fill="auto"/>
            <w:vAlign w:val="bottom"/>
          </w:tcPr>
          <w:p w14:paraId="616236CA" w14:textId="628FC67F" w:rsidR="00834EC6" w:rsidRPr="004D1BC8" w:rsidRDefault="00834EC6" w:rsidP="00834EC6">
            <w:pPr>
              <w:jc w:val="right"/>
              <w:rPr>
                <w:rFonts w:ascii="Arial" w:hAnsi="Arial" w:cs="Arial"/>
                <w:sz w:val="20"/>
                <w:szCs w:val="20"/>
                <w:highlight w:val="yellow"/>
              </w:rPr>
            </w:pPr>
            <w:r>
              <w:rPr>
                <w:rFonts w:ascii="Arial" w:hAnsi="Arial" w:cs="Arial"/>
                <w:sz w:val="20"/>
                <w:szCs w:val="20"/>
              </w:rPr>
              <w:t>28</w:t>
            </w:r>
          </w:p>
        </w:tc>
      </w:tr>
      <w:tr w:rsidR="00834EC6" w:rsidRPr="00E53C89" w14:paraId="0F17F186" w14:textId="77777777" w:rsidTr="006569D0">
        <w:trPr>
          <w:jc w:val="center"/>
        </w:trPr>
        <w:tc>
          <w:tcPr>
            <w:tcW w:w="3016" w:type="dxa"/>
            <w:tcBorders>
              <w:top w:val="single" w:sz="2" w:space="0" w:color="000000"/>
              <w:left w:val="single" w:sz="6" w:space="0" w:color="000000"/>
              <w:bottom w:val="nil"/>
              <w:right w:val="nil"/>
            </w:tcBorders>
          </w:tcPr>
          <w:p w14:paraId="259B5F9E" w14:textId="77777777" w:rsidR="00834EC6" w:rsidRPr="00E53C89" w:rsidRDefault="00834EC6" w:rsidP="00834EC6">
            <w:pPr>
              <w:numPr>
                <w:ilvl w:val="12"/>
                <w:numId w:val="0"/>
              </w:numPr>
              <w:tabs>
                <w:tab w:val="left" w:pos="0"/>
                <w:tab w:val="left" w:pos="720"/>
                <w:tab w:val="left" w:pos="1440"/>
                <w:tab w:val="left" w:pos="2160"/>
                <w:tab w:val="left" w:pos="2880"/>
              </w:tabs>
              <w:spacing w:before="55" w:after="27"/>
              <w:rPr>
                <w:rFonts w:ascii="Arial" w:hAnsi="Arial" w:cs="Arial"/>
                <w:sz w:val="20"/>
                <w:szCs w:val="20"/>
              </w:rPr>
            </w:pPr>
            <w:r w:rsidRPr="00E53C89">
              <w:rPr>
                <w:rFonts w:ascii="Arial" w:hAnsi="Arial" w:cs="Arial"/>
                <w:sz w:val="20"/>
                <w:szCs w:val="20"/>
              </w:rPr>
              <w:t>POTWs as users of data</w:t>
            </w:r>
          </w:p>
        </w:tc>
        <w:tc>
          <w:tcPr>
            <w:tcW w:w="1224" w:type="dxa"/>
            <w:tcBorders>
              <w:top w:val="nil"/>
              <w:left w:val="single" w:sz="4" w:space="0" w:color="auto"/>
              <w:bottom w:val="single" w:sz="4" w:space="0" w:color="auto"/>
              <w:right w:val="single" w:sz="4" w:space="0" w:color="auto"/>
            </w:tcBorders>
            <w:shd w:val="clear" w:color="auto" w:fill="auto"/>
            <w:vAlign w:val="bottom"/>
          </w:tcPr>
          <w:p w14:paraId="54AFFBB3" w14:textId="40BEED46" w:rsidR="00834EC6" w:rsidRPr="004D1BC8" w:rsidRDefault="00834EC6" w:rsidP="00834EC6">
            <w:pPr>
              <w:jc w:val="right"/>
              <w:rPr>
                <w:rFonts w:ascii="Arial" w:hAnsi="Arial" w:cs="Arial"/>
                <w:sz w:val="20"/>
                <w:szCs w:val="20"/>
                <w:highlight w:val="yellow"/>
              </w:rPr>
            </w:pPr>
            <w:r>
              <w:rPr>
                <w:rFonts w:ascii="Arial" w:hAnsi="Arial" w:cs="Arial"/>
                <w:sz w:val="20"/>
                <w:szCs w:val="20"/>
              </w:rPr>
              <w:t>75,883</w:t>
            </w:r>
          </w:p>
        </w:tc>
        <w:tc>
          <w:tcPr>
            <w:tcW w:w="1277" w:type="dxa"/>
            <w:tcBorders>
              <w:top w:val="nil"/>
              <w:left w:val="nil"/>
              <w:bottom w:val="single" w:sz="4" w:space="0" w:color="auto"/>
              <w:right w:val="single" w:sz="4" w:space="0" w:color="auto"/>
            </w:tcBorders>
            <w:shd w:val="clear" w:color="auto" w:fill="auto"/>
            <w:vAlign w:val="bottom"/>
          </w:tcPr>
          <w:p w14:paraId="7E57F0EB" w14:textId="77A168EC" w:rsidR="00834EC6" w:rsidRPr="004D1BC8" w:rsidRDefault="00834EC6" w:rsidP="00834EC6">
            <w:pPr>
              <w:jc w:val="right"/>
              <w:rPr>
                <w:rFonts w:ascii="Arial" w:hAnsi="Arial" w:cs="Arial"/>
                <w:sz w:val="20"/>
                <w:szCs w:val="20"/>
                <w:highlight w:val="yellow"/>
              </w:rPr>
            </w:pPr>
            <w:r>
              <w:rPr>
                <w:rFonts w:ascii="Arial" w:hAnsi="Arial" w:cs="Arial"/>
                <w:sz w:val="20"/>
                <w:szCs w:val="20"/>
              </w:rPr>
              <w:t>$0</w:t>
            </w:r>
          </w:p>
        </w:tc>
        <w:tc>
          <w:tcPr>
            <w:tcW w:w="1260" w:type="dxa"/>
            <w:tcBorders>
              <w:top w:val="nil"/>
              <w:left w:val="nil"/>
              <w:bottom w:val="single" w:sz="4" w:space="0" w:color="auto"/>
              <w:right w:val="single" w:sz="4" w:space="0" w:color="auto"/>
            </w:tcBorders>
            <w:shd w:val="clear" w:color="auto" w:fill="auto"/>
            <w:vAlign w:val="bottom"/>
          </w:tcPr>
          <w:p w14:paraId="0EC260FC" w14:textId="0643256B" w:rsidR="00834EC6" w:rsidRPr="004D1BC8" w:rsidRDefault="00834EC6" w:rsidP="00834EC6">
            <w:pPr>
              <w:jc w:val="right"/>
              <w:rPr>
                <w:rFonts w:ascii="Arial" w:hAnsi="Arial" w:cs="Arial"/>
                <w:sz w:val="20"/>
                <w:szCs w:val="20"/>
                <w:highlight w:val="yellow"/>
              </w:rPr>
            </w:pPr>
            <w:r>
              <w:rPr>
                <w:rFonts w:ascii="Arial" w:hAnsi="Arial" w:cs="Arial"/>
                <w:sz w:val="20"/>
                <w:szCs w:val="20"/>
              </w:rPr>
              <w:t>$3,093</w:t>
            </w:r>
          </w:p>
        </w:tc>
        <w:tc>
          <w:tcPr>
            <w:tcW w:w="1135" w:type="dxa"/>
            <w:tcBorders>
              <w:top w:val="nil"/>
              <w:left w:val="nil"/>
              <w:bottom w:val="single" w:sz="4" w:space="0" w:color="auto"/>
              <w:right w:val="single" w:sz="4" w:space="0" w:color="auto"/>
            </w:tcBorders>
            <w:shd w:val="clear" w:color="auto" w:fill="auto"/>
            <w:vAlign w:val="bottom"/>
          </w:tcPr>
          <w:p w14:paraId="520F4F87" w14:textId="58FF1AC3" w:rsidR="00834EC6" w:rsidRPr="004D1BC8" w:rsidRDefault="00834EC6" w:rsidP="00834EC6">
            <w:pPr>
              <w:jc w:val="right"/>
              <w:rPr>
                <w:rFonts w:ascii="Arial" w:hAnsi="Arial" w:cs="Arial"/>
                <w:sz w:val="20"/>
                <w:szCs w:val="20"/>
                <w:highlight w:val="yellow"/>
              </w:rPr>
            </w:pPr>
            <w:r>
              <w:rPr>
                <w:rFonts w:ascii="Arial" w:hAnsi="Arial" w:cs="Arial"/>
                <w:sz w:val="20"/>
                <w:szCs w:val="20"/>
              </w:rPr>
              <w:t>$3,093</w:t>
            </w:r>
          </w:p>
        </w:tc>
        <w:tc>
          <w:tcPr>
            <w:tcW w:w="1321" w:type="dxa"/>
            <w:tcBorders>
              <w:top w:val="nil"/>
              <w:left w:val="nil"/>
              <w:bottom w:val="single" w:sz="4" w:space="0" w:color="auto"/>
              <w:right w:val="single" w:sz="4" w:space="0" w:color="auto"/>
            </w:tcBorders>
            <w:shd w:val="clear" w:color="auto" w:fill="auto"/>
            <w:vAlign w:val="bottom"/>
          </w:tcPr>
          <w:p w14:paraId="306ADFC9" w14:textId="4DB2A114" w:rsidR="00834EC6" w:rsidRPr="004D1BC8" w:rsidRDefault="00834EC6" w:rsidP="00834EC6">
            <w:pPr>
              <w:jc w:val="right"/>
              <w:rPr>
                <w:rFonts w:ascii="Arial" w:hAnsi="Arial" w:cs="Arial"/>
                <w:sz w:val="20"/>
                <w:szCs w:val="20"/>
                <w:highlight w:val="yellow"/>
              </w:rPr>
            </w:pPr>
            <w:r>
              <w:rPr>
                <w:rFonts w:ascii="Arial" w:hAnsi="Arial" w:cs="Arial"/>
                <w:sz w:val="20"/>
                <w:szCs w:val="20"/>
              </w:rPr>
              <w:t>NA</w:t>
            </w:r>
          </w:p>
        </w:tc>
      </w:tr>
      <w:tr w:rsidR="00834EC6" w:rsidRPr="00E53C89" w14:paraId="1F73ECF5" w14:textId="77777777" w:rsidTr="006569D0">
        <w:trPr>
          <w:jc w:val="center"/>
        </w:trPr>
        <w:tc>
          <w:tcPr>
            <w:tcW w:w="3016" w:type="dxa"/>
            <w:tcBorders>
              <w:top w:val="single" w:sz="2" w:space="0" w:color="000000"/>
              <w:left w:val="single" w:sz="6" w:space="0" w:color="000000"/>
              <w:bottom w:val="nil"/>
              <w:right w:val="nil"/>
            </w:tcBorders>
          </w:tcPr>
          <w:p w14:paraId="24994A71" w14:textId="77777777" w:rsidR="00834EC6" w:rsidRPr="00E53C89" w:rsidRDefault="00834EC6" w:rsidP="00834EC6">
            <w:pPr>
              <w:numPr>
                <w:ilvl w:val="12"/>
                <w:numId w:val="0"/>
              </w:numPr>
              <w:tabs>
                <w:tab w:val="left" w:pos="0"/>
                <w:tab w:val="left" w:pos="720"/>
                <w:tab w:val="left" w:pos="1440"/>
                <w:tab w:val="left" w:pos="2160"/>
                <w:tab w:val="left" w:pos="2880"/>
              </w:tabs>
              <w:spacing w:before="55" w:after="27"/>
              <w:rPr>
                <w:rFonts w:ascii="Arial" w:hAnsi="Arial" w:cs="Arial"/>
                <w:sz w:val="20"/>
                <w:szCs w:val="20"/>
              </w:rPr>
            </w:pPr>
            <w:r w:rsidRPr="00E53C89">
              <w:rPr>
                <w:rFonts w:ascii="Arial" w:hAnsi="Arial" w:cs="Arial"/>
                <w:sz w:val="20"/>
                <w:szCs w:val="20"/>
              </w:rPr>
              <w:t>Recordkeeping</w:t>
            </w:r>
          </w:p>
        </w:tc>
        <w:tc>
          <w:tcPr>
            <w:tcW w:w="1224" w:type="dxa"/>
            <w:tcBorders>
              <w:top w:val="nil"/>
              <w:left w:val="single" w:sz="4" w:space="0" w:color="auto"/>
              <w:bottom w:val="single" w:sz="4" w:space="0" w:color="auto"/>
              <w:right w:val="single" w:sz="4" w:space="0" w:color="auto"/>
            </w:tcBorders>
            <w:shd w:val="clear" w:color="auto" w:fill="auto"/>
            <w:vAlign w:val="bottom"/>
          </w:tcPr>
          <w:p w14:paraId="27C9A3B3" w14:textId="58DA47DE" w:rsidR="00834EC6" w:rsidRPr="00B20147" w:rsidRDefault="00834EC6" w:rsidP="00834EC6">
            <w:pPr>
              <w:jc w:val="right"/>
              <w:rPr>
                <w:rFonts w:ascii="Arial" w:hAnsi="Arial" w:cs="Arial"/>
                <w:sz w:val="20"/>
                <w:szCs w:val="20"/>
                <w:highlight w:val="yellow"/>
              </w:rPr>
            </w:pPr>
            <w:r>
              <w:rPr>
                <w:rFonts w:ascii="Arial" w:hAnsi="Arial" w:cs="Arial"/>
                <w:sz w:val="20"/>
                <w:szCs w:val="20"/>
              </w:rPr>
              <w:t>157,600</w:t>
            </w:r>
          </w:p>
        </w:tc>
        <w:tc>
          <w:tcPr>
            <w:tcW w:w="1277" w:type="dxa"/>
            <w:tcBorders>
              <w:top w:val="nil"/>
              <w:left w:val="nil"/>
              <w:bottom w:val="single" w:sz="4" w:space="0" w:color="auto"/>
              <w:right w:val="single" w:sz="4" w:space="0" w:color="auto"/>
            </w:tcBorders>
            <w:shd w:val="clear" w:color="auto" w:fill="auto"/>
            <w:vAlign w:val="bottom"/>
          </w:tcPr>
          <w:p w14:paraId="7D99CAE9" w14:textId="4903F40D" w:rsidR="00834EC6" w:rsidRPr="00B20147" w:rsidRDefault="00834EC6" w:rsidP="00834EC6">
            <w:pPr>
              <w:jc w:val="right"/>
              <w:rPr>
                <w:rFonts w:ascii="Arial" w:hAnsi="Arial" w:cs="Arial"/>
                <w:sz w:val="20"/>
                <w:szCs w:val="20"/>
                <w:highlight w:val="yellow"/>
              </w:rPr>
            </w:pPr>
            <w:r>
              <w:rPr>
                <w:rFonts w:ascii="Arial" w:hAnsi="Arial" w:cs="Arial"/>
                <w:sz w:val="20"/>
                <w:szCs w:val="20"/>
              </w:rPr>
              <w:t>$0</w:t>
            </w:r>
          </w:p>
        </w:tc>
        <w:tc>
          <w:tcPr>
            <w:tcW w:w="1260" w:type="dxa"/>
            <w:tcBorders>
              <w:top w:val="nil"/>
              <w:left w:val="nil"/>
              <w:bottom w:val="single" w:sz="4" w:space="0" w:color="auto"/>
              <w:right w:val="single" w:sz="4" w:space="0" w:color="auto"/>
            </w:tcBorders>
            <w:shd w:val="clear" w:color="auto" w:fill="auto"/>
            <w:vAlign w:val="bottom"/>
          </w:tcPr>
          <w:p w14:paraId="100A5864" w14:textId="37B67FD9" w:rsidR="00834EC6" w:rsidRPr="00B20147" w:rsidRDefault="00834EC6" w:rsidP="00834EC6">
            <w:pPr>
              <w:jc w:val="right"/>
              <w:rPr>
                <w:rFonts w:ascii="Arial" w:hAnsi="Arial" w:cs="Arial"/>
                <w:sz w:val="20"/>
                <w:szCs w:val="20"/>
                <w:highlight w:val="yellow"/>
              </w:rPr>
            </w:pPr>
            <w:r>
              <w:rPr>
                <w:rFonts w:ascii="Arial" w:hAnsi="Arial" w:cs="Arial"/>
                <w:sz w:val="20"/>
                <w:szCs w:val="20"/>
              </w:rPr>
              <w:t>$6,424</w:t>
            </w:r>
          </w:p>
        </w:tc>
        <w:tc>
          <w:tcPr>
            <w:tcW w:w="1135" w:type="dxa"/>
            <w:tcBorders>
              <w:top w:val="nil"/>
              <w:left w:val="nil"/>
              <w:bottom w:val="single" w:sz="4" w:space="0" w:color="auto"/>
              <w:right w:val="single" w:sz="4" w:space="0" w:color="auto"/>
            </w:tcBorders>
            <w:shd w:val="clear" w:color="auto" w:fill="auto"/>
            <w:vAlign w:val="bottom"/>
          </w:tcPr>
          <w:p w14:paraId="77ED9EA9" w14:textId="6F537B99" w:rsidR="00834EC6" w:rsidRPr="00B20147" w:rsidRDefault="00834EC6" w:rsidP="00834EC6">
            <w:pPr>
              <w:jc w:val="right"/>
              <w:rPr>
                <w:rFonts w:ascii="Arial" w:hAnsi="Arial" w:cs="Arial"/>
                <w:sz w:val="20"/>
                <w:szCs w:val="20"/>
                <w:highlight w:val="yellow"/>
              </w:rPr>
            </w:pPr>
            <w:r>
              <w:rPr>
                <w:rFonts w:ascii="Arial" w:hAnsi="Arial" w:cs="Arial"/>
                <w:sz w:val="20"/>
                <w:szCs w:val="20"/>
              </w:rPr>
              <w:t>$6,424</w:t>
            </w:r>
          </w:p>
        </w:tc>
        <w:tc>
          <w:tcPr>
            <w:tcW w:w="1321" w:type="dxa"/>
            <w:tcBorders>
              <w:top w:val="nil"/>
              <w:left w:val="nil"/>
              <w:bottom w:val="single" w:sz="4" w:space="0" w:color="auto"/>
              <w:right w:val="single" w:sz="4" w:space="0" w:color="auto"/>
            </w:tcBorders>
            <w:shd w:val="clear" w:color="auto" w:fill="auto"/>
            <w:vAlign w:val="bottom"/>
          </w:tcPr>
          <w:p w14:paraId="71ECAB48" w14:textId="70B99FA1" w:rsidR="00834EC6" w:rsidRPr="00B20147" w:rsidRDefault="00834EC6" w:rsidP="00834EC6">
            <w:pPr>
              <w:jc w:val="right"/>
              <w:rPr>
                <w:rFonts w:ascii="Arial" w:hAnsi="Arial" w:cs="Arial"/>
                <w:sz w:val="20"/>
                <w:szCs w:val="20"/>
                <w:highlight w:val="yellow"/>
              </w:rPr>
            </w:pPr>
            <w:r>
              <w:rPr>
                <w:rFonts w:ascii="Arial" w:hAnsi="Arial" w:cs="Arial"/>
                <w:sz w:val="20"/>
                <w:szCs w:val="20"/>
              </w:rPr>
              <w:t>NA</w:t>
            </w:r>
          </w:p>
        </w:tc>
      </w:tr>
      <w:tr w:rsidR="00834EC6" w:rsidRPr="00E53C89" w14:paraId="2B7AE26B" w14:textId="77777777" w:rsidTr="006569D0">
        <w:trPr>
          <w:jc w:val="center"/>
        </w:trPr>
        <w:tc>
          <w:tcPr>
            <w:tcW w:w="3016" w:type="dxa"/>
            <w:tcBorders>
              <w:top w:val="single" w:sz="6" w:space="0" w:color="000000"/>
              <w:left w:val="single" w:sz="6" w:space="0" w:color="000000"/>
              <w:bottom w:val="single" w:sz="6" w:space="0" w:color="000000"/>
              <w:right w:val="nil"/>
            </w:tcBorders>
          </w:tcPr>
          <w:p w14:paraId="3D5639F6" w14:textId="77777777" w:rsidR="00834EC6" w:rsidRPr="000F00D6" w:rsidRDefault="00834EC6" w:rsidP="00834EC6">
            <w:pPr>
              <w:numPr>
                <w:ilvl w:val="12"/>
                <w:numId w:val="0"/>
              </w:numPr>
              <w:tabs>
                <w:tab w:val="left" w:pos="0"/>
                <w:tab w:val="left" w:pos="720"/>
                <w:tab w:val="left" w:pos="1440"/>
                <w:tab w:val="left" w:pos="2160"/>
                <w:tab w:val="left" w:pos="2880"/>
              </w:tabs>
              <w:spacing w:before="55" w:after="27"/>
              <w:rPr>
                <w:rFonts w:ascii="Arial" w:hAnsi="Arial" w:cs="Arial"/>
                <w:b/>
                <w:sz w:val="20"/>
                <w:szCs w:val="20"/>
              </w:rPr>
            </w:pPr>
            <w:r w:rsidRPr="000F00D6">
              <w:rPr>
                <w:rFonts w:ascii="Arial" w:hAnsi="Arial" w:cs="Arial"/>
                <w:b/>
                <w:bCs/>
                <w:sz w:val="20"/>
                <w:szCs w:val="20"/>
              </w:rPr>
              <w:t>Total</w:t>
            </w:r>
          </w:p>
        </w:tc>
        <w:tc>
          <w:tcPr>
            <w:tcW w:w="1224" w:type="dxa"/>
            <w:tcBorders>
              <w:top w:val="nil"/>
              <w:left w:val="single" w:sz="4" w:space="0" w:color="auto"/>
              <w:bottom w:val="single" w:sz="4" w:space="0" w:color="auto"/>
              <w:right w:val="single" w:sz="4" w:space="0" w:color="auto"/>
            </w:tcBorders>
            <w:shd w:val="clear" w:color="auto" w:fill="auto"/>
            <w:vAlign w:val="bottom"/>
          </w:tcPr>
          <w:p w14:paraId="2FFA6CBB" w14:textId="1C2DD7DB" w:rsidR="00834EC6" w:rsidRPr="00B20147" w:rsidRDefault="00834EC6" w:rsidP="00834EC6">
            <w:pPr>
              <w:jc w:val="right"/>
              <w:rPr>
                <w:rFonts w:ascii="Arial" w:hAnsi="Arial" w:cs="Arial"/>
                <w:b/>
                <w:sz w:val="20"/>
                <w:szCs w:val="20"/>
                <w:highlight w:val="yellow"/>
              </w:rPr>
            </w:pPr>
            <w:r>
              <w:rPr>
                <w:rFonts w:ascii="Arial" w:hAnsi="Arial" w:cs="Arial"/>
                <w:sz w:val="20"/>
                <w:szCs w:val="20"/>
              </w:rPr>
              <w:t>836,040</w:t>
            </w:r>
          </w:p>
        </w:tc>
        <w:tc>
          <w:tcPr>
            <w:tcW w:w="1277" w:type="dxa"/>
            <w:tcBorders>
              <w:top w:val="nil"/>
              <w:left w:val="nil"/>
              <w:bottom w:val="single" w:sz="4" w:space="0" w:color="auto"/>
              <w:right w:val="single" w:sz="4" w:space="0" w:color="auto"/>
            </w:tcBorders>
            <w:shd w:val="clear" w:color="auto" w:fill="auto"/>
            <w:vAlign w:val="bottom"/>
          </w:tcPr>
          <w:p w14:paraId="352A1E05" w14:textId="25BEA37C" w:rsidR="00834EC6" w:rsidRPr="00B20147" w:rsidRDefault="00834EC6" w:rsidP="00834EC6">
            <w:pPr>
              <w:jc w:val="right"/>
              <w:rPr>
                <w:rFonts w:ascii="Arial" w:hAnsi="Arial" w:cs="Arial"/>
                <w:b/>
                <w:sz w:val="20"/>
                <w:szCs w:val="20"/>
                <w:highlight w:val="yellow"/>
              </w:rPr>
            </w:pPr>
            <w:r>
              <w:rPr>
                <w:rFonts w:ascii="Arial" w:hAnsi="Arial" w:cs="Arial"/>
                <w:sz w:val="20"/>
                <w:szCs w:val="20"/>
              </w:rPr>
              <w:t>$0</w:t>
            </w:r>
          </w:p>
        </w:tc>
        <w:tc>
          <w:tcPr>
            <w:tcW w:w="1260" w:type="dxa"/>
            <w:tcBorders>
              <w:top w:val="nil"/>
              <w:left w:val="nil"/>
              <w:bottom w:val="single" w:sz="4" w:space="0" w:color="auto"/>
              <w:right w:val="single" w:sz="4" w:space="0" w:color="auto"/>
            </w:tcBorders>
            <w:shd w:val="clear" w:color="auto" w:fill="auto"/>
            <w:vAlign w:val="bottom"/>
          </w:tcPr>
          <w:p w14:paraId="2BCE88B9" w14:textId="1D9284FF" w:rsidR="00834EC6" w:rsidRPr="00B20147" w:rsidRDefault="00834EC6" w:rsidP="00834EC6">
            <w:pPr>
              <w:jc w:val="right"/>
              <w:rPr>
                <w:rFonts w:ascii="Arial" w:hAnsi="Arial" w:cs="Arial"/>
                <w:b/>
                <w:sz w:val="20"/>
                <w:szCs w:val="20"/>
                <w:highlight w:val="yellow"/>
              </w:rPr>
            </w:pPr>
            <w:r>
              <w:rPr>
                <w:rFonts w:ascii="Arial" w:hAnsi="Arial" w:cs="Arial"/>
                <w:sz w:val="20"/>
                <w:szCs w:val="20"/>
              </w:rPr>
              <w:t>$34,077</w:t>
            </w:r>
          </w:p>
        </w:tc>
        <w:tc>
          <w:tcPr>
            <w:tcW w:w="1135" w:type="dxa"/>
            <w:tcBorders>
              <w:top w:val="nil"/>
              <w:left w:val="nil"/>
              <w:bottom w:val="single" w:sz="4" w:space="0" w:color="auto"/>
              <w:right w:val="single" w:sz="4" w:space="0" w:color="auto"/>
            </w:tcBorders>
            <w:shd w:val="clear" w:color="auto" w:fill="auto"/>
            <w:vAlign w:val="bottom"/>
          </w:tcPr>
          <w:p w14:paraId="2D5FF20E" w14:textId="1904DFEA" w:rsidR="00834EC6" w:rsidRPr="00B20147" w:rsidRDefault="00834EC6" w:rsidP="00834EC6">
            <w:pPr>
              <w:jc w:val="right"/>
              <w:rPr>
                <w:rFonts w:ascii="Arial" w:hAnsi="Arial" w:cs="Arial"/>
                <w:b/>
                <w:sz w:val="20"/>
                <w:szCs w:val="20"/>
                <w:highlight w:val="yellow"/>
              </w:rPr>
            </w:pPr>
            <w:r>
              <w:rPr>
                <w:rFonts w:ascii="Arial" w:hAnsi="Arial" w:cs="Arial"/>
                <w:sz w:val="20"/>
                <w:szCs w:val="20"/>
              </w:rPr>
              <w:t>$34,077</w:t>
            </w:r>
          </w:p>
        </w:tc>
        <w:tc>
          <w:tcPr>
            <w:tcW w:w="1321" w:type="dxa"/>
            <w:tcBorders>
              <w:top w:val="nil"/>
              <w:left w:val="nil"/>
              <w:bottom w:val="single" w:sz="4" w:space="0" w:color="auto"/>
              <w:right w:val="single" w:sz="4" w:space="0" w:color="auto"/>
            </w:tcBorders>
            <w:shd w:val="clear" w:color="auto" w:fill="auto"/>
            <w:vAlign w:val="bottom"/>
          </w:tcPr>
          <w:p w14:paraId="54D5DC8D" w14:textId="6B0ECD1A" w:rsidR="00834EC6" w:rsidRPr="00B20147" w:rsidRDefault="00834EC6" w:rsidP="00834EC6">
            <w:pPr>
              <w:jc w:val="right"/>
              <w:rPr>
                <w:rFonts w:ascii="Arial" w:hAnsi="Arial" w:cs="Arial"/>
                <w:b/>
                <w:sz w:val="20"/>
                <w:szCs w:val="20"/>
                <w:highlight w:val="yellow"/>
              </w:rPr>
            </w:pPr>
            <w:r>
              <w:rPr>
                <w:rFonts w:ascii="Arial" w:hAnsi="Arial" w:cs="Arial"/>
                <w:sz w:val="20"/>
                <w:szCs w:val="20"/>
              </w:rPr>
              <w:t>26,783</w:t>
            </w:r>
          </w:p>
        </w:tc>
      </w:tr>
      <w:tr w:rsidR="00834EC6" w:rsidRPr="00E53C89" w14:paraId="35CD2337" w14:textId="77777777" w:rsidTr="002B6F2F">
        <w:trPr>
          <w:jc w:val="center"/>
        </w:trPr>
        <w:tc>
          <w:tcPr>
            <w:tcW w:w="9233" w:type="dxa"/>
            <w:gridSpan w:val="6"/>
            <w:tcBorders>
              <w:top w:val="single" w:sz="6" w:space="0" w:color="000000"/>
              <w:left w:val="nil"/>
              <w:bottom w:val="nil"/>
              <w:right w:val="single" w:sz="6" w:space="0" w:color="000000"/>
            </w:tcBorders>
          </w:tcPr>
          <w:p w14:paraId="244CEA81" w14:textId="77777777" w:rsidR="00834EC6" w:rsidRPr="00E53C89" w:rsidRDefault="00834EC6" w:rsidP="00834EC6">
            <w:pPr>
              <w:numPr>
                <w:ilvl w:val="12"/>
                <w:numId w:val="0"/>
              </w:numPr>
              <w:tabs>
                <w:tab w:val="left" w:pos="0"/>
                <w:tab w:val="left" w:pos="720"/>
                <w:tab w:val="left" w:pos="1440"/>
                <w:tab w:val="left" w:pos="2160"/>
                <w:tab w:val="left" w:pos="2880"/>
              </w:tabs>
              <w:spacing w:before="55" w:after="27"/>
              <w:rPr>
                <w:rFonts w:ascii="Arial" w:hAnsi="Arial" w:cs="Arial"/>
                <w:sz w:val="18"/>
                <w:szCs w:val="18"/>
              </w:rPr>
            </w:pPr>
            <w:r w:rsidRPr="00E53C89">
              <w:rPr>
                <w:rFonts w:ascii="Arial" w:hAnsi="Arial" w:cs="Arial"/>
                <w:sz w:val="18"/>
                <w:szCs w:val="18"/>
              </w:rPr>
              <w:t>NOTE:  Detail may not add due to independent rounding. Costs in thousands of dollars.</w:t>
            </w:r>
          </w:p>
        </w:tc>
      </w:tr>
    </w:tbl>
    <w:p w14:paraId="19CCD258" w14:textId="004280AA" w:rsidR="006458E0" w:rsidRPr="00E53C89" w:rsidRDefault="006458E0" w:rsidP="006458E0">
      <w:pPr>
        <w:pStyle w:val="Heading3"/>
        <w:tabs>
          <w:tab w:val="left" w:pos="1080"/>
        </w:tabs>
      </w:pPr>
      <w:bookmarkStart w:id="44" w:name="_Toc166405828"/>
      <w:bookmarkStart w:id="45" w:name="_Toc437867218"/>
      <w:r>
        <w:t>A</w:t>
      </w:r>
      <w:r w:rsidR="00B12B0D">
        <w:t>.2.3</w:t>
      </w:r>
      <w:r w:rsidRPr="00E53C89">
        <w:t>.</w:t>
      </w:r>
      <w:r w:rsidRPr="00E53C89">
        <w:tab/>
        <w:t>Cost to Industrial Users</w:t>
      </w:r>
      <w:bookmarkEnd w:id="44"/>
      <w:bookmarkEnd w:id="45"/>
    </w:p>
    <w:p w14:paraId="61AE39E1" w14:textId="31DF4805" w:rsidR="006458E0" w:rsidRPr="00E53C89" w:rsidRDefault="00953D0B" w:rsidP="006458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Table A.3</w:t>
      </w:r>
      <w:r w:rsidR="006458E0" w:rsidRPr="00E53C89">
        <w:t xml:space="preserve"> shows the total costs for IUs over the 3-year ICR period. Annual costs are approximately </w:t>
      </w:r>
      <w:r w:rsidR="006458E0" w:rsidRPr="008D03D0">
        <w:t>$4</w:t>
      </w:r>
      <w:r w:rsidR="00397B15" w:rsidRPr="008D03D0">
        <w:t>4</w:t>
      </w:r>
      <w:r w:rsidR="006458E0" w:rsidRPr="00E53C89">
        <w:t xml:space="preserve"> million, comprised of labor and capital and O&amp;M cost.</w:t>
      </w:r>
      <w:r w:rsidR="00350CE5">
        <w:t xml:space="preserve"> Table C.4 in Appendix C presents the detailed calculations.</w:t>
      </w:r>
    </w:p>
    <w:p w14:paraId="73EF6A9D" w14:textId="77777777" w:rsidR="006458E0" w:rsidRPr="00E53C89" w:rsidRDefault="006458E0" w:rsidP="006458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177B3208" w14:textId="6F95F288" w:rsidR="004D1BC8" w:rsidRDefault="006458E0" w:rsidP="00B20147">
      <w:pPr>
        <w:rPr>
          <w:i/>
        </w:rPr>
      </w:pPr>
      <w:r w:rsidRPr="00E53C89">
        <w:t xml:space="preserve">Labor costs are based on the number of burden hours times the average hourly wage rate, including overhead. For all IU activities, EPA used </w:t>
      </w:r>
      <w:r w:rsidR="004D1BC8" w:rsidRPr="005A1A1F">
        <w:t xml:space="preserve">the </w:t>
      </w:r>
      <w:r w:rsidR="004D1BC8">
        <w:t>hourly rate of $53.56 based on the rate for U</w:t>
      </w:r>
      <w:r w:rsidR="004D1BC8" w:rsidRPr="005A1A1F">
        <w:t>.S. Department of Labor, Bureau of Labor Statistics, Total Compensation for Management, professional, and related</w:t>
      </w:r>
      <w:r w:rsidR="004D1BC8">
        <w:t xml:space="preserve"> category from</w:t>
      </w:r>
      <w:r w:rsidR="004D1BC8" w:rsidRPr="005A1A1F">
        <w:t xml:space="preserve"> </w:t>
      </w:r>
      <w:r w:rsidR="004D1BC8" w:rsidRPr="005A1A1F">
        <w:rPr>
          <w:i/>
        </w:rPr>
        <w:t xml:space="preserve">Employer Costs for Employee Compensation, Table 5- Employer costs per hour worked for employee compensation and costs as a percent of total </w:t>
      </w:r>
      <w:r w:rsidR="004D1BC8" w:rsidRPr="005A1A1F">
        <w:rPr>
          <w:i/>
        </w:rPr>
        <w:lastRenderedPageBreak/>
        <w:t xml:space="preserve">compensation: Private industry, by major occupational group and bargaining status, </w:t>
      </w:r>
      <w:r w:rsidR="004D1BC8">
        <w:rPr>
          <w:i/>
        </w:rPr>
        <w:t>September</w:t>
      </w:r>
      <w:r w:rsidR="004D1BC8" w:rsidRPr="005A1A1F">
        <w:rPr>
          <w:i/>
        </w:rPr>
        <w:t xml:space="preserve"> 201</w:t>
      </w:r>
      <w:r w:rsidR="004D1BC8">
        <w:rPr>
          <w:i/>
        </w:rPr>
        <w:t>4</w:t>
      </w:r>
      <w:r w:rsidR="004D1BC8" w:rsidRPr="005A1A1F">
        <w:rPr>
          <w:i/>
        </w:rPr>
        <w:t>.</w:t>
      </w:r>
    </w:p>
    <w:p w14:paraId="03EE457C" w14:textId="77777777" w:rsidR="00350CE5" w:rsidRPr="005A1A1F" w:rsidRDefault="00350CE5" w:rsidP="00B20147"/>
    <w:p w14:paraId="42DA0F3B" w14:textId="2D72FD8F" w:rsidR="006458E0" w:rsidRPr="00E53C89" w:rsidRDefault="00F254CD" w:rsidP="006458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C</w:t>
      </w:r>
      <w:r w:rsidR="006458E0" w:rsidRPr="00E53C89">
        <w:t xml:space="preserve">apital </w:t>
      </w:r>
      <w:r>
        <w:t xml:space="preserve">and O&amp;M </w:t>
      </w:r>
      <w:r w:rsidR="006458E0" w:rsidRPr="00E53C89">
        <w:t xml:space="preserve">costs </w:t>
      </w:r>
      <w:r>
        <w:t xml:space="preserve">are </w:t>
      </w:r>
      <w:r w:rsidR="006458E0" w:rsidRPr="00E53C89">
        <w:t>incurred by IUs that receive mass limits as an alternative to concentration based standards.</w:t>
      </w:r>
    </w:p>
    <w:p w14:paraId="42873090" w14:textId="77777777" w:rsidR="006458E0" w:rsidRPr="00E53C89" w:rsidRDefault="006458E0" w:rsidP="006458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66BE6F33" w14:textId="13390FCE" w:rsidR="007D69E5" w:rsidRDefault="007D69E5" w:rsidP="000959D8">
      <w:pPr>
        <w:pStyle w:val="Caption"/>
        <w:keepNext/>
      </w:pPr>
      <w:r>
        <w:t xml:space="preserve">Table </w:t>
      </w:r>
      <w:r w:rsidRPr="007D69E5">
        <w:t>A.3. Average Annual Industrial User Burden and Costs</w:t>
      </w:r>
    </w:p>
    <w:tbl>
      <w:tblPr>
        <w:tblW w:w="0" w:type="auto"/>
        <w:jc w:val="center"/>
        <w:tblLayout w:type="fixed"/>
        <w:tblCellMar>
          <w:left w:w="69" w:type="dxa"/>
          <w:right w:w="69" w:type="dxa"/>
        </w:tblCellMar>
        <w:tblLook w:val="0000" w:firstRow="0" w:lastRow="0" w:firstColumn="0" w:lastColumn="0" w:noHBand="0" w:noVBand="0"/>
      </w:tblPr>
      <w:tblGrid>
        <w:gridCol w:w="3016"/>
        <w:gridCol w:w="1224"/>
        <w:gridCol w:w="1277"/>
        <w:gridCol w:w="1201"/>
        <w:gridCol w:w="1194"/>
        <w:gridCol w:w="1321"/>
      </w:tblGrid>
      <w:tr w:rsidR="006458E0" w:rsidRPr="00E53C89" w14:paraId="7227A36A" w14:textId="77777777" w:rsidTr="002B6F2F">
        <w:trPr>
          <w:jc w:val="center"/>
        </w:trPr>
        <w:tc>
          <w:tcPr>
            <w:tcW w:w="3016" w:type="dxa"/>
            <w:vMerge w:val="restart"/>
            <w:tcBorders>
              <w:top w:val="single" w:sz="6" w:space="0" w:color="000000"/>
              <w:left w:val="single" w:sz="6" w:space="0" w:color="000000"/>
              <w:bottom w:val="single" w:sz="6" w:space="0" w:color="000000"/>
              <w:right w:val="nil"/>
            </w:tcBorders>
            <w:shd w:val="clear" w:color="auto" w:fill="D9D9D9"/>
          </w:tcPr>
          <w:p w14:paraId="6B0D8BE7" w14:textId="77777777" w:rsidR="006458E0" w:rsidRPr="00E53C89" w:rsidRDefault="006458E0" w:rsidP="002B6F2F">
            <w:pPr>
              <w:numPr>
                <w:ilvl w:val="12"/>
                <w:numId w:val="0"/>
              </w:numPr>
              <w:tabs>
                <w:tab w:val="left" w:pos="0"/>
                <w:tab w:val="left" w:pos="720"/>
                <w:tab w:val="left" w:pos="1440"/>
                <w:tab w:val="left" w:pos="2160"/>
                <w:tab w:val="left" w:pos="2880"/>
              </w:tabs>
              <w:spacing w:before="55" w:after="27"/>
              <w:jc w:val="center"/>
              <w:rPr>
                <w:rFonts w:ascii="Arial" w:hAnsi="Arial" w:cs="Arial"/>
                <w:sz w:val="20"/>
                <w:szCs w:val="20"/>
              </w:rPr>
            </w:pPr>
            <w:r w:rsidRPr="00E53C89">
              <w:rPr>
                <w:rFonts w:ascii="Arial" w:hAnsi="Arial" w:cs="Arial"/>
                <w:b/>
                <w:bCs/>
                <w:sz w:val="20"/>
                <w:szCs w:val="20"/>
              </w:rPr>
              <w:t>Activity</w:t>
            </w:r>
          </w:p>
        </w:tc>
        <w:tc>
          <w:tcPr>
            <w:tcW w:w="1224" w:type="dxa"/>
            <w:vMerge w:val="restart"/>
            <w:tcBorders>
              <w:top w:val="single" w:sz="6" w:space="0" w:color="000000"/>
              <w:left w:val="single" w:sz="2" w:space="0" w:color="000000"/>
              <w:bottom w:val="single" w:sz="6" w:space="0" w:color="000000"/>
              <w:right w:val="nil"/>
            </w:tcBorders>
            <w:shd w:val="clear" w:color="auto" w:fill="D9D9D9"/>
          </w:tcPr>
          <w:p w14:paraId="01BD023A" w14:textId="77777777" w:rsidR="006458E0" w:rsidRPr="00E53C89" w:rsidRDefault="006458E0" w:rsidP="002B6F2F">
            <w:pPr>
              <w:numPr>
                <w:ilvl w:val="12"/>
                <w:numId w:val="0"/>
              </w:numPr>
              <w:tabs>
                <w:tab w:val="left" w:pos="0"/>
                <w:tab w:val="left" w:pos="720"/>
              </w:tabs>
              <w:spacing w:before="55" w:after="27"/>
              <w:jc w:val="center"/>
              <w:rPr>
                <w:rFonts w:ascii="Arial" w:hAnsi="Arial" w:cs="Arial"/>
                <w:sz w:val="20"/>
                <w:szCs w:val="20"/>
              </w:rPr>
            </w:pPr>
            <w:r w:rsidRPr="00E53C89">
              <w:rPr>
                <w:rFonts w:ascii="Arial" w:hAnsi="Arial" w:cs="Arial"/>
                <w:b/>
                <w:bCs/>
                <w:sz w:val="20"/>
                <w:szCs w:val="20"/>
              </w:rPr>
              <w:t>Annual Burden Hours</w:t>
            </w:r>
          </w:p>
        </w:tc>
        <w:tc>
          <w:tcPr>
            <w:tcW w:w="3672" w:type="dxa"/>
            <w:gridSpan w:val="3"/>
            <w:tcBorders>
              <w:top w:val="single" w:sz="6" w:space="0" w:color="000000"/>
              <w:left w:val="single" w:sz="2" w:space="0" w:color="000000"/>
              <w:bottom w:val="nil"/>
              <w:right w:val="nil"/>
            </w:tcBorders>
            <w:shd w:val="clear" w:color="auto" w:fill="D9D9D9"/>
          </w:tcPr>
          <w:p w14:paraId="4B0B0E5C" w14:textId="77777777" w:rsidR="006458E0" w:rsidRPr="00E53C89" w:rsidRDefault="006458E0" w:rsidP="002B6F2F">
            <w:pPr>
              <w:numPr>
                <w:ilvl w:val="12"/>
                <w:numId w:val="0"/>
              </w:numPr>
              <w:tabs>
                <w:tab w:val="left" w:pos="0"/>
                <w:tab w:val="left" w:pos="720"/>
              </w:tabs>
              <w:spacing w:before="55" w:after="27"/>
              <w:jc w:val="center"/>
              <w:rPr>
                <w:rFonts w:ascii="Arial" w:hAnsi="Arial" w:cs="Arial"/>
                <w:sz w:val="20"/>
                <w:szCs w:val="20"/>
              </w:rPr>
            </w:pPr>
            <w:r w:rsidRPr="00E53C89">
              <w:rPr>
                <w:rFonts w:ascii="Arial" w:hAnsi="Arial" w:cs="Arial"/>
                <w:b/>
                <w:bCs/>
                <w:sz w:val="20"/>
                <w:szCs w:val="20"/>
              </w:rPr>
              <w:t>Annual Cost ($k)</w:t>
            </w:r>
          </w:p>
        </w:tc>
        <w:tc>
          <w:tcPr>
            <w:tcW w:w="1321" w:type="dxa"/>
            <w:vMerge w:val="restart"/>
            <w:tcBorders>
              <w:top w:val="single" w:sz="6" w:space="0" w:color="000000"/>
              <w:left w:val="single" w:sz="2" w:space="0" w:color="000000"/>
              <w:bottom w:val="single" w:sz="6" w:space="0" w:color="000000"/>
              <w:right w:val="single" w:sz="6" w:space="0" w:color="000000"/>
            </w:tcBorders>
            <w:shd w:val="clear" w:color="auto" w:fill="D9D9D9"/>
          </w:tcPr>
          <w:p w14:paraId="0232CE79" w14:textId="77777777" w:rsidR="006458E0" w:rsidRPr="00E53C89" w:rsidRDefault="006458E0" w:rsidP="002B6F2F">
            <w:pPr>
              <w:numPr>
                <w:ilvl w:val="12"/>
                <w:numId w:val="0"/>
              </w:numPr>
              <w:tabs>
                <w:tab w:val="left" w:pos="0"/>
                <w:tab w:val="left" w:pos="720"/>
              </w:tabs>
              <w:spacing w:before="55" w:after="27"/>
              <w:jc w:val="center"/>
              <w:rPr>
                <w:rFonts w:ascii="Arial" w:hAnsi="Arial" w:cs="Arial"/>
                <w:sz w:val="20"/>
                <w:szCs w:val="20"/>
              </w:rPr>
            </w:pPr>
            <w:r w:rsidRPr="00E53C89">
              <w:rPr>
                <w:rFonts w:ascii="Arial" w:hAnsi="Arial" w:cs="Arial"/>
                <w:b/>
                <w:bCs/>
                <w:sz w:val="20"/>
                <w:szCs w:val="20"/>
              </w:rPr>
              <w:t>Responses</w:t>
            </w:r>
          </w:p>
        </w:tc>
      </w:tr>
      <w:tr w:rsidR="006458E0" w:rsidRPr="00E53C89" w14:paraId="6D4E4B63" w14:textId="77777777" w:rsidTr="002B6F2F">
        <w:trPr>
          <w:jc w:val="center"/>
        </w:trPr>
        <w:tc>
          <w:tcPr>
            <w:tcW w:w="3016" w:type="dxa"/>
            <w:vMerge/>
            <w:tcBorders>
              <w:top w:val="single" w:sz="6" w:space="0" w:color="000000"/>
              <w:left w:val="single" w:sz="6" w:space="0" w:color="000000"/>
              <w:bottom w:val="single" w:sz="6" w:space="0" w:color="000000"/>
              <w:right w:val="nil"/>
            </w:tcBorders>
            <w:shd w:val="clear" w:color="auto" w:fill="D9D9D9"/>
          </w:tcPr>
          <w:p w14:paraId="75B500D5" w14:textId="77777777" w:rsidR="006458E0" w:rsidRPr="00E53C89" w:rsidRDefault="006458E0" w:rsidP="002B6F2F">
            <w:pPr>
              <w:numPr>
                <w:ilvl w:val="12"/>
                <w:numId w:val="0"/>
              </w:numPr>
              <w:tabs>
                <w:tab w:val="left" w:pos="0"/>
                <w:tab w:val="left" w:pos="720"/>
                <w:tab w:val="left" w:pos="1440"/>
                <w:tab w:val="left" w:pos="2160"/>
                <w:tab w:val="left" w:pos="2880"/>
              </w:tabs>
              <w:spacing w:before="55" w:after="27"/>
              <w:jc w:val="center"/>
              <w:rPr>
                <w:rFonts w:ascii="Arial" w:hAnsi="Arial" w:cs="Arial"/>
                <w:sz w:val="20"/>
                <w:szCs w:val="20"/>
              </w:rPr>
            </w:pPr>
          </w:p>
        </w:tc>
        <w:tc>
          <w:tcPr>
            <w:tcW w:w="1224" w:type="dxa"/>
            <w:vMerge/>
            <w:tcBorders>
              <w:top w:val="single" w:sz="6" w:space="0" w:color="000000"/>
              <w:left w:val="single" w:sz="2" w:space="0" w:color="000000"/>
              <w:bottom w:val="single" w:sz="6" w:space="0" w:color="000000"/>
              <w:right w:val="nil"/>
            </w:tcBorders>
            <w:shd w:val="clear" w:color="auto" w:fill="D9D9D9"/>
          </w:tcPr>
          <w:p w14:paraId="3BEDEEBB" w14:textId="77777777" w:rsidR="006458E0" w:rsidRPr="00E53C89" w:rsidRDefault="006458E0" w:rsidP="002B6F2F">
            <w:pPr>
              <w:numPr>
                <w:ilvl w:val="12"/>
                <w:numId w:val="0"/>
              </w:numPr>
              <w:tabs>
                <w:tab w:val="left" w:pos="0"/>
                <w:tab w:val="left" w:pos="720"/>
              </w:tabs>
              <w:spacing w:before="55" w:after="27"/>
              <w:jc w:val="center"/>
              <w:rPr>
                <w:rFonts w:ascii="Arial" w:hAnsi="Arial" w:cs="Arial"/>
                <w:sz w:val="20"/>
                <w:szCs w:val="20"/>
              </w:rPr>
            </w:pPr>
          </w:p>
        </w:tc>
        <w:tc>
          <w:tcPr>
            <w:tcW w:w="1277" w:type="dxa"/>
            <w:tcBorders>
              <w:top w:val="single" w:sz="2" w:space="0" w:color="000000"/>
              <w:left w:val="single" w:sz="2" w:space="0" w:color="000000"/>
              <w:bottom w:val="single" w:sz="6" w:space="0" w:color="000000"/>
              <w:right w:val="nil"/>
            </w:tcBorders>
            <w:shd w:val="clear" w:color="auto" w:fill="D9D9D9"/>
          </w:tcPr>
          <w:p w14:paraId="31EC3F72" w14:textId="77777777" w:rsidR="006458E0" w:rsidRPr="00E53C89" w:rsidRDefault="006458E0" w:rsidP="002B6F2F">
            <w:pPr>
              <w:numPr>
                <w:ilvl w:val="12"/>
                <w:numId w:val="0"/>
              </w:numPr>
              <w:tabs>
                <w:tab w:val="left" w:pos="0"/>
                <w:tab w:val="left" w:pos="720"/>
              </w:tabs>
              <w:spacing w:before="55" w:after="27"/>
              <w:jc w:val="center"/>
              <w:rPr>
                <w:rFonts w:ascii="Arial" w:hAnsi="Arial" w:cs="Arial"/>
                <w:sz w:val="20"/>
                <w:szCs w:val="20"/>
              </w:rPr>
            </w:pPr>
            <w:r w:rsidRPr="00E53C89">
              <w:rPr>
                <w:rFonts w:ascii="Arial" w:hAnsi="Arial" w:cs="Arial"/>
                <w:b/>
                <w:bCs/>
                <w:sz w:val="20"/>
                <w:szCs w:val="20"/>
              </w:rPr>
              <w:t>Capital and O&amp;M Cost</w:t>
            </w:r>
          </w:p>
        </w:tc>
        <w:tc>
          <w:tcPr>
            <w:tcW w:w="1201" w:type="dxa"/>
            <w:tcBorders>
              <w:top w:val="single" w:sz="2" w:space="0" w:color="000000"/>
              <w:left w:val="single" w:sz="2" w:space="0" w:color="000000"/>
              <w:bottom w:val="single" w:sz="6" w:space="0" w:color="000000"/>
              <w:right w:val="nil"/>
            </w:tcBorders>
            <w:shd w:val="clear" w:color="auto" w:fill="D9D9D9"/>
          </w:tcPr>
          <w:p w14:paraId="4F4AC524" w14:textId="77777777" w:rsidR="006458E0" w:rsidRPr="00E53C89" w:rsidRDefault="006458E0" w:rsidP="002B6F2F">
            <w:pPr>
              <w:numPr>
                <w:ilvl w:val="12"/>
                <w:numId w:val="0"/>
              </w:numPr>
              <w:tabs>
                <w:tab w:val="left" w:pos="0"/>
                <w:tab w:val="left" w:pos="720"/>
              </w:tabs>
              <w:spacing w:before="55" w:after="27"/>
              <w:rPr>
                <w:rFonts w:ascii="Arial" w:hAnsi="Arial" w:cs="Arial"/>
                <w:sz w:val="20"/>
                <w:szCs w:val="20"/>
              </w:rPr>
            </w:pPr>
            <w:r w:rsidRPr="00E53C89">
              <w:rPr>
                <w:rFonts w:ascii="Arial" w:hAnsi="Arial" w:cs="Arial"/>
                <w:b/>
                <w:bCs/>
                <w:sz w:val="20"/>
                <w:szCs w:val="20"/>
              </w:rPr>
              <w:t>Labor Cost</w:t>
            </w:r>
          </w:p>
        </w:tc>
        <w:tc>
          <w:tcPr>
            <w:tcW w:w="1194" w:type="dxa"/>
            <w:tcBorders>
              <w:top w:val="single" w:sz="2" w:space="0" w:color="000000"/>
              <w:left w:val="single" w:sz="2" w:space="0" w:color="000000"/>
              <w:bottom w:val="single" w:sz="6" w:space="0" w:color="000000"/>
              <w:right w:val="nil"/>
            </w:tcBorders>
            <w:shd w:val="clear" w:color="auto" w:fill="D9D9D9"/>
          </w:tcPr>
          <w:p w14:paraId="0279CFEC" w14:textId="77777777" w:rsidR="006458E0" w:rsidRPr="00E53C89" w:rsidRDefault="006458E0" w:rsidP="002B6F2F">
            <w:pPr>
              <w:numPr>
                <w:ilvl w:val="12"/>
                <w:numId w:val="0"/>
              </w:numPr>
              <w:tabs>
                <w:tab w:val="left" w:pos="0"/>
                <w:tab w:val="left" w:pos="720"/>
              </w:tabs>
              <w:spacing w:before="55" w:after="27"/>
              <w:rPr>
                <w:rFonts w:ascii="Arial" w:hAnsi="Arial" w:cs="Arial"/>
                <w:sz w:val="20"/>
                <w:szCs w:val="20"/>
              </w:rPr>
            </w:pPr>
            <w:r w:rsidRPr="00E53C89">
              <w:rPr>
                <w:rFonts w:ascii="Arial" w:hAnsi="Arial" w:cs="Arial"/>
                <w:b/>
                <w:bCs/>
                <w:sz w:val="20"/>
                <w:szCs w:val="20"/>
              </w:rPr>
              <w:t>Total Cost</w:t>
            </w:r>
          </w:p>
        </w:tc>
        <w:tc>
          <w:tcPr>
            <w:tcW w:w="1321" w:type="dxa"/>
            <w:vMerge/>
            <w:tcBorders>
              <w:top w:val="single" w:sz="6" w:space="0" w:color="000000"/>
              <w:left w:val="single" w:sz="2" w:space="0" w:color="000000"/>
              <w:bottom w:val="single" w:sz="6" w:space="0" w:color="000000"/>
              <w:right w:val="single" w:sz="6" w:space="0" w:color="000000"/>
            </w:tcBorders>
            <w:shd w:val="clear" w:color="auto" w:fill="D9D9D9"/>
          </w:tcPr>
          <w:p w14:paraId="162A3C0C" w14:textId="77777777" w:rsidR="006458E0" w:rsidRPr="00E53C89" w:rsidRDefault="006458E0" w:rsidP="002B6F2F">
            <w:pPr>
              <w:numPr>
                <w:ilvl w:val="12"/>
                <w:numId w:val="0"/>
              </w:numPr>
              <w:tabs>
                <w:tab w:val="left" w:pos="0"/>
                <w:tab w:val="left" w:pos="720"/>
              </w:tabs>
              <w:spacing w:before="55" w:after="27"/>
              <w:rPr>
                <w:rFonts w:ascii="Arial" w:hAnsi="Arial" w:cs="Arial"/>
                <w:sz w:val="20"/>
                <w:szCs w:val="20"/>
              </w:rPr>
            </w:pPr>
          </w:p>
        </w:tc>
      </w:tr>
      <w:tr w:rsidR="0045773D" w:rsidRPr="00E53C89" w14:paraId="524EEC1D" w14:textId="77777777" w:rsidTr="00157842">
        <w:trPr>
          <w:jc w:val="center"/>
        </w:trPr>
        <w:tc>
          <w:tcPr>
            <w:tcW w:w="3016" w:type="dxa"/>
            <w:tcBorders>
              <w:top w:val="single" w:sz="6" w:space="0" w:color="000000"/>
              <w:left w:val="single" w:sz="6" w:space="0" w:color="000000"/>
              <w:bottom w:val="nil"/>
              <w:right w:val="nil"/>
            </w:tcBorders>
          </w:tcPr>
          <w:p w14:paraId="6FAEFA31" w14:textId="77777777" w:rsidR="0045773D" w:rsidRPr="00E53C89" w:rsidRDefault="0045773D" w:rsidP="0045773D">
            <w:pPr>
              <w:numPr>
                <w:ilvl w:val="12"/>
                <w:numId w:val="0"/>
              </w:numPr>
              <w:tabs>
                <w:tab w:val="left" w:pos="0"/>
                <w:tab w:val="left" w:pos="720"/>
                <w:tab w:val="left" w:pos="1440"/>
                <w:tab w:val="left" w:pos="2160"/>
                <w:tab w:val="left" w:pos="2880"/>
              </w:tabs>
              <w:spacing w:before="55" w:after="27"/>
              <w:rPr>
                <w:rFonts w:ascii="Arial" w:hAnsi="Arial" w:cs="Arial"/>
                <w:sz w:val="20"/>
                <w:szCs w:val="20"/>
              </w:rPr>
            </w:pPr>
            <w:r w:rsidRPr="00E53C89">
              <w:rPr>
                <w:rFonts w:ascii="Arial" w:hAnsi="Arial" w:cs="Arial"/>
                <w:sz w:val="20"/>
                <w:szCs w:val="20"/>
              </w:rPr>
              <w:t>Program development</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bottom"/>
          </w:tcPr>
          <w:p w14:paraId="26C112ED" w14:textId="5DDABF1B" w:rsidR="0045773D" w:rsidRPr="000F7475" w:rsidRDefault="0045773D" w:rsidP="0045773D">
            <w:pPr>
              <w:jc w:val="right"/>
              <w:rPr>
                <w:rFonts w:ascii="Arial" w:hAnsi="Arial" w:cs="Arial"/>
                <w:sz w:val="20"/>
                <w:szCs w:val="20"/>
                <w:highlight w:val="yellow"/>
              </w:rPr>
            </w:pPr>
            <w:r>
              <w:rPr>
                <w:rFonts w:ascii="Arial" w:hAnsi="Arial" w:cs="Arial"/>
                <w:sz w:val="20"/>
                <w:szCs w:val="20"/>
              </w:rPr>
              <w:t>0</w:t>
            </w:r>
          </w:p>
        </w:tc>
        <w:tc>
          <w:tcPr>
            <w:tcW w:w="1277" w:type="dxa"/>
            <w:tcBorders>
              <w:top w:val="single" w:sz="4" w:space="0" w:color="auto"/>
              <w:left w:val="nil"/>
              <w:bottom w:val="single" w:sz="4" w:space="0" w:color="auto"/>
              <w:right w:val="single" w:sz="4" w:space="0" w:color="auto"/>
            </w:tcBorders>
            <w:shd w:val="clear" w:color="auto" w:fill="auto"/>
            <w:vAlign w:val="bottom"/>
          </w:tcPr>
          <w:p w14:paraId="57FFE1F1" w14:textId="2BE2601A" w:rsidR="0045773D" w:rsidRPr="000F7475" w:rsidRDefault="0045773D" w:rsidP="0045773D">
            <w:pPr>
              <w:jc w:val="right"/>
              <w:rPr>
                <w:rFonts w:ascii="Arial" w:hAnsi="Arial" w:cs="Arial"/>
                <w:sz w:val="20"/>
                <w:szCs w:val="20"/>
                <w:highlight w:val="yellow"/>
              </w:rPr>
            </w:pPr>
            <w:r>
              <w:rPr>
                <w:rFonts w:ascii="Arial" w:hAnsi="Arial" w:cs="Arial"/>
                <w:sz w:val="20"/>
                <w:szCs w:val="20"/>
              </w:rPr>
              <w:t>$0</w:t>
            </w:r>
          </w:p>
        </w:tc>
        <w:tc>
          <w:tcPr>
            <w:tcW w:w="1201" w:type="dxa"/>
            <w:tcBorders>
              <w:top w:val="single" w:sz="4" w:space="0" w:color="auto"/>
              <w:left w:val="nil"/>
              <w:bottom w:val="single" w:sz="4" w:space="0" w:color="auto"/>
              <w:right w:val="single" w:sz="4" w:space="0" w:color="auto"/>
            </w:tcBorders>
            <w:shd w:val="clear" w:color="auto" w:fill="auto"/>
            <w:vAlign w:val="bottom"/>
          </w:tcPr>
          <w:p w14:paraId="0E8BBE35" w14:textId="268D9180" w:rsidR="0045773D" w:rsidRPr="000F7475" w:rsidRDefault="0045773D" w:rsidP="0045773D">
            <w:pPr>
              <w:jc w:val="right"/>
              <w:rPr>
                <w:rFonts w:ascii="Arial" w:hAnsi="Arial" w:cs="Arial"/>
                <w:sz w:val="20"/>
                <w:szCs w:val="20"/>
                <w:highlight w:val="yellow"/>
              </w:rPr>
            </w:pPr>
            <w:r>
              <w:rPr>
                <w:rFonts w:ascii="Arial" w:hAnsi="Arial" w:cs="Arial"/>
                <w:sz w:val="20"/>
                <w:szCs w:val="20"/>
              </w:rPr>
              <w:t>$0</w:t>
            </w:r>
          </w:p>
        </w:tc>
        <w:tc>
          <w:tcPr>
            <w:tcW w:w="1194" w:type="dxa"/>
            <w:tcBorders>
              <w:top w:val="single" w:sz="4" w:space="0" w:color="auto"/>
              <w:left w:val="nil"/>
              <w:bottom w:val="single" w:sz="4" w:space="0" w:color="auto"/>
              <w:right w:val="single" w:sz="4" w:space="0" w:color="auto"/>
            </w:tcBorders>
            <w:shd w:val="clear" w:color="auto" w:fill="auto"/>
            <w:vAlign w:val="bottom"/>
          </w:tcPr>
          <w:p w14:paraId="220CC10F" w14:textId="20139CFD" w:rsidR="0045773D" w:rsidRPr="000F7475" w:rsidRDefault="0045773D" w:rsidP="0045773D">
            <w:pPr>
              <w:jc w:val="right"/>
              <w:rPr>
                <w:rFonts w:ascii="Arial" w:hAnsi="Arial" w:cs="Arial"/>
                <w:sz w:val="20"/>
                <w:szCs w:val="20"/>
                <w:highlight w:val="yellow"/>
              </w:rPr>
            </w:pPr>
            <w:r>
              <w:rPr>
                <w:rFonts w:ascii="Arial" w:hAnsi="Arial" w:cs="Arial"/>
                <w:sz w:val="20"/>
                <w:szCs w:val="20"/>
              </w:rPr>
              <w:t>$0</w:t>
            </w:r>
          </w:p>
        </w:tc>
        <w:tc>
          <w:tcPr>
            <w:tcW w:w="1321" w:type="dxa"/>
            <w:tcBorders>
              <w:top w:val="single" w:sz="4" w:space="0" w:color="auto"/>
              <w:left w:val="nil"/>
              <w:bottom w:val="single" w:sz="4" w:space="0" w:color="auto"/>
              <w:right w:val="single" w:sz="4" w:space="0" w:color="auto"/>
            </w:tcBorders>
            <w:shd w:val="clear" w:color="auto" w:fill="auto"/>
            <w:vAlign w:val="bottom"/>
          </w:tcPr>
          <w:p w14:paraId="5E573311" w14:textId="2B7A664F" w:rsidR="0045773D" w:rsidRPr="000F7475" w:rsidRDefault="0045773D" w:rsidP="0045773D">
            <w:pPr>
              <w:rPr>
                <w:rFonts w:ascii="Arial" w:hAnsi="Arial" w:cs="Arial"/>
                <w:sz w:val="20"/>
                <w:szCs w:val="20"/>
                <w:highlight w:val="yellow"/>
              </w:rPr>
            </w:pPr>
            <w:r>
              <w:rPr>
                <w:rFonts w:ascii="Arial" w:hAnsi="Arial" w:cs="Arial"/>
                <w:sz w:val="20"/>
                <w:szCs w:val="20"/>
              </w:rPr>
              <w:t>0</w:t>
            </w:r>
          </w:p>
        </w:tc>
      </w:tr>
      <w:tr w:rsidR="0045773D" w:rsidRPr="00E53C89" w14:paraId="0518298D" w14:textId="77777777" w:rsidTr="00157842">
        <w:trPr>
          <w:jc w:val="center"/>
        </w:trPr>
        <w:tc>
          <w:tcPr>
            <w:tcW w:w="3016" w:type="dxa"/>
            <w:tcBorders>
              <w:top w:val="single" w:sz="2" w:space="0" w:color="000000"/>
              <w:left w:val="single" w:sz="6" w:space="0" w:color="000000"/>
              <w:bottom w:val="nil"/>
              <w:right w:val="nil"/>
            </w:tcBorders>
          </w:tcPr>
          <w:p w14:paraId="38C505AD" w14:textId="77777777" w:rsidR="0045773D" w:rsidRPr="00E53C89" w:rsidRDefault="0045773D" w:rsidP="0045773D">
            <w:pPr>
              <w:numPr>
                <w:ilvl w:val="12"/>
                <w:numId w:val="0"/>
              </w:numPr>
              <w:tabs>
                <w:tab w:val="left" w:pos="0"/>
                <w:tab w:val="left" w:pos="720"/>
                <w:tab w:val="left" w:pos="1440"/>
                <w:tab w:val="left" w:pos="2160"/>
                <w:tab w:val="left" w:pos="2880"/>
              </w:tabs>
              <w:spacing w:before="55" w:after="27"/>
              <w:rPr>
                <w:rFonts w:ascii="Arial" w:hAnsi="Arial" w:cs="Arial"/>
                <w:sz w:val="20"/>
                <w:szCs w:val="20"/>
              </w:rPr>
            </w:pPr>
            <w:r w:rsidRPr="00E53C89">
              <w:rPr>
                <w:rFonts w:ascii="Arial" w:hAnsi="Arial" w:cs="Arial"/>
                <w:sz w:val="20"/>
                <w:szCs w:val="20"/>
              </w:rPr>
              <w:t>Program implementation</w:t>
            </w:r>
          </w:p>
        </w:tc>
        <w:tc>
          <w:tcPr>
            <w:tcW w:w="1224" w:type="dxa"/>
            <w:tcBorders>
              <w:top w:val="nil"/>
              <w:left w:val="single" w:sz="4" w:space="0" w:color="auto"/>
              <w:bottom w:val="single" w:sz="4" w:space="0" w:color="auto"/>
              <w:right w:val="single" w:sz="4" w:space="0" w:color="auto"/>
            </w:tcBorders>
            <w:shd w:val="clear" w:color="auto" w:fill="auto"/>
            <w:vAlign w:val="bottom"/>
          </w:tcPr>
          <w:p w14:paraId="7977A253" w14:textId="370EEC67" w:rsidR="0045773D" w:rsidRPr="000F7475" w:rsidRDefault="0045773D" w:rsidP="004F5388">
            <w:pPr>
              <w:jc w:val="right"/>
              <w:rPr>
                <w:rFonts w:ascii="Arial" w:hAnsi="Arial" w:cs="Arial"/>
                <w:sz w:val="20"/>
                <w:szCs w:val="20"/>
                <w:highlight w:val="yellow"/>
              </w:rPr>
            </w:pPr>
            <w:r>
              <w:rPr>
                <w:rFonts w:ascii="Arial" w:hAnsi="Arial" w:cs="Arial"/>
                <w:sz w:val="20"/>
                <w:szCs w:val="20"/>
              </w:rPr>
              <w:t>735,17</w:t>
            </w:r>
            <w:r w:rsidR="004F5388">
              <w:rPr>
                <w:rFonts w:ascii="Arial" w:hAnsi="Arial" w:cs="Arial"/>
                <w:sz w:val="20"/>
                <w:szCs w:val="20"/>
              </w:rPr>
              <w:t>5</w:t>
            </w:r>
          </w:p>
        </w:tc>
        <w:tc>
          <w:tcPr>
            <w:tcW w:w="1277" w:type="dxa"/>
            <w:tcBorders>
              <w:top w:val="nil"/>
              <w:left w:val="nil"/>
              <w:bottom w:val="single" w:sz="4" w:space="0" w:color="auto"/>
              <w:right w:val="single" w:sz="4" w:space="0" w:color="auto"/>
            </w:tcBorders>
            <w:shd w:val="clear" w:color="auto" w:fill="auto"/>
            <w:vAlign w:val="bottom"/>
          </w:tcPr>
          <w:p w14:paraId="7D9B3A3E" w14:textId="528FF0CD" w:rsidR="0045773D" w:rsidRPr="000F7475" w:rsidRDefault="0045773D" w:rsidP="0045773D">
            <w:pPr>
              <w:jc w:val="right"/>
              <w:rPr>
                <w:rFonts w:ascii="Arial" w:hAnsi="Arial" w:cs="Arial"/>
                <w:sz w:val="20"/>
                <w:szCs w:val="20"/>
                <w:highlight w:val="yellow"/>
              </w:rPr>
            </w:pPr>
            <w:r>
              <w:rPr>
                <w:rFonts w:ascii="Arial" w:hAnsi="Arial" w:cs="Arial"/>
                <w:sz w:val="20"/>
                <w:szCs w:val="20"/>
              </w:rPr>
              <w:t>$2,515</w:t>
            </w:r>
          </w:p>
        </w:tc>
        <w:tc>
          <w:tcPr>
            <w:tcW w:w="1201" w:type="dxa"/>
            <w:tcBorders>
              <w:top w:val="nil"/>
              <w:left w:val="nil"/>
              <w:bottom w:val="single" w:sz="4" w:space="0" w:color="auto"/>
              <w:right w:val="single" w:sz="4" w:space="0" w:color="auto"/>
            </w:tcBorders>
            <w:shd w:val="clear" w:color="auto" w:fill="auto"/>
            <w:vAlign w:val="bottom"/>
          </w:tcPr>
          <w:p w14:paraId="47165289" w14:textId="7715C9F4" w:rsidR="0045773D" w:rsidRPr="000F7475" w:rsidRDefault="0045773D" w:rsidP="0045773D">
            <w:pPr>
              <w:jc w:val="right"/>
              <w:rPr>
                <w:rFonts w:ascii="Arial" w:hAnsi="Arial" w:cs="Arial"/>
                <w:sz w:val="20"/>
                <w:szCs w:val="20"/>
                <w:highlight w:val="yellow"/>
              </w:rPr>
            </w:pPr>
            <w:r>
              <w:rPr>
                <w:rFonts w:ascii="Arial" w:hAnsi="Arial" w:cs="Arial"/>
                <w:sz w:val="20"/>
                <w:szCs w:val="20"/>
              </w:rPr>
              <w:t>$39,376</w:t>
            </w:r>
          </w:p>
        </w:tc>
        <w:tc>
          <w:tcPr>
            <w:tcW w:w="1194" w:type="dxa"/>
            <w:tcBorders>
              <w:top w:val="nil"/>
              <w:left w:val="nil"/>
              <w:bottom w:val="single" w:sz="4" w:space="0" w:color="auto"/>
              <w:right w:val="single" w:sz="4" w:space="0" w:color="auto"/>
            </w:tcBorders>
            <w:shd w:val="clear" w:color="auto" w:fill="auto"/>
            <w:vAlign w:val="bottom"/>
          </w:tcPr>
          <w:p w14:paraId="3E692EE8" w14:textId="601D5E88" w:rsidR="0045773D" w:rsidRPr="000F7475" w:rsidRDefault="0045773D" w:rsidP="004F5388">
            <w:pPr>
              <w:jc w:val="right"/>
              <w:rPr>
                <w:rFonts w:ascii="Arial" w:hAnsi="Arial" w:cs="Arial"/>
                <w:sz w:val="20"/>
                <w:szCs w:val="20"/>
                <w:highlight w:val="yellow"/>
              </w:rPr>
            </w:pPr>
            <w:r>
              <w:rPr>
                <w:rFonts w:ascii="Arial" w:hAnsi="Arial" w:cs="Arial"/>
                <w:sz w:val="20"/>
                <w:szCs w:val="20"/>
              </w:rPr>
              <w:t>$41,89</w:t>
            </w:r>
            <w:r w:rsidR="004F5388">
              <w:rPr>
                <w:rFonts w:ascii="Arial" w:hAnsi="Arial" w:cs="Arial"/>
                <w:sz w:val="20"/>
                <w:szCs w:val="20"/>
              </w:rPr>
              <w:t>1</w:t>
            </w:r>
          </w:p>
        </w:tc>
        <w:tc>
          <w:tcPr>
            <w:tcW w:w="1321" w:type="dxa"/>
            <w:tcBorders>
              <w:top w:val="nil"/>
              <w:left w:val="nil"/>
              <w:bottom w:val="single" w:sz="4" w:space="0" w:color="auto"/>
              <w:right w:val="single" w:sz="4" w:space="0" w:color="auto"/>
            </w:tcBorders>
            <w:shd w:val="clear" w:color="auto" w:fill="auto"/>
            <w:vAlign w:val="bottom"/>
          </w:tcPr>
          <w:p w14:paraId="64394BA7" w14:textId="305BF1A6" w:rsidR="0045773D" w:rsidRPr="000F7475" w:rsidRDefault="0045773D" w:rsidP="004F5388">
            <w:pPr>
              <w:jc w:val="right"/>
              <w:rPr>
                <w:rFonts w:ascii="Arial" w:hAnsi="Arial" w:cs="Arial"/>
                <w:sz w:val="20"/>
                <w:szCs w:val="20"/>
                <w:highlight w:val="yellow"/>
              </w:rPr>
            </w:pPr>
            <w:r>
              <w:rPr>
                <w:rFonts w:ascii="Arial" w:hAnsi="Arial" w:cs="Arial"/>
                <w:sz w:val="20"/>
                <w:szCs w:val="20"/>
              </w:rPr>
              <w:t>66,31</w:t>
            </w:r>
            <w:r w:rsidR="004F5388">
              <w:rPr>
                <w:rFonts w:ascii="Arial" w:hAnsi="Arial" w:cs="Arial"/>
                <w:sz w:val="20"/>
                <w:szCs w:val="20"/>
              </w:rPr>
              <w:t>0</w:t>
            </w:r>
          </w:p>
        </w:tc>
      </w:tr>
      <w:tr w:rsidR="0045773D" w:rsidRPr="00E53C89" w14:paraId="13D864C5" w14:textId="77777777" w:rsidTr="00157842">
        <w:trPr>
          <w:jc w:val="center"/>
        </w:trPr>
        <w:tc>
          <w:tcPr>
            <w:tcW w:w="3016" w:type="dxa"/>
            <w:tcBorders>
              <w:top w:val="single" w:sz="2" w:space="0" w:color="000000"/>
              <w:left w:val="single" w:sz="6" w:space="0" w:color="000000"/>
              <w:bottom w:val="nil"/>
              <w:right w:val="nil"/>
            </w:tcBorders>
          </w:tcPr>
          <w:p w14:paraId="0AFEBE93" w14:textId="77777777" w:rsidR="0045773D" w:rsidRPr="00E53C89" w:rsidRDefault="0045773D" w:rsidP="0045773D">
            <w:pPr>
              <w:numPr>
                <w:ilvl w:val="12"/>
                <w:numId w:val="0"/>
              </w:numPr>
              <w:tabs>
                <w:tab w:val="left" w:pos="0"/>
                <w:tab w:val="left" w:pos="720"/>
                <w:tab w:val="left" w:pos="1440"/>
                <w:tab w:val="left" w:pos="2160"/>
                <w:tab w:val="left" w:pos="2880"/>
              </w:tabs>
              <w:spacing w:before="55" w:after="27"/>
              <w:rPr>
                <w:rFonts w:ascii="Arial" w:hAnsi="Arial" w:cs="Arial"/>
                <w:sz w:val="20"/>
                <w:szCs w:val="20"/>
              </w:rPr>
            </w:pPr>
            <w:r w:rsidRPr="00E53C89">
              <w:rPr>
                <w:rFonts w:ascii="Arial" w:hAnsi="Arial" w:cs="Arial"/>
                <w:sz w:val="20"/>
                <w:szCs w:val="20"/>
              </w:rPr>
              <w:t>Program/categorical determination</w:t>
            </w:r>
          </w:p>
        </w:tc>
        <w:tc>
          <w:tcPr>
            <w:tcW w:w="1224" w:type="dxa"/>
            <w:tcBorders>
              <w:top w:val="nil"/>
              <w:left w:val="single" w:sz="4" w:space="0" w:color="auto"/>
              <w:bottom w:val="single" w:sz="4" w:space="0" w:color="auto"/>
              <w:right w:val="single" w:sz="4" w:space="0" w:color="auto"/>
            </w:tcBorders>
            <w:shd w:val="clear" w:color="auto" w:fill="auto"/>
            <w:vAlign w:val="bottom"/>
          </w:tcPr>
          <w:p w14:paraId="69E1B14A" w14:textId="52524186" w:rsidR="0045773D" w:rsidRPr="000F7475" w:rsidRDefault="0045773D" w:rsidP="0045773D">
            <w:pPr>
              <w:jc w:val="right"/>
              <w:rPr>
                <w:rFonts w:ascii="Arial" w:hAnsi="Arial" w:cs="Arial"/>
                <w:sz w:val="20"/>
                <w:szCs w:val="20"/>
                <w:highlight w:val="yellow"/>
              </w:rPr>
            </w:pPr>
            <w:r>
              <w:rPr>
                <w:rFonts w:ascii="Arial" w:hAnsi="Arial" w:cs="Arial"/>
                <w:sz w:val="20"/>
                <w:szCs w:val="20"/>
              </w:rPr>
              <w:t>139</w:t>
            </w:r>
          </w:p>
        </w:tc>
        <w:tc>
          <w:tcPr>
            <w:tcW w:w="1277" w:type="dxa"/>
            <w:tcBorders>
              <w:top w:val="nil"/>
              <w:left w:val="nil"/>
              <w:bottom w:val="single" w:sz="4" w:space="0" w:color="auto"/>
              <w:right w:val="single" w:sz="4" w:space="0" w:color="auto"/>
            </w:tcBorders>
            <w:shd w:val="clear" w:color="auto" w:fill="auto"/>
            <w:vAlign w:val="bottom"/>
          </w:tcPr>
          <w:p w14:paraId="125B6450" w14:textId="38A891D0" w:rsidR="0045773D" w:rsidRPr="000F7475" w:rsidRDefault="0045773D" w:rsidP="0045773D">
            <w:pPr>
              <w:jc w:val="right"/>
              <w:rPr>
                <w:rFonts w:ascii="Arial" w:hAnsi="Arial" w:cs="Arial"/>
                <w:sz w:val="20"/>
                <w:szCs w:val="20"/>
                <w:highlight w:val="yellow"/>
              </w:rPr>
            </w:pPr>
            <w:r>
              <w:rPr>
                <w:rFonts w:ascii="Arial" w:hAnsi="Arial" w:cs="Arial"/>
                <w:sz w:val="20"/>
                <w:szCs w:val="20"/>
              </w:rPr>
              <w:t>$0</w:t>
            </w:r>
          </w:p>
        </w:tc>
        <w:tc>
          <w:tcPr>
            <w:tcW w:w="1201" w:type="dxa"/>
            <w:tcBorders>
              <w:top w:val="nil"/>
              <w:left w:val="nil"/>
              <w:bottom w:val="single" w:sz="4" w:space="0" w:color="auto"/>
              <w:right w:val="single" w:sz="4" w:space="0" w:color="auto"/>
            </w:tcBorders>
            <w:shd w:val="clear" w:color="auto" w:fill="auto"/>
            <w:vAlign w:val="bottom"/>
          </w:tcPr>
          <w:p w14:paraId="57241146" w14:textId="35EEB420" w:rsidR="0045773D" w:rsidRPr="000F7475" w:rsidRDefault="0045773D" w:rsidP="0045773D">
            <w:pPr>
              <w:jc w:val="right"/>
              <w:rPr>
                <w:rFonts w:ascii="Arial" w:hAnsi="Arial" w:cs="Arial"/>
                <w:sz w:val="20"/>
                <w:szCs w:val="20"/>
                <w:highlight w:val="yellow"/>
              </w:rPr>
            </w:pPr>
            <w:r>
              <w:rPr>
                <w:rFonts w:ascii="Arial" w:hAnsi="Arial" w:cs="Arial"/>
                <w:sz w:val="20"/>
                <w:szCs w:val="20"/>
              </w:rPr>
              <w:t>$7</w:t>
            </w:r>
          </w:p>
        </w:tc>
        <w:tc>
          <w:tcPr>
            <w:tcW w:w="1194" w:type="dxa"/>
            <w:tcBorders>
              <w:top w:val="nil"/>
              <w:left w:val="nil"/>
              <w:bottom w:val="single" w:sz="4" w:space="0" w:color="auto"/>
              <w:right w:val="single" w:sz="4" w:space="0" w:color="auto"/>
            </w:tcBorders>
            <w:shd w:val="clear" w:color="auto" w:fill="auto"/>
            <w:vAlign w:val="bottom"/>
          </w:tcPr>
          <w:p w14:paraId="1DB79DD2" w14:textId="2181081E" w:rsidR="0045773D" w:rsidRPr="000F7475" w:rsidRDefault="0045773D" w:rsidP="0045773D">
            <w:pPr>
              <w:jc w:val="right"/>
              <w:rPr>
                <w:rFonts w:ascii="Arial" w:hAnsi="Arial" w:cs="Arial"/>
                <w:sz w:val="20"/>
                <w:szCs w:val="20"/>
                <w:highlight w:val="yellow"/>
              </w:rPr>
            </w:pPr>
            <w:r>
              <w:rPr>
                <w:rFonts w:ascii="Arial" w:hAnsi="Arial" w:cs="Arial"/>
                <w:sz w:val="20"/>
                <w:szCs w:val="20"/>
              </w:rPr>
              <w:t>$7</w:t>
            </w:r>
          </w:p>
        </w:tc>
        <w:tc>
          <w:tcPr>
            <w:tcW w:w="1321" w:type="dxa"/>
            <w:tcBorders>
              <w:top w:val="nil"/>
              <w:left w:val="nil"/>
              <w:bottom w:val="single" w:sz="4" w:space="0" w:color="auto"/>
              <w:right w:val="single" w:sz="4" w:space="0" w:color="auto"/>
            </w:tcBorders>
            <w:shd w:val="clear" w:color="auto" w:fill="auto"/>
            <w:vAlign w:val="bottom"/>
          </w:tcPr>
          <w:p w14:paraId="282E50A4" w14:textId="6E212E3A" w:rsidR="0045773D" w:rsidRPr="000F7475" w:rsidRDefault="0045773D" w:rsidP="0045773D">
            <w:pPr>
              <w:jc w:val="right"/>
              <w:rPr>
                <w:rFonts w:ascii="Arial" w:hAnsi="Arial" w:cs="Arial"/>
                <w:sz w:val="20"/>
                <w:szCs w:val="20"/>
                <w:highlight w:val="yellow"/>
              </w:rPr>
            </w:pPr>
            <w:r>
              <w:rPr>
                <w:rFonts w:ascii="Arial" w:hAnsi="Arial" w:cs="Arial"/>
                <w:sz w:val="20"/>
                <w:szCs w:val="20"/>
              </w:rPr>
              <w:t>22</w:t>
            </w:r>
          </w:p>
        </w:tc>
      </w:tr>
      <w:tr w:rsidR="0045773D" w:rsidRPr="00E53C89" w14:paraId="2C790CB2" w14:textId="77777777" w:rsidTr="00157842">
        <w:trPr>
          <w:jc w:val="center"/>
        </w:trPr>
        <w:tc>
          <w:tcPr>
            <w:tcW w:w="3016" w:type="dxa"/>
            <w:tcBorders>
              <w:top w:val="single" w:sz="2" w:space="0" w:color="000000"/>
              <w:left w:val="single" w:sz="6" w:space="0" w:color="000000"/>
              <w:bottom w:val="nil"/>
              <w:right w:val="nil"/>
            </w:tcBorders>
          </w:tcPr>
          <w:p w14:paraId="6F9E8E17" w14:textId="77777777" w:rsidR="0045773D" w:rsidRPr="00E53C89" w:rsidRDefault="0045773D" w:rsidP="0045773D">
            <w:pPr>
              <w:numPr>
                <w:ilvl w:val="12"/>
                <w:numId w:val="0"/>
              </w:numPr>
              <w:tabs>
                <w:tab w:val="left" w:pos="0"/>
                <w:tab w:val="left" w:pos="720"/>
                <w:tab w:val="left" w:pos="1440"/>
                <w:tab w:val="left" w:pos="2160"/>
                <w:tab w:val="left" w:pos="2880"/>
              </w:tabs>
              <w:spacing w:before="55" w:after="27"/>
              <w:rPr>
                <w:rFonts w:ascii="Arial" w:hAnsi="Arial" w:cs="Arial"/>
                <w:sz w:val="20"/>
                <w:szCs w:val="20"/>
              </w:rPr>
            </w:pPr>
            <w:r w:rsidRPr="00E53C89">
              <w:rPr>
                <w:rFonts w:ascii="Arial" w:hAnsi="Arial" w:cs="Arial"/>
                <w:sz w:val="20"/>
                <w:szCs w:val="20"/>
              </w:rPr>
              <w:t>IUs as users of data</w:t>
            </w:r>
          </w:p>
        </w:tc>
        <w:tc>
          <w:tcPr>
            <w:tcW w:w="1224" w:type="dxa"/>
            <w:tcBorders>
              <w:top w:val="nil"/>
              <w:left w:val="single" w:sz="4" w:space="0" w:color="auto"/>
              <w:bottom w:val="single" w:sz="4" w:space="0" w:color="auto"/>
              <w:right w:val="single" w:sz="4" w:space="0" w:color="auto"/>
            </w:tcBorders>
            <w:shd w:val="clear" w:color="auto" w:fill="auto"/>
            <w:vAlign w:val="bottom"/>
          </w:tcPr>
          <w:p w14:paraId="30BDEEDC" w14:textId="09F76447" w:rsidR="0045773D" w:rsidRPr="000F7475" w:rsidRDefault="0045773D" w:rsidP="0045773D">
            <w:pPr>
              <w:jc w:val="right"/>
              <w:rPr>
                <w:rFonts w:ascii="Arial" w:hAnsi="Arial" w:cs="Arial"/>
                <w:sz w:val="20"/>
                <w:szCs w:val="20"/>
                <w:highlight w:val="yellow"/>
              </w:rPr>
            </w:pPr>
            <w:r>
              <w:rPr>
                <w:rFonts w:ascii="Arial" w:hAnsi="Arial" w:cs="Arial"/>
                <w:sz w:val="20"/>
                <w:szCs w:val="20"/>
              </w:rPr>
              <w:t>0</w:t>
            </w:r>
          </w:p>
        </w:tc>
        <w:tc>
          <w:tcPr>
            <w:tcW w:w="1277" w:type="dxa"/>
            <w:tcBorders>
              <w:top w:val="nil"/>
              <w:left w:val="nil"/>
              <w:bottom w:val="single" w:sz="4" w:space="0" w:color="auto"/>
              <w:right w:val="single" w:sz="4" w:space="0" w:color="auto"/>
            </w:tcBorders>
            <w:shd w:val="clear" w:color="auto" w:fill="auto"/>
            <w:vAlign w:val="bottom"/>
          </w:tcPr>
          <w:p w14:paraId="018133FC" w14:textId="72CEBF59" w:rsidR="0045773D" w:rsidRPr="000F7475" w:rsidRDefault="0045773D" w:rsidP="0045773D">
            <w:pPr>
              <w:jc w:val="right"/>
              <w:rPr>
                <w:rFonts w:ascii="Arial" w:hAnsi="Arial" w:cs="Arial"/>
                <w:sz w:val="20"/>
                <w:szCs w:val="20"/>
                <w:highlight w:val="yellow"/>
              </w:rPr>
            </w:pPr>
            <w:r>
              <w:rPr>
                <w:rFonts w:ascii="Arial" w:hAnsi="Arial" w:cs="Arial"/>
                <w:sz w:val="20"/>
                <w:szCs w:val="20"/>
              </w:rPr>
              <w:t>$0</w:t>
            </w:r>
          </w:p>
        </w:tc>
        <w:tc>
          <w:tcPr>
            <w:tcW w:w="1201" w:type="dxa"/>
            <w:tcBorders>
              <w:top w:val="nil"/>
              <w:left w:val="nil"/>
              <w:bottom w:val="single" w:sz="4" w:space="0" w:color="auto"/>
              <w:right w:val="single" w:sz="4" w:space="0" w:color="auto"/>
            </w:tcBorders>
            <w:shd w:val="clear" w:color="auto" w:fill="auto"/>
            <w:vAlign w:val="bottom"/>
          </w:tcPr>
          <w:p w14:paraId="54B3F7A7" w14:textId="008FA515" w:rsidR="0045773D" w:rsidRPr="000F7475" w:rsidRDefault="0045773D" w:rsidP="0045773D">
            <w:pPr>
              <w:jc w:val="right"/>
              <w:rPr>
                <w:rFonts w:ascii="Arial" w:hAnsi="Arial" w:cs="Arial"/>
                <w:sz w:val="20"/>
                <w:szCs w:val="20"/>
                <w:highlight w:val="yellow"/>
              </w:rPr>
            </w:pPr>
            <w:r>
              <w:rPr>
                <w:rFonts w:ascii="Arial" w:hAnsi="Arial" w:cs="Arial"/>
                <w:sz w:val="20"/>
                <w:szCs w:val="20"/>
              </w:rPr>
              <w:t>$0</w:t>
            </w:r>
          </w:p>
        </w:tc>
        <w:tc>
          <w:tcPr>
            <w:tcW w:w="1194" w:type="dxa"/>
            <w:tcBorders>
              <w:top w:val="nil"/>
              <w:left w:val="nil"/>
              <w:bottom w:val="single" w:sz="4" w:space="0" w:color="auto"/>
              <w:right w:val="single" w:sz="4" w:space="0" w:color="auto"/>
            </w:tcBorders>
            <w:shd w:val="clear" w:color="auto" w:fill="auto"/>
            <w:vAlign w:val="bottom"/>
          </w:tcPr>
          <w:p w14:paraId="1730A8D9" w14:textId="21BCD1E6" w:rsidR="0045773D" w:rsidRPr="000F7475" w:rsidRDefault="0045773D" w:rsidP="0045773D">
            <w:pPr>
              <w:jc w:val="right"/>
              <w:rPr>
                <w:rFonts w:ascii="Arial" w:hAnsi="Arial" w:cs="Arial"/>
                <w:sz w:val="20"/>
                <w:szCs w:val="20"/>
                <w:highlight w:val="yellow"/>
              </w:rPr>
            </w:pPr>
            <w:r>
              <w:rPr>
                <w:rFonts w:ascii="Arial" w:hAnsi="Arial" w:cs="Arial"/>
                <w:sz w:val="20"/>
                <w:szCs w:val="20"/>
              </w:rPr>
              <w:t>$0</w:t>
            </w:r>
          </w:p>
        </w:tc>
        <w:tc>
          <w:tcPr>
            <w:tcW w:w="1321" w:type="dxa"/>
            <w:tcBorders>
              <w:top w:val="nil"/>
              <w:left w:val="nil"/>
              <w:bottom w:val="single" w:sz="4" w:space="0" w:color="auto"/>
              <w:right w:val="single" w:sz="4" w:space="0" w:color="auto"/>
            </w:tcBorders>
            <w:shd w:val="clear" w:color="auto" w:fill="auto"/>
            <w:vAlign w:val="bottom"/>
          </w:tcPr>
          <w:p w14:paraId="40CA5058" w14:textId="63CD3208" w:rsidR="0045773D" w:rsidRPr="000F7475" w:rsidRDefault="0045773D" w:rsidP="0045773D">
            <w:pPr>
              <w:jc w:val="right"/>
              <w:rPr>
                <w:rFonts w:ascii="Arial" w:hAnsi="Arial" w:cs="Arial"/>
                <w:sz w:val="20"/>
                <w:szCs w:val="20"/>
                <w:highlight w:val="yellow"/>
              </w:rPr>
            </w:pPr>
            <w:r>
              <w:rPr>
                <w:rFonts w:ascii="Arial" w:hAnsi="Arial" w:cs="Arial"/>
                <w:sz w:val="20"/>
                <w:szCs w:val="20"/>
              </w:rPr>
              <w:t>NA</w:t>
            </w:r>
          </w:p>
        </w:tc>
      </w:tr>
      <w:tr w:rsidR="0045773D" w:rsidRPr="00E53C89" w14:paraId="1D9EF6D8" w14:textId="77777777" w:rsidTr="00157842">
        <w:trPr>
          <w:jc w:val="center"/>
        </w:trPr>
        <w:tc>
          <w:tcPr>
            <w:tcW w:w="3016" w:type="dxa"/>
            <w:tcBorders>
              <w:top w:val="single" w:sz="2" w:space="0" w:color="000000"/>
              <w:left w:val="single" w:sz="6" w:space="0" w:color="000000"/>
              <w:bottom w:val="nil"/>
              <w:right w:val="nil"/>
            </w:tcBorders>
          </w:tcPr>
          <w:p w14:paraId="3AE8E281" w14:textId="77777777" w:rsidR="0045773D" w:rsidRPr="00E53C89" w:rsidRDefault="0045773D" w:rsidP="0045773D">
            <w:pPr>
              <w:numPr>
                <w:ilvl w:val="12"/>
                <w:numId w:val="0"/>
              </w:numPr>
              <w:tabs>
                <w:tab w:val="left" w:pos="0"/>
                <w:tab w:val="left" w:pos="720"/>
                <w:tab w:val="left" w:pos="1440"/>
                <w:tab w:val="left" w:pos="2160"/>
                <w:tab w:val="left" w:pos="2880"/>
              </w:tabs>
              <w:spacing w:before="55" w:after="27"/>
              <w:rPr>
                <w:rFonts w:ascii="Arial" w:hAnsi="Arial" w:cs="Arial"/>
                <w:sz w:val="20"/>
                <w:szCs w:val="20"/>
              </w:rPr>
            </w:pPr>
            <w:r w:rsidRPr="00E53C89">
              <w:rPr>
                <w:rFonts w:ascii="Arial" w:hAnsi="Arial" w:cs="Arial"/>
                <w:sz w:val="20"/>
                <w:szCs w:val="20"/>
              </w:rPr>
              <w:t>Recordkeeping</w:t>
            </w:r>
          </w:p>
        </w:tc>
        <w:tc>
          <w:tcPr>
            <w:tcW w:w="1224" w:type="dxa"/>
            <w:tcBorders>
              <w:top w:val="nil"/>
              <w:left w:val="single" w:sz="4" w:space="0" w:color="auto"/>
              <w:bottom w:val="single" w:sz="4" w:space="0" w:color="auto"/>
              <w:right w:val="single" w:sz="4" w:space="0" w:color="auto"/>
            </w:tcBorders>
            <w:shd w:val="clear" w:color="auto" w:fill="auto"/>
            <w:vAlign w:val="bottom"/>
          </w:tcPr>
          <w:p w14:paraId="1346408A" w14:textId="52053B34" w:rsidR="0045773D" w:rsidRPr="000F7475" w:rsidRDefault="0045773D" w:rsidP="0045773D">
            <w:pPr>
              <w:jc w:val="right"/>
              <w:rPr>
                <w:rFonts w:ascii="Arial" w:hAnsi="Arial" w:cs="Arial"/>
                <w:sz w:val="20"/>
                <w:szCs w:val="20"/>
                <w:highlight w:val="yellow"/>
              </w:rPr>
            </w:pPr>
            <w:r>
              <w:rPr>
                <w:rFonts w:ascii="Arial" w:hAnsi="Arial" w:cs="Arial"/>
                <w:sz w:val="20"/>
                <w:szCs w:val="20"/>
              </w:rPr>
              <w:t>44,278</w:t>
            </w:r>
          </w:p>
        </w:tc>
        <w:tc>
          <w:tcPr>
            <w:tcW w:w="1277" w:type="dxa"/>
            <w:tcBorders>
              <w:top w:val="nil"/>
              <w:left w:val="nil"/>
              <w:bottom w:val="single" w:sz="4" w:space="0" w:color="auto"/>
              <w:right w:val="single" w:sz="4" w:space="0" w:color="auto"/>
            </w:tcBorders>
            <w:shd w:val="clear" w:color="auto" w:fill="auto"/>
            <w:vAlign w:val="bottom"/>
          </w:tcPr>
          <w:p w14:paraId="0926A12A" w14:textId="2DBD1767" w:rsidR="0045773D" w:rsidRPr="000F7475" w:rsidRDefault="0045773D" w:rsidP="0045773D">
            <w:pPr>
              <w:jc w:val="right"/>
              <w:rPr>
                <w:rFonts w:ascii="Arial" w:hAnsi="Arial" w:cs="Arial"/>
                <w:sz w:val="20"/>
                <w:szCs w:val="20"/>
                <w:highlight w:val="yellow"/>
              </w:rPr>
            </w:pPr>
            <w:r>
              <w:rPr>
                <w:rFonts w:ascii="Arial" w:hAnsi="Arial" w:cs="Arial"/>
                <w:sz w:val="20"/>
                <w:szCs w:val="20"/>
              </w:rPr>
              <w:t>$0</w:t>
            </w:r>
          </w:p>
        </w:tc>
        <w:tc>
          <w:tcPr>
            <w:tcW w:w="1201" w:type="dxa"/>
            <w:tcBorders>
              <w:top w:val="nil"/>
              <w:left w:val="nil"/>
              <w:bottom w:val="single" w:sz="4" w:space="0" w:color="auto"/>
              <w:right w:val="single" w:sz="4" w:space="0" w:color="auto"/>
            </w:tcBorders>
            <w:shd w:val="clear" w:color="auto" w:fill="auto"/>
            <w:vAlign w:val="bottom"/>
          </w:tcPr>
          <w:p w14:paraId="2A01701F" w14:textId="4A379845" w:rsidR="0045773D" w:rsidRPr="000F7475" w:rsidRDefault="0045773D" w:rsidP="0045773D">
            <w:pPr>
              <w:jc w:val="right"/>
              <w:rPr>
                <w:rFonts w:ascii="Arial" w:hAnsi="Arial" w:cs="Arial"/>
                <w:sz w:val="20"/>
                <w:szCs w:val="20"/>
                <w:highlight w:val="yellow"/>
              </w:rPr>
            </w:pPr>
            <w:r>
              <w:rPr>
                <w:rFonts w:ascii="Arial" w:hAnsi="Arial" w:cs="Arial"/>
                <w:sz w:val="20"/>
                <w:szCs w:val="20"/>
              </w:rPr>
              <w:t>$2,372</w:t>
            </w:r>
          </w:p>
        </w:tc>
        <w:tc>
          <w:tcPr>
            <w:tcW w:w="1194" w:type="dxa"/>
            <w:tcBorders>
              <w:top w:val="nil"/>
              <w:left w:val="nil"/>
              <w:bottom w:val="single" w:sz="4" w:space="0" w:color="auto"/>
              <w:right w:val="single" w:sz="4" w:space="0" w:color="auto"/>
            </w:tcBorders>
            <w:shd w:val="clear" w:color="auto" w:fill="auto"/>
            <w:vAlign w:val="bottom"/>
          </w:tcPr>
          <w:p w14:paraId="14372104" w14:textId="51D95E57" w:rsidR="0045773D" w:rsidRPr="000F7475" w:rsidRDefault="0045773D" w:rsidP="0045773D">
            <w:pPr>
              <w:jc w:val="right"/>
              <w:rPr>
                <w:rFonts w:ascii="Arial" w:hAnsi="Arial" w:cs="Arial"/>
                <w:sz w:val="20"/>
                <w:szCs w:val="20"/>
                <w:highlight w:val="yellow"/>
              </w:rPr>
            </w:pPr>
            <w:r>
              <w:rPr>
                <w:rFonts w:ascii="Arial" w:hAnsi="Arial" w:cs="Arial"/>
                <w:sz w:val="20"/>
                <w:szCs w:val="20"/>
              </w:rPr>
              <w:t>$2,372</w:t>
            </w:r>
          </w:p>
        </w:tc>
        <w:tc>
          <w:tcPr>
            <w:tcW w:w="1321" w:type="dxa"/>
            <w:tcBorders>
              <w:top w:val="nil"/>
              <w:left w:val="nil"/>
              <w:bottom w:val="single" w:sz="4" w:space="0" w:color="auto"/>
              <w:right w:val="single" w:sz="4" w:space="0" w:color="auto"/>
            </w:tcBorders>
            <w:shd w:val="clear" w:color="auto" w:fill="auto"/>
            <w:vAlign w:val="bottom"/>
          </w:tcPr>
          <w:p w14:paraId="21FA626F" w14:textId="1B051031" w:rsidR="0045773D" w:rsidRPr="000F7475" w:rsidRDefault="0045773D" w:rsidP="0045773D">
            <w:pPr>
              <w:jc w:val="right"/>
              <w:rPr>
                <w:rFonts w:ascii="Arial" w:hAnsi="Arial" w:cs="Arial"/>
                <w:sz w:val="20"/>
                <w:szCs w:val="20"/>
                <w:highlight w:val="yellow"/>
              </w:rPr>
            </w:pPr>
            <w:r>
              <w:rPr>
                <w:rFonts w:ascii="Arial" w:hAnsi="Arial" w:cs="Arial"/>
                <w:sz w:val="20"/>
                <w:szCs w:val="20"/>
              </w:rPr>
              <w:t>NA</w:t>
            </w:r>
          </w:p>
        </w:tc>
      </w:tr>
      <w:tr w:rsidR="0045773D" w:rsidRPr="00E53C89" w14:paraId="25DC725D" w14:textId="77777777" w:rsidTr="00157842">
        <w:trPr>
          <w:jc w:val="center"/>
        </w:trPr>
        <w:tc>
          <w:tcPr>
            <w:tcW w:w="3016" w:type="dxa"/>
            <w:tcBorders>
              <w:top w:val="single" w:sz="6" w:space="0" w:color="000000"/>
              <w:left w:val="single" w:sz="6" w:space="0" w:color="000000"/>
              <w:bottom w:val="single" w:sz="6" w:space="0" w:color="000000"/>
              <w:right w:val="nil"/>
            </w:tcBorders>
          </w:tcPr>
          <w:p w14:paraId="767090FC" w14:textId="77777777" w:rsidR="0045773D" w:rsidRPr="00E53C89" w:rsidRDefault="0045773D" w:rsidP="0045773D">
            <w:pPr>
              <w:numPr>
                <w:ilvl w:val="12"/>
                <w:numId w:val="0"/>
              </w:numPr>
              <w:tabs>
                <w:tab w:val="left" w:pos="0"/>
                <w:tab w:val="left" w:pos="720"/>
                <w:tab w:val="left" w:pos="1440"/>
                <w:tab w:val="left" w:pos="2160"/>
                <w:tab w:val="left" w:pos="2880"/>
              </w:tabs>
              <w:spacing w:before="55" w:after="27"/>
              <w:rPr>
                <w:rFonts w:ascii="Arial" w:hAnsi="Arial" w:cs="Arial"/>
                <w:sz w:val="20"/>
                <w:szCs w:val="20"/>
              </w:rPr>
            </w:pPr>
            <w:r w:rsidRPr="00E53C89">
              <w:rPr>
                <w:rFonts w:ascii="Arial" w:hAnsi="Arial" w:cs="Arial"/>
                <w:b/>
                <w:bCs/>
                <w:sz w:val="20"/>
                <w:szCs w:val="20"/>
              </w:rPr>
              <w:t>Total</w:t>
            </w:r>
          </w:p>
        </w:tc>
        <w:tc>
          <w:tcPr>
            <w:tcW w:w="1224" w:type="dxa"/>
            <w:tcBorders>
              <w:top w:val="nil"/>
              <w:left w:val="single" w:sz="4" w:space="0" w:color="auto"/>
              <w:bottom w:val="single" w:sz="4" w:space="0" w:color="auto"/>
              <w:right w:val="single" w:sz="4" w:space="0" w:color="auto"/>
            </w:tcBorders>
            <w:shd w:val="clear" w:color="auto" w:fill="auto"/>
            <w:vAlign w:val="bottom"/>
          </w:tcPr>
          <w:p w14:paraId="57770F8D" w14:textId="4F915B8A" w:rsidR="0045773D" w:rsidRPr="000F7475" w:rsidRDefault="0045773D" w:rsidP="004F5388">
            <w:pPr>
              <w:jc w:val="right"/>
              <w:rPr>
                <w:rFonts w:ascii="Arial" w:hAnsi="Arial" w:cs="Arial"/>
                <w:b/>
                <w:sz w:val="20"/>
                <w:szCs w:val="20"/>
                <w:highlight w:val="yellow"/>
              </w:rPr>
            </w:pPr>
            <w:r>
              <w:rPr>
                <w:rFonts w:ascii="Arial" w:hAnsi="Arial" w:cs="Arial"/>
                <w:sz w:val="20"/>
                <w:szCs w:val="20"/>
              </w:rPr>
              <w:t>779,59</w:t>
            </w:r>
            <w:r w:rsidR="004F5388">
              <w:rPr>
                <w:rFonts w:ascii="Arial" w:hAnsi="Arial" w:cs="Arial"/>
                <w:sz w:val="20"/>
                <w:szCs w:val="20"/>
              </w:rPr>
              <w:t>2</w:t>
            </w:r>
          </w:p>
        </w:tc>
        <w:tc>
          <w:tcPr>
            <w:tcW w:w="1277" w:type="dxa"/>
            <w:tcBorders>
              <w:top w:val="nil"/>
              <w:left w:val="nil"/>
              <w:bottom w:val="single" w:sz="4" w:space="0" w:color="auto"/>
              <w:right w:val="single" w:sz="4" w:space="0" w:color="auto"/>
            </w:tcBorders>
            <w:shd w:val="clear" w:color="auto" w:fill="auto"/>
            <w:vAlign w:val="bottom"/>
          </w:tcPr>
          <w:p w14:paraId="0D9C85BE" w14:textId="1671AD14" w:rsidR="0045773D" w:rsidRPr="000F7475" w:rsidRDefault="0045773D" w:rsidP="0045773D">
            <w:pPr>
              <w:jc w:val="right"/>
              <w:rPr>
                <w:rFonts w:ascii="Arial" w:hAnsi="Arial" w:cs="Arial"/>
                <w:b/>
                <w:sz w:val="20"/>
                <w:szCs w:val="20"/>
                <w:highlight w:val="yellow"/>
              </w:rPr>
            </w:pPr>
            <w:r>
              <w:rPr>
                <w:rFonts w:ascii="Arial" w:hAnsi="Arial" w:cs="Arial"/>
                <w:sz w:val="20"/>
                <w:szCs w:val="20"/>
              </w:rPr>
              <w:t>$2,515</w:t>
            </w:r>
          </w:p>
        </w:tc>
        <w:tc>
          <w:tcPr>
            <w:tcW w:w="1201" w:type="dxa"/>
            <w:tcBorders>
              <w:top w:val="nil"/>
              <w:left w:val="nil"/>
              <w:bottom w:val="single" w:sz="4" w:space="0" w:color="auto"/>
              <w:right w:val="single" w:sz="4" w:space="0" w:color="auto"/>
            </w:tcBorders>
            <w:shd w:val="clear" w:color="auto" w:fill="auto"/>
            <w:vAlign w:val="bottom"/>
          </w:tcPr>
          <w:p w14:paraId="48C3849E" w14:textId="6564F11F" w:rsidR="0045773D" w:rsidRPr="000F7475" w:rsidRDefault="0045773D" w:rsidP="0045773D">
            <w:pPr>
              <w:jc w:val="right"/>
              <w:rPr>
                <w:rFonts w:ascii="Arial" w:hAnsi="Arial" w:cs="Arial"/>
                <w:b/>
                <w:sz w:val="20"/>
                <w:szCs w:val="20"/>
                <w:highlight w:val="yellow"/>
              </w:rPr>
            </w:pPr>
            <w:r>
              <w:rPr>
                <w:rFonts w:ascii="Arial" w:hAnsi="Arial" w:cs="Arial"/>
                <w:sz w:val="20"/>
                <w:szCs w:val="20"/>
              </w:rPr>
              <w:t>$41,755</w:t>
            </w:r>
          </w:p>
        </w:tc>
        <w:tc>
          <w:tcPr>
            <w:tcW w:w="1194" w:type="dxa"/>
            <w:tcBorders>
              <w:top w:val="nil"/>
              <w:left w:val="nil"/>
              <w:bottom w:val="single" w:sz="4" w:space="0" w:color="auto"/>
              <w:right w:val="single" w:sz="4" w:space="0" w:color="auto"/>
            </w:tcBorders>
            <w:shd w:val="clear" w:color="auto" w:fill="auto"/>
            <w:vAlign w:val="bottom"/>
          </w:tcPr>
          <w:p w14:paraId="0FC37CE4" w14:textId="7DC6ECD5" w:rsidR="0045773D" w:rsidRPr="000F7475" w:rsidRDefault="0045773D" w:rsidP="004F5388">
            <w:pPr>
              <w:jc w:val="right"/>
              <w:rPr>
                <w:rFonts w:ascii="Arial" w:hAnsi="Arial" w:cs="Arial"/>
                <w:b/>
                <w:sz w:val="20"/>
                <w:szCs w:val="20"/>
                <w:highlight w:val="yellow"/>
              </w:rPr>
            </w:pPr>
            <w:r>
              <w:rPr>
                <w:rFonts w:ascii="Arial" w:hAnsi="Arial" w:cs="Arial"/>
                <w:sz w:val="20"/>
                <w:szCs w:val="20"/>
              </w:rPr>
              <w:t>$44,27</w:t>
            </w:r>
            <w:r w:rsidR="004F5388">
              <w:rPr>
                <w:rFonts w:ascii="Arial" w:hAnsi="Arial" w:cs="Arial"/>
                <w:sz w:val="20"/>
                <w:szCs w:val="20"/>
              </w:rPr>
              <w:t>0</w:t>
            </w:r>
          </w:p>
        </w:tc>
        <w:tc>
          <w:tcPr>
            <w:tcW w:w="1321" w:type="dxa"/>
            <w:tcBorders>
              <w:top w:val="nil"/>
              <w:left w:val="nil"/>
              <w:bottom w:val="single" w:sz="4" w:space="0" w:color="auto"/>
              <w:right w:val="single" w:sz="4" w:space="0" w:color="auto"/>
            </w:tcBorders>
            <w:shd w:val="clear" w:color="auto" w:fill="auto"/>
            <w:vAlign w:val="bottom"/>
          </w:tcPr>
          <w:p w14:paraId="599AE1FC" w14:textId="57E143F1" w:rsidR="0045773D" w:rsidRPr="000F7475" w:rsidRDefault="0045773D" w:rsidP="004F5388">
            <w:pPr>
              <w:jc w:val="right"/>
              <w:rPr>
                <w:rFonts w:ascii="Arial" w:hAnsi="Arial" w:cs="Arial"/>
                <w:b/>
                <w:sz w:val="20"/>
                <w:szCs w:val="20"/>
                <w:highlight w:val="yellow"/>
              </w:rPr>
            </w:pPr>
            <w:r>
              <w:rPr>
                <w:rFonts w:ascii="Arial" w:hAnsi="Arial" w:cs="Arial"/>
                <w:sz w:val="20"/>
                <w:szCs w:val="20"/>
              </w:rPr>
              <w:t>66,33</w:t>
            </w:r>
            <w:r w:rsidR="004F5388">
              <w:rPr>
                <w:rFonts w:ascii="Arial" w:hAnsi="Arial" w:cs="Arial"/>
                <w:sz w:val="20"/>
                <w:szCs w:val="20"/>
              </w:rPr>
              <w:t>2</w:t>
            </w:r>
          </w:p>
        </w:tc>
      </w:tr>
      <w:tr w:rsidR="0045773D" w:rsidRPr="00E53C89" w14:paraId="7573F89D" w14:textId="77777777" w:rsidTr="002B6F2F">
        <w:trPr>
          <w:jc w:val="center"/>
        </w:trPr>
        <w:tc>
          <w:tcPr>
            <w:tcW w:w="9233" w:type="dxa"/>
            <w:gridSpan w:val="6"/>
            <w:tcBorders>
              <w:top w:val="single" w:sz="6" w:space="0" w:color="000000"/>
              <w:left w:val="nil"/>
              <w:bottom w:val="nil"/>
              <w:right w:val="single" w:sz="6" w:space="0" w:color="000000"/>
            </w:tcBorders>
          </w:tcPr>
          <w:p w14:paraId="151C3041" w14:textId="77777777" w:rsidR="0045773D" w:rsidRPr="00E53C89" w:rsidRDefault="0045773D" w:rsidP="0045773D">
            <w:pPr>
              <w:numPr>
                <w:ilvl w:val="12"/>
                <w:numId w:val="0"/>
              </w:numPr>
              <w:tabs>
                <w:tab w:val="left" w:pos="0"/>
                <w:tab w:val="left" w:pos="720"/>
                <w:tab w:val="left" w:pos="1440"/>
                <w:tab w:val="left" w:pos="2160"/>
                <w:tab w:val="left" w:pos="2880"/>
              </w:tabs>
              <w:spacing w:before="55" w:after="27"/>
              <w:rPr>
                <w:rFonts w:ascii="Arial" w:hAnsi="Arial" w:cs="Arial"/>
                <w:sz w:val="18"/>
                <w:szCs w:val="18"/>
              </w:rPr>
            </w:pPr>
            <w:r w:rsidRPr="00E53C89">
              <w:rPr>
                <w:rFonts w:ascii="Arial" w:hAnsi="Arial" w:cs="Arial"/>
                <w:sz w:val="18"/>
                <w:szCs w:val="18"/>
              </w:rPr>
              <w:t>NOTE:  Detail may not add due to independent rounding. Costs in thousands of dollars.</w:t>
            </w:r>
          </w:p>
        </w:tc>
      </w:tr>
    </w:tbl>
    <w:p w14:paraId="478B1E8A" w14:textId="77777777" w:rsidR="006458E0" w:rsidRPr="00E75FA4" w:rsidRDefault="006458E0" w:rsidP="00E75FA4"/>
    <w:p w14:paraId="57C806FF" w14:textId="77777777" w:rsidR="00E75FA4" w:rsidRPr="00E75FA4" w:rsidRDefault="00E75FA4" w:rsidP="002A4E99"/>
    <w:p w14:paraId="2C30E153" w14:textId="77777777" w:rsidR="00CA6996" w:rsidRDefault="00CA6996">
      <w:pPr>
        <w:widowControl/>
        <w:autoSpaceDE/>
        <w:autoSpaceDN/>
        <w:adjustRightInd/>
        <w:spacing w:after="160" w:line="259" w:lineRule="auto"/>
        <w:rPr>
          <w:rFonts w:ascii="Arial" w:hAnsi="Arial" w:cs="Arial"/>
          <w:b/>
          <w:bCs/>
          <w:kern w:val="32"/>
          <w:sz w:val="32"/>
          <w:szCs w:val="32"/>
        </w:rPr>
      </w:pPr>
      <w:r>
        <w:br w:type="page"/>
      </w:r>
    </w:p>
    <w:p w14:paraId="619C7C26" w14:textId="7E15FA51" w:rsidR="00C033F7" w:rsidRDefault="00C033F7" w:rsidP="00C033F7">
      <w:pPr>
        <w:pStyle w:val="Heading1"/>
      </w:pPr>
      <w:bookmarkStart w:id="46" w:name="_Toc437867219"/>
      <w:r>
        <w:lastRenderedPageBreak/>
        <w:t xml:space="preserve">Appendix B – </w:t>
      </w:r>
      <w:r w:rsidRPr="00E75FA4">
        <w:t>Assumptions for Developing Burden and Cost Estimates</w:t>
      </w:r>
      <w:bookmarkEnd w:id="46"/>
    </w:p>
    <w:p w14:paraId="61DB6B2F" w14:textId="77F85ECC" w:rsidR="00CA6996" w:rsidRPr="00CA6996" w:rsidRDefault="00CA6996" w:rsidP="00F06FB5">
      <w:r>
        <w:t xml:space="preserve">The table below summarizes the </w:t>
      </w:r>
      <w:r w:rsidR="00EF4673">
        <w:t xml:space="preserve">assumptions and input values used to calculate burden. </w:t>
      </w:r>
      <w:r w:rsidR="00EF4673" w:rsidRPr="00EF4673">
        <w:t xml:space="preserve">These assumptions are based upon previous ICR estimates plus adjustments to the number of SIUs and pretreatment programs that resulted from extensive consultation with the </w:t>
      </w:r>
      <w:r w:rsidR="00AC3C25">
        <w:t xml:space="preserve">States and </w:t>
      </w:r>
      <w:r w:rsidR="00EF4673" w:rsidRPr="00EF4673">
        <w:t xml:space="preserve">EPA </w:t>
      </w:r>
      <w:r w:rsidR="006569D0">
        <w:t>R</w:t>
      </w:r>
      <w:r w:rsidR="00EF4673" w:rsidRPr="00EF4673">
        <w:t>egions.</w:t>
      </w:r>
    </w:p>
    <w:p w14:paraId="6A40F635" w14:textId="77777777" w:rsidR="00CA6996" w:rsidRPr="00CA6996" w:rsidRDefault="00CA6996" w:rsidP="00F06FB5"/>
    <w:tbl>
      <w:tblPr>
        <w:tblStyle w:val="TableGrid"/>
        <w:tblW w:w="0" w:type="auto"/>
        <w:tblLook w:val="04A0" w:firstRow="1" w:lastRow="0" w:firstColumn="1" w:lastColumn="0" w:noHBand="0" w:noVBand="1"/>
      </w:tblPr>
      <w:tblGrid>
        <w:gridCol w:w="6569"/>
        <w:gridCol w:w="1524"/>
        <w:gridCol w:w="812"/>
      </w:tblGrid>
      <w:tr w:rsidR="00162CCB" w:rsidRPr="007A1396" w14:paraId="332B178F" w14:textId="6AF5A61D" w:rsidTr="00162CCB">
        <w:trPr>
          <w:trHeight w:val="300"/>
        </w:trPr>
        <w:tc>
          <w:tcPr>
            <w:tcW w:w="6569" w:type="dxa"/>
            <w:hideMark/>
          </w:tcPr>
          <w:p w14:paraId="6F237426" w14:textId="77777777" w:rsidR="00162CCB" w:rsidRPr="007A1396" w:rsidRDefault="00162CCB" w:rsidP="007A1396">
            <w:pPr>
              <w:rPr>
                <w:b/>
                <w:bCs/>
              </w:rPr>
            </w:pPr>
            <w:r w:rsidRPr="007A1396">
              <w:rPr>
                <w:b/>
                <w:bCs/>
              </w:rPr>
              <w:t>Pretreatment Program Data</w:t>
            </w:r>
          </w:p>
        </w:tc>
        <w:tc>
          <w:tcPr>
            <w:tcW w:w="1524" w:type="dxa"/>
            <w:hideMark/>
          </w:tcPr>
          <w:p w14:paraId="3E2BD8DB" w14:textId="77777777" w:rsidR="00162CCB" w:rsidRPr="007A1396" w:rsidRDefault="00162CCB">
            <w:pPr>
              <w:rPr>
                <w:b/>
                <w:bCs/>
              </w:rPr>
            </w:pPr>
            <w:r w:rsidRPr="007A1396">
              <w:rPr>
                <w:b/>
                <w:bCs/>
              </w:rPr>
              <w:t>Numbers</w:t>
            </w:r>
          </w:p>
        </w:tc>
        <w:tc>
          <w:tcPr>
            <w:tcW w:w="812" w:type="dxa"/>
          </w:tcPr>
          <w:p w14:paraId="6CF28A1D" w14:textId="3036C9DC" w:rsidR="00162CCB" w:rsidRPr="007A1396" w:rsidRDefault="00162CCB" w:rsidP="00162CCB">
            <w:pPr>
              <w:jc w:val="center"/>
              <w:rPr>
                <w:b/>
                <w:bCs/>
              </w:rPr>
            </w:pPr>
            <w:r>
              <w:rPr>
                <w:b/>
                <w:bCs/>
              </w:rPr>
              <w:t>Basis</w:t>
            </w:r>
          </w:p>
        </w:tc>
      </w:tr>
      <w:tr w:rsidR="00162CCB" w:rsidRPr="007A1396" w14:paraId="75A51C8D" w14:textId="2FA97ABD" w:rsidTr="00162CCB">
        <w:trPr>
          <w:trHeight w:val="300"/>
        </w:trPr>
        <w:tc>
          <w:tcPr>
            <w:tcW w:w="6569" w:type="dxa"/>
            <w:hideMark/>
          </w:tcPr>
          <w:p w14:paraId="1733A62A" w14:textId="77777777" w:rsidR="00162CCB" w:rsidRPr="007A1396" w:rsidRDefault="00162CCB" w:rsidP="00162CCB">
            <w:r w:rsidRPr="007A1396">
              <w:t>Total Number of SIUs</w:t>
            </w:r>
          </w:p>
        </w:tc>
        <w:tc>
          <w:tcPr>
            <w:tcW w:w="1524" w:type="dxa"/>
            <w:hideMark/>
          </w:tcPr>
          <w:p w14:paraId="337A4B3C" w14:textId="0E59A7AE" w:rsidR="00162CCB" w:rsidRPr="007A1396" w:rsidRDefault="00162CCB" w:rsidP="00162CCB">
            <w:r>
              <w:rPr>
                <w:rFonts w:ascii="Arial" w:hAnsi="Arial" w:cs="Arial"/>
                <w:sz w:val="20"/>
                <w:szCs w:val="20"/>
              </w:rPr>
              <w:t>22,139</w:t>
            </w:r>
          </w:p>
        </w:tc>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14:paraId="13D67669" w14:textId="3D4C4F5A" w:rsidR="00162CCB" w:rsidRDefault="00162CCB" w:rsidP="00162CCB">
            <w:pPr>
              <w:jc w:val="center"/>
              <w:rPr>
                <w:rFonts w:ascii="Arial" w:hAnsi="Arial" w:cs="Arial"/>
                <w:sz w:val="20"/>
                <w:szCs w:val="20"/>
              </w:rPr>
            </w:pPr>
            <w:r>
              <w:rPr>
                <w:rFonts w:ascii="Arial" w:hAnsi="Arial" w:cs="Arial"/>
                <w:sz w:val="20"/>
                <w:szCs w:val="20"/>
              </w:rPr>
              <w:t>A</w:t>
            </w:r>
          </w:p>
        </w:tc>
      </w:tr>
      <w:tr w:rsidR="00162CCB" w:rsidRPr="007A1396" w14:paraId="6CFEA4AC" w14:textId="25895424" w:rsidTr="00162CCB">
        <w:trPr>
          <w:trHeight w:val="300"/>
        </w:trPr>
        <w:tc>
          <w:tcPr>
            <w:tcW w:w="6569" w:type="dxa"/>
            <w:hideMark/>
          </w:tcPr>
          <w:p w14:paraId="5A4552AB" w14:textId="77777777" w:rsidR="00162CCB" w:rsidRPr="007A1396" w:rsidRDefault="00162CCB" w:rsidP="00162CCB">
            <w:r w:rsidRPr="007A1396">
              <w:t>Number of CIUs</w:t>
            </w:r>
          </w:p>
        </w:tc>
        <w:tc>
          <w:tcPr>
            <w:tcW w:w="1524" w:type="dxa"/>
            <w:hideMark/>
          </w:tcPr>
          <w:p w14:paraId="3081574B" w14:textId="20828386" w:rsidR="00162CCB" w:rsidRPr="007A1396" w:rsidRDefault="00162CCB" w:rsidP="00162CCB">
            <w:r>
              <w:rPr>
                <w:rFonts w:ascii="Arial" w:hAnsi="Arial" w:cs="Arial"/>
                <w:sz w:val="20"/>
                <w:szCs w:val="20"/>
              </w:rPr>
              <w:t>9,541</w:t>
            </w:r>
          </w:p>
        </w:tc>
        <w:tc>
          <w:tcPr>
            <w:tcW w:w="812" w:type="dxa"/>
            <w:tcBorders>
              <w:top w:val="nil"/>
              <w:left w:val="single" w:sz="4" w:space="0" w:color="auto"/>
              <w:bottom w:val="single" w:sz="4" w:space="0" w:color="auto"/>
              <w:right w:val="single" w:sz="4" w:space="0" w:color="auto"/>
            </w:tcBorders>
            <w:shd w:val="clear" w:color="auto" w:fill="auto"/>
            <w:vAlign w:val="bottom"/>
          </w:tcPr>
          <w:p w14:paraId="206DB32F" w14:textId="338D0710" w:rsidR="00162CCB" w:rsidRDefault="00162CCB" w:rsidP="00162CCB">
            <w:pPr>
              <w:jc w:val="center"/>
              <w:rPr>
                <w:rFonts w:ascii="Arial" w:hAnsi="Arial" w:cs="Arial"/>
                <w:sz w:val="20"/>
                <w:szCs w:val="20"/>
              </w:rPr>
            </w:pPr>
            <w:r>
              <w:rPr>
                <w:rFonts w:ascii="Arial" w:hAnsi="Arial" w:cs="Arial"/>
                <w:sz w:val="20"/>
                <w:szCs w:val="20"/>
              </w:rPr>
              <w:t>A</w:t>
            </w:r>
          </w:p>
        </w:tc>
      </w:tr>
      <w:tr w:rsidR="00162CCB" w:rsidRPr="007A1396" w14:paraId="7410B19B" w14:textId="2B7FDE34" w:rsidTr="00162CCB">
        <w:trPr>
          <w:trHeight w:val="300"/>
        </w:trPr>
        <w:tc>
          <w:tcPr>
            <w:tcW w:w="6569" w:type="dxa"/>
            <w:hideMark/>
          </w:tcPr>
          <w:p w14:paraId="00003ED1" w14:textId="77777777" w:rsidR="00162CCB" w:rsidRPr="007A1396" w:rsidRDefault="00162CCB" w:rsidP="00162CCB">
            <w:r w:rsidRPr="007A1396">
              <w:t>Number of noncategorical-SIUs</w:t>
            </w:r>
          </w:p>
        </w:tc>
        <w:tc>
          <w:tcPr>
            <w:tcW w:w="1524" w:type="dxa"/>
            <w:hideMark/>
          </w:tcPr>
          <w:p w14:paraId="247693CC" w14:textId="49FC5FD4" w:rsidR="00162CCB" w:rsidRPr="007A1396" w:rsidRDefault="00162CCB" w:rsidP="00162CCB">
            <w:r>
              <w:rPr>
                <w:rFonts w:ascii="Arial" w:hAnsi="Arial" w:cs="Arial"/>
                <w:sz w:val="20"/>
                <w:szCs w:val="20"/>
              </w:rPr>
              <w:t>12,598</w:t>
            </w:r>
          </w:p>
        </w:tc>
        <w:tc>
          <w:tcPr>
            <w:tcW w:w="812" w:type="dxa"/>
            <w:tcBorders>
              <w:top w:val="nil"/>
              <w:left w:val="single" w:sz="4" w:space="0" w:color="auto"/>
              <w:bottom w:val="single" w:sz="4" w:space="0" w:color="auto"/>
              <w:right w:val="single" w:sz="4" w:space="0" w:color="auto"/>
            </w:tcBorders>
            <w:shd w:val="clear" w:color="auto" w:fill="auto"/>
            <w:vAlign w:val="bottom"/>
          </w:tcPr>
          <w:p w14:paraId="637C3958" w14:textId="4454C2B6" w:rsidR="00162CCB" w:rsidRDefault="00162CCB" w:rsidP="00162CCB">
            <w:pPr>
              <w:jc w:val="center"/>
              <w:rPr>
                <w:rFonts w:ascii="Arial" w:hAnsi="Arial" w:cs="Arial"/>
                <w:sz w:val="20"/>
                <w:szCs w:val="20"/>
              </w:rPr>
            </w:pPr>
            <w:r>
              <w:rPr>
                <w:rFonts w:ascii="Arial" w:hAnsi="Arial" w:cs="Arial"/>
                <w:sz w:val="20"/>
                <w:szCs w:val="20"/>
              </w:rPr>
              <w:t>A</w:t>
            </w:r>
          </w:p>
        </w:tc>
      </w:tr>
      <w:tr w:rsidR="00162CCB" w:rsidRPr="007A1396" w14:paraId="088FC3DF" w14:textId="2FB0D79C" w:rsidTr="00162CCB">
        <w:trPr>
          <w:trHeight w:val="300"/>
        </w:trPr>
        <w:tc>
          <w:tcPr>
            <w:tcW w:w="6569" w:type="dxa"/>
            <w:hideMark/>
          </w:tcPr>
          <w:p w14:paraId="3F7A6D49" w14:textId="77777777" w:rsidR="00162CCB" w:rsidRPr="007A1396" w:rsidRDefault="00162CCB" w:rsidP="00162CCB">
            <w:r w:rsidRPr="007A1396">
              <w:t>Number of Zero-Discharge NSCIUs</w:t>
            </w:r>
          </w:p>
        </w:tc>
        <w:tc>
          <w:tcPr>
            <w:tcW w:w="1524" w:type="dxa"/>
            <w:hideMark/>
          </w:tcPr>
          <w:p w14:paraId="56BF6B99" w14:textId="71F53209" w:rsidR="00162CCB" w:rsidRPr="007A1396" w:rsidRDefault="00162CCB" w:rsidP="00162CCB">
            <w:r>
              <w:rPr>
                <w:rFonts w:ascii="Arial" w:hAnsi="Arial" w:cs="Arial"/>
                <w:sz w:val="20"/>
                <w:szCs w:val="20"/>
              </w:rPr>
              <w:t>548</w:t>
            </w:r>
          </w:p>
        </w:tc>
        <w:tc>
          <w:tcPr>
            <w:tcW w:w="812" w:type="dxa"/>
            <w:tcBorders>
              <w:top w:val="nil"/>
              <w:left w:val="single" w:sz="4" w:space="0" w:color="auto"/>
              <w:bottom w:val="single" w:sz="4" w:space="0" w:color="auto"/>
              <w:right w:val="single" w:sz="4" w:space="0" w:color="auto"/>
            </w:tcBorders>
            <w:shd w:val="clear" w:color="auto" w:fill="auto"/>
            <w:vAlign w:val="bottom"/>
          </w:tcPr>
          <w:p w14:paraId="2E4C5211" w14:textId="02BE880D" w:rsidR="00162CCB" w:rsidRDefault="00162CCB" w:rsidP="00162CCB">
            <w:pPr>
              <w:jc w:val="center"/>
              <w:rPr>
                <w:rFonts w:ascii="Arial" w:hAnsi="Arial" w:cs="Arial"/>
                <w:sz w:val="20"/>
                <w:szCs w:val="20"/>
              </w:rPr>
            </w:pPr>
            <w:r>
              <w:rPr>
                <w:rFonts w:ascii="Arial" w:hAnsi="Arial" w:cs="Arial"/>
                <w:sz w:val="20"/>
                <w:szCs w:val="20"/>
              </w:rPr>
              <w:t>B</w:t>
            </w:r>
          </w:p>
        </w:tc>
      </w:tr>
      <w:tr w:rsidR="00162CCB" w:rsidRPr="007A1396" w14:paraId="062AFB67" w14:textId="40F51A36" w:rsidTr="00162CCB">
        <w:trPr>
          <w:trHeight w:val="300"/>
        </w:trPr>
        <w:tc>
          <w:tcPr>
            <w:tcW w:w="6569" w:type="dxa"/>
            <w:hideMark/>
          </w:tcPr>
          <w:p w14:paraId="0E59FC16" w14:textId="77777777" w:rsidR="00162CCB" w:rsidRPr="007A1396" w:rsidRDefault="00162CCB" w:rsidP="00162CCB">
            <w:r w:rsidRPr="007A1396">
              <w:t>Number of CIUs that Discharge &gt; 0 and &lt; 100 gpd</w:t>
            </w:r>
          </w:p>
        </w:tc>
        <w:tc>
          <w:tcPr>
            <w:tcW w:w="1524" w:type="dxa"/>
            <w:hideMark/>
          </w:tcPr>
          <w:p w14:paraId="2D2882B4" w14:textId="668D844B" w:rsidR="00162CCB" w:rsidRPr="007A1396" w:rsidRDefault="00162CCB" w:rsidP="00162CCB">
            <w:r>
              <w:rPr>
                <w:rFonts w:ascii="Arial" w:hAnsi="Arial" w:cs="Arial"/>
                <w:sz w:val="20"/>
                <w:szCs w:val="20"/>
              </w:rPr>
              <w:t>883</w:t>
            </w:r>
          </w:p>
        </w:tc>
        <w:tc>
          <w:tcPr>
            <w:tcW w:w="812" w:type="dxa"/>
            <w:tcBorders>
              <w:top w:val="nil"/>
              <w:left w:val="single" w:sz="4" w:space="0" w:color="auto"/>
              <w:bottom w:val="single" w:sz="4" w:space="0" w:color="auto"/>
              <w:right w:val="single" w:sz="4" w:space="0" w:color="auto"/>
            </w:tcBorders>
            <w:shd w:val="clear" w:color="auto" w:fill="auto"/>
            <w:vAlign w:val="bottom"/>
          </w:tcPr>
          <w:p w14:paraId="15FB60C3" w14:textId="62761C95" w:rsidR="00162CCB" w:rsidRDefault="00162CCB" w:rsidP="00162CCB">
            <w:pPr>
              <w:jc w:val="center"/>
              <w:rPr>
                <w:rFonts w:ascii="Arial" w:hAnsi="Arial" w:cs="Arial"/>
                <w:sz w:val="20"/>
                <w:szCs w:val="20"/>
              </w:rPr>
            </w:pPr>
            <w:r>
              <w:rPr>
                <w:rFonts w:ascii="Arial" w:hAnsi="Arial" w:cs="Arial"/>
                <w:sz w:val="20"/>
                <w:szCs w:val="20"/>
              </w:rPr>
              <w:t>B</w:t>
            </w:r>
          </w:p>
        </w:tc>
      </w:tr>
      <w:tr w:rsidR="00162CCB" w:rsidRPr="007A1396" w14:paraId="3209057F" w14:textId="67BBD5D4" w:rsidTr="00162CCB">
        <w:trPr>
          <w:trHeight w:val="300"/>
        </w:trPr>
        <w:tc>
          <w:tcPr>
            <w:tcW w:w="6569" w:type="dxa"/>
            <w:hideMark/>
          </w:tcPr>
          <w:p w14:paraId="39FB40E3" w14:textId="77777777" w:rsidR="00162CCB" w:rsidRPr="007A1396" w:rsidRDefault="00162CCB" w:rsidP="00162CCB">
            <w:r w:rsidRPr="007A1396">
              <w:t>Number of Non-Zero-Discharge NSCIUs</w:t>
            </w:r>
          </w:p>
        </w:tc>
        <w:tc>
          <w:tcPr>
            <w:tcW w:w="1524" w:type="dxa"/>
            <w:hideMark/>
          </w:tcPr>
          <w:p w14:paraId="76F50D38" w14:textId="5E19295B" w:rsidR="00162CCB" w:rsidRPr="007A1396" w:rsidRDefault="00162CCB" w:rsidP="00162CCB">
            <w:r>
              <w:rPr>
                <w:rFonts w:ascii="Arial" w:hAnsi="Arial" w:cs="Arial"/>
                <w:sz w:val="20"/>
                <w:szCs w:val="20"/>
              </w:rPr>
              <w:t>256</w:t>
            </w:r>
          </w:p>
        </w:tc>
        <w:tc>
          <w:tcPr>
            <w:tcW w:w="812" w:type="dxa"/>
            <w:tcBorders>
              <w:top w:val="nil"/>
              <w:left w:val="single" w:sz="4" w:space="0" w:color="auto"/>
              <w:bottom w:val="single" w:sz="4" w:space="0" w:color="auto"/>
              <w:right w:val="single" w:sz="4" w:space="0" w:color="auto"/>
            </w:tcBorders>
            <w:shd w:val="clear" w:color="auto" w:fill="auto"/>
            <w:vAlign w:val="bottom"/>
          </w:tcPr>
          <w:p w14:paraId="2C0720AD" w14:textId="6833735E" w:rsidR="00162CCB" w:rsidRDefault="00162CCB" w:rsidP="00162CCB">
            <w:pPr>
              <w:jc w:val="center"/>
              <w:rPr>
                <w:rFonts w:ascii="Arial" w:hAnsi="Arial" w:cs="Arial"/>
                <w:sz w:val="20"/>
                <w:szCs w:val="20"/>
              </w:rPr>
            </w:pPr>
            <w:r>
              <w:rPr>
                <w:rFonts w:ascii="Arial" w:hAnsi="Arial" w:cs="Arial"/>
                <w:sz w:val="20"/>
                <w:szCs w:val="20"/>
              </w:rPr>
              <w:t>B</w:t>
            </w:r>
          </w:p>
        </w:tc>
      </w:tr>
      <w:tr w:rsidR="00162CCB" w:rsidRPr="007A1396" w14:paraId="13B07208" w14:textId="287D4D96" w:rsidTr="00162CCB">
        <w:trPr>
          <w:trHeight w:val="300"/>
        </w:trPr>
        <w:tc>
          <w:tcPr>
            <w:tcW w:w="6569" w:type="dxa"/>
            <w:hideMark/>
          </w:tcPr>
          <w:p w14:paraId="1F249F32" w14:textId="77777777" w:rsidR="00162CCB" w:rsidRPr="007A1396" w:rsidRDefault="00162CCB" w:rsidP="00162CCB">
            <w:r w:rsidRPr="007A1396">
              <w:t>Number of NSCIUs</w:t>
            </w:r>
          </w:p>
        </w:tc>
        <w:tc>
          <w:tcPr>
            <w:tcW w:w="1524" w:type="dxa"/>
            <w:hideMark/>
          </w:tcPr>
          <w:p w14:paraId="5AFC14A2" w14:textId="0654686C" w:rsidR="00162CCB" w:rsidRPr="007A1396" w:rsidRDefault="00162CCB" w:rsidP="00162CCB">
            <w:r>
              <w:rPr>
                <w:rFonts w:ascii="Arial" w:hAnsi="Arial" w:cs="Arial"/>
                <w:sz w:val="20"/>
                <w:szCs w:val="20"/>
              </w:rPr>
              <w:t>804</w:t>
            </w:r>
          </w:p>
        </w:tc>
        <w:tc>
          <w:tcPr>
            <w:tcW w:w="812" w:type="dxa"/>
            <w:tcBorders>
              <w:top w:val="nil"/>
              <w:left w:val="single" w:sz="4" w:space="0" w:color="auto"/>
              <w:bottom w:val="single" w:sz="4" w:space="0" w:color="auto"/>
              <w:right w:val="single" w:sz="4" w:space="0" w:color="auto"/>
            </w:tcBorders>
            <w:shd w:val="clear" w:color="auto" w:fill="auto"/>
            <w:vAlign w:val="bottom"/>
          </w:tcPr>
          <w:p w14:paraId="6A164AEE" w14:textId="18DDDBEE" w:rsidR="00162CCB" w:rsidRDefault="00162CCB" w:rsidP="00162CCB">
            <w:pPr>
              <w:jc w:val="center"/>
              <w:rPr>
                <w:rFonts w:ascii="Arial" w:hAnsi="Arial" w:cs="Arial"/>
                <w:sz w:val="20"/>
                <w:szCs w:val="20"/>
              </w:rPr>
            </w:pPr>
            <w:r>
              <w:rPr>
                <w:rFonts w:ascii="Arial" w:hAnsi="Arial" w:cs="Arial"/>
                <w:sz w:val="20"/>
                <w:szCs w:val="20"/>
              </w:rPr>
              <w:t>B</w:t>
            </w:r>
          </w:p>
        </w:tc>
      </w:tr>
      <w:tr w:rsidR="00162CCB" w:rsidRPr="007A1396" w14:paraId="1C3C3F3A" w14:textId="74458BB0" w:rsidTr="00162CCB">
        <w:trPr>
          <w:trHeight w:val="300"/>
        </w:trPr>
        <w:tc>
          <w:tcPr>
            <w:tcW w:w="6569" w:type="dxa"/>
            <w:hideMark/>
          </w:tcPr>
          <w:p w14:paraId="731354F3" w14:textId="77777777" w:rsidR="00162CCB" w:rsidRPr="007A1396" w:rsidRDefault="00162CCB" w:rsidP="00162CCB">
            <w:r w:rsidRPr="007A1396">
              <w:t>Number of Middle Tier CIUs</w:t>
            </w:r>
          </w:p>
        </w:tc>
        <w:tc>
          <w:tcPr>
            <w:tcW w:w="1524" w:type="dxa"/>
            <w:hideMark/>
          </w:tcPr>
          <w:p w14:paraId="47AEE962" w14:textId="6F369AF9" w:rsidR="00162CCB" w:rsidRPr="007A1396" w:rsidRDefault="00162CCB" w:rsidP="00162CCB">
            <w:r>
              <w:rPr>
                <w:rFonts w:ascii="Arial" w:hAnsi="Arial" w:cs="Arial"/>
                <w:sz w:val="20"/>
                <w:szCs w:val="20"/>
              </w:rPr>
              <w:t>2,862</w:t>
            </w:r>
          </w:p>
        </w:tc>
        <w:tc>
          <w:tcPr>
            <w:tcW w:w="812" w:type="dxa"/>
            <w:tcBorders>
              <w:top w:val="nil"/>
              <w:left w:val="single" w:sz="4" w:space="0" w:color="auto"/>
              <w:bottom w:val="single" w:sz="4" w:space="0" w:color="auto"/>
              <w:right w:val="single" w:sz="4" w:space="0" w:color="auto"/>
            </w:tcBorders>
            <w:shd w:val="clear" w:color="auto" w:fill="auto"/>
            <w:vAlign w:val="bottom"/>
          </w:tcPr>
          <w:p w14:paraId="2B0CC91D" w14:textId="124AF9D4" w:rsidR="00162CCB" w:rsidRDefault="00162CCB" w:rsidP="00162CCB">
            <w:pPr>
              <w:jc w:val="center"/>
              <w:rPr>
                <w:rFonts w:ascii="Arial" w:hAnsi="Arial" w:cs="Arial"/>
                <w:sz w:val="20"/>
                <w:szCs w:val="20"/>
              </w:rPr>
            </w:pPr>
            <w:r>
              <w:rPr>
                <w:rFonts w:ascii="Arial" w:hAnsi="Arial" w:cs="Arial"/>
                <w:sz w:val="20"/>
                <w:szCs w:val="20"/>
              </w:rPr>
              <w:t>B</w:t>
            </w:r>
          </w:p>
        </w:tc>
      </w:tr>
      <w:tr w:rsidR="00162CCB" w:rsidRPr="007A1396" w14:paraId="5D8B993A" w14:textId="248C1FD9" w:rsidTr="00162CCB">
        <w:trPr>
          <w:trHeight w:val="300"/>
        </w:trPr>
        <w:tc>
          <w:tcPr>
            <w:tcW w:w="6569" w:type="dxa"/>
            <w:hideMark/>
          </w:tcPr>
          <w:p w14:paraId="4E5259C1" w14:textId="77777777" w:rsidR="00162CCB" w:rsidRPr="007A1396" w:rsidRDefault="00162CCB" w:rsidP="00162CCB">
            <w:r w:rsidRPr="007A1396">
              <w:t>Number of Middle Tier CIUs that reduce monitoring</w:t>
            </w:r>
          </w:p>
        </w:tc>
        <w:tc>
          <w:tcPr>
            <w:tcW w:w="1524" w:type="dxa"/>
            <w:hideMark/>
          </w:tcPr>
          <w:p w14:paraId="484A181B" w14:textId="1CE434F3" w:rsidR="00162CCB" w:rsidRPr="007A1396" w:rsidRDefault="00162CCB" w:rsidP="00162CCB">
            <w:r>
              <w:rPr>
                <w:rFonts w:ascii="Arial" w:hAnsi="Arial" w:cs="Arial"/>
                <w:sz w:val="20"/>
                <w:szCs w:val="20"/>
              </w:rPr>
              <w:t>830</w:t>
            </w:r>
          </w:p>
        </w:tc>
        <w:tc>
          <w:tcPr>
            <w:tcW w:w="812" w:type="dxa"/>
            <w:tcBorders>
              <w:top w:val="nil"/>
              <w:left w:val="single" w:sz="4" w:space="0" w:color="auto"/>
              <w:bottom w:val="single" w:sz="4" w:space="0" w:color="auto"/>
              <w:right w:val="single" w:sz="4" w:space="0" w:color="auto"/>
            </w:tcBorders>
            <w:shd w:val="clear" w:color="auto" w:fill="auto"/>
            <w:vAlign w:val="bottom"/>
          </w:tcPr>
          <w:p w14:paraId="2EAE9828" w14:textId="615EEE9D" w:rsidR="00162CCB" w:rsidRDefault="00162CCB" w:rsidP="00162CCB">
            <w:pPr>
              <w:jc w:val="center"/>
              <w:rPr>
                <w:rFonts w:ascii="Arial" w:hAnsi="Arial" w:cs="Arial"/>
                <w:sz w:val="20"/>
                <w:szCs w:val="20"/>
              </w:rPr>
            </w:pPr>
            <w:r>
              <w:rPr>
                <w:rFonts w:ascii="Arial" w:hAnsi="Arial" w:cs="Arial"/>
                <w:sz w:val="20"/>
                <w:szCs w:val="20"/>
              </w:rPr>
              <w:t>B</w:t>
            </w:r>
          </w:p>
        </w:tc>
      </w:tr>
      <w:tr w:rsidR="00162CCB" w:rsidRPr="007A1396" w14:paraId="324C83E1" w14:textId="7B100594" w:rsidTr="00162CCB">
        <w:trPr>
          <w:trHeight w:val="300"/>
        </w:trPr>
        <w:tc>
          <w:tcPr>
            <w:tcW w:w="6569" w:type="dxa"/>
            <w:hideMark/>
          </w:tcPr>
          <w:p w14:paraId="4F82229B" w14:textId="77777777" w:rsidR="00162CCB" w:rsidRPr="007A1396" w:rsidRDefault="00162CCB" w:rsidP="00162CCB">
            <w:r w:rsidRPr="007A1396">
              <w:t xml:space="preserve">Number of State Run POTW Pretreatment Programs in 40 CFR §403.10(e) States </w:t>
            </w:r>
          </w:p>
        </w:tc>
        <w:tc>
          <w:tcPr>
            <w:tcW w:w="1524" w:type="dxa"/>
            <w:hideMark/>
          </w:tcPr>
          <w:p w14:paraId="4E767AA9" w14:textId="79D016BB" w:rsidR="00162CCB" w:rsidRPr="007A1396" w:rsidRDefault="00162CCB" w:rsidP="00162CCB">
            <w:r>
              <w:rPr>
                <w:rFonts w:ascii="Arial" w:hAnsi="Arial" w:cs="Arial"/>
                <w:sz w:val="20"/>
                <w:szCs w:val="20"/>
              </w:rPr>
              <w:t>85</w:t>
            </w:r>
          </w:p>
        </w:tc>
        <w:tc>
          <w:tcPr>
            <w:tcW w:w="812" w:type="dxa"/>
            <w:tcBorders>
              <w:top w:val="nil"/>
              <w:left w:val="single" w:sz="4" w:space="0" w:color="auto"/>
              <w:bottom w:val="single" w:sz="4" w:space="0" w:color="auto"/>
              <w:right w:val="single" w:sz="4" w:space="0" w:color="auto"/>
            </w:tcBorders>
            <w:shd w:val="clear" w:color="auto" w:fill="auto"/>
            <w:vAlign w:val="bottom"/>
          </w:tcPr>
          <w:p w14:paraId="30B2F0CF" w14:textId="11F4EA82" w:rsidR="00162CCB" w:rsidRDefault="00162CCB" w:rsidP="00162CCB">
            <w:pPr>
              <w:jc w:val="center"/>
              <w:rPr>
                <w:rFonts w:ascii="Arial" w:hAnsi="Arial" w:cs="Arial"/>
                <w:sz w:val="20"/>
                <w:szCs w:val="20"/>
              </w:rPr>
            </w:pPr>
            <w:r>
              <w:rPr>
                <w:rFonts w:ascii="Arial" w:hAnsi="Arial" w:cs="Arial"/>
                <w:sz w:val="20"/>
                <w:szCs w:val="20"/>
              </w:rPr>
              <w:t>A</w:t>
            </w:r>
          </w:p>
        </w:tc>
      </w:tr>
      <w:tr w:rsidR="00162CCB" w:rsidRPr="007A1396" w14:paraId="10020459" w14:textId="5BCCFA5B" w:rsidTr="00162CCB">
        <w:trPr>
          <w:trHeight w:val="300"/>
        </w:trPr>
        <w:tc>
          <w:tcPr>
            <w:tcW w:w="6569" w:type="dxa"/>
            <w:hideMark/>
          </w:tcPr>
          <w:p w14:paraId="3C6C2A73" w14:textId="77777777" w:rsidR="00162CCB" w:rsidRPr="007A1396" w:rsidRDefault="00162CCB" w:rsidP="00162CCB">
            <w:r w:rsidRPr="007A1396">
              <w:t>Total Number of Approved Programs</w:t>
            </w:r>
          </w:p>
        </w:tc>
        <w:tc>
          <w:tcPr>
            <w:tcW w:w="1524" w:type="dxa"/>
            <w:hideMark/>
          </w:tcPr>
          <w:p w14:paraId="1CA56435" w14:textId="3F04F693" w:rsidR="00162CCB" w:rsidRPr="007A1396" w:rsidRDefault="00162CCB" w:rsidP="00162CCB">
            <w:r>
              <w:rPr>
                <w:rFonts w:ascii="Arial" w:hAnsi="Arial" w:cs="Arial"/>
                <w:sz w:val="20"/>
                <w:szCs w:val="20"/>
              </w:rPr>
              <w:t>1,576</w:t>
            </w:r>
          </w:p>
        </w:tc>
        <w:tc>
          <w:tcPr>
            <w:tcW w:w="812" w:type="dxa"/>
            <w:tcBorders>
              <w:top w:val="nil"/>
              <w:left w:val="single" w:sz="4" w:space="0" w:color="auto"/>
              <w:bottom w:val="single" w:sz="4" w:space="0" w:color="auto"/>
              <w:right w:val="single" w:sz="4" w:space="0" w:color="auto"/>
            </w:tcBorders>
            <w:shd w:val="clear" w:color="auto" w:fill="auto"/>
            <w:vAlign w:val="bottom"/>
          </w:tcPr>
          <w:p w14:paraId="61AD67FF" w14:textId="7BD53F29" w:rsidR="00162CCB" w:rsidRDefault="00162CCB" w:rsidP="00162CCB">
            <w:pPr>
              <w:jc w:val="center"/>
              <w:rPr>
                <w:rFonts w:ascii="Arial" w:hAnsi="Arial" w:cs="Arial"/>
                <w:sz w:val="20"/>
                <w:szCs w:val="20"/>
              </w:rPr>
            </w:pPr>
            <w:r>
              <w:rPr>
                <w:rFonts w:ascii="Arial" w:hAnsi="Arial" w:cs="Arial"/>
                <w:sz w:val="20"/>
                <w:szCs w:val="20"/>
              </w:rPr>
              <w:t>A</w:t>
            </w:r>
          </w:p>
        </w:tc>
      </w:tr>
      <w:tr w:rsidR="00162CCB" w:rsidRPr="007A1396" w14:paraId="75DEBEAE" w14:textId="547B93E7" w:rsidTr="00162CCB">
        <w:trPr>
          <w:trHeight w:val="300"/>
        </w:trPr>
        <w:tc>
          <w:tcPr>
            <w:tcW w:w="6569" w:type="dxa"/>
            <w:hideMark/>
          </w:tcPr>
          <w:p w14:paraId="386D7B90" w14:textId="77777777" w:rsidR="00162CCB" w:rsidRPr="007A1396" w:rsidRDefault="00162CCB" w:rsidP="00162CCB">
            <w:r w:rsidRPr="007A1396">
              <w:t>Number of 40 CFR §403.10(e) States</w:t>
            </w:r>
          </w:p>
        </w:tc>
        <w:tc>
          <w:tcPr>
            <w:tcW w:w="1524" w:type="dxa"/>
            <w:hideMark/>
          </w:tcPr>
          <w:p w14:paraId="5B2A03C0" w14:textId="3C743BF2" w:rsidR="00162CCB" w:rsidRPr="007A1396" w:rsidRDefault="00162CCB" w:rsidP="00162CCB">
            <w:r>
              <w:rPr>
                <w:rFonts w:ascii="Arial" w:hAnsi="Arial" w:cs="Arial"/>
                <w:sz w:val="20"/>
                <w:szCs w:val="20"/>
              </w:rPr>
              <w:t>5</w:t>
            </w:r>
          </w:p>
        </w:tc>
        <w:tc>
          <w:tcPr>
            <w:tcW w:w="812" w:type="dxa"/>
            <w:tcBorders>
              <w:top w:val="nil"/>
              <w:left w:val="single" w:sz="4" w:space="0" w:color="auto"/>
              <w:bottom w:val="single" w:sz="4" w:space="0" w:color="auto"/>
              <w:right w:val="single" w:sz="4" w:space="0" w:color="auto"/>
            </w:tcBorders>
            <w:shd w:val="clear" w:color="auto" w:fill="auto"/>
            <w:vAlign w:val="bottom"/>
          </w:tcPr>
          <w:p w14:paraId="23E5DED5" w14:textId="3EE5021A" w:rsidR="00162CCB" w:rsidRDefault="00162CCB" w:rsidP="00162CCB">
            <w:pPr>
              <w:jc w:val="center"/>
              <w:rPr>
                <w:rFonts w:ascii="Arial" w:hAnsi="Arial" w:cs="Arial"/>
                <w:sz w:val="20"/>
                <w:szCs w:val="20"/>
              </w:rPr>
            </w:pPr>
            <w:r>
              <w:rPr>
                <w:rFonts w:ascii="Arial" w:hAnsi="Arial" w:cs="Arial"/>
                <w:sz w:val="20"/>
                <w:szCs w:val="20"/>
              </w:rPr>
              <w:t>A</w:t>
            </w:r>
          </w:p>
        </w:tc>
      </w:tr>
      <w:tr w:rsidR="00162CCB" w:rsidRPr="007A1396" w14:paraId="18D95A44" w14:textId="44A26A05" w:rsidTr="00162CCB">
        <w:trPr>
          <w:trHeight w:val="300"/>
        </w:trPr>
        <w:tc>
          <w:tcPr>
            <w:tcW w:w="6569" w:type="dxa"/>
            <w:hideMark/>
          </w:tcPr>
          <w:p w14:paraId="7D46028F" w14:textId="77777777" w:rsidR="00162CCB" w:rsidRPr="007A1396" w:rsidRDefault="00162CCB" w:rsidP="00162CCB">
            <w:r w:rsidRPr="007A1396">
              <w:t>Number of States with approved Pretreatment Programs</w:t>
            </w:r>
          </w:p>
        </w:tc>
        <w:tc>
          <w:tcPr>
            <w:tcW w:w="1524" w:type="dxa"/>
            <w:hideMark/>
          </w:tcPr>
          <w:p w14:paraId="01DD10C7" w14:textId="522C84E3" w:rsidR="00162CCB" w:rsidRPr="007A1396" w:rsidRDefault="00162CCB" w:rsidP="00162CCB">
            <w:r>
              <w:rPr>
                <w:rFonts w:ascii="Arial" w:hAnsi="Arial" w:cs="Arial"/>
                <w:sz w:val="20"/>
                <w:szCs w:val="20"/>
              </w:rPr>
              <w:t>36</w:t>
            </w:r>
          </w:p>
        </w:tc>
        <w:tc>
          <w:tcPr>
            <w:tcW w:w="812" w:type="dxa"/>
            <w:tcBorders>
              <w:top w:val="nil"/>
              <w:left w:val="single" w:sz="4" w:space="0" w:color="auto"/>
              <w:bottom w:val="single" w:sz="4" w:space="0" w:color="auto"/>
              <w:right w:val="single" w:sz="4" w:space="0" w:color="auto"/>
            </w:tcBorders>
            <w:shd w:val="clear" w:color="auto" w:fill="auto"/>
            <w:vAlign w:val="bottom"/>
          </w:tcPr>
          <w:p w14:paraId="25CA1716" w14:textId="728E832C" w:rsidR="00162CCB" w:rsidRDefault="00162CCB" w:rsidP="00162CCB">
            <w:pPr>
              <w:jc w:val="center"/>
              <w:rPr>
                <w:rFonts w:ascii="Arial" w:hAnsi="Arial" w:cs="Arial"/>
                <w:sz w:val="20"/>
                <w:szCs w:val="20"/>
              </w:rPr>
            </w:pPr>
            <w:r>
              <w:rPr>
                <w:rFonts w:ascii="Arial" w:hAnsi="Arial" w:cs="Arial"/>
                <w:sz w:val="20"/>
                <w:szCs w:val="20"/>
              </w:rPr>
              <w:t>A</w:t>
            </w:r>
          </w:p>
        </w:tc>
      </w:tr>
      <w:tr w:rsidR="00162CCB" w:rsidRPr="007A1396" w14:paraId="542214E9" w14:textId="54E47597" w:rsidTr="00162CCB">
        <w:trPr>
          <w:trHeight w:val="300"/>
        </w:trPr>
        <w:tc>
          <w:tcPr>
            <w:tcW w:w="6569" w:type="dxa"/>
            <w:hideMark/>
          </w:tcPr>
          <w:p w14:paraId="6568B07B" w14:textId="77777777" w:rsidR="00162CCB" w:rsidRPr="007A1396" w:rsidRDefault="00162CCB" w:rsidP="00162CCB">
            <w:r w:rsidRPr="007A1396">
              <w:t>Number of SIUs with POTWs as Control Authority</w:t>
            </w:r>
          </w:p>
        </w:tc>
        <w:tc>
          <w:tcPr>
            <w:tcW w:w="1524" w:type="dxa"/>
            <w:hideMark/>
          </w:tcPr>
          <w:p w14:paraId="7C473DFD" w14:textId="10F2C75E" w:rsidR="00162CCB" w:rsidRPr="007A1396" w:rsidRDefault="00162CCB" w:rsidP="00162CCB">
            <w:r>
              <w:rPr>
                <w:rFonts w:ascii="Arial" w:hAnsi="Arial" w:cs="Arial"/>
                <w:sz w:val="20"/>
                <w:szCs w:val="20"/>
              </w:rPr>
              <w:t>19,652</w:t>
            </w:r>
          </w:p>
        </w:tc>
        <w:tc>
          <w:tcPr>
            <w:tcW w:w="812" w:type="dxa"/>
            <w:tcBorders>
              <w:top w:val="nil"/>
              <w:left w:val="single" w:sz="4" w:space="0" w:color="auto"/>
              <w:bottom w:val="single" w:sz="4" w:space="0" w:color="auto"/>
              <w:right w:val="single" w:sz="4" w:space="0" w:color="auto"/>
            </w:tcBorders>
            <w:shd w:val="clear" w:color="auto" w:fill="auto"/>
            <w:vAlign w:val="bottom"/>
          </w:tcPr>
          <w:p w14:paraId="5B801073" w14:textId="604B261E" w:rsidR="00162CCB" w:rsidRDefault="00162CCB" w:rsidP="00162CCB">
            <w:pPr>
              <w:jc w:val="center"/>
              <w:rPr>
                <w:rFonts w:ascii="Arial" w:hAnsi="Arial" w:cs="Arial"/>
                <w:sz w:val="20"/>
                <w:szCs w:val="20"/>
              </w:rPr>
            </w:pPr>
            <w:r>
              <w:rPr>
                <w:rFonts w:ascii="Arial" w:hAnsi="Arial" w:cs="Arial"/>
                <w:sz w:val="20"/>
                <w:szCs w:val="20"/>
              </w:rPr>
              <w:t>A</w:t>
            </w:r>
          </w:p>
        </w:tc>
      </w:tr>
      <w:tr w:rsidR="00162CCB" w:rsidRPr="007A1396" w14:paraId="741B31EC" w14:textId="5B03E983" w:rsidTr="00162CCB">
        <w:trPr>
          <w:trHeight w:val="300"/>
        </w:trPr>
        <w:tc>
          <w:tcPr>
            <w:tcW w:w="6569" w:type="dxa"/>
            <w:hideMark/>
          </w:tcPr>
          <w:p w14:paraId="3A890E2E" w14:textId="77777777" w:rsidR="00162CCB" w:rsidRPr="007A1396" w:rsidRDefault="00162CCB" w:rsidP="00162CCB">
            <w:r w:rsidRPr="007A1396">
              <w:t>Percentage of SIUs with POTWs as Control Authority</w:t>
            </w:r>
          </w:p>
        </w:tc>
        <w:tc>
          <w:tcPr>
            <w:tcW w:w="1524" w:type="dxa"/>
            <w:hideMark/>
          </w:tcPr>
          <w:p w14:paraId="36F1C4E4" w14:textId="4CD71EE4" w:rsidR="00162CCB" w:rsidRPr="007A1396" w:rsidRDefault="00162CCB" w:rsidP="00162CCB">
            <w:r>
              <w:rPr>
                <w:rFonts w:ascii="Arial" w:hAnsi="Arial" w:cs="Arial"/>
                <w:sz w:val="20"/>
                <w:szCs w:val="20"/>
              </w:rPr>
              <w:t>88.8%</w:t>
            </w:r>
          </w:p>
        </w:tc>
        <w:tc>
          <w:tcPr>
            <w:tcW w:w="812" w:type="dxa"/>
            <w:tcBorders>
              <w:top w:val="nil"/>
              <w:left w:val="single" w:sz="4" w:space="0" w:color="auto"/>
              <w:bottom w:val="single" w:sz="4" w:space="0" w:color="auto"/>
              <w:right w:val="single" w:sz="4" w:space="0" w:color="auto"/>
            </w:tcBorders>
            <w:shd w:val="clear" w:color="auto" w:fill="auto"/>
            <w:vAlign w:val="bottom"/>
          </w:tcPr>
          <w:p w14:paraId="40222958" w14:textId="3E0245E8" w:rsidR="00162CCB" w:rsidRDefault="00162CCB" w:rsidP="00162CCB">
            <w:pPr>
              <w:jc w:val="center"/>
              <w:rPr>
                <w:rFonts w:ascii="Arial" w:hAnsi="Arial" w:cs="Arial"/>
                <w:sz w:val="20"/>
                <w:szCs w:val="20"/>
              </w:rPr>
            </w:pPr>
            <w:r>
              <w:rPr>
                <w:rFonts w:ascii="Arial" w:hAnsi="Arial" w:cs="Arial"/>
                <w:sz w:val="20"/>
                <w:szCs w:val="20"/>
              </w:rPr>
              <w:t>A</w:t>
            </w:r>
          </w:p>
        </w:tc>
      </w:tr>
      <w:tr w:rsidR="00162CCB" w:rsidRPr="007A1396" w14:paraId="6F17BCB0" w14:textId="7998FE3D" w:rsidTr="00162CCB">
        <w:trPr>
          <w:trHeight w:val="300"/>
        </w:trPr>
        <w:tc>
          <w:tcPr>
            <w:tcW w:w="6569" w:type="dxa"/>
            <w:hideMark/>
          </w:tcPr>
          <w:p w14:paraId="5257156E" w14:textId="77777777" w:rsidR="00162CCB" w:rsidRPr="007A1396" w:rsidRDefault="00162CCB" w:rsidP="00162CCB">
            <w:r w:rsidRPr="007A1396">
              <w:t>Number of SIUs with State/EPA as Control Authority</w:t>
            </w:r>
          </w:p>
        </w:tc>
        <w:tc>
          <w:tcPr>
            <w:tcW w:w="1524" w:type="dxa"/>
            <w:hideMark/>
          </w:tcPr>
          <w:p w14:paraId="71DE0FF9" w14:textId="73C8DE14" w:rsidR="00162CCB" w:rsidRPr="007A1396" w:rsidRDefault="00162CCB" w:rsidP="00162CCB">
            <w:r>
              <w:rPr>
                <w:rFonts w:ascii="Arial" w:hAnsi="Arial" w:cs="Arial"/>
                <w:sz w:val="20"/>
                <w:szCs w:val="20"/>
              </w:rPr>
              <w:t>2,487</w:t>
            </w:r>
          </w:p>
        </w:tc>
        <w:tc>
          <w:tcPr>
            <w:tcW w:w="812" w:type="dxa"/>
            <w:tcBorders>
              <w:top w:val="nil"/>
              <w:left w:val="single" w:sz="4" w:space="0" w:color="auto"/>
              <w:bottom w:val="single" w:sz="4" w:space="0" w:color="auto"/>
              <w:right w:val="single" w:sz="4" w:space="0" w:color="auto"/>
            </w:tcBorders>
            <w:shd w:val="clear" w:color="auto" w:fill="auto"/>
            <w:vAlign w:val="bottom"/>
          </w:tcPr>
          <w:p w14:paraId="7D5E723A" w14:textId="7840BC88" w:rsidR="00162CCB" w:rsidRDefault="00162CCB" w:rsidP="00162CCB">
            <w:pPr>
              <w:jc w:val="center"/>
              <w:rPr>
                <w:rFonts w:ascii="Arial" w:hAnsi="Arial" w:cs="Arial"/>
                <w:sz w:val="20"/>
                <w:szCs w:val="20"/>
              </w:rPr>
            </w:pPr>
            <w:r>
              <w:rPr>
                <w:rFonts w:ascii="Arial" w:hAnsi="Arial" w:cs="Arial"/>
                <w:sz w:val="20"/>
                <w:szCs w:val="20"/>
              </w:rPr>
              <w:t>A</w:t>
            </w:r>
          </w:p>
        </w:tc>
      </w:tr>
      <w:tr w:rsidR="00162CCB" w:rsidRPr="007A1396" w14:paraId="6CA1A6C5" w14:textId="2B5115E1" w:rsidTr="00162CCB">
        <w:trPr>
          <w:trHeight w:val="300"/>
        </w:trPr>
        <w:tc>
          <w:tcPr>
            <w:tcW w:w="6569" w:type="dxa"/>
            <w:hideMark/>
          </w:tcPr>
          <w:p w14:paraId="7CAEA83D" w14:textId="7BFC8984" w:rsidR="00162CCB" w:rsidRPr="007A1396" w:rsidRDefault="00162CCB" w:rsidP="00162CCB">
            <w:r w:rsidRPr="007A1396">
              <w:t>Percentage of SIUs with State as Control Authority</w:t>
            </w:r>
          </w:p>
        </w:tc>
        <w:tc>
          <w:tcPr>
            <w:tcW w:w="1524" w:type="dxa"/>
            <w:hideMark/>
          </w:tcPr>
          <w:p w14:paraId="5379398D" w14:textId="22348EA8" w:rsidR="00162CCB" w:rsidRPr="007A1396" w:rsidRDefault="00162CCB" w:rsidP="00162CCB">
            <w:r>
              <w:rPr>
                <w:rFonts w:ascii="Arial" w:hAnsi="Arial" w:cs="Arial"/>
                <w:sz w:val="20"/>
                <w:szCs w:val="20"/>
              </w:rPr>
              <w:t>8.5%</w:t>
            </w:r>
          </w:p>
        </w:tc>
        <w:tc>
          <w:tcPr>
            <w:tcW w:w="812" w:type="dxa"/>
            <w:tcBorders>
              <w:top w:val="nil"/>
              <w:left w:val="single" w:sz="4" w:space="0" w:color="auto"/>
              <w:bottom w:val="single" w:sz="4" w:space="0" w:color="auto"/>
              <w:right w:val="single" w:sz="4" w:space="0" w:color="auto"/>
            </w:tcBorders>
            <w:shd w:val="clear" w:color="auto" w:fill="auto"/>
            <w:vAlign w:val="bottom"/>
          </w:tcPr>
          <w:p w14:paraId="60C1277C" w14:textId="668D92C8" w:rsidR="00162CCB" w:rsidRDefault="00162CCB" w:rsidP="00162CCB">
            <w:pPr>
              <w:jc w:val="center"/>
              <w:rPr>
                <w:rFonts w:ascii="Arial" w:hAnsi="Arial" w:cs="Arial"/>
                <w:sz w:val="20"/>
                <w:szCs w:val="20"/>
              </w:rPr>
            </w:pPr>
            <w:r>
              <w:rPr>
                <w:rFonts w:ascii="Arial" w:hAnsi="Arial" w:cs="Arial"/>
                <w:sz w:val="20"/>
                <w:szCs w:val="20"/>
              </w:rPr>
              <w:t>A</w:t>
            </w:r>
          </w:p>
        </w:tc>
      </w:tr>
      <w:tr w:rsidR="00162CCB" w:rsidRPr="007A1396" w14:paraId="22072408" w14:textId="6D14BC93" w:rsidTr="00162CCB">
        <w:trPr>
          <w:trHeight w:val="300"/>
        </w:trPr>
        <w:tc>
          <w:tcPr>
            <w:tcW w:w="6569" w:type="dxa"/>
          </w:tcPr>
          <w:p w14:paraId="07A76BEF" w14:textId="47E0E8A6" w:rsidR="00162CCB" w:rsidRPr="007A1396" w:rsidRDefault="00162CCB" w:rsidP="00162CCB">
            <w:r w:rsidRPr="00924FEB">
              <w:t>Percentage of SIUs with EPA as Control Authority</w:t>
            </w:r>
          </w:p>
        </w:tc>
        <w:tc>
          <w:tcPr>
            <w:tcW w:w="1524" w:type="dxa"/>
          </w:tcPr>
          <w:p w14:paraId="3CE46BC4" w14:textId="1A4A146E" w:rsidR="00162CCB" w:rsidRDefault="00162CCB" w:rsidP="00162CCB">
            <w:pPr>
              <w:rPr>
                <w:rFonts w:ascii="Arial" w:hAnsi="Arial" w:cs="Arial"/>
                <w:sz w:val="20"/>
                <w:szCs w:val="20"/>
              </w:rPr>
            </w:pPr>
            <w:r>
              <w:rPr>
                <w:rFonts w:ascii="Arial" w:hAnsi="Arial" w:cs="Arial"/>
                <w:sz w:val="20"/>
                <w:szCs w:val="20"/>
              </w:rPr>
              <w:t>2.7%</w:t>
            </w:r>
          </w:p>
        </w:tc>
        <w:tc>
          <w:tcPr>
            <w:tcW w:w="812" w:type="dxa"/>
            <w:tcBorders>
              <w:top w:val="nil"/>
              <w:left w:val="single" w:sz="4" w:space="0" w:color="auto"/>
              <w:bottom w:val="single" w:sz="4" w:space="0" w:color="auto"/>
              <w:right w:val="single" w:sz="4" w:space="0" w:color="auto"/>
            </w:tcBorders>
            <w:shd w:val="clear" w:color="auto" w:fill="auto"/>
            <w:vAlign w:val="bottom"/>
          </w:tcPr>
          <w:p w14:paraId="4F934F42" w14:textId="6044F9B7" w:rsidR="00162CCB" w:rsidRDefault="00162CCB" w:rsidP="00162CCB">
            <w:pPr>
              <w:jc w:val="center"/>
              <w:rPr>
                <w:rFonts w:ascii="Arial" w:hAnsi="Arial" w:cs="Arial"/>
                <w:sz w:val="20"/>
                <w:szCs w:val="20"/>
              </w:rPr>
            </w:pPr>
            <w:r>
              <w:rPr>
                <w:rFonts w:ascii="Arial" w:hAnsi="Arial" w:cs="Arial"/>
                <w:sz w:val="20"/>
                <w:szCs w:val="20"/>
              </w:rPr>
              <w:t>A</w:t>
            </w:r>
          </w:p>
        </w:tc>
      </w:tr>
      <w:tr w:rsidR="00162CCB" w:rsidRPr="007A1396" w14:paraId="0B211284" w14:textId="61547A8E" w:rsidTr="00162CCB">
        <w:trPr>
          <w:trHeight w:val="300"/>
        </w:trPr>
        <w:tc>
          <w:tcPr>
            <w:tcW w:w="6569" w:type="dxa"/>
            <w:hideMark/>
          </w:tcPr>
          <w:p w14:paraId="1087B786" w14:textId="77777777" w:rsidR="00162CCB" w:rsidRPr="007A1396" w:rsidRDefault="00162CCB" w:rsidP="00162CCB">
            <w:r w:rsidRPr="007A1396">
              <w:t>Percentage of SIUs Resampling (for violations)</w:t>
            </w:r>
          </w:p>
        </w:tc>
        <w:tc>
          <w:tcPr>
            <w:tcW w:w="1524" w:type="dxa"/>
            <w:hideMark/>
          </w:tcPr>
          <w:p w14:paraId="41984F25" w14:textId="555186B1" w:rsidR="00162CCB" w:rsidRPr="007A1396" w:rsidRDefault="00162CCB" w:rsidP="00162CCB">
            <w:r>
              <w:rPr>
                <w:rFonts w:ascii="Arial" w:hAnsi="Arial" w:cs="Arial"/>
                <w:sz w:val="20"/>
                <w:szCs w:val="20"/>
              </w:rPr>
              <w:t>10%</w:t>
            </w:r>
          </w:p>
        </w:tc>
        <w:tc>
          <w:tcPr>
            <w:tcW w:w="812" w:type="dxa"/>
            <w:tcBorders>
              <w:top w:val="nil"/>
              <w:left w:val="single" w:sz="4" w:space="0" w:color="auto"/>
              <w:bottom w:val="single" w:sz="4" w:space="0" w:color="auto"/>
              <w:right w:val="single" w:sz="4" w:space="0" w:color="auto"/>
            </w:tcBorders>
            <w:shd w:val="clear" w:color="auto" w:fill="auto"/>
            <w:vAlign w:val="bottom"/>
          </w:tcPr>
          <w:p w14:paraId="00EE82CA" w14:textId="512CD35F" w:rsidR="00162CCB" w:rsidRDefault="00162CCB" w:rsidP="00162CCB">
            <w:pPr>
              <w:jc w:val="center"/>
              <w:rPr>
                <w:rFonts w:ascii="Arial" w:hAnsi="Arial" w:cs="Arial"/>
                <w:sz w:val="20"/>
                <w:szCs w:val="20"/>
              </w:rPr>
            </w:pPr>
            <w:r>
              <w:rPr>
                <w:rFonts w:ascii="Arial" w:hAnsi="Arial" w:cs="Arial"/>
                <w:sz w:val="20"/>
                <w:szCs w:val="20"/>
              </w:rPr>
              <w:t>A</w:t>
            </w:r>
          </w:p>
        </w:tc>
      </w:tr>
      <w:tr w:rsidR="00162CCB" w:rsidRPr="007A1396" w14:paraId="4E2ED565" w14:textId="591C33C2" w:rsidTr="00162CCB">
        <w:trPr>
          <w:trHeight w:val="300"/>
        </w:trPr>
        <w:tc>
          <w:tcPr>
            <w:tcW w:w="6569" w:type="dxa"/>
            <w:hideMark/>
          </w:tcPr>
          <w:p w14:paraId="0ECFFDCA" w14:textId="33A90EF7" w:rsidR="00162CCB" w:rsidRPr="007A1396" w:rsidRDefault="00162CCB" w:rsidP="00162CCB">
            <w:r w:rsidRPr="007A1396">
              <w:t xml:space="preserve">Hourly Rate for </w:t>
            </w:r>
            <w:r w:rsidR="00455491">
              <w:t>f</w:t>
            </w:r>
            <w:r w:rsidRPr="007A1396">
              <w:t>ederal employees (50% Overhead (OH))</w:t>
            </w:r>
          </w:p>
        </w:tc>
        <w:tc>
          <w:tcPr>
            <w:tcW w:w="1524" w:type="dxa"/>
            <w:hideMark/>
          </w:tcPr>
          <w:p w14:paraId="5C47EBD3" w14:textId="77AFEB53" w:rsidR="00162CCB" w:rsidRPr="007A1396" w:rsidRDefault="00162CCB" w:rsidP="00162CCB">
            <w:r>
              <w:rPr>
                <w:rFonts w:ascii="Arial" w:hAnsi="Arial" w:cs="Arial"/>
                <w:sz w:val="20"/>
                <w:szCs w:val="20"/>
              </w:rPr>
              <w:t>42.40</w:t>
            </w:r>
          </w:p>
        </w:tc>
        <w:tc>
          <w:tcPr>
            <w:tcW w:w="812" w:type="dxa"/>
            <w:tcBorders>
              <w:top w:val="nil"/>
              <w:left w:val="single" w:sz="4" w:space="0" w:color="auto"/>
              <w:bottom w:val="single" w:sz="4" w:space="0" w:color="auto"/>
              <w:right w:val="single" w:sz="4" w:space="0" w:color="auto"/>
            </w:tcBorders>
            <w:shd w:val="clear" w:color="auto" w:fill="auto"/>
            <w:vAlign w:val="bottom"/>
          </w:tcPr>
          <w:p w14:paraId="29FA720B" w14:textId="3FB5C0F3" w:rsidR="00162CCB" w:rsidRDefault="00162CCB" w:rsidP="00162CCB">
            <w:pPr>
              <w:jc w:val="center"/>
              <w:rPr>
                <w:rFonts w:ascii="Arial" w:hAnsi="Arial" w:cs="Arial"/>
                <w:sz w:val="20"/>
                <w:szCs w:val="20"/>
              </w:rPr>
            </w:pPr>
            <w:r>
              <w:rPr>
                <w:rFonts w:ascii="Arial" w:hAnsi="Arial" w:cs="Arial"/>
                <w:sz w:val="20"/>
                <w:szCs w:val="20"/>
              </w:rPr>
              <w:t>C</w:t>
            </w:r>
          </w:p>
        </w:tc>
      </w:tr>
      <w:tr w:rsidR="00162CCB" w:rsidRPr="007A1396" w14:paraId="1DF31B76" w14:textId="07F5E9C4" w:rsidTr="00162CCB">
        <w:trPr>
          <w:trHeight w:val="300"/>
        </w:trPr>
        <w:tc>
          <w:tcPr>
            <w:tcW w:w="6569" w:type="dxa"/>
            <w:hideMark/>
          </w:tcPr>
          <w:p w14:paraId="75BD5210" w14:textId="77777777" w:rsidR="00162CCB" w:rsidRPr="007A1396" w:rsidRDefault="00162CCB" w:rsidP="00162CCB">
            <w:r w:rsidRPr="007A1396">
              <w:t>Hourly Rate for State employees (50% OH)</w:t>
            </w:r>
          </w:p>
        </w:tc>
        <w:tc>
          <w:tcPr>
            <w:tcW w:w="1524" w:type="dxa"/>
            <w:hideMark/>
          </w:tcPr>
          <w:p w14:paraId="7B022FDD" w14:textId="32E3C7F0" w:rsidR="00162CCB" w:rsidRPr="007A1396" w:rsidRDefault="00162CCB" w:rsidP="00162CCB">
            <w:r>
              <w:rPr>
                <w:rFonts w:ascii="Arial" w:hAnsi="Arial" w:cs="Arial"/>
                <w:sz w:val="20"/>
                <w:szCs w:val="20"/>
              </w:rPr>
              <w:t>43.56</w:t>
            </w:r>
          </w:p>
        </w:tc>
        <w:tc>
          <w:tcPr>
            <w:tcW w:w="812" w:type="dxa"/>
            <w:tcBorders>
              <w:top w:val="nil"/>
              <w:left w:val="single" w:sz="4" w:space="0" w:color="auto"/>
              <w:bottom w:val="single" w:sz="4" w:space="0" w:color="auto"/>
              <w:right w:val="single" w:sz="4" w:space="0" w:color="auto"/>
            </w:tcBorders>
            <w:shd w:val="clear" w:color="auto" w:fill="auto"/>
            <w:vAlign w:val="bottom"/>
          </w:tcPr>
          <w:p w14:paraId="0015A88C" w14:textId="3AB7F129" w:rsidR="00162CCB" w:rsidRDefault="00162CCB" w:rsidP="00162CCB">
            <w:pPr>
              <w:jc w:val="center"/>
              <w:rPr>
                <w:rFonts w:ascii="Arial" w:hAnsi="Arial" w:cs="Arial"/>
                <w:sz w:val="20"/>
                <w:szCs w:val="20"/>
              </w:rPr>
            </w:pPr>
            <w:r>
              <w:rPr>
                <w:rFonts w:ascii="Arial" w:hAnsi="Arial" w:cs="Arial"/>
                <w:sz w:val="20"/>
                <w:szCs w:val="20"/>
              </w:rPr>
              <w:t>C</w:t>
            </w:r>
          </w:p>
        </w:tc>
      </w:tr>
      <w:tr w:rsidR="00162CCB" w:rsidRPr="007A1396" w14:paraId="35402952" w14:textId="59EFBA01" w:rsidTr="00162CCB">
        <w:trPr>
          <w:trHeight w:val="300"/>
        </w:trPr>
        <w:tc>
          <w:tcPr>
            <w:tcW w:w="6569" w:type="dxa"/>
            <w:hideMark/>
          </w:tcPr>
          <w:p w14:paraId="1271402F" w14:textId="77777777" w:rsidR="00162CCB" w:rsidRPr="007A1396" w:rsidRDefault="00162CCB" w:rsidP="00162CCB">
            <w:r w:rsidRPr="007A1396">
              <w:t>Hourly Rate for POTW employees (50% OH)</w:t>
            </w:r>
          </w:p>
        </w:tc>
        <w:tc>
          <w:tcPr>
            <w:tcW w:w="1524" w:type="dxa"/>
            <w:hideMark/>
          </w:tcPr>
          <w:p w14:paraId="1DB7F509" w14:textId="677A1488" w:rsidR="00162CCB" w:rsidRPr="007A1396" w:rsidRDefault="00162CCB" w:rsidP="00162CCB">
            <w:r>
              <w:rPr>
                <w:rFonts w:ascii="Arial" w:hAnsi="Arial" w:cs="Arial"/>
                <w:sz w:val="20"/>
                <w:szCs w:val="20"/>
              </w:rPr>
              <w:t>40.76</w:t>
            </w:r>
          </w:p>
        </w:tc>
        <w:tc>
          <w:tcPr>
            <w:tcW w:w="812" w:type="dxa"/>
            <w:tcBorders>
              <w:top w:val="nil"/>
              <w:left w:val="single" w:sz="4" w:space="0" w:color="auto"/>
              <w:bottom w:val="single" w:sz="4" w:space="0" w:color="auto"/>
              <w:right w:val="single" w:sz="4" w:space="0" w:color="auto"/>
            </w:tcBorders>
            <w:shd w:val="clear" w:color="auto" w:fill="auto"/>
            <w:vAlign w:val="bottom"/>
          </w:tcPr>
          <w:p w14:paraId="5CBFAC94" w14:textId="3DAB854A" w:rsidR="00162CCB" w:rsidRDefault="00162CCB" w:rsidP="00162CCB">
            <w:pPr>
              <w:jc w:val="center"/>
              <w:rPr>
                <w:rFonts w:ascii="Arial" w:hAnsi="Arial" w:cs="Arial"/>
                <w:sz w:val="20"/>
                <w:szCs w:val="20"/>
              </w:rPr>
            </w:pPr>
            <w:r>
              <w:rPr>
                <w:rFonts w:ascii="Arial" w:hAnsi="Arial" w:cs="Arial"/>
                <w:sz w:val="20"/>
                <w:szCs w:val="20"/>
              </w:rPr>
              <w:t>C</w:t>
            </w:r>
          </w:p>
        </w:tc>
      </w:tr>
      <w:tr w:rsidR="00162CCB" w:rsidRPr="007A1396" w14:paraId="714B0305" w14:textId="404C86AD" w:rsidTr="00162CCB">
        <w:trPr>
          <w:trHeight w:val="300"/>
        </w:trPr>
        <w:tc>
          <w:tcPr>
            <w:tcW w:w="6569" w:type="dxa"/>
            <w:hideMark/>
          </w:tcPr>
          <w:p w14:paraId="797DFA77" w14:textId="77777777" w:rsidR="00162CCB" w:rsidRPr="007A1396" w:rsidRDefault="00162CCB" w:rsidP="00162CCB">
            <w:r w:rsidRPr="007A1396">
              <w:t>Hourly Rate for Private Industry employees (100% OH)</w:t>
            </w:r>
          </w:p>
        </w:tc>
        <w:tc>
          <w:tcPr>
            <w:tcW w:w="1524" w:type="dxa"/>
            <w:hideMark/>
          </w:tcPr>
          <w:p w14:paraId="70FE929A" w14:textId="51729726" w:rsidR="00162CCB" w:rsidRPr="007A1396" w:rsidRDefault="00162CCB" w:rsidP="00162CCB">
            <w:r>
              <w:rPr>
                <w:rFonts w:ascii="Arial" w:hAnsi="Arial" w:cs="Arial"/>
                <w:sz w:val="20"/>
                <w:szCs w:val="20"/>
              </w:rPr>
              <w:t>53.56</w:t>
            </w:r>
          </w:p>
        </w:tc>
        <w:tc>
          <w:tcPr>
            <w:tcW w:w="812" w:type="dxa"/>
            <w:tcBorders>
              <w:top w:val="nil"/>
              <w:left w:val="single" w:sz="4" w:space="0" w:color="auto"/>
              <w:bottom w:val="single" w:sz="4" w:space="0" w:color="auto"/>
              <w:right w:val="single" w:sz="4" w:space="0" w:color="auto"/>
            </w:tcBorders>
            <w:shd w:val="clear" w:color="auto" w:fill="auto"/>
            <w:vAlign w:val="bottom"/>
          </w:tcPr>
          <w:p w14:paraId="52D77DAD" w14:textId="78254816" w:rsidR="00162CCB" w:rsidRDefault="00162CCB" w:rsidP="00162CCB">
            <w:pPr>
              <w:jc w:val="center"/>
              <w:rPr>
                <w:rFonts w:ascii="Arial" w:hAnsi="Arial" w:cs="Arial"/>
                <w:sz w:val="20"/>
                <w:szCs w:val="20"/>
              </w:rPr>
            </w:pPr>
            <w:r>
              <w:rPr>
                <w:rFonts w:ascii="Arial" w:hAnsi="Arial" w:cs="Arial"/>
                <w:sz w:val="20"/>
                <w:szCs w:val="20"/>
              </w:rPr>
              <w:t>C</w:t>
            </w:r>
          </w:p>
        </w:tc>
      </w:tr>
      <w:tr w:rsidR="00162CCB" w:rsidRPr="007A1396" w14:paraId="21E462B4" w14:textId="2FFD4617" w:rsidTr="00162CCB">
        <w:trPr>
          <w:trHeight w:val="300"/>
        </w:trPr>
        <w:tc>
          <w:tcPr>
            <w:tcW w:w="6569" w:type="dxa"/>
            <w:hideMark/>
          </w:tcPr>
          <w:p w14:paraId="65BFD85E" w14:textId="77777777" w:rsidR="00162CCB" w:rsidRPr="007A1396" w:rsidRDefault="00162CCB" w:rsidP="00162CCB">
            <w:r w:rsidRPr="007A1396">
              <w:t>Number of New Source CIUs</w:t>
            </w:r>
          </w:p>
        </w:tc>
        <w:tc>
          <w:tcPr>
            <w:tcW w:w="1524" w:type="dxa"/>
            <w:hideMark/>
          </w:tcPr>
          <w:p w14:paraId="0BDC6A3D" w14:textId="341D5C4E" w:rsidR="00162CCB" w:rsidRPr="007A1396" w:rsidRDefault="00162CCB" w:rsidP="00162CCB">
            <w:r>
              <w:rPr>
                <w:rFonts w:ascii="Arial" w:hAnsi="Arial" w:cs="Arial"/>
                <w:sz w:val="20"/>
                <w:szCs w:val="20"/>
              </w:rPr>
              <w:t>195</w:t>
            </w:r>
          </w:p>
        </w:tc>
        <w:tc>
          <w:tcPr>
            <w:tcW w:w="812" w:type="dxa"/>
            <w:tcBorders>
              <w:top w:val="nil"/>
              <w:left w:val="single" w:sz="4" w:space="0" w:color="auto"/>
              <w:bottom w:val="single" w:sz="4" w:space="0" w:color="auto"/>
              <w:right w:val="single" w:sz="4" w:space="0" w:color="auto"/>
            </w:tcBorders>
            <w:shd w:val="clear" w:color="auto" w:fill="auto"/>
            <w:vAlign w:val="bottom"/>
          </w:tcPr>
          <w:p w14:paraId="2276BDF1" w14:textId="494B7CE3" w:rsidR="00162CCB" w:rsidRDefault="00162CCB" w:rsidP="00162CCB">
            <w:pPr>
              <w:jc w:val="center"/>
              <w:rPr>
                <w:rFonts w:ascii="Arial" w:hAnsi="Arial" w:cs="Arial"/>
                <w:sz w:val="20"/>
                <w:szCs w:val="20"/>
              </w:rPr>
            </w:pPr>
            <w:r>
              <w:rPr>
                <w:rFonts w:ascii="Arial" w:hAnsi="Arial" w:cs="Arial"/>
                <w:sz w:val="20"/>
                <w:szCs w:val="20"/>
              </w:rPr>
              <w:t>B</w:t>
            </w:r>
          </w:p>
        </w:tc>
      </w:tr>
      <w:tr w:rsidR="00162CCB" w:rsidRPr="007A1396" w14:paraId="7A153C51" w14:textId="40619B5F" w:rsidTr="00162CCB">
        <w:trPr>
          <w:trHeight w:val="300"/>
        </w:trPr>
        <w:tc>
          <w:tcPr>
            <w:tcW w:w="6569" w:type="dxa"/>
            <w:hideMark/>
          </w:tcPr>
          <w:p w14:paraId="51AB643D" w14:textId="77777777" w:rsidR="00162CCB" w:rsidRPr="007A1396" w:rsidRDefault="00162CCB" w:rsidP="00162CCB">
            <w:r w:rsidRPr="007A1396">
              <w:t>Number of POTWs with EPA as Approval Authority</w:t>
            </w:r>
          </w:p>
        </w:tc>
        <w:tc>
          <w:tcPr>
            <w:tcW w:w="1524" w:type="dxa"/>
            <w:hideMark/>
          </w:tcPr>
          <w:p w14:paraId="373151A0" w14:textId="656AEB75" w:rsidR="00162CCB" w:rsidRPr="007A1396" w:rsidRDefault="00162CCB" w:rsidP="00162CCB">
            <w:r>
              <w:rPr>
                <w:rFonts w:ascii="Arial" w:hAnsi="Arial" w:cs="Arial"/>
                <w:sz w:val="20"/>
                <w:szCs w:val="20"/>
              </w:rPr>
              <w:t>405</w:t>
            </w:r>
          </w:p>
        </w:tc>
        <w:tc>
          <w:tcPr>
            <w:tcW w:w="812" w:type="dxa"/>
            <w:tcBorders>
              <w:top w:val="nil"/>
              <w:left w:val="single" w:sz="4" w:space="0" w:color="auto"/>
              <w:bottom w:val="single" w:sz="4" w:space="0" w:color="auto"/>
              <w:right w:val="single" w:sz="4" w:space="0" w:color="auto"/>
            </w:tcBorders>
            <w:shd w:val="clear" w:color="auto" w:fill="auto"/>
            <w:vAlign w:val="bottom"/>
          </w:tcPr>
          <w:p w14:paraId="7B9256A9" w14:textId="7002E4E8" w:rsidR="00162CCB" w:rsidRDefault="00162CCB" w:rsidP="00162CCB">
            <w:pPr>
              <w:jc w:val="center"/>
              <w:rPr>
                <w:rFonts w:ascii="Arial" w:hAnsi="Arial" w:cs="Arial"/>
                <w:sz w:val="20"/>
                <w:szCs w:val="20"/>
              </w:rPr>
            </w:pPr>
            <w:r>
              <w:rPr>
                <w:rFonts w:ascii="Arial" w:hAnsi="Arial" w:cs="Arial"/>
                <w:sz w:val="20"/>
                <w:szCs w:val="20"/>
              </w:rPr>
              <w:t>A</w:t>
            </w:r>
          </w:p>
        </w:tc>
      </w:tr>
      <w:tr w:rsidR="00162CCB" w:rsidRPr="007A1396" w14:paraId="26720BDB" w14:textId="381398B7" w:rsidTr="00162CCB">
        <w:trPr>
          <w:trHeight w:val="300"/>
        </w:trPr>
        <w:tc>
          <w:tcPr>
            <w:tcW w:w="6569" w:type="dxa"/>
            <w:hideMark/>
          </w:tcPr>
          <w:p w14:paraId="1BB7DD6C" w14:textId="77777777" w:rsidR="00162CCB" w:rsidRPr="007A1396" w:rsidRDefault="00162CCB" w:rsidP="00162CCB">
            <w:r w:rsidRPr="007A1396">
              <w:t>Percentage of POTWs with EPA as Approval Authority</w:t>
            </w:r>
          </w:p>
        </w:tc>
        <w:tc>
          <w:tcPr>
            <w:tcW w:w="1524" w:type="dxa"/>
            <w:hideMark/>
          </w:tcPr>
          <w:p w14:paraId="77B64495" w14:textId="0D0D657D" w:rsidR="00162CCB" w:rsidRPr="007A1396" w:rsidRDefault="00162CCB" w:rsidP="00162CCB">
            <w:r>
              <w:rPr>
                <w:rFonts w:ascii="Arial" w:hAnsi="Arial" w:cs="Arial"/>
                <w:sz w:val="20"/>
                <w:szCs w:val="20"/>
              </w:rPr>
              <w:t>25.7%</w:t>
            </w:r>
          </w:p>
        </w:tc>
        <w:tc>
          <w:tcPr>
            <w:tcW w:w="812" w:type="dxa"/>
            <w:tcBorders>
              <w:top w:val="nil"/>
              <w:left w:val="single" w:sz="4" w:space="0" w:color="auto"/>
              <w:bottom w:val="single" w:sz="4" w:space="0" w:color="auto"/>
              <w:right w:val="single" w:sz="4" w:space="0" w:color="auto"/>
            </w:tcBorders>
            <w:shd w:val="clear" w:color="auto" w:fill="auto"/>
            <w:vAlign w:val="bottom"/>
          </w:tcPr>
          <w:p w14:paraId="62D6801E" w14:textId="3A148D52" w:rsidR="00162CCB" w:rsidRDefault="00162CCB" w:rsidP="00162CCB">
            <w:pPr>
              <w:jc w:val="center"/>
              <w:rPr>
                <w:rFonts w:ascii="Arial" w:hAnsi="Arial" w:cs="Arial"/>
                <w:sz w:val="20"/>
                <w:szCs w:val="20"/>
              </w:rPr>
            </w:pPr>
            <w:r>
              <w:rPr>
                <w:rFonts w:ascii="Arial" w:hAnsi="Arial" w:cs="Arial"/>
                <w:sz w:val="20"/>
                <w:szCs w:val="20"/>
              </w:rPr>
              <w:t>A</w:t>
            </w:r>
          </w:p>
        </w:tc>
      </w:tr>
      <w:tr w:rsidR="00162CCB" w:rsidRPr="007A1396" w14:paraId="7E885A92" w14:textId="59FDDE5B" w:rsidTr="00162CCB">
        <w:trPr>
          <w:trHeight w:val="300"/>
        </w:trPr>
        <w:tc>
          <w:tcPr>
            <w:tcW w:w="6569" w:type="dxa"/>
            <w:hideMark/>
          </w:tcPr>
          <w:p w14:paraId="003D90A0" w14:textId="77777777" w:rsidR="00162CCB" w:rsidRPr="007A1396" w:rsidRDefault="00162CCB" w:rsidP="00162CCB">
            <w:r w:rsidRPr="007A1396">
              <w:t>Number of POTWs with State as Approval Authority</w:t>
            </w:r>
          </w:p>
        </w:tc>
        <w:tc>
          <w:tcPr>
            <w:tcW w:w="1524" w:type="dxa"/>
            <w:hideMark/>
          </w:tcPr>
          <w:p w14:paraId="54E20937" w14:textId="55FB16AB" w:rsidR="00162CCB" w:rsidRPr="007A1396" w:rsidRDefault="00162CCB" w:rsidP="00162CCB">
            <w:r>
              <w:rPr>
                <w:rFonts w:ascii="Arial" w:hAnsi="Arial" w:cs="Arial"/>
                <w:sz w:val="20"/>
                <w:szCs w:val="20"/>
              </w:rPr>
              <w:t>1,171</w:t>
            </w:r>
          </w:p>
        </w:tc>
        <w:tc>
          <w:tcPr>
            <w:tcW w:w="812" w:type="dxa"/>
            <w:tcBorders>
              <w:top w:val="nil"/>
              <w:left w:val="single" w:sz="4" w:space="0" w:color="auto"/>
              <w:bottom w:val="single" w:sz="4" w:space="0" w:color="auto"/>
              <w:right w:val="single" w:sz="4" w:space="0" w:color="auto"/>
            </w:tcBorders>
            <w:shd w:val="clear" w:color="auto" w:fill="auto"/>
            <w:vAlign w:val="bottom"/>
          </w:tcPr>
          <w:p w14:paraId="7B4832A1" w14:textId="417E5223" w:rsidR="00162CCB" w:rsidRDefault="00162CCB" w:rsidP="00162CCB">
            <w:pPr>
              <w:jc w:val="center"/>
              <w:rPr>
                <w:rFonts w:ascii="Arial" w:hAnsi="Arial" w:cs="Arial"/>
                <w:sz w:val="20"/>
                <w:szCs w:val="20"/>
              </w:rPr>
            </w:pPr>
            <w:r>
              <w:rPr>
                <w:rFonts w:ascii="Arial" w:hAnsi="Arial" w:cs="Arial"/>
                <w:sz w:val="20"/>
                <w:szCs w:val="20"/>
              </w:rPr>
              <w:t>A</w:t>
            </w:r>
          </w:p>
        </w:tc>
      </w:tr>
      <w:tr w:rsidR="00162CCB" w:rsidRPr="007A1396" w14:paraId="024F20A1" w14:textId="1BCB4812" w:rsidTr="00162CCB">
        <w:trPr>
          <w:trHeight w:val="300"/>
        </w:trPr>
        <w:tc>
          <w:tcPr>
            <w:tcW w:w="6569" w:type="dxa"/>
            <w:hideMark/>
          </w:tcPr>
          <w:p w14:paraId="5007883A" w14:textId="77777777" w:rsidR="00162CCB" w:rsidRPr="007A1396" w:rsidRDefault="00162CCB" w:rsidP="00162CCB">
            <w:r w:rsidRPr="007A1396">
              <w:t>Percentage of POTWs with State as Approval Authority</w:t>
            </w:r>
          </w:p>
        </w:tc>
        <w:tc>
          <w:tcPr>
            <w:tcW w:w="1524" w:type="dxa"/>
            <w:hideMark/>
          </w:tcPr>
          <w:p w14:paraId="4C01F635" w14:textId="0B6CAA19" w:rsidR="00162CCB" w:rsidRPr="007A1396" w:rsidRDefault="00162CCB" w:rsidP="00162CCB">
            <w:r>
              <w:rPr>
                <w:rFonts w:ascii="Arial" w:hAnsi="Arial" w:cs="Arial"/>
                <w:sz w:val="20"/>
                <w:szCs w:val="20"/>
              </w:rPr>
              <w:t>74.3%</w:t>
            </w:r>
          </w:p>
        </w:tc>
        <w:tc>
          <w:tcPr>
            <w:tcW w:w="812" w:type="dxa"/>
            <w:tcBorders>
              <w:top w:val="nil"/>
              <w:left w:val="single" w:sz="4" w:space="0" w:color="auto"/>
              <w:bottom w:val="single" w:sz="4" w:space="0" w:color="auto"/>
              <w:right w:val="single" w:sz="4" w:space="0" w:color="auto"/>
            </w:tcBorders>
            <w:shd w:val="clear" w:color="auto" w:fill="auto"/>
            <w:vAlign w:val="bottom"/>
          </w:tcPr>
          <w:p w14:paraId="60989E7F" w14:textId="2621F045" w:rsidR="00162CCB" w:rsidRDefault="00162CCB" w:rsidP="00162CCB">
            <w:pPr>
              <w:jc w:val="center"/>
              <w:rPr>
                <w:rFonts w:ascii="Arial" w:hAnsi="Arial" w:cs="Arial"/>
                <w:sz w:val="20"/>
                <w:szCs w:val="20"/>
              </w:rPr>
            </w:pPr>
            <w:r>
              <w:rPr>
                <w:rFonts w:ascii="Arial" w:hAnsi="Arial" w:cs="Arial"/>
                <w:sz w:val="20"/>
                <w:szCs w:val="20"/>
              </w:rPr>
              <w:t>A</w:t>
            </w:r>
          </w:p>
        </w:tc>
      </w:tr>
      <w:tr w:rsidR="00162CCB" w:rsidRPr="007A1396" w14:paraId="43EC7929" w14:textId="5A0564AC" w:rsidTr="00162CCB">
        <w:trPr>
          <w:trHeight w:val="300"/>
        </w:trPr>
        <w:tc>
          <w:tcPr>
            <w:tcW w:w="6569" w:type="dxa"/>
            <w:hideMark/>
          </w:tcPr>
          <w:p w14:paraId="30A37E01" w14:textId="77777777" w:rsidR="00162CCB" w:rsidRPr="007A1396" w:rsidRDefault="00162CCB" w:rsidP="00162CCB">
            <w:r w:rsidRPr="007A1396">
              <w:t>Number of POTWs projected to develop a pretreatment program during the three-year ICR period</w:t>
            </w:r>
          </w:p>
        </w:tc>
        <w:tc>
          <w:tcPr>
            <w:tcW w:w="1524" w:type="dxa"/>
            <w:hideMark/>
          </w:tcPr>
          <w:p w14:paraId="0B25CB14" w14:textId="62C631B5" w:rsidR="00162CCB" w:rsidRPr="007A1396" w:rsidRDefault="00162CCB" w:rsidP="00162CCB">
            <w:r>
              <w:rPr>
                <w:rFonts w:ascii="Arial" w:hAnsi="Arial" w:cs="Arial"/>
                <w:sz w:val="20"/>
                <w:szCs w:val="20"/>
              </w:rPr>
              <w:t>20</w:t>
            </w:r>
          </w:p>
        </w:tc>
        <w:tc>
          <w:tcPr>
            <w:tcW w:w="812" w:type="dxa"/>
            <w:tcBorders>
              <w:top w:val="nil"/>
              <w:left w:val="single" w:sz="4" w:space="0" w:color="auto"/>
              <w:bottom w:val="single" w:sz="4" w:space="0" w:color="auto"/>
              <w:right w:val="single" w:sz="4" w:space="0" w:color="auto"/>
            </w:tcBorders>
            <w:shd w:val="clear" w:color="auto" w:fill="auto"/>
            <w:vAlign w:val="bottom"/>
          </w:tcPr>
          <w:p w14:paraId="1BF401F6" w14:textId="7F0B3B96" w:rsidR="00162CCB" w:rsidRDefault="00162CCB" w:rsidP="00162CCB">
            <w:pPr>
              <w:jc w:val="center"/>
              <w:rPr>
                <w:rFonts w:ascii="Arial" w:hAnsi="Arial" w:cs="Arial"/>
                <w:sz w:val="20"/>
                <w:szCs w:val="20"/>
              </w:rPr>
            </w:pPr>
            <w:r>
              <w:rPr>
                <w:rFonts w:ascii="Arial" w:hAnsi="Arial" w:cs="Arial"/>
                <w:sz w:val="20"/>
                <w:szCs w:val="20"/>
              </w:rPr>
              <w:t>D</w:t>
            </w:r>
          </w:p>
        </w:tc>
      </w:tr>
      <w:tr w:rsidR="00162CCB" w:rsidRPr="007A1396" w14:paraId="50C4E862" w14:textId="7AFC0E49" w:rsidTr="00162CCB">
        <w:trPr>
          <w:trHeight w:val="300"/>
        </w:trPr>
        <w:tc>
          <w:tcPr>
            <w:tcW w:w="6569" w:type="dxa"/>
            <w:hideMark/>
          </w:tcPr>
          <w:p w14:paraId="61F0EAE4" w14:textId="77777777" w:rsidR="00162CCB" w:rsidRPr="007A1396" w:rsidRDefault="00162CCB" w:rsidP="00162CCB">
            <w:r w:rsidRPr="007A1396">
              <w:t>Removal Credit Approval Requests</w:t>
            </w:r>
          </w:p>
        </w:tc>
        <w:tc>
          <w:tcPr>
            <w:tcW w:w="1524" w:type="dxa"/>
            <w:hideMark/>
          </w:tcPr>
          <w:p w14:paraId="7270143A" w14:textId="686DE889" w:rsidR="00162CCB" w:rsidRPr="007A1396" w:rsidRDefault="00162CCB" w:rsidP="00162CCB">
            <w:r>
              <w:rPr>
                <w:rFonts w:ascii="Arial" w:hAnsi="Arial" w:cs="Arial"/>
                <w:sz w:val="20"/>
                <w:szCs w:val="20"/>
              </w:rPr>
              <w:t>3</w:t>
            </w:r>
          </w:p>
        </w:tc>
        <w:tc>
          <w:tcPr>
            <w:tcW w:w="812" w:type="dxa"/>
            <w:tcBorders>
              <w:top w:val="nil"/>
              <w:left w:val="single" w:sz="4" w:space="0" w:color="auto"/>
              <w:bottom w:val="single" w:sz="4" w:space="0" w:color="auto"/>
              <w:right w:val="single" w:sz="4" w:space="0" w:color="auto"/>
            </w:tcBorders>
            <w:shd w:val="clear" w:color="auto" w:fill="auto"/>
            <w:vAlign w:val="bottom"/>
          </w:tcPr>
          <w:p w14:paraId="32BCF125" w14:textId="6CF9F65B" w:rsidR="00162CCB" w:rsidRDefault="00162CCB" w:rsidP="00162CCB">
            <w:pPr>
              <w:jc w:val="center"/>
              <w:rPr>
                <w:rFonts w:ascii="Arial" w:hAnsi="Arial" w:cs="Arial"/>
                <w:sz w:val="20"/>
                <w:szCs w:val="20"/>
              </w:rPr>
            </w:pPr>
            <w:r>
              <w:rPr>
                <w:rFonts w:ascii="Arial" w:hAnsi="Arial" w:cs="Arial"/>
                <w:sz w:val="20"/>
                <w:szCs w:val="20"/>
              </w:rPr>
              <w:t>E</w:t>
            </w:r>
          </w:p>
        </w:tc>
      </w:tr>
      <w:tr w:rsidR="00162CCB" w:rsidRPr="00162CCB" w14:paraId="490BEB8B" w14:textId="77777777" w:rsidTr="00162CCB">
        <w:trPr>
          <w:trHeight w:val="300"/>
        </w:trPr>
        <w:tc>
          <w:tcPr>
            <w:tcW w:w="6569" w:type="dxa"/>
            <w:noWrap/>
            <w:hideMark/>
          </w:tcPr>
          <w:p w14:paraId="0E7D8298" w14:textId="77777777" w:rsidR="00162CCB" w:rsidRPr="00436731" w:rsidRDefault="00162CCB" w:rsidP="00162CCB">
            <w:pPr>
              <w:widowControl/>
              <w:autoSpaceDE/>
              <w:autoSpaceDN/>
              <w:adjustRightInd/>
            </w:pPr>
            <w:r w:rsidRPr="00436731">
              <w:t>Percentage of CIUs that are &lt; 100 (including zero)</w:t>
            </w:r>
          </w:p>
        </w:tc>
        <w:tc>
          <w:tcPr>
            <w:tcW w:w="1524" w:type="dxa"/>
            <w:hideMark/>
          </w:tcPr>
          <w:p w14:paraId="0007BF0A" w14:textId="77777777" w:rsidR="00162CCB" w:rsidRPr="00162CCB" w:rsidRDefault="00162CCB" w:rsidP="00162CCB">
            <w:pPr>
              <w:widowControl/>
              <w:autoSpaceDE/>
              <w:autoSpaceDN/>
              <w:adjustRightInd/>
              <w:rPr>
                <w:rFonts w:ascii="Arial" w:hAnsi="Arial" w:cs="Arial"/>
                <w:sz w:val="20"/>
                <w:szCs w:val="20"/>
              </w:rPr>
            </w:pPr>
            <w:r w:rsidRPr="00162CCB">
              <w:rPr>
                <w:rFonts w:ascii="Arial" w:hAnsi="Arial" w:cs="Arial"/>
                <w:sz w:val="20"/>
                <w:szCs w:val="20"/>
              </w:rPr>
              <w:t>15.0%</w:t>
            </w:r>
          </w:p>
        </w:tc>
        <w:tc>
          <w:tcPr>
            <w:tcW w:w="812" w:type="dxa"/>
            <w:tcBorders>
              <w:top w:val="nil"/>
              <w:left w:val="single" w:sz="4" w:space="0" w:color="auto"/>
              <w:bottom w:val="single" w:sz="4" w:space="0" w:color="auto"/>
              <w:right w:val="single" w:sz="4" w:space="0" w:color="auto"/>
            </w:tcBorders>
            <w:shd w:val="clear" w:color="auto" w:fill="auto"/>
            <w:noWrap/>
            <w:vAlign w:val="bottom"/>
            <w:hideMark/>
          </w:tcPr>
          <w:p w14:paraId="4438907D" w14:textId="09DF5B3B" w:rsidR="00162CCB" w:rsidRPr="00162CCB" w:rsidRDefault="00162CCB" w:rsidP="00162CCB">
            <w:pPr>
              <w:widowControl/>
              <w:autoSpaceDE/>
              <w:autoSpaceDN/>
              <w:adjustRightInd/>
              <w:jc w:val="center"/>
              <w:rPr>
                <w:rFonts w:ascii="Arial" w:hAnsi="Arial" w:cs="Arial"/>
                <w:sz w:val="20"/>
                <w:szCs w:val="20"/>
              </w:rPr>
            </w:pPr>
            <w:r>
              <w:rPr>
                <w:rFonts w:ascii="Arial" w:hAnsi="Arial" w:cs="Arial"/>
                <w:sz w:val="20"/>
                <w:szCs w:val="20"/>
              </w:rPr>
              <w:t>E</w:t>
            </w:r>
          </w:p>
        </w:tc>
      </w:tr>
      <w:tr w:rsidR="00162CCB" w:rsidRPr="00162CCB" w14:paraId="594EE7FF" w14:textId="77777777" w:rsidTr="00162CCB">
        <w:trPr>
          <w:trHeight w:val="300"/>
        </w:trPr>
        <w:tc>
          <w:tcPr>
            <w:tcW w:w="6569" w:type="dxa"/>
            <w:noWrap/>
            <w:hideMark/>
          </w:tcPr>
          <w:p w14:paraId="69581CB1" w14:textId="77777777" w:rsidR="00162CCB" w:rsidRPr="00436731" w:rsidRDefault="00162CCB" w:rsidP="00162CCB">
            <w:pPr>
              <w:widowControl/>
              <w:autoSpaceDE/>
              <w:autoSpaceDN/>
              <w:adjustRightInd/>
            </w:pPr>
            <w:r w:rsidRPr="00436731">
              <w:t>Of which, percent that are zero dischargers</w:t>
            </w:r>
          </w:p>
        </w:tc>
        <w:tc>
          <w:tcPr>
            <w:tcW w:w="1524" w:type="dxa"/>
            <w:hideMark/>
          </w:tcPr>
          <w:p w14:paraId="7451B366" w14:textId="77777777" w:rsidR="00162CCB" w:rsidRPr="00162CCB" w:rsidRDefault="00162CCB" w:rsidP="00162CCB">
            <w:pPr>
              <w:widowControl/>
              <w:autoSpaceDE/>
              <w:autoSpaceDN/>
              <w:adjustRightInd/>
              <w:rPr>
                <w:rFonts w:ascii="Arial" w:hAnsi="Arial" w:cs="Arial"/>
                <w:sz w:val="20"/>
                <w:szCs w:val="20"/>
              </w:rPr>
            </w:pPr>
            <w:r w:rsidRPr="00162CCB">
              <w:rPr>
                <w:rFonts w:ascii="Arial" w:hAnsi="Arial" w:cs="Arial"/>
                <w:sz w:val="20"/>
                <w:szCs w:val="20"/>
              </w:rPr>
              <w:t>38.3%</w:t>
            </w:r>
          </w:p>
        </w:tc>
        <w:tc>
          <w:tcPr>
            <w:tcW w:w="812" w:type="dxa"/>
            <w:tcBorders>
              <w:top w:val="nil"/>
              <w:left w:val="single" w:sz="4" w:space="0" w:color="auto"/>
              <w:bottom w:val="single" w:sz="4" w:space="0" w:color="auto"/>
              <w:right w:val="single" w:sz="4" w:space="0" w:color="auto"/>
            </w:tcBorders>
            <w:shd w:val="clear" w:color="auto" w:fill="auto"/>
            <w:noWrap/>
            <w:vAlign w:val="bottom"/>
            <w:hideMark/>
          </w:tcPr>
          <w:p w14:paraId="7D5C4EFB" w14:textId="33174E45" w:rsidR="00162CCB" w:rsidRPr="00162CCB" w:rsidRDefault="00162CCB" w:rsidP="00162CCB">
            <w:pPr>
              <w:widowControl/>
              <w:autoSpaceDE/>
              <w:autoSpaceDN/>
              <w:adjustRightInd/>
              <w:jc w:val="center"/>
              <w:rPr>
                <w:rFonts w:ascii="Arial" w:hAnsi="Arial" w:cs="Arial"/>
                <w:sz w:val="20"/>
                <w:szCs w:val="20"/>
              </w:rPr>
            </w:pPr>
            <w:r>
              <w:rPr>
                <w:rFonts w:ascii="Arial" w:hAnsi="Arial" w:cs="Arial"/>
                <w:sz w:val="20"/>
                <w:szCs w:val="20"/>
              </w:rPr>
              <w:t>E</w:t>
            </w:r>
          </w:p>
        </w:tc>
      </w:tr>
      <w:tr w:rsidR="00162CCB" w:rsidRPr="00162CCB" w14:paraId="476247A3" w14:textId="77777777" w:rsidTr="00162CCB">
        <w:trPr>
          <w:trHeight w:val="300"/>
        </w:trPr>
        <w:tc>
          <w:tcPr>
            <w:tcW w:w="6569" w:type="dxa"/>
            <w:noWrap/>
            <w:hideMark/>
          </w:tcPr>
          <w:p w14:paraId="4327025F" w14:textId="77777777" w:rsidR="00162CCB" w:rsidRPr="00436731" w:rsidRDefault="00162CCB" w:rsidP="00162CCB">
            <w:pPr>
              <w:widowControl/>
              <w:autoSpaceDE/>
              <w:autoSpaceDN/>
              <w:adjustRightInd/>
            </w:pPr>
            <w:r w:rsidRPr="00436731">
              <w:lastRenderedPageBreak/>
              <w:t>Percentage of CIUs in the middle tier</w:t>
            </w:r>
          </w:p>
        </w:tc>
        <w:tc>
          <w:tcPr>
            <w:tcW w:w="1524" w:type="dxa"/>
            <w:hideMark/>
          </w:tcPr>
          <w:p w14:paraId="4A92BD18" w14:textId="77777777" w:rsidR="00162CCB" w:rsidRPr="00162CCB" w:rsidRDefault="00162CCB" w:rsidP="00162CCB">
            <w:pPr>
              <w:widowControl/>
              <w:autoSpaceDE/>
              <w:autoSpaceDN/>
              <w:adjustRightInd/>
              <w:rPr>
                <w:rFonts w:ascii="Arial" w:hAnsi="Arial" w:cs="Arial"/>
                <w:sz w:val="20"/>
                <w:szCs w:val="20"/>
              </w:rPr>
            </w:pPr>
            <w:r w:rsidRPr="00162CCB">
              <w:rPr>
                <w:rFonts w:ascii="Arial" w:hAnsi="Arial" w:cs="Arial"/>
                <w:sz w:val="20"/>
                <w:szCs w:val="20"/>
              </w:rPr>
              <w:t>30.0%</w:t>
            </w:r>
          </w:p>
        </w:tc>
        <w:tc>
          <w:tcPr>
            <w:tcW w:w="812" w:type="dxa"/>
            <w:tcBorders>
              <w:top w:val="nil"/>
              <w:left w:val="single" w:sz="4" w:space="0" w:color="auto"/>
              <w:bottom w:val="single" w:sz="4" w:space="0" w:color="auto"/>
              <w:right w:val="single" w:sz="4" w:space="0" w:color="auto"/>
            </w:tcBorders>
            <w:shd w:val="clear" w:color="auto" w:fill="auto"/>
            <w:noWrap/>
            <w:vAlign w:val="bottom"/>
            <w:hideMark/>
          </w:tcPr>
          <w:p w14:paraId="7A6D1F9A" w14:textId="66E92C19" w:rsidR="00162CCB" w:rsidRPr="00162CCB" w:rsidRDefault="00162CCB" w:rsidP="00162CCB">
            <w:pPr>
              <w:widowControl/>
              <w:autoSpaceDE/>
              <w:autoSpaceDN/>
              <w:adjustRightInd/>
              <w:jc w:val="center"/>
              <w:rPr>
                <w:rFonts w:ascii="Arial" w:hAnsi="Arial" w:cs="Arial"/>
                <w:sz w:val="20"/>
                <w:szCs w:val="20"/>
              </w:rPr>
            </w:pPr>
            <w:r>
              <w:rPr>
                <w:rFonts w:ascii="Arial" w:hAnsi="Arial" w:cs="Arial"/>
                <w:sz w:val="20"/>
                <w:szCs w:val="20"/>
              </w:rPr>
              <w:t>E</w:t>
            </w:r>
          </w:p>
        </w:tc>
      </w:tr>
      <w:tr w:rsidR="00162CCB" w:rsidRPr="00162CCB" w14:paraId="245F9957" w14:textId="77777777" w:rsidTr="00162CCB">
        <w:trPr>
          <w:trHeight w:val="300"/>
        </w:trPr>
        <w:tc>
          <w:tcPr>
            <w:tcW w:w="6569" w:type="dxa"/>
            <w:noWrap/>
            <w:hideMark/>
          </w:tcPr>
          <w:p w14:paraId="20631940" w14:textId="77777777" w:rsidR="00162CCB" w:rsidRPr="00436731" w:rsidRDefault="00162CCB" w:rsidP="00162CCB">
            <w:pPr>
              <w:widowControl/>
              <w:autoSpaceDE/>
              <w:autoSpaceDN/>
              <w:adjustRightInd/>
            </w:pPr>
            <w:r w:rsidRPr="00436731">
              <w:t>Percentage of middle tier that will reduce monitoring</w:t>
            </w:r>
          </w:p>
        </w:tc>
        <w:tc>
          <w:tcPr>
            <w:tcW w:w="1524" w:type="dxa"/>
            <w:hideMark/>
          </w:tcPr>
          <w:p w14:paraId="14CC6858" w14:textId="77777777" w:rsidR="00162CCB" w:rsidRPr="00162CCB" w:rsidRDefault="00162CCB" w:rsidP="00162CCB">
            <w:pPr>
              <w:widowControl/>
              <w:autoSpaceDE/>
              <w:autoSpaceDN/>
              <w:adjustRightInd/>
              <w:rPr>
                <w:rFonts w:ascii="Arial" w:hAnsi="Arial" w:cs="Arial"/>
                <w:sz w:val="20"/>
                <w:szCs w:val="20"/>
              </w:rPr>
            </w:pPr>
            <w:r w:rsidRPr="00162CCB">
              <w:rPr>
                <w:rFonts w:ascii="Arial" w:hAnsi="Arial" w:cs="Arial"/>
                <w:sz w:val="20"/>
                <w:szCs w:val="20"/>
              </w:rPr>
              <w:t>29.0%</w:t>
            </w:r>
          </w:p>
        </w:tc>
        <w:tc>
          <w:tcPr>
            <w:tcW w:w="812" w:type="dxa"/>
            <w:tcBorders>
              <w:top w:val="nil"/>
              <w:left w:val="single" w:sz="4" w:space="0" w:color="auto"/>
              <w:bottom w:val="single" w:sz="4" w:space="0" w:color="auto"/>
              <w:right w:val="single" w:sz="4" w:space="0" w:color="auto"/>
            </w:tcBorders>
            <w:shd w:val="clear" w:color="auto" w:fill="auto"/>
            <w:noWrap/>
            <w:vAlign w:val="bottom"/>
            <w:hideMark/>
          </w:tcPr>
          <w:p w14:paraId="00CBC560" w14:textId="31AF615C" w:rsidR="00162CCB" w:rsidRPr="00162CCB" w:rsidRDefault="00162CCB" w:rsidP="00162CCB">
            <w:pPr>
              <w:widowControl/>
              <w:autoSpaceDE/>
              <w:autoSpaceDN/>
              <w:adjustRightInd/>
              <w:jc w:val="center"/>
              <w:rPr>
                <w:rFonts w:ascii="Arial" w:hAnsi="Arial" w:cs="Arial"/>
                <w:sz w:val="20"/>
                <w:szCs w:val="20"/>
              </w:rPr>
            </w:pPr>
            <w:r>
              <w:rPr>
                <w:rFonts w:ascii="Arial" w:hAnsi="Arial" w:cs="Arial"/>
                <w:sz w:val="20"/>
                <w:szCs w:val="20"/>
              </w:rPr>
              <w:t>E</w:t>
            </w:r>
          </w:p>
        </w:tc>
      </w:tr>
    </w:tbl>
    <w:p w14:paraId="65C72EBE" w14:textId="77777777" w:rsidR="00C033F7" w:rsidRDefault="00C033F7" w:rsidP="00C033F7"/>
    <w:tbl>
      <w:tblPr>
        <w:tblW w:w="8920" w:type="dxa"/>
        <w:tblCellMar>
          <w:left w:w="0" w:type="dxa"/>
          <w:right w:w="0" w:type="dxa"/>
        </w:tblCellMar>
        <w:tblLook w:val="04A0" w:firstRow="1" w:lastRow="0" w:firstColumn="1" w:lastColumn="0" w:noHBand="0" w:noVBand="1"/>
      </w:tblPr>
      <w:tblGrid>
        <w:gridCol w:w="8936"/>
      </w:tblGrid>
      <w:tr w:rsidR="00162CCB" w14:paraId="32230541" w14:textId="77777777" w:rsidTr="00162CCB">
        <w:trPr>
          <w:trHeight w:val="300"/>
        </w:trPr>
        <w:tc>
          <w:tcPr>
            <w:tcW w:w="8920" w:type="dxa"/>
            <w:tcBorders>
              <w:top w:val="nil"/>
              <w:left w:val="nil"/>
              <w:bottom w:val="nil"/>
              <w:right w:val="nil"/>
            </w:tcBorders>
            <w:shd w:val="clear" w:color="auto" w:fill="auto"/>
            <w:noWrap/>
            <w:vAlign w:val="bottom"/>
            <w:hideMark/>
          </w:tcPr>
          <w:p w14:paraId="43370E0E" w14:textId="21993AEA" w:rsidR="00162CCB" w:rsidRDefault="005416C1">
            <w:pPr>
              <w:widowControl/>
              <w:autoSpaceDE/>
              <w:autoSpaceDN/>
              <w:adjustRightInd/>
              <w:rPr>
                <w:rFonts w:ascii="Arial" w:hAnsi="Arial" w:cs="Arial"/>
                <w:sz w:val="20"/>
                <w:szCs w:val="20"/>
              </w:rPr>
            </w:pPr>
            <w:r>
              <w:rPr>
                <w:rFonts w:ascii="Arial" w:hAnsi="Arial" w:cs="Arial"/>
                <w:sz w:val="20"/>
                <w:szCs w:val="20"/>
              </w:rPr>
              <w:t>Basis</w:t>
            </w:r>
            <w:r w:rsidR="00162CCB">
              <w:rPr>
                <w:rFonts w:ascii="Arial" w:hAnsi="Arial" w:cs="Arial"/>
                <w:sz w:val="20"/>
                <w:szCs w:val="20"/>
              </w:rPr>
              <w:t xml:space="preserve"> Codes:</w:t>
            </w:r>
          </w:p>
        </w:tc>
      </w:tr>
      <w:tr w:rsidR="00162CCB" w14:paraId="3F464350" w14:textId="77777777" w:rsidTr="00162CCB">
        <w:trPr>
          <w:trHeight w:val="300"/>
        </w:trPr>
        <w:tc>
          <w:tcPr>
            <w:tcW w:w="0" w:type="auto"/>
            <w:tcBorders>
              <w:top w:val="nil"/>
              <w:left w:val="nil"/>
              <w:bottom w:val="nil"/>
              <w:right w:val="nil"/>
            </w:tcBorders>
            <w:shd w:val="clear" w:color="auto" w:fill="auto"/>
            <w:noWrap/>
            <w:vAlign w:val="bottom"/>
            <w:hideMark/>
          </w:tcPr>
          <w:p w14:paraId="048D641C" w14:textId="1B24950B" w:rsidR="00162CCB" w:rsidRDefault="00162CCB">
            <w:pPr>
              <w:rPr>
                <w:rFonts w:ascii="Arial" w:hAnsi="Arial" w:cs="Arial"/>
                <w:sz w:val="20"/>
                <w:szCs w:val="20"/>
              </w:rPr>
            </w:pPr>
            <w:r>
              <w:rPr>
                <w:rFonts w:ascii="Arial" w:hAnsi="Arial" w:cs="Arial"/>
                <w:sz w:val="20"/>
                <w:szCs w:val="20"/>
              </w:rPr>
              <w:t>A: Based on co</w:t>
            </w:r>
            <w:r w:rsidR="006569D0">
              <w:rPr>
                <w:rFonts w:ascii="Arial" w:hAnsi="Arial" w:cs="Arial"/>
                <w:sz w:val="20"/>
                <w:szCs w:val="20"/>
              </w:rPr>
              <w:t>nsultation with States and EPA R</w:t>
            </w:r>
            <w:r>
              <w:rPr>
                <w:rFonts w:ascii="Arial" w:hAnsi="Arial" w:cs="Arial"/>
                <w:sz w:val="20"/>
                <w:szCs w:val="20"/>
              </w:rPr>
              <w:t>egions</w:t>
            </w:r>
          </w:p>
        </w:tc>
      </w:tr>
      <w:tr w:rsidR="00162CCB" w14:paraId="2EDCBA1B" w14:textId="77777777" w:rsidTr="00162CCB">
        <w:trPr>
          <w:trHeight w:val="300"/>
        </w:trPr>
        <w:tc>
          <w:tcPr>
            <w:tcW w:w="0" w:type="auto"/>
            <w:tcBorders>
              <w:top w:val="nil"/>
              <w:left w:val="nil"/>
              <w:bottom w:val="nil"/>
              <w:right w:val="nil"/>
            </w:tcBorders>
            <w:shd w:val="clear" w:color="auto" w:fill="auto"/>
            <w:noWrap/>
            <w:vAlign w:val="bottom"/>
            <w:hideMark/>
          </w:tcPr>
          <w:p w14:paraId="0591364C" w14:textId="77777777" w:rsidR="00162CCB" w:rsidRDefault="00162CCB">
            <w:pPr>
              <w:rPr>
                <w:rFonts w:ascii="Arial" w:hAnsi="Arial" w:cs="Arial"/>
                <w:sz w:val="20"/>
                <w:szCs w:val="20"/>
              </w:rPr>
            </w:pPr>
            <w:r>
              <w:rPr>
                <w:rFonts w:ascii="Arial" w:hAnsi="Arial" w:cs="Arial"/>
                <w:sz w:val="20"/>
                <w:szCs w:val="20"/>
              </w:rPr>
              <w:t>B: Based on A (consultation) combined with assumed factors.</w:t>
            </w:r>
          </w:p>
        </w:tc>
      </w:tr>
      <w:tr w:rsidR="00162CCB" w14:paraId="78A7AFD2" w14:textId="77777777" w:rsidTr="00162CCB">
        <w:trPr>
          <w:trHeight w:val="300"/>
        </w:trPr>
        <w:tc>
          <w:tcPr>
            <w:tcW w:w="0" w:type="auto"/>
            <w:tcBorders>
              <w:top w:val="nil"/>
              <w:left w:val="nil"/>
              <w:bottom w:val="nil"/>
              <w:right w:val="nil"/>
            </w:tcBorders>
            <w:shd w:val="clear" w:color="auto" w:fill="auto"/>
            <w:noWrap/>
            <w:vAlign w:val="bottom"/>
            <w:hideMark/>
          </w:tcPr>
          <w:p w14:paraId="64DC75FF" w14:textId="330D0112" w:rsidR="00162CCB" w:rsidRDefault="00162CCB">
            <w:pPr>
              <w:rPr>
                <w:rFonts w:ascii="Arial" w:hAnsi="Arial" w:cs="Arial"/>
                <w:sz w:val="20"/>
                <w:szCs w:val="20"/>
              </w:rPr>
            </w:pPr>
            <w:r>
              <w:rPr>
                <w:rFonts w:ascii="Arial" w:hAnsi="Arial" w:cs="Arial"/>
                <w:sz w:val="20"/>
                <w:szCs w:val="20"/>
              </w:rPr>
              <w:t>C: Described in supporting statement</w:t>
            </w:r>
          </w:p>
        </w:tc>
      </w:tr>
      <w:tr w:rsidR="00162CCB" w14:paraId="29385D75" w14:textId="77777777" w:rsidTr="00162CCB">
        <w:trPr>
          <w:trHeight w:val="300"/>
        </w:trPr>
        <w:tc>
          <w:tcPr>
            <w:tcW w:w="0" w:type="auto"/>
            <w:tcBorders>
              <w:top w:val="nil"/>
              <w:left w:val="nil"/>
              <w:bottom w:val="nil"/>
              <w:right w:val="nil"/>
            </w:tcBorders>
            <w:shd w:val="clear" w:color="auto" w:fill="auto"/>
            <w:noWrap/>
            <w:vAlign w:val="bottom"/>
            <w:hideMark/>
          </w:tcPr>
          <w:p w14:paraId="5410F29D" w14:textId="77777777" w:rsidR="00162CCB" w:rsidRDefault="00162CCB">
            <w:pPr>
              <w:rPr>
                <w:rFonts w:ascii="Arial" w:hAnsi="Arial" w:cs="Arial"/>
                <w:sz w:val="20"/>
                <w:szCs w:val="20"/>
              </w:rPr>
            </w:pPr>
            <w:r>
              <w:rPr>
                <w:rFonts w:ascii="Arial" w:hAnsi="Arial" w:cs="Arial"/>
                <w:sz w:val="20"/>
                <w:szCs w:val="20"/>
              </w:rPr>
              <w:t>D: Revised EPA estimate</w:t>
            </w:r>
          </w:p>
        </w:tc>
      </w:tr>
      <w:tr w:rsidR="00162CCB" w14:paraId="53A54BA2" w14:textId="77777777" w:rsidTr="00162CCB">
        <w:trPr>
          <w:trHeight w:val="300"/>
        </w:trPr>
        <w:tc>
          <w:tcPr>
            <w:tcW w:w="0" w:type="auto"/>
            <w:tcBorders>
              <w:top w:val="nil"/>
              <w:left w:val="nil"/>
              <w:bottom w:val="nil"/>
              <w:right w:val="nil"/>
            </w:tcBorders>
            <w:shd w:val="clear" w:color="auto" w:fill="auto"/>
            <w:noWrap/>
            <w:vAlign w:val="bottom"/>
            <w:hideMark/>
          </w:tcPr>
          <w:p w14:paraId="726624F9" w14:textId="77777777" w:rsidR="00162CCB" w:rsidRDefault="00162CCB">
            <w:pPr>
              <w:rPr>
                <w:rFonts w:ascii="Arial" w:hAnsi="Arial" w:cs="Arial"/>
                <w:sz w:val="20"/>
                <w:szCs w:val="20"/>
              </w:rPr>
            </w:pPr>
            <w:r>
              <w:rPr>
                <w:rFonts w:ascii="Arial" w:hAnsi="Arial" w:cs="Arial"/>
                <w:sz w:val="20"/>
                <w:szCs w:val="20"/>
              </w:rPr>
              <w:t>E: Assumed factors/values from previous ICR</w:t>
            </w:r>
          </w:p>
        </w:tc>
      </w:tr>
    </w:tbl>
    <w:p w14:paraId="74F1E8CB" w14:textId="07536457" w:rsidR="00CA6996" w:rsidRDefault="00162CCB">
      <w:pPr>
        <w:widowControl/>
        <w:autoSpaceDE/>
        <w:autoSpaceDN/>
        <w:adjustRightInd/>
        <w:spacing w:after="160" w:line="259" w:lineRule="auto"/>
        <w:rPr>
          <w:rFonts w:ascii="Arial" w:hAnsi="Arial" w:cs="Arial"/>
          <w:b/>
          <w:bCs/>
          <w:kern w:val="32"/>
          <w:sz w:val="32"/>
          <w:szCs w:val="32"/>
        </w:rPr>
      </w:pPr>
      <w:r>
        <w:t xml:space="preserve"> </w:t>
      </w:r>
      <w:r w:rsidR="00CA6996">
        <w:br w:type="page"/>
      </w:r>
    </w:p>
    <w:p w14:paraId="25591F31" w14:textId="59322CEA" w:rsidR="00C033F7" w:rsidRDefault="00C033F7" w:rsidP="00C033F7">
      <w:pPr>
        <w:pStyle w:val="Heading1"/>
      </w:pPr>
      <w:bookmarkStart w:id="47" w:name="_Toc437867220"/>
      <w:r>
        <w:lastRenderedPageBreak/>
        <w:t xml:space="preserve">Appendix C </w:t>
      </w:r>
      <w:r w:rsidRPr="00BE5178">
        <w:t xml:space="preserve">– </w:t>
      </w:r>
      <w:r w:rsidRPr="00100950">
        <w:t xml:space="preserve">Detailed Results of Respondent Burden and Cost Analysis for the Information Collection Requirements of </w:t>
      </w:r>
      <w:r>
        <w:t>the National Pretreatment Program</w:t>
      </w:r>
      <w:bookmarkEnd w:id="47"/>
    </w:p>
    <w:p w14:paraId="5952351F" w14:textId="74ADF092" w:rsidR="008C1B5A" w:rsidRDefault="00F06FB5" w:rsidP="00C033F7">
      <w:r w:rsidDel="00F06FB5">
        <w:t xml:space="preserve"> </w:t>
      </w:r>
      <w:r w:rsidR="008C1B5A">
        <w:t xml:space="preserve">(See </w:t>
      </w:r>
      <w:r w:rsidR="00F51C0F">
        <w:t xml:space="preserve">Tables C.1 through C.8 in </w:t>
      </w:r>
      <w:r w:rsidR="008C1B5A">
        <w:t>attached PDF document)</w:t>
      </w:r>
    </w:p>
    <w:p w14:paraId="356ECE60" w14:textId="77777777" w:rsidR="008C1B5A" w:rsidRDefault="008C1B5A" w:rsidP="00C033F7"/>
    <w:p w14:paraId="3A1D32B7" w14:textId="2896F30F" w:rsidR="00AA34B1" w:rsidRDefault="00AA34B1" w:rsidP="00C033F7"/>
    <w:p w14:paraId="53B9E520" w14:textId="77777777" w:rsidR="008C1B5A" w:rsidRDefault="008C1B5A">
      <w:pPr>
        <w:widowControl/>
        <w:autoSpaceDE/>
        <w:autoSpaceDN/>
        <w:adjustRightInd/>
        <w:spacing w:after="160" w:line="259" w:lineRule="auto"/>
        <w:rPr>
          <w:rFonts w:ascii="Arial" w:hAnsi="Arial" w:cs="Arial"/>
          <w:b/>
          <w:bCs/>
          <w:kern w:val="32"/>
          <w:sz w:val="32"/>
          <w:szCs w:val="32"/>
        </w:rPr>
      </w:pPr>
      <w:r>
        <w:br w:type="page"/>
      </w:r>
    </w:p>
    <w:p w14:paraId="753C0F8D" w14:textId="405E12E0" w:rsidR="00100950" w:rsidRDefault="00E75FA4" w:rsidP="00B20147">
      <w:pPr>
        <w:pStyle w:val="Heading1"/>
      </w:pPr>
      <w:bookmarkStart w:id="48" w:name="_Toc437867221"/>
      <w:r>
        <w:lastRenderedPageBreak/>
        <w:t>Appendix D</w:t>
      </w:r>
      <w:r w:rsidR="00100950">
        <w:t xml:space="preserve"> - </w:t>
      </w:r>
      <w:r w:rsidR="00100950" w:rsidRPr="00100950">
        <w:t>Copy of Regulation Authorizing Data Collection</w:t>
      </w:r>
      <w:r w:rsidR="00731917">
        <w:t xml:space="preserve"> and Federal Register Notice</w:t>
      </w:r>
      <w:bookmarkEnd w:id="48"/>
    </w:p>
    <w:p w14:paraId="72A204D7" w14:textId="3AEE6D57" w:rsidR="00073638" w:rsidRDefault="00073638" w:rsidP="00073638">
      <w:pPr>
        <w:pStyle w:val="Heading2"/>
      </w:pPr>
      <w:bookmarkStart w:id="49" w:name="_Toc437867222"/>
      <w:r>
        <w:t>D.1 Pretreatment Streamlining Rule</w:t>
      </w:r>
      <w:bookmarkEnd w:id="49"/>
    </w:p>
    <w:p w14:paraId="55B12312" w14:textId="3948A4B1" w:rsidR="00957B2F" w:rsidRPr="0058298C" w:rsidRDefault="00957B2F" w:rsidP="0058298C">
      <w:r>
        <w:t>(</w:t>
      </w:r>
      <w:r w:rsidR="000959D8">
        <w:t>See</w:t>
      </w:r>
      <w:r>
        <w:t xml:space="preserve"> attached </w:t>
      </w:r>
      <w:r w:rsidR="009C57FA">
        <w:t xml:space="preserve">PDF </w:t>
      </w:r>
      <w:r>
        <w:t>document)</w:t>
      </w:r>
    </w:p>
    <w:p w14:paraId="4CA092AF" w14:textId="16A15C34" w:rsidR="00073638" w:rsidRDefault="00073638" w:rsidP="00073638">
      <w:pPr>
        <w:pStyle w:val="Heading2"/>
      </w:pPr>
      <w:bookmarkStart w:id="50" w:name="_Toc437867223"/>
      <w:r>
        <w:t>D.2 ICR Federal Register Notice</w:t>
      </w:r>
      <w:bookmarkEnd w:id="50"/>
    </w:p>
    <w:p w14:paraId="31CFDBC4" w14:textId="32E2E2C2" w:rsidR="00957B2F" w:rsidRPr="0058298C" w:rsidRDefault="00957B2F" w:rsidP="0058298C">
      <w:r>
        <w:t>(</w:t>
      </w:r>
      <w:r w:rsidR="000959D8">
        <w:t>See</w:t>
      </w:r>
      <w:r>
        <w:t xml:space="preserve"> attached </w:t>
      </w:r>
      <w:r w:rsidR="009C57FA">
        <w:t>PDF</w:t>
      </w:r>
      <w:r>
        <w:t xml:space="preserve"> document)</w:t>
      </w:r>
    </w:p>
    <w:p w14:paraId="4F05D7A0" w14:textId="77777777" w:rsidR="00073638" w:rsidRPr="00073638" w:rsidRDefault="00073638" w:rsidP="0058298C"/>
    <w:sectPr w:rsidR="00073638" w:rsidRPr="00073638" w:rsidSect="000959D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B1B649" w14:textId="77777777" w:rsidR="009C598A" w:rsidRDefault="009C598A" w:rsidP="00EA4EE5">
      <w:r>
        <w:separator/>
      </w:r>
    </w:p>
  </w:endnote>
  <w:endnote w:type="continuationSeparator" w:id="0">
    <w:p w14:paraId="0B902667" w14:textId="77777777" w:rsidR="009C598A" w:rsidRDefault="009C598A" w:rsidP="00EA4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F9851" w14:textId="07EF0627" w:rsidR="00172777" w:rsidRDefault="00172777">
    <w:pPr>
      <w:pStyle w:val="Footer"/>
    </w:pPr>
    <w:r>
      <w:t>December 2015</w:t>
    </w:r>
    <w:r>
      <w:ptab w:relativeTo="margin" w:alignment="center" w:leader="none"/>
    </w:r>
    <w:r>
      <w:fldChar w:fldCharType="begin"/>
    </w:r>
    <w:r>
      <w:instrText xml:space="preserve"> PAGE  \* roman  \* MERGEFORMAT </w:instrText>
    </w:r>
    <w:r>
      <w:fldChar w:fldCharType="separate"/>
    </w:r>
    <w:r w:rsidR="00847D32">
      <w:rPr>
        <w:noProof/>
      </w:rPr>
      <w:t>ii</w:t>
    </w:r>
    <w:r>
      <w:fldChar w:fldCharType="end"/>
    </w:r>
    <w: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5A0F8" w14:textId="6C4BCB56" w:rsidR="00172777" w:rsidRDefault="00761811">
    <w:pPr>
      <w:pStyle w:val="Footer"/>
    </w:pPr>
    <w:r>
      <w:t>December 2015</w:t>
    </w:r>
    <w:r w:rsidR="00172777">
      <w:ptab w:relativeTo="margin" w:alignment="center" w:leader="none"/>
    </w:r>
    <w:r w:rsidR="00172777">
      <w:fldChar w:fldCharType="begin"/>
    </w:r>
    <w:r w:rsidR="00172777">
      <w:instrText xml:space="preserve"> PAGE   \* MERGEFORMAT </w:instrText>
    </w:r>
    <w:r w:rsidR="00172777">
      <w:fldChar w:fldCharType="separate"/>
    </w:r>
    <w:r w:rsidR="00B0016F">
      <w:rPr>
        <w:noProof/>
      </w:rPr>
      <w:t>19</w:t>
    </w:r>
    <w:r w:rsidR="00172777">
      <w:fldChar w:fldCharType="end"/>
    </w:r>
    <w:r w:rsidR="00172777">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3CB7C1" w14:textId="77777777" w:rsidR="009C598A" w:rsidRDefault="009C598A" w:rsidP="00EA4EE5">
      <w:r>
        <w:separator/>
      </w:r>
    </w:p>
  </w:footnote>
  <w:footnote w:type="continuationSeparator" w:id="0">
    <w:p w14:paraId="557C2A21" w14:textId="77777777" w:rsidR="009C598A" w:rsidRDefault="009C598A" w:rsidP="00EA4EE5">
      <w:r>
        <w:continuationSeparator/>
      </w:r>
    </w:p>
  </w:footnote>
  <w:footnote w:id="1">
    <w:p w14:paraId="2D86FCAB" w14:textId="1F2DA7C8" w:rsidR="00172777" w:rsidRPr="005F06A2" w:rsidRDefault="00172777" w:rsidP="00C759BD">
      <w:pPr>
        <w:pStyle w:val="FootnoteText"/>
      </w:pPr>
      <w:r w:rsidRPr="00DB4EE5">
        <w:rPr>
          <w:rStyle w:val="FootnoteReference"/>
        </w:rPr>
        <w:footnoteRef/>
      </w:r>
      <w:r w:rsidRPr="00DB4EE5">
        <w:t xml:space="preserve"> The hourly employment cost of federal employees was determined using a methodology established in previous ICRs. According to the U.S. Office of Personnel Management, 201</w:t>
      </w:r>
      <w:r>
        <w:t>5</w:t>
      </w:r>
      <w:r w:rsidRPr="00DB4EE5">
        <w:t xml:space="preserve"> General Schedule (201</w:t>
      </w:r>
      <w:r>
        <w:t>5</w:t>
      </w:r>
      <w:r w:rsidRPr="00DB4EE5">
        <w:t>-GS), the average annual salary of a government employee at the GS-9, Step 10, level is $5</w:t>
      </w:r>
      <w:r>
        <w:t>5,116</w:t>
      </w:r>
      <w:r w:rsidRPr="00DB4EE5">
        <w:t>. At 2,080 hours per year, the hourly wage would be $2</w:t>
      </w:r>
      <w:r>
        <w:t>6.50</w:t>
      </w:r>
      <w:r w:rsidRPr="00DB4EE5">
        <w:t xml:space="preserve">. Assuming overhead costs of </w:t>
      </w:r>
      <w:r>
        <w:t>6</w:t>
      </w:r>
      <w:r w:rsidRPr="00DB4EE5">
        <w:t>0 percent, or $1</w:t>
      </w:r>
      <w:r>
        <w:t>5.90</w:t>
      </w:r>
      <w:r w:rsidRPr="00DB4EE5">
        <w:t xml:space="preserve"> per hour, the fully loaded cost of employment for a federal employee would be $</w:t>
      </w:r>
      <w:r>
        <w:t>42.40</w:t>
      </w:r>
      <w:r w:rsidRPr="00DB4EE5">
        <w:t>.</w:t>
      </w:r>
    </w:p>
  </w:footnote>
  <w:footnote w:id="2">
    <w:p w14:paraId="59653677" w14:textId="313FFEEE" w:rsidR="00172777" w:rsidRDefault="00172777">
      <w:pPr>
        <w:pStyle w:val="FootnoteText"/>
      </w:pPr>
      <w:r>
        <w:rPr>
          <w:rStyle w:val="FootnoteReference"/>
        </w:rPr>
        <w:footnoteRef/>
      </w:r>
      <w:r>
        <w:t xml:space="preserve"> </w:t>
      </w:r>
      <w:r w:rsidRPr="00C574A2">
        <w:t>EPA developed these estimates for a previous ICR and did not attempt to recalculate the numbers as there is no indication these assumptions are incorrect or require revision</w:t>
      </w:r>
      <w:r>
        <w:t>.</w:t>
      </w:r>
    </w:p>
  </w:footnote>
  <w:footnote w:id="3">
    <w:p w14:paraId="5BA836AD" w14:textId="0A3229F3" w:rsidR="00172777" w:rsidRDefault="00172777">
      <w:pPr>
        <w:pStyle w:val="FootnoteText"/>
      </w:pPr>
      <w:r>
        <w:rPr>
          <w:rStyle w:val="FootnoteReference"/>
        </w:rPr>
        <w:footnoteRef/>
      </w:r>
      <w:r>
        <w:t xml:space="preserve"> </w:t>
      </w:r>
      <w:r w:rsidRPr="006902F0">
        <w:t>EPA developed th</w:t>
      </w:r>
      <w:r>
        <w:t>is estimate</w:t>
      </w:r>
      <w:r w:rsidRPr="006902F0">
        <w:t xml:space="preserve"> for a previous ICR and did not attempt to recalculate the numbers as there is no indication these assumptions are incorrect or require revision.</w:t>
      </w:r>
    </w:p>
  </w:footnote>
  <w:footnote w:id="4">
    <w:p w14:paraId="54864E46" w14:textId="77777777" w:rsidR="00172777" w:rsidRDefault="00172777" w:rsidP="00E75FA4">
      <w:pPr>
        <w:pStyle w:val="FootnoteText"/>
      </w:pPr>
      <w:r>
        <w:rPr>
          <w:rStyle w:val="FootnoteReference"/>
        </w:rPr>
        <w:footnoteRef/>
      </w:r>
      <w:r>
        <w:t xml:space="preserve"> </w:t>
      </w:r>
      <w:r>
        <w:rPr>
          <w:rFonts w:ascii="TimesNewRoman" w:hAnsi="TimesNewRoman" w:cs="TimesNewRoman"/>
        </w:rPr>
        <w:t xml:space="preserve">The TSD estimates </w:t>
      </w:r>
      <w:smartTag w:uri="urn:schemas-microsoft-com:office:smarttags" w:element="PersonName">
        <w:r>
          <w:rPr>
            <w:rFonts w:ascii="TimesNewRoman" w:hAnsi="TimesNewRoman" w:cs="TimesNewRoman"/>
          </w:rPr>
          <w:t>the</w:t>
        </w:r>
      </w:smartTag>
      <w:r>
        <w:rPr>
          <w:rFonts w:ascii="TimesNewRoman" w:hAnsi="TimesNewRoman" w:cs="TimesNewRoman"/>
        </w:rPr>
        <w:t xml:space="preserve"> number of indirect dischargers based on data from </w:t>
      </w:r>
      <w:smartTag w:uri="urn:schemas-microsoft-com:office:smarttags" w:element="PersonName">
        <w:r>
          <w:rPr>
            <w:rFonts w:ascii="TimesNewRoman" w:hAnsi="TimesNewRoman" w:cs="TimesNewRoman"/>
          </w:rPr>
          <w:t>the</w:t>
        </w:r>
      </w:smartTag>
      <w:r>
        <w:rPr>
          <w:rFonts w:ascii="TimesNewRoman" w:hAnsi="TimesNewRoman" w:cs="TimesNewRoman"/>
        </w:rPr>
        <w:t xml:space="preserve"> TRI. There are limitations associated with </w:t>
      </w:r>
      <w:smartTag w:uri="urn:schemas-microsoft-com:office:smarttags" w:element="PersonName">
        <w:r>
          <w:rPr>
            <w:rFonts w:ascii="TimesNewRoman" w:hAnsi="TimesNewRoman" w:cs="TimesNewRoman"/>
          </w:rPr>
          <w:t>the</w:t>
        </w:r>
      </w:smartTag>
      <w:r>
        <w:rPr>
          <w:rFonts w:ascii="TimesNewRoman" w:hAnsi="TimesNewRoman" w:cs="TimesNewRoman"/>
        </w:rPr>
        <w:t xml:space="preserve">se TRI data. Because neither small establishments (fewer than 10 employees) nor facilities that do not meet </w:t>
      </w:r>
      <w:smartTag w:uri="urn:schemas-microsoft-com:office:smarttags" w:element="PersonName">
        <w:r>
          <w:rPr>
            <w:rFonts w:ascii="TimesNewRoman" w:hAnsi="TimesNewRoman" w:cs="TimesNewRoman"/>
          </w:rPr>
          <w:t>the</w:t>
        </w:r>
      </w:smartTag>
      <w:r>
        <w:rPr>
          <w:rFonts w:ascii="TimesNewRoman" w:hAnsi="TimesNewRoman" w:cs="TimesNewRoman"/>
        </w:rPr>
        <w:t xml:space="preserve"> reporting thresholds</w:t>
      </w:r>
      <w:r w:rsidRPr="0054453A">
        <w:rPr>
          <w:rFonts w:ascii="TimesNewRoman" w:hAnsi="TimesNewRoman" w:cs="TimesNewRoman"/>
        </w:rPr>
        <w:t xml:space="preserve"> </w:t>
      </w:r>
      <w:r>
        <w:rPr>
          <w:rFonts w:ascii="TimesNewRoman" w:hAnsi="TimesNewRoman" w:cs="TimesNewRoman"/>
        </w:rPr>
        <w:t xml:space="preserve">are required to report, facilities reporting to TRI might be a very small subset of an industry. Also, because facilities are identified by SIC code, not by point source category, it might be difficult or impossible to identify </w:t>
      </w:r>
      <w:smartTag w:uri="urn:schemas-microsoft-com:office:smarttags" w:element="PersonName">
        <w:r>
          <w:rPr>
            <w:rFonts w:ascii="TimesNewRoman" w:hAnsi="TimesNewRoman" w:cs="TimesNewRoman"/>
          </w:rPr>
          <w:t>the</w:t>
        </w:r>
      </w:smartTag>
      <w:r>
        <w:rPr>
          <w:rFonts w:ascii="TimesNewRoman" w:hAnsi="TimesNewRoman" w:cs="TimesNewRoman"/>
        </w:rPr>
        <w:t xml:space="preserve"> point source category that is </w:t>
      </w:r>
      <w:smartTag w:uri="urn:schemas-microsoft-com:office:smarttags" w:element="PersonName">
        <w:r>
          <w:rPr>
            <w:rFonts w:ascii="TimesNewRoman" w:hAnsi="TimesNewRoman" w:cs="TimesNewRoman"/>
          </w:rPr>
          <w:t>the</w:t>
        </w:r>
      </w:smartTag>
      <w:r>
        <w:rPr>
          <w:rFonts w:ascii="TimesNewRoman" w:hAnsi="TimesNewRoman" w:cs="TimesNewRoman"/>
        </w:rPr>
        <w:t xml:space="preserve"> source of </w:t>
      </w:r>
      <w:smartTag w:uri="urn:schemas-microsoft-com:office:smarttags" w:element="PersonName">
        <w:r>
          <w:rPr>
            <w:rFonts w:ascii="TimesNewRoman" w:hAnsi="TimesNewRoman" w:cs="TimesNewRoman"/>
          </w:rPr>
          <w:t>the</w:t>
        </w:r>
      </w:smartTag>
      <w:r>
        <w:rPr>
          <w:rFonts w:ascii="TimesNewRoman" w:hAnsi="TimesNewRoman" w:cs="TimesNewRoman"/>
        </w:rPr>
        <w:t xml:space="preserve"> toxic wastewater releases for some SIC codes. For example, coil coating is an operation that is part of canmaking (3411, metal cans). Some of </w:t>
      </w:r>
      <w:smartTag w:uri="urn:schemas-microsoft-com:office:smarttags" w:element="PersonName">
        <w:r>
          <w:rPr>
            <w:rFonts w:ascii="TimesNewRoman" w:hAnsi="TimesNewRoman" w:cs="TimesNewRoman"/>
          </w:rPr>
          <w:t>the</w:t>
        </w:r>
      </w:smartTag>
      <w:r>
        <w:rPr>
          <w:rFonts w:ascii="TimesNewRoman" w:hAnsi="TimesNewRoman" w:cs="TimesNewRoman"/>
        </w:rPr>
        <w:t xml:space="preserve">se facilities have coil coating operations, but </w:t>
      </w:r>
      <w:smartTag w:uri="urn:schemas-microsoft-com:office:smarttags" w:element="PersonName">
        <w:r>
          <w:rPr>
            <w:rFonts w:ascii="TimesNewRoman" w:hAnsi="TimesNewRoman" w:cs="TimesNewRoman"/>
          </w:rPr>
          <w:t>the</w:t>
        </w:r>
      </w:smartTag>
      <w:r>
        <w:rPr>
          <w:rFonts w:ascii="TimesNewRoman" w:hAnsi="TimesNewRoman" w:cs="TimesNewRoman"/>
        </w:rPr>
        <w:t>y cannot be identified from the data in TRI.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04E0F"/>
    <w:multiLevelType w:val="hybridMultilevel"/>
    <w:tmpl w:val="98FA4D92"/>
    <w:lvl w:ilvl="0" w:tplc="8F1A59F2">
      <w:start w:val="1"/>
      <w:numFmt w:val="bullet"/>
      <w:lvlText w:val=""/>
      <w:lvlJc w:val="left"/>
      <w:pPr>
        <w:tabs>
          <w:tab w:val="num" w:pos="360"/>
        </w:tabs>
        <w:ind w:left="36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616E5D"/>
    <w:multiLevelType w:val="multilevel"/>
    <w:tmpl w:val="63E0FC74"/>
    <w:lvl w:ilvl="0">
      <w:start w:val="1"/>
      <w:numFmt w:val="bullet"/>
      <w:lvlText w:val=""/>
      <w:lvlJc w:val="left"/>
      <w:pPr>
        <w:tabs>
          <w:tab w:val="num" w:pos="360"/>
        </w:tabs>
        <w:ind w:left="360" w:hanging="360"/>
      </w:pPr>
      <w:rPr>
        <w:rFonts w:ascii="Wingdings" w:hAnsi="Wingdings" w:hint="default"/>
        <w:sz w:val="20"/>
        <w:szCs w:val="20"/>
      </w:r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15:restartNumberingAfterBreak="0">
    <w:nsid w:val="0D25696D"/>
    <w:multiLevelType w:val="hybridMultilevel"/>
    <w:tmpl w:val="15B6499A"/>
    <w:lvl w:ilvl="0" w:tplc="8F1A59F2">
      <w:start w:val="1"/>
      <w:numFmt w:val="bullet"/>
      <w:lvlText w:val=""/>
      <w:lvlJc w:val="left"/>
      <w:pPr>
        <w:tabs>
          <w:tab w:val="num" w:pos="360"/>
        </w:tabs>
        <w:ind w:left="36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3B0892"/>
    <w:multiLevelType w:val="hybridMultilevel"/>
    <w:tmpl w:val="8680436C"/>
    <w:lvl w:ilvl="0" w:tplc="A008C424">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550245"/>
    <w:multiLevelType w:val="hybridMultilevel"/>
    <w:tmpl w:val="76147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B1AF3"/>
    <w:multiLevelType w:val="hybridMultilevel"/>
    <w:tmpl w:val="3BDE0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764AAB"/>
    <w:multiLevelType w:val="hybridMultilevel"/>
    <w:tmpl w:val="A36616B6"/>
    <w:lvl w:ilvl="0" w:tplc="0F6AB9E2">
      <w:start w:val="1"/>
      <w:numFmt w:val="bullet"/>
      <w:lvlText w:val=""/>
      <w:lvlJc w:val="left"/>
      <w:pPr>
        <w:tabs>
          <w:tab w:val="num" w:pos="360"/>
        </w:tabs>
        <w:ind w:left="36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3B402A"/>
    <w:multiLevelType w:val="hybridMultilevel"/>
    <w:tmpl w:val="7890AC0E"/>
    <w:lvl w:ilvl="0" w:tplc="0F6AB9E2">
      <w:start w:val="1"/>
      <w:numFmt w:val="bullet"/>
      <w:lvlText w:val=""/>
      <w:lvlJc w:val="left"/>
      <w:pPr>
        <w:tabs>
          <w:tab w:val="num" w:pos="360"/>
        </w:tabs>
        <w:ind w:left="36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D668DF"/>
    <w:multiLevelType w:val="hybridMultilevel"/>
    <w:tmpl w:val="1AB634E0"/>
    <w:lvl w:ilvl="0" w:tplc="A384692A">
      <w:start w:val="1"/>
      <w:numFmt w:val="bullet"/>
      <w:lvlText w:val=""/>
      <w:lvlJc w:val="left"/>
      <w:pPr>
        <w:tabs>
          <w:tab w:val="num" w:pos="1080"/>
        </w:tabs>
        <w:ind w:left="1080" w:hanging="360"/>
      </w:pPr>
      <w:rPr>
        <w:rFonts w:ascii="Wingdings" w:hAnsi="Wingdings" w:hint="default"/>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C73063F"/>
    <w:multiLevelType w:val="hybridMultilevel"/>
    <w:tmpl w:val="C330B59E"/>
    <w:lvl w:ilvl="0" w:tplc="8F1A59F2">
      <w:start w:val="1"/>
      <w:numFmt w:val="bullet"/>
      <w:lvlText w:val=""/>
      <w:lvlJc w:val="left"/>
      <w:pPr>
        <w:tabs>
          <w:tab w:val="num" w:pos="360"/>
        </w:tabs>
        <w:ind w:left="36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095C4E"/>
    <w:multiLevelType w:val="hybridMultilevel"/>
    <w:tmpl w:val="DA9E69F2"/>
    <w:lvl w:ilvl="0" w:tplc="0F6AB9E2">
      <w:start w:val="1"/>
      <w:numFmt w:val="bullet"/>
      <w:lvlText w:val=""/>
      <w:lvlJc w:val="left"/>
      <w:pPr>
        <w:tabs>
          <w:tab w:val="num" w:pos="360"/>
        </w:tabs>
        <w:ind w:left="36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193AA3"/>
    <w:multiLevelType w:val="hybridMultilevel"/>
    <w:tmpl w:val="ED126A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0D133B"/>
    <w:multiLevelType w:val="hybridMultilevel"/>
    <w:tmpl w:val="346437D0"/>
    <w:lvl w:ilvl="0" w:tplc="943EB2AC">
      <w:start w:val="1"/>
      <w:numFmt w:val="bullet"/>
      <w:pStyle w:val="Bullet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4D2FE3"/>
    <w:multiLevelType w:val="multilevel"/>
    <w:tmpl w:val="AEF0C8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D3A5034"/>
    <w:multiLevelType w:val="hybridMultilevel"/>
    <w:tmpl w:val="C8DC1C4E"/>
    <w:lvl w:ilvl="0" w:tplc="A384692A">
      <w:start w:val="1"/>
      <w:numFmt w:val="bullet"/>
      <w:lvlText w:val=""/>
      <w:lvlJc w:val="left"/>
      <w:pPr>
        <w:tabs>
          <w:tab w:val="num" w:pos="1080"/>
        </w:tabs>
        <w:ind w:left="1080" w:hanging="360"/>
      </w:pPr>
      <w:rPr>
        <w:rFonts w:ascii="Wingdings" w:hAnsi="Wingdings" w:hint="default"/>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D5E3A2D"/>
    <w:multiLevelType w:val="hybridMultilevel"/>
    <w:tmpl w:val="2D80056A"/>
    <w:lvl w:ilvl="0" w:tplc="A384692A">
      <w:start w:val="1"/>
      <w:numFmt w:val="bullet"/>
      <w:lvlText w:val=""/>
      <w:lvlJc w:val="left"/>
      <w:pPr>
        <w:tabs>
          <w:tab w:val="num" w:pos="360"/>
        </w:tabs>
        <w:ind w:left="36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312DC4"/>
    <w:multiLevelType w:val="hybridMultilevel"/>
    <w:tmpl w:val="F9AE556E"/>
    <w:lvl w:ilvl="0" w:tplc="A384692A">
      <w:start w:val="1"/>
      <w:numFmt w:val="bullet"/>
      <w:lvlText w:val=""/>
      <w:lvlJc w:val="left"/>
      <w:pPr>
        <w:tabs>
          <w:tab w:val="num" w:pos="360"/>
        </w:tabs>
        <w:ind w:left="36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38467D"/>
    <w:multiLevelType w:val="multilevel"/>
    <w:tmpl w:val="D4A2D3FC"/>
    <w:lvl w:ilvl="0">
      <w:start w:val="1"/>
      <w:numFmt w:val="bullet"/>
      <w:lvlText w:val=""/>
      <w:lvlJc w:val="left"/>
      <w:pPr>
        <w:tabs>
          <w:tab w:val="num" w:pos="360"/>
        </w:tabs>
        <w:ind w:left="360" w:hanging="360"/>
      </w:pPr>
      <w:rPr>
        <w:rFonts w:ascii="Wingdings" w:hAnsi="Wingdings" w:hint="default"/>
        <w:sz w:val="20"/>
        <w:szCs w:val="20"/>
      </w:r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15:restartNumberingAfterBreak="0">
    <w:nsid w:val="6DFF1F88"/>
    <w:multiLevelType w:val="hybridMultilevel"/>
    <w:tmpl w:val="C270CB98"/>
    <w:lvl w:ilvl="0" w:tplc="0F6AB9E2">
      <w:start w:val="1"/>
      <w:numFmt w:val="bullet"/>
      <w:lvlText w:val=""/>
      <w:lvlJc w:val="left"/>
      <w:pPr>
        <w:tabs>
          <w:tab w:val="num" w:pos="360"/>
        </w:tabs>
        <w:ind w:left="36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4655DC"/>
    <w:multiLevelType w:val="hybridMultilevel"/>
    <w:tmpl w:val="3072F8F0"/>
    <w:lvl w:ilvl="0" w:tplc="0F6AB9E2">
      <w:start w:val="1"/>
      <w:numFmt w:val="bullet"/>
      <w:lvlText w:val=""/>
      <w:lvlJc w:val="left"/>
      <w:pPr>
        <w:tabs>
          <w:tab w:val="num" w:pos="1080"/>
        </w:tabs>
        <w:ind w:left="1080" w:hanging="360"/>
      </w:pPr>
      <w:rPr>
        <w:rFonts w:ascii="Wingdings" w:hAnsi="Wingdings" w:hint="default"/>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D0E441C"/>
    <w:multiLevelType w:val="hybridMultilevel"/>
    <w:tmpl w:val="74D0C1E4"/>
    <w:lvl w:ilvl="0" w:tplc="8F1A59F2">
      <w:start w:val="1"/>
      <w:numFmt w:val="bullet"/>
      <w:lvlText w:val=""/>
      <w:lvlJc w:val="left"/>
      <w:pPr>
        <w:tabs>
          <w:tab w:val="num" w:pos="360"/>
        </w:tabs>
        <w:ind w:left="36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9"/>
  </w:num>
  <w:num w:numId="3">
    <w:abstractNumId w:val="0"/>
  </w:num>
  <w:num w:numId="4">
    <w:abstractNumId w:val="2"/>
  </w:num>
  <w:num w:numId="5">
    <w:abstractNumId w:val="10"/>
  </w:num>
  <w:num w:numId="6">
    <w:abstractNumId w:val="18"/>
  </w:num>
  <w:num w:numId="7">
    <w:abstractNumId w:val="7"/>
  </w:num>
  <w:num w:numId="8">
    <w:abstractNumId w:val="6"/>
  </w:num>
  <w:num w:numId="9">
    <w:abstractNumId w:val="3"/>
  </w:num>
  <w:num w:numId="10">
    <w:abstractNumId w:val="14"/>
  </w:num>
  <w:num w:numId="11">
    <w:abstractNumId w:val="16"/>
  </w:num>
  <w:num w:numId="12">
    <w:abstractNumId w:val="15"/>
  </w:num>
  <w:num w:numId="13">
    <w:abstractNumId w:val="1"/>
  </w:num>
  <w:num w:numId="14">
    <w:abstractNumId w:val="17"/>
  </w:num>
  <w:num w:numId="15">
    <w:abstractNumId w:val="8"/>
  </w:num>
  <w:num w:numId="16">
    <w:abstractNumId w:val="19"/>
  </w:num>
  <w:num w:numId="17">
    <w:abstractNumId w:val="13"/>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4"/>
  </w:num>
  <w:num w:numId="21">
    <w:abstractNumId w:val="5"/>
  </w:num>
  <w:num w:numId="22">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877"/>
    <w:rsid w:val="00003B41"/>
    <w:rsid w:val="00024A3B"/>
    <w:rsid w:val="00025B6A"/>
    <w:rsid w:val="00033ED6"/>
    <w:rsid w:val="00035B9D"/>
    <w:rsid w:val="00060EA0"/>
    <w:rsid w:val="00073638"/>
    <w:rsid w:val="00075F46"/>
    <w:rsid w:val="0008016D"/>
    <w:rsid w:val="000959D8"/>
    <w:rsid w:val="000A6072"/>
    <w:rsid w:val="000A7CE0"/>
    <w:rsid w:val="000B2057"/>
    <w:rsid w:val="000C033E"/>
    <w:rsid w:val="000D1564"/>
    <w:rsid w:val="000D636C"/>
    <w:rsid w:val="000E1020"/>
    <w:rsid w:val="000E3BC1"/>
    <w:rsid w:val="000F7475"/>
    <w:rsid w:val="00100950"/>
    <w:rsid w:val="0011793B"/>
    <w:rsid w:val="00124C8A"/>
    <w:rsid w:val="00126747"/>
    <w:rsid w:val="00135D78"/>
    <w:rsid w:val="001426BC"/>
    <w:rsid w:val="00145A69"/>
    <w:rsid w:val="00150D6D"/>
    <w:rsid w:val="001569E3"/>
    <w:rsid w:val="00157842"/>
    <w:rsid w:val="00162CCB"/>
    <w:rsid w:val="00166975"/>
    <w:rsid w:val="00172777"/>
    <w:rsid w:val="00180318"/>
    <w:rsid w:val="001832C7"/>
    <w:rsid w:val="00190E80"/>
    <w:rsid w:val="00191E14"/>
    <w:rsid w:val="001A699A"/>
    <w:rsid w:val="001A6CB7"/>
    <w:rsid w:val="001B0115"/>
    <w:rsid w:val="001B5F67"/>
    <w:rsid w:val="001C3DE3"/>
    <w:rsid w:val="00200857"/>
    <w:rsid w:val="002277E6"/>
    <w:rsid w:val="002320BC"/>
    <w:rsid w:val="0023743A"/>
    <w:rsid w:val="00243B83"/>
    <w:rsid w:val="00245464"/>
    <w:rsid w:val="00250058"/>
    <w:rsid w:val="00261E92"/>
    <w:rsid w:val="00281015"/>
    <w:rsid w:val="00285C89"/>
    <w:rsid w:val="0029690D"/>
    <w:rsid w:val="002A4E99"/>
    <w:rsid w:val="002B6F2F"/>
    <w:rsid w:val="002C26E9"/>
    <w:rsid w:val="002C6F98"/>
    <w:rsid w:val="002F2301"/>
    <w:rsid w:val="003012E5"/>
    <w:rsid w:val="00315A8E"/>
    <w:rsid w:val="0033030D"/>
    <w:rsid w:val="00331DC1"/>
    <w:rsid w:val="003413D4"/>
    <w:rsid w:val="003479B4"/>
    <w:rsid w:val="00350CE5"/>
    <w:rsid w:val="00393226"/>
    <w:rsid w:val="00397B15"/>
    <w:rsid w:val="003A1D1F"/>
    <w:rsid w:val="003D2C58"/>
    <w:rsid w:val="003D5086"/>
    <w:rsid w:val="003F03FA"/>
    <w:rsid w:val="003F1D51"/>
    <w:rsid w:val="003F265F"/>
    <w:rsid w:val="003F2AFA"/>
    <w:rsid w:val="003F4FD6"/>
    <w:rsid w:val="004052D1"/>
    <w:rsid w:val="00420A01"/>
    <w:rsid w:val="0043159B"/>
    <w:rsid w:val="00436731"/>
    <w:rsid w:val="00436B56"/>
    <w:rsid w:val="00455491"/>
    <w:rsid w:val="0045773D"/>
    <w:rsid w:val="004630E5"/>
    <w:rsid w:val="00483EFC"/>
    <w:rsid w:val="004B15F7"/>
    <w:rsid w:val="004D1BC8"/>
    <w:rsid w:val="004D2C3E"/>
    <w:rsid w:val="004D702D"/>
    <w:rsid w:val="004E6634"/>
    <w:rsid w:val="004F27D9"/>
    <w:rsid w:val="004F5388"/>
    <w:rsid w:val="004F5C09"/>
    <w:rsid w:val="00501EBD"/>
    <w:rsid w:val="00514E2B"/>
    <w:rsid w:val="00517844"/>
    <w:rsid w:val="005416C1"/>
    <w:rsid w:val="0054364E"/>
    <w:rsid w:val="005775F7"/>
    <w:rsid w:val="0058298C"/>
    <w:rsid w:val="00594697"/>
    <w:rsid w:val="005948DC"/>
    <w:rsid w:val="005D0A80"/>
    <w:rsid w:val="005D24D7"/>
    <w:rsid w:val="005E344C"/>
    <w:rsid w:val="005F0E74"/>
    <w:rsid w:val="005F6307"/>
    <w:rsid w:val="00601DA3"/>
    <w:rsid w:val="00612C32"/>
    <w:rsid w:val="00614331"/>
    <w:rsid w:val="006173F6"/>
    <w:rsid w:val="00617860"/>
    <w:rsid w:val="0062368D"/>
    <w:rsid w:val="00635D96"/>
    <w:rsid w:val="00641523"/>
    <w:rsid w:val="0064317D"/>
    <w:rsid w:val="006458E0"/>
    <w:rsid w:val="00651915"/>
    <w:rsid w:val="006569D0"/>
    <w:rsid w:val="006579CA"/>
    <w:rsid w:val="00670893"/>
    <w:rsid w:val="006902F0"/>
    <w:rsid w:val="006949C5"/>
    <w:rsid w:val="006D4208"/>
    <w:rsid w:val="006D5BAD"/>
    <w:rsid w:val="006E456F"/>
    <w:rsid w:val="006F1D6D"/>
    <w:rsid w:val="006F7F36"/>
    <w:rsid w:val="00711537"/>
    <w:rsid w:val="0071779B"/>
    <w:rsid w:val="00725A49"/>
    <w:rsid w:val="00731917"/>
    <w:rsid w:val="00742E1E"/>
    <w:rsid w:val="00761811"/>
    <w:rsid w:val="0079405E"/>
    <w:rsid w:val="007965E5"/>
    <w:rsid w:val="007A1396"/>
    <w:rsid w:val="007A4EB2"/>
    <w:rsid w:val="007B1DEF"/>
    <w:rsid w:val="007B61F6"/>
    <w:rsid w:val="007C0EEC"/>
    <w:rsid w:val="007C21AD"/>
    <w:rsid w:val="007C3AF0"/>
    <w:rsid w:val="007D1395"/>
    <w:rsid w:val="007D69E5"/>
    <w:rsid w:val="007F1902"/>
    <w:rsid w:val="007F1D30"/>
    <w:rsid w:val="007F2877"/>
    <w:rsid w:val="008145A7"/>
    <w:rsid w:val="00831D7A"/>
    <w:rsid w:val="00833EA0"/>
    <w:rsid w:val="00834EC6"/>
    <w:rsid w:val="00835DD0"/>
    <w:rsid w:val="00847D32"/>
    <w:rsid w:val="00854141"/>
    <w:rsid w:val="00856510"/>
    <w:rsid w:val="00880F71"/>
    <w:rsid w:val="00882FCF"/>
    <w:rsid w:val="00897F68"/>
    <w:rsid w:val="008A4546"/>
    <w:rsid w:val="008C1B5A"/>
    <w:rsid w:val="008D03D0"/>
    <w:rsid w:val="008F7713"/>
    <w:rsid w:val="009000A2"/>
    <w:rsid w:val="00917CB0"/>
    <w:rsid w:val="00924FEB"/>
    <w:rsid w:val="009265A3"/>
    <w:rsid w:val="00953D0B"/>
    <w:rsid w:val="00957B2F"/>
    <w:rsid w:val="00970800"/>
    <w:rsid w:val="0098730C"/>
    <w:rsid w:val="0099054A"/>
    <w:rsid w:val="00990E66"/>
    <w:rsid w:val="0099448E"/>
    <w:rsid w:val="00994A2F"/>
    <w:rsid w:val="009A591A"/>
    <w:rsid w:val="009A5D71"/>
    <w:rsid w:val="009B2EA7"/>
    <w:rsid w:val="009C1680"/>
    <w:rsid w:val="009C57FA"/>
    <w:rsid w:val="009C598A"/>
    <w:rsid w:val="009C5C6D"/>
    <w:rsid w:val="009F383C"/>
    <w:rsid w:val="009F6DB5"/>
    <w:rsid w:val="00A00130"/>
    <w:rsid w:val="00A1033D"/>
    <w:rsid w:val="00A15C53"/>
    <w:rsid w:val="00A30A5F"/>
    <w:rsid w:val="00A578B8"/>
    <w:rsid w:val="00A65012"/>
    <w:rsid w:val="00A724B6"/>
    <w:rsid w:val="00A81F94"/>
    <w:rsid w:val="00A91077"/>
    <w:rsid w:val="00AA34B1"/>
    <w:rsid w:val="00AC12F1"/>
    <w:rsid w:val="00AC3C25"/>
    <w:rsid w:val="00AD221A"/>
    <w:rsid w:val="00AD6ED3"/>
    <w:rsid w:val="00AF13AD"/>
    <w:rsid w:val="00AF4CFD"/>
    <w:rsid w:val="00B0016F"/>
    <w:rsid w:val="00B12B0D"/>
    <w:rsid w:val="00B20147"/>
    <w:rsid w:val="00B246C3"/>
    <w:rsid w:val="00B5174B"/>
    <w:rsid w:val="00B612D8"/>
    <w:rsid w:val="00B806C4"/>
    <w:rsid w:val="00B823C6"/>
    <w:rsid w:val="00B84025"/>
    <w:rsid w:val="00B86F2B"/>
    <w:rsid w:val="00B90753"/>
    <w:rsid w:val="00BA5FB9"/>
    <w:rsid w:val="00BB7812"/>
    <w:rsid w:val="00BD6ECC"/>
    <w:rsid w:val="00BE5178"/>
    <w:rsid w:val="00BF42D1"/>
    <w:rsid w:val="00C033F7"/>
    <w:rsid w:val="00C0777E"/>
    <w:rsid w:val="00C125BF"/>
    <w:rsid w:val="00C47B4C"/>
    <w:rsid w:val="00C574A2"/>
    <w:rsid w:val="00C63135"/>
    <w:rsid w:val="00C654EE"/>
    <w:rsid w:val="00C66C70"/>
    <w:rsid w:val="00C67E7F"/>
    <w:rsid w:val="00C759BD"/>
    <w:rsid w:val="00C77EAE"/>
    <w:rsid w:val="00C84EFE"/>
    <w:rsid w:val="00C9365F"/>
    <w:rsid w:val="00CA1498"/>
    <w:rsid w:val="00CA6996"/>
    <w:rsid w:val="00CA701D"/>
    <w:rsid w:val="00CC4FDC"/>
    <w:rsid w:val="00CC5D12"/>
    <w:rsid w:val="00CD2DD3"/>
    <w:rsid w:val="00CD6D56"/>
    <w:rsid w:val="00CE06F7"/>
    <w:rsid w:val="00D03349"/>
    <w:rsid w:val="00D117B0"/>
    <w:rsid w:val="00D35879"/>
    <w:rsid w:val="00D430E7"/>
    <w:rsid w:val="00D57CA4"/>
    <w:rsid w:val="00D744E1"/>
    <w:rsid w:val="00D83C3D"/>
    <w:rsid w:val="00DA6FCE"/>
    <w:rsid w:val="00DB7094"/>
    <w:rsid w:val="00DC7937"/>
    <w:rsid w:val="00DE0088"/>
    <w:rsid w:val="00DE29BA"/>
    <w:rsid w:val="00DE5657"/>
    <w:rsid w:val="00DF09C1"/>
    <w:rsid w:val="00DF1B87"/>
    <w:rsid w:val="00E2327D"/>
    <w:rsid w:val="00E666E5"/>
    <w:rsid w:val="00E7407F"/>
    <w:rsid w:val="00E75FA4"/>
    <w:rsid w:val="00E830B7"/>
    <w:rsid w:val="00E863F1"/>
    <w:rsid w:val="00E9524A"/>
    <w:rsid w:val="00EA4EE5"/>
    <w:rsid w:val="00EA6F72"/>
    <w:rsid w:val="00EC51C6"/>
    <w:rsid w:val="00EC7DFD"/>
    <w:rsid w:val="00EE5BAD"/>
    <w:rsid w:val="00EF238F"/>
    <w:rsid w:val="00EF3D8A"/>
    <w:rsid w:val="00EF4673"/>
    <w:rsid w:val="00F048E6"/>
    <w:rsid w:val="00F050BA"/>
    <w:rsid w:val="00F06FB5"/>
    <w:rsid w:val="00F11FFA"/>
    <w:rsid w:val="00F175E2"/>
    <w:rsid w:val="00F22374"/>
    <w:rsid w:val="00F254CD"/>
    <w:rsid w:val="00F25DE1"/>
    <w:rsid w:val="00F34C5B"/>
    <w:rsid w:val="00F43C79"/>
    <w:rsid w:val="00F44C91"/>
    <w:rsid w:val="00F51C0F"/>
    <w:rsid w:val="00F54AE9"/>
    <w:rsid w:val="00F71819"/>
    <w:rsid w:val="00F86355"/>
    <w:rsid w:val="00F92B1D"/>
    <w:rsid w:val="00FA3520"/>
    <w:rsid w:val="00FA62F1"/>
    <w:rsid w:val="00FD74ED"/>
    <w:rsid w:val="00FD7A53"/>
    <w:rsid w:val="00FE191C"/>
    <w:rsid w:val="00FF3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PersonName"/>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4:docId w14:val="1FE4987D"/>
  <w15:chartTrackingRefBased/>
  <w15:docId w15:val="{14866DA5-D715-4FDB-87DE-683A20C4A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B9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35B9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35B9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035B9D"/>
    <w:pPr>
      <w:keepNext/>
      <w:spacing w:before="240" w:after="60"/>
      <w:outlineLvl w:val="2"/>
    </w:pPr>
    <w:rPr>
      <w:rFonts w:ascii="Arial"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5B9D"/>
    <w:rPr>
      <w:rFonts w:ascii="Arial" w:eastAsia="Times New Roman" w:hAnsi="Arial" w:cs="Arial"/>
      <w:b/>
      <w:bCs/>
      <w:kern w:val="32"/>
      <w:sz w:val="32"/>
      <w:szCs w:val="32"/>
    </w:rPr>
  </w:style>
  <w:style w:type="character" w:customStyle="1" w:styleId="Heading2Char">
    <w:name w:val="Heading 2 Char"/>
    <w:basedOn w:val="DefaultParagraphFont"/>
    <w:link w:val="Heading2"/>
    <w:rsid w:val="00035B9D"/>
    <w:rPr>
      <w:rFonts w:ascii="Arial" w:eastAsia="Times New Roman" w:hAnsi="Arial" w:cs="Arial"/>
      <w:b/>
      <w:bCs/>
      <w:i/>
      <w:iCs/>
      <w:sz w:val="28"/>
      <w:szCs w:val="28"/>
    </w:rPr>
  </w:style>
  <w:style w:type="paragraph" w:styleId="Title">
    <w:name w:val="Title"/>
    <w:basedOn w:val="Normal"/>
    <w:next w:val="Normal"/>
    <w:link w:val="TitleChar"/>
    <w:uiPriority w:val="10"/>
    <w:qFormat/>
    <w:rsid w:val="00035B9D"/>
    <w:pPr>
      <w:spacing w:before="240" w:after="60" w:line="276" w:lineRule="auto"/>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35B9D"/>
    <w:rPr>
      <w:rFonts w:asciiTheme="majorHAnsi" w:eastAsiaTheme="majorEastAsia" w:hAnsiTheme="majorHAnsi" w:cs="Times New Roman"/>
      <w:b/>
      <w:bCs/>
      <w:kern w:val="28"/>
      <w:sz w:val="32"/>
      <w:szCs w:val="32"/>
    </w:rPr>
  </w:style>
  <w:style w:type="paragraph" w:styleId="BalloonText">
    <w:name w:val="Balloon Text"/>
    <w:basedOn w:val="Normal"/>
    <w:link w:val="BalloonTextChar"/>
    <w:semiHidden/>
    <w:rsid w:val="00035B9D"/>
    <w:rPr>
      <w:rFonts w:ascii="Tahoma" w:hAnsi="Tahoma" w:cs="Tahoma"/>
      <w:sz w:val="16"/>
      <w:szCs w:val="16"/>
    </w:rPr>
  </w:style>
  <w:style w:type="character" w:customStyle="1" w:styleId="BalloonTextChar">
    <w:name w:val="Balloon Text Char"/>
    <w:basedOn w:val="DefaultParagraphFont"/>
    <w:link w:val="BalloonText"/>
    <w:semiHidden/>
    <w:rsid w:val="00035B9D"/>
    <w:rPr>
      <w:rFonts w:ascii="Tahoma" w:eastAsia="Times New Roman" w:hAnsi="Tahoma" w:cs="Tahoma"/>
      <w:sz w:val="16"/>
      <w:szCs w:val="16"/>
    </w:rPr>
  </w:style>
  <w:style w:type="character" w:styleId="CommentReference">
    <w:name w:val="annotation reference"/>
    <w:basedOn w:val="DefaultParagraphFont"/>
    <w:semiHidden/>
    <w:rsid w:val="00035B9D"/>
    <w:rPr>
      <w:sz w:val="16"/>
      <w:szCs w:val="16"/>
    </w:rPr>
  </w:style>
  <w:style w:type="paragraph" w:styleId="CommentText">
    <w:name w:val="annotation text"/>
    <w:basedOn w:val="Normal"/>
    <w:link w:val="CommentTextChar"/>
    <w:semiHidden/>
    <w:rsid w:val="00035B9D"/>
    <w:rPr>
      <w:sz w:val="20"/>
      <w:szCs w:val="20"/>
    </w:rPr>
  </w:style>
  <w:style w:type="character" w:customStyle="1" w:styleId="CommentTextChar">
    <w:name w:val="Comment Text Char"/>
    <w:basedOn w:val="DefaultParagraphFont"/>
    <w:link w:val="CommentText"/>
    <w:semiHidden/>
    <w:rsid w:val="00035B9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035B9D"/>
    <w:rPr>
      <w:b/>
      <w:bCs/>
    </w:rPr>
  </w:style>
  <w:style w:type="character" w:customStyle="1" w:styleId="CommentSubjectChar">
    <w:name w:val="Comment Subject Char"/>
    <w:basedOn w:val="CommentTextChar"/>
    <w:link w:val="CommentSubject"/>
    <w:semiHidden/>
    <w:rsid w:val="00035B9D"/>
    <w:rPr>
      <w:rFonts w:ascii="Times New Roman" w:eastAsia="Times New Roman" w:hAnsi="Times New Roman" w:cs="Times New Roman"/>
      <w:b/>
      <w:bCs/>
      <w:sz w:val="20"/>
      <w:szCs w:val="20"/>
    </w:rPr>
  </w:style>
  <w:style w:type="paragraph" w:styleId="Footer">
    <w:name w:val="footer"/>
    <w:basedOn w:val="Normal"/>
    <w:link w:val="FooterChar"/>
    <w:uiPriority w:val="99"/>
    <w:rsid w:val="00035B9D"/>
    <w:pPr>
      <w:tabs>
        <w:tab w:val="center" w:pos="4320"/>
        <w:tab w:val="right" w:pos="8640"/>
      </w:tabs>
    </w:pPr>
  </w:style>
  <w:style w:type="character" w:customStyle="1" w:styleId="FooterChar">
    <w:name w:val="Footer Char"/>
    <w:basedOn w:val="DefaultParagraphFont"/>
    <w:link w:val="Footer"/>
    <w:uiPriority w:val="99"/>
    <w:rsid w:val="00035B9D"/>
    <w:rPr>
      <w:rFonts w:ascii="Times New Roman" w:eastAsia="Times New Roman" w:hAnsi="Times New Roman" w:cs="Times New Roman"/>
      <w:sz w:val="24"/>
      <w:szCs w:val="24"/>
    </w:rPr>
  </w:style>
  <w:style w:type="character" w:styleId="FootnoteReference">
    <w:name w:val="footnote reference"/>
    <w:rsid w:val="00035B9D"/>
    <w:rPr>
      <w:vertAlign w:val="superscript"/>
    </w:rPr>
  </w:style>
  <w:style w:type="paragraph" w:styleId="FootnoteText">
    <w:name w:val="footnote text"/>
    <w:basedOn w:val="Normal"/>
    <w:link w:val="FootnoteTextChar"/>
    <w:semiHidden/>
    <w:rsid w:val="00035B9D"/>
    <w:rPr>
      <w:sz w:val="20"/>
      <w:szCs w:val="20"/>
    </w:rPr>
  </w:style>
  <w:style w:type="character" w:customStyle="1" w:styleId="FootnoteTextChar">
    <w:name w:val="Footnote Text Char"/>
    <w:basedOn w:val="DefaultParagraphFont"/>
    <w:link w:val="FootnoteText"/>
    <w:semiHidden/>
    <w:rsid w:val="00035B9D"/>
    <w:rPr>
      <w:rFonts w:ascii="Times New Roman" w:eastAsia="Times New Roman" w:hAnsi="Times New Roman" w:cs="Times New Roman"/>
      <w:sz w:val="20"/>
      <w:szCs w:val="20"/>
    </w:rPr>
  </w:style>
  <w:style w:type="paragraph" w:styleId="Header">
    <w:name w:val="header"/>
    <w:basedOn w:val="Normal"/>
    <w:link w:val="HeaderChar"/>
    <w:rsid w:val="00035B9D"/>
    <w:pPr>
      <w:tabs>
        <w:tab w:val="center" w:pos="4320"/>
        <w:tab w:val="right" w:pos="8640"/>
      </w:tabs>
    </w:pPr>
  </w:style>
  <w:style w:type="character" w:customStyle="1" w:styleId="HeaderChar">
    <w:name w:val="Header Char"/>
    <w:basedOn w:val="DefaultParagraphFont"/>
    <w:link w:val="Header"/>
    <w:rsid w:val="00035B9D"/>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035B9D"/>
    <w:rPr>
      <w:rFonts w:ascii="Arial" w:eastAsia="Times New Roman" w:hAnsi="Arial" w:cs="Arial"/>
      <w:b/>
      <w:bCs/>
      <w:sz w:val="24"/>
      <w:szCs w:val="26"/>
    </w:rPr>
  </w:style>
  <w:style w:type="character" w:styleId="Hyperlink">
    <w:name w:val="Hyperlink"/>
    <w:basedOn w:val="DefaultParagraphFont"/>
    <w:uiPriority w:val="99"/>
    <w:rsid w:val="00035B9D"/>
    <w:rPr>
      <w:color w:val="0000FF"/>
      <w:u w:val="single"/>
    </w:rPr>
  </w:style>
  <w:style w:type="paragraph" w:customStyle="1" w:styleId="Level1">
    <w:name w:val="Level 1"/>
    <w:basedOn w:val="Normal"/>
    <w:rsid w:val="00035B9D"/>
    <w:pPr>
      <w:ind w:left="720" w:hanging="720"/>
    </w:pPr>
  </w:style>
  <w:style w:type="paragraph" w:styleId="List">
    <w:name w:val="List"/>
    <w:basedOn w:val="Normal"/>
    <w:rsid w:val="00035B9D"/>
    <w:pPr>
      <w:ind w:left="720" w:hanging="720"/>
    </w:pPr>
  </w:style>
  <w:style w:type="paragraph" w:customStyle="1" w:styleId="TableTitle">
    <w:name w:val="Table Title"/>
    <w:basedOn w:val="Normal"/>
    <w:rsid w:val="00035B9D"/>
    <w:pPr>
      <w:keepNext/>
      <w:keepLines/>
      <w:widowControl/>
      <w:tabs>
        <w:tab w:val="center" w:pos="4680"/>
      </w:tabs>
    </w:pPr>
    <w:rPr>
      <w:rFonts w:ascii="Arial" w:hAnsi="Arial"/>
      <w:b/>
      <w:bCs/>
      <w:color w:val="000000"/>
      <w:sz w:val="20"/>
    </w:rPr>
  </w:style>
  <w:style w:type="paragraph" w:styleId="TOC1">
    <w:name w:val="toc 1"/>
    <w:basedOn w:val="Normal"/>
    <w:next w:val="Normal"/>
    <w:uiPriority w:val="39"/>
    <w:rsid w:val="00035B9D"/>
    <w:pPr>
      <w:tabs>
        <w:tab w:val="left" w:pos="720"/>
        <w:tab w:val="right" w:leader="dot" w:pos="9360"/>
      </w:tabs>
      <w:ind w:left="720" w:hanging="720"/>
    </w:pPr>
    <w:rPr>
      <w:rFonts w:ascii="Arial" w:hAnsi="Arial"/>
    </w:rPr>
  </w:style>
  <w:style w:type="paragraph" w:styleId="TOC2">
    <w:name w:val="toc 2"/>
    <w:basedOn w:val="Normal"/>
    <w:next w:val="Normal"/>
    <w:uiPriority w:val="39"/>
    <w:rsid w:val="00035B9D"/>
    <w:pPr>
      <w:ind w:left="1440" w:hanging="720"/>
    </w:pPr>
    <w:rPr>
      <w:rFonts w:ascii="Arial" w:hAnsi="Arial"/>
      <w:sz w:val="20"/>
    </w:rPr>
  </w:style>
  <w:style w:type="paragraph" w:styleId="TOC3">
    <w:name w:val="toc 3"/>
    <w:basedOn w:val="Normal"/>
    <w:next w:val="Normal"/>
    <w:uiPriority w:val="39"/>
    <w:rsid w:val="00035B9D"/>
    <w:pPr>
      <w:ind w:left="2160" w:hanging="720"/>
    </w:pPr>
    <w:rPr>
      <w:rFonts w:ascii="Arial" w:hAnsi="Arial"/>
      <w:sz w:val="20"/>
    </w:rPr>
  </w:style>
  <w:style w:type="character" w:styleId="PageNumber">
    <w:name w:val="page number"/>
    <w:basedOn w:val="DefaultParagraphFont"/>
    <w:semiHidden/>
    <w:rsid w:val="00E75FA4"/>
  </w:style>
  <w:style w:type="table" w:styleId="TableGrid">
    <w:name w:val="Table Grid"/>
    <w:basedOn w:val="TableNormal"/>
    <w:rsid w:val="00E75F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58298C"/>
    <w:pPr>
      <w:widowControl/>
    </w:pPr>
    <w:rPr>
      <w:b/>
      <w:bCs/>
      <w:sz w:val="22"/>
      <w:szCs w:val="20"/>
    </w:rPr>
  </w:style>
  <w:style w:type="paragraph" w:customStyle="1" w:styleId="Level2">
    <w:name w:val="Level 2"/>
    <w:rsid w:val="00E75FA4"/>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Level3">
    <w:name w:val="Level 3"/>
    <w:rsid w:val="00E75FA4"/>
    <w:pPr>
      <w:autoSpaceDE w:val="0"/>
      <w:autoSpaceDN w:val="0"/>
      <w:adjustRightInd w:val="0"/>
      <w:spacing w:after="0" w:line="240" w:lineRule="auto"/>
      <w:ind w:left="2160"/>
    </w:pPr>
    <w:rPr>
      <w:rFonts w:ascii="Times New Roman" w:eastAsia="Times New Roman" w:hAnsi="Times New Roman" w:cs="Times New Roman"/>
      <w:sz w:val="24"/>
      <w:szCs w:val="24"/>
    </w:rPr>
  </w:style>
  <w:style w:type="paragraph" w:customStyle="1" w:styleId="Level4">
    <w:name w:val="Level 4"/>
    <w:rsid w:val="00E75FA4"/>
    <w:pPr>
      <w:autoSpaceDE w:val="0"/>
      <w:autoSpaceDN w:val="0"/>
      <w:adjustRightInd w:val="0"/>
      <w:spacing w:after="0" w:line="240" w:lineRule="auto"/>
      <w:ind w:left="2880"/>
    </w:pPr>
    <w:rPr>
      <w:rFonts w:ascii="Times New Roman" w:eastAsia="Times New Roman" w:hAnsi="Times New Roman" w:cs="Times New Roman"/>
      <w:sz w:val="24"/>
      <w:szCs w:val="24"/>
    </w:rPr>
  </w:style>
  <w:style w:type="paragraph" w:customStyle="1" w:styleId="Level5">
    <w:name w:val="Level 5"/>
    <w:rsid w:val="00E75FA4"/>
    <w:pPr>
      <w:autoSpaceDE w:val="0"/>
      <w:autoSpaceDN w:val="0"/>
      <w:adjustRightInd w:val="0"/>
      <w:spacing w:after="0" w:line="240" w:lineRule="auto"/>
      <w:ind w:left="3600"/>
    </w:pPr>
    <w:rPr>
      <w:rFonts w:ascii="Times New Roman" w:eastAsia="Times New Roman" w:hAnsi="Times New Roman" w:cs="Times New Roman"/>
      <w:sz w:val="24"/>
      <w:szCs w:val="24"/>
    </w:rPr>
  </w:style>
  <w:style w:type="paragraph" w:customStyle="1" w:styleId="Level6">
    <w:name w:val="Level 6"/>
    <w:rsid w:val="00E75FA4"/>
    <w:pPr>
      <w:autoSpaceDE w:val="0"/>
      <w:autoSpaceDN w:val="0"/>
      <w:adjustRightInd w:val="0"/>
      <w:spacing w:after="0" w:line="240" w:lineRule="auto"/>
      <w:ind w:left="4320"/>
    </w:pPr>
    <w:rPr>
      <w:rFonts w:ascii="Times New Roman" w:eastAsia="Times New Roman" w:hAnsi="Times New Roman" w:cs="Times New Roman"/>
      <w:sz w:val="24"/>
      <w:szCs w:val="24"/>
    </w:rPr>
  </w:style>
  <w:style w:type="paragraph" w:customStyle="1" w:styleId="Level7">
    <w:name w:val="Level 7"/>
    <w:rsid w:val="00E75FA4"/>
    <w:pPr>
      <w:autoSpaceDE w:val="0"/>
      <w:autoSpaceDN w:val="0"/>
      <w:adjustRightInd w:val="0"/>
      <w:spacing w:after="0" w:line="240" w:lineRule="auto"/>
      <w:ind w:left="5040"/>
    </w:pPr>
    <w:rPr>
      <w:rFonts w:ascii="Times New Roman" w:eastAsia="Times New Roman" w:hAnsi="Times New Roman" w:cs="Times New Roman"/>
      <w:sz w:val="24"/>
      <w:szCs w:val="24"/>
    </w:rPr>
  </w:style>
  <w:style w:type="paragraph" w:customStyle="1" w:styleId="Level8">
    <w:name w:val="Level 8"/>
    <w:rsid w:val="00E75FA4"/>
    <w:pPr>
      <w:autoSpaceDE w:val="0"/>
      <w:autoSpaceDN w:val="0"/>
      <w:adjustRightInd w:val="0"/>
      <w:spacing w:after="0" w:line="240" w:lineRule="auto"/>
      <w:ind w:left="5760"/>
    </w:pPr>
    <w:rPr>
      <w:rFonts w:ascii="Times New Roman" w:eastAsia="Times New Roman" w:hAnsi="Times New Roman" w:cs="Times New Roman"/>
      <w:sz w:val="24"/>
      <w:szCs w:val="24"/>
    </w:rPr>
  </w:style>
  <w:style w:type="paragraph" w:customStyle="1" w:styleId="Level9">
    <w:name w:val="Level 9"/>
    <w:semiHidden/>
    <w:rsid w:val="00E75FA4"/>
    <w:pPr>
      <w:autoSpaceDE w:val="0"/>
      <w:autoSpaceDN w:val="0"/>
      <w:adjustRightInd w:val="0"/>
      <w:spacing w:after="0" w:line="240" w:lineRule="auto"/>
      <w:ind w:left="-1440"/>
    </w:pPr>
    <w:rPr>
      <w:rFonts w:ascii="Times New Roman" w:eastAsia="Times New Roman" w:hAnsi="Times New Roman" w:cs="Times New Roman"/>
      <w:b/>
      <w:bCs/>
      <w:sz w:val="24"/>
      <w:szCs w:val="24"/>
    </w:rPr>
  </w:style>
  <w:style w:type="character" w:customStyle="1" w:styleId="ICR-4th">
    <w:name w:val="ICR-4th"/>
    <w:rsid w:val="00E75FA4"/>
    <w:rPr>
      <w:i/>
      <w:iCs/>
    </w:rPr>
  </w:style>
  <w:style w:type="paragraph" w:customStyle="1" w:styleId="Bullet1">
    <w:name w:val="Bullet 1"/>
    <w:basedOn w:val="Normal"/>
    <w:rsid w:val="004D1BC8"/>
    <w:pPr>
      <w:keepNext/>
      <w:widowControl/>
      <w:numPr>
        <w:numId w:val="19"/>
      </w:numPr>
      <w:autoSpaceDE/>
      <w:autoSpaceDN/>
      <w:adjustRightInd/>
      <w:spacing w:after="40"/>
    </w:pPr>
  </w:style>
  <w:style w:type="paragraph" w:styleId="Revision">
    <w:name w:val="Revision"/>
    <w:hidden/>
    <w:uiPriority w:val="99"/>
    <w:semiHidden/>
    <w:rsid w:val="006D5BAD"/>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A6FCE"/>
    <w:pPr>
      <w:ind w:left="720"/>
      <w:contextualSpacing/>
    </w:pPr>
  </w:style>
  <w:style w:type="paragraph" w:styleId="TOCHeading">
    <w:name w:val="TOC Heading"/>
    <w:basedOn w:val="Heading1"/>
    <w:next w:val="Normal"/>
    <w:uiPriority w:val="39"/>
    <w:unhideWhenUsed/>
    <w:qFormat/>
    <w:rsid w:val="00957B2F"/>
    <w:pPr>
      <w:keepLines/>
      <w:widowControl/>
      <w:autoSpaceDE/>
      <w:autoSpaceDN/>
      <w:adjustRightInd/>
      <w:spacing w:after="0" w:line="259" w:lineRule="auto"/>
      <w:outlineLvl w:val="9"/>
    </w:pPr>
    <w:rPr>
      <w:rFonts w:asciiTheme="majorHAnsi" w:eastAsiaTheme="majorEastAsia" w:hAnsiTheme="majorHAnsi" w:cstheme="majorBidi"/>
      <w:b w:val="0"/>
      <w:bCs w:val="0"/>
      <w:color w:val="2E74B5"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507673">
      <w:bodyDiv w:val="1"/>
      <w:marLeft w:val="0"/>
      <w:marRight w:val="0"/>
      <w:marTop w:val="0"/>
      <w:marBottom w:val="0"/>
      <w:divBdr>
        <w:top w:val="none" w:sz="0" w:space="0" w:color="auto"/>
        <w:left w:val="none" w:sz="0" w:space="0" w:color="auto"/>
        <w:bottom w:val="none" w:sz="0" w:space="0" w:color="auto"/>
        <w:right w:val="none" w:sz="0" w:space="0" w:color="auto"/>
      </w:divBdr>
    </w:div>
    <w:div w:id="981233434">
      <w:bodyDiv w:val="1"/>
      <w:marLeft w:val="0"/>
      <w:marRight w:val="0"/>
      <w:marTop w:val="0"/>
      <w:marBottom w:val="0"/>
      <w:divBdr>
        <w:top w:val="none" w:sz="0" w:space="0" w:color="auto"/>
        <w:left w:val="none" w:sz="0" w:space="0" w:color="auto"/>
        <w:bottom w:val="none" w:sz="0" w:space="0" w:color="auto"/>
        <w:right w:val="none" w:sz="0" w:space="0" w:color="auto"/>
      </w:divBdr>
    </w:div>
    <w:div w:id="1400978248">
      <w:bodyDiv w:val="1"/>
      <w:marLeft w:val="0"/>
      <w:marRight w:val="0"/>
      <w:marTop w:val="0"/>
      <w:marBottom w:val="0"/>
      <w:divBdr>
        <w:top w:val="none" w:sz="0" w:space="0" w:color="auto"/>
        <w:left w:val="none" w:sz="0" w:space="0" w:color="auto"/>
        <w:bottom w:val="none" w:sz="0" w:space="0" w:color="auto"/>
        <w:right w:val="none" w:sz="0" w:space="0" w:color="auto"/>
      </w:divBdr>
    </w:div>
    <w:div w:id="1615673586">
      <w:bodyDiv w:val="1"/>
      <w:marLeft w:val="0"/>
      <w:marRight w:val="0"/>
      <w:marTop w:val="0"/>
      <w:marBottom w:val="0"/>
      <w:divBdr>
        <w:top w:val="none" w:sz="0" w:space="0" w:color="auto"/>
        <w:left w:val="none" w:sz="0" w:space="0" w:color="auto"/>
        <w:bottom w:val="none" w:sz="0" w:space="0" w:color="auto"/>
        <w:right w:val="none" w:sz="0" w:space="0" w:color="auto"/>
      </w:divBdr>
      <w:divsChild>
        <w:div w:id="1026634625">
          <w:marLeft w:val="0"/>
          <w:marRight w:val="0"/>
          <w:marTop w:val="0"/>
          <w:marBottom w:val="0"/>
          <w:divBdr>
            <w:top w:val="none" w:sz="0" w:space="0" w:color="auto"/>
            <w:left w:val="none" w:sz="0" w:space="0" w:color="auto"/>
            <w:bottom w:val="none" w:sz="0" w:space="0" w:color="auto"/>
            <w:right w:val="none" w:sz="0" w:space="0" w:color="auto"/>
          </w:divBdr>
          <w:divsChild>
            <w:div w:id="1862546297">
              <w:marLeft w:val="0"/>
              <w:marRight w:val="0"/>
              <w:marTop w:val="0"/>
              <w:marBottom w:val="0"/>
              <w:divBdr>
                <w:top w:val="none" w:sz="0" w:space="0" w:color="auto"/>
                <w:left w:val="none" w:sz="0" w:space="0" w:color="auto"/>
                <w:bottom w:val="none" w:sz="0" w:space="0" w:color="auto"/>
                <w:right w:val="none" w:sz="0" w:space="0" w:color="auto"/>
              </w:divBdr>
              <w:divsChild>
                <w:div w:id="21593847">
                  <w:marLeft w:val="0"/>
                  <w:marRight w:val="0"/>
                  <w:marTop w:val="0"/>
                  <w:marBottom w:val="0"/>
                  <w:divBdr>
                    <w:top w:val="none" w:sz="0" w:space="0" w:color="auto"/>
                    <w:left w:val="none" w:sz="0" w:space="0" w:color="auto"/>
                    <w:bottom w:val="none" w:sz="0" w:space="0" w:color="auto"/>
                    <w:right w:val="none" w:sz="0" w:space="0" w:color="auto"/>
                  </w:divBdr>
                  <w:divsChild>
                    <w:div w:id="213505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533986">
      <w:bodyDiv w:val="1"/>
      <w:marLeft w:val="0"/>
      <w:marRight w:val="0"/>
      <w:marTop w:val="0"/>
      <w:marBottom w:val="0"/>
      <w:divBdr>
        <w:top w:val="none" w:sz="0" w:space="0" w:color="auto"/>
        <w:left w:val="none" w:sz="0" w:space="0" w:color="auto"/>
        <w:bottom w:val="none" w:sz="0" w:space="0" w:color="auto"/>
        <w:right w:val="none" w:sz="0" w:space="0" w:color="auto"/>
      </w:divBdr>
    </w:div>
    <w:div w:id="1855220099">
      <w:bodyDiv w:val="1"/>
      <w:marLeft w:val="0"/>
      <w:marRight w:val="0"/>
      <w:marTop w:val="0"/>
      <w:marBottom w:val="0"/>
      <w:divBdr>
        <w:top w:val="none" w:sz="0" w:space="0" w:color="auto"/>
        <w:left w:val="none" w:sz="0" w:space="0" w:color="auto"/>
        <w:bottom w:val="none" w:sz="0" w:space="0" w:color="auto"/>
        <w:right w:val="none" w:sz="0" w:space="0" w:color="auto"/>
      </w:divBdr>
    </w:div>
    <w:div w:id="2093358383">
      <w:bodyDiv w:val="1"/>
      <w:marLeft w:val="0"/>
      <w:marRight w:val="0"/>
      <w:marTop w:val="0"/>
      <w:marBottom w:val="0"/>
      <w:divBdr>
        <w:top w:val="none" w:sz="0" w:space="0" w:color="auto"/>
        <w:left w:val="none" w:sz="0" w:space="0" w:color="auto"/>
        <w:bottom w:val="none" w:sz="0" w:space="0" w:color="auto"/>
        <w:right w:val="none" w:sz="0" w:space="0" w:color="auto"/>
      </w:divBdr>
    </w:div>
    <w:div w:id="213617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14071-2BBA-43F3-8E5F-F764D2896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36</Pages>
  <Words>12716</Words>
  <Characters>72487</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Tetra Tech</Company>
  <LinksUpToDate>false</LinksUpToDate>
  <CharactersWithSpaces>85033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Sunda, John</dc:creator>
  <cp:keywords/>
  <dc:description/>
  <cp:lastModifiedBy>Clark, Spencer</cp:lastModifiedBy>
  <cp:revision>5</cp:revision>
  <dcterms:created xsi:type="dcterms:W3CDTF">2015-12-18T15:05:00Z</dcterms:created>
  <dcterms:modified xsi:type="dcterms:W3CDTF">2015-12-18T17:51:00Z</dcterms:modified>
</cp:coreProperties>
</file>