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3FD4F" w14:textId="77777777" w:rsidR="004E2799" w:rsidRDefault="004E2799" w:rsidP="00363939">
      <w:pPr>
        <w:jc w:val="center"/>
        <w:rPr>
          <w:b/>
        </w:rPr>
      </w:pPr>
      <w:bookmarkStart w:id="0" w:name="_GoBack"/>
      <w:bookmarkEnd w:id="0"/>
      <w:r>
        <w:rPr>
          <w:b/>
        </w:rPr>
        <w:t>United States Department of Energy</w:t>
      </w:r>
    </w:p>
    <w:p w14:paraId="70F97712" w14:textId="77777777" w:rsidR="00C82919" w:rsidRDefault="00C82919" w:rsidP="00363939">
      <w:pPr>
        <w:jc w:val="center"/>
        <w:rPr>
          <w:b/>
        </w:rPr>
      </w:pPr>
      <w:r w:rsidRPr="00F418E5">
        <w:rPr>
          <w:b/>
        </w:rPr>
        <w:t>Supporting Statement</w:t>
      </w:r>
    </w:p>
    <w:p w14:paraId="2D59D04C" w14:textId="7E38F0D5" w:rsidR="004E2799" w:rsidRPr="00F418E5" w:rsidRDefault="004E2799" w:rsidP="004E2799">
      <w:pPr>
        <w:jc w:val="center"/>
        <w:rPr>
          <w:b/>
        </w:rPr>
      </w:pPr>
      <w:r w:rsidRPr="00F418E5">
        <w:rPr>
          <w:b/>
        </w:rPr>
        <w:t xml:space="preserve">OMB Control Number </w:t>
      </w:r>
      <w:r w:rsidRPr="00FB245E">
        <w:rPr>
          <w:b/>
        </w:rPr>
        <w:t>1910-</w:t>
      </w:r>
      <w:r w:rsidR="005E12CB">
        <w:rPr>
          <w:b/>
        </w:rPr>
        <w:t>xxxx</w:t>
      </w:r>
    </w:p>
    <w:p w14:paraId="6998B6AB" w14:textId="5D5E7524" w:rsidR="00363939" w:rsidRPr="00BF69BE" w:rsidRDefault="00BF69BE" w:rsidP="00363939">
      <w:pPr>
        <w:jc w:val="center"/>
        <w:rPr>
          <w:b/>
        </w:rPr>
      </w:pPr>
      <w:r>
        <w:rPr>
          <w:b/>
        </w:rPr>
        <w:t>“</w:t>
      </w:r>
      <w:r w:rsidR="005E12CB">
        <w:rPr>
          <w:b/>
        </w:rPr>
        <w:t>Regional Standards Compliance Information</w:t>
      </w:r>
      <w:r>
        <w:rPr>
          <w:b/>
        </w:rPr>
        <w:t>”</w:t>
      </w:r>
    </w:p>
    <w:p w14:paraId="22A4ADC4" w14:textId="77777777" w:rsidR="00720F5A" w:rsidRPr="00F418E5" w:rsidRDefault="008255D8" w:rsidP="00C82919">
      <w:pPr>
        <w:jc w:val="center"/>
        <w:rPr>
          <w:b/>
        </w:rPr>
      </w:pPr>
      <w:r w:rsidRPr="00F418E5">
        <w:rPr>
          <w:b/>
        </w:rPr>
        <w:t xml:space="preserve"> </w:t>
      </w:r>
    </w:p>
    <w:p w14:paraId="22AB0468" w14:textId="6B1A480D" w:rsidR="00184C46" w:rsidRPr="00F418E5" w:rsidRDefault="00184C46" w:rsidP="00184C46">
      <w:r w:rsidRPr="00F418E5">
        <w:t>This supporting statement provides additional information regarding the Department of Energy (DOE</w:t>
      </w:r>
      <w:r w:rsidR="005E12CB">
        <w:t xml:space="preserve">) request for processing of a new </w:t>
      </w:r>
      <w:r w:rsidRPr="00F418E5">
        <w:t>information collection,</w:t>
      </w:r>
      <w:r w:rsidR="00726927">
        <w:t xml:space="preserve"> </w:t>
      </w:r>
      <w:r w:rsidR="00E67210">
        <w:t>“</w:t>
      </w:r>
      <w:r w:rsidR="005E12CB">
        <w:t>Regional Standards Compliance Information.</w:t>
      </w:r>
      <w:r w:rsidR="00E67210">
        <w:t>”</w:t>
      </w:r>
      <w:r w:rsidRPr="00F418E5">
        <w:t xml:space="preserve">  The numbered questions correspond to the order shown on the Office of Management and Budget (OMB) Form 83-I, “Instructions for Completing OMB Form 83-I.”</w:t>
      </w:r>
    </w:p>
    <w:p w14:paraId="15D4D935" w14:textId="77777777" w:rsidR="00720F5A" w:rsidRPr="00F418E5" w:rsidRDefault="00720F5A" w:rsidP="00C82919">
      <w:pPr>
        <w:jc w:val="center"/>
        <w:rPr>
          <w:b/>
        </w:rPr>
      </w:pPr>
    </w:p>
    <w:p w14:paraId="219D8E69" w14:textId="77777777" w:rsidR="00123C4A" w:rsidRPr="00F418E5" w:rsidRDefault="00123C4A" w:rsidP="00184C46"/>
    <w:p w14:paraId="346D28EA" w14:textId="77777777" w:rsidR="00FE43CD" w:rsidRPr="00F418E5" w:rsidRDefault="00FE43CD" w:rsidP="00184C46">
      <w:pPr>
        <w:numPr>
          <w:ilvl w:val="0"/>
          <w:numId w:val="2"/>
        </w:numPr>
        <w:tabs>
          <w:tab w:val="num" w:pos="720"/>
        </w:tabs>
        <w:rPr>
          <w:b/>
          <w:sz w:val="28"/>
          <w:szCs w:val="28"/>
          <w:u w:val="single"/>
        </w:rPr>
      </w:pPr>
      <w:r w:rsidRPr="00F418E5">
        <w:rPr>
          <w:b/>
          <w:sz w:val="28"/>
          <w:szCs w:val="28"/>
          <w:u w:val="single"/>
        </w:rPr>
        <w:t>Justification</w:t>
      </w:r>
    </w:p>
    <w:p w14:paraId="5AC75985" w14:textId="77777777" w:rsidR="00FE43CD" w:rsidRPr="00F418E5" w:rsidRDefault="00FE43CD" w:rsidP="00184C46"/>
    <w:p w14:paraId="2CC22C38" w14:textId="77777777" w:rsidR="00184C46" w:rsidRPr="00F418E5" w:rsidRDefault="00123C4A" w:rsidP="00F4687A">
      <w:pPr>
        <w:numPr>
          <w:ilvl w:val="0"/>
          <w:numId w:val="7"/>
        </w:numPr>
        <w:rPr>
          <w:b/>
        </w:rPr>
      </w:pPr>
      <w:r w:rsidRPr="00F418E5">
        <w:rPr>
          <w:b/>
          <w:u w:val="single"/>
        </w:rPr>
        <w:t>Explain the circumstances that make the collection of information necessary.</w:t>
      </w:r>
      <w:r w:rsidR="00184C46" w:rsidRPr="00F418E5">
        <w:rPr>
          <w:b/>
          <w:u w:val="single"/>
        </w:rPr>
        <w:t xml:space="preserve">  Identify any legal or administrative requirements that necessitate the collection.  Attach a copy of the</w:t>
      </w:r>
      <w:r w:rsidR="00184C46" w:rsidRPr="009F5B00">
        <w:rPr>
          <w:b/>
          <w:u w:val="single"/>
        </w:rPr>
        <w:t xml:space="preserve"> </w:t>
      </w:r>
      <w:r w:rsidR="00184C46" w:rsidRPr="00F418E5">
        <w:rPr>
          <w:b/>
          <w:u w:val="single"/>
        </w:rPr>
        <w:t>appropriate section of each statute and regulation mandating or authorizing the information collection.</w:t>
      </w:r>
      <w:r w:rsidR="00184C46" w:rsidRPr="00F418E5">
        <w:rPr>
          <w:b/>
        </w:rPr>
        <w:t xml:space="preserve"> </w:t>
      </w:r>
    </w:p>
    <w:p w14:paraId="30271F36" w14:textId="77777777" w:rsidR="005B54F5" w:rsidRPr="00F418E5" w:rsidRDefault="005B54F5" w:rsidP="00184C46"/>
    <w:p w14:paraId="67E51D4D" w14:textId="29F5D98C" w:rsidR="00BF69BE" w:rsidRDefault="00BF69BE" w:rsidP="00BF69BE">
      <w:pPr>
        <w:ind w:firstLine="720"/>
      </w:pPr>
      <w:r>
        <w:t xml:space="preserve">Title III of the Energy Policy and Conservation Act of 1975, as amended (“EPCA” or, in context, “the Act”) sets forth a variety of provisions designed to improve energy efficiency. </w:t>
      </w:r>
      <w:r w:rsidR="007D1646">
        <w:t xml:space="preserve"> Part </w:t>
      </w:r>
      <w:r>
        <w:t>A of Title III (42 U.S.C. 6291–6309) provides for the Energy Conservation Program for Consumer Products Other Than Automobiles.</w:t>
      </w:r>
      <w:r>
        <w:rPr>
          <w:rStyle w:val="FootnoteReference"/>
        </w:rPr>
        <w:footnoteReference w:id="1"/>
      </w:r>
      <w:r>
        <w:t xml:space="preserve">  The Department of Energy (“DOE”) is charged with implementing these provisions.</w:t>
      </w:r>
    </w:p>
    <w:p w14:paraId="5BA20623" w14:textId="77777777" w:rsidR="00BF69BE" w:rsidRPr="004F0253" w:rsidRDefault="00BF69BE" w:rsidP="00BF69BE">
      <w:pPr>
        <w:ind w:firstLine="720"/>
        <w:rPr>
          <w:color w:val="000000"/>
        </w:rPr>
      </w:pPr>
    </w:p>
    <w:p w14:paraId="7BD3ECB5" w14:textId="5EE5BA81" w:rsidR="008255D8" w:rsidRPr="00F418E5" w:rsidRDefault="00BF69BE" w:rsidP="00BF69BE">
      <w:pPr>
        <w:widowControl w:val="0"/>
        <w:ind w:firstLine="720"/>
      </w:pPr>
      <w:r w:rsidRPr="00BA5360">
        <w:rPr>
          <w:color w:val="000000"/>
        </w:rPr>
        <w:t>Under EPCA, this program consists essentially of four parts: (1) testing; (2) labeling; (3</w:t>
      </w:r>
      <w:r w:rsidR="00EE7D85" w:rsidRPr="00BA5360">
        <w:rPr>
          <w:color w:val="000000"/>
        </w:rPr>
        <w:t>)</w:t>
      </w:r>
      <w:r w:rsidR="00EE7D85">
        <w:rPr>
          <w:color w:val="000000"/>
        </w:rPr>
        <w:t> </w:t>
      </w:r>
      <w:r w:rsidRPr="00BA5360">
        <w:rPr>
          <w:color w:val="000000"/>
        </w:rPr>
        <w:t xml:space="preserve">Federal energy conservation standards; and (4) certification and enforcement procedures. </w:t>
      </w:r>
      <w:r w:rsidR="001F0FFA">
        <w:rPr>
          <w:color w:val="000000"/>
        </w:rPr>
        <w:t xml:space="preserve"> </w:t>
      </w:r>
      <w:r>
        <w:t xml:space="preserve">The Federal Trade Commission (FTC) is primarily responsible for labeling of consumer products, and DOE implements the remainder of the program. </w:t>
      </w:r>
      <w:r w:rsidR="001F0FFA">
        <w:t xml:space="preserve"> </w:t>
      </w:r>
      <w:r w:rsidR="00B84BF9">
        <w:t>S</w:t>
      </w:r>
      <w:r w:rsidRPr="00F56269">
        <w:t>ections 6299-6305</w:t>
      </w:r>
      <w:r w:rsidR="009944ED">
        <w:t xml:space="preserve"> </w:t>
      </w:r>
      <w:r w:rsidRPr="00F56269">
        <w:t xml:space="preserve">of EPCA authorize DOE to enforce compliance with the energy and water conservation standards established for certain consumer products. </w:t>
      </w:r>
      <w:r w:rsidR="009944ED">
        <w:t xml:space="preserve"> </w:t>
      </w:r>
      <w:r w:rsidRPr="00F56269">
        <w:t xml:space="preserve">(42 U.S.C. 6299-6305) </w:t>
      </w:r>
      <w:r w:rsidR="00B84BF9">
        <w:t xml:space="preserve"> </w:t>
      </w:r>
      <w:r w:rsidR="008255D8" w:rsidRPr="00F418E5">
        <w:t xml:space="preserve">EPCA directs the Secretary of Energy to prescribe reporting and recordkeeping rules for the covered products. </w:t>
      </w:r>
      <w:r w:rsidR="00B84BF9">
        <w:t xml:space="preserve"> </w:t>
      </w:r>
      <w:r w:rsidR="008255D8" w:rsidRPr="00F418E5">
        <w:t xml:space="preserve">The authority for </w:t>
      </w:r>
      <w:r w:rsidR="005A7E01">
        <w:t xml:space="preserve">this </w:t>
      </w:r>
      <w:r w:rsidR="00764F7D">
        <w:t>information collection</w:t>
      </w:r>
      <w:r w:rsidR="008255D8" w:rsidRPr="00F418E5">
        <w:t xml:space="preserve"> </w:t>
      </w:r>
      <w:r w:rsidR="001B0C1E">
        <w:t>are</w:t>
      </w:r>
      <w:r w:rsidR="008255D8" w:rsidRPr="00F418E5">
        <w:t xml:space="preserve"> section</w:t>
      </w:r>
      <w:r w:rsidR="001B0C1E">
        <w:t>s</w:t>
      </w:r>
      <w:r w:rsidR="008255D8" w:rsidRPr="00F418E5">
        <w:t xml:space="preserve"> </w:t>
      </w:r>
      <w:r w:rsidR="00C715E6">
        <w:t>629</w:t>
      </w:r>
      <w:r w:rsidR="00C715E6" w:rsidRPr="00F418E5">
        <w:t>6</w:t>
      </w:r>
      <w:r w:rsidR="008255D8" w:rsidRPr="00F418E5">
        <w:t>(d) of EPCA</w:t>
      </w:r>
      <w:r w:rsidR="00B84BF9">
        <w:t>,</w:t>
      </w:r>
      <w:r w:rsidR="008255D8" w:rsidRPr="00F418E5">
        <w:t xml:space="preserve"> which states:</w:t>
      </w:r>
    </w:p>
    <w:p w14:paraId="0C2CC5A2" w14:textId="77777777" w:rsidR="008255D8" w:rsidRPr="00F418E5" w:rsidRDefault="008255D8" w:rsidP="008255D8">
      <w:r w:rsidRPr="00F418E5">
        <w:tab/>
      </w:r>
    </w:p>
    <w:p w14:paraId="2CA67E4B" w14:textId="5C53F2B5" w:rsidR="008255D8" w:rsidRDefault="008255D8" w:rsidP="009F5B00">
      <w:pPr>
        <w:ind w:left="720" w:right="720"/>
      </w:pPr>
      <w:r w:rsidRPr="00F418E5">
        <w:t xml:space="preserve">For purposes of carrying out this part, the Secretary may require, under this part or other provision of law administered by the Secretary, each manufacturer of a covered product to submit information or reports to the Secretary with respect to energy </w:t>
      </w:r>
      <w:r w:rsidRPr="00F418E5">
        <w:tab/>
        <w:t>efficiency, energy use, or, in the case of showerheads, faucets, water closets, and urinals, water use of such covered product … to ensure compliance wit</w:t>
      </w:r>
      <w:r w:rsidR="001B0C1E">
        <w:t>h the requirements of this part;</w:t>
      </w:r>
    </w:p>
    <w:p w14:paraId="545EFE00" w14:textId="77777777" w:rsidR="005A7E01" w:rsidRDefault="005A7E01" w:rsidP="009F5B00">
      <w:pPr>
        <w:ind w:left="720" w:right="720"/>
      </w:pPr>
    </w:p>
    <w:p w14:paraId="13C73549" w14:textId="399687DD" w:rsidR="001B0C1E" w:rsidRDefault="005A7E01" w:rsidP="001B0C1E">
      <w:pPr>
        <w:ind w:right="720"/>
      </w:pPr>
      <w:r>
        <w:t>a</w:t>
      </w:r>
      <w:r w:rsidR="001B0C1E">
        <w:t>nd section 6295(o)(6)(G)</w:t>
      </w:r>
      <w:r>
        <w:t>(ii)</w:t>
      </w:r>
      <w:r w:rsidR="001B0C1E">
        <w:t xml:space="preserve"> of EPCA, which states</w:t>
      </w:r>
      <w:r>
        <w:t>, in relevant part</w:t>
      </w:r>
      <w:r w:rsidR="001B0C1E">
        <w:t>:</w:t>
      </w:r>
    </w:p>
    <w:p w14:paraId="5EE6FF87" w14:textId="77777777" w:rsidR="005A7E01" w:rsidRDefault="005A7E01" w:rsidP="001B0C1E">
      <w:pPr>
        <w:ind w:right="720"/>
      </w:pPr>
    </w:p>
    <w:p w14:paraId="58C362DE" w14:textId="08F25978" w:rsidR="001B0C1E" w:rsidRPr="005A7E01" w:rsidRDefault="005A7E01" w:rsidP="005A7E01">
      <w:pPr>
        <w:autoSpaceDE w:val="0"/>
        <w:autoSpaceDN w:val="0"/>
        <w:adjustRightInd w:val="0"/>
        <w:ind w:left="720" w:firstLine="540"/>
        <w:rPr>
          <w:rFonts w:eastAsia="SimSun"/>
          <w:lang w:eastAsia="zh-CN"/>
        </w:rPr>
      </w:pPr>
      <w:r w:rsidRPr="009A5777">
        <w:rPr>
          <w:rFonts w:eastAsia="SimSun"/>
          <w:lang w:eastAsia="zh-CN"/>
        </w:rPr>
        <w:t>(ii) Regional standards.—</w:t>
      </w:r>
      <w:r>
        <w:rPr>
          <w:rFonts w:eastAsia="SimSun"/>
          <w:lang w:eastAsia="zh-CN"/>
        </w:rPr>
        <w:t xml:space="preserve"> (I) …</w:t>
      </w:r>
      <w:r w:rsidRPr="009A5777">
        <w:rPr>
          <w:rFonts w:eastAsia="SimSun"/>
          <w:lang w:eastAsia="zh-CN"/>
        </w:rPr>
        <w:t xml:space="preserve"> </w:t>
      </w:r>
      <w:r>
        <w:rPr>
          <w:rFonts w:eastAsia="SimSun"/>
          <w:lang w:eastAsia="zh-CN"/>
        </w:rPr>
        <w:t>[T]</w:t>
      </w:r>
      <w:r w:rsidRPr="009A5777">
        <w:rPr>
          <w:rFonts w:eastAsia="SimSun"/>
          <w:lang w:eastAsia="zh-CN"/>
        </w:rPr>
        <w:t xml:space="preserve">he Secretary shall initiate a rulemaking to develop and implement an effective enforcement plan for regional standards for the </w:t>
      </w:r>
      <w:r w:rsidRPr="009A5777">
        <w:rPr>
          <w:rFonts w:eastAsia="SimSun"/>
          <w:lang w:eastAsia="zh-CN"/>
        </w:rPr>
        <w:lastRenderedPageBreak/>
        <w:t>products that are covered by the final rule.</w:t>
      </w:r>
      <w:r>
        <w:rPr>
          <w:rFonts w:eastAsia="SimSun"/>
          <w:lang w:eastAsia="zh-CN"/>
        </w:rPr>
        <w:t xml:space="preserve"> </w:t>
      </w:r>
      <w:r w:rsidRPr="009A5777">
        <w:rPr>
          <w:rFonts w:eastAsia="SimSun"/>
          <w:lang w:eastAsia="zh-CN"/>
        </w:rPr>
        <w:t>(II) Responsible entities.—Any rules regarding enforcement of a regional standard shall clearly specify which entities are legally responsible for compliance with the standards and for making any required information or labeling disclosures.</w:t>
      </w:r>
    </w:p>
    <w:p w14:paraId="0A47BDB2" w14:textId="57DD1D8C" w:rsidR="008255D8" w:rsidRPr="00F418E5" w:rsidRDefault="008255D8" w:rsidP="001B0C1E">
      <w:pPr>
        <w:ind w:right="720"/>
      </w:pPr>
    </w:p>
    <w:p w14:paraId="7D44FCD9" w14:textId="707D4E38" w:rsidR="00D561BC" w:rsidRDefault="00764F7D" w:rsidP="00D561BC">
      <w:r>
        <w:tab/>
      </w:r>
      <w:r w:rsidR="00D561BC">
        <w:t xml:space="preserve">The Energy Independence and Security Act of 2007 </w:t>
      </w:r>
      <w:r w:rsidR="00C248B7">
        <w:t xml:space="preserve">(EISA 2007) </w:t>
      </w:r>
      <w:r w:rsidR="00D561BC">
        <w:t>modified EPCA to authorize DOE to consider regional standards for certain products</w:t>
      </w:r>
      <w:r w:rsidR="002D44E2">
        <w:t>.  (42 U.S.C. 6295(a)(6)(A)</w:t>
      </w:r>
      <w:r w:rsidR="00C248B7">
        <w:t>)</w:t>
      </w:r>
      <w:r w:rsidR="002D44E2">
        <w:t xml:space="preserve">  Such regional standards may be established only if the Secretary determines </w:t>
      </w:r>
      <w:r w:rsidR="00A102DF">
        <w:t xml:space="preserve">both </w:t>
      </w:r>
      <w:r w:rsidR="002D44E2">
        <w:t xml:space="preserve">that the standards will produce significant </w:t>
      </w:r>
      <w:r w:rsidR="00B920B4">
        <w:t>e</w:t>
      </w:r>
      <w:r w:rsidR="002D44E2">
        <w:t>nergy savings in comparison to establishin</w:t>
      </w:r>
      <w:r w:rsidR="00A102DF">
        <w:t>g</w:t>
      </w:r>
      <w:r w:rsidR="002D44E2">
        <w:t xml:space="preserve"> only a single national standard and</w:t>
      </w:r>
      <w:r w:rsidR="00A102DF">
        <w:t xml:space="preserve"> that</w:t>
      </w:r>
      <w:r w:rsidR="002D44E2">
        <w:t xml:space="preserve"> additional regional standards are economically justified.  (</w:t>
      </w:r>
      <w:r w:rsidR="00C248B7">
        <w:t>42 U.S.C. 6295(a)(6)</w:t>
      </w:r>
      <w:r w:rsidR="002D44E2">
        <w:t>(</w:t>
      </w:r>
      <w:r w:rsidR="00C248B7">
        <w:t>D)(i))</w:t>
      </w:r>
      <w:r w:rsidR="00D561BC">
        <w:t xml:space="preserve">  </w:t>
      </w:r>
      <w:r w:rsidR="00C248B7">
        <w:t>EISA 2007 authorizes DOE</w:t>
      </w:r>
      <w:r w:rsidR="00D561BC">
        <w:t xml:space="preserve"> to establish</w:t>
      </w:r>
      <w:r w:rsidR="00A102DF">
        <w:t>, in addition to national standards,</w:t>
      </w:r>
      <w:r w:rsidR="00D561BC">
        <w:t xml:space="preserve"> up to two additional regional standards for central air conditioners and heat pumps and one additional </w:t>
      </w:r>
      <w:r w:rsidR="00A102DF">
        <w:t xml:space="preserve">regional </w:t>
      </w:r>
      <w:r w:rsidR="00D561BC">
        <w:t>standard for furnaces.  (42</w:t>
      </w:r>
      <w:r w:rsidR="002D44E2">
        <w:t> </w:t>
      </w:r>
      <w:r w:rsidR="00D561BC">
        <w:t>U.S.C. 6295(o)(6)(B)(ii)</w:t>
      </w:r>
      <w:r w:rsidR="00C248B7">
        <w:t>(II)</w:t>
      </w:r>
      <w:r w:rsidR="00D561BC">
        <w:t>)</w:t>
      </w:r>
    </w:p>
    <w:p w14:paraId="5AA510F5" w14:textId="77777777" w:rsidR="00D561BC" w:rsidRDefault="00D561BC" w:rsidP="00D561BC"/>
    <w:p w14:paraId="60611C5A" w14:textId="77777777" w:rsidR="00D561BC" w:rsidRDefault="00D561BC" w:rsidP="009F5B00">
      <w:pPr>
        <w:ind w:firstLine="720"/>
      </w:pPr>
      <w:r>
        <w:t xml:space="preserve">On June 27, 2011, DOE promulgated a direct final rule for </w:t>
      </w:r>
      <w:r w:rsidR="00DC09BF">
        <w:t>central air conditioners and heat pumps and furnaces</w:t>
      </w:r>
      <w:r>
        <w:t xml:space="preserve"> that established regional standards. </w:t>
      </w:r>
      <w:r w:rsidR="00507C19">
        <w:t xml:space="preserve"> </w:t>
      </w:r>
      <w:r>
        <w:t>76 FR 37549.</w:t>
      </w:r>
      <w:r w:rsidR="00507C19">
        <w:t xml:space="preserve"> </w:t>
      </w:r>
      <w:r>
        <w:t xml:space="preserve"> In addition to the current base national standard</w:t>
      </w:r>
      <w:r w:rsidR="00DC09BF">
        <w:t>s</w:t>
      </w:r>
      <w:r>
        <w:t>, DOE established one additional regional standard for furnaces and two additional regional standards for central air conditioners and heat pumps.</w:t>
      </w:r>
      <w:r w:rsidR="00507C19">
        <w:t xml:space="preserve"> </w:t>
      </w:r>
      <w:r>
        <w:t xml:space="preserve"> The Department published a notice of effective date and compliance dates for the direct final rule on October 31, 2011 (76 FR 67037), requiring compliance for non-weatherized furnaces on May 1, 2013, and for weatherized furnaces and central air conditioners and heat pumps on January 1, 2015.</w:t>
      </w:r>
    </w:p>
    <w:p w14:paraId="08899F16" w14:textId="77777777" w:rsidR="00D561BC" w:rsidRDefault="00D561BC" w:rsidP="008255D8"/>
    <w:p w14:paraId="529B2B11" w14:textId="18F204D1" w:rsidR="005A7E01" w:rsidRDefault="005A7E01" w:rsidP="005A7E01">
      <w:pPr>
        <w:ind w:firstLine="720"/>
      </w:pPr>
      <w:r>
        <w:t>EISA 2007 also requires DOE to initiate an enforcement rulemaking</w:t>
      </w:r>
      <w:r w:rsidRPr="00290F94">
        <w:t xml:space="preserve"> </w:t>
      </w:r>
      <w:r>
        <w:t>to develop and implement an effective enforcement plan for regional standards.  (42 U.S.C. 62905(o)(6)(G)(ii)(I))  EISA 2007 directs DOE to determine which parties are responsible for making information</w:t>
      </w:r>
      <w:r w:rsidR="004D313D">
        <w:t xml:space="preserve"> disclosures as part of that rulemaking.  (42 U.S.C. 62905(o)(6)(G)(ii)(II))</w:t>
      </w:r>
    </w:p>
    <w:p w14:paraId="25D000BF" w14:textId="77777777" w:rsidR="005A7E01" w:rsidRDefault="005A7E01" w:rsidP="005A7E01"/>
    <w:p w14:paraId="22A8C22C" w14:textId="77777777" w:rsidR="00507C19" w:rsidRDefault="00507C19" w:rsidP="009F5B00">
      <w:pPr>
        <w:ind w:firstLine="720"/>
      </w:pPr>
      <w:r>
        <w:t>On June 13, 2014, DOE published a Notice of Intent</w:t>
      </w:r>
      <w:r w:rsidRPr="00507C19">
        <w:t xml:space="preserve"> to establish a negotiated rulemaking working group under the Appliance Standards and Rulemaking Federal Advisory Committee (ASRAC) in accordance with the Federal Advisory Committee Act (FACA) and the Negotiated Rulemaking Act (NRA)</w:t>
      </w:r>
      <w:r w:rsidR="00DC09BF">
        <w:t xml:space="preserve">.  The purpose of the </w:t>
      </w:r>
      <w:r w:rsidRPr="00507C19">
        <w:t xml:space="preserve">working group </w:t>
      </w:r>
      <w:r w:rsidR="00195364">
        <w:t>was</w:t>
      </w:r>
      <w:r w:rsidRPr="00507C19">
        <w:t xml:space="preserve"> to discuss and, if possible, reach consensus on a proposed rule </w:t>
      </w:r>
      <w:r w:rsidR="00B63722">
        <w:t>for</w:t>
      </w:r>
      <w:r w:rsidRPr="00507C19">
        <w:t xml:space="preserve"> enforcement of </w:t>
      </w:r>
      <w:r w:rsidR="00B63722">
        <w:t xml:space="preserve">the </w:t>
      </w:r>
      <w:r w:rsidRPr="00507C19">
        <w:t>regional standards</w:t>
      </w:r>
      <w:r w:rsidR="00B63722">
        <w:t xml:space="preserve"> for central air conditioners and heat pumps</w:t>
      </w:r>
      <w:r w:rsidRPr="00507C19">
        <w:t xml:space="preserve">. </w:t>
      </w:r>
      <w:r w:rsidR="00195364">
        <w:t xml:space="preserve"> </w:t>
      </w:r>
      <w:r w:rsidRPr="00507C19">
        <w:t>The working group consist</w:t>
      </w:r>
      <w:r w:rsidR="00195364">
        <w:t>ed</w:t>
      </w:r>
      <w:r w:rsidRPr="00507C19">
        <w:t xml:space="preserve"> of representatives of parties having a defined stake in the outcome of the proposed standards.</w:t>
      </w:r>
    </w:p>
    <w:p w14:paraId="3F2DC7C9" w14:textId="77777777" w:rsidR="00507C19" w:rsidRDefault="00507C19" w:rsidP="008255D8"/>
    <w:p w14:paraId="5A562D87" w14:textId="6A4B021F" w:rsidR="009A584A" w:rsidRDefault="00195364" w:rsidP="008255D8">
      <w:r>
        <w:tab/>
        <w:t xml:space="preserve">As part of the negotiated rulemaking, the working group determined that </w:t>
      </w:r>
      <w:r w:rsidR="00290F94">
        <w:t xml:space="preserve">the imposition of </w:t>
      </w:r>
      <w:r>
        <w:t xml:space="preserve">new record retention requirements </w:t>
      </w:r>
      <w:r w:rsidR="00290F94">
        <w:t>on</w:t>
      </w:r>
      <w:r>
        <w:t xml:space="preserve"> certain parties</w:t>
      </w:r>
      <w:r w:rsidR="00D92DD4">
        <w:t xml:space="preserve"> (i.e.</w:t>
      </w:r>
      <w:r w:rsidR="004D313D">
        <w:t>,</w:t>
      </w:r>
      <w:r w:rsidR="00D92DD4">
        <w:t xml:space="preserve"> </w:t>
      </w:r>
      <w:r w:rsidR="00D272DC">
        <w:t xml:space="preserve">manufacturers, </w:t>
      </w:r>
      <w:r w:rsidR="00D92DD4">
        <w:t xml:space="preserve">distributors and </w:t>
      </w:r>
      <w:r w:rsidR="00ED4BCA">
        <w:t>contractors</w:t>
      </w:r>
      <w:r w:rsidR="00D92DD4">
        <w:t>)</w:t>
      </w:r>
      <w:r w:rsidR="00290F94">
        <w:t xml:space="preserve"> is required</w:t>
      </w:r>
      <w:r>
        <w:t xml:space="preserve"> in order to allow for effective DOE enforcement of the regional standards</w:t>
      </w:r>
      <w:r w:rsidR="00290F94">
        <w:t xml:space="preserve"> as required under EISA 2007</w:t>
      </w:r>
      <w:r>
        <w:t xml:space="preserve">.  </w:t>
      </w:r>
      <w:r w:rsidR="009A584A">
        <w:t>(</w:t>
      </w:r>
      <w:r w:rsidR="00F151BA">
        <w:t>Docket ID EERE-2011-BT-CE-0077.</w:t>
      </w:r>
      <w:r w:rsidR="009A584A">
        <w:t>)</w:t>
      </w:r>
      <w:r w:rsidR="00290F94">
        <w:t xml:space="preserve">  </w:t>
      </w:r>
      <w:r w:rsidR="00740E51">
        <w:t>The working group agreed as follows:</w:t>
      </w:r>
    </w:p>
    <w:p w14:paraId="371D8722" w14:textId="77777777" w:rsidR="00740E51" w:rsidRDefault="00740E51" w:rsidP="008255D8"/>
    <w:p w14:paraId="02D5FD32" w14:textId="77777777" w:rsidR="00740E51" w:rsidRDefault="00740E51" w:rsidP="009F5B00">
      <w:pPr>
        <w:pStyle w:val="ListParagraph"/>
        <w:numPr>
          <w:ilvl w:val="0"/>
          <w:numId w:val="20"/>
        </w:numPr>
      </w:pPr>
      <w:r>
        <w:t xml:space="preserve">Beginning 30 days after a final rule, all manufacturers must retain: </w:t>
      </w:r>
    </w:p>
    <w:p w14:paraId="665F1278" w14:textId="77777777" w:rsidR="00740E51" w:rsidRDefault="00740E51" w:rsidP="009F5B00">
      <w:pPr>
        <w:pStyle w:val="ListParagraph"/>
        <w:numPr>
          <w:ilvl w:val="1"/>
          <w:numId w:val="20"/>
        </w:numPr>
      </w:pPr>
      <w:r>
        <w:t>For split-system central air conditioner outdoor condensing units: the model number, serial number, date of manufacture, date of sale, and party to whom the unit was sold (including person’s name, full address, and phone number);</w:t>
      </w:r>
    </w:p>
    <w:p w14:paraId="68548559" w14:textId="77777777" w:rsidR="00740E51" w:rsidRDefault="00740E51" w:rsidP="009F5B00">
      <w:pPr>
        <w:pStyle w:val="ListParagraph"/>
        <w:numPr>
          <w:ilvl w:val="1"/>
          <w:numId w:val="20"/>
        </w:numPr>
      </w:pPr>
      <w:r>
        <w:t>For split-system central air conditioner indoor coils or air handlers (not including uncased coils sold as replacement parts): the model number, date of manufacture, date of sale, and party to whom the unit was sold (including person’s name, full address, and phone number); and</w:t>
      </w:r>
    </w:p>
    <w:p w14:paraId="0D8C8C90" w14:textId="77777777" w:rsidR="00740E51" w:rsidRDefault="00740E51" w:rsidP="009F5B00">
      <w:pPr>
        <w:pStyle w:val="ListParagraph"/>
        <w:numPr>
          <w:ilvl w:val="1"/>
          <w:numId w:val="20"/>
        </w:numPr>
      </w:pPr>
      <w:r>
        <w:t>For single-package central air conditioners: the model number, serial number, date of manufacture, date of sale, and party to whom the unit was sold (including person’s name, full address, and phone number).</w:t>
      </w:r>
    </w:p>
    <w:p w14:paraId="63F932FF" w14:textId="77777777" w:rsidR="00740E51" w:rsidRDefault="00740E51" w:rsidP="00740E51"/>
    <w:p w14:paraId="6A2653CD" w14:textId="43374AEE" w:rsidR="00740E51" w:rsidRDefault="004D313D" w:rsidP="009F5B00">
      <w:pPr>
        <w:pStyle w:val="ListParagraph"/>
        <w:numPr>
          <w:ilvl w:val="0"/>
          <w:numId w:val="20"/>
        </w:numPr>
      </w:pPr>
      <w:r>
        <w:t>Beginning November 30, 2015</w:t>
      </w:r>
      <w:r w:rsidR="00740E51">
        <w:t>, all distributors must retain:</w:t>
      </w:r>
    </w:p>
    <w:p w14:paraId="5B69C047" w14:textId="77777777" w:rsidR="00740E51" w:rsidRDefault="00740E51" w:rsidP="009F5B00">
      <w:pPr>
        <w:pStyle w:val="ListParagraph"/>
        <w:numPr>
          <w:ilvl w:val="1"/>
          <w:numId w:val="20"/>
        </w:numPr>
      </w:pPr>
      <w:r>
        <w:t>For split-system central air conditioner outdoor condensing units: the manufacturer, model number, serial number, date the unit was purchased from the manufacturer, party from whom the unit was purchased (including person’s name, full address, and phone number), date unit was sold to a dealer or contractor, party to whom the unit was sold (including person’s name, full address, and phone number), and, if delivered to the purchaser, the delivery address; and</w:t>
      </w:r>
    </w:p>
    <w:p w14:paraId="030257B6" w14:textId="77777777" w:rsidR="00740E51" w:rsidRDefault="00740E51" w:rsidP="009F5B00">
      <w:pPr>
        <w:pStyle w:val="ListParagraph"/>
        <w:numPr>
          <w:ilvl w:val="1"/>
          <w:numId w:val="20"/>
        </w:numPr>
      </w:pPr>
      <w:r>
        <w:t>For single-package central air conditioners: the manufacturer, model number, serial number, date the unit was purchased from the manufacturer, party from whom the unit was purchased (including person’s name, full address, and phone number), date unit was sold to dealer or contractor, party to whom the unit was sold (including person’s name, full address, and phone number), and, if delivered to the purchaser, the delivery address.</w:t>
      </w:r>
    </w:p>
    <w:p w14:paraId="0BEB9486" w14:textId="77777777" w:rsidR="00740E51" w:rsidRDefault="00740E51" w:rsidP="00740E51"/>
    <w:p w14:paraId="67AD7D05" w14:textId="77777777" w:rsidR="00740E51" w:rsidRDefault="00740E51" w:rsidP="009F5B00">
      <w:pPr>
        <w:pStyle w:val="ListParagraph"/>
        <w:numPr>
          <w:ilvl w:val="0"/>
          <w:numId w:val="21"/>
        </w:numPr>
      </w:pPr>
      <w:r>
        <w:t>For all installations in the Southeast and Southwest, beginning 30 days after a final rule contractors must retain:</w:t>
      </w:r>
    </w:p>
    <w:p w14:paraId="05A21D53" w14:textId="77777777" w:rsidR="00740E51" w:rsidRDefault="00740E51" w:rsidP="009F5B00">
      <w:pPr>
        <w:pStyle w:val="ListParagraph"/>
        <w:numPr>
          <w:ilvl w:val="1"/>
          <w:numId w:val="21"/>
        </w:numPr>
      </w:pPr>
      <w:r>
        <w:t xml:space="preserve">For split-system central air conditioner outdoor condensing units: the manufacturer name, model number, serial number, location of installation (including street address, city, state, and zip code), date of installation, and party from whom the unit was purchased (including person’s name, full address, and phone number); </w:t>
      </w:r>
    </w:p>
    <w:p w14:paraId="374BAEA7" w14:textId="77777777" w:rsidR="00740E51" w:rsidRDefault="00740E51" w:rsidP="009F5B00">
      <w:pPr>
        <w:pStyle w:val="ListParagraph"/>
        <w:numPr>
          <w:ilvl w:val="1"/>
          <w:numId w:val="21"/>
        </w:numPr>
      </w:pPr>
      <w:r>
        <w:t>For split-system central air conditioner indoor coils or air handlers (not including uncased coils sold as replacement parts): the manufacturer name, model number, location of installation (including street address, city, state, and zip code), date of installation, and party from whom the unit was purchased (including person’s name, full address, and phone number); and</w:t>
      </w:r>
    </w:p>
    <w:p w14:paraId="6D780AAA" w14:textId="77777777" w:rsidR="00740E51" w:rsidRDefault="00740E51" w:rsidP="009F5B00">
      <w:pPr>
        <w:pStyle w:val="ListParagraph"/>
        <w:numPr>
          <w:ilvl w:val="1"/>
          <w:numId w:val="21"/>
        </w:numPr>
      </w:pPr>
      <w:r>
        <w:t>For single-package central air conditioners: the manufacturer name, model number, serial number, location of installation (including street address, city, state, and zip code), date of installation, and party from whom the unit was purchased (including person’s name, full address, and phone number).</w:t>
      </w:r>
    </w:p>
    <w:p w14:paraId="313E1F55" w14:textId="77777777" w:rsidR="009A584A" w:rsidRDefault="009A584A" w:rsidP="008255D8"/>
    <w:p w14:paraId="3744D838" w14:textId="78FB16BA" w:rsidR="00195364" w:rsidRDefault="009C5227" w:rsidP="009F5B00">
      <w:pPr>
        <w:ind w:firstLine="720"/>
      </w:pPr>
      <w:r>
        <w:t xml:space="preserve">The working group also determined that, based on the nature of the products at issue, the current two year maintenance of records requirement set forth in 10 CFR 429.71 is not sufficient to ensure effective enforcement of regional standards.  </w:t>
      </w:r>
      <w:r w:rsidR="009A584A">
        <w:t xml:space="preserve">Instead, </w:t>
      </w:r>
      <w:r w:rsidR="00C1592A">
        <w:t xml:space="preserve">the working group recommended that contractors be required to retain records for 48 months after the date of installation; that distributors be required to retain records for 54 months after the date of sale; and that manufacturers and manufacturer-owned distributors </w:t>
      </w:r>
      <w:r w:rsidR="004D313D">
        <w:t>be</w:t>
      </w:r>
      <w:r w:rsidR="00C1592A">
        <w:t xml:space="preserve"> required to retain records for 60 months after the date of sale.  The working group explicitly noted that </w:t>
      </w:r>
      <w:r w:rsidR="00176035">
        <w:t xml:space="preserve">the record </w:t>
      </w:r>
      <w:r w:rsidR="005A707E">
        <w:t>retention</w:t>
      </w:r>
      <w:r w:rsidR="00C1592A">
        <w:t xml:space="preserve"> </w:t>
      </w:r>
      <w:r w:rsidR="00176035">
        <w:t>requirement can be satisfied by</w:t>
      </w:r>
      <w:r w:rsidR="00C1592A">
        <w:t xml:space="preserve"> </w:t>
      </w:r>
      <w:r w:rsidR="00176035">
        <w:t>archiving the</w:t>
      </w:r>
      <w:r w:rsidR="00C1592A">
        <w:t xml:space="preserve"> records</w:t>
      </w:r>
      <w:r w:rsidR="005A707E">
        <w:t>,</w:t>
      </w:r>
      <w:r w:rsidR="00C1592A">
        <w:t xml:space="preserve"> as long as </w:t>
      </w:r>
      <w:r w:rsidR="00176035">
        <w:t>the records</w:t>
      </w:r>
      <w:r w:rsidR="00C1592A">
        <w:t xml:space="preserve"> are not deleted or </w:t>
      </w:r>
      <w:r w:rsidR="00176035">
        <w:t xml:space="preserve">otherwise </w:t>
      </w:r>
      <w:r w:rsidR="00C1592A">
        <w:t xml:space="preserve">disposed of.  The </w:t>
      </w:r>
      <w:r w:rsidR="00DC565B">
        <w:t>w</w:t>
      </w:r>
      <w:r w:rsidR="00C1592A">
        <w:t xml:space="preserve">orking </w:t>
      </w:r>
      <w:r w:rsidR="00DC565B">
        <w:t>g</w:t>
      </w:r>
      <w:r w:rsidR="00C1592A">
        <w:t xml:space="preserve">roup also clarified that the records retention requirements do not mandate </w:t>
      </w:r>
      <w:r w:rsidR="005A707E">
        <w:t xml:space="preserve">that </w:t>
      </w:r>
      <w:r w:rsidR="00C1592A">
        <w:t>contractors, distributors, or manufacturers create new forms for the purpose of tracking central air conditioners</w:t>
      </w:r>
      <w:r w:rsidR="00176035">
        <w:t>,</w:t>
      </w:r>
      <w:r w:rsidR="00C1592A">
        <w:t xml:space="preserve"> nor are the records required to be </w:t>
      </w:r>
      <w:r w:rsidR="00176035">
        <w:t xml:space="preserve">retained </w:t>
      </w:r>
      <w:r w:rsidR="00C1592A">
        <w:t>electronic</w:t>
      </w:r>
      <w:r w:rsidR="00176035">
        <w:t>ally</w:t>
      </w:r>
      <w:r w:rsidR="00C1592A">
        <w:t>.</w:t>
      </w:r>
    </w:p>
    <w:p w14:paraId="6727BC1A" w14:textId="77777777" w:rsidR="00740E51" w:rsidRDefault="00740E51" w:rsidP="009F5B00">
      <w:pPr>
        <w:ind w:firstLine="720"/>
      </w:pPr>
    </w:p>
    <w:p w14:paraId="7A681087" w14:textId="3B655413" w:rsidR="00740E51" w:rsidRDefault="00740E51" w:rsidP="009F5B00">
      <w:pPr>
        <w:ind w:firstLine="720"/>
      </w:pPr>
      <w:r>
        <w:t xml:space="preserve">The working group submitted a final report to ASRAC on </w:t>
      </w:r>
      <w:r w:rsidRPr="0075105C">
        <w:t xml:space="preserve">October </w:t>
      </w:r>
      <w:r w:rsidR="0075105C" w:rsidRPr="0075105C">
        <w:t>24</w:t>
      </w:r>
      <w:r w:rsidRPr="0075105C">
        <w:t>, 2014</w:t>
      </w:r>
      <w:r>
        <w:t>, summarizing the group’s recommendations regarding enforcement of regional standards for central air conditioners.  ASRAC subsequently voted to approve these recommendations, which are set forth in the accompanying Notice of Proposed Rulemaking.</w:t>
      </w:r>
    </w:p>
    <w:p w14:paraId="054EF824" w14:textId="77777777" w:rsidR="00195364" w:rsidRDefault="00195364" w:rsidP="008255D8"/>
    <w:p w14:paraId="41924289" w14:textId="78543802" w:rsidR="00764F7D" w:rsidRDefault="005A707E" w:rsidP="009F5B00">
      <w:pPr>
        <w:ind w:firstLine="720"/>
      </w:pPr>
      <w:r>
        <w:t xml:space="preserve">In line with the recommendations of ASRAC, </w:t>
      </w:r>
      <w:r w:rsidR="000B024D">
        <w:t xml:space="preserve">DOE is </w:t>
      </w:r>
      <w:r w:rsidR="005E12CB">
        <w:t>proposing to require</w:t>
      </w:r>
      <w:r w:rsidR="000B024D">
        <w:t xml:space="preserve"> </w:t>
      </w:r>
      <w:r w:rsidR="006111DD">
        <w:t xml:space="preserve">information </w:t>
      </w:r>
      <w:r w:rsidR="009C5227">
        <w:t xml:space="preserve">retention </w:t>
      </w:r>
      <w:r w:rsidR="005E12CB">
        <w:t>regarding</w:t>
      </w:r>
      <w:r w:rsidR="008255D8" w:rsidRPr="00F418E5">
        <w:t xml:space="preserve"> the </w:t>
      </w:r>
      <w:r w:rsidR="00176035">
        <w:t>sale and installation</w:t>
      </w:r>
      <w:r w:rsidR="008255D8" w:rsidRPr="00F418E5">
        <w:t xml:space="preserve"> of </w:t>
      </w:r>
      <w:r w:rsidR="00195364">
        <w:t xml:space="preserve">certain </w:t>
      </w:r>
      <w:r w:rsidR="008255D8" w:rsidRPr="00F418E5">
        <w:t>consumer products manufactured for distribution in commerce in the United States.</w:t>
      </w:r>
      <w:r w:rsidR="0011218C">
        <w:t xml:space="preserve"> </w:t>
      </w:r>
      <w:r w:rsidR="00195364">
        <w:t xml:space="preserve"> </w:t>
      </w:r>
      <w:r w:rsidR="006111DD">
        <w:t xml:space="preserve">Specifically, DOE </w:t>
      </w:r>
      <w:r>
        <w:t>submits</w:t>
      </w:r>
      <w:r w:rsidR="006111DD">
        <w:t xml:space="preserve"> for approval </w:t>
      </w:r>
      <w:r w:rsidR="00176035">
        <w:t xml:space="preserve">the </w:t>
      </w:r>
      <w:r w:rsidR="006111DD">
        <w:t xml:space="preserve">paperwork </w:t>
      </w:r>
      <w:r>
        <w:t xml:space="preserve">and record retention </w:t>
      </w:r>
      <w:r w:rsidR="006111DD">
        <w:t xml:space="preserve">requirements </w:t>
      </w:r>
      <w:r w:rsidR="00176035">
        <w:t>set forth above</w:t>
      </w:r>
      <w:r w:rsidR="004D313D">
        <w:t>, except that DOE has proposed that distributors would not be required to retain documents until July 1, 2016, rather than November 30, 2015</w:t>
      </w:r>
      <w:r w:rsidR="00E15D74">
        <w:t xml:space="preserve">. </w:t>
      </w:r>
    </w:p>
    <w:p w14:paraId="230F6A39" w14:textId="77777777" w:rsidR="00764F7D" w:rsidRDefault="00764F7D" w:rsidP="008255D8"/>
    <w:p w14:paraId="216AC821" w14:textId="3AF5B96F" w:rsidR="00831DD9" w:rsidRPr="00F418E5" w:rsidRDefault="00764F7D" w:rsidP="008255D8">
      <w:r>
        <w:tab/>
      </w:r>
      <w:r w:rsidR="002734BE">
        <w:t xml:space="preserve">This </w:t>
      </w:r>
      <w:r w:rsidR="005E12CB">
        <w:t xml:space="preserve">new </w:t>
      </w:r>
      <w:r w:rsidR="002734BE">
        <w:t xml:space="preserve">collection </w:t>
      </w:r>
      <w:r w:rsidR="005E12CB">
        <w:t xml:space="preserve">would add </w:t>
      </w:r>
      <w:r w:rsidR="00A525A8">
        <w:t xml:space="preserve">information collection requirements for </w:t>
      </w:r>
      <w:r w:rsidR="005E12CB">
        <w:t xml:space="preserve">manufacturers, </w:t>
      </w:r>
      <w:r w:rsidR="00A525A8">
        <w:t>distributors and contractors with respect to central air conditioners</w:t>
      </w:r>
      <w:r w:rsidR="002734BE">
        <w:t xml:space="preserve">.  </w:t>
      </w:r>
    </w:p>
    <w:p w14:paraId="188C4F0A" w14:textId="77777777" w:rsidR="00123C4A" w:rsidRPr="00F418E5" w:rsidRDefault="00123C4A" w:rsidP="008255D8">
      <w:r w:rsidRPr="00F418E5">
        <w:t xml:space="preserve">  </w:t>
      </w:r>
    </w:p>
    <w:p w14:paraId="59C0FD2F" w14:textId="77777777" w:rsidR="00123C4A" w:rsidRPr="00F418E5" w:rsidRDefault="00123C4A" w:rsidP="00184C46">
      <w:pPr>
        <w:numPr>
          <w:ilvl w:val="0"/>
          <w:numId w:val="7"/>
        </w:numPr>
        <w:rPr>
          <w:b/>
          <w:u w:val="single"/>
        </w:rPr>
      </w:pPr>
      <w:r w:rsidRPr="00F418E5">
        <w:rPr>
          <w:b/>
          <w:u w:val="single"/>
        </w:rPr>
        <w:t xml:space="preserve">Indicate how, by whom, and for what purpose the information is to be </w:t>
      </w:r>
      <w:r w:rsidR="005377BE" w:rsidRPr="00F418E5">
        <w:rPr>
          <w:b/>
          <w:u w:val="single"/>
        </w:rPr>
        <w:t xml:space="preserve">used. Except for a new collection, indicate the actual use the agency has made of the information received from the current collection </w:t>
      </w:r>
    </w:p>
    <w:p w14:paraId="5BBDEA03" w14:textId="77777777" w:rsidR="00E65FC8" w:rsidRPr="00F418E5" w:rsidRDefault="00E65FC8" w:rsidP="00184C46">
      <w:pPr>
        <w:rPr>
          <w:b/>
          <w:u w:val="single"/>
        </w:rPr>
      </w:pPr>
    </w:p>
    <w:p w14:paraId="1FC74B2F" w14:textId="76305522" w:rsidR="000D0983" w:rsidRDefault="008255D8" w:rsidP="000D0983">
      <w:r w:rsidRPr="00F418E5">
        <w:tab/>
      </w:r>
      <w:r w:rsidR="00766155" w:rsidRPr="009553E4">
        <w:t>This is a</w:t>
      </w:r>
      <w:r w:rsidR="005E12CB">
        <w:t xml:space="preserve"> request for a new</w:t>
      </w:r>
      <w:r w:rsidRPr="00F418E5">
        <w:t xml:space="preserve"> collection</w:t>
      </w:r>
      <w:r w:rsidR="00F418E5" w:rsidRPr="00F418E5">
        <w:t xml:space="preserve"> (Control #1910-</w:t>
      </w:r>
      <w:r w:rsidR="005E12CB">
        <w:t>xxxx</w:t>
      </w:r>
      <w:r w:rsidR="00F418E5" w:rsidRPr="00F418E5">
        <w:t xml:space="preserve">, </w:t>
      </w:r>
      <w:r w:rsidR="005E12CB">
        <w:t>Regional Standards Compliance Information</w:t>
      </w:r>
      <w:r w:rsidR="00F418E5" w:rsidRPr="00F418E5">
        <w:t xml:space="preserve">). </w:t>
      </w:r>
      <w:r w:rsidR="005E12CB">
        <w:t xml:space="preserve"> </w:t>
      </w:r>
      <w:r w:rsidR="00C63130">
        <w:t>The data maintained by manufacturer</w:t>
      </w:r>
      <w:r w:rsidR="00366B7E">
        <w:t>s, distributors and</w:t>
      </w:r>
      <w:r w:rsidR="00C63130">
        <w:t xml:space="preserve"> </w:t>
      </w:r>
      <w:r w:rsidR="00366B7E">
        <w:t xml:space="preserve">contractors </w:t>
      </w:r>
      <w:r w:rsidR="007B2733">
        <w:t xml:space="preserve">will be provided to DOE </w:t>
      </w:r>
      <w:r w:rsidR="00C63130">
        <w:t>upon request</w:t>
      </w:r>
      <w:r w:rsidR="007B2733">
        <w:t xml:space="preserve"> so that DOE can</w:t>
      </w:r>
      <w:r w:rsidR="00C63130">
        <w:t xml:space="preserve"> verify </w:t>
      </w:r>
      <w:r w:rsidR="006A501C">
        <w:t>whether</w:t>
      </w:r>
      <w:r w:rsidR="007B2733">
        <w:t xml:space="preserve"> a basic model is compliant with the </w:t>
      </w:r>
      <w:r w:rsidR="006A501C">
        <w:t xml:space="preserve">applicable regional or national </w:t>
      </w:r>
      <w:r w:rsidR="007B2733">
        <w:t>Federal energy conservation standards</w:t>
      </w:r>
      <w:r w:rsidR="00352977">
        <w:t xml:space="preserve"> and, in the event of a DOE determination of noncompliance, to verify the number of units of a basic model sold in violation of the applicable standard</w:t>
      </w:r>
      <w:r w:rsidR="007B2733">
        <w:t xml:space="preserve">.  </w:t>
      </w:r>
    </w:p>
    <w:p w14:paraId="64347A3D" w14:textId="77777777" w:rsidR="00DB7817" w:rsidRDefault="00DB7817" w:rsidP="000D0983"/>
    <w:p w14:paraId="4C426667" w14:textId="3C2CAE95" w:rsidR="00DB7817" w:rsidRPr="00F418E5" w:rsidRDefault="00DB7817" w:rsidP="000D0983">
      <w:pPr>
        <w:rPr>
          <w:color w:val="00B0F0"/>
        </w:rPr>
      </w:pPr>
      <w:r>
        <w:tab/>
        <w:t xml:space="preserve">The </w:t>
      </w:r>
      <w:r w:rsidR="00422EA5">
        <w:t>new information will be used by the Department as evidence to demonstrate that a party has violated the statute, to determine the number of violations, and to determine all of the relevant parties.  The statute also prohibits distribution by manufacturers to parties who routinely violate the statute, and the information will be used to establish whether a party routinely violates the statute and whether a manufacturer did, in fact, distribute to that party.  The information may also be used by a party to demonstrate that it has not violated the statute or to limit its (or another party’s) liability under the proposed regulation.</w:t>
      </w:r>
    </w:p>
    <w:p w14:paraId="3B9C189A" w14:textId="77777777" w:rsidR="000D0983" w:rsidRDefault="000D0983" w:rsidP="007B2733"/>
    <w:p w14:paraId="16A77DC3" w14:textId="77777777" w:rsidR="00123C4A" w:rsidRPr="00F418E5" w:rsidRDefault="00123C4A" w:rsidP="00184C46">
      <w:pPr>
        <w:numPr>
          <w:ilvl w:val="0"/>
          <w:numId w:val="7"/>
        </w:numPr>
        <w:rPr>
          <w:b/>
          <w:u w:val="single"/>
        </w:rPr>
      </w:pPr>
      <w:r w:rsidRPr="00F418E5">
        <w:rPr>
          <w:b/>
          <w:u w:val="single"/>
        </w:rPr>
        <w:t>Describe whether, and to what extent, the collection of information involves the use of automated, electronic, mechanical, or other technological collection techniques or other forms of information technology</w:t>
      </w:r>
      <w:r w:rsidR="005377BE" w:rsidRPr="00F418E5">
        <w:rPr>
          <w:b/>
          <w:u w:val="single"/>
        </w:rPr>
        <w:t>, e.g., permitting electronic submission of responses</w:t>
      </w:r>
      <w:r w:rsidRPr="00F418E5">
        <w:rPr>
          <w:b/>
          <w:u w:val="single"/>
        </w:rPr>
        <w:t xml:space="preserve">. </w:t>
      </w:r>
    </w:p>
    <w:p w14:paraId="3290698C" w14:textId="77777777" w:rsidR="00486E8E" w:rsidRPr="00F418E5" w:rsidRDefault="00486E8E" w:rsidP="00184C46"/>
    <w:p w14:paraId="032BA3B3" w14:textId="513DEB1A" w:rsidR="00DC565B" w:rsidRPr="00F418E5" w:rsidRDefault="008255D8" w:rsidP="00352977">
      <w:r w:rsidRPr="00F418E5">
        <w:tab/>
        <w:t xml:space="preserve">DOE </w:t>
      </w:r>
      <w:r w:rsidR="008361A9">
        <w:t xml:space="preserve">currently </w:t>
      </w:r>
      <w:r w:rsidR="00352977">
        <w:t>allows</w:t>
      </w:r>
      <w:r w:rsidR="00352977" w:rsidRPr="00F418E5">
        <w:t xml:space="preserve"> </w:t>
      </w:r>
      <w:r w:rsidRPr="00F418E5">
        <w:t>manufacturers</w:t>
      </w:r>
      <w:r w:rsidR="00352977">
        <w:t xml:space="preserve"> to submit information in electronic</w:t>
      </w:r>
      <w:r w:rsidR="000D0983">
        <w:t xml:space="preserve"> </w:t>
      </w:r>
      <w:r w:rsidR="00DC77C3">
        <w:t>and</w:t>
      </w:r>
      <w:r w:rsidR="00352977">
        <w:t>/or</w:t>
      </w:r>
      <w:r w:rsidR="00DC77C3">
        <w:t xml:space="preserve"> in paper</w:t>
      </w:r>
      <w:r w:rsidR="00352977">
        <w:t xml:space="preserve"> </w:t>
      </w:r>
      <w:r w:rsidR="00DC77C3">
        <w:t xml:space="preserve">format using whatever layout </w:t>
      </w:r>
      <w:r w:rsidR="002647FE">
        <w:t>an entity</w:t>
      </w:r>
      <w:r w:rsidR="000D0983">
        <w:t xml:space="preserve"> may wish to provide.  DOE typically receives </w:t>
      </w:r>
      <w:r w:rsidR="00352977">
        <w:t xml:space="preserve">such submissions </w:t>
      </w:r>
      <w:r w:rsidR="000D0983">
        <w:t>via email.</w:t>
      </w:r>
      <w:r w:rsidR="00366B7E">
        <w:t xml:space="preserve">  </w:t>
      </w:r>
      <w:r w:rsidR="00DC565B">
        <w:t>The new information will be required to be retained by the manufacturer, distributor or contractor but will not be routinely submitted to the Department.  The working group explicitly noted that the record retention requirement can be satisfied by archiving the records, as long as the records are not deleted or otherwise disposed of.  The working group also clarified that the records retention requirements do not mandate that contractors, distributors, or manufacturers create new forms for the purpose of tracking central air conditioners, nor are the records required to be retained electronically.  DOE permits electronic storage and production of records, however.</w:t>
      </w:r>
    </w:p>
    <w:p w14:paraId="62C0B274" w14:textId="77777777" w:rsidR="008255D8" w:rsidRPr="00F418E5" w:rsidRDefault="008255D8" w:rsidP="00184C46"/>
    <w:p w14:paraId="158AFDBC" w14:textId="77777777" w:rsidR="00C46F0F" w:rsidRPr="00F418E5" w:rsidRDefault="00123C4A" w:rsidP="00184C46">
      <w:pPr>
        <w:numPr>
          <w:ilvl w:val="0"/>
          <w:numId w:val="7"/>
        </w:numPr>
        <w:rPr>
          <w:b/>
          <w:u w:val="single"/>
        </w:rPr>
      </w:pPr>
      <w:r w:rsidRPr="00F418E5">
        <w:rPr>
          <w:b/>
          <w:u w:val="single"/>
        </w:rPr>
        <w:t xml:space="preserve">Describe efforts to identify duplication. </w:t>
      </w:r>
    </w:p>
    <w:p w14:paraId="1034D6DD" w14:textId="77777777" w:rsidR="00C46F0F" w:rsidRPr="00F418E5" w:rsidRDefault="00C46F0F" w:rsidP="00184C46">
      <w:pPr>
        <w:rPr>
          <w:b/>
          <w:u w:val="single"/>
        </w:rPr>
      </w:pPr>
    </w:p>
    <w:p w14:paraId="09585EB9" w14:textId="0CF80180" w:rsidR="00C46F0F" w:rsidRDefault="000E5565" w:rsidP="00184C46">
      <w:r>
        <w:tab/>
      </w:r>
      <w:r w:rsidR="00DC565B">
        <w:t xml:space="preserve">With respect to the new information to be collected, there is no other source for DOE to obtain this information.  </w:t>
      </w:r>
      <w:r w:rsidR="008255D8" w:rsidRPr="00F418E5">
        <w:t xml:space="preserve">DOE understands that manufacturers already maintain </w:t>
      </w:r>
      <w:r w:rsidR="00342458">
        <w:t>similar</w:t>
      </w:r>
      <w:r w:rsidR="00342458" w:rsidRPr="00F418E5">
        <w:t xml:space="preserve"> </w:t>
      </w:r>
      <w:r w:rsidR="008255D8" w:rsidRPr="00F418E5">
        <w:t xml:space="preserve">types of records as a practical matter in the normal course of </w:t>
      </w:r>
      <w:r w:rsidR="002647FE">
        <w:t>manufacturing and distributing</w:t>
      </w:r>
      <w:r w:rsidR="008255D8" w:rsidRPr="00F418E5">
        <w:t xml:space="preserve"> a product</w:t>
      </w:r>
      <w:r w:rsidR="002647FE">
        <w:t xml:space="preserve">, and that distributors and </w:t>
      </w:r>
      <w:r w:rsidR="00ED4BCA">
        <w:t>contractors</w:t>
      </w:r>
      <w:r w:rsidR="00DC565B">
        <w:t xml:space="preserve"> already maintain similar</w:t>
      </w:r>
      <w:r w:rsidR="002647FE">
        <w:t xml:space="preserve"> types of </w:t>
      </w:r>
      <w:r w:rsidR="0065607B">
        <w:t>records</w:t>
      </w:r>
      <w:r w:rsidR="002647FE">
        <w:t xml:space="preserve"> in the normal course of distribution and installation of a product</w:t>
      </w:r>
      <w:r w:rsidR="008255D8" w:rsidRPr="00F418E5">
        <w:t>.</w:t>
      </w:r>
      <w:r w:rsidR="0026479F">
        <w:t xml:space="preserve"> Thus, DOE believes the </w:t>
      </w:r>
      <w:r w:rsidR="00DC565B">
        <w:t xml:space="preserve">proposed </w:t>
      </w:r>
      <w:r w:rsidR="0026479F">
        <w:t>records retention requirements are part of everyday business for most manufacturers</w:t>
      </w:r>
      <w:r w:rsidR="00DC565B">
        <w:t>, distributors and</w:t>
      </w:r>
      <w:r w:rsidR="007C0AAF">
        <w:t xml:space="preserve"> contractors</w:t>
      </w:r>
      <w:r w:rsidR="0026479F">
        <w:t>.</w:t>
      </w:r>
      <w:r w:rsidR="00342458" w:rsidRPr="00342458">
        <w:t xml:space="preserve"> </w:t>
      </w:r>
      <w:r w:rsidR="00342458">
        <w:t xml:space="preserve"> </w:t>
      </w:r>
      <w:r w:rsidR="00342458" w:rsidRPr="00F418E5">
        <w:t xml:space="preserve">DOE encourages </w:t>
      </w:r>
      <w:r w:rsidR="00342458">
        <w:t>entities</w:t>
      </w:r>
      <w:r w:rsidR="00342458" w:rsidRPr="00F418E5">
        <w:t xml:space="preserve"> to utilize</w:t>
      </w:r>
      <w:r w:rsidR="00342458">
        <w:t xml:space="preserve"> the same record retention mechanisms currently used in order to minimize the duplication as much as possible.  </w:t>
      </w:r>
    </w:p>
    <w:p w14:paraId="1E36A0A0" w14:textId="77777777" w:rsidR="00AB504C" w:rsidRDefault="00AB504C" w:rsidP="00184C46"/>
    <w:p w14:paraId="084F2712" w14:textId="77777777" w:rsidR="00123C4A" w:rsidRPr="00F418E5" w:rsidRDefault="00123C4A" w:rsidP="00184C46">
      <w:pPr>
        <w:numPr>
          <w:ilvl w:val="0"/>
          <w:numId w:val="7"/>
        </w:numPr>
        <w:rPr>
          <w:b/>
          <w:u w:val="single"/>
        </w:rPr>
      </w:pPr>
      <w:r w:rsidRPr="00F418E5">
        <w:rPr>
          <w:b/>
          <w:u w:val="single"/>
        </w:rPr>
        <w:t xml:space="preserve">If the collection of information impacts small businesses or other small entities, describe any methods used to minimize burden. </w:t>
      </w:r>
    </w:p>
    <w:p w14:paraId="5F9A81F4" w14:textId="77777777" w:rsidR="00C46F0F" w:rsidRPr="00F418E5" w:rsidRDefault="00C46F0F" w:rsidP="00184C46">
      <w:pPr>
        <w:rPr>
          <w:b/>
          <w:u w:val="single"/>
        </w:rPr>
      </w:pPr>
    </w:p>
    <w:p w14:paraId="4578521F" w14:textId="71512C66" w:rsidR="006430EB" w:rsidRDefault="007B1D48" w:rsidP="0026479F">
      <w:r>
        <w:tab/>
      </w:r>
      <w:r w:rsidR="0065607B">
        <w:t>S</w:t>
      </w:r>
      <w:r w:rsidR="00703294">
        <w:t>mall businesses that manufacture</w:t>
      </w:r>
      <w:r w:rsidR="0065607B">
        <w:t>, distribute, and/</w:t>
      </w:r>
      <w:r w:rsidR="00703294">
        <w:t xml:space="preserve">or </w:t>
      </w:r>
      <w:r w:rsidR="0065607B">
        <w:t>install</w:t>
      </w:r>
      <w:r w:rsidR="00703294">
        <w:t xml:space="preserve"> </w:t>
      </w:r>
      <w:r w:rsidR="007C0AAF">
        <w:t>c</w:t>
      </w:r>
      <w:r w:rsidR="0065607B">
        <w:t>entral air conditioners and heat pumps</w:t>
      </w:r>
      <w:r w:rsidR="00703294">
        <w:t xml:space="preserve"> </w:t>
      </w:r>
      <w:r w:rsidR="007C0AAF">
        <w:t>would be</w:t>
      </w:r>
      <w:r w:rsidR="0065607B">
        <w:t xml:space="preserve"> subject to the record retention requirements described above</w:t>
      </w:r>
      <w:r w:rsidR="00703294">
        <w:t xml:space="preserve">.  Consequently, DOE expects small businesses to be impacted by this collection of information.  </w:t>
      </w:r>
      <w:r w:rsidR="0065607B">
        <w:t xml:space="preserve">However, </w:t>
      </w:r>
      <w:r w:rsidR="0065607B" w:rsidRPr="00F418E5">
        <w:t xml:space="preserve">DOE understands that </w:t>
      </w:r>
      <w:r w:rsidR="0065607B">
        <w:t>such businesses</w:t>
      </w:r>
      <w:r w:rsidR="0065607B" w:rsidRPr="00F418E5">
        <w:t xml:space="preserve"> already maintain </w:t>
      </w:r>
      <w:r w:rsidR="0065607B">
        <w:t>similar</w:t>
      </w:r>
      <w:r w:rsidR="0065607B" w:rsidRPr="00F418E5">
        <w:t xml:space="preserve"> types of records as a practical matter in the normal course of </w:t>
      </w:r>
      <w:r w:rsidR="0065607B">
        <w:t>manufacturing, distributing, and/or installing such products</w:t>
      </w:r>
      <w:r w:rsidR="0065607B" w:rsidRPr="00F418E5">
        <w:t>.</w:t>
      </w:r>
      <w:r w:rsidR="0065607B">
        <w:t xml:space="preserve"> </w:t>
      </w:r>
      <w:r w:rsidR="00761022">
        <w:t xml:space="preserve"> </w:t>
      </w:r>
      <w:r w:rsidR="007C0AAF">
        <w:t xml:space="preserve">Further, </w:t>
      </w:r>
      <w:r w:rsidR="00761022">
        <w:t xml:space="preserve">such small business interests were represented during the </w:t>
      </w:r>
      <w:r w:rsidR="007C0AAF">
        <w:t>negotiated rulemaking</w:t>
      </w:r>
      <w:r w:rsidR="00761022">
        <w:t>, both directly and through participation of advocacy groups.  That these interests have been protected is represented in the unanimous working group decision to move forward with these record retention requirements.</w:t>
      </w:r>
    </w:p>
    <w:p w14:paraId="33F338FE" w14:textId="77777777" w:rsidR="006430EB" w:rsidRDefault="006430EB" w:rsidP="0026479F"/>
    <w:p w14:paraId="14DE37ED" w14:textId="77777777" w:rsidR="006430EB" w:rsidRDefault="006430EB" w:rsidP="009F5B00">
      <w:pPr>
        <w:spacing w:after="240"/>
        <w:ind w:firstLine="720"/>
      </w:pPr>
      <w:r>
        <w:t>To limit the potential of burden associated with producing records at the request of the Department for all entities, including small businesses, the working group recommended that DOE must have a reasonable belief a violation occurred before requesting records.  DOE will determine if it has reasonable belief by assessing factors such as:</w:t>
      </w:r>
    </w:p>
    <w:p w14:paraId="2C1435CC" w14:textId="77777777" w:rsidR="006430EB" w:rsidRDefault="006430EB" w:rsidP="009F5B00">
      <w:pPr>
        <w:pStyle w:val="ListParagraph"/>
        <w:numPr>
          <w:ilvl w:val="2"/>
          <w:numId w:val="20"/>
        </w:numPr>
        <w:ind w:left="1440"/>
      </w:pPr>
      <w:r>
        <w:t>Whether it has an address of suspected noncompliant installation or attempted installation;</w:t>
      </w:r>
    </w:p>
    <w:p w14:paraId="1E609D84" w14:textId="77777777" w:rsidR="006430EB" w:rsidRDefault="006430EB" w:rsidP="009F5B00">
      <w:pPr>
        <w:pStyle w:val="ListParagraph"/>
        <w:numPr>
          <w:ilvl w:val="2"/>
          <w:numId w:val="20"/>
        </w:numPr>
        <w:ind w:left="1440"/>
      </w:pPr>
      <w:r>
        <w:t>Whether it has identifying information for equipment;</w:t>
      </w:r>
    </w:p>
    <w:p w14:paraId="7B879296" w14:textId="6D1FA9AC" w:rsidR="006430EB" w:rsidRDefault="006430EB" w:rsidP="009F5B00">
      <w:pPr>
        <w:pStyle w:val="ListParagraph"/>
        <w:numPr>
          <w:ilvl w:val="2"/>
          <w:numId w:val="20"/>
        </w:numPr>
        <w:ind w:left="1440"/>
      </w:pPr>
      <w:r>
        <w:t>Whether it has physical evidence (</w:t>
      </w:r>
      <w:r w:rsidR="00F07A85">
        <w:t>such as</w:t>
      </w:r>
      <w:r>
        <w:t xml:space="preserve"> a picture of a</w:t>
      </w:r>
      <w:r w:rsidR="00F07A85">
        <w:t>n installed,</w:t>
      </w:r>
      <w:r>
        <w:t xml:space="preserve"> noncompliant condensing unit and its nameplate, </w:t>
      </w:r>
      <w:r w:rsidR="00F07A85">
        <w:t xml:space="preserve">a </w:t>
      </w:r>
      <w:r>
        <w:t xml:space="preserve">copy of </w:t>
      </w:r>
      <w:r w:rsidR="00F07A85">
        <w:t xml:space="preserve">an </w:t>
      </w:r>
      <w:r>
        <w:t xml:space="preserve">EnergyGuide label, </w:t>
      </w:r>
      <w:r w:rsidR="00F07A85">
        <w:t xml:space="preserve">a </w:t>
      </w:r>
      <w:r>
        <w:t xml:space="preserve">copy of </w:t>
      </w:r>
      <w:r w:rsidR="00F07A85">
        <w:t xml:space="preserve">a </w:t>
      </w:r>
      <w:r>
        <w:t xml:space="preserve">completed work order or invoice, </w:t>
      </w:r>
      <w:r w:rsidR="00F07A85">
        <w:t xml:space="preserve">a </w:t>
      </w:r>
      <w:r>
        <w:t xml:space="preserve">bill of sale for equipment, </w:t>
      </w:r>
      <w:r w:rsidR="00F07A85">
        <w:t xml:space="preserve">a </w:t>
      </w:r>
      <w:r>
        <w:t xml:space="preserve">copy of bid for installation, </w:t>
      </w:r>
      <w:r w:rsidR="00F07A85">
        <w:t xml:space="preserve">or a </w:t>
      </w:r>
      <w:r>
        <w:t>distributor</w:t>
      </w:r>
      <w:r w:rsidR="00F07A85">
        <w:t>-</w:t>
      </w:r>
      <w:r>
        <w:t>prepared price book);</w:t>
      </w:r>
    </w:p>
    <w:p w14:paraId="1B0F8931" w14:textId="77777777" w:rsidR="006430EB" w:rsidRDefault="006430EB" w:rsidP="009F5B00">
      <w:pPr>
        <w:pStyle w:val="ListParagraph"/>
        <w:numPr>
          <w:ilvl w:val="2"/>
          <w:numId w:val="20"/>
        </w:numPr>
        <w:ind w:left="1440"/>
      </w:pPr>
      <w:r>
        <w:t>Whether there have been repeat complaints about the party; or</w:t>
      </w:r>
    </w:p>
    <w:p w14:paraId="3E0EEAA7" w14:textId="72BD18E0" w:rsidR="006430EB" w:rsidRDefault="006430EB" w:rsidP="009F5B00">
      <w:pPr>
        <w:pStyle w:val="ListParagraph"/>
        <w:numPr>
          <w:ilvl w:val="2"/>
          <w:numId w:val="20"/>
        </w:numPr>
        <w:ind w:left="1440"/>
      </w:pPr>
      <w:r>
        <w:t xml:space="preserve">Whether the complainant has a history of filing complaints of violations that have been substantiated by the Department through </w:t>
      </w:r>
      <w:r w:rsidR="00F07A85">
        <w:t>investigation</w:t>
      </w:r>
      <w:r>
        <w:t xml:space="preserve">. </w:t>
      </w:r>
    </w:p>
    <w:p w14:paraId="5D4CD7F1" w14:textId="77777777" w:rsidR="006430EB" w:rsidRDefault="006430EB" w:rsidP="006430EB"/>
    <w:p w14:paraId="68051922" w14:textId="54A23A0C" w:rsidR="00E16CBC" w:rsidRPr="00F418E5" w:rsidRDefault="006430EB" w:rsidP="009F5B00">
      <w:pPr>
        <w:ind w:firstLine="360"/>
      </w:pPr>
      <w:r>
        <w:t xml:space="preserve">Once DOE determines it has a reasonable belief, then it may request records from </w:t>
      </w:r>
      <w:r w:rsidR="00F07A85">
        <w:t>the appropriate</w:t>
      </w:r>
      <w:r>
        <w:t xml:space="preserve"> manufacturers, distributors, and</w:t>
      </w:r>
      <w:r w:rsidR="00F07A85">
        <w:t>/or</w:t>
      </w:r>
      <w:r>
        <w:t xml:space="preserve"> contractors.  Records </w:t>
      </w:r>
      <w:r w:rsidR="007C0AAF">
        <w:t>would be required to be</w:t>
      </w:r>
      <w:r>
        <w:t xml:space="preserve"> produced within 30 days of a request by the Department.  However, DOE may, at its discretion, grant additional time for production of records if the affected entity makes a good faith effort to produce records within 30 days.  A good faith effort means that the entity provides DOE with all the records gathered within 30 days and that the entity provides DOE with an explanation for the need for additional time </w:t>
      </w:r>
      <w:r w:rsidR="00F07A85">
        <w:t>and</w:t>
      </w:r>
      <w:r>
        <w:t xml:space="preserve"> the requested date for completing the records request.  </w:t>
      </w:r>
    </w:p>
    <w:p w14:paraId="26A20C5D" w14:textId="77777777" w:rsidR="008255D8" w:rsidRPr="00F418E5" w:rsidRDefault="008255D8" w:rsidP="00184C46"/>
    <w:p w14:paraId="31C10B8D" w14:textId="77777777" w:rsidR="00123C4A" w:rsidRPr="00F418E5" w:rsidRDefault="00123C4A" w:rsidP="009F5B00">
      <w:pPr>
        <w:keepNext/>
        <w:numPr>
          <w:ilvl w:val="0"/>
          <w:numId w:val="7"/>
        </w:numPr>
        <w:rPr>
          <w:b/>
          <w:u w:val="single"/>
        </w:rPr>
      </w:pPr>
      <w:r w:rsidRPr="00F418E5">
        <w:rPr>
          <w:b/>
          <w:u w:val="single"/>
        </w:rPr>
        <w:t xml:space="preserve">Describe the consequence to Federal program or policy activities if the collection is not conducted or is conducted less frequently, as well as any technical or legal obstacles to reducing burden. </w:t>
      </w:r>
    </w:p>
    <w:p w14:paraId="55E4E9CD" w14:textId="77777777" w:rsidR="00D76D7C" w:rsidRPr="00F418E5" w:rsidRDefault="00D76D7C" w:rsidP="00184C46">
      <w:pPr>
        <w:rPr>
          <w:b/>
          <w:u w:val="single"/>
        </w:rPr>
      </w:pPr>
    </w:p>
    <w:p w14:paraId="49EA458C" w14:textId="582CB52D" w:rsidR="00D95370" w:rsidRDefault="008255D8" w:rsidP="008255D8">
      <w:r w:rsidRPr="00F418E5">
        <w:tab/>
      </w:r>
      <w:r w:rsidR="00D95370">
        <w:t xml:space="preserve">The record retention requirements described above (including the type of record required to be retained and the time frame over which an entity is required to retain such records) </w:t>
      </w:r>
      <w:r w:rsidR="00226EB6">
        <w:t>are</w:t>
      </w:r>
      <w:r w:rsidR="00D95370">
        <w:t xml:space="preserve"> </w:t>
      </w:r>
      <w:r w:rsidR="007C0AAF">
        <w:t>vital</w:t>
      </w:r>
      <w:r w:rsidR="00D95370">
        <w:t xml:space="preserve"> to ensure effective DOE enforcement of the regional efficiency standards promulgated by DOE, as provided under EPCA and EISA 2007.  </w:t>
      </w:r>
      <w:r w:rsidR="00226EB6">
        <w:t>DOE can only enforce the regional energy efficiency standards if it can determine whether noncompliant products were distributed in commerce in violation of an applicable standard and, if so, how many such units.  DOE must be able to verify the number of units sold</w:t>
      </w:r>
      <w:r w:rsidR="007C0AAF">
        <w:t xml:space="preserve"> or installed and the location of installation</w:t>
      </w:r>
      <w:r w:rsidR="00226EB6">
        <w:t xml:space="preserve"> in violation of an applicable regional standard in order to determine an appropriate civil penalty for the violation, and to ensure that those to whom such products were distributed can be informed of the violation.  Thus, the records described above must be retained by the appropriate entity and available to DOE upon request.  </w:t>
      </w:r>
    </w:p>
    <w:p w14:paraId="3B7AF12A" w14:textId="77777777" w:rsidR="00226EB6" w:rsidRDefault="00226EB6" w:rsidP="008255D8"/>
    <w:p w14:paraId="7682A1E9" w14:textId="4092DAAA" w:rsidR="00226EB6" w:rsidRDefault="00226EB6" w:rsidP="008255D8">
      <w:r>
        <w:tab/>
        <w:t>Extending the timeframe over which such records must be retained is also essential, as</w:t>
      </w:r>
      <w:r w:rsidR="00F07A85">
        <w:t>,</w:t>
      </w:r>
      <w:r>
        <w:t xml:space="preserve"> due to the nature of the product, the frequency of maintenance of the product, and the location of the product as installed, it would be very unlikely that anyone would come to know a noncompliant product was installed in violation of an applicable regional standard within a two-year timeframe.  </w:t>
      </w:r>
      <w:r w:rsidR="004F6CA8">
        <w:t>Like the required records, this extended timeframe is necessary to ensure an effective enforcement of the regional standards by DOE.</w:t>
      </w:r>
    </w:p>
    <w:p w14:paraId="322C7F45" w14:textId="77777777" w:rsidR="00CF57B2" w:rsidRDefault="00CF57B2" w:rsidP="008255D8"/>
    <w:p w14:paraId="65735ED6" w14:textId="6D9EE95A" w:rsidR="008255D8" w:rsidRPr="00F418E5" w:rsidRDefault="008255D8" w:rsidP="008255D8">
      <w:r w:rsidRPr="00F418E5">
        <w:tab/>
      </w:r>
      <w:r w:rsidR="00A872AB">
        <w:t>Legally, DOE will be required to produce evidence to demonstrate that a violation occurred.  Absent a requirement for the man</w:t>
      </w:r>
      <w:r w:rsidR="00ED4BCA">
        <w:t xml:space="preserve">ufacturer, distributor, and/or contractor </w:t>
      </w:r>
      <w:r w:rsidR="00A872AB">
        <w:t xml:space="preserve">to retain the documents, </w:t>
      </w:r>
      <w:r w:rsidR="007C0AAF">
        <w:t>DOE</w:t>
      </w:r>
      <w:r w:rsidR="00A872AB">
        <w:t xml:space="preserve"> likely would not be able to</w:t>
      </w:r>
      <w:r w:rsidR="007C0AAF">
        <w:t xml:space="preserve"> establish </w:t>
      </w:r>
      <w:r w:rsidR="00A872AB">
        <w:t>the facts necessary to prove the violation occurred.  EISA 2007 charged DOE with developing an effective enforcement plan.  Because the statute requires a sufficient level of record retention to permit DOE to perform its enforcement function effectively, there</w:t>
      </w:r>
      <w:r w:rsidR="007C0AAF">
        <w:t xml:space="preserve"> is a legal obstacle to</w:t>
      </w:r>
      <w:r w:rsidRPr="00F418E5">
        <w:t xml:space="preserve"> reducing burden</w:t>
      </w:r>
      <w:r w:rsidR="00A872AB">
        <w:t xml:space="preserve"> further</w:t>
      </w:r>
      <w:r w:rsidR="007C0AAF">
        <w:t>.</w:t>
      </w:r>
      <w:r w:rsidR="00A872AB">
        <w:t xml:space="preserve">  The parties in the negotiation agreed that this information collection is the minimum amount of information needed for the Department to enforce the regional standards.</w:t>
      </w:r>
    </w:p>
    <w:p w14:paraId="160A29F0" w14:textId="77777777" w:rsidR="008255D8" w:rsidRPr="00F418E5" w:rsidRDefault="008255D8" w:rsidP="008255D8"/>
    <w:p w14:paraId="1946CA55" w14:textId="77777777" w:rsidR="00123C4A" w:rsidRPr="00F418E5" w:rsidRDefault="00D76D7C" w:rsidP="00184C46">
      <w:pPr>
        <w:numPr>
          <w:ilvl w:val="0"/>
          <w:numId w:val="7"/>
        </w:numPr>
        <w:rPr>
          <w:b/>
          <w:u w:val="single"/>
        </w:rPr>
      </w:pPr>
      <w:r w:rsidRPr="00F418E5">
        <w:rPr>
          <w:b/>
          <w:u w:val="single"/>
        </w:rPr>
        <w:t xml:space="preserve">Explain any special circumstances that require the collection to be conducted in a manner inconsistent with OMB guidelines. </w:t>
      </w:r>
      <w:r w:rsidR="005377BE" w:rsidRPr="00F418E5">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418E5">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4BCCCD69" w14:textId="77777777" w:rsidR="00D76D7C" w:rsidRPr="00F418E5" w:rsidRDefault="00D76D7C" w:rsidP="00184C46">
      <w:pPr>
        <w:rPr>
          <w:b/>
          <w:u w:val="single"/>
        </w:rPr>
      </w:pPr>
    </w:p>
    <w:p w14:paraId="0AF10745" w14:textId="77777777" w:rsidR="00207585" w:rsidRDefault="008255D8" w:rsidP="00184C46">
      <w:r w:rsidRPr="00F418E5">
        <w:tab/>
        <w:t xml:space="preserve">Of the special circumstances listed above, </w:t>
      </w:r>
      <w:r w:rsidR="00207585">
        <w:t xml:space="preserve">two may apply to this information collection: (d) </w:t>
      </w:r>
      <w:r w:rsidR="00207585" w:rsidRPr="00207585">
        <w:t xml:space="preserve">requiring respondents to retain records, other than health, medical government contract, grant-in-aid, or tax records, for more than three years; </w:t>
      </w:r>
      <w:r w:rsidR="00207585">
        <w:t>and (</w:t>
      </w:r>
      <w:r w:rsidR="00207585" w:rsidRPr="00207585">
        <w:t xml:space="preserve">h) requiring respondents to submit proprietary trade secrets, or other confidential information unless the agency can demonstrate that it has instituted procedures to protect the information’s confidentiality to the extent permitted by law. </w:t>
      </w:r>
    </w:p>
    <w:p w14:paraId="5BB0988A" w14:textId="77777777" w:rsidR="00207585" w:rsidRDefault="00207585" w:rsidP="00184C46"/>
    <w:p w14:paraId="20D8C1FF" w14:textId="171B7E31" w:rsidR="00776AF0" w:rsidRDefault="00207585" w:rsidP="00776AF0">
      <w:r>
        <w:tab/>
      </w:r>
      <w:r w:rsidR="00B468DD">
        <w:t xml:space="preserve">The working group unanimously agreed </w:t>
      </w:r>
      <w:r w:rsidR="00AF5EFC">
        <w:t>that manufacturers,</w:t>
      </w:r>
      <w:r w:rsidR="00AD7129">
        <w:t xml:space="preserve"> distributors and contractors </w:t>
      </w:r>
      <w:r w:rsidR="00AF5EFC">
        <w:t xml:space="preserve">should be required to retain records </w:t>
      </w:r>
      <w:r w:rsidR="00AD7129">
        <w:t xml:space="preserve">and </w:t>
      </w:r>
      <w:r w:rsidR="00AF5EFC">
        <w:t>that</w:t>
      </w:r>
      <w:r w:rsidR="00B468DD">
        <w:t xml:space="preserve"> the record retention requirement </w:t>
      </w:r>
      <w:r w:rsidR="00AF5EFC">
        <w:t xml:space="preserve">should be </w:t>
      </w:r>
      <w:r w:rsidR="00B468DD">
        <w:t xml:space="preserve">to maintain records for between 48 and 60 months, depending on whether the entity retaining the record is a manufacturer, distributor, or contractor.  </w:t>
      </w:r>
    </w:p>
    <w:p w14:paraId="369721A3" w14:textId="77777777" w:rsidR="00776AF0" w:rsidRDefault="00776AF0" w:rsidP="00184C46"/>
    <w:p w14:paraId="2FBBAE35" w14:textId="381F6667" w:rsidR="000C7DF8" w:rsidRDefault="00E77D35" w:rsidP="00637CDE">
      <w:r>
        <w:tab/>
      </w:r>
      <w:r w:rsidR="00AF5EFC">
        <w:t>Much of t</w:t>
      </w:r>
      <w:r w:rsidR="00637CDE">
        <w:t>he</w:t>
      </w:r>
      <w:r w:rsidR="00AF5EFC">
        <w:t xml:space="preserve"> information the</w:t>
      </w:r>
      <w:r w:rsidR="00637CDE">
        <w:t xml:space="preserve"> Department </w:t>
      </w:r>
      <w:r w:rsidR="00AF5EFC">
        <w:t xml:space="preserve">would collect under this information collection would not be made public.  Currently (under a different information collection), DOE </w:t>
      </w:r>
      <w:r w:rsidR="00637CDE">
        <w:t xml:space="preserve">collects both public and confidential information from manufacturers as part of its certification and compliance process.  </w:t>
      </w:r>
      <w:r w:rsidR="00331257">
        <w:t>T</w:t>
      </w:r>
      <w:r>
        <w:t xml:space="preserve">he Department believes that making data accessible to the public provides increased transparency and accountability to the Department’s regulatory regime. </w:t>
      </w:r>
      <w:r w:rsidR="00D65C95">
        <w:t xml:space="preserve"> </w:t>
      </w:r>
      <w:r>
        <w:t xml:space="preserve">At the same time, the Department recognizes that certain information may be confidential in nature and exempt by law from public disclosure. </w:t>
      </w:r>
      <w:r w:rsidR="00D65C95">
        <w:t xml:space="preserve"> </w:t>
      </w:r>
      <w:r>
        <w:t xml:space="preserve">To balance these interests, </w:t>
      </w:r>
      <w:r w:rsidR="00637CDE">
        <w:t>DOE has adopted a</w:t>
      </w:r>
      <w:r>
        <w:t xml:space="preserve"> framework for addressing the public disclosure of information submitted to DOE under Part 429, while protecting valid claims of confidential business information. </w:t>
      </w:r>
      <w:r w:rsidR="00D65C95">
        <w:t xml:space="preserve"> </w:t>
      </w:r>
      <w:r>
        <w:t xml:space="preserve">First, certain categories of information </w:t>
      </w:r>
      <w:r w:rsidR="00331257">
        <w:t>are</w:t>
      </w:r>
      <w:r>
        <w:t xml:space="preserve"> considered a matter of public record that DOE </w:t>
      </w:r>
      <w:r w:rsidR="00637CDE">
        <w:t>makes</w:t>
      </w:r>
      <w:r>
        <w:t xml:space="preserve"> available to the public on its website.</w:t>
      </w:r>
      <w:r w:rsidR="00D65C95">
        <w:t xml:space="preserve"> </w:t>
      </w:r>
      <w:r>
        <w:t xml:space="preserve"> </w:t>
      </w:r>
      <w:r w:rsidRPr="00F56269">
        <w:t xml:space="preserve">Second, for all other information submitted pursuant to Part 429, </w:t>
      </w:r>
      <w:r w:rsidR="000C7DF8">
        <w:t>DOE</w:t>
      </w:r>
      <w:r w:rsidRPr="00F56269">
        <w:t xml:space="preserve"> provides a mechanism for submitting parties to claim confidentiality on a case-by-case basis at the time of submission. </w:t>
      </w:r>
      <w:r w:rsidR="00D65C95">
        <w:t xml:space="preserve"> </w:t>
      </w:r>
      <w:r w:rsidRPr="00F56269">
        <w:rPr>
          <w:color w:val="000000"/>
        </w:rPr>
        <w:t xml:space="preserve">DOE may defer acting on any requests for confidentiality until DOE receives a request for the disclosure of the information covered by the request. </w:t>
      </w:r>
      <w:r w:rsidR="00D65C95">
        <w:rPr>
          <w:color w:val="000000"/>
        </w:rPr>
        <w:t xml:space="preserve"> </w:t>
      </w:r>
      <w:r w:rsidRPr="00F56269">
        <w:rPr>
          <w:color w:val="000000"/>
        </w:rPr>
        <w:t xml:space="preserve">The information </w:t>
      </w:r>
      <w:r w:rsidR="000C7DF8">
        <w:rPr>
          <w:color w:val="000000"/>
        </w:rPr>
        <w:t>is</w:t>
      </w:r>
      <w:r w:rsidRPr="00F56269">
        <w:rPr>
          <w:color w:val="000000"/>
        </w:rPr>
        <w:t xml:space="preserve"> treated as confidential until DOE acts on the request and all subsequent appeal proceedings have been exhausted</w:t>
      </w:r>
      <w:r w:rsidR="00637CDE">
        <w:rPr>
          <w:color w:val="000000"/>
        </w:rPr>
        <w:t xml:space="preserve">. </w:t>
      </w:r>
      <w:r w:rsidR="00D65C95">
        <w:rPr>
          <w:color w:val="000000"/>
        </w:rPr>
        <w:t xml:space="preserve"> </w:t>
      </w:r>
      <w:r w:rsidRPr="00F56269">
        <w:t>This approach provides submitters with an opportunity to express claims of confidentiality with particularity at the time the information is submitted, including a request for information to remain confidential for a set period of time, such as prior to a public product launch.</w:t>
      </w:r>
      <w:r w:rsidR="00D65C95">
        <w:t xml:space="preserve"> </w:t>
      </w:r>
      <w:r w:rsidRPr="00F56269">
        <w:t xml:space="preserve"> Furthermore, it allow</w:t>
      </w:r>
      <w:r w:rsidR="000C7DF8">
        <w:t>s</w:t>
      </w:r>
      <w:r w:rsidRPr="00F56269">
        <w:t xml:space="preserve"> the Department to determine whether a particular piece of information is exempt from public disclosure by law on a case-by-case, fact</w:t>
      </w:r>
      <w:r w:rsidR="00331257">
        <w:t>-</w:t>
      </w:r>
      <w:r w:rsidRPr="00F56269">
        <w:t xml:space="preserve">specific basis. In this way DOE can both consider confidentiality claims effectively and respond to disclosure requests promptly, while protecting against unlawful disclosure of information. </w:t>
      </w:r>
      <w:r w:rsidR="000C7DF8">
        <w:t xml:space="preserve"> </w:t>
      </w:r>
    </w:p>
    <w:p w14:paraId="5FD77253" w14:textId="77777777" w:rsidR="000C7DF8" w:rsidRDefault="000C7DF8" w:rsidP="00637CDE"/>
    <w:p w14:paraId="5EF2476D" w14:textId="57239C91" w:rsidR="00E77D35" w:rsidRPr="00F56269" w:rsidRDefault="000C7DF8" w:rsidP="00637CDE">
      <w:r>
        <w:t xml:space="preserve">None of the information </w:t>
      </w:r>
      <w:r w:rsidR="00331257">
        <w:t>DOE would collect under</w:t>
      </w:r>
      <w:r>
        <w:t xml:space="preserve"> this information collection would be </w:t>
      </w:r>
      <w:r w:rsidR="00331257">
        <w:t xml:space="preserve">treated as </w:t>
      </w:r>
      <w:r>
        <w:t>public</w:t>
      </w:r>
      <w:r w:rsidR="00331257">
        <w:t xml:space="preserve"> directly as received from the manufacturer, distributor or contractor</w:t>
      </w:r>
      <w:r>
        <w:t>.  DOE expects that most, if not all, of the specific information is likely to be of the type a company would normally hold as confidential business information.  DOE will follow its existing processes to ensure that the information is protected, as described above.</w:t>
      </w:r>
    </w:p>
    <w:p w14:paraId="0FAAF8F1" w14:textId="77777777" w:rsidR="00E77D35" w:rsidRPr="00F418E5" w:rsidRDefault="00E77D35" w:rsidP="00E77D35"/>
    <w:p w14:paraId="2D1CEEF3" w14:textId="77777777" w:rsidR="00711B95" w:rsidRDefault="00123C4A" w:rsidP="00184C46">
      <w:pPr>
        <w:numPr>
          <w:ilvl w:val="0"/>
          <w:numId w:val="7"/>
        </w:numPr>
        <w:rPr>
          <w:b/>
          <w:u w:val="single"/>
        </w:rPr>
      </w:pPr>
      <w:r w:rsidRPr="00F418E5">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F418E5">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418E5">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418E5">
        <w:rPr>
          <w:b/>
          <w:u w:val="single"/>
        </w:rPr>
        <w:t xml:space="preserve">  </w:t>
      </w:r>
    </w:p>
    <w:p w14:paraId="4A0798FF" w14:textId="77777777" w:rsidR="00627743" w:rsidRDefault="00627743" w:rsidP="00627743">
      <w:pPr>
        <w:rPr>
          <w:b/>
          <w:u w:val="single"/>
        </w:rPr>
      </w:pPr>
    </w:p>
    <w:p w14:paraId="20855BBC" w14:textId="77777777" w:rsidR="00494DDE" w:rsidRDefault="00627743" w:rsidP="00494DDE">
      <w:r w:rsidRPr="00627743">
        <w:tab/>
      </w:r>
      <w:r w:rsidR="00494DDE">
        <w:t>The Department published</w:t>
      </w:r>
      <w:r w:rsidR="008E697B">
        <w:t xml:space="preserve"> or intends to publish</w:t>
      </w:r>
      <w:r w:rsidR="00494DDE">
        <w:t xml:space="preserve"> the following Federal Register notices regarding the collection of information subject to this approval:</w:t>
      </w:r>
    </w:p>
    <w:p w14:paraId="371D00C2" w14:textId="77777777" w:rsidR="00F07A85" w:rsidRDefault="00F07A85" w:rsidP="00494DDE"/>
    <w:p w14:paraId="7A941190" w14:textId="555F9F9C" w:rsidR="00D10B3E" w:rsidRDefault="00D10B3E" w:rsidP="00D10B3E">
      <w:r>
        <w:t xml:space="preserve">Notice of Proposed Rulemaking -- </w:t>
      </w:r>
      <w:r w:rsidRPr="00D10B3E">
        <w:t>Energy Conservation Program: Enforcement of Regional Standards for Central Air Conditioners</w:t>
      </w:r>
      <w:r w:rsidR="009848AB">
        <w:t>.</w:t>
      </w:r>
      <w:r w:rsidR="00C02310">
        <w:t xml:space="preserve"> </w:t>
      </w:r>
      <w:r>
        <w:t>Docket No. EERE-2011-BT-CE-0077. RIN: 1904-AC68.</w:t>
      </w:r>
    </w:p>
    <w:p w14:paraId="4591B0C7" w14:textId="72890D9A" w:rsidR="00A831D1" w:rsidRDefault="00971319" w:rsidP="00D10B3E">
      <w:r>
        <w:t>Published in</w:t>
      </w:r>
      <w:r w:rsidR="00934C7B">
        <w:t xml:space="preserve"> Federal Register on </w:t>
      </w:r>
      <w:r w:rsidR="00331257">
        <w:t xml:space="preserve">November </w:t>
      </w:r>
      <w:r>
        <w:t>19</w:t>
      </w:r>
      <w:r w:rsidR="00934C7B">
        <w:t>, 2015</w:t>
      </w:r>
      <w:r w:rsidR="00C02310">
        <w:t>.</w:t>
      </w:r>
    </w:p>
    <w:p w14:paraId="01378DC0" w14:textId="77777777" w:rsidR="00A831D1" w:rsidRDefault="00A831D1" w:rsidP="00A831D1">
      <w:pPr>
        <w:pStyle w:val="ListParagraph"/>
        <w:ind w:left="0"/>
      </w:pPr>
    </w:p>
    <w:p w14:paraId="4B45AEDB" w14:textId="77777777" w:rsidR="00494DDE" w:rsidRDefault="008508A6" w:rsidP="00184C46">
      <w:r>
        <w:tab/>
        <w:t>DOE has not received any specific comments regarding the information collection estimates at this time.</w:t>
      </w:r>
    </w:p>
    <w:p w14:paraId="4B51D290" w14:textId="77777777" w:rsidR="008508A6" w:rsidRPr="00927C0F" w:rsidRDefault="008508A6" w:rsidP="00184C46"/>
    <w:p w14:paraId="1D07BCCD" w14:textId="77777777" w:rsidR="00123C4A" w:rsidRPr="00F418E5" w:rsidRDefault="00123C4A" w:rsidP="00184C46">
      <w:pPr>
        <w:numPr>
          <w:ilvl w:val="0"/>
          <w:numId w:val="7"/>
        </w:numPr>
        <w:rPr>
          <w:b/>
          <w:u w:val="single"/>
        </w:rPr>
      </w:pPr>
      <w:r w:rsidRPr="00F418E5">
        <w:rPr>
          <w:b/>
          <w:u w:val="single"/>
        </w:rPr>
        <w:t xml:space="preserve">Explain any decision to provide any payment or gift to respondents, other than </w:t>
      </w:r>
      <w:r w:rsidR="00BA5387" w:rsidRPr="00F418E5">
        <w:rPr>
          <w:b/>
          <w:u w:val="single"/>
        </w:rPr>
        <w:t>reenumeration</w:t>
      </w:r>
      <w:r w:rsidRPr="00F418E5">
        <w:rPr>
          <w:b/>
          <w:u w:val="single"/>
        </w:rPr>
        <w:t xml:space="preserve"> of contractors or grantees. </w:t>
      </w:r>
    </w:p>
    <w:p w14:paraId="4CE2B9D2" w14:textId="77777777" w:rsidR="002D3C67" w:rsidRPr="00F418E5" w:rsidRDefault="002D3C67" w:rsidP="00184C46">
      <w:pPr>
        <w:rPr>
          <w:b/>
          <w:u w:val="single"/>
        </w:rPr>
      </w:pPr>
    </w:p>
    <w:p w14:paraId="30FF93B8" w14:textId="77777777" w:rsidR="002D3C67" w:rsidRPr="00F418E5" w:rsidRDefault="007B1D48" w:rsidP="00184C46">
      <w:r>
        <w:tab/>
      </w:r>
      <w:r w:rsidR="008255D8" w:rsidRPr="00F418E5">
        <w:t>There is no payment or gift to any respondents.  Respondents are required to comply by regulation.</w:t>
      </w:r>
    </w:p>
    <w:p w14:paraId="57D2B8EF" w14:textId="77777777" w:rsidR="008255D8" w:rsidRPr="00F418E5" w:rsidRDefault="008255D8" w:rsidP="00184C46"/>
    <w:p w14:paraId="4A0D806A" w14:textId="77777777" w:rsidR="00123C4A" w:rsidRPr="00F418E5" w:rsidRDefault="00123C4A" w:rsidP="00184C46">
      <w:pPr>
        <w:numPr>
          <w:ilvl w:val="0"/>
          <w:numId w:val="7"/>
        </w:numPr>
        <w:rPr>
          <w:b/>
          <w:u w:val="single"/>
        </w:rPr>
      </w:pPr>
      <w:r w:rsidRPr="00F418E5">
        <w:rPr>
          <w:b/>
          <w:u w:val="single"/>
        </w:rPr>
        <w:t xml:space="preserve">Describe any assurance of confidentiality provided to respondents and the basis for the assurance in statute, regulation, or agency policy. </w:t>
      </w:r>
    </w:p>
    <w:p w14:paraId="03044950" w14:textId="77777777" w:rsidR="002D3C67" w:rsidRDefault="002D3C67" w:rsidP="00184C46">
      <w:pPr>
        <w:rPr>
          <w:b/>
          <w:u w:val="single"/>
        </w:rPr>
      </w:pPr>
    </w:p>
    <w:p w14:paraId="567D3DA1" w14:textId="0526563E" w:rsidR="006F6DC5" w:rsidRPr="006F6DC5" w:rsidRDefault="006F6DC5" w:rsidP="006F6DC5">
      <w:r>
        <w:tab/>
      </w:r>
      <w:r w:rsidR="00C41BAB">
        <w:t xml:space="preserve">DOE has </w:t>
      </w:r>
      <w:r w:rsidR="00934C7B">
        <w:t>a regulatory</w:t>
      </w:r>
      <w:r w:rsidR="00C41BAB">
        <w:t xml:space="preserve"> process for </w:t>
      </w:r>
      <w:r w:rsidR="00934C7B">
        <w:t>t</w:t>
      </w:r>
      <w:r w:rsidR="00C41BAB">
        <w:t xml:space="preserve">he agency’s handling of confidential information </w:t>
      </w:r>
      <w:r w:rsidR="00934C7B">
        <w:t xml:space="preserve">produced to DOE in an enforcement context </w:t>
      </w:r>
      <w:r w:rsidR="00C41BAB">
        <w:t xml:space="preserve">in </w:t>
      </w:r>
      <w:r w:rsidR="009848AB">
        <w:t xml:space="preserve">10 CFR </w:t>
      </w:r>
      <w:r w:rsidR="00934C7B">
        <w:t xml:space="preserve">§ </w:t>
      </w:r>
      <w:r w:rsidR="00C41BAB">
        <w:t>429.7.</w:t>
      </w:r>
      <w:r w:rsidR="008A33EC">
        <w:t xml:space="preserve">  DOE’s regulations also </w:t>
      </w:r>
      <w:r w:rsidR="00F3705D">
        <w:t xml:space="preserve">provide that </w:t>
      </w:r>
      <w:r w:rsidRPr="006F6DC5">
        <w:t>DOE shall make its own determination with regard to any claim that information submitted be exempt from public disclosure</w:t>
      </w:r>
      <w:r w:rsidR="00934C7B">
        <w:t>, as provided by the Freedom of Information Act</w:t>
      </w:r>
      <w:r w:rsidRPr="006F6DC5">
        <w:t>.</w:t>
      </w:r>
    </w:p>
    <w:p w14:paraId="58553B6B" w14:textId="77777777" w:rsidR="00627743" w:rsidRPr="006F6DC5" w:rsidRDefault="00627743" w:rsidP="00627743"/>
    <w:p w14:paraId="58D5657D" w14:textId="77777777" w:rsidR="00123C4A" w:rsidRPr="00F418E5" w:rsidRDefault="00123C4A" w:rsidP="00184C46">
      <w:pPr>
        <w:numPr>
          <w:ilvl w:val="0"/>
          <w:numId w:val="7"/>
        </w:numPr>
        <w:rPr>
          <w:b/>
          <w:u w:val="single"/>
        </w:rPr>
      </w:pPr>
      <w:r w:rsidRPr="00F418E5">
        <w:rPr>
          <w:b/>
          <w:u w:val="single"/>
        </w:rPr>
        <w:t>Provide additional justification for any questions of a sensitive nature, such as sexual behavior and attitudes, religious beliefs, and other matters that are commonly considered private.</w:t>
      </w:r>
      <w:r w:rsidR="00007B0C" w:rsidRPr="00F418E5">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0DA362A7" w14:textId="77777777" w:rsidR="002D3C67" w:rsidRPr="00F418E5" w:rsidRDefault="002D3C67" w:rsidP="00184C46"/>
    <w:p w14:paraId="500C45E8" w14:textId="77777777" w:rsidR="002D3C67" w:rsidRPr="00F418E5" w:rsidRDefault="007B1D48" w:rsidP="00184C46">
      <w:r>
        <w:tab/>
      </w:r>
      <w:r w:rsidR="008255D8" w:rsidRPr="00F418E5">
        <w:t>There are no questions of a sensitive nature in this collection of information.</w:t>
      </w:r>
    </w:p>
    <w:p w14:paraId="01E2B9B0" w14:textId="77777777" w:rsidR="008255D8" w:rsidRPr="00F418E5" w:rsidRDefault="008255D8" w:rsidP="00184C46"/>
    <w:p w14:paraId="71FA57B2" w14:textId="77777777" w:rsidR="00123C4A" w:rsidRPr="00F418E5" w:rsidRDefault="00123C4A" w:rsidP="00184C46">
      <w:pPr>
        <w:numPr>
          <w:ilvl w:val="0"/>
          <w:numId w:val="7"/>
        </w:numPr>
        <w:rPr>
          <w:b/>
          <w:u w:val="single"/>
        </w:rPr>
      </w:pPr>
      <w:r w:rsidRPr="00F418E5">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418E5">
        <w:rPr>
          <w:b/>
          <w:u w:val="single"/>
        </w:rPr>
        <w:t xml:space="preserve">  Unless directed to do so, DOE should not conduct special surveys to obtain information on which to base hour burden estimates</w:t>
      </w:r>
      <w:r w:rsidR="00A75A64" w:rsidRPr="00F418E5">
        <w:rPr>
          <w:b/>
          <w:u w:val="single"/>
        </w:rPr>
        <w:t>.  Consultation with a sample</w:t>
      </w:r>
      <w:r w:rsidR="00C91A2A" w:rsidRPr="00F418E5">
        <w:rPr>
          <w:b/>
          <w:u w:val="single"/>
        </w:rPr>
        <w:t xml:space="preserve"> fewer than 10 potential respondents is desirable. </w:t>
      </w:r>
    </w:p>
    <w:p w14:paraId="2C0341CD" w14:textId="77777777" w:rsidR="00822F33" w:rsidRPr="00F418E5" w:rsidRDefault="00822F33" w:rsidP="00184C46">
      <w:pPr>
        <w:rPr>
          <w:b/>
          <w:u w:val="single"/>
        </w:rPr>
      </w:pPr>
    </w:p>
    <w:p w14:paraId="140022E0" w14:textId="77777777" w:rsidR="008255D8" w:rsidRPr="00F418E5" w:rsidRDefault="008255D8" w:rsidP="008255D8"/>
    <w:p w14:paraId="07EF18D7" w14:textId="2E368DA2" w:rsidR="0057030C" w:rsidRDefault="008255D8" w:rsidP="008255D8">
      <w:r w:rsidRPr="00F418E5">
        <w:tab/>
      </w:r>
      <w:r w:rsidR="00934C7B">
        <w:t xml:space="preserve">DOE expects this </w:t>
      </w:r>
      <w:r w:rsidR="00331257">
        <w:t>new information collect</w:t>
      </w:r>
      <w:r w:rsidR="00D55806">
        <w:t>ion</w:t>
      </w:r>
      <w:r w:rsidR="00331257">
        <w:t xml:space="preserve"> to result in</w:t>
      </w:r>
      <w:r w:rsidR="00934C7B">
        <w:t xml:space="preserve"> the following burdens:</w:t>
      </w:r>
    </w:p>
    <w:p w14:paraId="03F35381" w14:textId="77777777" w:rsidR="006D70B0" w:rsidRDefault="006D70B0" w:rsidP="008255D8"/>
    <w:p w14:paraId="71098D1C" w14:textId="77777777" w:rsidR="00771DDA" w:rsidRPr="004316D3" w:rsidRDefault="00771DDA" w:rsidP="00771DDA">
      <w:pPr>
        <w:autoSpaceDE w:val="0"/>
        <w:autoSpaceDN w:val="0"/>
        <w:adjustRightInd w:val="0"/>
        <w:rPr>
          <w:u w:val="single"/>
        </w:rPr>
      </w:pPr>
      <w:r w:rsidRPr="004316D3">
        <w:rPr>
          <w:u w:val="single"/>
        </w:rPr>
        <w:t>Manufacturers</w:t>
      </w:r>
    </w:p>
    <w:p w14:paraId="16776D7A" w14:textId="77777777" w:rsidR="00771DDA" w:rsidRPr="004316D3" w:rsidRDefault="00771DDA" w:rsidP="00771DDA">
      <w:pPr>
        <w:autoSpaceDE w:val="0"/>
        <w:autoSpaceDN w:val="0"/>
        <w:adjustRightInd w:val="0"/>
        <w:ind w:firstLine="720"/>
        <w:rPr>
          <w:szCs w:val="20"/>
        </w:rPr>
      </w:pPr>
      <w:r w:rsidRPr="004316D3">
        <w:t>Estimated Number of Impacted Manufacturers: 29</w:t>
      </w:r>
    </w:p>
    <w:p w14:paraId="7EAF8FFF" w14:textId="77777777" w:rsidR="00771DDA" w:rsidRPr="004316D3" w:rsidRDefault="00771DDA" w:rsidP="00771DDA">
      <w:pPr>
        <w:autoSpaceDE w:val="0"/>
        <w:autoSpaceDN w:val="0"/>
        <w:adjustRightInd w:val="0"/>
        <w:ind w:firstLine="720"/>
      </w:pPr>
      <w:r w:rsidRPr="004316D3">
        <w:t>Estimated Time per Record: 10 minutes</w:t>
      </w:r>
    </w:p>
    <w:p w14:paraId="3034300F" w14:textId="77777777" w:rsidR="00771DDA" w:rsidRPr="004316D3" w:rsidRDefault="00771DDA" w:rsidP="00771DDA">
      <w:pPr>
        <w:autoSpaceDE w:val="0"/>
        <w:autoSpaceDN w:val="0"/>
        <w:adjustRightInd w:val="0"/>
        <w:ind w:firstLine="720"/>
      </w:pPr>
      <w:r w:rsidRPr="004316D3">
        <w:t>Estimated Total Annual Burden Hours: 574,167 hours</w:t>
      </w:r>
    </w:p>
    <w:p w14:paraId="5CF03659" w14:textId="77777777" w:rsidR="00771DDA" w:rsidRPr="004316D3" w:rsidRDefault="00771DDA" w:rsidP="00771DDA">
      <w:pPr>
        <w:autoSpaceDE w:val="0"/>
        <w:autoSpaceDN w:val="0"/>
        <w:adjustRightInd w:val="0"/>
        <w:rPr>
          <w:u w:val="single"/>
        </w:rPr>
      </w:pPr>
      <w:r w:rsidRPr="004316D3">
        <w:rPr>
          <w:u w:val="single"/>
        </w:rPr>
        <w:t>Distributors</w:t>
      </w:r>
    </w:p>
    <w:p w14:paraId="0661D96A" w14:textId="77777777" w:rsidR="00771DDA" w:rsidRPr="004316D3" w:rsidRDefault="00771DDA" w:rsidP="00771DDA">
      <w:pPr>
        <w:autoSpaceDE w:val="0"/>
        <w:autoSpaceDN w:val="0"/>
        <w:adjustRightInd w:val="0"/>
        <w:ind w:firstLine="720"/>
      </w:pPr>
      <w:r w:rsidRPr="004316D3">
        <w:t>Estimated Number of Impacted Distributors: 2,317</w:t>
      </w:r>
    </w:p>
    <w:p w14:paraId="72DE6C41" w14:textId="7ED32C21" w:rsidR="00771DDA" w:rsidRPr="004316D3" w:rsidRDefault="00771DDA" w:rsidP="00771DDA">
      <w:pPr>
        <w:autoSpaceDE w:val="0"/>
        <w:autoSpaceDN w:val="0"/>
        <w:adjustRightInd w:val="0"/>
        <w:ind w:firstLine="720"/>
      </w:pPr>
      <w:r w:rsidRPr="004316D3">
        <w:t xml:space="preserve">Estimated </w:t>
      </w:r>
      <w:r w:rsidR="00494328" w:rsidRPr="00494328">
        <w:t>Time per Record</w:t>
      </w:r>
      <w:r w:rsidRPr="004316D3">
        <w:t>: 5</w:t>
      </w:r>
      <w:r w:rsidR="00494328">
        <w:t xml:space="preserve"> minutes</w:t>
      </w:r>
      <w:r w:rsidRPr="004316D3">
        <w:t> </w:t>
      </w:r>
    </w:p>
    <w:p w14:paraId="59EBF505" w14:textId="77777777" w:rsidR="00771DDA" w:rsidRPr="004316D3" w:rsidRDefault="00771DDA" w:rsidP="00771DDA">
      <w:pPr>
        <w:autoSpaceDE w:val="0"/>
        <w:autoSpaceDN w:val="0"/>
        <w:adjustRightInd w:val="0"/>
        <w:ind w:firstLine="720"/>
      </w:pPr>
      <w:r w:rsidRPr="004316D3">
        <w:rPr>
          <w:szCs w:val="20"/>
        </w:rPr>
        <w:t>Estimated Total Annual Burden Hours: 287,083 hours</w:t>
      </w:r>
    </w:p>
    <w:p w14:paraId="0DE265D8" w14:textId="77777777" w:rsidR="00771DDA" w:rsidRPr="004316D3" w:rsidRDefault="00771DDA" w:rsidP="00F11EC9">
      <w:pPr>
        <w:keepNext/>
        <w:autoSpaceDE w:val="0"/>
        <w:autoSpaceDN w:val="0"/>
        <w:adjustRightInd w:val="0"/>
        <w:rPr>
          <w:u w:val="single"/>
        </w:rPr>
      </w:pPr>
      <w:r w:rsidRPr="004316D3">
        <w:rPr>
          <w:u w:val="single"/>
        </w:rPr>
        <w:t>Contractors</w:t>
      </w:r>
    </w:p>
    <w:p w14:paraId="4169C199" w14:textId="77777777" w:rsidR="00771DDA" w:rsidRPr="004316D3" w:rsidRDefault="00771DDA" w:rsidP="00771DDA">
      <w:pPr>
        <w:autoSpaceDE w:val="0"/>
        <w:autoSpaceDN w:val="0"/>
        <w:adjustRightInd w:val="0"/>
        <w:ind w:firstLine="720"/>
      </w:pPr>
      <w:r w:rsidRPr="004316D3">
        <w:t>Estimated Number of Impacted Contractors: </w:t>
      </w:r>
      <w:r w:rsidRPr="004316D3">
        <w:rPr>
          <w:color w:val="000000"/>
          <w:szCs w:val="20"/>
        </w:rPr>
        <w:t>22,207</w:t>
      </w:r>
    </w:p>
    <w:p w14:paraId="1134D1EB" w14:textId="6794F714" w:rsidR="00771DDA" w:rsidRPr="004316D3" w:rsidRDefault="00771DDA" w:rsidP="00771DDA">
      <w:pPr>
        <w:autoSpaceDE w:val="0"/>
        <w:autoSpaceDN w:val="0"/>
        <w:adjustRightInd w:val="0"/>
        <w:ind w:firstLine="720"/>
      </w:pPr>
      <w:r w:rsidRPr="004316D3">
        <w:t>Estimated Time per Re</w:t>
      </w:r>
      <w:r w:rsidR="00C11549">
        <w:t>cord</w:t>
      </w:r>
      <w:r w:rsidRPr="004316D3">
        <w:t>: 10 minutes per installation</w:t>
      </w:r>
    </w:p>
    <w:p w14:paraId="3265D4DA" w14:textId="77777777" w:rsidR="00771DDA" w:rsidRPr="004316D3" w:rsidRDefault="00771DDA" w:rsidP="00771DDA">
      <w:pPr>
        <w:autoSpaceDE w:val="0"/>
        <w:autoSpaceDN w:val="0"/>
        <w:adjustRightInd w:val="0"/>
        <w:spacing w:after="240"/>
        <w:ind w:firstLine="720"/>
      </w:pPr>
      <w:r w:rsidRPr="004316D3">
        <w:t>Estimated Total Annual Burden Hours: 359,949 hours</w:t>
      </w:r>
    </w:p>
    <w:p w14:paraId="206FB2D9" w14:textId="73ADCEDC" w:rsidR="00950881" w:rsidRDefault="00780AAE" w:rsidP="00184C46">
      <w:r>
        <w:t>T</w:t>
      </w:r>
      <w:r w:rsidR="006B21F1">
        <w:t xml:space="preserve">he Air-Conditioning, Heating, and Refrigeration Institute and </w:t>
      </w:r>
      <w:r w:rsidR="004A5048">
        <w:t xml:space="preserve">the Air Conditioning Contractors of America </w:t>
      </w:r>
      <w:r>
        <w:t>helped</w:t>
      </w:r>
      <w:r w:rsidR="004A5048">
        <w:t xml:space="preserve"> develop these estimates</w:t>
      </w:r>
      <w:r>
        <w:t>, including providing the numbers of impacted manufacturers, distributors and contractors and the time estimates to generate and store the records for each type of respondent</w:t>
      </w:r>
      <w:r w:rsidR="004A5048">
        <w:t>.</w:t>
      </w:r>
    </w:p>
    <w:p w14:paraId="247E27E7" w14:textId="77777777" w:rsidR="004A5048" w:rsidRPr="00F418E5" w:rsidRDefault="004A5048" w:rsidP="00184C46"/>
    <w:p w14:paraId="782CE78D" w14:textId="77777777" w:rsidR="00123C4A" w:rsidRPr="00F418E5" w:rsidRDefault="00123C4A" w:rsidP="00184C46">
      <w:pPr>
        <w:numPr>
          <w:ilvl w:val="0"/>
          <w:numId w:val="7"/>
        </w:numPr>
        <w:rPr>
          <w:b/>
          <w:u w:val="single"/>
        </w:rPr>
      </w:pPr>
      <w:r w:rsidRPr="00F418E5">
        <w:rPr>
          <w:b/>
          <w:u w:val="single"/>
        </w:rPr>
        <w:t>Provide an estimate for the total annual cost burden to respondents or recordkeepers resulting from the</w:t>
      </w:r>
      <w:r w:rsidR="00950881" w:rsidRPr="00F418E5">
        <w:rPr>
          <w:b/>
          <w:u w:val="single"/>
        </w:rPr>
        <w:t xml:space="preserve"> </w:t>
      </w:r>
      <w:r w:rsidRPr="00F418E5">
        <w:rPr>
          <w:b/>
          <w:u w:val="single"/>
        </w:rPr>
        <w:t xml:space="preserve">collection of information.  </w:t>
      </w:r>
    </w:p>
    <w:p w14:paraId="6DBBF951" w14:textId="77777777" w:rsidR="006765C5" w:rsidRDefault="006765C5" w:rsidP="00184C46">
      <w:pPr>
        <w:rPr>
          <w:b/>
          <w:u w:val="single"/>
        </w:rPr>
      </w:pPr>
    </w:p>
    <w:p w14:paraId="7DE43BCA" w14:textId="204D5FF3" w:rsidR="00D55806" w:rsidRDefault="00D55806" w:rsidP="00184C46">
      <w:r>
        <w:t xml:space="preserve">DOE used shipments data from 2008 (the data used to support the regional standards direct final rule) to estimate that manufacturers will generate approximately </w:t>
      </w:r>
      <w:r w:rsidRPr="00D55806">
        <w:t>3,445,000</w:t>
      </w:r>
      <w:r>
        <w:t xml:space="preserve"> records per year, distributors will generate approximately </w:t>
      </w:r>
      <w:r w:rsidRPr="00D55806">
        <w:t>3,445,000</w:t>
      </w:r>
      <w:r>
        <w:t xml:space="preserve"> records per year, and contractors will generate approximately </w:t>
      </w:r>
      <w:r w:rsidRPr="00D55806">
        <w:t>2,159,695</w:t>
      </w:r>
      <w:r>
        <w:t xml:space="preserve"> records per year.  DOE estimated that manufacturers and distributors will generate records for every unit </w:t>
      </w:r>
      <w:r w:rsidR="00C50E66">
        <w:t xml:space="preserve">shipped </w:t>
      </w:r>
      <w:r>
        <w:t>but that contractors will only generate records for units installed in a region subject to a regional standard.</w:t>
      </w:r>
    </w:p>
    <w:p w14:paraId="57BE0CE3" w14:textId="77777777" w:rsidR="00D55806" w:rsidRDefault="00D55806" w:rsidP="00184C46"/>
    <w:p w14:paraId="5366AF10" w14:textId="61D4A47B" w:rsidR="00C50E66" w:rsidRPr="00D55806" w:rsidRDefault="00C50E66" w:rsidP="00184C46">
      <w:r>
        <w:t xml:space="preserve">DOE used a </w:t>
      </w:r>
      <w:r w:rsidR="00FC663B">
        <w:t>labor rate of $</w:t>
      </w:r>
      <w:r w:rsidR="00744159">
        <w:t>7.25</w:t>
      </w:r>
      <w:r>
        <w:t xml:space="preserve"> </w:t>
      </w:r>
      <w:r w:rsidR="00FC663B">
        <w:t>per hour</w:t>
      </w:r>
      <w:r w:rsidR="00744159">
        <w:t xml:space="preserve"> for contractors and distributors, which was the value recommended by ACCA, as the recordkeepers are expected to be minimum wage employees.  DOE </w:t>
      </w:r>
      <w:r w:rsidR="009E0AA5">
        <w:t>has adjusted its</w:t>
      </w:r>
      <w:r w:rsidR="00744159">
        <w:t xml:space="preserve"> labor rate </w:t>
      </w:r>
      <w:r w:rsidR="009E0AA5">
        <w:t>to</w:t>
      </w:r>
      <w:r w:rsidR="00744159">
        <w:t xml:space="preserve"> $100 per hour (a conservative value) for manufacturers, which is consistent with the fully burdened labor rate DOE uses for certification recordkeeping requirements.</w:t>
      </w:r>
    </w:p>
    <w:p w14:paraId="37D6C093" w14:textId="77777777" w:rsidR="00D55806" w:rsidRPr="00D55806" w:rsidRDefault="00D55806" w:rsidP="00184C46"/>
    <w:p w14:paraId="4C858F4B" w14:textId="798DF947" w:rsidR="00771DDA" w:rsidRPr="004316D3" w:rsidRDefault="00771DDA" w:rsidP="00F11EC9">
      <w:pPr>
        <w:autoSpaceDE w:val="0"/>
        <w:autoSpaceDN w:val="0"/>
        <w:adjustRightInd w:val="0"/>
      </w:pPr>
      <w:r w:rsidRPr="004316D3">
        <w:t xml:space="preserve">Estimated Total Annual Cost to Manufacturers: </w:t>
      </w:r>
      <w:r w:rsidR="009E0AA5" w:rsidRPr="009E0AA5">
        <w:rPr>
          <w:szCs w:val="20"/>
        </w:rPr>
        <w:t>$57,416,667</w:t>
      </w:r>
    </w:p>
    <w:p w14:paraId="40F225C9" w14:textId="5E019F3B" w:rsidR="00771DDA" w:rsidRPr="004316D3" w:rsidRDefault="00771DDA" w:rsidP="00F11EC9">
      <w:pPr>
        <w:autoSpaceDE w:val="0"/>
        <w:autoSpaceDN w:val="0"/>
        <w:adjustRightInd w:val="0"/>
      </w:pPr>
      <w:r w:rsidRPr="004316D3">
        <w:t>Estimated Total Annual Cost to Distributors:</w:t>
      </w:r>
      <w:r w:rsidRPr="004316D3">
        <w:rPr>
          <w:szCs w:val="20"/>
        </w:rPr>
        <w:t xml:space="preserve"> $2,081,354</w:t>
      </w:r>
    </w:p>
    <w:p w14:paraId="5F58843F" w14:textId="7F4693BD" w:rsidR="00393086" w:rsidRDefault="00771DDA" w:rsidP="00F11EC9">
      <w:pPr>
        <w:autoSpaceDE w:val="0"/>
        <w:autoSpaceDN w:val="0"/>
        <w:adjustRightInd w:val="0"/>
      </w:pPr>
      <w:r w:rsidRPr="004316D3">
        <w:t>Estimated Total Annual Cost to Contractors:</w:t>
      </w:r>
      <w:r w:rsidRPr="004316D3">
        <w:rPr>
          <w:szCs w:val="20"/>
        </w:rPr>
        <w:t xml:space="preserve"> $2,609,631</w:t>
      </w:r>
    </w:p>
    <w:p w14:paraId="75649DE4" w14:textId="77777777" w:rsidR="008255D8" w:rsidRPr="00F418E5" w:rsidRDefault="008255D8" w:rsidP="00184C46">
      <w:pPr>
        <w:rPr>
          <w:b/>
          <w:u w:val="single"/>
        </w:rPr>
      </w:pPr>
    </w:p>
    <w:p w14:paraId="300A317C" w14:textId="77777777" w:rsidR="006765C5" w:rsidRPr="00F418E5" w:rsidRDefault="00236386" w:rsidP="00184C46">
      <w:pPr>
        <w:numPr>
          <w:ilvl w:val="0"/>
          <w:numId w:val="7"/>
        </w:numPr>
        <w:rPr>
          <w:b/>
          <w:u w:val="single"/>
        </w:rPr>
      </w:pPr>
      <w:r w:rsidRPr="00F418E5">
        <w:rPr>
          <w:b/>
          <w:u w:val="single"/>
        </w:rPr>
        <w:t>Provide estimates of annualized cost to the Federal government.</w:t>
      </w:r>
    </w:p>
    <w:p w14:paraId="12192D0E" w14:textId="77777777" w:rsidR="00236386" w:rsidRPr="00F418E5" w:rsidRDefault="00236386" w:rsidP="00184C46"/>
    <w:p w14:paraId="6AE21EBE" w14:textId="03B4E7AB" w:rsidR="00236386" w:rsidRPr="00F418E5" w:rsidRDefault="007B1D48" w:rsidP="00184C46">
      <w:r>
        <w:tab/>
      </w:r>
      <w:r w:rsidR="00AE0EB8">
        <w:t xml:space="preserve">DOE estimates the total annual reporting and recordkeeping burden imposed on the Federal government </w:t>
      </w:r>
      <w:r w:rsidR="00D4105B">
        <w:t xml:space="preserve">by this </w:t>
      </w:r>
      <w:r w:rsidR="00331257">
        <w:t>information collection</w:t>
      </w:r>
      <w:r w:rsidR="00D4105B">
        <w:t xml:space="preserve"> </w:t>
      </w:r>
      <w:r w:rsidR="00AE0EB8">
        <w:t xml:space="preserve">will be </w:t>
      </w:r>
      <w:r w:rsidR="00411D3E">
        <w:t>less than $9</w:t>
      </w:r>
      <w:r w:rsidR="006E7A46">
        <w:t>00  (</w:t>
      </w:r>
      <w:r w:rsidR="00411D3E">
        <w:t>60 minutes</w:t>
      </w:r>
      <w:r w:rsidR="006E7A46">
        <w:t xml:space="preserve"> to prepare a data request at</w:t>
      </w:r>
      <w:r w:rsidR="009E6041">
        <w:t xml:space="preserve"> an average fully burdened wage $1</w:t>
      </w:r>
      <w:r w:rsidR="00411D3E">
        <w:t>50</w:t>
      </w:r>
      <w:r w:rsidR="006E7A46">
        <w:t>/hour)</w:t>
      </w:r>
      <w:r w:rsidR="00D4105B">
        <w:t xml:space="preserve">.  DOE </w:t>
      </w:r>
      <w:r w:rsidR="00AE0EB8">
        <w:t xml:space="preserve">already </w:t>
      </w:r>
      <w:r w:rsidR="00D4105B">
        <w:t>has document management systems in place, and</w:t>
      </w:r>
      <w:r w:rsidR="006C1BD7">
        <w:t xml:space="preserve"> specific records will be submitted by manufacturers, distributors, and/or </w:t>
      </w:r>
      <w:r w:rsidR="00ED4BCA">
        <w:t>contractors</w:t>
      </w:r>
      <w:r w:rsidR="006C1BD7">
        <w:t xml:space="preserve"> only upon request</w:t>
      </w:r>
      <w:r w:rsidR="00AE0EB8">
        <w:t>.</w:t>
      </w:r>
      <w:r w:rsidR="00D4105B">
        <w:t xml:space="preserve">  In addition, DOE only request</w:t>
      </w:r>
      <w:r w:rsidR="004A5048">
        <w:t>s</w:t>
      </w:r>
      <w:r w:rsidR="00D4105B">
        <w:t xml:space="preserve"> information upon a reasonable belief that a violation has occurred.</w:t>
      </w:r>
    </w:p>
    <w:p w14:paraId="7FC242C0" w14:textId="77777777" w:rsidR="00F418E5" w:rsidRPr="00F418E5" w:rsidRDefault="00F418E5" w:rsidP="00184C46"/>
    <w:p w14:paraId="5A87B6F6" w14:textId="77777777" w:rsidR="00236386" w:rsidRPr="00F418E5" w:rsidRDefault="007D112C" w:rsidP="00184C46">
      <w:pPr>
        <w:numPr>
          <w:ilvl w:val="0"/>
          <w:numId w:val="7"/>
        </w:numPr>
        <w:rPr>
          <w:b/>
          <w:u w:val="single"/>
        </w:rPr>
      </w:pPr>
      <w:r w:rsidRPr="00F418E5">
        <w:rPr>
          <w:b/>
          <w:u w:val="single"/>
        </w:rPr>
        <w:t xml:space="preserve">Explain the reasons for any program changes or adjustments reported in Items 13 (or 14) of OMB Form 83-I. </w:t>
      </w:r>
    </w:p>
    <w:p w14:paraId="2382D4E9" w14:textId="77777777" w:rsidR="00E10FC0" w:rsidRPr="00F418E5" w:rsidRDefault="00E10FC0" w:rsidP="00184C46"/>
    <w:p w14:paraId="6D2EA471" w14:textId="59CF909B" w:rsidR="0088238C" w:rsidRDefault="008255D8" w:rsidP="006C351F">
      <w:r w:rsidRPr="00F11EC9">
        <w:t xml:space="preserve">Program Change:  </w:t>
      </w:r>
      <w:r w:rsidR="00F11EC9" w:rsidRPr="00F11EC9">
        <w:t>A change</w:t>
      </w:r>
      <w:r w:rsidR="00F11EC9">
        <w:t xml:space="preserve"> in the statute required DOE to develop an effective enforcement plan.  Through a negotiated rulemaking, parties agreed that these record retention requirements were the least burdensome possible while still achieving the statutory mandate.</w:t>
      </w:r>
      <w:r w:rsidR="006C351F">
        <w:t xml:space="preserve"> </w:t>
      </w:r>
    </w:p>
    <w:p w14:paraId="31676CED" w14:textId="77777777" w:rsidR="0088238C" w:rsidRDefault="0088238C" w:rsidP="006C351F"/>
    <w:p w14:paraId="5A2989F4" w14:textId="77777777" w:rsidR="00236386" w:rsidRPr="00F418E5" w:rsidRDefault="007D112C" w:rsidP="00184C46">
      <w:pPr>
        <w:numPr>
          <w:ilvl w:val="0"/>
          <w:numId w:val="7"/>
        </w:numPr>
        <w:rPr>
          <w:b/>
          <w:u w:val="single"/>
        </w:rPr>
      </w:pPr>
      <w:r w:rsidRPr="00F418E5">
        <w:rPr>
          <w:b/>
          <w:u w:val="single"/>
        </w:rPr>
        <w:t xml:space="preserve">For collections whose results will be published, outline the plans for tabulation and publication. </w:t>
      </w:r>
    </w:p>
    <w:p w14:paraId="069E3F85" w14:textId="77777777" w:rsidR="007D112C" w:rsidRPr="00F418E5" w:rsidRDefault="007D112C" w:rsidP="00184C46">
      <w:pPr>
        <w:rPr>
          <w:b/>
          <w:u w:val="single"/>
        </w:rPr>
      </w:pPr>
    </w:p>
    <w:p w14:paraId="6BEA77F3" w14:textId="140638AF" w:rsidR="007D112C" w:rsidRDefault="00D4105B" w:rsidP="00184C46">
      <w:r>
        <w:t xml:space="preserve">As described in response to question 7, DOE expects that the information in this information collection will likely contain confidential business information.  DOE does to expect to publish the information.  DOE does publish findings of violation, including any final agency orders, as required by the Freedom of Information Act.  Those findings would be based on the information in this </w:t>
      </w:r>
      <w:r w:rsidR="00331257">
        <w:t>information collection</w:t>
      </w:r>
      <w:r>
        <w:t>.</w:t>
      </w:r>
    </w:p>
    <w:p w14:paraId="0D41963A" w14:textId="77777777" w:rsidR="009F5B00" w:rsidRPr="00F418E5" w:rsidRDefault="009F5B00" w:rsidP="00184C46"/>
    <w:p w14:paraId="1D0895BF" w14:textId="77777777" w:rsidR="00236386" w:rsidRPr="00F418E5" w:rsidRDefault="007D112C" w:rsidP="00184C46">
      <w:pPr>
        <w:numPr>
          <w:ilvl w:val="0"/>
          <w:numId w:val="7"/>
        </w:numPr>
        <w:rPr>
          <w:b/>
          <w:u w:val="single"/>
        </w:rPr>
      </w:pPr>
      <w:r w:rsidRPr="00F418E5">
        <w:rPr>
          <w:b/>
          <w:u w:val="single"/>
        </w:rPr>
        <w:t xml:space="preserve">If seeking approval to not display the expiration date for OMB approval of the information collection, explain the reasons why display would be inappropriate. </w:t>
      </w:r>
    </w:p>
    <w:p w14:paraId="6D658C96" w14:textId="77777777" w:rsidR="007D112C" w:rsidRPr="00F418E5" w:rsidRDefault="007D112C" w:rsidP="00184C46">
      <w:pPr>
        <w:rPr>
          <w:b/>
          <w:u w:val="single"/>
        </w:rPr>
      </w:pPr>
    </w:p>
    <w:p w14:paraId="6BCF4C47" w14:textId="30FDCC3F" w:rsidR="007D112C" w:rsidRDefault="007B1D48" w:rsidP="00184C46">
      <w:r>
        <w:tab/>
      </w:r>
      <w:r w:rsidR="00D4105B">
        <w:t>There are no forms associated with this</w:t>
      </w:r>
      <w:r w:rsidR="009D47C0">
        <w:t xml:space="preserve"> </w:t>
      </w:r>
      <w:r w:rsidR="00331257">
        <w:t>information collection.</w:t>
      </w:r>
    </w:p>
    <w:p w14:paraId="0AAE2E51" w14:textId="77777777" w:rsidR="007B1D48" w:rsidRPr="00F418E5" w:rsidRDefault="007B1D48" w:rsidP="00184C46"/>
    <w:p w14:paraId="573389E7" w14:textId="77777777" w:rsidR="00236386" w:rsidRPr="00F418E5" w:rsidRDefault="007D112C" w:rsidP="00184C46">
      <w:pPr>
        <w:numPr>
          <w:ilvl w:val="0"/>
          <w:numId w:val="7"/>
        </w:numPr>
        <w:rPr>
          <w:b/>
          <w:u w:val="single"/>
        </w:rPr>
      </w:pPr>
      <w:r w:rsidRPr="00F418E5">
        <w:rPr>
          <w:b/>
          <w:u w:val="single"/>
        </w:rPr>
        <w:t>Explain each exception to the certification statement identified in Item 19 of OMB Form 83-I.</w:t>
      </w:r>
    </w:p>
    <w:p w14:paraId="6F3E50C3" w14:textId="77777777" w:rsidR="008255D8" w:rsidRPr="00F418E5" w:rsidRDefault="008255D8" w:rsidP="007D112C">
      <w:pPr>
        <w:ind w:left="360"/>
        <w:rPr>
          <w:b/>
          <w:u w:val="single"/>
        </w:rPr>
      </w:pPr>
    </w:p>
    <w:p w14:paraId="3C7D913F" w14:textId="17EC75AD" w:rsidR="00806B32" w:rsidRPr="00F11EC9" w:rsidRDefault="007B1D48" w:rsidP="00F11EC9">
      <w:pPr>
        <w:ind w:left="360"/>
      </w:pPr>
      <w:r>
        <w:tab/>
      </w:r>
      <w:r w:rsidR="00F418E5" w:rsidRPr="00F418E5">
        <w:t>There are no exceptions.</w:t>
      </w:r>
    </w:p>
    <w:sectPr w:rsidR="00806B32" w:rsidRPr="00F11EC9" w:rsidSect="00000957">
      <w:footerReference w:type="default" r:id="rId8"/>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D1E63" w14:textId="77777777" w:rsidR="00A045E9" w:rsidRDefault="00A045E9">
      <w:r>
        <w:separator/>
      </w:r>
    </w:p>
  </w:endnote>
  <w:endnote w:type="continuationSeparator" w:id="0">
    <w:p w14:paraId="2FBFE76C" w14:textId="77777777" w:rsidR="00A045E9" w:rsidRDefault="00A0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E11A" w14:textId="77777777" w:rsidR="006C1BD7" w:rsidRDefault="006C1BD7" w:rsidP="00C9228B">
    <w:pPr>
      <w:pStyle w:val="Footer"/>
      <w:framePr w:wrap="around" w:vAnchor="text" w:hAnchor="margin" w:xAlign="right" w:y="1"/>
      <w:rPr>
        <w:rStyle w:val="PageNumber"/>
      </w:rPr>
    </w:pPr>
  </w:p>
  <w:p w14:paraId="124BA5A6" w14:textId="77777777" w:rsidR="006C1BD7" w:rsidRDefault="006C1BD7" w:rsidP="004F61BB">
    <w:pPr>
      <w:pStyle w:val="Footer"/>
      <w:ind w:right="360"/>
      <w:rPr>
        <w:sz w:val="16"/>
        <w:szCs w:val="16"/>
      </w:rPr>
    </w:pPr>
  </w:p>
  <w:p w14:paraId="7B1E86E0" w14:textId="77777777" w:rsidR="006C1BD7" w:rsidRPr="004F61BB" w:rsidRDefault="006C1BD7"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E1255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94038" w14:textId="77777777" w:rsidR="00A045E9" w:rsidRDefault="00A045E9">
      <w:r>
        <w:separator/>
      </w:r>
    </w:p>
  </w:footnote>
  <w:footnote w:type="continuationSeparator" w:id="0">
    <w:p w14:paraId="0FAC5613" w14:textId="77777777" w:rsidR="00A045E9" w:rsidRDefault="00A045E9">
      <w:r>
        <w:continuationSeparator/>
      </w:r>
    </w:p>
  </w:footnote>
  <w:footnote w:id="1">
    <w:p w14:paraId="42B898ED" w14:textId="5088D979" w:rsidR="006C1BD7" w:rsidRDefault="006C1BD7" w:rsidP="00BF69BE">
      <w:pPr>
        <w:pStyle w:val="FootnoteText"/>
        <w:spacing w:after="0" w:line="240" w:lineRule="auto"/>
      </w:pPr>
      <w:r>
        <w:rPr>
          <w:rStyle w:val="FootnoteReference"/>
        </w:rPr>
        <w:footnoteRef/>
      </w:r>
      <w:r>
        <w:t xml:space="preserve"> For editorial reasons, Parts B (consumer products) of Title III of EPCA was re-designated as part A in the United States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B10557"/>
    <w:multiLevelType w:val="hybridMultilevel"/>
    <w:tmpl w:val="284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DDF4C84"/>
    <w:multiLevelType w:val="hybridMultilevel"/>
    <w:tmpl w:val="755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FE2CA3"/>
    <w:multiLevelType w:val="hybridMultilevel"/>
    <w:tmpl w:val="0DDAB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A95373A"/>
    <w:multiLevelType w:val="hybridMultilevel"/>
    <w:tmpl w:val="4586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7662B2">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98B1D40"/>
    <w:multiLevelType w:val="hybridMultilevel"/>
    <w:tmpl w:val="D0F860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2"/>
  </w:num>
  <w:num w:numId="3">
    <w:abstractNumId w:val="20"/>
  </w:num>
  <w:num w:numId="4">
    <w:abstractNumId w:val="5"/>
  </w:num>
  <w:num w:numId="5">
    <w:abstractNumId w:val="8"/>
  </w:num>
  <w:num w:numId="6">
    <w:abstractNumId w:val="2"/>
  </w:num>
  <w:num w:numId="7">
    <w:abstractNumId w:val="0"/>
  </w:num>
  <w:num w:numId="8">
    <w:abstractNumId w:val="4"/>
  </w:num>
  <w:num w:numId="9">
    <w:abstractNumId w:val="3"/>
  </w:num>
  <w:num w:numId="10">
    <w:abstractNumId w:val="7"/>
  </w:num>
  <w:num w:numId="11">
    <w:abstractNumId w:val="16"/>
  </w:num>
  <w:num w:numId="12">
    <w:abstractNumId w:val="10"/>
  </w:num>
  <w:num w:numId="13">
    <w:abstractNumId w:val="13"/>
  </w:num>
  <w:num w:numId="14">
    <w:abstractNumId w:val="19"/>
  </w:num>
  <w:num w:numId="15">
    <w:abstractNumId w:val="18"/>
  </w:num>
  <w:num w:numId="16">
    <w:abstractNumId w:val="15"/>
  </w:num>
  <w:num w:numId="17">
    <w:abstractNumId w:val="17"/>
  </w:num>
  <w:num w:numId="18">
    <w:abstractNumId w:val="9"/>
  </w:num>
  <w:num w:numId="19">
    <w:abstractNumId w:val="1"/>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2AEC"/>
    <w:rsid w:val="00007B0C"/>
    <w:rsid w:val="00020104"/>
    <w:rsid w:val="00050FBE"/>
    <w:rsid w:val="00054D60"/>
    <w:rsid w:val="00064A48"/>
    <w:rsid w:val="00076B47"/>
    <w:rsid w:val="00085CB2"/>
    <w:rsid w:val="000942EB"/>
    <w:rsid w:val="00094743"/>
    <w:rsid w:val="000A1BDB"/>
    <w:rsid w:val="000B024D"/>
    <w:rsid w:val="000C0847"/>
    <w:rsid w:val="000C4FDF"/>
    <w:rsid w:val="000C7DF8"/>
    <w:rsid w:val="000D0983"/>
    <w:rsid w:val="000D5BBB"/>
    <w:rsid w:val="000E5565"/>
    <w:rsid w:val="000E6727"/>
    <w:rsid w:val="000E6EC8"/>
    <w:rsid w:val="00102553"/>
    <w:rsid w:val="0010435B"/>
    <w:rsid w:val="0011218C"/>
    <w:rsid w:val="00113CFF"/>
    <w:rsid w:val="00123C4A"/>
    <w:rsid w:val="00135C64"/>
    <w:rsid w:val="00143161"/>
    <w:rsid w:val="00173E8D"/>
    <w:rsid w:val="0017459D"/>
    <w:rsid w:val="00176035"/>
    <w:rsid w:val="00184C46"/>
    <w:rsid w:val="00185B7A"/>
    <w:rsid w:val="00195364"/>
    <w:rsid w:val="001A19AB"/>
    <w:rsid w:val="001A268C"/>
    <w:rsid w:val="001B0592"/>
    <w:rsid w:val="001B0AD0"/>
    <w:rsid w:val="001B0C1E"/>
    <w:rsid w:val="001B517E"/>
    <w:rsid w:val="001C79BF"/>
    <w:rsid w:val="001D4367"/>
    <w:rsid w:val="001F0646"/>
    <w:rsid w:val="001F0FFA"/>
    <w:rsid w:val="0020441B"/>
    <w:rsid w:val="00207585"/>
    <w:rsid w:val="00223DA6"/>
    <w:rsid w:val="00226EB6"/>
    <w:rsid w:val="00231E5B"/>
    <w:rsid w:val="00235A34"/>
    <w:rsid w:val="00235ACB"/>
    <w:rsid w:val="00236386"/>
    <w:rsid w:val="00252EC3"/>
    <w:rsid w:val="00255DC0"/>
    <w:rsid w:val="00256C95"/>
    <w:rsid w:val="0026479F"/>
    <w:rsid w:val="002647FE"/>
    <w:rsid w:val="002734BE"/>
    <w:rsid w:val="0028150F"/>
    <w:rsid w:val="0028778D"/>
    <w:rsid w:val="00290F94"/>
    <w:rsid w:val="002D3C67"/>
    <w:rsid w:val="002D44E2"/>
    <w:rsid w:val="002E0FE9"/>
    <w:rsid w:val="002E20AF"/>
    <w:rsid w:val="002F05A3"/>
    <w:rsid w:val="002F0695"/>
    <w:rsid w:val="002F4CCC"/>
    <w:rsid w:val="002F730F"/>
    <w:rsid w:val="003140FF"/>
    <w:rsid w:val="00331257"/>
    <w:rsid w:val="003400EA"/>
    <w:rsid w:val="00342458"/>
    <w:rsid w:val="00352977"/>
    <w:rsid w:val="003529BA"/>
    <w:rsid w:val="00353F1C"/>
    <w:rsid w:val="003555FF"/>
    <w:rsid w:val="00363939"/>
    <w:rsid w:val="00366B7E"/>
    <w:rsid w:val="00375D9A"/>
    <w:rsid w:val="00376549"/>
    <w:rsid w:val="00392375"/>
    <w:rsid w:val="00393086"/>
    <w:rsid w:val="003A7733"/>
    <w:rsid w:val="003B4019"/>
    <w:rsid w:val="003D31C8"/>
    <w:rsid w:val="003F34DA"/>
    <w:rsid w:val="00411D3E"/>
    <w:rsid w:val="00414D15"/>
    <w:rsid w:val="00422EA5"/>
    <w:rsid w:val="00444D08"/>
    <w:rsid w:val="00467C16"/>
    <w:rsid w:val="0047181B"/>
    <w:rsid w:val="00486E8E"/>
    <w:rsid w:val="00494328"/>
    <w:rsid w:val="00494DDE"/>
    <w:rsid w:val="004A257A"/>
    <w:rsid w:val="004A5048"/>
    <w:rsid w:val="004C252C"/>
    <w:rsid w:val="004D313D"/>
    <w:rsid w:val="004D59CD"/>
    <w:rsid w:val="004E0971"/>
    <w:rsid w:val="004E2799"/>
    <w:rsid w:val="004F4871"/>
    <w:rsid w:val="004F61BB"/>
    <w:rsid w:val="004F6CA8"/>
    <w:rsid w:val="00507C19"/>
    <w:rsid w:val="00521BE6"/>
    <w:rsid w:val="0052323C"/>
    <w:rsid w:val="00524416"/>
    <w:rsid w:val="0053348A"/>
    <w:rsid w:val="005377BE"/>
    <w:rsid w:val="00542CCA"/>
    <w:rsid w:val="00547E6C"/>
    <w:rsid w:val="00566075"/>
    <w:rsid w:val="0057030C"/>
    <w:rsid w:val="005866F3"/>
    <w:rsid w:val="00587BB3"/>
    <w:rsid w:val="005A25BD"/>
    <w:rsid w:val="005A3849"/>
    <w:rsid w:val="005A4646"/>
    <w:rsid w:val="005A6C3D"/>
    <w:rsid w:val="005A6D05"/>
    <w:rsid w:val="005A707E"/>
    <w:rsid w:val="005A7E01"/>
    <w:rsid w:val="005B54F5"/>
    <w:rsid w:val="005C2FA0"/>
    <w:rsid w:val="005D4F85"/>
    <w:rsid w:val="005D56FA"/>
    <w:rsid w:val="005E12CB"/>
    <w:rsid w:val="005F110C"/>
    <w:rsid w:val="005F11E4"/>
    <w:rsid w:val="005F1B4F"/>
    <w:rsid w:val="0060164B"/>
    <w:rsid w:val="00605179"/>
    <w:rsid w:val="006111DD"/>
    <w:rsid w:val="00621141"/>
    <w:rsid w:val="00626D36"/>
    <w:rsid w:val="00627743"/>
    <w:rsid w:val="00637CDE"/>
    <w:rsid w:val="00641518"/>
    <w:rsid w:val="006430EB"/>
    <w:rsid w:val="006511BF"/>
    <w:rsid w:val="00651CC8"/>
    <w:rsid w:val="00652F9E"/>
    <w:rsid w:val="0065607B"/>
    <w:rsid w:val="00657556"/>
    <w:rsid w:val="0066749E"/>
    <w:rsid w:val="006765C5"/>
    <w:rsid w:val="0069150A"/>
    <w:rsid w:val="00692DE0"/>
    <w:rsid w:val="00694B29"/>
    <w:rsid w:val="006A501C"/>
    <w:rsid w:val="006A78D4"/>
    <w:rsid w:val="006B21F1"/>
    <w:rsid w:val="006B4A9B"/>
    <w:rsid w:val="006B5640"/>
    <w:rsid w:val="006C0073"/>
    <w:rsid w:val="006C1BD7"/>
    <w:rsid w:val="006C351F"/>
    <w:rsid w:val="006C6628"/>
    <w:rsid w:val="006D70B0"/>
    <w:rsid w:val="006E23A7"/>
    <w:rsid w:val="006E7A46"/>
    <w:rsid w:val="006F5005"/>
    <w:rsid w:val="006F5C6F"/>
    <w:rsid w:val="006F6DC5"/>
    <w:rsid w:val="00703294"/>
    <w:rsid w:val="00706E3E"/>
    <w:rsid w:val="00711B95"/>
    <w:rsid w:val="00716C46"/>
    <w:rsid w:val="0071717F"/>
    <w:rsid w:val="007179BF"/>
    <w:rsid w:val="00720F5A"/>
    <w:rsid w:val="00726927"/>
    <w:rsid w:val="00740E51"/>
    <w:rsid w:val="0074102E"/>
    <w:rsid w:val="00744159"/>
    <w:rsid w:val="00747932"/>
    <w:rsid w:val="0075105C"/>
    <w:rsid w:val="00753879"/>
    <w:rsid w:val="00753B86"/>
    <w:rsid w:val="00753ED9"/>
    <w:rsid w:val="00761022"/>
    <w:rsid w:val="00764F7D"/>
    <w:rsid w:val="00766155"/>
    <w:rsid w:val="007662D5"/>
    <w:rsid w:val="00767B08"/>
    <w:rsid w:val="00771DDA"/>
    <w:rsid w:val="00776AF0"/>
    <w:rsid w:val="00780AAE"/>
    <w:rsid w:val="00780EAC"/>
    <w:rsid w:val="00783356"/>
    <w:rsid w:val="00787AFD"/>
    <w:rsid w:val="00787E9C"/>
    <w:rsid w:val="0079322C"/>
    <w:rsid w:val="007B1D48"/>
    <w:rsid w:val="007B2733"/>
    <w:rsid w:val="007B62DA"/>
    <w:rsid w:val="007B66F9"/>
    <w:rsid w:val="007B7904"/>
    <w:rsid w:val="007C066F"/>
    <w:rsid w:val="007C0774"/>
    <w:rsid w:val="007C0AAF"/>
    <w:rsid w:val="007C2071"/>
    <w:rsid w:val="007D0B70"/>
    <w:rsid w:val="007D112C"/>
    <w:rsid w:val="007D1646"/>
    <w:rsid w:val="007D1EC9"/>
    <w:rsid w:val="007E028E"/>
    <w:rsid w:val="007E1946"/>
    <w:rsid w:val="00806B32"/>
    <w:rsid w:val="00821222"/>
    <w:rsid w:val="00822F33"/>
    <w:rsid w:val="00825035"/>
    <w:rsid w:val="008255D8"/>
    <w:rsid w:val="00830055"/>
    <w:rsid w:val="0083085D"/>
    <w:rsid w:val="00831DD9"/>
    <w:rsid w:val="00835E7B"/>
    <w:rsid w:val="008361A9"/>
    <w:rsid w:val="008408D8"/>
    <w:rsid w:val="008508A6"/>
    <w:rsid w:val="008570B5"/>
    <w:rsid w:val="00875532"/>
    <w:rsid w:val="0088238C"/>
    <w:rsid w:val="00885E91"/>
    <w:rsid w:val="008974D4"/>
    <w:rsid w:val="008A33EC"/>
    <w:rsid w:val="008A52B4"/>
    <w:rsid w:val="008B288C"/>
    <w:rsid w:val="008D71EA"/>
    <w:rsid w:val="008E697B"/>
    <w:rsid w:val="008F47EC"/>
    <w:rsid w:val="00903241"/>
    <w:rsid w:val="00905A25"/>
    <w:rsid w:val="00911DFD"/>
    <w:rsid w:val="00911EC4"/>
    <w:rsid w:val="00912608"/>
    <w:rsid w:val="00927C0F"/>
    <w:rsid w:val="009345E6"/>
    <w:rsid w:val="00934C7B"/>
    <w:rsid w:val="00936D6C"/>
    <w:rsid w:val="00942FC5"/>
    <w:rsid w:val="00950881"/>
    <w:rsid w:val="009553E4"/>
    <w:rsid w:val="009576CC"/>
    <w:rsid w:val="00961BE8"/>
    <w:rsid w:val="00971319"/>
    <w:rsid w:val="009848AB"/>
    <w:rsid w:val="00985530"/>
    <w:rsid w:val="009944ED"/>
    <w:rsid w:val="00994CDB"/>
    <w:rsid w:val="00994DAD"/>
    <w:rsid w:val="009A584A"/>
    <w:rsid w:val="009B50AE"/>
    <w:rsid w:val="009B68F5"/>
    <w:rsid w:val="009C5227"/>
    <w:rsid w:val="009D0D44"/>
    <w:rsid w:val="009D47C0"/>
    <w:rsid w:val="009E0AA5"/>
    <w:rsid w:val="009E2CD4"/>
    <w:rsid w:val="009E6041"/>
    <w:rsid w:val="009F5B00"/>
    <w:rsid w:val="009F6643"/>
    <w:rsid w:val="009F7D76"/>
    <w:rsid w:val="00A01755"/>
    <w:rsid w:val="00A045E9"/>
    <w:rsid w:val="00A04C8C"/>
    <w:rsid w:val="00A102DF"/>
    <w:rsid w:val="00A1323A"/>
    <w:rsid w:val="00A17F12"/>
    <w:rsid w:val="00A40744"/>
    <w:rsid w:val="00A525A8"/>
    <w:rsid w:val="00A603D1"/>
    <w:rsid w:val="00A7184D"/>
    <w:rsid w:val="00A752EC"/>
    <w:rsid w:val="00A75A64"/>
    <w:rsid w:val="00A831D1"/>
    <w:rsid w:val="00A872AB"/>
    <w:rsid w:val="00A9065C"/>
    <w:rsid w:val="00AB504C"/>
    <w:rsid w:val="00AB57F0"/>
    <w:rsid w:val="00AC7934"/>
    <w:rsid w:val="00AD7129"/>
    <w:rsid w:val="00AE0EB8"/>
    <w:rsid w:val="00AE2D97"/>
    <w:rsid w:val="00AE7C0E"/>
    <w:rsid w:val="00AE7CE7"/>
    <w:rsid w:val="00AF5EFC"/>
    <w:rsid w:val="00B01F4B"/>
    <w:rsid w:val="00B163C8"/>
    <w:rsid w:val="00B2498A"/>
    <w:rsid w:val="00B328AA"/>
    <w:rsid w:val="00B4459C"/>
    <w:rsid w:val="00B468DD"/>
    <w:rsid w:val="00B539FD"/>
    <w:rsid w:val="00B54598"/>
    <w:rsid w:val="00B56193"/>
    <w:rsid w:val="00B63722"/>
    <w:rsid w:val="00B70605"/>
    <w:rsid w:val="00B84BF9"/>
    <w:rsid w:val="00B920B4"/>
    <w:rsid w:val="00BA5387"/>
    <w:rsid w:val="00BB3E6B"/>
    <w:rsid w:val="00BD4715"/>
    <w:rsid w:val="00BD49E4"/>
    <w:rsid w:val="00BF69BE"/>
    <w:rsid w:val="00C02310"/>
    <w:rsid w:val="00C02F24"/>
    <w:rsid w:val="00C11549"/>
    <w:rsid w:val="00C14666"/>
    <w:rsid w:val="00C1592A"/>
    <w:rsid w:val="00C22D0B"/>
    <w:rsid w:val="00C248B7"/>
    <w:rsid w:val="00C41BAB"/>
    <w:rsid w:val="00C4561D"/>
    <w:rsid w:val="00C46F0F"/>
    <w:rsid w:val="00C50E66"/>
    <w:rsid w:val="00C54019"/>
    <w:rsid w:val="00C63130"/>
    <w:rsid w:val="00C715E6"/>
    <w:rsid w:val="00C82919"/>
    <w:rsid w:val="00C84A78"/>
    <w:rsid w:val="00C85A18"/>
    <w:rsid w:val="00C91A2A"/>
    <w:rsid w:val="00C9228B"/>
    <w:rsid w:val="00CA6D2B"/>
    <w:rsid w:val="00CA7CF8"/>
    <w:rsid w:val="00CC27FF"/>
    <w:rsid w:val="00CC3539"/>
    <w:rsid w:val="00CD4540"/>
    <w:rsid w:val="00CE6578"/>
    <w:rsid w:val="00CF57B2"/>
    <w:rsid w:val="00D10B3E"/>
    <w:rsid w:val="00D11D8D"/>
    <w:rsid w:val="00D17B00"/>
    <w:rsid w:val="00D23699"/>
    <w:rsid w:val="00D24C04"/>
    <w:rsid w:val="00D272DC"/>
    <w:rsid w:val="00D4105B"/>
    <w:rsid w:val="00D44535"/>
    <w:rsid w:val="00D477DD"/>
    <w:rsid w:val="00D55806"/>
    <w:rsid w:val="00D561BC"/>
    <w:rsid w:val="00D65C95"/>
    <w:rsid w:val="00D76D7C"/>
    <w:rsid w:val="00D77D1F"/>
    <w:rsid w:val="00D85D9C"/>
    <w:rsid w:val="00D92DD4"/>
    <w:rsid w:val="00D93337"/>
    <w:rsid w:val="00D95370"/>
    <w:rsid w:val="00D97D28"/>
    <w:rsid w:val="00DB7817"/>
    <w:rsid w:val="00DC09BF"/>
    <w:rsid w:val="00DC565B"/>
    <w:rsid w:val="00DC77C3"/>
    <w:rsid w:val="00DD2D24"/>
    <w:rsid w:val="00DD6979"/>
    <w:rsid w:val="00DE369B"/>
    <w:rsid w:val="00DE5386"/>
    <w:rsid w:val="00DE617C"/>
    <w:rsid w:val="00DF1A10"/>
    <w:rsid w:val="00DF2D40"/>
    <w:rsid w:val="00DF2DAD"/>
    <w:rsid w:val="00E00838"/>
    <w:rsid w:val="00E01177"/>
    <w:rsid w:val="00E07AFD"/>
    <w:rsid w:val="00E10CDC"/>
    <w:rsid w:val="00E10FC0"/>
    <w:rsid w:val="00E12559"/>
    <w:rsid w:val="00E13B88"/>
    <w:rsid w:val="00E15D74"/>
    <w:rsid w:val="00E16CBC"/>
    <w:rsid w:val="00E20F1C"/>
    <w:rsid w:val="00E231DC"/>
    <w:rsid w:val="00E32F62"/>
    <w:rsid w:val="00E448F5"/>
    <w:rsid w:val="00E65FC8"/>
    <w:rsid w:val="00E67210"/>
    <w:rsid w:val="00E7148E"/>
    <w:rsid w:val="00E7739D"/>
    <w:rsid w:val="00E77D35"/>
    <w:rsid w:val="00E913E9"/>
    <w:rsid w:val="00EA2B91"/>
    <w:rsid w:val="00EA419F"/>
    <w:rsid w:val="00EC1409"/>
    <w:rsid w:val="00EC4C05"/>
    <w:rsid w:val="00ED4BCA"/>
    <w:rsid w:val="00EE1654"/>
    <w:rsid w:val="00EE4371"/>
    <w:rsid w:val="00EE507C"/>
    <w:rsid w:val="00EE7D85"/>
    <w:rsid w:val="00EF65CF"/>
    <w:rsid w:val="00F07A85"/>
    <w:rsid w:val="00F11EC9"/>
    <w:rsid w:val="00F151BA"/>
    <w:rsid w:val="00F17637"/>
    <w:rsid w:val="00F2571B"/>
    <w:rsid w:val="00F35BF9"/>
    <w:rsid w:val="00F3705D"/>
    <w:rsid w:val="00F418E5"/>
    <w:rsid w:val="00F428BF"/>
    <w:rsid w:val="00F4687A"/>
    <w:rsid w:val="00F53952"/>
    <w:rsid w:val="00F60D5B"/>
    <w:rsid w:val="00F7492A"/>
    <w:rsid w:val="00F8503F"/>
    <w:rsid w:val="00F922C9"/>
    <w:rsid w:val="00FB245E"/>
    <w:rsid w:val="00FB30A4"/>
    <w:rsid w:val="00FB5BCC"/>
    <w:rsid w:val="00FC663B"/>
    <w:rsid w:val="00FE43CD"/>
    <w:rsid w:val="00FE4FF1"/>
    <w:rsid w:val="00FF2E9F"/>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A8DB"/>
  <w15:docId w15:val="{0AAAFE9D-0980-436F-9773-944614A6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uiPriority w:val="99"/>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table" w:styleId="TableGrid">
    <w:name w:val="Table Grid"/>
    <w:basedOn w:val="TableNormal"/>
    <w:rsid w:val="00F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210"/>
    <w:rPr>
      <w:sz w:val="24"/>
      <w:szCs w:val="24"/>
    </w:rPr>
  </w:style>
  <w:style w:type="paragraph" w:styleId="PlainText">
    <w:name w:val="Plain Text"/>
    <w:basedOn w:val="Normal"/>
    <w:link w:val="PlainTextChar"/>
    <w:uiPriority w:val="99"/>
    <w:semiHidden/>
    <w:unhideWhenUsed/>
    <w:rsid w:val="00D10B3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10B3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26561">
      <w:bodyDiv w:val="1"/>
      <w:marLeft w:val="0"/>
      <w:marRight w:val="0"/>
      <w:marTop w:val="0"/>
      <w:marBottom w:val="0"/>
      <w:divBdr>
        <w:top w:val="none" w:sz="0" w:space="0" w:color="auto"/>
        <w:left w:val="none" w:sz="0" w:space="0" w:color="auto"/>
        <w:bottom w:val="none" w:sz="0" w:space="0" w:color="auto"/>
        <w:right w:val="none" w:sz="0" w:space="0" w:color="auto"/>
      </w:divBdr>
    </w:div>
    <w:div w:id="591621203">
      <w:bodyDiv w:val="1"/>
      <w:marLeft w:val="0"/>
      <w:marRight w:val="0"/>
      <w:marTop w:val="30"/>
      <w:marBottom w:val="750"/>
      <w:divBdr>
        <w:top w:val="none" w:sz="0" w:space="0" w:color="auto"/>
        <w:left w:val="none" w:sz="0" w:space="0" w:color="auto"/>
        <w:bottom w:val="none" w:sz="0" w:space="0" w:color="auto"/>
        <w:right w:val="none" w:sz="0" w:space="0" w:color="auto"/>
      </w:divBdr>
      <w:divsChild>
        <w:div w:id="935089784">
          <w:marLeft w:val="0"/>
          <w:marRight w:val="0"/>
          <w:marTop w:val="0"/>
          <w:marBottom w:val="0"/>
          <w:divBdr>
            <w:top w:val="none" w:sz="0" w:space="0" w:color="auto"/>
            <w:left w:val="none" w:sz="0" w:space="0" w:color="auto"/>
            <w:bottom w:val="none" w:sz="0" w:space="0" w:color="auto"/>
            <w:right w:val="none" w:sz="0" w:space="0" w:color="auto"/>
          </w:divBdr>
        </w:div>
      </w:divsChild>
    </w:div>
    <w:div w:id="900596323">
      <w:bodyDiv w:val="1"/>
      <w:marLeft w:val="0"/>
      <w:marRight w:val="0"/>
      <w:marTop w:val="0"/>
      <w:marBottom w:val="0"/>
      <w:divBdr>
        <w:top w:val="none" w:sz="0" w:space="0" w:color="auto"/>
        <w:left w:val="none" w:sz="0" w:space="0" w:color="auto"/>
        <w:bottom w:val="none" w:sz="0" w:space="0" w:color="auto"/>
        <w:right w:val="none" w:sz="0" w:space="0" w:color="auto"/>
      </w:divBdr>
    </w:div>
    <w:div w:id="1636443484">
      <w:bodyDiv w:val="1"/>
      <w:marLeft w:val="0"/>
      <w:marRight w:val="0"/>
      <w:marTop w:val="0"/>
      <w:marBottom w:val="0"/>
      <w:divBdr>
        <w:top w:val="none" w:sz="0" w:space="0" w:color="auto"/>
        <w:left w:val="none" w:sz="0" w:space="0" w:color="auto"/>
        <w:bottom w:val="none" w:sz="0" w:space="0" w:color="auto"/>
        <w:right w:val="none" w:sz="0" w:space="0" w:color="auto"/>
      </w:divBdr>
    </w:div>
    <w:div w:id="1758746218">
      <w:bodyDiv w:val="1"/>
      <w:marLeft w:val="0"/>
      <w:marRight w:val="0"/>
      <w:marTop w:val="0"/>
      <w:marBottom w:val="0"/>
      <w:divBdr>
        <w:top w:val="none" w:sz="0" w:space="0" w:color="auto"/>
        <w:left w:val="none" w:sz="0" w:space="0" w:color="auto"/>
        <w:bottom w:val="none" w:sz="0" w:space="0" w:color="auto"/>
        <w:right w:val="none" w:sz="0" w:space="0" w:color="auto"/>
      </w:divBdr>
    </w:div>
    <w:div w:id="1959214673">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 w:id="21016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41CB-0F58-4911-9DC2-6A7D5039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4474</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30049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Armstrong, Ashley</dc:creator>
  <cp:lastModifiedBy>Laura Barhydt</cp:lastModifiedBy>
  <cp:revision>2</cp:revision>
  <cp:lastPrinted>2014-12-22T14:39:00Z</cp:lastPrinted>
  <dcterms:created xsi:type="dcterms:W3CDTF">2016-06-06T17:55:00Z</dcterms:created>
  <dcterms:modified xsi:type="dcterms:W3CDTF">2016-06-06T17:55:00Z</dcterms:modified>
</cp:coreProperties>
</file>