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69" w:rsidRDefault="00AC0B69" w:rsidP="00AC0B69">
      <w:bookmarkStart w:id="0" w:name="OLE_LINK1"/>
      <w:bookmarkStart w:id="1" w:name="_GoBack"/>
      <w:bookmarkEnd w:id="1"/>
      <w:r>
        <w:rPr>
          <w:noProof/>
        </w:rPr>
        <w:drawing>
          <wp:inline distT="0" distB="0" distL="0" distR="0" wp14:anchorId="1F407C4F" wp14:editId="07EDA5D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rsidR="00AC0B69" w:rsidRDefault="00AC0B69" w:rsidP="00AC0B69">
      <w:pPr>
        <w:rPr>
          <w:b/>
        </w:rPr>
      </w:pPr>
    </w:p>
    <w:p w:rsidR="00AC0B69" w:rsidRPr="00A5004E" w:rsidRDefault="00AC0B69" w:rsidP="00AC0B69">
      <w:pPr>
        <w:rPr>
          <w:b/>
          <w:sz w:val="16"/>
          <w:szCs w:val="16"/>
        </w:rPr>
      </w:pPr>
    </w:p>
    <w:p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rsidR="00AC0B69" w:rsidRDefault="00AC0B69" w:rsidP="00AC0B69"/>
    <w:p w:rsidR="00AC0B69" w:rsidRDefault="00AC0B69" w:rsidP="00AC0B69">
      <w:r>
        <w:t>Office of Justice Programs</w:t>
      </w:r>
    </w:p>
    <w:p w:rsidR="00AC0B69" w:rsidRDefault="00AC0B69" w:rsidP="00AC0B69"/>
    <w:p w:rsidR="00AC0B69" w:rsidRPr="00527AB7" w:rsidRDefault="00AC0B69" w:rsidP="00AC0B69">
      <w:pPr>
        <w:rPr>
          <w:i/>
        </w:rPr>
      </w:pPr>
      <w:r w:rsidRPr="00527AB7">
        <w:rPr>
          <w:i/>
        </w:rPr>
        <w:t>Bureau of Justice Statistics</w:t>
      </w:r>
    </w:p>
    <w:p w:rsidR="00AC0B69" w:rsidRDefault="00AC0B69" w:rsidP="00AC0B69">
      <w:pPr>
        <w:sectPr w:rsidR="00AC0B69" w:rsidSect="00E708EC">
          <w:footerReference w:type="default" r:id="rId10"/>
          <w:pgSz w:w="12240" w:h="15840"/>
          <w:pgMar w:top="720" w:right="1440" w:bottom="1440" w:left="1440" w:header="720" w:footer="720" w:gutter="0"/>
          <w:cols w:num="2" w:space="720"/>
          <w:docGrid w:linePitch="360"/>
        </w:sectPr>
      </w:pPr>
    </w:p>
    <w:p w:rsidR="00AC0B69" w:rsidRDefault="00AC0B69" w:rsidP="00AC0B69">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423D09" w:rsidRDefault="00423D09" w:rsidP="00423D09">
      <w:pPr>
        <w:pStyle w:val="NoSpacing"/>
        <w:rPr>
          <w:rFonts w:ascii="Times New Roman" w:hAnsi="Times New Roman" w:cs="Times New Roman"/>
          <w:b/>
          <w:sz w:val="24"/>
          <w:szCs w:val="24"/>
        </w:rPr>
      </w:pPr>
    </w:p>
    <w:p w:rsidR="000B14DA" w:rsidRDefault="000B14DA" w:rsidP="000B14DA">
      <w:pPr>
        <w:pStyle w:val="NoSpacing"/>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sz w:val="24"/>
          <w:szCs w:val="24"/>
        </w:rPr>
        <w:tab/>
      </w:r>
      <w:r w:rsidR="007D0902">
        <w:rPr>
          <w:rFonts w:ascii="Times New Roman" w:hAnsi="Times New Roman" w:cs="Times New Roman"/>
          <w:sz w:val="24"/>
          <w:szCs w:val="24"/>
        </w:rPr>
        <w:t xml:space="preserve">Robert G. </w:t>
      </w:r>
      <w:r w:rsidR="002770AA">
        <w:rPr>
          <w:rFonts w:ascii="Times New Roman" w:hAnsi="Times New Roman" w:cs="Times New Roman"/>
          <w:sz w:val="24"/>
          <w:szCs w:val="24"/>
        </w:rPr>
        <w:t>Sivinski</w:t>
      </w:r>
    </w:p>
    <w:p w:rsidR="00BC6086" w:rsidRDefault="00BC6086"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Statistical Policy and Planning</w:t>
      </w:r>
    </w:p>
    <w:p w:rsidR="000B14DA" w:rsidRDefault="000B14DA" w:rsidP="00CC68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876">
        <w:rPr>
          <w:rFonts w:ascii="Times New Roman" w:hAnsi="Times New Roman" w:cs="Times New Roman"/>
          <w:sz w:val="24"/>
          <w:szCs w:val="24"/>
        </w:rPr>
        <w:t>Office of Management and Budget</w:t>
      </w:r>
    </w:p>
    <w:p w:rsidR="000B14DA" w:rsidRDefault="000B14DA" w:rsidP="000B14DA">
      <w:pPr>
        <w:pStyle w:val="NoSpacing"/>
        <w:rPr>
          <w:rFonts w:ascii="Times New Roman" w:hAnsi="Times New Roman" w:cs="Times New Roman"/>
          <w:sz w:val="24"/>
          <w:szCs w:val="24"/>
        </w:rPr>
      </w:pPr>
    </w:p>
    <w:p w:rsidR="002770AA" w:rsidRDefault="000B14DA" w:rsidP="000F02FF">
      <w:pPr>
        <w:pStyle w:val="NoSpacing"/>
        <w:rPr>
          <w:rFonts w:ascii="Times New Roman" w:hAnsi="Times New Roman" w:cs="Times New Roman"/>
          <w:sz w:val="24"/>
          <w:szCs w:val="24"/>
        </w:rPr>
      </w:pPr>
      <w:r>
        <w:rPr>
          <w:rFonts w:ascii="Times New Roman" w:hAnsi="Times New Roman" w:cs="Times New Roman"/>
          <w:b/>
          <w:sz w:val="24"/>
          <w:szCs w:val="24"/>
        </w:rPr>
        <w:t>THROUGH:</w:t>
      </w:r>
      <w:r w:rsidRPr="00620251">
        <w:rPr>
          <w:rFonts w:ascii="Times New Roman" w:hAnsi="Times New Roman" w:cs="Times New Roman"/>
          <w:sz w:val="24"/>
          <w:szCs w:val="24"/>
        </w:rPr>
        <w:t xml:space="preserve"> </w:t>
      </w:r>
      <w:r w:rsidR="00656C19">
        <w:rPr>
          <w:rFonts w:ascii="Times New Roman" w:hAnsi="Times New Roman" w:cs="Times New Roman"/>
          <w:sz w:val="24"/>
          <w:szCs w:val="24"/>
        </w:rPr>
        <w:tab/>
      </w:r>
      <w:r w:rsidR="00656C19">
        <w:rPr>
          <w:rFonts w:ascii="Times New Roman" w:hAnsi="Times New Roman" w:cs="Times New Roman"/>
          <w:sz w:val="24"/>
          <w:szCs w:val="24"/>
        </w:rPr>
        <w:tab/>
      </w:r>
      <w:r w:rsidR="00656C19">
        <w:rPr>
          <w:rFonts w:ascii="Times New Roman" w:hAnsi="Times New Roman" w:cs="Times New Roman"/>
          <w:sz w:val="24"/>
          <w:szCs w:val="24"/>
        </w:rPr>
        <w:tab/>
        <w:t>Jeffrey H. Anderson, Director</w:t>
      </w:r>
    </w:p>
    <w:p w:rsidR="00BE74AA" w:rsidRPr="008C5C40" w:rsidRDefault="000F02FF" w:rsidP="00BC6086">
      <w:pPr>
        <w:pStyle w:val="NoSpacing"/>
        <w:ind w:left="2160" w:firstLine="720"/>
        <w:rPr>
          <w:rFonts w:ascii="Times New Roman" w:hAnsi="Times New Roman" w:cs="Times New Roman"/>
          <w:sz w:val="24"/>
          <w:szCs w:val="24"/>
        </w:rPr>
      </w:pPr>
      <w:r w:rsidRPr="005930E8">
        <w:rPr>
          <w:rFonts w:ascii="Times New Roman" w:hAnsi="Times New Roman" w:cs="Times New Roman"/>
          <w:sz w:val="24"/>
          <w:szCs w:val="24"/>
        </w:rPr>
        <w:t>Jeri M. Mulrow</w:t>
      </w:r>
      <w:r w:rsidR="009451ED">
        <w:rPr>
          <w:rFonts w:ascii="Times New Roman" w:hAnsi="Times New Roman" w:cs="Times New Roman"/>
          <w:sz w:val="24"/>
          <w:szCs w:val="24"/>
        </w:rPr>
        <w:t>,</w:t>
      </w:r>
      <w:r w:rsidR="00BE74AA">
        <w:rPr>
          <w:rFonts w:ascii="Times New Roman" w:hAnsi="Times New Roman" w:cs="Times New Roman"/>
          <w:sz w:val="24"/>
          <w:szCs w:val="24"/>
        </w:rPr>
        <w:t xml:space="preserve"> </w:t>
      </w:r>
      <w:r w:rsidR="002770AA">
        <w:rPr>
          <w:rFonts w:ascii="Times New Roman" w:hAnsi="Times New Roman" w:cs="Times New Roman"/>
          <w:sz w:val="24"/>
          <w:szCs w:val="24"/>
        </w:rPr>
        <w:t>Deputy Director</w:t>
      </w:r>
    </w:p>
    <w:p w:rsidR="00BE74AA" w:rsidRPr="008C5C40" w:rsidRDefault="000F02FF" w:rsidP="000B14DA">
      <w:pPr>
        <w:pStyle w:val="NoSpacing"/>
        <w:rPr>
          <w:rFonts w:ascii="Times New Roman" w:hAnsi="Times New Roman" w:cs="Times New Roman"/>
          <w:sz w:val="24"/>
          <w:szCs w:val="24"/>
        </w:rPr>
      </w:pP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00656C19">
        <w:rPr>
          <w:rFonts w:ascii="Times New Roman" w:hAnsi="Times New Roman" w:cs="Times New Roman"/>
          <w:sz w:val="24"/>
          <w:szCs w:val="24"/>
        </w:rPr>
        <w:t xml:space="preserve">Allen Beck, </w:t>
      </w:r>
      <w:r w:rsidR="007D0902">
        <w:rPr>
          <w:rFonts w:ascii="Times New Roman" w:hAnsi="Times New Roman" w:cs="Times New Roman"/>
          <w:sz w:val="24"/>
          <w:szCs w:val="24"/>
        </w:rPr>
        <w:t xml:space="preserve">Senior </w:t>
      </w:r>
      <w:r w:rsidR="00656C19">
        <w:rPr>
          <w:rFonts w:ascii="Times New Roman" w:hAnsi="Times New Roman" w:cs="Times New Roman"/>
          <w:sz w:val="24"/>
          <w:szCs w:val="24"/>
        </w:rPr>
        <w:t>Statistical Advisor</w:t>
      </w:r>
    </w:p>
    <w:p w:rsidR="00786E0F" w:rsidRPr="008C5C40" w:rsidRDefault="002770AA" w:rsidP="008C5C40">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Elizabeth Ann Carson, </w:t>
      </w:r>
      <w:r w:rsidR="00786E0F" w:rsidRPr="008C5C40">
        <w:rPr>
          <w:rFonts w:ascii="Times New Roman" w:hAnsi="Times New Roman" w:cs="Times New Roman"/>
          <w:sz w:val="24"/>
          <w:szCs w:val="24"/>
        </w:rPr>
        <w:t>Corrections Unit Chief</w:t>
      </w:r>
    </w:p>
    <w:p w:rsidR="009451ED" w:rsidRPr="008C5C40" w:rsidRDefault="009451ED" w:rsidP="000B14DA">
      <w:pPr>
        <w:pStyle w:val="NoSpacing"/>
        <w:rPr>
          <w:rFonts w:ascii="Times New Roman" w:hAnsi="Times New Roman" w:cs="Times New Roman"/>
          <w:b/>
          <w:sz w:val="24"/>
          <w:szCs w:val="24"/>
        </w:rPr>
      </w:pPr>
    </w:p>
    <w:p w:rsidR="000B14DA" w:rsidRPr="008C5C40" w:rsidRDefault="000B14DA" w:rsidP="000B14DA">
      <w:pPr>
        <w:pStyle w:val="NoSpacing"/>
        <w:rPr>
          <w:rFonts w:ascii="Times New Roman" w:hAnsi="Times New Roman" w:cs="Times New Roman"/>
          <w:sz w:val="24"/>
          <w:szCs w:val="24"/>
        </w:rPr>
      </w:pPr>
      <w:r w:rsidRPr="008C5C40">
        <w:rPr>
          <w:rFonts w:ascii="Times New Roman" w:hAnsi="Times New Roman" w:cs="Times New Roman"/>
          <w:b/>
          <w:sz w:val="24"/>
          <w:szCs w:val="24"/>
        </w:rPr>
        <w:t>FROM:</w:t>
      </w: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008366D6">
        <w:rPr>
          <w:rFonts w:ascii="Times New Roman" w:hAnsi="Times New Roman" w:cs="Times New Roman"/>
          <w:sz w:val="24"/>
          <w:szCs w:val="24"/>
        </w:rPr>
        <w:t>Danielle Kaeble</w:t>
      </w:r>
      <w:r w:rsidR="008C5C40" w:rsidRPr="008C5C40">
        <w:rPr>
          <w:rFonts w:ascii="Times New Roman" w:hAnsi="Times New Roman" w:cs="Times New Roman"/>
          <w:sz w:val="24"/>
          <w:szCs w:val="24"/>
        </w:rPr>
        <w:t xml:space="preserve">, </w:t>
      </w:r>
      <w:r w:rsidRPr="008C5C40">
        <w:rPr>
          <w:rFonts w:ascii="Times New Roman" w:hAnsi="Times New Roman" w:cs="Times New Roman"/>
          <w:sz w:val="24"/>
          <w:szCs w:val="24"/>
        </w:rPr>
        <w:t>Statistician</w:t>
      </w:r>
      <w:r w:rsidR="008C5C40" w:rsidRPr="008C5C40">
        <w:rPr>
          <w:rFonts w:ascii="Times New Roman" w:hAnsi="Times New Roman" w:cs="Times New Roman"/>
          <w:sz w:val="24"/>
          <w:szCs w:val="24"/>
        </w:rPr>
        <w:t xml:space="preserve">, </w:t>
      </w:r>
      <w:r w:rsidR="008C5C40">
        <w:rPr>
          <w:rFonts w:ascii="Times New Roman" w:hAnsi="Times New Roman" w:cs="Times New Roman"/>
          <w:sz w:val="24"/>
          <w:szCs w:val="24"/>
        </w:rPr>
        <w:t>BJS</w:t>
      </w:r>
    </w:p>
    <w:p w:rsidR="000B14DA" w:rsidRPr="008C5C40" w:rsidRDefault="000B14DA" w:rsidP="000B14DA">
      <w:pPr>
        <w:pStyle w:val="NoSpacing"/>
        <w:rPr>
          <w:rFonts w:ascii="Times New Roman" w:hAnsi="Times New Roman" w:cs="Times New Roman"/>
          <w:sz w:val="24"/>
          <w:szCs w:val="24"/>
        </w:rPr>
      </w:pPr>
    </w:p>
    <w:p w:rsidR="000B14DA" w:rsidRDefault="000B14DA" w:rsidP="00CC6876">
      <w:pPr>
        <w:pStyle w:val="NoSpacing"/>
        <w:ind w:left="2880" w:hanging="2880"/>
        <w:rPr>
          <w:rFonts w:ascii="Times New Roman" w:hAnsi="Times New Roman" w:cs="Times New Roman"/>
          <w:sz w:val="24"/>
          <w:szCs w:val="24"/>
        </w:rPr>
      </w:pPr>
      <w:r w:rsidRPr="008C5C40">
        <w:rPr>
          <w:rFonts w:ascii="Times New Roman" w:hAnsi="Times New Roman" w:cs="Times New Roman"/>
          <w:b/>
          <w:sz w:val="24"/>
          <w:szCs w:val="24"/>
        </w:rPr>
        <w:t>SUBJECT:</w:t>
      </w:r>
      <w:r w:rsidRPr="008C5C40">
        <w:rPr>
          <w:rFonts w:ascii="Times New Roman" w:hAnsi="Times New Roman" w:cs="Times New Roman"/>
          <w:b/>
          <w:sz w:val="24"/>
          <w:szCs w:val="24"/>
        </w:rPr>
        <w:tab/>
      </w:r>
      <w:r w:rsidR="00FF7C83" w:rsidRPr="008C5C40">
        <w:rPr>
          <w:rFonts w:ascii="Times New Roman" w:hAnsi="Times New Roman" w:cs="Times New Roman"/>
          <w:sz w:val="24"/>
          <w:szCs w:val="24"/>
        </w:rPr>
        <w:t>BJS request for OMB Clearance to conduct</w:t>
      </w:r>
      <w:r w:rsidR="00FF7C83" w:rsidRPr="00FF7C83">
        <w:rPr>
          <w:rFonts w:ascii="Times New Roman" w:hAnsi="Times New Roman" w:cs="Times New Roman"/>
          <w:sz w:val="24"/>
          <w:szCs w:val="24"/>
        </w:rPr>
        <w:t xml:space="preserve"> </w:t>
      </w:r>
      <w:r w:rsidR="008366D6">
        <w:rPr>
          <w:rFonts w:ascii="Times New Roman" w:hAnsi="Times New Roman" w:cs="Times New Roman"/>
          <w:sz w:val="24"/>
          <w:szCs w:val="24"/>
        </w:rPr>
        <w:t xml:space="preserve">outreach </w:t>
      </w:r>
      <w:r w:rsidR="00FF7C83" w:rsidRPr="00FF7C83">
        <w:rPr>
          <w:rFonts w:ascii="Times New Roman" w:hAnsi="Times New Roman" w:cs="Times New Roman"/>
          <w:sz w:val="24"/>
          <w:szCs w:val="24"/>
        </w:rPr>
        <w:t xml:space="preserve">to </w:t>
      </w:r>
      <w:r w:rsidR="008366D6">
        <w:rPr>
          <w:rFonts w:ascii="Times New Roman" w:hAnsi="Times New Roman" w:cs="Times New Roman"/>
          <w:sz w:val="24"/>
          <w:szCs w:val="24"/>
        </w:rPr>
        <w:t>identify/confirm missing units from universe of adult probation supervising agencies covered in the Annual Probation Survey</w:t>
      </w:r>
      <w:r w:rsidR="00FF7C83" w:rsidRPr="00FF7C83">
        <w:rPr>
          <w:rFonts w:ascii="Times New Roman" w:hAnsi="Times New Roman" w:cs="Times New Roman"/>
          <w:sz w:val="24"/>
          <w:szCs w:val="24"/>
        </w:rPr>
        <w:t xml:space="preserve"> under the generic clearance agreement </w:t>
      </w:r>
      <w:r w:rsidR="00FF7C83" w:rsidRPr="009D0F03">
        <w:rPr>
          <w:rFonts w:ascii="Times New Roman" w:hAnsi="Times New Roman" w:cs="Times New Roman"/>
          <w:sz w:val="24"/>
          <w:szCs w:val="24"/>
        </w:rPr>
        <w:t xml:space="preserve">OMB </w:t>
      </w:r>
      <w:r w:rsidR="009D0F03" w:rsidRPr="00A57AB2">
        <w:rPr>
          <w:rFonts w:ascii="Times New Roman" w:hAnsi="Times New Roman" w:cs="Times New Roman"/>
          <w:sz w:val="24"/>
          <w:szCs w:val="24"/>
        </w:rPr>
        <w:t>Number 1121-0</w:t>
      </w:r>
      <w:r w:rsidR="00A57AB2" w:rsidRPr="00A57AB2">
        <w:rPr>
          <w:rFonts w:ascii="Times New Roman" w:hAnsi="Times New Roman" w:cs="Times New Roman"/>
          <w:sz w:val="24"/>
          <w:szCs w:val="24"/>
        </w:rPr>
        <w:t>339</w:t>
      </w:r>
    </w:p>
    <w:p w:rsidR="000B14DA" w:rsidRDefault="000B14DA" w:rsidP="000B14DA">
      <w:pPr>
        <w:pStyle w:val="NoSpacing"/>
        <w:rPr>
          <w:rFonts w:ascii="Times New Roman" w:hAnsi="Times New Roman" w:cs="Times New Roman"/>
          <w:sz w:val="24"/>
          <w:szCs w:val="24"/>
        </w:rPr>
      </w:pPr>
    </w:p>
    <w:p w:rsidR="004053E3" w:rsidRDefault="004053E3" w:rsidP="004053E3">
      <w:pPr>
        <w:pStyle w:val="NoSpacing"/>
        <w:pBdr>
          <w:bottom w:val="single" w:sz="12" w:space="1" w:color="auto"/>
        </w:pBdr>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770AA">
        <w:rPr>
          <w:rFonts w:ascii="Times New Roman" w:hAnsi="Times New Roman" w:cs="Times New Roman"/>
          <w:sz w:val="24"/>
          <w:szCs w:val="24"/>
        </w:rPr>
        <w:t>January</w:t>
      </w:r>
      <w:r w:rsidR="00CF30A9">
        <w:rPr>
          <w:rFonts w:ascii="Times New Roman" w:hAnsi="Times New Roman" w:cs="Times New Roman"/>
          <w:sz w:val="24"/>
          <w:szCs w:val="24"/>
        </w:rPr>
        <w:t xml:space="preserve"> </w:t>
      </w:r>
      <w:r w:rsidR="00015B64">
        <w:rPr>
          <w:rFonts w:ascii="Times New Roman" w:hAnsi="Times New Roman" w:cs="Times New Roman"/>
          <w:sz w:val="24"/>
          <w:szCs w:val="24"/>
        </w:rPr>
        <w:t>29</w:t>
      </w:r>
      <w:r w:rsidR="002770AA">
        <w:rPr>
          <w:rFonts w:ascii="Times New Roman" w:hAnsi="Times New Roman" w:cs="Times New Roman"/>
          <w:sz w:val="24"/>
          <w:szCs w:val="24"/>
        </w:rPr>
        <w:t>, 2018</w:t>
      </w:r>
      <w:r w:rsidR="00BD1911">
        <w:rPr>
          <w:rFonts w:ascii="Times New Roman" w:hAnsi="Times New Roman" w:cs="Times New Roman"/>
          <w:sz w:val="24"/>
          <w:szCs w:val="24"/>
        </w:rPr>
        <w:br/>
      </w:r>
    </w:p>
    <w:p w:rsidR="00BD1911" w:rsidRDefault="00BD1911" w:rsidP="000B14DA">
      <w:pPr>
        <w:pStyle w:val="NoSpacing"/>
        <w:rPr>
          <w:rFonts w:ascii="Times New Roman" w:hAnsi="Times New Roman" w:cs="Times New Roman"/>
          <w:sz w:val="24"/>
          <w:szCs w:val="24"/>
        </w:rPr>
      </w:pPr>
    </w:p>
    <w:p w:rsidR="00FF7C83" w:rsidRPr="00FF7C83" w:rsidRDefault="00FF7C83" w:rsidP="00FF7C83">
      <w:pPr>
        <w:contextualSpacing/>
        <w:rPr>
          <w:u w:val="single"/>
        </w:rPr>
      </w:pPr>
      <w:r w:rsidRPr="00FF7C83">
        <w:rPr>
          <w:u w:val="single"/>
        </w:rPr>
        <w:t>Introduction</w:t>
      </w:r>
    </w:p>
    <w:p w:rsidR="00FF7C83" w:rsidRDefault="00FF7C83" w:rsidP="00FF7C83">
      <w:pPr>
        <w:contextualSpacing/>
      </w:pPr>
    </w:p>
    <w:p w:rsidR="008366D6" w:rsidRPr="005A63B6" w:rsidRDefault="008366D6" w:rsidP="008366D6">
      <w:pPr>
        <w:shd w:val="solid" w:color="FFFFFF" w:fill="FFFFFF"/>
        <w:tabs>
          <w:tab w:val="left" w:pos="0"/>
          <w:tab w:val="left" w:pos="360"/>
        </w:tabs>
      </w:pPr>
      <w:r>
        <w:t xml:space="preserve">The </w:t>
      </w:r>
      <w:r w:rsidRPr="007E593E">
        <w:t>Annual Surveys of Probation and Parole (ASPP</w:t>
      </w:r>
      <w:r>
        <w:t xml:space="preserve">; </w:t>
      </w:r>
      <w:r w:rsidRPr="007E593E">
        <w:t>OMB</w:t>
      </w:r>
      <w:r w:rsidR="00656C19">
        <w:t xml:space="preserve"> 1121-00064, expires 10/31/2020</w:t>
      </w:r>
      <w:r w:rsidRPr="007E593E">
        <w:t>)</w:t>
      </w:r>
      <w:r w:rsidR="00A566F8">
        <w:t xml:space="preserve"> </w:t>
      </w:r>
      <w:r w:rsidRPr="007E593E">
        <w:t>provide BJS with the capacity to report annually on changes in the size and composition of the community corrections populations in the United States</w:t>
      </w:r>
      <w:r w:rsidR="00B77E9C">
        <w:t xml:space="preserve"> which represent almost 70% of people in the correctional system</w:t>
      </w:r>
      <w:r w:rsidRPr="007E593E">
        <w:t xml:space="preserve">. </w:t>
      </w:r>
      <w:r w:rsidR="00422712" w:rsidRPr="007E593E">
        <w:t>BJS has collected a</w:t>
      </w:r>
      <w:r w:rsidR="00C946DF">
        <w:t xml:space="preserve">nnual yearend counts and </w:t>
      </w:r>
      <w:r w:rsidR="00422712" w:rsidRPr="007E593E">
        <w:t>movements on and off supervision for the community corrections populations through the ASPP since 1977. The data from these surveys provide the only comprehensive</w:t>
      </w:r>
      <w:r w:rsidR="000C5095">
        <w:t xml:space="preserve"> national</w:t>
      </w:r>
      <w:r w:rsidR="00422712" w:rsidRPr="007E593E">
        <w:t xml:space="preserve"> overview of the total community supervision population, as well as the </w:t>
      </w:r>
      <w:r w:rsidR="00C946DF">
        <w:t xml:space="preserve">individual </w:t>
      </w:r>
      <w:r w:rsidR="00422712" w:rsidRPr="007E593E">
        <w:t xml:space="preserve">parole and probation populations, at both the national and state levels. </w:t>
      </w:r>
      <w:r w:rsidRPr="007E593E">
        <w:t xml:space="preserve">The surveys also track key outcomes of offenders on probation or parole, such as completion of supervision terms and return to incarceration (or recidivism). </w:t>
      </w:r>
    </w:p>
    <w:p w:rsidR="008366D6" w:rsidRDefault="008366D6" w:rsidP="00FF7C83">
      <w:pPr>
        <w:contextualSpacing/>
      </w:pPr>
    </w:p>
    <w:p w:rsidR="00FF7C83" w:rsidRDefault="00422712" w:rsidP="00FF7C83">
      <w:pPr>
        <w:contextualSpacing/>
      </w:pPr>
      <w:r>
        <w:t>The probation component of the ASPP – the Annual Probation Survey (APS) – is completed by t</w:t>
      </w:r>
      <w:r w:rsidR="00A9789F">
        <w:t>wo</w:t>
      </w:r>
      <w:r>
        <w:t xml:space="preserve"> types of data </w:t>
      </w:r>
      <w:r w:rsidR="008F0EAF">
        <w:t>providers</w:t>
      </w:r>
      <w:r>
        <w:t xml:space="preserve">: </w:t>
      </w:r>
      <w:r w:rsidR="00A9789F">
        <w:t xml:space="preserve">42 </w:t>
      </w:r>
      <w:r>
        <w:t>central reporters who provide data on the probation population supervised by all agencies in a state</w:t>
      </w:r>
      <w:r w:rsidR="00A9789F">
        <w:t>,</w:t>
      </w:r>
      <w:r>
        <w:t xml:space="preserve"> and</w:t>
      </w:r>
      <w:r w:rsidR="00A9789F">
        <w:t xml:space="preserve"> 414</w:t>
      </w:r>
      <w:r>
        <w:t xml:space="preserve"> reporters who provide data for only one agency in the state</w:t>
      </w:r>
      <w:r w:rsidR="00952652">
        <w:t xml:space="preserve">. </w:t>
      </w:r>
      <w:r>
        <w:t>Currently, there are 456 APS reporters.</w:t>
      </w:r>
    </w:p>
    <w:p w:rsidR="008F0EAF" w:rsidRDefault="008F0EAF" w:rsidP="00FF7C83">
      <w:pPr>
        <w:contextualSpacing/>
      </w:pPr>
    </w:p>
    <w:p w:rsidR="008F0EAF" w:rsidRDefault="00AD7C68" w:rsidP="008F0EAF">
      <w:pPr>
        <w:contextualSpacing/>
      </w:pPr>
      <w:r>
        <w:t xml:space="preserve">In </w:t>
      </w:r>
      <w:r w:rsidR="00C946DF">
        <w:t>2014, OMB approved the addition of three questions to</w:t>
      </w:r>
      <w:r w:rsidR="00660649">
        <w:t xml:space="preserve"> the APS to</w:t>
      </w:r>
      <w:r w:rsidR="00C946DF">
        <w:t xml:space="preserve"> assess population coverage during</w:t>
      </w:r>
      <w:r w:rsidR="008F0EAF">
        <w:t xml:space="preserve"> the</w:t>
      </w:r>
      <w:r w:rsidR="00817448">
        <w:t xml:space="preserve"> Reference Year (RY)</w:t>
      </w:r>
      <w:r w:rsidR="008F0EAF">
        <w:t xml:space="preserve"> 2014 and 2015 collection years</w:t>
      </w:r>
      <w:r>
        <w:t>.</w:t>
      </w:r>
      <w:r w:rsidR="00C946DF">
        <w:t xml:space="preserve"> </w:t>
      </w:r>
      <w:r w:rsidR="008F0EAF">
        <w:t xml:space="preserve">APS data providers were </w:t>
      </w:r>
      <w:r w:rsidR="008F0EAF" w:rsidRPr="002A3820">
        <w:t>asked to</w:t>
      </w:r>
      <w:r w:rsidR="008F0EAF">
        <w:t xml:space="preserve"> </w:t>
      </w:r>
      <w:r w:rsidR="00660649">
        <w:t>confirm</w:t>
      </w:r>
      <w:r w:rsidR="008F0EAF" w:rsidRPr="006A237F">
        <w:t xml:space="preserve"> that information </w:t>
      </w:r>
      <w:r w:rsidR="00C946DF">
        <w:t>was</w:t>
      </w:r>
      <w:r w:rsidR="008F0EAF" w:rsidRPr="006A237F">
        <w:t xml:space="preserve"> being reported for all probation agencies that f</w:t>
      </w:r>
      <w:r w:rsidR="00C946DF">
        <w:t>e</w:t>
      </w:r>
      <w:r w:rsidR="008F0EAF" w:rsidRPr="006A237F">
        <w:t xml:space="preserve">ll within </w:t>
      </w:r>
      <w:r w:rsidR="008F0EAF">
        <w:t xml:space="preserve">the </w:t>
      </w:r>
      <w:r w:rsidR="008F0EAF" w:rsidRPr="006A237F">
        <w:lastRenderedPageBreak/>
        <w:t>scope</w:t>
      </w:r>
      <w:r w:rsidR="008F0EAF">
        <w:t xml:space="preserve"> of the collection. One question asked respondents to specify the probation agencies for which they provided </w:t>
      </w:r>
      <w:r w:rsidR="00AB1771">
        <w:t>data in RY 2014 and 2015.</w:t>
      </w:r>
      <w:r w:rsidR="008F0EAF">
        <w:t xml:space="preserve"> To facilitate the process, a preliminary </w:t>
      </w:r>
      <w:r w:rsidR="008F0EAF" w:rsidRPr="002A3820">
        <w:t>list</w:t>
      </w:r>
      <w:r w:rsidR="008F0EAF">
        <w:t xml:space="preserve"> of all independent probation agencies known to supervise adult </w:t>
      </w:r>
      <w:r w:rsidR="00B7695A">
        <w:t xml:space="preserve">felony </w:t>
      </w:r>
      <w:r w:rsidR="008F0EAF">
        <w:t xml:space="preserve">probationers in each state was developed from information collected through the 2014 </w:t>
      </w:r>
      <w:r w:rsidR="008F0EAF" w:rsidRPr="002A3820">
        <w:t>Census of Adult Probation Supervising Agencies</w:t>
      </w:r>
      <w:r w:rsidR="008F0EAF">
        <w:t xml:space="preserve"> (</w:t>
      </w:r>
      <w:r w:rsidR="00E84F48">
        <w:t xml:space="preserve">CAPSA, </w:t>
      </w:r>
      <w:r w:rsidR="00A57AB2">
        <w:t>OMB No. 1121-0347</w:t>
      </w:r>
      <w:r w:rsidR="008F0EAF">
        <w:t>; Expiration</w:t>
      </w:r>
      <w:r w:rsidR="00A57AB2">
        <w:t xml:space="preserve"> 04/30/2017</w:t>
      </w:r>
      <w:r w:rsidR="008F0EAF">
        <w:t>)</w:t>
      </w:r>
      <w:r w:rsidR="00952652">
        <w:t xml:space="preserve">. </w:t>
      </w:r>
      <w:r w:rsidR="008F0EAF" w:rsidRPr="00055367">
        <w:t>In the event the respondent included information for a probation agency</w:t>
      </w:r>
      <w:r w:rsidR="00AB1771">
        <w:t xml:space="preserve"> that</w:t>
      </w:r>
      <w:r w:rsidR="008F0EAF" w:rsidRPr="00055367">
        <w:t xml:space="preserve"> </w:t>
      </w:r>
      <w:r w:rsidR="008F0EAF">
        <w:t>wa</w:t>
      </w:r>
      <w:r w:rsidR="008F0EAF" w:rsidRPr="00055367">
        <w:t>s not list</w:t>
      </w:r>
      <w:r w:rsidR="008F0EAF">
        <w:t>ed</w:t>
      </w:r>
      <w:r w:rsidR="008F0EAF" w:rsidRPr="00055367">
        <w:t xml:space="preserve">, the respondent </w:t>
      </w:r>
      <w:r w:rsidR="008F0EAF">
        <w:t xml:space="preserve">was </w:t>
      </w:r>
      <w:r w:rsidR="008F0EAF" w:rsidRPr="00055367">
        <w:t>asked to provide the agency’s name and location</w:t>
      </w:r>
      <w:r w:rsidR="008F0EAF">
        <w:t xml:space="preserve"> in response to another question.</w:t>
      </w:r>
    </w:p>
    <w:p w:rsidR="008F0EAF" w:rsidRDefault="008F0EAF" w:rsidP="008F0EAF">
      <w:pPr>
        <w:contextualSpacing/>
      </w:pPr>
    </w:p>
    <w:p w:rsidR="008F0EAF" w:rsidRDefault="008F0EAF" w:rsidP="008F0EAF">
      <w:pPr>
        <w:contextualSpacing/>
      </w:pPr>
      <w:r>
        <w:t>To ensure that data providers considered the entire universe of adults on probation in their state, the third item</w:t>
      </w:r>
      <w:r w:rsidR="00AB1771">
        <w:t xml:space="preserve"> in APS RY 2014 and 2015</w:t>
      </w:r>
      <w:r>
        <w:t xml:space="preserve"> asked the </w:t>
      </w:r>
      <w:r w:rsidRPr="002A3820">
        <w:t xml:space="preserve">respondent </w:t>
      </w:r>
      <w:r>
        <w:t xml:space="preserve">to mark a </w:t>
      </w:r>
      <w:r w:rsidRPr="002A3820">
        <w:t>check</w:t>
      </w:r>
      <w:r>
        <w:t xml:space="preserve">list to indicate the </w:t>
      </w:r>
      <w:r w:rsidRPr="002A3820">
        <w:t>level</w:t>
      </w:r>
      <w:r>
        <w:t>(s)</w:t>
      </w:r>
      <w:r w:rsidRPr="002A3820">
        <w:t xml:space="preserve"> of court</w:t>
      </w:r>
      <w:r w:rsidR="00AB1771">
        <w:t>s</w:t>
      </w:r>
      <w:r w:rsidRPr="002A3820">
        <w:t xml:space="preserve"> responsible for placing adults on probation in the agencies</w:t>
      </w:r>
      <w:r>
        <w:t xml:space="preserve"> for which they reported</w:t>
      </w:r>
      <w:r w:rsidRPr="002A3820">
        <w:t>.</w:t>
      </w:r>
      <w:r>
        <w:t xml:space="preserve"> A state-specific checklist of all levels of state courts responsible for criminal proceedings which might result in adults being placed on probation</w:t>
      </w:r>
      <w:r w:rsidRPr="00B54924">
        <w:t xml:space="preserve"> </w:t>
      </w:r>
      <w:r>
        <w:t>was provided, based on charts published by the Court Statistics Project of the National Center for State Courts (</w:t>
      </w:r>
      <w:hyperlink r:id="rId11" w:history="1">
        <w:r w:rsidRPr="008F0EAF">
          <w:t>http://www.courtstatistics.org/Other-Pages/State_Court_Structure_Charts.aspx</w:t>
        </w:r>
      </w:hyperlink>
      <w:r>
        <w:t>).</w:t>
      </w:r>
      <w:r w:rsidRPr="00DE450A">
        <w:t xml:space="preserve"> </w:t>
      </w:r>
    </w:p>
    <w:p w:rsidR="008F0EAF" w:rsidRDefault="008F0EAF" w:rsidP="008F0EAF">
      <w:pPr>
        <w:contextualSpacing/>
      </w:pPr>
    </w:p>
    <w:p w:rsidR="008F0EAF" w:rsidRDefault="008F0EAF" w:rsidP="008F0EAF">
      <w:pPr>
        <w:contextualSpacing/>
      </w:pPr>
      <w:r>
        <w:t>BJS and RTI International, BJS’s data collection agent for the ASPP, have used this information to determine whether any probation agency defined as eligible was erroneously excluded</w:t>
      </w:r>
      <w:r w:rsidR="00660649">
        <w:t xml:space="preserve"> from the APS,</w:t>
      </w:r>
      <w:r>
        <w:t xml:space="preserve"> and if the population reported by one agency is </w:t>
      </w:r>
      <w:r w:rsidR="00AB1771">
        <w:t>duplicated</w:t>
      </w:r>
      <w:r>
        <w:t xml:space="preserve"> by any other agencies. In addition, the information was used to check whether each level of court that is responsible for placing adults on probation supervision in each state was</w:t>
      </w:r>
      <w:r w:rsidR="00AB1771">
        <w:t xml:space="preserve"> </w:t>
      </w:r>
      <w:r w:rsidR="00AD7C68">
        <w:t>affirmed by at least one respondent</w:t>
      </w:r>
      <w:r>
        <w:t xml:space="preserve">. </w:t>
      </w:r>
    </w:p>
    <w:p w:rsidR="008F0EAF" w:rsidRDefault="008F0EAF" w:rsidP="008F0EAF">
      <w:pPr>
        <w:contextualSpacing/>
      </w:pPr>
    </w:p>
    <w:p w:rsidR="00817448" w:rsidRDefault="00817448" w:rsidP="00817448">
      <w:r>
        <w:t>Analysis of the survey data revealed the following</w:t>
      </w:r>
      <w:r w:rsidR="00AB1771">
        <w:t xml:space="preserve"> results</w:t>
      </w:r>
      <w:r>
        <w:t>, across all state-specific APS questionnaires:</w:t>
      </w:r>
    </w:p>
    <w:p w:rsidR="00817448" w:rsidRDefault="00817448" w:rsidP="00817448"/>
    <w:p w:rsidR="00817448" w:rsidRPr="00817448" w:rsidRDefault="00817448" w:rsidP="00817448">
      <w:pPr>
        <w:pStyle w:val="ListParagraph"/>
        <w:numPr>
          <w:ilvl w:val="0"/>
          <w:numId w:val="8"/>
        </w:numPr>
        <w:spacing w:after="160" w:line="259" w:lineRule="auto"/>
        <w:contextualSpacing/>
        <w:rPr>
          <w:rFonts w:ascii="Times New Roman" w:hAnsi="Times New Roman"/>
          <w:sz w:val="24"/>
          <w:szCs w:val="24"/>
        </w:rPr>
      </w:pPr>
      <w:r w:rsidRPr="00817448">
        <w:rPr>
          <w:rFonts w:ascii="Times New Roman" w:hAnsi="Times New Roman"/>
          <w:sz w:val="24"/>
          <w:szCs w:val="24"/>
        </w:rPr>
        <w:t>2,361 supervising agencies (SA) were listed on the RY</w:t>
      </w:r>
      <w:r>
        <w:rPr>
          <w:rFonts w:ascii="Times New Roman" w:hAnsi="Times New Roman"/>
          <w:sz w:val="24"/>
          <w:szCs w:val="24"/>
        </w:rPr>
        <w:t xml:space="preserve"> </w:t>
      </w:r>
      <w:r w:rsidRPr="00817448">
        <w:rPr>
          <w:rFonts w:ascii="Times New Roman" w:hAnsi="Times New Roman"/>
          <w:sz w:val="24"/>
          <w:szCs w:val="24"/>
        </w:rPr>
        <w:t>2015 questionnaires</w:t>
      </w:r>
      <w:r w:rsidR="00BB60BF">
        <w:rPr>
          <w:rFonts w:ascii="Times New Roman" w:hAnsi="Times New Roman"/>
          <w:sz w:val="24"/>
          <w:szCs w:val="24"/>
        </w:rPr>
        <w:t xml:space="preserve"> for verification. These agencies were</w:t>
      </w:r>
      <w:r w:rsidRPr="00817448">
        <w:rPr>
          <w:rFonts w:ascii="Times New Roman" w:hAnsi="Times New Roman"/>
          <w:sz w:val="24"/>
          <w:szCs w:val="24"/>
        </w:rPr>
        <w:t xml:space="preserve"> based on the CAPSA roster</w:t>
      </w:r>
      <w:r w:rsidR="00B7695A">
        <w:rPr>
          <w:rFonts w:ascii="Times New Roman" w:hAnsi="Times New Roman"/>
          <w:sz w:val="24"/>
          <w:szCs w:val="24"/>
        </w:rPr>
        <w:t xml:space="preserve"> of felony supervising agencies</w:t>
      </w:r>
      <w:r w:rsidR="00660649">
        <w:rPr>
          <w:rFonts w:ascii="Times New Roman" w:hAnsi="Times New Roman"/>
          <w:sz w:val="24"/>
          <w:szCs w:val="24"/>
        </w:rPr>
        <w:t>:</w:t>
      </w:r>
      <w:r w:rsidRPr="00817448">
        <w:rPr>
          <w:rStyle w:val="FootnoteReference"/>
          <w:rFonts w:ascii="Times New Roman" w:hAnsi="Times New Roman"/>
          <w:sz w:val="24"/>
          <w:szCs w:val="24"/>
        </w:rPr>
        <w:footnoteReference w:id="1"/>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27 agencies were no longer supervising probationers and </w:t>
      </w:r>
      <w:r w:rsidR="00660649">
        <w:rPr>
          <w:rFonts w:ascii="Times New Roman" w:hAnsi="Times New Roman"/>
          <w:sz w:val="24"/>
          <w:szCs w:val="24"/>
        </w:rPr>
        <w:t>were</w:t>
      </w:r>
      <w:r w:rsidRPr="00817448">
        <w:rPr>
          <w:rFonts w:ascii="Times New Roman" w:hAnsi="Times New Roman"/>
          <w:sz w:val="24"/>
          <w:szCs w:val="24"/>
        </w:rPr>
        <w:t xml:space="preserve"> removed from the list</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39 </w:t>
      </w:r>
      <w:r w:rsidR="000C5095">
        <w:rPr>
          <w:rFonts w:ascii="Times New Roman" w:hAnsi="Times New Roman"/>
          <w:sz w:val="24"/>
          <w:szCs w:val="24"/>
        </w:rPr>
        <w:t xml:space="preserve">agencies </w:t>
      </w:r>
      <w:r w:rsidRPr="00817448">
        <w:rPr>
          <w:rFonts w:ascii="Times New Roman" w:hAnsi="Times New Roman"/>
          <w:sz w:val="24"/>
          <w:szCs w:val="24"/>
        </w:rPr>
        <w:t>were APS</w:t>
      </w:r>
      <w:r w:rsidR="00BB60BF">
        <w:rPr>
          <w:rFonts w:ascii="Times New Roman" w:hAnsi="Times New Roman"/>
          <w:sz w:val="24"/>
          <w:szCs w:val="24"/>
        </w:rPr>
        <w:t xml:space="preserve"> respondents who did not complete the </w:t>
      </w:r>
      <w:r w:rsidR="00AD7C68">
        <w:rPr>
          <w:rFonts w:ascii="Times New Roman" w:hAnsi="Times New Roman"/>
          <w:sz w:val="24"/>
          <w:szCs w:val="24"/>
        </w:rPr>
        <w:t xml:space="preserve">RY </w:t>
      </w:r>
      <w:r w:rsidR="00BB60BF">
        <w:rPr>
          <w:rFonts w:ascii="Times New Roman" w:hAnsi="Times New Roman"/>
          <w:sz w:val="24"/>
          <w:szCs w:val="24"/>
        </w:rPr>
        <w:t>2015 survey</w:t>
      </w:r>
      <w:r w:rsidR="00AD7C68">
        <w:rPr>
          <w:rFonts w:ascii="Times New Roman" w:hAnsi="Times New Roman"/>
          <w:sz w:val="24"/>
          <w:szCs w:val="24"/>
        </w:rPr>
        <w:t xml:space="preserve"> </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33 agencies were APS respondents </w:t>
      </w:r>
      <w:r w:rsidR="00C107A0">
        <w:rPr>
          <w:rFonts w:ascii="Times New Roman" w:hAnsi="Times New Roman"/>
          <w:sz w:val="24"/>
          <w:szCs w:val="24"/>
        </w:rPr>
        <w:t xml:space="preserve">but </w:t>
      </w:r>
      <w:r w:rsidRPr="00817448">
        <w:rPr>
          <w:rFonts w:ascii="Times New Roman" w:hAnsi="Times New Roman"/>
          <w:sz w:val="24"/>
          <w:szCs w:val="24"/>
        </w:rPr>
        <w:t>did</w:t>
      </w:r>
      <w:r w:rsidR="00A26C95">
        <w:rPr>
          <w:rFonts w:ascii="Times New Roman" w:hAnsi="Times New Roman"/>
          <w:sz w:val="24"/>
          <w:szCs w:val="24"/>
        </w:rPr>
        <w:t xml:space="preserve"> not</w:t>
      </w:r>
      <w:r w:rsidRPr="00817448">
        <w:rPr>
          <w:rFonts w:ascii="Times New Roman" w:hAnsi="Times New Roman"/>
          <w:sz w:val="24"/>
          <w:szCs w:val="24"/>
        </w:rPr>
        <w:t xml:space="preserve"> </w:t>
      </w:r>
      <w:r w:rsidR="00C107A0">
        <w:rPr>
          <w:rFonts w:ascii="Times New Roman" w:hAnsi="Times New Roman"/>
          <w:sz w:val="24"/>
          <w:szCs w:val="24"/>
        </w:rPr>
        <w:t>select themselves from the list</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1,603 </w:t>
      </w:r>
      <w:r w:rsidR="00C107A0">
        <w:rPr>
          <w:rFonts w:ascii="Times New Roman" w:hAnsi="Times New Roman"/>
          <w:sz w:val="24"/>
          <w:szCs w:val="24"/>
        </w:rPr>
        <w:t xml:space="preserve">agencies </w:t>
      </w:r>
      <w:r w:rsidRPr="00817448">
        <w:rPr>
          <w:rFonts w:ascii="Times New Roman" w:hAnsi="Times New Roman"/>
          <w:sz w:val="24"/>
          <w:szCs w:val="24"/>
        </w:rPr>
        <w:t>were affirmed by a single APS respondent</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564 agencies (</w:t>
      </w:r>
      <w:r w:rsidR="00BB60BF">
        <w:rPr>
          <w:rFonts w:ascii="Times New Roman" w:hAnsi="Times New Roman"/>
          <w:sz w:val="24"/>
          <w:szCs w:val="24"/>
        </w:rPr>
        <w:t xml:space="preserve">identified from CAPSA, but </w:t>
      </w:r>
      <w:r w:rsidRPr="00817448">
        <w:rPr>
          <w:rFonts w:ascii="Times New Roman" w:hAnsi="Times New Roman"/>
          <w:sz w:val="24"/>
          <w:szCs w:val="24"/>
        </w:rPr>
        <w:t>not</w:t>
      </w:r>
      <w:r w:rsidR="00AD7C68">
        <w:rPr>
          <w:rFonts w:ascii="Times New Roman" w:hAnsi="Times New Roman"/>
          <w:sz w:val="24"/>
          <w:szCs w:val="24"/>
        </w:rPr>
        <w:t xml:space="preserve"> included</w:t>
      </w:r>
      <w:r w:rsidR="00BB60BF">
        <w:rPr>
          <w:rFonts w:ascii="Times New Roman" w:hAnsi="Times New Roman"/>
          <w:sz w:val="24"/>
          <w:szCs w:val="24"/>
        </w:rPr>
        <w:t xml:space="preserve"> </w:t>
      </w:r>
      <w:r w:rsidRPr="00817448">
        <w:rPr>
          <w:rFonts w:ascii="Times New Roman" w:hAnsi="Times New Roman"/>
          <w:sz w:val="24"/>
          <w:szCs w:val="24"/>
        </w:rPr>
        <w:t>in the APS frame) were not affirmed by any APS respondent</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107 </w:t>
      </w:r>
      <w:r w:rsidR="00660649">
        <w:rPr>
          <w:rFonts w:ascii="Times New Roman" w:hAnsi="Times New Roman"/>
          <w:sz w:val="24"/>
          <w:szCs w:val="24"/>
        </w:rPr>
        <w:t xml:space="preserve">agencies </w:t>
      </w:r>
      <w:r w:rsidRPr="00817448">
        <w:rPr>
          <w:rFonts w:ascii="Times New Roman" w:hAnsi="Times New Roman"/>
          <w:sz w:val="24"/>
          <w:szCs w:val="24"/>
        </w:rPr>
        <w:t>were affirmed by more than one APS respondent</w:t>
      </w:r>
    </w:p>
    <w:p w:rsidR="00817448" w:rsidRPr="00817448" w:rsidRDefault="00817448" w:rsidP="00817448">
      <w:pPr>
        <w:pStyle w:val="ListParagraph"/>
        <w:numPr>
          <w:ilvl w:val="0"/>
          <w:numId w:val="8"/>
        </w:numPr>
        <w:spacing w:after="160" w:line="259" w:lineRule="auto"/>
        <w:contextualSpacing/>
        <w:rPr>
          <w:rFonts w:ascii="Times New Roman" w:hAnsi="Times New Roman"/>
          <w:sz w:val="24"/>
          <w:szCs w:val="24"/>
        </w:rPr>
      </w:pPr>
      <w:r w:rsidRPr="00817448">
        <w:rPr>
          <w:rFonts w:ascii="Times New Roman" w:hAnsi="Times New Roman"/>
          <w:sz w:val="24"/>
          <w:szCs w:val="24"/>
        </w:rPr>
        <w:t>85 agencies (not in the</w:t>
      </w:r>
      <w:r w:rsidR="00660649">
        <w:rPr>
          <w:rFonts w:ascii="Times New Roman" w:hAnsi="Times New Roman"/>
          <w:sz w:val="24"/>
          <w:szCs w:val="24"/>
        </w:rPr>
        <w:t xml:space="preserve"> 2015</w:t>
      </w:r>
      <w:r w:rsidRPr="00817448">
        <w:rPr>
          <w:rFonts w:ascii="Times New Roman" w:hAnsi="Times New Roman"/>
          <w:sz w:val="24"/>
          <w:szCs w:val="24"/>
        </w:rPr>
        <w:t xml:space="preserve"> APS frame or on the CAPSA roster) were added by APS respondents via the write-in follow-up question</w:t>
      </w:r>
      <w:r w:rsidR="00660649">
        <w:rPr>
          <w:rFonts w:ascii="Times New Roman" w:hAnsi="Times New Roman"/>
          <w:sz w:val="24"/>
          <w:szCs w:val="24"/>
        </w:rPr>
        <w:t>:</w:t>
      </w:r>
    </w:p>
    <w:p w:rsidR="00817448" w:rsidRPr="00817448" w:rsidRDefault="00817448" w:rsidP="00817448">
      <w:pPr>
        <w:pStyle w:val="ListParagraph"/>
        <w:numPr>
          <w:ilvl w:val="1"/>
          <w:numId w:val="8"/>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83 were reported by </w:t>
      </w:r>
      <w:r w:rsidR="00F60B39">
        <w:rPr>
          <w:rFonts w:ascii="Times New Roman" w:hAnsi="Times New Roman"/>
          <w:sz w:val="24"/>
          <w:szCs w:val="24"/>
        </w:rPr>
        <w:t xml:space="preserve">individual </w:t>
      </w:r>
      <w:r w:rsidRPr="00817448">
        <w:rPr>
          <w:rFonts w:ascii="Times New Roman" w:hAnsi="Times New Roman"/>
          <w:sz w:val="24"/>
          <w:szCs w:val="24"/>
        </w:rPr>
        <w:t>APS respondent</w:t>
      </w:r>
      <w:r w:rsidR="00F60B39">
        <w:rPr>
          <w:rFonts w:ascii="Times New Roman" w:hAnsi="Times New Roman"/>
          <w:sz w:val="24"/>
          <w:szCs w:val="24"/>
        </w:rPr>
        <w:t>s</w:t>
      </w:r>
    </w:p>
    <w:p w:rsidR="00817448" w:rsidRP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2 were reported by </w:t>
      </w:r>
      <w:r w:rsidR="00F60B39">
        <w:rPr>
          <w:rFonts w:ascii="Times New Roman" w:hAnsi="Times New Roman"/>
          <w:sz w:val="24"/>
          <w:szCs w:val="24"/>
        </w:rPr>
        <w:t xml:space="preserve">multiple </w:t>
      </w:r>
      <w:r w:rsidRPr="00817448">
        <w:rPr>
          <w:rFonts w:ascii="Times New Roman" w:hAnsi="Times New Roman"/>
          <w:sz w:val="24"/>
          <w:szCs w:val="24"/>
        </w:rPr>
        <w:t>APS respondent</w:t>
      </w:r>
      <w:r w:rsidR="00F60B39">
        <w:rPr>
          <w:rFonts w:ascii="Times New Roman" w:hAnsi="Times New Roman"/>
          <w:sz w:val="24"/>
          <w:szCs w:val="24"/>
        </w:rPr>
        <w:t>s</w:t>
      </w:r>
    </w:p>
    <w:p w:rsidR="00817448" w:rsidRPr="00817448" w:rsidRDefault="009D0AA2" w:rsidP="00817448">
      <w:pPr>
        <w:pStyle w:val="ListParagraph"/>
        <w:numPr>
          <w:ilvl w:val="0"/>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168 court</w:t>
      </w:r>
      <w:r w:rsidR="00817448" w:rsidRPr="00817448">
        <w:rPr>
          <w:rFonts w:ascii="Times New Roman" w:hAnsi="Times New Roman"/>
          <w:sz w:val="24"/>
          <w:szCs w:val="24"/>
        </w:rPr>
        <w:t xml:space="preserve"> types</w:t>
      </w:r>
      <w:r w:rsidR="00F60B39">
        <w:rPr>
          <w:rFonts w:ascii="Times New Roman" w:hAnsi="Times New Roman"/>
          <w:sz w:val="24"/>
          <w:szCs w:val="24"/>
        </w:rPr>
        <w:t xml:space="preserve"> </w:t>
      </w:r>
      <w:r w:rsidR="00F60B39" w:rsidRPr="00817448">
        <w:rPr>
          <w:rFonts w:ascii="Times New Roman" w:hAnsi="Times New Roman"/>
          <w:sz w:val="24"/>
          <w:szCs w:val="24"/>
        </w:rPr>
        <w:t>were listed on the RY</w:t>
      </w:r>
      <w:r w:rsidR="00F60B39">
        <w:rPr>
          <w:rFonts w:ascii="Times New Roman" w:hAnsi="Times New Roman"/>
          <w:sz w:val="24"/>
          <w:szCs w:val="24"/>
        </w:rPr>
        <w:t xml:space="preserve"> </w:t>
      </w:r>
      <w:r w:rsidR="00F60B39" w:rsidRPr="00817448">
        <w:rPr>
          <w:rFonts w:ascii="Times New Roman" w:hAnsi="Times New Roman"/>
          <w:sz w:val="24"/>
          <w:szCs w:val="24"/>
        </w:rPr>
        <w:t>2015 questionnaires</w:t>
      </w:r>
      <w:r w:rsidR="00F60B39">
        <w:rPr>
          <w:rFonts w:ascii="Times New Roman" w:hAnsi="Times New Roman"/>
          <w:sz w:val="24"/>
          <w:szCs w:val="24"/>
        </w:rPr>
        <w:t xml:space="preserve"> for verification</w:t>
      </w:r>
      <w:r w:rsidR="00952652">
        <w:rPr>
          <w:rFonts w:ascii="Times New Roman" w:hAnsi="Times New Roman"/>
          <w:sz w:val="24"/>
          <w:szCs w:val="24"/>
        </w:rPr>
        <w:t xml:space="preserve">. </w:t>
      </w:r>
      <w:r w:rsidR="006D5D3E">
        <w:rPr>
          <w:rFonts w:ascii="Times New Roman" w:hAnsi="Times New Roman"/>
          <w:sz w:val="24"/>
          <w:szCs w:val="24"/>
        </w:rPr>
        <w:t>Some of these were state</w:t>
      </w:r>
      <w:r w:rsidR="00A566F8">
        <w:rPr>
          <w:rFonts w:ascii="Times New Roman" w:hAnsi="Times New Roman"/>
          <w:sz w:val="24"/>
          <w:szCs w:val="24"/>
        </w:rPr>
        <w:t>-</w:t>
      </w:r>
      <w:r w:rsidR="006D5D3E">
        <w:rPr>
          <w:rFonts w:ascii="Times New Roman" w:hAnsi="Times New Roman"/>
          <w:sz w:val="24"/>
          <w:szCs w:val="24"/>
        </w:rPr>
        <w:t>specific (e.g</w:t>
      </w:r>
      <w:r w:rsidR="007944BD">
        <w:rPr>
          <w:rFonts w:ascii="Times New Roman" w:hAnsi="Times New Roman"/>
          <w:sz w:val="24"/>
          <w:szCs w:val="24"/>
        </w:rPr>
        <w:t>.,</w:t>
      </w:r>
      <w:r w:rsidR="006D5D3E">
        <w:rPr>
          <w:rFonts w:ascii="Times New Roman" w:hAnsi="Times New Roman"/>
          <w:sz w:val="24"/>
          <w:szCs w:val="24"/>
        </w:rPr>
        <w:t xml:space="preserve"> Criminal Court of the City of New York, Bernalillo County </w:t>
      </w:r>
      <w:r w:rsidR="006D5D3E">
        <w:rPr>
          <w:rFonts w:ascii="Times New Roman" w:hAnsi="Times New Roman"/>
          <w:sz w:val="24"/>
          <w:szCs w:val="24"/>
        </w:rPr>
        <w:lastRenderedPageBreak/>
        <w:t>Metropolitan Court)</w:t>
      </w:r>
      <w:r w:rsidR="00660649">
        <w:rPr>
          <w:rFonts w:ascii="Times New Roman" w:hAnsi="Times New Roman"/>
          <w:sz w:val="24"/>
          <w:szCs w:val="24"/>
        </w:rPr>
        <w:t>, but</w:t>
      </w:r>
      <w:r w:rsidR="006D5D3E">
        <w:rPr>
          <w:rFonts w:ascii="Times New Roman" w:hAnsi="Times New Roman"/>
          <w:sz w:val="24"/>
          <w:szCs w:val="24"/>
        </w:rPr>
        <w:t xml:space="preserve"> </w:t>
      </w:r>
      <w:r w:rsidR="007944BD">
        <w:rPr>
          <w:rFonts w:ascii="Times New Roman" w:hAnsi="Times New Roman"/>
          <w:sz w:val="24"/>
          <w:szCs w:val="24"/>
        </w:rPr>
        <w:t>most were not specific to a particular state (e.g., Circuit Court, City Court)</w:t>
      </w:r>
      <w:r w:rsidR="00952652">
        <w:rPr>
          <w:rFonts w:ascii="Times New Roman" w:hAnsi="Times New Roman"/>
          <w:sz w:val="24"/>
          <w:szCs w:val="24"/>
        </w:rPr>
        <w:t xml:space="preserve">. </w:t>
      </w:r>
      <w:r w:rsidR="007944BD">
        <w:rPr>
          <w:rFonts w:ascii="Times New Roman" w:hAnsi="Times New Roman"/>
          <w:sz w:val="24"/>
          <w:szCs w:val="24"/>
        </w:rPr>
        <w:t xml:space="preserve">Across all questionnaires there were about </w:t>
      </w:r>
      <w:r w:rsidR="006D5D3E">
        <w:rPr>
          <w:rFonts w:ascii="Times New Roman" w:hAnsi="Times New Roman"/>
          <w:sz w:val="24"/>
          <w:szCs w:val="24"/>
        </w:rPr>
        <w:t xml:space="preserve">45 unique </w:t>
      </w:r>
      <w:r w:rsidR="007944BD">
        <w:rPr>
          <w:rFonts w:ascii="Times New Roman" w:hAnsi="Times New Roman"/>
          <w:sz w:val="24"/>
          <w:szCs w:val="24"/>
        </w:rPr>
        <w:t xml:space="preserve">court </w:t>
      </w:r>
      <w:r w:rsidR="006D5D3E">
        <w:rPr>
          <w:rFonts w:ascii="Times New Roman" w:hAnsi="Times New Roman"/>
          <w:sz w:val="24"/>
          <w:szCs w:val="24"/>
        </w:rPr>
        <w:t>types</w:t>
      </w:r>
      <w:r w:rsidR="007944BD">
        <w:rPr>
          <w:rFonts w:ascii="Times New Roman" w:hAnsi="Times New Roman"/>
          <w:sz w:val="24"/>
          <w:szCs w:val="24"/>
        </w:rPr>
        <w:t xml:space="preserve">. </w:t>
      </w:r>
    </w:p>
    <w:p w:rsidR="00817448" w:rsidRDefault="00817448" w:rsidP="00817448">
      <w:pPr>
        <w:pStyle w:val="ListParagraph"/>
        <w:numPr>
          <w:ilvl w:val="1"/>
          <w:numId w:val="7"/>
        </w:numPr>
        <w:spacing w:after="160" w:line="259" w:lineRule="auto"/>
        <w:contextualSpacing/>
        <w:rPr>
          <w:rFonts w:ascii="Times New Roman" w:hAnsi="Times New Roman"/>
          <w:sz w:val="24"/>
          <w:szCs w:val="24"/>
        </w:rPr>
      </w:pPr>
      <w:r w:rsidRPr="00817448">
        <w:rPr>
          <w:rFonts w:ascii="Times New Roman" w:hAnsi="Times New Roman"/>
          <w:sz w:val="24"/>
          <w:szCs w:val="24"/>
        </w:rPr>
        <w:t xml:space="preserve">41 </w:t>
      </w:r>
      <w:r w:rsidR="007944BD">
        <w:rPr>
          <w:rFonts w:ascii="Times New Roman" w:hAnsi="Times New Roman"/>
          <w:sz w:val="24"/>
          <w:szCs w:val="24"/>
        </w:rPr>
        <w:t xml:space="preserve">of the 168 </w:t>
      </w:r>
      <w:r w:rsidRPr="00817448">
        <w:rPr>
          <w:rFonts w:ascii="Times New Roman" w:hAnsi="Times New Roman"/>
          <w:sz w:val="24"/>
          <w:szCs w:val="24"/>
        </w:rPr>
        <w:t xml:space="preserve">court types </w:t>
      </w:r>
      <w:r w:rsidR="007944BD">
        <w:rPr>
          <w:rFonts w:ascii="Times New Roman" w:hAnsi="Times New Roman"/>
          <w:sz w:val="24"/>
          <w:szCs w:val="24"/>
        </w:rPr>
        <w:t xml:space="preserve">appearing on state-specific questionnaires </w:t>
      </w:r>
      <w:r w:rsidRPr="00817448">
        <w:rPr>
          <w:rFonts w:ascii="Times New Roman" w:hAnsi="Times New Roman"/>
          <w:sz w:val="24"/>
          <w:szCs w:val="24"/>
        </w:rPr>
        <w:t>were not affirmed by any APS respondent in the state</w:t>
      </w:r>
    </w:p>
    <w:p w:rsidR="00817448" w:rsidRDefault="003B323E" w:rsidP="00817448">
      <w:pPr>
        <w:contextualSpacing/>
        <w:rPr>
          <w:rFonts w:cs="Times New Roman"/>
        </w:rPr>
      </w:pPr>
      <w:r>
        <w:rPr>
          <w:rFonts w:cs="Times New Roman"/>
        </w:rPr>
        <w:t xml:space="preserve">These results, in particular-- </w:t>
      </w:r>
      <w:r w:rsidR="00817448" w:rsidRPr="00817448">
        <w:rPr>
          <w:rFonts w:cs="Times New Roman"/>
        </w:rPr>
        <w:t>the 564 non-affirmed</w:t>
      </w:r>
      <w:r>
        <w:rPr>
          <w:rFonts w:cs="Times New Roman"/>
        </w:rPr>
        <w:t xml:space="preserve"> probation</w:t>
      </w:r>
      <w:r w:rsidR="00817448" w:rsidRPr="00817448">
        <w:rPr>
          <w:rFonts w:cs="Times New Roman"/>
        </w:rPr>
        <w:t xml:space="preserve"> (NA) agencies, the 107 listed and 2 write-in multipl</w:t>
      </w:r>
      <w:r>
        <w:rPr>
          <w:rFonts w:cs="Times New Roman"/>
        </w:rPr>
        <w:t>e</w:t>
      </w:r>
      <w:r w:rsidR="00817448" w:rsidRPr="00817448">
        <w:rPr>
          <w:rFonts w:cs="Times New Roman"/>
        </w:rPr>
        <w:t xml:space="preserve">-affirmed agencies, 83 write-in agencies reported by </w:t>
      </w:r>
      <w:r w:rsidR="009D0AA2">
        <w:t xml:space="preserve">individual </w:t>
      </w:r>
      <w:r w:rsidR="009D0AA2" w:rsidRPr="00817448">
        <w:t>APS respondent</w:t>
      </w:r>
      <w:r w:rsidR="009D0AA2">
        <w:t>s</w:t>
      </w:r>
      <w:r w:rsidR="00817448" w:rsidRPr="00817448">
        <w:rPr>
          <w:rFonts w:cs="Times New Roman"/>
        </w:rPr>
        <w:t xml:space="preserve">, and the 41 non-affirmed court types – suggest the possibility of </w:t>
      </w:r>
      <w:r w:rsidR="00817448">
        <w:rPr>
          <w:rFonts w:cs="Times New Roman"/>
        </w:rPr>
        <w:t>either under-</w:t>
      </w:r>
      <w:r w:rsidR="00817448" w:rsidRPr="00817448">
        <w:rPr>
          <w:rFonts w:cs="Times New Roman"/>
        </w:rPr>
        <w:t xml:space="preserve">coverage </w:t>
      </w:r>
      <w:r w:rsidR="00817448">
        <w:rPr>
          <w:rFonts w:cs="Times New Roman"/>
        </w:rPr>
        <w:t>or duplication in the APS.</w:t>
      </w:r>
    </w:p>
    <w:p w:rsidR="00817448" w:rsidRPr="00817448" w:rsidRDefault="00817448" w:rsidP="00817448">
      <w:pPr>
        <w:contextualSpacing/>
        <w:rPr>
          <w:rFonts w:cs="Times New Roman"/>
        </w:rPr>
      </w:pPr>
    </w:p>
    <w:p w:rsidR="00817448" w:rsidRDefault="00C107A0" w:rsidP="008F0EAF">
      <w:pPr>
        <w:contextualSpacing/>
        <w:rPr>
          <w:rFonts w:cs="Times New Roman"/>
        </w:rPr>
      </w:pPr>
      <w:r>
        <w:rPr>
          <w:rFonts w:cs="Times New Roman"/>
        </w:rPr>
        <w:t>Subsequently</w:t>
      </w:r>
      <w:r w:rsidR="00817448">
        <w:rPr>
          <w:rFonts w:cs="Times New Roman"/>
        </w:rPr>
        <w:t xml:space="preserve">, </w:t>
      </w:r>
      <w:r w:rsidR="00B7695A">
        <w:rPr>
          <w:rFonts w:cs="Times New Roman"/>
        </w:rPr>
        <w:t>BJS asked RTI to</w:t>
      </w:r>
      <w:r w:rsidR="00817448">
        <w:rPr>
          <w:rFonts w:cs="Times New Roman"/>
        </w:rPr>
        <w:t xml:space="preserve"> examine </w:t>
      </w:r>
      <w:r w:rsidR="00E84F48" w:rsidRPr="00817448">
        <w:rPr>
          <w:rFonts w:cs="Times New Roman"/>
        </w:rPr>
        <w:t>other existing data (e.g., state reports available online, CAPSA data</w:t>
      </w:r>
      <w:r w:rsidR="00817448">
        <w:rPr>
          <w:rFonts w:cs="Times New Roman"/>
        </w:rPr>
        <w:t xml:space="preserve"> and documentation</w:t>
      </w:r>
      <w:r w:rsidR="00B7695A">
        <w:rPr>
          <w:rFonts w:cs="Times New Roman"/>
        </w:rPr>
        <w:t xml:space="preserve"> on felony supervising agencies</w:t>
      </w:r>
      <w:r w:rsidR="00E84F48" w:rsidRPr="00817448">
        <w:rPr>
          <w:rFonts w:cs="Times New Roman"/>
        </w:rPr>
        <w:t>)</w:t>
      </w:r>
      <w:r w:rsidR="00B7695A">
        <w:rPr>
          <w:rFonts w:cs="Times New Roman"/>
        </w:rPr>
        <w:t>.</w:t>
      </w:r>
      <w:r w:rsidR="00A566F8">
        <w:rPr>
          <w:rFonts w:cs="Times New Roman"/>
        </w:rPr>
        <w:t xml:space="preserve"> </w:t>
      </w:r>
      <w:r w:rsidR="00B7695A">
        <w:rPr>
          <w:rFonts w:cs="Times New Roman"/>
        </w:rPr>
        <w:t xml:space="preserve">This research </w:t>
      </w:r>
      <w:r w:rsidR="003B323E">
        <w:rPr>
          <w:rFonts w:cs="Times New Roman"/>
        </w:rPr>
        <w:t xml:space="preserve">identified </w:t>
      </w:r>
      <w:r w:rsidR="00817448">
        <w:rPr>
          <w:rFonts w:cs="Times New Roman"/>
        </w:rPr>
        <w:t>approximately 5</w:t>
      </w:r>
      <w:r w:rsidR="0074788A">
        <w:rPr>
          <w:rFonts w:cs="Times New Roman"/>
        </w:rPr>
        <w:t>,</w:t>
      </w:r>
      <w:r w:rsidR="00525B37">
        <w:rPr>
          <w:rFonts w:cs="Times New Roman"/>
        </w:rPr>
        <w:t>2</w:t>
      </w:r>
      <w:r w:rsidR="00817448">
        <w:rPr>
          <w:rFonts w:cs="Times New Roman"/>
        </w:rPr>
        <w:t>00</w:t>
      </w:r>
      <w:r>
        <w:rPr>
          <w:rFonts w:cs="Times New Roman"/>
        </w:rPr>
        <w:t xml:space="preserve">, including those identified previously, </w:t>
      </w:r>
      <w:r w:rsidR="008F0EAF" w:rsidRPr="00817448">
        <w:rPr>
          <w:rFonts w:cs="Times New Roman"/>
        </w:rPr>
        <w:t xml:space="preserve">agencies as </w:t>
      </w:r>
      <w:r w:rsidR="00E84F48" w:rsidRPr="00817448">
        <w:rPr>
          <w:rFonts w:cs="Times New Roman"/>
        </w:rPr>
        <w:t xml:space="preserve">potentially </w:t>
      </w:r>
      <w:r w:rsidR="008F0EAF" w:rsidRPr="00817448">
        <w:rPr>
          <w:rFonts w:cs="Times New Roman"/>
        </w:rPr>
        <w:t>eligible for inclusion on the AP</w:t>
      </w:r>
      <w:r w:rsidR="00E84F48" w:rsidRPr="00817448">
        <w:rPr>
          <w:rFonts w:cs="Times New Roman"/>
        </w:rPr>
        <w:t>S</w:t>
      </w:r>
      <w:r w:rsidR="008F0EAF" w:rsidRPr="00817448">
        <w:rPr>
          <w:rFonts w:cs="Times New Roman"/>
        </w:rPr>
        <w:t xml:space="preserve"> frame.</w:t>
      </w:r>
      <w:r w:rsidR="00817448">
        <w:rPr>
          <w:rFonts w:cs="Times New Roman"/>
        </w:rPr>
        <w:t xml:space="preserve"> </w:t>
      </w:r>
      <w:r w:rsidR="002E34C2">
        <w:rPr>
          <w:rFonts w:cs="Times New Roman"/>
        </w:rPr>
        <w:t>The majority of these agencies are probably supervising small populations of misdemeanant</w:t>
      </w:r>
      <w:r w:rsidR="00A566F8">
        <w:rPr>
          <w:rFonts w:cs="Times New Roman"/>
        </w:rPr>
        <w:t>-</w:t>
      </w:r>
      <w:r w:rsidR="002E34C2">
        <w:rPr>
          <w:rFonts w:cs="Times New Roman"/>
        </w:rPr>
        <w:t>only probationers.</w:t>
      </w:r>
      <w:r w:rsidR="00A57AB2">
        <w:rPr>
          <w:rFonts w:cs="Times New Roman"/>
        </w:rPr>
        <w:t xml:space="preserve"> </w:t>
      </w:r>
      <w:r w:rsidR="00817448">
        <w:rPr>
          <w:rFonts w:cs="Times New Roman"/>
        </w:rPr>
        <w:t>The number of potential additions is largely the result of</w:t>
      </w:r>
      <w:r w:rsidR="00824644">
        <w:rPr>
          <w:rFonts w:cs="Times New Roman"/>
        </w:rPr>
        <w:t>:</w:t>
      </w:r>
    </w:p>
    <w:p w:rsidR="00817448" w:rsidRDefault="00817448" w:rsidP="008F0EAF">
      <w:pPr>
        <w:contextualSpacing/>
        <w:rPr>
          <w:rFonts w:cs="Times New Roman"/>
        </w:rPr>
      </w:pPr>
    </w:p>
    <w:p w:rsidR="008F0EAF" w:rsidRDefault="0015700F" w:rsidP="00817448">
      <w:pPr>
        <w:pStyle w:val="ListParagraph"/>
        <w:numPr>
          <w:ilvl w:val="0"/>
          <w:numId w:val="8"/>
        </w:numPr>
        <w:spacing w:after="160" w:line="259" w:lineRule="auto"/>
        <w:contextualSpacing/>
        <w:rPr>
          <w:rFonts w:ascii="Times New Roman" w:hAnsi="Times New Roman"/>
          <w:sz w:val="24"/>
          <w:szCs w:val="24"/>
        </w:rPr>
      </w:pPr>
      <w:r>
        <w:rPr>
          <w:rFonts w:ascii="Times New Roman" w:hAnsi="Times New Roman"/>
          <w:sz w:val="24"/>
          <w:szCs w:val="24"/>
        </w:rPr>
        <w:t>I</w:t>
      </w:r>
      <w:r w:rsidRPr="00817448">
        <w:rPr>
          <w:rFonts w:ascii="Times New Roman" w:hAnsi="Times New Roman"/>
          <w:sz w:val="24"/>
          <w:szCs w:val="24"/>
        </w:rPr>
        <w:t>dentif</w:t>
      </w:r>
      <w:r>
        <w:rPr>
          <w:rFonts w:ascii="Times New Roman" w:hAnsi="Times New Roman"/>
          <w:sz w:val="24"/>
          <w:szCs w:val="24"/>
        </w:rPr>
        <w:t>ication of</w:t>
      </w:r>
      <w:r w:rsidRPr="00817448">
        <w:rPr>
          <w:rFonts w:ascii="Times New Roman" w:hAnsi="Times New Roman"/>
          <w:sz w:val="24"/>
          <w:szCs w:val="24"/>
        </w:rPr>
        <w:t xml:space="preserve"> </w:t>
      </w:r>
      <w:r w:rsidR="00817448" w:rsidRPr="00817448">
        <w:rPr>
          <w:rFonts w:ascii="Times New Roman" w:hAnsi="Times New Roman"/>
          <w:sz w:val="24"/>
          <w:szCs w:val="24"/>
        </w:rPr>
        <w:t xml:space="preserve">additional agencies </w:t>
      </w:r>
      <w:r w:rsidR="00824644">
        <w:rPr>
          <w:rFonts w:ascii="Times New Roman" w:hAnsi="Times New Roman"/>
          <w:sz w:val="24"/>
          <w:szCs w:val="24"/>
        </w:rPr>
        <w:t xml:space="preserve">through online searches </w:t>
      </w:r>
      <w:r w:rsidR="00817448" w:rsidRPr="00817448">
        <w:rPr>
          <w:rFonts w:ascii="Times New Roman" w:hAnsi="Times New Roman"/>
          <w:sz w:val="24"/>
          <w:szCs w:val="24"/>
        </w:rPr>
        <w:t xml:space="preserve">that are </w:t>
      </w:r>
      <w:r w:rsidR="003B323E">
        <w:rPr>
          <w:rFonts w:ascii="Times New Roman" w:hAnsi="Times New Roman"/>
          <w:sz w:val="24"/>
          <w:szCs w:val="24"/>
        </w:rPr>
        <w:t>similar to</w:t>
      </w:r>
      <w:r w:rsidR="00817448" w:rsidRPr="00817448">
        <w:rPr>
          <w:rFonts w:ascii="Times New Roman" w:hAnsi="Times New Roman"/>
          <w:sz w:val="24"/>
          <w:szCs w:val="24"/>
        </w:rPr>
        <w:t xml:space="preserve"> those </w:t>
      </w:r>
      <w:r w:rsidR="00824644" w:rsidRPr="00817448">
        <w:rPr>
          <w:rFonts w:ascii="Times New Roman" w:hAnsi="Times New Roman"/>
          <w:sz w:val="24"/>
          <w:szCs w:val="24"/>
        </w:rPr>
        <w:t>identified</w:t>
      </w:r>
      <w:r w:rsidR="00817448" w:rsidRPr="00817448">
        <w:rPr>
          <w:rFonts w:ascii="Times New Roman" w:hAnsi="Times New Roman"/>
          <w:sz w:val="24"/>
          <w:szCs w:val="24"/>
        </w:rPr>
        <w:t xml:space="preserve"> </w:t>
      </w:r>
      <w:r w:rsidR="00824644">
        <w:rPr>
          <w:rFonts w:ascii="Times New Roman" w:hAnsi="Times New Roman"/>
          <w:sz w:val="24"/>
          <w:szCs w:val="24"/>
        </w:rPr>
        <w:t>in the</w:t>
      </w:r>
      <w:r w:rsidR="003B323E">
        <w:rPr>
          <w:rFonts w:ascii="Times New Roman" w:hAnsi="Times New Roman"/>
          <w:sz w:val="24"/>
          <w:szCs w:val="24"/>
        </w:rPr>
        <w:t xml:space="preserve"> RY 2015</w:t>
      </w:r>
      <w:r w:rsidR="00A57AB2">
        <w:rPr>
          <w:rFonts w:ascii="Times New Roman" w:hAnsi="Times New Roman"/>
          <w:sz w:val="24"/>
          <w:szCs w:val="24"/>
        </w:rPr>
        <w:t xml:space="preserve"> survey. </w:t>
      </w:r>
      <w:r w:rsidR="00824644">
        <w:rPr>
          <w:rFonts w:ascii="Times New Roman" w:hAnsi="Times New Roman"/>
          <w:sz w:val="24"/>
          <w:szCs w:val="24"/>
        </w:rPr>
        <w:t>For example, if one county agency listed on the survey was not affirmed by any respondent, RTI searched online for</w:t>
      </w:r>
      <w:r w:rsidR="00A57AB2">
        <w:rPr>
          <w:rFonts w:ascii="Times New Roman" w:hAnsi="Times New Roman"/>
          <w:sz w:val="24"/>
          <w:szCs w:val="24"/>
        </w:rPr>
        <w:t xml:space="preserve"> information about the agency. </w:t>
      </w:r>
      <w:r w:rsidR="00824644">
        <w:rPr>
          <w:rFonts w:ascii="Times New Roman" w:hAnsi="Times New Roman"/>
          <w:sz w:val="24"/>
          <w:szCs w:val="24"/>
        </w:rPr>
        <w:t>Often, th</w:t>
      </w:r>
      <w:r w:rsidR="003B323E">
        <w:rPr>
          <w:rFonts w:ascii="Times New Roman" w:hAnsi="Times New Roman"/>
          <w:sz w:val="24"/>
          <w:szCs w:val="24"/>
        </w:rPr>
        <w:t>is</w:t>
      </w:r>
      <w:r w:rsidR="00824644">
        <w:rPr>
          <w:rFonts w:ascii="Times New Roman" w:hAnsi="Times New Roman"/>
          <w:sz w:val="24"/>
          <w:szCs w:val="24"/>
        </w:rPr>
        <w:t xml:space="preserve"> search led to other county agencies that had not been listed on the survey</w:t>
      </w:r>
      <w:r w:rsidR="005B506B">
        <w:rPr>
          <w:rFonts w:ascii="Times New Roman" w:hAnsi="Times New Roman"/>
          <w:sz w:val="24"/>
          <w:szCs w:val="24"/>
        </w:rPr>
        <w:t xml:space="preserve"> </w:t>
      </w:r>
      <w:r w:rsidR="003B323E">
        <w:rPr>
          <w:rFonts w:ascii="Times New Roman" w:hAnsi="Times New Roman"/>
          <w:sz w:val="24"/>
          <w:szCs w:val="24"/>
        </w:rPr>
        <w:t>but a</w:t>
      </w:r>
      <w:r w:rsidR="005B506B">
        <w:rPr>
          <w:rFonts w:ascii="Times New Roman" w:hAnsi="Times New Roman"/>
          <w:sz w:val="24"/>
          <w:szCs w:val="24"/>
        </w:rPr>
        <w:t>re believed to supervise probationers</w:t>
      </w:r>
      <w:r w:rsidR="00824644">
        <w:rPr>
          <w:rFonts w:ascii="Times New Roman" w:hAnsi="Times New Roman"/>
          <w:sz w:val="24"/>
          <w:szCs w:val="24"/>
        </w:rPr>
        <w:t>.</w:t>
      </w:r>
      <w:r w:rsidR="00A9789F">
        <w:rPr>
          <w:rFonts w:ascii="Times New Roman" w:hAnsi="Times New Roman"/>
          <w:sz w:val="24"/>
          <w:szCs w:val="24"/>
        </w:rPr>
        <w:t xml:space="preserve"> </w:t>
      </w:r>
    </w:p>
    <w:p w:rsidR="005B506B" w:rsidRDefault="005B506B" w:rsidP="00817448">
      <w:pPr>
        <w:pStyle w:val="ListParagraph"/>
        <w:numPr>
          <w:ilvl w:val="0"/>
          <w:numId w:val="8"/>
        </w:numPr>
        <w:spacing w:after="160" w:line="259" w:lineRule="auto"/>
        <w:contextualSpacing/>
        <w:rPr>
          <w:rFonts w:ascii="Times New Roman" w:hAnsi="Times New Roman"/>
          <w:sz w:val="24"/>
          <w:szCs w:val="24"/>
        </w:rPr>
      </w:pPr>
      <w:r>
        <w:rPr>
          <w:rFonts w:ascii="Times New Roman" w:hAnsi="Times New Roman"/>
          <w:sz w:val="24"/>
          <w:szCs w:val="24"/>
        </w:rPr>
        <w:t xml:space="preserve">Identifying non-affirmed court types that, from their websites, appear </w:t>
      </w:r>
      <w:r w:rsidR="00A57AB2">
        <w:rPr>
          <w:rFonts w:ascii="Times New Roman" w:hAnsi="Times New Roman"/>
          <w:sz w:val="24"/>
          <w:szCs w:val="24"/>
        </w:rPr>
        <w:t xml:space="preserve">to assign adults to probation. </w:t>
      </w:r>
      <w:r>
        <w:rPr>
          <w:rFonts w:ascii="Times New Roman" w:hAnsi="Times New Roman"/>
          <w:sz w:val="24"/>
          <w:szCs w:val="24"/>
        </w:rPr>
        <w:t>Often there are dozens of these courts within a state and each might</w:t>
      </w:r>
      <w:r w:rsidR="00A57AB2">
        <w:rPr>
          <w:rFonts w:ascii="Times New Roman" w:hAnsi="Times New Roman"/>
          <w:sz w:val="24"/>
          <w:szCs w:val="24"/>
        </w:rPr>
        <w:t xml:space="preserve"> operate a supervision agency. </w:t>
      </w:r>
      <w:r>
        <w:rPr>
          <w:rFonts w:ascii="Times New Roman" w:hAnsi="Times New Roman"/>
          <w:sz w:val="24"/>
          <w:szCs w:val="24"/>
        </w:rPr>
        <w:t>A majority are believed to be responsible for supervision of misdemeanants without reporting requirements (i.e., inactive cases).</w:t>
      </w:r>
    </w:p>
    <w:p w:rsidR="00FB4C10" w:rsidRPr="00FB4C10" w:rsidRDefault="00FB4C10" w:rsidP="00FB4C10">
      <w:pPr>
        <w:spacing w:after="160" w:line="259" w:lineRule="auto"/>
        <w:contextualSpacing/>
      </w:pPr>
      <w:r>
        <w:t>S</w:t>
      </w:r>
      <w:r w:rsidR="007944BD">
        <w:t>ix</w:t>
      </w:r>
      <w:r>
        <w:t xml:space="preserve"> states account for </w:t>
      </w:r>
      <w:r w:rsidR="007944BD">
        <w:t>nearly 7</w:t>
      </w:r>
      <w:r>
        <w:t>0% of the potentially eligible missing agencies</w:t>
      </w:r>
      <w:r w:rsidR="007944BD">
        <w:t>: Alabama (6%), Kansas (8%), Mississippi (7%), Ohio (6%), Oklahoma (8%), and Texas (34%)</w:t>
      </w:r>
      <w:r>
        <w:t>.</w:t>
      </w:r>
    </w:p>
    <w:p w:rsidR="008F0EAF" w:rsidRPr="00817448" w:rsidRDefault="008F0EAF" w:rsidP="008F0EAF">
      <w:pPr>
        <w:contextualSpacing/>
        <w:rPr>
          <w:rFonts w:cs="Times New Roman"/>
        </w:rPr>
      </w:pPr>
    </w:p>
    <w:p w:rsidR="00FF7C83" w:rsidRPr="00FF7C83" w:rsidRDefault="00FF7C83" w:rsidP="00FF7C83">
      <w:pPr>
        <w:contextualSpacing/>
        <w:rPr>
          <w:u w:val="single"/>
        </w:rPr>
      </w:pPr>
      <w:r w:rsidRPr="00FF7C83">
        <w:rPr>
          <w:u w:val="single"/>
        </w:rPr>
        <w:t>Request for developmental work</w:t>
      </w:r>
    </w:p>
    <w:p w:rsidR="00FC64FE" w:rsidRDefault="00FF7C83" w:rsidP="00FF7C83">
      <w:pPr>
        <w:contextualSpacing/>
      </w:pPr>
      <w:r>
        <w:t xml:space="preserve">BJS plans to conduct developmental work for </w:t>
      </w:r>
      <w:r w:rsidR="00FB4C10">
        <w:t xml:space="preserve">the APS </w:t>
      </w:r>
      <w:r>
        <w:t>under the</w:t>
      </w:r>
      <w:r w:rsidR="00B7695A">
        <w:t xml:space="preserve"> BJS</w:t>
      </w:r>
      <w:r>
        <w:t xml:space="preserve"> generic clearance</w:t>
      </w:r>
      <w:r w:rsidR="00BA109F">
        <w:t xml:space="preserve"> agreement </w:t>
      </w:r>
      <w:r w:rsidR="00BA109F" w:rsidRPr="009D0F03">
        <w:t xml:space="preserve">(OMB </w:t>
      </w:r>
      <w:r w:rsidRPr="009D0F03">
        <w:t>1121-0</w:t>
      </w:r>
      <w:r w:rsidR="00656C19">
        <w:t>339</w:t>
      </w:r>
      <w:r w:rsidRPr="009D0F03">
        <w:t xml:space="preserve">). </w:t>
      </w:r>
      <w:r w:rsidR="00FC64FE">
        <w:t>The primary goal is to determine which agencies are in operation and</w:t>
      </w:r>
      <w:r w:rsidR="00A57AB2">
        <w:t xml:space="preserve"> supervise adult probationers. </w:t>
      </w:r>
      <w:r w:rsidR="00FC64FE">
        <w:t xml:space="preserve">Proposed outreach </w:t>
      </w:r>
      <w:r w:rsidR="00FB4C10">
        <w:t>will entail contacting agenc</w:t>
      </w:r>
      <w:r w:rsidR="007B110F">
        <w:t xml:space="preserve">ies </w:t>
      </w:r>
      <w:r w:rsidR="00FC64FE">
        <w:t xml:space="preserve">responsible for supervising probationers, courts responsible for assigning individuals to probation, </w:t>
      </w:r>
      <w:r w:rsidR="00FB4C10">
        <w:t>and other local and state-level informants</w:t>
      </w:r>
      <w:r w:rsidR="00770509">
        <w:t xml:space="preserve"> </w:t>
      </w:r>
      <w:r w:rsidR="00FB4C10">
        <w:t>to learn more about the nature of their role in probation supervision.</w:t>
      </w:r>
      <w:r w:rsidR="007B110F">
        <w:rPr>
          <w:rStyle w:val="FootnoteReference"/>
        </w:rPr>
        <w:footnoteReference w:id="2"/>
      </w:r>
      <w:r w:rsidR="00AC4637">
        <w:t xml:space="preserve"> </w:t>
      </w:r>
      <w:r w:rsidR="00FC64FE">
        <w:t>Outreach will target the approximately 5,000 agencies identified through the</w:t>
      </w:r>
      <w:r w:rsidR="00A57AB2">
        <w:t xml:space="preserve"> investigation described above.</w:t>
      </w:r>
      <w:r w:rsidR="00FC64FE">
        <w:t xml:space="preserve"> Contact with agencies already on the APS frame will be limited to those that report for multiple supervising agencies in </w:t>
      </w:r>
      <w:r w:rsidR="00A74F57">
        <w:t xml:space="preserve">a </w:t>
      </w:r>
      <w:r w:rsidR="00FC64FE">
        <w:t>state and may have jurisdiction over one or more of the newly identified supervising agencies as well</w:t>
      </w:r>
      <w:r w:rsidR="00952652">
        <w:t xml:space="preserve">. </w:t>
      </w:r>
    </w:p>
    <w:p w:rsidR="00FC64FE" w:rsidRDefault="00FC64FE" w:rsidP="00FF7C83">
      <w:pPr>
        <w:contextualSpacing/>
      </w:pPr>
    </w:p>
    <w:p w:rsidR="00FF7C83" w:rsidRDefault="00FC64FE" w:rsidP="00FF7C83">
      <w:pPr>
        <w:contextualSpacing/>
      </w:pPr>
      <w:r>
        <w:t xml:space="preserve">The secondary goal is to collect information that can be used to define the appropriate universe for the APS. </w:t>
      </w:r>
      <w:r w:rsidR="00FB4C10">
        <w:t>Given potential respondent burden and data collection costs, it may not be possible to conduct an annual ce</w:t>
      </w:r>
      <w:r w:rsidR="00A57AB2">
        <w:t xml:space="preserve">nsus of all eligible agencies. </w:t>
      </w:r>
      <w:r w:rsidR="00FB4C10">
        <w:t>Rather, BJS may have to develop alternative study designs (e.g., a census of agencies that supervise felons, with a sample of agencies that supervise only misdemeanants). In anticipation of the need to redesign the collection, information on the number and type of probationers supervised will be collected during these contacts</w:t>
      </w:r>
      <w:r w:rsidR="00952652">
        <w:t xml:space="preserve">. </w:t>
      </w:r>
      <w:r w:rsidR="00144972">
        <w:t xml:space="preserve">This collection will result in a complete universe of supervising agencies that can be used to conduct </w:t>
      </w:r>
      <w:r w:rsidR="00590636">
        <w:t xml:space="preserve">both </w:t>
      </w:r>
      <w:r w:rsidR="00144972">
        <w:t xml:space="preserve">censuses </w:t>
      </w:r>
      <w:r w:rsidR="00590636">
        <w:t xml:space="preserve">and sample surveys </w:t>
      </w:r>
      <w:r w:rsidR="00144972">
        <w:t xml:space="preserve">of </w:t>
      </w:r>
      <w:r w:rsidR="00590636">
        <w:t>specific</w:t>
      </w:r>
      <w:r w:rsidR="00144972">
        <w:t xml:space="preserve"> </w:t>
      </w:r>
      <w:r w:rsidR="00590636">
        <w:t>types of agency to support BJS’s reporting requirements and the data needs of policy-makers, researchers, and other stakeholders.</w:t>
      </w:r>
      <w:r w:rsidR="0081125D">
        <w:t xml:space="preserve"> Data collected from this survey will only be used internally at BJS, and will not be published. </w:t>
      </w:r>
    </w:p>
    <w:p w:rsidR="00FF7C83" w:rsidRDefault="00FF7C83" w:rsidP="00FF7C83">
      <w:pPr>
        <w:contextualSpacing/>
      </w:pPr>
    </w:p>
    <w:p w:rsidR="00FF7C83" w:rsidRPr="00FF7C83" w:rsidRDefault="004E2F3E" w:rsidP="00FF7C83">
      <w:pPr>
        <w:contextualSpacing/>
        <w:rPr>
          <w:u w:val="single"/>
        </w:rPr>
      </w:pPr>
      <w:r>
        <w:rPr>
          <w:u w:val="single"/>
        </w:rPr>
        <w:t>Survey Design and Collection Procedures</w:t>
      </w:r>
    </w:p>
    <w:p w:rsidR="00D369E9" w:rsidRDefault="00D369E9" w:rsidP="004E2F3E">
      <w:pPr>
        <w:contextualSpacing/>
      </w:pPr>
    </w:p>
    <w:p w:rsidR="00B90305" w:rsidRDefault="00D369E9" w:rsidP="00D369E9">
      <w:r>
        <w:t>RTI will institute a state-level data collection method</w:t>
      </w:r>
      <w:r w:rsidR="00A57AB2">
        <w:t xml:space="preserve">. </w:t>
      </w:r>
      <w:r w:rsidR="00B90305">
        <w:t xml:space="preserve">The effort will be done primarily </w:t>
      </w:r>
      <w:r w:rsidR="003A3D09">
        <w:t xml:space="preserve">by </w:t>
      </w:r>
      <w:r w:rsidR="00A566F8">
        <w:t>mail</w:t>
      </w:r>
      <w:r w:rsidR="00B90305">
        <w:t>,</w:t>
      </w:r>
      <w:r w:rsidR="003A3D09">
        <w:t xml:space="preserve"> but will</w:t>
      </w:r>
      <w:r w:rsidR="00B90305">
        <w:t xml:space="preserve"> inclu</w:t>
      </w:r>
      <w:r w:rsidR="00A57AB2">
        <w:t xml:space="preserve">de </w:t>
      </w:r>
      <w:r w:rsidR="00A566F8">
        <w:t xml:space="preserve">telephone and additional </w:t>
      </w:r>
      <w:r w:rsidR="00A57AB2">
        <w:t xml:space="preserve">mail outreach if necessary. </w:t>
      </w:r>
      <w:r w:rsidR="00B90305">
        <w:t xml:space="preserve">Overall, </w:t>
      </w:r>
      <w:r w:rsidR="00BC1F8A">
        <w:t>outreach directed at any one agency</w:t>
      </w:r>
      <w:r w:rsidR="00A05DD1">
        <w:t>/court</w:t>
      </w:r>
      <w:r w:rsidR="00BC1F8A">
        <w:t xml:space="preserve"> will last no longer than </w:t>
      </w:r>
      <w:r w:rsidR="00525B37">
        <w:t>8</w:t>
      </w:r>
      <w:r w:rsidR="00BC1F8A">
        <w:t xml:space="preserve"> weeks.</w:t>
      </w:r>
      <w:r w:rsidR="003A3D09">
        <w:t xml:space="preserve"> Respondents will be notified that OMB has approved this survey. </w:t>
      </w:r>
    </w:p>
    <w:p w:rsidR="00B90305" w:rsidRDefault="00B90305" w:rsidP="00D369E9"/>
    <w:p w:rsidR="009A08EE" w:rsidRPr="007D2F36" w:rsidRDefault="00283410" w:rsidP="009A08EE">
      <w:r>
        <w:t>In most states, t</w:t>
      </w:r>
      <w:r w:rsidR="00D369E9">
        <w:t xml:space="preserve">he first step will be </w:t>
      </w:r>
      <w:r>
        <w:t>to mail a request for information to the agency head</w:t>
      </w:r>
      <w:r w:rsidR="00952652">
        <w:t xml:space="preserve">. </w:t>
      </w:r>
      <w:r>
        <w:t>The request will include a cover letter explaining the purpose of the request and an Information Form (</w:t>
      </w:r>
      <w:r w:rsidR="007D2F36">
        <w:t>Appendixe</w:t>
      </w:r>
      <w:r w:rsidRPr="007D2F36">
        <w:t xml:space="preserve">s </w:t>
      </w:r>
      <w:r w:rsidR="009A08EE" w:rsidRPr="00FF2ECE">
        <w:t>A</w:t>
      </w:r>
      <w:r w:rsidRPr="007D2F36">
        <w:t xml:space="preserve"> and </w:t>
      </w:r>
      <w:r w:rsidR="009A08EE" w:rsidRPr="00FF2ECE">
        <w:t>B</w:t>
      </w:r>
      <w:r w:rsidRPr="007D2F36">
        <w:t>)</w:t>
      </w:r>
      <w:r w:rsidR="00952652">
        <w:t xml:space="preserve">. </w:t>
      </w:r>
      <w:r w:rsidRPr="007D2F36">
        <w:t xml:space="preserve">The form will ask the respondent to indicate </w:t>
      </w:r>
      <w:r w:rsidR="00256C69">
        <w:t>whether</w:t>
      </w:r>
      <w:r w:rsidRPr="007D2F36">
        <w:t xml:space="preserve"> the agency has responsibility for supervising adults on probation and</w:t>
      </w:r>
      <w:r w:rsidR="00256C69">
        <w:t>, if not, whether</w:t>
      </w:r>
      <w:r w:rsidRPr="007D2F36">
        <w:t xml:space="preserve"> they expect to have that responsibility </w:t>
      </w:r>
      <w:r w:rsidR="00FF2ECE">
        <w:t>in</w:t>
      </w:r>
      <w:r w:rsidRPr="007D2F36">
        <w:t xml:space="preserve"> the following year</w:t>
      </w:r>
      <w:r w:rsidR="00952652">
        <w:t xml:space="preserve">. </w:t>
      </w:r>
      <w:r w:rsidR="00256C69">
        <w:t>If a court assigns adults to probation and does not have responsibility for supervising them, they</w:t>
      </w:r>
      <w:r w:rsidRPr="007D2F36">
        <w:t xml:space="preserve"> will be asked for the name of any agency </w:t>
      </w:r>
      <w:r w:rsidR="00256C69">
        <w:t>with the responsibility for supervising the probationers the court assigns</w:t>
      </w:r>
      <w:r w:rsidR="00952652">
        <w:t xml:space="preserve">. </w:t>
      </w:r>
      <w:r w:rsidRPr="007D2F36">
        <w:t>All respondents will be asked to report the number of felons and number of misdemeanants supervised</w:t>
      </w:r>
      <w:r w:rsidR="00952652">
        <w:t xml:space="preserve">. </w:t>
      </w:r>
      <w:r w:rsidRPr="007D2F36">
        <w:t>In addition, they will be asked to provide contact information for the</w:t>
      </w:r>
      <w:r w:rsidR="00256C69">
        <w:t xml:space="preserve"> data provider</w:t>
      </w:r>
      <w:r w:rsidRPr="007D2F36">
        <w:t xml:space="preserve"> and the agency head</w:t>
      </w:r>
      <w:r w:rsidR="00952652">
        <w:t xml:space="preserve">. </w:t>
      </w:r>
      <w:r w:rsidR="009A08EE" w:rsidRPr="007D2F36">
        <w:t xml:space="preserve">Agencies will be able to contact the Agency Support Team via a toll-free hotline or the study e-mail address if they choose to respond by telephone. </w:t>
      </w:r>
    </w:p>
    <w:p w:rsidR="00283410" w:rsidRPr="007D2F36" w:rsidRDefault="00283410" w:rsidP="00D369E9"/>
    <w:p w:rsidR="00283410" w:rsidRPr="007D2F36" w:rsidRDefault="00283410" w:rsidP="00D369E9">
      <w:r w:rsidRPr="007D2F36">
        <w:t>A modified approach will be used in Texas, where there are more than 1,</w:t>
      </w:r>
      <w:r w:rsidR="00256C69">
        <w:t>7</w:t>
      </w:r>
      <w:r w:rsidRPr="007D2F36">
        <w:t xml:space="preserve">00 agencies to contact, and any other jurisdiction with large numbers of agencies where little is known about the likelihood that they supervise probationers. In these cases, the initial contact will </w:t>
      </w:r>
      <w:r w:rsidR="00BA07B0" w:rsidRPr="007D2F36">
        <w:t>employ a</w:t>
      </w:r>
      <w:r w:rsidRPr="007D2F36">
        <w:t xml:space="preserve"> self-mailer (i.e., folded postcard)</w:t>
      </w:r>
      <w:r w:rsidR="00BA07B0" w:rsidRPr="007D2F36">
        <w:t xml:space="preserve"> in place of the cover letter and Information Form</w:t>
      </w:r>
      <w:r w:rsidR="00952652">
        <w:t xml:space="preserve">. </w:t>
      </w:r>
      <w:r w:rsidR="00BA07B0" w:rsidRPr="007D2F36">
        <w:t xml:space="preserve">The self-mailer is shown in </w:t>
      </w:r>
      <w:r w:rsidR="007D2F36">
        <w:t>Appendix</w:t>
      </w:r>
      <w:r w:rsidR="00BA07B0" w:rsidRPr="007D2F36">
        <w:t xml:space="preserve"> </w:t>
      </w:r>
      <w:r w:rsidR="007D2F36" w:rsidRPr="007D2F36">
        <w:t>C</w:t>
      </w:r>
      <w:r w:rsidR="00952652">
        <w:t xml:space="preserve">. </w:t>
      </w:r>
      <w:r w:rsidR="00BA07B0" w:rsidRPr="007D2F36">
        <w:t>The mailer will provide the same information as the cover letter and highlight a few recent findings from the ASPP</w:t>
      </w:r>
      <w:r w:rsidR="00952652">
        <w:t xml:space="preserve">. </w:t>
      </w:r>
      <w:r w:rsidR="00BA07B0" w:rsidRPr="007D2F36">
        <w:t>However, it will only ask about the supervisory role played by the agency and the contact information of the respondent</w:t>
      </w:r>
      <w:r w:rsidR="00952652">
        <w:t xml:space="preserve">. </w:t>
      </w:r>
      <w:r w:rsidR="00BA07B0" w:rsidRPr="007D2F36">
        <w:t xml:space="preserve">Questions about the number of adults supervised by type will not be asked; no contact information for the agency head will </w:t>
      </w:r>
      <w:r w:rsidR="00256C69">
        <w:t xml:space="preserve">be </w:t>
      </w:r>
      <w:r w:rsidR="00BA07B0" w:rsidRPr="007D2F36">
        <w:t>requested</w:t>
      </w:r>
      <w:r w:rsidR="00952652">
        <w:t xml:space="preserve">. </w:t>
      </w:r>
      <w:r w:rsidR="00BA07B0" w:rsidRPr="007D2F36">
        <w:t xml:space="preserve">Only those agencies that report having supervisory responsibilities will </w:t>
      </w:r>
      <w:r w:rsidR="00525B37">
        <w:t xml:space="preserve">then </w:t>
      </w:r>
      <w:r w:rsidR="00BA07B0" w:rsidRPr="007D2F36">
        <w:t>be contacted by email to collect the numbers of felons and misdemeanants supervised (</w:t>
      </w:r>
      <w:r w:rsidR="007D2F36">
        <w:t>Appendix</w:t>
      </w:r>
      <w:r w:rsidR="00BA07B0" w:rsidRPr="007D2F36">
        <w:t xml:space="preserve"> </w:t>
      </w:r>
      <w:r w:rsidR="007D2F36" w:rsidRPr="007D2F36">
        <w:t>D</w:t>
      </w:r>
      <w:r w:rsidR="00BA07B0" w:rsidRPr="007D2F36">
        <w:t xml:space="preserve">). This approach reduces the burden placed on many agencies and still allows for the identification </w:t>
      </w:r>
      <w:r w:rsidR="00256C69">
        <w:t xml:space="preserve">of </w:t>
      </w:r>
      <w:r w:rsidR="00BA07B0" w:rsidRPr="007D2F36">
        <w:t>those eligible for the full ASPP.</w:t>
      </w:r>
    </w:p>
    <w:p w:rsidR="009A08EE" w:rsidRPr="007D2F36" w:rsidRDefault="009A08EE" w:rsidP="00D369E9"/>
    <w:p w:rsidR="009A08EE" w:rsidRDefault="009A08EE" w:rsidP="009A08EE">
      <w:r w:rsidRPr="007D2F36">
        <w:t>If no response to these mail requests is received within 2 weeks, telephone follow-up will be conducted using a prepared script (</w:t>
      </w:r>
      <w:r w:rsidR="007D2F36">
        <w:t>Appendix</w:t>
      </w:r>
      <w:r w:rsidRPr="00FF2ECE">
        <w:t xml:space="preserve"> </w:t>
      </w:r>
      <w:r w:rsidR="007D2F36" w:rsidRPr="007D2F36">
        <w:t>E</w:t>
      </w:r>
      <w:r w:rsidRPr="007D2F36">
        <w:t>); this follow-up effort will last 2 weeks</w:t>
      </w:r>
      <w:r w:rsidR="00952652">
        <w:t xml:space="preserve">. </w:t>
      </w:r>
      <w:r w:rsidRPr="007D2F36">
        <w:t>Remaining nonrespondents to the telephone follow-up that were sent</w:t>
      </w:r>
      <w:r>
        <w:t xml:space="preserve"> the cover letter and Information Form will then be sent the self-mailer in an attempt to collect limited eligibility information</w:t>
      </w:r>
      <w:r w:rsidR="00952652">
        <w:t xml:space="preserve">. </w:t>
      </w:r>
    </w:p>
    <w:p w:rsidR="009A08EE" w:rsidRDefault="009A08EE" w:rsidP="00D369E9"/>
    <w:p w:rsidR="00814382" w:rsidRDefault="00525B37" w:rsidP="00814382">
      <w:r>
        <w:t xml:space="preserve">Two </w:t>
      </w:r>
      <w:r w:rsidR="00814382">
        <w:t>week</w:t>
      </w:r>
      <w:r>
        <w:t>s</w:t>
      </w:r>
      <w:r w:rsidR="00814382">
        <w:t xml:space="preserve"> after sending </w:t>
      </w:r>
      <w:r w:rsidR="009A08EE">
        <w:t>the self-mailers to this batch of nonrespondents</w:t>
      </w:r>
      <w:r w:rsidR="00814382">
        <w:t xml:space="preserve">, RTI will </w:t>
      </w:r>
      <w:r w:rsidR="00B90305">
        <w:t xml:space="preserve">initiate </w:t>
      </w:r>
      <w:r w:rsidR="009A08EE">
        <w:t xml:space="preserve">a </w:t>
      </w:r>
      <w:r w:rsidR="00B90305">
        <w:t xml:space="preserve">final </w:t>
      </w:r>
      <w:r w:rsidR="009A08EE">
        <w:t xml:space="preserve">round of </w:t>
      </w:r>
      <w:r w:rsidR="00814382">
        <w:t xml:space="preserve">telephone outreach with </w:t>
      </w:r>
      <w:r w:rsidR="009A08EE">
        <w:t xml:space="preserve">all remaining </w:t>
      </w:r>
      <w:r w:rsidR="00814382">
        <w:t xml:space="preserve">nonrespondents. </w:t>
      </w:r>
      <w:r w:rsidR="00B90305">
        <w:t xml:space="preserve">This effort will </w:t>
      </w:r>
      <w:r w:rsidR="009A08EE">
        <w:t xml:space="preserve">last no more than </w:t>
      </w:r>
      <w:r w:rsidR="00B90305">
        <w:t>2 weeks.</w:t>
      </w:r>
    </w:p>
    <w:p w:rsidR="00814382" w:rsidRPr="00814382" w:rsidRDefault="00814382" w:rsidP="00814382">
      <w:pPr>
        <w:spacing w:after="160" w:line="259" w:lineRule="auto"/>
        <w:contextualSpacing/>
      </w:pPr>
    </w:p>
    <w:p w:rsidR="00FF7C83" w:rsidRPr="00FF7C83" w:rsidRDefault="00FF7C83" w:rsidP="00FF7C83">
      <w:pPr>
        <w:contextualSpacing/>
        <w:rPr>
          <w:u w:val="single"/>
        </w:rPr>
      </w:pPr>
      <w:r w:rsidRPr="00FF7C83">
        <w:rPr>
          <w:u w:val="single"/>
        </w:rPr>
        <w:t>Burden Hours for the Survey</w:t>
      </w:r>
    </w:p>
    <w:p w:rsidR="00FF7C83" w:rsidRDefault="001F485C" w:rsidP="00FF7C83">
      <w:pPr>
        <w:contextualSpacing/>
      </w:pPr>
      <w:r>
        <w:t xml:space="preserve">RTI </w:t>
      </w:r>
      <w:r w:rsidR="00FF7C83">
        <w:t xml:space="preserve">will contact </w:t>
      </w:r>
      <w:r>
        <w:t>up to 5</w:t>
      </w:r>
      <w:r w:rsidR="004F5ABF">
        <w:t>,</w:t>
      </w:r>
      <w:r w:rsidR="00525B37">
        <w:t>3</w:t>
      </w:r>
      <w:r>
        <w:t>00 agencies.</w:t>
      </w:r>
      <w:r w:rsidR="00CF30A9">
        <w:t xml:space="preserve"> This includes the 5,200 identified agencies and the possibility of 100 more to be discovered during outreach.</w:t>
      </w:r>
      <w:r>
        <w:t xml:space="preserve"> W</w:t>
      </w:r>
      <w:r w:rsidR="00FF7C83" w:rsidRPr="008C5C40">
        <w:t xml:space="preserve">e anticipate </w:t>
      </w:r>
      <w:r w:rsidR="00202B5B">
        <w:t xml:space="preserve">that </w:t>
      </w:r>
      <w:r w:rsidR="009A08EE">
        <w:t xml:space="preserve">respondents, regardless of mode or reporting form, </w:t>
      </w:r>
      <w:r w:rsidR="00FF7C83" w:rsidRPr="008C5C40">
        <w:t>will need</w:t>
      </w:r>
      <w:r w:rsidR="003A3D09">
        <w:t xml:space="preserve"> an average</w:t>
      </w:r>
      <w:r w:rsidR="00FF7C83" w:rsidRPr="008C5C40">
        <w:t xml:space="preserve"> of 1</w:t>
      </w:r>
      <w:r w:rsidR="007C027A">
        <w:t>0</w:t>
      </w:r>
      <w:r w:rsidR="00FF7C83" w:rsidRPr="008C5C40">
        <w:t xml:space="preserve"> minutes to </w:t>
      </w:r>
      <w:r>
        <w:t>gather necessary information and respond to the questions pose</w:t>
      </w:r>
      <w:r w:rsidR="00814382">
        <w:t xml:space="preserve">d either from the </w:t>
      </w:r>
      <w:r w:rsidR="00930015">
        <w:t>tele</w:t>
      </w:r>
      <w:r w:rsidR="00814382">
        <w:t>phone conversation with RTI or on the information form.</w:t>
      </w:r>
    </w:p>
    <w:p w:rsidR="001F485C" w:rsidRDefault="001F485C" w:rsidP="00FF7C83">
      <w:pPr>
        <w:rPr>
          <w:rFonts w:cstheme="minorHAnsi"/>
          <w:b/>
          <w:bCs/>
        </w:rPr>
      </w:pPr>
    </w:p>
    <w:p w:rsidR="00FF7C83" w:rsidRDefault="00FF7C83" w:rsidP="00FF7C83">
      <w:pPr>
        <w:rPr>
          <w:rFonts w:cstheme="minorHAnsi"/>
          <w:b/>
          <w:bCs/>
        </w:rPr>
      </w:pPr>
      <w:r w:rsidRPr="006449EA">
        <w:rPr>
          <w:rFonts w:cstheme="minorHAnsi"/>
          <w:b/>
          <w:bCs/>
        </w:rPr>
        <w:t xml:space="preserve">Table 1. </w:t>
      </w:r>
      <w:r>
        <w:rPr>
          <w:rFonts w:cstheme="minorHAnsi"/>
          <w:b/>
          <w:bCs/>
        </w:rPr>
        <w:t>Burden estimate for survey</w:t>
      </w:r>
    </w:p>
    <w:p w:rsidR="00FF7C83" w:rsidRPr="00E04BDF" w:rsidRDefault="00FF7C83" w:rsidP="00FF7C83">
      <w:pPr>
        <w:rPr>
          <w:rFonts w:cstheme="minorHAnsi"/>
          <w:b/>
          <w:bCs/>
          <w:sz w:val="16"/>
          <w:szCs w:val="16"/>
        </w:rPr>
      </w:pPr>
    </w:p>
    <w:tbl>
      <w:tblPr>
        <w:tblStyle w:val="TableGrid"/>
        <w:tblW w:w="9360" w:type="dxa"/>
        <w:tblLook w:val="04A0" w:firstRow="1" w:lastRow="0" w:firstColumn="1" w:lastColumn="0" w:noHBand="0" w:noVBand="1"/>
      </w:tblPr>
      <w:tblGrid>
        <w:gridCol w:w="3955"/>
        <w:gridCol w:w="2610"/>
        <w:gridCol w:w="2795"/>
      </w:tblGrid>
      <w:tr w:rsidR="00FF7C83" w:rsidRPr="00B17D01" w:rsidTr="00B50D87">
        <w:trPr>
          <w:trHeight w:val="557"/>
        </w:trPr>
        <w:tc>
          <w:tcPr>
            <w:tcW w:w="3955" w:type="dxa"/>
            <w:shd w:val="clear" w:color="auto" w:fill="808080" w:themeFill="background1" w:themeFillShade="80"/>
            <w:vAlign w:val="center"/>
          </w:tcPr>
          <w:p w:rsidR="00FF7C83" w:rsidRPr="007259ED" w:rsidRDefault="00FF7C83" w:rsidP="00FF7C83">
            <w:pPr>
              <w:spacing w:after="200" w:line="276" w:lineRule="auto"/>
              <w:contextualSpacing/>
              <w:jc w:val="center"/>
              <w:rPr>
                <w:b/>
                <w:sz w:val="22"/>
                <w:szCs w:val="22"/>
              </w:rPr>
            </w:pPr>
            <w:r w:rsidRPr="007259ED">
              <w:rPr>
                <w:rFonts w:cstheme="minorBidi"/>
                <w:b/>
                <w:szCs w:val="22"/>
              </w:rPr>
              <w:t>Tasks</w:t>
            </w:r>
          </w:p>
        </w:tc>
        <w:tc>
          <w:tcPr>
            <w:tcW w:w="2610" w:type="dxa"/>
            <w:shd w:val="clear" w:color="auto" w:fill="808080" w:themeFill="background1" w:themeFillShade="80"/>
            <w:vAlign w:val="center"/>
          </w:tcPr>
          <w:p w:rsidR="00FF7C83" w:rsidRPr="007259ED" w:rsidRDefault="00FF7C83" w:rsidP="00FF7C83">
            <w:pPr>
              <w:spacing w:after="200" w:line="276" w:lineRule="auto"/>
              <w:contextualSpacing/>
              <w:jc w:val="center"/>
              <w:rPr>
                <w:b/>
                <w:sz w:val="22"/>
                <w:szCs w:val="22"/>
              </w:rPr>
            </w:pPr>
            <w:r w:rsidRPr="007259ED">
              <w:rPr>
                <w:rFonts w:cstheme="minorBidi"/>
                <w:b/>
                <w:szCs w:val="22"/>
              </w:rPr>
              <w:t xml:space="preserve">Average burden per </w:t>
            </w:r>
            <w:r w:rsidR="00085156">
              <w:rPr>
                <w:rFonts w:cstheme="minorBidi"/>
                <w:b/>
                <w:szCs w:val="22"/>
              </w:rPr>
              <w:t>agency</w:t>
            </w:r>
          </w:p>
        </w:tc>
        <w:tc>
          <w:tcPr>
            <w:tcW w:w="2793" w:type="dxa"/>
            <w:shd w:val="clear" w:color="auto" w:fill="808080" w:themeFill="background1" w:themeFillShade="80"/>
            <w:vAlign w:val="center"/>
          </w:tcPr>
          <w:p w:rsidR="00FF7C83" w:rsidRPr="006449EA" w:rsidRDefault="00FF7C83" w:rsidP="00FF7C83">
            <w:pPr>
              <w:spacing w:after="200" w:line="276" w:lineRule="auto"/>
              <w:contextualSpacing/>
              <w:jc w:val="center"/>
              <w:rPr>
                <w:b/>
                <w:sz w:val="22"/>
                <w:szCs w:val="22"/>
              </w:rPr>
            </w:pPr>
            <w:r w:rsidRPr="006449EA">
              <w:rPr>
                <w:rFonts w:cstheme="minorBidi"/>
                <w:b/>
                <w:szCs w:val="22"/>
              </w:rPr>
              <w:t>Total estimated burden hours</w:t>
            </w:r>
          </w:p>
        </w:tc>
      </w:tr>
      <w:tr w:rsidR="00FF7C83" w:rsidRPr="00B17D01" w:rsidTr="00B50D87">
        <w:trPr>
          <w:trHeight w:val="557"/>
        </w:trPr>
        <w:tc>
          <w:tcPr>
            <w:tcW w:w="3955" w:type="dxa"/>
            <w:vAlign w:val="center"/>
          </w:tcPr>
          <w:p w:rsidR="00FF7C83" w:rsidRPr="007259ED" w:rsidRDefault="001F485C" w:rsidP="00FF7C83">
            <w:pPr>
              <w:contextualSpacing/>
            </w:pPr>
            <w:r>
              <w:t>Gather information</w:t>
            </w:r>
            <w:r w:rsidR="00814382">
              <w:t xml:space="preserve"> </w:t>
            </w:r>
          </w:p>
        </w:tc>
        <w:tc>
          <w:tcPr>
            <w:tcW w:w="2610" w:type="dxa"/>
            <w:vAlign w:val="center"/>
          </w:tcPr>
          <w:p w:rsidR="00FF7C83" w:rsidRPr="007259ED" w:rsidRDefault="001F485C" w:rsidP="00FF7C83">
            <w:pPr>
              <w:contextualSpacing/>
            </w:pPr>
            <w:r>
              <w:t>5</w:t>
            </w:r>
            <w:r w:rsidR="00FF7C83" w:rsidRPr="007259ED">
              <w:t xml:space="preserve"> minutes</w:t>
            </w:r>
          </w:p>
        </w:tc>
        <w:tc>
          <w:tcPr>
            <w:tcW w:w="2793" w:type="dxa"/>
            <w:vAlign w:val="center"/>
          </w:tcPr>
          <w:p w:rsidR="00FF7C83" w:rsidRPr="007259ED" w:rsidRDefault="001F485C" w:rsidP="007C027A">
            <w:pPr>
              <w:contextualSpacing/>
            </w:pPr>
            <w:r>
              <w:rPr>
                <w:rFonts w:cstheme="minorBidi"/>
                <w:szCs w:val="22"/>
              </w:rPr>
              <w:t>5</w:t>
            </w:r>
            <w:r w:rsidR="004F5ABF">
              <w:rPr>
                <w:rFonts w:cstheme="minorBidi"/>
                <w:szCs w:val="22"/>
              </w:rPr>
              <w:t>,</w:t>
            </w:r>
            <w:r w:rsidR="00525B37">
              <w:rPr>
                <w:rFonts w:cstheme="minorBidi"/>
                <w:szCs w:val="22"/>
              </w:rPr>
              <w:t>3</w:t>
            </w:r>
            <w:r>
              <w:rPr>
                <w:rFonts w:cstheme="minorBidi"/>
                <w:szCs w:val="22"/>
              </w:rPr>
              <w:t>00</w:t>
            </w:r>
            <w:r w:rsidR="00FF7C83" w:rsidRPr="007259ED">
              <w:rPr>
                <w:rFonts w:cstheme="minorBidi"/>
                <w:szCs w:val="22"/>
              </w:rPr>
              <w:t xml:space="preserve"> respondents </w:t>
            </w:r>
            <w:r w:rsidR="00FD3E1A">
              <w:rPr>
                <w:rFonts w:cstheme="minorBidi"/>
                <w:szCs w:val="22"/>
              </w:rPr>
              <w:t>x</w:t>
            </w:r>
            <w:r w:rsidR="00FF7C83" w:rsidRPr="007259ED">
              <w:rPr>
                <w:rFonts w:cstheme="minorBidi"/>
                <w:szCs w:val="22"/>
              </w:rPr>
              <w:t xml:space="preserve"> </w:t>
            </w:r>
            <w:r>
              <w:rPr>
                <w:rFonts w:cstheme="minorBidi"/>
                <w:szCs w:val="22"/>
              </w:rPr>
              <w:t>5</w:t>
            </w:r>
            <w:r w:rsidR="00FF7C83" w:rsidRPr="007259ED">
              <w:rPr>
                <w:rFonts w:cstheme="minorBidi"/>
                <w:szCs w:val="22"/>
              </w:rPr>
              <w:t xml:space="preserve"> minutes = </w:t>
            </w:r>
            <w:r w:rsidR="00D93E5B">
              <w:rPr>
                <w:rFonts w:cstheme="minorBidi"/>
                <w:szCs w:val="22"/>
              </w:rPr>
              <w:t>4</w:t>
            </w:r>
            <w:r w:rsidR="00FF2ECE">
              <w:rPr>
                <w:rFonts w:cstheme="minorBidi"/>
                <w:szCs w:val="22"/>
              </w:rPr>
              <w:t>42</w:t>
            </w:r>
            <w:r>
              <w:rPr>
                <w:rFonts w:cstheme="minorBidi"/>
                <w:szCs w:val="22"/>
              </w:rPr>
              <w:t xml:space="preserve"> hours</w:t>
            </w:r>
          </w:p>
        </w:tc>
      </w:tr>
      <w:tr w:rsidR="00FF7C83" w:rsidRPr="00B17D01" w:rsidTr="00B50D87">
        <w:trPr>
          <w:trHeight w:val="557"/>
        </w:trPr>
        <w:tc>
          <w:tcPr>
            <w:tcW w:w="3955" w:type="dxa"/>
            <w:vAlign w:val="center"/>
          </w:tcPr>
          <w:p w:rsidR="00FF7C83" w:rsidRPr="007259ED" w:rsidRDefault="001F485C" w:rsidP="00FF7C83">
            <w:pPr>
              <w:spacing w:after="200" w:line="276" w:lineRule="auto"/>
              <w:contextualSpacing/>
              <w:rPr>
                <w:sz w:val="22"/>
                <w:szCs w:val="22"/>
              </w:rPr>
            </w:pPr>
            <w:r>
              <w:rPr>
                <w:sz w:val="22"/>
                <w:szCs w:val="22"/>
              </w:rPr>
              <w:t>Provide information</w:t>
            </w:r>
          </w:p>
        </w:tc>
        <w:tc>
          <w:tcPr>
            <w:tcW w:w="2610" w:type="dxa"/>
            <w:vAlign w:val="center"/>
          </w:tcPr>
          <w:p w:rsidR="00FF7C83" w:rsidRPr="007259ED" w:rsidRDefault="001F485C" w:rsidP="00FF7C83">
            <w:pPr>
              <w:spacing w:after="200" w:line="276" w:lineRule="auto"/>
              <w:contextualSpacing/>
              <w:rPr>
                <w:sz w:val="22"/>
                <w:szCs w:val="22"/>
              </w:rPr>
            </w:pPr>
            <w:r>
              <w:rPr>
                <w:rFonts w:cstheme="minorBidi"/>
                <w:szCs w:val="22"/>
              </w:rPr>
              <w:t xml:space="preserve">5 </w:t>
            </w:r>
            <w:r w:rsidR="00FF7C83" w:rsidRPr="007259ED">
              <w:rPr>
                <w:rFonts w:cstheme="minorBidi"/>
                <w:szCs w:val="22"/>
              </w:rPr>
              <w:t>minutes</w:t>
            </w:r>
          </w:p>
        </w:tc>
        <w:tc>
          <w:tcPr>
            <w:tcW w:w="2793" w:type="dxa"/>
            <w:vAlign w:val="center"/>
          </w:tcPr>
          <w:p w:rsidR="00FF7C83" w:rsidRPr="007259ED" w:rsidRDefault="001F485C" w:rsidP="00FF7C83">
            <w:pPr>
              <w:spacing w:after="200" w:line="276" w:lineRule="auto"/>
              <w:contextualSpacing/>
              <w:rPr>
                <w:sz w:val="22"/>
                <w:szCs w:val="22"/>
              </w:rPr>
            </w:pPr>
            <w:r>
              <w:rPr>
                <w:rFonts w:cstheme="minorBidi"/>
                <w:szCs w:val="22"/>
              </w:rPr>
              <w:t>5</w:t>
            </w:r>
            <w:r w:rsidR="004F5ABF">
              <w:rPr>
                <w:rFonts w:cstheme="minorBidi"/>
                <w:szCs w:val="22"/>
              </w:rPr>
              <w:t>,</w:t>
            </w:r>
            <w:r w:rsidR="00525B37">
              <w:rPr>
                <w:rFonts w:cstheme="minorBidi"/>
                <w:szCs w:val="22"/>
              </w:rPr>
              <w:t>3</w:t>
            </w:r>
            <w:r>
              <w:rPr>
                <w:rFonts w:cstheme="minorBidi"/>
                <w:szCs w:val="22"/>
              </w:rPr>
              <w:t>00</w:t>
            </w:r>
            <w:r w:rsidRPr="007259ED">
              <w:rPr>
                <w:rFonts w:cstheme="minorBidi"/>
                <w:szCs w:val="22"/>
              </w:rPr>
              <w:t xml:space="preserve"> respondents </w:t>
            </w:r>
            <w:r w:rsidR="00FD3E1A">
              <w:rPr>
                <w:rFonts w:cstheme="minorBidi"/>
                <w:szCs w:val="22"/>
              </w:rPr>
              <w:t>x</w:t>
            </w:r>
            <w:r w:rsidRPr="007259ED">
              <w:rPr>
                <w:rFonts w:cstheme="minorBidi"/>
                <w:szCs w:val="22"/>
              </w:rPr>
              <w:t xml:space="preserve"> </w:t>
            </w:r>
            <w:r>
              <w:rPr>
                <w:rFonts w:cstheme="minorBidi"/>
                <w:szCs w:val="22"/>
              </w:rPr>
              <w:t>5</w:t>
            </w:r>
            <w:r w:rsidRPr="007259ED">
              <w:rPr>
                <w:rFonts w:cstheme="minorBidi"/>
                <w:szCs w:val="22"/>
              </w:rPr>
              <w:t xml:space="preserve"> minutes = </w:t>
            </w:r>
            <w:r w:rsidR="00D93E5B">
              <w:rPr>
                <w:rFonts w:cstheme="minorBidi"/>
                <w:szCs w:val="22"/>
              </w:rPr>
              <w:t>4</w:t>
            </w:r>
            <w:r w:rsidR="00FF2ECE">
              <w:rPr>
                <w:rFonts w:cstheme="minorBidi"/>
                <w:szCs w:val="22"/>
              </w:rPr>
              <w:t>42</w:t>
            </w:r>
            <w:r>
              <w:rPr>
                <w:rFonts w:cstheme="minorBidi"/>
                <w:szCs w:val="22"/>
              </w:rPr>
              <w:t xml:space="preserve"> hours</w:t>
            </w:r>
          </w:p>
        </w:tc>
      </w:tr>
      <w:tr w:rsidR="00FF7C83" w:rsidRPr="00B17D01" w:rsidTr="00B50D87">
        <w:trPr>
          <w:trHeight w:val="467"/>
        </w:trPr>
        <w:tc>
          <w:tcPr>
            <w:tcW w:w="9360" w:type="dxa"/>
            <w:gridSpan w:val="3"/>
            <w:vAlign w:val="center"/>
          </w:tcPr>
          <w:p w:rsidR="00FF7C83" w:rsidRPr="00B50D87" w:rsidRDefault="00FF7C83" w:rsidP="00B50D87">
            <w:pPr>
              <w:spacing w:after="200" w:line="276" w:lineRule="auto"/>
              <w:contextualSpacing/>
              <w:jc w:val="center"/>
              <w:rPr>
                <w:b/>
                <w:iCs/>
                <w:sz w:val="16"/>
                <w:szCs w:val="16"/>
              </w:rPr>
            </w:pPr>
            <w:r w:rsidRPr="00B50D87">
              <w:rPr>
                <w:rFonts w:cstheme="minorBidi"/>
                <w:b/>
                <w:szCs w:val="22"/>
              </w:rPr>
              <w:t xml:space="preserve">Total respondent burden for all respondents = </w:t>
            </w:r>
            <w:r w:rsidR="00D93E5B">
              <w:rPr>
                <w:rFonts w:cstheme="minorBidi"/>
                <w:b/>
                <w:szCs w:val="22"/>
              </w:rPr>
              <w:t>8</w:t>
            </w:r>
            <w:r w:rsidR="00FF2ECE">
              <w:rPr>
                <w:rFonts w:cstheme="minorBidi"/>
                <w:b/>
                <w:szCs w:val="22"/>
              </w:rPr>
              <w:t>84</w:t>
            </w:r>
            <w:r w:rsidRPr="00B50D87">
              <w:rPr>
                <w:rFonts w:cstheme="minorBidi"/>
                <w:b/>
                <w:szCs w:val="22"/>
              </w:rPr>
              <w:t xml:space="preserve"> hours</w:t>
            </w:r>
          </w:p>
        </w:tc>
      </w:tr>
    </w:tbl>
    <w:p w:rsidR="00FF7C83" w:rsidRDefault="00FF7C83" w:rsidP="00FF7C83">
      <w:pPr>
        <w:contextualSpacing/>
      </w:pPr>
    </w:p>
    <w:p w:rsidR="00FF7C83" w:rsidRPr="00FF7C83" w:rsidRDefault="00FF7C83" w:rsidP="00FF7C83">
      <w:pPr>
        <w:contextualSpacing/>
        <w:rPr>
          <w:u w:val="single"/>
        </w:rPr>
      </w:pPr>
      <w:r w:rsidRPr="00FF7C83">
        <w:rPr>
          <w:u w:val="single"/>
        </w:rPr>
        <w:t>Analysis Plan</w:t>
      </w:r>
    </w:p>
    <w:p w:rsidR="00FF7C83" w:rsidRDefault="00FF7C83" w:rsidP="00FF7C83">
      <w:pPr>
        <w:contextualSpacing/>
      </w:pPr>
      <w:r>
        <w:t xml:space="preserve">The goals of the </w:t>
      </w:r>
      <w:r w:rsidR="00A33F85">
        <w:t>APS frame enhancement activity are to</w:t>
      </w:r>
      <w:r>
        <w:t>: (</w:t>
      </w:r>
      <w:r w:rsidR="00A33F85">
        <w:t>1</w:t>
      </w:r>
      <w:r>
        <w:t xml:space="preserve">) </w:t>
      </w:r>
      <w:r w:rsidR="00A33F85">
        <w:t xml:space="preserve">determine which adult probation supervising agencies are </w:t>
      </w:r>
      <w:r w:rsidR="003A3D09">
        <w:t xml:space="preserve">currently </w:t>
      </w:r>
      <w:r w:rsidR="00A33F85">
        <w:t>in operation and supervise adult probationers, and (2) collect information that can be used to define the appropriate universe for the APS. The collected responses will be reviewed to identify eligible agencies and classify them by size and population supervised</w:t>
      </w:r>
      <w:r w:rsidR="003A3D09">
        <w:t xml:space="preserve"> (felon or misdemeanant)</w:t>
      </w:r>
      <w:r w:rsidR="00952652">
        <w:t xml:space="preserve">. </w:t>
      </w:r>
      <w:r>
        <w:t xml:space="preserve">If results </w:t>
      </w:r>
      <w:r w:rsidR="00A33F85">
        <w:t>identify agencies that should be added to the APS universe and included in future data collection cycles (</w:t>
      </w:r>
      <w:r w:rsidR="003A3D09">
        <w:t>starting in</w:t>
      </w:r>
      <w:r w:rsidR="00A33F85">
        <w:t xml:space="preserve"> RY 2018</w:t>
      </w:r>
      <w:r w:rsidR="00DB4130">
        <w:t xml:space="preserve"> or RY 2019</w:t>
      </w:r>
      <w:r w:rsidR="00A33F85">
        <w:t>)</w:t>
      </w:r>
      <w:r>
        <w:t xml:space="preserve">, BJS will </w:t>
      </w:r>
      <w:r w:rsidR="00A33F85">
        <w:t>submit a modification request to OMB to increase the number of agencies and burden involved in the APS</w:t>
      </w:r>
      <w:r w:rsidR="00952652">
        <w:t xml:space="preserve">. </w:t>
      </w:r>
      <w:r w:rsidR="00591285">
        <w:t xml:space="preserve">Upon OMB approval, </w:t>
      </w:r>
      <w:r>
        <w:t xml:space="preserve">BJS will </w:t>
      </w:r>
      <w:r w:rsidR="00A33F85">
        <w:t>include the eligible agencies in the data collection efforts as appropriate, based on agency characteristics.</w:t>
      </w:r>
    </w:p>
    <w:p w:rsidR="00FF7C83" w:rsidRDefault="00FF7C83" w:rsidP="00FF7C83">
      <w:pPr>
        <w:contextualSpacing/>
      </w:pPr>
    </w:p>
    <w:p w:rsidR="00FF7C83" w:rsidRPr="00FF7C83" w:rsidRDefault="00FF7C83" w:rsidP="00FF7C83">
      <w:pPr>
        <w:contextualSpacing/>
        <w:rPr>
          <w:u w:val="single"/>
        </w:rPr>
      </w:pPr>
      <w:r w:rsidRPr="00FF7C83">
        <w:rPr>
          <w:u w:val="single"/>
        </w:rPr>
        <w:t>Informed Consent and Data Confidentiality</w:t>
      </w:r>
    </w:p>
    <w:p w:rsidR="008333D5" w:rsidRDefault="00FF7C83" w:rsidP="008333D5">
      <w:pPr>
        <w:contextualSpacing/>
      </w:pPr>
      <w:r>
        <w:t>The only personally</w:t>
      </w:r>
      <w:r w:rsidR="008F022D">
        <w:t>-</w:t>
      </w:r>
      <w:r>
        <w:t>identifiable information to be collected will be the names</w:t>
      </w:r>
      <w:r w:rsidR="00A33F85">
        <w:t xml:space="preserve"> and contact information of the agency personnel </w:t>
      </w:r>
      <w:r>
        <w:t>answering the questions</w:t>
      </w:r>
      <w:r w:rsidR="00952652">
        <w:t xml:space="preserve">. </w:t>
      </w:r>
      <w:r w:rsidR="007C027A" w:rsidRPr="00627291">
        <w:t xml:space="preserve">Because the </w:t>
      </w:r>
      <w:r w:rsidR="007C027A">
        <w:t>survey</w:t>
      </w:r>
      <w:r w:rsidR="007C027A" w:rsidRPr="00627291">
        <w:t xml:space="preserve"> elicits factual information </w:t>
      </w:r>
      <w:r w:rsidR="007C027A" w:rsidRPr="004010E2">
        <w:t>about</w:t>
      </w:r>
      <w:r w:rsidR="007C027A">
        <w:t xml:space="preserve"> </w:t>
      </w:r>
      <w:r w:rsidR="00A33F85">
        <w:t xml:space="preserve">the agency </w:t>
      </w:r>
      <w:r w:rsidR="007C027A">
        <w:t>and the only human subjects data collected is name and contact information f</w:t>
      </w:r>
      <w:r w:rsidR="007112F7">
        <w:t xml:space="preserve">or any follow-up questions, </w:t>
      </w:r>
      <w:r w:rsidR="00A33F85">
        <w:t xml:space="preserve">RTI’s </w:t>
      </w:r>
      <w:r w:rsidR="007C027A">
        <w:t xml:space="preserve">IRB has determined that </w:t>
      </w:r>
      <w:r w:rsidR="007C027A" w:rsidRPr="004010E2">
        <w:t xml:space="preserve">the </w:t>
      </w:r>
      <w:r w:rsidR="007C027A">
        <w:t>data collection does not involve human subjects research</w:t>
      </w:r>
      <w:r w:rsidR="008333D5">
        <w:t xml:space="preserve">. </w:t>
      </w:r>
      <w:r>
        <w:t>All information obtained during the survey will be maintained on secure servers at BJS and</w:t>
      </w:r>
      <w:r w:rsidR="00A33F85">
        <w:t xml:space="preserve"> RTI</w:t>
      </w:r>
      <w:r>
        <w:t>, and will no</w:t>
      </w:r>
      <w:r w:rsidR="008F022D">
        <w:t>t be shared with third parties.</w:t>
      </w:r>
      <w:r w:rsidR="007C027A">
        <w:t xml:space="preserve"> </w:t>
      </w:r>
    </w:p>
    <w:p w:rsidR="00CF30A9" w:rsidRDefault="00CF30A9" w:rsidP="008333D5">
      <w:pPr>
        <w:contextualSpacing/>
      </w:pPr>
    </w:p>
    <w:p w:rsidR="00CF30A9" w:rsidRDefault="00CF30A9" w:rsidP="008333D5">
      <w:pPr>
        <w:contextualSpacing/>
      </w:pPr>
    </w:p>
    <w:p w:rsidR="00FF7C83" w:rsidRDefault="00FF7C83" w:rsidP="00FF7C83">
      <w:pPr>
        <w:contextualSpacing/>
      </w:pPr>
    </w:p>
    <w:p w:rsidR="00DB4130" w:rsidRDefault="00DB4130" w:rsidP="00FF7C83">
      <w:pPr>
        <w:contextualSpacing/>
        <w:rPr>
          <w:u w:val="single"/>
        </w:rPr>
      </w:pPr>
    </w:p>
    <w:p w:rsidR="00DB4130" w:rsidRDefault="00DB4130" w:rsidP="00FF7C83">
      <w:pPr>
        <w:contextualSpacing/>
        <w:rPr>
          <w:u w:val="single"/>
        </w:rPr>
      </w:pPr>
    </w:p>
    <w:p w:rsidR="00DB4130" w:rsidRDefault="00DB4130" w:rsidP="00FF7C83">
      <w:pPr>
        <w:contextualSpacing/>
        <w:rPr>
          <w:u w:val="single"/>
        </w:rPr>
      </w:pPr>
    </w:p>
    <w:p w:rsidR="00FF7C83" w:rsidRPr="00FF7C83" w:rsidRDefault="00FF7C83" w:rsidP="00FF7C83">
      <w:pPr>
        <w:contextualSpacing/>
        <w:rPr>
          <w:u w:val="single"/>
        </w:rPr>
      </w:pPr>
      <w:r w:rsidRPr="00FF7C83">
        <w:rPr>
          <w:u w:val="single"/>
        </w:rPr>
        <w:t>Data Security</w:t>
      </w:r>
    </w:p>
    <w:p w:rsidR="008333D5" w:rsidRDefault="008333D5" w:rsidP="00FF7C83">
      <w:pPr>
        <w:contextualSpacing/>
      </w:pPr>
      <w:r>
        <w:t>As outlined in BJS’s Data Protection Guidelines</w:t>
      </w:r>
      <w:r w:rsidR="00AC4637">
        <w:t>,</w:t>
      </w:r>
      <w:r>
        <w:rPr>
          <w:rStyle w:val="FootnoteReference"/>
        </w:rPr>
        <w:footnoteReference w:id="3"/>
      </w:r>
      <w:r>
        <w:t xml:space="preserve"> BJS maintains a robust IT security program in compliance with the DOJ Cybersecurity Program and the DOJ IT Security Rules of Behavior (ROB) for General Users to facilitate the privacy, security, confidentiality, integrity, and availability of BJS computer systems, networks, and data in accordance with applicable federal and Department policies, procedures, and guidelines.</w:t>
      </w:r>
    </w:p>
    <w:p w:rsidR="008333D5" w:rsidRDefault="008333D5" w:rsidP="00FF7C83">
      <w:pPr>
        <w:contextualSpacing/>
      </w:pPr>
    </w:p>
    <w:p w:rsidR="008333D5" w:rsidRDefault="008333D5" w:rsidP="00FF7C83">
      <w:pPr>
        <w:contextualSpacing/>
      </w:pPr>
      <w:r w:rsidRPr="008333D5">
        <w:t>Technical control of the data is maintained through a system of firewalls and encryption</w:t>
      </w:r>
      <w:r w:rsidR="00952652">
        <w:t xml:space="preserve">. </w:t>
      </w:r>
      <w:r w:rsidRPr="008333D5">
        <w:t xml:space="preserve">Data obtained from the </w:t>
      </w:r>
      <w:r w:rsidR="00A33F85">
        <w:t xml:space="preserve">ASPP </w:t>
      </w:r>
      <w:r w:rsidRPr="008333D5">
        <w:t>survey</w:t>
      </w:r>
      <w:r w:rsidR="00A33F85">
        <w:t>s</w:t>
      </w:r>
      <w:r w:rsidRPr="008333D5">
        <w:t xml:space="preserve"> </w:t>
      </w:r>
      <w:r w:rsidR="00A33F85">
        <w:t xml:space="preserve">and this special APS activity </w:t>
      </w:r>
      <w:r w:rsidRPr="008333D5">
        <w:t xml:space="preserve">will be stored in a computer file on BJS’s secure hard drive behind the </w:t>
      </w:r>
      <w:r w:rsidR="007112F7">
        <w:t>DOJ’s</w:t>
      </w:r>
      <w:r w:rsidRPr="008333D5">
        <w:t xml:space="preserve"> firewall</w:t>
      </w:r>
      <w:r w:rsidR="00952652">
        <w:t xml:space="preserve">. </w:t>
      </w:r>
      <w:r w:rsidRPr="008333D5">
        <w:t xml:space="preserve">The secure drive was created specifically for </w:t>
      </w:r>
      <w:r w:rsidR="002B3DE5">
        <w:t xml:space="preserve">ASPP </w:t>
      </w:r>
      <w:r w:rsidRPr="008333D5">
        <w:t>and limits access to only those BJS staff who work on the</w:t>
      </w:r>
      <w:r w:rsidR="002B3DE5">
        <w:t xml:space="preserve"> ASPP</w:t>
      </w:r>
      <w:r w:rsidR="00952652">
        <w:t xml:space="preserve">. </w:t>
      </w:r>
      <w:r w:rsidRPr="008333D5">
        <w:t xml:space="preserve">The BJS information technology specialist assigns permissions to staff involved in the </w:t>
      </w:r>
      <w:r w:rsidR="002B3DE5">
        <w:t xml:space="preserve">ASPP </w:t>
      </w:r>
      <w:r w:rsidRPr="008333D5">
        <w:t>project to access the secure drive</w:t>
      </w:r>
      <w:r w:rsidR="00952652">
        <w:t xml:space="preserve">. </w:t>
      </w:r>
      <w:r w:rsidRPr="008333D5">
        <w:t>Access is removed if staff discontinue work on the project</w:t>
      </w:r>
      <w:r w:rsidR="007112F7">
        <w:t>, and a u</w:t>
      </w:r>
      <w:r w:rsidRPr="008333D5">
        <w:t>sername and password verification are required to log on to the BJS computer system</w:t>
      </w:r>
      <w:r w:rsidR="00952652">
        <w:t xml:space="preserve">. </w:t>
      </w:r>
      <w:r w:rsidRPr="008333D5">
        <w:t xml:space="preserve">All </w:t>
      </w:r>
      <w:r w:rsidR="007112F7">
        <w:t>DOJ</w:t>
      </w:r>
      <w:r w:rsidRPr="008333D5">
        <w:t xml:space="preserve"> employees are required to undergo annual computer security training as well as periodic background investigations.</w:t>
      </w:r>
    </w:p>
    <w:p w:rsidR="008333D5" w:rsidRDefault="008333D5" w:rsidP="00FF7C83">
      <w:pPr>
        <w:contextualSpacing/>
      </w:pPr>
    </w:p>
    <w:p w:rsidR="00FF7C83" w:rsidRPr="008333D5" w:rsidRDefault="00FF7C83" w:rsidP="008333D5">
      <w:pPr>
        <w:contextualSpacing/>
      </w:pPr>
      <w:r w:rsidRPr="008333D5">
        <w:t xml:space="preserve">All BJS data are physically stored in a secure building in Washington, DC which houses </w:t>
      </w:r>
      <w:r w:rsidR="007112F7">
        <w:t>DOJ’s</w:t>
      </w:r>
      <w:r w:rsidRPr="008333D5">
        <w:t xml:space="preserve"> Office of Justice Programs (</w:t>
      </w:r>
      <w:r w:rsidR="007112F7">
        <w:t>OJP, which includes</w:t>
      </w:r>
      <w:r w:rsidRPr="008333D5">
        <w:t xml:space="preserve"> BJS)</w:t>
      </w:r>
      <w:r w:rsidR="00952652">
        <w:t xml:space="preserve">. </w:t>
      </w:r>
      <w:r w:rsidRPr="008333D5">
        <w:t>The building is staffed 24 hours a day, 7 days a week by armed guards, and employees must pass through an electronic badge swipe and subsequent acknowledgement of their photograph by a guard</w:t>
      </w:r>
      <w:r w:rsidR="00952652">
        <w:t xml:space="preserve">. </w:t>
      </w:r>
      <w:r w:rsidRPr="008333D5">
        <w:t xml:space="preserve">Visitors must be sponsored by </w:t>
      </w:r>
      <w:r w:rsidR="007112F7">
        <w:t>DOJ</w:t>
      </w:r>
      <w:r w:rsidRPr="008333D5">
        <w:t xml:space="preserve"> employees</w:t>
      </w:r>
      <w:r w:rsidR="007112F7">
        <w:t xml:space="preserve">, </w:t>
      </w:r>
      <w:r w:rsidRPr="008333D5">
        <w:t>submit to a metal detector test</w:t>
      </w:r>
      <w:r w:rsidR="00B61352" w:rsidRPr="008333D5">
        <w:t xml:space="preserve"> and video surveillance</w:t>
      </w:r>
      <w:r w:rsidR="00925CC1" w:rsidRPr="008333D5">
        <w:t xml:space="preserve">, wear a visitor's badge, and </w:t>
      </w:r>
      <w:r w:rsidR="00904C02" w:rsidRPr="008333D5">
        <w:t>provide information that is recorded in</w:t>
      </w:r>
      <w:r w:rsidRPr="008333D5">
        <w:t xml:space="preserve"> a central log book</w:t>
      </w:r>
      <w:r w:rsidR="00952652">
        <w:t xml:space="preserve">. </w:t>
      </w:r>
      <w:r w:rsidRPr="008333D5">
        <w:t>Servers containing BJS data are stored in a locked room</w:t>
      </w:r>
      <w:r w:rsidR="00925CC1" w:rsidRPr="008333D5">
        <w:t xml:space="preserve"> secured by </w:t>
      </w:r>
      <w:r w:rsidR="008F671F" w:rsidRPr="008333D5">
        <w:t>a personal identity verification management system</w:t>
      </w:r>
      <w:r w:rsidRPr="008333D5">
        <w:t xml:space="preserve"> with access limited to </w:t>
      </w:r>
      <w:r w:rsidR="007112F7">
        <w:t xml:space="preserve">OJP </w:t>
      </w:r>
      <w:r w:rsidRPr="008333D5">
        <w:t>informati</w:t>
      </w:r>
      <w:r w:rsidR="007112F7">
        <w:t>on technology personnel</w:t>
      </w:r>
      <w:r w:rsidR="00952652">
        <w:t xml:space="preserve">. </w:t>
      </w:r>
      <w:r w:rsidRPr="008333D5">
        <w:t>OJP has an intru</w:t>
      </w:r>
      <w:r w:rsidR="008F671F" w:rsidRPr="008333D5">
        <w:t>sion</w:t>
      </w:r>
      <w:r w:rsidRPr="008333D5">
        <w:t xml:space="preserve"> detection system in the room housing the OJP servers</w:t>
      </w:r>
      <w:r w:rsidR="00952652">
        <w:t xml:space="preserve">. </w:t>
      </w:r>
      <w:r w:rsidRPr="008333D5">
        <w:t>Should any data need to be stored on CD-ROMs, they reside in a locked office to which only the</w:t>
      </w:r>
      <w:r w:rsidR="007112F7">
        <w:t xml:space="preserve"> BJS acting</w:t>
      </w:r>
      <w:r w:rsidRPr="008333D5">
        <w:t xml:space="preserve"> director and deputy directors have key access, and all data use in this room is logged.</w:t>
      </w:r>
      <w:r w:rsidR="008F022D" w:rsidRPr="008333D5">
        <w:br/>
      </w:r>
    </w:p>
    <w:p w:rsidR="00FF7C83" w:rsidRDefault="00FF7C83" w:rsidP="008333D5">
      <w:pPr>
        <w:contextualSpacing/>
      </w:pPr>
      <w:r w:rsidRPr="008333D5">
        <w:t>Should BJS decide to destroy data in the future, it will follow all federal government guidelines regarding the technical and physical wiping of data from servers, and any CD-ROMs or paper document</w:t>
      </w:r>
      <w:r w:rsidR="008F671F" w:rsidRPr="008333D5">
        <w:t>s</w:t>
      </w:r>
      <w:r w:rsidRPr="008333D5">
        <w:t xml:space="preserve"> that may exist will be cross-cut shredded.</w:t>
      </w:r>
    </w:p>
    <w:p w:rsidR="008333D5" w:rsidRDefault="008333D5" w:rsidP="008333D5">
      <w:pPr>
        <w:contextualSpacing/>
      </w:pPr>
    </w:p>
    <w:p w:rsidR="008333D5" w:rsidRPr="008333D5" w:rsidRDefault="008333D5" w:rsidP="008333D5">
      <w:pPr>
        <w:contextualSpacing/>
      </w:pPr>
      <w:r>
        <w:t>BJS data collection agents and contractors are similarly required to maintain the appropriate administrative, physical, and technical safeguards to protect identifiable data and ensure that information systems are adequately secured and protected against unauthorized disclosure.</w:t>
      </w:r>
    </w:p>
    <w:p w:rsidR="00FF7C83" w:rsidRDefault="00FF7C83" w:rsidP="00FF7C83">
      <w:pPr>
        <w:contextualSpacing/>
      </w:pPr>
    </w:p>
    <w:p w:rsidR="00FF7C83" w:rsidRPr="00FF7C83" w:rsidRDefault="00FF7C83" w:rsidP="00FF7C83">
      <w:pPr>
        <w:contextualSpacing/>
        <w:rPr>
          <w:u w:val="single"/>
        </w:rPr>
      </w:pPr>
      <w:r w:rsidRPr="00FF7C83">
        <w:rPr>
          <w:u w:val="single"/>
        </w:rPr>
        <w:t>Contact Information</w:t>
      </w:r>
    </w:p>
    <w:p w:rsidR="00FF7C83" w:rsidRDefault="00FF7C83" w:rsidP="00FF7C83">
      <w:pPr>
        <w:contextualSpacing/>
      </w:pPr>
      <w:r>
        <w:t>Questions regarding any aspect of this project can be directed to:</w:t>
      </w:r>
    </w:p>
    <w:p w:rsidR="00FF7C83" w:rsidRDefault="00FF7C83" w:rsidP="00FF7C83">
      <w:pPr>
        <w:contextualSpacing/>
      </w:pPr>
    </w:p>
    <w:p w:rsidR="00FF7C83" w:rsidRDefault="002B3DE5" w:rsidP="00FF7C83">
      <w:pPr>
        <w:contextualSpacing/>
      </w:pPr>
      <w:r>
        <w:t>Danielle Kaeble</w:t>
      </w:r>
    </w:p>
    <w:p w:rsidR="00FF7C83" w:rsidRDefault="002B3DE5" w:rsidP="00FF7C83">
      <w:pPr>
        <w:contextualSpacing/>
      </w:pPr>
      <w:r>
        <w:t xml:space="preserve">ASPP </w:t>
      </w:r>
      <w:r w:rsidR="00FF7C83">
        <w:t>Program Manager, Corrections Unit</w:t>
      </w:r>
    </w:p>
    <w:p w:rsidR="00FF7C83" w:rsidRDefault="00FF7C83" w:rsidP="00FF7C83">
      <w:pPr>
        <w:contextualSpacing/>
      </w:pPr>
      <w:r>
        <w:t>Bureau of Justice Statistics</w:t>
      </w:r>
    </w:p>
    <w:p w:rsidR="00FF7C83" w:rsidRDefault="00FF7C83" w:rsidP="00FF7C83">
      <w:pPr>
        <w:contextualSpacing/>
      </w:pPr>
      <w:r>
        <w:t>U.S. Department of Justice</w:t>
      </w:r>
    </w:p>
    <w:p w:rsidR="00FF7C83" w:rsidRDefault="009D0F03" w:rsidP="00FF7C83">
      <w:pPr>
        <w:contextualSpacing/>
      </w:pPr>
      <w:r>
        <w:t>810 7th Street NW</w:t>
      </w:r>
    </w:p>
    <w:p w:rsidR="00FF7C83" w:rsidRDefault="00FF7C83" w:rsidP="00FF7C83">
      <w:pPr>
        <w:contextualSpacing/>
      </w:pPr>
      <w:r>
        <w:t>Washington, DC 20531</w:t>
      </w:r>
    </w:p>
    <w:p w:rsidR="00FF7C83" w:rsidRPr="009D0F03" w:rsidRDefault="00FF7C83" w:rsidP="00FF7C83">
      <w:pPr>
        <w:contextualSpacing/>
      </w:pPr>
      <w:r w:rsidRPr="009D0F03">
        <w:t>Office Phone: 202-</w:t>
      </w:r>
      <w:r w:rsidR="002B3DE5" w:rsidRPr="009D0F03">
        <w:t>305</w:t>
      </w:r>
      <w:r w:rsidRPr="009D0F03">
        <w:t>-</w:t>
      </w:r>
      <w:r w:rsidR="002B3DE5" w:rsidRPr="009D0F03">
        <w:t>2017</w:t>
      </w:r>
    </w:p>
    <w:p w:rsidR="00FF7C83" w:rsidRDefault="00FF7C83" w:rsidP="00FF7C83">
      <w:pPr>
        <w:contextualSpacing/>
      </w:pPr>
      <w:r w:rsidRPr="009D0F03">
        <w:t>Fax: 202-</w:t>
      </w:r>
      <w:r w:rsidR="009D0F03" w:rsidRPr="009D0F03">
        <w:t>305</w:t>
      </w:r>
      <w:r w:rsidR="009D0F03">
        <w:t>-2017</w:t>
      </w:r>
    </w:p>
    <w:p w:rsidR="00FF7C83" w:rsidRDefault="00FF7C83" w:rsidP="00FF7C83">
      <w:pPr>
        <w:contextualSpacing/>
      </w:pPr>
      <w:r>
        <w:t xml:space="preserve">E-Mail: </w:t>
      </w:r>
      <w:r w:rsidR="002B3DE5">
        <w:t>Danielle.Kaeble</w:t>
      </w:r>
      <w:r>
        <w:t xml:space="preserve">@ojp.usdoj.gov </w:t>
      </w:r>
    </w:p>
    <w:p w:rsidR="00FF7C83" w:rsidRDefault="00FF7C83" w:rsidP="00FF7C83">
      <w:pPr>
        <w:contextualSpacing/>
      </w:pPr>
      <w:r>
        <w:t> </w:t>
      </w:r>
    </w:p>
    <w:p w:rsidR="00F64EC3" w:rsidRDefault="00DC7D57" w:rsidP="00FF7C83">
      <w:pPr>
        <w:contextualSpacing/>
        <w:rPr>
          <w:b/>
        </w:rPr>
      </w:pPr>
      <w:r>
        <w:rPr>
          <w:b/>
        </w:rPr>
        <w:t xml:space="preserve">Appendix A. </w:t>
      </w:r>
      <w:r w:rsidR="00F64EC3">
        <w:rPr>
          <w:b/>
        </w:rPr>
        <w:t>Agency and Court Cover Letters</w:t>
      </w:r>
    </w:p>
    <w:p w:rsidR="00F64EC3" w:rsidRDefault="00F64EC3" w:rsidP="00FF7C83">
      <w:pPr>
        <w:contextualSpacing/>
        <w:rPr>
          <w:b/>
        </w:rPr>
      </w:pPr>
    </w:p>
    <w:p w:rsidR="00F64EC3" w:rsidRDefault="00F64EC3" w:rsidP="00FF7C83">
      <w:pPr>
        <w:contextualSpacing/>
        <w:rPr>
          <w:b/>
        </w:rPr>
      </w:pPr>
      <w:r>
        <w:rPr>
          <w:b/>
        </w:rPr>
        <w:t>Appendix B. Agency and Court Information Forms</w:t>
      </w:r>
    </w:p>
    <w:p w:rsidR="00F64EC3" w:rsidRDefault="00F64EC3" w:rsidP="00FF7C83">
      <w:pPr>
        <w:contextualSpacing/>
        <w:rPr>
          <w:b/>
        </w:rPr>
      </w:pPr>
    </w:p>
    <w:p w:rsidR="00F64EC3" w:rsidRDefault="00F64EC3" w:rsidP="00FF7C83">
      <w:pPr>
        <w:contextualSpacing/>
        <w:rPr>
          <w:b/>
        </w:rPr>
      </w:pPr>
      <w:r>
        <w:rPr>
          <w:b/>
        </w:rPr>
        <w:t>Appendix C. Self-Mailer Information Request Forms</w:t>
      </w:r>
    </w:p>
    <w:p w:rsidR="00F64EC3" w:rsidRDefault="00F64EC3" w:rsidP="00FF7C83">
      <w:pPr>
        <w:contextualSpacing/>
        <w:rPr>
          <w:b/>
        </w:rPr>
      </w:pPr>
    </w:p>
    <w:p w:rsidR="00F64EC3" w:rsidRDefault="00F64EC3" w:rsidP="00FF7C83">
      <w:pPr>
        <w:contextualSpacing/>
        <w:rPr>
          <w:b/>
        </w:rPr>
      </w:pPr>
      <w:r>
        <w:rPr>
          <w:b/>
        </w:rPr>
        <w:t>Appendix D. Email Request for Population Counts</w:t>
      </w:r>
    </w:p>
    <w:p w:rsidR="00F64EC3" w:rsidRDefault="00F64EC3" w:rsidP="00FF7C83">
      <w:pPr>
        <w:contextualSpacing/>
        <w:rPr>
          <w:b/>
        </w:rPr>
      </w:pPr>
    </w:p>
    <w:p w:rsidR="00FF7C83" w:rsidRPr="007830B5" w:rsidRDefault="00F64EC3" w:rsidP="00FF7C83">
      <w:pPr>
        <w:contextualSpacing/>
        <w:rPr>
          <w:b/>
        </w:rPr>
      </w:pPr>
      <w:r>
        <w:rPr>
          <w:b/>
        </w:rPr>
        <w:t xml:space="preserve">Appendix E. </w:t>
      </w:r>
      <w:r w:rsidR="002B3DE5">
        <w:rPr>
          <w:b/>
        </w:rPr>
        <w:t xml:space="preserve">APS Frame Enhancement </w:t>
      </w:r>
      <w:r w:rsidR="00DC7D57">
        <w:rPr>
          <w:b/>
        </w:rPr>
        <w:t>Telephone Script</w:t>
      </w:r>
    </w:p>
    <w:p w:rsidR="00FF7C83" w:rsidRDefault="00FF7C83" w:rsidP="00FF7C83">
      <w:pPr>
        <w:contextualSpacing/>
      </w:pPr>
    </w:p>
    <w:p w:rsidR="00A46B84" w:rsidRPr="009A59B6" w:rsidRDefault="00A46B84" w:rsidP="00FF7C83">
      <w:pPr>
        <w:contextualSpacing/>
        <w:rPr>
          <w:b/>
        </w:rPr>
      </w:pPr>
    </w:p>
    <w:sectPr w:rsidR="00A46B84" w:rsidRPr="009A59B6"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170" w:rsidRDefault="00401170" w:rsidP="00ED6ADB">
      <w:r>
        <w:separator/>
      </w:r>
    </w:p>
  </w:endnote>
  <w:endnote w:type="continuationSeparator" w:id="0">
    <w:p w:rsidR="00401170" w:rsidRDefault="00401170"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16116"/>
      <w:docPartObj>
        <w:docPartGallery w:val="Page Numbers (Bottom of Page)"/>
        <w:docPartUnique/>
      </w:docPartObj>
    </w:sdtPr>
    <w:sdtEndPr>
      <w:rPr>
        <w:noProof/>
      </w:rPr>
    </w:sdtEndPr>
    <w:sdtContent>
      <w:p w:rsidR="009A08EE" w:rsidRDefault="009A08EE">
        <w:pPr>
          <w:pStyle w:val="Footer"/>
          <w:jc w:val="right"/>
        </w:pPr>
        <w:r>
          <w:fldChar w:fldCharType="begin"/>
        </w:r>
        <w:r>
          <w:instrText xml:space="preserve"> PAGE   \* MERGEFORMAT </w:instrText>
        </w:r>
        <w:r>
          <w:fldChar w:fldCharType="separate"/>
        </w:r>
        <w:r w:rsidR="007762DC">
          <w:rPr>
            <w:noProof/>
          </w:rPr>
          <w:t>1</w:t>
        </w:r>
        <w:r>
          <w:rPr>
            <w:noProof/>
          </w:rPr>
          <w:fldChar w:fldCharType="end"/>
        </w:r>
      </w:p>
    </w:sdtContent>
  </w:sdt>
  <w:p w:rsidR="009A08EE" w:rsidRDefault="009A0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170" w:rsidRDefault="00401170" w:rsidP="00ED6ADB">
      <w:r>
        <w:separator/>
      </w:r>
    </w:p>
  </w:footnote>
  <w:footnote w:type="continuationSeparator" w:id="0">
    <w:p w:rsidR="00401170" w:rsidRDefault="00401170" w:rsidP="00ED6ADB">
      <w:r>
        <w:continuationSeparator/>
      </w:r>
    </w:p>
  </w:footnote>
  <w:footnote w:id="1">
    <w:p w:rsidR="009A08EE" w:rsidRDefault="009A08EE" w:rsidP="00817448">
      <w:pPr>
        <w:pStyle w:val="FootnoteText"/>
      </w:pPr>
      <w:r>
        <w:rPr>
          <w:rStyle w:val="FootnoteReference"/>
        </w:rPr>
        <w:footnoteRef/>
      </w:r>
      <w:r>
        <w:t xml:space="preserve"> The questionnaires presented a total of 2,361 agencies</w:t>
      </w:r>
      <w:r w:rsidR="00952652">
        <w:t xml:space="preserve">. </w:t>
      </w:r>
      <w:r>
        <w:t xml:space="preserve">Four </w:t>
      </w:r>
      <w:r w:rsidRPr="00A57AB2">
        <w:t>agencies that did not self-affirm and</w:t>
      </w:r>
      <w:r>
        <w:t xml:space="preserve"> 8 agencies that did not respond were affirmed by other respondents</w:t>
      </w:r>
      <w:r w:rsidR="00952652">
        <w:t xml:space="preserve">. </w:t>
      </w:r>
      <w:r>
        <w:t>Therefore, the sum of the details presented below equals 2,373 agencies.</w:t>
      </w:r>
    </w:p>
  </w:footnote>
  <w:footnote w:id="2">
    <w:p w:rsidR="009A08EE" w:rsidRDefault="009A08EE">
      <w:pPr>
        <w:pStyle w:val="FootnoteText"/>
      </w:pPr>
      <w:r>
        <w:rPr>
          <w:rStyle w:val="FootnoteReference"/>
        </w:rPr>
        <w:footnoteRef/>
      </w:r>
      <w:r>
        <w:t xml:space="preserve"> In referring to “an agency” or “agencies” in this memorandum, we include both agencies and courts.</w:t>
      </w:r>
    </w:p>
  </w:footnote>
  <w:footnote w:id="3">
    <w:p w:rsidR="009A08EE" w:rsidRDefault="009A08EE" w:rsidP="008333D5">
      <w:pPr>
        <w:pStyle w:val="FootnoteText"/>
      </w:pPr>
      <w:r>
        <w:rPr>
          <w:rStyle w:val="FootnoteReference"/>
        </w:rPr>
        <w:footnoteRef/>
      </w:r>
      <w:r>
        <w:t xml:space="preserve"> </w:t>
      </w:r>
      <w:hyperlink r:id="rId1" w:history="1">
        <w:r w:rsidRPr="005C2678">
          <w:rPr>
            <w:rStyle w:val="Hyperlink"/>
          </w:rPr>
          <w:t>https://www.bjs.gov/content/pub/pdf/BJS_Data_Protection_Guidelines.pdf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76343F"/>
    <w:multiLevelType w:val="hybridMultilevel"/>
    <w:tmpl w:val="48FED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043D9"/>
    <w:multiLevelType w:val="hybridMultilevel"/>
    <w:tmpl w:val="552E53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60264"/>
    <w:multiLevelType w:val="hybridMultilevel"/>
    <w:tmpl w:val="7C9E3954"/>
    <w:lvl w:ilvl="0" w:tplc="4F7CB5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5209EB"/>
    <w:multiLevelType w:val="hybridMultilevel"/>
    <w:tmpl w:val="BBCE7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7EDF768F"/>
    <w:multiLevelType w:val="hybridMultilevel"/>
    <w:tmpl w:val="270C6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1"/>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15B64"/>
    <w:rsid w:val="00024ED7"/>
    <w:rsid w:val="00032F3B"/>
    <w:rsid w:val="00034DD7"/>
    <w:rsid w:val="00057ECB"/>
    <w:rsid w:val="00082CC6"/>
    <w:rsid w:val="00085156"/>
    <w:rsid w:val="00090437"/>
    <w:rsid w:val="000A223C"/>
    <w:rsid w:val="000B14DA"/>
    <w:rsid w:val="000C5095"/>
    <w:rsid w:val="000D2171"/>
    <w:rsid w:val="000F02FF"/>
    <w:rsid w:val="00101715"/>
    <w:rsid w:val="001216D8"/>
    <w:rsid w:val="001340D5"/>
    <w:rsid w:val="00141D24"/>
    <w:rsid w:val="00144972"/>
    <w:rsid w:val="0015700F"/>
    <w:rsid w:val="00172E56"/>
    <w:rsid w:val="001803A7"/>
    <w:rsid w:val="00187AF8"/>
    <w:rsid w:val="00191631"/>
    <w:rsid w:val="001924FB"/>
    <w:rsid w:val="0019740B"/>
    <w:rsid w:val="001F485C"/>
    <w:rsid w:val="00202B5B"/>
    <w:rsid w:val="00211CC7"/>
    <w:rsid w:val="00230748"/>
    <w:rsid w:val="00232525"/>
    <w:rsid w:val="00252CC2"/>
    <w:rsid w:val="00256C69"/>
    <w:rsid w:val="002770AA"/>
    <w:rsid w:val="00283410"/>
    <w:rsid w:val="00283F95"/>
    <w:rsid w:val="00284690"/>
    <w:rsid w:val="002B3DE5"/>
    <w:rsid w:val="002B764E"/>
    <w:rsid w:val="002E0FA9"/>
    <w:rsid w:val="002E34C2"/>
    <w:rsid w:val="002E453B"/>
    <w:rsid w:val="0032434B"/>
    <w:rsid w:val="00331601"/>
    <w:rsid w:val="0034780D"/>
    <w:rsid w:val="00361BB2"/>
    <w:rsid w:val="00392294"/>
    <w:rsid w:val="003936C9"/>
    <w:rsid w:val="003A3D09"/>
    <w:rsid w:val="003B323E"/>
    <w:rsid w:val="003F3957"/>
    <w:rsid w:val="003F4DC7"/>
    <w:rsid w:val="00401170"/>
    <w:rsid w:val="00401BD8"/>
    <w:rsid w:val="004053E3"/>
    <w:rsid w:val="00421613"/>
    <w:rsid w:val="00422712"/>
    <w:rsid w:val="00423D09"/>
    <w:rsid w:val="004249CF"/>
    <w:rsid w:val="0043087F"/>
    <w:rsid w:val="00440905"/>
    <w:rsid w:val="00457F24"/>
    <w:rsid w:val="00496D49"/>
    <w:rsid w:val="004B309D"/>
    <w:rsid w:val="004C4F8F"/>
    <w:rsid w:val="004E2F3E"/>
    <w:rsid w:val="004F5ABF"/>
    <w:rsid w:val="004F5AFA"/>
    <w:rsid w:val="00501ACD"/>
    <w:rsid w:val="00525B37"/>
    <w:rsid w:val="00536E82"/>
    <w:rsid w:val="00543629"/>
    <w:rsid w:val="0055104B"/>
    <w:rsid w:val="00563F43"/>
    <w:rsid w:val="00564FAA"/>
    <w:rsid w:val="00590636"/>
    <w:rsid w:val="00591285"/>
    <w:rsid w:val="005B00DD"/>
    <w:rsid w:val="005B21EF"/>
    <w:rsid w:val="005B506B"/>
    <w:rsid w:val="005E55D7"/>
    <w:rsid w:val="0062166A"/>
    <w:rsid w:val="006316B2"/>
    <w:rsid w:val="0064635B"/>
    <w:rsid w:val="00650AE4"/>
    <w:rsid w:val="00656C19"/>
    <w:rsid w:val="00660649"/>
    <w:rsid w:val="00672461"/>
    <w:rsid w:val="0067550C"/>
    <w:rsid w:val="0068309C"/>
    <w:rsid w:val="00690D7A"/>
    <w:rsid w:val="00697195"/>
    <w:rsid w:val="006D5D3E"/>
    <w:rsid w:val="006D63DC"/>
    <w:rsid w:val="006D6CC0"/>
    <w:rsid w:val="006E4A53"/>
    <w:rsid w:val="006F044D"/>
    <w:rsid w:val="007112F7"/>
    <w:rsid w:val="0071264C"/>
    <w:rsid w:val="0071644B"/>
    <w:rsid w:val="007259ED"/>
    <w:rsid w:val="00734BF1"/>
    <w:rsid w:val="00737915"/>
    <w:rsid w:val="0074788A"/>
    <w:rsid w:val="00770509"/>
    <w:rsid w:val="007762DC"/>
    <w:rsid w:val="007830B5"/>
    <w:rsid w:val="00786E0F"/>
    <w:rsid w:val="00787E31"/>
    <w:rsid w:val="007923F2"/>
    <w:rsid w:val="007944BD"/>
    <w:rsid w:val="007A3426"/>
    <w:rsid w:val="007B110F"/>
    <w:rsid w:val="007C027A"/>
    <w:rsid w:val="007C06B9"/>
    <w:rsid w:val="007C0D8C"/>
    <w:rsid w:val="007C2F37"/>
    <w:rsid w:val="007D0902"/>
    <w:rsid w:val="007D2F36"/>
    <w:rsid w:val="007F2D39"/>
    <w:rsid w:val="007F589F"/>
    <w:rsid w:val="008044C3"/>
    <w:rsid w:val="0081125D"/>
    <w:rsid w:val="00814382"/>
    <w:rsid w:val="00817448"/>
    <w:rsid w:val="00824644"/>
    <w:rsid w:val="008333D5"/>
    <w:rsid w:val="008366D6"/>
    <w:rsid w:val="00851F80"/>
    <w:rsid w:val="00896882"/>
    <w:rsid w:val="008B1768"/>
    <w:rsid w:val="008C5C40"/>
    <w:rsid w:val="008F022D"/>
    <w:rsid w:val="008F0EAF"/>
    <w:rsid w:val="008F671F"/>
    <w:rsid w:val="00904C02"/>
    <w:rsid w:val="009248F8"/>
    <w:rsid w:val="00925CC1"/>
    <w:rsid w:val="00930015"/>
    <w:rsid w:val="009451ED"/>
    <w:rsid w:val="00950FB5"/>
    <w:rsid w:val="00952652"/>
    <w:rsid w:val="009638E0"/>
    <w:rsid w:val="00972615"/>
    <w:rsid w:val="009A08EE"/>
    <w:rsid w:val="009A59B6"/>
    <w:rsid w:val="009B7194"/>
    <w:rsid w:val="009C6ABC"/>
    <w:rsid w:val="009D0AA2"/>
    <w:rsid w:val="009D0F03"/>
    <w:rsid w:val="009E08DE"/>
    <w:rsid w:val="009E26B4"/>
    <w:rsid w:val="009E34E4"/>
    <w:rsid w:val="009E5304"/>
    <w:rsid w:val="009F0643"/>
    <w:rsid w:val="00A05DD1"/>
    <w:rsid w:val="00A24048"/>
    <w:rsid w:val="00A26C95"/>
    <w:rsid w:val="00A33EE0"/>
    <w:rsid w:val="00A33F85"/>
    <w:rsid w:val="00A36F88"/>
    <w:rsid w:val="00A41BC2"/>
    <w:rsid w:val="00A46B84"/>
    <w:rsid w:val="00A55C47"/>
    <w:rsid w:val="00A566F8"/>
    <w:rsid w:val="00A57AB2"/>
    <w:rsid w:val="00A74F57"/>
    <w:rsid w:val="00A9789F"/>
    <w:rsid w:val="00AB1771"/>
    <w:rsid w:val="00AB1A39"/>
    <w:rsid w:val="00AC0B69"/>
    <w:rsid w:val="00AC4637"/>
    <w:rsid w:val="00AC69BF"/>
    <w:rsid w:val="00AD7C68"/>
    <w:rsid w:val="00B03D2B"/>
    <w:rsid w:val="00B214C0"/>
    <w:rsid w:val="00B218F1"/>
    <w:rsid w:val="00B22646"/>
    <w:rsid w:val="00B50D87"/>
    <w:rsid w:val="00B56388"/>
    <w:rsid w:val="00B61352"/>
    <w:rsid w:val="00B63547"/>
    <w:rsid w:val="00B7695A"/>
    <w:rsid w:val="00B77E9C"/>
    <w:rsid w:val="00B813E0"/>
    <w:rsid w:val="00B8202A"/>
    <w:rsid w:val="00B90305"/>
    <w:rsid w:val="00BA07B0"/>
    <w:rsid w:val="00BA109F"/>
    <w:rsid w:val="00BA4A60"/>
    <w:rsid w:val="00BB60BF"/>
    <w:rsid w:val="00BB6536"/>
    <w:rsid w:val="00BC1F8A"/>
    <w:rsid w:val="00BC4754"/>
    <w:rsid w:val="00BC6086"/>
    <w:rsid w:val="00BD1911"/>
    <w:rsid w:val="00BD6637"/>
    <w:rsid w:val="00BE74AA"/>
    <w:rsid w:val="00BF17F1"/>
    <w:rsid w:val="00C107A0"/>
    <w:rsid w:val="00C11D19"/>
    <w:rsid w:val="00C444CC"/>
    <w:rsid w:val="00C54A3E"/>
    <w:rsid w:val="00C66AA3"/>
    <w:rsid w:val="00C84A2C"/>
    <w:rsid w:val="00C946DF"/>
    <w:rsid w:val="00CA2E39"/>
    <w:rsid w:val="00CA7685"/>
    <w:rsid w:val="00CC1D51"/>
    <w:rsid w:val="00CC6876"/>
    <w:rsid w:val="00CD367F"/>
    <w:rsid w:val="00CE30D5"/>
    <w:rsid w:val="00CF30A9"/>
    <w:rsid w:val="00D2561B"/>
    <w:rsid w:val="00D25B6D"/>
    <w:rsid w:val="00D369E9"/>
    <w:rsid w:val="00D40B26"/>
    <w:rsid w:val="00D67E4C"/>
    <w:rsid w:val="00D817C7"/>
    <w:rsid w:val="00D83DD0"/>
    <w:rsid w:val="00D85D46"/>
    <w:rsid w:val="00D85F01"/>
    <w:rsid w:val="00D86529"/>
    <w:rsid w:val="00D872DD"/>
    <w:rsid w:val="00D93E5B"/>
    <w:rsid w:val="00DB4130"/>
    <w:rsid w:val="00DB53F0"/>
    <w:rsid w:val="00DC7D57"/>
    <w:rsid w:val="00DD077B"/>
    <w:rsid w:val="00DD2537"/>
    <w:rsid w:val="00DE156B"/>
    <w:rsid w:val="00DF08EC"/>
    <w:rsid w:val="00E25C86"/>
    <w:rsid w:val="00E319B8"/>
    <w:rsid w:val="00E36B40"/>
    <w:rsid w:val="00E5645F"/>
    <w:rsid w:val="00E664FD"/>
    <w:rsid w:val="00E708EC"/>
    <w:rsid w:val="00E8294A"/>
    <w:rsid w:val="00E84F48"/>
    <w:rsid w:val="00E85B33"/>
    <w:rsid w:val="00E873DE"/>
    <w:rsid w:val="00EA7273"/>
    <w:rsid w:val="00EC032C"/>
    <w:rsid w:val="00EC17DF"/>
    <w:rsid w:val="00EC2BC0"/>
    <w:rsid w:val="00EC7415"/>
    <w:rsid w:val="00ED330A"/>
    <w:rsid w:val="00ED6ADB"/>
    <w:rsid w:val="00EE0EFF"/>
    <w:rsid w:val="00EE15C9"/>
    <w:rsid w:val="00F00AD9"/>
    <w:rsid w:val="00F03ACD"/>
    <w:rsid w:val="00F05A8E"/>
    <w:rsid w:val="00F533A7"/>
    <w:rsid w:val="00F5459A"/>
    <w:rsid w:val="00F60B39"/>
    <w:rsid w:val="00F627DE"/>
    <w:rsid w:val="00F633FD"/>
    <w:rsid w:val="00F64EC3"/>
    <w:rsid w:val="00F708DF"/>
    <w:rsid w:val="00F83AE6"/>
    <w:rsid w:val="00F90D4C"/>
    <w:rsid w:val="00FA12A6"/>
    <w:rsid w:val="00FB4C10"/>
    <w:rsid w:val="00FB6F04"/>
    <w:rsid w:val="00FB7C4B"/>
    <w:rsid w:val="00FC21CF"/>
    <w:rsid w:val="00FC64FE"/>
    <w:rsid w:val="00FC75A7"/>
    <w:rsid w:val="00FD249D"/>
    <w:rsid w:val="00FD3E1A"/>
    <w:rsid w:val="00FF2ECE"/>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rtstatistics.org/Other-Pages/State_Court_Structure_Charts.aspx"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BJS_Data_Protection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A27C-F680-4193-AFCB-1A9E83F0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SYSTEM</cp:lastModifiedBy>
  <cp:revision>2</cp:revision>
  <cp:lastPrinted>2014-05-01T12:30:00Z</cp:lastPrinted>
  <dcterms:created xsi:type="dcterms:W3CDTF">2018-01-29T18:56:00Z</dcterms:created>
  <dcterms:modified xsi:type="dcterms:W3CDTF">2018-01-29T18:56:00Z</dcterms:modified>
</cp:coreProperties>
</file>