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D50" w:rsidRDefault="00C21D50" w:rsidP="00C21D50">
      <w:pPr>
        <w:pStyle w:val="CoverTextRed16pt"/>
        <w:ind w:left="6210"/>
        <w:rPr>
          <w:noProof/>
        </w:rPr>
      </w:pPr>
      <w:bookmarkStart w:id="0" w:name="_Toc322083614"/>
      <w:bookmarkStart w:id="1" w:name="_GoBack"/>
      <w:bookmarkEnd w:id="1"/>
      <w:r>
        <w:rPr>
          <w:noProof/>
        </w:rPr>
        <w:t xml:space="preserve">Supporting Statement for OMB </w:t>
      </w:r>
      <w:r w:rsidR="005A4C93">
        <w:rPr>
          <w:noProof/>
        </w:rPr>
        <w:t xml:space="preserve">Information Collection </w:t>
      </w:r>
      <w:r>
        <w:rPr>
          <w:noProof/>
        </w:rPr>
        <w:t>Request</w:t>
      </w:r>
    </w:p>
    <w:p w:rsidR="00C21D50" w:rsidRDefault="00C21D50" w:rsidP="00C21D50">
      <w:pPr>
        <w:pStyle w:val="CoverTextRed16pt"/>
        <w:ind w:left="6210"/>
        <w:rPr>
          <w:noProof/>
        </w:rPr>
      </w:pPr>
    </w:p>
    <w:p w:rsidR="00C21D50" w:rsidRDefault="00C21D50" w:rsidP="00C21D50">
      <w:pPr>
        <w:pStyle w:val="CoverTextRed16pt"/>
        <w:ind w:left="6210"/>
        <w:rPr>
          <w:noProof/>
        </w:rPr>
      </w:pPr>
      <w:r>
        <w:rPr>
          <w:noProof/>
        </w:rPr>
        <w:t>Part B</w:t>
      </w:r>
    </w:p>
    <w:p w:rsidR="00C21D50" w:rsidRDefault="00C21D50" w:rsidP="00C21D50">
      <w:pPr>
        <w:pStyle w:val="CoverTextRed16pt"/>
        <w:rPr>
          <w:noProof/>
        </w:rPr>
      </w:pPr>
    </w:p>
    <w:p w:rsidR="00194CDF" w:rsidRPr="004128D9" w:rsidRDefault="00194CDF" w:rsidP="00194CDF">
      <w:pPr>
        <w:pStyle w:val="CoverTextRed16pt"/>
        <w:rPr>
          <w:noProof/>
          <w:sz w:val="24"/>
          <w:szCs w:val="24"/>
        </w:rPr>
      </w:pPr>
      <w:r w:rsidRPr="004128D9">
        <w:rPr>
          <w:noProof/>
          <w:sz w:val="24"/>
          <w:szCs w:val="24"/>
        </w:rPr>
        <w:t>Understanding the Intersection</w:t>
      </w:r>
    </w:p>
    <w:p w:rsidR="00194CDF" w:rsidRPr="004128D9" w:rsidRDefault="00194CDF" w:rsidP="00194CDF">
      <w:pPr>
        <w:pStyle w:val="CoverTextRed16pt"/>
        <w:rPr>
          <w:noProof/>
          <w:sz w:val="24"/>
          <w:szCs w:val="24"/>
        </w:rPr>
      </w:pPr>
      <w:r w:rsidRPr="004128D9">
        <w:rPr>
          <w:noProof/>
          <w:sz w:val="24"/>
          <w:szCs w:val="24"/>
        </w:rPr>
        <w:t>Between TANF and Refugee Cash</w:t>
      </w:r>
    </w:p>
    <w:p w:rsidR="00194CDF" w:rsidRPr="00DF40B3" w:rsidRDefault="00194CDF" w:rsidP="00194CDF">
      <w:pPr>
        <w:pStyle w:val="CoverTextRed16pt"/>
        <w:rPr>
          <w:noProof/>
          <w:sz w:val="24"/>
        </w:rPr>
      </w:pPr>
      <w:r w:rsidRPr="004128D9">
        <w:rPr>
          <w:noProof/>
          <w:sz w:val="24"/>
          <w:szCs w:val="24"/>
        </w:rPr>
        <w:t>Assistance Services</w:t>
      </w:r>
    </w:p>
    <w:p w:rsidR="00194CDF" w:rsidRDefault="00194CDF" w:rsidP="00194CDF">
      <w:pPr>
        <w:pStyle w:val="CoverText-Address"/>
        <w:rPr>
          <w:noProof/>
          <w:highlight w:val="yellow"/>
        </w:rPr>
      </w:pPr>
    </w:p>
    <w:p w:rsidR="00194CDF" w:rsidRDefault="00194CDF" w:rsidP="00194CDF">
      <w:pPr>
        <w:pStyle w:val="CoverText-Address"/>
        <w:rPr>
          <w:noProof/>
          <w:highlight w:val="yellow"/>
        </w:rPr>
      </w:pPr>
    </w:p>
    <w:p w:rsidR="00745046" w:rsidRPr="000A1BD2" w:rsidRDefault="00745046" w:rsidP="00745046">
      <w:pPr>
        <w:pStyle w:val="CoverTextRed16pt"/>
        <w:rPr>
          <w:noProof/>
          <w:sz w:val="24"/>
          <w:szCs w:val="24"/>
        </w:rPr>
      </w:pPr>
      <w:r w:rsidRPr="000A1BD2">
        <w:rPr>
          <w:noProof/>
          <w:sz w:val="24"/>
          <w:szCs w:val="24"/>
        </w:rPr>
        <w:t>New Collection</w:t>
      </w:r>
    </w:p>
    <w:p w:rsidR="00194CDF" w:rsidRDefault="00194CDF" w:rsidP="00194CDF">
      <w:pPr>
        <w:pStyle w:val="CoverText-Address"/>
        <w:rPr>
          <w:noProof/>
        </w:rPr>
      </w:pPr>
    </w:p>
    <w:p w:rsidR="00194CDF" w:rsidRDefault="00194CDF" w:rsidP="00194CDF">
      <w:pPr>
        <w:pStyle w:val="CoverText-Address"/>
      </w:pPr>
    </w:p>
    <w:p w:rsidR="00194CDF" w:rsidRDefault="00194CDF" w:rsidP="00194CDF">
      <w:pPr>
        <w:pStyle w:val="CoverText-Address"/>
        <w:rPr>
          <w:b/>
        </w:rPr>
      </w:pPr>
    </w:p>
    <w:p w:rsidR="00194CDF" w:rsidRDefault="00194CDF" w:rsidP="00194CDF">
      <w:pPr>
        <w:pStyle w:val="CoverText-Address"/>
      </w:pPr>
    </w:p>
    <w:p w:rsidR="00194CDF" w:rsidRPr="001E2CF1" w:rsidRDefault="000A56F3" w:rsidP="00194CDF">
      <w:pPr>
        <w:pStyle w:val="CoverText-Address"/>
      </w:pPr>
      <w:r>
        <w:t>August</w:t>
      </w:r>
      <w:r w:rsidR="00330F0B">
        <w:t xml:space="preserve"> 2015</w:t>
      </w:r>
    </w:p>
    <w:p w:rsidR="00194CDF" w:rsidRPr="001E2CF1" w:rsidRDefault="00194CDF" w:rsidP="00194CDF">
      <w:pPr>
        <w:pStyle w:val="CoverText-Address"/>
      </w:pPr>
    </w:p>
    <w:p w:rsidR="00194CDF" w:rsidRPr="001E2CF1" w:rsidRDefault="00194CDF" w:rsidP="00194CDF">
      <w:pPr>
        <w:tabs>
          <w:tab w:val="left" w:pos="720"/>
          <w:tab w:val="left" w:pos="1080"/>
          <w:tab w:val="left" w:pos="1440"/>
          <w:tab w:val="left" w:pos="1800"/>
          <w:tab w:val="left" w:pos="6660"/>
        </w:tabs>
        <w:spacing w:after="0"/>
        <w:ind w:left="6490" w:right="-540"/>
        <w:jc w:val="right"/>
        <w:rPr>
          <w:rFonts w:ascii="Arial" w:hAnsi="Arial"/>
        </w:rPr>
      </w:pPr>
    </w:p>
    <w:p w:rsidR="00194CDF" w:rsidRPr="004734BB" w:rsidRDefault="00194CDF" w:rsidP="00194CDF">
      <w:pPr>
        <w:pStyle w:val="CoverText11pt"/>
        <w:rPr>
          <w:i w:val="0"/>
        </w:rPr>
      </w:pPr>
      <w:r w:rsidRPr="004734BB">
        <w:rPr>
          <w:i w:val="0"/>
        </w:rPr>
        <w:t>Submitted by:</w:t>
      </w:r>
    </w:p>
    <w:p w:rsidR="00194CDF" w:rsidRPr="004734BB" w:rsidRDefault="00194CDF" w:rsidP="00194CDF">
      <w:pPr>
        <w:pStyle w:val="CoverText11pt"/>
        <w:rPr>
          <w:i w:val="0"/>
        </w:rPr>
      </w:pPr>
      <w:r w:rsidRPr="004734BB">
        <w:rPr>
          <w:i w:val="0"/>
        </w:rPr>
        <w:t xml:space="preserve">Office of Planning, </w:t>
      </w:r>
      <w:r w:rsidRPr="004734BB">
        <w:rPr>
          <w:i w:val="0"/>
        </w:rPr>
        <w:br/>
        <w:t>Research &amp; Evaluation</w:t>
      </w:r>
    </w:p>
    <w:p w:rsidR="00194CDF" w:rsidRDefault="00194CDF" w:rsidP="00194CDF">
      <w:pPr>
        <w:pStyle w:val="CoverText-Address"/>
        <w:ind w:left="5760"/>
      </w:pPr>
      <w:r>
        <w:t>Administration for Children &amp; Families</w:t>
      </w:r>
    </w:p>
    <w:p w:rsidR="00194CDF" w:rsidRDefault="00194CDF" w:rsidP="00194CDF">
      <w:pPr>
        <w:pStyle w:val="CoverText-Address"/>
        <w:ind w:left="5760"/>
      </w:pPr>
      <w:r>
        <w:t xml:space="preserve">U.S. Department of Health </w:t>
      </w:r>
      <w:r>
        <w:br/>
        <w:t>and Human Services</w:t>
      </w:r>
    </w:p>
    <w:p w:rsidR="005A4C93" w:rsidRDefault="005A4C93" w:rsidP="00194CDF">
      <w:pPr>
        <w:pStyle w:val="CoverText-Address"/>
        <w:ind w:left="5760"/>
      </w:pPr>
    </w:p>
    <w:p w:rsidR="00073789" w:rsidRDefault="005A4C93" w:rsidP="00194CDF">
      <w:pPr>
        <w:pStyle w:val="CoverText-Address"/>
        <w:ind w:left="5760"/>
      </w:pPr>
      <w:r>
        <w:t xml:space="preserve">370 L’Enfant Promenade SW, </w:t>
      </w:r>
    </w:p>
    <w:p w:rsidR="005A4C93" w:rsidRDefault="005A4C93" w:rsidP="00194CDF">
      <w:pPr>
        <w:pStyle w:val="CoverText-Address"/>
        <w:ind w:left="5760"/>
      </w:pPr>
      <w:r>
        <w:t>7</w:t>
      </w:r>
      <w:r w:rsidRPr="00D16837">
        <w:rPr>
          <w:vertAlign w:val="superscript"/>
        </w:rPr>
        <w:t>th</w:t>
      </w:r>
      <w:r>
        <w:t xml:space="preserve"> Floor</w:t>
      </w:r>
      <w:r w:rsidR="00073789">
        <w:t xml:space="preserve"> West</w:t>
      </w:r>
    </w:p>
    <w:p w:rsidR="005A4C93" w:rsidRDefault="005A4C93" w:rsidP="00194CDF">
      <w:pPr>
        <w:pStyle w:val="CoverText-Address"/>
        <w:ind w:left="5760"/>
      </w:pPr>
      <w:r>
        <w:t>Washington, DC 20447</w:t>
      </w:r>
    </w:p>
    <w:p w:rsidR="00194CDF" w:rsidRDefault="00194CDF" w:rsidP="00194CDF">
      <w:pPr>
        <w:pStyle w:val="CoverText-Address"/>
      </w:pPr>
    </w:p>
    <w:p w:rsidR="00194CDF" w:rsidRPr="001E2CF1" w:rsidRDefault="00194CDF" w:rsidP="00194CDF">
      <w:pPr>
        <w:pStyle w:val="CoverText-Address"/>
        <w:tabs>
          <w:tab w:val="left" w:pos="7050"/>
          <w:tab w:val="right" w:pos="9540"/>
        </w:tabs>
        <w:jc w:val="left"/>
      </w:pPr>
      <w:r>
        <w:tab/>
      </w:r>
      <w:r>
        <w:tab/>
      </w:r>
      <w:r>
        <w:tab/>
        <w:t>Federal Project Officer</w:t>
      </w:r>
      <w:r w:rsidR="003B06BC">
        <w:t>:</w:t>
      </w:r>
    </w:p>
    <w:p w:rsidR="00194CDF" w:rsidRPr="00745046" w:rsidRDefault="00745046" w:rsidP="005A4C93">
      <w:pPr>
        <w:pStyle w:val="CoverText-Address"/>
        <w:tabs>
          <w:tab w:val="left" w:pos="7050"/>
          <w:tab w:val="right" w:pos="9540"/>
        </w:tabs>
        <w:jc w:val="left"/>
      </w:pPr>
      <w:r>
        <w:tab/>
      </w:r>
      <w:r>
        <w:tab/>
      </w:r>
      <w:r>
        <w:tab/>
      </w:r>
      <w:r w:rsidR="00194CDF" w:rsidRPr="00745046">
        <w:t xml:space="preserve">Tiffany McCormack </w:t>
      </w:r>
    </w:p>
    <w:p w:rsidR="00C21D50" w:rsidRDefault="00C21D50" w:rsidP="00C21D50">
      <w:pPr>
        <w:sectPr w:rsidR="00C21D50">
          <w:headerReference w:type="even" r:id="rId9"/>
          <w:headerReference w:type="default" r:id="rId10"/>
          <w:footerReference w:type="default" r:id="rId11"/>
          <w:headerReference w:type="first" r:id="rId12"/>
          <w:pgSz w:w="12240" w:h="15840" w:code="1"/>
          <w:pgMar w:top="1440" w:right="1440" w:bottom="1440" w:left="1800" w:header="720" w:footer="720" w:gutter="0"/>
          <w:pgNumType w:fmt="lowerRoman" w:start="1"/>
          <w:cols w:space="720"/>
          <w:docGrid w:linePitch="299"/>
        </w:sectPr>
      </w:pPr>
    </w:p>
    <w:p w:rsidR="00C21D50" w:rsidRPr="00A178FC" w:rsidRDefault="00C21D50" w:rsidP="00C21D50">
      <w:pPr>
        <w:pStyle w:val="TOCHeader"/>
      </w:pPr>
      <w:r w:rsidRPr="00A178FC">
        <w:lastRenderedPageBreak/>
        <w:t>Table of Contents</w:t>
      </w:r>
    </w:p>
    <w:p w:rsidR="00DD3629" w:rsidRDefault="008342B7">
      <w:pPr>
        <w:pStyle w:val="TOC1"/>
        <w:tabs>
          <w:tab w:val="right" w:leader="dot" w:pos="9350"/>
        </w:tabs>
        <w:rPr>
          <w:rFonts w:asciiTheme="minorHAnsi" w:eastAsiaTheme="minorEastAsia" w:hAnsiTheme="minorHAnsi" w:cstheme="minorBidi"/>
          <w:b w:val="0"/>
          <w:noProof/>
          <w:szCs w:val="22"/>
        </w:rPr>
      </w:pPr>
      <w:r>
        <w:fldChar w:fldCharType="begin"/>
      </w:r>
      <w:r w:rsidR="00C21D50">
        <w:instrText xml:space="preserve"> TOC \o "1-3" \h \z \u </w:instrText>
      </w:r>
      <w:r>
        <w:fldChar w:fldCharType="separate"/>
      </w:r>
      <w:hyperlink w:anchor="_Toc426381105" w:history="1">
        <w:r w:rsidR="00DD3629" w:rsidRPr="00440F02">
          <w:rPr>
            <w:rStyle w:val="Hyperlink"/>
            <w:noProof/>
          </w:rPr>
          <w:t>Part B: Statistical Methods</w:t>
        </w:r>
        <w:r w:rsidR="00DD3629">
          <w:rPr>
            <w:noProof/>
            <w:webHidden/>
          </w:rPr>
          <w:tab/>
        </w:r>
        <w:r w:rsidR="00DD3629">
          <w:rPr>
            <w:noProof/>
            <w:webHidden/>
          </w:rPr>
          <w:fldChar w:fldCharType="begin"/>
        </w:r>
        <w:r w:rsidR="00DD3629">
          <w:rPr>
            <w:noProof/>
            <w:webHidden/>
          </w:rPr>
          <w:instrText xml:space="preserve"> PAGEREF _Toc426381105 \h </w:instrText>
        </w:r>
        <w:r w:rsidR="00DD3629">
          <w:rPr>
            <w:noProof/>
            <w:webHidden/>
          </w:rPr>
        </w:r>
        <w:r w:rsidR="00DD3629">
          <w:rPr>
            <w:noProof/>
            <w:webHidden/>
          </w:rPr>
          <w:fldChar w:fldCharType="separate"/>
        </w:r>
        <w:r w:rsidR="00DD3629">
          <w:rPr>
            <w:noProof/>
            <w:webHidden/>
          </w:rPr>
          <w:t>3</w:t>
        </w:r>
        <w:r w:rsidR="00DD3629">
          <w:rPr>
            <w:noProof/>
            <w:webHidden/>
          </w:rPr>
          <w:fldChar w:fldCharType="end"/>
        </w:r>
      </w:hyperlink>
    </w:p>
    <w:p w:rsidR="00DD3629" w:rsidRDefault="00096D3D">
      <w:pPr>
        <w:pStyle w:val="TOC2"/>
        <w:rPr>
          <w:rFonts w:asciiTheme="minorHAnsi" w:eastAsiaTheme="minorEastAsia" w:hAnsiTheme="minorHAnsi" w:cstheme="minorBidi"/>
          <w:szCs w:val="22"/>
        </w:rPr>
      </w:pPr>
      <w:hyperlink w:anchor="_Toc426381106" w:history="1">
        <w:r w:rsidR="00DD3629" w:rsidRPr="00440F02">
          <w:rPr>
            <w:rStyle w:val="Hyperlink"/>
          </w:rPr>
          <w:t xml:space="preserve">B.1 </w:t>
        </w:r>
        <w:r w:rsidR="00DD3629">
          <w:rPr>
            <w:rFonts w:asciiTheme="minorHAnsi" w:eastAsiaTheme="minorEastAsia" w:hAnsiTheme="minorHAnsi" w:cstheme="minorBidi"/>
            <w:szCs w:val="22"/>
          </w:rPr>
          <w:tab/>
        </w:r>
        <w:r w:rsidR="00DD3629" w:rsidRPr="00440F02">
          <w:rPr>
            <w:rStyle w:val="Hyperlink"/>
          </w:rPr>
          <w:t>Respondent Universe and Sampling Methods</w:t>
        </w:r>
        <w:r w:rsidR="00DD3629">
          <w:rPr>
            <w:webHidden/>
          </w:rPr>
          <w:tab/>
        </w:r>
        <w:r w:rsidR="00DD3629">
          <w:rPr>
            <w:webHidden/>
          </w:rPr>
          <w:fldChar w:fldCharType="begin"/>
        </w:r>
        <w:r w:rsidR="00DD3629">
          <w:rPr>
            <w:webHidden/>
          </w:rPr>
          <w:instrText xml:space="preserve"> PAGEREF _Toc426381106 \h </w:instrText>
        </w:r>
        <w:r w:rsidR="00DD3629">
          <w:rPr>
            <w:webHidden/>
          </w:rPr>
        </w:r>
        <w:r w:rsidR="00DD3629">
          <w:rPr>
            <w:webHidden/>
          </w:rPr>
          <w:fldChar w:fldCharType="separate"/>
        </w:r>
        <w:r w:rsidR="00DD3629">
          <w:rPr>
            <w:webHidden/>
          </w:rPr>
          <w:t>3</w:t>
        </w:r>
        <w:r w:rsidR="00DD3629">
          <w:rPr>
            <w:webHidden/>
          </w:rPr>
          <w:fldChar w:fldCharType="end"/>
        </w:r>
      </w:hyperlink>
    </w:p>
    <w:p w:rsidR="00DD3629" w:rsidRDefault="00096D3D">
      <w:pPr>
        <w:pStyle w:val="TOC3"/>
        <w:rPr>
          <w:rFonts w:asciiTheme="minorHAnsi" w:eastAsiaTheme="minorEastAsia" w:hAnsiTheme="minorHAnsi" w:cstheme="minorBidi"/>
          <w:szCs w:val="22"/>
        </w:rPr>
      </w:pPr>
      <w:hyperlink w:anchor="_Toc426381107" w:history="1">
        <w:r w:rsidR="00DD3629" w:rsidRPr="00440F02">
          <w:rPr>
            <w:rStyle w:val="Hyperlink"/>
          </w:rPr>
          <w:t>B.1.1</w:t>
        </w:r>
        <w:r w:rsidR="00DD3629">
          <w:rPr>
            <w:rFonts w:asciiTheme="minorHAnsi" w:eastAsiaTheme="minorEastAsia" w:hAnsiTheme="minorHAnsi" w:cstheme="minorBidi"/>
            <w:szCs w:val="22"/>
          </w:rPr>
          <w:tab/>
        </w:r>
        <w:r w:rsidR="00DD3629" w:rsidRPr="00440F02">
          <w:rPr>
            <w:rStyle w:val="Hyperlink"/>
          </w:rPr>
          <w:t>State Refugee Coordinators/Wilson-Fish Program Coordinators</w:t>
        </w:r>
        <w:r w:rsidR="00DD3629">
          <w:rPr>
            <w:webHidden/>
          </w:rPr>
          <w:tab/>
        </w:r>
        <w:r w:rsidR="00DD3629">
          <w:rPr>
            <w:webHidden/>
          </w:rPr>
          <w:fldChar w:fldCharType="begin"/>
        </w:r>
        <w:r w:rsidR="00DD3629">
          <w:rPr>
            <w:webHidden/>
          </w:rPr>
          <w:instrText xml:space="preserve"> PAGEREF _Toc426381107 \h </w:instrText>
        </w:r>
        <w:r w:rsidR="00DD3629">
          <w:rPr>
            <w:webHidden/>
          </w:rPr>
        </w:r>
        <w:r w:rsidR="00DD3629">
          <w:rPr>
            <w:webHidden/>
          </w:rPr>
          <w:fldChar w:fldCharType="separate"/>
        </w:r>
        <w:r w:rsidR="00DD3629">
          <w:rPr>
            <w:webHidden/>
          </w:rPr>
          <w:t>3</w:t>
        </w:r>
        <w:r w:rsidR="00DD3629">
          <w:rPr>
            <w:webHidden/>
          </w:rPr>
          <w:fldChar w:fldCharType="end"/>
        </w:r>
      </w:hyperlink>
    </w:p>
    <w:p w:rsidR="00DD3629" w:rsidRDefault="00096D3D">
      <w:pPr>
        <w:pStyle w:val="TOC3"/>
        <w:rPr>
          <w:rFonts w:asciiTheme="minorHAnsi" w:eastAsiaTheme="minorEastAsia" w:hAnsiTheme="minorHAnsi" w:cstheme="minorBidi"/>
          <w:szCs w:val="22"/>
        </w:rPr>
      </w:pPr>
      <w:hyperlink w:anchor="_Toc426381108" w:history="1">
        <w:r w:rsidR="00DD3629" w:rsidRPr="00440F02">
          <w:rPr>
            <w:rStyle w:val="Hyperlink"/>
          </w:rPr>
          <w:t>B.1.2</w:t>
        </w:r>
        <w:r w:rsidR="00DD3629">
          <w:rPr>
            <w:rFonts w:asciiTheme="minorHAnsi" w:eastAsiaTheme="minorEastAsia" w:hAnsiTheme="minorHAnsi" w:cstheme="minorBidi"/>
            <w:szCs w:val="22"/>
          </w:rPr>
          <w:tab/>
        </w:r>
        <w:r w:rsidR="00DD3629" w:rsidRPr="00440F02">
          <w:rPr>
            <w:rStyle w:val="Hyperlink"/>
          </w:rPr>
          <w:t>Managers and staff at agencies and organizations providing services to refugees</w:t>
        </w:r>
        <w:r w:rsidR="00DD3629">
          <w:rPr>
            <w:webHidden/>
          </w:rPr>
          <w:tab/>
        </w:r>
        <w:r w:rsidR="00DD3629">
          <w:rPr>
            <w:webHidden/>
          </w:rPr>
          <w:fldChar w:fldCharType="begin"/>
        </w:r>
        <w:r w:rsidR="00DD3629">
          <w:rPr>
            <w:webHidden/>
          </w:rPr>
          <w:instrText xml:space="preserve"> PAGEREF _Toc426381108 \h </w:instrText>
        </w:r>
        <w:r w:rsidR="00DD3629">
          <w:rPr>
            <w:webHidden/>
          </w:rPr>
        </w:r>
        <w:r w:rsidR="00DD3629">
          <w:rPr>
            <w:webHidden/>
          </w:rPr>
          <w:fldChar w:fldCharType="separate"/>
        </w:r>
        <w:r w:rsidR="00DD3629">
          <w:rPr>
            <w:webHidden/>
          </w:rPr>
          <w:t>3</w:t>
        </w:r>
        <w:r w:rsidR="00DD3629">
          <w:rPr>
            <w:webHidden/>
          </w:rPr>
          <w:fldChar w:fldCharType="end"/>
        </w:r>
      </w:hyperlink>
    </w:p>
    <w:p w:rsidR="00DD3629" w:rsidRDefault="00096D3D">
      <w:pPr>
        <w:pStyle w:val="TOC3"/>
        <w:rPr>
          <w:rFonts w:asciiTheme="minorHAnsi" w:eastAsiaTheme="minorEastAsia" w:hAnsiTheme="minorHAnsi" w:cstheme="minorBidi"/>
          <w:szCs w:val="22"/>
        </w:rPr>
      </w:pPr>
      <w:hyperlink w:anchor="_Toc426381109" w:history="1">
        <w:r w:rsidR="00DD3629" w:rsidRPr="00440F02">
          <w:rPr>
            <w:rStyle w:val="Hyperlink"/>
          </w:rPr>
          <w:t>B.1.3</w:t>
        </w:r>
        <w:r w:rsidR="00DD3629">
          <w:rPr>
            <w:rFonts w:asciiTheme="minorHAnsi" w:eastAsiaTheme="minorEastAsia" w:hAnsiTheme="minorHAnsi" w:cstheme="minorBidi"/>
            <w:szCs w:val="22"/>
          </w:rPr>
          <w:tab/>
        </w:r>
        <w:r w:rsidR="00DD3629" w:rsidRPr="00440F02">
          <w:rPr>
            <w:rStyle w:val="Hyperlink"/>
          </w:rPr>
          <w:t>Individuals who receive refugee services</w:t>
        </w:r>
        <w:r w:rsidR="00DD3629">
          <w:rPr>
            <w:webHidden/>
          </w:rPr>
          <w:tab/>
        </w:r>
        <w:r w:rsidR="00DD3629">
          <w:rPr>
            <w:webHidden/>
          </w:rPr>
          <w:fldChar w:fldCharType="begin"/>
        </w:r>
        <w:r w:rsidR="00DD3629">
          <w:rPr>
            <w:webHidden/>
          </w:rPr>
          <w:instrText xml:space="preserve"> PAGEREF _Toc426381109 \h </w:instrText>
        </w:r>
        <w:r w:rsidR="00DD3629">
          <w:rPr>
            <w:webHidden/>
          </w:rPr>
        </w:r>
        <w:r w:rsidR="00DD3629">
          <w:rPr>
            <w:webHidden/>
          </w:rPr>
          <w:fldChar w:fldCharType="separate"/>
        </w:r>
        <w:r w:rsidR="00DD3629">
          <w:rPr>
            <w:webHidden/>
          </w:rPr>
          <w:t>5</w:t>
        </w:r>
        <w:r w:rsidR="00DD3629">
          <w:rPr>
            <w:webHidden/>
          </w:rPr>
          <w:fldChar w:fldCharType="end"/>
        </w:r>
      </w:hyperlink>
    </w:p>
    <w:p w:rsidR="00DD3629" w:rsidRDefault="00096D3D">
      <w:pPr>
        <w:pStyle w:val="TOC3"/>
        <w:rPr>
          <w:rFonts w:asciiTheme="minorHAnsi" w:eastAsiaTheme="minorEastAsia" w:hAnsiTheme="minorHAnsi" w:cstheme="minorBidi"/>
          <w:szCs w:val="22"/>
        </w:rPr>
      </w:pPr>
      <w:hyperlink w:anchor="_Toc426381110" w:history="1">
        <w:r w:rsidR="00DD3629" w:rsidRPr="00440F02">
          <w:rPr>
            <w:rStyle w:val="Hyperlink"/>
          </w:rPr>
          <w:t>B.1.4</w:t>
        </w:r>
        <w:r w:rsidR="00DD3629">
          <w:rPr>
            <w:rFonts w:asciiTheme="minorHAnsi" w:eastAsiaTheme="minorEastAsia" w:hAnsiTheme="minorHAnsi" w:cstheme="minorBidi"/>
            <w:szCs w:val="22"/>
          </w:rPr>
          <w:tab/>
        </w:r>
        <w:r w:rsidR="00DD3629" w:rsidRPr="00440F02">
          <w:rPr>
            <w:rStyle w:val="Hyperlink"/>
          </w:rPr>
          <w:t>Target Response Rates</w:t>
        </w:r>
        <w:r w:rsidR="00DD3629">
          <w:rPr>
            <w:webHidden/>
          </w:rPr>
          <w:tab/>
        </w:r>
        <w:r w:rsidR="00DD3629">
          <w:rPr>
            <w:webHidden/>
          </w:rPr>
          <w:fldChar w:fldCharType="begin"/>
        </w:r>
        <w:r w:rsidR="00DD3629">
          <w:rPr>
            <w:webHidden/>
          </w:rPr>
          <w:instrText xml:space="preserve"> PAGEREF _Toc426381110 \h </w:instrText>
        </w:r>
        <w:r w:rsidR="00DD3629">
          <w:rPr>
            <w:webHidden/>
          </w:rPr>
        </w:r>
        <w:r w:rsidR="00DD3629">
          <w:rPr>
            <w:webHidden/>
          </w:rPr>
          <w:fldChar w:fldCharType="separate"/>
        </w:r>
        <w:r w:rsidR="00DD3629">
          <w:rPr>
            <w:webHidden/>
          </w:rPr>
          <w:t>6</w:t>
        </w:r>
        <w:r w:rsidR="00DD3629">
          <w:rPr>
            <w:webHidden/>
          </w:rPr>
          <w:fldChar w:fldCharType="end"/>
        </w:r>
      </w:hyperlink>
    </w:p>
    <w:p w:rsidR="00DD3629" w:rsidRDefault="00096D3D">
      <w:pPr>
        <w:pStyle w:val="TOC2"/>
        <w:rPr>
          <w:rFonts w:asciiTheme="minorHAnsi" w:eastAsiaTheme="minorEastAsia" w:hAnsiTheme="minorHAnsi" w:cstheme="minorBidi"/>
          <w:szCs w:val="22"/>
        </w:rPr>
      </w:pPr>
      <w:hyperlink w:anchor="_Toc426381111" w:history="1">
        <w:r w:rsidR="00DD3629" w:rsidRPr="00440F02">
          <w:rPr>
            <w:rStyle w:val="Hyperlink"/>
          </w:rPr>
          <w:t>B.2</w:t>
        </w:r>
        <w:r w:rsidR="00DD3629">
          <w:rPr>
            <w:rFonts w:asciiTheme="minorHAnsi" w:eastAsiaTheme="minorEastAsia" w:hAnsiTheme="minorHAnsi" w:cstheme="minorBidi"/>
            <w:szCs w:val="22"/>
          </w:rPr>
          <w:tab/>
        </w:r>
        <w:r w:rsidR="00DD3629" w:rsidRPr="00440F02">
          <w:rPr>
            <w:rStyle w:val="Hyperlink"/>
          </w:rPr>
          <w:t>Procedures for Collection of Information</w:t>
        </w:r>
        <w:r w:rsidR="00DD3629">
          <w:rPr>
            <w:webHidden/>
          </w:rPr>
          <w:tab/>
        </w:r>
        <w:r w:rsidR="00DD3629">
          <w:rPr>
            <w:webHidden/>
          </w:rPr>
          <w:fldChar w:fldCharType="begin"/>
        </w:r>
        <w:r w:rsidR="00DD3629">
          <w:rPr>
            <w:webHidden/>
          </w:rPr>
          <w:instrText xml:space="preserve"> PAGEREF _Toc426381111 \h </w:instrText>
        </w:r>
        <w:r w:rsidR="00DD3629">
          <w:rPr>
            <w:webHidden/>
          </w:rPr>
        </w:r>
        <w:r w:rsidR="00DD3629">
          <w:rPr>
            <w:webHidden/>
          </w:rPr>
          <w:fldChar w:fldCharType="separate"/>
        </w:r>
        <w:r w:rsidR="00DD3629">
          <w:rPr>
            <w:webHidden/>
          </w:rPr>
          <w:t>6</w:t>
        </w:r>
        <w:r w:rsidR="00DD3629">
          <w:rPr>
            <w:webHidden/>
          </w:rPr>
          <w:fldChar w:fldCharType="end"/>
        </w:r>
      </w:hyperlink>
    </w:p>
    <w:p w:rsidR="00DD3629" w:rsidRDefault="00096D3D">
      <w:pPr>
        <w:pStyle w:val="TOC3"/>
        <w:rPr>
          <w:rFonts w:asciiTheme="minorHAnsi" w:eastAsiaTheme="minorEastAsia" w:hAnsiTheme="minorHAnsi" w:cstheme="minorBidi"/>
          <w:szCs w:val="22"/>
        </w:rPr>
      </w:pPr>
      <w:hyperlink w:anchor="_Toc426381112" w:history="1">
        <w:r w:rsidR="00DD3629" w:rsidRPr="00440F02">
          <w:rPr>
            <w:rStyle w:val="Hyperlink"/>
          </w:rPr>
          <w:t>B.2.1 Survey of State Refugee Coordinators</w:t>
        </w:r>
        <w:r w:rsidR="00DD3629">
          <w:rPr>
            <w:webHidden/>
          </w:rPr>
          <w:tab/>
        </w:r>
        <w:r w:rsidR="00DD3629">
          <w:rPr>
            <w:webHidden/>
          </w:rPr>
          <w:fldChar w:fldCharType="begin"/>
        </w:r>
        <w:r w:rsidR="00DD3629">
          <w:rPr>
            <w:webHidden/>
          </w:rPr>
          <w:instrText xml:space="preserve"> PAGEREF _Toc426381112 \h </w:instrText>
        </w:r>
        <w:r w:rsidR="00DD3629">
          <w:rPr>
            <w:webHidden/>
          </w:rPr>
        </w:r>
        <w:r w:rsidR="00DD3629">
          <w:rPr>
            <w:webHidden/>
          </w:rPr>
          <w:fldChar w:fldCharType="separate"/>
        </w:r>
        <w:r w:rsidR="00DD3629">
          <w:rPr>
            <w:webHidden/>
          </w:rPr>
          <w:t>6</w:t>
        </w:r>
        <w:r w:rsidR="00DD3629">
          <w:rPr>
            <w:webHidden/>
          </w:rPr>
          <w:fldChar w:fldCharType="end"/>
        </w:r>
      </w:hyperlink>
    </w:p>
    <w:p w:rsidR="00DD3629" w:rsidRDefault="00096D3D">
      <w:pPr>
        <w:pStyle w:val="TOC3"/>
        <w:rPr>
          <w:rFonts w:asciiTheme="minorHAnsi" w:eastAsiaTheme="minorEastAsia" w:hAnsiTheme="minorHAnsi" w:cstheme="minorBidi"/>
          <w:szCs w:val="22"/>
        </w:rPr>
      </w:pPr>
      <w:hyperlink w:anchor="_Toc426381113" w:history="1">
        <w:r w:rsidR="00DD3629" w:rsidRPr="00440F02">
          <w:rPr>
            <w:rStyle w:val="Hyperlink"/>
          </w:rPr>
          <w:t>B 2.2 Staff and Managers at agencies and organizations that provide services to refugees</w:t>
        </w:r>
        <w:r w:rsidR="00DD3629">
          <w:rPr>
            <w:webHidden/>
          </w:rPr>
          <w:tab/>
        </w:r>
        <w:r w:rsidR="00DD3629">
          <w:rPr>
            <w:webHidden/>
          </w:rPr>
          <w:fldChar w:fldCharType="begin"/>
        </w:r>
        <w:r w:rsidR="00DD3629">
          <w:rPr>
            <w:webHidden/>
          </w:rPr>
          <w:instrText xml:space="preserve"> PAGEREF _Toc426381113 \h </w:instrText>
        </w:r>
        <w:r w:rsidR="00DD3629">
          <w:rPr>
            <w:webHidden/>
          </w:rPr>
        </w:r>
        <w:r w:rsidR="00DD3629">
          <w:rPr>
            <w:webHidden/>
          </w:rPr>
          <w:fldChar w:fldCharType="separate"/>
        </w:r>
        <w:r w:rsidR="00DD3629">
          <w:rPr>
            <w:webHidden/>
          </w:rPr>
          <w:t>7</w:t>
        </w:r>
        <w:r w:rsidR="00DD3629">
          <w:rPr>
            <w:webHidden/>
          </w:rPr>
          <w:fldChar w:fldCharType="end"/>
        </w:r>
      </w:hyperlink>
    </w:p>
    <w:p w:rsidR="00DD3629" w:rsidRDefault="00096D3D">
      <w:pPr>
        <w:pStyle w:val="TOC3"/>
        <w:rPr>
          <w:rFonts w:asciiTheme="minorHAnsi" w:eastAsiaTheme="minorEastAsia" w:hAnsiTheme="minorHAnsi" w:cstheme="minorBidi"/>
          <w:szCs w:val="22"/>
        </w:rPr>
      </w:pPr>
      <w:hyperlink w:anchor="_Toc426381114" w:history="1">
        <w:r w:rsidR="00DD3629" w:rsidRPr="00440F02">
          <w:rPr>
            <w:rStyle w:val="Hyperlink"/>
          </w:rPr>
          <w:t>B 2.3 Individuals who Receive Refugee Services</w:t>
        </w:r>
        <w:r w:rsidR="00DD3629">
          <w:rPr>
            <w:webHidden/>
          </w:rPr>
          <w:tab/>
        </w:r>
        <w:r w:rsidR="00DD3629">
          <w:rPr>
            <w:webHidden/>
          </w:rPr>
          <w:fldChar w:fldCharType="begin"/>
        </w:r>
        <w:r w:rsidR="00DD3629">
          <w:rPr>
            <w:webHidden/>
          </w:rPr>
          <w:instrText xml:space="preserve"> PAGEREF _Toc426381114 \h </w:instrText>
        </w:r>
        <w:r w:rsidR="00DD3629">
          <w:rPr>
            <w:webHidden/>
          </w:rPr>
        </w:r>
        <w:r w:rsidR="00DD3629">
          <w:rPr>
            <w:webHidden/>
          </w:rPr>
          <w:fldChar w:fldCharType="separate"/>
        </w:r>
        <w:r w:rsidR="00DD3629">
          <w:rPr>
            <w:webHidden/>
          </w:rPr>
          <w:t>7</w:t>
        </w:r>
        <w:r w:rsidR="00DD3629">
          <w:rPr>
            <w:webHidden/>
          </w:rPr>
          <w:fldChar w:fldCharType="end"/>
        </w:r>
      </w:hyperlink>
    </w:p>
    <w:p w:rsidR="00DD3629" w:rsidRDefault="00096D3D">
      <w:pPr>
        <w:pStyle w:val="TOC3"/>
        <w:rPr>
          <w:rFonts w:asciiTheme="minorHAnsi" w:eastAsiaTheme="minorEastAsia" w:hAnsiTheme="minorHAnsi" w:cstheme="minorBidi"/>
          <w:szCs w:val="22"/>
        </w:rPr>
      </w:pPr>
      <w:hyperlink w:anchor="_Toc426381115" w:history="1">
        <w:r w:rsidR="00DD3629" w:rsidRPr="00440F02">
          <w:rPr>
            <w:rStyle w:val="Hyperlink"/>
          </w:rPr>
          <w:t>B.2.4</w:t>
        </w:r>
        <w:r w:rsidR="00DD3629">
          <w:rPr>
            <w:rFonts w:asciiTheme="minorHAnsi" w:eastAsiaTheme="minorEastAsia" w:hAnsiTheme="minorHAnsi" w:cstheme="minorBidi"/>
            <w:szCs w:val="22"/>
          </w:rPr>
          <w:tab/>
        </w:r>
        <w:r w:rsidR="00DD3629" w:rsidRPr="00440F02">
          <w:rPr>
            <w:rStyle w:val="Hyperlink"/>
          </w:rPr>
          <w:t>Procedures with Special Populations</w:t>
        </w:r>
        <w:r w:rsidR="00DD3629">
          <w:rPr>
            <w:webHidden/>
          </w:rPr>
          <w:tab/>
        </w:r>
        <w:r w:rsidR="00DD3629">
          <w:rPr>
            <w:webHidden/>
          </w:rPr>
          <w:fldChar w:fldCharType="begin"/>
        </w:r>
        <w:r w:rsidR="00DD3629">
          <w:rPr>
            <w:webHidden/>
          </w:rPr>
          <w:instrText xml:space="preserve"> PAGEREF _Toc426381115 \h </w:instrText>
        </w:r>
        <w:r w:rsidR="00DD3629">
          <w:rPr>
            <w:webHidden/>
          </w:rPr>
        </w:r>
        <w:r w:rsidR="00DD3629">
          <w:rPr>
            <w:webHidden/>
          </w:rPr>
          <w:fldChar w:fldCharType="separate"/>
        </w:r>
        <w:r w:rsidR="00DD3629">
          <w:rPr>
            <w:webHidden/>
          </w:rPr>
          <w:t>7</w:t>
        </w:r>
        <w:r w:rsidR="00DD3629">
          <w:rPr>
            <w:webHidden/>
          </w:rPr>
          <w:fldChar w:fldCharType="end"/>
        </w:r>
      </w:hyperlink>
    </w:p>
    <w:p w:rsidR="00DD3629" w:rsidRDefault="00096D3D">
      <w:pPr>
        <w:pStyle w:val="TOC2"/>
        <w:rPr>
          <w:rFonts w:asciiTheme="minorHAnsi" w:eastAsiaTheme="minorEastAsia" w:hAnsiTheme="minorHAnsi" w:cstheme="minorBidi"/>
          <w:szCs w:val="22"/>
        </w:rPr>
      </w:pPr>
      <w:hyperlink w:anchor="_Toc426381116" w:history="1">
        <w:r w:rsidR="00DD3629" w:rsidRPr="00440F02">
          <w:rPr>
            <w:rStyle w:val="Hyperlink"/>
          </w:rPr>
          <w:t>B.3</w:t>
        </w:r>
        <w:r w:rsidR="00DD3629">
          <w:rPr>
            <w:rFonts w:asciiTheme="minorHAnsi" w:eastAsiaTheme="minorEastAsia" w:hAnsiTheme="minorHAnsi" w:cstheme="minorBidi"/>
            <w:szCs w:val="22"/>
          </w:rPr>
          <w:tab/>
        </w:r>
        <w:r w:rsidR="00DD3629" w:rsidRPr="00440F02">
          <w:rPr>
            <w:rStyle w:val="Hyperlink"/>
          </w:rPr>
          <w:t>Methods to Maximize Response Rates and Deal with Nonresponse</w:t>
        </w:r>
        <w:r w:rsidR="00DD3629">
          <w:rPr>
            <w:webHidden/>
          </w:rPr>
          <w:tab/>
        </w:r>
        <w:r w:rsidR="00DD3629">
          <w:rPr>
            <w:webHidden/>
          </w:rPr>
          <w:fldChar w:fldCharType="begin"/>
        </w:r>
        <w:r w:rsidR="00DD3629">
          <w:rPr>
            <w:webHidden/>
          </w:rPr>
          <w:instrText xml:space="preserve"> PAGEREF _Toc426381116 \h </w:instrText>
        </w:r>
        <w:r w:rsidR="00DD3629">
          <w:rPr>
            <w:webHidden/>
          </w:rPr>
        </w:r>
        <w:r w:rsidR="00DD3629">
          <w:rPr>
            <w:webHidden/>
          </w:rPr>
          <w:fldChar w:fldCharType="separate"/>
        </w:r>
        <w:r w:rsidR="00DD3629">
          <w:rPr>
            <w:webHidden/>
          </w:rPr>
          <w:t>7</w:t>
        </w:r>
        <w:r w:rsidR="00DD3629">
          <w:rPr>
            <w:webHidden/>
          </w:rPr>
          <w:fldChar w:fldCharType="end"/>
        </w:r>
      </w:hyperlink>
    </w:p>
    <w:p w:rsidR="00DD3629" w:rsidRDefault="00096D3D">
      <w:pPr>
        <w:pStyle w:val="TOC3"/>
        <w:rPr>
          <w:rFonts w:asciiTheme="minorHAnsi" w:eastAsiaTheme="minorEastAsia" w:hAnsiTheme="minorHAnsi" w:cstheme="minorBidi"/>
          <w:szCs w:val="22"/>
        </w:rPr>
      </w:pPr>
      <w:hyperlink w:anchor="_Toc426381117" w:history="1">
        <w:r w:rsidR="00DD3629" w:rsidRPr="00440F02">
          <w:rPr>
            <w:rStyle w:val="Hyperlink"/>
          </w:rPr>
          <w:t>B.3.1 Expected Response Rates</w:t>
        </w:r>
        <w:r w:rsidR="00DD3629">
          <w:rPr>
            <w:webHidden/>
          </w:rPr>
          <w:tab/>
        </w:r>
        <w:r w:rsidR="00DD3629">
          <w:rPr>
            <w:webHidden/>
          </w:rPr>
          <w:fldChar w:fldCharType="begin"/>
        </w:r>
        <w:r w:rsidR="00DD3629">
          <w:rPr>
            <w:webHidden/>
          </w:rPr>
          <w:instrText xml:space="preserve"> PAGEREF _Toc426381117 \h </w:instrText>
        </w:r>
        <w:r w:rsidR="00DD3629">
          <w:rPr>
            <w:webHidden/>
          </w:rPr>
        </w:r>
        <w:r w:rsidR="00DD3629">
          <w:rPr>
            <w:webHidden/>
          </w:rPr>
          <w:fldChar w:fldCharType="separate"/>
        </w:r>
        <w:r w:rsidR="00DD3629">
          <w:rPr>
            <w:webHidden/>
          </w:rPr>
          <w:t>7</w:t>
        </w:r>
        <w:r w:rsidR="00DD3629">
          <w:rPr>
            <w:webHidden/>
          </w:rPr>
          <w:fldChar w:fldCharType="end"/>
        </w:r>
      </w:hyperlink>
    </w:p>
    <w:p w:rsidR="00DD3629" w:rsidRDefault="00096D3D">
      <w:pPr>
        <w:pStyle w:val="TOC3"/>
        <w:rPr>
          <w:rFonts w:asciiTheme="minorHAnsi" w:eastAsiaTheme="minorEastAsia" w:hAnsiTheme="minorHAnsi" w:cstheme="minorBidi"/>
          <w:szCs w:val="22"/>
        </w:rPr>
      </w:pPr>
      <w:hyperlink w:anchor="_Toc426381118" w:history="1">
        <w:r w:rsidR="00DD3629" w:rsidRPr="00440F02">
          <w:rPr>
            <w:rStyle w:val="Hyperlink"/>
          </w:rPr>
          <w:t>B.3.2 Dealing with Nonresponse</w:t>
        </w:r>
        <w:r w:rsidR="00DD3629">
          <w:rPr>
            <w:webHidden/>
          </w:rPr>
          <w:tab/>
        </w:r>
        <w:r w:rsidR="00DD3629">
          <w:rPr>
            <w:webHidden/>
          </w:rPr>
          <w:fldChar w:fldCharType="begin"/>
        </w:r>
        <w:r w:rsidR="00DD3629">
          <w:rPr>
            <w:webHidden/>
          </w:rPr>
          <w:instrText xml:space="preserve"> PAGEREF _Toc426381118 \h </w:instrText>
        </w:r>
        <w:r w:rsidR="00DD3629">
          <w:rPr>
            <w:webHidden/>
          </w:rPr>
        </w:r>
        <w:r w:rsidR="00DD3629">
          <w:rPr>
            <w:webHidden/>
          </w:rPr>
          <w:fldChar w:fldCharType="separate"/>
        </w:r>
        <w:r w:rsidR="00DD3629">
          <w:rPr>
            <w:webHidden/>
          </w:rPr>
          <w:t>7</w:t>
        </w:r>
        <w:r w:rsidR="00DD3629">
          <w:rPr>
            <w:webHidden/>
          </w:rPr>
          <w:fldChar w:fldCharType="end"/>
        </w:r>
      </w:hyperlink>
    </w:p>
    <w:p w:rsidR="00DD3629" w:rsidRDefault="00096D3D">
      <w:pPr>
        <w:pStyle w:val="TOC3"/>
        <w:rPr>
          <w:rFonts w:asciiTheme="minorHAnsi" w:eastAsiaTheme="minorEastAsia" w:hAnsiTheme="minorHAnsi" w:cstheme="minorBidi"/>
          <w:szCs w:val="22"/>
        </w:rPr>
      </w:pPr>
      <w:hyperlink w:anchor="_Toc426381119" w:history="1">
        <w:r w:rsidR="00DD3629" w:rsidRPr="00440F02">
          <w:rPr>
            <w:rStyle w:val="Hyperlink"/>
          </w:rPr>
          <w:t>B.3.3 Maximizing Response Rates</w:t>
        </w:r>
        <w:r w:rsidR="00DD3629">
          <w:rPr>
            <w:webHidden/>
          </w:rPr>
          <w:tab/>
        </w:r>
        <w:r w:rsidR="00DD3629">
          <w:rPr>
            <w:webHidden/>
          </w:rPr>
          <w:fldChar w:fldCharType="begin"/>
        </w:r>
        <w:r w:rsidR="00DD3629">
          <w:rPr>
            <w:webHidden/>
          </w:rPr>
          <w:instrText xml:space="preserve"> PAGEREF _Toc426381119 \h </w:instrText>
        </w:r>
        <w:r w:rsidR="00DD3629">
          <w:rPr>
            <w:webHidden/>
          </w:rPr>
        </w:r>
        <w:r w:rsidR="00DD3629">
          <w:rPr>
            <w:webHidden/>
          </w:rPr>
          <w:fldChar w:fldCharType="separate"/>
        </w:r>
        <w:r w:rsidR="00DD3629">
          <w:rPr>
            <w:webHidden/>
          </w:rPr>
          <w:t>8</w:t>
        </w:r>
        <w:r w:rsidR="00DD3629">
          <w:rPr>
            <w:webHidden/>
          </w:rPr>
          <w:fldChar w:fldCharType="end"/>
        </w:r>
      </w:hyperlink>
    </w:p>
    <w:p w:rsidR="00DD3629" w:rsidRDefault="00096D3D">
      <w:pPr>
        <w:pStyle w:val="TOC2"/>
        <w:rPr>
          <w:rFonts w:asciiTheme="minorHAnsi" w:eastAsiaTheme="minorEastAsia" w:hAnsiTheme="minorHAnsi" w:cstheme="minorBidi"/>
          <w:szCs w:val="22"/>
        </w:rPr>
      </w:pPr>
      <w:hyperlink w:anchor="_Toc426381120" w:history="1">
        <w:r w:rsidR="00DD3629" w:rsidRPr="00440F02">
          <w:rPr>
            <w:rStyle w:val="Hyperlink"/>
          </w:rPr>
          <w:t>B.4</w:t>
        </w:r>
        <w:r w:rsidR="00DD3629">
          <w:rPr>
            <w:rFonts w:asciiTheme="minorHAnsi" w:eastAsiaTheme="minorEastAsia" w:hAnsiTheme="minorHAnsi" w:cstheme="minorBidi"/>
            <w:szCs w:val="22"/>
          </w:rPr>
          <w:tab/>
        </w:r>
        <w:r w:rsidR="00DD3629" w:rsidRPr="00440F02">
          <w:rPr>
            <w:rStyle w:val="Hyperlink"/>
          </w:rPr>
          <w:t>Tests of Procedures or Methods to be Undertaken</w:t>
        </w:r>
        <w:r w:rsidR="00DD3629">
          <w:rPr>
            <w:webHidden/>
          </w:rPr>
          <w:tab/>
        </w:r>
        <w:r w:rsidR="00DD3629">
          <w:rPr>
            <w:webHidden/>
          </w:rPr>
          <w:fldChar w:fldCharType="begin"/>
        </w:r>
        <w:r w:rsidR="00DD3629">
          <w:rPr>
            <w:webHidden/>
          </w:rPr>
          <w:instrText xml:space="preserve"> PAGEREF _Toc426381120 \h </w:instrText>
        </w:r>
        <w:r w:rsidR="00DD3629">
          <w:rPr>
            <w:webHidden/>
          </w:rPr>
        </w:r>
        <w:r w:rsidR="00DD3629">
          <w:rPr>
            <w:webHidden/>
          </w:rPr>
          <w:fldChar w:fldCharType="separate"/>
        </w:r>
        <w:r w:rsidR="00DD3629">
          <w:rPr>
            <w:webHidden/>
          </w:rPr>
          <w:t>8</w:t>
        </w:r>
        <w:r w:rsidR="00DD3629">
          <w:rPr>
            <w:webHidden/>
          </w:rPr>
          <w:fldChar w:fldCharType="end"/>
        </w:r>
      </w:hyperlink>
    </w:p>
    <w:p w:rsidR="00DD3629" w:rsidRDefault="00096D3D">
      <w:pPr>
        <w:pStyle w:val="TOC2"/>
        <w:rPr>
          <w:rFonts w:asciiTheme="minorHAnsi" w:eastAsiaTheme="minorEastAsia" w:hAnsiTheme="minorHAnsi" w:cstheme="minorBidi"/>
          <w:szCs w:val="22"/>
        </w:rPr>
      </w:pPr>
      <w:hyperlink w:anchor="_Toc426381121" w:history="1">
        <w:r w:rsidR="00DD3629" w:rsidRPr="00440F02">
          <w:rPr>
            <w:rStyle w:val="Hyperlink"/>
          </w:rPr>
          <w:t>B.5</w:t>
        </w:r>
        <w:r w:rsidR="00DD3629">
          <w:rPr>
            <w:rFonts w:asciiTheme="minorHAnsi" w:eastAsiaTheme="minorEastAsia" w:hAnsiTheme="minorHAnsi" w:cstheme="minorBidi"/>
            <w:szCs w:val="22"/>
          </w:rPr>
          <w:tab/>
        </w:r>
        <w:r w:rsidR="00DD3629" w:rsidRPr="00440F02">
          <w:rPr>
            <w:rStyle w:val="Hyperlink"/>
          </w:rPr>
          <w:t>Individuals Consulted on Statistical Aspects and Individuals Collecting and/or Analyzing Data</w:t>
        </w:r>
        <w:r w:rsidR="00DD3629">
          <w:rPr>
            <w:webHidden/>
          </w:rPr>
          <w:tab/>
        </w:r>
        <w:r w:rsidR="00DD3629">
          <w:rPr>
            <w:webHidden/>
          </w:rPr>
          <w:fldChar w:fldCharType="begin"/>
        </w:r>
        <w:r w:rsidR="00DD3629">
          <w:rPr>
            <w:webHidden/>
          </w:rPr>
          <w:instrText xml:space="preserve"> PAGEREF _Toc426381121 \h </w:instrText>
        </w:r>
        <w:r w:rsidR="00DD3629">
          <w:rPr>
            <w:webHidden/>
          </w:rPr>
        </w:r>
        <w:r w:rsidR="00DD3629">
          <w:rPr>
            <w:webHidden/>
          </w:rPr>
          <w:fldChar w:fldCharType="separate"/>
        </w:r>
        <w:r w:rsidR="00DD3629">
          <w:rPr>
            <w:webHidden/>
          </w:rPr>
          <w:t>8</w:t>
        </w:r>
        <w:r w:rsidR="00DD3629">
          <w:rPr>
            <w:webHidden/>
          </w:rPr>
          <w:fldChar w:fldCharType="end"/>
        </w:r>
      </w:hyperlink>
    </w:p>
    <w:p w:rsidR="008C5A3D" w:rsidRDefault="008342B7" w:rsidP="00684FAC">
      <w:pPr>
        <w:pStyle w:val="BodyText"/>
        <w:spacing w:before="240" w:after="120"/>
        <w:rPr>
          <w:b/>
        </w:rPr>
      </w:pPr>
      <w:r>
        <w:fldChar w:fldCharType="end"/>
      </w:r>
      <w:r w:rsidR="008C5A3D" w:rsidRPr="00D26157">
        <w:rPr>
          <w:b/>
        </w:rPr>
        <w:t>A</w:t>
      </w:r>
      <w:r w:rsidR="008C5A3D">
        <w:rPr>
          <w:b/>
        </w:rPr>
        <w:t>ppendices</w:t>
      </w:r>
    </w:p>
    <w:p w:rsidR="008A2D40" w:rsidRDefault="008A2D40" w:rsidP="008A2D40">
      <w:pPr>
        <w:pStyle w:val="TOC2"/>
      </w:pPr>
      <w:r>
        <w:t xml:space="preserve">A. The TANF-RCA </w:t>
      </w:r>
      <w:r w:rsidR="00936368" w:rsidRPr="00811093">
        <w:t>Survey of State Refugee Coordinators and Wilson-Fish Program</w:t>
      </w:r>
      <w:r w:rsidR="00DC3D5B">
        <w:t xml:space="preserve"> Coordinators</w:t>
      </w:r>
    </w:p>
    <w:p w:rsidR="008A2D40" w:rsidRDefault="008A2D40" w:rsidP="008A2D40">
      <w:pPr>
        <w:pStyle w:val="TOC2"/>
      </w:pPr>
      <w:r>
        <w:t xml:space="preserve">B. The TANF-RCA Site Visit Interview Guide for Public Agency Temporary Assistance for Needy Families Managers and Staff </w:t>
      </w:r>
    </w:p>
    <w:p w:rsidR="008A2D40" w:rsidRDefault="008A2D40" w:rsidP="008A2D40">
      <w:pPr>
        <w:pStyle w:val="TOC2"/>
      </w:pPr>
      <w:r>
        <w:t>C. The TANF-RCA Site Visit Interview Guide for Public</w:t>
      </w:r>
      <w:r w:rsidR="008A0B55">
        <w:t xml:space="preserve"> </w:t>
      </w:r>
      <w:r>
        <w:t xml:space="preserve">Agency Refugee Cash Assistance Managers and Staff </w:t>
      </w:r>
    </w:p>
    <w:p w:rsidR="008A2D40" w:rsidRDefault="008A2D40" w:rsidP="008A2D40">
      <w:pPr>
        <w:pStyle w:val="TOC2"/>
      </w:pPr>
      <w:r>
        <w:t xml:space="preserve">D. The TANF-RCA Site Visit Interview Guide for Voluntary Agency Staff </w:t>
      </w:r>
    </w:p>
    <w:p w:rsidR="008A2D40" w:rsidRDefault="008A2D40" w:rsidP="008A2D40">
      <w:pPr>
        <w:pStyle w:val="TOC2"/>
      </w:pPr>
      <w:r>
        <w:t xml:space="preserve">E. The TANF-RCA Site Visit Interview Guide for Other Community-Based Organization Staff </w:t>
      </w:r>
    </w:p>
    <w:p w:rsidR="008A2D40" w:rsidRDefault="008A2D40" w:rsidP="008A2D40">
      <w:pPr>
        <w:pStyle w:val="TOC2"/>
      </w:pPr>
      <w:r>
        <w:t xml:space="preserve">F. The TANF-RCA Focus Group Guide </w:t>
      </w:r>
      <w:r w:rsidR="007378E1">
        <w:t>for Service Recipients</w:t>
      </w:r>
    </w:p>
    <w:p w:rsidR="008A2D40" w:rsidRDefault="008A2D40" w:rsidP="008A2D40">
      <w:pPr>
        <w:pStyle w:val="TOC2"/>
      </w:pPr>
      <w:r>
        <w:t>G. OMB 60-Day Notice</w:t>
      </w:r>
    </w:p>
    <w:p w:rsidR="008A2D40" w:rsidRDefault="008A2D40" w:rsidP="008A2D40">
      <w:pPr>
        <w:pStyle w:val="TOC2"/>
      </w:pPr>
    </w:p>
    <w:p w:rsidR="008A2D40" w:rsidRDefault="008A2D40" w:rsidP="00684FAC">
      <w:pPr>
        <w:pStyle w:val="BodyText"/>
        <w:spacing w:before="240" w:after="120"/>
        <w:rPr>
          <w:b/>
        </w:rPr>
      </w:pPr>
    </w:p>
    <w:p w:rsidR="00C21D50" w:rsidRPr="004F1FB4" w:rsidRDefault="00C21D50" w:rsidP="00C21D50">
      <w:pPr>
        <w:pStyle w:val="Heading1"/>
        <w:rPr>
          <w:rFonts w:ascii="Calibri" w:hAnsi="Calibri" w:cs="Calibri"/>
          <w:sz w:val="22"/>
        </w:rPr>
      </w:pPr>
      <w:bookmarkStart w:id="2" w:name="_Toc423334315"/>
      <w:bookmarkStart w:id="3" w:name="_Toc426381105"/>
      <w:r w:rsidRPr="001034D3">
        <w:lastRenderedPageBreak/>
        <w:t>Part</w:t>
      </w:r>
      <w:r>
        <w:t xml:space="preserve"> B: Statistical Methods</w:t>
      </w:r>
      <w:bookmarkEnd w:id="0"/>
      <w:bookmarkEnd w:id="2"/>
      <w:bookmarkEnd w:id="3"/>
    </w:p>
    <w:p w:rsidR="00B2546F" w:rsidRDefault="00301CA6" w:rsidP="00B2546F">
      <w:pPr>
        <w:autoSpaceDE w:val="0"/>
        <w:autoSpaceDN w:val="0"/>
        <w:adjustRightInd w:val="0"/>
        <w:spacing w:after="0" w:line="240" w:lineRule="auto"/>
      </w:pPr>
      <w:bookmarkStart w:id="4" w:name="_Toc322083615"/>
      <w:r>
        <w:t xml:space="preserve">In this </w:t>
      </w:r>
      <w:r w:rsidRPr="00E22589">
        <w:t>document, we discuss</w:t>
      </w:r>
      <w:r>
        <w:t xml:space="preserve"> the statistical methods to be used in the </w:t>
      </w:r>
      <w:r w:rsidR="00C21D50">
        <w:t xml:space="preserve">initial data collection activities for the </w:t>
      </w:r>
      <w:r w:rsidR="004705EC" w:rsidRPr="004705EC">
        <w:rPr>
          <w:i/>
        </w:rPr>
        <w:t>Understanding the Intersection Between TANF and Refugee Cash Assistance Services</w:t>
      </w:r>
      <w:r w:rsidR="005F2E23">
        <w:rPr>
          <w:i/>
        </w:rPr>
        <w:t xml:space="preserve"> Study</w:t>
      </w:r>
      <w:r w:rsidR="004705EC">
        <w:t xml:space="preserve"> </w:t>
      </w:r>
      <w:r w:rsidR="0078477E">
        <w:t>(</w:t>
      </w:r>
      <w:r w:rsidR="00B2546F">
        <w:t xml:space="preserve">hereafter, </w:t>
      </w:r>
      <w:r w:rsidR="0078477E">
        <w:t xml:space="preserve">TANF-RCA </w:t>
      </w:r>
      <w:r w:rsidR="004705EC">
        <w:t>study</w:t>
      </w:r>
      <w:r w:rsidR="00B2546F">
        <w:t>)</w:t>
      </w:r>
      <w:r w:rsidR="00305FDD">
        <w:rPr>
          <w:i/>
        </w:rPr>
        <w:t>.</w:t>
      </w:r>
      <w:r w:rsidR="00595394">
        <w:rPr>
          <w:i/>
        </w:rPr>
        <w:t xml:space="preserve"> </w:t>
      </w:r>
      <w:r w:rsidR="004705EC">
        <w:t>This study is</w:t>
      </w:r>
      <w:r w:rsidR="00305FDD">
        <w:rPr>
          <w:i/>
        </w:rPr>
        <w:t xml:space="preserve"> </w:t>
      </w:r>
      <w:r w:rsidR="00C21D50" w:rsidRPr="002337A5">
        <w:t xml:space="preserve">sponsored by </w:t>
      </w:r>
      <w:r w:rsidR="00C21D50">
        <w:t>t</w:t>
      </w:r>
      <w:r w:rsidR="00C21D50" w:rsidRPr="00E165C4">
        <w:t xml:space="preserve">he </w:t>
      </w:r>
      <w:r w:rsidR="00C21D50">
        <w:t xml:space="preserve">Office of Planning, Research and Evaluation (OPRE) in the </w:t>
      </w:r>
      <w:r w:rsidR="00C21D50" w:rsidRPr="00E165C4">
        <w:t xml:space="preserve">Administration for Children and Families (ACF) in the U.S. Department of </w:t>
      </w:r>
      <w:r w:rsidR="00C21D50" w:rsidRPr="00185072">
        <w:t>Health</w:t>
      </w:r>
      <w:r w:rsidR="00C21D50" w:rsidRPr="00E165C4">
        <w:t xml:space="preserve"> and Human Services (HHS)</w:t>
      </w:r>
      <w:r w:rsidR="00C21D50">
        <w:t xml:space="preserve">. </w:t>
      </w:r>
      <w:r w:rsidR="00B2546F">
        <w:t>This submission seeks OMB approval for six data collection instruments that will be used as part of the site selection process and field assessment:</w:t>
      </w:r>
    </w:p>
    <w:p w:rsidR="00B2546F" w:rsidRDefault="00B2546F" w:rsidP="00B2546F">
      <w:pPr>
        <w:autoSpaceDE w:val="0"/>
        <w:autoSpaceDN w:val="0"/>
        <w:adjustRightInd w:val="0"/>
        <w:spacing w:after="0" w:line="240" w:lineRule="auto"/>
      </w:pPr>
    </w:p>
    <w:p w:rsidR="004734BB" w:rsidRPr="00B05E35" w:rsidRDefault="004734BB" w:rsidP="004734BB">
      <w:pPr>
        <w:numPr>
          <w:ilvl w:val="0"/>
          <w:numId w:val="17"/>
        </w:numPr>
        <w:autoSpaceDE w:val="0"/>
        <w:autoSpaceDN w:val="0"/>
        <w:adjustRightInd w:val="0"/>
        <w:spacing w:after="0" w:line="240" w:lineRule="auto"/>
        <w:rPr>
          <w:szCs w:val="22"/>
        </w:rPr>
      </w:pPr>
      <w:r>
        <w:rPr>
          <w:szCs w:val="22"/>
        </w:rPr>
        <w:t>Survey of State Refugee Coordinators and Wilson-Fish Program Coordinators</w:t>
      </w:r>
    </w:p>
    <w:p w:rsidR="004734BB" w:rsidRPr="00B05E35" w:rsidRDefault="004734BB" w:rsidP="004734BB">
      <w:pPr>
        <w:numPr>
          <w:ilvl w:val="0"/>
          <w:numId w:val="17"/>
        </w:numPr>
        <w:autoSpaceDE w:val="0"/>
        <w:autoSpaceDN w:val="0"/>
        <w:adjustRightInd w:val="0"/>
        <w:spacing w:after="0" w:line="240" w:lineRule="auto"/>
        <w:rPr>
          <w:szCs w:val="22"/>
        </w:rPr>
      </w:pPr>
      <w:r w:rsidRPr="00B05E35">
        <w:rPr>
          <w:szCs w:val="22"/>
        </w:rPr>
        <w:t xml:space="preserve">Site Visit Interview Guide for Public Agency Temporary Assistance for Needy Families Managers and Staff </w:t>
      </w:r>
    </w:p>
    <w:p w:rsidR="004734BB" w:rsidRPr="00B05E35" w:rsidRDefault="004734BB" w:rsidP="004734BB">
      <w:pPr>
        <w:numPr>
          <w:ilvl w:val="0"/>
          <w:numId w:val="17"/>
        </w:numPr>
        <w:autoSpaceDE w:val="0"/>
        <w:autoSpaceDN w:val="0"/>
        <w:adjustRightInd w:val="0"/>
        <w:spacing w:after="0" w:line="240" w:lineRule="auto"/>
        <w:rPr>
          <w:szCs w:val="22"/>
        </w:rPr>
      </w:pPr>
      <w:r w:rsidRPr="00B05E35">
        <w:rPr>
          <w:szCs w:val="22"/>
        </w:rPr>
        <w:t>Site Visit Interview Guide for Public</w:t>
      </w:r>
      <w:r>
        <w:rPr>
          <w:szCs w:val="22"/>
        </w:rPr>
        <w:t xml:space="preserve"> </w:t>
      </w:r>
      <w:r w:rsidRPr="00B05E35">
        <w:rPr>
          <w:szCs w:val="22"/>
        </w:rPr>
        <w:t>Agency Refugee Cash Assistance Managers and Staff</w:t>
      </w:r>
    </w:p>
    <w:p w:rsidR="004734BB" w:rsidRPr="00B05E35" w:rsidRDefault="004734BB" w:rsidP="004734BB">
      <w:pPr>
        <w:numPr>
          <w:ilvl w:val="0"/>
          <w:numId w:val="17"/>
        </w:numPr>
        <w:autoSpaceDE w:val="0"/>
        <w:autoSpaceDN w:val="0"/>
        <w:adjustRightInd w:val="0"/>
        <w:spacing w:after="0" w:line="240" w:lineRule="auto"/>
        <w:rPr>
          <w:szCs w:val="22"/>
        </w:rPr>
      </w:pPr>
      <w:r w:rsidRPr="00B05E35">
        <w:rPr>
          <w:szCs w:val="22"/>
        </w:rPr>
        <w:t>Site Visit Interview Guide for Voluntary Agency Staff</w:t>
      </w:r>
    </w:p>
    <w:p w:rsidR="004734BB" w:rsidRPr="00B05E35" w:rsidRDefault="004734BB" w:rsidP="004734BB">
      <w:pPr>
        <w:numPr>
          <w:ilvl w:val="0"/>
          <w:numId w:val="17"/>
        </w:numPr>
        <w:autoSpaceDE w:val="0"/>
        <w:autoSpaceDN w:val="0"/>
        <w:adjustRightInd w:val="0"/>
        <w:spacing w:after="0" w:line="240" w:lineRule="auto"/>
        <w:rPr>
          <w:szCs w:val="22"/>
        </w:rPr>
      </w:pPr>
      <w:r w:rsidRPr="00B05E35">
        <w:rPr>
          <w:szCs w:val="22"/>
        </w:rPr>
        <w:t>Site Visit Interview Guide for Other Community-Based Organization Staff</w:t>
      </w:r>
    </w:p>
    <w:p w:rsidR="004734BB" w:rsidRPr="00B05E35" w:rsidRDefault="004734BB" w:rsidP="004734BB">
      <w:pPr>
        <w:numPr>
          <w:ilvl w:val="0"/>
          <w:numId w:val="17"/>
        </w:numPr>
        <w:autoSpaceDE w:val="0"/>
        <w:autoSpaceDN w:val="0"/>
        <w:adjustRightInd w:val="0"/>
        <w:spacing w:after="0" w:line="240" w:lineRule="auto"/>
        <w:rPr>
          <w:szCs w:val="22"/>
        </w:rPr>
      </w:pPr>
      <w:r w:rsidRPr="00B05E35">
        <w:rPr>
          <w:szCs w:val="22"/>
        </w:rPr>
        <w:t>Focus Group Guide</w:t>
      </w:r>
      <w:r w:rsidR="007378E1">
        <w:rPr>
          <w:szCs w:val="22"/>
        </w:rPr>
        <w:t xml:space="preserve"> for Service Recipients</w:t>
      </w:r>
    </w:p>
    <w:p w:rsidR="00EB39A9" w:rsidRDefault="004D049E" w:rsidP="000F401B">
      <w:pPr>
        <w:autoSpaceDE w:val="0"/>
        <w:autoSpaceDN w:val="0"/>
        <w:adjustRightInd w:val="0"/>
        <w:spacing w:after="0" w:line="240" w:lineRule="auto"/>
        <w:rPr>
          <w:szCs w:val="22"/>
        </w:rPr>
      </w:pPr>
      <w:r>
        <w:rPr>
          <w:szCs w:val="22"/>
        </w:rPr>
        <w:t xml:space="preserve"> </w:t>
      </w:r>
    </w:p>
    <w:p w:rsidR="00B2546F" w:rsidRPr="003B06BC" w:rsidRDefault="00EB39A9" w:rsidP="000F401B">
      <w:pPr>
        <w:autoSpaceDE w:val="0"/>
        <w:autoSpaceDN w:val="0"/>
        <w:adjustRightInd w:val="0"/>
        <w:spacing w:after="0" w:line="240" w:lineRule="auto"/>
        <w:rPr>
          <w:szCs w:val="22"/>
        </w:rPr>
      </w:pPr>
      <w:r w:rsidRPr="00AE0214">
        <w:rPr>
          <w:szCs w:val="22"/>
        </w:rPr>
        <w:t xml:space="preserve">This </w:t>
      </w:r>
      <w:r w:rsidR="003E1BA9">
        <w:rPr>
          <w:szCs w:val="22"/>
        </w:rPr>
        <w:t>justification</w:t>
      </w:r>
      <w:r w:rsidRPr="00AE0214">
        <w:rPr>
          <w:szCs w:val="22"/>
        </w:rPr>
        <w:t xml:space="preserve"> provides supporting statements for each of the </w:t>
      </w:r>
      <w:r>
        <w:rPr>
          <w:szCs w:val="22"/>
        </w:rPr>
        <w:t>five points outlined in Part B</w:t>
      </w:r>
      <w:r w:rsidRPr="00AE0214">
        <w:rPr>
          <w:szCs w:val="22"/>
        </w:rPr>
        <w:t xml:space="preserve"> of the OMB guidelines.</w:t>
      </w:r>
    </w:p>
    <w:p w:rsidR="00C21D50" w:rsidRPr="004F1FB4" w:rsidRDefault="00C21D50" w:rsidP="00C21D50">
      <w:pPr>
        <w:pStyle w:val="Heading2"/>
      </w:pPr>
      <w:bookmarkStart w:id="5" w:name="_Toc426381106"/>
      <w:bookmarkStart w:id="6" w:name="_Toc423334316"/>
      <w:r>
        <w:t xml:space="preserve">B.1 </w:t>
      </w:r>
      <w:r>
        <w:tab/>
      </w:r>
      <w:r w:rsidRPr="004F1FB4">
        <w:t>Respondent Universe and Sampl</w:t>
      </w:r>
      <w:bookmarkEnd w:id="4"/>
      <w:r>
        <w:t>ing Methods</w:t>
      </w:r>
      <w:bookmarkEnd w:id="5"/>
      <w:r w:rsidRPr="004F1FB4">
        <w:t xml:space="preserve"> </w:t>
      </w:r>
      <w:bookmarkEnd w:id="6"/>
    </w:p>
    <w:p w:rsidR="003F6F2F" w:rsidRDefault="003F6F2F" w:rsidP="00C21D50">
      <w:pPr>
        <w:pStyle w:val="BodyText"/>
        <w:rPr>
          <w:iCs/>
        </w:rPr>
      </w:pPr>
      <w:r>
        <w:rPr>
          <w:iCs/>
        </w:rPr>
        <w:t>The respondent universe</w:t>
      </w:r>
      <w:r w:rsidR="0078477E">
        <w:rPr>
          <w:iCs/>
        </w:rPr>
        <w:t xml:space="preserve"> for this study</w:t>
      </w:r>
      <w:r w:rsidR="005F2E23">
        <w:rPr>
          <w:iCs/>
        </w:rPr>
        <w:t xml:space="preserve"> includes</w:t>
      </w:r>
      <w:r>
        <w:rPr>
          <w:iCs/>
        </w:rPr>
        <w:t>: (1) State Refugee Coordinators</w:t>
      </w:r>
      <w:r w:rsidR="00AE0214">
        <w:rPr>
          <w:iCs/>
        </w:rPr>
        <w:t xml:space="preserve"> and </w:t>
      </w:r>
      <w:r w:rsidR="00B2546F">
        <w:rPr>
          <w:iCs/>
        </w:rPr>
        <w:t>Wilson-Fish Program Coordinators</w:t>
      </w:r>
      <w:r>
        <w:rPr>
          <w:iCs/>
        </w:rPr>
        <w:t xml:space="preserve">, (2) </w:t>
      </w:r>
      <w:r w:rsidR="0078477E">
        <w:rPr>
          <w:iCs/>
        </w:rPr>
        <w:t>s</w:t>
      </w:r>
      <w:r>
        <w:rPr>
          <w:iCs/>
        </w:rPr>
        <w:t xml:space="preserve">taff and </w:t>
      </w:r>
      <w:r w:rsidR="0078477E">
        <w:rPr>
          <w:iCs/>
        </w:rPr>
        <w:t>m</w:t>
      </w:r>
      <w:r>
        <w:rPr>
          <w:iCs/>
        </w:rPr>
        <w:t xml:space="preserve">anagers at agencies and organizations </w:t>
      </w:r>
      <w:r w:rsidR="00B2589F">
        <w:rPr>
          <w:iCs/>
        </w:rPr>
        <w:t>providing</w:t>
      </w:r>
      <w:r>
        <w:rPr>
          <w:iCs/>
        </w:rPr>
        <w:t xml:space="preserve"> services to refugees, and (3)</w:t>
      </w:r>
      <w:r w:rsidR="0078477E">
        <w:rPr>
          <w:iCs/>
        </w:rPr>
        <w:t xml:space="preserve"> i</w:t>
      </w:r>
      <w:r>
        <w:rPr>
          <w:iCs/>
        </w:rPr>
        <w:t xml:space="preserve">ndividuals who receive refugee services. </w:t>
      </w:r>
    </w:p>
    <w:p w:rsidR="00C21D50" w:rsidRDefault="002F0C43" w:rsidP="00C21D50">
      <w:pPr>
        <w:pStyle w:val="Heading3"/>
      </w:pPr>
      <w:bookmarkStart w:id="7" w:name="_Toc423334317"/>
      <w:bookmarkStart w:id="8" w:name="_Toc426381107"/>
      <w:r>
        <w:t>B.1.1</w:t>
      </w:r>
      <w:r w:rsidR="00C21D50">
        <w:tab/>
      </w:r>
      <w:r w:rsidR="003F6F2F">
        <w:t>State Refugee Coordinators</w:t>
      </w:r>
      <w:r w:rsidR="00FB5022">
        <w:t>/Wilson-Fish Program Coordinators</w:t>
      </w:r>
      <w:bookmarkEnd w:id="7"/>
      <w:bookmarkEnd w:id="8"/>
    </w:p>
    <w:p w:rsidR="00E96002" w:rsidRPr="00E96002" w:rsidRDefault="00E96002" w:rsidP="00E96002">
      <w:pPr>
        <w:pStyle w:val="BodyText"/>
      </w:pPr>
      <w:r>
        <w:t>The survey of State Refugee Coordinators</w:t>
      </w:r>
      <w:r w:rsidR="00501914">
        <w:t xml:space="preserve"> and Wilson-Fish Program Coordinators</w:t>
      </w:r>
      <w:r>
        <w:t xml:space="preserve"> </w:t>
      </w:r>
      <w:r w:rsidR="005F2E23">
        <w:t xml:space="preserve">will be administered to </w:t>
      </w:r>
      <w:r w:rsidR="00595394">
        <w:t xml:space="preserve">51 </w:t>
      </w:r>
      <w:r w:rsidR="00B2546F">
        <w:t xml:space="preserve">State </w:t>
      </w:r>
      <w:r>
        <w:t xml:space="preserve">Refugee Coordinators </w:t>
      </w:r>
      <w:r w:rsidR="00330F0B">
        <w:t>representing 4</w:t>
      </w:r>
      <w:r w:rsidR="00595394">
        <w:t>9</w:t>
      </w:r>
      <w:r w:rsidR="00330F0B">
        <w:t xml:space="preserve"> of the 50 </w:t>
      </w:r>
      <w:r>
        <w:t>states</w:t>
      </w:r>
      <w:r w:rsidR="00330F0B">
        <w:t xml:space="preserve"> as well as Washington, DC and San Diego, CA</w:t>
      </w:r>
      <w:r>
        <w:t>.</w:t>
      </w:r>
      <w:r w:rsidR="00330F0B">
        <w:rPr>
          <w:rStyle w:val="FootnoteReference"/>
        </w:rPr>
        <w:footnoteReference w:id="2"/>
      </w:r>
      <w:r w:rsidR="008A0B55">
        <w:t xml:space="preserve"> </w:t>
      </w:r>
      <w:r w:rsidR="00F04220">
        <w:t>There are a small number of survey respondents and each state’s policies and practices are unique</w:t>
      </w:r>
      <w:r w:rsidR="00532708">
        <w:t>, so a sample cannot provide a representative description of programs</w:t>
      </w:r>
      <w:r w:rsidR="00F04220">
        <w:t>.</w:t>
      </w:r>
      <w:r w:rsidR="00EE7210">
        <w:t xml:space="preserve"> </w:t>
      </w:r>
      <w:r w:rsidR="00532708">
        <w:t xml:space="preserve">The survey will be the only data collection effort that has full representativeness. </w:t>
      </w:r>
      <w:r w:rsidR="00F04220">
        <w:t>In addition, the survey will be used to inform site selection</w:t>
      </w:r>
      <w:r w:rsidR="00532708">
        <w:t xml:space="preserve"> by helping to identify unique or informative program characteristics</w:t>
      </w:r>
      <w:r w:rsidR="00F04220">
        <w:t xml:space="preserve">. Therefore it is crucial to survey coordinators from each state and San Diego rather than a sample of coordinators. </w:t>
      </w:r>
      <w:r w:rsidR="002F1E1F">
        <w:t>T</w:t>
      </w:r>
      <w:r>
        <w:t xml:space="preserve">he online survey is included in Appendix </w:t>
      </w:r>
      <w:r w:rsidR="0078477E">
        <w:t>A</w:t>
      </w:r>
      <w:r w:rsidR="00330F0B">
        <w:t>.</w:t>
      </w:r>
      <w:r w:rsidR="0078477E">
        <w:t xml:space="preserve"> </w:t>
      </w:r>
    </w:p>
    <w:p w:rsidR="003F6F2F" w:rsidRDefault="00C21D50" w:rsidP="00E96002">
      <w:pPr>
        <w:pStyle w:val="Heading3"/>
      </w:pPr>
      <w:bookmarkStart w:id="9" w:name="_Toc423334318"/>
      <w:bookmarkStart w:id="10" w:name="_Toc426381108"/>
      <w:r>
        <w:t>B.1.2</w:t>
      </w:r>
      <w:r>
        <w:tab/>
      </w:r>
      <w:r w:rsidR="0078477E">
        <w:t>Managers and s</w:t>
      </w:r>
      <w:r w:rsidR="003F6F2F" w:rsidRPr="00E96002">
        <w:t>taff at agencies and organizations provid</w:t>
      </w:r>
      <w:r w:rsidR="0078477E">
        <w:t>ing</w:t>
      </w:r>
      <w:r w:rsidR="003F6F2F" w:rsidRPr="00E96002">
        <w:t xml:space="preserve"> services to refugees</w:t>
      </w:r>
      <w:bookmarkEnd w:id="9"/>
      <w:bookmarkEnd w:id="10"/>
      <w:r w:rsidR="003F6F2F" w:rsidDel="003F6F2F">
        <w:t xml:space="preserve"> </w:t>
      </w:r>
    </w:p>
    <w:p w:rsidR="00DC3D5B" w:rsidRDefault="0078477E" w:rsidP="0078477E">
      <w:pPr>
        <w:pStyle w:val="BodyText"/>
      </w:pPr>
      <w:r>
        <w:t>The TANF-RCA study team will purposefully select eight local communities to visit t</w:t>
      </w:r>
      <w:r w:rsidR="00536DEC">
        <w:t>o</w:t>
      </w:r>
      <w:r>
        <w:t xml:space="preserve"> address the objectives of this study. </w:t>
      </w:r>
    </w:p>
    <w:p w:rsidR="00DC3D5B" w:rsidRDefault="00DC3D5B" w:rsidP="00DC3D5B">
      <w:pPr>
        <w:pStyle w:val="BodyText"/>
      </w:pPr>
      <w:r>
        <w:t xml:space="preserve">Site selection will be a multi-stage process. The study team will start by considering readily-available data from all fifty states and the District of Columbia, to make a preliminary determination of states meeting </w:t>
      </w:r>
      <w:r>
        <w:lastRenderedPageBreak/>
        <w:t>minimum thresholds for consideration, largely based on the size of the populations of refugees and related groups in the state.</w:t>
      </w:r>
    </w:p>
    <w:p w:rsidR="00DC3D5B" w:rsidRDefault="00DC3D5B" w:rsidP="00DC3D5B">
      <w:pPr>
        <w:pStyle w:val="BodyText"/>
      </w:pPr>
      <w:r>
        <w:t xml:space="preserve">States meeting those minimum criteria will then be the starting point for a “site selection matrix.” The study team will use that matrix to summarize additional information reviewed and gathered during the site selection process. It will focus on a set of site selection criteria (discussed below). The matrix will primarily include qualitative descriptions relevant to each of the site selection criteria. </w:t>
      </w:r>
    </w:p>
    <w:p w:rsidR="0078477E" w:rsidRPr="00DB3A15" w:rsidRDefault="0078477E" w:rsidP="0078477E">
      <w:pPr>
        <w:pStyle w:val="BodyText"/>
      </w:pPr>
      <w:r>
        <w:t>R</w:t>
      </w:r>
      <w:r w:rsidR="00B77F3C">
        <w:t>a</w:t>
      </w:r>
      <w:r>
        <w:t>ther than s</w:t>
      </w:r>
      <w:r w:rsidRPr="00DB3A15">
        <w:t>elect</w:t>
      </w:r>
      <w:r>
        <w:t>ing</w:t>
      </w:r>
      <w:r w:rsidRPr="00DB3A15">
        <w:t xml:space="preserve"> sites that provide full representativeness of the characteristics of refugee programs or of refugees served</w:t>
      </w:r>
      <w:r>
        <w:t>, the research team will select sites that</w:t>
      </w:r>
      <w:r w:rsidRPr="00DB3A15">
        <w:t xml:space="preserve">, as a group, </w:t>
      </w:r>
      <w:r>
        <w:t>will</w:t>
      </w:r>
      <w:r w:rsidRPr="00DB3A15">
        <w:t xml:space="preserve"> inform </w:t>
      </w:r>
      <w:r w:rsidR="00C36B1C">
        <w:t>ACF’s Office of Refugee Resettlement (ORR)</w:t>
      </w:r>
      <w:r w:rsidR="00C36B1C" w:rsidRPr="00DB3A15">
        <w:t xml:space="preserve"> </w:t>
      </w:r>
      <w:r w:rsidRPr="00DB3A15">
        <w:t>and other</w:t>
      </w:r>
      <w:r>
        <w:t xml:space="preserve"> stakeholders</w:t>
      </w:r>
      <w:r w:rsidRPr="00DB3A15">
        <w:t xml:space="preserve"> about a variety of ways </w:t>
      </w:r>
      <w:r w:rsidR="00C36B1C">
        <w:t xml:space="preserve">state </w:t>
      </w:r>
      <w:r w:rsidRPr="00DB3A15">
        <w:t xml:space="preserve">programs operate, and have the potential to provide useful lessons that ORR and states can draw on to improve programs or guide future policy. Towards this end, the </w:t>
      </w:r>
      <w:r>
        <w:t xml:space="preserve">selection </w:t>
      </w:r>
      <w:r w:rsidRPr="00DB3A15">
        <w:t>criteria</w:t>
      </w:r>
      <w:r>
        <w:t xml:space="preserve"> </w:t>
      </w:r>
      <w:r w:rsidRPr="00DB3A15">
        <w:t xml:space="preserve">will focus on ensuring that </w:t>
      </w:r>
      <w:r>
        <w:t>the programs</w:t>
      </w:r>
      <w:r w:rsidR="00D30A2A">
        <w:t>:</w:t>
      </w:r>
      <w:r w:rsidRPr="00DB3A15">
        <w:t xml:space="preserve"> a) </w:t>
      </w:r>
      <w:r>
        <w:t>serve</w:t>
      </w:r>
      <w:r w:rsidRPr="00DB3A15">
        <w:t xml:space="preserve"> </w:t>
      </w:r>
      <w:r w:rsidR="00C34157">
        <w:t xml:space="preserve">a large </w:t>
      </w:r>
      <w:r w:rsidRPr="00DB3A15">
        <w:t>enough refugee</w:t>
      </w:r>
      <w:r w:rsidR="00C34157">
        <w:t xml:space="preserve"> population</w:t>
      </w:r>
      <w:r w:rsidRPr="00DB3A15">
        <w:t xml:space="preserve"> to provide lessons applicable to other programs</w:t>
      </w:r>
      <w:r w:rsidR="00616B3A">
        <w:t xml:space="preserve"> </w:t>
      </w:r>
      <w:r w:rsidRPr="00DB3A15">
        <w:t>and b) contain variety on a number of dimensions</w:t>
      </w:r>
      <w:r w:rsidR="00E77029">
        <w:t xml:space="preserve"> (described below)</w:t>
      </w:r>
      <w:r w:rsidR="003B2797">
        <w:t>. The research team will also</w:t>
      </w:r>
      <w:r w:rsidRPr="00DB3A15">
        <w:t xml:space="preserve"> include sites identified as having unique practices or characteristics</w:t>
      </w:r>
      <w:r w:rsidR="008A0B55">
        <w:t xml:space="preserve"> </w:t>
      </w:r>
      <w:r w:rsidR="003B2797">
        <w:t>for serving resettled refugees.</w:t>
      </w:r>
      <w:r w:rsidR="00684F5B">
        <w:t xml:space="preserve"> </w:t>
      </w:r>
    </w:p>
    <w:p w:rsidR="0078477E" w:rsidRDefault="0078477E" w:rsidP="000C2C4D">
      <w:pPr>
        <w:pStyle w:val="BodyText"/>
      </w:pPr>
      <w:r w:rsidRPr="00DB3A15">
        <w:t xml:space="preserve">The list of proposed criteria </w:t>
      </w:r>
      <w:r w:rsidR="00F535C1">
        <w:t xml:space="preserve">that </w:t>
      </w:r>
      <w:r w:rsidR="005F4073">
        <w:t xml:space="preserve">will be used to select the </w:t>
      </w:r>
      <w:r w:rsidR="00833A7C">
        <w:t>study</w:t>
      </w:r>
      <w:r w:rsidR="005F4073">
        <w:t xml:space="preserve"> sites</w:t>
      </w:r>
      <w:r w:rsidR="00F535C1">
        <w:t xml:space="preserve"> </w:t>
      </w:r>
      <w:r>
        <w:t xml:space="preserve">includes: </w:t>
      </w:r>
    </w:p>
    <w:p w:rsidR="008A0B55" w:rsidRDefault="0078477E" w:rsidP="008A0B55">
      <w:pPr>
        <w:pStyle w:val="BodyText"/>
        <w:numPr>
          <w:ilvl w:val="0"/>
          <w:numId w:val="15"/>
        </w:numPr>
      </w:pPr>
      <w:r w:rsidRPr="008A0B55">
        <w:rPr>
          <w:b/>
          <w:i/>
        </w:rPr>
        <w:t>Service provision model:</w:t>
      </w:r>
      <w:r w:rsidRPr="00DB3A15">
        <w:t xml:space="preserve"> </w:t>
      </w:r>
      <w:r w:rsidR="00380269">
        <w:t>Study</w:t>
      </w:r>
      <w:r w:rsidR="00380269" w:rsidRPr="00DB3A15">
        <w:t xml:space="preserve"> </w:t>
      </w:r>
      <w:r w:rsidRPr="00DB3A15">
        <w:t xml:space="preserve">sites </w:t>
      </w:r>
      <w:r w:rsidR="00833726">
        <w:t>will</w:t>
      </w:r>
      <w:r w:rsidR="00833726" w:rsidRPr="00DB3A15">
        <w:t xml:space="preserve"> </w:t>
      </w:r>
      <w:r w:rsidRPr="00DB3A15">
        <w:t xml:space="preserve">encompass </w:t>
      </w:r>
      <w:r w:rsidR="0012161D">
        <w:t>RCA’s three program arrangements</w:t>
      </w:r>
      <w:r w:rsidRPr="00DB3A15">
        <w:t>: state-administered, Wilson</w:t>
      </w:r>
      <w:r w:rsidR="00833726">
        <w:t>-</w:t>
      </w:r>
      <w:r w:rsidRPr="00DB3A15">
        <w:t>Fish, and Public-Private Partnership</w:t>
      </w:r>
      <w:r w:rsidR="00833726">
        <w:t>s</w:t>
      </w:r>
      <w:r w:rsidRPr="00DB3A15">
        <w:t xml:space="preserve">. </w:t>
      </w:r>
      <w:r w:rsidR="008A0B55">
        <w:t>In state-administered programs, state agencies provide cash assistance, medical assistance, and social services</w:t>
      </w:r>
      <w:r w:rsidR="00D30A2A">
        <w:t>;</w:t>
      </w:r>
      <w:r w:rsidR="008A0B55">
        <w:t xml:space="preserve"> and </w:t>
      </w:r>
      <w:r w:rsidR="00081A6D">
        <w:t>Voluntary Agency (</w:t>
      </w:r>
      <w:r w:rsidR="008A0B55">
        <w:t>Volag</w:t>
      </w:r>
      <w:r w:rsidR="00081A6D">
        <w:t>)</w:t>
      </w:r>
      <w:r w:rsidR="008A0B55">
        <w:t xml:space="preserve"> affiliates (local organizations that have agreements with the national Volags) provide reception and placement services. In these states, refugees who have children and are income-eligible apply at the local public assistance agency for TANF and Medicaid benefits; refugees without children apply for RCA and Refugee Medical Assistance (RMA). Wilson-Fish programs use private agencies to serve both TANF-eligible and non-TANF eligible refugees. Public-Private Partnership states operate the RCA programs for non-TANF eligible refugees and the TANF program is available for TANF-eligible recipients. These different models are thought to have different implications for how services are delivered, coordinated, or integrated. For example, a Volag providing cash assistance under a Wilson-Fish model may be better able to provide culturally competent services, given their other refugee-focused responsibilities, than a TANF agency serving the general public. It is important for the study to examine programs implemented under the three arrangements to document similarities and variations in service delivery.</w:t>
      </w:r>
    </w:p>
    <w:p w:rsidR="0078477E" w:rsidRPr="00DB3A15" w:rsidRDefault="0078477E" w:rsidP="0078477E">
      <w:pPr>
        <w:pStyle w:val="BodyText"/>
        <w:numPr>
          <w:ilvl w:val="0"/>
          <w:numId w:val="15"/>
        </w:numPr>
      </w:pPr>
      <w:r w:rsidRPr="008A0B55">
        <w:rPr>
          <w:b/>
          <w:i/>
        </w:rPr>
        <w:t>Size of the refugee population:</w:t>
      </w:r>
      <w:r w:rsidRPr="008A0B55">
        <w:rPr>
          <w:i/>
        </w:rPr>
        <w:t xml:space="preserve"> </w:t>
      </w:r>
      <w:r>
        <w:t>The research team plans</w:t>
      </w:r>
      <w:r w:rsidRPr="00DB3A15">
        <w:t xml:space="preserve"> to include sites with large enough refugee populations and refugee programs to </w:t>
      </w:r>
      <w:r w:rsidR="00650CDE">
        <w:t xml:space="preserve">generate </w:t>
      </w:r>
      <w:r w:rsidR="009E1982">
        <w:t>lessons</w:t>
      </w:r>
      <w:r w:rsidR="00650CDE">
        <w:t xml:space="preserve"> relevant </w:t>
      </w:r>
      <w:r w:rsidR="00A05CA0">
        <w:t>for</w:t>
      </w:r>
      <w:r w:rsidR="00650CDE">
        <w:t xml:space="preserve"> other refugee programs</w:t>
      </w:r>
      <w:r w:rsidRPr="00DB3A15">
        <w:t xml:space="preserve">. </w:t>
      </w:r>
      <w:r w:rsidR="003C3FEB">
        <w:t xml:space="preserve">We will determine this based on the number of “ORR-eligible” individuals in a county (or similar locality); that is, the number of refugees, asylees, and other populations eligible for RCA, TANF, and other related ORR programs on the basis of their status. </w:t>
      </w:r>
      <w:r w:rsidR="00650CDE">
        <w:t>W</w:t>
      </w:r>
      <w:r w:rsidRPr="00DB3A15">
        <w:t xml:space="preserve">hile </w:t>
      </w:r>
      <w:r>
        <w:t>the research team</w:t>
      </w:r>
      <w:r w:rsidRPr="00DB3A15">
        <w:t xml:space="preserve"> would exclude the states</w:t>
      </w:r>
      <w:r w:rsidR="003C3FEB">
        <w:t xml:space="preserve"> with the smallest ORR-eligible populations</w:t>
      </w:r>
      <w:r w:rsidRPr="00DB3A15">
        <w:t xml:space="preserve">, </w:t>
      </w:r>
      <w:r>
        <w:t>they</w:t>
      </w:r>
      <w:r w:rsidRPr="00DB3A15">
        <w:t xml:space="preserve"> may include one or more </w:t>
      </w:r>
      <w:r w:rsidR="003C3FEB">
        <w:t xml:space="preserve">states with </w:t>
      </w:r>
      <w:r w:rsidRPr="00DB3A15">
        <w:t xml:space="preserve">moderate-sized </w:t>
      </w:r>
      <w:r w:rsidR="003C3FEB">
        <w:t xml:space="preserve">ORR-eligible populations (and sufficient concentration in one or more counties) </w:t>
      </w:r>
      <w:r w:rsidRPr="00DB3A15">
        <w:t xml:space="preserve">instead of just focusing on </w:t>
      </w:r>
      <w:r w:rsidR="003C3FEB">
        <w:t xml:space="preserve">where the </w:t>
      </w:r>
      <w:r w:rsidRPr="00DB3A15">
        <w:t xml:space="preserve">largest </w:t>
      </w:r>
      <w:r w:rsidR="003C3FEB">
        <w:t>ORR-</w:t>
      </w:r>
      <w:r w:rsidR="00E317EF">
        <w:t>eligible</w:t>
      </w:r>
      <w:r w:rsidR="003C3FEB">
        <w:t xml:space="preserve"> </w:t>
      </w:r>
      <w:r w:rsidRPr="00DB3A15">
        <w:t>population</w:t>
      </w:r>
      <w:r w:rsidR="003C3FEB">
        <w:t>s are,</w:t>
      </w:r>
      <w:r w:rsidRPr="00DB3A15">
        <w:t xml:space="preserve"> in the interest of including programs with a variety of characteristics.</w:t>
      </w:r>
    </w:p>
    <w:p w:rsidR="0078477E" w:rsidRPr="00DB3A15" w:rsidRDefault="0078477E" w:rsidP="0078477E">
      <w:pPr>
        <w:pStyle w:val="BodyText"/>
        <w:numPr>
          <w:ilvl w:val="0"/>
          <w:numId w:val="13"/>
        </w:numPr>
      </w:pPr>
      <w:r w:rsidRPr="00DB3A15">
        <w:rPr>
          <w:b/>
          <w:i/>
        </w:rPr>
        <w:t>Characteristics of the refugee population served</w:t>
      </w:r>
      <w:r>
        <w:t>: The research team will aim to include sites in which the skill level of the refugee population varies.</w:t>
      </w:r>
      <w:r w:rsidR="008A0B55">
        <w:t xml:space="preserve"> </w:t>
      </w:r>
      <w:r w:rsidR="003C3FEB">
        <w:t xml:space="preserve">Examples of other </w:t>
      </w:r>
      <w:r w:rsidR="00075628">
        <w:t>useful dimension</w:t>
      </w:r>
      <w:r w:rsidR="003C3FEB">
        <w:t>s</w:t>
      </w:r>
      <w:r w:rsidR="00075628">
        <w:t xml:space="preserve"> </w:t>
      </w:r>
      <w:r w:rsidR="003C3FEB">
        <w:t xml:space="preserve">in </w:t>
      </w:r>
      <w:r w:rsidR="003C3FEB">
        <w:lastRenderedPageBreak/>
        <w:t xml:space="preserve">which to seek variety are </w:t>
      </w:r>
      <w:r w:rsidR="00075628">
        <w:t>the type of ORR-</w:t>
      </w:r>
      <w:r w:rsidR="00E317EF">
        <w:t>eligible</w:t>
      </w:r>
      <w:r w:rsidR="00075628">
        <w:t xml:space="preserve"> populations (refugee, asyslee, etc.)</w:t>
      </w:r>
      <w:r w:rsidR="003C3FEB">
        <w:t xml:space="preserve"> and English language ability</w:t>
      </w:r>
      <w:r w:rsidR="00075628">
        <w:t>.</w:t>
      </w:r>
      <w:r w:rsidR="00EE7210">
        <w:t xml:space="preserve"> </w:t>
      </w:r>
    </w:p>
    <w:p w:rsidR="0078477E" w:rsidRPr="00DB3A15" w:rsidRDefault="0078477E" w:rsidP="0078477E">
      <w:pPr>
        <w:pStyle w:val="BodyText"/>
        <w:numPr>
          <w:ilvl w:val="0"/>
          <w:numId w:val="14"/>
        </w:numPr>
      </w:pPr>
      <w:r w:rsidRPr="00DB3A15">
        <w:rPr>
          <w:b/>
          <w:i/>
        </w:rPr>
        <w:t>Stability of refugee population</w:t>
      </w:r>
      <w:r>
        <w:rPr>
          <w:b/>
          <w:i/>
        </w:rPr>
        <w:t>:</w:t>
      </w:r>
      <w:r w:rsidRPr="00DB3A15">
        <w:t xml:space="preserve"> </w:t>
      </w:r>
      <w:r w:rsidR="00EA4F1D">
        <w:t>States where arrivals of refugees, asylees</w:t>
      </w:r>
      <w:r w:rsidR="00D30A2A">
        <w:t>,</w:t>
      </w:r>
      <w:r w:rsidR="00EA4F1D">
        <w:t xml:space="preserve"> and other related populations come from similar national origins from year to year may be able to rely on existing infrastructures of community organizations to help them serve new arrivals. </w:t>
      </w:r>
      <w:r w:rsidRPr="00DB3A15">
        <w:t xml:space="preserve">In order to learn about how </w:t>
      </w:r>
      <w:r w:rsidR="00EA4F1D">
        <w:t xml:space="preserve">such </w:t>
      </w:r>
      <w:r w:rsidRPr="00DB3A15">
        <w:t xml:space="preserve">programs prepare for new populations and serve them </w:t>
      </w:r>
      <w:r w:rsidR="00EA4F1D">
        <w:t xml:space="preserve">differently from programs where there is </w:t>
      </w:r>
      <w:r w:rsidR="00BE41EF">
        <w:t xml:space="preserve">the absence of </w:t>
      </w:r>
      <w:r w:rsidRPr="00DB3A15">
        <w:t>preexisting infrastructure in the community</w:t>
      </w:r>
      <w:r w:rsidR="00A975F6">
        <w:t>,</w:t>
      </w:r>
      <w:r w:rsidRPr="00DB3A15">
        <w:t xml:space="preserve"> </w:t>
      </w:r>
      <w:r>
        <w:t>the research team plans</w:t>
      </w:r>
      <w:r w:rsidRPr="00DB3A15">
        <w:t xml:space="preserve"> to include states where the </w:t>
      </w:r>
      <w:r w:rsidR="00E317EF">
        <w:t>national origins</w:t>
      </w:r>
      <w:r w:rsidR="00E317EF" w:rsidRPr="00DB3A15">
        <w:t xml:space="preserve"> </w:t>
      </w:r>
      <w:r w:rsidRPr="00DB3A15">
        <w:t>of refugees served vary from year to year,</w:t>
      </w:r>
      <w:r w:rsidR="008A0B55">
        <w:t xml:space="preserve"> </w:t>
      </w:r>
      <w:r w:rsidR="00E317EF">
        <w:t>in addition to</w:t>
      </w:r>
      <w:r w:rsidR="00EE7210">
        <w:t xml:space="preserve"> </w:t>
      </w:r>
      <w:r w:rsidRPr="00DB3A15">
        <w:t xml:space="preserve">states where there may be more established infrastructure for serving particular groups. </w:t>
      </w:r>
    </w:p>
    <w:p w:rsidR="0078477E" w:rsidRPr="00DB3A15" w:rsidRDefault="0078477E" w:rsidP="0078477E">
      <w:pPr>
        <w:pStyle w:val="BodyText"/>
        <w:numPr>
          <w:ilvl w:val="0"/>
          <w:numId w:val="14"/>
        </w:numPr>
      </w:pPr>
      <w:r w:rsidRPr="00DB3A15">
        <w:rPr>
          <w:b/>
          <w:i/>
        </w:rPr>
        <w:t>Economic context</w:t>
      </w:r>
      <w:r>
        <w:rPr>
          <w:b/>
          <w:i/>
        </w:rPr>
        <w:t>:</w:t>
      </w:r>
      <w:r w:rsidRPr="00DB3A15">
        <w:t xml:space="preserve"> </w:t>
      </w:r>
      <w:r>
        <w:t>The research team plans</w:t>
      </w:r>
      <w:r w:rsidRPr="00DB3A15">
        <w:t xml:space="preserve"> to include a variety of states with</w:t>
      </w:r>
      <w:r w:rsidR="00595394">
        <w:t xml:space="preserve"> </w:t>
      </w:r>
      <w:r w:rsidR="00BE41EF">
        <w:t>challenging labor markets</w:t>
      </w:r>
      <w:r w:rsidR="00D30A2A">
        <w:t>,</w:t>
      </w:r>
      <w:r w:rsidR="00BE41EF">
        <w:t xml:space="preserve"> as well as places exhibiting stable or better labor market conditions.</w:t>
      </w:r>
    </w:p>
    <w:p w:rsidR="0078477E" w:rsidRPr="00DB3A15" w:rsidRDefault="0078477E" w:rsidP="0078477E">
      <w:pPr>
        <w:pStyle w:val="BodyText"/>
        <w:numPr>
          <w:ilvl w:val="0"/>
          <w:numId w:val="14"/>
        </w:numPr>
      </w:pPr>
      <w:r w:rsidRPr="00DB3A15">
        <w:rPr>
          <w:b/>
          <w:i/>
        </w:rPr>
        <w:t>Benefit levels</w:t>
      </w:r>
      <w:r>
        <w:t>: The research team plans to</w:t>
      </w:r>
      <w:r w:rsidRPr="00DB3A15">
        <w:t xml:space="preserve"> include states </w:t>
      </w:r>
      <w:r w:rsidR="00BE41EF">
        <w:t>and localities with varying cash assistance benefit levels offered through TANF and RCA.</w:t>
      </w:r>
    </w:p>
    <w:p w:rsidR="0078477E" w:rsidRPr="00DB3A15" w:rsidRDefault="0078477E" w:rsidP="0078477E">
      <w:pPr>
        <w:pStyle w:val="BodyText"/>
        <w:numPr>
          <w:ilvl w:val="0"/>
          <w:numId w:val="14"/>
        </w:numPr>
      </w:pPr>
      <w:r w:rsidRPr="00DB3A15">
        <w:rPr>
          <w:b/>
          <w:i/>
        </w:rPr>
        <w:t>Implementation of innovative or promising strategies</w:t>
      </w:r>
      <w:r>
        <w:rPr>
          <w:b/>
          <w:i/>
        </w:rPr>
        <w:t>:</w:t>
      </w:r>
      <w:r w:rsidRPr="00DB3A15">
        <w:t xml:space="preserve"> Th</w:t>
      </w:r>
      <w:r>
        <w:t xml:space="preserve">e research team will </w:t>
      </w:r>
      <w:r w:rsidRPr="00DB3A15">
        <w:t>identify states and localities that are using interesting</w:t>
      </w:r>
      <w:r w:rsidR="00511E10">
        <w:t xml:space="preserve"> or innovative</w:t>
      </w:r>
      <w:r w:rsidRPr="00DB3A15">
        <w:t xml:space="preserve"> strategies to serve refugees and related populations. </w:t>
      </w:r>
    </w:p>
    <w:p w:rsidR="00E96002" w:rsidRPr="00E96002" w:rsidRDefault="0078477E" w:rsidP="000C2C4D">
      <w:pPr>
        <w:pStyle w:val="BodyText"/>
        <w:numPr>
          <w:ilvl w:val="0"/>
          <w:numId w:val="14"/>
        </w:numPr>
      </w:pPr>
      <w:r w:rsidRPr="002F1E1F">
        <w:rPr>
          <w:b/>
          <w:i/>
        </w:rPr>
        <w:t>Willingness to participate:</w:t>
      </w:r>
      <w:r w:rsidRPr="00DB3A15">
        <w:t xml:space="preserve"> </w:t>
      </w:r>
      <w:r w:rsidR="00DB1CF3">
        <w:t xml:space="preserve">The research team will </w:t>
      </w:r>
      <w:r w:rsidRPr="00DB3A15">
        <w:t xml:space="preserve">work with sites interested in participating in the study. </w:t>
      </w:r>
      <w:r w:rsidR="00D96E57">
        <w:t xml:space="preserve">For each of the eight sites, the research team will interview managers and staff at selected organizations and agencies providing services to refugees. </w:t>
      </w:r>
      <w:r w:rsidDel="00D96E57">
        <w:t xml:space="preserve">Selected organizations will include local TANF agencies; </w:t>
      </w:r>
      <w:r w:rsidR="00536DEC" w:rsidDel="00D96E57">
        <w:t>resettlement</w:t>
      </w:r>
      <w:r w:rsidDel="00D96E57">
        <w:t xml:space="preserve"> agencies, such as local affiliates of a V</w:t>
      </w:r>
      <w:r w:rsidR="00D361E8" w:rsidDel="00D96E57">
        <w:t>o</w:t>
      </w:r>
      <w:r w:rsidDel="00D96E57">
        <w:t>lag</w:t>
      </w:r>
      <w:r w:rsidR="008A2D40" w:rsidDel="00D96E57">
        <w:t>;</w:t>
      </w:r>
      <w:r w:rsidR="00E86C53" w:rsidDel="00D96E57">
        <w:t xml:space="preserve"> Mutual Assistance Associations or other community</w:t>
      </w:r>
      <w:r w:rsidR="00B13A45">
        <w:t>-</w:t>
      </w:r>
      <w:r w:rsidR="00E86C53" w:rsidDel="00D96E57">
        <w:t>based organizations that serve a recently resettled ref</w:t>
      </w:r>
      <w:r w:rsidR="008A2D40" w:rsidDel="00D96E57">
        <w:t>ugee groups; organizations that provide cash assistance to refugees; and organizations that provide employability and/or social adjustment and cultural orientation services.</w:t>
      </w:r>
      <w:r w:rsidR="00EE7210">
        <w:t xml:space="preserve"> </w:t>
      </w:r>
      <w:r w:rsidR="0085060A">
        <w:t>Interviews with managers and staff at these agencies will provide information about how services are provided, the respective roles of the various agencies and organizations in serving participants, how agencies and organizations integrate services internally and/or collaborate with other organizations, approaches to addressing barriers refugees face, promising practices and strategies in assisting refugees, and gaps in services.</w:t>
      </w:r>
    </w:p>
    <w:p w:rsidR="003F6F2F" w:rsidRDefault="003F6F2F" w:rsidP="00E96002">
      <w:pPr>
        <w:pStyle w:val="Heading3"/>
      </w:pPr>
      <w:bookmarkStart w:id="11" w:name="_Toc423334319"/>
      <w:bookmarkStart w:id="12" w:name="_Toc426381109"/>
      <w:r>
        <w:t>B.1.3</w:t>
      </w:r>
      <w:r>
        <w:tab/>
      </w:r>
      <w:r w:rsidRPr="00E96002">
        <w:t>Individuals who receive refugee services</w:t>
      </w:r>
      <w:bookmarkEnd w:id="11"/>
      <w:bookmarkEnd w:id="12"/>
      <w:r w:rsidRPr="00E96002">
        <w:t xml:space="preserve"> </w:t>
      </w:r>
    </w:p>
    <w:p w:rsidR="00204F23" w:rsidRDefault="00D361E8" w:rsidP="00323224">
      <w:pPr>
        <w:pStyle w:val="BodyText"/>
      </w:pPr>
      <w:r>
        <w:t>A</w:t>
      </w:r>
      <w:r w:rsidR="00204F23">
        <w:t>s described above, the study will focus on s</w:t>
      </w:r>
      <w:r w:rsidR="00204F23" w:rsidRPr="00DB3A15">
        <w:t>elect</w:t>
      </w:r>
      <w:r w:rsidR="00204F23">
        <w:t>ing</w:t>
      </w:r>
      <w:r w:rsidR="00204F23" w:rsidRPr="00DB3A15">
        <w:t xml:space="preserve"> sites that, as a group, </w:t>
      </w:r>
      <w:r w:rsidR="00055201">
        <w:t>will</w:t>
      </w:r>
      <w:r w:rsidR="00055201" w:rsidRPr="00DB3A15">
        <w:t xml:space="preserve"> </w:t>
      </w:r>
      <w:r w:rsidR="00204F23" w:rsidRPr="00DB3A15">
        <w:t>inform ORR and other states about a variety of ways programs operate, and have the potential to provide useful lessons that ORR and states can draw on to improve programs or guide future policy.</w:t>
      </w:r>
      <w:r w:rsidR="007C1C90">
        <w:t xml:space="preserve"> </w:t>
      </w:r>
      <w:r w:rsidR="0085060A">
        <w:t>Focus groups with program participants will promote discussion among refugees where they can provide their perspective and impressions of the services they received, how those services were delivered, their experiences attempting to achieve self-sufficiency within a rapid timeframe, and the challenges they faced. Individuals</w:t>
      </w:r>
      <w:r w:rsidR="007C1C90">
        <w:t xml:space="preserve"> </w:t>
      </w:r>
      <w:r>
        <w:t xml:space="preserve">selected </w:t>
      </w:r>
      <w:r w:rsidR="007C1C90">
        <w:t xml:space="preserve">for focus groups will be recruited from </w:t>
      </w:r>
      <w:r>
        <w:t xml:space="preserve">local </w:t>
      </w:r>
      <w:r w:rsidR="007C1C90">
        <w:t xml:space="preserve">organizations and agencies selected </w:t>
      </w:r>
      <w:r>
        <w:t xml:space="preserve">for the study, </w:t>
      </w:r>
      <w:r w:rsidR="007C1C90">
        <w:t xml:space="preserve">as described above. </w:t>
      </w:r>
      <w:r w:rsidR="00B77F3C">
        <w:t xml:space="preserve">Focus groups will include </w:t>
      </w:r>
      <w:r w:rsidR="00DB1CF3">
        <w:t xml:space="preserve">six to nine </w:t>
      </w:r>
      <w:r w:rsidR="00B77F3C">
        <w:t>participants per site.</w:t>
      </w:r>
    </w:p>
    <w:p w:rsidR="00D361E8" w:rsidRPr="00204F23" w:rsidRDefault="00D361E8" w:rsidP="00323224">
      <w:pPr>
        <w:pStyle w:val="BodyText"/>
      </w:pPr>
      <w:r>
        <w:t>Participants will consist of refugees who have recently receive</w:t>
      </w:r>
      <w:r w:rsidR="00C364EC">
        <w:t>d</w:t>
      </w:r>
      <w:r>
        <w:t xml:space="preserve"> cash assistance</w:t>
      </w:r>
      <w:r w:rsidR="001525C9">
        <w:t xml:space="preserve"> and associated services through TANF and/or RCA</w:t>
      </w:r>
      <w:r>
        <w:t>.</w:t>
      </w:r>
      <w:r w:rsidR="00595394">
        <w:t xml:space="preserve"> </w:t>
      </w:r>
      <w:r w:rsidR="001525C9">
        <w:t>Focus groups will</w:t>
      </w:r>
      <w:r>
        <w:t xml:space="preserve"> include individuals with a mix of experiences </w:t>
      </w:r>
      <w:r w:rsidR="001525C9">
        <w:t>accessing cash assistance</w:t>
      </w:r>
      <w:r>
        <w:t xml:space="preserve"> </w:t>
      </w:r>
      <w:r w:rsidR="001525C9">
        <w:t xml:space="preserve">and related </w:t>
      </w:r>
      <w:r>
        <w:t>services</w:t>
      </w:r>
      <w:r w:rsidR="00AE4716">
        <w:t>. For example, they will include</w:t>
      </w:r>
      <w:r w:rsidR="00EE7210">
        <w:t xml:space="preserve"> </w:t>
      </w:r>
      <w:r w:rsidR="001525C9">
        <w:t>recently resettled refugees who</w:t>
      </w:r>
      <w:r>
        <w:t xml:space="preserve"> are still eligible for RCA</w:t>
      </w:r>
      <w:r w:rsidR="00AE4716">
        <w:t>,</w:t>
      </w:r>
      <w:r>
        <w:t xml:space="preserve"> </w:t>
      </w:r>
      <w:r w:rsidR="00AE4716">
        <w:t xml:space="preserve">and </w:t>
      </w:r>
      <w:r>
        <w:t xml:space="preserve">those who </w:t>
      </w:r>
      <w:r w:rsidR="00EA4F1D">
        <w:t xml:space="preserve">were resettled less recently and therefore </w:t>
      </w:r>
      <w:r w:rsidR="00AE4716">
        <w:t xml:space="preserve">are no longer eligible for </w:t>
      </w:r>
      <w:r w:rsidR="00AE4716">
        <w:lastRenderedPageBreak/>
        <w:t xml:space="preserve">RCA and/or </w:t>
      </w:r>
      <w:r>
        <w:t xml:space="preserve">had </w:t>
      </w:r>
      <w:r w:rsidR="00EA4F1D">
        <w:t xml:space="preserve">enough time </w:t>
      </w:r>
      <w:r>
        <w:t xml:space="preserve">to </w:t>
      </w:r>
      <w:r w:rsidR="00EA4F1D">
        <w:t xml:space="preserve">potentially </w:t>
      </w:r>
      <w:r>
        <w:t xml:space="preserve">transition off </w:t>
      </w:r>
      <w:r w:rsidR="00EA4F1D">
        <w:t>cash assistance</w:t>
      </w:r>
      <w:r w:rsidR="00AE4716">
        <w:t>. As another example, they will include</w:t>
      </w:r>
      <w:r>
        <w:t xml:space="preserve"> a mix of families eligible for TANF</w:t>
      </w:r>
      <w:r w:rsidR="00AE4716">
        <w:t>,</w:t>
      </w:r>
      <w:r>
        <w:t xml:space="preserve"> and adults without children who would need to rely on RCA or an alternative.</w:t>
      </w:r>
      <w:r w:rsidR="008A0B55">
        <w:t xml:space="preserve"> </w:t>
      </w:r>
      <w:r w:rsidR="007B3BE7" w:rsidRPr="007B3BE7">
        <w:t>We will only include people who have received some services in the recent past.</w:t>
      </w:r>
      <w:r w:rsidR="0067136C">
        <w:t xml:space="preserve"> </w:t>
      </w:r>
      <w:r w:rsidR="007B3BE7" w:rsidRPr="007B3BE7">
        <w:t>We presume they understand why they are eligible or not eligible for certain services.</w:t>
      </w:r>
      <w:r w:rsidR="0067136C">
        <w:t xml:space="preserve"> </w:t>
      </w:r>
    </w:p>
    <w:p w:rsidR="00C21D50" w:rsidRDefault="001252E5" w:rsidP="00C21D50">
      <w:pPr>
        <w:pStyle w:val="Heading3"/>
      </w:pPr>
      <w:bookmarkStart w:id="13" w:name="_Toc423334320"/>
      <w:bookmarkStart w:id="14" w:name="_Toc426381110"/>
      <w:r>
        <w:t>B.1.</w:t>
      </w:r>
      <w:r w:rsidR="00204F23">
        <w:t>4</w:t>
      </w:r>
      <w:r>
        <w:tab/>
      </w:r>
      <w:r w:rsidR="00C21D50">
        <w:t>Target Response Rates</w:t>
      </w:r>
      <w:bookmarkEnd w:id="13"/>
      <w:bookmarkEnd w:id="14"/>
    </w:p>
    <w:p w:rsidR="002F1E1F" w:rsidRDefault="002F1E1F" w:rsidP="00C21D50">
      <w:pPr>
        <w:pStyle w:val="BodyText"/>
      </w:pPr>
      <w:r>
        <w:t xml:space="preserve">This study </w:t>
      </w:r>
      <w:r w:rsidR="003767A6">
        <w:t>uses</w:t>
      </w:r>
      <w:r>
        <w:t xml:space="preserve"> a qualitative approach to document state refugee policies and programs. As described above, the research team will select sites that, as a group, will</w:t>
      </w:r>
      <w:r w:rsidRPr="00DB3A15">
        <w:t xml:space="preserve"> inform ORR and other</w:t>
      </w:r>
      <w:r w:rsidR="0085060A">
        <w:t>s</w:t>
      </w:r>
      <w:r w:rsidRPr="00DB3A15">
        <w:t xml:space="preserve"> about </w:t>
      </w:r>
      <w:r w:rsidR="0085060A">
        <w:t>the</w:t>
      </w:r>
      <w:r w:rsidR="0085060A" w:rsidRPr="00DB3A15">
        <w:t xml:space="preserve"> </w:t>
      </w:r>
      <w:r w:rsidRPr="00DB3A15">
        <w:t xml:space="preserve">variety of ways programs operate and </w:t>
      </w:r>
      <w:r w:rsidR="0085060A">
        <w:t xml:space="preserve">will </w:t>
      </w:r>
      <w:r w:rsidRPr="00DB3A15">
        <w:t xml:space="preserve">provide useful lessons </w:t>
      </w:r>
      <w:r w:rsidR="0085060A">
        <w:t xml:space="preserve">for </w:t>
      </w:r>
      <w:r w:rsidRPr="00DB3A15">
        <w:t>ORR</w:t>
      </w:r>
      <w:r w:rsidR="0085060A">
        <w:t xml:space="preserve"> and state and local policy-makers to</w:t>
      </w:r>
      <w:r w:rsidR="00EE7210">
        <w:t xml:space="preserve"> </w:t>
      </w:r>
      <w:r w:rsidRPr="00DB3A15">
        <w:t xml:space="preserve">draw on to improve programs or guide future policy. </w:t>
      </w:r>
      <w:r>
        <w:t xml:space="preserve">We expect response rates to be sufficiently high for the survey of State Refugee Coordinators and among the sites selected to provide an in-depth understanding of a range of ways in which states provide services to refugees, and how TANF and RCA services intersect. </w:t>
      </w:r>
    </w:p>
    <w:p w:rsidR="00C21D50" w:rsidRDefault="003F6F2F" w:rsidP="00C21D50">
      <w:pPr>
        <w:pStyle w:val="BodyText"/>
      </w:pPr>
      <w:r>
        <w:t>W</w:t>
      </w:r>
      <w:r w:rsidR="00C21D50" w:rsidRPr="00E22589">
        <w:t>e expect the following response rates:</w:t>
      </w:r>
    </w:p>
    <w:p w:rsidR="003F6F2F" w:rsidRPr="00595394" w:rsidRDefault="003F6F2F" w:rsidP="00880807">
      <w:pPr>
        <w:pStyle w:val="ListParagraph"/>
        <w:numPr>
          <w:ilvl w:val="0"/>
          <w:numId w:val="9"/>
        </w:numPr>
        <w:autoSpaceDE w:val="0"/>
        <w:autoSpaceDN w:val="0"/>
        <w:adjustRightInd w:val="0"/>
        <w:spacing w:after="0" w:line="240" w:lineRule="auto"/>
      </w:pPr>
      <w:r w:rsidRPr="00595394">
        <w:rPr>
          <w:rStyle w:val="Heading4Char"/>
          <w:sz w:val="20"/>
          <w:szCs w:val="20"/>
        </w:rPr>
        <w:t>State Refugee Coordinators</w:t>
      </w:r>
      <w:r w:rsidR="006B7C3D" w:rsidRPr="00595394">
        <w:rPr>
          <w:rStyle w:val="Heading4Char"/>
          <w:sz w:val="20"/>
          <w:szCs w:val="20"/>
        </w:rPr>
        <w:t>:</w:t>
      </w:r>
      <w:r w:rsidR="006B7C3D" w:rsidRPr="00595394">
        <w:rPr>
          <w:rStyle w:val="Heading4Char"/>
          <w:rFonts w:ascii="Times New Roman" w:hAnsi="Times New Roman"/>
        </w:rPr>
        <w:t xml:space="preserve"> </w:t>
      </w:r>
      <w:r w:rsidR="00D55BDD" w:rsidRPr="00595394">
        <w:rPr>
          <w:rFonts w:ascii="Times New Roman" w:hAnsi="Times New Roman"/>
        </w:rPr>
        <w:t>T</w:t>
      </w:r>
      <w:r w:rsidR="006B7C3D" w:rsidRPr="00595394">
        <w:rPr>
          <w:rFonts w:ascii="TimesNewRoman" w:hAnsi="TimesNewRoman" w:cs="TimesNewRoman"/>
        </w:rPr>
        <w:t>he study team has achieved very high completion rates</w:t>
      </w:r>
      <w:r w:rsidR="00D55BDD" w:rsidRPr="00595394">
        <w:rPr>
          <w:rFonts w:ascii="TimesNewRoman" w:hAnsi="TimesNewRoman" w:cs="TimesNewRoman"/>
        </w:rPr>
        <w:t xml:space="preserve"> (</w:t>
      </w:r>
      <w:r w:rsidR="006B7C3D" w:rsidRPr="00595394">
        <w:rPr>
          <w:rFonts w:ascii="TimesNewRoman" w:hAnsi="TimesNewRoman" w:cs="TimesNewRoman"/>
        </w:rPr>
        <w:t>nearing 100 percent</w:t>
      </w:r>
      <w:r w:rsidR="00D55BDD" w:rsidRPr="00595394">
        <w:rPr>
          <w:rFonts w:ascii="TimesNewRoman" w:hAnsi="TimesNewRoman" w:cs="TimesNewRoman"/>
        </w:rPr>
        <w:t>) using similar strategies (described in B.2) on other studies</w:t>
      </w:r>
      <w:r w:rsidR="006B7C3D" w:rsidRPr="00595394">
        <w:rPr>
          <w:rFonts w:ascii="TimesNewRoman" w:hAnsi="TimesNewRoman" w:cs="TimesNewRoman"/>
        </w:rPr>
        <w:t>. For example</w:t>
      </w:r>
      <w:r w:rsidR="004265C6" w:rsidRPr="00595394">
        <w:rPr>
          <w:rFonts w:ascii="TimesNewRoman" w:hAnsi="TimesNewRoman" w:cs="TimesNewRoman"/>
        </w:rPr>
        <w:t>, members</w:t>
      </w:r>
      <w:r w:rsidR="006B7C3D" w:rsidRPr="00595394">
        <w:rPr>
          <w:rFonts w:ascii="TimesNewRoman" w:hAnsi="TimesNewRoman" w:cs="TimesNewRoman"/>
        </w:rPr>
        <w:t xml:space="preserve"> of the research team obtained a 100</w:t>
      </w:r>
      <w:r w:rsidR="004265C6" w:rsidRPr="00595394">
        <w:rPr>
          <w:rFonts w:ascii="TimesNewRoman" w:hAnsi="TimesNewRoman" w:cs="TimesNewRoman"/>
        </w:rPr>
        <w:t xml:space="preserve"> </w:t>
      </w:r>
      <w:r w:rsidR="006B7C3D" w:rsidRPr="00595394">
        <w:rPr>
          <w:rFonts w:ascii="TimesNewRoman" w:hAnsi="TimesNewRoman" w:cs="TimesNewRoman"/>
        </w:rPr>
        <w:t>percent completion rate in a study of the federal 60-month limit on TANF receipt</w:t>
      </w:r>
      <w:r w:rsidR="00E317EF">
        <w:rPr>
          <w:rFonts w:ascii="TimesNewRoman" w:hAnsi="TimesNewRoman" w:cs="TimesNewRoman"/>
        </w:rPr>
        <w:t xml:space="preserve"> that surveyed state welfare directors</w:t>
      </w:r>
      <w:r w:rsidR="006B7C3D" w:rsidRPr="00595394">
        <w:rPr>
          <w:rFonts w:ascii="TimesNewRoman" w:hAnsi="TimesNewRoman" w:cs="TimesNewRoman"/>
        </w:rPr>
        <w:t>. Similarly,</w:t>
      </w:r>
      <w:r w:rsidR="004265C6" w:rsidRPr="00595394">
        <w:rPr>
          <w:rFonts w:ascii="TimesNewRoman" w:hAnsi="TimesNewRoman" w:cs="TimesNewRoman"/>
        </w:rPr>
        <w:t xml:space="preserve"> </w:t>
      </w:r>
      <w:r w:rsidR="006B7C3D" w:rsidRPr="00595394">
        <w:rPr>
          <w:rFonts w:ascii="TimesNewRoman" w:hAnsi="TimesNewRoman" w:cs="TimesNewRoman"/>
        </w:rPr>
        <w:t>members of the proposed study team conducted a survey of Colorado’s TANF county</w:t>
      </w:r>
      <w:r w:rsidR="004265C6" w:rsidRPr="00595394">
        <w:rPr>
          <w:rFonts w:ascii="TimesNewRoman" w:hAnsi="TimesNewRoman" w:cs="TimesNewRoman"/>
        </w:rPr>
        <w:t xml:space="preserve"> </w:t>
      </w:r>
      <w:r w:rsidR="006B7C3D" w:rsidRPr="00595394">
        <w:rPr>
          <w:rFonts w:ascii="TimesNewRoman" w:hAnsi="TimesNewRoman" w:cs="TimesNewRoman"/>
        </w:rPr>
        <w:t>administrators and achieved a 97 percent response rate.</w:t>
      </w:r>
    </w:p>
    <w:p w:rsidR="004265C6" w:rsidRPr="0005784F" w:rsidRDefault="004265C6" w:rsidP="00880807">
      <w:pPr>
        <w:pStyle w:val="ListParagraph"/>
        <w:autoSpaceDE w:val="0"/>
        <w:autoSpaceDN w:val="0"/>
        <w:adjustRightInd w:val="0"/>
        <w:spacing w:after="0" w:line="240" w:lineRule="auto"/>
      </w:pPr>
    </w:p>
    <w:p w:rsidR="003F6F2F" w:rsidRPr="0005784F" w:rsidRDefault="003F6F2F" w:rsidP="00880807">
      <w:pPr>
        <w:pStyle w:val="BodyText"/>
        <w:numPr>
          <w:ilvl w:val="0"/>
          <w:numId w:val="9"/>
        </w:numPr>
      </w:pPr>
      <w:r w:rsidRPr="008A2D40">
        <w:rPr>
          <w:rStyle w:val="Heading4Char"/>
          <w:sz w:val="20"/>
        </w:rPr>
        <w:t>Staff and Managers at agencies and organizations that provide services to refugees</w:t>
      </w:r>
      <w:r w:rsidR="006B7C3D" w:rsidRPr="008A2D40">
        <w:rPr>
          <w:rStyle w:val="Heading4Char"/>
          <w:sz w:val="20"/>
        </w:rPr>
        <w:t>:</w:t>
      </w:r>
      <w:r w:rsidR="006B7C3D" w:rsidRPr="008A2D40">
        <w:rPr>
          <w:sz w:val="20"/>
        </w:rPr>
        <w:t xml:space="preserve"> </w:t>
      </w:r>
      <w:r w:rsidR="006B7C3D" w:rsidRPr="00880807">
        <w:t>Because the research team will be working with staff and managers who have expressed their willingness to participate, response rates will be close to 100 percent. In the event of scheduling conflicts, the research team will conduct follow-up phone interviews at a time convenient to the respondent.</w:t>
      </w:r>
    </w:p>
    <w:p w:rsidR="003F6F2F" w:rsidRPr="0005784F" w:rsidRDefault="003F6F2F" w:rsidP="00880807">
      <w:pPr>
        <w:pStyle w:val="BodyText"/>
        <w:numPr>
          <w:ilvl w:val="0"/>
          <w:numId w:val="9"/>
        </w:numPr>
      </w:pPr>
      <w:r w:rsidRPr="008A2D40">
        <w:rPr>
          <w:rStyle w:val="Heading4Char"/>
          <w:sz w:val="20"/>
        </w:rPr>
        <w:t>Individuals who receive refugee services</w:t>
      </w:r>
      <w:r w:rsidR="006B7C3D" w:rsidRPr="008A2D40">
        <w:rPr>
          <w:rStyle w:val="Heading4Char"/>
          <w:sz w:val="20"/>
        </w:rPr>
        <w:t>:</w:t>
      </w:r>
      <w:r w:rsidR="006B7C3D" w:rsidRPr="00880807">
        <w:t xml:space="preserve"> Again, the research team will seek focus group participants who are interested in participating,</w:t>
      </w:r>
      <w:r w:rsidR="00DC3D5B">
        <w:t xml:space="preserve"> and will offer tokens of appreciation for participation. Additionally, we will plan to recruit </w:t>
      </w:r>
      <w:r w:rsidR="004151E6">
        <w:t>8</w:t>
      </w:r>
      <w:r w:rsidR="00DC3D5B">
        <w:t>-1</w:t>
      </w:r>
      <w:r w:rsidR="004151E6">
        <w:t>0</w:t>
      </w:r>
      <w:r w:rsidR="00DC3D5B">
        <w:t xml:space="preserve"> individuals per site to yield focus groups of 6-9 individuals</w:t>
      </w:r>
      <w:r w:rsidR="006B7C3D" w:rsidRPr="00880807">
        <w:t xml:space="preserve"> yielding response rates</w:t>
      </w:r>
      <w:r w:rsidR="00DC3D5B">
        <w:t xml:space="preserve"> of about</w:t>
      </w:r>
      <w:r w:rsidR="006B7C3D" w:rsidRPr="00880807">
        <w:t xml:space="preserve"> </w:t>
      </w:r>
      <w:r w:rsidR="004151E6">
        <w:t xml:space="preserve">75-90 percent. </w:t>
      </w:r>
    </w:p>
    <w:p w:rsidR="003F6F2F" w:rsidRDefault="003F6F2F" w:rsidP="00811E40">
      <w:pPr>
        <w:pStyle w:val="Bullets"/>
        <w:numPr>
          <w:ilvl w:val="0"/>
          <w:numId w:val="0"/>
        </w:numPr>
        <w:ind w:left="360"/>
        <w:rPr>
          <w:i/>
        </w:rPr>
      </w:pPr>
    </w:p>
    <w:p w:rsidR="00C21D50" w:rsidRPr="004F1FB4" w:rsidRDefault="00C21D50" w:rsidP="00C21D50">
      <w:pPr>
        <w:pStyle w:val="Heading2"/>
      </w:pPr>
      <w:bookmarkStart w:id="15" w:name="_Toc322083616"/>
      <w:bookmarkStart w:id="16" w:name="_Toc423334321"/>
      <w:bookmarkStart w:id="17" w:name="_Toc426381111"/>
      <w:r w:rsidRPr="004F1FB4">
        <w:t>B.2</w:t>
      </w:r>
      <w:r>
        <w:tab/>
      </w:r>
      <w:r w:rsidRPr="004F1FB4">
        <w:t>Procedures for Collection of Information</w:t>
      </w:r>
      <w:bookmarkEnd w:id="15"/>
      <w:bookmarkEnd w:id="16"/>
      <w:bookmarkEnd w:id="17"/>
    </w:p>
    <w:p w:rsidR="003F6F2F" w:rsidRPr="00880807" w:rsidRDefault="00880807" w:rsidP="00880807">
      <w:pPr>
        <w:pStyle w:val="Heading3"/>
      </w:pPr>
      <w:bookmarkStart w:id="18" w:name="_Toc423334322"/>
      <w:bookmarkStart w:id="19" w:name="_Toc426381112"/>
      <w:r>
        <w:t xml:space="preserve">B.2.1 </w:t>
      </w:r>
      <w:r w:rsidR="003F6F2F" w:rsidRPr="00880807">
        <w:t>Survey of State Refugee Coordinators</w:t>
      </w:r>
      <w:bookmarkEnd w:id="18"/>
      <w:bookmarkEnd w:id="19"/>
    </w:p>
    <w:p w:rsidR="007B12A3" w:rsidRDefault="002F1E1F" w:rsidP="000C2C4D">
      <w:pPr>
        <w:spacing w:after="200" w:line="240" w:lineRule="auto"/>
        <w:rPr>
          <w:iCs/>
        </w:rPr>
      </w:pPr>
      <w:r>
        <w:t>The research team plans</w:t>
      </w:r>
      <w:r w:rsidR="003F6F2F" w:rsidRPr="00811E40">
        <w:t xml:space="preserve"> to conduct a short online survey of </w:t>
      </w:r>
      <w:r w:rsidR="00055201">
        <w:t>S</w:t>
      </w:r>
      <w:r w:rsidR="003F6F2F" w:rsidRPr="00811E40">
        <w:t xml:space="preserve">tate </w:t>
      </w:r>
      <w:r w:rsidR="00055201">
        <w:t>R</w:t>
      </w:r>
      <w:r w:rsidR="003F6F2F" w:rsidRPr="00811E40">
        <w:t xml:space="preserve">efugee </w:t>
      </w:r>
      <w:r w:rsidR="00055201">
        <w:t>C</w:t>
      </w:r>
      <w:r w:rsidR="003F6F2F" w:rsidRPr="00811E40">
        <w:t>oordinators</w:t>
      </w:r>
      <w:r w:rsidR="001C5087">
        <w:t xml:space="preserve"> and Wilson-Fish Program Coordinators</w:t>
      </w:r>
      <w:r w:rsidR="003F6F2F" w:rsidRPr="00811E40">
        <w:t>, to document the diversity of state policies and practices across the country, and inform site selection. The survey w</w:t>
      </w:r>
      <w:r w:rsidR="00B516A9" w:rsidRPr="00811E40">
        <w:t xml:space="preserve">ill </w:t>
      </w:r>
      <w:r w:rsidR="003F6F2F" w:rsidRPr="00811E40">
        <w:t>be administered to all</w:t>
      </w:r>
      <w:r w:rsidR="008A0B55">
        <w:t xml:space="preserve"> </w:t>
      </w:r>
      <w:r w:rsidR="00F3705A">
        <w:t>State Refugee Coordinator</w:t>
      </w:r>
      <w:r w:rsidR="003F6F2F" w:rsidRPr="00811E40">
        <w:t xml:space="preserve">s. </w:t>
      </w:r>
      <w:r w:rsidR="00B516A9" w:rsidRPr="00811E40">
        <w:t xml:space="preserve">The survey (included as Appendix </w:t>
      </w:r>
      <w:r w:rsidR="00D361E8">
        <w:t>A</w:t>
      </w:r>
      <w:r w:rsidR="00B516A9" w:rsidRPr="00811E40">
        <w:t xml:space="preserve">) will </w:t>
      </w:r>
      <w:r w:rsidR="003F6F2F" w:rsidRPr="00811E40">
        <w:t>focus on state-level characteristics of refugee programs and on obtaining input from</w:t>
      </w:r>
      <w:r w:rsidR="00B516A9" w:rsidRPr="00811E40">
        <w:t xml:space="preserve"> </w:t>
      </w:r>
      <w:r w:rsidR="003F6F2F" w:rsidRPr="00811E40">
        <w:t>coordinators about how programs are implemented</w:t>
      </w:r>
      <w:r w:rsidR="00B516A9" w:rsidRPr="00811E40">
        <w:t xml:space="preserve"> locally in their states. T</w:t>
      </w:r>
      <w:r w:rsidR="003F6F2F" w:rsidRPr="00811E40">
        <w:t xml:space="preserve">he survey will be programmed </w:t>
      </w:r>
      <w:r w:rsidR="004151E6">
        <w:t>by the contractor</w:t>
      </w:r>
      <w:r w:rsidR="007B12A3" w:rsidRPr="00811E40">
        <w:t xml:space="preserve"> </w:t>
      </w:r>
      <w:r w:rsidR="003F6F2F" w:rsidRPr="00811E40">
        <w:t>using an online survey software</w:t>
      </w:r>
      <w:r w:rsidR="00B516A9" w:rsidRPr="00811E40">
        <w:t xml:space="preserve"> package (FluidSurvey). </w:t>
      </w:r>
      <w:r w:rsidR="003F6F2F" w:rsidRPr="00811E40">
        <w:t xml:space="preserve">ACF </w:t>
      </w:r>
      <w:r w:rsidR="00B516A9" w:rsidRPr="00811E40">
        <w:t xml:space="preserve">will </w:t>
      </w:r>
      <w:r w:rsidR="003F6F2F" w:rsidRPr="00811E40">
        <w:t xml:space="preserve">send an email to all </w:t>
      </w:r>
      <w:r w:rsidR="00055201">
        <w:t>S</w:t>
      </w:r>
      <w:r w:rsidR="003F6F2F" w:rsidRPr="00811E40">
        <w:t>tate</w:t>
      </w:r>
      <w:r w:rsidR="007B12A3" w:rsidRPr="00811E40">
        <w:t xml:space="preserve"> </w:t>
      </w:r>
      <w:r w:rsidR="00055201">
        <w:t>Refugee C</w:t>
      </w:r>
      <w:r w:rsidR="003F6F2F" w:rsidRPr="00811E40">
        <w:t>oordinators explaining the purpose of the survey and its</w:t>
      </w:r>
      <w:r w:rsidR="00B516A9" w:rsidRPr="00811E40">
        <w:t xml:space="preserve"> </w:t>
      </w:r>
      <w:r w:rsidR="003F6F2F" w:rsidRPr="00811E40">
        <w:t xml:space="preserve">importance. </w:t>
      </w:r>
      <w:r w:rsidR="004265C6" w:rsidRPr="00811E40">
        <w:t>The research team</w:t>
      </w:r>
      <w:r w:rsidR="003F6F2F" w:rsidRPr="00811E40">
        <w:t xml:space="preserve"> will then send an email to all coordinators with the URL address and</w:t>
      </w:r>
      <w:r w:rsidR="00B516A9" w:rsidRPr="00811E40">
        <w:t xml:space="preserve"> </w:t>
      </w:r>
      <w:r w:rsidR="003F6F2F" w:rsidRPr="00811E40">
        <w:t>instructions for completing the survey.</w:t>
      </w:r>
      <w:r w:rsidR="004265C6" w:rsidRPr="00811E40">
        <w:t xml:space="preserve"> The research team </w:t>
      </w:r>
      <w:r w:rsidR="003F6F2F" w:rsidRPr="00811E40">
        <w:t>will track who has begun and completed the survey</w:t>
      </w:r>
      <w:r w:rsidR="00B516A9" w:rsidRPr="00811E40">
        <w:t xml:space="preserve"> </w:t>
      </w:r>
      <w:r w:rsidR="003F6F2F" w:rsidRPr="00811E40">
        <w:t xml:space="preserve">and send </w:t>
      </w:r>
      <w:r w:rsidR="003F6F2F" w:rsidRPr="00811E40">
        <w:lastRenderedPageBreak/>
        <w:t xml:space="preserve">reminders to those who have not completed it. </w:t>
      </w:r>
      <w:r w:rsidR="0050098B">
        <w:t>All survey-related correspondence is included in Appendix A.</w:t>
      </w:r>
    </w:p>
    <w:p w:rsidR="00B516A9" w:rsidRDefault="00880807" w:rsidP="000C2C4D">
      <w:pPr>
        <w:pStyle w:val="Heading3"/>
        <w:spacing w:before="0" w:after="200" w:line="240" w:lineRule="auto"/>
      </w:pPr>
      <w:bookmarkStart w:id="20" w:name="_Toc423334323"/>
      <w:bookmarkStart w:id="21" w:name="_Toc426381113"/>
      <w:r>
        <w:t xml:space="preserve">B 2.2 </w:t>
      </w:r>
      <w:r w:rsidR="00B516A9" w:rsidRPr="007B12A3">
        <w:t>Staff and Managers at agencies and organizations that provide services to refugees</w:t>
      </w:r>
      <w:bookmarkEnd w:id="20"/>
      <w:bookmarkEnd w:id="21"/>
      <w:r w:rsidR="00B516A9" w:rsidDel="003F6F2F">
        <w:t xml:space="preserve"> </w:t>
      </w:r>
    </w:p>
    <w:p w:rsidR="00B516A9" w:rsidRDefault="00B60601" w:rsidP="00B516A9">
      <w:r>
        <w:t>Upon finalizing the list of potential study sites, t</w:t>
      </w:r>
      <w:r w:rsidR="00B516A9">
        <w:t xml:space="preserve">he study team will </w:t>
      </w:r>
      <w:r w:rsidR="00FB2836">
        <w:t xml:space="preserve">have individualized conversations with </w:t>
      </w:r>
      <w:r w:rsidR="00DC230D">
        <w:t xml:space="preserve">each </w:t>
      </w:r>
      <w:r w:rsidR="00055201">
        <w:t xml:space="preserve">selected </w:t>
      </w:r>
      <w:r w:rsidR="00DC230D">
        <w:t>state’s</w:t>
      </w:r>
      <w:r w:rsidR="00B516A9">
        <w:t xml:space="preserve"> </w:t>
      </w:r>
      <w:r w:rsidR="00055201">
        <w:t xml:space="preserve">State </w:t>
      </w:r>
      <w:r w:rsidR="00536DEC">
        <w:t xml:space="preserve">Refugee </w:t>
      </w:r>
      <w:r w:rsidR="00055201">
        <w:t>C</w:t>
      </w:r>
      <w:r w:rsidR="00B516A9">
        <w:t xml:space="preserve">oordinator </w:t>
      </w:r>
      <w:r w:rsidR="00055201">
        <w:t xml:space="preserve">reminding them of </w:t>
      </w:r>
      <w:r w:rsidR="00B516A9">
        <w:t>the study and its goals, and will emphasiz</w:t>
      </w:r>
      <w:r w:rsidR="002336EC">
        <w:t>ing</w:t>
      </w:r>
      <w:r w:rsidR="00B516A9">
        <w:t xml:space="preserve"> its importance to ORR and ACF. </w:t>
      </w:r>
      <w:r w:rsidR="002336EC">
        <w:t>The team</w:t>
      </w:r>
      <w:r w:rsidR="002F1E1F">
        <w:t xml:space="preserve"> </w:t>
      </w:r>
      <w:r w:rsidR="00B516A9">
        <w:t xml:space="preserve">will inform them that </w:t>
      </w:r>
      <w:r w:rsidR="002336EC">
        <w:t>they are</w:t>
      </w:r>
      <w:r w:rsidR="00AE4716">
        <w:t xml:space="preserve"> considering selecting </w:t>
      </w:r>
      <w:r w:rsidR="00B516A9">
        <w:t xml:space="preserve">a </w:t>
      </w:r>
      <w:r w:rsidR="003A58BD">
        <w:t>county or local community</w:t>
      </w:r>
      <w:r w:rsidR="00EE7210">
        <w:t xml:space="preserve"> </w:t>
      </w:r>
      <w:r w:rsidR="00AE4716">
        <w:t>with</w:t>
      </w:r>
      <w:r w:rsidR="00B516A9">
        <w:t xml:space="preserve">in their state </w:t>
      </w:r>
      <w:r w:rsidR="00AE4716">
        <w:t xml:space="preserve">to serve </w:t>
      </w:r>
      <w:r w:rsidR="00B516A9">
        <w:t>as a study site</w:t>
      </w:r>
      <w:r w:rsidR="00112A7D">
        <w:t>,</w:t>
      </w:r>
      <w:r w:rsidR="00B516A9">
        <w:t xml:space="preserve"> and will discuss their potential participation and ask for their cooperation.</w:t>
      </w:r>
      <w:r w:rsidR="002336EC">
        <w:t xml:space="preserve"> </w:t>
      </w:r>
      <w:r w:rsidR="00B516A9">
        <w:t xml:space="preserve">These calls will provide an opportunity for the study team to provide more information to </w:t>
      </w:r>
      <w:r w:rsidR="00112A7D">
        <w:t>coordinators</w:t>
      </w:r>
      <w:r w:rsidR="00B516A9">
        <w:t xml:space="preserve"> about the study and what the roles and responsibilities of the participating sites will be, as well as to </w:t>
      </w:r>
      <w:r w:rsidR="003A58BD">
        <w:t xml:space="preserve">confirm a </w:t>
      </w:r>
      <w:r w:rsidR="00B516A9">
        <w:t>site within the</w:t>
      </w:r>
      <w:r w:rsidR="004512E5">
        <w:t>ir</w:t>
      </w:r>
      <w:r w:rsidR="00B516A9">
        <w:t xml:space="preserve"> state </w:t>
      </w:r>
      <w:r w:rsidR="004512E5">
        <w:t xml:space="preserve">for the purpose of </w:t>
      </w:r>
      <w:r w:rsidR="00B516A9">
        <w:t xml:space="preserve">site selection. This will include recommendations for local contacts at the site with whom we would need to work to arrange the site visit. </w:t>
      </w:r>
    </w:p>
    <w:p w:rsidR="003F6F2F" w:rsidRPr="00323224" w:rsidRDefault="00DC230D" w:rsidP="007B12A3">
      <w:r>
        <w:t>Once states are selected and local agencies and organizations are identified</w:t>
      </w:r>
      <w:r w:rsidR="003A58BD">
        <w:t xml:space="preserve"> and dates of the visits are arranged based on the availability of local staff</w:t>
      </w:r>
      <w:r>
        <w:t>,</w:t>
      </w:r>
      <w:r w:rsidR="002F1E1F">
        <w:t xml:space="preserve"> the study team</w:t>
      </w:r>
      <w:r w:rsidR="003F6F2F" w:rsidRPr="00323224">
        <w:t xml:space="preserve"> will interview staff at several agencies and organizations providing services to refugees. Many of the interviews will be in groups</w:t>
      </w:r>
      <w:r w:rsidR="002F1E1F" w:rsidRPr="00323224">
        <w:t>.</w:t>
      </w:r>
      <w:r w:rsidR="003F6F2F" w:rsidRPr="00323224">
        <w:t xml:space="preserve"> The interviews will be semi-structured, and </w:t>
      </w:r>
      <w:r w:rsidR="002F1E1F" w:rsidRPr="00323224">
        <w:t xml:space="preserve">the research team </w:t>
      </w:r>
      <w:r w:rsidR="003F6F2F" w:rsidRPr="00323224">
        <w:t xml:space="preserve">will customize the guides before the site visits based on </w:t>
      </w:r>
      <w:r w:rsidR="002F1E1F" w:rsidRPr="00323224">
        <w:t>the information provided by State Refugee Coordinators</w:t>
      </w:r>
      <w:r w:rsidR="0037350C">
        <w:t xml:space="preserve"> and Wilson-Fish Program Coordinators</w:t>
      </w:r>
      <w:r w:rsidR="003F6F2F" w:rsidRPr="00323224">
        <w:t xml:space="preserve"> in advance. </w:t>
      </w:r>
      <w:r w:rsidRPr="00323224">
        <w:t xml:space="preserve">The guides are included in </w:t>
      </w:r>
      <w:r w:rsidRPr="008A2D40">
        <w:t>Appendi</w:t>
      </w:r>
      <w:r w:rsidR="008A2D40" w:rsidRPr="008A2D40">
        <w:t>ces B-E</w:t>
      </w:r>
      <w:r w:rsidRPr="008A2D40">
        <w:t>.</w:t>
      </w:r>
    </w:p>
    <w:p w:rsidR="003F6F2F" w:rsidRPr="00880807" w:rsidRDefault="00880807" w:rsidP="00880807">
      <w:pPr>
        <w:pStyle w:val="Heading3"/>
      </w:pPr>
      <w:bookmarkStart w:id="22" w:name="_Toc423334324"/>
      <w:bookmarkStart w:id="23" w:name="_Toc426381114"/>
      <w:r>
        <w:t xml:space="preserve">B 2.3 </w:t>
      </w:r>
      <w:r w:rsidR="007B12A3">
        <w:t>Individuals who Receive Refugee Services</w:t>
      </w:r>
      <w:bookmarkEnd w:id="22"/>
      <w:bookmarkEnd w:id="23"/>
    </w:p>
    <w:p w:rsidR="003F6F2F" w:rsidRPr="00811E40" w:rsidRDefault="002F1E1F" w:rsidP="003F6F2F">
      <w:pPr>
        <w:rPr>
          <w:lang w:val="en"/>
        </w:rPr>
      </w:pPr>
      <w:r>
        <w:rPr>
          <w:lang w:val="en"/>
        </w:rPr>
        <w:t>The research team</w:t>
      </w:r>
      <w:r w:rsidRPr="00811E40">
        <w:rPr>
          <w:lang w:val="en"/>
        </w:rPr>
        <w:t xml:space="preserve"> </w:t>
      </w:r>
      <w:r w:rsidR="003F6F2F" w:rsidRPr="00811E40">
        <w:rPr>
          <w:lang w:val="en"/>
        </w:rPr>
        <w:t>plan</w:t>
      </w:r>
      <w:r>
        <w:rPr>
          <w:lang w:val="en"/>
        </w:rPr>
        <w:t>s</w:t>
      </w:r>
      <w:r w:rsidR="003F6F2F" w:rsidRPr="00811E40">
        <w:rPr>
          <w:lang w:val="en"/>
        </w:rPr>
        <w:t xml:space="preserve"> to conduct one focus group per site with six to nine individuals of the same national origin in each group. </w:t>
      </w:r>
      <w:r>
        <w:rPr>
          <w:lang w:val="en"/>
        </w:rPr>
        <w:t>The study will</w:t>
      </w:r>
      <w:r w:rsidR="003F6F2F" w:rsidRPr="00811E40">
        <w:rPr>
          <w:lang w:val="en"/>
        </w:rPr>
        <w:t xml:space="preserve"> include refugees who have been in the country between </w:t>
      </w:r>
      <w:r w:rsidR="00DB1CF3">
        <w:rPr>
          <w:lang w:val="en"/>
        </w:rPr>
        <w:t>six and twelve</w:t>
      </w:r>
      <w:r w:rsidR="003F6F2F" w:rsidRPr="00811E40">
        <w:rPr>
          <w:lang w:val="en"/>
        </w:rPr>
        <w:t xml:space="preserve"> months, and who received cash assistance during that period. </w:t>
      </w:r>
      <w:r>
        <w:rPr>
          <w:lang w:val="en"/>
        </w:rPr>
        <w:t>The study team will work with the local organizations</w:t>
      </w:r>
      <w:r w:rsidR="003F6F2F" w:rsidRPr="00811E40">
        <w:rPr>
          <w:lang w:val="en"/>
        </w:rPr>
        <w:t xml:space="preserve"> to identify a member of the community to lead the focus group (in the native language spoken by the group)</w:t>
      </w:r>
      <w:r w:rsidR="002336EC">
        <w:rPr>
          <w:lang w:val="en"/>
        </w:rPr>
        <w:t xml:space="preserve"> and help recruit focus group participants</w:t>
      </w:r>
      <w:r w:rsidR="003F6F2F" w:rsidRPr="00811E40">
        <w:rPr>
          <w:lang w:val="en"/>
        </w:rPr>
        <w:t xml:space="preserve">. The researchers will train the focus group leader and will be on-site to observe the group discussion and provide support as needed. </w:t>
      </w:r>
      <w:r>
        <w:rPr>
          <w:lang w:val="en"/>
        </w:rPr>
        <w:t xml:space="preserve">The </w:t>
      </w:r>
      <w:r w:rsidR="008D71AF">
        <w:rPr>
          <w:lang w:val="en"/>
        </w:rPr>
        <w:t>group discussions</w:t>
      </w:r>
      <w:r>
        <w:rPr>
          <w:lang w:val="en"/>
        </w:rPr>
        <w:t xml:space="preserve"> will</w:t>
      </w:r>
      <w:r w:rsidR="003F6F2F" w:rsidRPr="00811E40">
        <w:rPr>
          <w:lang w:val="en"/>
        </w:rPr>
        <w:t xml:space="preserve"> last 60 to 90 minutes.</w:t>
      </w:r>
      <w:r w:rsidR="007B12A3" w:rsidRPr="00811E40">
        <w:rPr>
          <w:lang w:val="en"/>
        </w:rPr>
        <w:t xml:space="preserve"> </w:t>
      </w:r>
      <w:r w:rsidR="006E73FD">
        <w:rPr>
          <w:lang w:val="en"/>
        </w:rPr>
        <w:t>The focus group leader will provide the research team with notes from the group discussion translated into English.</w:t>
      </w:r>
      <w:r w:rsidR="007B12A3" w:rsidRPr="00811E40">
        <w:rPr>
          <w:lang w:val="en"/>
        </w:rPr>
        <w:t xml:space="preserve"> The focus group discussion guide is included in </w:t>
      </w:r>
      <w:r w:rsidR="007B12A3" w:rsidRPr="008A2D40">
        <w:rPr>
          <w:lang w:val="en"/>
        </w:rPr>
        <w:t xml:space="preserve">Appendix </w:t>
      </w:r>
      <w:r w:rsidR="008A2D40" w:rsidRPr="008A2D40">
        <w:rPr>
          <w:lang w:val="en"/>
        </w:rPr>
        <w:t>F</w:t>
      </w:r>
      <w:r w:rsidR="007B12A3" w:rsidRPr="008A2D40">
        <w:rPr>
          <w:lang w:val="en"/>
        </w:rPr>
        <w:t>.</w:t>
      </w:r>
    </w:p>
    <w:p w:rsidR="00C21D50" w:rsidRPr="00173FC1" w:rsidRDefault="00C21D50" w:rsidP="00C21D50">
      <w:pPr>
        <w:pStyle w:val="Heading3"/>
      </w:pPr>
      <w:bookmarkStart w:id="24" w:name="_Toc423334325"/>
      <w:bookmarkStart w:id="25" w:name="_Toc426381115"/>
      <w:r w:rsidRPr="00173FC1">
        <w:t>B.2.</w:t>
      </w:r>
      <w:r w:rsidR="00880807">
        <w:t>4</w:t>
      </w:r>
      <w:r w:rsidRPr="00173FC1">
        <w:tab/>
        <w:t>Procedures with Special Populations</w:t>
      </w:r>
      <w:bookmarkEnd w:id="24"/>
      <w:bookmarkEnd w:id="25"/>
    </w:p>
    <w:p w:rsidR="00880807" w:rsidRPr="00164C6B" w:rsidRDefault="00880807" w:rsidP="00880807">
      <w:pPr>
        <w:rPr>
          <w:lang w:val="en"/>
        </w:rPr>
      </w:pPr>
      <w:r>
        <w:rPr>
          <w:lang w:val="en"/>
        </w:rPr>
        <w:t>Focus groups</w:t>
      </w:r>
      <w:r w:rsidRPr="00164C6B">
        <w:rPr>
          <w:lang w:val="en"/>
        </w:rPr>
        <w:t xml:space="preserve"> will consist of refugees who have recently received services, including cash assistance. </w:t>
      </w:r>
      <w:r w:rsidR="002F1E1F">
        <w:rPr>
          <w:lang w:val="en"/>
        </w:rPr>
        <w:t>As described above, g</w:t>
      </w:r>
      <w:r w:rsidRPr="00164C6B">
        <w:rPr>
          <w:lang w:val="en"/>
        </w:rPr>
        <w:t>iven language barriers and issues related to cultural sensitivity, the research team will recruit a member of the community to lead the focus group</w:t>
      </w:r>
      <w:r w:rsidR="006B0DA8">
        <w:rPr>
          <w:lang w:val="en"/>
        </w:rPr>
        <w:t>, and prepare that person for this role</w:t>
      </w:r>
      <w:r w:rsidRPr="00164C6B">
        <w:rPr>
          <w:lang w:val="en"/>
        </w:rPr>
        <w:t>. The focus group leader will also provide the research team with notes from the group in English.</w:t>
      </w:r>
    </w:p>
    <w:p w:rsidR="00C21D50" w:rsidRPr="00B510CE" w:rsidRDefault="00C21D50" w:rsidP="00C21D50">
      <w:pPr>
        <w:pStyle w:val="Heading2"/>
      </w:pPr>
      <w:bookmarkStart w:id="26" w:name="_Toc322083617"/>
      <w:bookmarkStart w:id="27" w:name="_Toc423334326"/>
      <w:bookmarkStart w:id="28" w:name="_Toc426381116"/>
      <w:r w:rsidRPr="00B510CE">
        <w:t>B.3</w:t>
      </w:r>
      <w:r w:rsidRPr="00B510CE">
        <w:tab/>
        <w:t>Methods to Maximize Response Rates</w:t>
      </w:r>
      <w:bookmarkEnd w:id="26"/>
      <w:r w:rsidRPr="00B510CE">
        <w:t xml:space="preserve"> and Deal with Nonresponse</w:t>
      </w:r>
      <w:bookmarkEnd w:id="27"/>
      <w:bookmarkEnd w:id="28"/>
    </w:p>
    <w:p w:rsidR="00B510CE" w:rsidRPr="00B510CE" w:rsidRDefault="00B510CE" w:rsidP="00B510CE">
      <w:pPr>
        <w:pStyle w:val="Heading3"/>
      </w:pPr>
      <w:bookmarkStart w:id="29" w:name="_Toc423334327"/>
      <w:bookmarkStart w:id="30" w:name="_Toc426381117"/>
      <w:r w:rsidRPr="00B510CE">
        <w:t>B.3.1 Expected Response Rates</w:t>
      </w:r>
      <w:bookmarkEnd w:id="29"/>
      <w:bookmarkEnd w:id="30"/>
      <w:r w:rsidRPr="00B510CE">
        <w:tab/>
      </w:r>
    </w:p>
    <w:p w:rsidR="00880807" w:rsidRDefault="00880807" w:rsidP="004512E5">
      <w:r>
        <w:t>As noted above, we expect response rates close to 100 percent for the online survey of</w:t>
      </w:r>
      <w:r w:rsidR="008A0B55">
        <w:t xml:space="preserve"> </w:t>
      </w:r>
      <w:r w:rsidR="00F3705A">
        <w:t>State Refugee Coordinator</w:t>
      </w:r>
      <w:r>
        <w:t>s and for the site visits</w:t>
      </w:r>
      <w:r w:rsidR="004151E6">
        <w:t>,</w:t>
      </w:r>
      <w:r>
        <w:t xml:space="preserve"> and</w:t>
      </w:r>
      <w:r w:rsidR="004151E6">
        <w:t xml:space="preserve"> response rates of about 75-90</w:t>
      </w:r>
      <w:r w:rsidR="00DD3629">
        <w:t xml:space="preserve"> percent</w:t>
      </w:r>
      <w:r w:rsidR="004151E6">
        <w:t xml:space="preserve"> for the</w:t>
      </w:r>
      <w:r>
        <w:t xml:space="preserve"> focus groups.</w:t>
      </w:r>
    </w:p>
    <w:p w:rsidR="00B510CE" w:rsidRPr="00B510CE" w:rsidRDefault="00B510CE" w:rsidP="00B510CE">
      <w:pPr>
        <w:pStyle w:val="Heading3"/>
      </w:pPr>
      <w:bookmarkStart w:id="31" w:name="_Toc423334328"/>
      <w:bookmarkStart w:id="32" w:name="_Toc426381118"/>
      <w:r w:rsidRPr="00B510CE">
        <w:t>B.3.2 Dealing with Nonresponse</w:t>
      </w:r>
      <w:bookmarkEnd w:id="31"/>
      <w:bookmarkEnd w:id="32"/>
    </w:p>
    <w:p w:rsidR="008A2D40" w:rsidRPr="00C575DF" w:rsidRDefault="00AD042D" w:rsidP="00595394">
      <w:r w:rsidRPr="00C575DF">
        <w:t xml:space="preserve">As described above, ACF will send an email to all State Refugee Coordinators </w:t>
      </w:r>
      <w:r w:rsidR="00496A18">
        <w:t xml:space="preserve">and Wilson-Fish Coordinators </w:t>
      </w:r>
      <w:r w:rsidRPr="00C575DF">
        <w:t xml:space="preserve">explaining the purpose of the survey and its importance. The research team will carefully </w:t>
      </w:r>
      <w:r w:rsidRPr="00C575DF">
        <w:lastRenderedPageBreak/>
        <w:t xml:space="preserve">monitor response rates and contact non-respondents. Similarly, the research team will reach out to the </w:t>
      </w:r>
      <w:r w:rsidR="00496A18">
        <w:t>coordinators</w:t>
      </w:r>
      <w:r w:rsidRPr="00C575DF">
        <w:t xml:space="preserve"> to encourage the participation of the agencies and organizations that provide services </w:t>
      </w:r>
      <w:r w:rsidR="00DB1CF3" w:rsidRPr="00C575DF">
        <w:t>to</w:t>
      </w:r>
      <w:r w:rsidRPr="00D94E7A">
        <w:t xml:space="preserve"> refugees at the state and local level. </w:t>
      </w:r>
    </w:p>
    <w:p w:rsidR="00B510CE" w:rsidRPr="00B510CE" w:rsidRDefault="00B510CE" w:rsidP="00B510CE">
      <w:pPr>
        <w:pStyle w:val="Heading3"/>
      </w:pPr>
      <w:bookmarkStart w:id="33" w:name="_Toc423334329"/>
      <w:bookmarkStart w:id="34" w:name="_Toc426381119"/>
      <w:r>
        <w:t>B.3.3 Maximizing Response Rates</w:t>
      </w:r>
      <w:bookmarkEnd w:id="33"/>
      <w:bookmarkEnd w:id="34"/>
    </w:p>
    <w:p w:rsidR="00C21D50" w:rsidRPr="00B510CE" w:rsidRDefault="006048EB" w:rsidP="00B510CE">
      <w:pPr>
        <w:pStyle w:val="Heading4"/>
      </w:pPr>
      <w:r w:rsidRPr="00B510CE">
        <w:t>Survey of State Refugee Coordinators</w:t>
      </w:r>
    </w:p>
    <w:p w:rsidR="00C21D50" w:rsidRPr="00B510CE" w:rsidRDefault="00EF149E" w:rsidP="00F95C88">
      <w:pPr>
        <w:pStyle w:val="BodyText"/>
      </w:pPr>
      <w:r w:rsidRPr="00B510CE">
        <w:t>The</w:t>
      </w:r>
      <w:r w:rsidR="00C21D50" w:rsidRPr="00B510CE">
        <w:t xml:space="preserve"> </w:t>
      </w:r>
      <w:r w:rsidR="006048EB" w:rsidRPr="00B510CE">
        <w:t>research team</w:t>
      </w:r>
      <w:r w:rsidR="00C21D50" w:rsidRPr="00B510CE">
        <w:t xml:space="preserve"> will carefully monitor response rates and data quality on an ongoing basis.</w:t>
      </w:r>
      <w:r w:rsidR="008A0B55">
        <w:t xml:space="preserve"> </w:t>
      </w:r>
      <w:r w:rsidRPr="00B510CE">
        <w:t>T</w:t>
      </w:r>
      <w:r w:rsidR="00C21D50" w:rsidRPr="00B510CE">
        <w:t xml:space="preserve">he </w:t>
      </w:r>
      <w:r w:rsidR="006048EB" w:rsidRPr="00B510CE">
        <w:t>research team</w:t>
      </w:r>
      <w:r w:rsidR="00C21D50" w:rsidRPr="00B510CE">
        <w:t xml:space="preserve"> will be responsible for contacting non-respondents if a survey has not been opened within the first two weeks</w:t>
      </w:r>
      <w:r w:rsidR="00B225F9" w:rsidRPr="00B510CE">
        <w:t>,</w:t>
      </w:r>
      <w:r w:rsidR="0026567F" w:rsidRPr="00B510CE">
        <w:t xml:space="preserve"> via an email reminder and/or telephone call</w:t>
      </w:r>
      <w:r w:rsidR="00C21D50" w:rsidRPr="00B510CE">
        <w:t xml:space="preserve">, and then more frequently as the survey deadline approaches. In addition to providing a reminder, this contact also </w:t>
      </w:r>
      <w:r w:rsidR="00B225F9" w:rsidRPr="00B510CE">
        <w:t xml:space="preserve">presents </w:t>
      </w:r>
      <w:r w:rsidR="00C21D50" w:rsidRPr="00B510CE">
        <w:t xml:space="preserve">an opportunity for the respondent to complete the instrument over the phone, if desired. </w:t>
      </w:r>
      <w:r w:rsidR="00B225F9" w:rsidRPr="00B510CE">
        <w:t>T</w:t>
      </w:r>
      <w:r w:rsidR="00C21D50" w:rsidRPr="00B510CE">
        <w:t xml:space="preserve">he survey website </w:t>
      </w:r>
      <w:r w:rsidR="00B225F9" w:rsidRPr="00B510CE">
        <w:t>will display the phone number and email address of</w:t>
      </w:r>
      <w:r w:rsidR="00B510CE" w:rsidRPr="00B510CE">
        <w:t xml:space="preserve"> a</w:t>
      </w:r>
      <w:r w:rsidR="009A2673">
        <w:t xml:space="preserve"> </w:t>
      </w:r>
      <w:r w:rsidR="00B510CE" w:rsidRPr="00B510CE">
        <w:t xml:space="preserve">member of the research team who can assist respondents in completing the survey. </w:t>
      </w:r>
    </w:p>
    <w:p w:rsidR="00C21D50" w:rsidRPr="0005784F" w:rsidRDefault="00C21D50" w:rsidP="00F95C88">
      <w:pPr>
        <w:pStyle w:val="Heading4"/>
      </w:pPr>
      <w:r w:rsidRPr="0005784F">
        <w:t>Tokens of Appreciation</w:t>
      </w:r>
    </w:p>
    <w:p w:rsidR="00C21D50" w:rsidRPr="0005784F" w:rsidRDefault="00C21D50" w:rsidP="00C21D50">
      <w:r w:rsidRPr="0005784F">
        <w:t xml:space="preserve">Offering appropriate monetary </w:t>
      </w:r>
      <w:r w:rsidR="002D1063">
        <w:t>tokens of appreciation</w:t>
      </w:r>
      <w:r w:rsidRPr="0005784F">
        <w:t xml:space="preserve"> to study participants in appreciation for their time can help ensure a high response rate. </w:t>
      </w:r>
      <w:r w:rsidR="009A2673" w:rsidRPr="0005784F">
        <w:t>Focus group</w:t>
      </w:r>
      <w:r w:rsidRPr="0005784F">
        <w:t xml:space="preserve"> participants will be provided</w:t>
      </w:r>
      <w:r w:rsidR="009A2673" w:rsidRPr="0005784F">
        <w:t xml:space="preserve"> with a </w:t>
      </w:r>
      <w:r w:rsidRPr="0005784F">
        <w:t xml:space="preserve">$30 </w:t>
      </w:r>
      <w:r w:rsidR="009A2673" w:rsidRPr="0005784F">
        <w:t xml:space="preserve">gift card after </w:t>
      </w:r>
      <w:r w:rsidR="00055201">
        <w:t>participating in</w:t>
      </w:r>
      <w:r w:rsidR="00055201" w:rsidRPr="0005784F">
        <w:t xml:space="preserve"> </w:t>
      </w:r>
      <w:r w:rsidR="009A2673" w:rsidRPr="0005784F">
        <w:t xml:space="preserve">the focus group. </w:t>
      </w:r>
      <w:bookmarkStart w:id="35" w:name="_Toc329063946"/>
      <w:bookmarkStart w:id="36" w:name="_Toc342216454"/>
    </w:p>
    <w:p w:rsidR="00C21D50" w:rsidRPr="0005784F" w:rsidRDefault="00C21D50" w:rsidP="00C21D50">
      <w:pPr>
        <w:pStyle w:val="Heading2"/>
      </w:pPr>
      <w:bookmarkStart w:id="37" w:name="_Toc322083618"/>
      <w:bookmarkStart w:id="38" w:name="_Toc423334330"/>
      <w:bookmarkStart w:id="39" w:name="_Toc426381120"/>
      <w:bookmarkEnd w:id="35"/>
      <w:bookmarkEnd w:id="36"/>
      <w:r w:rsidRPr="0005784F">
        <w:t>B.4</w:t>
      </w:r>
      <w:r w:rsidRPr="0005784F">
        <w:tab/>
        <w:t>Tests of Procedures</w:t>
      </w:r>
      <w:bookmarkEnd w:id="37"/>
      <w:r w:rsidR="00731B56">
        <w:t xml:space="preserve"> or Methods to be Undertaken</w:t>
      </w:r>
      <w:bookmarkEnd w:id="38"/>
      <w:bookmarkEnd w:id="39"/>
      <w:r w:rsidR="00C42962">
        <w:t xml:space="preserve"> </w:t>
      </w:r>
    </w:p>
    <w:p w:rsidR="00C21D50" w:rsidRPr="0005784F" w:rsidRDefault="00731B56" w:rsidP="00F95C88">
      <w:pPr>
        <w:pStyle w:val="BodyText"/>
      </w:pPr>
      <w:bookmarkStart w:id="40" w:name="_Toc322083619"/>
      <w:r w:rsidRPr="0005784F">
        <w:t xml:space="preserve">The research team will conduct pilot testing of the online survey with </w:t>
      </w:r>
      <w:r w:rsidR="00055201">
        <w:t xml:space="preserve">no more than </w:t>
      </w:r>
      <w:r w:rsidRPr="0005784F">
        <w:t xml:space="preserve">nine </w:t>
      </w:r>
      <w:r w:rsidR="009E5971">
        <w:t>S</w:t>
      </w:r>
      <w:r w:rsidRPr="0005784F">
        <w:t xml:space="preserve">tate </w:t>
      </w:r>
      <w:r w:rsidR="009E5971">
        <w:t>R</w:t>
      </w:r>
      <w:r w:rsidRPr="0005784F">
        <w:t xml:space="preserve">efugee </w:t>
      </w:r>
      <w:r w:rsidR="009E5971">
        <w:t>C</w:t>
      </w:r>
      <w:r w:rsidRPr="0005784F">
        <w:t>oordinators</w:t>
      </w:r>
      <w:r w:rsidR="00C21D50" w:rsidRPr="0005784F">
        <w:t xml:space="preserve">. </w:t>
      </w:r>
    </w:p>
    <w:p w:rsidR="00C21D50" w:rsidRPr="0005784F" w:rsidRDefault="00C21D50" w:rsidP="00C21D50">
      <w:pPr>
        <w:pStyle w:val="Heading2"/>
      </w:pPr>
      <w:bookmarkStart w:id="41" w:name="_Toc423334331"/>
      <w:bookmarkStart w:id="42" w:name="_Toc426381121"/>
      <w:r w:rsidRPr="0005784F">
        <w:t>B.5</w:t>
      </w:r>
      <w:r w:rsidRPr="0005784F">
        <w:tab/>
        <w:t xml:space="preserve">Individuals Consulted on Statistical Aspects </w:t>
      </w:r>
      <w:r w:rsidR="00731B56">
        <w:t>and Individuals Collecting and/or Analyzing Data</w:t>
      </w:r>
      <w:bookmarkEnd w:id="40"/>
      <w:bookmarkEnd w:id="41"/>
      <w:bookmarkEnd w:id="42"/>
    </w:p>
    <w:p w:rsidR="00C21D50" w:rsidRPr="008A2D40" w:rsidRDefault="00C21D50" w:rsidP="00C21D50">
      <w:pPr>
        <w:pStyle w:val="BodyText"/>
        <w:rPr>
          <w:color w:val="000000"/>
        </w:rPr>
      </w:pPr>
      <w:r w:rsidRPr="008A2D40">
        <w:rPr>
          <w:color w:val="000000"/>
        </w:rPr>
        <w:t>The individuals listed in Exhibit B-</w:t>
      </w:r>
      <w:r w:rsidR="008A2D40" w:rsidRPr="008A2D40">
        <w:rPr>
          <w:color w:val="000000"/>
        </w:rPr>
        <w:t>1</w:t>
      </w:r>
      <w:r w:rsidRPr="008A2D40">
        <w:rPr>
          <w:color w:val="000000"/>
        </w:rPr>
        <w:t xml:space="preserve"> below made a contribution to the design of the evaluation.</w:t>
      </w:r>
    </w:p>
    <w:p w:rsidR="00C21D50" w:rsidRPr="0005784F" w:rsidRDefault="00C21D50" w:rsidP="00730446">
      <w:pPr>
        <w:pStyle w:val="Caption"/>
      </w:pPr>
      <w:r w:rsidRPr="008A2D40">
        <w:t>Exhibit B-</w:t>
      </w:r>
      <w:r w:rsidR="008A2D40" w:rsidRPr="008A2D40">
        <w:t>1</w:t>
      </w:r>
      <w:r w:rsidR="00730446" w:rsidRPr="008A2D40">
        <w:t>: Individual</w:t>
      </w:r>
      <w:r w:rsidR="00912B4A" w:rsidRPr="008A2D40">
        <w:t>s</w:t>
      </w:r>
      <w:r w:rsidR="00730446" w:rsidRPr="008A2D40">
        <w:t xml:space="preserve"> Consulted</w:t>
      </w:r>
    </w:p>
    <w:tbl>
      <w:tblPr>
        <w:tblW w:w="48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2568"/>
        <w:gridCol w:w="3513"/>
        <w:gridCol w:w="3214"/>
      </w:tblGrid>
      <w:tr w:rsidR="00B345A0" w:rsidRPr="0005784F" w:rsidTr="00123A2D">
        <w:trPr>
          <w:tblHeader/>
          <w:jc w:val="center"/>
        </w:trPr>
        <w:tc>
          <w:tcPr>
            <w:tcW w:w="1381" w:type="pct"/>
            <w:shd w:val="clear" w:color="auto" w:fill="898D8D" w:themeFill="text2"/>
          </w:tcPr>
          <w:p w:rsidR="00B345A0" w:rsidRPr="0005784F" w:rsidRDefault="00B345A0" w:rsidP="0005784F">
            <w:pPr>
              <w:pStyle w:val="ExhibitColumnHeader"/>
              <w:rPr>
                <w:color w:val="FFFFFF"/>
              </w:rPr>
            </w:pPr>
            <w:r>
              <w:br w:type="page"/>
            </w:r>
            <w:r>
              <w:rPr>
                <w:color w:val="FFFFFF"/>
              </w:rPr>
              <w:t>Individual</w:t>
            </w:r>
          </w:p>
        </w:tc>
        <w:tc>
          <w:tcPr>
            <w:tcW w:w="1889" w:type="pct"/>
            <w:shd w:val="clear" w:color="auto" w:fill="898D8D" w:themeFill="text2"/>
          </w:tcPr>
          <w:p w:rsidR="00B345A0" w:rsidRPr="0005784F" w:rsidRDefault="00B345A0" w:rsidP="00730446">
            <w:pPr>
              <w:pStyle w:val="ExhibitColumnHeader"/>
              <w:rPr>
                <w:color w:val="FFFFFF"/>
              </w:rPr>
            </w:pPr>
            <w:r w:rsidRPr="00B52FE9">
              <w:rPr>
                <w:color w:val="FFFFFF"/>
              </w:rPr>
              <w:t>Affiliation</w:t>
            </w:r>
          </w:p>
        </w:tc>
        <w:tc>
          <w:tcPr>
            <w:tcW w:w="1729" w:type="pct"/>
            <w:shd w:val="clear" w:color="auto" w:fill="898D8D" w:themeFill="text2"/>
          </w:tcPr>
          <w:p w:rsidR="00B345A0" w:rsidRPr="00B52FE9" w:rsidRDefault="00B345A0" w:rsidP="00730446">
            <w:pPr>
              <w:pStyle w:val="ExhibitColumnHeader"/>
              <w:rPr>
                <w:color w:val="FFFFFF"/>
              </w:rPr>
            </w:pPr>
            <w:r>
              <w:rPr>
                <w:color w:val="FFFFFF"/>
              </w:rPr>
              <w:t>Role in Study</w:t>
            </w:r>
          </w:p>
        </w:tc>
      </w:tr>
      <w:tr w:rsidR="0005784F" w:rsidTr="00123A2D">
        <w:trPr>
          <w:cantSplit/>
          <w:jc w:val="center"/>
        </w:trPr>
        <w:tc>
          <w:tcPr>
            <w:tcW w:w="1381" w:type="pct"/>
          </w:tcPr>
          <w:p w:rsidR="0005784F" w:rsidRPr="00330F0B" w:rsidRDefault="0005784F" w:rsidP="00595394">
            <w:pPr>
              <w:pStyle w:val="Exhibit"/>
              <w:rPr>
                <w:szCs w:val="18"/>
              </w:rPr>
            </w:pPr>
            <w:r w:rsidRPr="00330F0B">
              <w:rPr>
                <w:szCs w:val="18"/>
              </w:rPr>
              <w:t>Mary Farrell</w:t>
            </w:r>
          </w:p>
        </w:tc>
        <w:tc>
          <w:tcPr>
            <w:tcW w:w="1889" w:type="pct"/>
          </w:tcPr>
          <w:p w:rsidR="0005784F" w:rsidRPr="00330F0B" w:rsidRDefault="0005784F" w:rsidP="00595394">
            <w:pPr>
              <w:pStyle w:val="Exhibit"/>
              <w:rPr>
                <w:szCs w:val="18"/>
              </w:rPr>
            </w:pPr>
            <w:r w:rsidRPr="00330F0B">
              <w:rPr>
                <w:szCs w:val="18"/>
              </w:rPr>
              <w:t>MEF Associates</w:t>
            </w:r>
          </w:p>
        </w:tc>
        <w:tc>
          <w:tcPr>
            <w:tcW w:w="1729" w:type="pct"/>
          </w:tcPr>
          <w:p w:rsidR="0005784F" w:rsidRPr="00330F0B" w:rsidRDefault="0005784F" w:rsidP="00595394">
            <w:pPr>
              <w:pStyle w:val="Exhibit"/>
              <w:rPr>
                <w:szCs w:val="18"/>
              </w:rPr>
            </w:pPr>
            <w:r w:rsidRPr="00330F0B">
              <w:rPr>
                <w:szCs w:val="18"/>
              </w:rPr>
              <w:t>Principal Investigator</w:t>
            </w:r>
          </w:p>
        </w:tc>
      </w:tr>
      <w:tr w:rsidR="0005784F" w:rsidTr="00123A2D">
        <w:trPr>
          <w:cantSplit/>
          <w:jc w:val="center"/>
        </w:trPr>
        <w:tc>
          <w:tcPr>
            <w:tcW w:w="1381" w:type="pct"/>
          </w:tcPr>
          <w:p w:rsidR="0005784F" w:rsidRPr="00330F0B" w:rsidRDefault="0005784F" w:rsidP="00595394">
            <w:pPr>
              <w:pStyle w:val="Exhibit"/>
              <w:rPr>
                <w:szCs w:val="18"/>
              </w:rPr>
            </w:pPr>
            <w:r w:rsidRPr="00330F0B">
              <w:rPr>
                <w:szCs w:val="18"/>
              </w:rPr>
              <w:t>Robin Koralek</w:t>
            </w:r>
          </w:p>
        </w:tc>
        <w:tc>
          <w:tcPr>
            <w:tcW w:w="1889" w:type="pct"/>
          </w:tcPr>
          <w:p w:rsidR="0005784F" w:rsidRPr="00330F0B" w:rsidRDefault="0005784F" w:rsidP="00595394">
            <w:pPr>
              <w:pStyle w:val="Exhibit"/>
              <w:rPr>
                <w:szCs w:val="18"/>
              </w:rPr>
            </w:pPr>
            <w:r w:rsidRPr="00330F0B">
              <w:rPr>
                <w:szCs w:val="18"/>
              </w:rPr>
              <w:t>Abt Associates</w:t>
            </w:r>
          </w:p>
        </w:tc>
        <w:tc>
          <w:tcPr>
            <w:tcW w:w="1729" w:type="pct"/>
          </w:tcPr>
          <w:p w:rsidR="0005784F" w:rsidRPr="00330F0B" w:rsidRDefault="0005784F" w:rsidP="00595394">
            <w:pPr>
              <w:pStyle w:val="Exhibit"/>
              <w:rPr>
                <w:szCs w:val="18"/>
              </w:rPr>
            </w:pPr>
            <w:r w:rsidRPr="00330F0B">
              <w:rPr>
                <w:szCs w:val="18"/>
              </w:rPr>
              <w:t>Project Director</w:t>
            </w:r>
          </w:p>
        </w:tc>
      </w:tr>
      <w:tr w:rsidR="0005784F" w:rsidTr="00123A2D">
        <w:trPr>
          <w:cantSplit/>
          <w:jc w:val="center"/>
        </w:trPr>
        <w:tc>
          <w:tcPr>
            <w:tcW w:w="1381" w:type="pct"/>
          </w:tcPr>
          <w:p w:rsidR="0005784F" w:rsidRPr="00330F0B" w:rsidRDefault="0005784F" w:rsidP="00595394">
            <w:pPr>
              <w:pStyle w:val="Exhibit"/>
              <w:rPr>
                <w:szCs w:val="18"/>
              </w:rPr>
            </w:pPr>
            <w:r w:rsidRPr="00330F0B">
              <w:rPr>
                <w:szCs w:val="18"/>
              </w:rPr>
              <w:t>Sam Elkin</w:t>
            </w:r>
          </w:p>
        </w:tc>
        <w:tc>
          <w:tcPr>
            <w:tcW w:w="1889" w:type="pct"/>
          </w:tcPr>
          <w:p w:rsidR="0005784F" w:rsidRPr="00330F0B" w:rsidRDefault="0005784F" w:rsidP="00595394">
            <w:pPr>
              <w:pStyle w:val="Exhibit"/>
              <w:rPr>
                <w:szCs w:val="18"/>
              </w:rPr>
            </w:pPr>
            <w:r w:rsidRPr="00330F0B">
              <w:rPr>
                <w:szCs w:val="18"/>
              </w:rPr>
              <w:t>MEF Associates</w:t>
            </w:r>
          </w:p>
        </w:tc>
        <w:tc>
          <w:tcPr>
            <w:tcW w:w="1729" w:type="pct"/>
          </w:tcPr>
          <w:p w:rsidR="0005784F" w:rsidRPr="00330F0B" w:rsidRDefault="0005784F" w:rsidP="00595394">
            <w:pPr>
              <w:pStyle w:val="Exhibit"/>
              <w:rPr>
                <w:szCs w:val="18"/>
              </w:rPr>
            </w:pPr>
            <w:r w:rsidRPr="00330F0B">
              <w:rPr>
                <w:szCs w:val="18"/>
              </w:rPr>
              <w:t>Instrument Development Task Lead</w:t>
            </w:r>
          </w:p>
        </w:tc>
      </w:tr>
      <w:tr w:rsidR="00536DEC" w:rsidRPr="0005784F" w:rsidTr="00123A2D">
        <w:trPr>
          <w:cantSplit/>
          <w:jc w:val="center"/>
        </w:trPr>
        <w:tc>
          <w:tcPr>
            <w:tcW w:w="1381" w:type="pct"/>
          </w:tcPr>
          <w:p w:rsidR="00536DEC" w:rsidRPr="00330F0B" w:rsidRDefault="00536DEC" w:rsidP="00730446">
            <w:pPr>
              <w:pStyle w:val="Exhibit"/>
              <w:rPr>
                <w:szCs w:val="18"/>
              </w:rPr>
            </w:pPr>
            <w:r w:rsidRPr="00330F0B">
              <w:rPr>
                <w:szCs w:val="18"/>
              </w:rPr>
              <w:t>Karen Gardiner</w:t>
            </w:r>
          </w:p>
        </w:tc>
        <w:tc>
          <w:tcPr>
            <w:tcW w:w="1889" w:type="pct"/>
          </w:tcPr>
          <w:p w:rsidR="00536DEC" w:rsidRPr="00330F0B" w:rsidRDefault="00536DEC" w:rsidP="00730446">
            <w:pPr>
              <w:pStyle w:val="Exhibit"/>
              <w:rPr>
                <w:szCs w:val="18"/>
              </w:rPr>
            </w:pPr>
            <w:r w:rsidRPr="00330F0B">
              <w:rPr>
                <w:szCs w:val="18"/>
              </w:rPr>
              <w:t>Abt Associates</w:t>
            </w:r>
          </w:p>
        </w:tc>
        <w:tc>
          <w:tcPr>
            <w:tcW w:w="1729" w:type="pct"/>
          </w:tcPr>
          <w:p w:rsidR="00536DEC" w:rsidRPr="00330F0B" w:rsidRDefault="00536DEC" w:rsidP="00536DEC">
            <w:pPr>
              <w:pStyle w:val="Exhibit"/>
              <w:rPr>
                <w:szCs w:val="18"/>
              </w:rPr>
            </w:pPr>
            <w:r w:rsidRPr="00330F0B">
              <w:rPr>
                <w:szCs w:val="18"/>
              </w:rPr>
              <w:t>Project Quality Advisor</w:t>
            </w:r>
          </w:p>
        </w:tc>
      </w:tr>
      <w:tr w:rsidR="00323224" w:rsidRPr="0005784F" w:rsidTr="00123A2D">
        <w:trPr>
          <w:cantSplit/>
          <w:jc w:val="center"/>
        </w:trPr>
        <w:tc>
          <w:tcPr>
            <w:tcW w:w="1381" w:type="pct"/>
          </w:tcPr>
          <w:p w:rsidR="00323224" w:rsidRPr="00330F0B" w:rsidRDefault="00323224" w:rsidP="00730446">
            <w:pPr>
              <w:pStyle w:val="Exhibit"/>
              <w:rPr>
                <w:szCs w:val="18"/>
              </w:rPr>
            </w:pPr>
            <w:r w:rsidRPr="00330F0B">
              <w:rPr>
                <w:szCs w:val="18"/>
              </w:rPr>
              <w:t>Charles Shipman</w:t>
            </w:r>
          </w:p>
        </w:tc>
        <w:tc>
          <w:tcPr>
            <w:tcW w:w="1889" w:type="pct"/>
          </w:tcPr>
          <w:p w:rsidR="00323224" w:rsidRPr="00330F0B" w:rsidRDefault="00323224" w:rsidP="00730446">
            <w:pPr>
              <w:pStyle w:val="Exhibit"/>
              <w:rPr>
                <w:szCs w:val="18"/>
              </w:rPr>
            </w:pPr>
            <w:r w:rsidRPr="00330F0B">
              <w:rPr>
                <w:szCs w:val="18"/>
              </w:rPr>
              <w:t>Arizona State Refugee Coordinator</w:t>
            </w:r>
          </w:p>
        </w:tc>
        <w:tc>
          <w:tcPr>
            <w:tcW w:w="1729" w:type="pct"/>
          </w:tcPr>
          <w:p w:rsidR="00323224" w:rsidRPr="00330F0B" w:rsidRDefault="00323224" w:rsidP="00730446">
            <w:pPr>
              <w:pStyle w:val="Exhibit"/>
              <w:rPr>
                <w:szCs w:val="18"/>
              </w:rPr>
            </w:pPr>
            <w:r w:rsidRPr="00330F0B">
              <w:rPr>
                <w:szCs w:val="18"/>
              </w:rPr>
              <w:t>Member of Expert Panel</w:t>
            </w:r>
          </w:p>
        </w:tc>
      </w:tr>
      <w:tr w:rsidR="00323224" w:rsidRPr="0005784F" w:rsidTr="00123A2D">
        <w:trPr>
          <w:cantSplit/>
          <w:jc w:val="center"/>
        </w:trPr>
        <w:tc>
          <w:tcPr>
            <w:tcW w:w="1381" w:type="pct"/>
          </w:tcPr>
          <w:p w:rsidR="00323224" w:rsidRPr="00330F0B" w:rsidRDefault="00323224" w:rsidP="00730446">
            <w:pPr>
              <w:pStyle w:val="Exhibit"/>
              <w:rPr>
                <w:szCs w:val="18"/>
              </w:rPr>
            </w:pPr>
            <w:r w:rsidRPr="00330F0B">
              <w:rPr>
                <w:szCs w:val="18"/>
              </w:rPr>
              <w:t>Donna Magnuson</w:t>
            </w:r>
          </w:p>
        </w:tc>
        <w:tc>
          <w:tcPr>
            <w:tcW w:w="1889" w:type="pct"/>
          </w:tcPr>
          <w:p w:rsidR="00323224" w:rsidRPr="00330F0B" w:rsidRDefault="00323224" w:rsidP="00730446">
            <w:pPr>
              <w:pStyle w:val="Exhibit"/>
              <w:rPr>
                <w:szCs w:val="18"/>
              </w:rPr>
            </w:pPr>
            <w:r w:rsidRPr="00330F0B">
              <w:rPr>
                <w:szCs w:val="18"/>
              </w:rPr>
              <w:t>International Rescue Committee (Phoenix)</w:t>
            </w:r>
          </w:p>
        </w:tc>
        <w:tc>
          <w:tcPr>
            <w:tcW w:w="1729" w:type="pct"/>
          </w:tcPr>
          <w:p w:rsidR="00323224" w:rsidRPr="00330F0B" w:rsidRDefault="00323224" w:rsidP="00730446">
            <w:pPr>
              <w:pStyle w:val="Exhibit"/>
              <w:rPr>
                <w:szCs w:val="18"/>
              </w:rPr>
            </w:pPr>
            <w:r w:rsidRPr="00330F0B">
              <w:rPr>
                <w:szCs w:val="18"/>
              </w:rPr>
              <w:t>Member of Expert Panel</w:t>
            </w:r>
          </w:p>
        </w:tc>
      </w:tr>
      <w:tr w:rsidR="00323224" w:rsidRPr="0005784F" w:rsidTr="00123A2D">
        <w:trPr>
          <w:cantSplit/>
          <w:jc w:val="center"/>
        </w:trPr>
        <w:tc>
          <w:tcPr>
            <w:tcW w:w="1381" w:type="pct"/>
          </w:tcPr>
          <w:p w:rsidR="00323224" w:rsidRPr="00330F0B" w:rsidRDefault="00323224" w:rsidP="00730446">
            <w:pPr>
              <w:pStyle w:val="Exhibit"/>
              <w:rPr>
                <w:szCs w:val="18"/>
              </w:rPr>
            </w:pPr>
            <w:r w:rsidRPr="00330F0B">
              <w:rPr>
                <w:szCs w:val="18"/>
              </w:rPr>
              <w:t>Mette Brogden</w:t>
            </w:r>
          </w:p>
        </w:tc>
        <w:tc>
          <w:tcPr>
            <w:tcW w:w="1889" w:type="pct"/>
          </w:tcPr>
          <w:p w:rsidR="00323224" w:rsidRPr="00330F0B" w:rsidRDefault="00323224" w:rsidP="00730446">
            <w:pPr>
              <w:pStyle w:val="Exhibit"/>
              <w:rPr>
                <w:szCs w:val="18"/>
              </w:rPr>
            </w:pPr>
            <w:r w:rsidRPr="00330F0B">
              <w:rPr>
                <w:szCs w:val="18"/>
              </w:rPr>
              <w:t>Lutheran Immigration and Refugee Service</w:t>
            </w:r>
          </w:p>
        </w:tc>
        <w:tc>
          <w:tcPr>
            <w:tcW w:w="1729" w:type="pct"/>
          </w:tcPr>
          <w:p w:rsidR="00323224" w:rsidRPr="00330F0B" w:rsidRDefault="00323224" w:rsidP="00730446">
            <w:pPr>
              <w:pStyle w:val="Exhibit"/>
              <w:rPr>
                <w:szCs w:val="18"/>
              </w:rPr>
            </w:pPr>
            <w:r w:rsidRPr="00330F0B">
              <w:rPr>
                <w:szCs w:val="18"/>
              </w:rPr>
              <w:t>Member of Expert Panel</w:t>
            </w:r>
          </w:p>
        </w:tc>
      </w:tr>
      <w:tr w:rsidR="00323224" w:rsidRPr="0005784F" w:rsidTr="00123A2D">
        <w:trPr>
          <w:cantSplit/>
          <w:jc w:val="center"/>
        </w:trPr>
        <w:tc>
          <w:tcPr>
            <w:tcW w:w="1381" w:type="pct"/>
          </w:tcPr>
          <w:p w:rsidR="00323224" w:rsidRPr="00330F0B" w:rsidRDefault="00323224" w:rsidP="00730446">
            <w:pPr>
              <w:pStyle w:val="Exhibit"/>
              <w:rPr>
                <w:szCs w:val="18"/>
              </w:rPr>
            </w:pPr>
            <w:r w:rsidRPr="00330F0B">
              <w:rPr>
                <w:szCs w:val="18"/>
              </w:rPr>
              <w:t>Vince Kilduff</w:t>
            </w:r>
          </w:p>
        </w:tc>
        <w:tc>
          <w:tcPr>
            <w:tcW w:w="1889" w:type="pct"/>
          </w:tcPr>
          <w:p w:rsidR="00323224" w:rsidRPr="00330F0B" w:rsidRDefault="00323224" w:rsidP="00730446">
            <w:pPr>
              <w:pStyle w:val="Exhibit"/>
              <w:rPr>
                <w:szCs w:val="18"/>
              </w:rPr>
            </w:pPr>
            <w:r w:rsidRPr="00330F0B">
              <w:rPr>
                <w:szCs w:val="18"/>
              </w:rPr>
              <w:t>Maryland Family Investment Administration</w:t>
            </w:r>
          </w:p>
        </w:tc>
        <w:tc>
          <w:tcPr>
            <w:tcW w:w="1729" w:type="pct"/>
          </w:tcPr>
          <w:p w:rsidR="00323224" w:rsidRPr="00330F0B" w:rsidRDefault="00323224" w:rsidP="00730446">
            <w:pPr>
              <w:pStyle w:val="Exhibit"/>
              <w:rPr>
                <w:szCs w:val="18"/>
              </w:rPr>
            </w:pPr>
            <w:r w:rsidRPr="00330F0B">
              <w:rPr>
                <w:szCs w:val="18"/>
              </w:rPr>
              <w:t>Member of Expert Panel</w:t>
            </w:r>
          </w:p>
        </w:tc>
      </w:tr>
      <w:tr w:rsidR="00323224" w:rsidRPr="0005784F" w:rsidTr="00123A2D">
        <w:trPr>
          <w:cantSplit/>
          <w:jc w:val="center"/>
        </w:trPr>
        <w:tc>
          <w:tcPr>
            <w:tcW w:w="1381" w:type="pct"/>
          </w:tcPr>
          <w:p w:rsidR="00323224" w:rsidRPr="00330F0B" w:rsidRDefault="00323224" w:rsidP="00730446">
            <w:pPr>
              <w:pStyle w:val="Exhibit"/>
              <w:rPr>
                <w:szCs w:val="18"/>
              </w:rPr>
            </w:pPr>
            <w:r w:rsidRPr="00330F0B">
              <w:rPr>
                <w:szCs w:val="18"/>
              </w:rPr>
              <w:t>Tom Medina</w:t>
            </w:r>
          </w:p>
        </w:tc>
        <w:tc>
          <w:tcPr>
            <w:tcW w:w="1889" w:type="pct"/>
          </w:tcPr>
          <w:p w:rsidR="00323224" w:rsidRPr="00330F0B" w:rsidRDefault="00323224" w:rsidP="00730446">
            <w:pPr>
              <w:pStyle w:val="Exhibit"/>
              <w:rPr>
                <w:szCs w:val="18"/>
              </w:rPr>
            </w:pPr>
            <w:r w:rsidRPr="00330F0B">
              <w:rPr>
                <w:szCs w:val="18"/>
              </w:rPr>
              <w:t>Washington State Refugee Coordinator</w:t>
            </w:r>
          </w:p>
        </w:tc>
        <w:tc>
          <w:tcPr>
            <w:tcW w:w="1729" w:type="pct"/>
          </w:tcPr>
          <w:p w:rsidR="00323224" w:rsidRPr="00330F0B" w:rsidRDefault="00323224" w:rsidP="00730446">
            <w:pPr>
              <w:pStyle w:val="Exhibit"/>
              <w:rPr>
                <w:szCs w:val="18"/>
              </w:rPr>
            </w:pPr>
            <w:r w:rsidRPr="00330F0B">
              <w:rPr>
                <w:szCs w:val="18"/>
              </w:rPr>
              <w:t>Member of Expert Panel</w:t>
            </w:r>
          </w:p>
        </w:tc>
      </w:tr>
      <w:tr w:rsidR="00323224" w:rsidRPr="0005784F" w:rsidTr="00123A2D">
        <w:trPr>
          <w:cantSplit/>
          <w:jc w:val="center"/>
        </w:trPr>
        <w:tc>
          <w:tcPr>
            <w:tcW w:w="1381" w:type="pct"/>
          </w:tcPr>
          <w:p w:rsidR="00323224" w:rsidRPr="00330F0B" w:rsidRDefault="00323224" w:rsidP="00730446">
            <w:pPr>
              <w:pStyle w:val="Exhibit"/>
              <w:rPr>
                <w:szCs w:val="18"/>
              </w:rPr>
            </w:pPr>
            <w:r w:rsidRPr="00330F0B">
              <w:rPr>
                <w:szCs w:val="18"/>
              </w:rPr>
              <w:t>Liz Schott</w:t>
            </w:r>
          </w:p>
        </w:tc>
        <w:tc>
          <w:tcPr>
            <w:tcW w:w="1889" w:type="pct"/>
          </w:tcPr>
          <w:p w:rsidR="00323224" w:rsidRPr="00330F0B" w:rsidRDefault="00323224" w:rsidP="009F00B2">
            <w:pPr>
              <w:pStyle w:val="Exhibit"/>
              <w:rPr>
                <w:szCs w:val="18"/>
              </w:rPr>
            </w:pPr>
            <w:r w:rsidRPr="00330F0B">
              <w:rPr>
                <w:szCs w:val="18"/>
              </w:rPr>
              <w:t xml:space="preserve">Center </w:t>
            </w:r>
            <w:r w:rsidR="009F00B2">
              <w:rPr>
                <w:szCs w:val="18"/>
              </w:rPr>
              <w:t>on</w:t>
            </w:r>
            <w:r w:rsidR="009F00B2" w:rsidRPr="00330F0B">
              <w:rPr>
                <w:szCs w:val="18"/>
              </w:rPr>
              <w:t xml:space="preserve"> </w:t>
            </w:r>
            <w:r w:rsidRPr="00330F0B">
              <w:rPr>
                <w:szCs w:val="18"/>
              </w:rPr>
              <w:t>Budget and Policy Priorities</w:t>
            </w:r>
          </w:p>
        </w:tc>
        <w:tc>
          <w:tcPr>
            <w:tcW w:w="1729" w:type="pct"/>
          </w:tcPr>
          <w:p w:rsidR="00323224" w:rsidRPr="00330F0B" w:rsidRDefault="00323224" w:rsidP="00730446">
            <w:pPr>
              <w:pStyle w:val="Exhibit"/>
              <w:rPr>
                <w:szCs w:val="18"/>
              </w:rPr>
            </w:pPr>
            <w:r w:rsidRPr="00330F0B">
              <w:rPr>
                <w:szCs w:val="18"/>
              </w:rPr>
              <w:t>Member of Expert Panel</w:t>
            </w:r>
          </w:p>
        </w:tc>
      </w:tr>
      <w:tr w:rsidR="00323224" w:rsidRPr="0005784F" w:rsidTr="00123A2D">
        <w:trPr>
          <w:cantSplit/>
          <w:jc w:val="center"/>
        </w:trPr>
        <w:tc>
          <w:tcPr>
            <w:tcW w:w="1381" w:type="pct"/>
          </w:tcPr>
          <w:p w:rsidR="00323224" w:rsidRPr="00330F0B" w:rsidRDefault="00323224" w:rsidP="00730446">
            <w:pPr>
              <w:pStyle w:val="Exhibit"/>
              <w:rPr>
                <w:szCs w:val="18"/>
              </w:rPr>
            </w:pPr>
            <w:r w:rsidRPr="00330F0B">
              <w:rPr>
                <w:szCs w:val="18"/>
              </w:rPr>
              <w:t>Randy Capps</w:t>
            </w:r>
          </w:p>
        </w:tc>
        <w:tc>
          <w:tcPr>
            <w:tcW w:w="1889" w:type="pct"/>
          </w:tcPr>
          <w:p w:rsidR="00323224" w:rsidRPr="00330F0B" w:rsidRDefault="00323224" w:rsidP="00730446">
            <w:pPr>
              <w:pStyle w:val="Exhibit"/>
              <w:rPr>
                <w:szCs w:val="18"/>
              </w:rPr>
            </w:pPr>
            <w:r w:rsidRPr="00330F0B">
              <w:rPr>
                <w:szCs w:val="18"/>
              </w:rPr>
              <w:t>Migration Policy Institute</w:t>
            </w:r>
          </w:p>
        </w:tc>
        <w:tc>
          <w:tcPr>
            <w:tcW w:w="1729" w:type="pct"/>
          </w:tcPr>
          <w:p w:rsidR="00323224" w:rsidRPr="00330F0B" w:rsidRDefault="00323224" w:rsidP="00730446">
            <w:pPr>
              <w:pStyle w:val="Exhibit"/>
              <w:rPr>
                <w:szCs w:val="18"/>
              </w:rPr>
            </w:pPr>
            <w:r w:rsidRPr="00330F0B">
              <w:rPr>
                <w:szCs w:val="18"/>
              </w:rPr>
              <w:t>Member of Expert Panel</w:t>
            </w:r>
          </w:p>
        </w:tc>
      </w:tr>
    </w:tbl>
    <w:p w:rsidR="00E317EF" w:rsidRDefault="00E317EF" w:rsidP="008246FF">
      <w:pPr>
        <w:pStyle w:val="BodyText"/>
      </w:pPr>
    </w:p>
    <w:p w:rsidR="00C21D50" w:rsidRDefault="00731B56" w:rsidP="008246FF">
      <w:pPr>
        <w:pStyle w:val="BodyText"/>
      </w:pPr>
      <w:r>
        <w:t>The individuals listed below will be involved in data collection and analyzing data:</w:t>
      </w: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A0" w:firstRow="1" w:lastRow="0" w:firstColumn="1" w:lastColumn="0" w:noHBand="0" w:noVBand="0"/>
      </w:tblPr>
      <w:tblGrid>
        <w:gridCol w:w="2568"/>
        <w:gridCol w:w="3511"/>
        <w:gridCol w:w="3396"/>
      </w:tblGrid>
      <w:tr w:rsidR="0005784F" w:rsidRPr="00B52FE9" w:rsidTr="00123A2D">
        <w:trPr>
          <w:tblHeader/>
          <w:jc w:val="center"/>
        </w:trPr>
        <w:tc>
          <w:tcPr>
            <w:tcW w:w="1355" w:type="pct"/>
            <w:shd w:val="clear" w:color="auto" w:fill="898D8D" w:themeFill="text2"/>
          </w:tcPr>
          <w:p w:rsidR="0005784F" w:rsidRPr="0005270C" w:rsidRDefault="0005784F" w:rsidP="00595394">
            <w:pPr>
              <w:pStyle w:val="ExhibitColumnHeader"/>
              <w:rPr>
                <w:color w:val="FFFFFF"/>
              </w:rPr>
            </w:pPr>
            <w:r>
              <w:br w:type="page"/>
            </w:r>
            <w:r>
              <w:rPr>
                <w:color w:val="FFFFFF"/>
              </w:rPr>
              <w:t>Individual</w:t>
            </w:r>
          </w:p>
        </w:tc>
        <w:tc>
          <w:tcPr>
            <w:tcW w:w="1853" w:type="pct"/>
            <w:shd w:val="clear" w:color="auto" w:fill="898D8D" w:themeFill="text2"/>
          </w:tcPr>
          <w:p w:rsidR="0005784F" w:rsidRPr="0005270C" w:rsidRDefault="0005784F" w:rsidP="00595394">
            <w:pPr>
              <w:pStyle w:val="ExhibitColumnHeader"/>
              <w:rPr>
                <w:color w:val="FFFFFF"/>
              </w:rPr>
            </w:pPr>
            <w:r w:rsidRPr="00B52FE9">
              <w:rPr>
                <w:color w:val="FFFFFF"/>
              </w:rPr>
              <w:t>Affiliation</w:t>
            </w:r>
          </w:p>
        </w:tc>
        <w:tc>
          <w:tcPr>
            <w:tcW w:w="1792" w:type="pct"/>
            <w:shd w:val="clear" w:color="auto" w:fill="898D8D" w:themeFill="text2"/>
          </w:tcPr>
          <w:p w:rsidR="0005784F" w:rsidRPr="00B52FE9" w:rsidRDefault="0005784F" w:rsidP="00595394">
            <w:pPr>
              <w:pStyle w:val="ExhibitColumnHeader"/>
              <w:rPr>
                <w:color w:val="FFFFFF"/>
              </w:rPr>
            </w:pPr>
            <w:r>
              <w:rPr>
                <w:color w:val="FFFFFF"/>
              </w:rPr>
              <w:t>Role in Study</w:t>
            </w:r>
          </w:p>
        </w:tc>
      </w:tr>
      <w:tr w:rsidR="0005784F" w:rsidTr="00123A2D">
        <w:trPr>
          <w:cantSplit/>
          <w:jc w:val="center"/>
        </w:trPr>
        <w:tc>
          <w:tcPr>
            <w:tcW w:w="1355" w:type="pct"/>
          </w:tcPr>
          <w:p w:rsidR="0005784F" w:rsidRPr="00330F0B" w:rsidRDefault="0005784F" w:rsidP="00595394">
            <w:pPr>
              <w:pStyle w:val="Exhibit"/>
              <w:rPr>
                <w:szCs w:val="18"/>
              </w:rPr>
            </w:pPr>
            <w:r w:rsidRPr="00330F0B">
              <w:rPr>
                <w:szCs w:val="18"/>
              </w:rPr>
              <w:lastRenderedPageBreak/>
              <w:t>Mary Farrell</w:t>
            </w:r>
          </w:p>
        </w:tc>
        <w:tc>
          <w:tcPr>
            <w:tcW w:w="1853" w:type="pct"/>
          </w:tcPr>
          <w:p w:rsidR="0005784F" w:rsidRPr="00330F0B" w:rsidRDefault="0005784F" w:rsidP="00595394">
            <w:pPr>
              <w:pStyle w:val="Exhibit"/>
              <w:rPr>
                <w:szCs w:val="18"/>
              </w:rPr>
            </w:pPr>
            <w:r w:rsidRPr="00330F0B">
              <w:rPr>
                <w:szCs w:val="18"/>
              </w:rPr>
              <w:t>MEF Associates</w:t>
            </w:r>
          </w:p>
        </w:tc>
        <w:tc>
          <w:tcPr>
            <w:tcW w:w="1792" w:type="pct"/>
          </w:tcPr>
          <w:p w:rsidR="0005784F" w:rsidRPr="00330F0B" w:rsidRDefault="0005784F" w:rsidP="00595394">
            <w:pPr>
              <w:pStyle w:val="Exhibit"/>
              <w:rPr>
                <w:szCs w:val="18"/>
              </w:rPr>
            </w:pPr>
            <w:r w:rsidRPr="00330F0B">
              <w:rPr>
                <w:szCs w:val="18"/>
              </w:rPr>
              <w:t>Principal Investigator</w:t>
            </w:r>
          </w:p>
        </w:tc>
      </w:tr>
      <w:tr w:rsidR="0005784F" w:rsidTr="00123A2D">
        <w:trPr>
          <w:cantSplit/>
          <w:jc w:val="center"/>
        </w:trPr>
        <w:tc>
          <w:tcPr>
            <w:tcW w:w="1355" w:type="pct"/>
          </w:tcPr>
          <w:p w:rsidR="0005784F" w:rsidRPr="00330F0B" w:rsidRDefault="0005784F" w:rsidP="00595394">
            <w:pPr>
              <w:pStyle w:val="Exhibit"/>
              <w:rPr>
                <w:szCs w:val="18"/>
              </w:rPr>
            </w:pPr>
            <w:r w:rsidRPr="00330F0B">
              <w:rPr>
                <w:szCs w:val="18"/>
              </w:rPr>
              <w:t>Robin Koralek</w:t>
            </w:r>
          </w:p>
        </w:tc>
        <w:tc>
          <w:tcPr>
            <w:tcW w:w="1853" w:type="pct"/>
          </w:tcPr>
          <w:p w:rsidR="0005784F" w:rsidRPr="00330F0B" w:rsidRDefault="0005784F" w:rsidP="00595394">
            <w:pPr>
              <w:pStyle w:val="Exhibit"/>
              <w:rPr>
                <w:szCs w:val="18"/>
              </w:rPr>
            </w:pPr>
            <w:r w:rsidRPr="00330F0B">
              <w:rPr>
                <w:szCs w:val="18"/>
              </w:rPr>
              <w:t>Abt Associates</w:t>
            </w:r>
          </w:p>
        </w:tc>
        <w:tc>
          <w:tcPr>
            <w:tcW w:w="1792" w:type="pct"/>
          </w:tcPr>
          <w:p w:rsidR="0005784F" w:rsidRPr="00330F0B" w:rsidRDefault="0005784F" w:rsidP="00595394">
            <w:pPr>
              <w:pStyle w:val="Exhibit"/>
              <w:rPr>
                <w:szCs w:val="18"/>
              </w:rPr>
            </w:pPr>
            <w:r w:rsidRPr="00330F0B">
              <w:rPr>
                <w:szCs w:val="18"/>
              </w:rPr>
              <w:t>Project Director</w:t>
            </w:r>
          </w:p>
        </w:tc>
      </w:tr>
      <w:tr w:rsidR="0005784F" w:rsidTr="00123A2D">
        <w:trPr>
          <w:cantSplit/>
          <w:jc w:val="center"/>
        </w:trPr>
        <w:tc>
          <w:tcPr>
            <w:tcW w:w="1355" w:type="pct"/>
          </w:tcPr>
          <w:p w:rsidR="0005784F" w:rsidRPr="00330F0B" w:rsidRDefault="0005784F" w:rsidP="00595394">
            <w:pPr>
              <w:pStyle w:val="Exhibit"/>
              <w:rPr>
                <w:szCs w:val="18"/>
              </w:rPr>
            </w:pPr>
            <w:r w:rsidRPr="00330F0B">
              <w:rPr>
                <w:szCs w:val="18"/>
              </w:rPr>
              <w:t>Sam Elkin</w:t>
            </w:r>
          </w:p>
        </w:tc>
        <w:tc>
          <w:tcPr>
            <w:tcW w:w="1853" w:type="pct"/>
          </w:tcPr>
          <w:p w:rsidR="0005784F" w:rsidRPr="00330F0B" w:rsidRDefault="0005784F" w:rsidP="00595394">
            <w:pPr>
              <w:pStyle w:val="Exhibit"/>
              <w:rPr>
                <w:szCs w:val="18"/>
              </w:rPr>
            </w:pPr>
            <w:r w:rsidRPr="00330F0B">
              <w:rPr>
                <w:szCs w:val="18"/>
              </w:rPr>
              <w:t>MEF Associates</w:t>
            </w:r>
          </w:p>
        </w:tc>
        <w:tc>
          <w:tcPr>
            <w:tcW w:w="1792" w:type="pct"/>
          </w:tcPr>
          <w:p w:rsidR="0005784F" w:rsidRPr="00330F0B" w:rsidRDefault="0005784F" w:rsidP="00595394">
            <w:pPr>
              <w:pStyle w:val="Exhibit"/>
              <w:rPr>
                <w:szCs w:val="18"/>
              </w:rPr>
            </w:pPr>
            <w:r w:rsidRPr="00330F0B">
              <w:rPr>
                <w:szCs w:val="18"/>
              </w:rPr>
              <w:t>Field Work Task Lead</w:t>
            </w:r>
          </w:p>
        </w:tc>
      </w:tr>
      <w:tr w:rsidR="0005784F" w:rsidTr="00123A2D">
        <w:trPr>
          <w:cantSplit/>
          <w:jc w:val="center"/>
        </w:trPr>
        <w:tc>
          <w:tcPr>
            <w:tcW w:w="1355" w:type="pct"/>
          </w:tcPr>
          <w:p w:rsidR="0005784F" w:rsidRPr="00330F0B" w:rsidRDefault="0005784F" w:rsidP="00595394">
            <w:pPr>
              <w:pStyle w:val="Exhibit"/>
              <w:rPr>
                <w:szCs w:val="18"/>
              </w:rPr>
            </w:pPr>
            <w:r w:rsidRPr="00330F0B">
              <w:rPr>
                <w:szCs w:val="18"/>
              </w:rPr>
              <w:t>Bethany Boland</w:t>
            </w:r>
          </w:p>
        </w:tc>
        <w:tc>
          <w:tcPr>
            <w:tcW w:w="1853" w:type="pct"/>
          </w:tcPr>
          <w:p w:rsidR="0005784F" w:rsidRPr="00330F0B" w:rsidRDefault="0005784F" w:rsidP="00595394">
            <w:pPr>
              <w:pStyle w:val="Exhibit"/>
              <w:rPr>
                <w:szCs w:val="18"/>
              </w:rPr>
            </w:pPr>
            <w:r w:rsidRPr="00330F0B">
              <w:rPr>
                <w:szCs w:val="18"/>
              </w:rPr>
              <w:t>Abt Associates</w:t>
            </w:r>
          </w:p>
        </w:tc>
        <w:tc>
          <w:tcPr>
            <w:tcW w:w="1792" w:type="pct"/>
          </w:tcPr>
          <w:p w:rsidR="0005784F" w:rsidRPr="00330F0B" w:rsidRDefault="0005784F" w:rsidP="00595394">
            <w:pPr>
              <w:pStyle w:val="Exhibit"/>
              <w:rPr>
                <w:szCs w:val="18"/>
              </w:rPr>
            </w:pPr>
            <w:r w:rsidRPr="00330F0B">
              <w:rPr>
                <w:szCs w:val="18"/>
              </w:rPr>
              <w:t>Field Work Team Member</w:t>
            </w:r>
          </w:p>
        </w:tc>
      </w:tr>
      <w:tr w:rsidR="0005784F" w:rsidTr="00123A2D">
        <w:trPr>
          <w:cantSplit/>
          <w:jc w:val="center"/>
        </w:trPr>
        <w:tc>
          <w:tcPr>
            <w:tcW w:w="1355" w:type="pct"/>
          </w:tcPr>
          <w:p w:rsidR="0005784F" w:rsidRPr="00330F0B" w:rsidRDefault="0005784F" w:rsidP="00595394">
            <w:pPr>
              <w:pStyle w:val="Exhibit"/>
              <w:rPr>
                <w:szCs w:val="18"/>
              </w:rPr>
            </w:pPr>
            <w:r w:rsidRPr="00330F0B">
              <w:rPr>
                <w:szCs w:val="18"/>
              </w:rPr>
              <w:t>Hannah Engle</w:t>
            </w:r>
          </w:p>
        </w:tc>
        <w:tc>
          <w:tcPr>
            <w:tcW w:w="1853" w:type="pct"/>
          </w:tcPr>
          <w:p w:rsidR="0005784F" w:rsidRPr="00330F0B" w:rsidRDefault="0005784F" w:rsidP="00595394">
            <w:pPr>
              <w:pStyle w:val="Exhibit"/>
              <w:rPr>
                <w:szCs w:val="18"/>
              </w:rPr>
            </w:pPr>
            <w:r w:rsidRPr="00330F0B">
              <w:rPr>
                <w:szCs w:val="18"/>
              </w:rPr>
              <w:t>Abt Associates</w:t>
            </w:r>
          </w:p>
        </w:tc>
        <w:tc>
          <w:tcPr>
            <w:tcW w:w="1792" w:type="pct"/>
          </w:tcPr>
          <w:p w:rsidR="0005784F" w:rsidRPr="00330F0B" w:rsidRDefault="0005784F" w:rsidP="00595394">
            <w:pPr>
              <w:pStyle w:val="Exhibit"/>
              <w:rPr>
                <w:szCs w:val="18"/>
              </w:rPr>
            </w:pPr>
            <w:r w:rsidRPr="00330F0B">
              <w:rPr>
                <w:szCs w:val="18"/>
              </w:rPr>
              <w:t>Field Work Team Member</w:t>
            </w:r>
          </w:p>
        </w:tc>
      </w:tr>
      <w:tr w:rsidR="0005784F" w:rsidTr="00123A2D">
        <w:trPr>
          <w:cantSplit/>
          <w:jc w:val="center"/>
        </w:trPr>
        <w:tc>
          <w:tcPr>
            <w:tcW w:w="1355" w:type="pct"/>
          </w:tcPr>
          <w:p w:rsidR="0005784F" w:rsidRPr="00330F0B" w:rsidRDefault="00536DEC" w:rsidP="00595394">
            <w:pPr>
              <w:pStyle w:val="Exhibit"/>
              <w:rPr>
                <w:szCs w:val="18"/>
              </w:rPr>
            </w:pPr>
            <w:r w:rsidRPr="00330F0B">
              <w:rPr>
                <w:szCs w:val="18"/>
              </w:rPr>
              <w:t>Claire Ma</w:t>
            </w:r>
          </w:p>
        </w:tc>
        <w:tc>
          <w:tcPr>
            <w:tcW w:w="1853" w:type="pct"/>
          </w:tcPr>
          <w:p w:rsidR="0005784F" w:rsidRPr="00330F0B" w:rsidRDefault="0005784F" w:rsidP="00595394">
            <w:pPr>
              <w:pStyle w:val="Exhibit"/>
              <w:rPr>
                <w:szCs w:val="18"/>
              </w:rPr>
            </w:pPr>
            <w:r w:rsidRPr="00330F0B">
              <w:rPr>
                <w:szCs w:val="18"/>
              </w:rPr>
              <w:t>MEF Associates</w:t>
            </w:r>
          </w:p>
        </w:tc>
        <w:tc>
          <w:tcPr>
            <w:tcW w:w="1792" w:type="pct"/>
          </w:tcPr>
          <w:p w:rsidR="0005784F" w:rsidRPr="00330F0B" w:rsidRDefault="0005784F" w:rsidP="00595394">
            <w:pPr>
              <w:pStyle w:val="Exhibit"/>
              <w:rPr>
                <w:szCs w:val="18"/>
              </w:rPr>
            </w:pPr>
            <w:r w:rsidRPr="00330F0B">
              <w:rPr>
                <w:szCs w:val="18"/>
              </w:rPr>
              <w:t>Field Work Team Member</w:t>
            </w:r>
          </w:p>
        </w:tc>
      </w:tr>
      <w:tr w:rsidR="0005784F" w:rsidTr="00123A2D">
        <w:trPr>
          <w:cantSplit/>
          <w:jc w:val="center"/>
        </w:trPr>
        <w:tc>
          <w:tcPr>
            <w:tcW w:w="1355" w:type="pct"/>
          </w:tcPr>
          <w:p w:rsidR="0005784F" w:rsidRPr="00330F0B" w:rsidRDefault="0005784F" w:rsidP="00595394">
            <w:pPr>
              <w:pStyle w:val="Exhibit"/>
              <w:rPr>
                <w:szCs w:val="18"/>
              </w:rPr>
            </w:pPr>
            <w:r w:rsidRPr="00330F0B">
              <w:rPr>
                <w:szCs w:val="18"/>
              </w:rPr>
              <w:t>Deena Schwartz</w:t>
            </w:r>
          </w:p>
        </w:tc>
        <w:tc>
          <w:tcPr>
            <w:tcW w:w="1853" w:type="pct"/>
          </w:tcPr>
          <w:p w:rsidR="0005784F" w:rsidRPr="00330F0B" w:rsidRDefault="0005784F" w:rsidP="00595394">
            <w:pPr>
              <w:pStyle w:val="Exhibit"/>
              <w:rPr>
                <w:szCs w:val="18"/>
              </w:rPr>
            </w:pPr>
            <w:r w:rsidRPr="00330F0B">
              <w:rPr>
                <w:szCs w:val="18"/>
              </w:rPr>
              <w:t>Abt Associates</w:t>
            </w:r>
          </w:p>
        </w:tc>
        <w:tc>
          <w:tcPr>
            <w:tcW w:w="1792" w:type="pct"/>
          </w:tcPr>
          <w:p w:rsidR="0005784F" w:rsidRPr="00330F0B" w:rsidRDefault="0005784F" w:rsidP="00595394">
            <w:pPr>
              <w:pStyle w:val="Exhibit"/>
              <w:rPr>
                <w:szCs w:val="18"/>
              </w:rPr>
            </w:pPr>
            <w:r w:rsidRPr="00330F0B">
              <w:rPr>
                <w:szCs w:val="18"/>
              </w:rPr>
              <w:t>Field Work Team Member</w:t>
            </w:r>
          </w:p>
        </w:tc>
      </w:tr>
    </w:tbl>
    <w:p w:rsidR="00B04F42" w:rsidRPr="00C21D50" w:rsidRDefault="00B04F42" w:rsidP="00330F0B"/>
    <w:sectPr w:rsidR="00B04F42" w:rsidRPr="00C21D50" w:rsidSect="00C21D50">
      <w:headerReference w:type="even" r:id="rId13"/>
      <w:headerReference w:type="default" r:id="rId14"/>
      <w:footerReference w:type="default" r:id="rId15"/>
      <w:headerReference w:type="first" r:id="rId16"/>
      <w:pgSz w:w="12240" w:h="15840" w:code="1"/>
      <w:pgMar w:top="1440" w:right="1440" w:bottom="1440" w:left="144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70A" w:rsidRDefault="0040270A" w:rsidP="00D979EA">
      <w:r>
        <w:separator/>
      </w:r>
    </w:p>
  </w:endnote>
  <w:endnote w:type="continuationSeparator" w:id="0">
    <w:p w:rsidR="0040270A" w:rsidRDefault="0040270A" w:rsidP="00D979EA">
      <w:r>
        <w:continuationSeparator/>
      </w:r>
    </w:p>
  </w:endnote>
  <w:endnote w:type="continuationNotice" w:id="1">
    <w:p w:rsidR="0040270A" w:rsidRDefault="004027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1D" w:rsidRDefault="00EA4F1D"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1D" w:rsidRPr="0066134E" w:rsidRDefault="00EA4F1D" w:rsidP="00730446">
    <w:pPr>
      <w:pStyle w:val="Footer"/>
      <w:tabs>
        <w:tab w:val="clear" w:pos="4507"/>
        <w:tab w:val="clear" w:pos="9000"/>
        <w:tab w:val="right" w:pos="9360"/>
      </w:tabs>
    </w:pPr>
    <w:r w:rsidRPr="0066134E">
      <w:rPr>
        <w:rStyle w:val="PageNumber"/>
      </w:rPr>
      <w:tab/>
    </w:r>
    <w:r w:rsidRPr="002F0C43">
      <w:rPr>
        <w:rStyle w:val="PageNumber"/>
        <w:b/>
      </w:rPr>
      <w:t>Supporting Statement for OMB Clearance Request Part B</w:t>
    </w:r>
    <w:r w:rsidRPr="002F0C43">
      <w:rPr>
        <w:rStyle w:val="PageNumber"/>
        <w:b/>
      </w:rPr>
      <w:t> </w:t>
    </w:r>
    <w:r w:rsidRPr="002F0C43">
      <w:rPr>
        <w:rStyle w:val="PageNumber"/>
        <w:rFonts w:cs="Arial"/>
        <w:b/>
      </w:rPr>
      <w:t>▌</w:t>
    </w:r>
    <w:r w:rsidRPr="002F0C43">
      <w:rPr>
        <w:rStyle w:val="PageNumber"/>
        <w:b/>
      </w:rPr>
      <w:t>pg.</w:t>
    </w:r>
    <w:r>
      <w:rPr>
        <w:rStyle w:val="PageNumber"/>
      </w:rPr>
      <w:t xml:space="preserve"> </w:t>
    </w:r>
    <w:r>
      <w:rPr>
        <w:color w:val="595959"/>
      </w:rPr>
      <w:fldChar w:fldCharType="begin"/>
    </w:r>
    <w:r>
      <w:instrText xml:space="preserve"> PAGE   \* MERGEFORMAT </w:instrText>
    </w:r>
    <w:r>
      <w:rPr>
        <w:color w:val="595959"/>
      </w:rPr>
      <w:fldChar w:fldCharType="separate"/>
    </w:r>
    <w:r w:rsidR="00096D3D" w:rsidRPr="00096D3D">
      <w:rPr>
        <w:rStyle w:val="PageNumber"/>
        <w:b/>
        <w:noProof/>
        <w:color w:val="DA291C"/>
      </w:rPr>
      <w:t>8</w:t>
    </w:r>
    <w:r>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70A" w:rsidRDefault="0040270A" w:rsidP="00D979EA">
      <w:r>
        <w:separator/>
      </w:r>
    </w:p>
  </w:footnote>
  <w:footnote w:type="continuationSeparator" w:id="0">
    <w:p w:rsidR="0040270A" w:rsidRDefault="0040270A" w:rsidP="00D979EA">
      <w:r>
        <w:continuationSeparator/>
      </w:r>
    </w:p>
  </w:footnote>
  <w:footnote w:type="continuationNotice" w:id="1">
    <w:p w:rsidR="0040270A" w:rsidRDefault="0040270A">
      <w:pPr>
        <w:spacing w:after="0" w:line="240" w:lineRule="auto"/>
      </w:pPr>
    </w:p>
  </w:footnote>
  <w:footnote w:id="2">
    <w:p w:rsidR="00EA4F1D" w:rsidRDefault="00EA4F1D">
      <w:pPr>
        <w:pStyle w:val="FootnoteText"/>
      </w:pPr>
      <w:r>
        <w:rPr>
          <w:rStyle w:val="FootnoteReference"/>
        </w:rPr>
        <w:footnoteRef/>
      </w:r>
      <w:r>
        <w:t xml:space="preserve"> </w:t>
      </w:r>
      <w:r>
        <w:tab/>
      </w:r>
      <w:r w:rsidRPr="00E50B62">
        <w:t>San Diego operates a Wilson-Fish program separate from the rest of California.</w:t>
      </w:r>
      <w:r w:rsidR="008A0B55">
        <w:t xml:space="preserve"> </w:t>
      </w:r>
      <w:r w:rsidRPr="00E50B62">
        <w:t>Wyoming has no refugee program.</w:t>
      </w:r>
      <w:r w:rsidR="008A0B55">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1D" w:rsidRDefault="00EA4F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1D" w:rsidRPr="0005750B" w:rsidRDefault="00EA4F1D" w:rsidP="00330F0B">
    <w:pPr>
      <w:pStyle w:val="Header"/>
      <w:pBdr>
        <w:bottom w:val="none" w:sz="0" w:space="0" w:color="auto"/>
      </w:pBdr>
      <w:tabs>
        <w:tab w:val="clear" w:pos="4507"/>
        <w:tab w:val="clear" w:pos="9000"/>
        <w:tab w:val="center" w:pos="450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1D" w:rsidRDefault="00EA4F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1D" w:rsidRDefault="00EA4F1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1D" w:rsidRDefault="00EA4F1D" w:rsidP="008C5A3D">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1D" w:rsidRDefault="00EA4F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D3F27"/>
    <w:multiLevelType w:val="hybridMultilevel"/>
    <w:tmpl w:val="0AE6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C21F2"/>
    <w:multiLevelType w:val="hybridMultilevel"/>
    <w:tmpl w:val="EEEEA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9678A5"/>
    <w:multiLevelType w:val="hybridMultilevel"/>
    <w:tmpl w:val="6136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nsid w:val="38CC3B39"/>
    <w:multiLevelType w:val="multilevel"/>
    <w:tmpl w:val="515EF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3E586CD3"/>
    <w:multiLevelType w:val="hybridMultilevel"/>
    <w:tmpl w:val="802813A6"/>
    <w:lvl w:ilvl="0" w:tplc="C4C40BD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AD33C4"/>
    <w:multiLevelType w:val="multilevel"/>
    <w:tmpl w:val="0B16B32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
    <w:nsid w:val="3EFA478B"/>
    <w:multiLevelType w:val="hybridMultilevel"/>
    <w:tmpl w:val="FB044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BD4E02"/>
    <w:multiLevelType w:val="hybridMultilevel"/>
    <w:tmpl w:val="C45C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0F5412"/>
    <w:multiLevelType w:val="hybridMultilevel"/>
    <w:tmpl w:val="D5FA67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361045"/>
    <w:multiLevelType w:val="hybridMultilevel"/>
    <w:tmpl w:val="4CACC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D6044D"/>
    <w:multiLevelType w:val="hybridMultilevel"/>
    <w:tmpl w:val="D1765884"/>
    <w:lvl w:ilvl="0" w:tplc="63D67C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3">
    <w:nsid w:val="75691297"/>
    <w:multiLevelType w:val="hybridMultilevel"/>
    <w:tmpl w:val="C40A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4"/>
  </w:num>
  <w:num w:numId="4">
    <w:abstractNumId w:val="6"/>
  </w:num>
  <w:num w:numId="5">
    <w:abstractNumId w:val="15"/>
  </w:num>
  <w:num w:numId="6">
    <w:abstractNumId w:val="10"/>
  </w:num>
  <w:num w:numId="7">
    <w:abstractNumId w:val="4"/>
  </w:num>
  <w:num w:numId="8">
    <w:abstractNumId w:val="6"/>
  </w:num>
  <w:num w:numId="9">
    <w:abstractNumId w:val="8"/>
  </w:num>
  <w:num w:numId="10">
    <w:abstractNumId w:val="5"/>
  </w:num>
  <w:num w:numId="11">
    <w:abstractNumId w:val="0"/>
  </w:num>
  <w:num w:numId="12">
    <w:abstractNumId w:val="11"/>
  </w:num>
  <w:num w:numId="13">
    <w:abstractNumId w:val="1"/>
  </w:num>
  <w:num w:numId="14">
    <w:abstractNumId w:val="7"/>
  </w:num>
  <w:num w:numId="15">
    <w:abstractNumId w:val="13"/>
  </w:num>
  <w:num w:numId="16">
    <w:abstractNumId w:val="2"/>
  </w:num>
  <w:num w:numId="1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55">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F2"/>
    <w:rsid w:val="00000929"/>
    <w:rsid w:val="00002A3A"/>
    <w:rsid w:val="00003269"/>
    <w:rsid w:val="00003333"/>
    <w:rsid w:val="00003A2C"/>
    <w:rsid w:val="00005B4D"/>
    <w:rsid w:val="00006B3A"/>
    <w:rsid w:val="00007138"/>
    <w:rsid w:val="00011F6D"/>
    <w:rsid w:val="000136F3"/>
    <w:rsid w:val="00013908"/>
    <w:rsid w:val="00014077"/>
    <w:rsid w:val="00016E17"/>
    <w:rsid w:val="0001743C"/>
    <w:rsid w:val="000217B1"/>
    <w:rsid w:val="0002216E"/>
    <w:rsid w:val="00026447"/>
    <w:rsid w:val="000311BC"/>
    <w:rsid w:val="000370E9"/>
    <w:rsid w:val="00040E00"/>
    <w:rsid w:val="000416E8"/>
    <w:rsid w:val="00046728"/>
    <w:rsid w:val="000525E0"/>
    <w:rsid w:val="00053EEF"/>
    <w:rsid w:val="00053F35"/>
    <w:rsid w:val="000543DC"/>
    <w:rsid w:val="00055022"/>
    <w:rsid w:val="00055201"/>
    <w:rsid w:val="0005750B"/>
    <w:rsid w:val="0005784F"/>
    <w:rsid w:val="0006045E"/>
    <w:rsid w:val="0006058A"/>
    <w:rsid w:val="0006067C"/>
    <w:rsid w:val="00062C89"/>
    <w:rsid w:val="0006587B"/>
    <w:rsid w:val="000675FD"/>
    <w:rsid w:val="00070322"/>
    <w:rsid w:val="00071433"/>
    <w:rsid w:val="00073331"/>
    <w:rsid w:val="00073789"/>
    <w:rsid w:val="00075628"/>
    <w:rsid w:val="00076B24"/>
    <w:rsid w:val="00081A6D"/>
    <w:rsid w:val="000827DB"/>
    <w:rsid w:val="00082D01"/>
    <w:rsid w:val="00087856"/>
    <w:rsid w:val="000902AA"/>
    <w:rsid w:val="00092BCC"/>
    <w:rsid w:val="0009369D"/>
    <w:rsid w:val="00095D40"/>
    <w:rsid w:val="00096D3D"/>
    <w:rsid w:val="00097B7F"/>
    <w:rsid w:val="000A00A2"/>
    <w:rsid w:val="000A1C6D"/>
    <w:rsid w:val="000A2726"/>
    <w:rsid w:val="000A2BAB"/>
    <w:rsid w:val="000A4E7F"/>
    <w:rsid w:val="000A56F3"/>
    <w:rsid w:val="000A59FC"/>
    <w:rsid w:val="000A7D69"/>
    <w:rsid w:val="000B184F"/>
    <w:rsid w:val="000B3301"/>
    <w:rsid w:val="000B33D1"/>
    <w:rsid w:val="000C0A39"/>
    <w:rsid w:val="000C2BE5"/>
    <w:rsid w:val="000C2C4D"/>
    <w:rsid w:val="000C3040"/>
    <w:rsid w:val="000D53F1"/>
    <w:rsid w:val="000D5777"/>
    <w:rsid w:val="000D5C91"/>
    <w:rsid w:val="000E1DD3"/>
    <w:rsid w:val="000E34C7"/>
    <w:rsid w:val="000E6147"/>
    <w:rsid w:val="000E6955"/>
    <w:rsid w:val="000E6B75"/>
    <w:rsid w:val="000F3576"/>
    <w:rsid w:val="000F401B"/>
    <w:rsid w:val="000F53F4"/>
    <w:rsid w:val="0010111C"/>
    <w:rsid w:val="0010317E"/>
    <w:rsid w:val="001034D7"/>
    <w:rsid w:val="00104F2A"/>
    <w:rsid w:val="00107A04"/>
    <w:rsid w:val="0011170B"/>
    <w:rsid w:val="00112A7D"/>
    <w:rsid w:val="001178CA"/>
    <w:rsid w:val="00120B40"/>
    <w:rsid w:val="0012161D"/>
    <w:rsid w:val="001220C0"/>
    <w:rsid w:val="00123A2D"/>
    <w:rsid w:val="00124119"/>
    <w:rsid w:val="001252E5"/>
    <w:rsid w:val="001307A5"/>
    <w:rsid w:val="00130D5F"/>
    <w:rsid w:val="00146AFD"/>
    <w:rsid w:val="00147FC5"/>
    <w:rsid w:val="00152153"/>
    <w:rsid w:val="001525C9"/>
    <w:rsid w:val="0015664B"/>
    <w:rsid w:val="00156E92"/>
    <w:rsid w:val="00157E04"/>
    <w:rsid w:val="001601AE"/>
    <w:rsid w:val="00160657"/>
    <w:rsid w:val="00160B87"/>
    <w:rsid w:val="001659BE"/>
    <w:rsid w:val="001677DC"/>
    <w:rsid w:val="00172119"/>
    <w:rsid w:val="00173F99"/>
    <w:rsid w:val="00173FC1"/>
    <w:rsid w:val="00194CDF"/>
    <w:rsid w:val="00194F70"/>
    <w:rsid w:val="001A04CE"/>
    <w:rsid w:val="001A0E0A"/>
    <w:rsid w:val="001A23B5"/>
    <w:rsid w:val="001A403F"/>
    <w:rsid w:val="001A44D7"/>
    <w:rsid w:val="001A4633"/>
    <w:rsid w:val="001A4E52"/>
    <w:rsid w:val="001A507D"/>
    <w:rsid w:val="001B2951"/>
    <w:rsid w:val="001B39D9"/>
    <w:rsid w:val="001B4509"/>
    <w:rsid w:val="001B67CE"/>
    <w:rsid w:val="001B774B"/>
    <w:rsid w:val="001C0891"/>
    <w:rsid w:val="001C10AF"/>
    <w:rsid w:val="001C2CB7"/>
    <w:rsid w:val="001C5087"/>
    <w:rsid w:val="001C7530"/>
    <w:rsid w:val="001D1578"/>
    <w:rsid w:val="001D4281"/>
    <w:rsid w:val="001D4324"/>
    <w:rsid w:val="001D4FDD"/>
    <w:rsid w:val="001D7EA2"/>
    <w:rsid w:val="001E04ED"/>
    <w:rsid w:val="001E2CF1"/>
    <w:rsid w:val="001E3021"/>
    <w:rsid w:val="001E31D9"/>
    <w:rsid w:val="001E51A2"/>
    <w:rsid w:val="001E68CD"/>
    <w:rsid w:val="001F3092"/>
    <w:rsid w:val="001F6013"/>
    <w:rsid w:val="00200E58"/>
    <w:rsid w:val="00202DB8"/>
    <w:rsid w:val="00204AD6"/>
    <w:rsid w:val="00204F23"/>
    <w:rsid w:val="002064D3"/>
    <w:rsid w:val="002106BF"/>
    <w:rsid w:val="0021714A"/>
    <w:rsid w:val="002176B8"/>
    <w:rsid w:val="002216AD"/>
    <w:rsid w:val="00221D99"/>
    <w:rsid w:val="00223A9F"/>
    <w:rsid w:val="0022533A"/>
    <w:rsid w:val="0022674D"/>
    <w:rsid w:val="00227977"/>
    <w:rsid w:val="002336EC"/>
    <w:rsid w:val="0023449A"/>
    <w:rsid w:val="00235F88"/>
    <w:rsid w:val="00242777"/>
    <w:rsid w:val="00255975"/>
    <w:rsid w:val="002616E7"/>
    <w:rsid w:val="0026262A"/>
    <w:rsid w:val="0026567F"/>
    <w:rsid w:val="002702F7"/>
    <w:rsid w:val="00273EAA"/>
    <w:rsid w:val="00276702"/>
    <w:rsid w:val="00277D01"/>
    <w:rsid w:val="0028328D"/>
    <w:rsid w:val="002838F5"/>
    <w:rsid w:val="00285BB6"/>
    <w:rsid w:val="00290636"/>
    <w:rsid w:val="0029491C"/>
    <w:rsid w:val="0029589D"/>
    <w:rsid w:val="002A4078"/>
    <w:rsid w:val="002A5A13"/>
    <w:rsid w:val="002A5CE0"/>
    <w:rsid w:val="002B2246"/>
    <w:rsid w:val="002B2F3C"/>
    <w:rsid w:val="002B39C4"/>
    <w:rsid w:val="002C32AB"/>
    <w:rsid w:val="002C41F9"/>
    <w:rsid w:val="002C4495"/>
    <w:rsid w:val="002C455A"/>
    <w:rsid w:val="002C5AC8"/>
    <w:rsid w:val="002C76AB"/>
    <w:rsid w:val="002D1063"/>
    <w:rsid w:val="002D195B"/>
    <w:rsid w:val="002D4536"/>
    <w:rsid w:val="002E0B79"/>
    <w:rsid w:val="002F0C43"/>
    <w:rsid w:val="002F1E1F"/>
    <w:rsid w:val="002F48C8"/>
    <w:rsid w:val="002F55CE"/>
    <w:rsid w:val="002F76F5"/>
    <w:rsid w:val="00300489"/>
    <w:rsid w:val="00301CA6"/>
    <w:rsid w:val="003044AF"/>
    <w:rsid w:val="003052EF"/>
    <w:rsid w:val="00305FDD"/>
    <w:rsid w:val="00310112"/>
    <w:rsid w:val="00314A8A"/>
    <w:rsid w:val="00316BFB"/>
    <w:rsid w:val="00322A20"/>
    <w:rsid w:val="00323224"/>
    <w:rsid w:val="00324EC2"/>
    <w:rsid w:val="00324FA7"/>
    <w:rsid w:val="0032729F"/>
    <w:rsid w:val="003279F2"/>
    <w:rsid w:val="00330F0B"/>
    <w:rsid w:val="00333285"/>
    <w:rsid w:val="00334B50"/>
    <w:rsid w:val="003378CB"/>
    <w:rsid w:val="00340487"/>
    <w:rsid w:val="00342BA9"/>
    <w:rsid w:val="003455BC"/>
    <w:rsid w:val="0035021E"/>
    <w:rsid w:val="00350748"/>
    <w:rsid w:val="00353989"/>
    <w:rsid w:val="00354503"/>
    <w:rsid w:val="003574A1"/>
    <w:rsid w:val="003623F0"/>
    <w:rsid w:val="00370164"/>
    <w:rsid w:val="003711CD"/>
    <w:rsid w:val="0037350C"/>
    <w:rsid w:val="003767A6"/>
    <w:rsid w:val="00380269"/>
    <w:rsid w:val="00380DB1"/>
    <w:rsid w:val="00382335"/>
    <w:rsid w:val="00383BFC"/>
    <w:rsid w:val="00384611"/>
    <w:rsid w:val="00384CA0"/>
    <w:rsid w:val="00385CB5"/>
    <w:rsid w:val="003870BA"/>
    <w:rsid w:val="003870C0"/>
    <w:rsid w:val="00387E1A"/>
    <w:rsid w:val="00394CDB"/>
    <w:rsid w:val="00395A89"/>
    <w:rsid w:val="003A2FA8"/>
    <w:rsid w:val="003A3403"/>
    <w:rsid w:val="003A51A6"/>
    <w:rsid w:val="003A58BD"/>
    <w:rsid w:val="003B06BC"/>
    <w:rsid w:val="003B2797"/>
    <w:rsid w:val="003B3915"/>
    <w:rsid w:val="003B39CC"/>
    <w:rsid w:val="003B4770"/>
    <w:rsid w:val="003B5972"/>
    <w:rsid w:val="003B67D9"/>
    <w:rsid w:val="003B75BF"/>
    <w:rsid w:val="003C20BF"/>
    <w:rsid w:val="003C3FEB"/>
    <w:rsid w:val="003D5616"/>
    <w:rsid w:val="003E1BA9"/>
    <w:rsid w:val="003E4050"/>
    <w:rsid w:val="003E666B"/>
    <w:rsid w:val="003F3E19"/>
    <w:rsid w:val="003F5C61"/>
    <w:rsid w:val="003F6906"/>
    <w:rsid w:val="003F6F2F"/>
    <w:rsid w:val="0040270A"/>
    <w:rsid w:val="0040453A"/>
    <w:rsid w:val="00414011"/>
    <w:rsid w:val="004151E6"/>
    <w:rsid w:val="00415466"/>
    <w:rsid w:val="00423092"/>
    <w:rsid w:val="004253E8"/>
    <w:rsid w:val="004265C6"/>
    <w:rsid w:val="004272F4"/>
    <w:rsid w:val="00427EA9"/>
    <w:rsid w:val="004319BC"/>
    <w:rsid w:val="00434F3D"/>
    <w:rsid w:val="004350B0"/>
    <w:rsid w:val="00435F23"/>
    <w:rsid w:val="00436A95"/>
    <w:rsid w:val="00436CE5"/>
    <w:rsid w:val="00446489"/>
    <w:rsid w:val="004512E5"/>
    <w:rsid w:val="00460DAB"/>
    <w:rsid w:val="00463765"/>
    <w:rsid w:val="004671BF"/>
    <w:rsid w:val="004705EC"/>
    <w:rsid w:val="00470AB4"/>
    <w:rsid w:val="00472E16"/>
    <w:rsid w:val="004734BB"/>
    <w:rsid w:val="004734DF"/>
    <w:rsid w:val="00476E80"/>
    <w:rsid w:val="004829A4"/>
    <w:rsid w:val="00485947"/>
    <w:rsid w:val="00486943"/>
    <w:rsid w:val="00486B49"/>
    <w:rsid w:val="00495B91"/>
    <w:rsid w:val="00496A18"/>
    <w:rsid w:val="004A5408"/>
    <w:rsid w:val="004A565E"/>
    <w:rsid w:val="004B4074"/>
    <w:rsid w:val="004C18DF"/>
    <w:rsid w:val="004C29E5"/>
    <w:rsid w:val="004C2B46"/>
    <w:rsid w:val="004D049E"/>
    <w:rsid w:val="004D4C6D"/>
    <w:rsid w:val="004E01A4"/>
    <w:rsid w:val="004F6742"/>
    <w:rsid w:val="004F709B"/>
    <w:rsid w:val="0050098B"/>
    <w:rsid w:val="00500F55"/>
    <w:rsid w:val="00501914"/>
    <w:rsid w:val="00503049"/>
    <w:rsid w:val="00507C9B"/>
    <w:rsid w:val="00511E10"/>
    <w:rsid w:val="00521F67"/>
    <w:rsid w:val="00523695"/>
    <w:rsid w:val="005276AE"/>
    <w:rsid w:val="00531F08"/>
    <w:rsid w:val="00532708"/>
    <w:rsid w:val="00534B03"/>
    <w:rsid w:val="00534C33"/>
    <w:rsid w:val="00534DD2"/>
    <w:rsid w:val="00535B18"/>
    <w:rsid w:val="00536DB4"/>
    <w:rsid w:val="00536DEC"/>
    <w:rsid w:val="0054025D"/>
    <w:rsid w:val="005427A4"/>
    <w:rsid w:val="00542EDC"/>
    <w:rsid w:val="00547154"/>
    <w:rsid w:val="00550CD2"/>
    <w:rsid w:val="0055123E"/>
    <w:rsid w:val="00552A86"/>
    <w:rsid w:val="0055741F"/>
    <w:rsid w:val="005604D3"/>
    <w:rsid w:val="005646BE"/>
    <w:rsid w:val="00566C71"/>
    <w:rsid w:val="00571918"/>
    <w:rsid w:val="00574572"/>
    <w:rsid w:val="00576051"/>
    <w:rsid w:val="00576E26"/>
    <w:rsid w:val="005820F2"/>
    <w:rsid w:val="005823D1"/>
    <w:rsid w:val="00585CA4"/>
    <w:rsid w:val="0059450C"/>
    <w:rsid w:val="00595394"/>
    <w:rsid w:val="005955C1"/>
    <w:rsid w:val="005965C2"/>
    <w:rsid w:val="00597948"/>
    <w:rsid w:val="005A422E"/>
    <w:rsid w:val="005A4C93"/>
    <w:rsid w:val="005B1AC5"/>
    <w:rsid w:val="005B47F7"/>
    <w:rsid w:val="005B6A25"/>
    <w:rsid w:val="005C418A"/>
    <w:rsid w:val="005C4647"/>
    <w:rsid w:val="005D0A21"/>
    <w:rsid w:val="005D5DD7"/>
    <w:rsid w:val="005E0CF2"/>
    <w:rsid w:val="005E224A"/>
    <w:rsid w:val="005E2AEA"/>
    <w:rsid w:val="005E6B70"/>
    <w:rsid w:val="005F09D2"/>
    <w:rsid w:val="005F1A97"/>
    <w:rsid w:val="005F2E23"/>
    <w:rsid w:val="005F2E48"/>
    <w:rsid w:val="005F4073"/>
    <w:rsid w:val="006033D0"/>
    <w:rsid w:val="006048EB"/>
    <w:rsid w:val="006122D8"/>
    <w:rsid w:val="0061247A"/>
    <w:rsid w:val="00615938"/>
    <w:rsid w:val="00616B3A"/>
    <w:rsid w:val="00617523"/>
    <w:rsid w:val="00624ABC"/>
    <w:rsid w:val="00626F76"/>
    <w:rsid w:val="0063014E"/>
    <w:rsid w:val="00633082"/>
    <w:rsid w:val="00635B8D"/>
    <w:rsid w:val="00650CDE"/>
    <w:rsid w:val="0065112D"/>
    <w:rsid w:val="00652000"/>
    <w:rsid w:val="0066134E"/>
    <w:rsid w:val="0066729C"/>
    <w:rsid w:val="00670BD3"/>
    <w:rsid w:val="0067136C"/>
    <w:rsid w:val="00672D37"/>
    <w:rsid w:val="006738F4"/>
    <w:rsid w:val="00674F0B"/>
    <w:rsid w:val="00675445"/>
    <w:rsid w:val="00675B0A"/>
    <w:rsid w:val="00675E58"/>
    <w:rsid w:val="006814BB"/>
    <w:rsid w:val="006840EB"/>
    <w:rsid w:val="00684F5B"/>
    <w:rsid w:val="00684FAC"/>
    <w:rsid w:val="0069342C"/>
    <w:rsid w:val="006949A6"/>
    <w:rsid w:val="0069642C"/>
    <w:rsid w:val="006A541C"/>
    <w:rsid w:val="006A5B3B"/>
    <w:rsid w:val="006B0594"/>
    <w:rsid w:val="006B0DA8"/>
    <w:rsid w:val="006B1DA6"/>
    <w:rsid w:val="006B7B55"/>
    <w:rsid w:val="006B7C3D"/>
    <w:rsid w:val="006C11D2"/>
    <w:rsid w:val="006C7A4C"/>
    <w:rsid w:val="006D0FF2"/>
    <w:rsid w:val="006D21F9"/>
    <w:rsid w:val="006D406B"/>
    <w:rsid w:val="006D77E0"/>
    <w:rsid w:val="006D78D8"/>
    <w:rsid w:val="006E1C83"/>
    <w:rsid w:val="006E1E9C"/>
    <w:rsid w:val="006E2B32"/>
    <w:rsid w:val="006E73FD"/>
    <w:rsid w:val="006E76CF"/>
    <w:rsid w:val="006F2B34"/>
    <w:rsid w:val="006F30B8"/>
    <w:rsid w:val="007037C7"/>
    <w:rsid w:val="007057ED"/>
    <w:rsid w:val="0070672F"/>
    <w:rsid w:val="007072DE"/>
    <w:rsid w:val="007105A6"/>
    <w:rsid w:val="00715417"/>
    <w:rsid w:val="00726DD4"/>
    <w:rsid w:val="00730446"/>
    <w:rsid w:val="00730F56"/>
    <w:rsid w:val="00731B56"/>
    <w:rsid w:val="0073266E"/>
    <w:rsid w:val="007378E1"/>
    <w:rsid w:val="00740E4A"/>
    <w:rsid w:val="00743DBD"/>
    <w:rsid w:val="00744E2C"/>
    <w:rsid w:val="00745046"/>
    <w:rsid w:val="00752119"/>
    <w:rsid w:val="00754408"/>
    <w:rsid w:val="00760555"/>
    <w:rsid w:val="007606FB"/>
    <w:rsid w:val="00762282"/>
    <w:rsid w:val="007631C7"/>
    <w:rsid w:val="00763CCC"/>
    <w:rsid w:val="00776C72"/>
    <w:rsid w:val="0078258F"/>
    <w:rsid w:val="007846BC"/>
    <w:rsid w:val="0078477E"/>
    <w:rsid w:val="00784860"/>
    <w:rsid w:val="007859DE"/>
    <w:rsid w:val="00794B6E"/>
    <w:rsid w:val="0079681F"/>
    <w:rsid w:val="007969A4"/>
    <w:rsid w:val="007A0114"/>
    <w:rsid w:val="007A1826"/>
    <w:rsid w:val="007B00E5"/>
    <w:rsid w:val="007B12A3"/>
    <w:rsid w:val="007B1321"/>
    <w:rsid w:val="007B1904"/>
    <w:rsid w:val="007B2104"/>
    <w:rsid w:val="007B3BE7"/>
    <w:rsid w:val="007C1C90"/>
    <w:rsid w:val="007C5F00"/>
    <w:rsid w:val="007C797F"/>
    <w:rsid w:val="007D40C4"/>
    <w:rsid w:val="007D6370"/>
    <w:rsid w:val="007E092F"/>
    <w:rsid w:val="007E5EC0"/>
    <w:rsid w:val="0080098A"/>
    <w:rsid w:val="00801761"/>
    <w:rsid w:val="00804747"/>
    <w:rsid w:val="008111EB"/>
    <w:rsid w:val="00811E40"/>
    <w:rsid w:val="008130C9"/>
    <w:rsid w:val="00813CBE"/>
    <w:rsid w:val="00813D02"/>
    <w:rsid w:val="00814833"/>
    <w:rsid w:val="0082033D"/>
    <w:rsid w:val="008222AD"/>
    <w:rsid w:val="00823D32"/>
    <w:rsid w:val="008246FF"/>
    <w:rsid w:val="00825485"/>
    <w:rsid w:val="00826861"/>
    <w:rsid w:val="00830363"/>
    <w:rsid w:val="0083104D"/>
    <w:rsid w:val="00833726"/>
    <w:rsid w:val="00833A7C"/>
    <w:rsid w:val="008342B7"/>
    <w:rsid w:val="008349AE"/>
    <w:rsid w:val="00841DA8"/>
    <w:rsid w:val="00846D77"/>
    <w:rsid w:val="00847137"/>
    <w:rsid w:val="0085060A"/>
    <w:rsid w:val="00852480"/>
    <w:rsid w:val="00852DDA"/>
    <w:rsid w:val="00856632"/>
    <w:rsid w:val="008647FD"/>
    <w:rsid w:val="00867308"/>
    <w:rsid w:val="00871CED"/>
    <w:rsid w:val="008750CD"/>
    <w:rsid w:val="00880807"/>
    <w:rsid w:val="00882574"/>
    <w:rsid w:val="008837D0"/>
    <w:rsid w:val="00884C4E"/>
    <w:rsid w:val="008907CA"/>
    <w:rsid w:val="00891D57"/>
    <w:rsid w:val="00895F9C"/>
    <w:rsid w:val="00896443"/>
    <w:rsid w:val="008A05C0"/>
    <w:rsid w:val="008A0B55"/>
    <w:rsid w:val="008A182B"/>
    <w:rsid w:val="008A1CCC"/>
    <w:rsid w:val="008A2D40"/>
    <w:rsid w:val="008A34E3"/>
    <w:rsid w:val="008A4A05"/>
    <w:rsid w:val="008A753F"/>
    <w:rsid w:val="008B0543"/>
    <w:rsid w:val="008B4837"/>
    <w:rsid w:val="008B6CCB"/>
    <w:rsid w:val="008C0888"/>
    <w:rsid w:val="008C0DA4"/>
    <w:rsid w:val="008C3505"/>
    <w:rsid w:val="008C5A3D"/>
    <w:rsid w:val="008C71F6"/>
    <w:rsid w:val="008D2686"/>
    <w:rsid w:val="008D30EA"/>
    <w:rsid w:val="008D5059"/>
    <w:rsid w:val="008D55C8"/>
    <w:rsid w:val="008D6469"/>
    <w:rsid w:val="008D71AF"/>
    <w:rsid w:val="008E0B77"/>
    <w:rsid w:val="008E20DE"/>
    <w:rsid w:val="008E4D66"/>
    <w:rsid w:val="008F01DA"/>
    <w:rsid w:val="008F1770"/>
    <w:rsid w:val="008F3047"/>
    <w:rsid w:val="008F73F9"/>
    <w:rsid w:val="009013C5"/>
    <w:rsid w:val="0090418B"/>
    <w:rsid w:val="009061A4"/>
    <w:rsid w:val="00912B4A"/>
    <w:rsid w:val="00912E02"/>
    <w:rsid w:val="009154CD"/>
    <w:rsid w:val="00915F36"/>
    <w:rsid w:val="0093056D"/>
    <w:rsid w:val="00933222"/>
    <w:rsid w:val="00936368"/>
    <w:rsid w:val="009377E8"/>
    <w:rsid w:val="00942024"/>
    <w:rsid w:val="009434D6"/>
    <w:rsid w:val="00943D14"/>
    <w:rsid w:val="00944550"/>
    <w:rsid w:val="00951233"/>
    <w:rsid w:val="00951C7E"/>
    <w:rsid w:val="00954557"/>
    <w:rsid w:val="009550AD"/>
    <w:rsid w:val="009565D4"/>
    <w:rsid w:val="00962EA0"/>
    <w:rsid w:val="00966825"/>
    <w:rsid w:val="00967D7C"/>
    <w:rsid w:val="009706D4"/>
    <w:rsid w:val="00977D73"/>
    <w:rsid w:val="009877E3"/>
    <w:rsid w:val="0099262A"/>
    <w:rsid w:val="00997B6B"/>
    <w:rsid w:val="009A05F3"/>
    <w:rsid w:val="009A2673"/>
    <w:rsid w:val="009B56DA"/>
    <w:rsid w:val="009B61CA"/>
    <w:rsid w:val="009C357B"/>
    <w:rsid w:val="009C3582"/>
    <w:rsid w:val="009C457E"/>
    <w:rsid w:val="009D13BB"/>
    <w:rsid w:val="009D31C6"/>
    <w:rsid w:val="009D50EB"/>
    <w:rsid w:val="009D7DB6"/>
    <w:rsid w:val="009E07F2"/>
    <w:rsid w:val="009E1982"/>
    <w:rsid w:val="009E32F5"/>
    <w:rsid w:val="009E5971"/>
    <w:rsid w:val="009E6279"/>
    <w:rsid w:val="009F00B2"/>
    <w:rsid w:val="009F1889"/>
    <w:rsid w:val="009F2649"/>
    <w:rsid w:val="009F704C"/>
    <w:rsid w:val="00A0215D"/>
    <w:rsid w:val="00A027F9"/>
    <w:rsid w:val="00A05CA0"/>
    <w:rsid w:val="00A06666"/>
    <w:rsid w:val="00A105E0"/>
    <w:rsid w:val="00A15A41"/>
    <w:rsid w:val="00A23921"/>
    <w:rsid w:val="00A24B6A"/>
    <w:rsid w:val="00A3018B"/>
    <w:rsid w:val="00A3128D"/>
    <w:rsid w:val="00A32087"/>
    <w:rsid w:val="00A324EA"/>
    <w:rsid w:val="00A337B6"/>
    <w:rsid w:val="00A33A46"/>
    <w:rsid w:val="00A37293"/>
    <w:rsid w:val="00A4556B"/>
    <w:rsid w:val="00A45B43"/>
    <w:rsid w:val="00A4794A"/>
    <w:rsid w:val="00A50740"/>
    <w:rsid w:val="00A51F98"/>
    <w:rsid w:val="00A533DE"/>
    <w:rsid w:val="00A53E2B"/>
    <w:rsid w:val="00A817CE"/>
    <w:rsid w:val="00A84CE7"/>
    <w:rsid w:val="00A90B06"/>
    <w:rsid w:val="00A928FA"/>
    <w:rsid w:val="00A975F6"/>
    <w:rsid w:val="00A976D6"/>
    <w:rsid w:val="00A97E92"/>
    <w:rsid w:val="00AA7B0B"/>
    <w:rsid w:val="00AB32CF"/>
    <w:rsid w:val="00AB4858"/>
    <w:rsid w:val="00AC47DC"/>
    <w:rsid w:val="00AC49A2"/>
    <w:rsid w:val="00AC59EB"/>
    <w:rsid w:val="00AD042D"/>
    <w:rsid w:val="00AD050D"/>
    <w:rsid w:val="00AD170F"/>
    <w:rsid w:val="00AD1D8E"/>
    <w:rsid w:val="00AD2235"/>
    <w:rsid w:val="00AD5CCC"/>
    <w:rsid w:val="00AD73D2"/>
    <w:rsid w:val="00AE0214"/>
    <w:rsid w:val="00AE4716"/>
    <w:rsid w:val="00AE4857"/>
    <w:rsid w:val="00AE5F27"/>
    <w:rsid w:val="00AF565A"/>
    <w:rsid w:val="00B002B7"/>
    <w:rsid w:val="00B02599"/>
    <w:rsid w:val="00B03CA0"/>
    <w:rsid w:val="00B04F42"/>
    <w:rsid w:val="00B05D4B"/>
    <w:rsid w:val="00B110EB"/>
    <w:rsid w:val="00B13A45"/>
    <w:rsid w:val="00B14060"/>
    <w:rsid w:val="00B16B3C"/>
    <w:rsid w:val="00B22083"/>
    <w:rsid w:val="00B225F9"/>
    <w:rsid w:val="00B2546F"/>
    <w:rsid w:val="00B2574B"/>
    <w:rsid w:val="00B2589F"/>
    <w:rsid w:val="00B25EE3"/>
    <w:rsid w:val="00B269D4"/>
    <w:rsid w:val="00B3357C"/>
    <w:rsid w:val="00B345A0"/>
    <w:rsid w:val="00B410A6"/>
    <w:rsid w:val="00B41268"/>
    <w:rsid w:val="00B510CE"/>
    <w:rsid w:val="00B516A9"/>
    <w:rsid w:val="00B51EDF"/>
    <w:rsid w:val="00B52D34"/>
    <w:rsid w:val="00B60601"/>
    <w:rsid w:val="00B60DA8"/>
    <w:rsid w:val="00B61C4A"/>
    <w:rsid w:val="00B61C55"/>
    <w:rsid w:val="00B61C7B"/>
    <w:rsid w:val="00B61EC9"/>
    <w:rsid w:val="00B679AD"/>
    <w:rsid w:val="00B75ED2"/>
    <w:rsid w:val="00B7744A"/>
    <w:rsid w:val="00B77A28"/>
    <w:rsid w:val="00B77F3C"/>
    <w:rsid w:val="00B82D4D"/>
    <w:rsid w:val="00B87EE6"/>
    <w:rsid w:val="00B911E7"/>
    <w:rsid w:val="00B9260A"/>
    <w:rsid w:val="00B96ABD"/>
    <w:rsid w:val="00BA3F20"/>
    <w:rsid w:val="00BB3E89"/>
    <w:rsid w:val="00BB528E"/>
    <w:rsid w:val="00BB6D1B"/>
    <w:rsid w:val="00BC1F7B"/>
    <w:rsid w:val="00BD036A"/>
    <w:rsid w:val="00BD143A"/>
    <w:rsid w:val="00BD707E"/>
    <w:rsid w:val="00BD71B0"/>
    <w:rsid w:val="00BE41EF"/>
    <w:rsid w:val="00BF09C9"/>
    <w:rsid w:val="00BF18DC"/>
    <w:rsid w:val="00BF1C48"/>
    <w:rsid w:val="00BF2557"/>
    <w:rsid w:val="00BF3629"/>
    <w:rsid w:val="00C04B4F"/>
    <w:rsid w:val="00C1359A"/>
    <w:rsid w:val="00C13DE2"/>
    <w:rsid w:val="00C14408"/>
    <w:rsid w:val="00C14776"/>
    <w:rsid w:val="00C17F58"/>
    <w:rsid w:val="00C20A56"/>
    <w:rsid w:val="00C21D50"/>
    <w:rsid w:val="00C22C4F"/>
    <w:rsid w:val="00C307E7"/>
    <w:rsid w:val="00C34157"/>
    <w:rsid w:val="00C34A92"/>
    <w:rsid w:val="00C35829"/>
    <w:rsid w:val="00C364EC"/>
    <w:rsid w:val="00C36B1C"/>
    <w:rsid w:val="00C370A7"/>
    <w:rsid w:val="00C428A5"/>
    <w:rsid w:val="00C42962"/>
    <w:rsid w:val="00C4304E"/>
    <w:rsid w:val="00C4367E"/>
    <w:rsid w:val="00C527F5"/>
    <w:rsid w:val="00C52A4F"/>
    <w:rsid w:val="00C55EA1"/>
    <w:rsid w:val="00C56048"/>
    <w:rsid w:val="00C566D9"/>
    <w:rsid w:val="00C572A7"/>
    <w:rsid w:val="00C575DF"/>
    <w:rsid w:val="00C57E90"/>
    <w:rsid w:val="00C6114F"/>
    <w:rsid w:val="00C62F1C"/>
    <w:rsid w:val="00C6380F"/>
    <w:rsid w:val="00C71CC0"/>
    <w:rsid w:val="00C744A3"/>
    <w:rsid w:val="00C74EE4"/>
    <w:rsid w:val="00C766F4"/>
    <w:rsid w:val="00C81DB5"/>
    <w:rsid w:val="00C900FF"/>
    <w:rsid w:val="00C90B2A"/>
    <w:rsid w:val="00C945E2"/>
    <w:rsid w:val="00C96F97"/>
    <w:rsid w:val="00CA3917"/>
    <w:rsid w:val="00CA3F36"/>
    <w:rsid w:val="00CA4605"/>
    <w:rsid w:val="00CB3FC8"/>
    <w:rsid w:val="00CB442A"/>
    <w:rsid w:val="00CB4C3D"/>
    <w:rsid w:val="00CB5BE7"/>
    <w:rsid w:val="00CC2645"/>
    <w:rsid w:val="00CC59D4"/>
    <w:rsid w:val="00CC6436"/>
    <w:rsid w:val="00CD4B2E"/>
    <w:rsid w:val="00CD4DE4"/>
    <w:rsid w:val="00CD6527"/>
    <w:rsid w:val="00CD6B3F"/>
    <w:rsid w:val="00CE51EC"/>
    <w:rsid w:val="00CE5B3E"/>
    <w:rsid w:val="00CE7255"/>
    <w:rsid w:val="00CF33D4"/>
    <w:rsid w:val="00CF3E63"/>
    <w:rsid w:val="00CF561E"/>
    <w:rsid w:val="00D033A8"/>
    <w:rsid w:val="00D04A5C"/>
    <w:rsid w:val="00D079A7"/>
    <w:rsid w:val="00D143BA"/>
    <w:rsid w:val="00D15ADD"/>
    <w:rsid w:val="00D16837"/>
    <w:rsid w:val="00D17818"/>
    <w:rsid w:val="00D20DD2"/>
    <w:rsid w:val="00D23BE1"/>
    <w:rsid w:val="00D27AB6"/>
    <w:rsid w:val="00D30A2A"/>
    <w:rsid w:val="00D34EEE"/>
    <w:rsid w:val="00D361E8"/>
    <w:rsid w:val="00D37BAF"/>
    <w:rsid w:val="00D41B93"/>
    <w:rsid w:val="00D501AC"/>
    <w:rsid w:val="00D51B1E"/>
    <w:rsid w:val="00D523A8"/>
    <w:rsid w:val="00D530F5"/>
    <w:rsid w:val="00D55BDD"/>
    <w:rsid w:val="00D63048"/>
    <w:rsid w:val="00D6444F"/>
    <w:rsid w:val="00D67284"/>
    <w:rsid w:val="00D70566"/>
    <w:rsid w:val="00D7705B"/>
    <w:rsid w:val="00D8039E"/>
    <w:rsid w:val="00D87FE0"/>
    <w:rsid w:val="00D94B3A"/>
    <w:rsid w:val="00D94E7A"/>
    <w:rsid w:val="00D96598"/>
    <w:rsid w:val="00D96E57"/>
    <w:rsid w:val="00D979EA"/>
    <w:rsid w:val="00DA02B9"/>
    <w:rsid w:val="00DA1121"/>
    <w:rsid w:val="00DA42EA"/>
    <w:rsid w:val="00DA5A6C"/>
    <w:rsid w:val="00DA7FEA"/>
    <w:rsid w:val="00DB1CF3"/>
    <w:rsid w:val="00DB269B"/>
    <w:rsid w:val="00DB3A15"/>
    <w:rsid w:val="00DB5E19"/>
    <w:rsid w:val="00DC02B5"/>
    <w:rsid w:val="00DC230D"/>
    <w:rsid w:val="00DC3D5B"/>
    <w:rsid w:val="00DC5DF2"/>
    <w:rsid w:val="00DD08C0"/>
    <w:rsid w:val="00DD27D1"/>
    <w:rsid w:val="00DD3629"/>
    <w:rsid w:val="00DD3E4E"/>
    <w:rsid w:val="00DD721E"/>
    <w:rsid w:val="00DE221A"/>
    <w:rsid w:val="00DE2334"/>
    <w:rsid w:val="00DE23C0"/>
    <w:rsid w:val="00DE5C1E"/>
    <w:rsid w:val="00DF14B6"/>
    <w:rsid w:val="00DF68F0"/>
    <w:rsid w:val="00DF6CDE"/>
    <w:rsid w:val="00E0113D"/>
    <w:rsid w:val="00E01AF9"/>
    <w:rsid w:val="00E039CB"/>
    <w:rsid w:val="00E06F2A"/>
    <w:rsid w:val="00E1423B"/>
    <w:rsid w:val="00E14AF0"/>
    <w:rsid w:val="00E22589"/>
    <w:rsid w:val="00E2736E"/>
    <w:rsid w:val="00E30859"/>
    <w:rsid w:val="00E317E1"/>
    <w:rsid w:val="00E317EF"/>
    <w:rsid w:val="00E3279A"/>
    <w:rsid w:val="00E33231"/>
    <w:rsid w:val="00E4158F"/>
    <w:rsid w:val="00E42A1A"/>
    <w:rsid w:val="00E47E2D"/>
    <w:rsid w:val="00E50B62"/>
    <w:rsid w:val="00E52E92"/>
    <w:rsid w:val="00E54314"/>
    <w:rsid w:val="00E560B8"/>
    <w:rsid w:val="00E6186E"/>
    <w:rsid w:val="00E630DF"/>
    <w:rsid w:val="00E72F03"/>
    <w:rsid w:val="00E7429A"/>
    <w:rsid w:val="00E75D89"/>
    <w:rsid w:val="00E77029"/>
    <w:rsid w:val="00E77992"/>
    <w:rsid w:val="00E84434"/>
    <w:rsid w:val="00E86180"/>
    <w:rsid w:val="00E86C53"/>
    <w:rsid w:val="00E873FC"/>
    <w:rsid w:val="00E934C3"/>
    <w:rsid w:val="00E93CEB"/>
    <w:rsid w:val="00E96002"/>
    <w:rsid w:val="00EA0512"/>
    <w:rsid w:val="00EA0AEC"/>
    <w:rsid w:val="00EA4F1D"/>
    <w:rsid w:val="00EA65C5"/>
    <w:rsid w:val="00EB30F5"/>
    <w:rsid w:val="00EB39A9"/>
    <w:rsid w:val="00EB518F"/>
    <w:rsid w:val="00EB5A56"/>
    <w:rsid w:val="00EB5C8B"/>
    <w:rsid w:val="00EB6A67"/>
    <w:rsid w:val="00EC101A"/>
    <w:rsid w:val="00EC3474"/>
    <w:rsid w:val="00EC3CC1"/>
    <w:rsid w:val="00EC47CA"/>
    <w:rsid w:val="00ED02AD"/>
    <w:rsid w:val="00ED263C"/>
    <w:rsid w:val="00ED2A92"/>
    <w:rsid w:val="00ED503D"/>
    <w:rsid w:val="00ED6F48"/>
    <w:rsid w:val="00ED72E4"/>
    <w:rsid w:val="00EE11FD"/>
    <w:rsid w:val="00EE1D07"/>
    <w:rsid w:val="00EE4FFD"/>
    <w:rsid w:val="00EE5630"/>
    <w:rsid w:val="00EE7210"/>
    <w:rsid w:val="00EE73AA"/>
    <w:rsid w:val="00EF149E"/>
    <w:rsid w:val="00EF3566"/>
    <w:rsid w:val="00EF57B2"/>
    <w:rsid w:val="00F01D37"/>
    <w:rsid w:val="00F029C3"/>
    <w:rsid w:val="00F02CC0"/>
    <w:rsid w:val="00F04220"/>
    <w:rsid w:val="00F05148"/>
    <w:rsid w:val="00F05E3C"/>
    <w:rsid w:val="00F10A8D"/>
    <w:rsid w:val="00F118B0"/>
    <w:rsid w:val="00F13235"/>
    <w:rsid w:val="00F148C0"/>
    <w:rsid w:val="00F1494E"/>
    <w:rsid w:val="00F20EC8"/>
    <w:rsid w:val="00F23798"/>
    <w:rsid w:val="00F25D7D"/>
    <w:rsid w:val="00F260AC"/>
    <w:rsid w:val="00F26DFB"/>
    <w:rsid w:val="00F27043"/>
    <w:rsid w:val="00F32C54"/>
    <w:rsid w:val="00F32E6E"/>
    <w:rsid w:val="00F3705A"/>
    <w:rsid w:val="00F402BD"/>
    <w:rsid w:val="00F41570"/>
    <w:rsid w:val="00F4263A"/>
    <w:rsid w:val="00F47E96"/>
    <w:rsid w:val="00F50A3A"/>
    <w:rsid w:val="00F535C1"/>
    <w:rsid w:val="00F62A1E"/>
    <w:rsid w:val="00F64DB9"/>
    <w:rsid w:val="00F65513"/>
    <w:rsid w:val="00F6590E"/>
    <w:rsid w:val="00F6620E"/>
    <w:rsid w:val="00F85399"/>
    <w:rsid w:val="00F85D65"/>
    <w:rsid w:val="00F86E7D"/>
    <w:rsid w:val="00F906A4"/>
    <w:rsid w:val="00F92BA4"/>
    <w:rsid w:val="00F93183"/>
    <w:rsid w:val="00F9349D"/>
    <w:rsid w:val="00F9367A"/>
    <w:rsid w:val="00F94C61"/>
    <w:rsid w:val="00F94E5D"/>
    <w:rsid w:val="00F95C88"/>
    <w:rsid w:val="00F960EB"/>
    <w:rsid w:val="00FA035F"/>
    <w:rsid w:val="00FA08B1"/>
    <w:rsid w:val="00FA4E11"/>
    <w:rsid w:val="00FA686C"/>
    <w:rsid w:val="00FA6932"/>
    <w:rsid w:val="00FA7110"/>
    <w:rsid w:val="00FB2836"/>
    <w:rsid w:val="00FB3972"/>
    <w:rsid w:val="00FB5022"/>
    <w:rsid w:val="00FB70DE"/>
    <w:rsid w:val="00FC1615"/>
    <w:rsid w:val="00FC2BD1"/>
    <w:rsid w:val="00FC4767"/>
    <w:rsid w:val="00FC4829"/>
    <w:rsid w:val="00FC4E2D"/>
    <w:rsid w:val="00FC4F29"/>
    <w:rsid w:val="00FC6889"/>
    <w:rsid w:val="00FD17C2"/>
    <w:rsid w:val="00FD1B11"/>
    <w:rsid w:val="00FD634F"/>
    <w:rsid w:val="00FE03E1"/>
    <w:rsid w:val="00FE0978"/>
    <w:rsid w:val="00FE0A7C"/>
    <w:rsid w:val="00FE2611"/>
    <w:rsid w:val="00FE5C1E"/>
    <w:rsid w:val="00FE6CE5"/>
    <w:rsid w:val="00FE7926"/>
    <w:rsid w:val="00FF119D"/>
    <w:rsid w:val="00FF2067"/>
    <w:rsid w:val="00FF2247"/>
    <w:rsid w:val="00FF38B2"/>
    <w:rsid w:val="00FF39F2"/>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C21D50"/>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C21D50"/>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C21D5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F95C88"/>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2F0C43"/>
    <w:pPr>
      <w:tabs>
        <w:tab w:val="left" w:pos="1152"/>
        <w:tab w:val="right" w:leader="dot" w:pos="9350"/>
      </w:tabs>
      <w:spacing w:after="0"/>
      <w:ind w:left="576"/>
    </w:pPr>
    <w:rPr>
      <w:noProof/>
    </w:rPr>
  </w:style>
  <w:style w:type="paragraph" w:styleId="TOC3">
    <w:name w:val="toc 3"/>
    <w:basedOn w:val="BodyText"/>
    <w:next w:val="BodyText"/>
    <w:uiPriority w:val="39"/>
    <w:rsid w:val="002F0C43"/>
    <w:pPr>
      <w:tabs>
        <w:tab w:val="left" w:pos="1920"/>
        <w:tab w:val="right" w:leader="dot" w:pos="9350"/>
      </w:tabs>
      <w:spacing w:after="0"/>
      <w:ind w:left="1152"/>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C21D50"/>
    <w:pPr>
      <w:spacing w:after="0"/>
    </w:pPr>
    <w:rPr>
      <w:rFonts w:ascii="Arial" w:hAnsi="Arial"/>
      <w:sz w:val="18"/>
    </w:rPr>
  </w:style>
  <w:style w:type="paragraph" w:styleId="FootnoteText">
    <w:name w:val="footnote text"/>
    <w:aliases w:val="F1"/>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link w:val="BalloonTextChar"/>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uiPriority w:val="99"/>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C21D50"/>
    <w:rPr>
      <w:rFonts w:ascii="Arial" w:hAnsi="Arial"/>
      <w:b/>
      <w:color w:val="FFFFFF"/>
      <w:kern w:val="28"/>
      <w:sz w:val="28"/>
      <w:shd w:val="clear" w:color="auto" w:fill="DA291C"/>
    </w:rPr>
  </w:style>
  <w:style w:type="character" w:customStyle="1" w:styleId="Heading2Char">
    <w:name w:val="Heading 2 Char"/>
    <w:basedOn w:val="DefaultParagraphFont"/>
    <w:link w:val="Heading2"/>
    <w:rsid w:val="00C21D50"/>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21D50"/>
    <w:rPr>
      <w:rFonts w:ascii="Arial" w:hAnsi="Arial"/>
      <w:b/>
      <w:color w:val="DA291C"/>
    </w:rPr>
  </w:style>
  <w:style w:type="character" w:customStyle="1" w:styleId="Heading4Char">
    <w:name w:val="Heading 4 Char"/>
    <w:basedOn w:val="DefaultParagraphFont"/>
    <w:link w:val="Heading4"/>
    <w:rsid w:val="00C21D50"/>
    <w:rPr>
      <w:rFonts w:ascii="Arial" w:hAnsi="Arial"/>
      <w:b/>
      <w:color w:val="DA291C"/>
    </w:rPr>
  </w:style>
  <w:style w:type="character" w:customStyle="1" w:styleId="Heading5Char">
    <w:name w:val="Heading 5 Char"/>
    <w:basedOn w:val="DefaultParagraphFont"/>
    <w:link w:val="Heading5"/>
    <w:rsid w:val="00F95C88"/>
    <w:rPr>
      <w:b/>
      <w:i/>
      <w:color w:val="DA291C"/>
      <w:sz w:val="22"/>
    </w:rPr>
  </w:style>
  <w:style w:type="character" w:customStyle="1" w:styleId="HeaderChar">
    <w:name w:val="Header Char"/>
    <w:basedOn w:val="DefaultParagraphFont"/>
    <w:link w:val="Header"/>
    <w:uiPriority w:val="99"/>
    <w:rsid w:val="00C21D50"/>
    <w:rPr>
      <w:rFonts w:ascii="Arial" w:hAnsi="Arial"/>
      <w:b/>
      <w:color w:val="595959" w:themeColor="text1" w:themeTint="A6"/>
      <w:sz w:val="18"/>
    </w:rPr>
  </w:style>
  <w:style w:type="character" w:customStyle="1" w:styleId="CommentTextChar">
    <w:name w:val="Comment Text Char"/>
    <w:basedOn w:val="DefaultParagraphFont"/>
    <w:link w:val="CommentText"/>
    <w:uiPriority w:val="99"/>
    <w:rsid w:val="00C21D50"/>
  </w:style>
  <w:style w:type="paragraph" w:styleId="ListParagraph">
    <w:name w:val="List Paragraph"/>
    <w:basedOn w:val="Normal"/>
    <w:uiPriority w:val="34"/>
    <w:qFormat/>
    <w:rsid w:val="00C21D50"/>
    <w:pPr>
      <w:spacing w:after="200" w:line="276" w:lineRule="auto"/>
      <w:ind w:left="720"/>
      <w:contextualSpacing/>
    </w:pPr>
    <w:rPr>
      <w:rFonts w:ascii="Calibri" w:hAnsi="Calibri"/>
      <w:szCs w:val="22"/>
    </w:rPr>
  </w:style>
  <w:style w:type="character" w:customStyle="1" w:styleId="BulletsChar">
    <w:name w:val="Bullets Char"/>
    <w:link w:val="Bullets"/>
    <w:locked/>
    <w:rsid w:val="00C21D50"/>
    <w:rPr>
      <w:sz w:val="22"/>
    </w:rPr>
  </w:style>
  <w:style w:type="paragraph" w:customStyle="1" w:styleId="bulletslast0">
    <w:name w:val="bulletslast"/>
    <w:basedOn w:val="Normal"/>
    <w:rsid w:val="00FD1B11"/>
    <w:pPr>
      <w:ind w:left="360" w:hanging="360"/>
    </w:pPr>
    <w:rPr>
      <w:rFonts w:ascii="Calibri" w:eastAsiaTheme="minorHAnsi" w:hAnsi="Calibri" w:cs="Calibri"/>
      <w:szCs w:val="22"/>
    </w:rPr>
  </w:style>
  <w:style w:type="paragraph" w:styleId="Revision">
    <w:name w:val="Revision"/>
    <w:hidden/>
    <w:uiPriority w:val="99"/>
    <w:semiHidden/>
    <w:rsid w:val="00B110EB"/>
    <w:rPr>
      <w:sz w:val="22"/>
    </w:rPr>
  </w:style>
  <w:style w:type="paragraph" w:styleId="NoSpacing">
    <w:name w:val="No Spacing"/>
    <w:uiPriority w:val="1"/>
    <w:qFormat/>
    <w:rsid w:val="00DF14B6"/>
    <w:rPr>
      <w:rFonts w:asciiTheme="minorHAnsi" w:eastAsiaTheme="minorHAnsi" w:hAnsiTheme="minorHAnsi" w:cstheme="minorBidi"/>
      <w:sz w:val="22"/>
      <w:szCs w:val="22"/>
    </w:rPr>
  </w:style>
  <w:style w:type="character" w:customStyle="1" w:styleId="BalloonTextChar">
    <w:name w:val="Balloon Text Char"/>
    <w:link w:val="BalloonText"/>
    <w:rsid w:val="00B254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
    <w:qFormat/>
    <w:rsid w:val="00C21D50"/>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C21D50"/>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C21D5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qFormat/>
    <w:rsid w:val="00F95C88"/>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uiPriority w:val="99"/>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2F0C43"/>
    <w:pPr>
      <w:tabs>
        <w:tab w:val="left" w:pos="1152"/>
        <w:tab w:val="right" w:leader="dot" w:pos="9350"/>
      </w:tabs>
      <w:spacing w:after="0"/>
      <w:ind w:left="576"/>
    </w:pPr>
    <w:rPr>
      <w:noProof/>
    </w:rPr>
  </w:style>
  <w:style w:type="paragraph" w:styleId="TOC3">
    <w:name w:val="toc 3"/>
    <w:basedOn w:val="BodyText"/>
    <w:next w:val="BodyText"/>
    <w:uiPriority w:val="39"/>
    <w:rsid w:val="002F0C43"/>
    <w:pPr>
      <w:tabs>
        <w:tab w:val="left" w:pos="1920"/>
        <w:tab w:val="right" w:leader="dot" w:pos="9350"/>
      </w:tabs>
      <w:spacing w:after="0"/>
      <w:ind w:left="1152"/>
    </w:pPr>
    <w:rPr>
      <w:noProof/>
    </w:r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C21D50"/>
    <w:pPr>
      <w:spacing w:after="0"/>
    </w:pPr>
    <w:rPr>
      <w:rFonts w:ascii="Arial" w:hAnsi="Arial"/>
      <w:sz w:val="18"/>
    </w:rPr>
  </w:style>
  <w:style w:type="paragraph" w:styleId="FootnoteText">
    <w:name w:val="footnote text"/>
    <w:aliases w:val="F1"/>
    <w:basedOn w:val="Normal"/>
    <w:link w:val="FootnoteTextChar"/>
    <w:uiPriority w:val="99"/>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link w:val="BalloonTextChar"/>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uiPriority w:val="99"/>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Heading1Char">
    <w:name w:val="Heading 1 Char"/>
    <w:basedOn w:val="DefaultParagraphFont"/>
    <w:link w:val="Heading1"/>
    <w:uiPriority w:val="9"/>
    <w:rsid w:val="00C21D50"/>
    <w:rPr>
      <w:rFonts w:ascii="Arial" w:hAnsi="Arial"/>
      <w:b/>
      <w:color w:val="FFFFFF"/>
      <w:kern w:val="28"/>
      <w:sz w:val="28"/>
      <w:shd w:val="clear" w:color="auto" w:fill="DA291C"/>
    </w:rPr>
  </w:style>
  <w:style w:type="character" w:customStyle="1" w:styleId="Heading2Char">
    <w:name w:val="Heading 2 Char"/>
    <w:basedOn w:val="DefaultParagraphFont"/>
    <w:link w:val="Heading2"/>
    <w:rsid w:val="00C21D50"/>
    <w:rPr>
      <w:rFonts w:ascii="Arial"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C21D50"/>
    <w:rPr>
      <w:rFonts w:ascii="Arial" w:hAnsi="Arial"/>
      <w:b/>
      <w:color w:val="DA291C"/>
    </w:rPr>
  </w:style>
  <w:style w:type="character" w:customStyle="1" w:styleId="Heading4Char">
    <w:name w:val="Heading 4 Char"/>
    <w:basedOn w:val="DefaultParagraphFont"/>
    <w:link w:val="Heading4"/>
    <w:rsid w:val="00C21D50"/>
    <w:rPr>
      <w:rFonts w:ascii="Arial" w:hAnsi="Arial"/>
      <w:b/>
      <w:color w:val="DA291C"/>
    </w:rPr>
  </w:style>
  <w:style w:type="character" w:customStyle="1" w:styleId="Heading5Char">
    <w:name w:val="Heading 5 Char"/>
    <w:basedOn w:val="DefaultParagraphFont"/>
    <w:link w:val="Heading5"/>
    <w:rsid w:val="00F95C88"/>
    <w:rPr>
      <w:b/>
      <w:i/>
      <w:color w:val="DA291C"/>
      <w:sz w:val="22"/>
    </w:rPr>
  </w:style>
  <w:style w:type="character" w:customStyle="1" w:styleId="HeaderChar">
    <w:name w:val="Header Char"/>
    <w:basedOn w:val="DefaultParagraphFont"/>
    <w:link w:val="Header"/>
    <w:uiPriority w:val="99"/>
    <w:rsid w:val="00C21D50"/>
    <w:rPr>
      <w:rFonts w:ascii="Arial" w:hAnsi="Arial"/>
      <w:b/>
      <w:color w:val="595959" w:themeColor="text1" w:themeTint="A6"/>
      <w:sz w:val="18"/>
    </w:rPr>
  </w:style>
  <w:style w:type="character" w:customStyle="1" w:styleId="CommentTextChar">
    <w:name w:val="Comment Text Char"/>
    <w:basedOn w:val="DefaultParagraphFont"/>
    <w:link w:val="CommentText"/>
    <w:uiPriority w:val="99"/>
    <w:rsid w:val="00C21D50"/>
  </w:style>
  <w:style w:type="paragraph" w:styleId="ListParagraph">
    <w:name w:val="List Paragraph"/>
    <w:basedOn w:val="Normal"/>
    <w:uiPriority w:val="34"/>
    <w:qFormat/>
    <w:rsid w:val="00C21D50"/>
    <w:pPr>
      <w:spacing w:after="200" w:line="276" w:lineRule="auto"/>
      <w:ind w:left="720"/>
      <w:contextualSpacing/>
    </w:pPr>
    <w:rPr>
      <w:rFonts w:ascii="Calibri" w:hAnsi="Calibri"/>
      <w:szCs w:val="22"/>
    </w:rPr>
  </w:style>
  <w:style w:type="character" w:customStyle="1" w:styleId="BulletsChar">
    <w:name w:val="Bullets Char"/>
    <w:link w:val="Bullets"/>
    <w:locked/>
    <w:rsid w:val="00C21D50"/>
    <w:rPr>
      <w:sz w:val="22"/>
    </w:rPr>
  </w:style>
  <w:style w:type="paragraph" w:customStyle="1" w:styleId="bulletslast0">
    <w:name w:val="bulletslast"/>
    <w:basedOn w:val="Normal"/>
    <w:rsid w:val="00FD1B11"/>
    <w:pPr>
      <w:ind w:left="360" w:hanging="360"/>
    </w:pPr>
    <w:rPr>
      <w:rFonts w:ascii="Calibri" w:eastAsiaTheme="minorHAnsi" w:hAnsi="Calibri" w:cs="Calibri"/>
      <w:szCs w:val="22"/>
    </w:rPr>
  </w:style>
  <w:style w:type="paragraph" w:styleId="Revision">
    <w:name w:val="Revision"/>
    <w:hidden/>
    <w:uiPriority w:val="99"/>
    <w:semiHidden/>
    <w:rsid w:val="00B110EB"/>
    <w:rPr>
      <w:sz w:val="22"/>
    </w:rPr>
  </w:style>
  <w:style w:type="paragraph" w:styleId="NoSpacing">
    <w:name w:val="No Spacing"/>
    <w:uiPriority w:val="1"/>
    <w:qFormat/>
    <w:rsid w:val="00DF14B6"/>
    <w:rPr>
      <w:rFonts w:asciiTheme="minorHAnsi" w:eastAsiaTheme="minorHAnsi" w:hAnsiTheme="minorHAnsi" w:cstheme="minorBidi"/>
      <w:sz w:val="22"/>
      <w:szCs w:val="22"/>
    </w:rPr>
  </w:style>
  <w:style w:type="character" w:customStyle="1" w:styleId="BalloonTextChar">
    <w:name w:val="Balloon Text Char"/>
    <w:link w:val="BalloonText"/>
    <w:rsid w:val="00B254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3919">
      <w:bodyDiv w:val="1"/>
      <w:marLeft w:val="0"/>
      <w:marRight w:val="0"/>
      <w:marTop w:val="0"/>
      <w:marBottom w:val="0"/>
      <w:divBdr>
        <w:top w:val="none" w:sz="0" w:space="0" w:color="auto"/>
        <w:left w:val="none" w:sz="0" w:space="0" w:color="auto"/>
        <w:bottom w:val="none" w:sz="0" w:space="0" w:color="auto"/>
        <w:right w:val="none" w:sz="0" w:space="0" w:color="auto"/>
      </w:divBdr>
    </w:div>
    <w:div w:id="109129901">
      <w:bodyDiv w:val="1"/>
      <w:marLeft w:val="0"/>
      <w:marRight w:val="0"/>
      <w:marTop w:val="0"/>
      <w:marBottom w:val="0"/>
      <w:divBdr>
        <w:top w:val="none" w:sz="0" w:space="0" w:color="auto"/>
        <w:left w:val="none" w:sz="0" w:space="0" w:color="auto"/>
        <w:bottom w:val="none" w:sz="0" w:space="0" w:color="auto"/>
        <w:right w:val="none" w:sz="0" w:space="0" w:color="auto"/>
      </w:divBdr>
    </w:div>
    <w:div w:id="410201006">
      <w:bodyDiv w:val="1"/>
      <w:marLeft w:val="0"/>
      <w:marRight w:val="0"/>
      <w:marTop w:val="0"/>
      <w:marBottom w:val="0"/>
      <w:divBdr>
        <w:top w:val="none" w:sz="0" w:space="0" w:color="auto"/>
        <w:left w:val="none" w:sz="0" w:space="0" w:color="auto"/>
        <w:bottom w:val="none" w:sz="0" w:space="0" w:color="auto"/>
        <w:right w:val="none" w:sz="0" w:space="0" w:color="auto"/>
      </w:divBdr>
    </w:div>
    <w:div w:id="114650659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3302">
      <w:bodyDiv w:val="1"/>
      <w:marLeft w:val="0"/>
      <w:marRight w:val="0"/>
      <w:marTop w:val="0"/>
      <w:marBottom w:val="0"/>
      <w:divBdr>
        <w:top w:val="none" w:sz="0" w:space="0" w:color="auto"/>
        <w:left w:val="none" w:sz="0" w:space="0" w:color="auto"/>
        <w:bottom w:val="none" w:sz="0" w:space="0" w:color="auto"/>
        <w:right w:val="none" w:sz="0" w:space="0" w:color="auto"/>
      </w:divBdr>
    </w:div>
    <w:div w:id="1718241942">
      <w:bodyDiv w:val="1"/>
      <w:marLeft w:val="0"/>
      <w:marRight w:val="0"/>
      <w:marTop w:val="0"/>
      <w:marBottom w:val="0"/>
      <w:divBdr>
        <w:top w:val="none" w:sz="0" w:space="0" w:color="auto"/>
        <w:left w:val="none" w:sz="0" w:space="0" w:color="auto"/>
        <w:bottom w:val="none" w:sz="0" w:space="0" w:color="auto"/>
        <w:right w:val="none" w:sz="0" w:space="0" w:color="auto"/>
      </w:divBdr>
    </w:div>
    <w:div w:id="213320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D5532-0FFE-4F9D-AA1F-161ACAAF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3276</Words>
  <Characters>19684</Characters>
  <Application>Microsoft Office Word</Application>
  <DocSecurity>0</DocSecurity>
  <Lines>164</Lines>
  <Paragraphs>45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22915</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McCormack</dc:creator>
  <cp:lastModifiedBy>Molly</cp:lastModifiedBy>
  <cp:revision>4</cp:revision>
  <cp:lastPrinted>2015-08-03T16:04:00Z</cp:lastPrinted>
  <dcterms:created xsi:type="dcterms:W3CDTF">2015-08-07T16:37:00Z</dcterms:created>
  <dcterms:modified xsi:type="dcterms:W3CDTF">2015-08-11T13:05:00Z</dcterms:modified>
</cp:coreProperties>
</file>