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CB" w:rsidRDefault="00B64FCB" w:rsidP="00880759">
      <w:pPr>
        <w:pStyle w:val="Heading1"/>
        <w:numPr>
          <w:ilvl w:val="0"/>
          <w:numId w:val="0"/>
        </w:numPr>
        <w:jc w:val="center"/>
        <w:rPr>
          <w:szCs w:val="24"/>
        </w:rPr>
      </w:pPr>
      <w:r>
        <w:rPr>
          <w:szCs w:val="24"/>
        </w:rPr>
        <w:t xml:space="preserve">Supporting Statement for Centenarian </w:t>
      </w:r>
      <w:r w:rsidR="003B4286">
        <w:rPr>
          <w:szCs w:val="24"/>
        </w:rPr>
        <w:t>and M</w:t>
      </w:r>
      <w:r w:rsidR="00604F8B">
        <w:rPr>
          <w:szCs w:val="24"/>
        </w:rPr>
        <w:t xml:space="preserve">edicare </w:t>
      </w:r>
      <w:r w:rsidR="003B4286">
        <w:rPr>
          <w:szCs w:val="24"/>
        </w:rPr>
        <w:t>N</w:t>
      </w:r>
      <w:r w:rsidR="00604F8B">
        <w:rPr>
          <w:szCs w:val="24"/>
        </w:rPr>
        <w:t>on-</w:t>
      </w:r>
      <w:r w:rsidR="003B4286">
        <w:rPr>
          <w:szCs w:val="24"/>
        </w:rPr>
        <w:t>U</w:t>
      </w:r>
      <w:r w:rsidR="00604F8B">
        <w:rPr>
          <w:szCs w:val="24"/>
        </w:rPr>
        <w:t>tilization</w:t>
      </w:r>
      <w:r w:rsidR="003B4286">
        <w:rPr>
          <w:szCs w:val="24"/>
        </w:rPr>
        <w:t xml:space="preserve"> </w:t>
      </w:r>
      <w:r>
        <w:rPr>
          <w:szCs w:val="24"/>
        </w:rPr>
        <w:t>Project Development Worksheets:</w:t>
      </w:r>
    </w:p>
    <w:p w:rsidR="00B64FCB" w:rsidRDefault="00B64FCB" w:rsidP="00880759">
      <w:pPr>
        <w:jc w:val="center"/>
        <w:rPr>
          <w:b/>
          <w:sz w:val="24"/>
          <w:szCs w:val="24"/>
        </w:rPr>
      </w:pPr>
      <w:r>
        <w:rPr>
          <w:b/>
          <w:sz w:val="24"/>
          <w:szCs w:val="24"/>
        </w:rPr>
        <w:t>Face-To-Face Interview; Telephone Interview</w:t>
      </w:r>
    </w:p>
    <w:p w:rsidR="00B64FCB" w:rsidRDefault="00B64FCB" w:rsidP="00880759">
      <w:pPr>
        <w:jc w:val="center"/>
        <w:rPr>
          <w:b/>
          <w:sz w:val="24"/>
          <w:szCs w:val="24"/>
        </w:rPr>
      </w:pPr>
      <w:proofErr w:type="gramStart"/>
      <w:r>
        <w:rPr>
          <w:b/>
          <w:sz w:val="24"/>
          <w:szCs w:val="24"/>
        </w:rPr>
        <w:t>20</w:t>
      </w:r>
      <w:proofErr w:type="gramEnd"/>
      <w:r>
        <w:rPr>
          <w:b/>
          <w:sz w:val="24"/>
          <w:szCs w:val="24"/>
        </w:rPr>
        <w:t xml:space="preserve"> CFR 416.204(b) and 422.135</w:t>
      </w:r>
    </w:p>
    <w:p w:rsidR="00B64FCB" w:rsidRDefault="00B64FCB" w:rsidP="00880759">
      <w:pPr>
        <w:jc w:val="center"/>
        <w:rPr>
          <w:b/>
          <w:sz w:val="24"/>
          <w:szCs w:val="24"/>
        </w:rPr>
      </w:pPr>
      <w:r>
        <w:rPr>
          <w:b/>
          <w:sz w:val="24"/>
          <w:szCs w:val="24"/>
        </w:rPr>
        <w:t>OMB No. 0960-</w:t>
      </w:r>
      <w:r w:rsidR="006E6B62">
        <w:rPr>
          <w:b/>
          <w:sz w:val="24"/>
          <w:szCs w:val="24"/>
        </w:rPr>
        <w:t>0780</w:t>
      </w:r>
    </w:p>
    <w:p w:rsidR="00B64FCB" w:rsidRDefault="00B64FCB">
      <w:pPr>
        <w:rPr>
          <w:sz w:val="24"/>
        </w:rPr>
      </w:pPr>
    </w:p>
    <w:p w:rsidR="00B64FCB" w:rsidRDefault="00880759" w:rsidP="00880759">
      <w:pPr>
        <w:pStyle w:val="ListParagraph"/>
        <w:numPr>
          <w:ilvl w:val="0"/>
          <w:numId w:val="5"/>
        </w:numPr>
        <w:rPr>
          <w:b/>
          <w:sz w:val="24"/>
          <w:szCs w:val="24"/>
          <w:u w:val="single"/>
        </w:rPr>
      </w:pPr>
      <w:r>
        <w:rPr>
          <w:b/>
          <w:sz w:val="24"/>
          <w:szCs w:val="24"/>
          <w:u w:val="single"/>
        </w:rPr>
        <w:t xml:space="preserve"> </w:t>
      </w:r>
      <w:r w:rsidR="00B64FCB" w:rsidRPr="00880759">
        <w:rPr>
          <w:b/>
          <w:sz w:val="24"/>
          <w:szCs w:val="24"/>
          <w:u w:val="single"/>
        </w:rPr>
        <w:t>Justification</w:t>
      </w:r>
    </w:p>
    <w:p w:rsidR="00880759" w:rsidRDefault="00880759" w:rsidP="00880759">
      <w:pPr>
        <w:pStyle w:val="ListParagraph"/>
        <w:rPr>
          <w:b/>
          <w:sz w:val="24"/>
          <w:szCs w:val="24"/>
          <w:u w:val="single"/>
        </w:rPr>
      </w:pPr>
    </w:p>
    <w:p w:rsidR="00880759" w:rsidRDefault="00880759" w:rsidP="00880759">
      <w:pPr>
        <w:pStyle w:val="ListParagraph"/>
        <w:numPr>
          <w:ilvl w:val="0"/>
          <w:numId w:val="6"/>
        </w:numPr>
        <w:rPr>
          <w:b/>
          <w:sz w:val="24"/>
          <w:szCs w:val="24"/>
        </w:rPr>
      </w:pPr>
      <w:r>
        <w:rPr>
          <w:b/>
          <w:sz w:val="24"/>
          <w:szCs w:val="24"/>
        </w:rPr>
        <w:t>Introduction/Authoring Laws and Regulations</w:t>
      </w:r>
    </w:p>
    <w:p w:rsidR="00880759" w:rsidRPr="005C236F" w:rsidRDefault="00880759" w:rsidP="005C236F">
      <w:pPr>
        <w:pStyle w:val="ListParagraph"/>
        <w:ind w:left="1080"/>
        <w:rPr>
          <w:sz w:val="24"/>
        </w:rPr>
      </w:pPr>
      <w:r>
        <w:rPr>
          <w:sz w:val="24"/>
        </w:rPr>
        <w:t>The Social Security Administration (SSA) Office of Operations (DCO) needs to document the results of interviews we conduct for the Centenarian Project and Medicare Non-utilization Project (MNUP).</w:t>
      </w:r>
      <w:r w:rsidR="00FA4DC1">
        <w:rPr>
          <w:sz w:val="24"/>
        </w:rPr>
        <w:t xml:space="preserve">  </w:t>
      </w:r>
      <w:r w:rsidRPr="00FA4DC1">
        <w:rPr>
          <w:sz w:val="24"/>
        </w:rPr>
        <w:t xml:space="preserve">SSA needs to document the results of </w:t>
      </w:r>
      <w:r w:rsidR="00FA4DC1">
        <w:rPr>
          <w:sz w:val="24"/>
        </w:rPr>
        <w:t xml:space="preserve">the Centenarian and </w:t>
      </w:r>
      <w:r w:rsidRPr="00FA4DC1">
        <w:rPr>
          <w:sz w:val="24"/>
        </w:rPr>
        <w:t>MNUP interviews we conduct to determine</w:t>
      </w:r>
      <w:r w:rsidR="00FA4DC1">
        <w:rPr>
          <w:sz w:val="24"/>
        </w:rPr>
        <w:t>:  (1)</w:t>
      </w:r>
      <w:r w:rsidRPr="00FA4DC1">
        <w:rPr>
          <w:sz w:val="24"/>
        </w:rPr>
        <w:t xml:space="preserve"> whether the</w:t>
      </w:r>
      <w:r w:rsidR="00FA4DC1">
        <w:rPr>
          <w:sz w:val="24"/>
        </w:rPr>
        <w:t xml:space="preserve"> respondents are still alive;</w:t>
      </w:r>
      <w:r w:rsidRPr="00FA4DC1">
        <w:rPr>
          <w:sz w:val="24"/>
        </w:rPr>
        <w:t xml:space="preserve"> </w:t>
      </w:r>
      <w:r w:rsidR="00FA4DC1">
        <w:rPr>
          <w:sz w:val="24"/>
        </w:rPr>
        <w:t xml:space="preserve">(2) </w:t>
      </w:r>
      <w:r w:rsidRPr="00FA4DC1">
        <w:rPr>
          <w:sz w:val="24"/>
        </w:rPr>
        <w:t>if t</w:t>
      </w:r>
      <w:r w:rsidR="00FA4DC1">
        <w:rPr>
          <w:sz w:val="24"/>
        </w:rPr>
        <w:t>hey need a representative payee; and</w:t>
      </w:r>
      <w:r w:rsidRPr="00FA4DC1">
        <w:rPr>
          <w:sz w:val="24"/>
        </w:rPr>
        <w:t xml:space="preserve"> </w:t>
      </w:r>
      <w:r w:rsidR="00FA4DC1">
        <w:rPr>
          <w:sz w:val="24"/>
        </w:rPr>
        <w:t xml:space="preserve">(3) </w:t>
      </w:r>
      <w:r w:rsidRPr="00FA4DC1">
        <w:rPr>
          <w:sz w:val="24"/>
        </w:rPr>
        <w:t>if they need a c</w:t>
      </w:r>
      <w:r w:rsidR="005C236F">
        <w:rPr>
          <w:sz w:val="24"/>
        </w:rPr>
        <w:t xml:space="preserve">hange in representative payee.  </w:t>
      </w:r>
      <w:r w:rsidRPr="005C236F">
        <w:rPr>
          <w:sz w:val="24"/>
          <w:szCs w:val="24"/>
        </w:rPr>
        <w:t xml:space="preserve">Sections </w:t>
      </w:r>
      <w:r w:rsidRPr="005C236F">
        <w:rPr>
          <w:rFonts w:eastAsia="Batang"/>
          <w:i/>
          <w:sz w:val="24"/>
          <w:szCs w:val="24"/>
        </w:rPr>
        <w:t>205(a) &amp; (b)</w:t>
      </w:r>
      <w:r w:rsidRPr="005C236F">
        <w:rPr>
          <w:rFonts w:eastAsia="Batang"/>
          <w:sz w:val="24"/>
          <w:szCs w:val="24"/>
        </w:rPr>
        <w:t xml:space="preserve"> and </w:t>
      </w:r>
      <w:r w:rsidRPr="005C236F">
        <w:rPr>
          <w:i/>
          <w:sz w:val="24"/>
          <w:szCs w:val="24"/>
        </w:rPr>
        <w:t xml:space="preserve">1631(e)(1) </w:t>
      </w:r>
      <w:r w:rsidRPr="005C236F">
        <w:rPr>
          <w:sz w:val="24"/>
          <w:szCs w:val="24"/>
        </w:rPr>
        <w:t xml:space="preserve">of the </w:t>
      </w:r>
      <w:r w:rsidRPr="005C236F">
        <w:rPr>
          <w:i/>
          <w:sz w:val="24"/>
          <w:szCs w:val="24"/>
        </w:rPr>
        <w:t xml:space="preserve">Social Security Act, </w:t>
      </w:r>
      <w:r w:rsidRPr="005C236F">
        <w:rPr>
          <w:sz w:val="24"/>
          <w:szCs w:val="24"/>
        </w:rPr>
        <w:t>corresponding to Sections</w:t>
      </w:r>
      <w:r w:rsidRPr="005C236F">
        <w:rPr>
          <w:i/>
          <w:sz w:val="24"/>
          <w:szCs w:val="24"/>
        </w:rPr>
        <w:t xml:space="preserve"> </w:t>
      </w:r>
      <w:r w:rsidRPr="005C236F">
        <w:rPr>
          <w:rFonts w:eastAsia="Batang"/>
          <w:i/>
          <w:sz w:val="24"/>
          <w:szCs w:val="24"/>
        </w:rPr>
        <w:t xml:space="preserve">42 U.S.C. 405 </w:t>
      </w:r>
      <w:r w:rsidRPr="005C236F">
        <w:rPr>
          <w:rFonts w:eastAsia="Batang"/>
          <w:sz w:val="24"/>
          <w:szCs w:val="24"/>
        </w:rPr>
        <w:t>and</w:t>
      </w:r>
      <w:r w:rsidRPr="005C236F">
        <w:rPr>
          <w:rFonts w:eastAsia="Batang"/>
          <w:i/>
          <w:sz w:val="24"/>
          <w:szCs w:val="24"/>
        </w:rPr>
        <w:t xml:space="preserve"> </w:t>
      </w:r>
      <w:r w:rsidRPr="005C236F">
        <w:rPr>
          <w:i/>
          <w:sz w:val="24"/>
          <w:szCs w:val="24"/>
        </w:rPr>
        <w:t>42 U.S.C. 1383</w:t>
      </w:r>
      <w:r w:rsidRPr="005C236F">
        <w:rPr>
          <w:rFonts w:eastAsia="Batang"/>
          <w:i/>
          <w:sz w:val="24"/>
          <w:szCs w:val="24"/>
        </w:rPr>
        <w:t xml:space="preserve"> </w:t>
      </w:r>
      <w:r w:rsidRPr="005C236F">
        <w:rPr>
          <w:rFonts w:eastAsia="Batang"/>
          <w:sz w:val="24"/>
          <w:szCs w:val="24"/>
        </w:rPr>
        <w:t>of the</w:t>
      </w:r>
      <w:r w:rsidRPr="005C236F">
        <w:rPr>
          <w:rFonts w:eastAsia="Batang"/>
          <w:i/>
          <w:sz w:val="24"/>
          <w:szCs w:val="24"/>
        </w:rPr>
        <w:t xml:space="preserve"> United States Code,</w:t>
      </w:r>
      <w:r w:rsidRPr="005C236F">
        <w:rPr>
          <w:sz w:val="24"/>
          <w:szCs w:val="24"/>
        </w:rPr>
        <w:t xml:space="preserve"> give SSA the authority to collect the information</w:t>
      </w:r>
      <w:r w:rsidRPr="005C236F">
        <w:rPr>
          <w:i/>
          <w:sz w:val="24"/>
          <w:szCs w:val="24"/>
        </w:rPr>
        <w:t xml:space="preserve">.  </w:t>
      </w:r>
      <w:r w:rsidRPr="005C236F">
        <w:rPr>
          <w:sz w:val="24"/>
          <w:szCs w:val="24"/>
        </w:rPr>
        <w:t xml:space="preserve">Since these interviews may lead to changes within the recipient’s payments, </w:t>
      </w:r>
      <w:r w:rsidRPr="005C236F">
        <w:rPr>
          <w:i/>
          <w:sz w:val="24"/>
          <w:szCs w:val="24"/>
        </w:rPr>
        <w:t>20 CFR 416.204(b)</w:t>
      </w:r>
      <w:r w:rsidRPr="005C236F">
        <w:rPr>
          <w:sz w:val="24"/>
          <w:szCs w:val="24"/>
        </w:rPr>
        <w:t xml:space="preserve"> and</w:t>
      </w:r>
      <w:r w:rsidRPr="005C236F">
        <w:rPr>
          <w:i/>
          <w:sz w:val="24"/>
          <w:szCs w:val="24"/>
        </w:rPr>
        <w:t xml:space="preserve"> 422.135 </w:t>
      </w:r>
      <w:r w:rsidRPr="005C236F">
        <w:rPr>
          <w:sz w:val="24"/>
          <w:szCs w:val="24"/>
        </w:rPr>
        <w:t>of the</w:t>
      </w:r>
      <w:r w:rsidRPr="005C236F">
        <w:rPr>
          <w:i/>
          <w:sz w:val="24"/>
          <w:szCs w:val="24"/>
        </w:rPr>
        <w:t xml:space="preserve"> Code of Federal Regulations </w:t>
      </w:r>
      <w:r w:rsidRPr="005C236F">
        <w:rPr>
          <w:sz w:val="24"/>
          <w:szCs w:val="24"/>
        </w:rPr>
        <w:t>cover reports from beneficiaries and SSA’s policies for redeterminations.</w:t>
      </w:r>
      <w:r w:rsidR="00FA4DC1" w:rsidRPr="005C236F">
        <w:rPr>
          <w:sz w:val="24"/>
          <w:szCs w:val="24"/>
        </w:rPr>
        <w:t xml:space="preserve">  </w:t>
      </w:r>
      <w:r w:rsidR="00FA4DC1" w:rsidRPr="005C236F">
        <w:rPr>
          <w:rFonts w:eastAsia="Batang"/>
          <w:sz w:val="24"/>
          <w:szCs w:val="24"/>
        </w:rPr>
        <w:t>We require these anti-fraud initiatives to determine whether we are issuing improper payments and whether we need to establish or remove a representative payee.</w:t>
      </w:r>
    </w:p>
    <w:p w:rsidR="00880759" w:rsidRDefault="00880759" w:rsidP="00880759">
      <w:pPr>
        <w:pStyle w:val="ListParagraph"/>
        <w:ind w:left="1080"/>
        <w:rPr>
          <w:b/>
          <w:sz w:val="24"/>
          <w:szCs w:val="24"/>
        </w:rPr>
      </w:pPr>
    </w:p>
    <w:p w:rsidR="00880759" w:rsidRDefault="00880759" w:rsidP="00880759">
      <w:pPr>
        <w:pStyle w:val="ListParagraph"/>
        <w:numPr>
          <w:ilvl w:val="0"/>
          <w:numId w:val="6"/>
        </w:numPr>
        <w:rPr>
          <w:b/>
          <w:sz w:val="24"/>
          <w:szCs w:val="24"/>
        </w:rPr>
      </w:pPr>
      <w:r>
        <w:rPr>
          <w:b/>
          <w:sz w:val="24"/>
          <w:szCs w:val="24"/>
        </w:rPr>
        <w:t>Description of Collection</w:t>
      </w:r>
    </w:p>
    <w:p w:rsidR="00880759" w:rsidRDefault="00880759" w:rsidP="00880759">
      <w:pPr>
        <w:pStyle w:val="ListParagraph"/>
        <w:ind w:left="1080"/>
        <w:rPr>
          <w:b/>
          <w:sz w:val="24"/>
          <w:szCs w:val="24"/>
        </w:rPr>
      </w:pPr>
      <w:r>
        <w:rPr>
          <w:sz w:val="24"/>
          <w:szCs w:val="24"/>
        </w:rPr>
        <w:t>SSA field office personnel obtain the information through one-time, in-person interviews with Centenarians and MNUP beneficiaries.  If Centenarians and MNUP beneficiaries have representatives or caregivers, SSA office personnel will invite them to the interviews.  During the interview, SSA employees make overall observations of the Centenarians, MNUP beneficiaries, and their representative payees (if applicable).  The interviewer uses the appropriate Development Worksheet as a guide for the interview, in addition to documenting findings during the interview</w:t>
      </w:r>
      <w:r>
        <w:rPr>
          <w:color w:val="000000"/>
          <w:sz w:val="24"/>
          <w:szCs w:val="24"/>
        </w:rPr>
        <w:t xml:space="preserve">.  </w:t>
      </w:r>
      <w:r>
        <w:rPr>
          <w:sz w:val="24"/>
          <w:szCs w:val="24"/>
        </w:rPr>
        <w:t>SSA conducts the interview one time only by phone preferably or at the Centenarian or MNUP beneficiary’s residence.  Respondents are MNUP and Centenarian beneficiaries, their representative payees, or their caregivers.</w:t>
      </w:r>
    </w:p>
    <w:p w:rsidR="00880759" w:rsidRDefault="00880759" w:rsidP="00880759">
      <w:pPr>
        <w:pStyle w:val="ListParagraph"/>
        <w:ind w:left="1080"/>
        <w:rPr>
          <w:b/>
          <w:sz w:val="24"/>
          <w:szCs w:val="24"/>
        </w:rPr>
      </w:pPr>
    </w:p>
    <w:p w:rsidR="00880759" w:rsidRDefault="00880759" w:rsidP="00880759">
      <w:pPr>
        <w:pStyle w:val="ListParagraph"/>
        <w:numPr>
          <w:ilvl w:val="0"/>
          <w:numId w:val="6"/>
        </w:numPr>
        <w:rPr>
          <w:b/>
          <w:sz w:val="24"/>
          <w:szCs w:val="24"/>
        </w:rPr>
      </w:pPr>
      <w:r>
        <w:rPr>
          <w:b/>
          <w:sz w:val="24"/>
          <w:szCs w:val="24"/>
        </w:rPr>
        <w:t>Use of Information Technology to Collect the Information</w:t>
      </w:r>
    </w:p>
    <w:p w:rsidR="00880759" w:rsidRDefault="00880759" w:rsidP="00880759">
      <w:pPr>
        <w:pStyle w:val="ListParagraph"/>
        <w:ind w:left="1080"/>
        <w:rPr>
          <w:b/>
          <w:sz w:val="24"/>
          <w:szCs w:val="24"/>
        </w:rPr>
      </w:pPr>
      <w:r>
        <w:rPr>
          <w:sz w:val="24"/>
        </w:rPr>
        <w:t>SSA employees will document the outcome of the interviews on the paper Development Worksheets or key them directly into the Centenarian Project and MNUP Websites.  We must conduct a telephone interview or a face-to-face interview at the Centenarian and MNUP beneficiary’s residence or the field office.  SSA employees will print the appropriate Development Worksheet from the Centenarian Project and MNUP Website to use during the interview.</w:t>
      </w:r>
    </w:p>
    <w:p w:rsidR="00880759" w:rsidRDefault="00880759" w:rsidP="00880759">
      <w:pPr>
        <w:pStyle w:val="ListParagraph"/>
        <w:ind w:left="1080"/>
        <w:rPr>
          <w:b/>
          <w:sz w:val="24"/>
          <w:szCs w:val="24"/>
        </w:rPr>
      </w:pPr>
    </w:p>
    <w:p w:rsidR="00880759" w:rsidRDefault="00880759" w:rsidP="00880759">
      <w:pPr>
        <w:pStyle w:val="ListParagraph"/>
        <w:numPr>
          <w:ilvl w:val="0"/>
          <w:numId w:val="6"/>
        </w:numPr>
        <w:rPr>
          <w:b/>
          <w:sz w:val="24"/>
          <w:szCs w:val="24"/>
        </w:rPr>
      </w:pPr>
      <w:r>
        <w:rPr>
          <w:b/>
          <w:sz w:val="24"/>
          <w:szCs w:val="24"/>
        </w:rPr>
        <w:lastRenderedPageBreak/>
        <w:t>Why We Cannot Use Duplicate Information</w:t>
      </w:r>
    </w:p>
    <w:p w:rsidR="00880759" w:rsidRDefault="00880759" w:rsidP="00880759">
      <w:pPr>
        <w:pStyle w:val="ListParagraph"/>
        <w:ind w:left="1080"/>
        <w:rPr>
          <w:b/>
          <w:sz w:val="24"/>
          <w:szCs w:val="24"/>
        </w:rPr>
      </w:pPr>
      <w:r>
        <w:rPr>
          <w:sz w:val="24"/>
        </w:rPr>
        <w:t>The nature of the information we collect and the manner in which we collect it preclude duplication.  SSA does not use another collection instrument to obtain similar data.</w:t>
      </w:r>
    </w:p>
    <w:p w:rsidR="00880759" w:rsidRDefault="00880759" w:rsidP="00880759">
      <w:pPr>
        <w:pStyle w:val="ListParagraph"/>
        <w:ind w:left="1080"/>
        <w:rPr>
          <w:b/>
          <w:sz w:val="24"/>
          <w:szCs w:val="24"/>
        </w:rPr>
      </w:pPr>
    </w:p>
    <w:p w:rsidR="00880759" w:rsidRDefault="00880759" w:rsidP="00880759">
      <w:pPr>
        <w:pStyle w:val="ListParagraph"/>
        <w:numPr>
          <w:ilvl w:val="0"/>
          <w:numId w:val="6"/>
        </w:numPr>
        <w:rPr>
          <w:b/>
          <w:sz w:val="24"/>
          <w:szCs w:val="24"/>
        </w:rPr>
      </w:pPr>
      <w:r>
        <w:rPr>
          <w:b/>
          <w:sz w:val="24"/>
          <w:szCs w:val="24"/>
        </w:rPr>
        <w:t>Minimizing Burden on Small Respondents</w:t>
      </w:r>
    </w:p>
    <w:p w:rsidR="00880759" w:rsidRDefault="00880759" w:rsidP="00880759">
      <w:pPr>
        <w:pStyle w:val="ListParagraph"/>
        <w:ind w:left="1080"/>
        <w:rPr>
          <w:b/>
          <w:sz w:val="24"/>
          <w:szCs w:val="24"/>
        </w:rPr>
      </w:pPr>
      <w:r>
        <w:rPr>
          <w:sz w:val="24"/>
          <w:szCs w:val="24"/>
        </w:rPr>
        <w:t>This collection does not significantly affect small businesses or other small entities.</w:t>
      </w:r>
    </w:p>
    <w:p w:rsidR="00880759" w:rsidRDefault="00880759" w:rsidP="00880759">
      <w:pPr>
        <w:pStyle w:val="ListParagraph"/>
        <w:ind w:left="1080"/>
        <w:rPr>
          <w:b/>
          <w:sz w:val="24"/>
          <w:szCs w:val="24"/>
        </w:rPr>
      </w:pPr>
    </w:p>
    <w:p w:rsidR="00880759" w:rsidRDefault="00880759" w:rsidP="00880759">
      <w:pPr>
        <w:pStyle w:val="ListParagraph"/>
        <w:numPr>
          <w:ilvl w:val="0"/>
          <w:numId w:val="6"/>
        </w:numPr>
        <w:rPr>
          <w:b/>
          <w:sz w:val="24"/>
          <w:szCs w:val="24"/>
        </w:rPr>
      </w:pPr>
      <w:r>
        <w:rPr>
          <w:b/>
          <w:sz w:val="24"/>
          <w:szCs w:val="24"/>
        </w:rPr>
        <w:t>Consequence of Not Collecting Information or Collecting it Less Frequently</w:t>
      </w:r>
    </w:p>
    <w:p w:rsidR="00880759" w:rsidRPr="00880759" w:rsidRDefault="00880759" w:rsidP="00880759">
      <w:pPr>
        <w:pStyle w:val="ListParagraph"/>
        <w:ind w:left="1080"/>
        <w:rPr>
          <w:sz w:val="24"/>
        </w:rPr>
      </w:pPr>
      <w:r w:rsidRPr="00880759">
        <w:rPr>
          <w:sz w:val="24"/>
        </w:rPr>
        <w:t xml:space="preserve">The consequences of not conducting </w:t>
      </w:r>
      <w:r>
        <w:rPr>
          <w:sz w:val="24"/>
        </w:rPr>
        <w:t>these interviews are two-fold:  (</w:t>
      </w:r>
      <w:r w:rsidRPr="00880759">
        <w:rPr>
          <w:sz w:val="24"/>
        </w:rPr>
        <w:t xml:space="preserve">1) SSA would have no means to confirm if the Centenarian and MNUP beneficiary is in need of a representative payee or a change in payee; and </w:t>
      </w:r>
      <w:r>
        <w:rPr>
          <w:sz w:val="24"/>
        </w:rPr>
        <w:t>(</w:t>
      </w:r>
      <w:r w:rsidRPr="00880759">
        <w:rPr>
          <w:sz w:val="24"/>
        </w:rPr>
        <w:t xml:space="preserve">2) SSA would not know if the individual is actually deceased, and someone else is committing fraud by cashing the monthly payment we send.  Since we </w:t>
      </w:r>
      <w:r>
        <w:rPr>
          <w:sz w:val="24"/>
        </w:rPr>
        <w:t xml:space="preserve">only </w:t>
      </w:r>
      <w:r w:rsidRPr="00880759">
        <w:rPr>
          <w:sz w:val="24"/>
        </w:rPr>
        <w:t>collect the inform</w:t>
      </w:r>
      <w:r>
        <w:rPr>
          <w:sz w:val="24"/>
        </w:rPr>
        <w:t xml:space="preserve">ation </w:t>
      </w:r>
      <w:r w:rsidRPr="00880759">
        <w:rPr>
          <w:sz w:val="24"/>
        </w:rPr>
        <w:t>once per Centenarian and MNUP beneficiary, we cannot collect it less frequently.  There are no technical or legal obstacles to prevent burden reduction</w:t>
      </w:r>
    </w:p>
    <w:p w:rsidR="00880759" w:rsidRDefault="00880759" w:rsidP="00880759">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Special Circumstances</w:t>
      </w:r>
    </w:p>
    <w:p w:rsidR="00385E73" w:rsidRDefault="00385E73" w:rsidP="00385E73">
      <w:pPr>
        <w:pStyle w:val="ListParagraph"/>
        <w:ind w:left="1080"/>
        <w:rPr>
          <w:i/>
          <w:sz w:val="24"/>
          <w:szCs w:val="24"/>
        </w:rPr>
      </w:pPr>
      <w:r>
        <w:rPr>
          <w:sz w:val="24"/>
          <w:szCs w:val="24"/>
        </w:rPr>
        <w:t xml:space="preserve">There are no special circumstances that would cause SSA to conduct this information collection in a manner inconsistent with </w:t>
      </w:r>
      <w:proofErr w:type="gramStart"/>
      <w:r>
        <w:rPr>
          <w:i/>
          <w:sz w:val="24"/>
          <w:szCs w:val="24"/>
        </w:rPr>
        <w:t>5</w:t>
      </w:r>
      <w:proofErr w:type="gramEnd"/>
      <w:r>
        <w:rPr>
          <w:i/>
          <w:sz w:val="24"/>
          <w:szCs w:val="24"/>
        </w:rPr>
        <w:t xml:space="preserve"> CFR 1320.5.</w:t>
      </w:r>
    </w:p>
    <w:p w:rsidR="00385E73" w:rsidRP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Solicitation of Public Comment and Other Consultations with the Public</w:t>
      </w:r>
    </w:p>
    <w:p w:rsidR="00385E73" w:rsidRDefault="00D54BEF" w:rsidP="00D54BEF">
      <w:pPr>
        <w:pStyle w:val="ListParagraph"/>
        <w:ind w:left="1080"/>
        <w:rPr>
          <w:sz w:val="24"/>
          <w:szCs w:val="24"/>
        </w:rPr>
      </w:pPr>
      <w:r w:rsidRPr="00D54BEF">
        <w:rPr>
          <w:sz w:val="24"/>
          <w:szCs w:val="24"/>
        </w:rPr>
        <w:t xml:space="preserve">The 60-day advance Federal Register Notice published on </w:t>
      </w:r>
      <w:r w:rsidR="002B2C0A">
        <w:rPr>
          <w:sz w:val="24"/>
          <w:szCs w:val="24"/>
        </w:rPr>
        <w:t>December 30, 2015</w:t>
      </w:r>
      <w:r w:rsidRPr="00D54BEF">
        <w:rPr>
          <w:sz w:val="24"/>
          <w:szCs w:val="24"/>
        </w:rPr>
        <w:t xml:space="preserve"> at 80 FR </w:t>
      </w:r>
      <w:r w:rsidR="002B2C0A">
        <w:rPr>
          <w:sz w:val="24"/>
          <w:szCs w:val="24"/>
        </w:rPr>
        <w:t>81664</w:t>
      </w:r>
      <w:r w:rsidRPr="00D54BEF">
        <w:rPr>
          <w:sz w:val="24"/>
          <w:szCs w:val="24"/>
        </w:rPr>
        <w:t xml:space="preserve">, and SSA received no public comments.  The second Notice published on </w:t>
      </w:r>
      <w:r w:rsidR="002B2C0A">
        <w:rPr>
          <w:sz w:val="24"/>
          <w:szCs w:val="24"/>
        </w:rPr>
        <w:t>March 1, 2016</w:t>
      </w:r>
      <w:r>
        <w:rPr>
          <w:sz w:val="24"/>
          <w:szCs w:val="24"/>
        </w:rPr>
        <w:t xml:space="preserve"> at 81</w:t>
      </w:r>
      <w:r w:rsidRPr="00D54BEF">
        <w:rPr>
          <w:sz w:val="24"/>
          <w:szCs w:val="24"/>
        </w:rPr>
        <w:t xml:space="preserve"> FR </w:t>
      </w:r>
      <w:r w:rsidR="002B2C0A">
        <w:rPr>
          <w:sz w:val="24"/>
          <w:szCs w:val="24"/>
        </w:rPr>
        <w:t>10699</w:t>
      </w:r>
      <w:r w:rsidRPr="00D54BEF">
        <w:rPr>
          <w:sz w:val="24"/>
          <w:szCs w:val="24"/>
        </w:rPr>
        <w:t>.  If SSA receives any comments in response to the 30-day Notice, we will forward them to OMB.</w:t>
      </w:r>
    </w:p>
    <w:p w:rsidR="00FA4DC1" w:rsidRPr="00D54BEF" w:rsidRDefault="00FA4DC1" w:rsidP="00D54BEF">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Payment or Gifts to Respondents</w:t>
      </w:r>
    </w:p>
    <w:p w:rsidR="00385E73" w:rsidRDefault="00385E73" w:rsidP="00385E73">
      <w:pPr>
        <w:pStyle w:val="ListParagraph"/>
        <w:ind w:left="1080"/>
        <w:rPr>
          <w:b/>
          <w:sz w:val="24"/>
          <w:szCs w:val="24"/>
        </w:rPr>
      </w:pPr>
      <w:r>
        <w:rPr>
          <w:sz w:val="24"/>
          <w:szCs w:val="24"/>
        </w:rPr>
        <w:t>SSA does not provide payment or gifts to the respondents.</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Assurances of Confidentiality</w:t>
      </w:r>
    </w:p>
    <w:p w:rsidR="00385E73" w:rsidRDefault="00385E73" w:rsidP="00385E73">
      <w:pPr>
        <w:pStyle w:val="ListParagraph"/>
        <w:ind w:left="1080"/>
        <w:rPr>
          <w:b/>
          <w:sz w:val="24"/>
          <w:szCs w:val="24"/>
        </w:rPr>
      </w:pPr>
      <w:r>
        <w:rPr>
          <w:sz w:val="24"/>
        </w:rPr>
        <w:t xml:space="preserve">SSA protects and holds confidential information it collects in accordance with </w:t>
      </w:r>
      <w:r>
        <w:rPr>
          <w:i/>
          <w:sz w:val="24"/>
        </w:rPr>
        <w:t>42 U. S. C. 1306, 20 CFR 401</w:t>
      </w:r>
      <w:r>
        <w:rPr>
          <w:sz w:val="24"/>
        </w:rPr>
        <w:t xml:space="preserve"> and </w:t>
      </w:r>
      <w:r>
        <w:rPr>
          <w:i/>
          <w:sz w:val="24"/>
        </w:rPr>
        <w:t xml:space="preserve">402, 5 U. S. C. 552 </w:t>
      </w:r>
      <w:r>
        <w:rPr>
          <w:sz w:val="24"/>
        </w:rPr>
        <w:t>(Freedom of Information Act)</w:t>
      </w:r>
      <w:r>
        <w:rPr>
          <w:i/>
          <w:sz w:val="24"/>
        </w:rPr>
        <w:t xml:space="preserve">, 5 U.S. C. 552a </w:t>
      </w:r>
      <w:r>
        <w:rPr>
          <w:sz w:val="24"/>
        </w:rPr>
        <w:t>(Privacy Act of 1974), and OMB Circular No</w:t>
      </w:r>
      <w:proofErr w:type="gramStart"/>
      <w:r>
        <w:rPr>
          <w:sz w:val="24"/>
        </w:rPr>
        <w:t>. A-130.</w:t>
      </w:r>
      <w:proofErr w:type="gramEnd"/>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Justification for Sensitive Questions</w:t>
      </w:r>
    </w:p>
    <w:p w:rsidR="00385E73" w:rsidRDefault="00385E73" w:rsidP="00385E73">
      <w:pPr>
        <w:pStyle w:val="ListParagraph"/>
        <w:ind w:left="1080"/>
        <w:rPr>
          <w:b/>
          <w:sz w:val="24"/>
          <w:szCs w:val="24"/>
        </w:rPr>
      </w:pPr>
      <w:r>
        <w:rPr>
          <w:sz w:val="24"/>
        </w:rPr>
        <w:t>The information collection does not contain any questions of a sensitive nature.</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Estimates of Public Reporting Burden</w:t>
      </w:r>
    </w:p>
    <w:p w:rsidR="00385E73" w:rsidRDefault="00385E73" w:rsidP="00385E73">
      <w:pPr>
        <w:pStyle w:val="ListParagraph"/>
        <w:ind w:left="1080"/>
        <w:rPr>
          <w:snapToGrid w:val="0"/>
          <w:sz w:val="24"/>
          <w:szCs w:val="24"/>
        </w:rPr>
      </w:pPr>
      <w:r w:rsidRPr="00911FF3">
        <w:rPr>
          <w:snapToGrid w:val="0"/>
          <w:sz w:val="24"/>
          <w:szCs w:val="24"/>
        </w:rPr>
        <w:t>SSA will attempt to contact the remaining 240 Centenarians and approximately 4,400</w:t>
      </w:r>
      <w:r>
        <w:rPr>
          <w:snapToGrid w:val="0"/>
          <w:sz w:val="24"/>
          <w:szCs w:val="24"/>
        </w:rPr>
        <w:t xml:space="preserve"> MNUP beneficiaries in FY 2016.  </w:t>
      </w:r>
      <w:r w:rsidRPr="00911FF3">
        <w:rPr>
          <w:snapToGrid w:val="0"/>
          <w:sz w:val="24"/>
          <w:szCs w:val="24"/>
        </w:rPr>
        <w:t xml:space="preserve">We will schedule </w:t>
      </w:r>
      <w:r w:rsidRPr="00911FF3">
        <w:rPr>
          <w:snapToGrid w:val="0"/>
          <w:sz w:val="24"/>
          <w:szCs w:val="24"/>
        </w:rPr>
        <w:lastRenderedPageBreak/>
        <w:t>telephone or face-to-face interviews when applicable.  If our contacts result in a third party death report, we will very death and terminate the payment record</w:t>
      </w:r>
      <w:r>
        <w:rPr>
          <w:snapToGrid w:val="0"/>
          <w:sz w:val="24"/>
          <w:szCs w:val="24"/>
        </w:rPr>
        <w:t>.</w:t>
      </w:r>
    </w:p>
    <w:p w:rsidR="00385E73" w:rsidRDefault="00385E73" w:rsidP="00385E73">
      <w:pPr>
        <w:pStyle w:val="ListParagraph"/>
        <w:ind w:left="1080"/>
        <w:rPr>
          <w:snapToGrid w:val="0"/>
          <w:sz w:val="24"/>
          <w:szCs w:val="24"/>
        </w:rPr>
      </w:pPr>
    </w:p>
    <w:tbl>
      <w:tblPr>
        <w:tblStyle w:val="TableGrid"/>
        <w:tblW w:w="0" w:type="auto"/>
        <w:tblInd w:w="1080" w:type="dxa"/>
        <w:tblLook w:val="04A0" w:firstRow="1" w:lastRow="0" w:firstColumn="1" w:lastColumn="0" w:noHBand="0" w:noVBand="1"/>
      </w:tblPr>
      <w:tblGrid>
        <w:gridCol w:w="1555"/>
        <w:gridCol w:w="1555"/>
        <w:gridCol w:w="1555"/>
        <w:gridCol w:w="1555"/>
        <w:gridCol w:w="1556"/>
      </w:tblGrid>
      <w:tr w:rsidR="00385E73" w:rsidTr="00385E73">
        <w:tc>
          <w:tcPr>
            <w:tcW w:w="1555" w:type="dxa"/>
          </w:tcPr>
          <w:p w:rsidR="00385E73" w:rsidRPr="00BC5D85" w:rsidRDefault="00385E73" w:rsidP="00385E73">
            <w:pPr>
              <w:rPr>
                <w:b/>
                <w:snapToGrid w:val="0"/>
                <w:sz w:val="24"/>
                <w:szCs w:val="24"/>
              </w:rPr>
            </w:pPr>
            <w:r w:rsidRPr="00BC5D85">
              <w:rPr>
                <w:b/>
                <w:snapToGrid w:val="0"/>
                <w:sz w:val="24"/>
                <w:szCs w:val="24"/>
              </w:rPr>
              <w:t>Modality of Co</w:t>
            </w:r>
            <w:r>
              <w:rPr>
                <w:b/>
                <w:snapToGrid w:val="0"/>
                <w:sz w:val="24"/>
                <w:szCs w:val="24"/>
              </w:rPr>
              <w:t>mpletion</w:t>
            </w:r>
          </w:p>
        </w:tc>
        <w:tc>
          <w:tcPr>
            <w:tcW w:w="1555" w:type="dxa"/>
          </w:tcPr>
          <w:p w:rsidR="00385E73" w:rsidRPr="00BC5D85" w:rsidRDefault="00385E73" w:rsidP="000931F8">
            <w:pPr>
              <w:rPr>
                <w:b/>
                <w:snapToGrid w:val="0"/>
                <w:sz w:val="24"/>
                <w:szCs w:val="24"/>
              </w:rPr>
            </w:pPr>
            <w:r w:rsidRPr="00BC5D85">
              <w:rPr>
                <w:b/>
                <w:snapToGrid w:val="0"/>
                <w:sz w:val="24"/>
                <w:szCs w:val="24"/>
              </w:rPr>
              <w:t>Number of Respondents</w:t>
            </w:r>
          </w:p>
        </w:tc>
        <w:tc>
          <w:tcPr>
            <w:tcW w:w="1555" w:type="dxa"/>
          </w:tcPr>
          <w:p w:rsidR="00385E73" w:rsidRPr="00BC5D85" w:rsidRDefault="00385E73" w:rsidP="000931F8">
            <w:pPr>
              <w:rPr>
                <w:b/>
                <w:snapToGrid w:val="0"/>
                <w:sz w:val="24"/>
                <w:szCs w:val="24"/>
              </w:rPr>
            </w:pPr>
            <w:r w:rsidRPr="00BC5D85">
              <w:rPr>
                <w:b/>
                <w:snapToGrid w:val="0"/>
                <w:sz w:val="24"/>
                <w:szCs w:val="24"/>
              </w:rPr>
              <w:t>Frequency of Response</w:t>
            </w:r>
          </w:p>
        </w:tc>
        <w:tc>
          <w:tcPr>
            <w:tcW w:w="1555" w:type="dxa"/>
          </w:tcPr>
          <w:p w:rsidR="00385E73" w:rsidRPr="00BC5D85" w:rsidRDefault="00385E73" w:rsidP="000931F8">
            <w:pPr>
              <w:rPr>
                <w:b/>
                <w:snapToGrid w:val="0"/>
                <w:sz w:val="24"/>
                <w:szCs w:val="24"/>
              </w:rPr>
            </w:pPr>
            <w:r w:rsidRPr="00BC5D85">
              <w:rPr>
                <w:b/>
                <w:snapToGrid w:val="0"/>
                <w:sz w:val="24"/>
                <w:szCs w:val="24"/>
              </w:rPr>
              <w:t>Average Burden Per Response (minutes)</w:t>
            </w:r>
          </w:p>
        </w:tc>
        <w:tc>
          <w:tcPr>
            <w:tcW w:w="1556" w:type="dxa"/>
          </w:tcPr>
          <w:p w:rsidR="00385E73" w:rsidRPr="00BC5D85" w:rsidRDefault="00385E73" w:rsidP="000931F8">
            <w:pPr>
              <w:rPr>
                <w:b/>
                <w:snapToGrid w:val="0"/>
                <w:sz w:val="24"/>
                <w:szCs w:val="24"/>
              </w:rPr>
            </w:pPr>
            <w:r w:rsidRPr="00BC5D85">
              <w:rPr>
                <w:b/>
                <w:snapToGrid w:val="0"/>
                <w:sz w:val="24"/>
                <w:szCs w:val="24"/>
              </w:rPr>
              <w:t>Estimated Total Annual Burden (hours)</w:t>
            </w:r>
          </w:p>
        </w:tc>
      </w:tr>
      <w:tr w:rsidR="00385E73" w:rsidTr="00385E73">
        <w:tc>
          <w:tcPr>
            <w:tcW w:w="1555" w:type="dxa"/>
          </w:tcPr>
          <w:p w:rsidR="00385E73" w:rsidRPr="00BC5D85" w:rsidRDefault="00385E73" w:rsidP="000931F8">
            <w:pPr>
              <w:rPr>
                <w:snapToGrid w:val="0"/>
                <w:sz w:val="24"/>
                <w:szCs w:val="24"/>
              </w:rPr>
            </w:pPr>
            <w:r w:rsidRPr="00BC5D85">
              <w:rPr>
                <w:snapToGrid w:val="0"/>
                <w:sz w:val="24"/>
                <w:szCs w:val="24"/>
              </w:rPr>
              <w:t>Centenarian Project – Title XVI Only*</w:t>
            </w:r>
          </w:p>
        </w:tc>
        <w:tc>
          <w:tcPr>
            <w:tcW w:w="1555" w:type="dxa"/>
          </w:tcPr>
          <w:p w:rsidR="00385E73" w:rsidRPr="00BC5D85" w:rsidRDefault="00385E73" w:rsidP="000931F8">
            <w:pPr>
              <w:jc w:val="right"/>
              <w:rPr>
                <w:snapToGrid w:val="0"/>
                <w:sz w:val="24"/>
                <w:szCs w:val="24"/>
              </w:rPr>
            </w:pPr>
            <w:r w:rsidRPr="00BC5D85">
              <w:rPr>
                <w:snapToGrid w:val="0"/>
                <w:sz w:val="24"/>
                <w:szCs w:val="24"/>
              </w:rPr>
              <w:t>240</w:t>
            </w:r>
          </w:p>
        </w:tc>
        <w:tc>
          <w:tcPr>
            <w:tcW w:w="1555" w:type="dxa"/>
          </w:tcPr>
          <w:p w:rsidR="00385E73" w:rsidRPr="00BC5D85" w:rsidRDefault="00385E73" w:rsidP="000931F8">
            <w:pPr>
              <w:jc w:val="right"/>
              <w:rPr>
                <w:snapToGrid w:val="0"/>
                <w:sz w:val="24"/>
                <w:szCs w:val="24"/>
              </w:rPr>
            </w:pPr>
            <w:r w:rsidRPr="00BC5D85">
              <w:rPr>
                <w:snapToGrid w:val="0"/>
                <w:sz w:val="24"/>
                <w:szCs w:val="24"/>
              </w:rPr>
              <w:t>1</w:t>
            </w:r>
          </w:p>
        </w:tc>
        <w:tc>
          <w:tcPr>
            <w:tcW w:w="1555" w:type="dxa"/>
          </w:tcPr>
          <w:p w:rsidR="00385E73" w:rsidRPr="00BC5D85" w:rsidRDefault="00385E73" w:rsidP="000931F8">
            <w:pPr>
              <w:jc w:val="right"/>
              <w:rPr>
                <w:snapToGrid w:val="0"/>
                <w:sz w:val="24"/>
                <w:szCs w:val="24"/>
              </w:rPr>
            </w:pPr>
            <w:r w:rsidRPr="00BC5D85">
              <w:rPr>
                <w:snapToGrid w:val="0"/>
                <w:sz w:val="24"/>
                <w:szCs w:val="24"/>
              </w:rPr>
              <w:t>15</w:t>
            </w:r>
          </w:p>
        </w:tc>
        <w:tc>
          <w:tcPr>
            <w:tcW w:w="1556" w:type="dxa"/>
          </w:tcPr>
          <w:p w:rsidR="00385E73" w:rsidRPr="00BC5D85" w:rsidRDefault="00385E73" w:rsidP="000931F8">
            <w:pPr>
              <w:jc w:val="right"/>
              <w:rPr>
                <w:snapToGrid w:val="0"/>
                <w:sz w:val="24"/>
                <w:szCs w:val="24"/>
              </w:rPr>
            </w:pPr>
            <w:r w:rsidRPr="00BC5D85">
              <w:rPr>
                <w:snapToGrid w:val="0"/>
                <w:sz w:val="24"/>
                <w:szCs w:val="24"/>
              </w:rPr>
              <w:t>60</w:t>
            </w:r>
          </w:p>
        </w:tc>
      </w:tr>
      <w:tr w:rsidR="00385E73" w:rsidTr="00385E73">
        <w:tc>
          <w:tcPr>
            <w:tcW w:w="1555" w:type="dxa"/>
          </w:tcPr>
          <w:p w:rsidR="00385E73" w:rsidRPr="00BC5D85" w:rsidRDefault="00385E73" w:rsidP="000931F8">
            <w:pPr>
              <w:rPr>
                <w:snapToGrid w:val="0"/>
                <w:sz w:val="24"/>
                <w:szCs w:val="24"/>
              </w:rPr>
            </w:pPr>
            <w:r w:rsidRPr="00BC5D85">
              <w:rPr>
                <w:snapToGrid w:val="0"/>
                <w:sz w:val="24"/>
                <w:szCs w:val="24"/>
              </w:rPr>
              <w:t>MNUP – All Title II Responses</w:t>
            </w:r>
          </w:p>
        </w:tc>
        <w:tc>
          <w:tcPr>
            <w:tcW w:w="1555" w:type="dxa"/>
          </w:tcPr>
          <w:p w:rsidR="00385E73" w:rsidRPr="00BC5D85" w:rsidRDefault="00385E73" w:rsidP="000931F8">
            <w:pPr>
              <w:jc w:val="right"/>
              <w:rPr>
                <w:snapToGrid w:val="0"/>
                <w:sz w:val="24"/>
                <w:szCs w:val="24"/>
              </w:rPr>
            </w:pPr>
            <w:r w:rsidRPr="00BC5D85">
              <w:rPr>
                <w:snapToGrid w:val="0"/>
                <w:sz w:val="24"/>
                <w:szCs w:val="24"/>
              </w:rPr>
              <w:t>4,400</w:t>
            </w:r>
          </w:p>
        </w:tc>
        <w:tc>
          <w:tcPr>
            <w:tcW w:w="1555" w:type="dxa"/>
          </w:tcPr>
          <w:p w:rsidR="00385E73" w:rsidRPr="00BC5D85" w:rsidRDefault="00385E73" w:rsidP="000931F8">
            <w:pPr>
              <w:jc w:val="right"/>
              <w:rPr>
                <w:snapToGrid w:val="0"/>
                <w:sz w:val="24"/>
                <w:szCs w:val="24"/>
              </w:rPr>
            </w:pPr>
            <w:r w:rsidRPr="00BC5D85">
              <w:rPr>
                <w:snapToGrid w:val="0"/>
                <w:sz w:val="24"/>
                <w:szCs w:val="24"/>
              </w:rPr>
              <w:t>1</w:t>
            </w:r>
          </w:p>
        </w:tc>
        <w:tc>
          <w:tcPr>
            <w:tcW w:w="1555" w:type="dxa"/>
          </w:tcPr>
          <w:p w:rsidR="00385E73" w:rsidRPr="00BC5D85" w:rsidRDefault="00385E73" w:rsidP="000931F8">
            <w:pPr>
              <w:jc w:val="right"/>
              <w:rPr>
                <w:snapToGrid w:val="0"/>
                <w:sz w:val="24"/>
                <w:szCs w:val="24"/>
              </w:rPr>
            </w:pPr>
            <w:r w:rsidRPr="00BC5D85">
              <w:rPr>
                <w:snapToGrid w:val="0"/>
                <w:sz w:val="24"/>
                <w:szCs w:val="24"/>
              </w:rPr>
              <w:t>15</w:t>
            </w:r>
          </w:p>
        </w:tc>
        <w:tc>
          <w:tcPr>
            <w:tcW w:w="1556" w:type="dxa"/>
          </w:tcPr>
          <w:p w:rsidR="00385E73" w:rsidRPr="00BC5D85" w:rsidRDefault="00385E73" w:rsidP="000931F8">
            <w:pPr>
              <w:jc w:val="right"/>
              <w:rPr>
                <w:snapToGrid w:val="0"/>
                <w:sz w:val="24"/>
                <w:szCs w:val="24"/>
              </w:rPr>
            </w:pPr>
            <w:r w:rsidRPr="00BC5D85">
              <w:rPr>
                <w:snapToGrid w:val="0"/>
                <w:sz w:val="24"/>
                <w:szCs w:val="24"/>
              </w:rPr>
              <w:t>1,100</w:t>
            </w:r>
          </w:p>
        </w:tc>
      </w:tr>
      <w:tr w:rsidR="00385E73" w:rsidTr="00385E73">
        <w:tc>
          <w:tcPr>
            <w:tcW w:w="1555" w:type="dxa"/>
          </w:tcPr>
          <w:p w:rsidR="00385E73" w:rsidRPr="00BC5D85" w:rsidRDefault="00385E73" w:rsidP="000931F8">
            <w:pPr>
              <w:rPr>
                <w:b/>
                <w:snapToGrid w:val="0"/>
                <w:sz w:val="24"/>
                <w:szCs w:val="24"/>
              </w:rPr>
            </w:pPr>
            <w:r w:rsidRPr="00BC5D85">
              <w:rPr>
                <w:b/>
                <w:snapToGrid w:val="0"/>
                <w:sz w:val="24"/>
                <w:szCs w:val="24"/>
              </w:rPr>
              <w:t>Totals</w:t>
            </w:r>
          </w:p>
        </w:tc>
        <w:tc>
          <w:tcPr>
            <w:tcW w:w="1555" w:type="dxa"/>
          </w:tcPr>
          <w:p w:rsidR="00385E73" w:rsidRPr="00BC5D85" w:rsidRDefault="00385E73" w:rsidP="000931F8">
            <w:pPr>
              <w:jc w:val="right"/>
              <w:rPr>
                <w:b/>
                <w:snapToGrid w:val="0"/>
                <w:sz w:val="24"/>
                <w:szCs w:val="24"/>
              </w:rPr>
            </w:pPr>
            <w:r w:rsidRPr="00BC5D85">
              <w:rPr>
                <w:b/>
                <w:snapToGrid w:val="0"/>
                <w:sz w:val="24"/>
                <w:szCs w:val="24"/>
              </w:rPr>
              <w:t>4,640</w:t>
            </w:r>
          </w:p>
        </w:tc>
        <w:tc>
          <w:tcPr>
            <w:tcW w:w="1555" w:type="dxa"/>
          </w:tcPr>
          <w:p w:rsidR="00385E73" w:rsidRPr="00BC5D85" w:rsidRDefault="00385E73" w:rsidP="000931F8">
            <w:pPr>
              <w:jc w:val="right"/>
              <w:rPr>
                <w:b/>
                <w:snapToGrid w:val="0"/>
                <w:sz w:val="24"/>
                <w:szCs w:val="24"/>
              </w:rPr>
            </w:pPr>
          </w:p>
        </w:tc>
        <w:tc>
          <w:tcPr>
            <w:tcW w:w="1555" w:type="dxa"/>
          </w:tcPr>
          <w:p w:rsidR="00385E73" w:rsidRPr="00BC5D85" w:rsidRDefault="00385E73" w:rsidP="000931F8">
            <w:pPr>
              <w:jc w:val="right"/>
              <w:rPr>
                <w:b/>
                <w:snapToGrid w:val="0"/>
                <w:sz w:val="24"/>
                <w:szCs w:val="24"/>
              </w:rPr>
            </w:pPr>
          </w:p>
        </w:tc>
        <w:tc>
          <w:tcPr>
            <w:tcW w:w="1556" w:type="dxa"/>
          </w:tcPr>
          <w:p w:rsidR="00385E73" w:rsidRPr="00BC5D85" w:rsidRDefault="00385E73" w:rsidP="000931F8">
            <w:pPr>
              <w:jc w:val="right"/>
              <w:rPr>
                <w:b/>
                <w:snapToGrid w:val="0"/>
                <w:sz w:val="24"/>
                <w:szCs w:val="24"/>
              </w:rPr>
            </w:pPr>
            <w:r w:rsidRPr="00BC5D85">
              <w:rPr>
                <w:b/>
                <w:snapToGrid w:val="0"/>
                <w:sz w:val="24"/>
                <w:szCs w:val="24"/>
              </w:rPr>
              <w:t>1,160</w:t>
            </w:r>
          </w:p>
        </w:tc>
      </w:tr>
    </w:tbl>
    <w:p w:rsidR="00385E73" w:rsidRPr="00385E73" w:rsidRDefault="00385E73" w:rsidP="00385E73">
      <w:pPr>
        <w:ind w:left="1080"/>
        <w:rPr>
          <w:sz w:val="24"/>
          <w:szCs w:val="24"/>
        </w:rPr>
      </w:pPr>
      <w:r w:rsidRPr="00385E73">
        <w:rPr>
          <w:sz w:val="24"/>
          <w:szCs w:val="24"/>
        </w:rPr>
        <w:t>*</w:t>
      </w:r>
      <w:r w:rsidR="002B2C0A">
        <w:rPr>
          <w:sz w:val="24"/>
          <w:szCs w:val="24"/>
        </w:rPr>
        <w:t>Some</w:t>
      </w:r>
      <w:r w:rsidRPr="00385E73">
        <w:rPr>
          <w:sz w:val="24"/>
          <w:szCs w:val="24"/>
        </w:rPr>
        <w:t xml:space="preserve"> cases are T2 rollovers from prior Centenarian workloads.</w:t>
      </w:r>
    </w:p>
    <w:p w:rsidR="00385E73" w:rsidRPr="00385E73" w:rsidRDefault="00385E73" w:rsidP="00385E73">
      <w:pPr>
        <w:rPr>
          <w:b/>
          <w:sz w:val="24"/>
          <w:szCs w:val="24"/>
        </w:rPr>
      </w:pPr>
    </w:p>
    <w:p w:rsidR="00880759" w:rsidRDefault="00385E73" w:rsidP="00880759">
      <w:pPr>
        <w:pStyle w:val="ListParagraph"/>
        <w:numPr>
          <w:ilvl w:val="0"/>
          <w:numId w:val="6"/>
        </w:numPr>
        <w:rPr>
          <w:b/>
          <w:sz w:val="24"/>
          <w:szCs w:val="24"/>
        </w:rPr>
      </w:pPr>
      <w:r>
        <w:rPr>
          <w:b/>
          <w:sz w:val="24"/>
          <w:szCs w:val="24"/>
        </w:rPr>
        <w:t>Annual</w:t>
      </w:r>
      <w:r>
        <w:rPr>
          <w:sz w:val="24"/>
          <w:szCs w:val="24"/>
        </w:rPr>
        <w:t xml:space="preserve"> </w:t>
      </w:r>
      <w:r>
        <w:rPr>
          <w:b/>
          <w:sz w:val="24"/>
          <w:szCs w:val="24"/>
        </w:rPr>
        <w:t>Cost to the Respondents (Other)</w:t>
      </w:r>
    </w:p>
    <w:p w:rsidR="00385E73" w:rsidRDefault="00385E73" w:rsidP="00385E73">
      <w:pPr>
        <w:pStyle w:val="ListParagraph"/>
        <w:ind w:left="1080"/>
        <w:rPr>
          <w:sz w:val="24"/>
        </w:rPr>
      </w:pPr>
      <w:r>
        <w:rPr>
          <w:sz w:val="24"/>
        </w:rPr>
        <w:t>This collection does not impose a known cost burden to the respondents.</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Annual Cost To Federal Government</w:t>
      </w:r>
    </w:p>
    <w:p w:rsidR="00385E73" w:rsidRDefault="00385E73" w:rsidP="00385E73">
      <w:pPr>
        <w:pStyle w:val="ListParagraph"/>
        <w:ind w:left="1080"/>
        <w:rPr>
          <w:b/>
          <w:sz w:val="24"/>
          <w:szCs w:val="24"/>
        </w:rPr>
      </w:pPr>
      <w:r>
        <w:rPr>
          <w:sz w:val="24"/>
        </w:rPr>
        <w:t>The annual cost to the Federal Government is approximately $185,573.  This estimate is a projection of the costs for printing the Centenarian and MNUP Development Worksheets, visiting the beneficiaries, and filling out the appropriate Worksheet.</w:t>
      </w:r>
    </w:p>
    <w:p w:rsidR="00D54BEF" w:rsidRPr="00FA4DC1" w:rsidRDefault="00D54BEF" w:rsidP="00FA4DC1">
      <w:pPr>
        <w:rPr>
          <w:b/>
          <w:sz w:val="24"/>
          <w:szCs w:val="24"/>
        </w:rPr>
      </w:pPr>
    </w:p>
    <w:p w:rsidR="00880759" w:rsidRDefault="00385E73" w:rsidP="00880759">
      <w:pPr>
        <w:pStyle w:val="ListParagraph"/>
        <w:numPr>
          <w:ilvl w:val="0"/>
          <w:numId w:val="6"/>
        </w:numPr>
        <w:rPr>
          <w:b/>
          <w:sz w:val="24"/>
          <w:szCs w:val="24"/>
        </w:rPr>
      </w:pPr>
      <w:r>
        <w:rPr>
          <w:b/>
          <w:sz w:val="24"/>
          <w:szCs w:val="24"/>
        </w:rPr>
        <w:t>Program Changes or Adjustments to the Information Collection Request</w:t>
      </w:r>
    </w:p>
    <w:p w:rsidR="00385E73" w:rsidRPr="00FA4DC1" w:rsidRDefault="00FA4DC1" w:rsidP="00FA4DC1">
      <w:pPr>
        <w:pStyle w:val="ListParagraph"/>
        <w:ind w:left="1080"/>
        <w:rPr>
          <w:sz w:val="24"/>
        </w:rPr>
      </w:pPr>
      <w:r>
        <w:rPr>
          <w:sz w:val="24"/>
        </w:rPr>
        <w:t xml:space="preserve">In 2010, SSA selected Title II beneficiaries and Title XVI recipients ages 103 years and older for the Centenarian Project.  In 2012, SSA changed the age range to 100 years and older, and in 2014, we changed the Centenarian Project to </w:t>
      </w:r>
      <w:r w:rsidRPr="00FA4DC1">
        <w:rPr>
          <w:sz w:val="24"/>
        </w:rPr>
        <w:t>Title XVI</w:t>
      </w:r>
      <w:r>
        <w:rPr>
          <w:sz w:val="24"/>
        </w:rPr>
        <w:t xml:space="preserve"> recipients only.  Since we only conduct these interviews once, the population that still requires interviews continues to decrease.  Currently, our records show we only need to conduct 240 more Centenarian reviews.  We consider these remaining 240 Centenarian reviews rollover cases.  These rollovers consist of Title II and Title XVI records where SSA staff ha</w:t>
      </w:r>
      <w:r w:rsidR="002B2C0A">
        <w:rPr>
          <w:sz w:val="24"/>
        </w:rPr>
        <w:t>s</w:t>
      </w:r>
      <w:r>
        <w:rPr>
          <w:sz w:val="24"/>
        </w:rPr>
        <w:t xml:space="preserve"> not, yet, made a successful contact confirming life or providing a death report.  Upon completion of these rollover cases, we will discontinue the Centenarian Project.  </w:t>
      </w:r>
      <w:r w:rsidR="00385E73" w:rsidRPr="00FA4DC1">
        <w:rPr>
          <w:color w:val="000000"/>
          <w:sz w:val="24"/>
        </w:rPr>
        <w:t>We will notify OMB when the remaining 240 Centenarian rollovers are complete, as this will affect the burden information in #12 above</w:t>
      </w:r>
      <w:r w:rsidR="005C236F">
        <w:rPr>
          <w:color w:val="000000"/>
          <w:sz w:val="24"/>
        </w:rPr>
        <w:t xml:space="preserve">.  </w:t>
      </w:r>
      <w:r w:rsidR="005C236F" w:rsidRPr="00FA4DC1">
        <w:rPr>
          <w:sz w:val="24"/>
        </w:rPr>
        <w:t>The MNUP</w:t>
      </w:r>
      <w:r w:rsidR="005C236F">
        <w:rPr>
          <w:sz w:val="24"/>
        </w:rPr>
        <w:t xml:space="preserve"> will continue as the official T</w:t>
      </w:r>
      <w:r w:rsidR="005C236F" w:rsidRPr="00FA4DC1">
        <w:rPr>
          <w:sz w:val="24"/>
        </w:rPr>
        <w:t>itle II replacem</w:t>
      </w:r>
      <w:r w:rsidR="005C236F">
        <w:rPr>
          <w:sz w:val="24"/>
        </w:rPr>
        <w:t>ent for the Centenarian Project</w:t>
      </w:r>
      <w:r w:rsidR="002B2C0A">
        <w:rPr>
          <w:color w:val="000000"/>
          <w:sz w:val="24"/>
        </w:rPr>
        <w:t>.  Currently, our records show 4,400 MNUP beneficiaries who require contact.  Our yearly selections identify beneficiaries who do not use their Medicare over a period.  Medicare usage fluctua</w:t>
      </w:r>
      <w:bookmarkStart w:id="0" w:name="_GoBack"/>
      <w:bookmarkEnd w:id="0"/>
      <w:r w:rsidR="002B2C0A">
        <w:rPr>
          <w:color w:val="000000"/>
          <w:sz w:val="24"/>
        </w:rPr>
        <w:t xml:space="preserve">tes yearly, and this influences </w:t>
      </w:r>
      <w:r w:rsidR="002B2C0A">
        <w:rPr>
          <w:color w:val="000000"/>
          <w:sz w:val="24"/>
        </w:rPr>
        <w:lastRenderedPageBreak/>
        <w:t>our MNUP respondents.  Additionally, since we only conduct these interviews once per beneficiary, the population requiring interviews decreases each year.</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Plans for Publication Information Collection Results</w:t>
      </w:r>
    </w:p>
    <w:p w:rsidR="00385E73" w:rsidRDefault="00385E73" w:rsidP="00385E73">
      <w:pPr>
        <w:pStyle w:val="ListParagraph"/>
        <w:ind w:left="1080"/>
        <w:rPr>
          <w:b/>
          <w:sz w:val="24"/>
          <w:szCs w:val="24"/>
        </w:rPr>
      </w:pPr>
      <w:r>
        <w:rPr>
          <w:sz w:val="24"/>
        </w:rPr>
        <w:t>SSA will not publish the results of the information collection.</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Displaying the OMB Approval Expiration Date</w:t>
      </w:r>
    </w:p>
    <w:p w:rsidR="00385E73" w:rsidRDefault="00385E73" w:rsidP="00385E73">
      <w:pPr>
        <w:pStyle w:val="ListParagraph"/>
        <w:ind w:left="1080"/>
        <w:rPr>
          <w:b/>
          <w:sz w:val="24"/>
          <w:szCs w:val="24"/>
        </w:rPr>
      </w:pPr>
      <w:r>
        <w:rPr>
          <w:bCs/>
          <w:iCs/>
          <w:sz w:val="24"/>
          <w:szCs w:val="24"/>
        </w:rPr>
        <w:t>SSA is not requesting an exception to the requirement to display an expiration date.</w:t>
      </w:r>
    </w:p>
    <w:p w:rsidR="00385E73" w:rsidRDefault="00385E73" w:rsidP="00385E73">
      <w:pPr>
        <w:pStyle w:val="ListParagraph"/>
        <w:ind w:left="1080"/>
        <w:rPr>
          <w:b/>
          <w:sz w:val="24"/>
          <w:szCs w:val="24"/>
        </w:rPr>
      </w:pPr>
    </w:p>
    <w:p w:rsidR="00880759" w:rsidRDefault="00385E73" w:rsidP="00880759">
      <w:pPr>
        <w:pStyle w:val="ListParagraph"/>
        <w:numPr>
          <w:ilvl w:val="0"/>
          <w:numId w:val="6"/>
        </w:numPr>
        <w:rPr>
          <w:b/>
          <w:sz w:val="24"/>
          <w:szCs w:val="24"/>
        </w:rPr>
      </w:pPr>
      <w:r>
        <w:rPr>
          <w:b/>
          <w:sz w:val="24"/>
          <w:szCs w:val="24"/>
        </w:rPr>
        <w:t>Exceptions to Certification Statement</w:t>
      </w:r>
    </w:p>
    <w:p w:rsidR="00385E73" w:rsidRDefault="00385E73" w:rsidP="00385E73">
      <w:pPr>
        <w:pStyle w:val="ListParagraph"/>
        <w:ind w:left="1080"/>
        <w:rPr>
          <w:b/>
          <w:sz w:val="24"/>
          <w:szCs w:val="24"/>
        </w:rPr>
      </w:pPr>
      <w:r>
        <w:rPr>
          <w:sz w:val="24"/>
        </w:rPr>
        <w:t xml:space="preserve">SSA is not requesting an exception to the certification requirements at </w:t>
      </w:r>
      <w:r>
        <w:rPr>
          <w:i/>
          <w:sz w:val="24"/>
        </w:rPr>
        <w:t>5 CFR 1320.9</w:t>
      </w:r>
      <w:r>
        <w:rPr>
          <w:sz w:val="24"/>
        </w:rPr>
        <w:t xml:space="preserve"> and related provisions at </w:t>
      </w:r>
      <w:r>
        <w:rPr>
          <w:i/>
          <w:sz w:val="24"/>
        </w:rPr>
        <w:t>5 CFR 1320.8(b</w:t>
      </w:r>
      <w:proofErr w:type="gramStart"/>
      <w:r>
        <w:rPr>
          <w:i/>
          <w:sz w:val="24"/>
        </w:rPr>
        <w:t>)(</w:t>
      </w:r>
      <w:proofErr w:type="gramEnd"/>
      <w:r>
        <w:rPr>
          <w:i/>
          <w:sz w:val="24"/>
        </w:rPr>
        <w:t>3).</w:t>
      </w:r>
    </w:p>
    <w:p w:rsidR="00880759" w:rsidRPr="00880759" w:rsidRDefault="00880759" w:rsidP="00880759">
      <w:pPr>
        <w:pStyle w:val="ListParagraph"/>
        <w:ind w:left="1080"/>
        <w:rPr>
          <w:b/>
          <w:sz w:val="24"/>
          <w:szCs w:val="24"/>
        </w:rPr>
      </w:pPr>
    </w:p>
    <w:p w:rsidR="00880759" w:rsidRPr="00880759" w:rsidRDefault="00385E73" w:rsidP="00880759">
      <w:pPr>
        <w:pStyle w:val="ListParagraph"/>
        <w:numPr>
          <w:ilvl w:val="0"/>
          <w:numId w:val="5"/>
        </w:numPr>
        <w:rPr>
          <w:b/>
          <w:sz w:val="24"/>
          <w:szCs w:val="24"/>
          <w:u w:val="single"/>
        </w:rPr>
      </w:pPr>
      <w:r>
        <w:rPr>
          <w:b/>
          <w:sz w:val="24"/>
          <w:szCs w:val="24"/>
          <w:u w:val="single"/>
        </w:rPr>
        <w:t>Collections of Information Employing Statistical Methods</w:t>
      </w:r>
    </w:p>
    <w:p w:rsidR="00B64FCB" w:rsidRDefault="00B64FCB">
      <w:pPr>
        <w:rPr>
          <w:sz w:val="24"/>
        </w:rPr>
      </w:pPr>
    </w:p>
    <w:p w:rsidR="00B64FCB" w:rsidRDefault="00B64FCB" w:rsidP="00385E73">
      <w:pPr>
        <w:pStyle w:val="BodyTextIndent3"/>
        <w:ind w:left="1080"/>
      </w:pPr>
      <w:r>
        <w:t xml:space="preserve">SSA does not use statistical methods for this information collection. </w:t>
      </w:r>
    </w:p>
    <w:sectPr w:rsidR="00B64FC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BE" w:rsidRDefault="005B23BE">
      <w:r>
        <w:separator/>
      </w:r>
    </w:p>
  </w:endnote>
  <w:endnote w:type="continuationSeparator" w:id="0">
    <w:p w:rsidR="005B23BE" w:rsidRDefault="005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BB" w:rsidRDefault="00EC22BB">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2B2C0A">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BE" w:rsidRDefault="005B23BE">
      <w:r>
        <w:separator/>
      </w:r>
    </w:p>
  </w:footnote>
  <w:footnote w:type="continuationSeparator" w:id="0">
    <w:p w:rsidR="005B23BE" w:rsidRDefault="005B2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4"/>
      <w:numFmt w:val="decimal"/>
      <w:lvlText w:val="%1."/>
      <w:lvlJc w:val="left"/>
      <w:pPr>
        <w:tabs>
          <w:tab w:val="num" w:pos="1440"/>
        </w:tabs>
        <w:ind w:left="1440" w:hanging="720"/>
      </w:pPr>
    </w:lvl>
  </w:abstractNum>
  <w:abstractNum w:abstractNumId="2">
    <w:nsid w:val="00000003"/>
    <w:multiLevelType w:val="singleLevel"/>
    <w:tmpl w:val="00000003"/>
    <w:name w:val="WW8Num3"/>
    <w:lvl w:ilvl="0">
      <w:start w:val="15"/>
      <w:numFmt w:val="decimal"/>
      <w:lvlText w:val="%1."/>
      <w:lvlJc w:val="left"/>
      <w:pPr>
        <w:tabs>
          <w:tab w:val="num" w:pos="1440"/>
        </w:tabs>
        <w:ind w:left="1440" w:hanging="720"/>
      </w:pPr>
    </w:lvl>
  </w:abstractNum>
  <w:abstractNum w:abstractNumId="3">
    <w:nsid w:val="00000004"/>
    <w:multiLevelType w:val="singleLevel"/>
    <w:tmpl w:val="00000004"/>
    <w:name w:val="WW8Num4"/>
    <w:lvl w:ilvl="0">
      <w:start w:val="1"/>
      <w:numFmt w:val="decimal"/>
      <w:lvlText w:val="%1."/>
      <w:lvlJc w:val="left"/>
      <w:pPr>
        <w:tabs>
          <w:tab w:val="num" w:pos="1440"/>
        </w:tabs>
        <w:ind w:left="1440" w:hanging="720"/>
      </w:pPr>
      <w:rPr>
        <w:i w:val="0"/>
      </w:rPr>
    </w:lvl>
  </w:abstractNum>
  <w:abstractNum w:abstractNumId="4">
    <w:nsid w:val="3A5F1EBF"/>
    <w:multiLevelType w:val="hybridMultilevel"/>
    <w:tmpl w:val="960A6646"/>
    <w:lvl w:ilvl="0" w:tplc="F4D88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510492"/>
    <w:multiLevelType w:val="hybridMultilevel"/>
    <w:tmpl w:val="57886F4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C4"/>
    <w:rsid w:val="000171CD"/>
    <w:rsid w:val="000A36F6"/>
    <w:rsid w:val="000E1B13"/>
    <w:rsid w:val="000E7D18"/>
    <w:rsid w:val="000F6EAB"/>
    <w:rsid w:val="001001BC"/>
    <w:rsid w:val="0011456D"/>
    <w:rsid w:val="001600BB"/>
    <w:rsid w:val="001875AC"/>
    <w:rsid w:val="00196F9A"/>
    <w:rsid w:val="001A6E50"/>
    <w:rsid w:val="001B1476"/>
    <w:rsid w:val="001B4B5C"/>
    <w:rsid w:val="0026430C"/>
    <w:rsid w:val="00274889"/>
    <w:rsid w:val="00276F3E"/>
    <w:rsid w:val="002B2C0A"/>
    <w:rsid w:val="002E38F7"/>
    <w:rsid w:val="003102B4"/>
    <w:rsid w:val="00333EDD"/>
    <w:rsid w:val="00346518"/>
    <w:rsid w:val="00385E73"/>
    <w:rsid w:val="003B4286"/>
    <w:rsid w:val="003C16D3"/>
    <w:rsid w:val="003D7CBA"/>
    <w:rsid w:val="00416784"/>
    <w:rsid w:val="004322E8"/>
    <w:rsid w:val="00435C3C"/>
    <w:rsid w:val="00436A29"/>
    <w:rsid w:val="0045040C"/>
    <w:rsid w:val="0046538B"/>
    <w:rsid w:val="0048774D"/>
    <w:rsid w:val="004C7107"/>
    <w:rsid w:val="004E6E5C"/>
    <w:rsid w:val="004F544C"/>
    <w:rsid w:val="00516EE4"/>
    <w:rsid w:val="00555D94"/>
    <w:rsid w:val="005B23BE"/>
    <w:rsid w:val="005B3746"/>
    <w:rsid w:val="005C236F"/>
    <w:rsid w:val="00604F8B"/>
    <w:rsid w:val="00614ADA"/>
    <w:rsid w:val="0061688C"/>
    <w:rsid w:val="00632050"/>
    <w:rsid w:val="006830CD"/>
    <w:rsid w:val="006A3185"/>
    <w:rsid w:val="006E6B62"/>
    <w:rsid w:val="006F10F3"/>
    <w:rsid w:val="0073357F"/>
    <w:rsid w:val="00760A2E"/>
    <w:rsid w:val="00782D04"/>
    <w:rsid w:val="007B3904"/>
    <w:rsid w:val="007F6039"/>
    <w:rsid w:val="00825349"/>
    <w:rsid w:val="00862434"/>
    <w:rsid w:val="008706B7"/>
    <w:rsid w:val="00880759"/>
    <w:rsid w:val="00911FF3"/>
    <w:rsid w:val="00914126"/>
    <w:rsid w:val="00935E0B"/>
    <w:rsid w:val="00936FC9"/>
    <w:rsid w:val="00940FF3"/>
    <w:rsid w:val="00960C2E"/>
    <w:rsid w:val="009833AD"/>
    <w:rsid w:val="009944BA"/>
    <w:rsid w:val="00A27A76"/>
    <w:rsid w:val="00A33502"/>
    <w:rsid w:val="00A7424B"/>
    <w:rsid w:val="00A81995"/>
    <w:rsid w:val="00AA5C1B"/>
    <w:rsid w:val="00AB120D"/>
    <w:rsid w:val="00AC4196"/>
    <w:rsid w:val="00AE0583"/>
    <w:rsid w:val="00B40A62"/>
    <w:rsid w:val="00B61DF5"/>
    <w:rsid w:val="00B64FCB"/>
    <w:rsid w:val="00BA5D85"/>
    <w:rsid w:val="00BC5D85"/>
    <w:rsid w:val="00C74B1B"/>
    <w:rsid w:val="00C93964"/>
    <w:rsid w:val="00CA4615"/>
    <w:rsid w:val="00CD6CD2"/>
    <w:rsid w:val="00D01DA1"/>
    <w:rsid w:val="00D043F8"/>
    <w:rsid w:val="00D227C0"/>
    <w:rsid w:val="00D239DE"/>
    <w:rsid w:val="00D54BEF"/>
    <w:rsid w:val="00D6778D"/>
    <w:rsid w:val="00E76046"/>
    <w:rsid w:val="00EA75C3"/>
    <w:rsid w:val="00EC22BB"/>
    <w:rsid w:val="00F666F1"/>
    <w:rsid w:val="00F84725"/>
    <w:rsid w:val="00F96545"/>
    <w:rsid w:val="00FA4DC1"/>
    <w:rsid w:val="00FC38C4"/>
    <w:rsid w:val="00FE18E5"/>
    <w:rsid w:val="00FE5A0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E4A6-FF82-4093-9C6A-ACA5A942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Social Security Administration</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OIG</dc:creator>
  <cp:lastModifiedBy>889123</cp:lastModifiedBy>
  <cp:revision>8</cp:revision>
  <cp:lastPrinted>2015-12-09T19:45:00Z</cp:lastPrinted>
  <dcterms:created xsi:type="dcterms:W3CDTF">2015-12-14T15:42:00Z</dcterms:created>
  <dcterms:modified xsi:type="dcterms:W3CDTF">2016-03-17T18:20:00Z</dcterms:modified>
</cp:coreProperties>
</file>