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4A004" w14:textId="77777777" w:rsidR="00500ECE" w:rsidRDefault="006A0AD9">
      <w:pPr>
        <w:pStyle w:val="Heading1"/>
        <w:ind w:left="2829" w:right="790"/>
        <w:rPr>
          <w:b w:val="0"/>
          <w:bCs w:val="0"/>
        </w:rPr>
      </w:pPr>
      <w:r>
        <w:t xml:space="preserve">Supporting Statement </w:t>
      </w:r>
      <w:r>
        <w:rPr>
          <w:rFonts w:cs="Times New Roman"/>
        </w:rPr>
        <w:t xml:space="preserve">– </w:t>
      </w:r>
      <w:r>
        <w:t>Part</w:t>
      </w:r>
      <w:r>
        <w:rPr>
          <w:spacing w:val="-12"/>
        </w:rPr>
        <w:t xml:space="preserve"> </w:t>
      </w:r>
      <w:r>
        <w:t>A</w:t>
      </w:r>
    </w:p>
    <w:p w14:paraId="77EB8A73" w14:textId="77777777" w:rsidR="00500ECE" w:rsidRDefault="00500ECE">
      <w:pPr>
        <w:spacing w:before="10"/>
        <w:rPr>
          <w:rFonts w:ascii="Times New Roman" w:eastAsia="Times New Roman" w:hAnsi="Times New Roman" w:cs="Times New Roman"/>
          <w:b/>
          <w:bCs/>
          <w:sz w:val="24"/>
          <w:szCs w:val="24"/>
        </w:rPr>
      </w:pPr>
    </w:p>
    <w:p w14:paraId="222B452E" w14:textId="19FF83A3" w:rsidR="00500ECE" w:rsidRDefault="006A0AD9" w:rsidP="00690FB1">
      <w:pPr>
        <w:pStyle w:val="BodyText"/>
        <w:spacing w:line="247" w:lineRule="auto"/>
        <w:ind w:left="414" w:right="790" w:firstLine="880"/>
        <w:jc w:val="center"/>
      </w:pPr>
      <w:r>
        <w:rPr>
          <w:u w:val="single" w:color="000000"/>
        </w:rPr>
        <w:t>Supporting Statement for Paperwork Reduction Act</w:t>
      </w:r>
      <w:r>
        <w:rPr>
          <w:spacing w:val="-6"/>
          <w:u w:val="single" w:color="000000"/>
        </w:rPr>
        <w:t xml:space="preserve"> </w:t>
      </w:r>
      <w:r>
        <w:rPr>
          <w:u w:val="single" w:color="000000"/>
        </w:rPr>
        <w:t>Submissions</w:t>
      </w:r>
      <w:r>
        <w:t xml:space="preserve"> </w:t>
      </w:r>
      <w:r>
        <w:rPr>
          <w:u w:val="single" w:color="000000"/>
        </w:rPr>
        <w:t>Medicare Program: Home Health Face-to-Face Encounter Progress Note</w:t>
      </w:r>
      <w:r w:rsidR="00690FB1">
        <w:rPr>
          <w:u w:val="single" w:color="000000"/>
        </w:rPr>
        <w:t xml:space="preserve"> </w:t>
      </w:r>
      <w:r>
        <w:rPr>
          <w:u w:val="single" w:color="000000"/>
        </w:rPr>
        <w:t>Templates</w:t>
      </w:r>
    </w:p>
    <w:p w14:paraId="7109C2A9" w14:textId="77777777" w:rsidR="00500ECE" w:rsidRDefault="00500ECE">
      <w:pPr>
        <w:spacing w:before="11"/>
        <w:rPr>
          <w:rFonts w:ascii="Times New Roman" w:eastAsia="Times New Roman" w:hAnsi="Times New Roman" w:cs="Times New Roman"/>
          <w:sz w:val="18"/>
          <w:szCs w:val="18"/>
        </w:rPr>
      </w:pPr>
    </w:p>
    <w:p w14:paraId="1E7DBC24" w14:textId="77777777" w:rsidR="00500ECE" w:rsidRDefault="006A0AD9">
      <w:pPr>
        <w:pStyle w:val="Heading1"/>
        <w:numPr>
          <w:ilvl w:val="0"/>
          <w:numId w:val="1"/>
        </w:numPr>
        <w:tabs>
          <w:tab w:val="left" w:pos="461"/>
        </w:tabs>
        <w:spacing w:before="69"/>
        <w:ind w:right="790"/>
        <w:rPr>
          <w:b w:val="0"/>
          <w:bCs w:val="0"/>
        </w:rPr>
      </w:pPr>
      <w:r>
        <w:rPr>
          <w:u w:val="thick" w:color="000000"/>
        </w:rPr>
        <w:t>Background</w:t>
      </w:r>
    </w:p>
    <w:p w14:paraId="58A77689" w14:textId="77777777" w:rsidR="00500ECE" w:rsidRDefault="00500ECE">
      <w:pPr>
        <w:spacing w:before="10"/>
        <w:rPr>
          <w:rFonts w:ascii="Times New Roman" w:eastAsia="Times New Roman" w:hAnsi="Times New Roman" w:cs="Times New Roman"/>
          <w:b/>
          <w:bCs/>
          <w:sz w:val="18"/>
          <w:szCs w:val="18"/>
        </w:rPr>
      </w:pPr>
    </w:p>
    <w:p w14:paraId="2B7B4E39" w14:textId="5BCEB74B" w:rsidR="00500ECE" w:rsidRDefault="006A0AD9">
      <w:pPr>
        <w:pStyle w:val="BodyText"/>
        <w:spacing w:before="69" w:line="247" w:lineRule="auto"/>
        <w:ind w:left="172" w:right="138"/>
      </w:pPr>
      <w:r>
        <w:t>The Centers for Medicare &amp; Medicare Services (CMS) is requesting the Office</w:t>
      </w:r>
      <w:r>
        <w:rPr>
          <w:spacing w:val="-22"/>
        </w:rPr>
        <w:t xml:space="preserve"> </w:t>
      </w:r>
      <w:r>
        <w:t>of Management and Budget (OMB) approval of the collection of data required to support</w:t>
      </w:r>
      <w:r>
        <w:rPr>
          <w:spacing w:val="-32"/>
        </w:rPr>
        <w:t xml:space="preserve"> </w:t>
      </w:r>
      <w:r>
        <w:t xml:space="preserve">the eligibility of Medicare home health services. </w:t>
      </w:r>
      <w:r w:rsidR="008C3F23">
        <w:t xml:space="preserve"> </w:t>
      </w:r>
      <w:r>
        <w:t>Home health services are covered under</w:t>
      </w:r>
      <w:r>
        <w:rPr>
          <w:spacing w:val="-33"/>
        </w:rPr>
        <w:t xml:space="preserve"> </w:t>
      </w:r>
      <w:r>
        <w:t>the Hospital Insurance (Part A) and Supplemental Medical Insurance (Part B) benefits of</w:t>
      </w:r>
      <w:r>
        <w:rPr>
          <w:spacing w:val="-29"/>
        </w:rPr>
        <w:t xml:space="preserve"> </w:t>
      </w:r>
      <w:r>
        <w:t xml:space="preserve">the Medicare program. </w:t>
      </w:r>
      <w:r w:rsidR="008C3F23">
        <w:t xml:space="preserve"> </w:t>
      </w:r>
      <w:r>
        <w:rPr>
          <w:spacing w:val="-3"/>
        </w:rPr>
        <w:t xml:space="preserve">It </w:t>
      </w:r>
      <w:r>
        <w:t>consists of part-time, medically necessary skilled care</w:t>
      </w:r>
      <w:r>
        <w:rPr>
          <w:spacing w:val="-32"/>
        </w:rPr>
        <w:t xml:space="preserve"> </w:t>
      </w:r>
      <w:r>
        <w:t>(nursing, physical</w:t>
      </w:r>
      <w:r>
        <w:rPr>
          <w:spacing w:val="-5"/>
        </w:rPr>
        <w:t xml:space="preserve"> </w:t>
      </w:r>
      <w:r>
        <w:t>therapy,</w:t>
      </w:r>
      <w:r>
        <w:rPr>
          <w:spacing w:val="-5"/>
        </w:rPr>
        <w:t xml:space="preserve"> </w:t>
      </w:r>
      <w:r>
        <w:t>occupational</w:t>
      </w:r>
      <w:r>
        <w:rPr>
          <w:spacing w:val="-5"/>
        </w:rPr>
        <w:t xml:space="preserve"> </w:t>
      </w:r>
      <w:r>
        <w:t>therapy,</w:t>
      </w:r>
      <w:r>
        <w:rPr>
          <w:spacing w:val="-5"/>
        </w:rPr>
        <w:t xml:space="preserve"> </w:t>
      </w:r>
      <w:r>
        <w:t>and</w:t>
      </w:r>
      <w:r>
        <w:rPr>
          <w:spacing w:val="-5"/>
        </w:rPr>
        <w:t xml:space="preserve"> </w:t>
      </w:r>
      <w:r>
        <w:t>speech-language</w:t>
      </w:r>
      <w:r>
        <w:rPr>
          <w:spacing w:val="-6"/>
        </w:rPr>
        <w:t xml:space="preserve"> </w:t>
      </w:r>
      <w:r>
        <w:t>therapy)</w:t>
      </w:r>
      <w:r>
        <w:rPr>
          <w:spacing w:val="-5"/>
        </w:rPr>
        <w:t xml:space="preserve"> </w:t>
      </w:r>
      <w:r>
        <w:t>that</w:t>
      </w:r>
      <w:r>
        <w:rPr>
          <w:spacing w:val="-5"/>
        </w:rPr>
        <w:t xml:space="preserve"> </w:t>
      </w:r>
      <w:r>
        <w:t>is</w:t>
      </w:r>
      <w:r>
        <w:rPr>
          <w:spacing w:val="-5"/>
        </w:rPr>
        <w:t xml:space="preserve"> </w:t>
      </w:r>
      <w:r>
        <w:t>ordered</w:t>
      </w:r>
      <w:r>
        <w:rPr>
          <w:spacing w:val="-5"/>
        </w:rPr>
        <w:t xml:space="preserve"> </w:t>
      </w:r>
      <w:r>
        <w:t>by</w:t>
      </w:r>
      <w:r>
        <w:rPr>
          <w:spacing w:val="-13"/>
        </w:rPr>
        <w:t xml:space="preserve"> </w:t>
      </w:r>
      <w:r>
        <w:t>a physician.</w:t>
      </w:r>
    </w:p>
    <w:p w14:paraId="34749C20" w14:textId="77777777" w:rsidR="00500ECE" w:rsidRDefault="00500ECE">
      <w:pPr>
        <w:spacing w:before="6"/>
        <w:rPr>
          <w:rFonts w:ascii="Times New Roman" w:eastAsia="Times New Roman" w:hAnsi="Times New Roman" w:cs="Times New Roman"/>
          <w:sz w:val="24"/>
          <w:szCs w:val="24"/>
        </w:rPr>
      </w:pPr>
    </w:p>
    <w:p w14:paraId="78965309" w14:textId="73EAA7D6" w:rsidR="00500ECE" w:rsidRDefault="003B514C">
      <w:pPr>
        <w:pStyle w:val="BodyText"/>
        <w:spacing w:line="247" w:lineRule="auto"/>
        <w:ind w:left="172" w:right="116"/>
      </w:pPr>
      <w:r>
        <w:t>I</w:t>
      </w:r>
      <w:r w:rsidR="00563B20">
        <w:t>n 2014</w:t>
      </w:r>
      <w:r>
        <w:t>, a final rule  was published that updated the Home Health Prospective Payment System policy and implements a provision of the Affordable Care Act as a condition of payment (79 FR 66032); November 4, 2014)</w:t>
      </w:r>
      <w:r w:rsidR="006A0AD9">
        <w:t xml:space="preserve"> Section </w:t>
      </w:r>
      <w:r>
        <w:t xml:space="preserve">3131(a) </w:t>
      </w:r>
      <w:r w:rsidR="006A0AD9">
        <w:t xml:space="preserve"> of the Affordable Care Act established a</w:t>
      </w:r>
      <w:r w:rsidR="006A0AD9">
        <w:rPr>
          <w:spacing w:val="-35"/>
        </w:rPr>
        <w:t xml:space="preserve"> </w:t>
      </w:r>
      <w:r w:rsidR="006A0AD9">
        <w:t>face-to-face encounter requirement for certification of home health services, by requiring that prior</w:t>
      </w:r>
      <w:r w:rsidR="006A0AD9">
        <w:rPr>
          <w:spacing w:val="-25"/>
        </w:rPr>
        <w:t xml:space="preserve"> </w:t>
      </w:r>
      <w:r w:rsidR="006A0AD9">
        <w:t xml:space="preserve">to </w:t>
      </w:r>
      <w:r w:rsidR="006A0AD9">
        <w:rPr>
          <w:rFonts w:cs="Times New Roman"/>
        </w:rPr>
        <w:t>certifying a patient’s eli</w:t>
      </w:r>
      <w:r w:rsidR="006A0AD9">
        <w:t>gibility for the home health benefit, the physician must</w:t>
      </w:r>
      <w:r w:rsidR="006A0AD9">
        <w:rPr>
          <w:spacing w:val="6"/>
        </w:rPr>
        <w:t xml:space="preserve"> </w:t>
      </w:r>
      <w:r w:rsidR="006A0AD9">
        <w:t>document that the physician or a</w:t>
      </w:r>
      <w:r>
        <w:t xml:space="preserve"> Medicare </w:t>
      </w:r>
      <w:r w:rsidR="006A0AD9">
        <w:t>permitted non-physician pract</w:t>
      </w:r>
      <w:r w:rsidR="009F1800">
        <w:t>it</w:t>
      </w:r>
      <w:r w:rsidR="006A0AD9">
        <w:t>ioner (NPP) has had a</w:t>
      </w:r>
      <w:r w:rsidR="006A0AD9">
        <w:rPr>
          <w:spacing w:val="-24"/>
        </w:rPr>
        <w:t xml:space="preserve"> </w:t>
      </w:r>
      <w:r w:rsidR="006A0AD9">
        <w:t>face-to-face encounter with the patient</w:t>
      </w:r>
      <w:r>
        <w:rPr>
          <w:rStyle w:val="FootnoteReference"/>
        </w:rPr>
        <w:footnoteReference w:id="1"/>
      </w:r>
      <w:r w:rsidR="006A0AD9">
        <w:t xml:space="preserve">. </w:t>
      </w:r>
      <w:r w:rsidR="008C3F23">
        <w:t xml:space="preserve"> </w:t>
      </w:r>
      <w:r w:rsidR="006A0AD9">
        <w:t>Additionally, the Affordable Care Act allows the Secretary</w:t>
      </w:r>
      <w:r w:rsidR="006A0AD9">
        <w:rPr>
          <w:spacing w:val="-30"/>
        </w:rPr>
        <w:t xml:space="preserve"> </w:t>
      </w:r>
      <w:r w:rsidR="006A0AD9">
        <w:t xml:space="preserve">to determine a reasonable timeframe for the encounter to occur. </w:t>
      </w:r>
      <w:r w:rsidR="008C3F23">
        <w:t xml:space="preserve"> </w:t>
      </w:r>
      <w:r w:rsidR="006A0AD9">
        <w:t>To implement the</w:t>
      </w:r>
      <w:r w:rsidR="006A0AD9">
        <w:rPr>
          <w:spacing w:val="-18"/>
        </w:rPr>
        <w:t xml:space="preserve"> </w:t>
      </w:r>
      <w:r w:rsidR="006A0AD9">
        <w:t>above provision of the Affordable Care Act, CMS finalized 42 CFR 424.22 (a)(1)(v)</w:t>
      </w:r>
      <w:r w:rsidR="006A0AD9">
        <w:rPr>
          <w:spacing w:val="13"/>
        </w:rPr>
        <w:t xml:space="preserve"> </w:t>
      </w:r>
      <w:r w:rsidR="006A0AD9">
        <w:t>which requires that the physician responsible for performing the initial certification document</w:t>
      </w:r>
      <w:r w:rsidR="006A0AD9">
        <w:rPr>
          <w:spacing w:val="-25"/>
        </w:rPr>
        <w:t xml:space="preserve"> </w:t>
      </w:r>
      <w:r w:rsidR="006A0AD9">
        <w:t xml:space="preserve">that the face-to-face patient encounter occurred no more than 90 </w:t>
      </w:r>
      <w:r w:rsidR="006A0AD9">
        <w:rPr>
          <w:spacing w:val="-3"/>
        </w:rPr>
        <w:t xml:space="preserve">days </w:t>
      </w:r>
      <w:r w:rsidR="006A0AD9">
        <w:t>prior to the home</w:t>
      </w:r>
      <w:r w:rsidR="006A0AD9">
        <w:rPr>
          <w:spacing w:val="-19"/>
        </w:rPr>
        <w:t xml:space="preserve"> </w:t>
      </w:r>
      <w:r w:rsidR="006A0AD9">
        <w:t xml:space="preserve">health start of care date or within 30 </w:t>
      </w:r>
      <w:r w:rsidR="006A0AD9">
        <w:rPr>
          <w:spacing w:val="-3"/>
        </w:rPr>
        <w:t xml:space="preserve">days </w:t>
      </w:r>
      <w:r w:rsidR="006A0AD9">
        <w:t>of the start of the home health</w:t>
      </w:r>
      <w:r w:rsidR="006A0AD9">
        <w:rPr>
          <w:spacing w:val="-13"/>
        </w:rPr>
        <w:t xml:space="preserve"> </w:t>
      </w:r>
      <w:r w:rsidR="006A0AD9">
        <w:t>care.</w:t>
      </w:r>
    </w:p>
    <w:p w14:paraId="39FC7130" w14:textId="77777777" w:rsidR="00500ECE" w:rsidRDefault="00500ECE">
      <w:pPr>
        <w:spacing w:before="6"/>
        <w:rPr>
          <w:rFonts w:ascii="Times New Roman" w:eastAsia="Times New Roman" w:hAnsi="Times New Roman" w:cs="Times New Roman"/>
          <w:sz w:val="24"/>
          <w:szCs w:val="24"/>
        </w:rPr>
      </w:pPr>
    </w:p>
    <w:p w14:paraId="248F0E17" w14:textId="44FC020C" w:rsidR="00500ECE" w:rsidRDefault="006A0AD9">
      <w:pPr>
        <w:pStyle w:val="BodyText"/>
        <w:spacing w:line="247" w:lineRule="auto"/>
        <w:ind w:left="172" w:right="138"/>
      </w:pPr>
      <w:r>
        <w:t>CMS also implemented three changes to the face-to-face encounter requirements</w:t>
      </w:r>
      <w:r>
        <w:rPr>
          <w:spacing w:val="-15"/>
        </w:rPr>
        <w:t xml:space="preserve"> </w:t>
      </w:r>
      <w:r>
        <w:t>for episodes beginning on or after January 1, 2015</w:t>
      </w:r>
      <w:r w:rsidR="00563B20">
        <w:rPr>
          <w:rStyle w:val="FootnoteReference"/>
        </w:rPr>
        <w:footnoteReference w:id="2"/>
      </w:r>
      <w:r>
        <w:t xml:space="preserve">. </w:t>
      </w:r>
      <w:r w:rsidR="008C3F23">
        <w:t xml:space="preserve"> </w:t>
      </w:r>
      <w:r w:rsidR="00563B20">
        <w:t xml:space="preserve">The first change eliminated the narrative requirement. </w:t>
      </w:r>
      <w:r>
        <w:t>Due to</w:t>
      </w:r>
      <w:r>
        <w:rPr>
          <w:spacing w:val="-19"/>
        </w:rPr>
        <w:t xml:space="preserve"> </w:t>
      </w:r>
      <w:r>
        <w:t>the substantial increase in improper payments and concerns voiced by the home health</w:t>
      </w:r>
      <w:r>
        <w:rPr>
          <w:spacing w:val="-40"/>
        </w:rPr>
        <w:t xml:space="preserve"> </w:t>
      </w:r>
      <w:r>
        <w:t>industry, CMS eliminated the narrative requirement as part of the face-to-face</w:t>
      </w:r>
      <w:r>
        <w:rPr>
          <w:spacing w:val="-27"/>
        </w:rPr>
        <w:t xml:space="preserve"> </w:t>
      </w:r>
      <w:r>
        <w:t>documentation.</w:t>
      </w:r>
    </w:p>
    <w:p w14:paraId="0C35C172" w14:textId="77777777" w:rsidR="0017580B" w:rsidRDefault="0017580B" w:rsidP="0017580B">
      <w:pPr>
        <w:pStyle w:val="BodyText"/>
        <w:ind w:left="172" w:right="138"/>
      </w:pPr>
    </w:p>
    <w:p w14:paraId="1F1C3F0E" w14:textId="4A9B1645" w:rsidR="00500ECE" w:rsidRDefault="006A0AD9" w:rsidP="0017580B">
      <w:pPr>
        <w:pStyle w:val="BodyText"/>
        <w:ind w:left="172" w:right="138"/>
      </w:pPr>
      <w:r>
        <w:t>However, the certifying physician is still required to certify that a face-to-face</w:t>
      </w:r>
      <w:r>
        <w:rPr>
          <w:spacing w:val="-32"/>
        </w:rPr>
        <w:t xml:space="preserve"> </w:t>
      </w:r>
      <w:r>
        <w:t>patient encounter occurred and document the date of the encounter as part of the certification</w:t>
      </w:r>
      <w:r>
        <w:rPr>
          <w:spacing w:val="-20"/>
        </w:rPr>
        <w:t xml:space="preserve"> </w:t>
      </w:r>
      <w:r>
        <w:t xml:space="preserve">of eligibility. </w:t>
      </w:r>
      <w:r w:rsidR="008C3F23">
        <w:t xml:space="preserve"> </w:t>
      </w:r>
      <w:r>
        <w:t>For medical review purposes, CMS requires documentation in the</w:t>
      </w:r>
      <w:r>
        <w:rPr>
          <w:spacing w:val="-23"/>
        </w:rPr>
        <w:t xml:space="preserve"> </w:t>
      </w:r>
      <w:r>
        <w:t xml:space="preserve">certifying </w:t>
      </w:r>
      <w:r>
        <w:rPr>
          <w:rFonts w:cs="Times New Roman"/>
        </w:rPr>
        <w:t>physician’s</w:t>
      </w:r>
      <w:r>
        <w:rPr>
          <w:rFonts w:cs="Times New Roman"/>
          <w:spacing w:val="-4"/>
        </w:rPr>
        <w:t xml:space="preserve"> </w:t>
      </w:r>
      <w:r>
        <w:rPr>
          <w:rFonts w:cs="Times New Roman"/>
        </w:rPr>
        <w:t>medical</w:t>
      </w:r>
      <w:r>
        <w:rPr>
          <w:rFonts w:cs="Times New Roman"/>
          <w:spacing w:val="-4"/>
        </w:rPr>
        <w:t xml:space="preserve"> </w:t>
      </w:r>
      <w:r>
        <w:rPr>
          <w:rFonts w:cs="Times New Roman"/>
        </w:rPr>
        <w:t>records</w:t>
      </w:r>
      <w:r>
        <w:rPr>
          <w:rFonts w:cs="Times New Roman"/>
          <w:spacing w:val="-4"/>
        </w:rPr>
        <w:t xml:space="preserve"> </w:t>
      </w:r>
      <w:r>
        <w:rPr>
          <w:rFonts w:cs="Times New Roman"/>
        </w:rPr>
        <w:t>and/or</w:t>
      </w:r>
      <w:r>
        <w:rPr>
          <w:rFonts w:cs="Times New Roman"/>
          <w:spacing w:val="-4"/>
        </w:rPr>
        <w:t xml:space="preserve"> </w:t>
      </w:r>
      <w:r>
        <w:rPr>
          <w:rFonts w:cs="Times New Roman"/>
        </w:rPr>
        <w:t>the</w:t>
      </w:r>
      <w:r>
        <w:rPr>
          <w:rFonts w:cs="Times New Roman"/>
          <w:spacing w:val="-5"/>
        </w:rPr>
        <w:t xml:space="preserve"> </w:t>
      </w:r>
      <w:r>
        <w:rPr>
          <w:rFonts w:cs="Times New Roman"/>
        </w:rPr>
        <w:t>acute/post</w:t>
      </w:r>
      <w:r>
        <w:t>-</w:t>
      </w:r>
      <w:r>
        <w:rPr>
          <w:rFonts w:cs="Times New Roman"/>
        </w:rPr>
        <w:t>acute</w:t>
      </w:r>
      <w:r>
        <w:rPr>
          <w:rFonts w:cs="Times New Roman"/>
          <w:spacing w:val="-4"/>
        </w:rPr>
        <w:t xml:space="preserve"> </w:t>
      </w:r>
      <w:r>
        <w:rPr>
          <w:rFonts w:cs="Times New Roman"/>
        </w:rPr>
        <w:t>care</w:t>
      </w:r>
      <w:r>
        <w:rPr>
          <w:rFonts w:cs="Times New Roman"/>
          <w:spacing w:val="-6"/>
        </w:rPr>
        <w:t xml:space="preserve"> </w:t>
      </w:r>
      <w:r>
        <w:rPr>
          <w:rFonts w:cs="Times New Roman"/>
        </w:rPr>
        <w:t>facility’s</w:t>
      </w:r>
      <w:r>
        <w:rPr>
          <w:rFonts w:cs="Times New Roman"/>
          <w:spacing w:val="-4"/>
        </w:rPr>
        <w:t xml:space="preserve"> </w:t>
      </w:r>
      <w:r>
        <w:rPr>
          <w:rFonts w:cs="Times New Roman"/>
        </w:rPr>
        <w:t>medical</w:t>
      </w:r>
      <w:r>
        <w:rPr>
          <w:rFonts w:cs="Times New Roman"/>
          <w:spacing w:val="-4"/>
        </w:rPr>
        <w:t xml:space="preserve"> </w:t>
      </w:r>
      <w:r>
        <w:rPr>
          <w:rFonts w:cs="Times New Roman"/>
        </w:rPr>
        <w:t>records</w:t>
      </w:r>
      <w:r>
        <w:rPr>
          <w:rFonts w:cs="Times New Roman"/>
          <w:spacing w:val="-4"/>
        </w:rPr>
        <w:t xml:space="preserve"> </w:t>
      </w:r>
      <w:r>
        <w:rPr>
          <w:rFonts w:cs="Times New Roman"/>
        </w:rPr>
        <w:t>(if</w:t>
      </w:r>
      <w:r>
        <w:rPr>
          <w:rFonts w:cs="Times New Roman"/>
          <w:spacing w:val="-4"/>
        </w:rPr>
        <w:t xml:space="preserve"> </w:t>
      </w:r>
      <w:r>
        <w:rPr>
          <w:rFonts w:cs="Times New Roman"/>
        </w:rPr>
        <w:t xml:space="preserve">the </w:t>
      </w:r>
      <w:r>
        <w:t>patient was directly admitted to home health) to be used as the basis for certification</w:t>
      </w:r>
      <w:r>
        <w:rPr>
          <w:spacing w:val="-22"/>
        </w:rPr>
        <w:t xml:space="preserve"> </w:t>
      </w:r>
      <w:r>
        <w:t>of patient</w:t>
      </w:r>
      <w:r>
        <w:rPr>
          <w:spacing w:val="-11"/>
        </w:rPr>
        <w:t xml:space="preserve"> </w:t>
      </w:r>
      <w:r>
        <w:t>eligibility.</w:t>
      </w:r>
    </w:p>
    <w:p w14:paraId="19ABC67E" w14:textId="77777777" w:rsidR="00500ECE" w:rsidRDefault="00500ECE" w:rsidP="00563B20">
      <w:pPr>
        <w:rPr>
          <w:rFonts w:ascii="Times New Roman" w:eastAsia="Times New Roman" w:hAnsi="Times New Roman" w:cs="Times New Roman"/>
          <w:sz w:val="24"/>
          <w:szCs w:val="24"/>
        </w:rPr>
      </w:pPr>
    </w:p>
    <w:p w14:paraId="5C980788" w14:textId="23964232" w:rsidR="00500ECE" w:rsidRDefault="006A0AD9" w:rsidP="00563B20">
      <w:pPr>
        <w:pStyle w:val="BodyText"/>
        <w:ind w:left="172" w:right="138"/>
      </w:pPr>
      <w:r>
        <w:t>Second, if a</w:t>
      </w:r>
      <w:r w:rsidR="00563B20">
        <w:t xml:space="preserve"> home health claim </w:t>
      </w:r>
      <w:r>
        <w:t>is denied, the corresponding physician claim for</w:t>
      </w:r>
      <w:r>
        <w:rPr>
          <w:spacing w:val="-38"/>
        </w:rPr>
        <w:t xml:space="preserve"> </w:t>
      </w:r>
      <w:r>
        <w:t>certifying/re-</w:t>
      </w:r>
      <w:r w:rsidR="00563B20">
        <w:t>c</w:t>
      </w:r>
      <w:r>
        <w:t>ertifying patient eligibility for Medicare-covered home health services is considered</w:t>
      </w:r>
      <w:r>
        <w:rPr>
          <w:spacing w:val="-35"/>
        </w:rPr>
        <w:t xml:space="preserve"> </w:t>
      </w:r>
      <w:r>
        <w:t>non- covered as well because there is no longer a corresponding claim for</w:t>
      </w:r>
      <w:r>
        <w:rPr>
          <w:spacing w:val="-24"/>
        </w:rPr>
        <w:t xml:space="preserve"> </w:t>
      </w:r>
      <w:r>
        <w:t xml:space="preserve">Medicare-covered home health services. </w:t>
      </w:r>
      <w:r w:rsidR="008C3F23">
        <w:t xml:space="preserve"> </w:t>
      </w:r>
      <w:r>
        <w:rPr>
          <w:spacing w:val="-3"/>
        </w:rPr>
        <w:t xml:space="preserve">Lastly, </w:t>
      </w:r>
      <w:r>
        <w:t>CMS clarified that a face-to-face encounter is required</w:t>
      </w:r>
      <w:r>
        <w:rPr>
          <w:spacing w:val="-11"/>
        </w:rPr>
        <w:t xml:space="preserve"> </w:t>
      </w:r>
      <w:r>
        <w:t>for certifications, rather than initial episodes; and that a certification (versus a re-certification)</w:t>
      </w:r>
      <w:r>
        <w:rPr>
          <w:spacing w:val="-25"/>
        </w:rPr>
        <w:t xml:space="preserve"> </w:t>
      </w:r>
      <w:r>
        <w:t>is generally considered to be at any time a new start of care assessment is completed to</w:t>
      </w:r>
      <w:r>
        <w:rPr>
          <w:spacing w:val="-41"/>
        </w:rPr>
        <w:t xml:space="preserve"> </w:t>
      </w:r>
      <w:r>
        <w:t>initiate care.</w:t>
      </w:r>
    </w:p>
    <w:p w14:paraId="4F65E20B" w14:textId="77777777" w:rsidR="00500ECE" w:rsidRDefault="00500ECE">
      <w:pPr>
        <w:spacing w:before="6"/>
        <w:rPr>
          <w:rFonts w:ascii="Times New Roman" w:eastAsia="Times New Roman" w:hAnsi="Times New Roman" w:cs="Times New Roman"/>
          <w:sz w:val="24"/>
          <w:szCs w:val="24"/>
        </w:rPr>
      </w:pPr>
    </w:p>
    <w:p w14:paraId="129DA095" w14:textId="0F77B89D" w:rsidR="00500ECE" w:rsidRDefault="006A0AD9" w:rsidP="00563B20">
      <w:pPr>
        <w:pStyle w:val="BodyText"/>
        <w:spacing w:line="247" w:lineRule="auto"/>
        <w:ind w:left="180" w:right="102"/>
      </w:pPr>
      <w:r>
        <w:rPr>
          <w:spacing w:val="-3"/>
        </w:rPr>
        <w:t>In</w:t>
      </w:r>
      <w:r>
        <w:rPr>
          <w:spacing w:val="-4"/>
        </w:rPr>
        <w:t xml:space="preserve"> </w:t>
      </w:r>
      <w:r>
        <w:t>April</w:t>
      </w:r>
      <w:r>
        <w:rPr>
          <w:spacing w:val="-4"/>
        </w:rPr>
        <w:t xml:space="preserve"> </w:t>
      </w:r>
      <w:r>
        <w:t>2014,</w:t>
      </w:r>
      <w:r>
        <w:rPr>
          <w:spacing w:val="-4"/>
        </w:rPr>
        <w:t xml:space="preserve"> </w:t>
      </w:r>
      <w:r>
        <w:t>the</w:t>
      </w:r>
      <w:r>
        <w:rPr>
          <w:spacing w:val="-4"/>
        </w:rPr>
        <w:t xml:space="preserve"> </w:t>
      </w:r>
      <w:r>
        <w:t>HHS</w:t>
      </w:r>
      <w:r>
        <w:rPr>
          <w:spacing w:val="-4"/>
        </w:rPr>
        <w:t xml:space="preserve"> </w:t>
      </w:r>
      <w:r>
        <w:t>Office</w:t>
      </w:r>
      <w:r>
        <w:rPr>
          <w:spacing w:val="-5"/>
        </w:rPr>
        <w:t xml:space="preserve"> </w:t>
      </w:r>
      <w:r>
        <w:t>of</w:t>
      </w:r>
      <w:r>
        <w:rPr>
          <w:spacing w:val="-4"/>
        </w:rPr>
        <w:t xml:space="preserve"> </w:t>
      </w:r>
      <w:r>
        <w:t>Inspector</w:t>
      </w:r>
      <w:r>
        <w:rPr>
          <w:spacing w:val="-4"/>
        </w:rPr>
        <w:t xml:space="preserve"> </w:t>
      </w:r>
      <w:r>
        <w:t>General</w:t>
      </w:r>
      <w:r>
        <w:rPr>
          <w:spacing w:val="-4"/>
        </w:rPr>
        <w:t xml:space="preserve"> </w:t>
      </w:r>
      <w:r>
        <w:t>(OIG)</w:t>
      </w:r>
      <w:r>
        <w:rPr>
          <w:spacing w:val="-6"/>
        </w:rPr>
        <w:t xml:space="preserve"> </w:t>
      </w:r>
      <w:r>
        <w:t>released</w:t>
      </w:r>
      <w:r>
        <w:rPr>
          <w:spacing w:val="-4"/>
        </w:rPr>
        <w:t xml:space="preserve"> </w:t>
      </w:r>
      <w:r>
        <w:t>a</w:t>
      </w:r>
      <w:r>
        <w:rPr>
          <w:spacing w:val="-5"/>
        </w:rPr>
        <w:t xml:space="preserve"> </w:t>
      </w:r>
      <w:r>
        <w:t>report</w:t>
      </w:r>
      <w:r>
        <w:rPr>
          <w:spacing w:val="-4"/>
        </w:rPr>
        <w:t xml:space="preserve"> </w:t>
      </w:r>
      <w:r>
        <w:t>entitled</w:t>
      </w:r>
      <w:r>
        <w:rPr>
          <w:spacing w:val="-2"/>
        </w:rPr>
        <w:t xml:space="preserve"> </w:t>
      </w:r>
      <w:r>
        <w:rPr>
          <w:rFonts w:cs="Times New Roman"/>
        </w:rPr>
        <w:t>“Limited Compliance with Medicare’s Home Health Face</w:t>
      </w:r>
      <w:r>
        <w:t xml:space="preserve">-To-Face Documentation </w:t>
      </w:r>
      <w:r>
        <w:rPr>
          <w:rFonts w:cs="Times New Roman"/>
        </w:rPr>
        <w:t>Requirements</w:t>
      </w:r>
      <w:r w:rsidR="00563B20">
        <w:rPr>
          <w:rStyle w:val="FootnoteReference"/>
          <w:rFonts w:cs="Times New Roman"/>
        </w:rPr>
        <w:footnoteReference w:id="3"/>
      </w:r>
      <w:r>
        <w:rPr>
          <w:rFonts w:cs="Times New Roman"/>
        </w:rPr>
        <w:t>.”</w:t>
      </w:r>
      <w:r>
        <w:rPr>
          <w:rFonts w:cs="Times New Roman"/>
          <w:spacing w:val="-26"/>
        </w:rPr>
        <w:t xml:space="preserve"> </w:t>
      </w:r>
      <w:r w:rsidR="008C3F23">
        <w:rPr>
          <w:rFonts w:cs="Times New Roman"/>
          <w:spacing w:val="-26"/>
        </w:rPr>
        <w:t xml:space="preserve"> </w:t>
      </w:r>
      <w:r>
        <w:rPr>
          <w:spacing w:val="-3"/>
        </w:rPr>
        <w:t>In</w:t>
      </w:r>
      <w:r>
        <w:t xml:space="preserve"> </w:t>
      </w:r>
      <w:r>
        <w:rPr>
          <w:rFonts w:cs="Times New Roman"/>
        </w:rPr>
        <w:t xml:space="preserve">this report, the </w:t>
      </w:r>
      <w:r>
        <w:rPr>
          <w:rFonts w:cs="Times New Roman"/>
          <w:spacing w:val="-3"/>
        </w:rPr>
        <w:t xml:space="preserve">OIG </w:t>
      </w:r>
      <w:r>
        <w:rPr>
          <w:rFonts w:cs="Times New Roman"/>
        </w:rPr>
        <w:t xml:space="preserve">recommended that CMS “should </w:t>
      </w:r>
      <w:r>
        <w:t>consider requiring a standardized</w:t>
      </w:r>
      <w:r>
        <w:rPr>
          <w:spacing w:val="-16"/>
        </w:rPr>
        <w:t xml:space="preserve"> </w:t>
      </w:r>
      <w:r>
        <w:t>form to ensure that physicians include all elements required for the face-to-face</w:t>
      </w:r>
      <w:r>
        <w:rPr>
          <w:spacing w:val="-25"/>
        </w:rPr>
        <w:t xml:space="preserve"> </w:t>
      </w:r>
      <w:r>
        <w:t>documentation</w:t>
      </w:r>
      <w:r>
        <w:rPr>
          <w:rFonts w:cs="Times New Roman"/>
        </w:rPr>
        <w:t xml:space="preserve">.” </w:t>
      </w:r>
      <w:r w:rsidR="008C3F23">
        <w:rPr>
          <w:rFonts w:cs="Times New Roman"/>
        </w:rPr>
        <w:t xml:space="preserve"> </w:t>
      </w:r>
      <w:r>
        <w:rPr>
          <w:spacing w:val="-3"/>
        </w:rPr>
        <w:t xml:space="preserve">In </w:t>
      </w:r>
      <w:r>
        <w:t xml:space="preserve">an effort to comply with this </w:t>
      </w:r>
      <w:r w:rsidR="00563B20">
        <w:t>recommendation</w:t>
      </w:r>
      <w:r w:rsidR="007F2344">
        <w:t xml:space="preserve"> </w:t>
      </w:r>
      <w:r>
        <w:t>and with the aim to help reduce the amount</w:t>
      </w:r>
      <w:r>
        <w:rPr>
          <w:spacing w:val="-20"/>
        </w:rPr>
        <w:t xml:space="preserve"> </w:t>
      </w:r>
      <w:r>
        <w:t>of errors in submitting claims for home health services, CMS has developed a home</w:t>
      </w:r>
      <w:r>
        <w:rPr>
          <w:spacing w:val="-17"/>
        </w:rPr>
        <w:t xml:space="preserve"> </w:t>
      </w:r>
      <w:r>
        <w:t>health electronic template and a paper template to assist with documenting a home health</w:t>
      </w:r>
      <w:r>
        <w:rPr>
          <w:spacing w:val="-20"/>
        </w:rPr>
        <w:t xml:space="preserve"> </w:t>
      </w:r>
      <w:r>
        <w:t xml:space="preserve">face-to- face examination. </w:t>
      </w:r>
      <w:r w:rsidR="008C3F23">
        <w:t xml:space="preserve"> </w:t>
      </w:r>
      <w:r>
        <w:t>CMS believes the use of the progress note templates may help</w:t>
      </w:r>
      <w:r>
        <w:rPr>
          <w:spacing w:val="-19"/>
        </w:rPr>
        <w:t xml:space="preserve"> </w:t>
      </w:r>
      <w:r>
        <w:t>assist physicians when d</w:t>
      </w:r>
      <w:r w:rsidR="008C3F23">
        <w:t xml:space="preserve">ocumenting the home health </w:t>
      </w:r>
      <w:r>
        <w:t>face-to-face encounter for</w:t>
      </w:r>
      <w:r>
        <w:rPr>
          <w:spacing w:val="-28"/>
        </w:rPr>
        <w:t xml:space="preserve"> </w:t>
      </w:r>
      <w:r>
        <w:t>Medicare purposes.</w:t>
      </w:r>
      <w:r w:rsidR="00303FCC">
        <w:t xml:space="preserve"> </w:t>
      </w:r>
      <w:r>
        <w:t xml:space="preserve">The use of these templates will be completely voluntary. </w:t>
      </w:r>
      <w:r w:rsidR="008C3F23">
        <w:t xml:space="preserve"> </w:t>
      </w:r>
      <w:r>
        <w:t>They are intended only</w:t>
      </w:r>
      <w:r>
        <w:rPr>
          <w:spacing w:val="10"/>
        </w:rPr>
        <w:t xml:space="preserve"> </w:t>
      </w:r>
      <w:r>
        <w:t>to assist physicians and other practitioners who order home health services in documenting</w:t>
      </w:r>
      <w:r>
        <w:rPr>
          <w:spacing w:val="-26"/>
        </w:rPr>
        <w:t xml:space="preserve"> </w:t>
      </w:r>
      <w:r>
        <w:t>the required elements in their progress</w:t>
      </w:r>
      <w:r>
        <w:rPr>
          <w:spacing w:val="-14"/>
        </w:rPr>
        <w:t xml:space="preserve"> </w:t>
      </w:r>
      <w:r>
        <w:t>notes.</w:t>
      </w:r>
    </w:p>
    <w:p w14:paraId="44262CC6" w14:textId="77777777" w:rsidR="00500ECE" w:rsidRDefault="00500ECE">
      <w:pPr>
        <w:spacing w:before="11"/>
        <w:rPr>
          <w:rFonts w:ascii="Times New Roman" w:eastAsia="Times New Roman" w:hAnsi="Times New Roman" w:cs="Times New Roman"/>
          <w:sz w:val="24"/>
          <w:szCs w:val="24"/>
        </w:rPr>
      </w:pPr>
    </w:p>
    <w:p w14:paraId="07908E10" w14:textId="77777777" w:rsidR="00500ECE" w:rsidRDefault="006A0AD9">
      <w:pPr>
        <w:pStyle w:val="Heading1"/>
        <w:numPr>
          <w:ilvl w:val="0"/>
          <w:numId w:val="1"/>
        </w:numPr>
        <w:tabs>
          <w:tab w:val="left" w:pos="533"/>
        </w:tabs>
        <w:spacing w:before="0"/>
        <w:ind w:left="532" w:right="144" w:hanging="432"/>
        <w:rPr>
          <w:b w:val="0"/>
          <w:bCs w:val="0"/>
        </w:rPr>
      </w:pPr>
      <w:r>
        <w:rPr>
          <w:u w:val="thick" w:color="000000"/>
        </w:rPr>
        <w:t>Justification</w:t>
      </w:r>
    </w:p>
    <w:p w14:paraId="4FA69F07" w14:textId="77777777" w:rsidR="00500ECE" w:rsidRDefault="00500ECE">
      <w:pPr>
        <w:spacing w:before="10"/>
        <w:rPr>
          <w:rFonts w:ascii="Times New Roman" w:eastAsia="Times New Roman" w:hAnsi="Times New Roman" w:cs="Times New Roman"/>
          <w:b/>
          <w:bCs/>
          <w:sz w:val="18"/>
          <w:szCs w:val="18"/>
        </w:rPr>
      </w:pPr>
    </w:p>
    <w:p w14:paraId="462FB79E" w14:textId="77777777" w:rsidR="00500ECE" w:rsidRDefault="006A0AD9">
      <w:pPr>
        <w:pStyle w:val="ListParagraph"/>
        <w:numPr>
          <w:ilvl w:val="1"/>
          <w:numId w:val="1"/>
        </w:numPr>
        <w:tabs>
          <w:tab w:val="left" w:pos="533"/>
        </w:tabs>
        <w:spacing w:before="69"/>
        <w:ind w:right="144"/>
        <w:rPr>
          <w:rFonts w:ascii="Times New Roman" w:eastAsia="Times New Roman" w:hAnsi="Times New Roman" w:cs="Times New Roman"/>
          <w:sz w:val="24"/>
          <w:szCs w:val="24"/>
        </w:rPr>
      </w:pPr>
      <w:r>
        <w:rPr>
          <w:rFonts w:ascii="Times New Roman"/>
          <w:sz w:val="24"/>
          <w:u w:val="single" w:color="000000"/>
        </w:rPr>
        <w:t xml:space="preserve">Need and </w:t>
      </w:r>
      <w:r>
        <w:rPr>
          <w:rFonts w:ascii="Times New Roman"/>
          <w:spacing w:val="-3"/>
          <w:sz w:val="24"/>
          <w:u w:val="single" w:color="000000"/>
        </w:rPr>
        <w:t>Legal</w:t>
      </w:r>
      <w:r>
        <w:rPr>
          <w:rFonts w:ascii="Times New Roman"/>
          <w:spacing w:val="-1"/>
          <w:sz w:val="24"/>
          <w:u w:val="single" w:color="000000"/>
        </w:rPr>
        <w:t xml:space="preserve"> </w:t>
      </w:r>
      <w:r>
        <w:rPr>
          <w:rFonts w:ascii="Times New Roman"/>
          <w:sz w:val="24"/>
          <w:u w:val="single" w:color="000000"/>
        </w:rPr>
        <w:t>Basis</w:t>
      </w:r>
    </w:p>
    <w:p w14:paraId="2FA40DB4" w14:textId="77777777" w:rsidR="00500ECE" w:rsidRDefault="00500ECE">
      <w:pPr>
        <w:spacing w:before="3"/>
        <w:rPr>
          <w:rFonts w:ascii="Times New Roman" w:eastAsia="Times New Roman" w:hAnsi="Times New Roman" w:cs="Times New Roman"/>
          <w:sz w:val="19"/>
          <w:szCs w:val="19"/>
        </w:rPr>
      </w:pPr>
    </w:p>
    <w:p w14:paraId="41BE835F" w14:textId="66753F75" w:rsidR="007147C6" w:rsidRPr="0017580B" w:rsidRDefault="007147C6" w:rsidP="0017580B">
      <w:pPr>
        <w:spacing w:before="3"/>
        <w:ind w:left="532"/>
        <w:rPr>
          <w:rFonts w:ascii="Times New Roman" w:eastAsia="Times New Roman" w:hAnsi="Times New Roman" w:cs="Times New Roman"/>
          <w:sz w:val="24"/>
          <w:szCs w:val="24"/>
        </w:rPr>
      </w:pPr>
      <w:r w:rsidRPr="0017580B">
        <w:rPr>
          <w:rFonts w:ascii="Times New Roman" w:eastAsia="Times New Roman" w:hAnsi="Times New Roman" w:cs="Times New Roman"/>
          <w:sz w:val="24"/>
          <w:szCs w:val="24"/>
        </w:rPr>
        <w:t>In 2014, a final rule was published that updated the Home Health Prospective Payment System policy and implements a provision of the Affordable Care Act as a condition of payment ((79 FR 66032); November 4, 2014).</w:t>
      </w:r>
    </w:p>
    <w:p w14:paraId="3B105920" w14:textId="77777777" w:rsidR="007147C6" w:rsidRDefault="007147C6" w:rsidP="0017580B">
      <w:pPr>
        <w:spacing w:before="3"/>
        <w:ind w:left="532"/>
        <w:rPr>
          <w:rFonts w:ascii="Times New Roman" w:eastAsia="Times New Roman" w:hAnsi="Times New Roman" w:cs="Times New Roman"/>
          <w:sz w:val="19"/>
          <w:szCs w:val="19"/>
        </w:rPr>
      </w:pPr>
    </w:p>
    <w:p w14:paraId="41E60E6E" w14:textId="36323253" w:rsidR="007F2344" w:rsidRDefault="007147C6" w:rsidP="00D44D47">
      <w:pPr>
        <w:pStyle w:val="BodyText"/>
        <w:spacing w:before="69" w:line="247" w:lineRule="auto"/>
        <w:ind w:right="144"/>
      </w:pPr>
      <w:r>
        <w:rPr>
          <w:spacing w:val="-3"/>
        </w:rPr>
        <w:t xml:space="preserve">Also in </w:t>
      </w:r>
      <w:r w:rsidR="006A0AD9">
        <w:t>201</w:t>
      </w:r>
      <w:r w:rsidR="007F2344">
        <w:t>4</w:t>
      </w:r>
      <w:r w:rsidR="006A0AD9">
        <w:t xml:space="preserve">, the Office of Inspector General (OIG) </w:t>
      </w:r>
      <w:r w:rsidR="007F2344">
        <w:t>conducted a study that reviewed 644 face-to-face encounters, the documentation did not meet Medicare requirements, resulting in 2 billion in payments that should not have been made</w:t>
      </w:r>
      <w:r w:rsidR="007F2344">
        <w:rPr>
          <w:rStyle w:val="FootnoteReference"/>
        </w:rPr>
        <w:footnoteReference w:id="4"/>
      </w:r>
      <w:r w:rsidR="007F2344">
        <w:t xml:space="preserve">. </w:t>
      </w:r>
      <w:r w:rsidR="008C3F23">
        <w:t xml:space="preserve"> </w:t>
      </w:r>
      <w:r w:rsidR="007F2344">
        <w:t xml:space="preserve">Furthermore, physicians inconsistently completed the narrative portion of the face to face documentation. </w:t>
      </w:r>
      <w:r w:rsidR="008C3F23">
        <w:t xml:space="preserve"> </w:t>
      </w:r>
      <w:r w:rsidR="007F2344">
        <w:t xml:space="preserve">Some face-to face documents provide information that, although not required by Medicare, could be useful, such as a printed name for the physician and a list of the home health services needed. </w:t>
      </w:r>
      <w:r w:rsidR="008C3F23">
        <w:t xml:space="preserve"> </w:t>
      </w:r>
      <w:r w:rsidR="007F2344">
        <w:t xml:space="preserve">CMS oversight of the face-to face requirement is minimal (Limited Compliance with Medicare’s Home Health Documentation Requirements, Report OEI-01-12-00390; April 9, 2014). </w:t>
      </w:r>
      <w:r w:rsidR="008C3F23">
        <w:t xml:space="preserve"> </w:t>
      </w:r>
      <w:r w:rsidR="007F2344">
        <w:rPr>
          <w:spacing w:val="-3"/>
        </w:rPr>
        <w:t xml:space="preserve">The </w:t>
      </w:r>
      <w:r w:rsidR="007F2344">
        <w:t xml:space="preserve">OIG recommended that CMS (1) consider requiring a standardized form to ensure that physicians include all elements required for the face-to-face documentation, (2) develop a specific strategy to communicate directly with the physicians about the face-to-face requirement, and (3) </w:t>
      </w:r>
      <w:r w:rsidR="007F2344">
        <w:lastRenderedPageBreak/>
        <w:t xml:space="preserve">develop other oversight mechanisms for the face to face requirement. </w:t>
      </w:r>
      <w:r w:rsidR="008C3F23">
        <w:t xml:space="preserve"> </w:t>
      </w:r>
      <w:r w:rsidR="007F2344">
        <w:t xml:space="preserve">CMS concurred with all these recommendation (Medicare’s Home Health Documentation Requirements. </w:t>
      </w:r>
      <w:r w:rsidR="008C3F23">
        <w:t xml:space="preserve"> </w:t>
      </w:r>
      <w:r w:rsidR="007F2344">
        <w:t>Report OEI-01-12-00390.</w:t>
      </w:r>
    </w:p>
    <w:p w14:paraId="21349B14" w14:textId="77777777" w:rsidR="00D44D47" w:rsidRDefault="00D44D47">
      <w:pPr>
        <w:pStyle w:val="BodyText"/>
        <w:spacing w:line="247" w:lineRule="auto"/>
        <w:ind w:right="167"/>
        <w:rPr>
          <w:spacing w:val="-3"/>
        </w:rPr>
      </w:pPr>
    </w:p>
    <w:p w14:paraId="1303DDD1" w14:textId="05AE667A" w:rsidR="00500ECE" w:rsidRDefault="006A0AD9">
      <w:pPr>
        <w:pStyle w:val="BodyText"/>
        <w:spacing w:line="247" w:lineRule="auto"/>
        <w:ind w:right="167"/>
      </w:pPr>
      <w:r w:rsidRPr="00690FB1">
        <w:rPr>
          <w:spacing w:val="-3"/>
        </w:rPr>
        <w:t xml:space="preserve">In </w:t>
      </w:r>
      <w:r w:rsidRPr="00690FB1">
        <w:t xml:space="preserve">fiscal </w:t>
      </w:r>
      <w:r w:rsidRPr="00690FB1">
        <w:rPr>
          <w:spacing w:val="-3"/>
        </w:rPr>
        <w:t xml:space="preserve">year </w:t>
      </w:r>
      <w:r w:rsidRPr="00690FB1">
        <w:t>(FY) 2014, the Comprehensive Error Rate Testing (CERT) program found</w:t>
      </w:r>
      <w:r w:rsidRPr="00690FB1">
        <w:rPr>
          <w:spacing w:val="-19"/>
        </w:rPr>
        <w:t xml:space="preserve"> </w:t>
      </w:r>
      <w:r w:rsidRPr="00690FB1">
        <w:t>that more than half (51.4 percent) of the home health claims were paid improperly.</w:t>
      </w:r>
      <w:r w:rsidR="00220D09" w:rsidRPr="00690FB1">
        <w:rPr>
          <w:rStyle w:val="FootnoteReference"/>
        </w:rPr>
        <w:footnoteReference w:id="5"/>
      </w:r>
      <w:r w:rsidRPr="00690FB1">
        <w:t xml:space="preserve"> </w:t>
      </w:r>
      <w:r w:rsidR="008C3F23" w:rsidRPr="00690FB1">
        <w:t xml:space="preserve"> </w:t>
      </w:r>
      <w:r w:rsidRPr="00690FB1">
        <w:t>Of the</w:t>
      </w:r>
      <w:r w:rsidRPr="00690FB1">
        <w:rPr>
          <w:spacing w:val="-28"/>
        </w:rPr>
        <w:t xml:space="preserve"> </w:t>
      </w:r>
      <w:r w:rsidRPr="00690FB1">
        <w:t>1308 CERT-reviewed claim lines in error, approximately 90 percent were found to</w:t>
      </w:r>
      <w:r w:rsidRPr="00690FB1">
        <w:rPr>
          <w:spacing w:val="-17"/>
        </w:rPr>
        <w:t xml:space="preserve"> </w:t>
      </w:r>
      <w:r w:rsidRPr="00690FB1">
        <w:t xml:space="preserve">have insufficient documentation errors. </w:t>
      </w:r>
      <w:r w:rsidR="008C3F23" w:rsidRPr="00690FB1">
        <w:t xml:space="preserve"> </w:t>
      </w:r>
      <w:r w:rsidRPr="00690FB1">
        <w:t>The majority of these errors were due to</w:t>
      </w:r>
      <w:r w:rsidRPr="00690FB1">
        <w:rPr>
          <w:spacing w:val="-24"/>
        </w:rPr>
        <w:t xml:space="preserve"> </w:t>
      </w:r>
      <w:r w:rsidRPr="00690FB1">
        <w:t>inadequate documentation supporting the face-to-face</w:t>
      </w:r>
      <w:r w:rsidRPr="00690FB1">
        <w:rPr>
          <w:spacing w:val="-19"/>
        </w:rPr>
        <w:t xml:space="preserve"> </w:t>
      </w:r>
      <w:r w:rsidRPr="00690FB1">
        <w:t>requirement.</w:t>
      </w:r>
    </w:p>
    <w:p w14:paraId="7FCDFBDA" w14:textId="77777777" w:rsidR="00500ECE" w:rsidRDefault="00500ECE">
      <w:pPr>
        <w:spacing w:before="3"/>
        <w:rPr>
          <w:rFonts w:ascii="Times New Roman" w:eastAsia="Times New Roman" w:hAnsi="Times New Roman" w:cs="Times New Roman"/>
          <w:sz w:val="25"/>
          <w:szCs w:val="25"/>
        </w:rPr>
      </w:pPr>
    </w:p>
    <w:p w14:paraId="1C43D934" w14:textId="77777777" w:rsidR="00500ECE" w:rsidRDefault="006A0AD9">
      <w:pPr>
        <w:pStyle w:val="ListParagraph"/>
        <w:numPr>
          <w:ilvl w:val="1"/>
          <w:numId w:val="1"/>
        </w:numPr>
        <w:tabs>
          <w:tab w:val="left" w:pos="533"/>
        </w:tabs>
        <w:ind w:right="144"/>
        <w:rPr>
          <w:rFonts w:ascii="Times New Roman" w:eastAsia="Times New Roman" w:hAnsi="Times New Roman" w:cs="Times New Roman"/>
          <w:sz w:val="24"/>
          <w:szCs w:val="24"/>
        </w:rPr>
      </w:pPr>
      <w:r>
        <w:rPr>
          <w:rFonts w:ascii="Times New Roman"/>
          <w:sz w:val="24"/>
          <w:u w:val="single" w:color="000000"/>
        </w:rPr>
        <w:t>Information</w:t>
      </w:r>
      <w:r>
        <w:rPr>
          <w:rFonts w:ascii="Times New Roman"/>
          <w:spacing w:val="-1"/>
          <w:sz w:val="24"/>
          <w:u w:val="single" w:color="000000"/>
        </w:rPr>
        <w:t xml:space="preserve"> </w:t>
      </w:r>
      <w:r>
        <w:rPr>
          <w:rFonts w:ascii="Times New Roman"/>
          <w:sz w:val="24"/>
          <w:u w:val="single" w:color="000000"/>
        </w:rPr>
        <w:t>Users</w:t>
      </w:r>
    </w:p>
    <w:p w14:paraId="71F04EDE" w14:textId="77777777" w:rsidR="00500ECE" w:rsidRDefault="00500ECE">
      <w:pPr>
        <w:spacing w:before="3"/>
        <w:rPr>
          <w:rFonts w:ascii="Times New Roman" w:eastAsia="Times New Roman" w:hAnsi="Times New Roman" w:cs="Times New Roman"/>
          <w:sz w:val="19"/>
          <w:szCs w:val="19"/>
        </w:rPr>
      </w:pPr>
    </w:p>
    <w:p w14:paraId="2B0E9695" w14:textId="656AF82A" w:rsidR="00500ECE" w:rsidRDefault="006A0AD9">
      <w:pPr>
        <w:pStyle w:val="BodyText"/>
        <w:spacing w:before="69" w:line="247" w:lineRule="auto"/>
        <w:ind w:right="102"/>
      </w:pPr>
      <w:r w:rsidRPr="00690FB1">
        <w:t xml:space="preserve">The primary users of these new clinical templates will be physicians and/or </w:t>
      </w:r>
      <w:r w:rsidR="00D44D47" w:rsidRPr="00690FB1">
        <w:t xml:space="preserve">Medicare </w:t>
      </w:r>
      <w:r w:rsidRPr="00690FB1">
        <w:t>allowed</w:t>
      </w:r>
      <w:r w:rsidRPr="00690FB1">
        <w:rPr>
          <w:spacing w:val="-31"/>
        </w:rPr>
        <w:t xml:space="preserve"> </w:t>
      </w:r>
      <w:r w:rsidRPr="00690FB1">
        <w:t>NPPs. The templates will help users to capture the necessary information needed to complete</w:t>
      </w:r>
      <w:r w:rsidRPr="00690FB1">
        <w:rPr>
          <w:spacing w:val="-23"/>
        </w:rPr>
        <w:t xml:space="preserve"> </w:t>
      </w:r>
      <w:r w:rsidRPr="00690FB1">
        <w:t xml:space="preserve">the face-to-face encounter documentation. This will help physicians and/or </w:t>
      </w:r>
      <w:r w:rsidR="00D44D47" w:rsidRPr="00690FB1">
        <w:t xml:space="preserve">Medicare </w:t>
      </w:r>
      <w:r w:rsidRPr="00690FB1">
        <w:t>allowed</w:t>
      </w:r>
      <w:r w:rsidRPr="00690FB1">
        <w:rPr>
          <w:spacing w:val="-16"/>
        </w:rPr>
        <w:t xml:space="preserve"> </w:t>
      </w:r>
      <w:r w:rsidRPr="00690FB1">
        <w:t>NPPs comply</w:t>
      </w:r>
      <w:r w:rsidRPr="00690FB1">
        <w:rPr>
          <w:spacing w:val="-10"/>
        </w:rPr>
        <w:t xml:space="preserve"> </w:t>
      </w:r>
      <w:r w:rsidRPr="00690FB1">
        <w:t>with</w:t>
      </w:r>
      <w:r w:rsidRPr="00690FB1">
        <w:rPr>
          <w:spacing w:val="-2"/>
        </w:rPr>
        <w:t xml:space="preserve"> </w:t>
      </w:r>
      <w:r w:rsidRPr="00690FB1">
        <w:t>Medicare</w:t>
      </w:r>
      <w:r w:rsidRPr="00690FB1">
        <w:rPr>
          <w:spacing w:val="-3"/>
        </w:rPr>
        <w:t xml:space="preserve"> </w:t>
      </w:r>
      <w:r w:rsidRPr="00690FB1">
        <w:t>policy</w:t>
      </w:r>
      <w:r w:rsidRPr="00690FB1">
        <w:rPr>
          <w:spacing w:val="-10"/>
        </w:rPr>
        <w:t xml:space="preserve"> </w:t>
      </w:r>
      <w:r w:rsidRPr="00690FB1">
        <w:t>requirements,</w:t>
      </w:r>
      <w:r w:rsidRPr="00690FB1">
        <w:rPr>
          <w:spacing w:val="-2"/>
        </w:rPr>
        <w:t xml:space="preserve"> </w:t>
      </w:r>
      <w:r w:rsidRPr="00690FB1">
        <w:t>thereby</w:t>
      </w:r>
      <w:r w:rsidRPr="00690FB1">
        <w:rPr>
          <w:spacing w:val="-10"/>
        </w:rPr>
        <w:t xml:space="preserve"> </w:t>
      </w:r>
      <w:r w:rsidRPr="00690FB1">
        <w:t>reducing</w:t>
      </w:r>
      <w:r w:rsidRPr="00690FB1">
        <w:rPr>
          <w:spacing w:val="-4"/>
        </w:rPr>
        <w:t xml:space="preserve"> </w:t>
      </w:r>
      <w:r w:rsidRPr="00690FB1">
        <w:t>the</w:t>
      </w:r>
      <w:r w:rsidRPr="00690FB1">
        <w:rPr>
          <w:spacing w:val="-2"/>
        </w:rPr>
        <w:t xml:space="preserve"> </w:t>
      </w:r>
      <w:r w:rsidRPr="00690FB1">
        <w:t>possibility</w:t>
      </w:r>
      <w:r w:rsidRPr="00690FB1">
        <w:rPr>
          <w:spacing w:val="-9"/>
        </w:rPr>
        <w:t xml:space="preserve"> </w:t>
      </w:r>
      <w:r w:rsidRPr="00690FB1">
        <w:t>of</w:t>
      </w:r>
      <w:r w:rsidRPr="00690FB1">
        <w:rPr>
          <w:spacing w:val="-2"/>
        </w:rPr>
        <w:t xml:space="preserve"> </w:t>
      </w:r>
      <w:r w:rsidRPr="00690FB1">
        <w:t>a</w:t>
      </w:r>
      <w:r w:rsidRPr="00690FB1">
        <w:rPr>
          <w:spacing w:val="-4"/>
        </w:rPr>
        <w:t xml:space="preserve"> </w:t>
      </w:r>
      <w:r w:rsidRPr="00690FB1">
        <w:t>home</w:t>
      </w:r>
      <w:r w:rsidRPr="00690FB1">
        <w:rPr>
          <w:spacing w:val="-2"/>
        </w:rPr>
        <w:t xml:space="preserve"> </w:t>
      </w:r>
      <w:r w:rsidRPr="00690FB1">
        <w:t>health claim not being paid because of failure to meet Medicare</w:t>
      </w:r>
      <w:r w:rsidRPr="00690FB1">
        <w:rPr>
          <w:spacing w:val="-23"/>
        </w:rPr>
        <w:t xml:space="preserve"> </w:t>
      </w:r>
      <w:r w:rsidRPr="00690FB1">
        <w:t>requirements.</w:t>
      </w:r>
      <w:r w:rsidR="00220D09">
        <w:t xml:space="preserve">  </w:t>
      </w:r>
      <w:r w:rsidR="001439DD">
        <w:t>P</w:t>
      </w:r>
      <w:r w:rsidR="00220D09" w:rsidRPr="00220D09">
        <w:t xml:space="preserve">roviders may submit </w:t>
      </w:r>
      <w:r w:rsidR="001439DD">
        <w:t>the template</w:t>
      </w:r>
      <w:r w:rsidR="00220D09" w:rsidRPr="00220D09">
        <w:t xml:space="preserve"> as part of additional documentation requests made by </w:t>
      </w:r>
      <w:r w:rsidR="00FB0D71">
        <w:t xml:space="preserve">Medicare </w:t>
      </w:r>
      <w:r w:rsidR="00220D09" w:rsidRPr="00220D09">
        <w:t xml:space="preserve">review contractors.  </w:t>
      </w:r>
      <w:r w:rsidR="00220D09">
        <w:t xml:space="preserve">CMS’ Medicare review contractors </w:t>
      </w:r>
      <w:r w:rsidR="00B64BF3">
        <w:t>will use the information to verify compliance with Medicare policy requirements.</w:t>
      </w:r>
    </w:p>
    <w:p w14:paraId="69B39663" w14:textId="77777777" w:rsidR="00500ECE" w:rsidRDefault="00500ECE">
      <w:pPr>
        <w:spacing w:before="6"/>
        <w:rPr>
          <w:rFonts w:ascii="Times New Roman" w:eastAsia="Times New Roman" w:hAnsi="Times New Roman" w:cs="Times New Roman"/>
          <w:sz w:val="24"/>
          <w:szCs w:val="24"/>
        </w:rPr>
      </w:pPr>
    </w:p>
    <w:p w14:paraId="299D4003" w14:textId="77777777" w:rsidR="00500ECE" w:rsidRDefault="006A0AD9">
      <w:pPr>
        <w:pStyle w:val="ListParagraph"/>
        <w:numPr>
          <w:ilvl w:val="1"/>
          <w:numId w:val="1"/>
        </w:numPr>
        <w:tabs>
          <w:tab w:val="left" w:pos="533"/>
        </w:tabs>
        <w:ind w:right="144"/>
        <w:rPr>
          <w:rFonts w:ascii="Times New Roman" w:eastAsia="Times New Roman" w:hAnsi="Times New Roman" w:cs="Times New Roman"/>
          <w:sz w:val="24"/>
          <w:szCs w:val="24"/>
        </w:rPr>
      </w:pPr>
      <w:r>
        <w:rPr>
          <w:rFonts w:ascii="Times New Roman"/>
          <w:sz w:val="24"/>
          <w:u w:val="single" w:color="000000"/>
        </w:rPr>
        <w:t>Use of Information</w:t>
      </w:r>
      <w:r>
        <w:rPr>
          <w:rFonts w:ascii="Times New Roman"/>
          <w:spacing w:val="-3"/>
          <w:sz w:val="24"/>
          <w:u w:val="single" w:color="000000"/>
        </w:rPr>
        <w:t xml:space="preserve"> </w:t>
      </w:r>
      <w:r>
        <w:rPr>
          <w:rFonts w:ascii="Times New Roman"/>
          <w:sz w:val="24"/>
          <w:u w:val="single" w:color="000000"/>
        </w:rPr>
        <w:t>Technology</w:t>
      </w:r>
    </w:p>
    <w:p w14:paraId="10AD8A16" w14:textId="77777777" w:rsidR="00500ECE" w:rsidRDefault="00500ECE">
      <w:pPr>
        <w:spacing w:before="3"/>
        <w:rPr>
          <w:rFonts w:ascii="Times New Roman" w:eastAsia="Times New Roman" w:hAnsi="Times New Roman" w:cs="Times New Roman"/>
          <w:sz w:val="19"/>
          <w:szCs w:val="19"/>
        </w:rPr>
      </w:pPr>
    </w:p>
    <w:p w14:paraId="6C971D0B" w14:textId="0B28C492" w:rsidR="00500ECE" w:rsidRDefault="006A0AD9">
      <w:pPr>
        <w:pStyle w:val="BodyText"/>
        <w:spacing w:before="69" w:line="247" w:lineRule="auto"/>
        <w:ind w:right="473"/>
        <w:jc w:val="both"/>
      </w:pPr>
      <w:r>
        <w:t>Physicians and/or allowed NPPs may use various information technologies to store</w:t>
      </w:r>
      <w:r>
        <w:rPr>
          <w:spacing w:val="-28"/>
        </w:rPr>
        <w:t xml:space="preserve"> </w:t>
      </w:r>
      <w:r>
        <w:t>these clinical record templates as long as they are consistent with the existing confidentiality</w:t>
      </w:r>
      <w:r>
        <w:rPr>
          <w:spacing w:val="-38"/>
        </w:rPr>
        <w:t xml:space="preserve"> </w:t>
      </w:r>
      <w:r>
        <w:t>in record-keeping regulations at 42 CFR</w:t>
      </w:r>
      <w:r>
        <w:rPr>
          <w:spacing w:val="-16"/>
        </w:rPr>
        <w:t xml:space="preserve"> </w:t>
      </w:r>
      <w:r>
        <w:t>485.638.</w:t>
      </w:r>
      <w:r w:rsidR="007147C6">
        <w:t xml:space="preserve">  CMS does not use technology, but the HHA could use Electronic Health Record vendors to document the electronic submission.</w:t>
      </w:r>
    </w:p>
    <w:p w14:paraId="7C4231E4" w14:textId="77777777" w:rsidR="00500ECE" w:rsidRDefault="00500ECE">
      <w:pPr>
        <w:spacing w:before="6"/>
        <w:rPr>
          <w:rFonts w:ascii="Times New Roman" w:eastAsia="Times New Roman" w:hAnsi="Times New Roman" w:cs="Times New Roman"/>
          <w:sz w:val="24"/>
          <w:szCs w:val="24"/>
        </w:rPr>
      </w:pPr>
    </w:p>
    <w:p w14:paraId="1281049F" w14:textId="77777777" w:rsidR="00500ECE" w:rsidRDefault="006A0AD9">
      <w:pPr>
        <w:pStyle w:val="ListParagraph"/>
        <w:numPr>
          <w:ilvl w:val="1"/>
          <w:numId w:val="1"/>
        </w:numPr>
        <w:tabs>
          <w:tab w:val="left" w:pos="533"/>
        </w:tabs>
        <w:ind w:right="144"/>
        <w:rPr>
          <w:rFonts w:ascii="Times New Roman" w:eastAsia="Times New Roman" w:hAnsi="Times New Roman" w:cs="Times New Roman"/>
          <w:sz w:val="24"/>
          <w:szCs w:val="24"/>
        </w:rPr>
      </w:pPr>
      <w:r>
        <w:rPr>
          <w:rFonts w:ascii="Times New Roman"/>
          <w:sz w:val="24"/>
          <w:u w:val="single" w:color="000000"/>
        </w:rPr>
        <w:t>Duplication of</w:t>
      </w:r>
      <w:r>
        <w:rPr>
          <w:rFonts w:ascii="Times New Roman"/>
          <w:spacing w:val="-2"/>
          <w:sz w:val="24"/>
          <w:u w:val="single" w:color="000000"/>
        </w:rPr>
        <w:t xml:space="preserve"> </w:t>
      </w:r>
      <w:r>
        <w:rPr>
          <w:rFonts w:ascii="Times New Roman"/>
          <w:sz w:val="24"/>
          <w:u w:val="single" w:color="000000"/>
        </w:rPr>
        <w:t>Efforts</w:t>
      </w:r>
    </w:p>
    <w:p w14:paraId="7A9B06EC" w14:textId="77777777" w:rsidR="00500ECE" w:rsidRDefault="00500ECE">
      <w:pPr>
        <w:spacing w:before="3"/>
        <w:rPr>
          <w:rFonts w:ascii="Times New Roman" w:eastAsia="Times New Roman" w:hAnsi="Times New Roman" w:cs="Times New Roman"/>
          <w:sz w:val="19"/>
          <w:szCs w:val="19"/>
        </w:rPr>
      </w:pPr>
    </w:p>
    <w:p w14:paraId="076E8FE4" w14:textId="42E31943" w:rsidR="007147C6" w:rsidRPr="008F2975" w:rsidRDefault="007147C6" w:rsidP="007147C6">
      <w:pPr>
        <w:pStyle w:val="BodyText"/>
        <w:spacing w:before="69" w:line="247" w:lineRule="auto"/>
        <w:ind w:left="460" w:right="102"/>
      </w:pPr>
      <w:r w:rsidRPr="008F2975">
        <w:t xml:space="preserve">Section 3131(a) 6407 of the Affordable Care Act established a face-to-face encounter requirement for certification of home health services, by requiring that prior to certifying a patient’s eligibility for the home health benefit, the physician must document that the physician or a Medicare permitted non-physician practitioner has had a face-to-face encounter with the patient.  Additionally, the Affordable Care Act allows the Secretary to determine a reasonable timeframe for the encounter to occur.  To implement the above provision of the Affordable Care Act, CMS finalized 42 CFR 424.22 (a)(1)(v) which requires that the physician responsible for performing the initial certification document </w:t>
      </w:r>
      <w:r w:rsidRPr="008F2975">
        <w:lastRenderedPageBreak/>
        <w:t xml:space="preserve">that the face-to-face patient encounter occurred no more than 90 days prior to the home health start of care date or within 30 days of the start of the home health care.  </w:t>
      </w:r>
    </w:p>
    <w:p w14:paraId="3792C53E" w14:textId="77777777" w:rsidR="007147C6" w:rsidRPr="008F2975" w:rsidRDefault="007147C6" w:rsidP="007147C6">
      <w:pPr>
        <w:pStyle w:val="BodyText"/>
        <w:spacing w:before="69" w:line="247" w:lineRule="auto"/>
        <w:ind w:left="460" w:right="102"/>
      </w:pPr>
    </w:p>
    <w:p w14:paraId="2AB0EE48" w14:textId="39DDB438" w:rsidR="007147C6" w:rsidRPr="008F2975" w:rsidRDefault="007147C6" w:rsidP="007147C6">
      <w:pPr>
        <w:pStyle w:val="BodyText"/>
        <w:spacing w:before="69" w:line="247" w:lineRule="auto"/>
        <w:ind w:left="460" w:right="102"/>
      </w:pPr>
      <w:r w:rsidRPr="008F2975">
        <w:t xml:space="preserve">To date, this information was collected through </w:t>
      </w:r>
      <w:r w:rsidR="0013155B" w:rsidRPr="008F2975">
        <w:t>medical documentation submitted to the review contractors to support Medicare coverage requirements.  This information would be sent via mail, fax, or electronically</w:t>
      </w:r>
      <w:r w:rsidRPr="008F2975">
        <w:t xml:space="preserve">.  </w:t>
      </w:r>
    </w:p>
    <w:p w14:paraId="53B2A4F1" w14:textId="77777777" w:rsidR="007147C6" w:rsidRPr="008F2975" w:rsidRDefault="007147C6" w:rsidP="00807FB4">
      <w:pPr>
        <w:spacing w:before="3"/>
        <w:ind w:left="460"/>
        <w:rPr>
          <w:rFonts w:ascii="Times New Roman" w:eastAsia="Times New Roman" w:hAnsi="Times New Roman" w:cs="Times New Roman"/>
          <w:sz w:val="19"/>
          <w:szCs w:val="19"/>
        </w:rPr>
      </w:pPr>
    </w:p>
    <w:p w14:paraId="286590A9" w14:textId="4FCB6289" w:rsidR="00500ECE" w:rsidRDefault="006A0AD9">
      <w:pPr>
        <w:pStyle w:val="BodyText"/>
        <w:spacing w:before="69" w:line="247" w:lineRule="auto"/>
        <w:ind w:left="460" w:right="102"/>
      </w:pPr>
      <w:r w:rsidRPr="008F2975">
        <w:t>These clinical templates are unique reporting forms that</w:t>
      </w:r>
      <w:r w:rsidR="007147C6" w:rsidRPr="008F2975">
        <w:t xml:space="preserve"> seek to capture the same information. They are voluntary and are not intended</w:t>
      </w:r>
      <w:r w:rsidR="008D05F0" w:rsidRPr="008F2975">
        <w:t xml:space="preserve"> to be duplicative. </w:t>
      </w:r>
      <w:r w:rsidR="00807FB4" w:rsidRPr="008F2975">
        <w:t xml:space="preserve"> Given the lack of success in collecting this information without a template, CMS hopes this voluntary form will improve compliance. </w:t>
      </w:r>
      <w:r w:rsidRPr="008F2975">
        <w:t xml:space="preserve"> </w:t>
      </w:r>
    </w:p>
    <w:p w14:paraId="5B6B5FDC" w14:textId="77777777" w:rsidR="00500ECE" w:rsidRDefault="00500ECE">
      <w:pPr>
        <w:spacing w:before="6"/>
        <w:rPr>
          <w:rFonts w:ascii="Times New Roman" w:eastAsia="Times New Roman" w:hAnsi="Times New Roman" w:cs="Times New Roman"/>
          <w:sz w:val="24"/>
          <w:szCs w:val="24"/>
        </w:rPr>
      </w:pPr>
    </w:p>
    <w:p w14:paraId="41496B2A" w14:textId="77777777" w:rsidR="00500ECE" w:rsidRDefault="006A0AD9">
      <w:pPr>
        <w:pStyle w:val="ListParagraph"/>
        <w:numPr>
          <w:ilvl w:val="1"/>
          <w:numId w:val="1"/>
        </w:numPr>
        <w:tabs>
          <w:tab w:val="left" w:pos="533"/>
        </w:tabs>
        <w:ind w:right="144"/>
        <w:rPr>
          <w:rFonts w:ascii="Times New Roman" w:eastAsia="Times New Roman" w:hAnsi="Times New Roman" w:cs="Times New Roman"/>
          <w:sz w:val="24"/>
          <w:szCs w:val="24"/>
        </w:rPr>
      </w:pPr>
      <w:r>
        <w:rPr>
          <w:rFonts w:ascii="Times New Roman"/>
          <w:sz w:val="24"/>
          <w:u w:val="single" w:color="000000"/>
        </w:rPr>
        <w:t>Small</w:t>
      </w:r>
      <w:r>
        <w:rPr>
          <w:rFonts w:ascii="Times New Roman"/>
          <w:spacing w:val="-1"/>
          <w:sz w:val="24"/>
          <w:u w:val="single" w:color="000000"/>
        </w:rPr>
        <w:t xml:space="preserve"> </w:t>
      </w:r>
      <w:r>
        <w:rPr>
          <w:rFonts w:ascii="Times New Roman"/>
          <w:sz w:val="24"/>
          <w:u w:val="single" w:color="000000"/>
        </w:rPr>
        <w:t>Businesses</w:t>
      </w:r>
    </w:p>
    <w:p w14:paraId="38A107D8" w14:textId="77777777" w:rsidR="00500ECE" w:rsidRDefault="00500ECE">
      <w:pPr>
        <w:spacing w:before="3"/>
        <w:rPr>
          <w:rFonts w:ascii="Times New Roman" w:eastAsia="Times New Roman" w:hAnsi="Times New Roman" w:cs="Times New Roman"/>
          <w:sz w:val="19"/>
          <w:szCs w:val="19"/>
        </w:rPr>
      </w:pPr>
    </w:p>
    <w:p w14:paraId="14B6BE4A" w14:textId="31BE47C2" w:rsidR="00500ECE" w:rsidRDefault="006A0AD9">
      <w:pPr>
        <w:pStyle w:val="BodyText"/>
        <w:spacing w:before="69" w:line="247" w:lineRule="auto"/>
        <w:ind w:right="102"/>
      </w:pPr>
      <w:r>
        <w:t xml:space="preserve">The use of these </w:t>
      </w:r>
      <w:r w:rsidR="00D44D47">
        <w:t xml:space="preserve">voluntary </w:t>
      </w:r>
      <w:r>
        <w:t>new clinical templates will not place a significant reporting burden on</w:t>
      </w:r>
      <w:r>
        <w:rPr>
          <w:spacing w:val="-29"/>
        </w:rPr>
        <w:t xml:space="preserve"> </w:t>
      </w:r>
      <w:r>
        <w:t xml:space="preserve">small business providers. </w:t>
      </w:r>
      <w:r w:rsidR="008C3F23">
        <w:t xml:space="preserve"> </w:t>
      </w:r>
      <w:r>
        <w:t>Physicians and/or Medicare allowed NPPs already maintain the</w:t>
      </w:r>
      <w:r>
        <w:rPr>
          <w:spacing w:val="-30"/>
        </w:rPr>
        <w:t xml:space="preserve"> </w:t>
      </w:r>
      <w:r>
        <w:t xml:space="preserve">clinical information, regardless of format, </w:t>
      </w:r>
      <w:r>
        <w:rPr>
          <w:rFonts w:cs="Times New Roman"/>
        </w:rPr>
        <w:t xml:space="preserve">in the beneficiary’s medical record. </w:t>
      </w:r>
      <w:r>
        <w:t>Because the</w:t>
      </w:r>
      <w:r>
        <w:rPr>
          <w:spacing w:val="-29"/>
        </w:rPr>
        <w:t xml:space="preserve"> </w:t>
      </w:r>
      <w:r>
        <w:t>burden estimates for providers are directly related to patient care, we estimate that a smaller</w:t>
      </w:r>
      <w:r>
        <w:rPr>
          <w:spacing w:val="-33"/>
        </w:rPr>
        <w:t xml:space="preserve"> </w:t>
      </w:r>
      <w:r>
        <w:t>patient census will lead to a reduced burden since smaller businesses have fewer staff,</w:t>
      </w:r>
      <w:r>
        <w:rPr>
          <w:spacing w:val="-16"/>
        </w:rPr>
        <w:t xml:space="preserve"> </w:t>
      </w:r>
      <w:r>
        <w:t>fewer patients, and complete less data collection</w:t>
      </w:r>
      <w:r>
        <w:rPr>
          <w:spacing w:val="-11"/>
        </w:rPr>
        <w:t xml:space="preserve"> </w:t>
      </w:r>
      <w:r>
        <w:t>etc.</w:t>
      </w:r>
    </w:p>
    <w:p w14:paraId="41AEE809" w14:textId="77777777" w:rsidR="00500ECE" w:rsidRDefault="00500ECE">
      <w:pPr>
        <w:spacing w:before="6"/>
        <w:rPr>
          <w:rFonts w:ascii="Times New Roman" w:eastAsia="Times New Roman" w:hAnsi="Times New Roman" w:cs="Times New Roman"/>
          <w:sz w:val="24"/>
          <w:szCs w:val="24"/>
        </w:rPr>
      </w:pPr>
    </w:p>
    <w:p w14:paraId="6E088239" w14:textId="77777777" w:rsidR="00500ECE" w:rsidRDefault="006A0AD9">
      <w:pPr>
        <w:pStyle w:val="ListParagraph"/>
        <w:numPr>
          <w:ilvl w:val="1"/>
          <w:numId w:val="1"/>
        </w:numPr>
        <w:tabs>
          <w:tab w:val="left" w:pos="533"/>
        </w:tabs>
        <w:ind w:right="144"/>
        <w:rPr>
          <w:rFonts w:ascii="Times New Roman" w:eastAsia="Times New Roman" w:hAnsi="Times New Roman" w:cs="Times New Roman"/>
          <w:sz w:val="24"/>
          <w:szCs w:val="24"/>
        </w:rPr>
      </w:pPr>
      <w:r>
        <w:rPr>
          <w:rFonts w:ascii="Times New Roman"/>
          <w:sz w:val="24"/>
          <w:u w:val="single" w:color="000000"/>
        </w:rPr>
        <w:t>Less Frequent</w:t>
      </w:r>
      <w:r>
        <w:rPr>
          <w:rFonts w:ascii="Times New Roman"/>
          <w:spacing w:val="-1"/>
          <w:sz w:val="24"/>
          <w:u w:val="single" w:color="000000"/>
        </w:rPr>
        <w:t xml:space="preserve"> </w:t>
      </w:r>
      <w:r>
        <w:rPr>
          <w:rFonts w:ascii="Times New Roman"/>
          <w:sz w:val="24"/>
          <w:u w:val="single" w:color="000000"/>
        </w:rPr>
        <w:t>Collection</w:t>
      </w:r>
    </w:p>
    <w:p w14:paraId="5778C68F" w14:textId="77777777" w:rsidR="00500ECE" w:rsidRDefault="00500ECE">
      <w:pPr>
        <w:spacing w:before="3"/>
        <w:rPr>
          <w:rFonts w:ascii="Times New Roman" w:eastAsia="Times New Roman" w:hAnsi="Times New Roman" w:cs="Times New Roman"/>
          <w:sz w:val="19"/>
          <w:szCs w:val="19"/>
        </w:rPr>
      </w:pPr>
    </w:p>
    <w:p w14:paraId="4F662D8C" w14:textId="23F84C66" w:rsidR="00500ECE" w:rsidRDefault="006A0AD9">
      <w:pPr>
        <w:pStyle w:val="BodyText"/>
        <w:spacing w:before="69" w:line="247" w:lineRule="auto"/>
        <w:ind w:right="177"/>
      </w:pPr>
      <w:r>
        <w:t>CMS policy requires that the physician responsible for performing the initial</w:t>
      </w:r>
      <w:r>
        <w:rPr>
          <w:spacing w:val="-30"/>
        </w:rPr>
        <w:t xml:space="preserve"> </w:t>
      </w:r>
      <w:r>
        <w:t xml:space="preserve">certification document that the face-to-face patient encounter occurred no more than 90 </w:t>
      </w:r>
      <w:r>
        <w:rPr>
          <w:spacing w:val="-3"/>
        </w:rPr>
        <w:t xml:space="preserve">days </w:t>
      </w:r>
      <w:r>
        <w:t>prior to</w:t>
      </w:r>
      <w:r>
        <w:rPr>
          <w:spacing w:val="-21"/>
        </w:rPr>
        <w:t xml:space="preserve"> </w:t>
      </w:r>
      <w:r>
        <w:t xml:space="preserve">the home health start of care date or within 30 </w:t>
      </w:r>
      <w:r>
        <w:rPr>
          <w:spacing w:val="-3"/>
        </w:rPr>
        <w:t xml:space="preserve">days </w:t>
      </w:r>
      <w:r>
        <w:t>of the start of the home health care.</w:t>
      </w:r>
      <w:r>
        <w:rPr>
          <w:spacing w:val="-12"/>
        </w:rPr>
        <w:t xml:space="preserve"> </w:t>
      </w:r>
      <w:r>
        <w:rPr>
          <w:spacing w:val="-3"/>
        </w:rPr>
        <w:t>If</w:t>
      </w:r>
      <w:r>
        <w:t xml:space="preserve"> physicians and/or allowed NPPs fail to document that the encounter occurred, their</w:t>
      </w:r>
      <w:r>
        <w:rPr>
          <w:spacing w:val="-22"/>
        </w:rPr>
        <w:t xml:space="preserve"> </w:t>
      </w:r>
      <w:r>
        <w:t xml:space="preserve">claim might not be paid. </w:t>
      </w:r>
      <w:r w:rsidR="008C3F23">
        <w:t xml:space="preserve"> </w:t>
      </w:r>
      <w:r w:rsidR="00B21212" w:rsidRPr="00B21212">
        <w:t xml:space="preserve">Providers are required to have this type of documentation to prove a Medicare claim is paid in good faith. </w:t>
      </w:r>
      <w:r w:rsidR="00B21212">
        <w:t xml:space="preserve"> L</w:t>
      </w:r>
      <w:r>
        <w:t>ess frequent information collection by a physician</w:t>
      </w:r>
      <w:r>
        <w:rPr>
          <w:spacing w:val="-35"/>
        </w:rPr>
        <w:t xml:space="preserve"> </w:t>
      </w:r>
      <w:r>
        <w:t>and/or an allowed NNP would impede efforts to establish compliance with the</w:t>
      </w:r>
      <w:r>
        <w:rPr>
          <w:spacing w:val="-13"/>
        </w:rPr>
        <w:t xml:space="preserve"> </w:t>
      </w:r>
      <w:r>
        <w:t>face-to-face encounter</w:t>
      </w:r>
      <w:r>
        <w:rPr>
          <w:spacing w:val="-8"/>
        </w:rPr>
        <w:t xml:space="preserve"> </w:t>
      </w:r>
      <w:r>
        <w:t>requirement</w:t>
      </w:r>
      <w:r w:rsidR="00B21212">
        <w:t xml:space="preserve"> and violate the coverage requirements for the Medicare home health benefit</w:t>
      </w:r>
      <w:r>
        <w:t>.</w:t>
      </w:r>
    </w:p>
    <w:p w14:paraId="34826020" w14:textId="77777777" w:rsidR="00D44D47" w:rsidRDefault="00D44D47">
      <w:pPr>
        <w:pStyle w:val="BodyText"/>
        <w:spacing w:before="69" w:line="247" w:lineRule="auto"/>
        <w:ind w:right="177"/>
      </w:pPr>
    </w:p>
    <w:p w14:paraId="543F6A80" w14:textId="77777777" w:rsidR="00500ECE" w:rsidRPr="00D44D47" w:rsidRDefault="006A0AD9" w:rsidP="00D44D47">
      <w:pPr>
        <w:pStyle w:val="ListParagraph"/>
        <w:numPr>
          <w:ilvl w:val="1"/>
          <w:numId w:val="1"/>
        </w:numPr>
        <w:tabs>
          <w:tab w:val="left" w:pos="533"/>
        </w:tabs>
        <w:spacing w:before="42"/>
        <w:ind w:right="144"/>
        <w:rPr>
          <w:rFonts w:ascii="Times New Roman" w:eastAsia="Times New Roman" w:hAnsi="Times New Roman" w:cs="Times New Roman"/>
          <w:sz w:val="24"/>
          <w:szCs w:val="24"/>
        </w:rPr>
      </w:pPr>
      <w:r w:rsidRPr="00D44D47">
        <w:rPr>
          <w:rFonts w:ascii="Times New Roman"/>
          <w:sz w:val="24"/>
          <w:u w:val="single" w:color="000000"/>
        </w:rPr>
        <w:t>Special</w:t>
      </w:r>
      <w:r w:rsidRPr="00D44D47">
        <w:rPr>
          <w:rFonts w:ascii="Times New Roman"/>
          <w:spacing w:val="-1"/>
          <w:sz w:val="24"/>
          <w:u w:val="single" w:color="000000"/>
        </w:rPr>
        <w:t xml:space="preserve"> </w:t>
      </w:r>
      <w:r w:rsidRPr="00D44D47">
        <w:rPr>
          <w:rFonts w:ascii="Times New Roman"/>
          <w:sz w:val="24"/>
          <w:u w:val="single" w:color="000000"/>
        </w:rPr>
        <w:t>Circumstances</w:t>
      </w:r>
    </w:p>
    <w:p w14:paraId="1FE5A23E" w14:textId="77777777" w:rsidR="00500ECE" w:rsidRDefault="00500ECE">
      <w:pPr>
        <w:spacing w:before="3"/>
        <w:rPr>
          <w:rFonts w:ascii="Times New Roman" w:eastAsia="Times New Roman" w:hAnsi="Times New Roman" w:cs="Times New Roman"/>
          <w:sz w:val="19"/>
          <w:szCs w:val="19"/>
        </w:rPr>
      </w:pPr>
    </w:p>
    <w:p w14:paraId="478DF406" w14:textId="77777777" w:rsidR="00500ECE" w:rsidRDefault="006A0AD9">
      <w:pPr>
        <w:pStyle w:val="BodyText"/>
        <w:spacing w:before="69" w:line="247" w:lineRule="auto"/>
        <w:ind w:right="102"/>
      </w:pPr>
      <w:r>
        <w:t>Absent legislative amendments to the face-to-face encounter rule, we are unable to</w:t>
      </w:r>
      <w:r>
        <w:rPr>
          <w:spacing w:val="-32"/>
        </w:rPr>
        <w:t xml:space="preserve"> </w:t>
      </w:r>
      <w:r>
        <w:t>anticipate any circumstances that would change the elements in the clinical templates developed</w:t>
      </w:r>
      <w:r>
        <w:rPr>
          <w:spacing w:val="-29"/>
        </w:rPr>
        <w:t xml:space="preserve"> </w:t>
      </w:r>
      <w:r>
        <w:t>from this</w:t>
      </w:r>
      <w:r>
        <w:rPr>
          <w:spacing w:val="-7"/>
        </w:rPr>
        <w:t xml:space="preserve"> </w:t>
      </w:r>
      <w:r>
        <w:t>package.</w:t>
      </w:r>
    </w:p>
    <w:p w14:paraId="2BD7594E" w14:textId="77777777" w:rsidR="00500ECE" w:rsidRDefault="00500ECE">
      <w:pPr>
        <w:spacing w:before="6"/>
        <w:rPr>
          <w:rFonts w:ascii="Times New Roman" w:eastAsia="Times New Roman" w:hAnsi="Times New Roman" w:cs="Times New Roman"/>
          <w:sz w:val="24"/>
          <w:szCs w:val="24"/>
        </w:rPr>
      </w:pPr>
    </w:p>
    <w:p w14:paraId="7F89D7FA" w14:textId="77777777" w:rsidR="00500ECE" w:rsidRDefault="006A0AD9">
      <w:pPr>
        <w:pStyle w:val="ListParagraph"/>
        <w:numPr>
          <w:ilvl w:val="1"/>
          <w:numId w:val="1"/>
        </w:numPr>
        <w:tabs>
          <w:tab w:val="left" w:pos="533"/>
        </w:tabs>
        <w:ind w:right="144"/>
        <w:rPr>
          <w:rFonts w:ascii="Times New Roman" w:eastAsia="Times New Roman" w:hAnsi="Times New Roman" w:cs="Times New Roman"/>
          <w:sz w:val="24"/>
          <w:szCs w:val="24"/>
        </w:rPr>
      </w:pPr>
      <w:r>
        <w:rPr>
          <w:rFonts w:ascii="Times New Roman"/>
          <w:sz w:val="24"/>
          <w:u w:val="single" w:color="000000"/>
        </w:rPr>
        <w:t>Federal Register/Outside</w:t>
      </w:r>
      <w:r>
        <w:rPr>
          <w:rFonts w:ascii="Times New Roman"/>
          <w:spacing w:val="-2"/>
          <w:sz w:val="24"/>
          <w:u w:val="single" w:color="000000"/>
        </w:rPr>
        <w:t xml:space="preserve"> </w:t>
      </w:r>
      <w:r>
        <w:rPr>
          <w:rFonts w:ascii="Times New Roman"/>
          <w:sz w:val="24"/>
          <w:u w:val="single" w:color="000000"/>
        </w:rPr>
        <w:t>Consultation</w:t>
      </w:r>
    </w:p>
    <w:p w14:paraId="662F9F6F" w14:textId="77777777" w:rsidR="00500ECE" w:rsidRDefault="00500ECE">
      <w:pPr>
        <w:spacing w:before="3"/>
        <w:rPr>
          <w:rFonts w:ascii="Times New Roman" w:eastAsia="Times New Roman" w:hAnsi="Times New Roman" w:cs="Times New Roman"/>
          <w:sz w:val="19"/>
          <w:szCs w:val="19"/>
        </w:rPr>
      </w:pPr>
    </w:p>
    <w:p w14:paraId="4C044ADA" w14:textId="2772BB4B" w:rsidR="00500ECE" w:rsidRDefault="006A0AD9">
      <w:pPr>
        <w:pStyle w:val="BodyText"/>
        <w:spacing w:before="69"/>
        <w:ind w:right="144"/>
      </w:pPr>
      <w:r>
        <w:t xml:space="preserve">The 60-day </w:t>
      </w:r>
      <w:r>
        <w:rPr>
          <w:u w:val="single" w:color="000000"/>
        </w:rPr>
        <w:t>Federal Register</w:t>
      </w:r>
      <w:r w:rsidR="00807FB4">
        <w:rPr>
          <w:u w:val="single" w:color="000000"/>
        </w:rPr>
        <w:t xml:space="preserve"> </w:t>
      </w:r>
      <w:r>
        <w:t>notice published on August 12,</w:t>
      </w:r>
      <w:r>
        <w:rPr>
          <w:spacing w:val="-30"/>
        </w:rPr>
        <w:t xml:space="preserve"> </w:t>
      </w:r>
      <w:r>
        <w:t>2015</w:t>
      </w:r>
      <w:r w:rsidR="002E5687">
        <w:t xml:space="preserve"> (80 FR 48320).  The 30-day </w:t>
      </w:r>
      <w:r w:rsidR="002E5687" w:rsidRPr="00807FB4">
        <w:rPr>
          <w:u w:val="single"/>
        </w:rPr>
        <w:t>F</w:t>
      </w:r>
      <w:r w:rsidR="00807FB4" w:rsidRPr="00807FB4">
        <w:rPr>
          <w:u w:val="single"/>
        </w:rPr>
        <w:t xml:space="preserve">ederal </w:t>
      </w:r>
      <w:r w:rsidR="002E5687" w:rsidRPr="00807FB4">
        <w:rPr>
          <w:u w:val="single"/>
        </w:rPr>
        <w:t>R</w:t>
      </w:r>
      <w:r w:rsidR="00807FB4" w:rsidRPr="00807FB4">
        <w:rPr>
          <w:u w:val="single"/>
        </w:rPr>
        <w:t>egister</w:t>
      </w:r>
      <w:r w:rsidR="002E5687">
        <w:t xml:space="preserve"> notice published on December 28, 2015 (80 FR 80771)</w:t>
      </w:r>
      <w:r>
        <w:t>.</w:t>
      </w:r>
    </w:p>
    <w:p w14:paraId="5BB86BC1" w14:textId="77777777" w:rsidR="00500ECE" w:rsidRDefault="00500ECE">
      <w:pPr>
        <w:spacing w:before="3"/>
        <w:rPr>
          <w:rFonts w:ascii="Times New Roman" w:eastAsia="Times New Roman" w:hAnsi="Times New Roman" w:cs="Times New Roman"/>
          <w:sz w:val="19"/>
          <w:szCs w:val="19"/>
        </w:rPr>
      </w:pPr>
    </w:p>
    <w:p w14:paraId="4D0AADCB" w14:textId="77777777" w:rsidR="00500ECE" w:rsidRDefault="006A0AD9">
      <w:pPr>
        <w:pStyle w:val="ListParagraph"/>
        <w:numPr>
          <w:ilvl w:val="1"/>
          <w:numId w:val="1"/>
        </w:numPr>
        <w:tabs>
          <w:tab w:val="left" w:pos="533"/>
        </w:tabs>
        <w:spacing w:before="69"/>
        <w:ind w:right="144"/>
        <w:rPr>
          <w:rFonts w:ascii="Times New Roman" w:eastAsia="Times New Roman" w:hAnsi="Times New Roman" w:cs="Times New Roman"/>
          <w:sz w:val="24"/>
          <w:szCs w:val="24"/>
        </w:rPr>
      </w:pPr>
      <w:r>
        <w:rPr>
          <w:rFonts w:ascii="Times New Roman"/>
          <w:sz w:val="24"/>
          <w:u w:val="single" w:color="000000"/>
        </w:rPr>
        <w:t>Payments/Gifts to</w:t>
      </w:r>
      <w:r>
        <w:rPr>
          <w:rFonts w:ascii="Times New Roman"/>
          <w:spacing w:val="-1"/>
          <w:sz w:val="24"/>
          <w:u w:val="single" w:color="000000"/>
        </w:rPr>
        <w:t xml:space="preserve"> </w:t>
      </w:r>
      <w:r>
        <w:rPr>
          <w:rFonts w:ascii="Times New Roman"/>
          <w:sz w:val="24"/>
          <w:u w:val="single" w:color="000000"/>
        </w:rPr>
        <w:t>Respondents</w:t>
      </w:r>
    </w:p>
    <w:p w14:paraId="2DBA270E" w14:textId="77777777" w:rsidR="00500ECE" w:rsidRDefault="00500ECE">
      <w:pPr>
        <w:spacing w:before="3"/>
        <w:rPr>
          <w:rFonts w:ascii="Times New Roman" w:eastAsia="Times New Roman" w:hAnsi="Times New Roman" w:cs="Times New Roman"/>
          <w:sz w:val="19"/>
          <w:szCs w:val="19"/>
        </w:rPr>
      </w:pPr>
    </w:p>
    <w:p w14:paraId="5979038D" w14:textId="77777777" w:rsidR="00500ECE" w:rsidRDefault="006A0AD9">
      <w:pPr>
        <w:pStyle w:val="BodyText"/>
        <w:spacing w:before="69"/>
        <w:ind w:right="144"/>
      </w:pPr>
      <w:r>
        <w:t>There will be no payments/gifts to</w:t>
      </w:r>
      <w:r>
        <w:rPr>
          <w:spacing w:val="-20"/>
        </w:rPr>
        <w:t xml:space="preserve"> </w:t>
      </w:r>
      <w:r>
        <w:t>respondents.</w:t>
      </w:r>
    </w:p>
    <w:p w14:paraId="128A0C4C" w14:textId="77777777" w:rsidR="00500ECE" w:rsidRDefault="00500ECE">
      <w:pPr>
        <w:spacing w:before="4"/>
        <w:rPr>
          <w:rFonts w:ascii="Times New Roman" w:eastAsia="Times New Roman" w:hAnsi="Times New Roman" w:cs="Times New Roman"/>
          <w:sz w:val="25"/>
          <w:szCs w:val="25"/>
        </w:rPr>
      </w:pPr>
    </w:p>
    <w:p w14:paraId="55066B71" w14:textId="77777777" w:rsidR="00500ECE" w:rsidRDefault="006A0AD9">
      <w:pPr>
        <w:pStyle w:val="ListParagraph"/>
        <w:numPr>
          <w:ilvl w:val="1"/>
          <w:numId w:val="1"/>
        </w:numPr>
        <w:tabs>
          <w:tab w:val="left" w:pos="533"/>
        </w:tabs>
        <w:ind w:right="144"/>
        <w:rPr>
          <w:rFonts w:ascii="Times New Roman" w:eastAsia="Times New Roman" w:hAnsi="Times New Roman" w:cs="Times New Roman"/>
          <w:sz w:val="24"/>
          <w:szCs w:val="24"/>
        </w:rPr>
      </w:pPr>
      <w:r>
        <w:rPr>
          <w:rFonts w:ascii="Times New Roman"/>
          <w:sz w:val="24"/>
          <w:u w:val="single" w:color="000000"/>
        </w:rPr>
        <w:t>Confidentiality</w:t>
      </w:r>
    </w:p>
    <w:p w14:paraId="7254B1DA" w14:textId="77777777" w:rsidR="00500ECE" w:rsidRDefault="00500ECE">
      <w:pPr>
        <w:spacing w:before="3"/>
        <w:rPr>
          <w:rFonts w:ascii="Times New Roman" w:eastAsia="Times New Roman" w:hAnsi="Times New Roman" w:cs="Times New Roman"/>
          <w:sz w:val="19"/>
          <w:szCs w:val="19"/>
        </w:rPr>
      </w:pPr>
    </w:p>
    <w:p w14:paraId="3637F64D" w14:textId="77777777" w:rsidR="00500ECE" w:rsidRDefault="006A0AD9">
      <w:pPr>
        <w:pStyle w:val="BodyText"/>
        <w:spacing w:before="69" w:line="247" w:lineRule="auto"/>
        <w:ind w:right="144"/>
      </w:pPr>
      <w:r>
        <w:t>Normal medical confidentiality practices are observed in accordance with 45CFR part</w:t>
      </w:r>
      <w:r>
        <w:rPr>
          <w:spacing w:val="-34"/>
        </w:rPr>
        <w:t xml:space="preserve"> </w:t>
      </w:r>
      <w:r>
        <w:t>160, subparts A and E of part 164 of the HIPPA privacy</w:t>
      </w:r>
      <w:r>
        <w:rPr>
          <w:spacing w:val="-27"/>
        </w:rPr>
        <w:t xml:space="preserve"> </w:t>
      </w:r>
      <w:r>
        <w:t>rule.</w:t>
      </w:r>
    </w:p>
    <w:p w14:paraId="1BF0B66D" w14:textId="77777777" w:rsidR="00500ECE" w:rsidRDefault="00500ECE">
      <w:pPr>
        <w:spacing w:before="6"/>
        <w:rPr>
          <w:rFonts w:ascii="Times New Roman" w:eastAsia="Times New Roman" w:hAnsi="Times New Roman" w:cs="Times New Roman"/>
          <w:sz w:val="24"/>
          <w:szCs w:val="24"/>
        </w:rPr>
      </w:pPr>
    </w:p>
    <w:p w14:paraId="7C932DE3" w14:textId="77777777" w:rsidR="00500ECE" w:rsidRDefault="006A0AD9">
      <w:pPr>
        <w:pStyle w:val="ListParagraph"/>
        <w:numPr>
          <w:ilvl w:val="1"/>
          <w:numId w:val="1"/>
        </w:numPr>
        <w:tabs>
          <w:tab w:val="left" w:pos="533"/>
        </w:tabs>
        <w:ind w:right="144"/>
        <w:rPr>
          <w:rFonts w:ascii="Times New Roman" w:eastAsia="Times New Roman" w:hAnsi="Times New Roman" w:cs="Times New Roman"/>
          <w:sz w:val="24"/>
          <w:szCs w:val="24"/>
        </w:rPr>
      </w:pPr>
      <w:r>
        <w:rPr>
          <w:rFonts w:ascii="Times New Roman"/>
          <w:sz w:val="24"/>
          <w:u w:val="single" w:color="000000"/>
        </w:rPr>
        <w:t>Sensitive</w:t>
      </w:r>
      <w:r>
        <w:rPr>
          <w:rFonts w:ascii="Times New Roman"/>
          <w:spacing w:val="-1"/>
          <w:sz w:val="24"/>
          <w:u w:val="single" w:color="000000"/>
        </w:rPr>
        <w:t xml:space="preserve"> </w:t>
      </w:r>
      <w:r>
        <w:rPr>
          <w:rFonts w:ascii="Times New Roman"/>
          <w:sz w:val="24"/>
          <w:u w:val="single" w:color="000000"/>
        </w:rPr>
        <w:t>Questions</w:t>
      </w:r>
    </w:p>
    <w:p w14:paraId="355469CE" w14:textId="77777777" w:rsidR="00500ECE" w:rsidRDefault="00500ECE">
      <w:pPr>
        <w:spacing w:before="3"/>
        <w:rPr>
          <w:rFonts w:ascii="Times New Roman" w:eastAsia="Times New Roman" w:hAnsi="Times New Roman" w:cs="Times New Roman"/>
          <w:sz w:val="19"/>
          <w:szCs w:val="19"/>
        </w:rPr>
      </w:pPr>
    </w:p>
    <w:p w14:paraId="026BE5EC" w14:textId="77777777" w:rsidR="00500ECE" w:rsidRDefault="006A0AD9">
      <w:pPr>
        <w:pStyle w:val="BodyText"/>
        <w:spacing w:before="69"/>
        <w:ind w:right="144"/>
      </w:pPr>
      <w:r>
        <w:t>There are no questions of a sensitive nature associated with this information</w:t>
      </w:r>
      <w:r>
        <w:rPr>
          <w:spacing w:val="-21"/>
        </w:rPr>
        <w:t xml:space="preserve"> </w:t>
      </w:r>
      <w:r>
        <w:t>collection.</w:t>
      </w:r>
    </w:p>
    <w:p w14:paraId="0060394C" w14:textId="77777777" w:rsidR="00500ECE" w:rsidRDefault="00500ECE">
      <w:pPr>
        <w:spacing w:before="3"/>
        <w:rPr>
          <w:rFonts w:ascii="Times New Roman" w:eastAsia="Times New Roman" w:hAnsi="Times New Roman" w:cs="Times New Roman"/>
          <w:sz w:val="25"/>
          <w:szCs w:val="25"/>
        </w:rPr>
      </w:pPr>
    </w:p>
    <w:p w14:paraId="0682D2AF" w14:textId="77777777" w:rsidR="00500ECE" w:rsidRDefault="006A0AD9">
      <w:pPr>
        <w:pStyle w:val="ListParagraph"/>
        <w:numPr>
          <w:ilvl w:val="1"/>
          <w:numId w:val="1"/>
        </w:numPr>
        <w:tabs>
          <w:tab w:val="left" w:pos="533"/>
        </w:tabs>
        <w:ind w:right="144"/>
        <w:rPr>
          <w:rFonts w:ascii="Times New Roman" w:eastAsia="Times New Roman" w:hAnsi="Times New Roman" w:cs="Times New Roman"/>
          <w:sz w:val="24"/>
          <w:szCs w:val="24"/>
        </w:rPr>
      </w:pPr>
      <w:r>
        <w:rPr>
          <w:rFonts w:ascii="Times New Roman"/>
          <w:sz w:val="24"/>
          <w:u w:val="single" w:color="000000"/>
        </w:rPr>
        <w:t>Burden Estimates (Hours &amp;</w:t>
      </w:r>
      <w:r>
        <w:rPr>
          <w:rFonts w:ascii="Times New Roman"/>
          <w:spacing w:val="-4"/>
          <w:sz w:val="24"/>
          <w:u w:val="single" w:color="000000"/>
        </w:rPr>
        <w:t xml:space="preserve"> </w:t>
      </w:r>
      <w:r>
        <w:rPr>
          <w:rFonts w:ascii="Times New Roman"/>
          <w:sz w:val="24"/>
          <w:u w:val="single" w:color="000000"/>
        </w:rPr>
        <w:t>Wages)</w:t>
      </w:r>
    </w:p>
    <w:p w14:paraId="63D94547" w14:textId="77777777" w:rsidR="00500ECE" w:rsidRDefault="00500ECE">
      <w:pPr>
        <w:spacing w:before="3"/>
        <w:rPr>
          <w:rFonts w:ascii="Times New Roman" w:eastAsia="Times New Roman" w:hAnsi="Times New Roman" w:cs="Times New Roman"/>
          <w:sz w:val="19"/>
          <w:szCs w:val="19"/>
        </w:rPr>
      </w:pPr>
    </w:p>
    <w:p w14:paraId="08323CAB" w14:textId="40EE34A7" w:rsidR="00015DCD" w:rsidRDefault="006A0AD9">
      <w:pPr>
        <w:pStyle w:val="BodyText"/>
        <w:spacing w:line="247" w:lineRule="auto"/>
        <w:ind w:right="167"/>
      </w:pPr>
      <w:r>
        <w:t>Sections 1814(a)(2)(C) and 1835(a)(2)(A)</w:t>
      </w:r>
      <w:r w:rsidR="001D0643">
        <w:t xml:space="preserve"> of the Social Security Act</w:t>
      </w:r>
      <w:r>
        <w:t xml:space="preserve"> require that, prior to certifying a patient</w:t>
      </w:r>
      <w:r>
        <w:rPr>
          <w:spacing w:val="-24"/>
        </w:rPr>
        <w:t xml:space="preserve"> </w:t>
      </w:r>
      <w:r>
        <w:t xml:space="preserve">as </w:t>
      </w:r>
      <w:r>
        <w:rPr>
          <w:rFonts w:cs="Times New Roman"/>
        </w:rPr>
        <w:t>eligible for Medicare’s home health benefit,  the physician  must document that</w:t>
      </w:r>
      <w:r>
        <w:rPr>
          <w:rFonts w:cs="Times New Roman"/>
          <w:spacing w:val="-17"/>
        </w:rPr>
        <w:t xml:space="preserve"> </w:t>
      </w:r>
      <w:r>
        <w:rPr>
          <w:rFonts w:cs="Times New Roman"/>
        </w:rPr>
        <w:t xml:space="preserve">the </w:t>
      </w:r>
      <w:r>
        <w:t xml:space="preserve">physician himself or herself or a </w:t>
      </w:r>
      <w:r w:rsidR="001D0643">
        <w:t xml:space="preserve">Medicare </w:t>
      </w:r>
      <w:r>
        <w:t xml:space="preserve">permitted </w:t>
      </w:r>
      <w:r w:rsidR="001D0643">
        <w:t xml:space="preserve">NPP </w:t>
      </w:r>
      <w:r>
        <w:t>has had a</w:t>
      </w:r>
      <w:r>
        <w:rPr>
          <w:spacing w:val="-41"/>
        </w:rPr>
        <w:t xml:space="preserve"> </w:t>
      </w:r>
      <w:r>
        <w:t>face-to-face encounter (including through the use of tele-health services, subject to the requirements</w:t>
      </w:r>
      <w:r>
        <w:rPr>
          <w:spacing w:val="-25"/>
        </w:rPr>
        <w:t xml:space="preserve"> </w:t>
      </w:r>
      <w:r>
        <w:t xml:space="preserve">in </w:t>
      </w:r>
      <w:r>
        <w:rPr>
          <w:rFonts w:cs="Times New Roman"/>
        </w:rPr>
        <w:t xml:space="preserve">section 1834(m) of the Act)”, with the patient. </w:t>
      </w:r>
      <w:r w:rsidR="00B21212">
        <w:rPr>
          <w:rFonts w:cs="Times New Roman"/>
        </w:rPr>
        <w:t xml:space="preserve"> </w:t>
      </w:r>
      <w:r>
        <w:rPr>
          <w:rFonts w:cs="Times New Roman"/>
        </w:rPr>
        <w:t>Therefore, the b</w:t>
      </w:r>
      <w:r>
        <w:t>urden associated with</w:t>
      </w:r>
      <w:r>
        <w:rPr>
          <w:spacing w:val="-18"/>
        </w:rPr>
        <w:t xml:space="preserve"> </w:t>
      </w:r>
      <w:r>
        <w:t>using these new clinical templates is the time and effort put forth by the physician or the</w:t>
      </w:r>
      <w:r>
        <w:rPr>
          <w:spacing w:val="-37"/>
        </w:rPr>
        <w:t xml:space="preserve"> </w:t>
      </w:r>
      <w:r>
        <w:t xml:space="preserve">Medicare allowed NPP. </w:t>
      </w:r>
      <w:r w:rsidR="00B21212">
        <w:t xml:space="preserve"> </w:t>
      </w:r>
      <w:r>
        <w:t>Furthermore, because the physician or an allowed NPP has always</w:t>
      </w:r>
      <w:r>
        <w:rPr>
          <w:spacing w:val="-21"/>
        </w:rPr>
        <w:t xml:space="preserve"> </w:t>
      </w:r>
      <w:r>
        <w:t>been required to review the clinical information needed for deciding whether or not to certify</w:t>
      </w:r>
      <w:r>
        <w:rPr>
          <w:spacing w:val="-34"/>
        </w:rPr>
        <w:t xml:space="preserve"> </w:t>
      </w:r>
      <w:r>
        <w:t>or recertify the patient for Medicare home health services, we estimate it would take</w:t>
      </w:r>
      <w:r>
        <w:rPr>
          <w:spacing w:val="-26"/>
        </w:rPr>
        <w:t xml:space="preserve"> </w:t>
      </w:r>
      <w:r>
        <w:t xml:space="preserve">one physician </w:t>
      </w:r>
      <w:r w:rsidR="0039468C">
        <w:t xml:space="preserve">or NPP </w:t>
      </w:r>
      <w:r>
        <w:t>approximately 10 minutes to complete the electronic clinical template</w:t>
      </w:r>
      <w:r>
        <w:rPr>
          <w:spacing w:val="-19"/>
        </w:rPr>
        <w:t xml:space="preserve"> </w:t>
      </w:r>
      <w:r>
        <w:t xml:space="preserve">and approximately 15 minutes to complete the paper clinical template.  </w:t>
      </w:r>
    </w:p>
    <w:p w14:paraId="20DF0309" w14:textId="77777777" w:rsidR="00015DCD" w:rsidRDefault="00015DCD">
      <w:pPr>
        <w:pStyle w:val="BodyText"/>
        <w:spacing w:line="247" w:lineRule="auto"/>
        <w:ind w:right="167"/>
      </w:pPr>
    </w:p>
    <w:p w14:paraId="519DF8E0" w14:textId="0E808D53" w:rsidR="004D6F11" w:rsidRPr="00807FB4" w:rsidRDefault="00547015" w:rsidP="00807FB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32"/>
        <w:rPr>
          <w:rFonts w:ascii="Times New Roman" w:hAnsi="Times New Roman" w:cs="Times New Roman"/>
          <w:sz w:val="24"/>
          <w:szCs w:val="24"/>
        </w:rPr>
      </w:pPr>
      <w:r w:rsidRPr="00807FB4">
        <w:rPr>
          <w:rFonts w:ascii="Times New Roman" w:hAnsi="Times New Roman" w:cs="Times New Roman"/>
          <w:sz w:val="24"/>
          <w:szCs w:val="24"/>
        </w:rPr>
        <w:t>We believe there are three main groups who could utilize this form: a general internist (i.e., the community general practitioner), a Medicare allowed NPP, and a hospitalist.  Using Bureau of Labor Statistics</w:t>
      </w:r>
      <w:r w:rsidR="00C83261" w:rsidRPr="00807FB4">
        <w:rPr>
          <w:rStyle w:val="FootnoteReference"/>
          <w:rFonts w:ascii="Times New Roman" w:hAnsi="Times New Roman" w:cs="Times New Roman"/>
          <w:sz w:val="24"/>
          <w:szCs w:val="24"/>
        </w:rPr>
        <w:footnoteReference w:id="6"/>
      </w:r>
      <w:r w:rsidRPr="00807FB4">
        <w:rPr>
          <w:rFonts w:ascii="Times New Roman" w:hAnsi="Times New Roman" w:cs="Times New Roman"/>
          <w:sz w:val="24"/>
          <w:szCs w:val="24"/>
        </w:rPr>
        <w:t xml:space="preserve"> (BLS), we estimated the cost of a general internist would have a mean hourly rate of $94.48 and a nurse practitioner (representing our Medicare approved NPP) would have a mean hourly rate of $48.68.  Since we could not find a listing for a hospitalist on the BLS, we used a different source to find the median hourly rate for a hospitalist.</w:t>
      </w:r>
      <w:r w:rsidR="00C83261" w:rsidRPr="00807FB4">
        <w:rPr>
          <w:rStyle w:val="FootnoteReference"/>
          <w:rFonts w:ascii="Times New Roman" w:hAnsi="Times New Roman" w:cs="Times New Roman"/>
          <w:sz w:val="24"/>
          <w:szCs w:val="24"/>
        </w:rPr>
        <w:footnoteReference w:id="7"/>
      </w:r>
      <w:r w:rsidRPr="00807FB4">
        <w:rPr>
          <w:rFonts w:ascii="Times New Roman" w:hAnsi="Times New Roman" w:cs="Times New Roman"/>
          <w:sz w:val="24"/>
          <w:szCs w:val="24"/>
        </w:rPr>
        <w:t xml:space="preserve">  The hospitalist median hourly rate </w:t>
      </w:r>
      <w:r w:rsidR="00B21212" w:rsidRPr="00807FB4">
        <w:rPr>
          <w:rFonts w:ascii="Times New Roman" w:hAnsi="Times New Roman" w:cs="Times New Roman"/>
          <w:sz w:val="24"/>
          <w:szCs w:val="24"/>
        </w:rPr>
        <w:t>used is</w:t>
      </w:r>
      <w:r w:rsidRPr="00807FB4">
        <w:rPr>
          <w:rFonts w:ascii="Times New Roman" w:hAnsi="Times New Roman" w:cs="Times New Roman"/>
          <w:sz w:val="24"/>
          <w:szCs w:val="24"/>
        </w:rPr>
        <w:t xml:space="preserve"> $102.  CMS assumes each group would utilize the template a third of the time.  </w:t>
      </w:r>
      <w:r w:rsidR="004D6F11">
        <w:rPr>
          <w:rFonts w:ascii="Times New Roman" w:hAnsi="Times New Roman" w:cs="Times New Roman"/>
          <w:sz w:val="24"/>
          <w:szCs w:val="24"/>
        </w:rPr>
        <w:t xml:space="preserve">For each group listed, we added 100 percent of the hourly wage rate to the wage rate to account for </w:t>
      </w:r>
      <w:r w:rsidR="004D6F11" w:rsidRPr="00807FB4">
        <w:rPr>
          <w:rFonts w:ascii="Times New Roman" w:hAnsi="Times New Roman" w:cs="Times New Roman"/>
          <w:sz w:val="24"/>
          <w:szCs w:val="24"/>
        </w:rPr>
        <w:t xml:space="preserve">overhead and fringe benefit costs. </w:t>
      </w:r>
    </w:p>
    <w:p w14:paraId="7D11B8BA" w14:textId="77777777" w:rsidR="0013155B" w:rsidRDefault="0013155B" w:rsidP="00807FB4">
      <w:pPr>
        <w:pStyle w:val="BodyText"/>
        <w:spacing w:line="247" w:lineRule="auto"/>
        <w:ind w:right="167"/>
      </w:pPr>
    </w:p>
    <w:p w14:paraId="4D3B3B3E" w14:textId="5E7E222F" w:rsidR="00114435" w:rsidRDefault="0039468C" w:rsidP="00807FB4">
      <w:pPr>
        <w:pStyle w:val="BodyText"/>
        <w:spacing w:line="247" w:lineRule="auto"/>
        <w:ind w:right="167"/>
      </w:pPr>
      <w:r w:rsidRPr="0039468C">
        <w:t xml:space="preserve">The burden estimate is based on the number of Part B claims billed with G0179/G0180, which are the codes the physicians bill when certifying or recertifying a patient for home health. </w:t>
      </w:r>
      <w:r>
        <w:t xml:space="preserve"> </w:t>
      </w:r>
      <w:r w:rsidRPr="0039468C">
        <w:t>Using a refined number, in 2014 there were 2,619,060 of these claims.</w:t>
      </w:r>
      <w:r>
        <w:t xml:space="preserve">  We attributed </w:t>
      </w:r>
      <w:r w:rsidR="00B21212">
        <w:t xml:space="preserve">half, or </w:t>
      </w:r>
      <w:r>
        <w:t xml:space="preserve">1,309,530 </w:t>
      </w:r>
      <w:r w:rsidR="00B21212">
        <w:t xml:space="preserve">claims, </w:t>
      </w:r>
      <w:r>
        <w:t xml:space="preserve">to the use of the electronic template and </w:t>
      </w:r>
      <w:r w:rsidR="00B21212">
        <w:t xml:space="preserve">half, or </w:t>
      </w:r>
      <w:r>
        <w:t xml:space="preserve">1,309,530 </w:t>
      </w:r>
      <w:r w:rsidR="00B21212">
        <w:t xml:space="preserve">claims, </w:t>
      </w:r>
      <w:r>
        <w:t xml:space="preserve">to the use of the paper template.  </w:t>
      </w:r>
      <w:r w:rsidR="00A078D9">
        <w:t>It should be noted that the electronic template is still a paper version of the elements that an EHR vendor could use to incorporate into E</w:t>
      </w:r>
      <w:r w:rsidR="00EE7AA1">
        <w:t>H</w:t>
      </w:r>
      <w:r w:rsidR="00A078D9">
        <w:t>R; however, this format is not a required format for EHR vendors to use.</w:t>
      </w:r>
    </w:p>
    <w:p w14:paraId="20DE4DD1" w14:textId="77777777" w:rsidR="00114435" w:rsidRDefault="00114435">
      <w:pPr>
        <w:pStyle w:val="BodyText"/>
        <w:spacing w:line="247" w:lineRule="auto"/>
        <w:ind w:right="167"/>
      </w:pPr>
    </w:p>
    <w:p w14:paraId="6BC3B2C1" w14:textId="0B063713" w:rsidR="0039468C" w:rsidRDefault="00114435">
      <w:pPr>
        <w:pStyle w:val="BodyText"/>
        <w:spacing w:line="247" w:lineRule="auto"/>
        <w:ind w:right="167"/>
      </w:pPr>
      <w:r>
        <w:t xml:space="preserve">Based on </w:t>
      </w:r>
      <w:r w:rsidR="00951A69">
        <w:t xml:space="preserve">the above criteria, </w:t>
      </w:r>
      <w:r w:rsidR="00E0450C">
        <w:t xml:space="preserve">we estimate </w:t>
      </w:r>
      <w:r w:rsidR="00951A69">
        <w:t xml:space="preserve">the </w:t>
      </w:r>
      <w:r w:rsidR="00B453D2">
        <w:t>annual</w:t>
      </w:r>
      <w:r w:rsidR="00951A69">
        <w:t xml:space="preserve"> burden </w:t>
      </w:r>
      <w:r w:rsidR="00E0450C">
        <w:t xml:space="preserve">to be </w:t>
      </w:r>
      <w:r w:rsidR="002F2680">
        <w:t xml:space="preserve">546,074 hours and </w:t>
      </w:r>
      <w:r w:rsidR="00951A69">
        <w:t>$</w:t>
      </w:r>
      <w:r w:rsidR="00E0450C">
        <w:t>89,250,336</w:t>
      </w:r>
      <w:r w:rsidR="00951A69">
        <w:t xml:space="preserve">.  </w:t>
      </w:r>
      <w:r>
        <w:t xml:space="preserve">The chart below shows </w:t>
      </w:r>
      <w:r w:rsidR="00951A69">
        <w:t xml:space="preserve">how the estimate was calculated.  </w:t>
      </w:r>
    </w:p>
    <w:p w14:paraId="18C43D74" w14:textId="77777777" w:rsidR="001D0643" w:rsidRDefault="001D0643">
      <w:pPr>
        <w:pStyle w:val="BodyText"/>
        <w:spacing w:line="247" w:lineRule="auto"/>
        <w:ind w:right="167"/>
      </w:pPr>
    </w:p>
    <w:p w14:paraId="5F037F50" w14:textId="3382D7BB" w:rsidR="004F41C7" w:rsidRDefault="004F41C7" w:rsidP="004F41C7">
      <w:pPr>
        <w:rPr>
          <w:b/>
          <w:bCs/>
          <w:sz w:val="24"/>
          <w:szCs w:val="24"/>
        </w:rPr>
      </w:pPr>
      <w:r>
        <w:rPr>
          <w:b/>
          <w:bCs/>
          <w:sz w:val="24"/>
          <w:szCs w:val="24"/>
        </w:rPr>
        <w:t>Physician</w:t>
      </w:r>
      <w:r w:rsidR="008C3F23">
        <w:rPr>
          <w:b/>
          <w:bCs/>
          <w:sz w:val="24"/>
          <w:szCs w:val="24"/>
        </w:rPr>
        <w:t>/NPP</w:t>
      </w:r>
      <w:r>
        <w:rPr>
          <w:b/>
          <w:bCs/>
          <w:sz w:val="24"/>
          <w:szCs w:val="24"/>
        </w:rPr>
        <w:t xml:space="preserve"> Annual Burden for Completing the Electronic Clinical Template</w:t>
      </w:r>
    </w:p>
    <w:tbl>
      <w:tblPr>
        <w:tblW w:w="99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20"/>
        <w:gridCol w:w="1443"/>
        <w:gridCol w:w="1530"/>
        <w:gridCol w:w="1350"/>
        <w:gridCol w:w="1236"/>
        <w:gridCol w:w="2564"/>
      </w:tblGrid>
      <w:tr w:rsidR="003446E3" w14:paraId="2F650EFA" w14:textId="77777777" w:rsidTr="00807FB4">
        <w:trPr>
          <w:trHeight w:val="543"/>
        </w:trPr>
        <w:tc>
          <w:tcPr>
            <w:tcW w:w="2120" w:type="dxa"/>
            <w:shd w:val="clear" w:color="auto" w:fill="FFFFFF"/>
            <w:tcMar>
              <w:top w:w="0" w:type="dxa"/>
              <w:left w:w="108" w:type="dxa"/>
              <w:bottom w:w="0" w:type="dxa"/>
              <w:right w:w="108" w:type="dxa"/>
            </w:tcMar>
          </w:tcPr>
          <w:p w14:paraId="243808E4" w14:textId="77777777" w:rsidR="003446E3" w:rsidRDefault="003446E3" w:rsidP="003446E3">
            <w:pPr>
              <w:jc w:val="right"/>
              <w:rPr>
                <w:i/>
                <w:iCs/>
                <w:color w:val="000000"/>
              </w:rPr>
            </w:pPr>
          </w:p>
          <w:p w14:paraId="14B9CABA" w14:textId="77777777" w:rsidR="003446E3" w:rsidRDefault="003446E3" w:rsidP="003446E3">
            <w:pPr>
              <w:jc w:val="right"/>
              <w:rPr>
                <w:i/>
                <w:iCs/>
                <w:color w:val="000000"/>
              </w:rPr>
            </w:pPr>
            <w:r>
              <w:rPr>
                <w:i/>
                <w:iCs/>
                <w:color w:val="000000"/>
              </w:rPr>
              <w:t>Provider Type</w:t>
            </w:r>
          </w:p>
        </w:tc>
        <w:tc>
          <w:tcPr>
            <w:tcW w:w="1443" w:type="dxa"/>
            <w:shd w:val="clear" w:color="auto" w:fill="FFFFFF"/>
            <w:tcMar>
              <w:top w:w="0" w:type="dxa"/>
              <w:left w:w="108" w:type="dxa"/>
              <w:bottom w:w="0" w:type="dxa"/>
              <w:right w:w="108" w:type="dxa"/>
            </w:tcMar>
            <w:hideMark/>
          </w:tcPr>
          <w:p w14:paraId="36A30861" w14:textId="77777777" w:rsidR="003446E3" w:rsidRDefault="003446E3" w:rsidP="003446E3">
            <w:pPr>
              <w:jc w:val="right"/>
              <w:rPr>
                <w:i/>
                <w:iCs/>
                <w:color w:val="000000"/>
              </w:rPr>
            </w:pPr>
            <w:r>
              <w:rPr>
                <w:i/>
                <w:iCs/>
                <w:color w:val="000000"/>
              </w:rPr>
              <w:t>Hourly</w:t>
            </w:r>
          </w:p>
          <w:p w14:paraId="27853DAB" w14:textId="77777777" w:rsidR="003446E3" w:rsidRDefault="003446E3" w:rsidP="003446E3">
            <w:pPr>
              <w:jc w:val="right"/>
              <w:rPr>
                <w:i/>
                <w:iCs/>
                <w:color w:val="000000"/>
              </w:rPr>
            </w:pPr>
            <w:r>
              <w:rPr>
                <w:i/>
                <w:iCs/>
                <w:color w:val="000000"/>
              </w:rPr>
              <w:t>Rate</w:t>
            </w:r>
          </w:p>
        </w:tc>
        <w:tc>
          <w:tcPr>
            <w:tcW w:w="1530" w:type="dxa"/>
            <w:shd w:val="clear" w:color="auto" w:fill="FFFFFF"/>
            <w:tcMar>
              <w:top w:w="0" w:type="dxa"/>
              <w:left w:w="108" w:type="dxa"/>
              <w:bottom w:w="0" w:type="dxa"/>
              <w:right w:w="108" w:type="dxa"/>
            </w:tcMar>
            <w:hideMark/>
          </w:tcPr>
          <w:p w14:paraId="3D9B8716" w14:textId="77777777" w:rsidR="003446E3" w:rsidRDefault="003446E3" w:rsidP="003446E3">
            <w:pPr>
              <w:jc w:val="right"/>
              <w:rPr>
                <w:i/>
                <w:iCs/>
                <w:color w:val="000000"/>
              </w:rPr>
            </w:pPr>
            <w:r>
              <w:rPr>
                <w:i/>
                <w:iCs/>
                <w:color w:val="000000"/>
              </w:rPr>
              <w:t>Burden Hours (1/6 Hour)</w:t>
            </w:r>
          </w:p>
        </w:tc>
        <w:tc>
          <w:tcPr>
            <w:tcW w:w="1350" w:type="dxa"/>
            <w:shd w:val="clear" w:color="auto" w:fill="FFFFFF"/>
            <w:tcMar>
              <w:top w:w="0" w:type="dxa"/>
              <w:left w:w="108" w:type="dxa"/>
              <w:bottom w:w="0" w:type="dxa"/>
              <w:right w:w="108" w:type="dxa"/>
            </w:tcMar>
            <w:hideMark/>
          </w:tcPr>
          <w:p w14:paraId="129A3927" w14:textId="50D787A1" w:rsidR="003446E3" w:rsidRDefault="003446E3" w:rsidP="003446E3">
            <w:pPr>
              <w:jc w:val="right"/>
              <w:rPr>
                <w:i/>
                <w:iCs/>
                <w:color w:val="000000"/>
              </w:rPr>
            </w:pPr>
            <w:r>
              <w:rPr>
                <w:i/>
                <w:iCs/>
                <w:color w:val="000000"/>
              </w:rPr>
              <w:t>Number</w:t>
            </w:r>
            <w:r w:rsidR="0017580B">
              <w:rPr>
                <w:i/>
                <w:iCs/>
                <w:color w:val="000000"/>
              </w:rPr>
              <w:t xml:space="preserve"> of</w:t>
            </w:r>
            <w:r>
              <w:rPr>
                <w:i/>
                <w:iCs/>
                <w:color w:val="000000"/>
              </w:rPr>
              <w:t xml:space="preserve"> Claims</w:t>
            </w:r>
          </w:p>
        </w:tc>
        <w:tc>
          <w:tcPr>
            <w:tcW w:w="978" w:type="dxa"/>
            <w:shd w:val="clear" w:color="auto" w:fill="FFFFFF"/>
          </w:tcPr>
          <w:p w14:paraId="00CAF251" w14:textId="04BECFAB" w:rsidR="003446E3" w:rsidRPr="003446E3" w:rsidRDefault="003446E3" w:rsidP="003446E3">
            <w:pPr>
              <w:jc w:val="right"/>
              <w:rPr>
                <w:i/>
              </w:rPr>
            </w:pPr>
            <w:r w:rsidRPr="003446E3">
              <w:rPr>
                <w:i/>
              </w:rPr>
              <w:t>Annual Burden (Hours)</w:t>
            </w:r>
          </w:p>
        </w:tc>
        <w:tc>
          <w:tcPr>
            <w:tcW w:w="2564" w:type="dxa"/>
            <w:shd w:val="clear" w:color="auto" w:fill="FFFFFF"/>
            <w:tcMar>
              <w:top w:w="0" w:type="dxa"/>
              <w:left w:w="108" w:type="dxa"/>
              <w:bottom w:w="0" w:type="dxa"/>
              <w:right w:w="108" w:type="dxa"/>
            </w:tcMar>
            <w:hideMark/>
          </w:tcPr>
          <w:p w14:paraId="418F3EB2" w14:textId="20BA6059" w:rsidR="003446E3" w:rsidRDefault="003446E3" w:rsidP="003446E3">
            <w:pPr>
              <w:jc w:val="right"/>
              <w:rPr>
                <w:i/>
                <w:iCs/>
                <w:color w:val="000000"/>
              </w:rPr>
            </w:pPr>
            <w:r>
              <w:rPr>
                <w:i/>
                <w:iCs/>
                <w:color w:val="000000"/>
              </w:rPr>
              <w:t>Annual Cost Burden Estimate</w:t>
            </w:r>
          </w:p>
        </w:tc>
      </w:tr>
      <w:tr w:rsidR="003446E3" w14:paraId="0F8BD5F2" w14:textId="77777777" w:rsidTr="00807FB4">
        <w:trPr>
          <w:trHeight w:val="265"/>
        </w:trPr>
        <w:tc>
          <w:tcPr>
            <w:tcW w:w="2120" w:type="dxa"/>
            <w:shd w:val="clear" w:color="auto" w:fill="FFFFFF"/>
            <w:noWrap/>
            <w:tcMar>
              <w:top w:w="0" w:type="dxa"/>
              <w:left w:w="108" w:type="dxa"/>
              <w:bottom w:w="0" w:type="dxa"/>
              <w:right w:w="108" w:type="dxa"/>
            </w:tcMar>
            <w:hideMark/>
          </w:tcPr>
          <w:p w14:paraId="52FC5E44" w14:textId="77777777" w:rsidR="003446E3" w:rsidRDefault="003446E3">
            <w:pPr>
              <w:jc w:val="right"/>
              <w:rPr>
                <w:i/>
                <w:iCs/>
                <w:color w:val="000000"/>
              </w:rPr>
            </w:pPr>
            <w:r>
              <w:rPr>
                <w:i/>
                <w:iCs/>
                <w:color w:val="000000"/>
              </w:rPr>
              <w:t>General Internist</w:t>
            </w:r>
          </w:p>
        </w:tc>
        <w:tc>
          <w:tcPr>
            <w:tcW w:w="1443" w:type="dxa"/>
            <w:shd w:val="clear" w:color="auto" w:fill="F2F2F2"/>
            <w:noWrap/>
            <w:tcMar>
              <w:top w:w="0" w:type="dxa"/>
              <w:left w:w="108" w:type="dxa"/>
              <w:bottom w:w="0" w:type="dxa"/>
              <w:right w:w="108" w:type="dxa"/>
            </w:tcMar>
            <w:hideMark/>
          </w:tcPr>
          <w:p w14:paraId="36B9418D" w14:textId="05B700B2" w:rsidR="003446E3" w:rsidRDefault="003446E3">
            <w:pPr>
              <w:jc w:val="right"/>
              <w:rPr>
                <w:color w:val="000000"/>
              </w:rPr>
            </w:pPr>
            <w:r>
              <w:rPr>
                <w:color w:val="000000"/>
              </w:rPr>
              <w:t>$</w:t>
            </w:r>
            <w:r w:rsidR="004D6F11">
              <w:rPr>
                <w:color w:val="000000"/>
              </w:rPr>
              <w:t>188.96</w:t>
            </w:r>
            <w:r>
              <w:rPr>
                <w:color w:val="000000"/>
              </w:rPr>
              <w:t xml:space="preserve"> </w:t>
            </w:r>
          </w:p>
        </w:tc>
        <w:tc>
          <w:tcPr>
            <w:tcW w:w="1530" w:type="dxa"/>
            <w:shd w:val="clear" w:color="auto" w:fill="F2F2F2"/>
            <w:noWrap/>
            <w:tcMar>
              <w:top w:w="0" w:type="dxa"/>
              <w:left w:w="108" w:type="dxa"/>
              <w:bottom w:w="0" w:type="dxa"/>
              <w:right w:w="108" w:type="dxa"/>
            </w:tcMar>
            <w:hideMark/>
          </w:tcPr>
          <w:p w14:paraId="7C1498CF" w14:textId="77777777" w:rsidR="003446E3" w:rsidRDefault="003446E3">
            <w:pPr>
              <w:jc w:val="right"/>
              <w:rPr>
                <w:color w:val="000000"/>
              </w:rPr>
            </w:pPr>
            <w:r>
              <w:rPr>
                <w:color w:val="000000"/>
              </w:rPr>
              <w:t>0.167</w:t>
            </w:r>
          </w:p>
        </w:tc>
        <w:tc>
          <w:tcPr>
            <w:tcW w:w="1350" w:type="dxa"/>
            <w:shd w:val="clear" w:color="auto" w:fill="F2F2F2"/>
            <w:noWrap/>
            <w:tcMar>
              <w:top w:w="0" w:type="dxa"/>
              <w:left w:w="108" w:type="dxa"/>
              <w:bottom w:w="0" w:type="dxa"/>
              <w:right w:w="108" w:type="dxa"/>
            </w:tcMar>
            <w:hideMark/>
          </w:tcPr>
          <w:p w14:paraId="3D372E31" w14:textId="77777777" w:rsidR="003446E3" w:rsidRDefault="003446E3">
            <w:pPr>
              <w:jc w:val="right"/>
              <w:rPr>
                <w:color w:val="000000"/>
              </w:rPr>
            </w:pPr>
            <w:r>
              <w:rPr>
                <w:color w:val="000000"/>
              </w:rPr>
              <w:t>436,510</w:t>
            </w:r>
          </w:p>
        </w:tc>
        <w:tc>
          <w:tcPr>
            <w:tcW w:w="978" w:type="dxa"/>
            <w:shd w:val="clear" w:color="auto" w:fill="F2F2F2"/>
          </w:tcPr>
          <w:p w14:paraId="10FD61DF" w14:textId="09FB218F" w:rsidR="003446E3" w:rsidRDefault="004D6F11" w:rsidP="002F2680">
            <w:pPr>
              <w:tabs>
                <w:tab w:val="left" w:pos="330"/>
              </w:tabs>
              <w:jc w:val="right"/>
              <w:rPr>
                <w:color w:val="000000"/>
              </w:rPr>
            </w:pPr>
            <w:r>
              <w:rPr>
                <w:color w:val="000000"/>
              </w:rPr>
              <w:tab/>
              <w:t>72,897</w:t>
            </w:r>
            <w:r w:rsidR="002F2680">
              <w:rPr>
                <w:color w:val="000000"/>
              </w:rPr>
              <w:t>.17</w:t>
            </w:r>
          </w:p>
        </w:tc>
        <w:tc>
          <w:tcPr>
            <w:tcW w:w="2564" w:type="dxa"/>
            <w:shd w:val="clear" w:color="auto" w:fill="F2F2F2"/>
            <w:noWrap/>
            <w:tcMar>
              <w:top w:w="0" w:type="dxa"/>
              <w:left w:w="108" w:type="dxa"/>
              <w:bottom w:w="0" w:type="dxa"/>
              <w:right w:w="108" w:type="dxa"/>
            </w:tcMar>
          </w:tcPr>
          <w:p w14:paraId="08F3E459" w14:textId="5EE8A98D" w:rsidR="003446E3" w:rsidRDefault="002F2680" w:rsidP="0007289D">
            <w:pPr>
              <w:jc w:val="right"/>
              <w:rPr>
                <w:color w:val="000000"/>
              </w:rPr>
            </w:pPr>
            <w:r>
              <w:rPr>
                <w:color w:val="000000"/>
              </w:rPr>
              <w:t>$13,774,649.24</w:t>
            </w:r>
          </w:p>
        </w:tc>
      </w:tr>
      <w:tr w:rsidR="003446E3" w14:paraId="482D0DAD" w14:textId="77777777" w:rsidTr="00807FB4">
        <w:trPr>
          <w:trHeight w:val="265"/>
        </w:trPr>
        <w:tc>
          <w:tcPr>
            <w:tcW w:w="2120" w:type="dxa"/>
            <w:shd w:val="clear" w:color="auto" w:fill="FFFFFF"/>
            <w:noWrap/>
            <w:tcMar>
              <w:top w:w="0" w:type="dxa"/>
              <w:left w:w="108" w:type="dxa"/>
              <w:bottom w:w="0" w:type="dxa"/>
              <w:right w:w="108" w:type="dxa"/>
            </w:tcMar>
            <w:hideMark/>
          </w:tcPr>
          <w:p w14:paraId="029B4D74" w14:textId="77777777" w:rsidR="003446E3" w:rsidRDefault="003446E3">
            <w:pPr>
              <w:jc w:val="right"/>
              <w:rPr>
                <w:i/>
                <w:iCs/>
                <w:color w:val="000000"/>
              </w:rPr>
            </w:pPr>
            <w:r>
              <w:rPr>
                <w:i/>
                <w:iCs/>
                <w:color w:val="000000"/>
              </w:rPr>
              <w:t>Nurse Practitioner</w:t>
            </w:r>
          </w:p>
        </w:tc>
        <w:tc>
          <w:tcPr>
            <w:tcW w:w="1443" w:type="dxa"/>
            <w:noWrap/>
            <w:tcMar>
              <w:top w:w="0" w:type="dxa"/>
              <w:left w:w="108" w:type="dxa"/>
              <w:bottom w:w="0" w:type="dxa"/>
              <w:right w:w="108" w:type="dxa"/>
            </w:tcMar>
            <w:hideMark/>
          </w:tcPr>
          <w:p w14:paraId="1AF718E2" w14:textId="24216D79" w:rsidR="003446E3" w:rsidRDefault="003446E3">
            <w:pPr>
              <w:jc w:val="right"/>
              <w:rPr>
                <w:color w:val="000000"/>
              </w:rPr>
            </w:pPr>
            <w:r>
              <w:rPr>
                <w:color w:val="000000"/>
              </w:rPr>
              <w:t>$</w:t>
            </w:r>
            <w:r w:rsidR="004D6F11">
              <w:rPr>
                <w:color w:val="000000"/>
              </w:rPr>
              <w:t>97.36</w:t>
            </w:r>
            <w:r>
              <w:rPr>
                <w:color w:val="000000"/>
              </w:rPr>
              <w:t xml:space="preserve"> </w:t>
            </w:r>
          </w:p>
        </w:tc>
        <w:tc>
          <w:tcPr>
            <w:tcW w:w="1530" w:type="dxa"/>
            <w:noWrap/>
            <w:tcMar>
              <w:top w:w="0" w:type="dxa"/>
              <w:left w:w="108" w:type="dxa"/>
              <w:bottom w:w="0" w:type="dxa"/>
              <w:right w:w="108" w:type="dxa"/>
            </w:tcMar>
            <w:hideMark/>
          </w:tcPr>
          <w:p w14:paraId="1482635C" w14:textId="77777777" w:rsidR="003446E3" w:rsidRDefault="003446E3">
            <w:pPr>
              <w:jc w:val="right"/>
              <w:rPr>
                <w:color w:val="000000"/>
              </w:rPr>
            </w:pPr>
            <w:r>
              <w:rPr>
                <w:color w:val="000000"/>
              </w:rPr>
              <w:t>0.167</w:t>
            </w:r>
          </w:p>
        </w:tc>
        <w:tc>
          <w:tcPr>
            <w:tcW w:w="1350" w:type="dxa"/>
            <w:noWrap/>
            <w:tcMar>
              <w:top w:w="0" w:type="dxa"/>
              <w:left w:w="108" w:type="dxa"/>
              <w:bottom w:w="0" w:type="dxa"/>
              <w:right w:w="108" w:type="dxa"/>
            </w:tcMar>
            <w:hideMark/>
          </w:tcPr>
          <w:p w14:paraId="692A6EF3" w14:textId="77777777" w:rsidR="003446E3" w:rsidRDefault="003446E3">
            <w:pPr>
              <w:jc w:val="right"/>
              <w:rPr>
                <w:color w:val="000000"/>
              </w:rPr>
            </w:pPr>
            <w:r>
              <w:rPr>
                <w:color w:val="000000"/>
              </w:rPr>
              <w:t>436,510</w:t>
            </w:r>
          </w:p>
        </w:tc>
        <w:tc>
          <w:tcPr>
            <w:tcW w:w="978" w:type="dxa"/>
          </w:tcPr>
          <w:p w14:paraId="1924E49F" w14:textId="02430FD1" w:rsidR="003446E3" w:rsidRDefault="004D6F11" w:rsidP="004D6F11">
            <w:pPr>
              <w:jc w:val="right"/>
              <w:rPr>
                <w:color w:val="000000"/>
              </w:rPr>
            </w:pPr>
            <w:r>
              <w:rPr>
                <w:color w:val="000000"/>
              </w:rPr>
              <w:t>72,897</w:t>
            </w:r>
            <w:r w:rsidR="002F2680">
              <w:rPr>
                <w:color w:val="000000"/>
              </w:rPr>
              <w:t>.17</w:t>
            </w:r>
          </w:p>
        </w:tc>
        <w:tc>
          <w:tcPr>
            <w:tcW w:w="2564" w:type="dxa"/>
            <w:noWrap/>
            <w:tcMar>
              <w:top w:w="0" w:type="dxa"/>
              <w:left w:w="108" w:type="dxa"/>
              <w:bottom w:w="0" w:type="dxa"/>
              <w:right w:w="108" w:type="dxa"/>
            </w:tcMar>
          </w:tcPr>
          <w:p w14:paraId="1BEF58C4" w14:textId="65D93974" w:rsidR="003446E3" w:rsidRDefault="002F2680" w:rsidP="0007289D">
            <w:pPr>
              <w:jc w:val="right"/>
              <w:rPr>
                <w:color w:val="000000"/>
              </w:rPr>
            </w:pPr>
            <w:r>
              <w:rPr>
                <w:color w:val="000000"/>
              </w:rPr>
              <w:t>$7,097,268.47</w:t>
            </w:r>
          </w:p>
        </w:tc>
      </w:tr>
      <w:tr w:rsidR="003446E3" w14:paraId="408A796B" w14:textId="77777777" w:rsidTr="00807FB4">
        <w:trPr>
          <w:trHeight w:val="265"/>
        </w:trPr>
        <w:tc>
          <w:tcPr>
            <w:tcW w:w="2120" w:type="dxa"/>
            <w:shd w:val="clear" w:color="auto" w:fill="FFFFFF"/>
            <w:noWrap/>
            <w:tcMar>
              <w:top w:w="0" w:type="dxa"/>
              <w:left w:w="108" w:type="dxa"/>
              <w:bottom w:w="0" w:type="dxa"/>
              <w:right w:w="108" w:type="dxa"/>
            </w:tcMar>
            <w:hideMark/>
          </w:tcPr>
          <w:p w14:paraId="037281B7" w14:textId="77777777" w:rsidR="003446E3" w:rsidRDefault="003446E3">
            <w:pPr>
              <w:jc w:val="right"/>
              <w:rPr>
                <w:i/>
                <w:iCs/>
                <w:color w:val="000000"/>
              </w:rPr>
            </w:pPr>
            <w:r>
              <w:rPr>
                <w:i/>
                <w:iCs/>
                <w:color w:val="000000"/>
              </w:rPr>
              <w:t>Hospitalist</w:t>
            </w:r>
          </w:p>
        </w:tc>
        <w:tc>
          <w:tcPr>
            <w:tcW w:w="1443" w:type="dxa"/>
            <w:shd w:val="clear" w:color="auto" w:fill="F2F2F2"/>
            <w:noWrap/>
            <w:tcMar>
              <w:top w:w="0" w:type="dxa"/>
              <w:left w:w="108" w:type="dxa"/>
              <w:bottom w:w="0" w:type="dxa"/>
              <w:right w:w="108" w:type="dxa"/>
            </w:tcMar>
            <w:hideMark/>
          </w:tcPr>
          <w:p w14:paraId="5AE6F11E" w14:textId="4299FF71" w:rsidR="003446E3" w:rsidRDefault="003446E3">
            <w:pPr>
              <w:jc w:val="right"/>
              <w:rPr>
                <w:color w:val="000000"/>
              </w:rPr>
            </w:pPr>
            <w:r>
              <w:rPr>
                <w:color w:val="000000"/>
              </w:rPr>
              <w:t>$</w:t>
            </w:r>
            <w:r w:rsidR="004D6F11">
              <w:rPr>
                <w:color w:val="000000"/>
              </w:rPr>
              <w:t>204</w:t>
            </w:r>
            <w:r>
              <w:rPr>
                <w:color w:val="000000"/>
              </w:rPr>
              <w:t xml:space="preserve"> </w:t>
            </w:r>
          </w:p>
        </w:tc>
        <w:tc>
          <w:tcPr>
            <w:tcW w:w="1530" w:type="dxa"/>
            <w:shd w:val="clear" w:color="auto" w:fill="F2F2F2"/>
            <w:noWrap/>
            <w:tcMar>
              <w:top w:w="0" w:type="dxa"/>
              <w:left w:w="108" w:type="dxa"/>
              <w:bottom w:w="0" w:type="dxa"/>
              <w:right w:w="108" w:type="dxa"/>
            </w:tcMar>
            <w:hideMark/>
          </w:tcPr>
          <w:p w14:paraId="68BCE91B" w14:textId="77777777" w:rsidR="003446E3" w:rsidRDefault="003446E3">
            <w:pPr>
              <w:jc w:val="right"/>
              <w:rPr>
                <w:color w:val="000000"/>
              </w:rPr>
            </w:pPr>
            <w:r>
              <w:rPr>
                <w:color w:val="000000"/>
              </w:rPr>
              <w:t>0.167</w:t>
            </w:r>
          </w:p>
        </w:tc>
        <w:tc>
          <w:tcPr>
            <w:tcW w:w="1350" w:type="dxa"/>
            <w:shd w:val="clear" w:color="auto" w:fill="F2F2F2"/>
            <w:noWrap/>
            <w:tcMar>
              <w:top w:w="0" w:type="dxa"/>
              <w:left w:w="108" w:type="dxa"/>
              <w:bottom w:w="0" w:type="dxa"/>
              <w:right w:w="108" w:type="dxa"/>
            </w:tcMar>
            <w:hideMark/>
          </w:tcPr>
          <w:p w14:paraId="3247AF83" w14:textId="77777777" w:rsidR="003446E3" w:rsidRDefault="003446E3">
            <w:pPr>
              <w:jc w:val="right"/>
              <w:rPr>
                <w:color w:val="000000"/>
              </w:rPr>
            </w:pPr>
            <w:r>
              <w:rPr>
                <w:color w:val="000000"/>
              </w:rPr>
              <w:t>436,510</w:t>
            </w:r>
          </w:p>
        </w:tc>
        <w:tc>
          <w:tcPr>
            <w:tcW w:w="978" w:type="dxa"/>
            <w:shd w:val="clear" w:color="auto" w:fill="F2F2F2"/>
          </w:tcPr>
          <w:p w14:paraId="7A22FFA8" w14:textId="61C2867C" w:rsidR="003446E3" w:rsidRDefault="004D6F11" w:rsidP="004D6F11">
            <w:pPr>
              <w:jc w:val="right"/>
              <w:rPr>
                <w:color w:val="000000"/>
              </w:rPr>
            </w:pPr>
            <w:r>
              <w:rPr>
                <w:color w:val="000000"/>
              </w:rPr>
              <w:t>72,897</w:t>
            </w:r>
            <w:r w:rsidR="002F2680">
              <w:rPr>
                <w:color w:val="000000"/>
              </w:rPr>
              <w:t>.17</w:t>
            </w:r>
          </w:p>
        </w:tc>
        <w:tc>
          <w:tcPr>
            <w:tcW w:w="2564" w:type="dxa"/>
            <w:shd w:val="clear" w:color="auto" w:fill="F2F2F2"/>
            <w:noWrap/>
            <w:tcMar>
              <w:top w:w="0" w:type="dxa"/>
              <w:left w:w="108" w:type="dxa"/>
              <w:bottom w:w="0" w:type="dxa"/>
              <w:right w:w="108" w:type="dxa"/>
            </w:tcMar>
          </w:tcPr>
          <w:p w14:paraId="0325145A" w14:textId="7FA16130" w:rsidR="003446E3" w:rsidRDefault="002F2680" w:rsidP="0007289D">
            <w:pPr>
              <w:jc w:val="right"/>
              <w:rPr>
                <w:color w:val="000000"/>
              </w:rPr>
            </w:pPr>
            <w:r>
              <w:rPr>
                <w:color w:val="000000"/>
              </w:rPr>
              <w:t>$14,871,022.68</w:t>
            </w:r>
          </w:p>
        </w:tc>
      </w:tr>
      <w:tr w:rsidR="003446E3" w14:paraId="7D26F1A2" w14:textId="77777777" w:rsidTr="00807FB4">
        <w:trPr>
          <w:trHeight w:val="265"/>
        </w:trPr>
        <w:tc>
          <w:tcPr>
            <w:tcW w:w="2120" w:type="dxa"/>
            <w:shd w:val="clear" w:color="auto" w:fill="FFFFFF"/>
            <w:noWrap/>
            <w:tcMar>
              <w:top w:w="0" w:type="dxa"/>
              <w:left w:w="108" w:type="dxa"/>
              <w:bottom w:w="0" w:type="dxa"/>
              <w:right w:w="108" w:type="dxa"/>
            </w:tcMar>
            <w:hideMark/>
          </w:tcPr>
          <w:p w14:paraId="1B60C49C" w14:textId="77777777" w:rsidR="003446E3" w:rsidRDefault="003446E3">
            <w:pPr>
              <w:jc w:val="right"/>
              <w:rPr>
                <w:b/>
                <w:bCs/>
                <w:i/>
                <w:iCs/>
                <w:color w:val="000000"/>
              </w:rPr>
            </w:pPr>
            <w:r>
              <w:rPr>
                <w:b/>
                <w:bCs/>
                <w:i/>
                <w:iCs/>
                <w:color w:val="000000"/>
              </w:rPr>
              <w:t>Subtotal</w:t>
            </w:r>
          </w:p>
        </w:tc>
        <w:tc>
          <w:tcPr>
            <w:tcW w:w="1443" w:type="dxa"/>
            <w:noWrap/>
            <w:tcMar>
              <w:top w:w="0" w:type="dxa"/>
              <w:left w:w="108" w:type="dxa"/>
              <w:bottom w:w="0" w:type="dxa"/>
              <w:right w:w="108" w:type="dxa"/>
            </w:tcMar>
            <w:hideMark/>
          </w:tcPr>
          <w:p w14:paraId="6A634AC5" w14:textId="77777777" w:rsidR="003446E3" w:rsidRDefault="003446E3">
            <w:pPr>
              <w:rPr>
                <w:b/>
                <w:bCs/>
                <w:i/>
                <w:iCs/>
                <w:color w:val="000000"/>
              </w:rPr>
            </w:pPr>
          </w:p>
        </w:tc>
        <w:tc>
          <w:tcPr>
            <w:tcW w:w="1530" w:type="dxa"/>
            <w:noWrap/>
            <w:tcMar>
              <w:top w:w="0" w:type="dxa"/>
              <w:left w:w="108" w:type="dxa"/>
              <w:bottom w:w="0" w:type="dxa"/>
              <w:right w:w="108" w:type="dxa"/>
            </w:tcMar>
            <w:hideMark/>
          </w:tcPr>
          <w:p w14:paraId="7E3846F2" w14:textId="77777777" w:rsidR="003446E3" w:rsidRDefault="003446E3">
            <w:pPr>
              <w:rPr>
                <w:rFonts w:ascii="Times New Roman" w:eastAsia="Times New Roman" w:hAnsi="Times New Roman"/>
                <w:sz w:val="20"/>
                <w:szCs w:val="20"/>
              </w:rPr>
            </w:pPr>
          </w:p>
        </w:tc>
        <w:tc>
          <w:tcPr>
            <w:tcW w:w="1350" w:type="dxa"/>
            <w:noWrap/>
            <w:tcMar>
              <w:top w:w="0" w:type="dxa"/>
              <w:left w:w="108" w:type="dxa"/>
              <w:bottom w:w="0" w:type="dxa"/>
              <w:right w:w="108" w:type="dxa"/>
            </w:tcMar>
            <w:hideMark/>
          </w:tcPr>
          <w:p w14:paraId="5006BAE2" w14:textId="77777777" w:rsidR="003446E3" w:rsidRDefault="003446E3">
            <w:pPr>
              <w:jc w:val="right"/>
              <w:rPr>
                <w:rFonts w:ascii="Calibri" w:hAnsi="Calibri"/>
                <w:b/>
                <w:bCs/>
                <w:color w:val="000000"/>
              </w:rPr>
            </w:pPr>
            <w:r>
              <w:rPr>
                <w:b/>
                <w:bCs/>
                <w:color w:val="000000"/>
              </w:rPr>
              <w:t>1,309,530</w:t>
            </w:r>
          </w:p>
        </w:tc>
        <w:tc>
          <w:tcPr>
            <w:tcW w:w="978" w:type="dxa"/>
          </w:tcPr>
          <w:p w14:paraId="1D9933FB" w14:textId="7EAE40C6" w:rsidR="003446E3" w:rsidRDefault="004D6F11" w:rsidP="004D6F11">
            <w:pPr>
              <w:jc w:val="right"/>
              <w:rPr>
                <w:b/>
                <w:bCs/>
                <w:color w:val="000000"/>
              </w:rPr>
            </w:pPr>
            <w:r>
              <w:rPr>
                <w:b/>
                <w:bCs/>
                <w:color w:val="000000"/>
              </w:rPr>
              <w:t>218,691</w:t>
            </w:r>
            <w:r w:rsidR="002F2680">
              <w:rPr>
                <w:b/>
                <w:bCs/>
                <w:color w:val="000000"/>
              </w:rPr>
              <w:t>.51</w:t>
            </w:r>
          </w:p>
        </w:tc>
        <w:tc>
          <w:tcPr>
            <w:tcW w:w="2564" w:type="dxa"/>
            <w:noWrap/>
            <w:tcMar>
              <w:top w:w="0" w:type="dxa"/>
              <w:left w:w="108" w:type="dxa"/>
              <w:bottom w:w="0" w:type="dxa"/>
              <w:right w:w="108" w:type="dxa"/>
            </w:tcMar>
          </w:tcPr>
          <w:p w14:paraId="2D3C4B71" w14:textId="010743B5" w:rsidR="003446E3" w:rsidRDefault="002F2680">
            <w:pPr>
              <w:jc w:val="right"/>
              <w:rPr>
                <w:b/>
                <w:bCs/>
                <w:color w:val="000000"/>
              </w:rPr>
            </w:pPr>
            <w:r>
              <w:rPr>
                <w:b/>
                <w:bCs/>
                <w:color w:val="000000"/>
              </w:rPr>
              <w:t>$35,742,940.39</w:t>
            </w:r>
          </w:p>
        </w:tc>
      </w:tr>
    </w:tbl>
    <w:p w14:paraId="5A10CDE9" w14:textId="77777777" w:rsidR="004F41C7" w:rsidRDefault="004F41C7" w:rsidP="004F41C7">
      <w:pPr>
        <w:rPr>
          <w:rFonts w:ascii="Calibri" w:hAnsi="Calibri"/>
          <w:color w:val="1F497D"/>
        </w:rPr>
      </w:pPr>
    </w:p>
    <w:p w14:paraId="51B83970" w14:textId="3D9AE0FF" w:rsidR="004F41C7" w:rsidRDefault="004F41C7" w:rsidP="004F41C7">
      <w:pPr>
        <w:rPr>
          <w:b/>
          <w:bCs/>
          <w:sz w:val="24"/>
          <w:szCs w:val="24"/>
        </w:rPr>
      </w:pPr>
      <w:r>
        <w:rPr>
          <w:b/>
          <w:bCs/>
          <w:sz w:val="24"/>
          <w:szCs w:val="24"/>
        </w:rPr>
        <w:t>Physician</w:t>
      </w:r>
      <w:r w:rsidR="008C3F23">
        <w:rPr>
          <w:b/>
          <w:bCs/>
          <w:sz w:val="24"/>
          <w:szCs w:val="24"/>
        </w:rPr>
        <w:t>/NPP</w:t>
      </w:r>
      <w:r>
        <w:rPr>
          <w:b/>
          <w:bCs/>
          <w:sz w:val="24"/>
          <w:szCs w:val="24"/>
        </w:rPr>
        <w:t xml:space="preserve"> Annual Burden for Completing the Paper Clinical Template</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9"/>
        <w:gridCol w:w="1566"/>
        <w:gridCol w:w="1530"/>
        <w:gridCol w:w="1350"/>
        <w:gridCol w:w="1260"/>
        <w:gridCol w:w="2520"/>
      </w:tblGrid>
      <w:tr w:rsidR="0017580B" w14:paraId="074D9654" w14:textId="77777777" w:rsidTr="006515B2">
        <w:trPr>
          <w:trHeight w:val="522"/>
        </w:trPr>
        <w:tc>
          <w:tcPr>
            <w:tcW w:w="2029" w:type="dxa"/>
            <w:shd w:val="clear" w:color="auto" w:fill="FFFFFF"/>
            <w:noWrap/>
            <w:tcMar>
              <w:top w:w="0" w:type="dxa"/>
              <w:left w:w="108" w:type="dxa"/>
              <w:bottom w:w="0" w:type="dxa"/>
              <w:right w:w="108" w:type="dxa"/>
            </w:tcMar>
          </w:tcPr>
          <w:p w14:paraId="238056B4" w14:textId="77777777" w:rsidR="003446E3" w:rsidRDefault="003446E3">
            <w:pPr>
              <w:jc w:val="right"/>
              <w:rPr>
                <w:i/>
                <w:iCs/>
                <w:color w:val="000000"/>
              </w:rPr>
            </w:pPr>
          </w:p>
          <w:p w14:paraId="0D8B0924" w14:textId="77777777" w:rsidR="003446E3" w:rsidRDefault="003446E3">
            <w:pPr>
              <w:jc w:val="right"/>
              <w:rPr>
                <w:i/>
                <w:iCs/>
                <w:color w:val="000000"/>
              </w:rPr>
            </w:pPr>
            <w:r>
              <w:rPr>
                <w:i/>
                <w:iCs/>
                <w:color w:val="000000"/>
              </w:rPr>
              <w:t>Provider Type</w:t>
            </w:r>
          </w:p>
        </w:tc>
        <w:tc>
          <w:tcPr>
            <w:tcW w:w="1566" w:type="dxa"/>
            <w:shd w:val="clear" w:color="auto" w:fill="FFFFFF"/>
            <w:tcMar>
              <w:top w:w="0" w:type="dxa"/>
              <w:left w:w="108" w:type="dxa"/>
              <w:bottom w:w="0" w:type="dxa"/>
              <w:right w:w="108" w:type="dxa"/>
            </w:tcMar>
            <w:hideMark/>
          </w:tcPr>
          <w:p w14:paraId="29EA6413" w14:textId="77777777" w:rsidR="003446E3" w:rsidRDefault="003446E3">
            <w:pPr>
              <w:jc w:val="right"/>
              <w:rPr>
                <w:i/>
                <w:iCs/>
                <w:color w:val="000000"/>
              </w:rPr>
            </w:pPr>
            <w:r>
              <w:rPr>
                <w:i/>
                <w:iCs/>
                <w:color w:val="000000"/>
              </w:rPr>
              <w:t>Hourly</w:t>
            </w:r>
          </w:p>
          <w:p w14:paraId="200DF702" w14:textId="77777777" w:rsidR="003446E3" w:rsidRDefault="003446E3">
            <w:pPr>
              <w:jc w:val="right"/>
              <w:rPr>
                <w:i/>
                <w:iCs/>
                <w:color w:val="000000"/>
              </w:rPr>
            </w:pPr>
            <w:r>
              <w:rPr>
                <w:i/>
                <w:iCs/>
                <w:color w:val="000000"/>
              </w:rPr>
              <w:t>Rate</w:t>
            </w:r>
          </w:p>
        </w:tc>
        <w:tc>
          <w:tcPr>
            <w:tcW w:w="1530" w:type="dxa"/>
            <w:shd w:val="clear" w:color="auto" w:fill="FFFFFF"/>
            <w:tcMar>
              <w:top w:w="0" w:type="dxa"/>
              <w:left w:w="108" w:type="dxa"/>
              <w:bottom w:w="0" w:type="dxa"/>
              <w:right w:w="108" w:type="dxa"/>
            </w:tcMar>
            <w:hideMark/>
          </w:tcPr>
          <w:p w14:paraId="52C9D3DA" w14:textId="77777777" w:rsidR="003446E3" w:rsidRDefault="003446E3">
            <w:pPr>
              <w:jc w:val="right"/>
              <w:rPr>
                <w:i/>
                <w:iCs/>
                <w:color w:val="000000"/>
              </w:rPr>
            </w:pPr>
            <w:r>
              <w:rPr>
                <w:i/>
                <w:iCs/>
                <w:color w:val="000000"/>
              </w:rPr>
              <w:t>Burden Hours (1/4 Hour)</w:t>
            </w:r>
          </w:p>
        </w:tc>
        <w:tc>
          <w:tcPr>
            <w:tcW w:w="1350" w:type="dxa"/>
            <w:shd w:val="clear" w:color="auto" w:fill="FFFFFF"/>
            <w:tcMar>
              <w:top w:w="0" w:type="dxa"/>
              <w:left w:w="108" w:type="dxa"/>
              <w:bottom w:w="0" w:type="dxa"/>
              <w:right w:w="108" w:type="dxa"/>
            </w:tcMar>
            <w:hideMark/>
          </w:tcPr>
          <w:p w14:paraId="23D14104" w14:textId="56DBFF21" w:rsidR="003446E3" w:rsidRDefault="003446E3">
            <w:pPr>
              <w:jc w:val="right"/>
              <w:rPr>
                <w:i/>
                <w:iCs/>
                <w:color w:val="000000"/>
              </w:rPr>
            </w:pPr>
            <w:r>
              <w:rPr>
                <w:i/>
                <w:iCs/>
                <w:color w:val="000000"/>
              </w:rPr>
              <w:t>Number</w:t>
            </w:r>
            <w:r w:rsidR="0017580B">
              <w:rPr>
                <w:i/>
                <w:iCs/>
                <w:color w:val="000000"/>
              </w:rPr>
              <w:t xml:space="preserve"> of </w:t>
            </w:r>
            <w:r>
              <w:rPr>
                <w:i/>
                <w:iCs/>
                <w:color w:val="000000"/>
              </w:rPr>
              <w:t xml:space="preserve"> Claims</w:t>
            </w:r>
          </w:p>
        </w:tc>
        <w:tc>
          <w:tcPr>
            <w:tcW w:w="1260" w:type="dxa"/>
            <w:shd w:val="clear" w:color="auto" w:fill="FFFFFF"/>
          </w:tcPr>
          <w:p w14:paraId="3B99CCA2" w14:textId="2F8D1534" w:rsidR="003446E3" w:rsidRDefault="003446E3" w:rsidP="00807FB4">
            <w:pPr>
              <w:jc w:val="right"/>
              <w:rPr>
                <w:i/>
                <w:iCs/>
                <w:color w:val="000000"/>
              </w:rPr>
            </w:pPr>
            <w:r w:rsidRPr="003446E3">
              <w:rPr>
                <w:i/>
              </w:rPr>
              <w:t>Annual Burden (Hours)</w:t>
            </w:r>
          </w:p>
        </w:tc>
        <w:tc>
          <w:tcPr>
            <w:tcW w:w="2520" w:type="dxa"/>
            <w:shd w:val="clear" w:color="auto" w:fill="FFFFFF"/>
            <w:tcMar>
              <w:top w:w="0" w:type="dxa"/>
              <w:left w:w="108" w:type="dxa"/>
              <w:bottom w:w="0" w:type="dxa"/>
              <w:right w:w="108" w:type="dxa"/>
            </w:tcMar>
            <w:hideMark/>
          </w:tcPr>
          <w:p w14:paraId="2DB802BB" w14:textId="13CD2294" w:rsidR="003446E3" w:rsidRDefault="003446E3">
            <w:pPr>
              <w:jc w:val="right"/>
              <w:rPr>
                <w:i/>
                <w:iCs/>
                <w:color w:val="000000"/>
              </w:rPr>
            </w:pPr>
            <w:r>
              <w:rPr>
                <w:i/>
                <w:iCs/>
                <w:color w:val="000000"/>
              </w:rPr>
              <w:t xml:space="preserve">Annual </w:t>
            </w:r>
            <w:r w:rsidR="0007289D">
              <w:rPr>
                <w:i/>
                <w:iCs/>
                <w:color w:val="000000"/>
              </w:rPr>
              <w:t xml:space="preserve">Cost </w:t>
            </w:r>
            <w:r>
              <w:rPr>
                <w:i/>
                <w:iCs/>
                <w:color w:val="000000"/>
              </w:rPr>
              <w:t>Burden Estimate</w:t>
            </w:r>
          </w:p>
        </w:tc>
      </w:tr>
      <w:tr w:rsidR="0017580B" w14:paraId="7D7B6579" w14:textId="77777777" w:rsidTr="0017580B">
        <w:trPr>
          <w:trHeight w:val="310"/>
        </w:trPr>
        <w:tc>
          <w:tcPr>
            <w:tcW w:w="2029" w:type="dxa"/>
            <w:shd w:val="clear" w:color="auto" w:fill="FFFFFF"/>
            <w:noWrap/>
            <w:tcMar>
              <w:top w:w="0" w:type="dxa"/>
              <w:left w:w="108" w:type="dxa"/>
              <w:bottom w:w="0" w:type="dxa"/>
              <w:right w:w="108" w:type="dxa"/>
            </w:tcMar>
            <w:hideMark/>
          </w:tcPr>
          <w:p w14:paraId="468CD88D" w14:textId="77777777" w:rsidR="003446E3" w:rsidRDefault="003446E3">
            <w:pPr>
              <w:jc w:val="right"/>
              <w:rPr>
                <w:i/>
                <w:iCs/>
                <w:color w:val="000000"/>
              </w:rPr>
            </w:pPr>
            <w:r>
              <w:rPr>
                <w:i/>
                <w:iCs/>
                <w:color w:val="000000"/>
              </w:rPr>
              <w:t>General Internist</w:t>
            </w:r>
          </w:p>
        </w:tc>
        <w:tc>
          <w:tcPr>
            <w:tcW w:w="1566" w:type="dxa"/>
            <w:shd w:val="clear" w:color="auto" w:fill="F2F2F2"/>
            <w:noWrap/>
            <w:tcMar>
              <w:top w:w="0" w:type="dxa"/>
              <w:left w:w="108" w:type="dxa"/>
              <w:bottom w:w="0" w:type="dxa"/>
              <w:right w:w="108" w:type="dxa"/>
            </w:tcMar>
            <w:hideMark/>
          </w:tcPr>
          <w:p w14:paraId="245C705E" w14:textId="04268D85" w:rsidR="003446E3" w:rsidRDefault="003446E3">
            <w:pPr>
              <w:jc w:val="right"/>
              <w:rPr>
                <w:color w:val="000000"/>
              </w:rPr>
            </w:pPr>
            <w:r>
              <w:rPr>
                <w:color w:val="000000"/>
              </w:rPr>
              <w:t>$</w:t>
            </w:r>
            <w:r w:rsidR="0007289D">
              <w:rPr>
                <w:color w:val="000000"/>
              </w:rPr>
              <w:t>188.96</w:t>
            </w:r>
            <w:r>
              <w:rPr>
                <w:color w:val="000000"/>
              </w:rPr>
              <w:t xml:space="preserve"> </w:t>
            </w:r>
          </w:p>
        </w:tc>
        <w:tc>
          <w:tcPr>
            <w:tcW w:w="1530" w:type="dxa"/>
            <w:shd w:val="clear" w:color="auto" w:fill="F2F2F2"/>
            <w:noWrap/>
            <w:tcMar>
              <w:top w:w="0" w:type="dxa"/>
              <w:left w:w="108" w:type="dxa"/>
              <w:bottom w:w="0" w:type="dxa"/>
              <w:right w:w="108" w:type="dxa"/>
            </w:tcMar>
            <w:hideMark/>
          </w:tcPr>
          <w:p w14:paraId="094F8325" w14:textId="77777777" w:rsidR="003446E3" w:rsidRDefault="003446E3">
            <w:pPr>
              <w:jc w:val="right"/>
              <w:rPr>
                <w:color w:val="000000"/>
              </w:rPr>
            </w:pPr>
            <w:r>
              <w:rPr>
                <w:color w:val="000000"/>
              </w:rPr>
              <w:t>0.25</w:t>
            </w:r>
          </w:p>
        </w:tc>
        <w:tc>
          <w:tcPr>
            <w:tcW w:w="1350" w:type="dxa"/>
            <w:shd w:val="clear" w:color="auto" w:fill="F2F2F2"/>
            <w:noWrap/>
            <w:tcMar>
              <w:top w:w="0" w:type="dxa"/>
              <w:left w:w="108" w:type="dxa"/>
              <w:bottom w:w="0" w:type="dxa"/>
              <w:right w:w="108" w:type="dxa"/>
            </w:tcMar>
            <w:hideMark/>
          </w:tcPr>
          <w:p w14:paraId="4A66D05F" w14:textId="77777777" w:rsidR="003446E3" w:rsidRDefault="003446E3">
            <w:pPr>
              <w:jc w:val="right"/>
              <w:rPr>
                <w:color w:val="000000"/>
              </w:rPr>
            </w:pPr>
            <w:r>
              <w:rPr>
                <w:color w:val="000000"/>
              </w:rPr>
              <w:t>436,510</w:t>
            </w:r>
          </w:p>
        </w:tc>
        <w:tc>
          <w:tcPr>
            <w:tcW w:w="1260" w:type="dxa"/>
            <w:shd w:val="clear" w:color="auto" w:fill="F2F2F2"/>
          </w:tcPr>
          <w:p w14:paraId="044E54A9" w14:textId="1CEF0307" w:rsidR="003446E3" w:rsidRDefault="0007289D" w:rsidP="0007289D">
            <w:pPr>
              <w:jc w:val="right"/>
              <w:rPr>
                <w:color w:val="000000"/>
              </w:rPr>
            </w:pPr>
            <w:r>
              <w:rPr>
                <w:color w:val="000000"/>
              </w:rPr>
              <w:t>109,12</w:t>
            </w:r>
            <w:r w:rsidR="002F2680">
              <w:rPr>
                <w:color w:val="000000"/>
              </w:rPr>
              <w:t>7.5</w:t>
            </w:r>
          </w:p>
        </w:tc>
        <w:tc>
          <w:tcPr>
            <w:tcW w:w="2520" w:type="dxa"/>
            <w:shd w:val="clear" w:color="auto" w:fill="F2F2F2"/>
            <w:noWrap/>
            <w:tcMar>
              <w:top w:w="0" w:type="dxa"/>
              <w:left w:w="108" w:type="dxa"/>
              <w:bottom w:w="0" w:type="dxa"/>
              <w:right w:w="108" w:type="dxa"/>
            </w:tcMar>
          </w:tcPr>
          <w:p w14:paraId="6554B39C" w14:textId="7E2BF301" w:rsidR="003446E3" w:rsidRDefault="002F2680">
            <w:pPr>
              <w:jc w:val="right"/>
              <w:rPr>
                <w:color w:val="000000"/>
              </w:rPr>
            </w:pPr>
            <w:r>
              <w:rPr>
                <w:color w:val="000000"/>
              </w:rPr>
              <w:t>$20,620,732.40</w:t>
            </w:r>
          </w:p>
        </w:tc>
      </w:tr>
      <w:tr w:rsidR="0017580B" w14:paraId="11C0D35A" w14:textId="77777777" w:rsidTr="0017580B">
        <w:trPr>
          <w:trHeight w:val="310"/>
        </w:trPr>
        <w:tc>
          <w:tcPr>
            <w:tcW w:w="2029" w:type="dxa"/>
            <w:shd w:val="clear" w:color="auto" w:fill="FFFFFF"/>
            <w:noWrap/>
            <w:tcMar>
              <w:top w:w="0" w:type="dxa"/>
              <w:left w:w="108" w:type="dxa"/>
              <w:bottom w:w="0" w:type="dxa"/>
              <w:right w:w="108" w:type="dxa"/>
            </w:tcMar>
            <w:hideMark/>
          </w:tcPr>
          <w:p w14:paraId="01F0D230" w14:textId="77777777" w:rsidR="003446E3" w:rsidRDefault="003446E3">
            <w:pPr>
              <w:jc w:val="right"/>
              <w:rPr>
                <w:i/>
                <w:iCs/>
                <w:color w:val="000000"/>
              </w:rPr>
            </w:pPr>
            <w:r>
              <w:rPr>
                <w:i/>
                <w:iCs/>
                <w:color w:val="000000"/>
              </w:rPr>
              <w:t>Nurse Practitioner</w:t>
            </w:r>
          </w:p>
        </w:tc>
        <w:tc>
          <w:tcPr>
            <w:tcW w:w="1566" w:type="dxa"/>
            <w:noWrap/>
            <w:tcMar>
              <w:top w:w="0" w:type="dxa"/>
              <w:left w:w="108" w:type="dxa"/>
              <w:bottom w:w="0" w:type="dxa"/>
              <w:right w:w="108" w:type="dxa"/>
            </w:tcMar>
            <w:hideMark/>
          </w:tcPr>
          <w:p w14:paraId="0EBC3F67" w14:textId="5C7AE176" w:rsidR="003446E3" w:rsidRDefault="003446E3">
            <w:pPr>
              <w:jc w:val="right"/>
              <w:rPr>
                <w:color w:val="000000"/>
              </w:rPr>
            </w:pPr>
            <w:r>
              <w:rPr>
                <w:color w:val="000000"/>
              </w:rPr>
              <w:t>$</w:t>
            </w:r>
            <w:r w:rsidR="0007289D">
              <w:rPr>
                <w:color w:val="000000"/>
              </w:rPr>
              <w:t>97.36</w:t>
            </w:r>
            <w:r>
              <w:rPr>
                <w:color w:val="000000"/>
              </w:rPr>
              <w:t xml:space="preserve"> </w:t>
            </w:r>
          </w:p>
        </w:tc>
        <w:tc>
          <w:tcPr>
            <w:tcW w:w="1530" w:type="dxa"/>
            <w:noWrap/>
            <w:tcMar>
              <w:top w:w="0" w:type="dxa"/>
              <w:left w:w="108" w:type="dxa"/>
              <w:bottom w:w="0" w:type="dxa"/>
              <w:right w:w="108" w:type="dxa"/>
            </w:tcMar>
            <w:hideMark/>
          </w:tcPr>
          <w:p w14:paraId="66D8FC3A" w14:textId="77777777" w:rsidR="003446E3" w:rsidRDefault="003446E3">
            <w:pPr>
              <w:jc w:val="right"/>
              <w:rPr>
                <w:color w:val="000000"/>
              </w:rPr>
            </w:pPr>
            <w:r>
              <w:rPr>
                <w:color w:val="000000"/>
              </w:rPr>
              <w:t>0.25</w:t>
            </w:r>
          </w:p>
        </w:tc>
        <w:tc>
          <w:tcPr>
            <w:tcW w:w="1350" w:type="dxa"/>
            <w:noWrap/>
            <w:tcMar>
              <w:top w:w="0" w:type="dxa"/>
              <w:left w:w="108" w:type="dxa"/>
              <w:bottom w:w="0" w:type="dxa"/>
              <w:right w:w="108" w:type="dxa"/>
            </w:tcMar>
            <w:hideMark/>
          </w:tcPr>
          <w:p w14:paraId="2D513B8D" w14:textId="77777777" w:rsidR="003446E3" w:rsidRDefault="003446E3">
            <w:pPr>
              <w:jc w:val="right"/>
              <w:rPr>
                <w:color w:val="000000"/>
              </w:rPr>
            </w:pPr>
            <w:r>
              <w:rPr>
                <w:color w:val="000000"/>
              </w:rPr>
              <w:t>436,510</w:t>
            </w:r>
          </w:p>
        </w:tc>
        <w:tc>
          <w:tcPr>
            <w:tcW w:w="1260" w:type="dxa"/>
          </w:tcPr>
          <w:p w14:paraId="7D8348E6" w14:textId="671E61F0" w:rsidR="003446E3" w:rsidRDefault="0007289D" w:rsidP="0007289D">
            <w:pPr>
              <w:jc w:val="right"/>
              <w:rPr>
                <w:color w:val="000000"/>
              </w:rPr>
            </w:pPr>
            <w:r>
              <w:rPr>
                <w:color w:val="000000"/>
              </w:rPr>
              <w:t>109,12</w:t>
            </w:r>
            <w:r w:rsidR="002F2680">
              <w:rPr>
                <w:color w:val="000000"/>
              </w:rPr>
              <w:t>7.5</w:t>
            </w:r>
          </w:p>
        </w:tc>
        <w:tc>
          <w:tcPr>
            <w:tcW w:w="2520" w:type="dxa"/>
            <w:noWrap/>
            <w:tcMar>
              <w:top w:w="0" w:type="dxa"/>
              <w:left w:w="108" w:type="dxa"/>
              <w:bottom w:w="0" w:type="dxa"/>
              <w:right w:w="108" w:type="dxa"/>
            </w:tcMar>
          </w:tcPr>
          <w:p w14:paraId="20665B14" w14:textId="509CE278" w:rsidR="003446E3" w:rsidRDefault="002F2680">
            <w:pPr>
              <w:jc w:val="right"/>
              <w:rPr>
                <w:color w:val="000000"/>
              </w:rPr>
            </w:pPr>
            <w:r>
              <w:rPr>
                <w:color w:val="000000"/>
              </w:rPr>
              <w:t>$10,624,653.40</w:t>
            </w:r>
          </w:p>
        </w:tc>
      </w:tr>
      <w:tr w:rsidR="0017580B" w14:paraId="10D2B81A" w14:textId="77777777" w:rsidTr="0017580B">
        <w:trPr>
          <w:trHeight w:val="310"/>
        </w:trPr>
        <w:tc>
          <w:tcPr>
            <w:tcW w:w="2029" w:type="dxa"/>
            <w:shd w:val="clear" w:color="auto" w:fill="FFFFFF"/>
            <w:noWrap/>
            <w:tcMar>
              <w:top w:w="0" w:type="dxa"/>
              <w:left w:w="108" w:type="dxa"/>
              <w:bottom w:w="0" w:type="dxa"/>
              <w:right w:w="108" w:type="dxa"/>
            </w:tcMar>
            <w:hideMark/>
          </w:tcPr>
          <w:p w14:paraId="2D78E94E" w14:textId="77777777" w:rsidR="003446E3" w:rsidRDefault="003446E3">
            <w:pPr>
              <w:jc w:val="right"/>
              <w:rPr>
                <w:i/>
                <w:iCs/>
                <w:color w:val="000000"/>
              </w:rPr>
            </w:pPr>
            <w:r>
              <w:rPr>
                <w:i/>
                <w:iCs/>
                <w:color w:val="000000"/>
              </w:rPr>
              <w:t>Hospitalist</w:t>
            </w:r>
          </w:p>
        </w:tc>
        <w:tc>
          <w:tcPr>
            <w:tcW w:w="1566" w:type="dxa"/>
            <w:shd w:val="clear" w:color="auto" w:fill="F2F2F2"/>
            <w:noWrap/>
            <w:tcMar>
              <w:top w:w="0" w:type="dxa"/>
              <w:left w:w="108" w:type="dxa"/>
              <w:bottom w:w="0" w:type="dxa"/>
              <w:right w:w="108" w:type="dxa"/>
            </w:tcMar>
            <w:hideMark/>
          </w:tcPr>
          <w:p w14:paraId="129B255D" w14:textId="4132965F" w:rsidR="003446E3" w:rsidRDefault="003446E3">
            <w:pPr>
              <w:jc w:val="right"/>
              <w:rPr>
                <w:color w:val="000000"/>
              </w:rPr>
            </w:pPr>
            <w:r>
              <w:rPr>
                <w:color w:val="000000"/>
              </w:rPr>
              <w:t>$</w:t>
            </w:r>
            <w:r w:rsidR="0007289D">
              <w:rPr>
                <w:color w:val="000000"/>
              </w:rPr>
              <w:t>204</w:t>
            </w:r>
            <w:r>
              <w:rPr>
                <w:color w:val="000000"/>
              </w:rPr>
              <w:t xml:space="preserve"> </w:t>
            </w:r>
          </w:p>
        </w:tc>
        <w:tc>
          <w:tcPr>
            <w:tcW w:w="1530" w:type="dxa"/>
            <w:shd w:val="clear" w:color="auto" w:fill="F2F2F2"/>
            <w:noWrap/>
            <w:tcMar>
              <w:top w:w="0" w:type="dxa"/>
              <w:left w:w="108" w:type="dxa"/>
              <w:bottom w:w="0" w:type="dxa"/>
              <w:right w:w="108" w:type="dxa"/>
            </w:tcMar>
            <w:hideMark/>
          </w:tcPr>
          <w:p w14:paraId="64F513F6" w14:textId="77777777" w:rsidR="003446E3" w:rsidRDefault="003446E3">
            <w:pPr>
              <w:jc w:val="right"/>
              <w:rPr>
                <w:color w:val="000000"/>
              </w:rPr>
            </w:pPr>
            <w:r>
              <w:rPr>
                <w:color w:val="000000"/>
              </w:rPr>
              <w:t>0.25</w:t>
            </w:r>
          </w:p>
        </w:tc>
        <w:tc>
          <w:tcPr>
            <w:tcW w:w="1350" w:type="dxa"/>
            <w:shd w:val="clear" w:color="auto" w:fill="F2F2F2"/>
            <w:noWrap/>
            <w:tcMar>
              <w:top w:w="0" w:type="dxa"/>
              <w:left w:w="108" w:type="dxa"/>
              <w:bottom w:w="0" w:type="dxa"/>
              <w:right w:w="108" w:type="dxa"/>
            </w:tcMar>
            <w:hideMark/>
          </w:tcPr>
          <w:p w14:paraId="290BA088" w14:textId="77777777" w:rsidR="003446E3" w:rsidRDefault="003446E3">
            <w:pPr>
              <w:jc w:val="right"/>
              <w:rPr>
                <w:color w:val="000000"/>
              </w:rPr>
            </w:pPr>
            <w:r>
              <w:rPr>
                <w:color w:val="000000"/>
              </w:rPr>
              <w:t>436,510</w:t>
            </w:r>
          </w:p>
        </w:tc>
        <w:tc>
          <w:tcPr>
            <w:tcW w:w="1260" w:type="dxa"/>
            <w:shd w:val="clear" w:color="auto" w:fill="F2F2F2"/>
          </w:tcPr>
          <w:p w14:paraId="34486A17" w14:textId="01FE6969" w:rsidR="003446E3" w:rsidRDefault="0007289D" w:rsidP="002F2680">
            <w:pPr>
              <w:jc w:val="right"/>
              <w:rPr>
                <w:color w:val="000000"/>
              </w:rPr>
            </w:pPr>
            <w:r>
              <w:rPr>
                <w:color w:val="000000"/>
              </w:rPr>
              <w:t>109,12</w:t>
            </w:r>
            <w:r w:rsidR="002F2680">
              <w:rPr>
                <w:color w:val="000000"/>
              </w:rPr>
              <w:t>7.5</w:t>
            </w:r>
          </w:p>
        </w:tc>
        <w:tc>
          <w:tcPr>
            <w:tcW w:w="2520" w:type="dxa"/>
            <w:shd w:val="clear" w:color="auto" w:fill="F2F2F2"/>
            <w:noWrap/>
            <w:tcMar>
              <w:top w:w="0" w:type="dxa"/>
              <w:left w:w="108" w:type="dxa"/>
              <w:bottom w:w="0" w:type="dxa"/>
              <w:right w:w="108" w:type="dxa"/>
            </w:tcMar>
          </w:tcPr>
          <w:p w14:paraId="3E1A44EB" w14:textId="1D1E8283" w:rsidR="003446E3" w:rsidRDefault="002F2680">
            <w:pPr>
              <w:jc w:val="right"/>
              <w:rPr>
                <w:color w:val="000000"/>
              </w:rPr>
            </w:pPr>
            <w:r>
              <w:rPr>
                <w:color w:val="000000"/>
              </w:rPr>
              <w:t>$22,262,010.00</w:t>
            </w:r>
          </w:p>
        </w:tc>
      </w:tr>
      <w:tr w:rsidR="0017580B" w14:paraId="5F61D9EF" w14:textId="77777777" w:rsidTr="0017580B">
        <w:trPr>
          <w:trHeight w:val="310"/>
        </w:trPr>
        <w:tc>
          <w:tcPr>
            <w:tcW w:w="2029" w:type="dxa"/>
            <w:shd w:val="clear" w:color="auto" w:fill="FFFFFF"/>
            <w:noWrap/>
            <w:tcMar>
              <w:top w:w="0" w:type="dxa"/>
              <w:left w:w="108" w:type="dxa"/>
              <w:bottom w:w="0" w:type="dxa"/>
              <w:right w:w="108" w:type="dxa"/>
            </w:tcMar>
            <w:hideMark/>
          </w:tcPr>
          <w:p w14:paraId="7EED70EB" w14:textId="77777777" w:rsidR="003446E3" w:rsidRDefault="003446E3">
            <w:pPr>
              <w:jc w:val="right"/>
              <w:rPr>
                <w:b/>
                <w:bCs/>
                <w:i/>
                <w:iCs/>
                <w:color w:val="000000"/>
              </w:rPr>
            </w:pPr>
            <w:r>
              <w:rPr>
                <w:b/>
                <w:bCs/>
                <w:i/>
                <w:iCs/>
                <w:color w:val="000000"/>
              </w:rPr>
              <w:t>Subtotal</w:t>
            </w:r>
          </w:p>
        </w:tc>
        <w:tc>
          <w:tcPr>
            <w:tcW w:w="1566" w:type="dxa"/>
            <w:noWrap/>
            <w:tcMar>
              <w:top w:w="0" w:type="dxa"/>
              <w:left w:w="108" w:type="dxa"/>
              <w:bottom w:w="0" w:type="dxa"/>
              <w:right w:w="108" w:type="dxa"/>
            </w:tcMar>
            <w:hideMark/>
          </w:tcPr>
          <w:p w14:paraId="7611DF67" w14:textId="77777777" w:rsidR="003446E3" w:rsidRDefault="003446E3">
            <w:pPr>
              <w:rPr>
                <w:b/>
                <w:bCs/>
                <w:i/>
                <w:iCs/>
                <w:color w:val="000000"/>
              </w:rPr>
            </w:pPr>
          </w:p>
        </w:tc>
        <w:tc>
          <w:tcPr>
            <w:tcW w:w="1530" w:type="dxa"/>
            <w:noWrap/>
            <w:tcMar>
              <w:top w:w="0" w:type="dxa"/>
              <w:left w:w="108" w:type="dxa"/>
              <w:bottom w:w="0" w:type="dxa"/>
              <w:right w:w="108" w:type="dxa"/>
            </w:tcMar>
            <w:hideMark/>
          </w:tcPr>
          <w:p w14:paraId="26B47253" w14:textId="77777777" w:rsidR="003446E3" w:rsidRDefault="003446E3">
            <w:pPr>
              <w:rPr>
                <w:rFonts w:ascii="Times New Roman" w:eastAsia="Times New Roman" w:hAnsi="Times New Roman"/>
                <w:sz w:val="20"/>
                <w:szCs w:val="20"/>
              </w:rPr>
            </w:pPr>
          </w:p>
        </w:tc>
        <w:tc>
          <w:tcPr>
            <w:tcW w:w="1350" w:type="dxa"/>
            <w:noWrap/>
            <w:tcMar>
              <w:top w:w="0" w:type="dxa"/>
              <w:left w:w="108" w:type="dxa"/>
              <w:bottom w:w="0" w:type="dxa"/>
              <w:right w:w="108" w:type="dxa"/>
            </w:tcMar>
            <w:hideMark/>
          </w:tcPr>
          <w:p w14:paraId="73929006" w14:textId="77777777" w:rsidR="003446E3" w:rsidRDefault="003446E3">
            <w:pPr>
              <w:jc w:val="right"/>
              <w:rPr>
                <w:rFonts w:ascii="Calibri" w:hAnsi="Calibri"/>
                <w:b/>
                <w:bCs/>
                <w:color w:val="000000"/>
              </w:rPr>
            </w:pPr>
            <w:r>
              <w:rPr>
                <w:b/>
                <w:bCs/>
                <w:color w:val="000000"/>
              </w:rPr>
              <w:t>1,309,530</w:t>
            </w:r>
          </w:p>
        </w:tc>
        <w:tc>
          <w:tcPr>
            <w:tcW w:w="1260" w:type="dxa"/>
          </w:tcPr>
          <w:p w14:paraId="701277A0" w14:textId="6AB3ACDA" w:rsidR="003446E3" w:rsidRDefault="0007289D" w:rsidP="00807FB4">
            <w:pPr>
              <w:jc w:val="center"/>
              <w:rPr>
                <w:b/>
                <w:bCs/>
                <w:color w:val="000000"/>
              </w:rPr>
            </w:pPr>
            <w:r>
              <w:rPr>
                <w:b/>
                <w:bCs/>
                <w:color w:val="000000"/>
              </w:rPr>
              <w:t>327,38</w:t>
            </w:r>
            <w:r w:rsidR="002F2680">
              <w:rPr>
                <w:b/>
                <w:bCs/>
                <w:color w:val="000000"/>
              </w:rPr>
              <w:t>2.5</w:t>
            </w:r>
          </w:p>
        </w:tc>
        <w:tc>
          <w:tcPr>
            <w:tcW w:w="2520" w:type="dxa"/>
            <w:noWrap/>
            <w:tcMar>
              <w:top w:w="0" w:type="dxa"/>
              <w:left w:w="108" w:type="dxa"/>
              <w:bottom w:w="0" w:type="dxa"/>
              <w:right w:w="108" w:type="dxa"/>
            </w:tcMar>
          </w:tcPr>
          <w:p w14:paraId="58AC2705" w14:textId="1AA4B3AC" w:rsidR="003446E3" w:rsidRDefault="00E0450C">
            <w:pPr>
              <w:jc w:val="right"/>
              <w:rPr>
                <w:b/>
                <w:bCs/>
                <w:color w:val="000000"/>
              </w:rPr>
            </w:pPr>
            <w:r>
              <w:rPr>
                <w:b/>
                <w:bCs/>
                <w:color w:val="000000"/>
              </w:rPr>
              <w:t>$</w:t>
            </w:r>
            <w:r w:rsidR="002F2680">
              <w:rPr>
                <w:b/>
                <w:bCs/>
                <w:color w:val="000000"/>
              </w:rPr>
              <w:t>53,507,395.80</w:t>
            </w:r>
          </w:p>
        </w:tc>
      </w:tr>
      <w:tr w:rsidR="0017580B" w14:paraId="0274E886" w14:textId="77777777" w:rsidTr="0017580B">
        <w:trPr>
          <w:trHeight w:val="310"/>
        </w:trPr>
        <w:tc>
          <w:tcPr>
            <w:tcW w:w="2029" w:type="dxa"/>
            <w:shd w:val="clear" w:color="auto" w:fill="FFFFFF"/>
            <w:noWrap/>
            <w:tcMar>
              <w:top w:w="0" w:type="dxa"/>
              <w:left w:w="108" w:type="dxa"/>
              <w:bottom w:w="0" w:type="dxa"/>
              <w:right w:w="108" w:type="dxa"/>
            </w:tcMar>
            <w:hideMark/>
          </w:tcPr>
          <w:p w14:paraId="47F28DF9" w14:textId="77777777" w:rsidR="003446E3" w:rsidRDefault="003446E3">
            <w:pPr>
              <w:jc w:val="right"/>
              <w:rPr>
                <w:b/>
                <w:bCs/>
                <w:i/>
                <w:iCs/>
                <w:color w:val="000000"/>
              </w:rPr>
            </w:pPr>
            <w:r>
              <w:rPr>
                <w:b/>
                <w:bCs/>
                <w:i/>
                <w:iCs/>
                <w:color w:val="000000"/>
              </w:rPr>
              <w:t>Grand Total</w:t>
            </w:r>
          </w:p>
        </w:tc>
        <w:tc>
          <w:tcPr>
            <w:tcW w:w="1566" w:type="dxa"/>
            <w:shd w:val="clear" w:color="auto" w:fill="F2F2F2"/>
            <w:noWrap/>
            <w:tcMar>
              <w:top w:w="0" w:type="dxa"/>
              <w:left w:w="108" w:type="dxa"/>
              <w:bottom w:w="0" w:type="dxa"/>
              <w:right w:w="108" w:type="dxa"/>
            </w:tcMar>
            <w:hideMark/>
          </w:tcPr>
          <w:p w14:paraId="3F3D75BB" w14:textId="77777777" w:rsidR="003446E3" w:rsidRDefault="003446E3">
            <w:pPr>
              <w:rPr>
                <w:b/>
                <w:bCs/>
                <w:i/>
                <w:iCs/>
                <w:color w:val="000000"/>
              </w:rPr>
            </w:pPr>
          </w:p>
        </w:tc>
        <w:tc>
          <w:tcPr>
            <w:tcW w:w="1530" w:type="dxa"/>
            <w:shd w:val="clear" w:color="auto" w:fill="F2F2F2"/>
            <w:noWrap/>
            <w:tcMar>
              <w:top w:w="0" w:type="dxa"/>
              <w:left w:w="108" w:type="dxa"/>
              <w:bottom w:w="0" w:type="dxa"/>
              <w:right w:w="108" w:type="dxa"/>
            </w:tcMar>
            <w:hideMark/>
          </w:tcPr>
          <w:p w14:paraId="33DA4C78" w14:textId="77777777" w:rsidR="003446E3" w:rsidRDefault="003446E3">
            <w:pPr>
              <w:rPr>
                <w:rFonts w:ascii="Times New Roman" w:eastAsia="Times New Roman" w:hAnsi="Times New Roman"/>
                <w:sz w:val="20"/>
                <w:szCs w:val="20"/>
              </w:rPr>
            </w:pPr>
          </w:p>
        </w:tc>
        <w:tc>
          <w:tcPr>
            <w:tcW w:w="1350" w:type="dxa"/>
            <w:shd w:val="clear" w:color="auto" w:fill="F2F2F2"/>
            <w:noWrap/>
            <w:tcMar>
              <w:top w:w="0" w:type="dxa"/>
              <w:left w:w="108" w:type="dxa"/>
              <w:bottom w:w="0" w:type="dxa"/>
              <w:right w:w="108" w:type="dxa"/>
            </w:tcMar>
            <w:hideMark/>
          </w:tcPr>
          <w:p w14:paraId="58B460A6" w14:textId="77777777" w:rsidR="003446E3" w:rsidRDefault="003446E3">
            <w:pPr>
              <w:jc w:val="right"/>
              <w:rPr>
                <w:rFonts w:ascii="Calibri" w:hAnsi="Calibri"/>
                <w:b/>
                <w:bCs/>
                <w:color w:val="000000"/>
              </w:rPr>
            </w:pPr>
            <w:r>
              <w:rPr>
                <w:b/>
                <w:bCs/>
                <w:color w:val="000000"/>
              </w:rPr>
              <w:t>2,619,060</w:t>
            </w:r>
          </w:p>
        </w:tc>
        <w:tc>
          <w:tcPr>
            <w:tcW w:w="1260" w:type="dxa"/>
            <w:shd w:val="clear" w:color="auto" w:fill="F2F2F2"/>
          </w:tcPr>
          <w:p w14:paraId="5A3BB483" w14:textId="2D6C6C08" w:rsidR="003446E3" w:rsidRDefault="0007289D" w:rsidP="00807FB4">
            <w:pPr>
              <w:jc w:val="center"/>
              <w:rPr>
                <w:b/>
                <w:bCs/>
                <w:color w:val="000000"/>
              </w:rPr>
            </w:pPr>
            <w:r>
              <w:rPr>
                <w:b/>
                <w:bCs/>
                <w:color w:val="000000"/>
              </w:rPr>
              <w:t>546,07</w:t>
            </w:r>
            <w:r w:rsidR="002F2680">
              <w:rPr>
                <w:b/>
                <w:bCs/>
                <w:color w:val="000000"/>
              </w:rPr>
              <w:t>4.01</w:t>
            </w:r>
          </w:p>
        </w:tc>
        <w:tc>
          <w:tcPr>
            <w:tcW w:w="2520" w:type="dxa"/>
            <w:shd w:val="clear" w:color="auto" w:fill="F2F2F2"/>
            <w:noWrap/>
            <w:tcMar>
              <w:top w:w="0" w:type="dxa"/>
              <w:left w:w="108" w:type="dxa"/>
              <w:bottom w:w="0" w:type="dxa"/>
              <w:right w:w="108" w:type="dxa"/>
            </w:tcMar>
          </w:tcPr>
          <w:p w14:paraId="1AEC9DF8" w14:textId="0FDE3723" w:rsidR="003446E3" w:rsidRDefault="00E0450C">
            <w:pPr>
              <w:jc w:val="right"/>
              <w:rPr>
                <w:b/>
                <w:bCs/>
                <w:color w:val="000000"/>
              </w:rPr>
            </w:pPr>
            <w:r>
              <w:rPr>
                <w:b/>
                <w:bCs/>
                <w:color w:val="000000"/>
              </w:rPr>
              <w:t>$89,250,336.19</w:t>
            </w:r>
          </w:p>
        </w:tc>
      </w:tr>
    </w:tbl>
    <w:p w14:paraId="5A08FD59" w14:textId="77777777" w:rsidR="004F41C7" w:rsidRDefault="004F41C7" w:rsidP="004F41C7">
      <w:pPr>
        <w:rPr>
          <w:rFonts w:ascii="Calibri" w:hAnsi="Calibri"/>
          <w:color w:val="1F497D"/>
        </w:rPr>
      </w:pPr>
    </w:p>
    <w:p w14:paraId="6457E453" w14:textId="77777777" w:rsidR="00500ECE" w:rsidRDefault="00500ECE">
      <w:pPr>
        <w:spacing w:before="3"/>
        <w:rPr>
          <w:rFonts w:ascii="Times New Roman" w:eastAsia="Times New Roman" w:hAnsi="Times New Roman" w:cs="Times New Roman"/>
          <w:b/>
          <w:bCs/>
          <w:sz w:val="25"/>
          <w:szCs w:val="25"/>
        </w:rPr>
      </w:pPr>
    </w:p>
    <w:p w14:paraId="1ADF3BE4" w14:textId="1E3820F2" w:rsidR="00500ECE" w:rsidRPr="00807FB4" w:rsidRDefault="006A0AD9" w:rsidP="00807FB4">
      <w:pPr>
        <w:pStyle w:val="ListParagraph"/>
        <w:numPr>
          <w:ilvl w:val="1"/>
          <w:numId w:val="1"/>
        </w:numPr>
        <w:tabs>
          <w:tab w:val="left" w:pos="533"/>
        </w:tabs>
        <w:spacing w:before="69"/>
        <w:rPr>
          <w:rFonts w:ascii="Times New Roman" w:eastAsia="Times New Roman" w:hAnsi="Times New Roman" w:cs="Times New Roman"/>
          <w:sz w:val="24"/>
          <w:szCs w:val="24"/>
        </w:rPr>
      </w:pPr>
      <w:r w:rsidRPr="00807FB4">
        <w:rPr>
          <w:rFonts w:ascii="Times New Roman"/>
          <w:sz w:val="24"/>
          <w:u w:val="single" w:color="000000"/>
        </w:rPr>
        <w:t>Capital Cost</w:t>
      </w:r>
    </w:p>
    <w:p w14:paraId="01095759" w14:textId="77777777" w:rsidR="00500ECE" w:rsidRDefault="00500ECE">
      <w:pPr>
        <w:spacing w:before="3"/>
        <w:rPr>
          <w:rFonts w:ascii="Times New Roman" w:eastAsia="Times New Roman" w:hAnsi="Times New Roman" w:cs="Times New Roman"/>
          <w:sz w:val="19"/>
          <w:szCs w:val="19"/>
        </w:rPr>
      </w:pPr>
    </w:p>
    <w:p w14:paraId="5E68A9AD" w14:textId="77777777" w:rsidR="00500ECE" w:rsidRDefault="006A0AD9">
      <w:pPr>
        <w:pStyle w:val="BodyText"/>
        <w:spacing w:before="69"/>
      </w:pPr>
      <w:r>
        <w:t>There are no additional capital</w:t>
      </w:r>
      <w:r>
        <w:rPr>
          <w:spacing w:val="-11"/>
        </w:rPr>
        <w:t xml:space="preserve"> </w:t>
      </w:r>
      <w:r>
        <w:t>costs.</w:t>
      </w:r>
    </w:p>
    <w:p w14:paraId="70424277" w14:textId="77777777" w:rsidR="00500ECE" w:rsidRDefault="00500ECE">
      <w:pPr>
        <w:spacing w:before="3"/>
        <w:rPr>
          <w:rFonts w:ascii="Times New Roman" w:eastAsia="Times New Roman" w:hAnsi="Times New Roman" w:cs="Times New Roman"/>
          <w:sz w:val="25"/>
          <w:szCs w:val="25"/>
        </w:rPr>
      </w:pPr>
    </w:p>
    <w:p w14:paraId="38FCB4C2" w14:textId="77777777" w:rsidR="00500ECE" w:rsidRDefault="006A0AD9" w:rsidP="00807FB4">
      <w:pPr>
        <w:pStyle w:val="ListParagraph"/>
        <w:numPr>
          <w:ilvl w:val="1"/>
          <w:numId w:val="1"/>
        </w:numPr>
        <w:tabs>
          <w:tab w:val="left" w:pos="461"/>
        </w:tabs>
        <w:rPr>
          <w:rFonts w:ascii="Times New Roman" w:eastAsia="Times New Roman" w:hAnsi="Times New Roman" w:cs="Times New Roman"/>
          <w:sz w:val="24"/>
          <w:szCs w:val="24"/>
        </w:rPr>
      </w:pPr>
      <w:r>
        <w:rPr>
          <w:rFonts w:ascii="Times New Roman"/>
          <w:sz w:val="24"/>
          <w:u w:val="single" w:color="000000"/>
        </w:rPr>
        <w:t>Cost to Federal</w:t>
      </w:r>
      <w:r>
        <w:rPr>
          <w:rFonts w:ascii="Times New Roman"/>
          <w:spacing w:val="-1"/>
          <w:sz w:val="24"/>
          <w:u w:val="single" w:color="000000"/>
        </w:rPr>
        <w:t xml:space="preserve"> </w:t>
      </w:r>
      <w:r>
        <w:rPr>
          <w:rFonts w:ascii="Times New Roman"/>
          <w:sz w:val="24"/>
          <w:u w:val="single" w:color="000000"/>
        </w:rPr>
        <w:t>Government</w:t>
      </w:r>
    </w:p>
    <w:p w14:paraId="51AF551C" w14:textId="77777777" w:rsidR="00500ECE" w:rsidRDefault="00500ECE">
      <w:pPr>
        <w:spacing w:before="3"/>
        <w:rPr>
          <w:rFonts w:ascii="Times New Roman" w:eastAsia="Times New Roman" w:hAnsi="Times New Roman" w:cs="Times New Roman"/>
          <w:sz w:val="19"/>
          <w:szCs w:val="19"/>
        </w:rPr>
      </w:pPr>
    </w:p>
    <w:p w14:paraId="4E60FCD2" w14:textId="68C355F2" w:rsidR="00500ECE" w:rsidRDefault="006A0AD9">
      <w:pPr>
        <w:pStyle w:val="BodyText"/>
        <w:spacing w:before="69" w:line="247" w:lineRule="auto"/>
      </w:pPr>
      <w:r>
        <w:t xml:space="preserve">There are no costs associated with this change to the Federal Government. </w:t>
      </w:r>
      <w:r w:rsidR="008C3F23">
        <w:t xml:space="preserve"> </w:t>
      </w:r>
      <w:r>
        <w:t>The creation</w:t>
      </w:r>
      <w:r>
        <w:rPr>
          <w:spacing w:val="-30"/>
        </w:rPr>
        <w:t xml:space="preserve"> </w:t>
      </w:r>
      <w:r>
        <w:t>of these clinical templates for physician and/or Medicare allowed NPP use does not</w:t>
      </w:r>
      <w:r>
        <w:rPr>
          <w:spacing w:val="-24"/>
        </w:rPr>
        <w:t xml:space="preserve"> </w:t>
      </w:r>
      <w:r>
        <w:t xml:space="preserve">create additional federal level costs. </w:t>
      </w:r>
      <w:r w:rsidR="008C3F23">
        <w:t xml:space="preserve"> </w:t>
      </w:r>
      <w:r>
        <w:t>The use of the templates created with this package is</w:t>
      </w:r>
      <w:r>
        <w:rPr>
          <w:spacing w:val="-26"/>
        </w:rPr>
        <w:t xml:space="preserve"> </w:t>
      </w:r>
      <w:r>
        <w:t>entirely voluntary and is intended only to assist the physician or allowable Medicare NPP</w:t>
      </w:r>
      <w:r>
        <w:rPr>
          <w:spacing w:val="-27"/>
        </w:rPr>
        <w:t xml:space="preserve"> </w:t>
      </w:r>
      <w:r>
        <w:t>in documenting patient</w:t>
      </w:r>
      <w:r>
        <w:rPr>
          <w:spacing w:val="-13"/>
        </w:rPr>
        <w:t xml:space="preserve"> </w:t>
      </w:r>
      <w:r>
        <w:t>eligibility.</w:t>
      </w:r>
    </w:p>
    <w:p w14:paraId="79CFE279" w14:textId="77777777" w:rsidR="00500ECE" w:rsidRDefault="00500ECE">
      <w:pPr>
        <w:spacing w:before="6"/>
        <w:rPr>
          <w:rFonts w:ascii="Times New Roman" w:eastAsia="Times New Roman" w:hAnsi="Times New Roman" w:cs="Times New Roman"/>
          <w:sz w:val="24"/>
          <w:szCs w:val="24"/>
        </w:rPr>
      </w:pPr>
    </w:p>
    <w:p w14:paraId="37302229" w14:textId="77777777" w:rsidR="00500ECE" w:rsidRDefault="006A0AD9" w:rsidP="00807FB4">
      <w:pPr>
        <w:pStyle w:val="ListParagraph"/>
        <w:numPr>
          <w:ilvl w:val="1"/>
          <w:numId w:val="1"/>
        </w:numPr>
        <w:tabs>
          <w:tab w:val="left" w:pos="533"/>
        </w:tabs>
        <w:rPr>
          <w:rFonts w:ascii="Times New Roman" w:eastAsia="Times New Roman" w:hAnsi="Times New Roman" w:cs="Times New Roman"/>
          <w:sz w:val="24"/>
          <w:szCs w:val="24"/>
        </w:rPr>
      </w:pPr>
      <w:r>
        <w:rPr>
          <w:rFonts w:ascii="Times New Roman"/>
          <w:sz w:val="24"/>
          <w:u w:val="single" w:color="000000"/>
        </w:rPr>
        <w:t>Changes to</w:t>
      </w:r>
      <w:r>
        <w:rPr>
          <w:rFonts w:ascii="Times New Roman"/>
          <w:spacing w:val="-1"/>
          <w:sz w:val="24"/>
          <w:u w:val="single" w:color="000000"/>
        </w:rPr>
        <w:t xml:space="preserve"> </w:t>
      </w:r>
      <w:r>
        <w:rPr>
          <w:rFonts w:ascii="Times New Roman"/>
          <w:sz w:val="24"/>
          <w:u w:val="single" w:color="000000"/>
        </w:rPr>
        <w:t>Burden</w:t>
      </w:r>
    </w:p>
    <w:p w14:paraId="4C9B4F71" w14:textId="77777777" w:rsidR="00500ECE" w:rsidRDefault="00500ECE">
      <w:pPr>
        <w:spacing w:before="3"/>
        <w:rPr>
          <w:rFonts w:ascii="Times New Roman" w:eastAsia="Times New Roman" w:hAnsi="Times New Roman" w:cs="Times New Roman"/>
          <w:sz w:val="19"/>
          <w:szCs w:val="19"/>
        </w:rPr>
      </w:pPr>
    </w:p>
    <w:p w14:paraId="7D438600" w14:textId="3775610B" w:rsidR="00500ECE" w:rsidRDefault="00807FB4">
      <w:pPr>
        <w:pStyle w:val="BodyText"/>
        <w:spacing w:before="69"/>
      </w:pPr>
      <w:r w:rsidRPr="00807FB4">
        <w:t>Providers are required to have this type of documentation to prove a Medicare claim is paid in good faith.</w:t>
      </w:r>
      <w:r w:rsidR="008F2975">
        <w:t xml:space="preserve"> This information was previously collected under OMB control number 0938-0969 which covers prepayment medical review.  We will remove the burden under this collection.  </w:t>
      </w:r>
      <w:r w:rsidRPr="00807FB4">
        <w:t xml:space="preserve"> This </w:t>
      </w:r>
      <w:r w:rsidR="00B105D4">
        <w:t xml:space="preserve">template </w:t>
      </w:r>
      <w:r w:rsidRPr="00807FB4">
        <w:t>is just an alternative format.  No new documentation or requirements are being added.</w:t>
      </w:r>
    </w:p>
    <w:p w14:paraId="2278BA0B" w14:textId="77777777" w:rsidR="00500ECE" w:rsidRDefault="00500ECE">
      <w:pPr>
        <w:spacing w:before="3"/>
        <w:rPr>
          <w:rFonts w:ascii="Times New Roman" w:eastAsia="Times New Roman" w:hAnsi="Times New Roman" w:cs="Times New Roman"/>
          <w:sz w:val="25"/>
          <w:szCs w:val="25"/>
        </w:rPr>
      </w:pPr>
    </w:p>
    <w:p w14:paraId="0C85FE35" w14:textId="77777777" w:rsidR="00500ECE" w:rsidRDefault="006A0AD9" w:rsidP="00807FB4">
      <w:pPr>
        <w:pStyle w:val="ListParagraph"/>
        <w:numPr>
          <w:ilvl w:val="1"/>
          <w:numId w:val="1"/>
        </w:numPr>
        <w:tabs>
          <w:tab w:val="left" w:pos="533"/>
        </w:tabs>
        <w:rPr>
          <w:rFonts w:ascii="Times New Roman" w:eastAsia="Times New Roman" w:hAnsi="Times New Roman" w:cs="Times New Roman"/>
          <w:sz w:val="24"/>
          <w:szCs w:val="24"/>
        </w:rPr>
      </w:pPr>
      <w:r>
        <w:rPr>
          <w:rFonts w:ascii="Times New Roman"/>
          <w:sz w:val="24"/>
          <w:u w:val="single" w:color="000000"/>
        </w:rPr>
        <w:t>Publication/Tabulation</w:t>
      </w:r>
      <w:r>
        <w:rPr>
          <w:rFonts w:ascii="Times New Roman"/>
          <w:spacing w:val="-1"/>
          <w:sz w:val="24"/>
          <w:u w:val="single" w:color="000000"/>
        </w:rPr>
        <w:t xml:space="preserve"> </w:t>
      </w:r>
      <w:r>
        <w:rPr>
          <w:rFonts w:ascii="Times New Roman"/>
          <w:sz w:val="24"/>
          <w:u w:val="single" w:color="000000"/>
        </w:rPr>
        <w:t>Dates</w:t>
      </w:r>
      <w:bookmarkStart w:id="0" w:name="_GoBack"/>
      <w:bookmarkEnd w:id="0"/>
    </w:p>
    <w:p w14:paraId="0B75F24D" w14:textId="77777777" w:rsidR="00500ECE" w:rsidRDefault="00500ECE">
      <w:pPr>
        <w:spacing w:before="3"/>
        <w:rPr>
          <w:rFonts w:ascii="Times New Roman" w:eastAsia="Times New Roman" w:hAnsi="Times New Roman" w:cs="Times New Roman"/>
          <w:sz w:val="19"/>
          <w:szCs w:val="19"/>
        </w:rPr>
      </w:pPr>
    </w:p>
    <w:p w14:paraId="46DD2C8B" w14:textId="77777777" w:rsidR="00500ECE" w:rsidRDefault="006A0AD9">
      <w:pPr>
        <w:pStyle w:val="BodyText"/>
        <w:spacing w:before="69"/>
      </w:pPr>
      <w:r>
        <w:t>We do not plan to publish any of the information</w:t>
      </w:r>
      <w:r>
        <w:rPr>
          <w:spacing w:val="-14"/>
        </w:rPr>
        <w:t xml:space="preserve"> </w:t>
      </w:r>
      <w:r>
        <w:t>collected.</w:t>
      </w:r>
    </w:p>
    <w:p w14:paraId="2E02AFA8" w14:textId="77777777" w:rsidR="00500ECE" w:rsidRDefault="00500ECE">
      <w:pPr>
        <w:spacing w:before="3"/>
        <w:rPr>
          <w:rFonts w:ascii="Times New Roman" w:eastAsia="Times New Roman" w:hAnsi="Times New Roman" w:cs="Times New Roman"/>
          <w:sz w:val="25"/>
          <w:szCs w:val="25"/>
        </w:rPr>
      </w:pPr>
    </w:p>
    <w:p w14:paraId="38198DBC" w14:textId="77777777" w:rsidR="00500ECE" w:rsidRDefault="006A0AD9" w:rsidP="00807FB4">
      <w:pPr>
        <w:pStyle w:val="ListParagraph"/>
        <w:numPr>
          <w:ilvl w:val="1"/>
          <w:numId w:val="1"/>
        </w:numPr>
        <w:tabs>
          <w:tab w:val="left" w:pos="533"/>
        </w:tabs>
        <w:rPr>
          <w:rFonts w:ascii="Times New Roman" w:eastAsia="Times New Roman" w:hAnsi="Times New Roman" w:cs="Times New Roman"/>
          <w:sz w:val="24"/>
          <w:szCs w:val="24"/>
        </w:rPr>
      </w:pPr>
      <w:r>
        <w:rPr>
          <w:rFonts w:ascii="Times New Roman"/>
          <w:sz w:val="24"/>
          <w:u w:val="single" w:color="000000"/>
        </w:rPr>
        <w:t>Expiration</w:t>
      </w:r>
      <w:r>
        <w:rPr>
          <w:rFonts w:ascii="Times New Roman"/>
          <w:spacing w:val="-1"/>
          <w:sz w:val="24"/>
          <w:u w:val="single" w:color="000000"/>
        </w:rPr>
        <w:t xml:space="preserve"> </w:t>
      </w:r>
      <w:r>
        <w:rPr>
          <w:rFonts w:ascii="Times New Roman"/>
          <w:sz w:val="24"/>
          <w:u w:val="single" w:color="000000"/>
        </w:rPr>
        <w:t>Date</w:t>
      </w:r>
    </w:p>
    <w:p w14:paraId="475F26A2" w14:textId="77777777" w:rsidR="00500ECE" w:rsidRDefault="00500ECE">
      <w:pPr>
        <w:spacing w:before="3"/>
        <w:rPr>
          <w:rFonts w:ascii="Times New Roman" w:eastAsia="Times New Roman" w:hAnsi="Times New Roman" w:cs="Times New Roman"/>
          <w:sz w:val="19"/>
          <w:szCs w:val="19"/>
        </w:rPr>
      </w:pPr>
    </w:p>
    <w:p w14:paraId="36FBCB4C" w14:textId="77777777" w:rsidR="008C3F23" w:rsidRDefault="001D0643" w:rsidP="008C3F23">
      <w:pPr>
        <w:spacing w:before="3"/>
        <w:ind w:left="540"/>
        <w:rPr>
          <w:rFonts w:ascii="Times New Roman" w:hAnsi="Times New Roman" w:cs="Times New Roman"/>
          <w:sz w:val="24"/>
          <w:szCs w:val="24"/>
        </w:rPr>
      </w:pPr>
      <w:r w:rsidRPr="008C3F23">
        <w:rPr>
          <w:rFonts w:ascii="Times New Roman" w:hAnsi="Times New Roman" w:cs="Times New Roman"/>
          <w:sz w:val="24"/>
          <w:szCs w:val="24"/>
        </w:rPr>
        <w:t>The expiration date will be displayed.</w:t>
      </w:r>
    </w:p>
    <w:p w14:paraId="1F65B41C" w14:textId="3430D084" w:rsidR="00500ECE" w:rsidRPr="008C3F23" w:rsidRDefault="00500ECE" w:rsidP="008C3F23">
      <w:pPr>
        <w:spacing w:before="3"/>
        <w:ind w:left="540"/>
        <w:rPr>
          <w:rFonts w:ascii="Times New Roman" w:eastAsia="Times New Roman" w:hAnsi="Times New Roman" w:cs="Times New Roman"/>
          <w:sz w:val="24"/>
          <w:szCs w:val="24"/>
        </w:rPr>
      </w:pPr>
    </w:p>
    <w:p w14:paraId="1BBB5CFB" w14:textId="77777777" w:rsidR="00500ECE" w:rsidRDefault="006A0AD9" w:rsidP="00FC799F">
      <w:pPr>
        <w:pStyle w:val="ListParagraph"/>
        <w:numPr>
          <w:ilvl w:val="1"/>
          <w:numId w:val="1"/>
        </w:numPr>
        <w:tabs>
          <w:tab w:val="left" w:pos="533"/>
        </w:tabs>
        <w:rPr>
          <w:rFonts w:ascii="Times New Roman" w:eastAsia="Times New Roman" w:hAnsi="Times New Roman" w:cs="Times New Roman"/>
          <w:sz w:val="24"/>
          <w:szCs w:val="24"/>
        </w:rPr>
      </w:pPr>
      <w:r>
        <w:rPr>
          <w:rFonts w:ascii="Times New Roman"/>
          <w:sz w:val="24"/>
          <w:u w:val="single" w:color="000000"/>
        </w:rPr>
        <w:t>Certification</w:t>
      </w:r>
      <w:r>
        <w:rPr>
          <w:rFonts w:ascii="Times New Roman"/>
          <w:spacing w:val="-1"/>
          <w:sz w:val="24"/>
          <w:u w:val="single" w:color="000000"/>
        </w:rPr>
        <w:t xml:space="preserve"> </w:t>
      </w:r>
      <w:r>
        <w:rPr>
          <w:rFonts w:ascii="Times New Roman"/>
          <w:sz w:val="24"/>
          <w:u w:val="single" w:color="000000"/>
        </w:rPr>
        <w:t>Statement</w:t>
      </w:r>
    </w:p>
    <w:p w14:paraId="7DEAD59B" w14:textId="77777777" w:rsidR="00500ECE" w:rsidRDefault="00500ECE">
      <w:pPr>
        <w:rPr>
          <w:rFonts w:ascii="Times New Roman" w:eastAsia="Times New Roman" w:hAnsi="Times New Roman" w:cs="Times New Roman"/>
          <w:sz w:val="24"/>
          <w:szCs w:val="24"/>
        </w:rPr>
      </w:pPr>
    </w:p>
    <w:p w14:paraId="3511A600" w14:textId="070DCA89" w:rsidR="00500ECE" w:rsidRDefault="008C3F23" w:rsidP="008C3F23">
      <w:pPr>
        <w:pStyle w:val="BodyText"/>
        <w:spacing w:before="42"/>
        <w:ind w:left="540"/>
      </w:pPr>
      <w:r>
        <w:t>T</w:t>
      </w:r>
      <w:r w:rsidR="006A0AD9">
        <w:t>here are no exceptions to the certification</w:t>
      </w:r>
      <w:r w:rsidR="006A0AD9">
        <w:rPr>
          <w:spacing w:val="-15"/>
        </w:rPr>
        <w:t xml:space="preserve"> </w:t>
      </w:r>
      <w:r w:rsidR="006A0AD9">
        <w:t>statement.</w:t>
      </w:r>
    </w:p>
    <w:sectPr w:rsidR="00500ECE">
      <w:footerReference w:type="default" r:id="rId8"/>
      <w:pgSz w:w="12240" w:h="15840"/>
      <w:pgMar w:top="1400" w:right="1720" w:bottom="1680" w:left="1340" w:header="0" w:footer="14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8DA98" w14:textId="77777777" w:rsidR="00153725" w:rsidRDefault="00153725">
      <w:r>
        <w:separator/>
      </w:r>
    </w:p>
  </w:endnote>
  <w:endnote w:type="continuationSeparator" w:id="0">
    <w:p w14:paraId="21DA0D13" w14:textId="77777777" w:rsidR="00153725" w:rsidRDefault="0015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883B6" w14:textId="77777777" w:rsidR="00500ECE" w:rsidRDefault="002E5687">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6BE4F028" wp14:editId="48DE2A3D">
              <wp:simplePos x="0" y="0"/>
              <wp:positionH relativeFrom="page">
                <wp:posOffset>3869055</wp:posOffset>
              </wp:positionH>
              <wp:positionV relativeFrom="page">
                <wp:posOffset>8973185</wp:posOffset>
              </wp:positionV>
              <wp:extent cx="127000" cy="177800"/>
              <wp:effectExtent l="1905" t="635"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73BCE" w14:textId="77777777" w:rsidR="00500ECE" w:rsidRDefault="006A0AD9">
                          <w:pPr>
                            <w:pStyle w:val="BodyText"/>
                            <w:spacing w:line="265" w:lineRule="exact"/>
                            <w:ind w:left="40"/>
                          </w:pPr>
                          <w:r>
                            <w:fldChar w:fldCharType="begin"/>
                          </w:r>
                          <w:r>
                            <w:instrText xml:space="preserve"> PAGE </w:instrText>
                          </w:r>
                          <w:r>
                            <w:fldChar w:fldCharType="separate"/>
                          </w:r>
                          <w:r w:rsidR="006007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4F028" id="_x0000_t202" coordsize="21600,21600" o:spt="202" path="m,l,21600r21600,l21600,xe">
              <v:stroke joinstyle="miter"/>
              <v:path gradientshapeok="t" o:connecttype="rect"/>
            </v:shapetype>
            <v:shape id="Text Box 1" o:spid="_x0000_s1026" type="#_x0000_t202" style="position:absolute;margin-left:304.65pt;margin-top:706.5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" filled="f" stroked="f">
              <v:textbox inset="0,0,0,0">
                <w:txbxContent>
                  <w:p w14:paraId="0E073BCE" w14:textId="77777777" w:rsidR="00500ECE" w:rsidRDefault="006A0AD9">
                    <w:pPr>
                      <w:pStyle w:val="BodyText"/>
                      <w:spacing w:line="265" w:lineRule="exact"/>
                      <w:ind w:left="40"/>
                    </w:pPr>
                    <w:r>
                      <w:fldChar w:fldCharType="begin"/>
                    </w:r>
                    <w:r>
                      <w:instrText xml:space="preserve"> PAGE </w:instrText>
                    </w:r>
                    <w:r>
                      <w:fldChar w:fldCharType="separate"/>
                    </w:r>
                    <w:r w:rsidR="00600787">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5C70E" w14:textId="77777777" w:rsidR="00153725" w:rsidRDefault="00153725">
      <w:r>
        <w:separator/>
      </w:r>
    </w:p>
  </w:footnote>
  <w:footnote w:type="continuationSeparator" w:id="0">
    <w:p w14:paraId="63357DBC" w14:textId="77777777" w:rsidR="00153725" w:rsidRDefault="00153725">
      <w:r>
        <w:continuationSeparator/>
      </w:r>
    </w:p>
  </w:footnote>
  <w:footnote w:id="1">
    <w:p w14:paraId="00B970A8" w14:textId="58939295" w:rsidR="003B514C" w:rsidRDefault="003B514C">
      <w:pPr>
        <w:pStyle w:val="FootnoteText"/>
      </w:pPr>
      <w:r>
        <w:rPr>
          <w:rStyle w:val="FootnoteReference"/>
        </w:rPr>
        <w:footnoteRef/>
      </w:r>
      <w:r>
        <w:t xml:space="preserve"> </w:t>
      </w:r>
      <w:r w:rsidRPr="003B514C">
        <w:t>https://www.gpo.gov/fdsys/pkg/FR-2014-11-06/pdf/2014-26057.pdf</w:t>
      </w:r>
    </w:p>
  </w:footnote>
  <w:footnote w:id="2">
    <w:p w14:paraId="203083C8" w14:textId="236DF87B" w:rsidR="00563B20" w:rsidRDefault="00563B20">
      <w:pPr>
        <w:pStyle w:val="FootnoteText"/>
      </w:pPr>
      <w:r>
        <w:rPr>
          <w:rStyle w:val="FootnoteReference"/>
        </w:rPr>
        <w:footnoteRef/>
      </w:r>
      <w:r>
        <w:t xml:space="preserve"> Ibid.</w:t>
      </w:r>
    </w:p>
  </w:footnote>
  <w:footnote w:id="3">
    <w:p w14:paraId="56BE9DDB" w14:textId="43B6862B" w:rsidR="00563B20" w:rsidRDefault="00563B20">
      <w:pPr>
        <w:pStyle w:val="FootnoteText"/>
      </w:pPr>
      <w:r>
        <w:rPr>
          <w:rStyle w:val="FootnoteReference"/>
        </w:rPr>
        <w:footnoteRef/>
      </w:r>
      <w:r>
        <w:t xml:space="preserve"> </w:t>
      </w:r>
      <w:hyperlink r:id="rId1" w:history="1">
        <w:r w:rsidRPr="00725FAC">
          <w:rPr>
            <w:rStyle w:val="Hyperlink"/>
          </w:rPr>
          <w:t>http://oig.hhs.gov/oei/reports/oei-01-12-00390.pdf</w:t>
        </w:r>
      </w:hyperlink>
    </w:p>
  </w:footnote>
  <w:footnote w:id="4">
    <w:p w14:paraId="4B7867F8" w14:textId="77777777" w:rsidR="007F2344" w:rsidRDefault="007F2344" w:rsidP="007F2344">
      <w:pPr>
        <w:pStyle w:val="FootnoteText"/>
      </w:pPr>
      <w:r>
        <w:rPr>
          <w:rStyle w:val="FootnoteReference"/>
        </w:rPr>
        <w:footnoteRef/>
      </w:r>
      <w:r>
        <w:t xml:space="preserve"> Ibid.</w:t>
      </w:r>
    </w:p>
  </w:footnote>
  <w:footnote w:id="5">
    <w:p w14:paraId="2C014104" w14:textId="29A98CDC" w:rsidR="00220D09" w:rsidRDefault="00220D09" w:rsidP="00220D09">
      <w:pPr>
        <w:pStyle w:val="FootnoteText"/>
      </w:pPr>
      <w:r>
        <w:rPr>
          <w:rStyle w:val="FootnoteReference"/>
        </w:rPr>
        <w:footnoteRef/>
      </w:r>
      <w:r>
        <w:t xml:space="preserve"> </w:t>
      </w:r>
      <w:hyperlink r:id="rId2" w:history="1">
        <w:r w:rsidRPr="00892097">
          <w:rPr>
            <w:rStyle w:val="Hyperlink"/>
          </w:rPr>
          <w:t>https://www.cms.gov/Research-Statistics-Data-and-Systems/Monitoring-Programs/Medicare-FFS-Compliance-Programs/CERT/CERT-Reports-Items/Downloads/AppendicesMedicareFee-for-Service2014ImproperPaymentsReport.pdf?agree=yes&amp;next=Accept</w:t>
        </w:r>
      </w:hyperlink>
    </w:p>
    <w:p w14:paraId="1E13AAC1" w14:textId="77777777" w:rsidR="00220D09" w:rsidRDefault="00220D09" w:rsidP="00220D09">
      <w:pPr>
        <w:pStyle w:val="FootnoteText"/>
      </w:pPr>
    </w:p>
  </w:footnote>
  <w:footnote w:id="6">
    <w:p w14:paraId="21604F93" w14:textId="3382E037" w:rsidR="00C83261" w:rsidRDefault="00C83261">
      <w:pPr>
        <w:pStyle w:val="FootnoteText"/>
      </w:pPr>
      <w:r>
        <w:rPr>
          <w:rStyle w:val="FootnoteReference"/>
        </w:rPr>
        <w:footnoteRef/>
      </w:r>
      <w:r>
        <w:t xml:space="preserve"> </w:t>
      </w:r>
      <w:r w:rsidRPr="00C83261">
        <w:t>www.bls.gov</w:t>
      </w:r>
    </w:p>
  </w:footnote>
  <w:footnote w:id="7">
    <w:p w14:paraId="77108B60" w14:textId="2E64C785" w:rsidR="00C83261" w:rsidRDefault="00C83261">
      <w:pPr>
        <w:pStyle w:val="FootnoteText"/>
      </w:pPr>
      <w:r>
        <w:rPr>
          <w:rStyle w:val="FootnoteReference"/>
        </w:rPr>
        <w:footnoteRef/>
      </w:r>
      <w:r>
        <w:t xml:space="preserve"> </w:t>
      </w:r>
      <w:r w:rsidRPr="00C83261">
        <w:t>http://www1.salary.com/Physician-Hospitalist-hourly-wages.html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7E87"/>
    <w:multiLevelType w:val="hybridMultilevel"/>
    <w:tmpl w:val="8C7A85BE"/>
    <w:lvl w:ilvl="0" w:tplc="7C8EE0B6">
      <w:start w:val="1"/>
      <w:numFmt w:val="decimal"/>
      <w:lvlText w:val="%1."/>
      <w:lvlJc w:val="left"/>
      <w:pPr>
        <w:ind w:left="532" w:hanging="432"/>
      </w:pPr>
      <w:rPr>
        <w:rFonts w:ascii="Times New Roman" w:eastAsia="Times New Roman" w:hAnsi="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62087"/>
    <w:multiLevelType w:val="hybridMultilevel"/>
    <w:tmpl w:val="1D64EE4C"/>
    <w:lvl w:ilvl="0" w:tplc="7C8EE0B6">
      <w:start w:val="1"/>
      <w:numFmt w:val="decimal"/>
      <w:lvlText w:val="%1."/>
      <w:lvlJc w:val="left"/>
      <w:pPr>
        <w:ind w:left="532" w:hanging="432"/>
      </w:pPr>
      <w:rPr>
        <w:rFonts w:ascii="Times New Roman" w:eastAsia="Times New Roman" w:hAnsi="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70F0F"/>
    <w:multiLevelType w:val="hybridMultilevel"/>
    <w:tmpl w:val="582CF7C8"/>
    <w:lvl w:ilvl="0" w:tplc="64A0CBCA">
      <w:start w:val="1"/>
      <w:numFmt w:val="upperLetter"/>
      <w:lvlText w:val="%1."/>
      <w:lvlJc w:val="left"/>
      <w:pPr>
        <w:ind w:left="460" w:hanging="360"/>
      </w:pPr>
      <w:rPr>
        <w:rFonts w:ascii="Times New Roman" w:eastAsia="Times New Roman" w:hAnsi="Times New Roman" w:hint="default"/>
        <w:b/>
        <w:bCs/>
        <w:spacing w:val="-1"/>
        <w:w w:val="100"/>
        <w:sz w:val="24"/>
        <w:szCs w:val="24"/>
      </w:rPr>
    </w:lvl>
    <w:lvl w:ilvl="1" w:tplc="7C8EE0B6">
      <w:start w:val="1"/>
      <w:numFmt w:val="decimal"/>
      <w:lvlText w:val="%2."/>
      <w:lvlJc w:val="left"/>
      <w:pPr>
        <w:ind w:left="532" w:hanging="432"/>
      </w:pPr>
      <w:rPr>
        <w:rFonts w:ascii="Times New Roman" w:eastAsia="Times New Roman" w:hAnsi="Times New Roman" w:hint="default"/>
        <w:w w:val="100"/>
        <w:sz w:val="24"/>
        <w:szCs w:val="24"/>
      </w:rPr>
    </w:lvl>
    <w:lvl w:ilvl="2" w:tplc="356CD5D8">
      <w:start w:val="1"/>
      <w:numFmt w:val="bullet"/>
      <w:lvlText w:val="•"/>
      <w:lvlJc w:val="left"/>
      <w:pPr>
        <w:ind w:left="1502" w:hanging="432"/>
      </w:pPr>
      <w:rPr>
        <w:rFonts w:hint="default"/>
      </w:rPr>
    </w:lvl>
    <w:lvl w:ilvl="3" w:tplc="4C4086EA">
      <w:start w:val="1"/>
      <w:numFmt w:val="bullet"/>
      <w:lvlText w:val="•"/>
      <w:lvlJc w:val="left"/>
      <w:pPr>
        <w:ind w:left="2464" w:hanging="432"/>
      </w:pPr>
      <w:rPr>
        <w:rFonts w:hint="default"/>
      </w:rPr>
    </w:lvl>
    <w:lvl w:ilvl="4" w:tplc="4DBECADA">
      <w:start w:val="1"/>
      <w:numFmt w:val="bullet"/>
      <w:lvlText w:val="•"/>
      <w:lvlJc w:val="left"/>
      <w:pPr>
        <w:ind w:left="3426" w:hanging="432"/>
      </w:pPr>
      <w:rPr>
        <w:rFonts w:hint="default"/>
      </w:rPr>
    </w:lvl>
    <w:lvl w:ilvl="5" w:tplc="930E2AC0">
      <w:start w:val="1"/>
      <w:numFmt w:val="bullet"/>
      <w:lvlText w:val="•"/>
      <w:lvlJc w:val="left"/>
      <w:pPr>
        <w:ind w:left="4388" w:hanging="432"/>
      </w:pPr>
      <w:rPr>
        <w:rFonts w:hint="default"/>
      </w:rPr>
    </w:lvl>
    <w:lvl w:ilvl="6" w:tplc="71FA0D8C">
      <w:start w:val="1"/>
      <w:numFmt w:val="bullet"/>
      <w:lvlText w:val="•"/>
      <w:lvlJc w:val="left"/>
      <w:pPr>
        <w:ind w:left="5351" w:hanging="432"/>
      </w:pPr>
      <w:rPr>
        <w:rFonts w:hint="default"/>
      </w:rPr>
    </w:lvl>
    <w:lvl w:ilvl="7" w:tplc="37E4ACEE">
      <w:start w:val="1"/>
      <w:numFmt w:val="bullet"/>
      <w:lvlText w:val="•"/>
      <w:lvlJc w:val="left"/>
      <w:pPr>
        <w:ind w:left="6313" w:hanging="432"/>
      </w:pPr>
      <w:rPr>
        <w:rFonts w:hint="default"/>
      </w:rPr>
    </w:lvl>
    <w:lvl w:ilvl="8" w:tplc="9EB87C0E">
      <w:start w:val="1"/>
      <w:numFmt w:val="bullet"/>
      <w:lvlText w:val="•"/>
      <w:lvlJc w:val="left"/>
      <w:pPr>
        <w:ind w:left="7275" w:hanging="432"/>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CE"/>
    <w:rsid w:val="00015DCD"/>
    <w:rsid w:val="00063958"/>
    <w:rsid w:val="0007289D"/>
    <w:rsid w:val="00114435"/>
    <w:rsid w:val="0013155B"/>
    <w:rsid w:val="001439DD"/>
    <w:rsid w:val="00153725"/>
    <w:rsid w:val="0017580B"/>
    <w:rsid w:val="00195738"/>
    <w:rsid w:val="001D0643"/>
    <w:rsid w:val="00220D09"/>
    <w:rsid w:val="00241D07"/>
    <w:rsid w:val="00246D22"/>
    <w:rsid w:val="002D7A23"/>
    <w:rsid w:val="002E5687"/>
    <w:rsid w:val="002F2680"/>
    <w:rsid w:val="0030377E"/>
    <w:rsid w:val="00303FCC"/>
    <w:rsid w:val="003446E3"/>
    <w:rsid w:val="0039468C"/>
    <w:rsid w:val="003B514C"/>
    <w:rsid w:val="00417A48"/>
    <w:rsid w:val="00487E52"/>
    <w:rsid w:val="004D6F11"/>
    <w:rsid w:val="004F41C7"/>
    <w:rsid w:val="00500ECE"/>
    <w:rsid w:val="00501CC7"/>
    <w:rsid w:val="00547015"/>
    <w:rsid w:val="00563B20"/>
    <w:rsid w:val="00600787"/>
    <w:rsid w:val="006515B2"/>
    <w:rsid w:val="00690FB1"/>
    <w:rsid w:val="006A0AD9"/>
    <w:rsid w:val="006B031D"/>
    <w:rsid w:val="006D0FBB"/>
    <w:rsid w:val="006E5551"/>
    <w:rsid w:val="007038CB"/>
    <w:rsid w:val="007147C6"/>
    <w:rsid w:val="007F2344"/>
    <w:rsid w:val="00807FB4"/>
    <w:rsid w:val="00842829"/>
    <w:rsid w:val="008B2C8E"/>
    <w:rsid w:val="008C3F23"/>
    <w:rsid w:val="008D05F0"/>
    <w:rsid w:val="008F2975"/>
    <w:rsid w:val="00907184"/>
    <w:rsid w:val="009157AC"/>
    <w:rsid w:val="00951A69"/>
    <w:rsid w:val="00975051"/>
    <w:rsid w:val="009F1800"/>
    <w:rsid w:val="009F5F2D"/>
    <w:rsid w:val="00A078D9"/>
    <w:rsid w:val="00AC6F9B"/>
    <w:rsid w:val="00B105D4"/>
    <w:rsid w:val="00B21212"/>
    <w:rsid w:val="00B453D2"/>
    <w:rsid w:val="00B64BF3"/>
    <w:rsid w:val="00B8521D"/>
    <w:rsid w:val="00BC2AA5"/>
    <w:rsid w:val="00BD49B4"/>
    <w:rsid w:val="00BF5853"/>
    <w:rsid w:val="00C21B9A"/>
    <w:rsid w:val="00C83261"/>
    <w:rsid w:val="00CA05FA"/>
    <w:rsid w:val="00CB0275"/>
    <w:rsid w:val="00CF03F5"/>
    <w:rsid w:val="00CF7EEA"/>
    <w:rsid w:val="00D24D2C"/>
    <w:rsid w:val="00D44D47"/>
    <w:rsid w:val="00D56B1A"/>
    <w:rsid w:val="00D74B48"/>
    <w:rsid w:val="00DA6590"/>
    <w:rsid w:val="00E0450C"/>
    <w:rsid w:val="00E72CB1"/>
    <w:rsid w:val="00EE2B42"/>
    <w:rsid w:val="00EE4996"/>
    <w:rsid w:val="00EE7AA1"/>
    <w:rsid w:val="00F27C55"/>
    <w:rsid w:val="00F94B42"/>
    <w:rsid w:val="00F96E30"/>
    <w:rsid w:val="00FB0D71"/>
    <w:rsid w:val="00FC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0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46"/>
      <w:ind w:left="532"/>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03FCC"/>
    <w:rPr>
      <w:sz w:val="16"/>
      <w:szCs w:val="16"/>
    </w:rPr>
  </w:style>
  <w:style w:type="paragraph" w:styleId="CommentText">
    <w:name w:val="annotation text"/>
    <w:basedOn w:val="Normal"/>
    <w:link w:val="CommentTextChar"/>
    <w:uiPriority w:val="99"/>
    <w:semiHidden/>
    <w:unhideWhenUsed/>
    <w:rsid w:val="00303FCC"/>
    <w:rPr>
      <w:sz w:val="20"/>
      <w:szCs w:val="20"/>
    </w:rPr>
  </w:style>
  <w:style w:type="character" w:customStyle="1" w:styleId="CommentTextChar">
    <w:name w:val="Comment Text Char"/>
    <w:basedOn w:val="DefaultParagraphFont"/>
    <w:link w:val="CommentText"/>
    <w:uiPriority w:val="99"/>
    <w:semiHidden/>
    <w:rsid w:val="00303FCC"/>
    <w:rPr>
      <w:sz w:val="20"/>
      <w:szCs w:val="20"/>
    </w:rPr>
  </w:style>
  <w:style w:type="paragraph" w:styleId="CommentSubject">
    <w:name w:val="annotation subject"/>
    <w:basedOn w:val="CommentText"/>
    <w:next w:val="CommentText"/>
    <w:link w:val="CommentSubjectChar"/>
    <w:uiPriority w:val="99"/>
    <w:semiHidden/>
    <w:unhideWhenUsed/>
    <w:rsid w:val="00303FCC"/>
    <w:rPr>
      <w:b/>
      <w:bCs/>
    </w:rPr>
  </w:style>
  <w:style w:type="character" w:customStyle="1" w:styleId="CommentSubjectChar">
    <w:name w:val="Comment Subject Char"/>
    <w:basedOn w:val="CommentTextChar"/>
    <w:link w:val="CommentSubject"/>
    <w:uiPriority w:val="99"/>
    <w:semiHidden/>
    <w:rsid w:val="00303FCC"/>
    <w:rPr>
      <w:b/>
      <w:bCs/>
      <w:sz w:val="20"/>
      <w:szCs w:val="20"/>
    </w:rPr>
  </w:style>
  <w:style w:type="paragraph" w:styleId="BalloonText">
    <w:name w:val="Balloon Text"/>
    <w:basedOn w:val="Normal"/>
    <w:link w:val="BalloonTextChar"/>
    <w:uiPriority w:val="99"/>
    <w:semiHidden/>
    <w:unhideWhenUsed/>
    <w:rsid w:val="00303F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FCC"/>
    <w:rPr>
      <w:rFonts w:ascii="Segoe UI" w:hAnsi="Segoe UI" w:cs="Segoe UI"/>
      <w:sz w:val="18"/>
      <w:szCs w:val="18"/>
    </w:rPr>
  </w:style>
  <w:style w:type="paragraph" w:styleId="Header">
    <w:name w:val="header"/>
    <w:basedOn w:val="Normal"/>
    <w:link w:val="HeaderChar"/>
    <w:uiPriority w:val="99"/>
    <w:unhideWhenUsed/>
    <w:rsid w:val="00842829"/>
    <w:pPr>
      <w:tabs>
        <w:tab w:val="center" w:pos="4680"/>
        <w:tab w:val="right" w:pos="9360"/>
      </w:tabs>
    </w:pPr>
  </w:style>
  <w:style w:type="character" w:customStyle="1" w:styleId="HeaderChar">
    <w:name w:val="Header Char"/>
    <w:basedOn w:val="DefaultParagraphFont"/>
    <w:link w:val="Header"/>
    <w:uiPriority w:val="99"/>
    <w:rsid w:val="00842829"/>
  </w:style>
  <w:style w:type="paragraph" w:styleId="Footer">
    <w:name w:val="footer"/>
    <w:basedOn w:val="Normal"/>
    <w:link w:val="FooterChar"/>
    <w:uiPriority w:val="99"/>
    <w:unhideWhenUsed/>
    <w:rsid w:val="00842829"/>
    <w:pPr>
      <w:tabs>
        <w:tab w:val="center" w:pos="4680"/>
        <w:tab w:val="right" w:pos="9360"/>
      </w:tabs>
    </w:pPr>
  </w:style>
  <w:style w:type="character" w:customStyle="1" w:styleId="FooterChar">
    <w:name w:val="Footer Char"/>
    <w:basedOn w:val="DefaultParagraphFont"/>
    <w:link w:val="Footer"/>
    <w:uiPriority w:val="99"/>
    <w:rsid w:val="00842829"/>
  </w:style>
  <w:style w:type="paragraph" w:styleId="FootnoteText">
    <w:name w:val="footnote text"/>
    <w:basedOn w:val="Normal"/>
    <w:link w:val="FootnoteTextChar"/>
    <w:uiPriority w:val="99"/>
    <w:semiHidden/>
    <w:unhideWhenUsed/>
    <w:rsid w:val="003B514C"/>
    <w:rPr>
      <w:sz w:val="20"/>
      <w:szCs w:val="20"/>
    </w:rPr>
  </w:style>
  <w:style w:type="character" w:customStyle="1" w:styleId="FootnoteTextChar">
    <w:name w:val="Footnote Text Char"/>
    <w:basedOn w:val="DefaultParagraphFont"/>
    <w:link w:val="FootnoteText"/>
    <w:uiPriority w:val="99"/>
    <w:semiHidden/>
    <w:rsid w:val="003B514C"/>
    <w:rPr>
      <w:sz w:val="20"/>
      <w:szCs w:val="20"/>
    </w:rPr>
  </w:style>
  <w:style w:type="character" w:styleId="FootnoteReference">
    <w:name w:val="footnote reference"/>
    <w:basedOn w:val="DefaultParagraphFont"/>
    <w:uiPriority w:val="99"/>
    <w:semiHidden/>
    <w:unhideWhenUsed/>
    <w:rsid w:val="003B514C"/>
    <w:rPr>
      <w:vertAlign w:val="superscript"/>
    </w:rPr>
  </w:style>
  <w:style w:type="character" w:styleId="Hyperlink">
    <w:name w:val="Hyperlink"/>
    <w:basedOn w:val="DefaultParagraphFont"/>
    <w:uiPriority w:val="99"/>
    <w:unhideWhenUsed/>
    <w:rsid w:val="00563B20"/>
    <w:rPr>
      <w:color w:val="0000FF" w:themeColor="hyperlink"/>
      <w:u w:val="single"/>
    </w:rPr>
  </w:style>
  <w:style w:type="character" w:styleId="FollowedHyperlink">
    <w:name w:val="FollowedHyperlink"/>
    <w:basedOn w:val="DefaultParagraphFont"/>
    <w:uiPriority w:val="99"/>
    <w:semiHidden/>
    <w:unhideWhenUsed/>
    <w:rsid w:val="00563B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70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Research-Statistics-Data-and-Systems/Monitoring-Programs/Medicare-FFS-Compliance-Programs/CERT/CERT-Reports-Items/Downloads/AppendicesMedicareFee-for-Service2014ImproperPaymentsReport.pdf?agree=yes&amp;next=Accept" TargetMode="External"/><Relationship Id="rId1" Type="http://schemas.openxmlformats.org/officeDocument/2006/relationships/hyperlink" Target="http://oig.hhs.gov/oei/reports/oei-01-12-0039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83D98-161C-47DC-B6BD-960B34FE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2278</Words>
  <Characters>12991</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2016-12-01T20:40:00Z</dcterms:created>
  <dcterms:modified xsi:type="dcterms:W3CDTF">2016-12-01T20:40:00Z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