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3A20C2" w14:textId="77777777" w:rsidR="00A47806" w:rsidRPr="00FC2E5C" w:rsidRDefault="00A47806" w:rsidP="005024CB">
      <w:pPr>
        <w:pStyle w:val="Heading1"/>
        <w:spacing w:before="0"/>
        <w:jc w:val="center"/>
        <w:rPr>
          <w:rFonts w:ascii="Tw Cen MT" w:hAnsi="Tw Cen MT" w:cs="Arial"/>
          <w:color w:val="181818"/>
        </w:rPr>
      </w:pPr>
      <w:r w:rsidRPr="00FC2E5C">
        <w:rPr>
          <w:rFonts w:ascii="Tw Cen MT" w:hAnsi="Tw Cen MT" w:cs="Arial"/>
          <w:color w:val="181818"/>
        </w:rPr>
        <w:t xml:space="preserve">National Outcomes Evaluation </w:t>
      </w:r>
    </w:p>
    <w:p w14:paraId="35CD260D" w14:textId="3B5DB326" w:rsidR="00A47806" w:rsidRPr="00FC2E5C" w:rsidRDefault="00A47806" w:rsidP="005024CB">
      <w:pPr>
        <w:pStyle w:val="Heading1"/>
        <w:spacing w:before="0"/>
        <w:jc w:val="center"/>
        <w:rPr>
          <w:rFonts w:ascii="Tw Cen MT" w:hAnsi="Tw Cen MT" w:cs="Arial"/>
          <w:color w:val="181818"/>
        </w:rPr>
      </w:pPr>
      <w:r w:rsidRPr="00FC2E5C">
        <w:rPr>
          <w:rFonts w:ascii="Tw Cen MT" w:hAnsi="Tw Cen MT" w:cs="Arial"/>
          <w:color w:val="181818"/>
        </w:rPr>
        <w:t xml:space="preserve">Garrett Lee Smith (GLS) Suicide Prevention Program </w:t>
      </w:r>
    </w:p>
    <w:p w14:paraId="1A398330" w14:textId="77777777" w:rsidR="00A47806" w:rsidRPr="00FC2E5C" w:rsidRDefault="00A47806" w:rsidP="005024CB">
      <w:pPr>
        <w:jc w:val="center"/>
        <w:rPr>
          <w:sz w:val="28"/>
          <w:szCs w:val="28"/>
        </w:rPr>
      </w:pPr>
      <w:r w:rsidRPr="00FC2E5C">
        <w:rPr>
          <w:rFonts w:ascii="Tw Cen MT" w:hAnsi="Tw Cen MT" w:cs="Arial"/>
          <w:b/>
          <w:color w:val="181818"/>
          <w:sz w:val="28"/>
          <w:szCs w:val="28"/>
        </w:rPr>
        <w:t>Supporting Statement</w:t>
      </w:r>
    </w:p>
    <w:p w14:paraId="2B6A8056" w14:textId="77777777" w:rsidR="00A47806" w:rsidRPr="009756A4" w:rsidRDefault="00A47806" w:rsidP="00A47806">
      <w:pPr>
        <w:tabs>
          <w:tab w:val="left" w:pos="2250"/>
        </w:tabs>
        <w:rPr>
          <w:rFonts w:ascii="Arial" w:hAnsi="Arial" w:cs="Arial"/>
        </w:rPr>
      </w:pPr>
      <w:r>
        <w:rPr>
          <w:rFonts w:ascii="Arial" w:hAnsi="Arial" w:cs="Arial"/>
        </w:rPr>
        <w:tab/>
      </w:r>
    </w:p>
    <w:p w14:paraId="2FCA2A0D" w14:textId="77777777" w:rsidR="00A47806" w:rsidRPr="00FC2E5C" w:rsidRDefault="00A47806" w:rsidP="00045A50">
      <w:pPr>
        <w:pStyle w:val="BodyText"/>
        <w:numPr>
          <w:ilvl w:val="0"/>
          <w:numId w:val="9"/>
        </w:numPr>
        <w:tabs>
          <w:tab w:val="left" w:pos="843"/>
        </w:tabs>
        <w:spacing w:after="200"/>
        <w:rPr>
          <w:rFonts w:ascii="Tw Cen MT" w:hAnsi="Tw Cen MT" w:cs="Arial"/>
          <w:b/>
          <w:sz w:val="28"/>
          <w:szCs w:val="28"/>
        </w:rPr>
      </w:pPr>
      <w:r w:rsidRPr="00FC2E5C">
        <w:rPr>
          <w:rFonts w:ascii="Tw Cen MT" w:hAnsi="Tw Cen MT" w:cs="Arial"/>
          <w:b/>
          <w:color w:val="181818"/>
          <w:sz w:val="28"/>
          <w:szCs w:val="28"/>
        </w:rPr>
        <w:t>Justification</w:t>
      </w:r>
    </w:p>
    <w:p w14:paraId="79BC0125" w14:textId="56925BE5" w:rsidR="00A47806" w:rsidRDefault="00A47806" w:rsidP="000F7808">
      <w:pPr>
        <w:pStyle w:val="SuicideBodyText"/>
        <w:spacing w:after="200"/>
      </w:pPr>
      <w:r w:rsidRPr="002747A6">
        <w:rPr>
          <w:bCs/>
          <w:spacing w:val="-2"/>
        </w:rPr>
        <w:t xml:space="preserve">The Substance Abuse and Mental Health Services Administration’s (SAMHSA’s) Division of Prevention, Traumatic Stress and Special Programs of the </w:t>
      </w:r>
      <w:r w:rsidRPr="002747A6">
        <w:rPr>
          <w:spacing w:val="-2"/>
        </w:rPr>
        <w:t xml:space="preserve">Center for Mental Health Services (CMHS) is requesting clearance for </w:t>
      </w:r>
      <w:r>
        <w:rPr>
          <w:spacing w:val="-2"/>
        </w:rPr>
        <w:t xml:space="preserve">the </w:t>
      </w:r>
      <w:r w:rsidRPr="00BB0E56">
        <w:rPr>
          <w:spacing w:val="-2"/>
        </w:rPr>
        <w:t>revision</w:t>
      </w:r>
      <w:r w:rsidRPr="00F05882">
        <w:rPr>
          <w:spacing w:val="-2"/>
        </w:rPr>
        <w:t xml:space="preserve"> </w:t>
      </w:r>
      <w:r>
        <w:rPr>
          <w:spacing w:val="-2"/>
        </w:rPr>
        <w:t xml:space="preserve">of </w:t>
      </w:r>
      <w:r w:rsidRPr="002747A6">
        <w:rPr>
          <w:spacing w:val="-2"/>
        </w:rPr>
        <w:t xml:space="preserve">data collection associated with the </w:t>
      </w:r>
      <w:r>
        <w:rPr>
          <w:spacing w:val="-2"/>
        </w:rPr>
        <w:t xml:space="preserve">previously-approved cross-site evaluation of the </w:t>
      </w:r>
      <w:r w:rsidRPr="002747A6">
        <w:rPr>
          <w:spacing w:val="-2"/>
        </w:rPr>
        <w:t>Garrett Lee Smith (GLS) Youth Suicide Prevention and Early Intervention Program</w:t>
      </w:r>
      <w:r>
        <w:rPr>
          <w:spacing w:val="-2"/>
        </w:rPr>
        <w:t xml:space="preserve"> (GLS Suicide Prevention Program)</w:t>
      </w:r>
      <w:r>
        <w:t xml:space="preserve">, </w:t>
      </w:r>
      <w:r>
        <w:rPr>
          <w:spacing w:val="-2"/>
        </w:rPr>
        <w:t xml:space="preserve">now entitled </w:t>
      </w:r>
      <w:r w:rsidRPr="00C1766D">
        <w:rPr>
          <w:b/>
          <w:i/>
          <w:spacing w:val="-2"/>
        </w:rPr>
        <w:t>National Outcomes Evaluation (NOE)</w:t>
      </w:r>
      <w:r>
        <w:rPr>
          <w:spacing w:val="-2"/>
        </w:rPr>
        <w:t>. Passed by Congress in 2004, t</w:t>
      </w:r>
      <w:r w:rsidRPr="00F05882">
        <w:rPr>
          <w:spacing w:val="-2"/>
        </w:rPr>
        <w:t>he Garrett Lee Smith Memorial Act (GLSMA</w:t>
      </w:r>
      <w:r>
        <w:rPr>
          <w:spacing w:val="-2"/>
        </w:rPr>
        <w:t xml:space="preserve">) </w:t>
      </w:r>
      <w:r w:rsidRPr="00F05882">
        <w:rPr>
          <w:spacing w:val="-2"/>
        </w:rPr>
        <w:t xml:space="preserve">was the first legislation to provide funding for </w:t>
      </w:r>
      <w:r>
        <w:rPr>
          <w:spacing w:val="-2"/>
        </w:rPr>
        <w:t xml:space="preserve">States, Tribes, and institutions of higher education to develop, improve, and evaluate </w:t>
      </w:r>
      <w:r w:rsidRPr="002747A6">
        <w:rPr>
          <w:spacing w:val="-2"/>
        </w:rPr>
        <w:t>early intervention and suicide prevention programs</w:t>
      </w:r>
      <w:r>
        <w:rPr>
          <w:spacing w:val="-2"/>
        </w:rPr>
        <w:t>. In addition</w:t>
      </w:r>
      <w:r w:rsidRPr="00CE02A0">
        <w:rPr>
          <w:spacing w:val="-2"/>
        </w:rPr>
        <w:t xml:space="preserve"> </w:t>
      </w:r>
      <w:r>
        <w:rPr>
          <w:spacing w:val="-2"/>
        </w:rPr>
        <w:t xml:space="preserve">to providing programmatic funding, the GLSMA </w:t>
      </w:r>
      <w:r w:rsidRPr="002747A6">
        <w:rPr>
          <w:spacing w:val="-2"/>
        </w:rPr>
        <w:t xml:space="preserve">mandates that </w:t>
      </w:r>
      <w:r>
        <w:rPr>
          <w:spacing w:val="-2"/>
        </w:rPr>
        <w:t xml:space="preserve">the </w:t>
      </w:r>
      <w:r w:rsidRPr="002747A6">
        <w:rPr>
          <w:spacing w:val="-2"/>
        </w:rPr>
        <w:t xml:space="preserve">effectiveness of </w:t>
      </w:r>
      <w:r>
        <w:rPr>
          <w:spacing w:val="-2"/>
        </w:rPr>
        <w:t>the GLS Suicide Prevention Program be evaluated and</w:t>
      </w:r>
      <w:r w:rsidRPr="006A496E">
        <w:rPr>
          <w:spacing w:val="-2"/>
        </w:rPr>
        <w:t xml:space="preserve"> reported to Congress.</w:t>
      </w:r>
      <w:r>
        <w:rPr>
          <w:spacing w:val="-2"/>
        </w:rPr>
        <w:t xml:space="preserve"> </w:t>
      </w:r>
      <w:r w:rsidRPr="00B20615">
        <w:rPr>
          <w:spacing w:val="-2"/>
        </w:rPr>
        <w:t xml:space="preserve">Per </w:t>
      </w:r>
      <w:r>
        <w:rPr>
          <w:spacing w:val="-2"/>
        </w:rPr>
        <w:t>this</w:t>
      </w:r>
      <w:r w:rsidRPr="00B20615">
        <w:rPr>
          <w:spacing w:val="-2"/>
        </w:rPr>
        <w:t xml:space="preserve"> mandate, the </w:t>
      </w:r>
      <w:r w:rsidRPr="00DB5653">
        <w:t xml:space="preserve">cross-site evaluation </w:t>
      </w:r>
      <w:r>
        <w:t>of the GLS Suicide Prevention Program was conceptualized in 2005</w:t>
      </w:r>
      <w:r w:rsidRPr="00491C1D">
        <w:t xml:space="preserve"> </w:t>
      </w:r>
      <w:r>
        <w:t xml:space="preserve">and has been implemented since. </w:t>
      </w:r>
      <w:r w:rsidRPr="00F05882">
        <w:t xml:space="preserve">As a result of the vast body of information collected and analyzed through the cross-site evaluation, SAMHSA has </w:t>
      </w:r>
      <w:r>
        <w:t>identified</w:t>
      </w:r>
      <w:r w:rsidRPr="00F05882">
        <w:t xml:space="preserve"> areas for additional investigation</w:t>
      </w:r>
      <w:r>
        <w:t xml:space="preserve"> and </w:t>
      </w:r>
      <w:r w:rsidRPr="00F05882">
        <w:t>the types</w:t>
      </w:r>
      <w:r>
        <w:t xml:space="preserve"> </w:t>
      </w:r>
      <w:r w:rsidRPr="00F05882">
        <w:t xml:space="preserve">of inquiry </w:t>
      </w:r>
      <w:r>
        <w:t xml:space="preserve">needed to </w:t>
      </w:r>
      <w:r w:rsidRPr="00F05882">
        <w:t xml:space="preserve">move the </w:t>
      </w:r>
      <w:r>
        <w:t xml:space="preserve">cross-site </w:t>
      </w:r>
      <w:r w:rsidRPr="00F05882">
        <w:t>evaluation into its next phase.</w:t>
      </w:r>
    </w:p>
    <w:p w14:paraId="7D20D141" w14:textId="29A629E1" w:rsidR="00AE1732" w:rsidRDefault="00A47806" w:rsidP="000F7808">
      <w:pPr>
        <w:pStyle w:val="SuicideBodyText"/>
        <w:spacing w:after="200"/>
      </w:pPr>
      <w:r>
        <w:t>In</w:t>
      </w:r>
      <w:r w:rsidRPr="00A01CB0">
        <w:t xml:space="preserve">formed by </w:t>
      </w:r>
      <w:r>
        <w:t xml:space="preserve">its nine-year history partnering with State/Tribal and Campus grantees, </w:t>
      </w:r>
      <w:r w:rsidRPr="00A01CB0">
        <w:t>evolution of th</w:t>
      </w:r>
      <w:r>
        <w:t>e GLS Suicide Prevention Program, and findings from the nine-year cross-site evaluation, SAMHSA is embarking on the next phase of the evaluation. The</w:t>
      </w:r>
      <w:r>
        <w:rPr>
          <w:rFonts w:eastAsia="Calibri"/>
        </w:rPr>
        <w:t xml:space="preserve"> </w:t>
      </w:r>
      <w:r w:rsidRPr="004A4B60">
        <w:rPr>
          <w:rFonts w:eastAsia="Calibri"/>
        </w:rPr>
        <w:t>N</w:t>
      </w:r>
      <w:r>
        <w:rPr>
          <w:rFonts w:eastAsia="Calibri"/>
        </w:rPr>
        <w:t>ational Outcomes Evaluation—a p</w:t>
      </w:r>
      <w:r w:rsidRPr="004A4B60">
        <w:rPr>
          <w:rFonts w:eastAsia="Calibri"/>
        </w:rPr>
        <w:t>roposed</w:t>
      </w:r>
      <w:r>
        <w:rPr>
          <w:rFonts w:eastAsia="Calibri"/>
        </w:rPr>
        <w:t xml:space="preserve"> </w:t>
      </w:r>
      <w:r w:rsidRPr="004A4B60">
        <w:rPr>
          <w:rFonts w:eastAsia="Calibri"/>
        </w:rPr>
        <w:t xml:space="preserve">redesign </w:t>
      </w:r>
      <w:r w:rsidR="00604660">
        <w:rPr>
          <w:rFonts w:eastAsia="Calibri"/>
        </w:rPr>
        <w:t xml:space="preserve">of </w:t>
      </w:r>
      <w:r w:rsidRPr="004A4B60">
        <w:rPr>
          <w:rFonts w:eastAsia="Calibri"/>
        </w:rPr>
        <w:t>t</w:t>
      </w:r>
      <w:r w:rsidRPr="004A4B60">
        <w:rPr>
          <w:spacing w:val="-2"/>
        </w:rPr>
        <w:t xml:space="preserve">he currently-approved cross-site evaluation </w:t>
      </w:r>
      <w:r w:rsidRPr="00A01CB0">
        <w:rPr>
          <w:spacing w:val="-2"/>
        </w:rPr>
        <w:t xml:space="preserve">(OMB </w:t>
      </w:r>
      <w:r w:rsidRPr="00A01CB0">
        <w:t>No. 0930-0286; Expiration, January</w:t>
      </w:r>
      <w:r w:rsidR="00BB0E56">
        <w:t xml:space="preserve"> 31,</w:t>
      </w:r>
      <w:r w:rsidRPr="00A01CB0">
        <w:t xml:space="preserve"> 2017</w:t>
      </w:r>
      <w:r>
        <w:t xml:space="preserve">)—builds </w:t>
      </w:r>
      <w:r w:rsidRPr="00A01CB0">
        <w:rPr>
          <w:rFonts w:eastAsia="Calibri"/>
        </w:rPr>
        <w:t xml:space="preserve">on prior published GLS evaluation proximal </w:t>
      </w:r>
      <w:r w:rsidR="00604660">
        <w:rPr>
          <w:rFonts w:eastAsia="Calibri"/>
        </w:rPr>
        <w:t xml:space="preserve">and </w:t>
      </w:r>
      <w:r w:rsidRPr="00A01CB0">
        <w:rPr>
          <w:rFonts w:eastAsia="Calibri"/>
        </w:rPr>
        <w:t xml:space="preserve">distal training and aggregate </w:t>
      </w:r>
      <w:r w:rsidRPr="006A496E">
        <w:rPr>
          <w:rFonts w:eastAsia="Calibri"/>
        </w:rPr>
        <w:t>findings</w:t>
      </w:r>
      <w:r w:rsidRPr="006A496E">
        <w:t xml:space="preserve"> from </w:t>
      </w:r>
      <w:r w:rsidRPr="006A496E">
        <w:rPr>
          <w:rFonts w:eastAsia="Calibri"/>
        </w:rPr>
        <w:t xml:space="preserve">program </w:t>
      </w:r>
      <w:r w:rsidRPr="00C1766D">
        <w:rPr>
          <w:rFonts w:eastAsia="Calibri"/>
        </w:rPr>
        <w:t xml:space="preserve">activities (e.g., </w:t>
      </w:r>
      <w:proofErr w:type="spellStart"/>
      <w:r w:rsidRPr="00C1766D">
        <w:rPr>
          <w:rFonts w:eastAsia="Calibri"/>
        </w:rPr>
        <w:t>Condron</w:t>
      </w:r>
      <w:proofErr w:type="spellEnd"/>
      <w:r w:rsidRPr="00C1766D">
        <w:rPr>
          <w:rFonts w:eastAsia="Calibri"/>
        </w:rPr>
        <w:t xml:space="preserve"> et al., 2014; Walrath et al., </w:t>
      </w:r>
      <w:r w:rsidR="002E448F">
        <w:rPr>
          <w:rFonts w:eastAsia="Calibri"/>
        </w:rPr>
        <w:t>2015</w:t>
      </w:r>
      <w:r w:rsidRPr="00C1766D">
        <w:rPr>
          <w:rFonts w:eastAsia="Calibri"/>
        </w:rPr>
        <w:t>)</w:t>
      </w:r>
      <w:r>
        <w:rPr>
          <w:rFonts w:eastAsia="Calibri"/>
        </w:rPr>
        <w:t xml:space="preserve">. </w:t>
      </w:r>
      <w:r>
        <w:rPr>
          <w:spacing w:val="-2"/>
        </w:rPr>
        <w:t xml:space="preserve">The updated design reflects SAMHSA’s desire to assess the implementation, outcomes, and impacts of the </w:t>
      </w:r>
      <w:r w:rsidRPr="002747A6">
        <w:rPr>
          <w:spacing w:val="-2"/>
        </w:rPr>
        <w:t xml:space="preserve">GLS </w:t>
      </w:r>
      <w:r>
        <w:rPr>
          <w:spacing w:val="-2"/>
        </w:rPr>
        <w:t xml:space="preserve">program across its two components—the </w:t>
      </w:r>
      <w:r w:rsidRPr="00752215">
        <w:rPr>
          <w:spacing w:val="-2"/>
        </w:rPr>
        <w:t>GLS State/Tribal Program and the GLS Campus Program</w:t>
      </w:r>
      <w:r>
        <w:rPr>
          <w:spacing w:val="-2"/>
        </w:rPr>
        <w:t xml:space="preserve">. As such, the </w:t>
      </w:r>
      <w:r>
        <w:t xml:space="preserve">NOE is designed to address </w:t>
      </w:r>
      <w:r w:rsidRPr="00C1766D">
        <w:t>the field’s need for additional evidence on the impact</w:t>
      </w:r>
      <w:r>
        <w:t>s</w:t>
      </w:r>
      <w:r w:rsidRPr="00C1766D">
        <w:t xml:space="preserve"> of the GLS Suicide Prevention Program</w:t>
      </w:r>
      <w:r w:rsidR="002E448F">
        <w:t xml:space="preserve"> in three areas</w:t>
      </w:r>
      <w:r>
        <w:t xml:space="preserve">: </w:t>
      </w:r>
    </w:p>
    <w:p w14:paraId="5334635F" w14:textId="5B7AF9A8" w:rsidR="00AE1732" w:rsidRDefault="00AE1732" w:rsidP="003536EA">
      <w:pPr>
        <w:pStyle w:val="SuicideBodyText"/>
        <w:numPr>
          <w:ilvl w:val="0"/>
          <w:numId w:val="35"/>
        </w:numPr>
        <w:spacing w:after="60"/>
      </w:pPr>
      <w:r>
        <w:t>S</w:t>
      </w:r>
      <w:r w:rsidR="00A47806" w:rsidRPr="00C1766D">
        <w:t>uicide prevention training effectiveness</w:t>
      </w:r>
      <w:r>
        <w:t xml:space="preserve"> </w:t>
      </w:r>
    </w:p>
    <w:p w14:paraId="5700CC48" w14:textId="0392312D" w:rsidR="00AE1732" w:rsidRDefault="00AE1732" w:rsidP="003536EA">
      <w:pPr>
        <w:pStyle w:val="SuicideBodyText"/>
        <w:numPr>
          <w:ilvl w:val="0"/>
          <w:numId w:val="35"/>
        </w:numPr>
        <w:spacing w:after="60"/>
      </w:pPr>
      <w:r>
        <w:t>E</w:t>
      </w:r>
      <w:r w:rsidR="00A47806" w:rsidRPr="00C1766D">
        <w:t>arly identification and referral on subsequent care follow-up and adherence</w:t>
      </w:r>
      <w:r>
        <w:t xml:space="preserve"> </w:t>
      </w:r>
    </w:p>
    <w:p w14:paraId="1287F51B" w14:textId="1EC71886" w:rsidR="00A47806" w:rsidRPr="00C1766D" w:rsidRDefault="00AE1732" w:rsidP="000F7808">
      <w:pPr>
        <w:pStyle w:val="SuicideBodyText"/>
        <w:numPr>
          <w:ilvl w:val="0"/>
          <w:numId w:val="35"/>
        </w:numPr>
        <w:spacing w:after="200"/>
      </w:pPr>
      <w:r>
        <w:t>S</w:t>
      </w:r>
      <w:r w:rsidR="00A47806" w:rsidRPr="00C1766D">
        <w:t xml:space="preserve">uicide </w:t>
      </w:r>
      <w:r>
        <w:t>s</w:t>
      </w:r>
      <w:r w:rsidR="00A47806" w:rsidRPr="00C1766D">
        <w:t>afe</w:t>
      </w:r>
      <w:r w:rsidR="00604660">
        <w:t>r</w:t>
      </w:r>
      <w:r w:rsidR="00A47806" w:rsidRPr="00C1766D">
        <w:t xml:space="preserve"> </w:t>
      </w:r>
      <w:r w:rsidR="00604660">
        <w:t>care practices within health care settings</w:t>
      </w:r>
    </w:p>
    <w:p w14:paraId="38CB0A06" w14:textId="37F4EB4F" w:rsidR="00CC6FA0" w:rsidRDefault="00A47806" w:rsidP="000F7808">
      <w:pPr>
        <w:pStyle w:val="SuicideBodyText"/>
        <w:spacing w:after="200"/>
      </w:pPr>
      <w:r>
        <w:rPr>
          <w:spacing w:val="-2"/>
        </w:rPr>
        <w:t xml:space="preserve">Clearance is being requested for </w:t>
      </w:r>
      <w:r w:rsidRPr="00364A08">
        <w:rPr>
          <w:spacing w:val="-2"/>
        </w:rPr>
        <w:t xml:space="preserve">data collection associated </w:t>
      </w:r>
      <w:r>
        <w:rPr>
          <w:spacing w:val="-2"/>
        </w:rPr>
        <w:t xml:space="preserve">with </w:t>
      </w:r>
      <w:r w:rsidR="00335F68">
        <w:rPr>
          <w:spacing w:val="-2"/>
        </w:rPr>
        <w:t>11</w:t>
      </w:r>
      <w:r w:rsidR="0092186B" w:rsidRPr="00364A08">
        <w:rPr>
          <w:spacing w:val="-2"/>
        </w:rPr>
        <w:t xml:space="preserve"> </w:t>
      </w:r>
      <w:r w:rsidR="00C1723A">
        <w:rPr>
          <w:spacing w:val="-2"/>
        </w:rPr>
        <w:t xml:space="preserve">instruments—specifically, </w:t>
      </w:r>
      <w:r w:rsidR="00290C2D">
        <w:rPr>
          <w:spacing w:val="-2"/>
        </w:rPr>
        <w:t>6</w:t>
      </w:r>
      <w:r w:rsidR="0092186B">
        <w:rPr>
          <w:spacing w:val="-2"/>
        </w:rPr>
        <w:t xml:space="preserve"> </w:t>
      </w:r>
      <w:r w:rsidR="00C1723A">
        <w:rPr>
          <w:spacing w:val="-2"/>
        </w:rPr>
        <w:t>revised</w:t>
      </w:r>
      <w:r w:rsidR="00435CEC">
        <w:rPr>
          <w:spacing w:val="-2"/>
        </w:rPr>
        <w:t xml:space="preserve">, </w:t>
      </w:r>
      <w:r w:rsidR="0092186B">
        <w:rPr>
          <w:spacing w:val="-2"/>
        </w:rPr>
        <w:t xml:space="preserve">2 </w:t>
      </w:r>
      <w:r w:rsidR="00C1723A">
        <w:rPr>
          <w:spacing w:val="-2"/>
        </w:rPr>
        <w:t>new</w:t>
      </w:r>
      <w:r w:rsidR="00D752F3">
        <w:rPr>
          <w:spacing w:val="-2"/>
        </w:rPr>
        <w:t xml:space="preserve">, and </w:t>
      </w:r>
      <w:r w:rsidR="0012772C">
        <w:rPr>
          <w:spacing w:val="-2"/>
        </w:rPr>
        <w:t>3</w:t>
      </w:r>
      <w:r w:rsidR="00D752F3">
        <w:rPr>
          <w:spacing w:val="-2"/>
        </w:rPr>
        <w:t xml:space="preserve"> </w:t>
      </w:r>
      <w:r w:rsidR="000B207B">
        <w:rPr>
          <w:spacing w:val="-2"/>
        </w:rPr>
        <w:t>existing</w:t>
      </w:r>
      <w:r>
        <w:rPr>
          <w:spacing w:val="-2"/>
        </w:rPr>
        <w:t xml:space="preserve"> instruments</w:t>
      </w:r>
      <w:r w:rsidR="00A94AFB">
        <w:rPr>
          <w:spacing w:val="-2"/>
        </w:rPr>
        <w:t>. These include</w:t>
      </w:r>
      <w:r w:rsidR="00290C2D">
        <w:rPr>
          <w:spacing w:val="-2"/>
        </w:rPr>
        <w:t xml:space="preserve"> </w:t>
      </w:r>
      <w:r w:rsidR="00C1723A">
        <w:rPr>
          <w:spacing w:val="-2"/>
        </w:rPr>
        <w:t xml:space="preserve">Web-based surveys, inventories, and forms; telephone surveys (using CATI technology); mobile telephone text-message surveys; and abstractions/submissions of existing data. </w:t>
      </w:r>
      <w:r w:rsidR="00A94AFB">
        <w:rPr>
          <w:spacing w:val="-2"/>
        </w:rPr>
        <w:t>As before, some instruments will apply to both or either State/</w:t>
      </w:r>
      <w:r w:rsidR="00A94AFB" w:rsidRPr="00C33FAF">
        <w:rPr>
          <w:spacing w:val="-2"/>
        </w:rPr>
        <w:t xml:space="preserve">Tribal </w:t>
      </w:r>
      <w:r w:rsidR="00A94AFB">
        <w:rPr>
          <w:spacing w:val="-2"/>
        </w:rPr>
        <w:t>and/</w:t>
      </w:r>
      <w:r w:rsidR="00A94AFB" w:rsidRPr="00C33FAF">
        <w:rPr>
          <w:spacing w:val="-2"/>
        </w:rPr>
        <w:t xml:space="preserve">or Campus programs only. </w:t>
      </w:r>
      <w:r w:rsidR="00290C2D">
        <w:rPr>
          <w:spacing w:val="-2"/>
        </w:rPr>
        <w:t>Due to the fulfillment of data collection requirements, a</w:t>
      </w:r>
      <w:r w:rsidR="00D72AC1">
        <w:rPr>
          <w:spacing w:val="-2"/>
        </w:rPr>
        <w:t>pproval for removal of 6 instruments is also requested</w:t>
      </w:r>
      <w:r w:rsidR="00290C2D">
        <w:rPr>
          <w:spacing w:val="-2"/>
        </w:rPr>
        <w:t xml:space="preserve">. </w:t>
      </w:r>
      <w:r w:rsidR="00A94AFB">
        <w:rPr>
          <w:spacing w:val="-2"/>
        </w:rPr>
        <w:t>In addition, data</w:t>
      </w:r>
      <w:r w:rsidR="0012772C">
        <w:rPr>
          <w:spacing w:val="-2"/>
        </w:rPr>
        <w:t xml:space="preserve"> collection requirements for 3 instruments will be </w:t>
      </w:r>
      <w:r w:rsidR="00A94AFB">
        <w:rPr>
          <w:spacing w:val="-2"/>
        </w:rPr>
        <w:t>fulfilled</w:t>
      </w:r>
      <w:r w:rsidR="0012772C">
        <w:rPr>
          <w:spacing w:val="-2"/>
        </w:rPr>
        <w:t xml:space="preserve"> </w:t>
      </w:r>
      <w:r w:rsidR="00083D29">
        <w:rPr>
          <w:spacing w:val="-2"/>
        </w:rPr>
        <w:t>during</w:t>
      </w:r>
      <w:r w:rsidR="0012772C">
        <w:rPr>
          <w:spacing w:val="-2"/>
        </w:rPr>
        <w:t xml:space="preserve"> </w:t>
      </w:r>
      <w:r w:rsidR="00083D29">
        <w:rPr>
          <w:spacing w:val="-2"/>
        </w:rPr>
        <w:t xml:space="preserve">year 1 of the </w:t>
      </w:r>
      <w:r w:rsidR="0012772C">
        <w:rPr>
          <w:spacing w:val="-2"/>
        </w:rPr>
        <w:t xml:space="preserve">OMB </w:t>
      </w:r>
      <w:r w:rsidR="00083D29">
        <w:rPr>
          <w:spacing w:val="-2"/>
        </w:rPr>
        <w:t xml:space="preserve">collection period, </w:t>
      </w:r>
      <w:r w:rsidR="00A94AFB">
        <w:rPr>
          <w:spacing w:val="-2"/>
        </w:rPr>
        <w:t>after which the</w:t>
      </w:r>
      <w:r w:rsidR="0012772C">
        <w:rPr>
          <w:spacing w:val="-2"/>
        </w:rPr>
        <w:t xml:space="preserve"> instruments will be discontinued</w:t>
      </w:r>
      <w:r w:rsidR="00335F68">
        <w:rPr>
          <w:spacing w:val="-2"/>
        </w:rPr>
        <w:t>.</w:t>
      </w:r>
      <w:r w:rsidR="0012772C">
        <w:rPr>
          <w:spacing w:val="-2"/>
        </w:rPr>
        <w:t xml:space="preserve"> </w:t>
      </w:r>
      <w:r w:rsidR="00CC6FA0">
        <w:rPr>
          <w:spacing w:val="-2"/>
        </w:rPr>
        <w:t xml:space="preserve">(See Section A.2.a for a </w:t>
      </w:r>
      <w:r w:rsidR="00AE1732" w:rsidRPr="00C33FAF">
        <w:rPr>
          <w:spacing w:val="-2"/>
        </w:rPr>
        <w:t>description of data collection activities</w:t>
      </w:r>
      <w:r w:rsidR="00CC6FA0">
        <w:rPr>
          <w:spacing w:val="-2"/>
        </w:rPr>
        <w:t xml:space="preserve"> and Section A.2.b for revisions to the evaluation.)</w:t>
      </w:r>
      <w:r w:rsidR="00AE1732" w:rsidRPr="00C33FAF">
        <w:rPr>
          <w:spacing w:val="-2"/>
        </w:rPr>
        <w:t xml:space="preserve"> </w:t>
      </w:r>
      <w:r w:rsidR="00CC6FA0">
        <w:rPr>
          <w:spacing w:val="-2"/>
        </w:rPr>
        <w:t xml:space="preserve"> </w:t>
      </w:r>
      <w:r w:rsidR="00CC6FA0">
        <w:t xml:space="preserve"> </w:t>
      </w:r>
    </w:p>
    <w:p w14:paraId="2F3177AC" w14:textId="4CFF4ADB" w:rsidR="00A47806" w:rsidRPr="00FC2E5C" w:rsidRDefault="00A47806" w:rsidP="00CC6FA0">
      <w:pPr>
        <w:pStyle w:val="SuicideBodyText"/>
        <w:numPr>
          <w:ilvl w:val="0"/>
          <w:numId w:val="1"/>
        </w:numPr>
        <w:spacing w:after="120"/>
        <w:rPr>
          <w:rFonts w:ascii="Tw Cen MT" w:hAnsi="Tw Cen MT" w:cs="Arial"/>
          <w:b/>
          <w:sz w:val="28"/>
          <w:szCs w:val="28"/>
        </w:rPr>
      </w:pPr>
      <w:r w:rsidRPr="00FC2E5C">
        <w:rPr>
          <w:rFonts w:ascii="Tw Cen MT" w:hAnsi="Tw Cen MT" w:cs="Arial"/>
          <w:b/>
          <w:color w:val="181818"/>
          <w:sz w:val="28"/>
          <w:szCs w:val="28"/>
        </w:rPr>
        <w:lastRenderedPageBreak/>
        <w:t>Circumstances</w:t>
      </w:r>
      <w:r w:rsidRPr="00FC2E5C">
        <w:rPr>
          <w:rFonts w:ascii="Tw Cen MT" w:hAnsi="Tw Cen MT" w:cs="Arial"/>
          <w:b/>
          <w:color w:val="181818"/>
          <w:spacing w:val="58"/>
          <w:sz w:val="28"/>
          <w:szCs w:val="28"/>
        </w:rPr>
        <w:t xml:space="preserve"> </w:t>
      </w:r>
      <w:r w:rsidRPr="00FC2E5C">
        <w:rPr>
          <w:rFonts w:ascii="Tw Cen MT" w:hAnsi="Tw Cen MT" w:cs="Arial"/>
          <w:b/>
          <w:color w:val="181818"/>
          <w:sz w:val="28"/>
          <w:szCs w:val="28"/>
        </w:rPr>
        <w:t>of</w:t>
      </w:r>
      <w:r w:rsidRPr="00FC2E5C">
        <w:rPr>
          <w:rFonts w:ascii="Tw Cen MT" w:hAnsi="Tw Cen MT" w:cs="Arial"/>
          <w:b/>
          <w:color w:val="181818"/>
          <w:spacing w:val="42"/>
          <w:sz w:val="28"/>
          <w:szCs w:val="28"/>
        </w:rPr>
        <w:t xml:space="preserve"> </w:t>
      </w:r>
      <w:r w:rsidRPr="00FC2E5C">
        <w:rPr>
          <w:rFonts w:ascii="Tw Cen MT" w:hAnsi="Tw Cen MT" w:cs="Arial"/>
          <w:b/>
          <w:color w:val="181818"/>
          <w:sz w:val="28"/>
          <w:szCs w:val="28"/>
        </w:rPr>
        <w:t>Information</w:t>
      </w:r>
      <w:r w:rsidRPr="00FC2E5C">
        <w:rPr>
          <w:rFonts w:ascii="Tw Cen MT" w:hAnsi="Tw Cen MT" w:cs="Arial"/>
          <w:b/>
          <w:color w:val="181818"/>
          <w:spacing w:val="38"/>
          <w:sz w:val="28"/>
          <w:szCs w:val="28"/>
        </w:rPr>
        <w:t xml:space="preserve"> </w:t>
      </w:r>
      <w:r w:rsidRPr="00FC2E5C">
        <w:rPr>
          <w:rFonts w:ascii="Tw Cen MT" w:hAnsi="Tw Cen MT" w:cs="Arial"/>
          <w:b/>
          <w:color w:val="181818"/>
          <w:sz w:val="28"/>
          <w:szCs w:val="28"/>
        </w:rPr>
        <w:t>Collection</w:t>
      </w:r>
    </w:p>
    <w:p w14:paraId="17C8D089" w14:textId="77777777" w:rsidR="00A47806" w:rsidRPr="00FC2E5C" w:rsidRDefault="00A47806" w:rsidP="00045A50">
      <w:pPr>
        <w:pStyle w:val="BodyText"/>
        <w:numPr>
          <w:ilvl w:val="1"/>
          <w:numId w:val="1"/>
        </w:numPr>
        <w:tabs>
          <w:tab w:val="left" w:pos="1563"/>
        </w:tabs>
        <w:spacing w:after="120"/>
        <w:ind w:left="720"/>
        <w:rPr>
          <w:rFonts w:ascii="Tw Cen MT" w:hAnsi="Tw Cen MT" w:cs="Arial"/>
          <w:b/>
          <w:sz w:val="28"/>
          <w:szCs w:val="28"/>
        </w:rPr>
      </w:pPr>
      <w:r w:rsidRPr="00FC2E5C">
        <w:rPr>
          <w:rFonts w:ascii="Tw Cen MT" w:hAnsi="Tw Cen MT" w:cs="Arial"/>
          <w:b/>
          <w:color w:val="181818"/>
          <w:sz w:val="28"/>
          <w:szCs w:val="28"/>
        </w:rPr>
        <w:t>Background</w:t>
      </w:r>
    </w:p>
    <w:p w14:paraId="0DF4E373" w14:textId="3E512D6F" w:rsidR="00A47806" w:rsidRDefault="00A47806" w:rsidP="000F7808">
      <w:pPr>
        <w:pStyle w:val="ProposalBodyText"/>
        <w:spacing w:after="200"/>
        <w:contextualSpacing w:val="0"/>
      </w:pPr>
      <w:r>
        <w:t>S</w:t>
      </w:r>
      <w:r w:rsidRPr="00C2188E">
        <w:t>uicide continues to be a major public health problem in the United States. In 2010 (the latest data available), suicide was the 10th leading cause of mortality, claiming more than 38,000 lives</w:t>
      </w:r>
      <w:r>
        <w:t xml:space="preserve">, </w:t>
      </w:r>
      <w:r w:rsidRPr="00EB723D">
        <w:t>i</w:t>
      </w:r>
      <w:r>
        <w:t xml:space="preserve">ncluding 4,867 youth </w:t>
      </w:r>
      <w:r w:rsidRPr="00A87287">
        <w:t>aged 10–24 (CDC National Center for Injury Prevention and Control, [CDCNCIPC], 2010), and resulting in an economic cost estimated to be $34 billion (American</w:t>
      </w:r>
      <w:r w:rsidRPr="00C2188E">
        <w:t xml:space="preserve"> Foundation for Suicide Prevention, 2010). Moreover, for every suicide death, there are approximately 25 attempted suicides (Crosby et al., 2011).</w:t>
      </w:r>
      <w:r w:rsidRPr="00EB723D">
        <w:t xml:space="preserve"> </w:t>
      </w:r>
      <w:r w:rsidRPr="00022793">
        <w:t xml:space="preserve">Rates of suicide and suicidal ideation are even higher among certain subgroups, especially young Native Americans and </w:t>
      </w:r>
      <w:r w:rsidRPr="001551DD">
        <w:t xml:space="preserve">Alaska Natives (CDC, 2012c; </w:t>
      </w:r>
      <w:proofErr w:type="spellStart"/>
      <w:r w:rsidRPr="001551DD">
        <w:t>Goldston</w:t>
      </w:r>
      <w:proofErr w:type="spellEnd"/>
      <w:r w:rsidRPr="001551DD">
        <w:t xml:space="preserve"> et al., 2008)</w:t>
      </w:r>
      <w:r>
        <w:t xml:space="preserve">; </w:t>
      </w:r>
      <w:r w:rsidRPr="00C2188E">
        <w:t>Hispanic females (Substance Abuse and Mental Health Services Administration [SAMHSA], 2005); and lesbian, gay, and bisexual youth (Suicide Prevention Resource Center [SPRC], 2008)</w:t>
      </w:r>
      <w:r w:rsidRPr="001551DD">
        <w:t xml:space="preserve">. </w:t>
      </w:r>
      <w:r w:rsidRPr="00F1465D">
        <w:t>Youth who exhibit risk factors, such as depression, impulsivity, alcohol and substance abuse, and a history of trauma or abuse, are believed to have a greater potential for suicidal behavior (Cash, 2009).</w:t>
      </w:r>
      <w:r>
        <w:t xml:space="preserve"> </w:t>
      </w:r>
      <w:r w:rsidRPr="001551DD">
        <w:t xml:space="preserve">Suicide is also a leading cause of death for college students (King, </w:t>
      </w:r>
      <w:proofErr w:type="spellStart"/>
      <w:r w:rsidRPr="001551DD">
        <w:t>Vidourek</w:t>
      </w:r>
      <w:proofErr w:type="spellEnd"/>
      <w:r w:rsidRPr="001551DD">
        <w:t xml:space="preserve">, &amp; </w:t>
      </w:r>
      <w:proofErr w:type="spellStart"/>
      <w:r w:rsidRPr="001551DD">
        <w:t>Strader</w:t>
      </w:r>
      <w:proofErr w:type="spellEnd"/>
      <w:r w:rsidRPr="001551DD">
        <w:t>, 2008), with 11% of screened college students suffering from recent or current suicidal ideation (</w:t>
      </w:r>
      <w:proofErr w:type="spellStart"/>
      <w:r w:rsidRPr="001551DD">
        <w:t>Garlow</w:t>
      </w:r>
      <w:proofErr w:type="spellEnd"/>
      <w:r w:rsidRPr="001551DD">
        <w:t xml:space="preserve"> et al., 2008). </w:t>
      </w:r>
      <w:r w:rsidRPr="00B620B3">
        <w:t xml:space="preserve">In a study by the American College Health Association (Reference Group Executive Summary, </w:t>
      </w:r>
      <w:proofErr w:type="gramStart"/>
      <w:r w:rsidRPr="00B620B3">
        <w:t>Spring</w:t>
      </w:r>
      <w:proofErr w:type="gramEnd"/>
      <w:r w:rsidRPr="00B620B3">
        <w:t xml:space="preserve"> 2012), 47% of college students reported feeling hopeless, 32% reported feeling so depressed they could barely function, and 8</w:t>
      </w:r>
      <w:r>
        <w:t>%</w:t>
      </w:r>
      <w:r w:rsidRPr="00B620B3">
        <w:t xml:space="preserve"> reported feeling suicidal.</w:t>
      </w:r>
      <w:r>
        <w:t xml:space="preserve"> </w:t>
      </w:r>
      <w:r w:rsidRPr="00C2188E">
        <w:t>In addition, suicide rates are higher among some veteran populations compared with the general population (U.S. Department of Health and Human Services</w:t>
      </w:r>
      <w:r w:rsidR="00E3096F">
        <w:t xml:space="preserve"> [HHS]</w:t>
      </w:r>
      <w:r w:rsidRPr="00C2188E">
        <w:t>, 2012</w:t>
      </w:r>
      <w:r>
        <w:t>)</w:t>
      </w:r>
      <w:r w:rsidRPr="00C2188E">
        <w:t>.</w:t>
      </w:r>
      <w:r w:rsidRPr="006C4487">
        <w:t xml:space="preserve"> </w:t>
      </w:r>
    </w:p>
    <w:p w14:paraId="06C677CA" w14:textId="4E46C7E2" w:rsidR="00A47806" w:rsidRPr="00016F35" w:rsidRDefault="00A47806" w:rsidP="000F7808">
      <w:pPr>
        <w:pStyle w:val="GLSBody"/>
        <w:spacing w:after="200"/>
      </w:pPr>
      <w:r w:rsidRPr="00C2188E">
        <w:t xml:space="preserve">Over the past 15 years, national leaders and experts have responded </w:t>
      </w:r>
      <w:r>
        <w:t xml:space="preserve">to the public health crisis of suicide </w:t>
      </w:r>
      <w:r w:rsidRPr="00C2188E">
        <w:t>by bringing attention and committing resour</w:t>
      </w:r>
      <w:r>
        <w:t xml:space="preserve">ces to this preventable tragedy. </w:t>
      </w:r>
      <w:r w:rsidRPr="00F1465D">
        <w:t>Three documents, Reducing Suicide: A National Imperative (Institute of Medicine, 2002), The Surgeon General’s Call to Action to Prevent Suicide (HHS, Public Health Service</w:t>
      </w:r>
      <w:r w:rsidR="00E3096F">
        <w:t xml:space="preserve"> [PHS]</w:t>
      </w:r>
      <w:r w:rsidRPr="00F1465D">
        <w:t>, 1999), and the National Strategy for Suicide Prevention</w:t>
      </w:r>
      <w:r w:rsidR="00E3096F">
        <w:t xml:space="preserve"> (</w:t>
      </w:r>
      <w:r w:rsidR="00805510">
        <w:t>National Strategy</w:t>
      </w:r>
      <w:r w:rsidR="00E3096F">
        <w:t>)</w:t>
      </w:r>
      <w:r w:rsidRPr="00F1465D">
        <w:t xml:space="preserve">: Goals and Objectives for Action (HHS, </w:t>
      </w:r>
      <w:r>
        <w:t>PHS</w:t>
      </w:r>
      <w:r w:rsidRPr="00F1465D">
        <w:t>, 2012), all provide overlapping recommendations for how this problem can be effectively addressed.</w:t>
      </w:r>
      <w:r>
        <w:t xml:space="preserve"> The </w:t>
      </w:r>
      <w:r w:rsidRPr="00C2188E">
        <w:t>President’s New Freedom Com</w:t>
      </w:r>
      <w:r>
        <w:t xml:space="preserve">mission on Mental Health (2003) was followed by </w:t>
      </w:r>
      <w:r w:rsidRPr="00C2188E">
        <w:t xml:space="preserve">passage of </w:t>
      </w:r>
      <w:r w:rsidR="00E3096F" w:rsidRPr="00AA101A">
        <w:t>the landmark GLSMA</w:t>
      </w:r>
      <w:r w:rsidR="00E3096F">
        <w:t xml:space="preserve"> (</w:t>
      </w:r>
      <w:r w:rsidRPr="00C2188E">
        <w:t>P.L. 108-</w:t>
      </w:r>
      <w:r w:rsidRPr="00AA101A">
        <w:t>355</w:t>
      </w:r>
      <w:r w:rsidR="00E3096F">
        <w:t>)</w:t>
      </w:r>
      <w:r w:rsidRPr="00AA101A">
        <w:t xml:space="preserve">—the largest Federal effort ever focused specifically on addressing the tragedy of youth suicide. The GLSMA authorized the use of </w:t>
      </w:r>
      <w:r w:rsidRPr="00B603E8">
        <w:t>$82 million</w:t>
      </w:r>
      <w:r w:rsidRPr="00AA101A">
        <w:t xml:space="preserve"> over three years to support the</w:t>
      </w:r>
      <w:r>
        <w:t xml:space="preserve"> </w:t>
      </w:r>
      <w:r w:rsidRPr="00016F35">
        <w:t>GLS State/Tribal and the GLS Campus Program</w:t>
      </w:r>
      <w:r w:rsidR="00E3096F">
        <w:t>s</w:t>
      </w:r>
      <w:r w:rsidRPr="00016F35">
        <w:t>. The</w:t>
      </w:r>
      <w:r w:rsidR="00E3096F">
        <w:t>se</w:t>
      </w:r>
      <w:r w:rsidRPr="00016F35">
        <w:t xml:space="preserve"> grant portfolios</w:t>
      </w:r>
      <w:r w:rsidR="00E3096F">
        <w:t xml:space="preserve"> </w:t>
      </w:r>
      <w:r w:rsidRPr="00016F35">
        <w:t xml:space="preserve">support suicide prevention programming for </w:t>
      </w:r>
      <w:r w:rsidR="0092755E">
        <w:t>youth</w:t>
      </w:r>
      <w:r w:rsidRPr="00016F35">
        <w:t xml:space="preserve"> aged 10–24 throughout the United States, U.S. territories, tribal communities, and campuses. </w:t>
      </w:r>
      <w:r w:rsidR="00E3096F">
        <w:t>The</w:t>
      </w:r>
      <w:r w:rsidRPr="00016F35">
        <w:t xml:space="preserve"> GLSMA </w:t>
      </w:r>
      <w:r w:rsidR="00E3096F">
        <w:t xml:space="preserve">also </w:t>
      </w:r>
      <w:r w:rsidRPr="00016F35">
        <w:t xml:space="preserve">authorized the establishment of the Suicide Prevention Resource Center (SPRC), which provides programmatic </w:t>
      </w:r>
      <w:r w:rsidR="00E3096F" w:rsidRPr="00016F35">
        <w:t xml:space="preserve">training </w:t>
      </w:r>
      <w:r w:rsidR="00E3096F">
        <w:t xml:space="preserve">and </w:t>
      </w:r>
      <w:r w:rsidRPr="00016F35">
        <w:t>technical assistance</w:t>
      </w:r>
      <w:r w:rsidR="00E3096F">
        <w:t xml:space="preserve"> (TTA)</w:t>
      </w:r>
      <w:r w:rsidRPr="00016F35">
        <w:t xml:space="preserve"> to grantees and suicide prevention stakeholders. </w:t>
      </w:r>
    </w:p>
    <w:p w14:paraId="06EE3F07" w14:textId="04A84E29" w:rsidR="00A47806" w:rsidRPr="00377228" w:rsidRDefault="00A47806" w:rsidP="00045A50">
      <w:pPr>
        <w:pStyle w:val="GLSBody"/>
        <w:keepNext/>
        <w:numPr>
          <w:ilvl w:val="0"/>
          <w:numId w:val="46"/>
        </w:numPr>
        <w:spacing w:after="120"/>
        <w:rPr>
          <w:rFonts w:ascii="Tw Cen MT" w:hAnsi="Tw Cen MT" w:cs="Arial"/>
          <w:b/>
          <w:sz w:val="28"/>
          <w:szCs w:val="28"/>
        </w:rPr>
      </w:pPr>
      <w:r w:rsidRPr="00377228">
        <w:rPr>
          <w:rFonts w:ascii="Tw Cen MT" w:hAnsi="Tw Cen MT" w:cs="Arial"/>
          <w:b/>
          <w:sz w:val="28"/>
          <w:szCs w:val="28"/>
        </w:rPr>
        <w:t>GLS State/Tribal Program</w:t>
      </w:r>
    </w:p>
    <w:p w14:paraId="4F445251" w14:textId="42770DBB" w:rsidR="00A47806" w:rsidRPr="00016F35" w:rsidRDefault="00A47806" w:rsidP="000F7808">
      <w:pPr>
        <w:pStyle w:val="GLSBody"/>
        <w:spacing w:after="200"/>
      </w:pPr>
      <w:r w:rsidRPr="00016F35">
        <w:t xml:space="preserve">The focus of the GLS State/Tribal Program is to support the development and implementation of statewide or tribal youth suicide prevention and early intervention strategies, with emphasis on public/private collaborations with youth-serving institutions and agencies. State/Tribal Program activities include outreach and awareness initiatives, school and community-based gatekeeper trainings, clinical trainings for mental health professionals and hotline staff, screening programs, means restriction campaigns, policies and protocols related to intervention and </w:t>
      </w:r>
      <w:proofErr w:type="spellStart"/>
      <w:r w:rsidRPr="00016F35">
        <w:t>postvention</w:t>
      </w:r>
      <w:proofErr w:type="spellEnd"/>
      <w:r w:rsidRPr="00016F35">
        <w:t xml:space="preserve">, </w:t>
      </w:r>
      <w:r w:rsidRPr="00016F35">
        <w:lastRenderedPageBreak/>
        <w:t xml:space="preserve">coalitions and partnerships, direct mental health, </w:t>
      </w:r>
      <w:proofErr w:type="spellStart"/>
      <w:r w:rsidRPr="00016F35">
        <w:t>postvention</w:t>
      </w:r>
      <w:proofErr w:type="spellEnd"/>
      <w:r w:rsidRPr="00016F35">
        <w:t>, case management, crisis response services, and traditional healing practices</w:t>
      </w:r>
      <w:r>
        <w:t xml:space="preserve">. </w:t>
      </w:r>
      <w:r w:rsidRPr="00016F35">
        <w:t xml:space="preserve">Although previously awarded for 3 years of funding, beginning in 2014, grants are awarded for 5-year periods. </w:t>
      </w:r>
      <w:r>
        <w:t>State/Tribal g</w:t>
      </w:r>
      <w:r w:rsidRPr="00016F35">
        <w:t xml:space="preserve">rantees serve priority populations including lesbian, gay, bisexual, transgender, and questioning (LGBTQ) </w:t>
      </w:r>
      <w:r w:rsidR="0092755E">
        <w:t>youth</w:t>
      </w:r>
      <w:r w:rsidRPr="00016F35">
        <w:t xml:space="preserve">, American Indian and Alaska Native (AI/AN) residents, </w:t>
      </w:r>
      <w:r w:rsidR="0092755E">
        <w:t>youth</w:t>
      </w:r>
      <w:r w:rsidRPr="00016F35">
        <w:t xml:space="preserve"> in contact with juvenile justice systems, military family members, veterans, and survivors of suicide attempts and those who have experienced suicide loss. Since 2005, the SAMHSA GLS Suicide Prevention Program has awarded funding to 181 State, tribal, and territory grantees over nine cohorts.</w:t>
      </w:r>
      <w:r w:rsidR="006257B2">
        <w:t xml:space="preserve"> </w:t>
      </w:r>
      <w:r w:rsidRPr="00016F35">
        <w:t>Within comprehensive and community-based systems, GLS State/Tribal grantees are expected to prioritize the following evidence-based practices</w:t>
      </w:r>
      <w:r w:rsidR="00A5086B">
        <w:t xml:space="preserve"> and activities</w:t>
      </w:r>
      <w:r w:rsidRPr="00016F35">
        <w:t xml:space="preserve">, with the goal of reducing rates of suicidal ideation, suicide attempts, and suicide deaths in their communities: </w:t>
      </w:r>
    </w:p>
    <w:p w14:paraId="0B16CD43" w14:textId="40FC4A13" w:rsidR="00A47806" w:rsidRPr="00016F35" w:rsidRDefault="00A47806" w:rsidP="00075FA6">
      <w:pPr>
        <w:pStyle w:val="GLSBullet1"/>
        <w:numPr>
          <w:ilvl w:val="0"/>
          <w:numId w:val="18"/>
        </w:numPr>
        <w:rPr>
          <w:rFonts w:eastAsiaTheme="minorHAnsi"/>
        </w:rPr>
      </w:pPr>
      <w:r w:rsidRPr="00016F35">
        <w:rPr>
          <w:rFonts w:eastAsiaTheme="minorHAnsi"/>
        </w:rPr>
        <w:t xml:space="preserve">Train persons in youth-serving organizations (e.g., schools, foster care systems, substance abuse programs, and juvenile justice programs) to identify and refer </w:t>
      </w:r>
      <w:r>
        <w:rPr>
          <w:rFonts w:eastAsiaTheme="minorHAnsi"/>
        </w:rPr>
        <w:t xml:space="preserve">at-risk </w:t>
      </w:r>
      <w:r w:rsidR="0092755E">
        <w:rPr>
          <w:rFonts w:eastAsiaTheme="minorHAnsi"/>
        </w:rPr>
        <w:t>youth</w:t>
      </w:r>
      <w:r w:rsidRPr="00016F35">
        <w:rPr>
          <w:rFonts w:eastAsiaTheme="minorHAnsi"/>
        </w:rPr>
        <w:t xml:space="preserve"> </w:t>
      </w:r>
    </w:p>
    <w:p w14:paraId="04CD4308" w14:textId="4177406A" w:rsidR="00A47806" w:rsidRPr="00016F35" w:rsidRDefault="00A47806" w:rsidP="00075FA6">
      <w:pPr>
        <w:pStyle w:val="GLSBullet1"/>
        <w:numPr>
          <w:ilvl w:val="0"/>
          <w:numId w:val="18"/>
        </w:numPr>
        <w:rPr>
          <w:rFonts w:eastAsiaTheme="minorHAnsi"/>
        </w:rPr>
      </w:pPr>
      <w:r w:rsidRPr="00016F35">
        <w:rPr>
          <w:rFonts w:eastAsiaTheme="minorHAnsi"/>
        </w:rPr>
        <w:t xml:space="preserve">Train clinical service providers to assess, manage, and treat </w:t>
      </w:r>
      <w:r w:rsidR="0092755E">
        <w:rPr>
          <w:rFonts w:eastAsiaTheme="minorHAnsi"/>
        </w:rPr>
        <w:t>youth</w:t>
      </w:r>
      <w:r w:rsidRPr="00016F35">
        <w:rPr>
          <w:rFonts w:eastAsiaTheme="minorHAnsi"/>
        </w:rPr>
        <w:t xml:space="preserve"> at risk for suicide </w:t>
      </w:r>
    </w:p>
    <w:p w14:paraId="51914C84" w14:textId="67A1A788" w:rsidR="00A47806" w:rsidRPr="00016F35" w:rsidRDefault="00A47806" w:rsidP="00075FA6">
      <w:pPr>
        <w:pStyle w:val="GLSBullet1"/>
        <w:numPr>
          <w:ilvl w:val="0"/>
          <w:numId w:val="18"/>
        </w:numPr>
        <w:rPr>
          <w:rFonts w:eastAsiaTheme="minorHAnsi"/>
        </w:rPr>
      </w:pPr>
      <w:r w:rsidRPr="00016F35">
        <w:rPr>
          <w:rFonts w:eastAsiaTheme="minorHAnsi"/>
        </w:rPr>
        <w:t xml:space="preserve">Improve continuity of care and follow-up of </w:t>
      </w:r>
      <w:r w:rsidR="0092755E">
        <w:rPr>
          <w:rFonts w:eastAsiaTheme="minorHAnsi"/>
        </w:rPr>
        <w:t>youth</w:t>
      </w:r>
      <w:r w:rsidRPr="00016F35">
        <w:rPr>
          <w:rFonts w:eastAsiaTheme="minorHAnsi"/>
        </w:rPr>
        <w:t xml:space="preserve"> identified at risk for suicide after discharge from emergency departments or inpatient psychiatric units</w:t>
      </w:r>
    </w:p>
    <w:p w14:paraId="4E315026" w14:textId="77777777" w:rsidR="00A47806" w:rsidRPr="00016F35" w:rsidRDefault="00A47806" w:rsidP="00075FA6">
      <w:pPr>
        <w:pStyle w:val="GLSBullet1"/>
        <w:numPr>
          <w:ilvl w:val="0"/>
          <w:numId w:val="18"/>
        </w:numPr>
        <w:rPr>
          <w:rFonts w:eastAsiaTheme="minorHAnsi"/>
        </w:rPr>
      </w:pPr>
      <w:r w:rsidRPr="00016F35">
        <w:rPr>
          <w:rFonts w:eastAsiaTheme="minorHAnsi"/>
        </w:rPr>
        <w:t xml:space="preserve">Conduct outreach and awareness activities and promote the utilization of the National Suicide Prevention Lifeline (NSPL) </w:t>
      </w:r>
    </w:p>
    <w:p w14:paraId="54DCA6BB" w14:textId="77777777" w:rsidR="00A47806" w:rsidRPr="00016F35" w:rsidRDefault="00A47806" w:rsidP="00075FA6">
      <w:pPr>
        <w:pStyle w:val="GLSBullet1"/>
        <w:numPr>
          <w:ilvl w:val="0"/>
          <w:numId w:val="18"/>
        </w:numPr>
        <w:rPr>
          <w:rFonts w:eastAsiaTheme="minorHAnsi"/>
        </w:rPr>
      </w:pPr>
      <w:r w:rsidRPr="00016F35">
        <w:rPr>
          <w:rFonts w:eastAsiaTheme="minorHAnsi"/>
        </w:rPr>
        <w:t xml:space="preserve">Identify sources of timely surveillance data </w:t>
      </w:r>
    </w:p>
    <w:p w14:paraId="2FF54779" w14:textId="77777777" w:rsidR="00A47806" w:rsidRPr="00016F35" w:rsidRDefault="00A47806" w:rsidP="00075FA6">
      <w:pPr>
        <w:pStyle w:val="GLSBullet1"/>
        <w:numPr>
          <w:ilvl w:val="0"/>
          <w:numId w:val="18"/>
        </w:numPr>
        <w:rPr>
          <w:rFonts w:eastAsiaTheme="minorHAnsi"/>
        </w:rPr>
      </w:pPr>
      <w:r w:rsidRPr="00016F35">
        <w:rPr>
          <w:rFonts w:eastAsiaTheme="minorHAnsi"/>
        </w:rPr>
        <w:t>Form</w:t>
      </w:r>
      <w:r>
        <w:rPr>
          <w:rFonts w:eastAsiaTheme="minorHAnsi"/>
        </w:rPr>
        <w:t xml:space="preserve"> or </w:t>
      </w:r>
      <w:r w:rsidRPr="00016F35">
        <w:rPr>
          <w:rFonts w:eastAsiaTheme="minorHAnsi"/>
        </w:rPr>
        <w:t>participate in public/private coalitions and partnerships with youth-serving agencies</w:t>
      </w:r>
    </w:p>
    <w:p w14:paraId="6FC3CA3D" w14:textId="355562B9" w:rsidR="00A47806" w:rsidRPr="00016F35" w:rsidRDefault="00A47806" w:rsidP="000F7808">
      <w:pPr>
        <w:pStyle w:val="GLSBullet1"/>
        <w:numPr>
          <w:ilvl w:val="0"/>
          <w:numId w:val="18"/>
        </w:numPr>
        <w:spacing w:after="200"/>
        <w:rPr>
          <w:rFonts w:eastAsiaTheme="minorHAnsi"/>
        </w:rPr>
      </w:pPr>
      <w:r w:rsidRPr="00016F35">
        <w:rPr>
          <w:rFonts w:eastAsiaTheme="minorHAnsi"/>
        </w:rPr>
        <w:t xml:space="preserve">Develop policies and protocols for identification, referral, and follow-up of </w:t>
      </w:r>
      <w:r w:rsidR="0092755E">
        <w:rPr>
          <w:rFonts w:eastAsiaTheme="minorHAnsi"/>
        </w:rPr>
        <w:t>youth</w:t>
      </w:r>
      <w:r w:rsidRPr="00016F35">
        <w:rPr>
          <w:rFonts w:eastAsiaTheme="minorHAnsi"/>
        </w:rPr>
        <w:t xml:space="preserve"> at risk of suicide </w:t>
      </w:r>
    </w:p>
    <w:p w14:paraId="45328BD5" w14:textId="7AAD364A" w:rsidR="00A47806" w:rsidRPr="00377228" w:rsidRDefault="00A47806" w:rsidP="00966D74">
      <w:pPr>
        <w:pStyle w:val="GLSBody"/>
        <w:keepNext/>
        <w:numPr>
          <w:ilvl w:val="0"/>
          <w:numId w:val="46"/>
        </w:numPr>
        <w:spacing w:before="200" w:after="120"/>
        <w:rPr>
          <w:rFonts w:ascii="Tw Cen MT" w:hAnsi="Tw Cen MT" w:cs="Arial"/>
          <w:b/>
          <w:sz w:val="28"/>
          <w:szCs w:val="28"/>
        </w:rPr>
      </w:pPr>
      <w:r w:rsidRPr="00377228">
        <w:rPr>
          <w:rFonts w:ascii="Tw Cen MT" w:hAnsi="Tw Cen MT" w:cs="Arial"/>
          <w:b/>
          <w:sz w:val="28"/>
          <w:szCs w:val="28"/>
        </w:rPr>
        <w:t>GLS Campus Program</w:t>
      </w:r>
    </w:p>
    <w:p w14:paraId="7A29E6E9" w14:textId="0D018196" w:rsidR="00A47806" w:rsidRPr="00016F35" w:rsidRDefault="00A47806" w:rsidP="000F7808">
      <w:pPr>
        <w:pStyle w:val="GLSBody"/>
        <w:spacing w:after="200"/>
      </w:pPr>
      <w:r>
        <w:t>The</w:t>
      </w:r>
      <w:r w:rsidRPr="00016F35">
        <w:t xml:space="preserve"> </w:t>
      </w:r>
      <w:r>
        <w:t xml:space="preserve">GLS </w:t>
      </w:r>
      <w:r w:rsidRPr="00016F35">
        <w:t>Campus Program focuses on preventing suicide in higher education by developing campus infrastructure and building capacity to support effective and sustainable mental health services for students. The grants are awarded for 3 years. Campus grantees must also prioritize the needs of high-risk populations, including LGBTQ students, AI/</w:t>
      </w:r>
      <w:proofErr w:type="gramStart"/>
      <w:r w:rsidRPr="00016F35">
        <w:t>AN</w:t>
      </w:r>
      <w:proofErr w:type="gramEnd"/>
      <w:r w:rsidRPr="00016F35">
        <w:t xml:space="preserve"> residents, military family members, and veterans. Program activities typically include public awareness and social marketing campaigns, outreach and awareness events and products, gatekeeper trainings, assessment and referral trainings for clinical staff, life skills and wellness activities, screening programs, coalitions, and crisis protocol development</w:t>
      </w:r>
      <w:r>
        <w:t xml:space="preserve">. </w:t>
      </w:r>
      <w:r w:rsidRPr="00016F35">
        <w:t>SAMHSA has awarded 190 GLS Campus Program grants to 175 institutions of higher education over 8 cohorts.</w:t>
      </w:r>
      <w:r w:rsidR="007A3408">
        <w:t xml:space="preserve"> </w:t>
      </w:r>
      <w:r w:rsidRPr="00016F35">
        <w:t xml:space="preserve">In partnership with other campus health and wellness initiatives, academic departments, administrations, and GLS State/Tribal grantees, GLS </w:t>
      </w:r>
      <w:r>
        <w:t>Campus</w:t>
      </w:r>
      <w:r w:rsidR="006257B2">
        <w:t xml:space="preserve"> grantees</w:t>
      </w:r>
      <w:r>
        <w:t xml:space="preserve"> </w:t>
      </w:r>
      <w:r w:rsidRPr="00016F35">
        <w:t xml:space="preserve">are expected </w:t>
      </w:r>
      <w:r w:rsidR="006257B2">
        <w:t>engage in the following efforts</w:t>
      </w:r>
      <w:r w:rsidRPr="00016F35">
        <w:t xml:space="preserve">: </w:t>
      </w:r>
    </w:p>
    <w:p w14:paraId="348C6238" w14:textId="77777777" w:rsidR="00A47806" w:rsidRPr="00016F35" w:rsidRDefault="00A47806" w:rsidP="00075FA6">
      <w:pPr>
        <w:pStyle w:val="GLSBullet1"/>
        <w:numPr>
          <w:ilvl w:val="0"/>
          <w:numId w:val="19"/>
        </w:numPr>
      </w:pPr>
      <w:r w:rsidRPr="00016F35">
        <w:t xml:space="preserve">Train students, faculty, and staff on suicide prevention and mental health promotion </w:t>
      </w:r>
    </w:p>
    <w:p w14:paraId="08A0D5A4" w14:textId="77777777" w:rsidR="00A47806" w:rsidRPr="00016F35" w:rsidRDefault="00A47806" w:rsidP="00075FA6">
      <w:pPr>
        <w:pStyle w:val="GLSBullet1"/>
        <w:numPr>
          <w:ilvl w:val="0"/>
          <w:numId w:val="19"/>
        </w:numPr>
      </w:pPr>
      <w:r w:rsidRPr="00016F35">
        <w:t>Collaborate with campus and community partners to deliver outreach and awareness strategies</w:t>
      </w:r>
    </w:p>
    <w:p w14:paraId="1D309925" w14:textId="77777777" w:rsidR="00A47806" w:rsidRPr="00016F35" w:rsidRDefault="00A47806" w:rsidP="00075FA6">
      <w:pPr>
        <w:pStyle w:val="GLSBullet1"/>
        <w:numPr>
          <w:ilvl w:val="0"/>
          <w:numId w:val="19"/>
        </w:numPr>
      </w:pPr>
      <w:r w:rsidRPr="00016F35">
        <w:t xml:space="preserve">Conduct educational seminars and distribute informational materials to students, faculty, staff, and family members on suicide prevention, identification, and reduction of risk factors (e.g., depression and substance use/abuse) </w:t>
      </w:r>
    </w:p>
    <w:p w14:paraId="6C6FEC7E" w14:textId="77777777" w:rsidR="00A47806" w:rsidRPr="00016F35" w:rsidRDefault="00A47806" w:rsidP="00075FA6">
      <w:pPr>
        <w:pStyle w:val="GLSBullet1"/>
        <w:numPr>
          <w:ilvl w:val="0"/>
          <w:numId w:val="19"/>
        </w:numPr>
      </w:pPr>
      <w:r w:rsidRPr="00016F35">
        <w:t xml:space="preserve">Increase help-seeking behaviors and reduce negative attitudes surrounding mental health and substance abuse treatment among students </w:t>
      </w:r>
    </w:p>
    <w:p w14:paraId="1CD085A0" w14:textId="77777777" w:rsidR="00A47806" w:rsidRPr="00016F35" w:rsidRDefault="00A47806" w:rsidP="00075FA6">
      <w:pPr>
        <w:pStyle w:val="GLSBullet1"/>
        <w:numPr>
          <w:ilvl w:val="0"/>
          <w:numId w:val="19"/>
        </w:numPr>
      </w:pPr>
      <w:r w:rsidRPr="00016F35">
        <w:t>Create local college-based hotlines or promote the NSPL</w:t>
      </w:r>
    </w:p>
    <w:p w14:paraId="06A31BAD" w14:textId="77777777" w:rsidR="00A47806" w:rsidRPr="00016F35" w:rsidRDefault="00A47806" w:rsidP="000F7808">
      <w:pPr>
        <w:pStyle w:val="GLSBullet1"/>
        <w:numPr>
          <w:ilvl w:val="0"/>
          <w:numId w:val="19"/>
        </w:numPr>
        <w:spacing w:after="200"/>
      </w:pPr>
      <w:r w:rsidRPr="00016F35">
        <w:t xml:space="preserve">Develop crisis response protocols </w:t>
      </w:r>
    </w:p>
    <w:p w14:paraId="3A697970" w14:textId="2C32CEF5" w:rsidR="00A47806" w:rsidRDefault="00F82708" w:rsidP="00045A50">
      <w:pPr>
        <w:pStyle w:val="GLSBody"/>
        <w:spacing w:after="200"/>
      </w:pPr>
      <w:r>
        <w:t xml:space="preserve">While </w:t>
      </w:r>
      <w:r w:rsidR="002E448F">
        <w:t xml:space="preserve">the </w:t>
      </w:r>
      <w:r>
        <w:t xml:space="preserve">GLSMA </w:t>
      </w:r>
      <w:r w:rsidR="002E448F">
        <w:t xml:space="preserve">paves </w:t>
      </w:r>
      <w:r>
        <w:t xml:space="preserve">the way for the development and enhancement of suicide prevention programming across the United States, it </w:t>
      </w:r>
      <w:r w:rsidR="002E448F">
        <w:t xml:space="preserve">does </w:t>
      </w:r>
      <w:r>
        <w:t>not end there. Rather, the GLSMA</w:t>
      </w:r>
      <w:r w:rsidR="00A47806" w:rsidRPr="00F1465D">
        <w:t xml:space="preserve"> </w:t>
      </w:r>
      <w:r>
        <w:t>further</w:t>
      </w:r>
      <w:r w:rsidR="00A47806" w:rsidRPr="00F1465D">
        <w:t xml:space="preserve"> directs these programs to evaluate the effectiveness of their targeted interventions at the local level, and requires a</w:t>
      </w:r>
      <w:r>
        <w:t>n</w:t>
      </w:r>
      <w:r w:rsidR="00A47806" w:rsidRPr="00F1465D">
        <w:t xml:space="preserve"> evaluation and report to Congress</w:t>
      </w:r>
      <w:r w:rsidR="00A47806">
        <w:t xml:space="preserve">. </w:t>
      </w:r>
      <w:r w:rsidR="00A47806">
        <w:rPr>
          <w:spacing w:val="-4"/>
        </w:rPr>
        <w:t xml:space="preserve">The cross-site evaluation, </w:t>
      </w:r>
      <w:r w:rsidR="00FB222C">
        <w:rPr>
          <w:spacing w:val="-4"/>
        </w:rPr>
        <w:t xml:space="preserve">now the National Outcomes Evaluation, is </w:t>
      </w:r>
      <w:r w:rsidR="00A47806" w:rsidRPr="00F662D1">
        <w:rPr>
          <w:spacing w:val="-4"/>
        </w:rPr>
        <w:t xml:space="preserve">designed to evaluate the effectiveness of </w:t>
      </w:r>
      <w:r w:rsidR="00FB222C">
        <w:rPr>
          <w:spacing w:val="-4"/>
        </w:rPr>
        <w:t xml:space="preserve">suicide prevention activities and </w:t>
      </w:r>
      <w:r w:rsidR="00A47806" w:rsidRPr="00B20615">
        <w:rPr>
          <w:spacing w:val="-4"/>
        </w:rPr>
        <w:t xml:space="preserve">has </w:t>
      </w:r>
      <w:r w:rsidR="00A47806" w:rsidRPr="00B20615">
        <w:t xml:space="preserve">been essential in helping communities and decision-makers at all levels of government </w:t>
      </w:r>
      <w:r w:rsidR="002E448F">
        <w:t xml:space="preserve">to </w:t>
      </w:r>
      <w:r w:rsidR="00A47806" w:rsidRPr="00B20615">
        <w:t>improve suicide prevention effectiveness.</w:t>
      </w:r>
      <w:r w:rsidR="00A47806">
        <w:t xml:space="preserve"> </w:t>
      </w:r>
    </w:p>
    <w:p w14:paraId="7B64A35D" w14:textId="77777777" w:rsidR="00A47806" w:rsidRPr="00D47556" w:rsidRDefault="00A47806" w:rsidP="00D47556">
      <w:pPr>
        <w:pStyle w:val="BodyText"/>
        <w:numPr>
          <w:ilvl w:val="1"/>
          <w:numId w:val="1"/>
        </w:numPr>
        <w:tabs>
          <w:tab w:val="left" w:pos="1563"/>
        </w:tabs>
        <w:spacing w:before="240" w:after="120"/>
        <w:ind w:left="720"/>
        <w:rPr>
          <w:rFonts w:ascii="Tw Cen MT" w:hAnsi="Tw Cen MT" w:cs="Arial"/>
          <w:b/>
          <w:sz w:val="28"/>
          <w:szCs w:val="28"/>
        </w:rPr>
      </w:pPr>
      <w:r w:rsidRPr="00D47556">
        <w:rPr>
          <w:rFonts w:ascii="Tw Cen MT" w:hAnsi="Tw Cen MT" w:cs="Arial"/>
          <w:b/>
          <w:color w:val="181818"/>
          <w:sz w:val="28"/>
          <w:szCs w:val="28"/>
        </w:rPr>
        <w:t>The Need for Evaluation</w:t>
      </w:r>
    </w:p>
    <w:p w14:paraId="5EDC1348" w14:textId="77777777" w:rsidR="00A47806" w:rsidRPr="003A3348" w:rsidRDefault="00A47806" w:rsidP="000F7808">
      <w:pPr>
        <w:pStyle w:val="SuicideBodyText"/>
        <w:spacing w:after="200"/>
      </w:pPr>
      <w:r w:rsidRPr="003A3348">
        <w:t xml:space="preserve">Section 520E (g) of the GLSMA mandates a cross-site evaluation to be conducted concerning the effectiveness of the activities carried out under the </w:t>
      </w:r>
      <w:r>
        <w:t xml:space="preserve">GLS </w:t>
      </w:r>
      <w:r w:rsidRPr="003A3348">
        <w:t>State/Tribal Program. The GLSMA specifies that a report to Congress must be submitted:</w:t>
      </w:r>
    </w:p>
    <w:p w14:paraId="3BDC8B98" w14:textId="77777777" w:rsidR="00A47806" w:rsidRPr="00101171" w:rsidRDefault="00A47806" w:rsidP="000F7808">
      <w:pPr>
        <w:tabs>
          <w:tab w:val="left" w:pos="-1440"/>
        </w:tabs>
        <w:spacing w:after="200"/>
        <w:ind w:left="720" w:right="720"/>
        <w:rPr>
          <w:i/>
        </w:rPr>
      </w:pPr>
      <w:r>
        <w:rPr>
          <w:i/>
        </w:rPr>
        <w:t>…</w:t>
      </w:r>
      <w:r w:rsidRPr="00101171">
        <w:rPr>
          <w:i/>
        </w:rPr>
        <w:t xml:space="preserve">to analyze the effectiveness and efficacy of the activities conducted with grants, collaborations and consultations under [Section 520E]. </w:t>
      </w:r>
    </w:p>
    <w:p w14:paraId="16E42947" w14:textId="77777777" w:rsidR="00A47806" w:rsidRPr="003A3348" w:rsidRDefault="00A47806" w:rsidP="000F7808">
      <w:pPr>
        <w:pStyle w:val="SuicideBodyText"/>
        <w:spacing w:after="200"/>
      </w:pPr>
      <w:r w:rsidRPr="003A3348">
        <w:t xml:space="preserve">In addition, Section 520-E-2 (f) of the GLSMA mandates a cross-site evaluation of the </w:t>
      </w:r>
      <w:r>
        <w:t xml:space="preserve">GLS </w:t>
      </w:r>
      <w:r w:rsidRPr="003A3348">
        <w:t>Campus Program. The GLSMA specifies that a report must be submitted to Congress to include:</w:t>
      </w:r>
    </w:p>
    <w:p w14:paraId="4A104137" w14:textId="77777777" w:rsidR="00A47806" w:rsidRPr="005732C6" w:rsidRDefault="00A47806" w:rsidP="000F7808">
      <w:pPr>
        <w:pStyle w:val="BodyText"/>
        <w:tabs>
          <w:tab w:val="left" w:pos="1563"/>
        </w:tabs>
        <w:spacing w:after="200"/>
        <w:ind w:left="720" w:right="720"/>
        <w:rPr>
          <w:rFonts w:ascii="Times New Roman" w:hAnsi="Times New Roman" w:cs="Times New Roman"/>
          <w:i/>
          <w:sz w:val="24"/>
          <w:szCs w:val="24"/>
        </w:rPr>
      </w:pPr>
      <w:r>
        <w:rPr>
          <w:rFonts w:ascii="Times New Roman" w:hAnsi="Times New Roman" w:cs="Times New Roman"/>
          <w:i/>
          <w:sz w:val="24"/>
          <w:szCs w:val="24"/>
        </w:rPr>
        <w:t>…</w:t>
      </w:r>
      <w:r w:rsidRPr="00101171">
        <w:rPr>
          <w:rFonts w:ascii="Times New Roman" w:hAnsi="Times New Roman" w:cs="Times New Roman"/>
          <w:i/>
          <w:sz w:val="24"/>
          <w:szCs w:val="24"/>
        </w:rPr>
        <w:t>an evaluation of the grant program outcomes, including a summary of activities carried out with the grant and the results achieved through those activities. [</w:t>
      </w:r>
      <w:proofErr w:type="gramStart"/>
      <w:r w:rsidRPr="00101171">
        <w:rPr>
          <w:rFonts w:ascii="Times New Roman" w:hAnsi="Times New Roman" w:cs="Times New Roman"/>
          <w:i/>
          <w:sz w:val="24"/>
          <w:szCs w:val="24"/>
        </w:rPr>
        <w:t>including</w:t>
      </w:r>
      <w:proofErr w:type="gramEnd"/>
      <w:r w:rsidRPr="00101171">
        <w:rPr>
          <w:rFonts w:ascii="Times New Roman" w:hAnsi="Times New Roman" w:cs="Times New Roman"/>
          <w:i/>
          <w:sz w:val="24"/>
          <w:szCs w:val="24"/>
        </w:rPr>
        <w:t xml:space="preserve">] recommendations on how to improve access to mental and behavioral health services at institutions of higher education, including efforts to reduce the </w:t>
      </w:r>
      <w:r w:rsidRPr="005732C6">
        <w:rPr>
          <w:rFonts w:ascii="Times New Roman" w:hAnsi="Times New Roman" w:cs="Times New Roman"/>
          <w:i/>
          <w:sz w:val="24"/>
          <w:szCs w:val="24"/>
        </w:rPr>
        <w:t>incidence of suicide and substance abuse.</w:t>
      </w:r>
    </w:p>
    <w:p w14:paraId="6CA2AC33" w14:textId="343A4E44" w:rsidR="00A47806" w:rsidRDefault="00A47806" w:rsidP="000F7808">
      <w:pPr>
        <w:pStyle w:val="ProposalBodyText"/>
        <w:spacing w:after="200"/>
        <w:contextualSpacing w:val="0"/>
        <w:rPr>
          <w:szCs w:val="24"/>
        </w:rPr>
      </w:pPr>
      <w:r w:rsidRPr="00BE6672">
        <w:rPr>
          <w:szCs w:val="24"/>
        </w:rPr>
        <w:t xml:space="preserve">The purpose of the </w:t>
      </w:r>
      <w:r w:rsidR="00604660">
        <w:rPr>
          <w:szCs w:val="24"/>
        </w:rPr>
        <w:t>NOE</w:t>
      </w:r>
      <w:r w:rsidRPr="00BE6672">
        <w:rPr>
          <w:szCs w:val="24"/>
        </w:rPr>
        <w:t xml:space="preserve"> is to expand upon information collected through the cross-site evaluation and document the process, outcomes, and impacts of the GLS Suicide Prevention Program. The </w:t>
      </w:r>
      <w:r>
        <w:rPr>
          <w:szCs w:val="24"/>
        </w:rPr>
        <w:t>NOE</w:t>
      </w:r>
      <w:r w:rsidRPr="00BE6672">
        <w:rPr>
          <w:szCs w:val="24"/>
        </w:rPr>
        <w:t xml:space="preserve"> will serve as a primary mechanism through which the GLS Suicide Prevention Program will continue to be understood, improved, and sustained. A government contractor (ICF) will coordinate data collection for the evaluation and provide support for its local-level implementation. Each grantee is required</w:t>
      </w:r>
      <w:r w:rsidRPr="009A6590">
        <w:rPr>
          <w:szCs w:val="24"/>
        </w:rPr>
        <w:t xml:space="preserve"> by the cooperative agreement and grant to conduct a self-evaluation and to participate in the </w:t>
      </w:r>
      <w:r>
        <w:rPr>
          <w:szCs w:val="24"/>
        </w:rPr>
        <w:t>NOE</w:t>
      </w:r>
      <w:r w:rsidRPr="009A6590">
        <w:rPr>
          <w:szCs w:val="24"/>
        </w:rPr>
        <w:t xml:space="preserve">. In this partnership, </w:t>
      </w:r>
      <w:r>
        <w:rPr>
          <w:szCs w:val="24"/>
        </w:rPr>
        <w:t>ICF</w:t>
      </w:r>
      <w:r w:rsidRPr="009A6590">
        <w:rPr>
          <w:szCs w:val="24"/>
        </w:rPr>
        <w:t xml:space="preserve"> provides training and technical assistance </w:t>
      </w:r>
      <w:r>
        <w:rPr>
          <w:szCs w:val="24"/>
        </w:rPr>
        <w:t xml:space="preserve">(TA) </w:t>
      </w:r>
      <w:r w:rsidRPr="009A6590">
        <w:rPr>
          <w:szCs w:val="24"/>
        </w:rPr>
        <w:t xml:space="preserve">regarding data collection and research design for the evaluation. In addition, </w:t>
      </w:r>
      <w:r>
        <w:rPr>
          <w:szCs w:val="24"/>
        </w:rPr>
        <w:t>ICF</w:t>
      </w:r>
      <w:r w:rsidRPr="009A6590">
        <w:rPr>
          <w:szCs w:val="24"/>
        </w:rPr>
        <w:t xml:space="preserve"> directly collects data, receives data from grantee data collection efforts, monitors data quality, and provides feedback to grantees</w:t>
      </w:r>
      <w:r>
        <w:rPr>
          <w:szCs w:val="24"/>
        </w:rPr>
        <w:t>.</w:t>
      </w:r>
      <w:r w:rsidRPr="009A6590">
        <w:rPr>
          <w:szCs w:val="24"/>
        </w:rPr>
        <w:t xml:space="preserve"> </w:t>
      </w:r>
      <w:r>
        <w:rPr>
          <w:szCs w:val="24"/>
        </w:rPr>
        <w:t>D</w:t>
      </w:r>
      <w:r w:rsidRPr="009A6590">
        <w:rPr>
          <w:szCs w:val="24"/>
        </w:rPr>
        <w:t xml:space="preserve">ata gathered through the </w:t>
      </w:r>
      <w:r>
        <w:rPr>
          <w:szCs w:val="24"/>
        </w:rPr>
        <w:t>NOE</w:t>
      </w:r>
      <w:r w:rsidRPr="009A6590">
        <w:rPr>
          <w:szCs w:val="24"/>
        </w:rPr>
        <w:t xml:space="preserve"> will continue to be utilized for both grantee-</w:t>
      </w:r>
      <w:r w:rsidRPr="008C5A3C">
        <w:rPr>
          <w:szCs w:val="24"/>
        </w:rPr>
        <w:t xml:space="preserve">specific and national assessments of the program. </w:t>
      </w:r>
    </w:p>
    <w:p w14:paraId="37B51CD6" w14:textId="037B659E" w:rsidR="00A47806" w:rsidRDefault="002E448F" w:rsidP="00966D74">
      <w:pPr>
        <w:pStyle w:val="SuicideBodyText"/>
        <w:spacing w:after="200"/>
      </w:pPr>
      <w:r>
        <w:t>T</w:t>
      </w:r>
      <w:r w:rsidR="00A47806">
        <w:t xml:space="preserve">he updated design </w:t>
      </w:r>
      <w:r w:rsidR="00604660">
        <w:t xml:space="preserve">for the NOE </w:t>
      </w:r>
      <w:r w:rsidR="00A47806">
        <w:t>comprises three distinct studies</w:t>
      </w:r>
      <w:r w:rsidR="00A47806">
        <w:rPr>
          <w:rFonts w:eastAsia="Calibri"/>
        </w:rPr>
        <w:t>—Training,</w:t>
      </w:r>
      <w:r w:rsidR="00A47806" w:rsidRPr="00F667A8">
        <w:rPr>
          <w:rFonts w:eastAsia="Calibri"/>
        </w:rPr>
        <w:t xml:space="preserve"> </w:t>
      </w:r>
      <w:r w:rsidR="00A47806">
        <w:rPr>
          <w:rFonts w:eastAsia="Calibri"/>
        </w:rPr>
        <w:t>Continuity of Care, and Suicide Safer Environment—</w:t>
      </w:r>
      <w:r w:rsidR="00A47806">
        <w:t>that provide c</w:t>
      </w:r>
      <w:r w:rsidR="00A47806" w:rsidRPr="006A496E">
        <w:rPr>
          <w:rFonts w:eastAsia="Calibri"/>
        </w:rPr>
        <w:t xml:space="preserve">ontinuity and utility of data </w:t>
      </w:r>
      <w:r w:rsidR="00A47806">
        <w:rPr>
          <w:rFonts w:eastAsia="Calibri"/>
        </w:rPr>
        <w:t xml:space="preserve">collected during the 9-year cross-site evaluation on the implementation and proximal outcomes of the GLS program. </w:t>
      </w:r>
      <w:r w:rsidR="00C873E8">
        <w:t xml:space="preserve">Two </w:t>
      </w:r>
      <w:r w:rsidR="00A47806">
        <w:t xml:space="preserve">“enhanced” </w:t>
      </w:r>
      <w:r w:rsidR="00A47806" w:rsidRPr="00A46E9D">
        <w:rPr>
          <w:rFonts w:eastAsia="Calibri"/>
        </w:rPr>
        <w:t>component</w:t>
      </w:r>
      <w:r w:rsidR="00435CEC">
        <w:rPr>
          <w:rFonts w:eastAsia="Calibri"/>
        </w:rPr>
        <w:t>s</w:t>
      </w:r>
      <w:r w:rsidR="00A47806" w:rsidRPr="00A46E9D">
        <w:rPr>
          <w:rFonts w:eastAsia="Calibri"/>
        </w:rPr>
        <w:t xml:space="preserve"> </w:t>
      </w:r>
      <w:r w:rsidR="00C873E8">
        <w:rPr>
          <w:rFonts w:eastAsia="Calibri"/>
        </w:rPr>
        <w:t>will</w:t>
      </w:r>
      <w:r w:rsidR="00C873E8" w:rsidRPr="00A46E9D">
        <w:rPr>
          <w:rFonts w:eastAsia="Calibri"/>
        </w:rPr>
        <w:t xml:space="preserve"> </w:t>
      </w:r>
      <w:r w:rsidR="00A47806" w:rsidRPr="00A46E9D">
        <w:rPr>
          <w:rFonts w:eastAsia="Calibri"/>
        </w:rPr>
        <w:t xml:space="preserve">provide for key findings derived through experimental </w:t>
      </w:r>
      <w:r w:rsidR="00435CEC">
        <w:rPr>
          <w:rFonts w:eastAsia="Calibri"/>
        </w:rPr>
        <w:t>and</w:t>
      </w:r>
      <w:r w:rsidR="00435CEC" w:rsidRPr="00A46E9D">
        <w:rPr>
          <w:rFonts w:eastAsia="Calibri"/>
        </w:rPr>
        <w:t xml:space="preserve"> </w:t>
      </w:r>
      <w:r w:rsidR="00A47806" w:rsidRPr="00A46E9D">
        <w:rPr>
          <w:rFonts w:eastAsia="Calibri"/>
        </w:rPr>
        <w:t xml:space="preserve">quasi-experimental methods without undue burden on grantees and </w:t>
      </w:r>
      <w:r w:rsidR="0092755E">
        <w:rPr>
          <w:rFonts w:eastAsia="Calibri"/>
        </w:rPr>
        <w:t>youth</w:t>
      </w:r>
      <w:r w:rsidR="00A47806" w:rsidRPr="00A46E9D">
        <w:rPr>
          <w:rFonts w:eastAsia="Calibri"/>
        </w:rPr>
        <w:t xml:space="preserve">. </w:t>
      </w:r>
      <w:r w:rsidR="00A47806">
        <w:t>The</w:t>
      </w:r>
      <w:r w:rsidR="00A47806" w:rsidRPr="00160AFC">
        <w:t xml:space="preserve"> </w:t>
      </w:r>
      <w:proofErr w:type="spellStart"/>
      <w:r w:rsidR="00A47806" w:rsidRPr="00160AFC">
        <w:t>multimethod</w:t>
      </w:r>
      <w:proofErr w:type="spellEnd"/>
      <w:r w:rsidR="00A47806" w:rsidRPr="00160AFC">
        <w:t xml:space="preserve"> approach addresses the evaluation questions of the GLS Suicide Prevention Program, furthers the understanding of the impact</w:t>
      </w:r>
      <w:r>
        <w:t>s</w:t>
      </w:r>
      <w:r w:rsidR="00A47806" w:rsidRPr="00160AFC">
        <w:t xml:space="preserve"> of the GLS Suicide Prevention Program, </w:t>
      </w:r>
      <w:r w:rsidR="00A47806" w:rsidRPr="000E2B96">
        <w:t>and</w:t>
      </w:r>
      <w:r w:rsidR="00A47806" w:rsidRPr="00160AFC">
        <w:t xml:space="preserve"> meets the </w:t>
      </w:r>
      <w:r w:rsidR="00D65DE1">
        <w:t xml:space="preserve">GLSMA </w:t>
      </w:r>
      <w:r w:rsidR="00A578D3" w:rsidRPr="00160AFC">
        <w:t>legislative</w:t>
      </w:r>
      <w:r w:rsidR="00D65DE1">
        <w:t xml:space="preserve"> mandate </w:t>
      </w:r>
      <w:r w:rsidR="00D65DE1" w:rsidRPr="00AD336F">
        <w:t xml:space="preserve">for evaluating </w:t>
      </w:r>
      <w:r w:rsidR="00AD336F" w:rsidRPr="00AD336F">
        <w:t>program performance</w:t>
      </w:r>
      <w:r w:rsidR="00D65DE1">
        <w:t xml:space="preserve">.  </w:t>
      </w:r>
    </w:p>
    <w:p w14:paraId="3A1FFE68" w14:textId="77777777" w:rsidR="00A47806" w:rsidRPr="00D47556" w:rsidRDefault="00A47806" w:rsidP="00966D74">
      <w:pPr>
        <w:pStyle w:val="BodyText"/>
        <w:numPr>
          <w:ilvl w:val="1"/>
          <w:numId w:val="1"/>
        </w:numPr>
        <w:tabs>
          <w:tab w:val="left" w:pos="1563"/>
        </w:tabs>
        <w:spacing w:before="200" w:after="120"/>
        <w:ind w:left="720"/>
        <w:rPr>
          <w:rFonts w:ascii="Tw Cen MT" w:hAnsi="Tw Cen MT" w:cs="Arial"/>
          <w:b/>
          <w:sz w:val="28"/>
          <w:szCs w:val="28"/>
        </w:rPr>
      </w:pPr>
      <w:r w:rsidRPr="00D47556">
        <w:rPr>
          <w:rFonts w:ascii="Tw Cen MT" w:hAnsi="Tw Cen MT" w:cs="Arial"/>
          <w:b/>
          <w:sz w:val="28"/>
          <w:szCs w:val="28"/>
        </w:rPr>
        <w:t>Previously Approved Clearance</w:t>
      </w:r>
    </w:p>
    <w:p w14:paraId="786FAC40" w14:textId="66A1729B" w:rsidR="00A47806" w:rsidRPr="003A3348" w:rsidRDefault="00A47806" w:rsidP="000F7808">
      <w:pPr>
        <w:pStyle w:val="SuicideBodyText"/>
        <w:widowControl w:val="0"/>
        <w:spacing w:after="200"/>
      </w:pPr>
      <w:r w:rsidRPr="0026317E">
        <w:t xml:space="preserve">Currently, data collection for </w:t>
      </w:r>
      <w:r w:rsidRPr="00A33CC2">
        <w:t>the cross-site evaluation is operating under OMB clearance (No. 0930-0286), valid through January</w:t>
      </w:r>
      <w:r w:rsidR="00BB0E56">
        <w:t xml:space="preserve"> 31,</w:t>
      </w:r>
      <w:r w:rsidRPr="00A33CC2">
        <w:t xml:space="preserve"> 2017. </w:t>
      </w:r>
      <w:r>
        <w:t>This section contains</w:t>
      </w:r>
      <w:r w:rsidRPr="00A33CC2">
        <w:t xml:space="preserve"> a brief description of the </w:t>
      </w:r>
      <w:r>
        <w:t xml:space="preserve">cross-site </w:t>
      </w:r>
      <w:r w:rsidRPr="00A33CC2">
        <w:t xml:space="preserve">evaluation design </w:t>
      </w:r>
      <w:r>
        <w:t xml:space="preserve">outlined </w:t>
      </w:r>
      <w:r w:rsidRPr="00A33CC2">
        <w:t>in the previously</w:t>
      </w:r>
      <w:r>
        <w:t>-</w:t>
      </w:r>
      <w:r w:rsidRPr="00A33CC2">
        <w:t>approved OMB request.</w:t>
      </w:r>
      <w:r w:rsidRPr="00A33CC2">
        <w:rPr>
          <w:color w:val="FF0000"/>
        </w:rPr>
        <w:t xml:space="preserve"> </w:t>
      </w:r>
      <w:r>
        <w:t>Th</w:t>
      </w:r>
      <w:r w:rsidRPr="00F1465D">
        <w:t xml:space="preserve">e cross-site evaluation </w:t>
      </w:r>
      <w:r>
        <w:t xml:space="preserve">collects </w:t>
      </w:r>
      <w:r w:rsidRPr="00F1465D">
        <w:t>and analyze</w:t>
      </w:r>
      <w:r>
        <w:t>s</w:t>
      </w:r>
      <w:r w:rsidRPr="00F1465D">
        <w:t xml:space="preserve"> comprehensive data that foc</w:t>
      </w:r>
      <w:r>
        <w:t>us on the context within which GLS</w:t>
      </w:r>
      <w:r w:rsidRPr="00F1465D">
        <w:t xml:space="preserve"> programs are implemented</w:t>
      </w:r>
      <w:r>
        <w:t>,</w:t>
      </w:r>
      <w:r w:rsidRPr="00F1465D">
        <w:t xml:space="preserve"> the products and services that are developed and utilized</w:t>
      </w:r>
      <w:r>
        <w:t>,</w:t>
      </w:r>
      <w:r w:rsidRPr="00F1465D">
        <w:t xml:space="preserve"> the process through which programmatic activities are implemented</w:t>
      </w:r>
      <w:r>
        <w:t>,</w:t>
      </w:r>
      <w:r w:rsidRPr="00F1465D">
        <w:t xml:space="preserve"> and impacts associated with those activities.</w:t>
      </w:r>
      <w:r>
        <w:t xml:space="preserve"> To achieve this purpose, t</w:t>
      </w:r>
      <w:r w:rsidRPr="00A33CC2">
        <w:t xml:space="preserve">he cross-site evaluation </w:t>
      </w:r>
      <w:r>
        <w:t xml:space="preserve">consists of </w:t>
      </w:r>
      <w:r w:rsidRPr="00A33CC2">
        <w:t xml:space="preserve">four stages of information gathering that target funded program activity areas: </w:t>
      </w:r>
      <w:r>
        <w:t>context stage, product st</w:t>
      </w:r>
      <w:r w:rsidRPr="00A33CC2">
        <w:t>age</w:t>
      </w:r>
      <w:r w:rsidRPr="00F1465D">
        <w:t xml:space="preserve">, </w:t>
      </w:r>
      <w:r>
        <w:t>p</w:t>
      </w:r>
      <w:r w:rsidRPr="00F1465D">
        <w:t xml:space="preserve">rocess </w:t>
      </w:r>
      <w:r>
        <w:t>s</w:t>
      </w:r>
      <w:r w:rsidRPr="00F1465D">
        <w:t xml:space="preserve">tage, and </w:t>
      </w:r>
      <w:r>
        <w:t>i</w:t>
      </w:r>
      <w:r w:rsidRPr="00F1465D">
        <w:t xml:space="preserve">mpact </w:t>
      </w:r>
      <w:r>
        <w:t>s</w:t>
      </w:r>
      <w:r w:rsidRPr="00F1465D">
        <w:t>tage</w:t>
      </w:r>
      <w:r w:rsidRPr="00F1465D">
        <w:rPr>
          <w:rStyle w:val="FootnoteReference"/>
        </w:rPr>
        <w:footnoteReference w:id="1"/>
      </w:r>
      <w:r w:rsidRPr="00F1465D">
        <w:t xml:space="preserve">. </w:t>
      </w:r>
      <w:r>
        <w:t>As programmatic approaches funded through the State/Tribal and Campus programs differ, d</w:t>
      </w:r>
      <w:r w:rsidRPr="00F1465D">
        <w:t>ata collection activities have been tailored to the individual programmatic activities</w:t>
      </w:r>
      <w:r>
        <w:t xml:space="preserve"> of each</w:t>
      </w:r>
      <w:r w:rsidRPr="00F1465D">
        <w:t>.</w:t>
      </w:r>
      <w:r>
        <w:t xml:space="preserve"> The cross-site evaluation </w:t>
      </w:r>
      <w:r w:rsidRPr="003A3348">
        <w:t>is designed to answer the following overarching questions:</w:t>
      </w:r>
    </w:p>
    <w:p w14:paraId="6F301699" w14:textId="77777777" w:rsidR="00A47806" w:rsidRPr="003A3348" w:rsidRDefault="00A47806" w:rsidP="000F7808">
      <w:pPr>
        <w:pStyle w:val="SuicideBullet1"/>
        <w:numPr>
          <w:ilvl w:val="0"/>
          <w:numId w:val="3"/>
        </w:numPr>
        <w:spacing w:after="60"/>
      </w:pPr>
      <w:r w:rsidRPr="003A3348">
        <w:t>What types of prevention/intervention programs, services and products are used with youth identified as being at risk for suicidal behavior?</w:t>
      </w:r>
    </w:p>
    <w:p w14:paraId="22DFD575" w14:textId="77777777" w:rsidR="00A47806" w:rsidRPr="003A3348" w:rsidRDefault="00A47806" w:rsidP="000F7808">
      <w:pPr>
        <w:pStyle w:val="ListParagraph"/>
        <w:numPr>
          <w:ilvl w:val="0"/>
          <w:numId w:val="3"/>
        </w:numPr>
        <w:tabs>
          <w:tab w:val="left" w:pos="-1440"/>
          <w:tab w:val="left" w:pos="360"/>
        </w:tabs>
        <w:autoSpaceDE w:val="0"/>
        <w:autoSpaceDN w:val="0"/>
        <w:adjustRightInd w:val="0"/>
        <w:spacing w:after="60"/>
        <w:contextualSpacing w:val="0"/>
      </w:pPr>
      <w:r w:rsidRPr="003A3348">
        <w:t>What is the reach of program services, products, and strategies?</w:t>
      </w:r>
    </w:p>
    <w:p w14:paraId="000CB64F" w14:textId="77777777" w:rsidR="00A47806" w:rsidRPr="003A3348" w:rsidRDefault="00A47806" w:rsidP="000F7808">
      <w:pPr>
        <w:pStyle w:val="ListParagraph"/>
        <w:numPr>
          <w:ilvl w:val="0"/>
          <w:numId w:val="3"/>
        </w:numPr>
        <w:tabs>
          <w:tab w:val="left" w:pos="-1440"/>
          <w:tab w:val="left" w:pos="360"/>
        </w:tabs>
        <w:autoSpaceDE w:val="0"/>
        <w:autoSpaceDN w:val="0"/>
        <w:adjustRightInd w:val="0"/>
        <w:spacing w:after="60"/>
        <w:contextualSpacing w:val="0"/>
      </w:pPr>
      <w:r w:rsidRPr="003A3348">
        <w:t>To what extent does collaboration and integration influence referral mechanisms and service use?</w:t>
      </w:r>
    </w:p>
    <w:p w14:paraId="02BAAF26" w14:textId="77777777" w:rsidR="00A47806" w:rsidRDefault="00A47806" w:rsidP="000F7808">
      <w:pPr>
        <w:pStyle w:val="ListParagraph"/>
        <w:widowControl w:val="0"/>
        <w:numPr>
          <w:ilvl w:val="0"/>
          <w:numId w:val="3"/>
        </w:numPr>
        <w:tabs>
          <w:tab w:val="left" w:pos="-1440"/>
          <w:tab w:val="left" w:pos="360"/>
        </w:tabs>
        <w:autoSpaceDE w:val="0"/>
        <w:autoSpaceDN w:val="0"/>
        <w:adjustRightInd w:val="0"/>
        <w:spacing w:after="200"/>
        <w:contextualSpacing w:val="0"/>
      </w:pPr>
      <w:r w:rsidRPr="003A3348">
        <w:t>What is the impact of program services, products, and strategies on knowledge, process, and behavior?</w:t>
      </w:r>
    </w:p>
    <w:p w14:paraId="4EDDEBFE" w14:textId="3FF44CD6" w:rsidR="00A47806" w:rsidRDefault="00A47806" w:rsidP="000F7808">
      <w:pPr>
        <w:pStyle w:val="SuicideBodyText"/>
        <w:spacing w:after="200"/>
      </w:pPr>
      <w:r w:rsidRPr="00297851">
        <w:t xml:space="preserve">The </w:t>
      </w:r>
      <w:r>
        <w:t xml:space="preserve">aim of the </w:t>
      </w:r>
      <w:r w:rsidRPr="006F0713">
        <w:rPr>
          <w:b/>
          <w:i/>
        </w:rPr>
        <w:t>context stage</w:t>
      </w:r>
      <w:r>
        <w:t xml:space="preserve"> is </w:t>
      </w:r>
      <w:r w:rsidRPr="00297851">
        <w:t>to gain an understanding of grantees’ program plans</w:t>
      </w:r>
      <w:r w:rsidRPr="00D5790C">
        <w:t>, such as target population, target region, service delivery mechanisms, service delivery setting, types of program activities to be funded, evaluation activities, existing data sources</w:t>
      </w:r>
      <w:r>
        <w:t>,</w:t>
      </w:r>
      <w:r w:rsidRPr="00D5790C">
        <w:t xml:space="preserve"> and availability of data elements to support the cross-site evaluatio</w:t>
      </w:r>
      <w:r>
        <w:t xml:space="preserve">n. </w:t>
      </w:r>
      <w:r w:rsidRPr="00D5790C">
        <w:t>The</w:t>
      </w:r>
      <w:r>
        <w:t xml:space="preserve"> </w:t>
      </w:r>
      <w:r w:rsidRPr="006F0713">
        <w:rPr>
          <w:b/>
          <w:i/>
        </w:rPr>
        <w:t>product stage</w:t>
      </w:r>
      <w:r w:rsidRPr="00D5790C">
        <w:t xml:space="preserve"> aims to describe the development and utilization of prevention strategies at each State/Tribal and Campus grantee site. The various prevention strategies may include awareness campaigns; outreach and awareness events; gatekeeper trainings; </w:t>
      </w:r>
      <w:r>
        <w:t xml:space="preserve">youth </w:t>
      </w:r>
      <w:r w:rsidRPr="00D5790C">
        <w:t xml:space="preserve">life skills development activities; policies and protocols for responding to youth at risk; means restriction strategies; screening programs; and enhanced services, </w:t>
      </w:r>
      <w:r>
        <w:t xml:space="preserve">such as </w:t>
      </w:r>
      <w:r w:rsidRPr="00D5790C">
        <w:t xml:space="preserve">early intervention, family support, and </w:t>
      </w:r>
      <w:proofErr w:type="spellStart"/>
      <w:r w:rsidRPr="00D5790C">
        <w:t>postsuicide</w:t>
      </w:r>
      <w:proofErr w:type="spellEnd"/>
      <w:r w:rsidRPr="00D5790C">
        <w:t xml:space="preserve"> intervention</w:t>
      </w:r>
      <w:r w:rsidR="00A578D3">
        <w:t xml:space="preserve"> (</w:t>
      </w:r>
      <w:proofErr w:type="spellStart"/>
      <w:r w:rsidR="00A578D3">
        <w:t>postvention</w:t>
      </w:r>
      <w:proofErr w:type="spellEnd"/>
      <w:r w:rsidR="00A578D3">
        <w:t>)</w:t>
      </w:r>
      <w:r w:rsidRPr="00D5790C">
        <w:t xml:space="preserve"> services. </w:t>
      </w:r>
    </w:p>
    <w:p w14:paraId="32B356B2" w14:textId="77777777" w:rsidR="00A47806" w:rsidRDefault="00A47806" w:rsidP="00966D74">
      <w:pPr>
        <w:pStyle w:val="SuicideBodyText"/>
        <w:widowControl w:val="0"/>
        <w:spacing w:after="200"/>
        <w:rPr>
          <w:color w:val="FF0000"/>
        </w:rPr>
      </w:pPr>
      <w:r w:rsidRPr="00D5790C">
        <w:t xml:space="preserve">The </w:t>
      </w:r>
      <w:r w:rsidRPr="006F0713">
        <w:rPr>
          <w:b/>
          <w:i/>
        </w:rPr>
        <w:t>process stage</w:t>
      </w:r>
      <w:r>
        <w:t xml:space="preserve"> </w:t>
      </w:r>
      <w:r w:rsidRPr="00D5790C">
        <w:t xml:space="preserve">assesses progress on key activities related to implementation of grantee </w:t>
      </w:r>
      <w:r>
        <w:t xml:space="preserve">programs, such as the </w:t>
      </w:r>
      <w:r w:rsidRPr="00D5790C">
        <w:t>type</w:t>
      </w:r>
      <w:r>
        <w:t>s</w:t>
      </w:r>
      <w:r w:rsidRPr="00D5790C">
        <w:t xml:space="preserve"> of training</w:t>
      </w:r>
      <w:r>
        <w:t xml:space="preserve"> conducted and roles</w:t>
      </w:r>
      <w:r w:rsidRPr="00D5790C">
        <w:t xml:space="preserve"> of participants. </w:t>
      </w:r>
      <w:r>
        <w:t xml:space="preserve">All grantees </w:t>
      </w:r>
      <w:r w:rsidRPr="00D5790C">
        <w:t>are required to report aggregate training participant information for all trainings conducted as part of their suicide prevention programs</w:t>
      </w:r>
      <w:r>
        <w:t xml:space="preserve">. Data from State/Tribal grantees </w:t>
      </w:r>
      <w:r w:rsidRPr="00CB3E42">
        <w:t xml:space="preserve">examine collaboration among different organizations/agencies involved in youth referral networks and how these networks change over time. </w:t>
      </w:r>
      <w:r>
        <w:t>Campus data include</w:t>
      </w:r>
      <w:r w:rsidRPr="00CB3E42">
        <w:t xml:space="preserve"> </w:t>
      </w:r>
      <w:r w:rsidRPr="00CB3E42">
        <w:rPr>
          <w:spacing w:val="-2"/>
        </w:rPr>
        <w:t xml:space="preserve">student exposure to suicide prevention activities on campus; awareness of resources; </w:t>
      </w:r>
      <w:r w:rsidRPr="00CB3E42">
        <w:t>intended use of the skills, knowledge</w:t>
      </w:r>
      <w:r>
        <w:t>,</w:t>
      </w:r>
      <w:r w:rsidRPr="00CB3E42">
        <w:t xml:space="preserve"> and satisfaction with training; information learned through campus life skills and wellness activities; and</w:t>
      </w:r>
      <w:r w:rsidRPr="00CB3E42">
        <w:rPr>
          <w:spacing w:val="-2"/>
        </w:rPr>
        <w:t xml:space="preserve"> suicidal thoughts.</w:t>
      </w:r>
      <w:r>
        <w:rPr>
          <w:spacing w:val="-2"/>
        </w:rPr>
        <w:t xml:space="preserve"> Finally, the</w:t>
      </w:r>
      <w:r w:rsidRPr="00D5790C">
        <w:t xml:space="preserve"> </w:t>
      </w:r>
      <w:r w:rsidRPr="006F0713">
        <w:rPr>
          <w:b/>
          <w:i/>
        </w:rPr>
        <w:t>impact stage</w:t>
      </w:r>
      <w:r w:rsidRPr="00D5790C">
        <w:t xml:space="preserve"> examines the </w:t>
      </w:r>
      <w:r>
        <w:t xml:space="preserve">early </w:t>
      </w:r>
      <w:r w:rsidRPr="00D5790C">
        <w:t>impact</w:t>
      </w:r>
      <w:r>
        <w:t xml:space="preserve">s that </w:t>
      </w:r>
      <w:r w:rsidRPr="00D5790C">
        <w:t>suicide prevention programs have on</w:t>
      </w:r>
      <w:r>
        <w:t xml:space="preserve"> individuals </w:t>
      </w:r>
      <w:r w:rsidRPr="00D5790C">
        <w:t xml:space="preserve">at risk for suicide. </w:t>
      </w:r>
      <w:r>
        <w:t xml:space="preserve">Existing information from States/Tribes </w:t>
      </w:r>
      <w:r w:rsidRPr="00D5790C">
        <w:t xml:space="preserve">on youth referred for services and service receipt </w:t>
      </w:r>
      <w:r>
        <w:t>from</w:t>
      </w:r>
      <w:r w:rsidRPr="00D5790C">
        <w:t xml:space="preserve"> early identification activities</w:t>
      </w:r>
      <w:r>
        <w:t xml:space="preserve"> and </w:t>
      </w:r>
      <w:r w:rsidRPr="00D5790C">
        <w:t xml:space="preserve">aggregate screening information for all youth screened is analyzed. </w:t>
      </w:r>
      <w:r>
        <w:t>For Campus grantees,</w:t>
      </w:r>
      <w:r w:rsidRPr="00D5790C">
        <w:t xml:space="preserve"> administrative data related to the number </w:t>
      </w:r>
      <w:r>
        <w:t xml:space="preserve">students </w:t>
      </w:r>
      <w:r w:rsidRPr="00D5790C">
        <w:t xml:space="preserve">who seek </w:t>
      </w:r>
      <w:r>
        <w:t xml:space="preserve">mental health </w:t>
      </w:r>
      <w:r w:rsidRPr="00D5790C">
        <w:t>services, the type of services received</w:t>
      </w:r>
      <w:r>
        <w:t xml:space="preserve">, </w:t>
      </w:r>
      <w:r w:rsidRPr="00D5790C">
        <w:t>number of attempted or completed suicides among students</w:t>
      </w:r>
      <w:r>
        <w:t>,</w:t>
      </w:r>
      <w:r w:rsidRPr="00D5790C">
        <w:t xml:space="preserve"> </w:t>
      </w:r>
      <w:r>
        <w:t xml:space="preserve">and </w:t>
      </w:r>
      <w:r w:rsidRPr="00D5790C">
        <w:t>the school retention</w:t>
      </w:r>
      <w:r>
        <w:t xml:space="preserve"> rate</w:t>
      </w:r>
      <w:r w:rsidRPr="00D5790C">
        <w:t xml:space="preserve"> </w:t>
      </w:r>
      <w:r>
        <w:t>are</w:t>
      </w:r>
      <w:r w:rsidRPr="00D5790C">
        <w:t xml:space="preserve"> analyzed</w:t>
      </w:r>
      <w:r w:rsidRPr="00AF5DDD">
        <w:t>.</w:t>
      </w:r>
      <w:r>
        <w:rPr>
          <w:color w:val="FF0000"/>
        </w:rPr>
        <w:t xml:space="preserve"> </w:t>
      </w:r>
    </w:p>
    <w:p w14:paraId="2511AFC0" w14:textId="77777777" w:rsidR="00A47806" w:rsidRPr="00935CD5" w:rsidRDefault="00A47806" w:rsidP="00966D74">
      <w:pPr>
        <w:pStyle w:val="BodyText"/>
        <w:numPr>
          <w:ilvl w:val="1"/>
          <w:numId w:val="1"/>
        </w:numPr>
        <w:tabs>
          <w:tab w:val="left" w:pos="1563"/>
        </w:tabs>
        <w:spacing w:before="200" w:after="120"/>
        <w:ind w:left="720"/>
        <w:rPr>
          <w:rFonts w:ascii="Tw Cen MT" w:hAnsi="Tw Cen MT" w:cs="Arial"/>
          <w:b/>
          <w:sz w:val="28"/>
          <w:szCs w:val="28"/>
        </w:rPr>
      </w:pPr>
      <w:r w:rsidRPr="00935CD5">
        <w:rPr>
          <w:rFonts w:ascii="Tw Cen MT" w:hAnsi="Tw Cen MT" w:cs="Arial"/>
          <w:b/>
          <w:sz w:val="28"/>
          <w:szCs w:val="28"/>
        </w:rPr>
        <w:t>Clearance Request</w:t>
      </w:r>
    </w:p>
    <w:p w14:paraId="32901E5C" w14:textId="5C3BD2BE" w:rsidR="00A47806" w:rsidRDefault="00A47806" w:rsidP="00966D74">
      <w:pPr>
        <w:pStyle w:val="ProposalBodyText"/>
        <w:spacing w:after="200"/>
        <w:contextualSpacing w:val="0"/>
      </w:pPr>
      <w:r>
        <w:rPr>
          <w:szCs w:val="24"/>
        </w:rPr>
        <w:t xml:space="preserve">SAMHSA is requesting </w:t>
      </w:r>
      <w:r w:rsidRPr="00F1465D">
        <w:t>approval for revisions to the previously</w:t>
      </w:r>
      <w:r>
        <w:t>-</w:t>
      </w:r>
      <w:r w:rsidRPr="00F1465D">
        <w:t>approved cross-site evaluation package</w:t>
      </w:r>
      <w:r>
        <w:t xml:space="preserve"> </w:t>
      </w:r>
      <w:r w:rsidRPr="007B0A86">
        <w:rPr>
          <w:spacing w:val="-2"/>
          <w:szCs w:val="24"/>
        </w:rPr>
        <w:t xml:space="preserve">(OMB </w:t>
      </w:r>
      <w:r w:rsidRPr="007B0A86">
        <w:rPr>
          <w:szCs w:val="24"/>
        </w:rPr>
        <w:t xml:space="preserve">No. 0930-0286; Expiration, </w:t>
      </w:r>
      <w:r w:rsidRPr="004C6067">
        <w:rPr>
          <w:szCs w:val="24"/>
        </w:rPr>
        <w:t xml:space="preserve">January 31, </w:t>
      </w:r>
      <w:r w:rsidRPr="00DB5653">
        <w:rPr>
          <w:szCs w:val="24"/>
        </w:rPr>
        <w:t>2017)</w:t>
      </w:r>
      <w:r w:rsidR="00935CD5">
        <w:rPr>
          <w:szCs w:val="24"/>
        </w:rPr>
        <w:t>, now entitled the National Outcomes Evaluation</w:t>
      </w:r>
      <w:r w:rsidRPr="00F1465D">
        <w:t>.</w:t>
      </w:r>
      <w:r>
        <w:rPr>
          <w:szCs w:val="24"/>
        </w:rPr>
        <w:t xml:space="preserve"> OMB clearance is requested for 3 years </w:t>
      </w:r>
      <w:r w:rsidR="002E448F">
        <w:rPr>
          <w:szCs w:val="24"/>
        </w:rPr>
        <w:t xml:space="preserve">of </w:t>
      </w:r>
      <w:r>
        <w:rPr>
          <w:szCs w:val="24"/>
        </w:rPr>
        <w:t xml:space="preserve">data collection associated with the </w:t>
      </w:r>
      <w:r w:rsidR="00E3096F">
        <w:rPr>
          <w:szCs w:val="24"/>
        </w:rPr>
        <w:t>updated d</w:t>
      </w:r>
      <w:r>
        <w:rPr>
          <w:szCs w:val="24"/>
        </w:rPr>
        <w:t>esign, which represents</w:t>
      </w:r>
      <w:r w:rsidRPr="00DB5653">
        <w:rPr>
          <w:szCs w:val="24"/>
        </w:rPr>
        <w:t xml:space="preserve"> SAMHSA’s desire to support the design, implem</w:t>
      </w:r>
      <w:r>
        <w:rPr>
          <w:szCs w:val="24"/>
        </w:rPr>
        <w:t xml:space="preserve">entation, and </w:t>
      </w:r>
      <w:r w:rsidRPr="00071ED9">
        <w:rPr>
          <w:szCs w:val="24"/>
        </w:rPr>
        <w:t xml:space="preserve">dissemination of findings of a national impact evaluation of the </w:t>
      </w:r>
      <w:r w:rsidRPr="007E06DC">
        <w:rPr>
          <w:szCs w:val="24"/>
        </w:rPr>
        <w:t>GLS Suicide Prevention Program</w:t>
      </w:r>
      <w:r>
        <w:rPr>
          <w:szCs w:val="24"/>
        </w:rPr>
        <w:t>.</w:t>
      </w:r>
      <w:r w:rsidRPr="007E06DC">
        <w:rPr>
          <w:szCs w:val="24"/>
        </w:rPr>
        <w:t xml:space="preserve"> </w:t>
      </w:r>
      <w:r w:rsidR="00A5086B">
        <w:rPr>
          <w:szCs w:val="24"/>
        </w:rPr>
        <w:t xml:space="preserve">The </w:t>
      </w:r>
      <w:r w:rsidR="007A3408">
        <w:rPr>
          <w:szCs w:val="24"/>
        </w:rPr>
        <w:t xml:space="preserve">outcomes- and impacts-focused </w:t>
      </w:r>
      <w:r w:rsidR="00A5086B">
        <w:rPr>
          <w:szCs w:val="24"/>
        </w:rPr>
        <w:t xml:space="preserve">design </w:t>
      </w:r>
      <w:r w:rsidR="007A3408">
        <w:rPr>
          <w:szCs w:val="24"/>
        </w:rPr>
        <w:t>will build</w:t>
      </w:r>
      <w:r w:rsidR="00A5086B">
        <w:rPr>
          <w:szCs w:val="24"/>
        </w:rPr>
        <w:t xml:space="preserve"> on information collected through the cross-site evaluation </w:t>
      </w:r>
      <w:r w:rsidR="002E448F">
        <w:rPr>
          <w:szCs w:val="24"/>
        </w:rPr>
        <w:t>four-</w:t>
      </w:r>
      <w:r w:rsidR="00A5086B">
        <w:rPr>
          <w:szCs w:val="24"/>
        </w:rPr>
        <w:t>stage approach</w:t>
      </w:r>
      <w:r w:rsidR="002E448F">
        <w:rPr>
          <w:szCs w:val="24"/>
        </w:rPr>
        <w:t>,</w:t>
      </w:r>
      <w:r w:rsidR="007A3408">
        <w:rPr>
          <w:szCs w:val="24"/>
        </w:rPr>
        <w:t xml:space="preserve"> </w:t>
      </w:r>
      <w:r w:rsidRPr="00DB5653">
        <w:rPr>
          <w:rStyle w:val="ProposalBodyTextChar"/>
          <w:rFonts w:eastAsia="Arial"/>
          <w:szCs w:val="24"/>
        </w:rPr>
        <w:t>further the understanding of the impact</w:t>
      </w:r>
      <w:r w:rsidR="002E448F">
        <w:rPr>
          <w:rStyle w:val="ProposalBodyTextChar"/>
          <w:rFonts w:eastAsia="Arial"/>
          <w:szCs w:val="24"/>
        </w:rPr>
        <w:t>s</w:t>
      </w:r>
      <w:r w:rsidRPr="00DB5653">
        <w:rPr>
          <w:rStyle w:val="ProposalBodyTextChar"/>
          <w:rFonts w:eastAsia="Arial"/>
          <w:szCs w:val="24"/>
        </w:rPr>
        <w:t xml:space="preserve"> of the GLS Suicide Prevention Program, and </w:t>
      </w:r>
      <w:r w:rsidRPr="00DB5653">
        <w:rPr>
          <w:rStyle w:val="ProposalBodyTextChar"/>
          <w:rFonts w:eastAsia="Arial"/>
        </w:rPr>
        <w:t xml:space="preserve">meet the </w:t>
      </w:r>
      <w:r w:rsidR="002E448F">
        <w:rPr>
          <w:rStyle w:val="ProposalBodyTextChar"/>
          <w:rFonts w:eastAsia="Arial"/>
          <w:szCs w:val="24"/>
        </w:rPr>
        <w:t>evaluation</w:t>
      </w:r>
      <w:r w:rsidR="002E448F" w:rsidRPr="00071ED9">
        <w:rPr>
          <w:rStyle w:val="ProposalBodyTextChar"/>
          <w:rFonts w:eastAsia="Arial"/>
          <w:szCs w:val="24"/>
        </w:rPr>
        <w:t xml:space="preserve"> </w:t>
      </w:r>
      <w:r w:rsidR="002E448F">
        <w:rPr>
          <w:rStyle w:val="ProposalBodyTextChar"/>
          <w:rFonts w:eastAsia="Arial"/>
          <w:szCs w:val="24"/>
        </w:rPr>
        <w:t>mandate</w:t>
      </w:r>
      <w:r w:rsidR="002E448F" w:rsidRPr="00071ED9">
        <w:rPr>
          <w:rStyle w:val="ProposalBodyTextChar"/>
          <w:rFonts w:eastAsia="Arial"/>
          <w:szCs w:val="24"/>
        </w:rPr>
        <w:t xml:space="preserve"> </w:t>
      </w:r>
      <w:r w:rsidRPr="00071ED9">
        <w:rPr>
          <w:rStyle w:val="ProposalBodyTextChar"/>
          <w:rFonts w:eastAsia="Arial"/>
          <w:szCs w:val="24"/>
        </w:rPr>
        <w:t xml:space="preserve">outlined in the GLSMA. </w:t>
      </w:r>
      <w:r w:rsidR="007A3408" w:rsidRPr="009D4F0B">
        <w:rPr>
          <w:szCs w:val="24"/>
        </w:rPr>
        <w:t xml:space="preserve">The evaluation </w:t>
      </w:r>
      <w:r w:rsidR="007A3408">
        <w:rPr>
          <w:szCs w:val="24"/>
        </w:rPr>
        <w:t xml:space="preserve">now </w:t>
      </w:r>
      <w:r w:rsidR="007A3408" w:rsidRPr="009D4F0B">
        <w:rPr>
          <w:szCs w:val="24"/>
        </w:rPr>
        <w:t>accounts for the diff</w:t>
      </w:r>
      <w:r w:rsidR="007A3408">
        <w:rPr>
          <w:szCs w:val="24"/>
        </w:rPr>
        <w:t>erences in grant funding cycles</w:t>
      </w:r>
      <w:r w:rsidR="007A3408" w:rsidRPr="009D4F0B">
        <w:rPr>
          <w:szCs w:val="24"/>
        </w:rPr>
        <w:t xml:space="preserve"> (i.e., 5-year State/Tribal and 3-year Campus programs</w:t>
      </w:r>
      <w:r w:rsidR="002E448F" w:rsidRPr="009D4F0B">
        <w:rPr>
          <w:szCs w:val="24"/>
        </w:rPr>
        <w:t>)</w:t>
      </w:r>
      <w:r w:rsidR="002E448F">
        <w:rPr>
          <w:szCs w:val="24"/>
        </w:rPr>
        <w:t xml:space="preserve"> and</w:t>
      </w:r>
      <w:r w:rsidR="002E448F" w:rsidRPr="009D4F0B">
        <w:rPr>
          <w:szCs w:val="24"/>
        </w:rPr>
        <w:t xml:space="preserve"> </w:t>
      </w:r>
      <w:r w:rsidR="002E448F">
        <w:rPr>
          <w:szCs w:val="24"/>
        </w:rPr>
        <w:t xml:space="preserve">provides continuity </w:t>
      </w:r>
      <w:r w:rsidR="007A3408" w:rsidRPr="009D4F0B">
        <w:rPr>
          <w:szCs w:val="24"/>
        </w:rPr>
        <w:t>and maximizes the use of previously collected data.</w:t>
      </w:r>
      <w:r w:rsidR="007A3408">
        <w:rPr>
          <w:szCs w:val="24"/>
        </w:rPr>
        <w:t xml:space="preserve"> </w:t>
      </w:r>
      <w:r>
        <w:rPr>
          <w:rStyle w:val="ProposalBodyTextChar"/>
          <w:rFonts w:eastAsia="Arial"/>
          <w:szCs w:val="24"/>
        </w:rPr>
        <w:t>B</w:t>
      </w:r>
      <w:r w:rsidRPr="00071ED9">
        <w:rPr>
          <w:szCs w:val="24"/>
        </w:rPr>
        <w:t xml:space="preserve">y expanding on information gathered through </w:t>
      </w:r>
      <w:r>
        <w:rPr>
          <w:szCs w:val="24"/>
        </w:rPr>
        <w:t>the</w:t>
      </w:r>
      <w:r w:rsidRPr="00071ED9">
        <w:rPr>
          <w:szCs w:val="24"/>
        </w:rPr>
        <w:t xml:space="preserve"> current evaluation on the process, products, context, and impacts of the GLS Suicide Prevention Program</w:t>
      </w:r>
      <w:r>
        <w:rPr>
          <w:szCs w:val="24"/>
        </w:rPr>
        <w:t xml:space="preserve">, the NOE will </w:t>
      </w:r>
      <w:r w:rsidRPr="00071ED9">
        <w:rPr>
          <w:szCs w:val="24"/>
        </w:rPr>
        <w:t>further the field of suicide prevention and mental health promotion.</w:t>
      </w:r>
      <w:r>
        <w:rPr>
          <w:szCs w:val="24"/>
        </w:rPr>
        <w:t xml:space="preserve"> </w:t>
      </w:r>
    </w:p>
    <w:p w14:paraId="79CA53FA" w14:textId="77777777" w:rsidR="00A47806" w:rsidRDefault="00A47806" w:rsidP="00FB222C">
      <w:pPr>
        <w:pStyle w:val="BodyText"/>
        <w:numPr>
          <w:ilvl w:val="0"/>
          <w:numId w:val="20"/>
        </w:numPr>
        <w:tabs>
          <w:tab w:val="left" w:pos="1563"/>
        </w:tabs>
        <w:spacing w:before="240" w:after="120"/>
        <w:rPr>
          <w:rFonts w:ascii="Tw Cen MT" w:hAnsi="Tw Cen MT" w:cs="Arial"/>
          <w:b/>
          <w:sz w:val="28"/>
          <w:szCs w:val="28"/>
        </w:rPr>
      </w:pPr>
      <w:r w:rsidRPr="00935CD5">
        <w:rPr>
          <w:rFonts w:ascii="Tw Cen MT" w:hAnsi="Tw Cen MT" w:cs="Arial"/>
          <w:b/>
          <w:sz w:val="28"/>
          <w:szCs w:val="28"/>
        </w:rPr>
        <w:t>Purpose and Use of Information Collected</w:t>
      </w:r>
    </w:p>
    <w:p w14:paraId="30DE9599" w14:textId="31CE94A2" w:rsidR="008C481A" w:rsidRDefault="008C481A" w:rsidP="00966D74">
      <w:pPr>
        <w:pStyle w:val="SuicideBodyText"/>
        <w:spacing w:after="200"/>
      </w:pPr>
      <w:r>
        <w:t xml:space="preserve">The following </w:t>
      </w:r>
      <w:r w:rsidR="00AD336F">
        <w:t xml:space="preserve">is a description </w:t>
      </w:r>
      <w:r>
        <w:t>of the (a) National Outcomes Evaluation (</w:t>
      </w:r>
      <w:r w:rsidR="00805510">
        <w:t xml:space="preserve">introduction, </w:t>
      </w:r>
      <w:r>
        <w:t xml:space="preserve">current findings, data collection activities/methods, and major study components); (b) </w:t>
      </w:r>
      <w:r w:rsidRPr="003A3348">
        <w:t xml:space="preserve">revisions </w:t>
      </w:r>
      <w:r>
        <w:t>to the previously-</w:t>
      </w:r>
      <w:r w:rsidRPr="003A3348">
        <w:t>approved package</w:t>
      </w:r>
      <w:r>
        <w:t>;</w:t>
      </w:r>
      <w:r w:rsidRPr="003A3348">
        <w:t xml:space="preserve"> </w:t>
      </w:r>
      <w:r>
        <w:t xml:space="preserve">and (c) </w:t>
      </w:r>
      <w:r w:rsidRPr="003A3348">
        <w:t>uses of the information collected</w:t>
      </w:r>
      <w:r>
        <w:t xml:space="preserve">. </w:t>
      </w:r>
    </w:p>
    <w:p w14:paraId="0D157D6D" w14:textId="387A0E51" w:rsidR="008C481A" w:rsidRDefault="008C481A" w:rsidP="003536EA">
      <w:pPr>
        <w:pStyle w:val="BodyText"/>
        <w:keepNext/>
        <w:widowControl/>
        <w:numPr>
          <w:ilvl w:val="0"/>
          <w:numId w:val="36"/>
        </w:numPr>
        <w:tabs>
          <w:tab w:val="left" w:pos="1563"/>
        </w:tabs>
        <w:spacing w:before="240" w:after="120"/>
        <w:rPr>
          <w:rFonts w:ascii="Tw Cen MT" w:hAnsi="Tw Cen MT" w:cs="Arial"/>
          <w:b/>
          <w:sz w:val="28"/>
          <w:szCs w:val="28"/>
        </w:rPr>
      </w:pPr>
      <w:r>
        <w:rPr>
          <w:rFonts w:ascii="Tw Cen MT" w:hAnsi="Tw Cen MT" w:cs="Arial"/>
          <w:b/>
          <w:sz w:val="28"/>
          <w:szCs w:val="28"/>
        </w:rPr>
        <w:t>National Outcomes Evaluation Overview</w:t>
      </w:r>
    </w:p>
    <w:p w14:paraId="0CEE725E" w14:textId="244E25DF" w:rsidR="00053BBE" w:rsidRPr="00377228" w:rsidRDefault="00053BBE" w:rsidP="003536EA">
      <w:pPr>
        <w:pStyle w:val="BodyText"/>
        <w:numPr>
          <w:ilvl w:val="0"/>
          <w:numId w:val="42"/>
        </w:numPr>
        <w:tabs>
          <w:tab w:val="left" w:pos="1563"/>
        </w:tabs>
        <w:spacing w:before="120" w:after="120"/>
        <w:rPr>
          <w:rFonts w:ascii="Tw Cen MT" w:hAnsi="Tw Cen MT" w:cs="Arial"/>
          <w:b/>
          <w:sz w:val="28"/>
          <w:szCs w:val="28"/>
        </w:rPr>
      </w:pPr>
      <w:r w:rsidRPr="00377228">
        <w:rPr>
          <w:rFonts w:ascii="Tw Cen MT" w:hAnsi="Tw Cen MT" w:cs="Arial"/>
          <w:b/>
          <w:sz w:val="28"/>
          <w:szCs w:val="28"/>
        </w:rPr>
        <w:t>Introduction</w:t>
      </w:r>
    </w:p>
    <w:p w14:paraId="7DA270E4" w14:textId="26FDFEE0" w:rsidR="008C481A" w:rsidRDefault="008C481A" w:rsidP="000F7808">
      <w:pPr>
        <w:pStyle w:val="BodyText"/>
        <w:tabs>
          <w:tab w:val="left" w:pos="1563"/>
        </w:tabs>
        <w:spacing w:after="200"/>
        <w:rPr>
          <w:rFonts w:ascii="Times New Roman" w:hAnsi="Times New Roman" w:cs="Times New Roman"/>
          <w:sz w:val="24"/>
          <w:szCs w:val="24"/>
        </w:rPr>
      </w:pPr>
      <w:r w:rsidRPr="009D4F0B">
        <w:rPr>
          <w:rFonts w:ascii="Times New Roman" w:eastAsia="Calibri" w:hAnsi="Times New Roman" w:cs="Times New Roman"/>
          <w:sz w:val="24"/>
          <w:szCs w:val="24"/>
        </w:rPr>
        <w:t>The NOE proposed is a redesign of the currently-approved cross-site evaluation of the GLS Suicide Prevention Program (</w:t>
      </w:r>
      <w:r w:rsidRPr="009D4F0B">
        <w:rPr>
          <w:rFonts w:ascii="Times New Roman" w:hAnsi="Times New Roman" w:cs="Times New Roman"/>
          <w:spacing w:val="-2"/>
          <w:sz w:val="24"/>
          <w:szCs w:val="24"/>
        </w:rPr>
        <w:t xml:space="preserve">OMB </w:t>
      </w:r>
      <w:r w:rsidRPr="009D4F0B">
        <w:rPr>
          <w:rFonts w:ascii="Times New Roman" w:hAnsi="Times New Roman" w:cs="Times New Roman"/>
          <w:sz w:val="24"/>
          <w:szCs w:val="24"/>
        </w:rPr>
        <w:t>No. 0930-0286; Expiration, January</w:t>
      </w:r>
      <w:r w:rsidR="00BB0E56">
        <w:rPr>
          <w:rFonts w:ascii="Times New Roman" w:hAnsi="Times New Roman" w:cs="Times New Roman"/>
          <w:sz w:val="24"/>
          <w:szCs w:val="24"/>
        </w:rPr>
        <w:t xml:space="preserve"> 31, </w:t>
      </w:r>
      <w:r w:rsidRPr="009D4F0B">
        <w:rPr>
          <w:rFonts w:ascii="Times New Roman" w:hAnsi="Times New Roman" w:cs="Times New Roman"/>
          <w:sz w:val="24"/>
          <w:szCs w:val="24"/>
        </w:rPr>
        <w:t xml:space="preserve">2017), first </w:t>
      </w:r>
      <w:r w:rsidRPr="009D4F0B">
        <w:rPr>
          <w:rFonts w:ascii="Times New Roman" w:eastAsia="Calibri" w:hAnsi="Times New Roman" w:cs="Times New Roman"/>
          <w:sz w:val="24"/>
          <w:szCs w:val="24"/>
        </w:rPr>
        <w:t xml:space="preserve">implemented in 2005. </w:t>
      </w:r>
      <w:r w:rsidR="002E47B3" w:rsidRPr="009D4F0B">
        <w:rPr>
          <w:rFonts w:ascii="Times New Roman" w:hAnsi="Times New Roman" w:cs="Times New Roman"/>
          <w:sz w:val="24"/>
          <w:szCs w:val="24"/>
        </w:rPr>
        <w:t xml:space="preserve">Building on findings to date, the NOE will focus on new priority areas of inquiry important to SAMHSA, Congress, and other suicide prevention stakeholders. </w:t>
      </w:r>
      <w:r w:rsidR="002E47B3" w:rsidRPr="002E47B3">
        <w:rPr>
          <w:rFonts w:ascii="Times New Roman" w:eastAsia="Calibri" w:hAnsi="Times New Roman" w:cs="Times New Roman"/>
          <w:sz w:val="24"/>
          <w:szCs w:val="24"/>
        </w:rPr>
        <w:t xml:space="preserve">The </w:t>
      </w:r>
      <w:r w:rsidR="002E47B3">
        <w:rPr>
          <w:rFonts w:ascii="Times New Roman" w:eastAsia="Calibri" w:hAnsi="Times New Roman" w:cs="Times New Roman"/>
          <w:sz w:val="24"/>
          <w:szCs w:val="24"/>
        </w:rPr>
        <w:t>evaluation</w:t>
      </w:r>
      <w:r w:rsidR="002E47B3" w:rsidRPr="002E47B3">
        <w:rPr>
          <w:rFonts w:ascii="Times New Roman" w:eastAsia="Calibri" w:hAnsi="Times New Roman" w:cs="Times New Roman"/>
          <w:sz w:val="24"/>
          <w:szCs w:val="24"/>
        </w:rPr>
        <w:t xml:space="preserve"> </w:t>
      </w:r>
      <w:r w:rsidR="00CC5AF3">
        <w:rPr>
          <w:rFonts w:ascii="Times New Roman" w:eastAsia="Calibri" w:hAnsi="Times New Roman" w:cs="Times New Roman"/>
          <w:sz w:val="24"/>
          <w:szCs w:val="24"/>
        </w:rPr>
        <w:t>aligns</w:t>
      </w:r>
      <w:r w:rsidR="002E47B3" w:rsidRPr="002E47B3">
        <w:rPr>
          <w:rFonts w:ascii="Times New Roman" w:eastAsia="Calibri" w:hAnsi="Times New Roman" w:cs="Times New Roman"/>
          <w:sz w:val="24"/>
          <w:szCs w:val="24"/>
        </w:rPr>
        <w:t xml:space="preserve"> with SAMHSA’s primary aim</w:t>
      </w:r>
      <w:r w:rsidR="00CC5AF3">
        <w:rPr>
          <w:rFonts w:ascii="Times New Roman" w:eastAsia="Calibri" w:hAnsi="Times New Roman" w:cs="Times New Roman"/>
          <w:sz w:val="24"/>
          <w:szCs w:val="24"/>
        </w:rPr>
        <w:t xml:space="preserve"> </w:t>
      </w:r>
      <w:r w:rsidR="002E47B3" w:rsidRPr="002E47B3">
        <w:rPr>
          <w:rFonts w:ascii="Times New Roman" w:eastAsia="Calibri" w:hAnsi="Times New Roman" w:cs="Times New Roman"/>
          <w:sz w:val="24"/>
          <w:szCs w:val="24"/>
        </w:rPr>
        <w:t>to assess</w:t>
      </w:r>
      <w:r w:rsidR="002E47B3" w:rsidRPr="002E47B3">
        <w:rPr>
          <w:rFonts w:ascii="Times New Roman" w:hAnsi="Times New Roman" w:cs="Times New Roman"/>
          <w:sz w:val="24"/>
          <w:szCs w:val="24"/>
        </w:rPr>
        <w:t xml:space="preserve"> the impact of GLS Suicide Prevention Program activities at reducing suicide attempts and deaths by suicide</w:t>
      </w:r>
      <w:r w:rsidR="00CC5AF3">
        <w:rPr>
          <w:rFonts w:ascii="Times New Roman" w:hAnsi="Times New Roman" w:cs="Times New Roman"/>
          <w:sz w:val="24"/>
          <w:szCs w:val="24"/>
        </w:rPr>
        <w:t xml:space="preserve">. </w:t>
      </w:r>
      <w:r w:rsidR="002E47B3">
        <w:rPr>
          <w:rStyle w:val="ProposalBodyTextChar"/>
          <w:rFonts w:eastAsia="Arial"/>
          <w:szCs w:val="24"/>
        </w:rPr>
        <w:t>The</w:t>
      </w:r>
      <w:r w:rsidR="002E47B3" w:rsidRPr="009D4F0B">
        <w:rPr>
          <w:rStyle w:val="ProposalBodyTextChar"/>
          <w:rFonts w:eastAsia="Arial"/>
          <w:szCs w:val="24"/>
        </w:rPr>
        <w:t xml:space="preserve"> </w:t>
      </w:r>
      <w:r w:rsidR="00CC5AF3">
        <w:rPr>
          <w:rStyle w:val="ProposalBodyTextChar"/>
          <w:rFonts w:eastAsia="Arial"/>
          <w:szCs w:val="24"/>
        </w:rPr>
        <w:t>NOE</w:t>
      </w:r>
      <w:r w:rsidR="00CC5AF3" w:rsidRPr="009D4F0B">
        <w:rPr>
          <w:rStyle w:val="ProposalBodyTextChar"/>
          <w:rFonts w:eastAsia="Arial"/>
          <w:szCs w:val="24"/>
        </w:rPr>
        <w:t xml:space="preserve"> </w:t>
      </w:r>
      <w:r w:rsidR="002E47B3" w:rsidRPr="009D4F0B">
        <w:rPr>
          <w:rStyle w:val="ProposalBodyTextChar"/>
          <w:rFonts w:eastAsia="Arial"/>
          <w:szCs w:val="24"/>
        </w:rPr>
        <w:t>will</w:t>
      </w:r>
      <w:r w:rsidR="002E47B3" w:rsidRPr="009D4F0B">
        <w:rPr>
          <w:rFonts w:ascii="Times New Roman" w:hAnsi="Times New Roman" w:cs="Times New Roman"/>
          <w:sz w:val="24"/>
          <w:szCs w:val="24"/>
        </w:rPr>
        <w:t xml:space="preserve"> allow SAMHSA to expand the evidence base for suicide prevention; address factors contributing to suicide deaths </w:t>
      </w:r>
      <w:r w:rsidR="002E47B3" w:rsidRPr="002E47B3">
        <w:rPr>
          <w:rFonts w:ascii="Times New Roman" w:hAnsi="Times New Roman" w:cs="Times New Roman"/>
          <w:sz w:val="24"/>
          <w:szCs w:val="24"/>
        </w:rPr>
        <w:t xml:space="preserve">and attempts; and establish standards for developing, implementing, and evaluating suicide prevention programs. </w:t>
      </w:r>
    </w:p>
    <w:p w14:paraId="0D617FC8" w14:textId="20C4323B" w:rsidR="002E47B3" w:rsidRPr="00EC1154" w:rsidRDefault="002E47B3" w:rsidP="000F7808">
      <w:pPr>
        <w:pStyle w:val="BodyText"/>
        <w:tabs>
          <w:tab w:val="left" w:pos="1563"/>
        </w:tabs>
        <w:spacing w:after="200"/>
        <w:rPr>
          <w:rStyle w:val="ProposalBodyTextChar"/>
          <w:rFonts w:eastAsia="Arial"/>
          <w:szCs w:val="24"/>
        </w:rPr>
      </w:pPr>
      <w:r w:rsidRPr="009D4F0B">
        <w:rPr>
          <w:rFonts w:ascii="Times New Roman" w:hAnsi="Times New Roman" w:cs="Times New Roman"/>
          <w:sz w:val="24"/>
          <w:szCs w:val="24"/>
        </w:rPr>
        <w:t xml:space="preserve">The </w:t>
      </w:r>
      <w:r w:rsidR="00CC5AF3">
        <w:rPr>
          <w:rFonts w:ascii="Times New Roman" w:hAnsi="Times New Roman" w:cs="Times New Roman"/>
          <w:sz w:val="24"/>
          <w:szCs w:val="24"/>
        </w:rPr>
        <w:t xml:space="preserve">NOE </w:t>
      </w:r>
      <w:r w:rsidRPr="009D4F0B">
        <w:rPr>
          <w:rFonts w:ascii="Times New Roman" w:hAnsi="Times New Roman" w:cs="Times New Roman"/>
          <w:sz w:val="24"/>
          <w:szCs w:val="24"/>
        </w:rPr>
        <w:t>incorporates State/Tribal and Campus Program foci within and across programs and considers allowable activities, variation in partnerships and provider networks/infrastructure, program settings and populations being served, the range of program implementation plans and goals, existing data systems</w:t>
      </w:r>
      <w:r w:rsidR="00CC5AF3">
        <w:rPr>
          <w:rFonts w:ascii="Times New Roman" w:hAnsi="Times New Roman" w:cs="Times New Roman"/>
          <w:sz w:val="24"/>
          <w:szCs w:val="24"/>
        </w:rPr>
        <w:t>,</w:t>
      </w:r>
      <w:r w:rsidRPr="009D4F0B">
        <w:rPr>
          <w:rFonts w:ascii="Times New Roman" w:hAnsi="Times New Roman" w:cs="Times New Roman"/>
          <w:sz w:val="24"/>
          <w:szCs w:val="24"/>
        </w:rPr>
        <w:t xml:space="preserve"> and grant infrastructures to support implementation, and evaluation participation. The </w:t>
      </w:r>
      <w:r w:rsidR="00CC5AF3">
        <w:rPr>
          <w:rFonts w:ascii="Times New Roman" w:hAnsi="Times New Roman" w:cs="Times New Roman"/>
          <w:sz w:val="24"/>
          <w:szCs w:val="24"/>
        </w:rPr>
        <w:t>NOE</w:t>
      </w:r>
      <w:r w:rsidR="00CC5AF3" w:rsidRPr="009D4F0B">
        <w:rPr>
          <w:rFonts w:ascii="Times New Roman" w:hAnsi="Times New Roman" w:cs="Times New Roman"/>
          <w:sz w:val="24"/>
          <w:szCs w:val="24"/>
        </w:rPr>
        <w:t xml:space="preserve"> </w:t>
      </w:r>
      <w:r w:rsidRPr="009D4F0B">
        <w:rPr>
          <w:rFonts w:ascii="Times New Roman" w:hAnsi="Times New Roman" w:cs="Times New Roman"/>
          <w:sz w:val="24"/>
          <w:szCs w:val="24"/>
        </w:rPr>
        <w:t xml:space="preserve">also accounts for the differences in grant funding cycles across the two programs (i.e., 5-year State/Tribal and 3-year Campus programs) and maximizes the use of </w:t>
      </w:r>
      <w:r w:rsidR="00CC5AF3">
        <w:rPr>
          <w:rFonts w:ascii="Times New Roman" w:hAnsi="Times New Roman" w:cs="Times New Roman"/>
          <w:sz w:val="24"/>
          <w:szCs w:val="24"/>
        </w:rPr>
        <w:t>collected data</w:t>
      </w:r>
      <w:r w:rsidRPr="009D4F0B">
        <w:rPr>
          <w:rFonts w:ascii="Times New Roman" w:hAnsi="Times New Roman" w:cs="Times New Roman"/>
          <w:sz w:val="24"/>
          <w:szCs w:val="24"/>
        </w:rPr>
        <w:t xml:space="preserve">. Combined with experimental and quasi-experimental </w:t>
      </w:r>
      <w:r w:rsidRPr="00EC1154">
        <w:rPr>
          <w:rFonts w:ascii="Times New Roman" w:hAnsi="Times New Roman" w:cs="Times New Roman"/>
          <w:sz w:val="24"/>
          <w:szCs w:val="24"/>
        </w:rPr>
        <w:t xml:space="preserve">methodologies and special analysis (described in </w:t>
      </w:r>
      <w:r w:rsidRPr="008C5A3C">
        <w:rPr>
          <w:rFonts w:ascii="Times New Roman" w:hAnsi="Times New Roman" w:cs="Times New Roman"/>
          <w:sz w:val="24"/>
          <w:szCs w:val="24"/>
        </w:rPr>
        <w:t>Section A.16.c), the</w:t>
      </w:r>
      <w:r w:rsidRPr="00EC1154">
        <w:rPr>
          <w:rFonts w:ascii="Times New Roman" w:hAnsi="Times New Roman" w:cs="Times New Roman"/>
          <w:sz w:val="24"/>
          <w:szCs w:val="24"/>
        </w:rPr>
        <w:t xml:space="preserve"> NOE will assess the impact of GLS programs on distal outcomes (i.e., suicide attempts</w:t>
      </w:r>
      <w:r w:rsidR="00805510">
        <w:rPr>
          <w:rFonts w:ascii="Times New Roman" w:hAnsi="Times New Roman" w:cs="Times New Roman"/>
          <w:sz w:val="24"/>
          <w:szCs w:val="24"/>
        </w:rPr>
        <w:t>,</w:t>
      </w:r>
      <w:r w:rsidR="00EC1154">
        <w:rPr>
          <w:rFonts w:ascii="Times New Roman" w:hAnsi="Times New Roman" w:cs="Times New Roman"/>
          <w:sz w:val="24"/>
          <w:szCs w:val="24"/>
        </w:rPr>
        <w:t xml:space="preserve"> deaths</w:t>
      </w:r>
      <w:r w:rsidRPr="00EC1154">
        <w:rPr>
          <w:rFonts w:ascii="Times New Roman" w:hAnsi="Times New Roman" w:cs="Times New Roman"/>
          <w:sz w:val="24"/>
          <w:szCs w:val="24"/>
        </w:rPr>
        <w:t xml:space="preserve">, </w:t>
      </w:r>
      <w:r w:rsidR="00805510">
        <w:rPr>
          <w:rFonts w:ascii="Times New Roman" w:hAnsi="Times New Roman" w:cs="Times New Roman"/>
          <w:sz w:val="24"/>
          <w:szCs w:val="24"/>
        </w:rPr>
        <w:t xml:space="preserve">and </w:t>
      </w:r>
      <w:r w:rsidRPr="00EC1154">
        <w:rPr>
          <w:rFonts w:ascii="Times New Roman" w:hAnsi="Times New Roman" w:cs="Times New Roman"/>
          <w:sz w:val="24"/>
          <w:szCs w:val="24"/>
        </w:rPr>
        <w:t>hospital readmissions</w:t>
      </w:r>
      <w:r w:rsidR="00EC1154">
        <w:rPr>
          <w:rFonts w:ascii="Times New Roman" w:hAnsi="Times New Roman" w:cs="Times New Roman"/>
          <w:sz w:val="24"/>
          <w:szCs w:val="24"/>
        </w:rPr>
        <w:t>).</w:t>
      </w:r>
      <w:r w:rsidRPr="00EC1154">
        <w:rPr>
          <w:rFonts w:ascii="Times New Roman" w:hAnsi="Times New Roman" w:cs="Times New Roman"/>
          <w:sz w:val="24"/>
          <w:szCs w:val="24"/>
        </w:rPr>
        <w:t xml:space="preserve"> </w:t>
      </w:r>
    </w:p>
    <w:p w14:paraId="6FA01473" w14:textId="07881C37" w:rsidR="00EC1154" w:rsidRDefault="00CC5AF3" w:rsidP="008117B7">
      <w:pPr>
        <w:pStyle w:val="ProposalBodyText"/>
        <w:spacing w:after="240"/>
        <w:contextualSpacing w:val="0"/>
      </w:pPr>
      <w:r>
        <w:rPr>
          <w:szCs w:val="24"/>
        </w:rPr>
        <w:t>T</w:t>
      </w:r>
      <w:r w:rsidR="00EC1154">
        <w:rPr>
          <w:szCs w:val="24"/>
        </w:rPr>
        <w:t xml:space="preserve">he NOE </w:t>
      </w:r>
      <w:r>
        <w:rPr>
          <w:szCs w:val="24"/>
        </w:rPr>
        <w:t xml:space="preserve">comprises </w:t>
      </w:r>
      <w:r w:rsidR="00EC1154">
        <w:rPr>
          <w:szCs w:val="24"/>
        </w:rPr>
        <w:t xml:space="preserve">three </w:t>
      </w:r>
      <w:r w:rsidR="009D4F0B" w:rsidRPr="00EC1154">
        <w:rPr>
          <w:szCs w:val="24"/>
        </w:rPr>
        <w:t>distinct</w:t>
      </w:r>
      <w:r w:rsidR="00EC1154">
        <w:rPr>
          <w:szCs w:val="24"/>
        </w:rPr>
        <w:t>,</w:t>
      </w:r>
      <w:r w:rsidR="009D4F0B" w:rsidRPr="00EC1154">
        <w:rPr>
          <w:szCs w:val="24"/>
        </w:rPr>
        <w:t xml:space="preserve"> but interconnected </w:t>
      </w:r>
      <w:r w:rsidR="00C873E8">
        <w:rPr>
          <w:szCs w:val="24"/>
        </w:rPr>
        <w:t xml:space="preserve">core </w:t>
      </w:r>
      <w:r w:rsidR="009D4F0B" w:rsidRPr="00EC1154">
        <w:rPr>
          <w:szCs w:val="24"/>
        </w:rPr>
        <w:t>studies</w:t>
      </w:r>
      <w:r w:rsidR="00D72555">
        <w:rPr>
          <w:szCs w:val="24"/>
        </w:rPr>
        <w:t>—Training</w:t>
      </w:r>
      <w:r w:rsidR="009D4F0B">
        <w:rPr>
          <w:rStyle w:val="ProposalBodyTextChar"/>
          <w:rFonts w:eastAsia="Arial"/>
        </w:rPr>
        <w:t xml:space="preserve">, Continuity of Care (COC), and Suicide Safer </w:t>
      </w:r>
      <w:r w:rsidR="009D4F0B" w:rsidRPr="002E47B3">
        <w:rPr>
          <w:rStyle w:val="ProposalBodyTextChar"/>
          <w:rFonts w:eastAsia="Arial"/>
          <w:szCs w:val="24"/>
        </w:rPr>
        <w:t>Environment (SSE)</w:t>
      </w:r>
      <w:r w:rsidR="00D72555">
        <w:rPr>
          <w:rStyle w:val="ProposalBodyTextChar"/>
          <w:rFonts w:eastAsia="Arial"/>
          <w:szCs w:val="24"/>
        </w:rPr>
        <w:t xml:space="preserve">. </w:t>
      </w:r>
      <w:r w:rsidR="00B641EE">
        <w:rPr>
          <w:szCs w:val="24"/>
        </w:rPr>
        <w:t>The</w:t>
      </w:r>
      <w:r w:rsidR="008B28E4">
        <w:rPr>
          <w:rFonts w:eastAsia="Calibri"/>
          <w:szCs w:val="24"/>
        </w:rPr>
        <w:t xml:space="preserve"> Training and SSE studies </w:t>
      </w:r>
      <w:r w:rsidR="00B641EE">
        <w:rPr>
          <w:rFonts w:eastAsia="Calibri"/>
          <w:szCs w:val="24"/>
        </w:rPr>
        <w:t xml:space="preserve">also </w:t>
      </w:r>
      <w:r w:rsidR="008B28E4">
        <w:rPr>
          <w:rFonts w:eastAsia="Calibri"/>
          <w:szCs w:val="24"/>
        </w:rPr>
        <w:t>have “enhanced” study components.</w:t>
      </w:r>
      <w:r w:rsidR="008B28E4" w:rsidRPr="002E47B3">
        <w:rPr>
          <w:szCs w:val="24"/>
        </w:rPr>
        <w:t xml:space="preserve"> </w:t>
      </w:r>
      <w:r w:rsidR="009D4F0B" w:rsidRPr="002E47B3">
        <w:rPr>
          <w:szCs w:val="24"/>
        </w:rPr>
        <w:t xml:space="preserve">Core study </w:t>
      </w:r>
      <w:r w:rsidR="009D4F0B" w:rsidRPr="002E47B3">
        <w:rPr>
          <w:rStyle w:val="ProposalBodyTextChar"/>
          <w:rFonts w:eastAsia="Arial"/>
          <w:szCs w:val="24"/>
        </w:rPr>
        <w:t>data align</w:t>
      </w:r>
      <w:r w:rsidR="009D4F0B" w:rsidRPr="002E47B3">
        <w:rPr>
          <w:szCs w:val="24"/>
        </w:rPr>
        <w:t xml:space="preserve"> with required program activities across the State/Tribal and Campus programs and </w:t>
      </w:r>
      <w:r w:rsidR="009D4F0B" w:rsidRPr="002E47B3">
        <w:rPr>
          <w:rFonts w:eastAsia="Calibri"/>
          <w:szCs w:val="24"/>
        </w:rPr>
        <w:t xml:space="preserve">provide continuity with and utility of data </w:t>
      </w:r>
      <w:r>
        <w:rPr>
          <w:rFonts w:eastAsia="Calibri"/>
          <w:szCs w:val="24"/>
        </w:rPr>
        <w:t xml:space="preserve">previously </w:t>
      </w:r>
      <w:r w:rsidR="009D4F0B" w:rsidRPr="002E47B3">
        <w:rPr>
          <w:rFonts w:eastAsia="Calibri"/>
          <w:szCs w:val="24"/>
        </w:rPr>
        <w:t xml:space="preserve">collected </w:t>
      </w:r>
      <w:r w:rsidR="009D4F0B" w:rsidRPr="002E47B3">
        <w:rPr>
          <w:szCs w:val="24"/>
        </w:rPr>
        <w:t>(</w:t>
      </w:r>
      <w:r w:rsidR="009D4F0B" w:rsidRPr="002E47B3">
        <w:rPr>
          <w:rFonts w:eastAsia="Calibri"/>
          <w:szCs w:val="24"/>
        </w:rPr>
        <w:t xml:space="preserve">implementation and proximal outcomes). </w:t>
      </w:r>
      <w:r w:rsidR="008B28E4">
        <w:rPr>
          <w:rFonts w:eastAsia="Calibri"/>
          <w:szCs w:val="24"/>
        </w:rPr>
        <w:t>Enhanced components</w:t>
      </w:r>
      <w:r w:rsidR="009D4F0B" w:rsidRPr="002E47B3">
        <w:rPr>
          <w:rFonts w:eastAsia="Calibri"/>
          <w:b/>
          <w:szCs w:val="24"/>
        </w:rPr>
        <w:t xml:space="preserve"> </w:t>
      </w:r>
      <w:r w:rsidR="009D4F0B" w:rsidRPr="002E47B3">
        <w:rPr>
          <w:rFonts w:eastAsia="Calibri"/>
          <w:szCs w:val="24"/>
        </w:rPr>
        <w:t>use</w:t>
      </w:r>
      <w:r w:rsidR="009D4F0B" w:rsidRPr="002E47B3">
        <w:rPr>
          <w:szCs w:val="24"/>
        </w:rPr>
        <w:t xml:space="preserve"> experimental </w:t>
      </w:r>
      <w:r w:rsidR="00C873E8">
        <w:rPr>
          <w:szCs w:val="24"/>
        </w:rPr>
        <w:t>and</w:t>
      </w:r>
      <w:r w:rsidR="00C873E8" w:rsidRPr="002E47B3">
        <w:rPr>
          <w:szCs w:val="24"/>
        </w:rPr>
        <w:t xml:space="preserve"> </w:t>
      </w:r>
      <w:r w:rsidR="009D4F0B" w:rsidRPr="002E47B3">
        <w:rPr>
          <w:szCs w:val="24"/>
        </w:rPr>
        <w:t xml:space="preserve">quasi-experimental methods </w:t>
      </w:r>
      <w:r>
        <w:rPr>
          <w:szCs w:val="24"/>
        </w:rPr>
        <w:t xml:space="preserve">(randomized controlled trial [RCT] and retrospective cohort study designs) </w:t>
      </w:r>
      <w:r w:rsidR="009D4F0B" w:rsidRPr="002E47B3">
        <w:rPr>
          <w:szCs w:val="24"/>
        </w:rPr>
        <w:t xml:space="preserve">that provide an </w:t>
      </w:r>
      <w:r w:rsidR="009D4F0B" w:rsidRPr="002E47B3">
        <w:rPr>
          <w:rFonts w:eastAsia="Calibri"/>
          <w:szCs w:val="24"/>
        </w:rPr>
        <w:t>opportunity to study particular effectiveness and impact questions without undue burden on grantees and youth.</w:t>
      </w:r>
      <w:r w:rsidR="002E47B3" w:rsidRPr="002E47B3">
        <w:rPr>
          <w:szCs w:val="24"/>
        </w:rPr>
        <w:t xml:space="preserve"> This focus on impact, aligned with </w:t>
      </w:r>
      <w:r w:rsidR="002E47B3" w:rsidRPr="002E47B3">
        <w:rPr>
          <w:rStyle w:val="ProposalBodyTextChar"/>
          <w:rFonts w:eastAsia="Arial"/>
          <w:szCs w:val="24"/>
        </w:rPr>
        <w:t>GLS program activities</w:t>
      </w:r>
      <w:r w:rsidR="002E47B3" w:rsidRPr="002E47B3">
        <w:rPr>
          <w:rStyle w:val="ProposalBodyTextChar"/>
          <w:szCs w:val="24"/>
        </w:rPr>
        <w:t xml:space="preserve">, </w:t>
      </w:r>
      <w:r w:rsidR="002E47B3" w:rsidRPr="002E47B3">
        <w:rPr>
          <w:rStyle w:val="ProposalBodyTextChar"/>
          <w:rFonts w:eastAsia="Arial"/>
          <w:szCs w:val="24"/>
        </w:rPr>
        <w:t xml:space="preserve">will </w:t>
      </w:r>
      <w:r>
        <w:rPr>
          <w:rStyle w:val="ProposalBodyTextChar"/>
          <w:rFonts w:eastAsia="Arial"/>
          <w:szCs w:val="24"/>
        </w:rPr>
        <w:t>advance our</w:t>
      </w:r>
      <w:r w:rsidR="002E47B3" w:rsidRPr="002E47B3">
        <w:rPr>
          <w:rStyle w:val="ProposalBodyTextChar"/>
          <w:rFonts w:eastAsia="Arial"/>
          <w:szCs w:val="24"/>
        </w:rPr>
        <w:t xml:space="preserve"> understanding</w:t>
      </w:r>
      <w:r w:rsidR="002E47B3" w:rsidRPr="002E47B3">
        <w:rPr>
          <w:szCs w:val="24"/>
        </w:rPr>
        <w:t xml:space="preserve"> </w:t>
      </w:r>
      <w:r>
        <w:rPr>
          <w:szCs w:val="24"/>
        </w:rPr>
        <w:t xml:space="preserve">of </w:t>
      </w:r>
      <w:r w:rsidR="002E47B3" w:rsidRPr="002E47B3">
        <w:rPr>
          <w:rStyle w:val="ProposalBodyTextChar"/>
          <w:szCs w:val="24"/>
        </w:rPr>
        <w:t>what works, why, and under what conditions.</w:t>
      </w:r>
      <w:r w:rsidR="00EC1154" w:rsidRPr="00EC1154">
        <w:t xml:space="preserve"> </w:t>
      </w:r>
      <w:r w:rsidR="00EC1154" w:rsidRPr="00DD1247">
        <w:t xml:space="preserve">Exhibit </w:t>
      </w:r>
      <w:r w:rsidR="00D83862" w:rsidRPr="00DD1247">
        <w:t>1</w:t>
      </w:r>
      <w:r w:rsidR="00EC1154" w:rsidRPr="00DD1247">
        <w:t xml:space="preserve"> </w:t>
      </w:r>
      <w:r w:rsidR="00A1370E" w:rsidRPr="00DD1247">
        <w:t>below</w:t>
      </w:r>
      <w:r w:rsidR="00A1370E">
        <w:t xml:space="preserve"> </w:t>
      </w:r>
      <w:r w:rsidR="00EC1154">
        <w:t>illustrates the major components of the NOE.</w:t>
      </w:r>
    </w:p>
    <w:p w14:paraId="101E4F90" w14:textId="77777777" w:rsidR="008117B7" w:rsidRDefault="008117B7" w:rsidP="008117B7">
      <w:pPr>
        <w:pStyle w:val="ProposalBodyText"/>
        <w:spacing w:after="120"/>
        <w:contextualSpacing w:val="0"/>
        <w:rPr>
          <w:rStyle w:val="ProposalBodyTextChar"/>
          <w:rFonts w:ascii="Tw Cen MT" w:hAnsi="Tw Cen MT"/>
          <w:b/>
        </w:rPr>
      </w:pPr>
      <w:proofErr w:type="gramStart"/>
      <w:r w:rsidRPr="00515C63">
        <w:rPr>
          <w:rStyle w:val="ProposalBodyTextChar"/>
          <w:rFonts w:ascii="Tw Cen MT" w:hAnsi="Tw Cen MT"/>
          <w:b/>
        </w:rPr>
        <w:t>Exhibit 1.</w:t>
      </w:r>
      <w:proofErr w:type="gramEnd"/>
      <w:r w:rsidRPr="00225DF2">
        <w:rPr>
          <w:rStyle w:val="ProposalBodyTextChar"/>
          <w:rFonts w:ascii="Tw Cen MT" w:hAnsi="Tw Cen MT"/>
          <w:b/>
        </w:rPr>
        <w:t xml:space="preserve"> </w:t>
      </w:r>
      <w:r>
        <w:rPr>
          <w:rStyle w:val="ProposalBodyTextChar"/>
          <w:rFonts w:ascii="Tw Cen MT" w:hAnsi="Tw Cen MT"/>
          <w:b/>
        </w:rPr>
        <w:t xml:space="preserve">GLS Suicide Prevention Program National Outcomes Evaluation </w:t>
      </w:r>
      <w:r w:rsidRPr="00225DF2">
        <w:rPr>
          <w:rStyle w:val="ProposalBodyTextChar"/>
          <w:rFonts w:ascii="Tw Cen MT" w:hAnsi="Tw Cen MT"/>
          <w:b/>
        </w:rPr>
        <w:t>Components</w:t>
      </w:r>
    </w:p>
    <w:p w14:paraId="5A9B1481" w14:textId="0A6E7C72" w:rsidR="008117B7" w:rsidRDefault="008117B7" w:rsidP="008117B7">
      <w:pPr>
        <w:pStyle w:val="ProposalBodyText"/>
        <w:spacing w:after="200"/>
        <w:contextualSpacing w:val="0"/>
        <w:jc w:val="center"/>
      </w:pPr>
      <w:r>
        <w:rPr>
          <w:rFonts w:eastAsia="Calibri"/>
          <w:noProof/>
        </w:rPr>
        <w:drawing>
          <wp:inline distT="0" distB="0" distL="0" distR="0" wp14:anchorId="4BA8E440" wp14:editId="3D7E661C">
            <wp:extent cx="5482295" cy="372427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45619" cy="3767293"/>
                    </a:xfrm>
                    <a:prstGeom prst="rect">
                      <a:avLst/>
                    </a:prstGeom>
                    <a:noFill/>
                  </pic:spPr>
                </pic:pic>
              </a:graphicData>
            </a:graphic>
          </wp:inline>
        </w:drawing>
      </w:r>
    </w:p>
    <w:p w14:paraId="0E7210BB" w14:textId="36067F8A" w:rsidR="009D4F0B" w:rsidRDefault="00EC1154" w:rsidP="008117B7">
      <w:pPr>
        <w:pStyle w:val="ProposalBodyText"/>
        <w:spacing w:before="240" w:after="200"/>
        <w:contextualSpacing w:val="0"/>
        <w:rPr>
          <w:rFonts w:eastAsia="Calibri"/>
        </w:rPr>
      </w:pPr>
      <w:r>
        <w:rPr>
          <w:rFonts w:eastAsia="Calibri"/>
          <w:szCs w:val="24"/>
        </w:rPr>
        <w:t>The NOE aims to answer three overarching evaluation questions</w:t>
      </w:r>
      <w:r w:rsidR="00AB5AF4">
        <w:rPr>
          <w:rFonts w:eastAsia="Calibri"/>
          <w:szCs w:val="24"/>
        </w:rPr>
        <w:t xml:space="preserve"> (EQs)</w:t>
      </w:r>
      <w:r>
        <w:rPr>
          <w:rFonts w:eastAsia="Calibri"/>
          <w:szCs w:val="24"/>
        </w:rPr>
        <w:t xml:space="preserve">. </w:t>
      </w:r>
      <w:r w:rsidRPr="002E47B3">
        <w:rPr>
          <w:rFonts w:eastAsia="Calibri"/>
          <w:szCs w:val="24"/>
        </w:rPr>
        <w:t xml:space="preserve">By design, each of the </w:t>
      </w:r>
      <w:r>
        <w:rPr>
          <w:rFonts w:eastAsia="Calibri"/>
          <w:szCs w:val="24"/>
        </w:rPr>
        <w:t xml:space="preserve">three </w:t>
      </w:r>
      <w:r w:rsidRPr="002E47B3">
        <w:rPr>
          <w:rFonts w:eastAsia="Calibri"/>
          <w:szCs w:val="24"/>
        </w:rPr>
        <w:t xml:space="preserve">studies seeks to answer an overarching question and associated </w:t>
      </w:r>
      <w:proofErr w:type="spellStart"/>
      <w:r w:rsidRPr="002E47B3">
        <w:rPr>
          <w:rFonts w:eastAsia="Calibri"/>
          <w:szCs w:val="24"/>
        </w:rPr>
        <w:t>subquestions</w:t>
      </w:r>
      <w:proofErr w:type="spellEnd"/>
      <w:r w:rsidRPr="002E47B3">
        <w:rPr>
          <w:rFonts w:eastAsia="Calibri"/>
          <w:szCs w:val="24"/>
        </w:rPr>
        <w:t>.</w:t>
      </w:r>
      <w:r w:rsidR="0055319F">
        <w:rPr>
          <w:rFonts w:eastAsia="Calibri"/>
          <w:szCs w:val="24"/>
        </w:rPr>
        <w:t xml:space="preserve"> Data collected through the RNS, TUP-S Campus, and SMSS will be combined with previously-collected data for those cohorts and analyzed as part of the f</w:t>
      </w:r>
      <w:r w:rsidR="008904C7">
        <w:rPr>
          <w:rFonts w:eastAsia="Calibri"/>
          <w:szCs w:val="24"/>
        </w:rPr>
        <w:t>our-stage evaluation design</w:t>
      </w:r>
      <w:r w:rsidR="0055319F">
        <w:rPr>
          <w:rFonts w:eastAsia="Calibri"/>
          <w:szCs w:val="24"/>
        </w:rPr>
        <w:t>.</w:t>
      </w:r>
    </w:p>
    <w:p w14:paraId="2E18E6C8" w14:textId="77777777" w:rsidR="009D4F0B" w:rsidRPr="00A1370E" w:rsidRDefault="009D4F0B" w:rsidP="008117B7">
      <w:pPr>
        <w:pStyle w:val="GLSBody"/>
        <w:keepNext/>
        <w:spacing w:after="60"/>
        <w:rPr>
          <w:rFonts w:ascii="Tw Cen MT" w:eastAsia="Calibri" w:hAnsi="Tw Cen MT"/>
          <w:b/>
        </w:rPr>
      </w:pPr>
      <w:r w:rsidRPr="00A1370E">
        <w:rPr>
          <w:rFonts w:ascii="Tw Cen MT" w:hAnsi="Tw Cen MT"/>
          <w:b/>
        </w:rPr>
        <w:t>EQ-1: Training Study</w:t>
      </w:r>
    </w:p>
    <w:p w14:paraId="0C5A4586" w14:textId="77777777" w:rsidR="009D4F0B" w:rsidRDefault="009D4F0B" w:rsidP="003536EA">
      <w:pPr>
        <w:pStyle w:val="ProposalBodyText"/>
        <w:numPr>
          <w:ilvl w:val="0"/>
          <w:numId w:val="52"/>
        </w:numPr>
        <w:spacing w:after="120"/>
        <w:contextualSpacing w:val="0"/>
        <w:rPr>
          <w:i/>
          <w:szCs w:val="24"/>
        </w:rPr>
      </w:pPr>
      <w:r w:rsidRPr="00811DD0">
        <w:rPr>
          <w:i/>
          <w:szCs w:val="24"/>
        </w:rPr>
        <w:t xml:space="preserve">Are certain training approaches effective in building capacity to increase youth identification (when compared with more basic trainings)? </w:t>
      </w:r>
    </w:p>
    <w:p w14:paraId="7E29E85D" w14:textId="77777777" w:rsidR="009D4F0B" w:rsidRPr="00BB38BA" w:rsidRDefault="009D4F0B" w:rsidP="00A1370E">
      <w:pPr>
        <w:pStyle w:val="ProposalBodyText"/>
        <w:keepNext/>
        <w:spacing w:after="60"/>
        <w:contextualSpacing w:val="0"/>
        <w:rPr>
          <w:rFonts w:ascii="Tw Cen MT" w:hAnsi="Tw Cen MT" w:cs="Arial"/>
          <w:b/>
          <w:szCs w:val="24"/>
        </w:rPr>
      </w:pPr>
      <w:r w:rsidRPr="00BB38BA">
        <w:rPr>
          <w:rFonts w:ascii="Tw Cen MT" w:eastAsia="Calibri" w:hAnsi="Tw Cen MT"/>
          <w:b/>
          <w:szCs w:val="24"/>
        </w:rPr>
        <w:t xml:space="preserve">EQ-2: Continuity of Care Study  </w:t>
      </w:r>
    </w:p>
    <w:p w14:paraId="28C42AF4" w14:textId="77777777" w:rsidR="009D4F0B" w:rsidRDefault="009D4F0B" w:rsidP="003536EA">
      <w:pPr>
        <w:pStyle w:val="ProposalBodyText"/>
        <w:numPr>
          <w:ilvl w:val="0"/>
          <w:numId w:val="52"/>
        </w:numPr>
        <w:spacing w:after="120"/>
        <w:contextualSpacing w:val="0"/>
        <w:rPr>
          <w:i/>
          <w:szCs w:val="24"/>
        </w:rPr>
      </w:pPr>
      <w:r w:rsidRPr="00811DD0">
        <w:rPr>
          <w:i/>
          <w:szCs w:val="24"/>
        </w:rPr>
        <w:t xml:space="preserve">Are GLS prevention activities effective in developing continuity of care from identification, to referral of at-risk youth, to the provision of needed services? Are early identification and referral practices associated with service receipt and follow-up treatment adherence compared with those not retained in services? </w:t>
      </w:r>
    </w:p>
    <w:p w14:paraId="08B08D2A" w14:textId="77777777" w:rsidR="009D4F0B" w:rsidRPr="00BB38BA" w:rsidRDefault="009D4F0B" w:rsidP="00A1370E">
      <w:pPr>
        <w:pStyle w:val="ProposalBodyText"/>
        <w:keepNext/>
        <w:spacing w:after="60"/>
        <w:contextualSpacing w:val="0"/>
        <w:rPr>
          <w:rFonts w:ascii="Tw Cen MT" w:hAnsi="Tw Cen MT" w:cs="Arial"/>
          <w:b/>
          <w:szCs w:val="24"/>
        </w:rPr>
      </w:pPr>
      <w:r w:rsidRPr="00BB38BA">
        <w:rPr>
          <w:rFonts w:ascii="Tw Cen MT" w:eastAsia="Calibri" w:hAnsi="Tw Cen MT"/>
          <w:b/>
          <w:szCs w:val="24"/>
        </w:rPr>
        <w:t xml:space="preserve">EQ-3: Suicide Safer Environment Study  </w:t>
      </w:r>
    </w:p>
    <w:p w14:paraId="78243269" w14:textId="77777777" w:rsidR="009D4F0B" w:rsidRDefault="009D4F0B" w:rsidP="003536EA">
      <w:pPr>
        <w:pStyle w:val="ProposalBodyText"/>
        <w:numPr>
          <w:ilvl w:val="0"/>
          <w:numId w:val="52"/>
        </w:numPr>
        <w:spacing w:after="240"/>
        <w:contextualSpacing w:val="0"/>
        <w:rPr>
          <w:i/>
          <w:szCs w:val="24"/>
        </w:rPr>
      </w:pPr>
      <w:r w:rsidRPr="00811DD0">
        <w:rPr>
          <w:i/>
          <w:szCs w:val="24"/>
        </w:rPr>
        <w:t xml:space="preserve">Does the provision of services by GLS behavioral health provider networks implementing a zero suicide framework reduce suicide attempts, hospitalization, and associated costs (return on investment) compared with non-GLS behavioral health providers? </w:t>
      </w:r>
    </w:p>
    <w:p w14:paraId="6B6D0570" w14:textId="19380D3D" w:rsidR="00B0516F" w:rsidRPr="00377228" w:rsidRDefault="0030427C" w:rsidP="001E50ED">
      <w:pPr>
        <w:pStyle w:val="BodyText"/>
        <w:numPr>
          <w:ilvl w:val="0"/>
          <w:numId w:val="42"/>
        </w:numPr>
        <w:tabs>
          <w:tab w:val="left" w:pos="1563"/>
        </w:tabs>
        <w:spacing w:before="240" w:after="120"/>
        <w:rPr>
          <w:rFonts w:ascii="Tw Cen MT" w:hAnsi="Tw Cen MT" w:cs="Arial"/>
          <w:b/>
          <w:sz w:val="28"/>
          <w:szCs w:val="28"/>
        </w:rPr>
      </w:pPr>
      <w:r w:rsidRPr="00377228">
        <w:rPr>
          <w:rFonts w:ascii="Tw Cen MT" w:hAnsi="Tw Cen MT" w:cs="Arial"/>
          <w:b/>
          <w:sz w:val="28"/>
          <w:szCs w:val="28"/>
        </w:rPr>
        <w:t>Current Findings</w:t>
      </w:r>
    </w:p>
    <w:p w14:paraId="231BE044" w14:textId="7AE67FF9" w:rsidR="007724F2" w:rsidRDefault="00A47806" w:rsidP="000F7808">
      <w:pPr>
        <w:pStyle w:val="ProposalBodyText"/>
        <w:spacing w:after="200"/>
        <w:contextualSpacing w:val="0"/>
      </w:pPr>
      <w:r w:rsidRPr="00016F35">
        <w:t xml:space="preserve">Since 2005, the cross-site evaluation of the GLS Suicide Prevention Program has gathered evaluation data on GLS grantee programs, resulting in the greatest repository of suicide prevention evaluation information available. </w:t>
      </w:r>
      <w:r>
        <w:rPr>
          <w:szCs w:val="24"/>
        </w:rPr>
        <w:t xml:space="preserve">The cross-site </w:t>
      </w:r>
      <w:r w:rsidRPr="00AC1096">
        <w:rPr>
          <w:szCs w:val="24"/>
        </w:rPr>
        <w:t xml:space="preserve">evaluation has provided continuous documentation of the context in which funded suicide prevention activities are being implemented; the utilization of products and services </w:t>
      </w:r>
      <w:r w:rsidRPr="00F83687">
        <w:rPr>
          <w:szCs w:val="24"/>
        </w:rPr>
        <w:t>being  generated and supported through grant funding; and the impact of grant funding on identification, referral, and follow-up activities.</w:t>
      </w:r>
      <w:r w:rsidR="007724F2">
        <w:rPr>
          <w:szCs w:val="24"/>
        </w:rPr>
        <w:t xml:space="preserve"> </w:t>
      </w:r>
      <w:r w:rsidRPr="002E050E">
        <w:t xml:space="preserve">Through participation </w:t>
      </w:r>
      <w:r w:rsidRPr="00071ED9">
        <w:t xml:space="preserve">in evaluation, GLS grantees are generating data regarding the nature and extent of suicide prevention activities across the United States, and have provided important data regarding the impact of programs in terms of numbers of individuals affected (e.g., screened, trained) and proximal outcomes of efforts (e.g., increased knowledge or awareness, numbers of youth at risk referred for services). </w:t>
      </w:r>
      <w:r w:rsidR="00811DD0">
        <w:t>Moving forward, t</w:t>
      </w:r>
      <w:r w:rsidR="00811DD0" w:rsidRPr="00016F35">
        <w:t xml:space="preserve">he capacity and </w:t>
      </w:r>
      <w:r w:rsidR="00811DD0" w:rsidRPr="00E8097A">
        <w:t xml:space="preserve">infrastructure </w:t>
      </w:r>
      <w:r w:rsidR="00811DD0">
        <w:t xml:space="preserve">of the GLS Suicide Prevention Program </w:t>
      </w:r>
      <w:r w:rsidR="00811DD0" w:rsidRPr="00E8097A">
        <w:t>need to be elucidated to facilitate</w:t>
      </w:r>
      <w:r w:rsidR="00811DD0" w:rsidRPr="00016F35">
        <w:t xml:space="preserve"> the early identification, referral, and follow-up of </w:t>
      </w:r>
      <w:r w:rsidR="00811DD0">
        <w:t>youth</w:t>
      </w:r>
      <w:r w:rsidR="00811DD0" w:rsidRPr="00016F35">
        <w:t xml:space="preserve"> at risk (</w:t>
      </w:r>
      <w:proofErr w:type="spellStart"/>
      <w:r w:rsidR="00811DD0" w:rsidRPr="00016F35">
        <w:t>Heilbron</w:t>
      </w:r>
      <w:proofErr w:type="spellEnd"/>
      <w:r w:rsidR="00811DD0" w:rsidRPr="00016F35">
        <w:t xml:space="preserve">, </w:t>
      </w:r>
      <w:proofErr w:type="spellStart"/>
      <w:r w:rsidR="00811DD0" w:rsidRPr="00016F35">
        <w:t>Goldston</w:t>
      </w:r>
      <w:proofErr w:type="spellEnd"/>
      <w:r w:rsidR="00811DD0" w:rsidRPr="00016F35">
        <w:t xml:space="preserve">, Walrath, </w:t>
      </w:r>
      <w:proofErr w:type="spellStart"/>
      <w:r w:rsidR="00811DD0" w:rsidRPr="00016F35">
        <w:t>Rodi</w:t>
      </w:r>
      <w:proofErr w:type="spellEnd"/>
      <w:r w:rsidR="00811DD0" w:rsidRPr="00016F35">
        <w:t xml:space="preserve">, &amp; McKeon, 2013; </w:t>
      </w:r>
      <w:proofErr w:type="spellStart"/>
      <w:r w:rsidR="00811DD0" w:rsidRPr="00016F35">
        <w:t>Rodi</w:t>
      </w:r>
      <w:proofErr w:type="spellEnd"/>
      <w:r w:rsidR="00811DD0" w:rsidRPr="00016F35">
        <w:t xml:space="preserve"> et al., 2012).</w:t>
      </w:r>
    </w:p>
    <w:p w14:paraId="6A8A2A48" w14:textId="1AB3DCE7" w:rsidR="00CB2486" w:rsidRDefault="0092755E" w:rsidP="000F7808">
      <w:pPr>
        <w:pStyle w:val="SuicideBodyText"/>
        <w:spacing w:after="200"/>
      </w:pPr>
      <w:r w:rsidRPr="0013759B">
        <w:t>Gatekeeper training has been identified as a critical element in suicide prevention efforts (Isaac et al., 2009).</w:t>
      </w:r>
      <w:r>
        <w:t xml:space="preserve"> </w:t>
      </w:r>
      <w:r w:rsidRPr="0013759B">
        <w:t xml:space="preserve">Over 747,108 individuals have participated in trainings and educational seminars </w:t>
      </w:r>
      <w:r w:rsidRPr="00CB2486">
        <w:t xml:space="preserve">sponsored by the GLS Suicide Prevention Program since 2006 (ICF International, 2014). </w:t>
      </w:r>
      <w:r w:rsidR="003F0E6F">
        <w:t>These trainings have b</w:t>
      </w:r>
      <w:r w:rsidRPr="0013759B">
        <w:t>een found to increase knowledge of suicide intervention, skills, attitudes, and intention to help someone at risk for suicide, including school counselors and teachers (King &amp; Smith, 2000; Reis &amp; Cornell, 2008; Wyman, 2008); juvenile justice and child welfare staff members (Keller et al., 2009); those working with veterans (</w:t>
      </w:r>
      <w:proofErr w:type="spellStart"/>
      <w:r w:rsidRPr="0013759B">
        <w:t>Matthieu</w:t>
      </w:r>
      <w:proofErr w:type="spellEnd"/>
      <w:r w:rsidRPr="0013759B">
        <w:t xml:space="preserve">, Cross, </w:t>
      </w:r>
      <w:proofErr w:type="spellStart"/>
      <w:r w:rsidRPr="0013759B">
        <w:t>Batres</w:t>
      </w:r>
      <w:proofErr w:type="spellEnd"/>
      <w:r w:rsidRPr="0013759B">
        <w:t>, Flora, &amp; Knox, 2008); and others (Isaac et al., 2009).</w:t>
      </w:r>
      <w:r>
        <w:t xml:space="preserve"> Findings from the evaluation indicate that </w:t>
      </w:r>
      <w:r w:rsidRPr="0013759B">
        <w:t xml:space="preserve">GLS-trained gatekeepers are identifying youth at risk across service settings, and those </w:t>
      </w:r>
      <w:r>
        <w:t>youth</w:t>
      </w:r>
      <w:r w:rsidRPr="0013759B">
        <w:t xml:space="preserve"> are being referred for services without regard for race, gender, or the settings in which they are identified (</w:t>
      </w:r>
      <w:proofErr w:type="spellStart"/>
      <w:r w:rsidRPr="0013759B">
        <w:t>Rodi</w:t>
      </w:r>
      <w:proofErr w:type="spellEnd"/>
      <w:r w:rsidRPr="0013759B">
        <w:t xml:space="preserve"> et al., 2012). </w:t>
      </w:r>
      <w:r w:rsidR="00CB2486" w:rsidRPr="00016F35">
        <w:t>The evaluation has also provided initial findings that indicate a positive collective impact of GLS Suicide Prevention-sponsored suicide prevention trainings on subsequent identification behavior of</w:t>
      </w:r>
      <w:r w:rsidR="00CB2486">
        <w:t xml:space="preserve"> trainees (</w:t>
      </w:r>
      <w:proofErr w:type="spellStart"/>
      <w:r w:rsidR="00CB2486">
        <w:t>Condron</w:t>
      </w:r>
      <w:proofErr w:type="spellEnd"/>
      <w:r w:rsidR="00CB2486">
        <w:t>, Godoy-</w:t>
      </w:r>
      <w:proofErr w:type="spellStart"/>
      <w:r w:rsidR="00CB2486">
        <w:t>Garra</w:t>
      </w:r>
      <w:r w:rsidR="00CB2486" w:rsidRPr="00016F35">
        <w:t>za</w:t>
      </w:r>
      <w:proofErr w:type="spellEnd"/>
      <w:r w:rsidR="00CB2486" w:rsidRPr="00016F35">
        <w:t xml:space="preserve">, Walrath, McKeon, &amp; </w:t>
      </w:r>
      <w:proofErr w:type="spellStart"/>
      <w:r w:rsidR="00CB2486" w:rsidRPr="00016F35">
        <w:t>Heilbron</w:t>
      </w:r>
      <w:proofErr w:type="spellEnd"/>
      <w:r w:rsidR="00CB2486" w:rsidRPr="00016F35">
        <w:t xml:space="preserve">, 2014) and establishes the effect of GLS Suicide Prevention Program trainings on youth </w:t>
      </w:r>
      <w:r w:rsidR="00B0516F" w:rsidRPr="00016F35">
        <w:t>suicide attempts</w:t>
      </w:r>
      <w:r w:rsidR="00B0516F">
        <w:t xml:space="preserve"> and suicide mortality; findings indicate</w:t>
      </w:r>
      <w:r w:rsidR="00B0516F" w:rsidRPr="00B0516F">
        <w:t xml:space="preserve"> </w:t>
      </w:r>
      <w:r w:rsidR="00B0516F" w:rsidRPr="00A655EC">
        <w:t>that counties where GLS trainings were implemented had lower suicide rates in the year following training events compared to similar counties that did not have GLS trainings</w:t>
      </w:r>
      <w:r w:rsidR="00B0516F" w:rsidRPr="0013759B">
        <w:t xml:space="preserve"> </w:t>
      </w:r>
      <w:r w:rsidR="00CB2486" w:rsidRPr="00016F35">
        <w:t>(Walrath, Godoy-</w:t>
      </w:r>
      <w:proofErr w:type="spellStart"/>
      <w:r w:rsidR="00CB2486" w:rsidRPr="00016F35">
        <w:t>Garraza</w:t>
      </w:r>
      <w:proofErr w:type="spellEnd"/>
      <w:r w:rsidR="00CB2486" w:rsidRPr="00016F35">
        <w:t xml:space="preserve">, Reid, </w:t>
      </w:r>
      <w:proofErr w:type="spellStart"/>
      <w:r w:rsidR="00CB2486" w:rsidRPr="00016F35">
        <w:t>Goldston</w:t>
      </w:r>
      <w:proofErr w:type="spellEnd"/>
      <w:r w:rsidR="00CB2486" w:rsidRPr="00016F35">
        <w:t>, &amp; McKeon, in press</w:t>
      </w:r>
      <w:r w:rsidR="00B0516F">
        <w:t xml:space="preserve">; </w:t>
      </w:r>
      <w:r w:rsidR="00B0516F" w:rsidRPr="0013759B">
        <w:t>SAMHSA, 2013b</w:t>
      </w:r>
      <w:r w:rsidR="00CB2486" w:rsidRPr="00016F35">
        <w:t xml:space="preserve">). </w:t>
      </w:r>
    </w:p>
    <w:p w14:paraId="375F27F8" w14:textId="49C76870" w:rsidR="007724F2" w:rsidRPr="00034EE7" w:rsidRDefault="00034EE7" w:rsidP="000F7808">
      <w:pPr>
        <w:pStyle w:val="ListBullet"/>
        <w:numPr>
          <w:ilvl w:val="0"/>
          <w:numId w:val="0"/>
        </w:numPr>
        <w:spacing w:after="200"/>
        <w:jc w:val="both"/>
        <w:rPr>
          <w:b/>
          <w:szCs w:val="24"/>
        </w:rPr>
      </w:pPr>
      <w:r>
        <w:rPr>
          <w:szCs w:val="24"/>
        </w:rPr>
        <w:t>Further, a</w:t>
      </w:r>
      <w:r w:rsidR="007724F2" w:rsidRPr="0013759B">
        <w:rPr>
          <w:szCs w:val="24"/>
        </w:rPr>
        <w:t xml:space="preserve">fter identification and </w:t>
      </w:r>
      <w:r w:rsidR="007724F2" w:rsidRPr="007724F2">
        <w:rPr>
          <w:szCs w:val="24"/>
        </w:rPr>
        <w:t>referral, best practices call for tracking</w:t>
      </w:r>
      <w:r w:rsidR="007724F2" w:rsidRPr="0013759B">
        <w:rPr>
          <w:szCs w:val="24"/>
        </w:rPr>
        <w:t xml:space="preserve"> and monitoring of </w:t>
      </w:r>
      <w:r w:rsidR="0092755E">
        <w:rPr>
          <w:szCs w:val="24"/>
        </w:rPr>
        <w:t>youth</w:t>
      </w:r>
      <w:r w:rsidR="007724F2" w:rsidRPr="0013759B">
        <w:rPr>
          <w:szCs w:val="24"/>
        </w:rPr>
        <w:t xml:space="preserve"> into follow-up services to ensure </w:t>
      </w:r>
      <w:r w:rsidR="00CC5AF3">
        <w:rPr>
          <w:szCs w:val="24"/>
        </w:rPr>
        <w:t>service receipt</w:t>
      </w:r>
      <w:r w:rsidR="007724F2" w:rsidRPr="0013759B">
        <w:rPr>
          <w:szCs w:val="24"/>
        </w:rPr>
        <w:t xml:space="preserve"> and </w:t>
      </w:r>
      <w:r w:rsidR="00CC5AF3">
        <w:rPr>
          <w:szCs w:val="24"/>
        </w:rPr>
        <w:t xml:space="preserve">prevent </w:t>
      </w:r>
      <w:r w:rsidR="0092755E">
        <w:rPr>
          <w:szCs w:val="24"/>
        </w:rPr>
        <w:t>youth</w:t>
      </w:r>
      <w:r w:rsidR="007724F2" w:rsidRPr="0013759B">
        <w:rPr>
          <w:szCs w:val="24"/>
        </w:rPr>
        <w:t xml:space="preserve"> </w:t>
      </w:r>
      <w:r w:rsidR="00CC5AF3">
        <w:rPr>
          <w:szCs w:val="24"/>
        </w:rPr>
        <w:t xml:space="preserve">from </w:t>
      </w:r>
      <w:r w:rsidR="007724F2" w:rsidRPr="0013759B">
        <w:rPr>
          <w:szCs w:val="24"/>
        </w:rPr>
        <w:t>‘fall</w:t>
      </w:r>
      <w:r w:rsidR="00CC5AF3">
        <w:rPr>
          <w:szCs w:val="24"/>
        </w:rPr>
        <w:t>ing</w:t>
      </w:r>
      <w:r w:rsidR="007724F2" w:rsidRPr="0013759B">
        <w:rPr>
          <w:szCs w:val="24"/>
        </w:rPr>
        <w:t xml:space="preserve"> through the cracks’ after identification. </w:t>
      </w:r>
      <w:r w:rsidR="00CC5AF3">
        <w:rPr>
          <w:szCs w:val="24"/>
        </w:rPr>
        <w:t>To date,</w:t>
      </w:r>
      <w:r w:rsidR="007724F2" w:rsidRPr="0013759B">
        <w:rPr>
          <w:szCs w:val="24"/>
        </w:rPr>
        <w:t xml:space="preserve"> evaluation ha</w:t>
      </w:r>
      <w:r>
        <w:rPr>
          <w:szCs w:val="24"/>
        </w:rPr>
        <w:t>ve</w:t>
      </w:r>
      <w:r w:rsidR="007724F2" w:rsidRPr="0013759B">
        <w:rPr>
          <w:szCs w:val="24"/>
        </w:rPr>
        <w:t xml:space="preserve"> demonstrated that the majority of </w:t>
      </w:r>
      <w:r w:rsidR="0092755E">
        <w:rPr>
          <w:szCs w:val="24"/>
        </w:rPr>
        <w:t>youth</w:t>
      </w:r>
      <w:r w:rsidR="007724F2" w:rsidRPr="0013759B">
        <w:rPr>
          <w:szCs w:val="24"/>
        </w:rPr>
        <w:t xml:space="preserve"> identified through either a screening (75%) or a gatekeeper (88%) received a mental health referral. Nearly all </w:t>
      </w:r>
      <w:r w:rsidR="0092755E">
        <w:rPr>
          <w:szCs w:val="24"/>
        </w:rPr>
        <w:t>youth</w:t>
      </w:r>
      <w:r w:rsidR="007724F2" w:rsidRPr="0013759B">
        <w:rPr>
          <w:szCs w:val="24"/>
        </w:rPr>
        <w:t xml:space="preserve"> who were identified through gatekeepers (94%) received a mental health service within 3 months of the referral. </w:t>
      </w:r>
      <w:r>
        <w:rPr>
          <w:szCs w:val="24"/>
        </w:rPr>
        <w:t>However, w</w:t>
      </w:r>
      <w:r w:rsidR="007724F2" w:rsidRPr="0013759B">
        <w:rPr>
          <w:szCs w:val="24"/>
        </w:rPr>
        <w:t xml:space="preserve">hile early findings of the GLS Suicide Prevention Program have demonstrated that 65% of referred </w:t>
      </w:r>
      <w:r w:rsidR="0092755E">
        <w:rPr>
          <w:szCs w:val="24"/>
        </w:rPr>
        <w:t>youth</w:t>
      </w:r>
      <w:r w:rsidR="007724F2" w:rsidRPr="0013759B">
        <w:rPr>
          <w:szCs w:val="24"/>
        </w:rPr>
        <w:t xml:space="preserve"> received a service within 3 months of the referral, approximately 35% did not (SAMHSA, 2013). Learning more about this pathway of care, as well as the factors that support follow-up care and treatment adherence, will be important to guide future policies and practices for supporting youth identified both </w:t>
      </w:r>
      <w:r w:rsidR="007724F2" w:rsidRPr="00034EE7">
        <w:rPr>
          <w:szCs w:val="24"/>
        </w:rPr>
        <w:t xml:space="preserve">through gatekeeper identifications and screenings. </w:t>
      </w:r>
    </w:p>
    <w:p w14:paraId="4A53490A" w14:textId="52BFD0B0" w:rsidR="009A3E74" w:rsidRDefault="0092755E" w:rsidP="000F7808">
      <w:pPr>
        <w:pStyle w:val="BodyText"/>
        <w:tabs>
          <w:tab w:val="left" w:pos="1563"/>
        </w:tabs>
        <w:spacing w:after="200"/>
        <w:rPr>
          <w:rFonts w:ascii="Times New Roman" w:hAnsi="Times New Roman" w:cs="Times New Roman"/>
          <w:sz w:val="24"/>
          <w:szCs w:val="24"/>
        </w:rPr>
      </w:pPr>
      <w:r w:rsidRPr="00034EE7">
        <w:rPr>
          <w:rFonts w:ascii="Times New Roman" w:hAnsi="Times New Roman" w:cs="Times New Roman"/>
          <w:sz w:val="24"/>
          <w:szCs w:val="24"/>
        </w:rPr>
        <w:t xml:space="preserve">Collectively, this information has been used to help guide the field of suicide prevention across the nation's communities; document the GLS Suicide Prevention Programs; and contribute to findings on the relationship of training length and identification of </w:t>
      </w:r>
      <w:r>
        <w:rPr>
          <w:rFonts w:ascii="Times New Roman" w:hAnsi="Times New Roman" w:cs="Times New Roman"/>
          <w:sz w:val="24"/>
          <w:szCs w:val="24"/>
        </w:rPr>
        <w:t>youth</w:t>
      </w:r>
      <w:r w:rsidRPr="00034EE7">
        <w:rPr>
          <w:rFonts w:ascii="Times New Roman" w:hAnsi="Times New Roman" w:cs="Times New Roman"/>
          <w:sz w:val="24"/>
          <w:szCs w:val="24"/>
        </w:rPr>
        <w:t xml:space="preserve"> at risk for suicide and overall reductions in </w:t>
      </w:r>
      <w:r w:rsidRPr="003F0E6F">
        <w:rPr>
          <w:rFonts w:ascii="Times New Roman" w:hAnsi="Times New Roman" w:cs="Times New Roman"/>
          <w:sz w:val="24"/>
          <w:szCs w:val="24"/>
        </w:rPr>
        <w:t xml:space="preserve">suicide death during the year following trainings. </w:t>
      </w:r>
      <w:r w:rsidR="003F0E6F" w:rsidRPr="003F0E6F">
        <w:rPr>
          <w:rFonts w:ascii="Times New Roman" w:hAnsi="Times New Roman" w:cs="Times New Roman"/>
          <w:sz w:val="24"/>
          <w:szCs w:val="24"/>
        </w:rPr>
        <w:t>For example, ICF has recently shown that, for participants typically interacting with youth in school settings, a larger number of identifications were associated with participation in longer gatekeeper training when compared with shorter trainings 3 months after the activity (</w:t>
      </w:r>
      <w:proofErr w:type="spellStart"/>
      <w:r w:rsidR="003F0E6F" w:rsidRPr="003F0E6F">
        <w:rPr>
          <w:rFonts w:ascii="Times New Roman" w:hAnsi="Times New Roman" w:cs="Times New Roman"/>
          <w:sz w:val="24"/>
          <w:szCs w:val="24"/>
        </w:rPr>
        <w:t>Condron</w:t>
      </w:r>
      <w:proofErr w:type="spellEnd"/>
      <w:r w:rsidR="003F0E6F" w:rsidRPr="003F0E6F">
        <w:rPr>
          <w:rFonts w:ascii="Times New Roman" w:hAnsi="Times New Roman" w:cs="Times New Roman"/>
          <w:sz w:val="24"/>
          <w:szCs w:val="24"/>
        </w:rPr>
        <w:t xml:space="preserve"> et al., 2014). </w:t>
      </w:r>
      <w:r w:rsidRPr="003F0E6F">
        <w:rPr>
          <w:rFonts w:ascii="Times New Roman" w:hAnsi="Times New Roman" w:cs="Times New Roman"/>
          <w:sz w:val="24"/>
          <w:szCs w:val="24"/>
        </w:rPr>
        <w:t>However, the</w:t>
      </w:r>
      <w:r w:rsidR="00A47806" w:rsidRPr="003F0E6F">
        <w:rPr>
          <w:rFonts w:ascii="Times New Roman" w:hAnsi="Times New Roman" w:cs="Times New Roman"/>
          <w:sz w:val="24"/>
          <w:szCs w:val="24"/>
        </w:rPr>
        <w:t>re has been little use of experimental approaches (e.g., randomization and controls) that would allow inferences to be drawn about</w:t>
      </w:r>
      <w:r w:rsidR="00A47806" w:rsidRPr="00702DBA">
        <w:rPr>
          <w:rFonts w:ascii="Times New Roman" w:hAnsi="Times New Roman" w:cs="Times New Roman"/>
          <w:sz w:val="24"/>
          <w:szCs w:val="24"/>
        </w:rPr>
        <w:t xml:space="preserve"> the efficacy or effectiveness of suicide prevention programs in affected versus non-affected communities. </w:t>
      </w:r>
      <w:r w:rsidR="00A47806" w:rsidRPr="00AC1096">
        <w:rPr>
          <w:rFonts w:ascii="Times New Roman" w:hAnsi="Times New Roman" w:cs="Times New Roman"/>
          <w:sz w:val="24"/>
          <w:szCs w:val="24"/>
        </w:rPr>
        <w:t>In addition, it has been inappropriate to draw definitive inferences about the comparative effectiveness of suicide prevention approaches (e.g., one method of suicide screening or gatekeeper training versus another) used</w:t>
      </w:r>
      <w:r w:rsidR="00A47806">
        <w:rPr>
          <w:rFonts w:ascii="Times New Roman" w:hAnsi="Times New Roman" w:cs="Times New Roman"/>
          <w:sz w:val="24"/>
          <w:szCs w:val="24"/>
        </w:rPr>
        <w:t xml:space="preserve"> in different GLS funded sites. </w:t>
      </w:r>
    </w:p>
    <w:p w14:paraId="25EB6BB0" w14:textId="100EF1C2" w:rsidR="009A3E74" w:rsidRDefault="003F0E6F" w:rsidP="000F7808">
      <w:pPr>
        <w:pStyle w:val="BodyText"/>
        <w:tabs>
          <w:tab w:val="left" w:pos="1563"/>
        </w:tabs>
        <w:spacing w:after="200"/>
        <w:rPr>
          <w:rFonts w:ascii="Times New Roman" w:hAnsi="Times New Roman" w:cs="Times New Roman"/>
          <w:sz w:val="24"/>
          <w:szCs w:val="24"/>
        </w:rPr>
      </w:pPr>
      <w:r w:rsidRPr="009A6590">
        <w:rPr>
          <w:rFonts w:ascii="Times New Roman" w:hAnsi="Times New Roman" w:cs="Times New Roman"/>
          <w:sz w:val="24"/>
          <w:szCs w:val="24"/>
        </w:rPr>
        <w:t>The updated design ensures that the methods selected maximize the opportunity for high-quality data collection addressing impact, while working</w:t>
      </w:r>
      <w:r>
        <w:rPr>
          <w:rFonts w:ascii="Times New Roman" w:hAnsi="Times New Roman" w:cs="Times New Roman"/>
          <w:sz w:val="24"/>
          <w:szCs w:val="24"/>
        </w:rPr>
        <w:t xml:space="preserve"> to overcome common challenges. </w:t>
      </w:r>
      <w:r w:rsidR="00A47806" w:rsidRPr="00AC1096">
        <w:rPr>
          <w:rFonts w:ascii="Times New Roman" w:hAnsi="Times New Roman" w:cs="Times New Roman"/>
          <w:sz w:val="24"/>
          <w:szCs w:val="24"/>
        </w:rPr>
        <w:t xml:space="preserve">In reframing the scope of the evaluation, the </w:t>
      </w:r>
      <w:r w:rsidR="009A3E74">
        <w:rPr>
          <w:rFonts w:ascii="Times New Roman" w:hAnsi="Times New Roman" w:cs="Times New Roman"/>
          <w:sz w:val="24"/>
          <w:szCs w:val="24"/>
        </w:rPr>
        <w:t>design</w:t>
      </w:r>
      <w:r w:rsidR="00A47806">
        <w:rPr>
          <w:rFonts w:ascii="Times New Roman" w:hAnsi="Times New Roman" w:cs="Times New Roman"/>
          <w:sz w:val="24"/>
          <w:szCs w:val="24"/>
        </w:rPr>
        <w:t xml:space="preserve"> </w:t>
      </w:r>
      <w:r w:rsidR="00A47806" w:rsidRPr="00AC1096">
        <w:rPr>
          <w:rFonts w:ascii="Times New Roman" w:hAnsi="Times New Roman" w:cs="Times New Roman"/>
          <w:sz w:val="24"/>
          <w:szCs w:val="24"/>
        </w:rPr>
        <w:t xml:space="preserve">will allow for </w:t>
      </w:r>
      <w:r w:rsidR="009A3E74">
        <w:rPr>
          <w:rFonts w:ascii="Times New Roman" w:hAnsi="Times New Roman" w:cs="Times New Roman"/>
          <w:sz w:val="24"/>
          <w:szCs w:val="24"/>
        </w:rPr>
        <w:t xml:space="preserve">this, as well as the </w:t>
      </w:r>
      <w:r w:rsidR="009A3E74" w:rsidRPr="00B0516F">
        <w:rPr>
          <w:rFonts w:ascii="Times New Roman" w:hAnsi="Times New Roman" w:cs="Times New Roman"/>
          <w:sz w:val="24"/>
          <w:szCs w:val="24"/>
        </w:rPr>
        <w:t xml:space="preserve">use of rigorous </w:t>
      </w:r>
      <w:r w:rsidR="00A47806" w:rsidRPr="00B0516F">
        <w:rPr>
          <w:rFonts w:ascii="Times New Roman" w:hAnsi="Times New Roman" w:cs="Times New Roman"/>
          <w:sz w:val="24"/>
          <w:szCs w:val="24"/>
        </w:rPr>
        <w:t>methodological</w:t>
      </w:r>
      <w:r w:rsidR="00A47806" w:rsidRPr="00AC1096">
        <w:rPr>
          <w:rFonts w:ascii="Times New Roman" w:hAnsi="Times New Roman" w:cs="Times New Roman"/>
          <w:sz w:val="24"/>
          <w:szCs w:val="24"/>
        </w:rPr>
        <w:t xml:space="preserve"> </w:t>
      </w:r>
      <w:r w:rsidR="005D2C54">
        <w:rPr>
          <w:rFonts w:ascii="Times New Roman" w:hAnsi="Times New Roman" w:cs="Times New Roman"/>
          <w:sz w:val="24"/>
          <w:szCs w:val="24"/>
        </w:rPr>
        <w:t>approaches</w:t>
      </w:r>
      <w:r w:rsidR="00A47806" w:rsidRPr="00AC1096">
        <w:rPr>
          <w:rFonts w:ascii="Times New Roman" w:hAnsi="Times New Roman" w:cs="Times New Roman"/>
          <w:sz w:val="24"/>
          <w:szCs w:val="24"/>
        </w:rPr>
        <w:t xml:space="preserve"> that provide a means of addressing current questions </w:t>
      </w:r>
      <w:r w:rsidR="009A3E74">
        <w:rPr>
          <w:rFonts w:ascii="Times New Roman" w:hAnsi="Times New Roman" w:cs="Times New Roman"/>
          <w:sz w:val="24"/>
          <w:szCs w:val="24"/>
        </w:rPr>
        <w:t>in</w:t>
      </w:r>
      <w:r w:rsidR="00A47806" w:rsidRPr="00AC1096">
        <w:rPr>
          <w:rFonts w:ascii="Times New Roman" w:hAnsi="Times New Roman" w:cs="Times New Roman"/>
          <w:sz w:val="24"/>
          <w:szCs w:val="24"/>
        </w:rPr>
        <w:t xml:space="preserve"> th</w:t>
      </w:r>
      <w:r w:rsidR="009A3E74">
        <w:rPr>
          <w:rFonts w:ascii="Times New Roman" w:hAnsi="Times New Roman" w:cs="Times New Roman"/>
          <w:sz w:val="24"/>
          <w:szCs w:val="24"/>
        </w:rPr>
        <w:t>is</w:t>
      </w:r>
      <w:r w:rsidR="00A47806" w:rsidRPr="00AC1096">
        <w:rPr>
          <w:rFonts w:ascii="Times New Roman" w:hAnsi="Times New Roman" w:cs="Times New Roman"/>
          <w:sz w:val="24"/>
          <w:szCs w:val="24"/>
        </w:rPr>
        <w:t xml:space="preserve"> next stage</w:t>
      </w:r>
      <w:r w:rsidR="00A47806">
        <w:rPr>
          <w:rFonts w:ascii="Times New Roman" w:hAnsi="Times New Roman" w:cs="Times New Roman"/>
          <w:sz w:val="24"/>
          <w:szCs w:val="24"/>
        </w:rPr>
        <w:t xml:space="preserve">. </w:t>
      </w:r>
      <w:r w:rsidR="00CC5AF3">
        <w:rPr>
          <w:rFonts w:ascii="Times New Roman" w:hAnsi="Times New Roman" w:cs="Times New Roman"/>
          <w:sz w:val="24"/>
          <w:szCs w:val="24"/>
        </w:rPr>
        <w:t xml:space="preserve">Moving forward, </w:t>
      </w:r>
      <w:r w:rsidR="00CC5AF3" w:rsidRPr="00034EE7">
        <w:rPr>
          <w:rFonts w:ascii="Times New Roman" w:hAnsi="Times New Roman" w:cs="Times New Roman"/>
          <w:sz w:val="24"/>
          <w:szCs w:val="24"/>
        </w:rPr>
        <w:t>it will be important to determine, among other priorities, how to improve the adoption, fidelity of implementation, and sustainability of effective suicide prevention programs, with attention to efficient ways of training various types of gatekeepers and providers.</w:t>
      </w:r>
    </w:p>
    <w:p w14:paraId="0EB8D0CD" w14:textId="153FC4DC" w:rsidR="00034EE7" w:rsidRPr="00377228" w:rsidRDefault="00034EE7" w:rsidP="001E50ED">
      <w:pPr>
        <w:pStyle w:val="GLSBody"/>
        <w:keepNext/>
        <w:numPr>
          <w:ilvl w:val="0"/>
          <w:numId w:val="42"/>
        </w:numPr>
        <w:spacing w:before="240" w:after="120"/>
        <w:rPr>
          <w:rFonts w:ascii="Tw Cen MT" w:hAnsi="Tw Cen MT" w:cs="Arial"/>
          <w:b/>
          <w:sz w:val="28"/>
          <w:szCs w:val="28"/>
        </w:rPr>
      </w:pPr>
      <w:r w:rsidRPr="00377228">
        <w:rPr>
          <w:rFonts w:ascii="Tw Cen MT" w:hAnsi="Tw Cen MT" w:cs="Arial"/>
          <w:b/>
          <w:sz w:val="28"/>
          <w:szCs w:val="28"/>
        </w:rPr>
        <w:t>Data Collection Instruments and Methods</w:t>
      </w:r>
    </w:p>
    <w:p w14:paraId="33630387" w14:textId="1911EAAB" w:rsidR="00D70A3E" w:rsidRDefault="004542DC" w:rsidP="000F7808">
      <w:pPr>
        <w:pStyle w:val="ProposalBodyText"/>
        <w:spacing w:after="200"/>
        <w:contextualSpacing w:val="0"/>
      </w:pPr>
      <w:r>
        <w:t xml:space="preserve">Approval is being requested for </w:t>
      </w:r>
      <w:r w:rsidR="00435CEC">
        <w:t>1</w:t>
      </w:r>
      <w:r w:rsidR="00335F68">
        <w:t>1</w:t>
      </w:r>
      <w:r w:rsidR="00435CEC">
        <w:t xml:space="preserve"> </w:t>
      </w:r>
      <w:r w:rsidR="00CB249C">
        <w:t xml:space="preserve">data collection activities </w:t>
      </w:r>
      <w:r>
        <w:t xml:space="preserve">that </w:t>
      </w:r>
      <w:r w:rsidR="00CB249C">
        <w:t xml:space="preserve">compose the NOE. </w:t>
      </w:r>
      <w:r>
        <w:t xml:space="preserve">Because GLS program foci differ by </w:t>
      </w:r>
      <w:r w:rsidR="005A578A">
        <w:t>type of grantee, some instruments apply only to State/Trib</w:t>
      </w:r>
      <w:r w:rsidR="00DF44AD">
        <w:t>al</w:t>
      </w:r>
      <w:r w:rsidR="005A578A">
        <w:t xml:space="preserve"> or </w:t>
      </w:r>
      <w:r w:rsidR="00DF44AD">
        <w:t xml:space="preserve">Campus programs. Of the </w:t>
      </w:r>
      <w:r w:rsidR="00335F68">
        <w:t>11</w:t>
      </w:r>
      <w:r w:rsidR="00435CEC">
        <w:t xml:space="preserve"> </w:t>
      </w:r>
      <w:r w:rsidR="00DF44AD">
        <w:t xml:space="preserve">instruments, </w:t>
      </w:r>
      <w:r w:rsidR="00D72555">
        <w:t>2</w:t>
      </w:r>
      <w:r w:rsidR="00C873E8">
        <w:t xml:space="preserve"> </w:t>
      </w:r>
      <w:r w:rsidR="00DF44AD">
        <w:t xml:space="preserve">will be implemented </w:t>
      </w:r>
      <w:r w:rsidR="005A578A">
        <w:t xml:space="preserve">with </w:t>
      </w:r>
      <w:r>
        <w:t>State/Tribal and Campus grantees</w:t>
      </w:r>
      <w:r w:rsidR="00D70A3E">
        <w:t xml:space="preserve"> (the </w:t>
      </w:r>
      <w:r w:rsidR="00DF44AD">
        <w:t>versions</w:t>
      </w:r>
      <w:r w:rsidR="00D70A3E">
        <w:t xml:space="preserve"> are</w:t>
      </w:r>
      <w:r w:rsidR="00DF44AD">
        <w:t xml:space="preserve"> slightly tailored by grantee type)</w:t>
      </w:r>
      <w:r>
        <w:t xml:space="preserve">, </w:t>
      </w:r>
      <w:r w:rsidR="00D72555">
        <w:t>6</w:t>
      </w:r>
      <w:r w:rsidR="008B28E4">
        <w:t xml:space="preserve"> </w:t>
      </w:r>
      <w:r>
        <w:t xml:space="preserve">are specific to State/Tribal grantees, and </w:t>
      </w:r>
      <w:r w:rsidR="00D72555">
        <w:t>3</w:t>
      </w:r>
      <w:r w:rsidR="00C873E8">
        <w:t xml:space="preserve"> </w:t>
      </w:r>
      <w:r>
        <w:t xml:space="preserve">pertain </w:t>
      </w:r>
      <w:r w:rsidRPr="00CB249C">
        <w:t xml:space="preserve">to Campus grantees only. </w:t>
      </w:r>
      <w:r w:rsidR="00D70A3E">
        <w:t>A description of the instruments, instrument status (revised or new), and applicable grantee type(s) is below.</w:t>
      </w:r>
      <w:r w:rsidR="00D70A3E" w:rsidRPr="00D70A3E">
        <w:t xml:space="preserve"> </w:t>
      </w:r>
      <w:r w:rsidR="00D70A3E">
        <w:t>Further</w:t>
      </w:r>
      <w:r w:rsidR="00D70A3E" w:rsidRPr="00CB249C">
        <w:t xml:space="preserve"> detail on data elements, respondents, and methods</w:t>
      </w:r>
      <w:r w:rsidR="00D70A3E">
        <w:t xml:space="preserve"> of administration can be found in Attachment B; changes to existing instruments are described in Exhibit 5, </w:t>
      </w:r>
      <w:r w:rsidR="00D70A3E" w:rsidRPr="00CB249C">
        <w:rPr>
          <w:i/>
        </w:rPr>
        <w:t>Revisions to the Evaluation</w:t>
      </w:r>
      <w:r w:rsidR="00D70A3E">
        <w:rPr>
          <w:i/>
        </w:rPr>
        <w:t xml:space="preserve">, </w:t>
      </w:r>
      <w:r w:rsidR="00D70A3E" w:rsidRPr="005A578A">
        <w:t xml:space="preserve">in </w:t>
      </w:r>
      <w:r w:rsidR="00D70A3E" w:rsidRPr="008C5A3C">
        <w:t>Section A.2.b.</w:t>
      </w:r>
      <w:r w:rsidR="00D70A3E" w:rsidRPr="00D70A3E">
        <w:t xml:space="preserve"> </w:t>
      </w:r>
      <w:r w:rsidR="00D70A3E">
        <w:t>A full list of attachments is located at the end of the Supporting Statement.</w:t>
      </w:r>
    </w:p>
    <w:p w14:paraId="0353882A" w14:textId="77777777" w:rsidR="00D70A3E" w:rsidRDefault="00D70A3E" w:rsidP="00D70A3E">
      <w:pPr>
        <w:pStyle w:val="ProposalBodyText"/>
        <w:spacing w:after="60"/>
        <w:contextualSpacing w:val="0"/>
        <w:rPr>
          <w:rFonts w:ascii="Tw Cen MT" w:hAnsi="Tw Cen MT"/>
          <w:b/>
          <w:sz w:val="26"/>
          <w:szCs w:val="26"/>
          <w:u w:val="single"/>
        </w:rPr>
      </w:pPr>
      <w:r w:rsidRPr="00837BCE">
        <w:rPr>
          <w:rFonts w:ascii="Tw Cen MT" w:hAnsi="Tw Cen MT"/>
          <w:b/>
          <w:sz w:val="26"/>
          <w:szCs w:val="26"/>
          <w:u w:val="single"/>
        </w:rPr>
        <w:t>Instrument Key</w:t>
      </w:r>
    </w:p>
    <w:p w14:paraId="6DB3E879" w14:textId="075A634C" w:rsidR="00D70A3E" w:rsidRDefault="00D70A3E" w:rsidP="00D70A3E">
      <w:pPr>
        <w:pStyle w:val="ProposalBodyText"/>
        <w:spacing w:after="200"/>
        <w:contextualSpacing w:val="0"/>
        <w:rPr>
          <w:szCs w:val="24"/>
        </w:rPr>
      </w:pPr>
      <w:r>
        <w:rPr>
          <w:szCs w:val="24"/>
        </w:rPr>
        <w:t xml:space="preserve">Below is list of acronyms and names that apply to NOE instruments. </w:t>
      </w:r>
    </w:p>
    <w:p w14:paraId="1BACD4A7" w14:textId="369D96D8" w:rsidR="00034EE7" w:rsidRDefault="00034EE7" w:rsidP="00034EE7">
      <w:pPr>
        <w:pStyle w:val="ProposalBodyText"/>
        <w:spacing w:after="120"/>
        <w:contextualSpacing w:val="0"/>
      </w:pPr>
      <w:r>
        <w:t>Attachment</w:t>
      </w:r>
      <w:r>
        <w:tab/>
      </w:r>
      <w:r w:rsidR="00C81557">
        <w:t>Acronym</w:t>
      </w:r>
      <w:r w:rsidR="00C81557">
        <w:tab/>
      </w:r>
      <w:r w:rsidR="00C81557">
        <w:tab/>
      </w:r>
      <w:r>
        <w:t>Name</w:t>
      </w:r>
    </w:p>
    <w:p w14:paraId="5066BFDE" w14:textId="56B0A91F" w:rsidR="00034EE7" w:rsidRDefault="00FC7056" w:rsidP="00034EE7">
      <w:pPr>
        <w:pStyle w:val="ProposalBodyText"/>
        <w:spacing w:after="60"/>
        <w:contextualSpacing w:val="0"/>
      </w:pPr>
      <w:r>
        <w:t>C</w:t>
      </w:r>
      <w:r w:rsidR="00C81557">
        <w:tab/>
      </w:r>
      <w:r w:rsidR="00C81557">
        <w:tab/>
        <w:t>PSI</w:t>
      </w:r>
      <w:r w:rsidR="00C81557">
        <w:tab/>
      </w:r>
      <w:r w:rsidR="00C81557">
        <w:tab/>
      </w:r>
      <w:r w:rsidR="00C81557">
        <w:tab/>
      </w:r>
      <w:r w:rsidR="00034EE7">
        <w:t xml:space="preserve">Prevention Strategies Inventory </w:t>
      </w:r>
    </w:p>
    <w:p w14:paraId="10DB8024" w14:textId="5254DD22" w:rsidR="00034EE7" w:rsidRDefault="00FC7056" w:rsidP="00034EE7">
      <w:pPr>
        <w:pStyle w:val="ProposalBodyText"/>
        <w:spacing w:after="60"/>
        <w:contextualSpacing w:val="0"/>
      </w:pPr>
      <w:r>
        <w:t>D</w:t>
      </w:r>
      <w:r>
        <w:tab/>
      </w:r>
      <w:r w:rsidR="00034EE7">
        <w:tab/>
        <w:t xml:space="preserve">TASP </w:t>
      </w:r>
      <w:r w:rsidR="00034EE7">
        <w:tab/>
      </w:r>
      <w:r w:rsidR="00034EE7">
        <w:tab/>
      </w:r>
      <w:r w:rsidR="00C81557">
        <w:tab/>
      </w:r>
      <w:r w:rsidR="00034EE7">
        <w:t xml:space="preserve">Training Activity Summary Page </w:t>
      </w:r>
      <w:r w:rsidR="00034EE7">
        <w:tab/>
      </w:r>
      <w:r w:rsidR="00034EE7">
        <w:tab/>
      </w:r>
      <w:r w:rsidR="00034EE7">
        <w:tab/>
      </w:r>
      <w:r w:rsidR="00034EE7">
        <w:tab/>
      </w:r>
    </w:p>
    <w:p w14:paraId="3AC84EA2" w14:textId="5CA98082" w:rsidR="00C81557" w:rsidRDefault="00FC7056" w:rsidP="002D2560">
      <w:pPr>
        <w:pStyle w:val="ProposalBodyText"/>
        <w:spacing w:after="60"/>
        <w:contextualSpacing w:val="0"/>
      </w:pPr>
      <w:r>
        <w:t>E</w:t>
      </w:r>
      <w:r w:rsidR="00D70A3E">
        <w:t>, F</w:t>
      </w:r>
      <w:r w:rsidR="00034EE7">
        <w:tab/>
      </w:r>
      <w:r w:rsidR="00034EE7">
        <w:tab/>
        <w:t>TUP-S</w:t>
      </w:r>
      <w:r w:rsidR="00034EE7">
        <w:tab/>
      </w:r>
      <w:r w:rsidR="00F75472">
        <w:tab/>
      </w:r>
      <w:r w:rsidR="00034EE7">
        <w:tab/>
        <w:t>Training Utilization and Preservation Survey</w:t>
      </w:r>
      <w:r w:rsidR="00D70A3E">
        <w:t xml:space="preserve">  </w:t>
      </w:r>
    </w:p>
    <w:p w14:paraId="0249C765" w14:textId="6A46B4B6" w:rsidR="00034EE7" w:rsidRDefault="008C5A3C" w:rsidP="00034EE7">
      <w:pPr>
        <w:pStyle w:val="ProposalBodyText"/>
        <w:spacing w:after="60"/>
        <w:contextualSpacing w:val="0"/>
      </w:pPr>
      <w:r>
        <w:t>G</w:t>
      </w:r>
      <w:r w:rsidR="00034EE7">
        <w:tab/>
      </w:r>
      <w:r w:rsidR="00034EE7">
        <w:tab/>
        <w:t>EIRF-I</w:t>
      </w:r>
      <w:r w:rsidR="00034EE7">
        <w:tab/>
      </w:r>
      <w:r w:rsidR="00034EE7">
        <w:tab/>
      </w:r>
      <w:r w:rsidR="00034EE7">
        <w:tab/>
        <w:t xml:space="preserve">Early Intervention Referral and Follow-up Individual Form </w:t>
      </w:r>
    </w:p>
    <w:p w14:paraId="63732C41" w14:textId="63BF5ADF" w:rsidR="00034EE7" w:rsidRDefault="008C5A3C" w:rsidP="00034EE7">
      <w:pPr>
        <w:pStyle w:val="ProposalBodyText"/>
        <w:spacing w:after="60"/>
        <w:contextualSpacing w:val="0"/>
      </w:pPr>
      <w:r>
        <w:t>H</w:t>
      </w:r>
      <w:r w:rsidR="00034EE7">
        <w:tab/>
      </w:r>
      <w:r w:rsidR="00034EE7">
        <w:tab/>
        <w:t>EIRF-S</w:t>
      </w:r>
      <w:r w:rsidR="00034EE7">
        <w:tab/>
      </w:r>
      <w:r w:rsidR="00034EE7">
        <w:tab/>
        <w:t xml:space="preserve">EIRF Screening Form </w:t>
      </w:r>
      <w:r w:rsidR="00034EE7">
        <w:tab/>
      </w:r>
      <w:r w:rsidR="00034EE7">
        <w:tab/>
      </w:r>
      <w:r w:rsidR="00034EE7">
        <w:tab/>
      </w:r>
      <w:r w:rsidR="00034EE7">
        <w:tab/>
      </w:r>
      <w:r w:rsidR="00034EE7">
        <w:tab/>
      </w:r>
    </w:p>
    <w:p w14:paraId="4180A575" w14:textId="25872379" w:rsidR="00034EE7" w:rsidRDefault="00B43DEE" w:rsidP="00034EE7">
      <w:pPr>
        <w:pStyle w:val="ProposalBodyText"/>
        <w:spacing w:after="60"/>
        <w:contextualSpacing w:val="0"/>
      </w:pPr>
      <w:r>
        <w:t>I</w:t>
      </w:r>
      <w:r w:rsidR="00034EE7">
        <w:tab/>
      </w:r>
      <w:r w:rsidR="00034EE7">
        <w:tab/>
        <w:t>SBHF</w:t>
      </w:r>
      <w:r w:rsidR="00034EE7">
        <w:tab/>
      </w:r>
      <w:r w:rsidR="00034EE7">
        <w:tab/>
      </w:r>
      <w:r w:rsidR="00034EE7">
        <w:tab/>
        <w:t xml:space="preserve">Student Behavioral Health Form </w:t>
      </w:r>
      <w:r w:rsidR="00034EE7">
        <w:tab/>
      </w:r>
      <w:r w:rsidR="00034EE7">
        <w:tab/>
      </w:r>
      <w:r w:rsidR="00034EE7">
        <w:tab/>
      </w:r>
      <w:r w:rsidR="00034EE7">
        <w:tab/>
      </w:r>
    </w:p>
    <w:p w14:paraId="7F584FBE" w14:textId="4C68908E" w:rsidR="00034EE7" w:rsidRDefault="00B43DEE" w:rsidP="00034EE7">
      <w:pPr>
        <w:pStyle w:val="ProposalBodyText"/>
        <w:spacing w:after="60"/>
        <w:contextualSpacing w:val="0"/>
      </w:pPr>
      <w:r>
        <w:t>J</w:t>
      </w:r>
      <w:r w:rsidR="00034EE7">
        <w:tab/>
      </w:r>
      <w:r w:rsidR="00034EE7">
        <w:tab/>
        <w:t>BHPS</w:t>
      </w:r>
      <w:r w:rsidR="00034EE7">
        <w:tab/>
      </w:r>
      <w:r w:rsidR="00034EE7">
        <w:tab/>
      </w:r>
      <w:r w:rsidR="00034EE7">
        <w:tab/>
        <w:t xml:space="preserve">Behavioral Health Provider Survey </w:t>
      </w:r>
      <w:r w:rsidR="00034EE7">
        <w:tab/>
      </w:r>
      <w:r w:rsidR="00034EE7">
        <w:tab/>
      </w:r>
      <w:r w:rsidR="00034EE7">
        <w:tab/>
      </w:r>
      <w:r w:rsidR="00034EE7">
        <w:tab/>
      </w:r>
    </w:p>
    <w:p w14:paraId="79F82ED8" w14:textId="627E68E2" w:rsidR="00034EE7" w:rsidRDefault="00B43DEE" w:rsidP="00034EE7">
      <w:pPr>
        <w:pStyle w:val="ProposalBodyText"/>
        <w:spacing w:after="60"/>
        <w:contextualSpacing w:val="0"/>
      </w:pPr>
      <w:r>
        <w:t>K</w:t>
      </w:r>
      <w:r w:rsidR="00034EE7">
        <w:tab/>
      </w:r>
      <w:r w:rsidR="00034EE7">
        <w:tab/>
        <w:t>RNS</w:t>
      </w:r>
      <w:r w:rsidR="00A74D6E">
        <w:tab/>
      </w:r>
      <w:r w:rsidR="00034EE7">
        <w:tab/>
      </w:r>
      <w:r w:rsidR="00034EE7">
        <w:tab/>
        <w:t xml:space="preserve">Referral Network Survey </w:t>
      </w:r>
      <w:r w:rsidR="00034EE7">
        <w:tab/>
      </w:r>
      <w:r w:rsidR="00034EE7">
        <w:tab/>
      </w:r>
      <w:r w:rsidR="00034EE7">
        <w:tab/>
      </w:r>
      <w:r w:rsidR="00034EE7">
        <w:tab/>
      </w:r>
      <w:r w:rsidR="00034EE7">
        <w:tab/>
      </w:r>
    </w:p>
    <w:p w14:paraId="412A1A5E" w14:textId="268A8304" w:rsidR="00034EE7" w:rsidRPr="00952766" w:rsidRDefault="00B43DEE" w:rsidP="000F7808">
      <w:pPr>
        <w:pStyle w:val="ProposalBodyText"/>
        <w:spacing w:after="200"/>
        <w:contextualSpacing w:val="0"/>
        <w:rPr>
          <w:szCs w:val="24"/>
        </w:rPr>
      </w:pPr>
      <w:r>
        <w:rPr>
          <w:szCs w:val="24"/>
        </w:rPr>
        <w:t>L</w:t>
      </w:r>
      <w:r w:rsidR="00034EE7">
        <w:rPr>
          <w:szCs w:val="24"/>
        </w:rPr>
        <w:tab/>
      </w:r>
      <w:r w:rsidR="00034EE7">
        <w:rPr>
          <w:szCs w:val="24"/>
        </w:rPr>
        <w:tab/>
      </w:r>
      <w:r w:rsidR="00034EE7" w:rsidRPr="00952766">
        <w:rPr>
          <w:szCs w:val="24"/>
        </w:rPr>
        <w:t>SMSS</w:t>
      </w:r>
      <w:r w:rsidR="00A74D6E">
        <w:rPr>
          <w:szCs w:val="24"/>
        </w:rPr>
        <w:tab/>
      </w:r>
      <w:r w:rsidR="00034EE7" w:rsidRPr="00952766">
        <w:rPr>
          <w:szCs w:val="24"/>
        </w:rPr>
        <w:tab/>
      </w:r>
      <w:r w:rsidR="00034EE7" w:rsidRPr="00952766">
        <w:rPr>
          <w:szCs w:val="24"/>
        </w:rPr>
        <w:tab/>
        <w:t>Short Message Service Survey</w:t>
      </w:r>
      <w:r w:rsidR="00034EE7">
        <w:rPr>
          <w:szCs w:val="24"/>
        </w:rPr>
        <w:tab/>
      </w:r>
      <w:r w:rsidR="00034EE7">
        <w:rPr>
          <w:szCs w:val="24"/>
        </w:rPr>
        <w:tab/>
      </w:r>
      <w:r w:rsidR="00034EE7">
        <w:rPr>
          <w:szCs w:val="24"/>
        </w:rPr>
        <w:tab/>
      </w:r>
      <w:r w:rsidR="00034EE7">
        <w:rPr>
          <w:szCs w:val="24"/>
        </w:rPr>
        <w:tab/>
      </w:r>
    </w:p>
    <w:p w14:paraId="3E969D5F" w14:textId="7140CEA0" w:rsidR="009F4FB7" w:rsidRPr="00837BCE" w:rsidRDefault="00950268" w:rsidP="001E50ED">
      <w:pPr>
        <w:pStyle w:val="ProposalBodyText"/>
        <w:keepNext/>
        <w:spacing w:after="60"/>
        <w:contextualSpacing w:val="0"/>
        <w:rPr>
          <w:b/>
          <w:sz w:val="26"/>
          <w:szCs w:val="26"/>
          <w:u w:val="single"/>
        </w:rPr>
      </w:pPr>
      <w:r w:rsidRPr="00837BCE">
        <w:rPr>
          <w:rFonts w:ascii="Tw Cen MT" w:hAnsi="Tw Cen MT"/>
          <w:b/>
          <w:sz w:val="26"/>
          <w:szCs w:val="26"/>
          <w:u w:val="single"/>
        </w:rPr>
        <w:t>State/Tribal and Campus</w:t>
      </w:r>
      <w:r>
        <w:rPr>
          <w:rFonts w:ascii="Tw Cen MT" w:hAnsi="Tw Cen MT"/>
          <w:b/>
          <w:sz w:val="26"/>
          <w:szCs w:val="26"/>
          <w:u w:val="single"/>
        </w:rPr>
        <w:t xml:space="preserve"> Instruments</w:t>
      </w:r>
    </w:p>
    <w:p w14:paraId="07425268" w14:textId="59983385" w:rsidR="00034EE7" w:rsidRPr="00EC1154" w:rsidRDefault="00950268" w:rsidP="001E50ED">
      <w:pPr>
        <w:pStyle w:val="ProposalBodyText"/>
        <w:spacing w:after="200"/>
        <w:contextualSpacing w:val="0"/>
        <w:rPr>
          <w:sz w:val="28"/>
          <w:szCs w:val="28"/>
        </w:rPr>
      </w:pPr>
      <w:r>
        <w:rPr>
          <w:szCs w:val="24"/>
        </w:rPr>
        <w:t>Two</w:t>
      </w:r>
      <w:r w:rsidR="006141F4">
        <w:rPr>
          <w:szCs w:val="24"/>
        </w:rPr>
        <w:t xml:space="preserve"> instruments are applicable to a</w:t>
      </w:r>
      <w:r w:rsidR="00B43DEE">
        <w:rPr>
          <w:szCs w:val="24"/>
        </w:rPr>
        <w:t xml:space="preserve">ll </w:t>
      </w:r>
      <w:r w:rsidR="00117880">
        <w:rPr>
          <w:szCs w:val="24"/>
        </w:rPr>
        <w:t>S</w:t>
      </w:r>
      <w:r w:rsidR="009F4FB7" w:rsidRPr="00EC1154">
        <w:rPr>
          <w:szCs w:val="24"/>
        </w:rPr>
        <w:t>tate/Tribal and Campus grantees</w:t>
      </w:r>
      <w:r w:rsidR="006141F4">
        <w:rPr>
          <w:szCs w:val="24"/>
        </w:rPr>
        <w:t>:</w:t>
      </w:r>
      <w:r w:rsidR="00C81557">
        <w:rPr>
          <w:szCs w:val="24"/>
        </w:rPr>
        <w:t xml:space="preserve"> </w:t>
      </w:r>
      <w:r>
        <w:rPr>
          <w:szCs w:val="24"/>
        </w:rPr>
        <w:t xml:space="preserve">the </w:t>
      </w:r>
      <w:r w:rsidRPr="00950268">
        <w:rPr>
          <w:b/>
          <w:i/>
          <w:szCs w:val="24"/>
        </w:rPr>
        <w:t>revised</w:t>
      </w:r>
      <w:r>
        <w:rPr>
          <w:szCs w:val="24"/>
        </w:rPr>
        <w:t xml:space="preserve"> </w:t>
      </w:r>
      <w:r w:rsidRPr="00950268">
        <w:rPr>
          <w:szCs w:val="24"/>
        </w:rPr>
        <w:t>P</w:t>
      </w:r>
      <w:r w:rsidR="009F4FB7" w:rsidRPr="00EC1154">
        <w:rPr>
          <w:szCs w:val="24"/>
        </w:rPr>
        <w:t>SI</w:t>
      </w:r>
      <w:r w:rsidR="00335F68">
        <w:rPr>
          <w:szCs w:val="24"/>
        </w:rPr>
        <w:t xml:space="preserve"> and</w:t>
      </w:r>
      <w:r w:rsidR="00335F68" w:rsidRPr="00EC1154">
        <w:rPr>
          <w:szCs w:val="24"/>
        </w:rPr>
        <w:t xml:space="preserve"> </w:t>
      </w:r>
      <w:r w:rsidR="009F4FB7" w:rsidRPr="00EC1154">
        <w:rPr>
          <w:szCs w:val="24"/>
        </w:rPr>
        <w:t>TASP</w:t>
      </w:r>
      <w:r w:rsidR="00335F68">
        <w:rPr>
          <w:szCs w:val="24"/>
        </w:rPr>
        <w:t>.</w:t>
      </w:r>
    </w:p>
    <w:p w14:paraId="1660137C" w14:textId="6DDB5237" w:rsidR="00034EE7" w:rsidRDefault="00034EE7" w:rsidP="001E50ED">
      <w:pPr>
        <w:pStyle w:val="GLSBody"/>
        <w:spacing w:after="200"/>
      </w:pPr>
      <w:r w:rsidRPr="00815CA3">
        <w:rPr>
          <w:b/>
        </w:rPr>
        <w:t>PSI</w:t>
      </w:r>
      <w:r w:rsidR="00AE1732">
        <w:rPr>
          <w:b/>
        </w:rPr>
        <w:t xml:space="preserve"> </w:t>
      </w:r>
      <w:r w:rsidR="00AE1732" w:rsidRPr="00EB75FA">
        <w:rPr>
          <w:b/>
        </w:rPr>
        <w:t>(</w:t>
      </w:r>
      <w:r w:rsidR="004E6F6D">
        <w:rPr>
          <w:b/>
        </w:rPr>
        <w:t>R</w:t>
      </w:r>
      <w:r w:rsidR="00AE1732" w:rsidRPr="00EB75FA">
        <w:rPr>
          <w:b/>
        </w:rPr>
        <w:t>evised)</w:t>
      </w:r>
      <w:r>
        <w:rPr>
          <w:b/>
        </w:rPr>
        <w:t xml:space="preserve">: </w:t>
      </w:r>
      <w:r w:rsidRPr="0086489E">
        <w:t>the PSI is a Web</w:t>
      </w:r>
      <w:r w:rsidRPr="0038769A">
        <w:t>-based</w:t>
      </w:r>
      <w:r>
        <w:rPr>
          <w:b/>
        </w:rPr>
        <w:t xml:space="preserve"> </w:t>
      </w:r>
      <w:r w:rsidRPr="00160AFC">
        <w:rPr>
          <w:rStyle w:val="GLSBodyChar"/>
        </w:rPr>
        <w:t xml:space="preserve">survey that captures </w:t>
      </w:r>
      <w:r w:rsidRPr="00ED3869">
        <w:rPr>
          <w:rStyle w:val="GLSBodyChar"/>
        </w:rPr>
        <w:t>all State/Tribal and Campus</w:t>
      </w:r>
      <w:r w:rsidRPr="00160AFC">
        <w:rPr>
          <w:rStyle w:val="GLSBodyChar"/>
        </w:rPr>
        <w:t xml:space="preserve"> </w:t>
      </w:r>
      <w:r>
        <w:rPr>
          <w:rStyle w:val="GLSBodyChar"/>
        </w:rPr>
        <w:t>p</w:t>
      </w:r>
      <w:r w:rsidRPr="00160AFC">
        <w:rPr>
          <w:rStyle w:val="GLSBodyChar"/>
        </w:rPr>
        <w:t>rogram pre</w:t>
      </w:r>
      <w:r>
        <w:rPr>
          <w:rStyle w:val="GLSBodyChar"/>
        </w:rPr>
        <w:t>vention strategies and products. Data</w:t>
      </w:r>
      <w:r w:rsidRPr="00160AFC">
        <w:rPr>
          <w:rStyle w:val="GLSBodyChar"/>
        </w:rPr>
        <w:t xml:space="preserve"> include </w:t>
      </w:r>
      <w:r>
        <w:rPr>
          <w:rStyle w:val="GLSBodyChar"/>
        </w:rPr>
        <w:t>strategy types</w:t>
      </w:r>
      <w:r w:rsidRPr="00160AFC">
        <w:rPr>
          <w:rStyle w:val="GLSBodyChar"/>
        </w:rPr>
        <w:t xml:space="preserve"> and products distributed, target populations, and expenditures across major categories</w:t>
      </w:r>
      <w:r>
        <w:rPr>
          <w:rStyle w:val="GLSBodyChar"/>
        </w:rPr>
        <w:t xml:space="preserve"> (e.g., </w:t>
      </w:r>
      <w:r w:rsidRPr="0038769A">
        <w:rPr>
          <w:rStyle w:val="GLSBodyChar"/>
        </w:rPr>
        <w:t>outreach and awareness</w:t>
      </w:r>
      <w:r>
        <w:rPr>
          <w:rStyle w:val="GLSBodyChar"/>
        </w:rPr>
        <w:t xml:space="preserve">, gatekeeper training, </w:t>
      </w:r>
      <w:r w:rsidRPr="0038769A">
        <w:rPr>
          <w:rStyle w:val="GLSBodyChar"/>
        </w:rPr>
        <w:t>screening programs</w:t>
      </w:r>
      <w:r>
        <w:rPr>
          <w:rStyle w:val="GLSBodyChar"/>
        </w:rPr>
        <w:t>,</w:t>
      </w:r>
      <w:r w:rsidRPr="0038769A">
        <w:rPr>
          <w:rStyle w:val="GLSBodyChar"/>
        </w:rPr>
        <w:t xml:space="preserve"> </w:t>
      </w:r>
      <w:r>
        <w:rPr>
          <w:rStyle w:val="GLSBodyChar"/>
        </w:rPr>
        <w:t>etc.).</w:t>
      </w:r>
      <w:r w:rsidRPr="0038769A">
        <w:rPr>
          <w:rStyle w:val="GLSBodyChar"/>
        </w:rPr>
        <w:t xml:space="preserve"> </w:t>
      </w:r>
      <w:r w:rsidRPr="00160AFC">
        <w:t>Each major strategy includes sub</w:t>
      </w:r>
      <w:r>
        <w:t>-</w:t>
      </w:r>
      <w:r w:rsidRPr="00160AFC">
        <w:t>strategies</w:t>
      </w:r>
      <w:r>
        <w:t>, enabling</w:t>
      </w:r>
      <w:r w:rsidRPr="00160AFC">
        <w:t xml:space="preserve"> grantees to specify</w:t>
      </w:r>
      <w:r>
        <w:t xml:space="preserve"> and provide d</w:t>
      </w:r>
      <w:r w:rsidRPr="00160AFC">
        <w:t>etail</w:t>
      </w:r>
      <w:r>
        <w:t>s about</w:t>
      </w:r>
      <w:r w:rsidRPr="00160AFC">
        <w:t xml:space="preserve"> </w:t>
      </w:r>
      <w:r>
        <w:t>the strategy or product and</w:t>
      </w:r>
      <w:r w:rsidRPr="00160AFC">
        <w:t xml:space="preserve"> </w:t>
      </w:r>
      <w:r>
        <w:t>targeted populations. The PSI is completed by grantee staff</w:t>
      </w:r>
      <w:r w:rsidRPr="00EF4766">
        <w:t xml:space="preserve"> </w:t>
      </w:r>
      <w:r>
        <w:t xml:space="preserve">each quarter. PSI data will inform the Training, COC, and SSE </w:t>
      </w:r>
      <w:r w:rsidR="00E557C7">
        <w:t>Study core components.</w:t>
      </w:r>
    </w:p>
    <w:p w14:paraId="7ED83C42" w14:textId="1E905211" w:rsidR="00034EE7" w:rsidRDefault="00034EE7" w:rsidP="00025F9F">
      <w:pPr>
        <w:pStyle w:val="GLSBody"/>
      </w:pPr>
      <w:r>
        <w:rPr>
          <w:b/>
        </w:rPr>
        <w:t>TASP</w:t>
      </w:r>
      <w:r w:rsidR="00AE1732">
        <w:rPr>
          <w:b/>
        </w:rPr>
        <w:t xml:space="preserve"> </w:t>
      </w:r>
      <w:r w:rsidR="00EB75FA" w:rsidRPr="00EB75FA">
        <w:rPr>
          <w:b/>
        </w:rPr>
        <w:t>(</w:t>
      </w:r>
      <w:r w:rsidR="004E6F6D">
        <w:rPr>
          <w:b/>
        </w:rPr>
        <w:t>R</w:t>
      </w:r>
      <w:r w:rsidR="00EB75FA" w:rsidRPr="00EB75FA">
        <w:rPr>
          <w:b/>
        </w:rPr>
        <w:t>evised)</w:t>
      </w:r>
      <w:r>
        <w:rPr>
          <w:b/>
        </w:rPr>
        <w:t xml:space="preserve">: </w:t>
      </w:r>
      <w:r w:rsidRPr="00ED3869">
        <w:t>the TASP is a Web-based survey collecting aggregate-level data from all State/Tribal and Campus</w:t>
      </w:r>
      <w:r>
        <w:t xml:space="preserve"> grantees</w:t>
      </w:r>
      <w:r w:rsidRPr="00160AFC">
        <w:t xml:space="preserve">. </w:t>
      </w:r>
      <w:r>
        <w:t>D</w:t>
      </w:r>
      <w:r w:rsidRPr="00160AFC">
        <w:t>ata include information about the</w:t>
      </w:r>
      <w:r>
        <w:t xml:space="preserve"> </w:t>
      </w:r>
      <w:r w:rsidRPr="00160AFC">
        <w:t>number and r</w:t>
      </w:r>
      <w:r>
        <w:t xml:space="preserve">ole of participants, </w:t>
      </w:r>
      <w:r w:rsidRPr="00160AFC">
        <w:t xml:space="preserve">type of training offered, </w:t>
      </w:r>
      <w:r>
        <w:t>training setting, and training location</w:t>
      </w:r>
      <w:r w:rsidRPr="00160AFC">
        <w:t xml:space="preserve"> ZIP code</w:t>
      </w:r>
      <w:r>
        <w:t xml:space="preserve"> (for use in analysis of training impact). T</w:t>
      </w:r>
      <w:r w:rsidRPr="00160AFC">
        <w:t>he TASP also assesses intended outcomes</w:t>
      </w:r>
      <w:r>
        <w:t xml:space="preserve">, as well as the </w:t>
      </w:r>
      <w:r w:rsidRPr="00160AFC">
        <w:t>number of online trainings completed, train-the-trainer events held, and booster trainings</w:t>
      </w:r>
      <w:r>
        <w:t xml:space="preserve"> that follow the initial training</w:t>
      </w:r>
      <w:r w:rsidRPr="00160AFC">
        <w:t xml:space="preserve">. </w:t>
      </w:r>
      <w:r>
        <w:t>A</w:t>
      </w:r>
      <w:r w:rsidRPr="00160AFC">
        <w:t xml:space="preserve"> TASP</w:t>
      </w:r>
      <w:r>
        <w:t xml:space="preserve"> is completed by grantee program staff within 2 weeks of each</w:t>
      </w:r>
      <w:r w:rsidR="0039575A">
        <w:t xml:space="preserve"> </w:t>
      </w:r>
      <w:r>
        <w:t>training activity. TASP data will inform the Training Study</w:t>
      </w:r>
      <w:r w:rsidR="00E557C7">
        <w:t xml:space="preserve"> core</w:t>
      </w:r>
      <w:r>
        <w:t>.</w:t>
      </w:r>
    </w:p>
    <w:p w14:paraId="41E1768F" w14:textId="25B2548F" w:rsidR="0050315C" w:rsidRPr="00837BCE" w:rsidRDefault="0050315C" w:rsidP="001E50ED">
      <w:pPr>
        <w:pStyle w:val="GLSBody"/>
        <w:spacing w:after="60"/>
        <w:rPr>
          <w:b/>
          <w:sz w:val="26"/>
          <w:szCs w:val="26"/>
          <w:u w:val="single"/>
        </w:rPr>
      </w:pPr>
      <w:r w:rsidRPr="00837BCE">
        <w:rPr>
          <w:rFonts w:ascii="Tw Cen MT" w:hAnsi="Tw Cen MT"/>
          <w:b/>
          <w:sz w:val="26"/>
          <w:szCs w:val="26"/>
          <w:u w:val="single"/>
        </w:rPr>
        <w:t>S</w:t>
      </w:r>
      <w:r w:rsidR="004E6F6D" w:rsidRPr="00837BCE">
        <w:rPr>
          <w:rFonts w:ascii="Tw Cen MT" w:hAnsi="Tw Cen MT"/>
          <w:b/>
          <w:sz w:val="26"/>
          <w:szCs w:val="26"/>
          <w:u w:val="single"/>
        </w:rPr>
        <w:t>tate/Triba</w:t>
      </w:r>
      <w:r w:rsidRPr="00837BCE">
        <w:rPr>
          <w:rFonts w:ascii="Tw Cen MT" w:hAnsi="Tw Cen MT"/>
          <w:b/>
          <w:sz w:val="26"/>
          <w:szCs w:val="26"/>
          <w:u w:val="single"/>
        </w:rPr>
        <w:t>l Instruments</w:t>
      </w:r>
    </w:p>
    <w:p w14:paraId="3779E0DC" w14:textId="0410C50A" w:rsidR="009F4FB7" w:rsidRDefault="009F4FB7" w:rsidP="000F7808">
      <w:pPr>
        <w:pStyle w:val="GLSBody"/>
        <w:spacing w:after="200"/>
      </w:pPr>
      <w:r w:rsidRPr="00EC1154">
        <w:t xml:space="preserve">State/Tribal grantees will </w:t>
      </w:r>
      <w:r w:rsidR="00D72555">
        <w:t>participate in the</w:t>
      </w:r>
      <w:r w:rsidRPr="00EC1154">
        <w:t xml:space="preserve"> </w:t>
      </w:r>
      <w:r w:rsidR="001B1713" w:rsidRPr="001B1713">
        <w:rPr>
          <w:b/>
          <w:i/>
        </w:rPr>
        <w:t>revised</w:t>
      </w:r>
      <w:r w:rsidR="001B1713">
        <w:t xml:space="preserve"> TUP-S</w:t>
      </w:r>
      <w:r w:rsidR="00050270">
        <w:t>,</w:t>
      </w:r>
      <w:r w:rsidR="001B1713">
        <w:t xml:space="preserve"> </w:t>
      </w:r>
      <w:r w:rsidRPr="00EC1154">
        <w:t>EIRF-I</w:t>
      </w:r>
      <w:r w:rsidR="001B1713">
        <w:t>,</w:t>
      </w:r>
      <w:r w:rsidRPr="00EC1154">
        <w:t xml:space="preserve"> </w:t>
      </w:r>
      <w:r w:rsidR="00B43DEE">
        <w:t xml:space="preserve">and </w:t>
      </w:r>
      <w:r w:rsidRPr="00EC1154">
        <w:t>EIRF-S</w:t>
      </w:r>
      <w:r w:rsidR="00B43DEE">
        <w:t>;</w:t>
      </w:r>
      <w:r w:rsidR="00B43DEE" w:rsidRPr="00EC1154">
        <w:t xml:space="preserve"> </w:t>
      </w:r>
      <w:r w:rsidR="0045340E" w:rsidRPr="0045340E">
        <w:rPr>
          <w:b/>
          <w:i/>
        </w:rPr>
        <w:t>n</w:t>
      </w:r>
      <w:r w:rsidR="0050315C" w:rsidRPr="0045340E">
        <w:rPr>
          <w:b/>
          <w:i/>
        </w:rPr>
        <w:t xml:space="preserve">ew </w:t>
      </w:r>
      <w:r w:rsidR="0050315C" w:rsidRPr="00EC1154">
        <w:t>BHPS</w:t>
      </w:r>
      <w:r w:rsidR="00050270">
        <w:t xml:space="preserve">; and </w:t>
      </w:r>
      <w:r w:rsidR="00050270" w:rsidRPr="00050270">
        <w:rPr>
          <w:b/>
          <w:i/>
        </w:rPr>
        <w:t>new</w:t>
      </w:r>
      <w:r w:rsidR="00050270">
        <w:t xml:space="preserve"> TUP-S baseline and 12</w:t>
      </w:r>
      <w:r w:rsidR="00D72555">
        <w:t>-</w:t>
      </w:r>
      <w:r w:rsidR="00050270">
        <w:t>month administrations</w:t>
      </w:r>
      <w:r w:rsidRPr="00EC1154">
        <w:t>.</w:t>
      </w:r>
      <w:r w:rsidR="008B2E0F">
        <w:t xml:space="preserve"> Cohort 8 State/Tribal grantees </w:t>
      </w:r>
      <w:r w:rsidR="00B56C4E">
        <w:t xml:space="preserve">also </w:t>
      </w:r>
      <w:r w:rsidR="008B2E0F">
        <w:t xml:space="preserve">will participate in the </w:t>
      </w:r>
      <w:r w:rsidR="00616564">
        <w:t xml:space="preserve">previously-approved </w:t>
      </w:r>
      <w:r w:rsidR="008B2E0F">
        <w:t>RNS</w:t>
      </w:r>
      <w:r w:rsidR="006141F4">
        <w:t xml:space="preserve"> after which the instrument will be discontinued</w:t>
      </w:r>
      <w:r w:rsidR="008B2E0F">
        <w:t>.</w:t>
      </w:r>
    </w:p>
    <w:p w14:paraId="2FDB0767" w14:textId="1263D485" w:rsidR="001B1713" w:rsidRDefault="001B1713" w:rsidP="000F7808">
      <w:pPr>
        <w:pStyle w:val="GLSBody"/>
        <w:spacing w:after="200"/>
        <w:rPr>
          <w:b/>
        </w:rPr>
      </w:pPr>
      <w:r w:rsidRPr="00B076AC">
        <w:rPr>
          <w:b/>
        </w:rPr>
        <w:t>TUP-S (Revised</w:t>
      </w:r>
      <w:r>
        <w:rPr>
          <w:b/>
        </w:rPr>
        <w:t>/New</w:t>
      </w:r>
      <w:r w:rsidRPr="00B076AC">
        <w:rPr>
          <w:b/>
        </w:rPr>
        <w:t>):</w:t>
      </w:r>
      <w:r w:rsidRPr="005658CA">
        <w:t xml:space="preserve"> the TUP-S</w:t>
      </w:r>
      <w:r w:rsidRPr="0086489E">
        <w:t xml:space="preserve"> is </w:t>
      </w:r>
      <w:r>
        <w:t xml:space="preserve">a survey conducted with training participants from GLS </w:t>
      </w:r>
      <w:r w:rsidRPr="00B52DFA">
        <w:t xml:space="preserve">State/Tribal </w:t>
      </w:r>
      <w:r>
        <w:t>grantees. The TUP-S has 3- and 6-month versions; as part of the Training Study RCT, two new versions (baseline [BL] and 12 months) are being added. The TUP-S</w:t>
      </w:r>
      <w:r w:rsidRPr="00B52DFA">
        <w:t xml:space="preserve"> </w:t>
      </w:r>
      <w:r w:rsidRPr="00ED3869">
        <w:t>systematically measure</w:t>
      </w:r>
      <w:r>
        <w:t>s</w:t>
      </w:r>
      <w:r w:rsidRPr="00ED3869">
        <w:t xml:space="preserve"> gatekeeper</w:t>
      </w:r>
      <w:r>
        <w:t xml:space="preserve"> behavior. Data include training participant (1) </w:t>
      </w:r>
      <w:r w:rsidRPr="00020DFA">
        <w:t>self-efficacy, awareness</w:t>
      </w:r>
      <w:r>
        <w:t>,</w:t>
      </w:r>
      <w:r w:rsidRPr="00020DFA">
        <w:t xml:space="preserve"> and education efforts</w:t>
      </w:r>
      <w:r>
        <w:t xml:space="preserve">; (2) </w:t>
      </w:r>
      <w:r w:rsidRPr="00160AFC">
        <w:t>receipt and utilization of materials and tools to support skills</w:t>
      </w:r>
      <w:r>
        <w:t>; (3)</w:t>
      </w:r>
      <w:r w:rsidRPr="00160AFC">
        <w:t xml:space="preserve"> experience with role-play or behavioral rehearsal</w:t>
      </w:r>
      <w:r>
        <w:t>; (4) previous suicide prevention trainings; (5) previous contact and quality of relationships with youth and students; and one of the most critical outcomes, (6)</w:t>
      </w:r>
      <w:r w:rsidRPr="00160AFC">
        <w:t xml:space="preserve"> </w:t>
      </w:r>
      <w:r w:rsidRPr="00020DFA">
        <w:t>suicide identification and referral behavio</w:t>
      </w:r>
      <w:r>
        <w:t xml:space="preserve">r. Each version refers the participant to a specific time period. As the initial follow-up survey, the 3-month version also requests information about the training received. All versions are administered using CATI technology. </w:t>
      </w:r>
      <w:r w:rsidRPr="00EB75FA">
        <w:t xml:space="preserve">TUP-S data will inform the core COC </w:t>
      </w:r>
      <w:r>
        <w:t xml:space="preserve">and Training </w:t>
      </w:r>
      <w:r w:rsidRPr="00EB75FA">
        <w:t>Stud</w:t>
      </w:r>
      <w:r>
        <w:t>ies, as well as the Training Study RCT</w:t>
      </w:r>
      <w:r w:rsidRPr="00EB75FA">
        <w:t>.</w:t>
      </w:r>
      <w:r w:rsidRPr="00515C63">
        <w:rPr>
          <w:b/>
        </w:rPr>
        <w:t xml:space="preserve"> </w:t>
      </w:r>
      <w:r>
        <w:t xml:space="preserve"> </w:t>
      </w:r>
    </w:p>
    <w:p w14:paraId="00B7BA09" w14:textId="77777777" w:rsidR="001B1713" w:rsidRDefault="001B1713" w:rsidP="000F7808">
      <w:pPr>
        <w:pStyle w:val="GLSBody"/>
        <w:numPr>
          <w:ilvl w:val="0"/>
          <w:numId w:val="54"/>
        </w:numPr>
        <w:spacing w:after="200"/>
        <w:ind w:left="360"/>
      </w:pPr>
      <w:r>
        <w:rPr>
          <w:b/>
        </w:rPr>
        <w:t>TUP-S Core (3 and 6 months)</w:t>
      </w:r>
      <w:r>
        <w:t>: for the core Training Study, the TUP-S will be administered at 3 months and 6 months after training with a random sample of participants who consent to be contacted. State/Tribal and Campus grantee staff</w:t>
      </w:r>
      <w:r w:rsidRPr="00160AFC">
        <w:t xml:space="preserve"> and training facilitators </w:t>
      </w:r>
      <w:r>
        <w:t>will collect</w:t>
      </w:r>
      <w:r w:rsidRPr="00160AFC">
        <w:t xml:space="preserve"> </w:t>
      </w:r>
      <w:r>
        <w:t xml:space="preserve">consent to contact prior to training via hardcopy form or by sharing a link to an online form (mobile device-compatible). Brief items have been added to the consent to contact form to establish participant history of </w:t>
      </w:r>
      <w:r w:rsidRPr="00160AFC">
        <w:t>identification and referral behaviors</w:t>
      </w:r>
      <w:r>
        <w:t>. Respondents at 3 months will be asked to consent to be contacted for the 6-month survey</w:t>
      </w:r>
      <w:r w:rsidRPr="00EB75FA">
        <w:t xml:space="preserve">. </w:t>
      </w:r>
    </w:p>
    <w:p w14:paraId="2368A6EA" w14:textId="68B28C8D" w:rsidR="001B1713" w:rsidRDefault="001B1713" w:rsidP="000F7808">
      <w:pPr>
        <w:pStyle w:val="GLSBody"/>
        <w:numPr>
          <w:ilvl w:val="0"/>
          <w:numId w:val="53"/>
        </w:numPr>
        <w:spacing w:after="200"/>
        <w:ind w:left="360"/>
      </w:pPr>
      <w:r>
        <w:rPr>
          <w:b/>
        </w:rPr>
        <w:t>TUP</w:t>
      </w:r>
      <w:r w:rsidRPr="00B3603E">
        <w:rPr>
          <w:b/>
        </w:rPr>
        <w:t>-S</w:t>
      </w:r>
      <w:r>
        <w:rPr>
          <w:b/>
        </w:rPr>
        <w:t xml:space="preserve"> RCT (BL, 3, 6, and 12 months)</w:t>
      </w:r>
      <w:r w:rsidRPr="00B3603E">
        <w:rPr>
          <w:b/>
        </w:rPr>
        <w:t>:</w:t>
      </w:r>
      <w:r>
        <w:rPr>
          <w:b/>
        </w:rPr>
        <w:t xml:space="preserve"> </w:t>
      </w:r>
      <w:r w:rsidRPr="00D91AFF">
        <w:t xml:space="preserve">as part of the Training Study RCT, the TUP-S will be </w:t>
      </w:r>
      <w:r>
        <w:t>conducted</w:t>
      </w:r>
      <w:r w:rsidRPr="00D91AFF">
        <w:t xml:space="preserve"> </w:t>
      </w:r>
      <w:r>
        <w:t>with participants from a</w:t>
      </w:r>
      <w:r w:rsidRPr="003F354C">
        <w:rPr>
          <w:i/>
        </w:rPr>
        <w:t xml:space="preserve"> subset of </w:t>
      </w:r>
      <w:r w:rsidR="00050270">
        <w:rPr>
          <w:i/>
        </w:rPr>
        <w:t xml:space="preserve">10 </w:t>
      </w:r>
      <w:r w:rsidRPr="003F354C">
        <w:rPr>
          <w:i/>
        </w:rPr>
        <w:t xml:space="preserve">State/Tribal </w:t>
      </w:r>
      <w:r>
        <w:rPr>
          <w:i/>
        </w:rPr>
        <w:t>grantees</w:t>
      </w:r>
      <w:r>
        <w:t xml:space="preserve"> randomly assigned to different training activities. </w:t>
      </w:r>
      <w:r>
        <w:rPr>
          <w:bCs/>
        </w:rPr>
        <w:t xml:space="preserve">Grantee staff will </w:t>
      </w:r>
      <w:r>
        <w:t>collect</w:t>
      </w:r>
      <w:r w:rsidRPr="00160AFC">
        <w:t xml:space="preserve"> consent-to-contact </w:t>
      </w:r>
      <w:r>
        <w:t>at</w:t>
      </w:r>
      <w:r w:rsidRPr="00160AFC">
        <w:t xml:space="preserve"> </w:t>
      </w:r>
      <w:r>
        <w:t>registration for upcoming training events via hardcopy form or by sharing a link to an online form (also mobile device-compatible).</w:t>
      </w:r>
      <w:r w:rsidRPr="00160AFC">
        <w:t xml:space="preserve"> </w:t>
      </w:r>
      <w:r>
        <w:t>Prospective p</w:t>
      </w:r>
      <w:r w:rsidRPr="00160AFC">
        <w:t xml:space="preserve">articipants will </w:t>
      </w:r>
      <w:r>
        <w:t xml:space="preserve">complete the baseline survey prior to training </w:t>
      </w:r>
      <w:r w:rsidRPr="00EB75FA">
        <w:t xml:space="preserve">and </w:t>
      </w:r>
      <w:r w:rsidR="00050270">
        <w:t xml:space="preserve">follow-ups </w:t>
      </w:r>
      <w:r w:rsidRPr="00EB75FA">
        <w:t xml:space="preserve">at </w:t>
      </w:r>
      <w:r>
        <w:t xml:space="preserve">3 months, 6 months, and 12 months </w:t>
      </w:r>
      <w:r w:rsidRPr="00160AFC">
        <w:t>thereafter</w:t>
      </w:r>
      <w:r>
        <w:t xml:space="preserve">. </w:t>
      </w:r>
    </w:p>
    <w:p w14:paraId="00D828F8" w14:textId="01834831" w:rsidR="001B1713" w:rsidRPr="001874F2" w:rsidRDefault="001B1713" w:rsidP="000F7808">
      <w:pPr>
        <w:pStyle w:val="GLSBody"/>
        <w:spacing w:after="200"/>
        <w:rPr>
          <w:i/>
        </w:rPr>
      </w:pPr>
      <w:r w:rsidRPr="00B5673F">
        <w:rPr>
          <w:b/>
          <w:i/>
        </w:rPr>
        <w:t>Note:</w:t>
      </w:r>
      <w:r w:rsidRPr="001874F2">
        <w:rPr>
          <w:i/>
        </w:rPr>
        <w:t xml:space="preserve"> The core and RCT Training </w:t>
      </w:r>
      <w:r w:rsidR="004A1E99">
        <w:rPr>
          <w:i/>
        </w:rPr>
        <w:t xml:space="preserve">Study </w:t>
      </w:r>
      <w:r w:rsidRPr="001874F2">
        <w:rPr>
          <w:i/>
        </w:rPr>
        <w:t xml:space="preserve">components both will use the TUP-S 3- and 6-month versions. To </w:t>
      </w:r>
      <w:r>
        <w:rPr>
          <w:i/>
        </w:rPr>
        <w:t>distinguish</w:t>
      </w:r>
      <w:r w:rsidRPr="001874F2">
        <w:rPr>
          <w:i/>
        </w:rPr>
        <w:t xml:space="preserve"> between </w:t>
      </w:r>
      <w:r>
        <w:rPr>
          <w:i/>
        </w:rPr>
        <w:t>core and RCT data collection,</w:t>
      </w:r>
      <w:r w:rsidRPr="001874F2">
        <w:rPr>
          <w:i/>
        </w:rPr>
        <w:t xml:space="preserve"> </w:t>
      </w:r>
      <w:r>
        <w:rPr>
          <w:i/>
        </w:rPr>
        <w:t xml:space="preserve">TUP-S </w:t>
      </w:r>
      <w:r w:rsidRPr="001874F2">
        <w:rPr>
          <w:i/>
        </w:rPr>
        <w:t>RCT refer</w:t>
      </w:r>
      <w:r>
        <w:rPr>
          <w:i/>
        </w:rPr>
        <w:t xml:space="preserve">s to any </w:t>
      </w:r>
      <w:r w:rsidRPr="001874F2">
        <w:rPr>
          <w:i/>
        </w:rPr>
        <w:t xml:space="preserve">version </w:t>
      </w:r>
      <w:r>
        <w:rPr>
          <w:i/>
        </w:rPr>
        <w:t>of the survey co</w:t>
      </w:r>
      <w:r w:rsidRPr="001874F2">
        <w:rPr>
          <w:i/>
        </w:rPr>
        <w:t xml:space="preserve">nducted </w:t>
      </w:r>
      <w:r>
        <w:rPr>
          <w:i/>
        </w:rPr>
        <w:t xml:space="preserve">as part of the </w:t>
      </w:r>
      <w:r w:rsidRPr="001874F2">
        <w:rPr>
          <w:i/>
        </w:rPr>
        <w:t xml:space="preserve">RCT. </w:t>
      </w:r>
      <w:r>
        <w:rPr>
          <w:i/>
        </w:rPr>
        <w:t xml:space="preserve">For example, </w:t>
      </w:r>
      <w:r w:rsidRPr="001874F2">
        <w:rPr>
          <w:i/>
        </w:rPr>
        <w:t xml:space="preserve">the </w:t>
      </w:r>
      <w:r>
        <w:rPr>
          <w:i/>
        </w:rPr>
        <w:t xml:space="preserve">3-month </w:t>
      </w:r>
      <w:r w:rsidRPr="001874F2">
        <w:rPr>
          <w:i/>
        </w:rPr>
        <w:t xml:space="preserve">TUP-S and TUP-S </w:t>
      </w:r>
      <w:r>
        <w:rPr>
          <w:i/>
        </w:rPr>
        <w:t>RCT versions</w:t>
      </w:r>
      <w:r w:rsidRPr="001874F2">
        <w:rPr>
          <w:i/>
        </w:rPr>
        <w:t xml:space="preserve"> are the same instrument</w:t>
      </w:r>
      <w:r>
        <w:rPr>
          <w:i/>
        </w:rPr>
        <w:t xml:space="preserve">. However, “RCT” denotes data collection specific to the </w:t>
      </w:r>
      <w:r w:rsidRPr="001874F2">
        <w:rPr>
          <w:i/>
        </w:rPr>
        <w:t xml:space="preserve">RCT. </w:t>
      </w:r>
    </w:p>
    <w:p w14:paraId="2B4072C3" w14:textId="7B62145A" w:rsidR="004E6F6D" w:rsidRPr="00160AFC" w:rsidRDefault="004E6F6D" w:rsidP="000F7808">
      <w:pPr>
        <w:pStyle w:val="GLSBody"/>
        <w:spacing w:after="200"/>
      </w:pPr>
      <w:r w:rsidRPr="000E2B96">
        <w:rPr>
          <w:b/>
        </w:rPr>
        <w:t>EIRF-I</w:t>
      </w:r>
      <w:r>
        <w:rPr>
          <w:b/>
        </w:rPr>
        <w:t xml:space="preserve"> (</w:t>
      </w:r>
      <w:r w:rsidR="009F4FB7">
        <w:rPr>
          <w:b/>
        </w:rPr>
        <w:t>R</w:t>
      </w:r>
      <w:r>
        <w:rPr>
          <w:b/>
        </w:rPr>
        <w:t>evised)</w:t>
      </w:r>
      <w:r w:rsidRPr="00E40ACF">
        <w:t xml:space="preserve">: </w:t>
      </w:r>
      <w:r>
        <w:t xml:space="preserve">the Web-based EIRF-I gathers existing data from all </w:t>
      </w:r>
      <w:r w:rsidRPr="00ED3869">
        <w:t>State/Tribal</w:t>
      </w:r>
      <w:r>
        <w:t xml:space="preserve"> grantees </w:t>
      </w:r>
      <w:r w:rsidRPr="00683939">
        <w:t xml:space="preserve">on </w:t>
      </w:r>
      <w:r>
        <w:t xml:space="preserve">each at-risk </w:t>
      </w:r>
      <w:r w:rsidRPr="00683939">
        <w:t>youth identified</w:t>
      </w:r>
      <w:r>
        <w:t xml:space="preserve"> a</w:t>
      </w:r>
      <w:r w:rsidRPr="00683939">
        <w:t xml:space="preserve">s a result of </w:t>
      </w:r>
      <w:r>
        <w:t>the GLS program (via trained gatekeepers</w:t>
      </w:r>
      <w:r w:rsidRPr="00160AFC">
        <w:t xml:space="preserve"> or screening</w:t>
      </w:r>
      <w:r>
        <w:t>s). Data include information on</w:t>
      </w:r>
      <w:r w:rsidRPr="00683939">
        <w:t xml:space="preserve"> </w:t>
      </w:r>
      <w:r>
        <w:t xml:space="preserve">service </w:t>
      </w:r>
      <w:r w:rsidRPr="00683939">
        <w:t>referral</w:t>
      </w:r>
      <w:r>
        <w:t xml:space="preserve">s, service types, and services </w:t>
      </w:r>
      <w:r w:rsidRPr="00683939">
        <w:t>rece</w:t>
      </w:r>
      <w:r>
        <w:t>ived across the 3-month period after identification; n</w:t>
      </w:r>
      <w:r w:rsidRPr="00160AFC">
        <w:t>o personal identifiers are requested</w:t>
      </w:r>
      <w:r>
        <w:t>. Information sources include local systems that</w:t>
      </w:r>
      <w:r w:rsidRPr="00160AFC">
        <w:t xml:space="preserve"> gather identificati</w:t>
      </w:r>
      <w:r>
        <w:t xml:space="preserve">on and referral data, including </w:t>
      </w:r>
      <w:r w:rsidRPr="00160AFC">
        <w:t>existing</w:t>
      </w:r>
      <w:r>
        <w:t xml:space="preserve"> data extractions from</w:t>
      </w:r>
      <w:r w:rsidRPr="00160AFC">
        <w:t xml:space="preserve"> electronic health records or forms</w:t>
      </w:r>
      <w:r>
        <w:t xml:space="preserve">. Grantee program </w:t>
      </w:r>
      <w:proofErr w:type="gramStart"/>
      <w:r>
        <w:t>staff enter</w:t>
      </w:r>
      <w:proofErr w:type="gramEnd"/>
      <w:r>
        <w:t xml:space="preserve"> EIRF-I </w:t>
      </w:r>
      <w:r w:rsidRPr="00160AFC">
        <w:t>data on an ongoing basis</w:t>
      </w:r>
      <w:r>
        <w:t xml:space="preserve">. EIRF-I data will inform the core Training and COC Studies. </w:t>
      </w:r>
    </w:p>
    <w:p w14:paraId="627F5BDC" w14:textId="14D9E1E0" w:rsidR="004E6F6D" w:rsidRDefault="004E6F6D" w:rsidP="000F7808">
      <w:pPr>
        <w:pStyle w:val="GLSBody"/>
        <w:spacing w:after="200"/>
      </w:pPr>
      <w:r w:rsidRPr="00160AFC">
        <w:rPr>
          <w:b/>
        </w:rPr>
        <w:t>EIRF-S</w:t>
      </w:r>
      <w:r>
        <w:rPr>
          <w:b/>
        </w:rPr>
        <w:t xml:space="preserve"> (</w:t>
      </w:r>
      <w:r w:rsidR="009F4FB7">
        <w:rPr>
          <w:b/>
        </w:rPr>
        <w:t>R</w:t>
      </w:r>
      <w:r>
        <w:rPr>
          <w:b/>
        </w:rPr>
        <w:t xml:space="preserve">evised): </w:t>
      </w:r>
      <w:r>
        <w:t xml:space="preserve">the Web-based EIRF-S </w:t>
      </w:r>
      <w:r w:rsidRPr="00160AFC">
        <w:t xml:space="preserve">gathers aggregate information about all </w:t>
      </w:r>
      <w:r w:rsidRPr="00ED3869">
        <w:t>State/Tribal</w:t>
      </w:r>
      <w:r>
        <w:t xml:space="preserve"> screening activities sponsored by the GLS program</w:t>
      </w:r>
      <w:r w:rsidRPr="00160AFC">
        <w:t xml:space="preserve">. </w:t>
      </w:r>
      <w:r>
        <w:t xml:space="preserve">Data include </w:t>
      </w:r>
      <w:r w:rsidRPr="00160AFC">
        <w:t xml:space="preserve">aggregate information on the number of </w:t>
      </w:r>
      <w:r>
        <w:t>youth</w:t>
      </w:r>
      <w:r w:rsidRPr="00160AFC">
        <w:t xml:space="preserve"> screened for suicide risk through </w:t>
      </w:r>
      <w:r>
        <w:t xml:space="preserve">the </w:t>
      </w:r>
      <w:r w:rsidRPr="00160AFC">
        <w:t>GLS</w:t>
      </w:r>
      <w:r>
        <w:t xml:space="preserve"> program</w:t>
      </w:r>
      <w:r w:rsidRPr="00160AFC">
        <w:t xml:space="preserve">, the number screening positive, and the number confirmed to be at risk after initial positive screening. </w:t>
      </w:r>
      <w:proofErr w:type="gramStart"/>
      <w:r>
        <w:t xml:space="preserve">Grantee program staff complete forms once </w:t>
      </w:r>
      <w:r w:rsidRPr="00160AFC">
        <w:t xml:space="preserve">per each implementation of a screening tool in a group setting, once per month for clinical screenings, </w:t>
      </w:r>
      <w:r>
        <w:t xml:space="preserve">and </w:t>
      </w:r>
      <w:r w:rsidRPr="00160AFC">
        <w:t>once per month for one-on-one screenings.</w:t>
      </w:r>
      <w:proofErr w:type="gramEnd"/>
      <w:r>
        <w:t xml:space="preserve"> EIRF-S data will inform the core COC Study. </w:t>
      </w:r>
    </w:p>
    <w:p w14:paraId="26381ADC" w14:textId="7A64BE8E" w:rsidR="009B5105" w:rsidRDefault="009B5105" w:rsidP="000F7808">
      <w:pPr>
        <w:pStyle w:val="GLSBody"/>
        <w:spacing w:after="200"/>
      </w:pPr>
      <w:r w:rsidRPr="00C407BA">
        <w:rPr>
          <w:b/>
        </w:rPr>
        <w:t>BHPS</w:t>
      </w:r>
      <w:r>
        <w:rPr>
          <w:b/>
        </w:rPr>
        <w:t xml:space="preserve"> (New)</w:t>
      </w:r>
      <w:r>
        <w:t>:</w:t>
      </w:r>
      <w:r w:rsidRPr="00C407BA">
        <w:t xml:space="preserve"> </w:t>
      </w:r>
      <w:r>
        <w:t>t</w:t>
      </w:r>
      <w:r w:rsidRPr="00160AFC">
        <w:t xml:space="preserve">he BHPS is </w:t>
      </w:r>
      <w:r>
        <w:t xml:space="preserve">a new </w:t>
      </w:r>
      <w:r w:rsidRPr="00160AFC">
        <w:t xml:space="preserve">Web-based survey that </w:t>
      </w:r>
      <w:r>
        <w:t>gathers a</w:t>
      </w:r>
      <w:r w:rsidRPr="00160AFC">
        <w:t xml:space="preserve"> central set </w:t>
      </w:r>
      <w:r>
        <w:t xml:space="preserve">of </w:t>
      </w:r>
      <w:r w:rsidRPr="00160AFC">
        <w:t xml:space="preserve">characteristics </w:t>
      </w:r>
      <w:r>
        <w:t>about</w:t>
      </w:r>
      <w:r w:rsidRPr="00160AFC">
        <w:t xml:space="preserve"> behavioral health providers partnering with </w:t>
      </w:r>
      <w:r w:rsidRPr="00ED3869">
        <w:t>State/Tribal</w:t>
      </w:r>
      <w:r w:rsidRPr="00160AFC">
        <w:t xml:space="preserve"> grantees</w:t>
      </w:r>
      <w:r>
        <w:t xml:space="preserve">. Data will include </w:t>
      </w:r>
      <w:r w:rsidRPr="00160AFC">
        <w:t xml:space="preserve">information </w:t>
      </w:r>
      <w:r>
        <w:t>about</w:t>
      </w:r>
      <w:r w:rsidRPr="00160AFC">
        <w:t xml:space="preserve"> referrals for at-risk </w:t>
      </w:r>
      <w:r>
        <w:t>youth,</w:t>
      </w:r>
      <w:r w:rsidRPr="00160AFC">
        <w:t xml:space="preserve"> SSE care practice</w:t>
      </w:r>
      <w:r>
        <w:t>s</w:t>
      </w:r>
      <w:r w:rsidRPr="00160AFC">
        <w:t xml:space="preserve"> </w:t>
      </w:r>
      <w:r>
        <w:t xml:space="preserve">implemented, and </w:t>
      </w:r>
      <w:r w:rsidRPr="00160AFC">
        <w:t>client outcomes (number of suicide attempts and deaths)</w:t>
      </w:r>
      <w:r>
        <w:t xml:space="preserve">. The survey will be administered to providers from partner </w:t>
      </w:r>
      <w:r w:rsidRPr="000D1D22">
        <w:t xml:space="preserve">organizations annually. </w:t>
      </w:r>
      <w:r>
        <w:t xml:space="preserve">A total of </w:t>
      </w:r>
      <w:r w:rsidRPr="009F7678">
        <w:t xml:space="preserve">1-10 </w:t>
      </w:r>
      <w:r>
        <w:t xml:space="preserve">behavioral health partners from each State/Trial grantee will participate. BHPS data will inform the core and enhanced SSE Studies. </w:t>
      </w:r>
    </w:p>
    <w:p w14:paraId="3A4FAD68" w14:textId="6E7AEE88" w:rsidR="004E6F6D" w:rsidRDefault="004E6F6D" w:rsidP="000F7808">
      <w:pPr>
        <w:pStyle w:val="GLSBody"/>
        <w:spacing w:after="200"/>
      </w:pPr>
      <w:r w:rsidRPr="00CA40E8">
        <w:rPr>
          <w:b/>
        </w:rPr>
        <w:t>RNS</w:t>
      </w:r>
      <w:r w:rsidR="00B43DEE">
        <w:rPr>
          <w:b/>
        </w:rPr>
        <w:t xml:space="preserve"> (No Changes)</w:t>
      </w:r>
      <w:r>
        <w:t xml:space="preserve">: </w:t>
      </w:r>
      <w:r w:rsidRPr="00CA40E8">
        <w:t>t</w:t>
      </w:r>
      <w:r w:rsidRPr="00160AFC">
        <w:t xml:space="preserve">he </w:t>
      </w:r>
      <w:r w:rsidRPr="000D1D22">
        <w:t xml:space="preserve">RNS is Web-based survey </w:t>
      </w:r>
      <w:r>
        <w:t xml:space="preserve">of organizations </w:t>
      </w:r>
      <w:r w:rsidR="009D34A9">
        <w:t xml:space="preserve">in State/Tribal </w:t>
      </w:r>
      <w:r w:rsidR="00A208E3">
        <w:t xml:space="preserve">referral </w:t>
      </w:r>
      <w:r w:rsidR="009D34A9">
        <w:t>network</w:t>
      </w:r>
      <w:r w:rsidR="00A208E3">
        <w:t>s</w:t>
      </w:r>
      <w:r w:rsidR="009D34A9">
        <w:t xml:space="preserve"> </w:t>
      </w:r>
      <w:r>
        <w:t>that identify, refer, or serve at risk youth</w:t>
      </w:r>
      <w:r w:rsidR="009D34A9">
        <w:t>. The RNS</w:t>
      </w:r>
      <w:r>
        <w:t xml:space="preserve"> </w:t>
      </w:r>
      <w:r w:rsidRPr="000D1D22">
        <w:t>examines how collaboration and integration are used to share and transfer</w:t>
      </w:r>
      <w:r>
        <w:t xml:space="preserve"> </w:t>
      </w:r>
      <w:r w:rsidRPr="00160AFC">
        <w:t xml:space="preserve">knowledge, resources, and technology </w:t>
      </w:r>
      <w:r>
        <w:t xml:space="preserve">among State/Tribal </w:t>
      </w:r>
      <w:r w:rsidRPr="00160AFC">
        <w:t>grantee</w:t>
      </w:r>
      <w:r>
        <w:t>s</w:t>
      </w:r>
      <w:r w:rsidRPr="00160AFC">
        <w:t xml:space="preserve"> and stakeholders</w:t>
      </w:r>
      <w:r>
        <w:t>. Data include</w:t>
      </w:r>
      <w:r w:rsidRPr="00160AFC">
        <w:t xml:space="preserve"> information on </w:t>
      </w:r>
      <w:r w:rsidR="009D34A9">
        <w:t xml:space="preserve">(1) </w:t>
      </w:r>
      <w:r w:rsidRPr="00160AFC">
        <w:t>how networks influence referral mechanisms</w:t>
      </w:r>
      <w:r w:rsidR="00A208E3">
        <w:t xml:space="preserve"> and </w:t>
      </w:r>
      <w:r w:rsidRPr="00160AFC">
        <w:t>service ability</w:t>
      </w:r>
      <w:r>
        <w:t xml:space="preserve"> </w:t>
      </w:r>
      <w:r w:rsidR="009D34A9">
        <w:t>and</w:t>
      </w:r>
      <w:r>
        <w:t xml:space="preserve"> </w:t>
      </w:r>
      <w:r w:rsidR="00A208E3">
        <w:t xml:space="preserve">(2) </w:t>
      </w:r>
      <w:r w:rsidRPr="00160AFC">
        <w:t xml:space="preserve">policies and protocols regarding follow-up for </w:t>
      </w:r>
      <w:r>
        <w:t>youth</w:t>
      </w:r>
      <w:r w:rsidRPr="00160AFC">
        <w:t xml:space="preserve"> w</w:t>
      </w:r>
      <w:r w:rsidRPr="001B4622">
        <w:t xml:space="preserve">ho have attempted </w:t>
      </w:r>
      <w:r w:rsidR="00CB1EDA">
        <w:t>or</w:t>
      </w:r>
      <w:r w:rsidRPr="00DE7254">
        <w:t xml:space="preserve"> are</w:t>
      </w:r>
      <w:r w:rsidRPr="001B4622">
        <w:t xml:space="preserve"> at risk for suicide</w:t>
      </w:r>
      <w:r w:rsidRPr="00160AFC">
        <w:t>. Grantee</w:t>
      </w:r>
      <w:r>
        <w:t xml:space="preserve"> program </w:t>
      </w:r>
      <w:proofErr w:type="gramStart"/>
      <w:r>
        <w:t>staff</w:t>
      </w:r>
      <w:r w:rsidRPr="00160AFC">
        <w:t xml:space="preserve"> provide</w:t>
      </w:r>
      <w:proofErr w:type="gramEnd"/>
      <w:r w:rsidRPr="00160AFC">
        <w:t xml:space="preserve"> contact </w:t>
      </w:r>
      <w:r w:rsidRPr="009D34A9">
        <w:t xml:space="preserve">information for </w:t>
      </w:r>
      <w:r w:rsidR="0055319F">
        <w:t>up to 5 organizations</w:t>
      </w:r>
      <w:r w:rsidRPr="009D34A9">
        <w:t xml:space="preserve"> in the</w:t>
      </w:r>
      <w:r>
        <w:t xml:space="preserve"> referral network</w:t>
      </w:r>
      <w:r w:rsidR="00A208E3">
        <w:t xml:space="preserve">. </w:t>
      </w:r>
      <w:r w:rsidR="00E05CA1">
        <w:t xml:space="preserve">The RNS will be administered </w:t>
      </w:r>
      <w:r w:rsidR="00CB1EDA">
        <w:t>in OMB Year</w:t>
      </w:r>
      <w:r w:rsidR="00F875FD">
        <w:t xml:space="preserve"> 1 </w:t>
      </w:r>
      <w:r w:rsidR="00CB1EDA">
        <w:t>with</w:t>
      </w:r>
      <w:r w:rsidR="00F875FD">
        <w:t xml:space="preserve"> Cohort 8 State/Tribal grantees to fulfill </w:t>
      </w:r>
      <w:r w:rsidR="00CB1EDA">
        <w:t xml:space="preserve">data collection requirements </w:t>
      </w:r>
      <w:r w:rsidR="00F875FD">
        <w:t xml:space="preserve">for that cohort. </w:t>
      </w:r>
    </w:p>
    <w:p w14:paraId="0190222C" w14:textId="4562B216" w:rsidR="0050315C" w:rsidRPr="00837BCE" w:rsidRDefault="0050315C" w:rsidP="001E50ED">
      <w:pPr>
        <w:pStyle w:val="GLSBody"/>
        <w:keepNext/>
        <w:spacing w:after="60"/>
        <w:rPr>
          <w:rFonts w:ascii="Tw Cen MT" w:hAnsi="Tw Cen MT"/>
          <w:b/>
          <w:sz w:val="26"/>
          <w:szCs w:val="26"/>
          <w:u w:val="single"/>
        </w:rPr>
      </w:pPr>
      <w:r w:rsidRPr="00837BCE">
        <w:rPr>
          <w:rFonts w:ascii="Tw Cen MT" w:hAnsi="Tw Cen MT"/>
          <w:b/>
          <w:sz w:val="26"/>
          <w:szCs w:val="26"/>
          <w:u w:val="single"/>
        </w:rPr>
        <w:t xml:space="preserve">Campus </w:t>
      </w:r>
      <w:r w:rsidR="004E6F6D" w:rsidRPr="00837BCE">
        <w:rPr>
          <w:rFonts w:ascii="Tw Cen MT" w:hAnsi="Tw Cen MT"/>
          <w:b/>
          <w:sz w:val="26"/>
          <w:szCs w:val="26"/>
          <w:u w:val="single"/>
        </w:rPr>
        <w:t>Instruments</w:t>
      </w:r>
      <w:r w:rsidR="009F4FB7" w:rsidRPr="00837BCE">
        <w:rPr>
          <w:rFonts w:ascii="Tw Cen MT" w:hAnsi="Tw Cen MT"/>
          <w:b/>
          <w:sz w:val="26"/>
          <w:szCs w:val="26"/>
          <w:u w:val="single"/>
        </w:rPr>
        <w:t xml:space="preserve"> </w:t>
      </w:r>
    </w:p>
    <w:p w14:paraId="7ED52A40" w14:textId="312410FD" w:rsidR="004E6F6D" w:rsidRDefault="004A1E99" w:rsidP="00CF5DFC">
      <w:pPr>
        <w:pStyle w:val="GLSBody"/>
        <w:spacing w:after="200"/>
        <w:rPr>
          <w:b/>
        </w:rPr>
      </w:pPr>
      <w:r>
        <w:t xml:space="preserve">All </w:t>
      </w:r>
      <w:r w:rsidR="0050315C">
        <w:t xml:space="preserve">Campus grantees will participate in the </w:t>
      </w:r>
      <w:r w:rsidR="0045340E">
        <w:rPr>
          <w:b/>
          <w:i/>
        </w:rPr>
        <w:t>r</w:t>
      </w:r>
      <w:r w:rsidR="00731C97" w:rsidRPr="0050315C">
        <w:rPr>
          <w:b/>
          <w:i/>
        </w:rPr>
        <w:t xml:space="preserve">evised </w:t>
      </w:r>
      <w:r w:rsidR="00731C97" w:rsidRPr="0045340E">
        <w:t>SBHF (formerly MIS)</w:t>
      </w:r>
      <w:r w:rsidR="00E05CA1">
        <w:t xml:space="preserve">. </w:t>
      </w:r>
      <w:r w:rsidR="00A72636">
        <w:t xml:space="preserve">Campus Cohorts 7 and 8 will participate in the </w:t>
      </w:r>
      <w:r w:rsidR="00616564">
        <w:t xml:space="preserve">previously-approved </w:t>
      </w:r>
      <w:r w:rsidR="00A72636">
        <w:t xml:space="preserve">TUP-S Campus; Cohort 7 campuses also will participate in the </w:t>
      </w:r>
      <w:r w:rsidR="00616564">
        <w:t xml:space="preserve">previously-approved </w:t>
      </w:r>
      <w:r w:rsidR="00A72636">
        <w:t xml:space="preserve">SMSS.  </w:t>
      </w:r>
    </w:p>
    <w:p w14:paraId="1215B057" w14:textId="4277AF45" w:rsidR="00DF0389" w:rsidRPr="000E3F24" w:rsidRDefault="00D94765" w:rsidP="00CF5DFC">
      <w:pPr>
        <w:pStyle w:val="GLSBody"/>
        <w:spacing w:after="200"/>
      </w:pPr>
      <w:r>
        <w:rPr>
          <w:b/>
        </w:rPr>
        <w:t xml:space="preserve">TUP-S </w:t>
      </w:r>
      <w:r w:rsidR="00756D2B">
        <w:rPr>
          <w:b/>
        </w:rPr>
        <w:t xml:space="preserve">Campus </w:t>
      </w:r>
      <w:r>
        <w:rPr>
          <w:b/>
        </w:rPr>
        <w:t xml:space="preserve">(No Changes): </w:t>
      </w:r>
      <w:r w:rsidR="00DF0389" w:rsidRPr="00DF0389">
        <w:t>the TUP-S Campus</w:t>
      </w:r>
      <w:r w:rsidR="00DF0389">
        <w:rPr>
          <w:b/>
        </w:rPr>
        <w:t xml:space="preserve"> </w:t>
      </w:r>
      <w:r w:rsidR="00DF0389" w:rsidRPr="0086489E">
        <w:t xml:space="preserve">is </w:t>
      </w:r>
      <w:r w:rsidR="00DF0389">
        <w:t xml:space="preserve">a telephone survey conducted with training participants from GLS Campus grantees. The TUP-S </w:t>
      </w:r>
      <w:r w:rsidR="00DF0389" w:rsidRPr="00ED3869">
        <w:t>systematically measure</w:t>
      </w:r>
      <w:r w:rsidR="00DF0389">
        <w:t>s</w:t>
      </w:r>
      <w:r w:rsidR="00DF0389" w:rsidRPr="00ED3869">
        <w:t xml:space="preserve"> gatekeeper</w:t>
      </w:r>
      <w:r w:rsidR="00DF0389">
        <w:t xml:space="preserve"> behavior</w:t>
      </w:r>
      <w:r w:rsidR="00756D2B">
        <w:t xml:space="preserve">. Data include </w:t>
      </w:r>
      <w:r w:rsidR="00DF0389" w:rsidRPr="00F1465D">
        <w:t>self-efficacy, awareness and education efforts</w:t>
      </w:r>
      <w:r w:rsidR="00756D2B">
        <w:t xml:space="preserve">; </w:t>
      </w:r>
      <w:r w:rsidR="00DF0389" w:rsidRPr="00F1465D">
        <w:t>suicide identification behavior</w:t>
      </w:r>
      <w:r w:rsidR="00756D2B">
        <w:t xml:space="preserve">; </w:t>
      </w:r>
      <w:r w:rsidR="00DF0389" w:rsidRPr="00F1465D">
        <w:t>demographic information about individuals identified at risk</w:t>
      </w:r>
      <w:r w:rsidR="00756D2B">
        <w:t>;</w:t>
      </w:r>
      <w:r w:rsidR="00DF0389" w:rsidRPr="00F1465D">
        <w:t xml:space="preserve"> subsequent referrals and/or supports provided by the trainee</w:t>
      </w:r>
      <w:r w:rsidR="00756D2B">
        <w:t xml:space="preserve">; and any available </w:t>
      </w:r>
      <w:r w:rsidR="00DF0389" w:rsidRPr="00F1465D">
        <w:t>information about services accessed by the at-risk individual.</w:t>
      </w:r>
      <w:r w:rsidR="00DF0389">
        <w:t xml:space="preserve"> Grantee staff</w:t>
      </w:r>
      <w:r w:rsidR="00DF0389" w:rsidRPr="00160AFC">
        <w:t xml:space="preserve"> and training facilitators </w:t>
      </w:r>
      <w:r w:rsidR="00DF0389">
        <w:t>will collect</w:t>
      </w:r>
      <w:r w:rsidR="00DF0389" w:rsidRPr="00160AFC">
        <w:t xml:space="preserve"> </w:t>
      </w:r>
      <w:r w:rsidR="00DF0389">
        <w:t xml:space="preserve">consent to contact prior to training via </w:t>
      </w:r>
      <w:r w:rsidR="00DF0389" w:rsidRPr="000E3F24">
        <w:t>hardcopy form.</w:t>
      </w:r>
      <w:r w:rsidR="00756D2B" w:rsidRPr="000E3F24">
        <w:t xml:space="preserve"> </w:t>
      </w:r>
      <w:r w:rsidR="000E3F24">
        <w:t xml:space="preserve">The TUP-S Campus will be administered </w:t>
      </w:r>
      <w:r w:rsidR="00CB1EDA">
        <w:t>to a random sample of</w:t>
      </w:r>
      <w:r w:rsidR="000E3F24" w:rsidRPr="000E3F24">
        <w:rPr>
          <w:bCs/>
        </w:rPr>
        <w:t xml:space="preserve"> 500 training participants from Cohort 7 and 8 Campus grantees in year 1 of the OMB data collection period</w:t>
      </w:r>
      <w:r w:rsidR="00F875FD">
        <w:rPr>
          <w:bCs/>
        </w:rPr>
        <w:t xml:space="preserve"> to fulfill data collection requirements for the cohorts</w:t>
      </w:r>
      <w:r w:rsidR="000E3F24" w:rsidRPr="000E3F24">
        <w:rPr>
          <w:bCs/>
        </w:rPr>
        <w:t xml:space="preserve">. </w:t>
      </w:r>
    </w:p>
    <w:p w14:paraId="69F22696" w14:textId="063A3575" w:rsidR="00034EE7" w:rsidRDefault="00034EE7" w:rsidP="00CF5DFC">
      <w:pPr>
        <w:pStyle w:val="GLSBody"/>
        <w:spacing w:after="200"/>
      </w:pPr>
      <w:r w:rsidRPr="00542E35">
        <w:rPr>
          <w:b/>
        </w:rPr>
        <w:t>SBHF</w:t>
      </w:r>
      <w:r w:rsidR="009F4FB7">
        <w:rPr>
          <w:b/>
        </w:rPr>
        <w:t>/MIS</w:t>
      </w:r>
      <w:r w:rsidR="00EB75FA">
        <w:rPr>
          <w:b/>
        </w:rPr>
        <w:t xml:space="preserve"> (</w:t>
      </w:r>
      <w:r w:rsidR="009F4FB7">
        <w:rPr>
          <w:b/>
        </w:rPr>
        <w:t>R</w:t>
      </w:r>
      <w:r w:rsidR="00EB75FA">
        <w:rPr>
          <w:b/>
        </w:rPr>
        <w:t>evised)</w:t>
      </w:r>
      <w:r>
        <w:t xml:space="preserve">: </w:t>
      </w:r>
      <w:r w:rsidRPr="00160AFC">
        <w:t>the</w:t>
      </w:r>
      <w:r>
        <w:t xml:space="preserve"> SBHF</w:t>
      </w:r>
      <w:r w:rsidRPr="00160AFC">
        <w:t xml:space="preserve"> </w:t>
      </w:r>
      <w:r>
        <w:t>(formerly the MIS) is a Web-based survey that</w:t>
      </w:r>
      <w:r w:rsidRPr="00160AFC">
        <w:t xml:space="preserve"> gather</w:t>
      </w:r>
      <w:r>
        <w:t xml:space="preserve">s existing data in aggregate from all </w:t>
      </w:r>
      <w:r w:rsidRPr="00ED3869">
        <w:t>Campus</w:t>
      </w:r>
      <w:r>
        <w:t xml:space="preserve"> grantees</w:t>
      </w:r>
      <w:r w:rsidRPr="00160AFC">
        <w:t xml:space="preserve"> about </w:t>
      </w:r>
      <w:r>
        <w:t>behavioral health services and student suicidality and mortality.</w:t>
      </w:r>
      <w:r w:rsidRPr="00160AFC">
        <w:t xml:space="preserve"> </w:t>
      </w:r>
      <w:r>
        <w:t>Data include</w:t>
      </w:r>
      <w:r w:rsidRPr="00160AFC">
        <w:rPr>
          <w:b/>
        </w:rPr>
        <w:t xml:space="preserve"> </w:t>
      </w:r>
      <w:r w:rsidRPr="00210DC8">
        <w:t xml:space="preserve">information </w:t>
      </w:r>
      <w:r w:rsidRPr="00160AFC">
        <w:t xml:space="preserve">on </w:t>
      </w:r>
      <w:r>
        <w:t xml:space="preserve">(1) </w:t>
      </w:r>
      <w:r w:rsidRPr="00160AFC">
        <w:t>nature</w:t>
      </w:r>
      <w:r>
        <w:t>/</w:t>
      </w:r>
      <w:r w:rsidRPr="00160AFC">
        <w:t xml:space="preserve">type of </w:t>
      </w:r>
      <w:r>
        <w:t xml:space="preserve">available campus </w:t>
      </w:r>
      <w:r w:rsidRPr="00160AFC">
        <w:t>behavioral health services</w:t>
      </w:r>
      <w:r>
        <w:t>;</w:t>
      </w:r>
      <w:r w:rsidRPr="00160AFC">
        <w:t xml:space="preserve"> </w:t>
      </w:r>
      <w:r>
        <w:t xml:space="preserve">(2) </w:t>
      </w:r>
      <w:r w:rsidRPr="00160AFC">
        <w:t>number of students receiving behavioral health services annually</w:t>
      </w:r>
      <w:r>
        <w:t>;</w:t>
      </w:r>
      <w:r w:rsidRPr="00160AFC">
        <w:t xml:space="preserve"> </w:t>
      </w:r>
      <w:r>
        <w:t xml:space="preserve">(3) </w:t>
      </w:r>
      <w:r w:rsidRPr="00160AFC">
        <w:t>the natur</w:t>
      </w:r>
      <w:r>
        <w:t>e and type of services received;</w:t>
      </w:r>
      <w:r w:rsidRPr="00160AFC">
        <w:t xml:space="preserve"> </w:t>
      </w:r>
      <w:r>
        <w:t xml:space="preserve">(4) </w:t>
      </w:r>
      <w:r w:rsidRPr="00160AFC">
        <w:t>screenings used through behavioral health services</w:t>
      </w:r>
      <w:r>
        <w:t>;</w:t>
      </w:r>
      <w:r w:rsidRPr="00160AFC">
        <w:t xml:space="preserve"> </w:t>
      </w:r>
      <w:r>
        <w:t xml:space="preserve">and (5) </w:t>
      </w:r>
      <w:r w:rsidRPr="00160AFC">
        <w:t xml:space="preserve">populations screened (universal or selective), number of students identified as at-risk through screenings, and services provided for students identified as at-risk. </w:t>
      </w:r>
      <w:r>
        <w:t>SBHF data will inform the core COC Study</w:t>
      </w:r>
      <w:r w:rsidR="00DE7254">
        <w:t xml:space="preserve"> and the core SSE Study</w:t>
      </w:r>
      <w:r>
        <w:t>.</w:t>
      </w:r>
    </w:p>
    <w:p w14:paraId="3D634BD1" w14:textId="1B41947D" w:rsidR="00034EE7" w:rsidRPr="000E3F24" w:rsidRDefault="00034EE7" w:rsidP="00515C63">
      <w:pPr>
        <w:pStyle w:val="GLSBody"/>
      </w:pPr>
      <w:r w:rsidRPr="00571877">
        <w:rPr>
          <w:b/>
        </w:rPr>
        <w:t>SMSS</w:t>
      </w:r>
      <w:r w:rsidR="00B43DEE">
        <w:rPr>
          <w:b/>
        </w:rPr>
        <w:t xml:space="preserve"> (No Changes)</w:t>
      </w:r>
      <w:r>
        <w:t>: t</w:t>
      </w:r>
      <w:r w:rsidRPr="00160AFC">
        <w:t xml:space="preserve">he SMSS is </w:t>
      </w:r>
      <w:r>
        <w:t xml:space="preserve">a </w:t>
      </w:r>
      <w:r w:rsidR="008B2E0F">
        <w:t xml:space="preserve">4-question </w:t>
      </w:r>
      <w:r>
        <w:t xml:space="preserve">survey of students from </w:t>
      </w:r>
      <w:r w:rsidRPr="00ED3869">
        <w:t>Campus</w:t>
      </w:r>
      <w:r>
        <w:t xml:space="preserve"> grantee</w:t>
      </w:r>
      <w:r w:rsidRPr="00160AFC">
        <w:t xml:space="preserve">s </w:t>
      </w:r>
      <w:r>
        <w:t>that</w:t>
      </w:r>
      <w:r w:rsidRPr="00160AFC">
        <w:t xml:space="preserve"> </w:t>
      </w:r>
      <w:r>
        <w:t>examines patterns</w:t>
      </w:r>
      <w:r w:rsidRPr="00160AFC">
        <w:t xml:space="preserve"> of suicide risk </w:t>
      </w:r>
      <w:r w:rsidRPr="00E14232">
        <w:t>and exposure to prevention</w:t>
      </w:r>
      <w:r w:rsidRPr="00160AFC">
        <w:t xml:space="preserve"> efforts. </w:t>
      </w:r>
      <w:r>
        <w:t xml:space="preserve">Data include information about student </w:t>
      </w:r>
      <w:r w:rsidRPr="00160AFC">
        <w:t xml:space="preserve">exposure to </w:t>
      </w:r>
      <w:r>
        <w:t xml:space="preserve">campus suicide </w:t>
      </w:r>
      <w:r w:rsidRPr="00160AFC">
        <w:t xml:space="preserve">prevention </w:t>
      </w:r>
      <w:r>
        <w:t xml:space="preserve">program </w:t>
      </w:r>
      <w:r w:rsidRPr="00160AFC">
        <w:t>efforts</w:t>
      </w:r>
      <w:r w:rsidR="00D752F3">
        <w:t xml:space="preserve"> and</w:t>
      </w:r>
      <w:r>
        <w:t xml:space="preserve"> history of suicidal ideation</w:t>
      </w:r>
      <w:r w:rsidR="00D752F3">
        <w:t xml:space="preserve"> and attempts.</w:t>
      </w:r>
      <w:r w:rsidRPr="00160AFC">
        <w:t xml:space="preserve"> </w:t>
      </w:r>
      <w:r w:rsidR="000E3F24">
        <w:t xml:space="preserve">The SMSS will be administered to </w:t>
      </w:r>
      <w:r w:rsidR="000E3F24">
        <w:rPr>
          <w:color w:val="000000"/>
        </w:rPr>
        <w:t xml:space="preserve">100 students from each Cohort 7 campus </w:t>
      </w:r>
      <w:r w:rsidR="000E3F24" w:rsidRPr="000E3F24">
        <w:rPr>
          <w:color w:val="000000"/>
        </w:rPr>
        <w:t xml:space="preserve">in </w:t>
      </w:r>
      <w:r w:rsidR="00CB1EDA">
        <w:rPr>
          <w:color w:val="000000"/>
        </w:rPr>
        <w:t>OMB Year 1</w:t>
      </w:r>
      <w:r w:rsidR="00F875FD">
        <w:rPr>
          <w:color w:val="000000"/>
        </w:rPr>
        <w:t xml:space="preserve"> to fulfill data collection requirements for the cohort</w:t>
      </w:r>
      <w:r w:rsidR="000E3F24" w:rsidRPr="000E3F24">
        <w:rPr>
          <w:color w:val="000000"/>
        </w:rPr>
        <w:t xml:space="preserve">. </w:t>
      </w:r>
    </w:p>
    <w:p w14:paraId="05C670E7" w14:textId="781608A0" w:rsidR="00053BBE" w:rsidRDefault="0030427C" w:rsidP="00CB1EDA">
      <w:pPr>
        <w:pStyle w:val="GLSBody"/>
        <w:widowControl w:val="0"/>
        <w:numPr>
          <w:ilvl w:val="0"/>
          <w:numId w:val="47"/>
        </w:numPr>
        <w:spacing w:before="240" w:after="120"/>
        <w:rPr>
          <w:rFonts w:ascii="Tw Cen MT" w:hAnsi="Tw Cen MT" w:cs="Arial"/>
          <w:b/>
          <w:sz w:val="28"/>
          <w:szCs w:val="28"/>
        </w:rPr>
      </w:pPr>
      <w:r w:rsidRPr="00377228">
        <w:rPr>
          <w:rFonts w:ascii="Tw Cen MT" w:hAnsi="Tw Cen MT" w:cs="Arial"/>
          <w:b/>
          <w:sz w:val="28"/>
          <w:szCs w:val="28"/>
        </w:rPr>
        <w:t xml:space="preserve">Major </w:t>
      </w:r>
      <w:r w:rsidR="00BD21E7" w:rsidRPr="00377228">
        <w:rPr>
          <w:rFonts w:ascii="Tw Cen MT" w:hAnsi="Tw Cen MT" w:cs="Arial"/>
          <w:b/>
          <w:sz w:val="28"/>
          <w:szCs w:val="28"/>
        </w:rPr>
        <w:t xml:space="preserve">Study </w:t>
      </w:r>
      <w:r w:rsidRPr="00377228">
        <w:rPr>
          <w:rFonts w:ascii="Tw Cen MT" w:hAnsi="Tw Cen MT" w:cs="Arial"/>
          <w:b/>
          <w:sz w:val="28"/>
          <w:szCs w:val="28"/>
        </w:rPr>
        <w:t>Components</w:t>
      </w:r>
    </w:p>
    <w:p w14:paraId="374CB5F8" w14:textId="39A0E7D2" w:rsidR="00377228" w:rsidRPr="00690DCF" w:rsidRDefault="00690DCF" w:rsidP="00CB1EDA">
      <w:pPr>
        <w:pStyle w:val="GLSBody"/>
        <w:spacing w:before="120"/>
      </w:pPr>
      <w:r w:rsidRPr="00690DCF">
        <w:t>The NOE consists of 3 interconnected and simultaneously-launched studies—Training, Continuity of Care</w:t>
      </w:r>
      <w:r w:rsidR="00ED3869">
        <w:t xml:space="preserve"> (COC)</w:t>
      </w:r>
      <w:r w:rsidRPr="00690DCF">
        <w:t>, and Suicide Safer Environment</w:t>
      </w:r>
      <w:r w:rsidR="00ED3869">
        <w:t xml:space="preserve"> (SSE)</w:t>
      </w:r>
      <w:r w:rsidRPr="00690DCF">
        <w:t>.</w:t>
      </w:r>
      <w:r>
        <w:t xml:space="preserve"> </w:t>
      </w:r>
      <w:r w:rsidR="00ED3869">
        <w:t xml:space="preserve">A description of each study, the study purpose, and associated data collection activities follows.  </w:t>
      </w:r>
    </w:p>
    <w:p w14:paraId="0E0D4717" w14:textId="28E5F4CF" w:rsidR="005701B4" w:rsidRPr="00377228" w:rsidRDefault="005701B4" w:rsidP="00BD21E7">
      <w:pPr>
        <w:pStyle w:val="GLSBody"/>
        <w:keepNext/>
        <w:spacing w:before="120" w:after="60"/>
        <w:rPr>
          <w:rFonts w:ascii="Tw Cen MT" w:hAnsi="Tw Cen MT" w:cs="Arial"/>
          <w:b/>
          <w:sz w:val="26"/>
          <w:szCs w:val="26"/>
          <w:u w:val="single"/>
        </w:rPr>
      </w:pPr>
      <w:r w:rsidRPr="00377228">
        <w:rPr>
          <w:rFonts w:ascii="Tw Cen MT" w:hAnsi="Tw Cen MT" w:cs="Arial"/>
          <w:b/>
          <w:sz w:val="26"/>
          <w:szCs w:val="26"/>
          <w:u w:val="single"/>
        </w:rPr>
        <w:t xml:space="preserve">Training Study  </w:t>
      </w:r>
    </w:p>
    <w:p w14:paraId="2E6CFF98" w14:textId="74706B96" w:rsidR="005701B4" w:rsidRDefault="006C0F16" w:rsidP="00CF5DFC">
      <w:pPr>
        <w:pStyle w:val="GLSBody"/>
        <w:spacing w:after="200"/>
      </w:pPr>
      <w:r>
        <w:t xml:space="preserve">Since 2006, more than </w:t>
      </w:r>
      <w:r w:rsidRPr="00016F35">
        <w:t xml:space="preserve">747,108 individuals have participated in </w:t>
      </w:r>
      <w:r>
        <w:t xml:space="preserve">GLS Suicide Prevention Program sponsored </w:t>
      </w:r>
      <w:r w:rsidRPr="00016F35">
        <w:t>trainings and educational seminars (ICF International, 2014)</w:t>
      </w:r>
      <w:r>
        <w:t xml:space="preserve">. </w:t>
      </w:r>
      <w:r w:rsidR="005701B4" w:rsidRPr="00016F35">
        <w:t xml:space="preserve">In Fiscal Year (FY) 2014, over 90% of GLS grantees reported implementing gatekeeper training as a core strategy of their suicide prevention programs and allocated over 25% of their budgets toward the activity. Further, in the same FY, Campus, State, and Tribal grantees implemented more than 25,000 training activities as part of their GLS Suicide Prevention Programs. Given the emphasis on training by grantees, the </w:t>
      </w:r>
      <w:r w:rsidR="005701B4">
        <w:t>NOE</w:t>
      </w:r>
      <w:r w:rsidR="005701B4" w:rsidRPr="00016F35">
        <w:t xml:space="preserve"> will continue to assess training activities and their impact.</w:t>
      </w:r>
      <w:r w:rsidR="005701B4">
        <w:t xml:space="preserve"> </w:t>
      </w:r>
    </w:p>
    <w:p w14:paraId="26963393" w14:textId="35D4D87E" w:rsidR="005701B4" w:rsidRDefault="005701B4" w:rsidP="00CF5DFC">
      <w:pPr>
        <w:pStyle w:val="GLSBody"/>
        <w:spacing w:after="200"/>
      </w:pPr>
      <w:r w:rsidRPr="00160AFC">
        <w:t>Goal 7 of the NSSP</w:t>
      </w:r>
      <w:r>
        <w:t xml:space="preserve"> </w:t>
      </w:r>
      <w:r w:rsidRPr="00160AFC">
        <w:t>is to “</w:t>
      </w:r>
      <w:r>
        <w:t>p</w:t>
      </w:r>
      <w:r w:rsidRPr="00160AFC">
        <w:t xml:space="preserve">rovide training to community and clinical service providers on the prevention of suicide and related behaviors.” </w:t>
      </w:r>
      <w:r>
        <w:t xml:space="preserve">Within this, </w:t>
      </w:r>
      <w:r w:rsidRPr="00160AFC">
        <w:t>Objective 7.1 is to “</w:t>
      </w:r>
      <w:r>
        <w:t>p</w:t>
      </w:r>
      <w:r w:rsidRPr="00160AFC">
        <w:t>rovide training on suicide prevention to community groups that have a role in the prevention of suicide and related behaviors” (</w:t>
      </w:r>
      <w:r>
        <w:t>HHS</w:t>
      </w:r>
      <w:r w:rsidRPr="00160AFC">
        <w:t>, 2012).</w:t>
      </w:r>
      <w:r>
        <w:t xml:space="preserve"> As such, t</w:t>
      </w:r>
      <w:r w:rsidRPr="00160AFC">
        <w:t xml:space="preserve">raining of individuals who are in contact with </w:t>
      </w:r>
      <w:r w:rsidR="0092755E">
        <w:t>youth</w:t>
      </w:r>
      <w:r w:rsidRPr="00160AFC">
        <w:t xml:space="preserve"> at risk for suicide is a commonly implemented and important prevention effort. </w:t>
      </w:r>
      <w:r>
        <w:t>W</w:t>
      </w:r>
      <w:r w:rsidRPr="00160AFC">
        <w:t>hile previous studies of gatekeeper training effectiveness have found that trainings effect more immediate outcomes (Isaac et al., 2009), less is known about the effect of gatekeeper trainings on intermediate outcomes</w:t>
      </w:r>
      <w:r>
        <w:t xml:space="preserve"> (</w:t>
      </w:r>
      <w:r w:rsidRPr="00160AFC">
        <w:t>identifications and referrals</w:t>
      </w:r>
      <w:r>
        <w:t>)</w:t>
      </w:r>
      <w:r w:rsidRPr="00160AFC">
        <w:t xml:space="preserve"> and distal outcomes (attempts and deaths). </w:t>
      </w:r>
      <w:r>
        <w:t>Results from a</w:t>
      </w:r>
      <w:r w:rsidRPr="00160AFC">
        <w:t xml:space="preserve"> randomized controlled trial </w:t>
      </w:r>
      <w:r>
        <w:t>(RCT) of a</w:t>
      </w:r>
      <w:r w:rsidRPr="00160AFC">
        <w:t xml:space="preserve"> gatekeeper training</w:t>
      </w:r>
      <w:r>
        <w:t xml:space="preserve"> (</w:t>
      </w:r>
      <w:r w:rsidRPr="00160AFC">
        <w:t xml:space="preserve">Question, Persuade and Refer </w:t>
      </w:r>
      <w:r>
        <w:t>[</w:t>
      </w:r>
      <w:r w:rsidRPr="00160AFC">
        <w:t>QPR</w:t>
      </w:r>
      <w:r>
        <w:t>]</w:t>
      </w:r>
      <w:r w:rsidRPr="00160AFC">
        <w:t xml:space="preserve">) </w:t>
      </w:r>
      <w:r>
        <w:t>found</w:t>
      </w:r>
      <w:r w:rsidRPr="00160AFC">
        <w:t xml:space="preserve"> the evidence of the</w:t>
      </w:r>
      <w:r>
        <w:t xml:space="preserve"> effect of</w:t>
      </w:r>
      <w:r w:rsidRPr="00160AFC">
        <w:t xml:space="preserve"> </w:t>
      </w:r>
      <w:r>
        <w:t>gatekeeper training</w:t>
      </w:r>
      <w:r w:rsidRPr="00160AFC">
        <w:t xml:space="preserve"> on identifications and referrals inconclusive, except among gatekeepers who were already communicating with </w:t>
      </w:r>
      <w:r w:rsidR="0092755E">
        <w:t>youth</w:t>
      </w:r>
      <w:r w:rsidRPr="00160AFC">
        <w:t xml:space="preserve"> (Wyman et al., 2008). Additionally, although gatekeeper training impacts knowledge and awareness, many trainees’ skills decreased over time. Cross et al. (2011) found that role-play practice and feedback during training improved retention of gatekeeper skills, especially the ability to ask an individual directly about suicide and the ability to communicate with someone in distress. </w:t>
      </w:r>
    </w:p>
    <w:p w14:paraId="6B456192" w14:textId="41F42AA3" w:rsidR="005701B4" w:rsidRPr="00533C30" w:rsidRDefault="005701B4" w:rsidP="00CF5DFC">
      <w:pPr>
        <w:pStyle w:val="GLSBody"/>
        <w:spacing w:after="200"/>
      </w:pPr>
      <w:r w:rsidRPr="00016F35">
        <w:t xml:space="preserve">Although studies </w:t>
      </w:r>
      <w:r>
        <w:t xml:space="preserve">have </w:t>
      </w:r>
      <w:r w:rsidRPr="00016F35">
        <w:t xml:space="preserve">demonstrated benefits to gatekeeper training, limitations </w:t>
      </w:r>
      <w:r>
        <w:t>include not utilizing</w:t>
      </w:r>
      <w:r w:rsidRPr="00016F35">
        <w:t xml:space="preserve"> randomized groups. </w:t>
      </w:r>
      <w:r>
        <w:t>The overarching purpose of the Training Study</w:t>
      </w:r>
      <w:r w:rsidRPr="00160AFC">
        <w:t xml:space="preserve"> </w:t>
      </w:r>
      <w:r>
        <w:t>is</w:t>
      </w:r>
      <w:r w:rsidRPr="00160AFC">
        <w:t xml:space="preserve"> to increase our understandi</w:t>
      </w:r>
      <w:r>
        <w:t xml:space="preserve">ng of the impact of suicide gatekeeper training on participant </w:t>
      </w:r>
      <w:r w:rsidRPr="00160AFC">
        <w:t xml:space="preserve">identification and referral behaviors; barriers and facilitators to using </w:t>
      </w:r>
      <w:r>
        <w:t xml:space="preserve">the </w:t>
      </w:r>
      <w:r w:rsidRPr="00160AFC">
        <w:t>skills</w:t>
      </w:r>
      <w:r>
        <w:t xml:space="preserve"> learned</w:t>
      </w:r>
      <w:r w:rsidRPr="00160AFC">
        <w:t xml:space="preserve">; factors that </w:t>
      </w:r>
      <w:r w:rsidRPr="00382227">
        <w:t>may mediate this impact</w:t>
      </w:r>
      <w:r w:rsidRPr="00160AFC">
        <w:t xml:space="preserve"> (e.g., different relationships and interactions with </w:t>
      </w:r>
      <w:r w:rsidR="0092755E">
        <w:t>youth</w:t>
      </w:r>
      <w:r w:rsidRPr="00160AFC">
        <w:t xml:space="preserve"> before the training); and </w:t>
      </w:r>
      <w:r>
        <w:t xml:space="preserve">the </w:t>
      </w:r>
      <w:r w:rsidRPr="00160AFC">
        <w:t>cost of implementing trainings.</w:t>
      </w:r>
      <w:r>
        <w:t xml:space="preserve"> </w:t>
      </w:r>
      <w:r w:rsidRPr="00160AFC">
        <w:rPr>
          <w:rFonts w:eastAsia="Calibri"/>
        </w:rPr>
        <w:t xml:space="preserve">The </w:t>
      </w:r>
      <w:r>
        <w:rPr>
          <w:rFonts w:eastAsia="Calibri"/>
        </w:rPr>
        <w:t>study</w:t>
      </w:r>
      <w:r w:rsidRPr="00160AFC">
        <w:rPr>
          <w:rFonts w:eastAsia="Calibri"/>
        </w:rPr>
        <w:t xml:space="preserve"> includes core questions about trainings implemented and their proximal outcomes, as well as a</w:t>
      </w:r>
      <w:r>
        <w:rPr>
          <w:rFonts w:eastAsia="Calibri"/>
        </w:rPr>
        <w:t>n RCT</w:t>
      </w:r>
      <w:r w:rsidRPr="00160AFC">
        <w:rPr>
          <w:rFonts w:eastAsia="Calibri"/>
        </w:rPr>
        <w:t xml:space="preserve"> to assess the effectiveness of key training components</w:t>
      </w:r>
      <w:r>
        <w:rPr>
          <w:rFonts w:eastAsia="Calibri"/>
        </w:rPr>
        <w:t xml:space="preserve"> on </w:t>
      </w:r>
      <w:r w:rsidRPr="00160AFC">
        <w:rPr>
          <w:rFonts w:eastAsia="Calibri"/>
        </w:rPr>
        <w:t xml:space="preserve">promoting early identification. </w:t>
      </w:r>
      <w:r w:rsidRPr="00160AFC">
        <w:t xml:space="preserve">The </w:t>
      </w:r>
      <w:r>
        <w:t>core study</w:t>
      </w:r>
      <w:r w:rsidRPr="00160AFC">
        <w:t xml:space="preserve"> </w:t>
      </w:r>
      <w:r>
        <w:t xml:space="preserve">component </w:t>
      </w:r>
      <w:r w:rsidRPr="00160AFC">
        <w:t xml:space="preserve">will help create an understanding of the reach of </w:t>
      </w:r>
      <w:r>
        <w:t xml:space="preserve">GLS-sponsored </w:t>
      </w:r>
      <w:r w:rsidRPr="00160AFC">
        <w:t>suicide prevention</w:t>
      </w:r>
      <w:r>
        <w:t xml:space="preserve"> trainings, in addition to examining the</w:t>
      </w:r>
      <w:r w:rsidRPr="00160AFC">
        <w:t xml:space="preserve"> characteristics of the trainings, trainees, and settings that predict differences in </w:t>
      </w:r>
      <w:r>
        <w:t xml:space="preserve">participant </w:t>
      </w:r>
      <w:r w:rsidRPr="00160AFC">
        <w:t>knowledge, skills, and prevention behavior following the training</w:t>
      </w:r>
      <w:r>
        <w:t>s. The enhanced RCT study component assesses the impact of specific training enhancements, such the use of active learning strategies and implementation of booster trainings</w:t>
      </w:r>
      <w:r w:rsidRPr="00382227">
        <w:t>, on increasing</w:t>
      </w:r>
      <w:r>
        <w:t xml:space="preserve"> identification and referral behaviors. A logic model for the Training Study can be found </w:t>
      </w:r>
      <w:r w:rsidRPr="00533C30">
        <w:t xml:space="preserve">in </w:t>
      </w:r>
      <w:r w:rsidR="009A3E74" w:rsidRPr="00533C30">
        <w:t>Attachment</w:t>
      </w:r>
      <w:r w:rsidRPr="00533C30">
        <w:t xml:space="preserve"> </w:t>
      </w:r>
      <w:r w:rsidR="00A860DF">
        <w:t>M</w:t>
      </w:r>
      <w:r w:rsidRPr="00533C30">
        <w:t>.</w:t>
      </w:r>
    </w:p>
    <w:p w14:paraId="5FBD0FB4" w14:textId="06170953" w:rsidR="005701B4" w:rsidRDefault="005701B4" w:rsidP="00CF5DFC">
      <w:pPr>
        <w:pStyle w:val="GLSBody"/>
        <w:spacing w:after="200"/>
      </w:pPr>
      <w:r w:rsidRPr="00533C30">
        <w:t xml:space="preserve">Data from five instruments will inform the Training Study in its aim to answer </w:t>
      </w:r>
      <w:r w:rsidR="006C0F16" w:rsidRPr="00533C30">
        <w:t>EQ-1</w:t>
      </w:r>
      <w:r w:rsidRPr="00533C30">
        <w:t xml:space="preserve">, as well as </w:t>
      </w:r>
      <w:proofErr w:type="spellStart"/>
      <w:r w:rsidRPr="00533C30">
        <w:t>subquestions</w:t>
      </w:r>
      <w:proofErr w:type="spellEnd"/>
      <w:r w:rsidRPr="00533C30">
        <w:t xml:space="preserve"> from the core and RCT study components. An overview of the components, related study questions, and associated instruments is presented in Exhibit </w:t>
      </w:r>
      <w:r w:rsidR="00DD1247" w:rsidRPr="00533C30">
        <w:t>2</w:t>
      </w:r>
      <w:r w:rsidRPr="00533C30">
        <w:t>.</w:t>
      </w:r>
    </w:p>
    <w:p w14:paraId="73105B5B" w14:textId="07CEFADF" w:rsidR="005701B4" w:rsidRPr="00935CD5" w:rsidRDefault="005701B4" w:rsidP="0050582E">
      <w:pPr>
        <w:pStyle w:val="GLSBody"/>
        <w:keepNext/>
        <w:spacing w:after="120"/>
        <w:rPr>
          <w:rFonts w:ascii="Tw Cen MT" w:hAnsi="Tw Cen MT" w:cs="Arial"/>
          <w:b/>
        </w:rPr>
      </w:pPr>
      <w:proofErr w:type="gramStart"/>
      <w:r w:rsidRPr="00935CD5">
        <w:rPr>
          <w:rFonts w:ascii="Tw Cen MT" w:hAnsi="Tw Cen MT" w:cs="Arial"/>
          <w:b/>
        </w:rPr>
        <w:t xml:space="preserve">Exhibit </w:t>
      </w:r>
      <w:r w:rsidR="00DD1247">
        <w:rPr>
          <w:rFonts w:ascii="Tw Cen MT" w:hAnsi="Tw Cen MT" w:cs="Arial"/>
          <w:b/>
        </w:rPr>
        <w:t>2</w:t>
      </w:r>
      <w:r w:rsidRPr="00935CD5">
        <w:rPr>
          <w:rFonts w:ascii="Tw Cen MT" w:hAnsi="Tw Cen MT" w:cs="Arial"/>
          <w:b/>
        </w:rPr>
        <w:t>.</w:t>
      </w:r>
      <w:proofErr w:type="gramEnd"/>
      <w:r w:rsidRPr="00935CD5">
        <w:rPr>
          <w:rFonts w:ascii="Tw Cen MT" w:hAnsi="Tw Cen MT" w:cs="Arial"/>
          <w:b/>
        </w:rPr>
        <w:t xml:space="preserve"> Training Study Components, Questions, and Instruments  </w:t>
      </w:r>
      <w:r w:rsidRPr="00935CD5">
        <w:rPr>
          <w:rFonts w:ascii="Tw Cen MT" w:hAnsi="Tw Cen MT"/>
        </w:rPr>
        <w:t xml:space="preserve">   </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7195"/>
        <w:gridCol w:w="450"/>
        <w:gridCol w:w="450"/>
        <w:gridCol w:w="450"/>
        <w:gridCol w:w="450"/>
        <w:gridCol w:w="450"/>
      </w:tblGrid>
      <w:tr w:rsidR="005701B4" w:rsidRPr="00CF6DB0" w14:paraId="0FB6A190" w14:textId="77777777" w:rsidTr="00443E33">
        <w:trPr>
          <w:cantSplit/>
          <w:trHeight w:val="1178"/>
          <w:tblHeader/>
        </w:trPr>
        <w:tc>
          <w:tcPr>
            <w:tcW w:w="7195" w:type="dxa"/>
            <w:shd w:val="clear" w:color="auto" w:fill="404040" w:themeFill="text1" w:themeFillTint="BF"/>
            <w:vAlign w:val="center"/>
          </w:tcPr>
          <w:p w14:paraId="558DB2A2" w14:textId="5AA32AF4" w:rsidR="005701B4" w:rsidRPr="00CF6DB0" w:rsidRDefault="005701B4" w:rsidP="0050582E">
            <w:pPr>
              <w:pStyle w:val="GLSTable1"/>
              <w:spacing w:before="0" w:after="0"/>
              <w:jc w:val="left"/>
              <w:rPr>
                <w:b w:val="0"/>
                <w:color w:val="FFFFFF" w:themeColor="background1"/>
                <w:sz w:val="22"/>
                <w:szCs w:val="22"/>
              </w:rPr>
            </w:pPr>
            <w:r w:rsidRPr="00CF6DB0">
              <w:rPr>
                <w:b w:val="0"/>
                <w:color w:val="FFFFFF" w:themeColor="background1"/>
                <w:sz w:val="22"/>
                <w:szCs w:val="22"/>
              </w:rPr>
              <w:t>EQ</w:t>
            </w:r>
            <w:r w:rsidR="006C0F16" w:rsidRPr="00CF6DB0">
              <w:rPr>
                <w:b w:val="0"/>
                <w:color w:val="FFFFFF" w:themeColor="background1"/>
                <w:sz w:val="22"/>
                <w:szCs w:val="22"/>
              </w:rPr>
              <w:t>-</w:t>
            </w:r>
            <w:r w:rsidRPr="00CF6DB0">
              <w:rPr>
                <w:b w:val="0"/>
                <w:color w:val="FFFFFF" w:themeColor="background1"/>
                <w:sz w:val="22"/>
                <w:szCs w:val="22"/>
              </w:rPr>
              <w:t>1: What types of training and training modes are comparatively effective in building capacity to increase youth identification</w:t>
            </w:r>
            <w:r w:rsidRPr="00CF6DB0">
              <w:rPr>
                <w:b w:val="0"/>
                <w:i/>
                <w:color w:val="FFFFFF" w:themeColor="background1"/>
                <w:sz w:val="22"/>
                <w:szCs w:val="22"/>
              </w:rPr>
              <w:t>?</w:t>
            </w:r>
          </w:p>
        </w:tc>
        <w:tc>
          <w:tcPr>
            <w:tcW w:w="450" w:type="dxa"/>
            <w:shd w:val="clear" w:color="auto" w:fill="404040" w:themeFill="text1" w:themeFillTint="BF"/>
            <w:textDirection w:val="btLr"/>
          </w:tcPr>
          <w:p w14:paraId="380AE55E" w14:textId="77777777" w:rsidR="005701B4" w:rsidRPr="00CF6DB0" w:rsidRDefault="005701B4" w:rsidP="0050582E">
            <w:pPr>
              <w:pStyle w:val="GLSTable1"/>
              <w:spacing w:before="0" w:after="0"/>
              <w:ind w:left="115" w:right="115"/>
              <w:jc w:val="left"/>
              <w:rPr>
                <w:b w:val="0"/>
                <w:color w:val="FFFFFF" w:themeColor="background1"/>
                <w:sz w:val="22"/>
                <w:szCs w:val="22"/>
              </w:rPr>
            </w:pPr>
            <w:r w:rsidRPr="00CF6DB0">
              <w:rPr>
                <w:b w:val="0"/>
                <w:color w:val="FFFFFF" w:themeColor="background1"/>
                <w:sz w:val="22"/>
                <w:szCs w:val="22"/>
              </w:rPr>
              <w:t>PSI</w:t>
            </w:r>
          </w:p>
        </w:tc>
        <w:tc>
          <w:tcPr>
            <w:tcW w:w="450" w:type="dxa"/>
            <w:shd w:val="clear" w:color="auto" w:fill="404040" w:themeFill="text1" w:themeFillTint="BF"/>
            <w:textDirection w:val="btLr"/>
          </w:tcPr>
          <w:p w14:paraId="150E0BF0" w14:textId="77777777" w:rsidR="005701B4" w:rsidRPr="00CF6DB0" w:rsidRDefault="005701B4" w:rsidP="0050582E">
            <w:pPr>
              <w:pStyle w:val="GLSTable1"/>
              <w:spacing w:before="0" w:after="0"/>
              <w:ind w:left="115" w:right="115"/>
              <w:jc w:val="left"/>
              <w:rPr>
                <w:b w:val="0"/>
                <w:color w:val="FFFFFF" w:themeColor="background1"/>
                <w:sz w:val="22"/>
                <w:szCs w:val="22"/>
              </w:rPr>
            </w:pPr>
            <w:r w:rsidRPr="00CF6DB0">
              <w:rPr>
                <w:b w:val="0"/>
                <w:color w:val="FFFFFF" w:themeColor="background1"/>
                <w:sz w:val="22"/>
                <w:szCs w:val="22"/>
              </w:rPr>
              <w:t>TASP</w:t>
            </w:r>
          </w:p>
        </w:tc>
        <w:tc>
          <w:tcPr>
            <w:tcW w:w="450" w:type="dxa"/>
            <w:shd w:val="clear" w:color="auto" w:fill="404040" w:themeFill="text1" w:themeFillTint="BF"/>
            <w:textDirection w:val="btLr"/>
          </w:tcPr>
          <w:p w14:paraId="56EC9FEC" w14:textId="77777777" w:rsidR="005701B4" w:rsidRPr="00CF6DB0" w:rsidRDefault="005701B4" w:rsidP="0050582E">
            <w:pPr>
              <w:pStyle w:val="GLSTable1"/>
              <w:spacing w:before="0" w:after="0"/>
              <w:ind w:left="115" w:right="115"/>
              <w:jc w:val="left"/>
              <w:rPr>
                <w:b w:val="0"/>
                <w:color w:val="FFFFFF" w:themeColor="background1"/>
                <w:sz w:val="22"/>
                <w:szCs w:val="22"/>
              </w:rPr>
            </w:pPr>
            <w:r w:rsidRPr="00CF6DB0">
              <w:rPr>
                <w:b w:val="0"/>
                <w:color w:val="FFFFFF" w:themeColor="background1"/>
                <w:sz w:val="22"/>
                <w:szCs w:val="22"/>
              </w:rPr>
              <w:t xml:space="preserve">TUP-S </w:t>
            </w:r>
          </w:p>
        </w:tc>
        <w:tc>
          <w:tcPr>
            <w:tcW w:w="450" w:type="dxa"/>
            <w:shd w:val="clear" w:color="auto" w:fill="404040" w:themeFill="text1" w:themeFillTint="BF"/>
            <w:textDirection w:val="btLr"/>
          </w:tcPr>
          <w:p w14:paraId="4EC0013E" w14:textId="77777777" w:rsidR="005701B4" w:rsidRPr="00CF6DB0" w:rsidRDefault="005701B4" w:rsidP="0050582E">
            <w:pPr>
              <w:pStyle w:val="GLSTable1"/>
              <w:spacing w:before="0" w:after="0"/>
              <w:ind w:left="115" w:right="115"/>
              <w:jc w:val="left"/>
              <w:rPr>
                <w:b w:val="0"/>
                <w:color w:val="FFFFFF" w:themeColor="background1"/>
                <w:sz w:val="22"/>
                <w:szCs w:val="22"/>
              </w:rPr>
            </w:pPr>
            <w:r w:rsidRPr="00CF6DB0">
              <w:rPr>
                <w:b w:val="0"/>
                <w:color w:val="FFFFFF" w:themeColor="background1"/>
                <w:sz w:val="22"/>
                <w:szCs w:val="22"/>
              </w:rPr>
              <w:t>TUP-S RCT</w:t>
            </w:r>
          </w:p>
        </w:tc>
        <w:tc>
          <w:tcPr>
            <w:tcW w:w="450" w:type="dxa"/>
            <w:shd w:val="clear" w:color="auto" w:fill="404040" w:themeFill="text1" w:themeFillTint="BF"/>
            <w:textDirection w:val="btLr"/>
          </w:tcPr>
          <w:p w14:paraId="36FC7F91" w14:textId="77777777" w:rsidR="005701B4" w:rsidRPr="00CF6DB0" w:rsidRDefault="005701B4" w:rsidP="0050582E">
            <w:pPr>
              <w:pStyle w:val="GLSTable1"/>
              <w:spacing w:before="0" w:after="0"/>
              <w:ind w:left="115" w:right="115"/>
              <w:jc w:val="left"/>
              <w:rPr>
                <w:b w:val="0"/>
                <w:color w:val="FFFFFF" w:themeColor="background1"/>
                <w:sz w:val="22"/>
                <w:szCs w:val="22"/>
              </w:rPr>
            </w:pPr>
            <w:r w:rsidRPr="00CF6DB0">
              <w:rPr>
                <w:b w:val="0"/>
                <w:color w:val="FFFFFF" w:themeColor="background1"/>
                <w:sz w:val="22"/>
                <w:szCs w:val="22"/>
              </w:rPr>
              <w:t>EIRF-I</w:t>
            </w:r>
          </w:p>
        </w:tc>
      </w:tr>
      <w:tr w:rsidR="005701B4" w:rsidRPr="00CF6DB0" w14:paraId="5AABE58D" w14:textId="77777777" w:rsidTr="006E402F">
        <w:trPr>
          <w:cantSplit/>
          <w:trHeight w:val="305"/>
        </w:trPr>
        <w:tc>
          <w:tcPr>
            <w:tcW w:w="9445" w:type="dxa"/>
            <w:gridSpan w:val="6"/>
            <w:shd w:val="clear" w:color="auto" w:fill="D9D9D9" w:themeFill="background1" w:themeFillShade="D9"/>
            <w:vAlign w:val="center"/>
          </w:tcPr>
          <w:p w14:paraId="6C60DA84" w14:textId="3A2451D6" w:rsidR="005701B4" w:rsidRPr="00CF6DB0" w:rsidRDefault="00443E33" w:rsidP="006E402F">
            <w:pPr>
              <w:pStyle w:val="GLSTable1"/>
              <w:spacing w:before="0" w:after="0"/>
              <w:rPr>
                <w:sz w:val="22"/>
                <w:szCs w:val="22"/>
              </w:rPr>
            </w:pPr>
            <w:r w:rsidRPr="00CF6DB0">
              <w:rPr>
                <w:sz w:val="22"/>
                <w:szCs w:val="22"/>
              </w:rPr>
              <w:t>Core</w:t>
            </w:r>
          </w:p>
        </w:tc>
      </w:tr>
      <w:tr w:rsidR="005701B4" w:rsidRPr="00CF6DB0" w14:paraId="27FA02EE" w14:textId="77777777" w:rsidTr="0050582E">
        <w:trPr>
          <w:cantSplit/>
        </w:trPr>
        <w:tc>
          <w:tcPr>
            <w:tcW w:w="7195" w:type="dxa"/>
            <w:shd w:val="clear" w:color="auto" w:fill="auto"/>
          </w:tcPr>
          <w:p w14:paraId="0F9225C5" w14:textId="77777777" w:rsidR="005701B4" w:rsidRPr="00CF6DB0" w:rsidRDefault="005701B4" w:rsidP="0050582E">
            <w:pPr>
              <w:pStyle w:val="GLSTableBullet1"/>
              <w:rPr>
                <w:sz w:val="22"/>
                <w:szCs w:val="22"/>
              </w:rPr>
            </w:pPr>
            <w:r w:rsidRPr="00CF6DB0">
              <w:rPr>
                <w:b/>
                <w:sz w:val="22"/>
                <w:szCs w:val="22"/>
              </w:rPr>
              <w:t>1.1:</w:t>
            </w:r>
            <w:r w:rsidRPr="00CF6DB0">
              <w:rPr>
                <w:sz w:val="22"/>
                <w:szCs w:val="22"/>
              </w:rPr>
              <w:t xml:space="preserve"> What type of training curricula are grantees implementing?</w:t>
            </w:r>
          </w:p>
        </w:tc>
        <w:tc>
          <w:tcPr>
            <w:tcW w:w="450" w:type="dxa"/>
            <w:shd w:val="clear" w:color="auto" w:fill="auto"/>
          </w:tcPr>
          <w:p w14:paraId="74BFBE58" w14:textId="77777777" w:rsidR="005701B4" w:rsidRPr="00CF6DB0" w:rsidRDefault="005701B4" w:rsidP="0050582E">
            <w:pPr>
              <w:pStyle w:val="GLSTableBullet1"/>
              <w:rPr>
                <w:sz w:val="22"/>
                <w:szCs w:val="22"/>
              </w:rPr>
            </w:pPr>
            <w:r w:rsidRPr="00CF6DB0">
              <w:rPr>
                <w:sz w:val="22"/>
                <w:szCs w:val="22"/>
              </w:rPr>
              <w:t>x</w:t>
            </w:r>
          </w:p>
        </w:tc>
        <w:tc>
          <w:tcPr>
            <w:tcW w:w="450" w:type="dxa"/>
          </w:tcPr>
          <w:p w14:paraId="7AF6369E" w14:textId="44B1423D" w:rsidR="005701B4" w:rsidRPr="00CF6DB0" w:rsidRDefault="00837D8D" w:rsidP="0050582E">
            <w:pPr>
              <w:pStyle w:val="GLSTableBullet1"/>
              <w:rPr>
                <w:sz w:val="22"/>
                <w:szCs w:val="22"/>
              </w:rPr>
            </w:pPr>
            <w:r w:rsidRPr="00CF6DB0">
              <w:rPr>
                <w:sz w:val="22"/>
                <w:szCs w:val="22"/>
              </w:rPr>
              <w:t>x</w:t>
            </w:r>
          </w:p>
        </w:tc>
        <w:tc>
          <w:tcPr>
            <w:tcW w:w="450" w:type="dxa"/>
          </w:tcPr>
          <w:p w14:paraId="529A46F4" w14:textId="77777777" w:rsidR="005701B4" w:rsidRPr="00CF6DB0" w:rsidRDefault="005701B4" w:rsidP="0050582E">
            <w:pPr>
              <w:pStyle w:val="GLSTableBullet1"/>
              <w:rPr>
                <w:sz w:val="22"/>
                <w:szCs w:val="22"/>
              </w:rPr>
            </w:pPr>
          </w:p>
        </w:tc>
        <w:tc>
          <w:tcPr>
            <w:tcW w:w="450" w:type="dxa"/>
          </w:tcPr>
          <w:p w14:paraId="03A0ECB7" w14:textId="77777777" w:rsidR="005701B4" w:rsidRPr="00CF6DB0" w:rsidRDefault="005701B4" w:rsidP="0050582E">
            <w:pPr>
              <w:pStyle w:val="GLSTableBullet1"/>
              <w:rPr>
                <w:sz w:val="22"/>
                <w:szCs w:val="22"/>
              </w:rPr>
            </w:pPr>
          </w:p>
        </w:tc>
        <w:tc>
          <w:tcPr>
            <w:tcW w:w="450" w:type="dxa"/>
          </w:tcPr>
          <w:p w14:paraId="4FA5D570" w14:textId="77777777" w:rsidR="005701B4" w:rsidRPr="00CF6DB0" w:rsidRDefault="005701B4" w:rsidP="0050582E">
            <w:pPr>
              <w:pStyle w:val="GLSTableBullet1"/>
              <w:rPr>
                <w:sz w:val="22"/>
                <w:szCs w:val="22"/>
              </w:rPr>
            </w:pPr>
          </w:p>
        </w:tc>
      </w:tr>
      <w:tr w:rsidR="005701B4" w:rsidRPr="00CF6DB0" w14:paraId="528BD019" w14:textId="77777777" w:rsidTr="006E402F">
        <w:trPr>
          <w:cantSplit/>
          <w:trHeight w:val="278"/>
        </w:trPr>
        <w:tc>
          <w:tcPr>
            <w:tcW w:w="7195" w:type="dxa"/>
            <w:shd w:val="clear" w:color="auto" w:fill="auto"/>
          </w:tcPr>
          <w:p w14:paraId="3D4F24C0" w14:textId="26F2F825" w:rsidR="005701B4" w:rsidRPr="00CF6DB0" w:rsidRDefault="005701B4" w:rsidP="006E402F">
            <w:pPr>
              <w:pStyle w:val="GLSTableBullet1"/>
              <w:rPr>
                <w:sz w:val="22"/>
                <w:szCs w:val="22"/>
              </w:rPr>
            </w:pPr>
            <w:r w:rsidRPr="00CF6DB0">
              <w:rPr>
                <w:b/>
                <w:sz w:val="22"/>
                <w:szCs w:val="22"/>
              </w:rPr>
              <w:t>1.2:</w:t>
            </w:r>
            <w:r w:rsidRPr="00CF6DB0">
              <w:rPr>
                <w:sz w:val="22"/>
                <w:szCs w:val="22"/>
              </w:rPr>
              <w:t xml:space="preserve"> Which populations are being trained?</w:t>
            </w:r>
          </w:p>
        </w:tc>
        <w:tc>
          <w:tcPr>
            <w:tcW w:w="450" w:type="dxa"/>
            <w:shd w:val="clear" w:color="auto" w:fill="auto"/>
          </w:tcPr>
          <w:p w14:paraId="2041ADBF" w14:textId="77777777" w:rsidR="005701B4" w:rsidRPr="00CF6DB0" w:rsidRDefault="005701B4" w:rsidP="0050582E">
            <w:pPr>
              <w:pStyle w:val="GLSTableBullet1"/>
              <w:rPr>
                <w:sz w:val="22"/>
                <w:szCs w:val="22"/>
              </w:rPr>
            </w:pPr>
            <w:r w:rsidRPr="00CF6DB0">
              <w:rPr>
                <w:sz w:val="22"/>
                <w:szCs w:val="22"/>
              </w:rPr>
              <w:t>x</w:t>
            </w:r>
          </w:p>
        </w:tc>
        <w:tc>
          <w:tcPr>
            <w:tcW w:w="450" w:type="dxa"/>
          </w:tcPr>
          <w:p w14:paraId="12B3439E" w14:textId="77777777" w:rsidR="005701B4" w:rsidRPr="00CF6DB0" w:rsidRDefault="005701B4" w:rsidP="0050582E">
            <w:pPr>
              <w:pStyle w:val="GLSTableBullet1"/>
              <w:rPr>
                <w:sz w:val="22"/>
                <w:szCs w:val="22"/>
              </w:rPr>
            </w:pPr>
            <w:r w:rsidRPr="00CF6DB0">
              <w:rPr>
                <w:sz w:val="22"/>
                <w:szCs w:val="22"/>
              </w:rPr>
              <w:t>x</w:t>
            </w:r>
          </w:p>
        </w:tc>
        <w:tc>
          <w:tcPr>
            <w:tcW w:w="450" w:type="dxa"/>
          </w:tcPr>
          <w:p w14:paraId="0235C5F7" w14:textId="77777777" w:rsidR="005701B4" w:rsidRPr="00CF6DB0" w:rsidRDefault="005701B4" w:rsidP="0050582E">
            <w:pPr>
              <w:pStyle w:val="GLSTableBullet1"/>
              <w:rPr>
                <w:sz w:val="22"/>
                <w:szCs w:val="22"/>
              </w:rPr>
            </w:pPr>
            <w:r w:rsidRPr="00CF6DB0">
              <w:rPr>
                <w:sz w:val="22"/>
                <w:szCs w:val="22"/>
              </w:rPr>
              <w:t>x</w:t>
            </w:r>
          </w:p>
        </w:tc>
        <w:tc>
          <w:tcPr>
            <w:tcW w:w="450" w:type="dxa"/>
          </w:tcPr>
          <w:p w14:paraId="63F845BB" w14:textId="77777777" w:rsidR="005701B4" w:rsidRPr="00CF6DB0" w:rsidRDefault="005701B4" w:rsidP="0050582E">
            <w:pPr>
              <w:pStyle w:val="GLSTableBullet1"/>
              <w:rPr>
                <w:sz w:val="22"/>
                <w:szCs w:val="22"/>
              </w:rPr>
            </w:pPr>
          </w:p>
        </w:tc>
        <w:tc>
          <w:tcPr>
            <w:tcW w:w="450" w:type="dxa"/>
          </w:tcPr>
          <w:p w14:paraId="46980F32" w14:textId="77777777" w:rsidR="005701B4" w:rsidRPr="00CF6DB0" w:rsidRDefault="005701B4" w:rsidP="0050582E">
            <w:pPr>
              <w:pStyle w:val="GLSTableBullet1"/>
              <w:rPr>
                <w:sz w:val="22"/>
                <w:szCs w:val="22"/>
              </w:rPr>
            </w:pPr>
          </w:p>
        </w:tc>
      </w:tr>
      <w:tr w:rsidR="005701B4" w:rsidRPr="00CF6DB0" w14:paraId="5CBCD200" w14:textId="77777777" w:rsidTr="006E402F">
        <w:trPr>
          <w:cantSplit/>
          <w:trHeight w:val="260"/>
        </w:trPr>
        <w:tc>
          <w:tcPr>
            <w:tcW w:w="7195" w:type="dxa"/>
            <w:shd w:val="clear" w:color="auto" w:fill="auto"/>
          </w:tcPr>
          <w:p w14:paraId="58BB2E3D" w14:textId="77777777" w:rsidR="005701B4" w:rsidRPr="00CF6DB0" w:rsidRDefault="005701B4" w:rsidP="0050582E">
            <w:pPr>
              <w:pStyle w:val="GLSTableBullet1"/>
              <w:rPr>
                <w:b/>
                <w:sz w:val="22"/>
                <w:szCs w:val="22"/>
              </w:rPr>
            </w:pPr>
            <w:r w:rsidRPr="00CF6DB0">
              <w:rPr>
                <w:b/>
                <w:sz w:val="22"/>
                <w:szCs w:val="22"/>
              </w:rPr>
              <w:t xml:space="preserve">1.3: </w:t>
            </w:r>
            <w:r w:rsidRPr="00CF6DB0">
              <w:rPr>
                <w:sz w:val="22"/>
                <w:szCs w:val="22"/>
              </w:rPr>
              <w:t>What are the expected outcomes associated with training participation?</w:t>
            </w:r>
          </w:p>
        </w:tc>
        <w:tc>
          <w:tcPr>
            <w:tcW w:w="450" w:type="dxa"/>
            <w:shd w:val="clear" w:color="auto" w:fill="auto"/>
          </w:tcPr>
          <w:p w14:paraId="1FE9CE3A" w14:textId="77777777" w:rsidR="005701B4" w:rsidRPr="00CF6DB0" w:rsidRDefault="005701B4" w:rsidP="0050582E">
            <w:pPr>
              <w:pStyle w:val="GLSTableBullet1"/>
              <w:rPr>
                <w:sz w:val="22"/>
                <w:szCs w:val="22"/>
              </w:rPr>
            </w:pPr>
          </w:p>
        </w:tc>
        <w:tc>
          <w:tcPr>
            <w:tcW w:w="450" w:type="dxa"/>
          </w:tcPr>
          <w:p w14:paraId="67994868" w14:textId="77777777" w:rsidR="005701B4" w:rsidRPr="00CF6DB0" w:rsidRDefault="005701B4" w:rsidP="0050582E">
            <w:pPr>
              <w:pStyle w:val="GLSTableBullet1"/>
              <w:rPr>
                <w:sz w:val="22"/>
                <w:szCs w:val="22"/>
              </w:rPr>
            </w:pPr>
            <w:r w:rsidRPr="00CF6DB0">
              <w:rPr>
                <w:sz w:val="22"/>
                <w:szCs w:val="22"/>
              </w:rPr>
              <w:t>x</w:t>
            </w:r>
          </w:p>
        </w:tc>
        <w:tc>
          <w:tcPr>
            <w:tcW w:w="450" w:type="dxa"/>
          </w:tcPr>
          <w:p w14:paraId="7E7BA69A" w14:textId="77777777" w:rsidR="005701B4" w:rsidRPr="00CF6DB0" w:rsidRDefault="005701B4" w:rsidP="0050582E">
            <w:pPr>
              <w:pStyle w:val="GLSTableBullet1"/>
              <w:rPr>
                <w:sz w:val="22"/>
                <w:szCs w:val="22"/>
              </w:rPr>
            </w:pPr>
          </w:p>
        </w:tc>
        <w:tc>
          <w:tcPr>
            <w:tcW w:w="450" w:type="dxa"/>
          </w:tcPr>
          <w:p w14:paraId="68B36691" w14:textId="77777777" w:rsidR="005701B4" w:rsidRPr="00CF6DB0" w:rsidRDefault="005701B4" w:rsidP="0050582E">
            <w:pPr>
              <w:pStyle w:val="GLSTableBullet1"/>
              <w:rPr>
                <w:sz w:val="22"/>
                <w:szCs w:val="22"/>
              </w:rPr>
            </w:pPr>
          </w:p>
        </w:tc>
        <w:tc>
          <w:tcPr>
            <w:tcW w:w="450" w:type="dxa"/>
          </w:tcPr>
          <w:p w14:paraId="4572B5FF" w14:textId="77777777" w:rsidR="005701B4" w:rsidRPr="00CF6DB0" w:rsidRDefault="005701B4" w:rsidP="0050582E">
            <w:pPr>
              <w:pStyle w:val="GLSTableBullet1"/>
              <w:rPr>
                <w:sz w:val="22"/>
                <w:szCs w:val="22"/>
              </w:rPr>
            </w:pPr>
          </w:p>
        </w:tc>
      </w:tr>
      <w:tr w:rsidR="001F0BE7" w:rsidRPr="00CF6DB0" w14:paraId="603EB013" w14:textId="77777777" w:rsidTr="0050582E">
        <w:trPr>
          <w:cantSplit/>
          <w:trHeight w:val="377"/>
        </w:trPr>
        <w:tc>
          <w:tcPr>
            <w:tcW w:w="7195" w:type="dxa"/>
            <w:shd w:val="clear" w:color="auto" w:fill="auto"/>
          </w:tcPr>
          <w:p w14:paraId="6C7C97D9" w14:textId="73D67554" w:rsidR="001F0BE7" w:rsidRPr="00CF6DB0" w:rsidRDefault="001F0BE7" w:rsidP="001F0BE7">
            <w:pPr>
              <w:pStyle w:val="GLSTableBullet1"/>
              <w:rPr>
                <w:sz w:val="22"/>
                <w:szCs w:val="22"/>
              </w:rPr>
            </w:pPr>
            <w:r w:rsidRPr="00CF6DB0">
              <w:rPr>
                <w:b/>
                <w:sz w:val="22"/>
                <w:szCs w:val="22"/>
              </w:rPr>
              <w:t xml:space="preserve">1.4: </w:t>
            </w:r>
            <w:r w:rsidRPr="00CF6DB0">
              <w:rPr>
                <w:sz w:val="22"/>
                <w:szCs w:val="22"/>
              </w:rPr>
              <w:t>What factors related to the training (e.g., use of active learning strategies), trainee (e.g., ‘natural gatekeepers’), and setting (e.g., ‘threshold effects’) predict differences in gatekeeper behavior following participation?</w:t>
            </w:r>
          </w:p>
        </w:tc>
        <w:tc>
          <w:tcPr>
            <w:tcW w:w="450" w:type="dxa"/>
            <w:shd w:val="clear" w:color="auto" w:fill="auto"/>
          </w:tcPr>
          <w:p w14:paraId="02DA5F4A" w14:textId="77777777" w:rsidR="001F0BE7" w:rsidRPr="00CF6DB0" w:rsidRDefault="001F0BE7" w:rsidP="0050582E">
            <w:pPr>
              <w:pStyle w:val="GLSTableBullet1"/>
              <w:rPr>
                <w:sz w:val="22"/>
                <w:szCs w:val="22"/>
              </w:rPr>
            </w:pPr>
          </w:p>
        </w:tc>
        <w:tc>
          <w:tcPr>
            <w:tcW w:w="450" w:type="dxa"/>
          </w:tcPr>
          <w:p w14:paraId="0E864C50" w14:textId="7E780370" w:rsidR="001F0BE7" w:rsidRPr="00CF6DB0" w:rsidRDefault="009E3066" w:rsidP="0050582E">
            <w:pPr>
              <w:pStyle w:val="GLSTableBullet1"/>
              <w:rPr>
                <w:sz w:val="22"/>
                <w:szCs w:val="22"/>
              </w:rPr>
            </w:pPr>
            <w:r w:rsidRPr="00CF6DB0">
              <w:rPr>
                <w:sz w:val="22"/>
                <w:szCs w:val="22"/>
              </w:rPr>
              <w:t>x</w:t>
            </w:r>
          </w:p>
        </w:tc>
        <w:tc>
          <w:tcPr>
            <w:tcW w:w="450" w:type="dxa"/>
          </w:tcPr>
          <w:p w14:paraId="512A55E8" w14:textId="5D28EBA7" w:rsidR="001F0BE7" w:rsidRPr="00CF6DB0" w:rsidRDefault="009E3066" w:rsidP="0050582E">
            <w:pPr>
              <w:pStyle w:val="GLSTableBullet1"/>
              <w:rPr>
                <w:sz w:val="22"/>
                <w:szCs w:val="22"/>
              </w:rPr>
            </w:pPr>
            <w:r w:rsidRPr="00CF6DB0">
              <w:rPr>
                <w:sz w:val="22"/>
                <w:szCs w:val="22"/>
              </w:rPr>
              <w:t>x</w:t>
            </w:r>
          </w:p>
        </w:tc>
        <w:tc>
          <w:tcPr>
            <w:tcW w:w="450" w:type="dxa"/>
          </w:tcPr>
          <w:p w14:paraId="602E82A4" w14:textId="77777777" w:rsidR="001F0BE7" w:rsidRPr="00CF6DB0" w:rsidRDefault="001F0BE7" w:rsidP="0050582E">
            <w:pPr>
              <w:pStyle w:val="GLSTableBullet1"/>
              <w:rPr>
                <w:sz w:val="22"/>
                <w:szCs w:val="22"/>
              </w:rPr>
            </w:pPr>
          </w:p>
        </w:tc>
        <w:tc>
          <w:tcPr>
            <w:tcW w:w="450" w:type="dxa"/>
          </w:tcPr>
          <w:p w14:paraId="7356B3DA" w14:textId="77777777" w:rsidR="001F0BE7" w:rsidRPr="00CF6DB0" w:rsidRDefault="001F0BE7" w:rsidP="0050582E">
            <w:pPr>
              <w:pStyle w:val="GLSTableBullet1"/>
              <w:rPr>
                <w:sz w:val="22"/>
                <w:szCs w:val="22"/>
              </w:rPr>
            </w:pPr>
          </w:p>
        </w:tc>
      </w:tr>
      <w:tr w:rsidR="005701B4" w:rsidRPr="00CF6DB0" w14:paraId="3CAEFCE6" w14:textId="77777777" w:rsidTr="006E402F">
        <w:trPr>
          <w:cantSplit/>
          <w:trHeight w:val="197"/>
        </w:trPr>
        <w:tc>
          <w:tcPr>
            <w:tcW w:w="9445" w:type="dxa"/>
            <w:gridSpan w:val="6"/>
            <w:shd w:val="clear" w:color="auto" w:fill="D9D9D9" w:themeFill="background1" w:themeFillShade="D9"/>
            <w:vAlign w:val="center"/>
          </w:tcPr>
          <w:p w14:paraId="52D12616" w14:textId="04275BBA" w:rsidR="005701B4" w:rsidRPr="00CF6DB0" w:rsidRDefault="005701B4" w:rsidP="006E402F">
            <w:pPr>
              <w:pStyle w:val="GLSTableBullet1"/>
              <w:jc w:val="center"/>
              <w:rPr>
                <w:b/>
                <w:sz w:val="22"/>
                <w:szCs w:val="22"/>
              </w:rPr>
            </w:pPr>
            <w:r w:rsidRPr="00CF6DB0">
              <w:rPr>
                <w:b/>
                <w:sz w:val="22"/>
                <w:szCs w:val="22"/>
              </w:rPr>
              <w:t>R</w:t>
            </w:r>
            <w:r w:rsidR="006E402F" w:rsidRPr="00CF6DB0">
              <w:rPr>
                <w:b/>
                <w:sz w:val="22"/>
                <w:szCs w:val="22"/>
              </w:rPr>
              <w:t>andomized Control Trial</w:t>
            </w:r>
          </w:p>
        </w:tc>
      </w:tr>
      <w:tr w:rsidR="001F0BE7" w:rsidRPr="00CF6DB0" w14:paraId="5371A493" w14:textId="77777777" w:rsidTr="004518C8">
        <w:trPr>
          <w:cantSplit/>
          <w:trHeight w:val="350"/>
        </w:trPr>
        <w:tc>
          <w:tcPr>
            <w:tcW w:w="7195" w:type="dxa"/>
            <w:shd w:val="clear" w:color="auto" w:fill="auto"/>
            <w:vAlign w:val="center"/>
          </w:tcPr>
          <w:p w14:paraId="2028D468" w14:textId="7990278C" w:rsidR="001F0BE7" w:rsidRPr="00CF6DB0" w:rsidRDefault="001F0BE7" w:rsidP="001F0BE7">
            <w:pPr>
              <w:pStyle w:val="GLSTableBullet1"/>
              <w:rPr>
                <w:sz w:val="22"/>
                <w:szCs w:val="22"/>
              </w:rPr>
            </w:pPr>
            <w:r w:rsidRPr="00CF6DB0">
              <w:rPr>
                <w:b/>
                <w:sz w:val="22"/>
                <w:szCs w:val="22"/>
              </w:rPr>
              <w:t>1.5</w:t>
            </w:r>
            <w:r w:rsidRPr="00CF6DB0">
              <w:rPr>
                <w:sz w:val="22"/>
                <w:szCs w:val="22"/>
              </w:rPr>
              <w:t>: How are trainee knowledge, skills, awareness, and self-efficacy maintained over time?</w:t>
            </w:r>
          </w:p>
        </w:tc>
        <w:tc>
          <w:tcPr>
            <w:tcW w:w="450" w:type="dxa"/>
            <w:shd w:val="clear" w:color="auto" w:fill="auto"/>
          </w:tcPr>
          <w:p w14:paraId="59694CE2" w14:textId="77777777" w:rsidR="001F0BE7" w:rsidRPr="00CF6DB0" w:rsidRDefault="001F0BE7" w:rsidP="001F0BE7">
            <w:pPr>
              <w:pStyle w:val="GLSTableBullet1"/>
              <w:rPr>
                <w:sz w:val="22"/>
                <w:szCs w:val="22"/>
              </w:rPr>
            </w:pPr>
          </w:p>
        </w:tc>
        <w:tc>
          <w:tcPr>
            <w:tcW w:w="450" w:type="dxa"/>
          </w:tcPr>
          <w:p w14:paraId="37B74F4C" w14:textId="05E54B33" w:rsidR="001F0BE7" w:rsidRPr="00CF6DB0" w:rsidRDefault="001F0BE7" w:rsidP="001F0BE7">
            <w:pPr>
              <w:pStyle w:val="GLSTableBullet1"/>
              <w:rPr>
                <w:sz w:val="22"/>
                <w:szCs w:val="22"/>
              </w:rPr>
            </w:pPr>
          </w:p>
        </w:tc>
        <w:tc>
          <w:tcPr>
            <w:tcW w:w="450" w:type="dxa"/>
          </w:tcPr>
          <w:p w14:paraId="0E69DE3F" w14:textId="77777777" w:rsidR="001F0BE7" w:rsidRPr="00CF6DB0" w:rsidRDefault="001F0BE7" w:rsidP="001F0BE7">
            <w:pPr>
              <w:pStyle w:val="GLSTableBullet1"/>
              <w:rPr>
                <w:sz w:val="22"/>
                <w:szCs w:val="22"/>
              </w:rPr>
            </w:pPr>
            <w:r w:rsidRPr="00CF6DB0">
              <w:rPr>
                <w:sz w:val="22"/>
                <w:szCs w:val="22"/>
              </w:rPr>
              <w:t>x</w:t>
            </w:r>
          </w:p>
        </w:tc>
        <w:tc>
          <w:tcPr>
            <w:tcW w:w="450" w:type="dxa"/>
          </w:tcPr>
          <w:p w14:paraId="0E7FBCE1" w14:textId="48829BB9" w:rsidR="001F0BE7" w:rsidRPr="00CF6DB0" w:rsidRDefault="009E3066" w:rsidP="001F0BE7">
            <w:pPr>
              <w:pStyle w:val="GLSTableBullet1"/>
              <w:rPr>
                <w:sz w:val="22"/>
                <w:szCs w:val="22"/>
              </w:rPr>
            </w:pPr>
            <w:r w:rsidRPr="00CF6DB0">
              <w:rPr>
                <w:sz w:val="22"/>
                <w:szCs w:val="22"/>
              </w:rPr>
              <w:t>x</w:t>
            </w:r>
          </w:p>
        </w:tc>
        <w:tc>
          <w:tcPr>
            <w:tcW w:w="450" w:type="dxa"/>
          </w:tcPr>
          <w:p w14:paraId="557DBABC" w14:textId="77777777" w:rsidR="001F0BE7" w:rsidRPr="00CF6DB0" w:rsidRDefault="001F0BE7" w:rsidP="001F0BE7">
            <w:pPr>
              <w:pStyle w:val="GLSTableBullet1"/>
              <w:rPr>
                <w:sz w:val="22"/>
                <w:szCs w:val="22"/>
              </w:rPr>
            </w:pPr>
          </w:p>
        </w:tc>
      </w:tr>
      <w:tr w:rsidR="001F0BE7" w:rsidRPr="00CF6DB0" w14:paraId="18DE9684" w14:textId="77777777" w:rsidTr="004518C8">
        <w:trPr>
          <w:cantSplit/>
        </w:trPr>
        <w:tc>
          <w:tcPr>
            <w:tcW w:w="7195" w:type="dxa"/>
            <w:shd w:val="clear" w:color="auto" w:fill="auto"/>
            <w:vAlign w:val="bottom"/>
          </w:tcPr>
          <w:p w14:paraId="49C372EB" w14:textId="2BA2BBC6" w:rsidR="001F0BE7" w:rsidRPr="00CF6DB0" w:rsidRDefault="001F0BE7" w:rsidP="001F0BE7">
            <w:pPr>
              <w:pStyle w:val="GLSTableBullet1"/>
              <w:rPr>
                <w:b/>
                <w:sz w:val="22"/>
                <w:szCs w:val="22"/>
              </w:rPr>
            </w:pPr>
            <w:r w:rsidRPr="00CF6DB0">
              <w:rPr>
                <w:b/>
                <w:sz w:val="22"/>
                <w:szCs w:val="22"/>
              </w:rPr>
              <w:t>1.6</w:t>
            </w:r>
            <w:r w:rsidRPr="00CF6DB0">
              <w:rPr>
                <w:sz w:val="22"/>
                <w:szCs w:val="22"/>
              </w:rPr>
              <w:t xml:space="preserve">: Does the use of active learning strategies increase effectiveness of gatekeeper trainings (particularly in terms of promoting identification of </w:t>
            </w:r>
            <w:r w:rsidR="00A92A8C">
              <w:rPr>
                <w:sz w:val="22"/>
                <w:szCs w:val="22"/>
              </w:rPr>
              <w:t>youth</w:t>
            </w:r>
            <w:r w:rsidRPr="00CF6DB0">
              <w:rPr>
                <w:sz w:val="22"/>
                <w:szCs w:val="22"/>
              </w:rPr>
              <w:t xml:space="preserve"> at risk)?</w:t>
            </w:r>
          </w:p>
        </w:tc>
        <w:tc>
          <w:tcPr>
            <w:tcW w:w="450" w:type="dxa"/>
            <w:shd w:val="clear" w:color="auto" w:fill="auto"/>
          </w:tcPr>
          <w:p w14:paraId="6A1C8134" w14:textId="77777777" w:rsidR="001F0BE7" w:rsidRPr="00CF6DB0" w:rsidRDefault="001F0BE7" w:rsidP="001F0BE7">
            <w:pPr>
              <w:pStyle w:val="GLSTableBullet1"/>
              <w:rPr>
                <w:sz w:val="22"/>
                <w:szCs w:val="22"/>
              </w:rPr>
            </w:pPr>
          </w:p>
        </w:tc>
        <w:tc>
          <w:tcPr>
            <w:tcW w:w="450" w:type="dxa"/>
          </w:tcPr>
          <w:p w14:paraId="62958DF1" w14:textId="77777777" w:rsidR="001F0BE7" w:rsidRPr="00CF6DB0" w:rsidRDefault="001F0BE7" w:rsidP="001F0BE7">
            <w:pPr>
              <w:pStyle w:val="GLSTableBullet1"/>
              <w:rPr>
                <w:sz w:val="22"/>
                <w:szCs w:val="22"/>
              </w:rPr>
            </w:pPr>
          </w:p>
        </w:tc>
        <w:tc>
          <w:tcPr>
            <w:tcW w:w="450" w:type="dxa"/>
          </w:tcPr>
          <w:p w14:paraId="1E733F87" w14:textId="559CEAE3" w:rsidR="001F0BE7" w:rsidRPr="00CF6DB0" w:rsidRDefault="001F0BE7" w:rsidP="001F0BE7">
            <w:pPr>
              <w:pStyle w:val="GLSTableBullet1"/>
              <w:rPr>
                <w:sz w:val="22"/>
                <w:szCs w:val="22"/>
              </w:rPr>
            </w:pPr>
          </w:p>
        </w:tc>
        <w:tc>
          <w:tcPr>
            <w:tcW w:w="450" w:type="dxa"/>
          </w:tcPr>
          <w:p w14:paraId="4658E3E0" w14:textId="77777777" w:rsidR="001F0BE7" w:rsidRPr="00CF6DB0" w:rsidRDefault="001F0BE7" w:rsidP="001F0BE7">
            <w:pPr>
              <w:pStyle w:val="GLSTableBullet1"/>
              <w:rPr>
                <w:sz w:val="22"/>
                <w:szCs w:val="22"/>
              </w:rPr>
            </w:pPr>
            <w:r w:rsidRPr="00CF6DB0">
              <w:rPr>
                <w:sz w:val="22"/>
                <w:szCs w:val="22"/>
              </w:rPr>
              <w:t>x</w:t>
            </w:r>
          </w:p>
        </w:tc>
        <w:tc>
          <w:tcPr>
            <w:tcW w:w="450" w:type="dxa"/>
          </w:tcPr>
          <w:p w14:paraId="5B2AED4D" w14:textId="77777777" w:rsidR="001F0BE7" w:rsidRPr="00CF6DB0" w:rsidRDefault="001F0BE7" w:rsidP="001F0BE7">
            <w:pPr>
              <w:pStyle w:val="GLSTableBullet1"/>
              <w:rPr>
                <w:sz w:val="22"/>
                <w:szCs w:val="22"/>
              </w:rPr>
            </w:pPr>
          </w:p>
        </w:tc>
      </w:tr>
      <w:tr w:rsidR="001F0BE7" w:rsidRPr="00CF6DB0" w14:paraId="56B54B17" w14:textId="77777777" w:rsidTr="004518C8">
        <w:trPr>
          <w:cantSplit/>
        </w:trPr>
        <w:tc>
          <w:tcPr>
            <w:tcW w:w="7195" w:type="dxa"/>
            <w:shd w:val="clear" w:color="auto" w:fill="auto"/>
            <w:vAlign w:val="bottom"/>
          </w:tcPr>
          <w:p w14:paraId="2E40FCE1" w14:textId="3553D98F" w:rsidR="001F0BE7" w:rsidRPr="00CF6DB0" w:rsidRDefault="001F0BE7" w:rsidP="001F0BE7">
            <w:pPr>
              <w:pStyle w:val="GLSTableBullet1"/>
              <w:rPr>
                <w:b/>
                <w:sz w:val="22"/>
                <w:szCs w:val="22"/>
              </w:rPr>
            </w:pPr>
            <w:r w:rsidRPr="00CF6DB0">
              <w:rPr>
                <w:b/>
                <w:sz w:val="22"/>
                <w:szCs w:val="22"/>
              </w:rPr>
              <w:t>1.7</w:t>
            </w:r>
            <w:r w:rsidRPr="00CF6DB0">
              <w:rPr>
                <w:sz w:val="22"/>
                <w:szCs w:val="22"/>
              </w:rPr>
              <w:t xml:space="preserve">: Does the use of booster interventions following training participation increase effectiveness of gatekeeper trainings (particularly in terms of promoting identification of </w:t>
            </w:r>
            <w:r w:rsidR="00A92A8C">
              <w:rPr>
                <w:sz w:val="22"/>
                <w:szCs w:val="22"/>
              </w:rPr>
              <w:t>youth</w:t>
            </w:r>
            <w:r w:rsidRPr="00CF6DB0">
              <w:rPr>
                <w:sz w:val="22"/>
                <w:szCs w:val="22"/>
              </w:rPr>
              <w:t xml:space="preserve"> at risk)?</w:t>
            </w:r>
          </w:p>
        </w:tc>
        <w:tc>
          <w:tcPr>
            <w:tcW w:w="450" w:type="dxa"/>
            <w:shd w:val="clear" w:color="auto" w:fill="auto"/>
          </w:tcPr>
          <w:p w14:paraId="0E31FCB0" w14:textId="77777777" w:rsidR="001F0BE7" w:rsidRPr="00CF6DB0" w:rsidRDefault="001F0BE7" w:rsidP="001F0BE7">
            <w:pPr>
              <w:pStyle w:val="GLSTableBullet1"/>
              <w:rPr>
                <w:sz w:val="22"/>
                <w:szCs w:val="22"/>
              </w:rPr>
            </w:pPr>
          </w:p>
        </w:tc>
        <w:tc>
          <w:tcPr>
            <w:tcW w:w="450" w:type="dxa"/>
          </w:tcPr>
          <w:p w14:paraId="2EB7A137" w14:textId="77777777" w:rsidR="001F0BE7" w:rsidRPr="00CF6DB0" w:rsidRDefault="001F0BE7" w:rsidP="001F0BE7">
            <w:pPr>
              <w:pStyle w:val="GLSTableBullet1"/>
              <w:rPr>
                <w:sz w:val="22"/>
                <w:szCs w:val="22"/>
              </w:rPr>
            </w:pPr>
          </w:p>
        </w:tc>
        <w:tc>
          <w:tcPr>
            <w:tcW w:w="450" w:type="dxa"/>
          </w:tcPr>
          <w:p w14:paraId="55B07413" w14:textId="77777777" w:rsidR="001F0BE7" w:rsidRPr="00CF6DB0" w:rsidRDefault="001F0BE7" w:rsidP="001F0BE7">
            <w:pPr>
              <w:pStyle w:val="GLSTableBullet1"/>
              <w:rPr>
                <w:sz w:val="22"/>
                <w:szCs w:val="22"/>
              </w:rPr>
            </w:pPr>
          </w:p>
        </w:tc>
        <w:tc>
          <w:tcPr>
            <w:tcW w:w="450" w:type="dxa"/>
          </w:tcPr>
          <w:p w14:paraId="6D61E679" w14:textId="77777777" w:rsidR="001F0BE7" w:rsidRPr="00CF6DB0" w:rsidRDefault="001F0BE7" w:rsidP="001F0BE7">
            <w:pPr>
              <w:pStyle w:val="GLSTableBullet1"/>
              <w:rPr>
                <w:sz w:val="22"/>
                <w:szCs w:val="22"/>
              </w:rPr>
            </w:pPr>
            <w:r w:rsidRPr="00CF6DB0">
              <w:rPr>
                <w:sz w:val="22"/>
                <w:szCs w:val="22"/>
              </w:rPr>
              <w:t>x</w:t>
            </w:r>
          </w:p>
        </w:tc>
        <w:tc>
          <w:tcPr>
            <w:tcW w:w="450" w:type="dxa"/>
          </w:tcPr>
          <w:p w14:paraId="5FD3AD89" w14:textId="77777777" w:rsidR="001F0BE7" w:rsidRPr="00CF6DB0" w:rsidRDefault="001F0BE7" w:rsidP="001F0BE7">
            <w:pPr>
              <w:pStyle w:val="GLSTableBullet1"/>
              <w:rPr>
                <w:sz w:val="22"/>
                <w:szCs w:val="22"/>
              </w:rPr>
            </w:pPr>
          </w:p>
        </w:tc>
      </w:tr>
      <w:tr w:rsidR="001F0BE7" w:rsidRPr="00CF6DB0" w14:paraId="2F5CBB49" w14:textId="77777777" w:rsidTr="004518C8">
        <w:trPr>
          <w:cantSplit/>
        </w:trPr>
        <w:tc>
          <w:tcPr>
            <w:tcW w:w="7195" w:type="dxa"/>
            <w:shd w:val="clear" w:color="auto" w:fill="auto"/>
            <w:vAlign w:val="bottom"/>
          </w:tcPr>
          <w:p w14:paraId="040EA7E5" w14:textId="032EB856" w:rsidR="001F0BE7" w:rsidRPr="00CF6DB0" w:rsidRDefault="001F0BE7" w:rsidP="001F0BE7">
            <w:pPr>
              <w:pStyle w:val="GLSTableBullet1"/>
              <w:rPr>
                <w:b/>
                <w:sz w:val="22"/>
                <w:szCs w:val="22"/>
              </w:rPr>
            </w:pPr>
            <w:r w:rsidRPr="00CF6DB0">
              <w:rPr>
                <w:b/>
                <w:color w:val="000000"/>
                <w:sz w:val="22"/>
                <w:szCs w:val="22"/>
              </w:rPr>
              <w:t>1.8</w:t>
            </w:r>
            <w:r w:rsidRPr="00CF6DB0">
              <w:rPr>
                <w:color w:val="000000"/>
                <w:sz w:val="22"/>
                <w:szCs w:val="22"/>
              </w:rPr>
              <w:t xml:space="preserve">: Do training components (role-play, booster) impact particular segments of trainees differently? </w:t>
            </w:r>
          </w:p>
        </w:tc>
        <w:tc>
          <w:tcPr>
            <w:tcW w:w="450" w:type="dxa"/>
            <w:shd w:val="clear" w:color="auto" w:fill="auto"/>
          </w:tcPr>
          <w:p w14:paraId="414BBD4E" w14:textId="77777777" w:rsidR="001F0BE7" w:rsidRPr="00CF6DB0" w:rsidRDefault="001F0BE7" w:rsidP="001F0BE7">
            <w:pPr>
              <w:pStyle w:val="GLSTableBullet1"/>
              <w:rPr>
                <w:sz w:val="22"/>
                <w:szCs w:val="22"/>
              </w:rPr>
            </w:pPr>
          </w:p>
        </w:tc>
        <w:tc>
          <w:tcPr>
            <w:tcW w:w="450" w:type="dxa"/>
          </w:tcPr>
          <w:p w14:paraId="11AA2D42" w14:textId="77777777" w:rsidR="001F0BE7" w:rsidRPr="00CF6DB0" w:rsidRDefault="001F0BE7" w:rsidP="001F0BE7">
            <w:pPr>
              <w:pStyle w:val="GLSTableBullet1"/>
              <w:rPr>
                <w:sz w:val="22"/>
                <w:szCs w:val="22"/>
              </w:rPr>
            </w:pPr>
          </w:p>
        </w:tc>
        <w:tc>
          <w:tcPr>
            <w:tcW w:w="450" w:type="dxa"/>
          </w:tcPr>
          <w:p w14:paraId="4897013C" w14:textId="7FEBE8C4" w:rsidR="001F0BE7" w:rsidRPr="00CF6DB0" w:rsidRDefault="009E3066" w:rsidP="001F0BE7">
            <w:pPr>
              <w:pStyle w:val="GLSTableBullet1"/>
              <w:rPr>
                <w:sz w:val="22"/>
                <w:szCs w:val="22"/>
              </w:rPr>
            </w:pPr>
            <w:r w:rsidRPr="00CF6DB0">
              <w:rPr>
                <w:sz w:val="22"/>
                <w:szCs w:val="22"/>
              </w:rPr>
              <w:t>x</w:t>
            </w:r>
          </w:p>
        </w:tc>
        <w:tc>
          <w:tcPr>
            <w:tcW w:w="450" w:type="dxa"/>
          </w:tcPr>
          <w:p w14:paraId="641746D7" w14:textId="77777777" w:rsidR="001F0BE7" w:rsidRPr="00CF6DB0" w:rsidRDefault="001F0BE7" w:rsidP="001F0BE7">
            <w:pPr>
              <w:pStyle w:val="GLSTableBullet1"/>
              <w:rPr>
                <w:sz w:val="22"/>
                <w:szCs w:val="22"/>
              </w:rPr>
            </w:pPr>
            <w:r w:rsidRPr="00CF6DB0">
              <w:rPr>
                <w:sz w:val="22"/>
                <w:szCs w:val="22"/>
              </w:rPr>
              <w:t>x</w:t>
            </w:r>
          </w:p>
        </w:tc>
        <w:tc>
          <w:tcPr>
            <w:tcW w:w="450" w:type="dxa"/>
          </w:tcPr>
          <w:p w14:paraId="6C05A375" w14:textId="77777777" w:rsidR="001F0BE7" w:rsidRPr="00CF6DB0" w:rsidRDefault="001F0BE7" w:rsidP="001F0BE7">
            <w:pPr>
              <w:pStyle w:val="GLSTableBullet1"/>
              <w:rPr>
                <w:sz w:val="22"/>
                <w:szCs w:val="22"/>
              </w:rPr>
            </w:pPr>
          </w:p>
        </w:tc>
      </w:tr>
      <w:tr w:rsidR="001F0BE7" w:rsidRPr="00CF6DB0" w14:paraId="6697E7CA" w14:textId="77777777" w:rsidTr="004518C8">
        <w:trPr>
          <w:cantSplit/>
        </w:trPr>
        <w:tc>
          <w:tcPr>
            <w:tcW w:w="7195" w:type="dxa"/>
            <w:shd w:val="clear" w:color="auto" w:fill="auto"/>
            <w:vAlign w:val="center"/>
          </w:tcPr>
          <w:p w14:paraId="1389BC0F" w14:textId="38E090B4" w:rsidR="001F0BE7" w:rsidRPr="00CF6DB0" w:rsidRDefault="001F0BE7" w:rsidP="001F0BE7">
            <w:pPr>
              <w:pStyle w:val="GLSTableBullet1"/>
              <w:ind w:left="360"/>
              <w:rPr>
                <w:b/>
                <w:i/>
                <w:sz w:val="22"/>
                <w:szCs w:val="22"/>
              </w:rPr>
            </w:pPr>
            <w:r w:rsidRPr="00CF6DB0">
              <w:rPr>
                <w:b/>
                <w:i/>
                <w:color w:val="000000"/>
                <w:sz w:val="22"/>
                <w:szCs w:val="22"/>
              </w:rPr>
              <w:t>1.8.1</w:t>
            </w:r>
            <w:r w:rsidRPr="00CF6DB0">
              <w:rPr>
                <w:i/>
                <w:color w:val="000000"/>
                <w:sz w:val="22"/>
                <w:szCs w:val="22"/>
              </w:rPr>
              <w:t xml:space="preserve">: How does the trainee relationship and amount of time spent with youth impact identification and referral of </w:t>
            </w:r>
            <w:r w:rsidR="00A92A8C">
              <w:rPr>
                <w:i/>
                <w:color w:val="000000"/>
                <w:sz w:val="22"/>
                <w:szCs w:val="22"/>
              </w:rPr>
              <w:t>youth</w:t>
            </w:r>
            <w:r w:rsidRPr="00CF6DB0">
              <w:rPr>
                <w:i/>
                <w:color w:val="000000"/>
                <w:sz w:val="22"/>
                <w:szCs w:val="22"/>
              </w:rPr>
              <w:t xml:space="preserve"> at risk for suicide?</w:t>
            </w:r>
          </w:p>
        </w:tc>
        <w:tc>
          <w:tcPr>
            <w:tcW w:w="450" w:type="dxa"/>
            <w:shd w:val="clear" w:color="auto" w:fill="auto"/>
          </w:tcPr>
          <w:p w14:paraId="26004B71" w14:textId="77777777" w:rsidR="001F0BE7" w:rsidRPr="00CF6DB0" w:rsidRDefault="001F0BE7" w:rsidP="001F0BE7">
            <w:pPr>
              <w:pStyle w:val="GLSTableBullet1"/>
              <w:rPr>
                <w:sz w:val="22"/>
                <w:szCs w:val="22"/>
              </w:rPr>
            </w:pPr>
          </w:p>
        </w:tc>
        <w:tc>
          <w:tcPr>
            <w:tcW w:w="450" w:type="dxa"/>
          </w:tcPr>
          <w:p w14:paraId="745AE62B" w14:textId="77777777" w:rsidR="001F0BE7" w:rsidRPr="00CF6DB0" w:rsidRDefault="001F0BE7" w:rsidP="001F0BE7">
            <w:pPr>
              <w:pStyle w:val="GLSTableBullet1"/>
              <w:rPr>
                <w:sz w:val="22"/>
                <w:szCs w:val="22"/>
              </w:rPr>
            </w:pPr>
          </w:p>
        </w:tc>
        <w:tc>
          <w:tcPr>
            <w:tcW w:w="450" w:type="dxa"/>
          </w:tcPr>
          <w:p w14:paraId="5E3D01B2" w14:textId="77777777" w:rsidR="001F0BE7" w:rsidRPr="00CF6DB0" w:rsidRDefault="001F0BE7" w:rsidP="001F0BE7">
            <w:pPr>
              <w:pStyle w:val="GLSTableBullet1"/>
              <w:rPr>
                <w:sz w:val="22"/>
                <w:szCs w:val="22"/>
              </w:rPr>
            </w:pPr>
            <w:r w:rsidRPr="00CF6DB0">
              <w:rPr>
                <w:sz w:val="22"/>
                <w:szCs w:val="22"/>
              </w:rPr>
              <w:t>x</w:t>
            </w:r>
          </w:p>
        </w:tc>
        <w:tc>
          <w:tcPr>
            <w:tcW w:w="450" w:type="dxa"/>
          </w:tcPr>
          <w:p w14:paraId="6576F017" w14:textId="77777777" w:rsidR="001F0BE7" w:rsidRPr="00CF6DB0" w:rsidRDefault="001F0BE7" w:rsidP="001F0BE7">
            <w:pPr>
              <w:pStyle w:val="GLSTableBullet1"/>
              <w:rPr>
                <w:sz w:val="22"/>
                <w:szCs w:val="22"/>
              </w:rPr>
            </w:pPr>
            <w:r w:rsidRPr="00CF6DB0">
              <w:rPr>
                <w:sz w:val="22"/>
                <w:szCs w:val="22"/>
              </w:rPr>
              <w:t>x</w:t>
            </w:r>
          </w:p>
        </w:tc>
        <w:tc>
          <w:tcPr>
            <w:tcW w:w="450" w:type="dxa"/>
          </w:tcPr>
          <w:p w14:paraId="1EE587D0" w14:textId="5F4706D5" w:rsidR="001F0BE7" w:rsidRPr="00CF6DB0" w:rsidRDefault="001F0BE7" w:rsidP="001F0BE7">
            <w:pPr>
              <w:pStyle w:val="GLSTableBullet1"/>
              <w:rPr>
                <w:sz w:val="22"/>
                <w:szCs w:val="22"/>
              </w:rPr>
            </w:pPr>
            <w:r w:rsidRPr="00CF6DB0">
              <w:rPr>
                <w:sz w:val="22"/>
                <w:szCs w:val="22"/>
              </w:rPr>
              <w:t>x</w:t>
            </w:r>
          </w:p>
        </w:tc>
      </w:tr>
      <w:tr w:rsidR="001F0BE7" w:rsidRPr="00CF6DB0" w14:paraId="04710644" w14:textId="77777777" w:rsidTr="004518C8">
        <w:trPr>
          <w:cantSplit/>
        </w:trPr>
        <w:tc>
          <w:tcPr>
            <w:tcW w:w="7195" w:type="dxa"/>
            <w:shd w:val="clear" w:color="auto" w:fill="auto"/>
            <w:vAlign w:val="center"/>
          </w:tcPr>
          <w:p w14:paraId="6CA4172F" w14:textId="4158A472" w:rsidR="001F0BE7" w:rsidRPr="00CF6DB0" w:rsidRDefault="001F0BE7" w:rsidP="001F0BE7">
            <w:pPr>
              <w:pStyle w:val="GLSTableBullet1"/>
              <w:ind w:left="360"/>
              <w:rPr>
                <w:i/>
                <w:sz w:val="22"/>
                <w:szCs w:val="22"/>
              </w:rPr>
            </w:pPr>
            <w:r w:rsidRPr="00CF6DB0">
              <w:rPr>
                <w:b/>
                <w:i/>
                <w:color w:val="000000"/>
                <w:sz w:val="22"/>
                <w:szCs w:val="22"/>
              </w:rPr>
              <w:t>1.8.2</w:t>
            </w:r>
            <w:r w:rsidRPr="00CF6DB0">
              <w:rPr>
                <w:i/>
                <w:color w:val="000000"/>
                <w:sz w:val="22"/>
                <w:szCs w:val="22"/>
              </w:rPr>
              <w:t xml:space="preserve">: How does previous experience with suicide (via training or contact with suicidal individual) impact identification of </w:t>
            </w:r>
            <w:r w:rsidR="00A92A8C">
              <w:rPr>
                <w:i/>
                <w:color w:val="000000"/>
                <w:sz w:val="22"/>
                <w:szCs w:val="22"/>
              </w:rPr>
              <w:t>youth</w:t>
            </w:r>
            <w:r w:rsidRPr="00CF6DB0">
              <w:rPr>
                <w:i/>
                <w:color w:val="000000"/>
                <w:sz w:val="22"/>
                <w:szCs w:val="22"/>
              </w:rPr>
              <w:t xml:space="preserve"> at risk for suicide?</w:t>
            </w:r>
          </w:p>
        </w:tc>
        <w:tc>
          <w:tcPr>
            <w:tcW w:w="450" w:type="dxa"/>
            <w:shd w:val="clear" w:color="auto" w:fill="auto"/>
          </w:tcPr>
          <w:p w14:paraId="6E1A4801" w14:textId="77777777" w:rsidR="001F0BE7" w:rsidRPr="00CF6DB0" w:rsidRDefault="001F0BE7" w:rsidP="001F0BE7">
            <w:pPr>
              <w:pStyle w:val="GLSTableBullet1"/>
              <w:rPr>
                <w:sz w:val="22"/>
                <w:szCs w:val="22"/>
              </w:rPr>
            </w:pPr>
          </w:p>
        </w:tc>
        <w:tc>
          <w:tcPr>
            <w:tcW w:w="450" w:type="dxa"/>
          </w:tcPr>
          <w:p w14:paraId="014937CB" w14:textId="77777777" w:rsidR="001F0BE7" w:rsidRPr="00CF6DB0" w:rsidRDefault="001F0BE7" w:rsidP="001F0BE7">
            <w:pPr>
              <w:pStyle w:val="GLSTableBullet1"/>
              <w:rPr>
                <w:sz w:val="22"/>
                <w:szCs w:val="22"/>
              </w:rPr>
            </w:pPr>
          </w:p>
        </w:tc>
        <w:tc>
          <w:tcPr>
            <w:tcW w:w="450" w:type="dxa"/>
          </w:tcPr>
          <w:p w14:paraId="70EE09BC" w14:textId="77777777" w:rsidR="001F0BE7" w:rsidRPr="00CF6DB0" w:rsidRDefault="001F0BE7" w:rsidP="001F0BE7">
            <w:pPr>
              <w:pStyle w:val="GLSTableBullet1"/>
              <w:rPr>
                <w:sz w:val="22"/>
                <w:szCs w:val="22"/>
              </w:rPr>
            </w:pPr>
            <w:r w:rsidRPr="00CF6DB0">
              <w:rPr>
                <w:sz w:val="22"/>
                <w:szCs w:val="22"/>
              </w:rPr>
              <w:t>x</w:t>
            </w:r>
          </w:p>
        </w:tc>
        <w:tc>
          <w:tcPr>
            <w:tcW w:w="450" w:type="dxa"/>
          </w:tcPr>
          <w:p w14:paraId="76F86AD4" w14:textId="77777777" w:rsidR="001F0BE7" w:rsidRPr="00CF6DB0" w:rsidRDefault="001F0BE7" w:rsidP="001F0BE7">
            <w:pPr>
              <w:pStyle w:val="GLSTableBullet1"/>
              <w:rPr>
                <w:sz w:val="22"/>
                <w:szCs w:val="22"/>
              </w:rPr>
            </w:pPr>
            <w:r w:rsidRPr="00CF6DB0">
              <w:rPr>
                <w:sz w:val="22"/>
                <w:szCs w:val="22"/>
              </w:rPr>
              <w:t>x</w:t>
            </w:r>
          </w:p>
        </w:tc>
        <w:tc>
          <w:tcPr>
            <w:tcW w:w="450" w:type="dxa"/>
          </w:tcPr>
          <w:p w14:paraId="33274439" w14:textId="42DE1011" w:rsidR="001F0BE7" w:rsidRPr="00CF6DB0" w:rsidRDefault="001F0BE7" w:rsidP="001F0BE7">
            <w:pPr>
              <w:pStyle w:val="GLSTableBullet1"/>
              <w:rPr>
                <w:sz w:val="22"/>
                <w:szCs w:val="22"/>
              </w:rPr>
            </w:pPr>
          </w:p>
        </w:tc>
      </w:tr>
      <w:tr w:rsidR="001F0BE7" w:rsidRPr="00CF6DB0" w14:paraId="4B7A6B06" w14:textId="77777777" w:rsidTr="004518C8">
        <w:trPr>
          <w:cantSplit/>
        </w:trPr>
        <w:tc>
          <w:tcPr>
            <w:tcW w:w="7195" w:type="dxa"/>
            <w:shd w:val="clear" w:color="auto" w:fill="auto"/>
            <w:vAlign w:val="center"/>
          </w:tcPr>
          <w:p w14:paraId="7F0A2415" w14:textId="031CFAC7" w:rsidR="001F0BE7" w:rsidRPr="00CF6DB0" w:rsidRDefault="001F0BE7" w:rsidP="001F0BE7">
            <w:pPr>
              <w:pStyle w:val="GLSTableBullet1"/>
              <w:rPr>
                <w:sz w:val="22"/>
                <w:szCs w:val="22"/>
              </w:rPr>
            </w:pPr>
            <w:r w:rsidRPr="00CF6DB0">
              <w:rPr>
                <w:b/>
                <w:color w:val="000000"/>
                <w:sz w:val="22"/>
                <w:szCs w:val="22"/>
              </w:rPr>
              <w:t>1.9</w:t>
            </w:r>
            <w:r w:rsidRPr="00CF6DB0">
              <w:rPr>
                <w:color w:val="000000"/>
                <w:sz w:val="22"/>
                <w:szCs w:val="22"/>
              </w:rPr>
              <w:t xml:space="preserve">: Are there variations on comparative effectiveness according to the setting characteristics in which trainees interact with </w:t>
            </w:r>
            <w:r w:rsidR="00A92A8C">
              <w:rPr>
                <w:color w:val="000000"/>
                <w:sz w:val="22"/>
                <w:szCs w:val="22"/>
              </w:rPr>
              <w:t>youth</w:t>
            </w:r>
            <w:r w:rsidRPr="00CF6DB0">
              <w:rPr>
                <w:color w:val="000000"/>
                <w:sz w:val="22"/>
                <w:szCs w:val="22"/>
              </w:rPr>
              <w:t>?</w:t>
            </w:r>
          </w:p>
        </w:tc>
        <w:tc>
          <w:tcPr>
            <w:tcW w:w="450" w:type="dxa"/>
            <w:shd w:val="clear" w:color="auto" w:fill="auto"/>
          </w:tcPr>
          <w:p w14:paraId="43174179" w14:textId="77777777" w:rsidR="001F0BE7" w:rsidRPr="00CF6DB0" w:rsidRDefault="001F0BE7" w:rsidP="001F0BE7">
            <w:pPr>
              <w:pStyle w:val="GLSTableBullet1"/>
              <w:rPr>
                <w:sz w:val="22"/>
                <w:szCs w:val="22"/>
              </w:rPr>
            </w:pPr>
          </w:p>
        </w:tc>
        <w:tc>
          <w:tcPr>
            <w:tcW w:w="450" w:type="dxa"/>
          </w:tcPr>
          <w:p w14:paraId="6E37A4EF" w14:textId="77777777" w:rsidR="001F0BE7" w:rsidRPr="00CF6DB0" w:rsidRDefault="001F0BE7" w:rsidP="001F0BE7">
            <w:pPr>
              <w:pStyle w:val="GLSTableBullet1"/>
              <w:rPr>
                <w:sz w:val="22"/>
                <w:szCs w:val="22"/>
              </w:rPr>
            </w:pPr>
          </w:p>
        </w:tc>
        <w:tc>
          <w:tcPr>
            <w:tcW w:w="450" w:type="dxa"/>
          </w:tcPr>
          <w:p w14:paraId="67BF46D4" w14:textId="77777777" w:rsidR="001F0BE7" w:rsidRPr="00CF6DB0" w:rsidRDefault="001F0BE7" w:rsidP="001F0BE7">
            <w:pPr>
              <w:pStyle w:val="GLSTableBullet1"/>
              <w:rPr>
                <w:sz w:val="22"/>
                <w:szCs w:val="22"/>
              </w:rPr>
            </w:pPr>
            <w:r w:rsidRPr="00CF6DB0">
              <w:rPr>
                <w:sz w:val="22"/>
                <w:szCs w:val="22"/>
              </w:rPr>
              <w:t>x</w:t>
            </w:r>
          </w:p>
        </w:tc>
        <w:tc>
          <w:tcPr>
            <w:tcW w:w="450" w:type="dxa"/>
          </w:tcPr>
          <w:p w14:paraId="300D2356" w14:textId="77777777" w:rsidR="001F0BE7" w:rsidRPr="00CF6DB0" w:rsidRDefault="001F0BE7" w:rsidP="001F0BE7">
            <w:pPr>
              <w:pStyle w:val="GLSTableBullet1"/>
              <w:rPr>
                <w:sz w:val="22"/>
                <w:szCs w:val="22"/>
              </w:rPr>
            </w:pPr>
            <w:r w:rsidRPr="00CF6DB0">
              <w:rPr>
                <w:sz w:val="22"/>
                <w:szCs w:val="22"/>
              </w:rPr>
              <w:t>x</w:t>
            </w:r>
          </w:p>
        </w:tc>
        <w:tc>
          <w:tcPr>
            <w:tcW w:w="450" w:type="dxa"/>
          </w:tcPr>
          <w:p w14:paraId="03115870" w14:textId="77777777" w:rsidR="001F0BE7" w:rsidRPr="00CF6DB0" w:rsidRDefault="001F0BE7" w:rsidP="001F0BE7">
            <w:pPr>
              <w:pStyle w:val="GLSTableBullet1"/>
              <w:rPr>
                <w:sz w:val="22"/>
                <w:szCs w:val="22"/>
              </w:rPr>
            </w:pPr>
          </w:p>
        </w:tc>
      </w:tr>
    </w:tbl>
    <w:p w14:paraId="34E9064B" w14:textId="2E885A71" w:rsidR="005701B4" w:rsidRPr="00B5673F" w:rsidRDefault="00837BCE" w:rsidP="00CB1EDA">
      <w:pPr>
        <w:pStyle w:val="GLSBody"/>
        <w:widowControl w:val="0"/>
        <w:spacing w:before="120" w:after="60"/>
        <w:rPr>
          <w:rFonts w:ascii="Tw Cen MT" w:hAnsi="Tw Cen MT" w:cs="Arial"/>
          <w:i/>
          <w:sz w:val="28"/>
          <w:szCs w:val="28"/>
        </w:rPr>
      </w:pPr>
      <w:r w:rsidRPr="00B5673F">
        <w:rPr>
          <w:rFonts w:ascii="Tw Cen MT" w:hAnsi="Tw Cen MT" w:cs="Arial"/>
          <w:i/>
          <w:sz w:val="28"/>
          <w:szCs w:val="28"/>
        </w:rPr>
        <w:t xml:space="preserve">Training </w:t>
      </w:r>
      <w:r w:rsidR="00525CAA" w:rsidRPr="00B5673F">
        <w:rPr>
          <w:rFonts w:ascii="Tw Cen MT" w:hAnsi="Tw Cen MT" w:cs="Arial"/>
          <w:i/>
          <w:sz w:val="28"/>
          <w:szCs w:val="28"/>
        </w:rPr>
        <w:t>Study</w:t>
      </w:r>
      <w:r w:rsidRPr="00B5673F">
        <w:rPr>
          <w:rFonts w:ascii="Tw Cen MT" w:hAnsi="Tw Cen MT" w:cs="Arial"/>
          <w:i/>
          <w:sz w:val="28"/>
          <w:szCs w:val="28"/>
        </w:rPr>
        <w:t xml:space="preserve"> Core</w:t>
      </w:r>
    </w:p>
    <w:p w14:paraId="6AA32D7B" w14:textId="159E598D" w:rsidR="005701B4" w:rsidRPr="006C0F16" w:rsidRDefault="005701B4" w:rsidP="00CF5DFC">
      <w:pPr>
        <w:pStyle w:val="GLSBody"/>
        <w:spacing w:after="200"/>
      </w:pPr>
      <w:r w:rsidRPr="00160AFC">
        <w:t xml:space="preserve">The </w:t>
      </w:r>
      <w:r>
        <w:t>core study</w:t>
      </w:r>
      <w:r w:rsidRPr="00160AFC">
        <w:t xml:space="preserve"> data collection activities help </w:t>
      </w:r>
      <w:r>
        <w:t>GLS grantees t</w:t>
      </w:r>
      <w:r w:rsidRPr="00160AFC">
        <w:t>rack aggregate training information</w:t>
      </w:r>
      <w:r>
        <w:t xml:space="preserve">, as well as participant post-training experiences, identifications, and referrals. </w:t>
      </w:r>
      <w:r w:rsidRPr="00160AFC">
        <w:t xml:space="preserve">These data are also used </w:t>
      </w:r>
      <w:r>
        <w:t xml:space="preserve">by grantees </w:t>
      </w:r>
      <w:r w:rsidRPr="00160AFC">
        <w:t>on a local level to respond to SAMHSA program-level indicators</w:t>
      </w:r>
      <w:r w:rsidR="006C0F16">
        <w:t xml:space="preserve"> (through the Common </w:t>
      </w:r>
      <w:r w:rsidR="006C0F16" w:rsidRPr="00016F35">
        <w:t>Data Platform</w:t>
      </w:r>
      <w:r w:rsidR="006C0F16" w:rsidRPr="006C0F16">
        <w:t xml:space="preserve">). </w:t>
      </w:r>
    </w:p>
    <w:p w14:paraId="1114B768" w14:textId="77777777" w:rsidR="005701B4" w:rsidRPr="00160AFC" w:rsidRDefault="005701B4" w:rsidP="00CF5DFC">
      <w:pPr>
        <w:pStyle w:val="GLSBody"/>
        <w:spacing w:after="200"/>
      </w:pPr>
      <w:r w:rsidRPr="00160AFC">
        <w:t xml:space="preserve">All </w:t>
      </w:r>
      <w:r>
        <w:t>State/Tribal and Campus grantee programs</w:t>
      </w:r>
      <w:r w:rsidRPr="00160AFC">
        <w:t xml:space="preserve"> implementing suicide prevention training w</w:t>
      </w:r>
      <w:r>
        <w:t>ill contribute data to the core</w:t>
      </w:r>
      <w:r w:rsidRPr="00160AFC">
        <w:t xml:space="preserve"> </w:t>
      </w:r>
      <w:r w:rsidRPr="002F31A4">
        <w:t>study by tracking</w:t>
      </w:r>
      <w:r>
        <w:t xml:space="preserve"> </w:t>
      </w:r>
      <w:r w:rsidRPr="00160AFC">
        <w:t xml:space="preserve">background information </w:t>
      </w:r>
      <w:r>
        <w:t xml:space="preserve">on implemented </w:t>
      </w:r>
      <w:r w:rsidRPr="00160AFC">
        <w:t>training</w:t>
      </w:r>
      <w:r>
        <w:t xml:space="preserve">s via the </w:t>
      </w:r>
      <w:r w:rsidRPr="002F31A4">
        <w:rPr>
          <w:b/>
        </w:rPr>
        <w:t>TASP</w:t>
      </w:r>
      <w:r>
        <w:t>.</w:t>
      </w:r>
      <w:r w:rsidRPr="00160AFC">
        <w:t xml:space="preserve"> All grantees</w:t>
      </w:r>
      <w:r>
        <w:t xml:space="preserve"> are required to complete the </w:t>
      </w:r>
      <w:r w:rsidRPr="002F31A4">
        <w:rPr>
          <w:b/>
        </w:rPr>
        <w:t>PSI</w:t>
      </w:r>
      <w:r>
        <w:rPr>
          <w:b/>
        </w:rPr>
        <w:t>,</w:t>
      </w:r>
      <w:r>
        <w:t xml:space="preserve"> which will track</w:t>
      </w:r>
      <w:r w:rsidRPr="00160AFC">
        <w:t xml:space="preserve"> training-related prevention strategies implemented as part of their program</w:t>
      </w:r>
      <w:r>
        <w:t>s</w:t>
      </w:r>
      <w:r w:rsidRPr="00160AFC">
        <w:t xml:space="preserve">, as well as the training-related expenditures. The core </w:t>
      </w:r>
      <w:r>
        <w:t>study</w:t>
      </w:r>
      <w:r w:rsidRPr="00160AFC">
        <w:t xml:space="preserve"> </w:t>
      </w:r>
      <w:r>
        <w:t xml:space="preserve">also </w:t>
      </w:r>
      <w:r w:rsidRPr="00160AFC">
        <w:t xml:space="preserve">will recruit and follow a random sample of </w:t>
      </w:r>
      <w:r>
        <w:t>trainees</w:t>
      </w:r>
      <w:r w:rsidRPr="00160AFC">
        <w:t xml:space="preserve"> </w:t>
      </w:r>
      <w:r>
        <w:t>from all grantees</w:t>
      </w:r>
      <w:r w:rsidRPr="00160AFC">
        <w:t xml:space="preserve">. </w:t>
      </w:r>
      <w:r>
        <w:t xml:space="preserve">Participants who agree to be contacted for a follow-up survey will answer brief questions about their experience identifying and referring youth at risk prior to participant. The </w:t>
      </w:r>
      <w:r w:rsidRPr="002F31A4">
        <w:rPr>
          <w:b/>
        </w:rPr>
        <w:t>TUP-S</w:t>
      </w:r>
      <w:r>
        <w:t xml:space="preserve"> follow-up survey will then assess training participant </w:t>
      </w:r>
      <w:r w:rsidRPr="00160AFC">
        <w:t>knowledge, awareness</w:t>
      </w:r>
      <w:r>
        <w:t>,</w:t>
      </w:r>
      <w:r w:rsidRPr="00160AFC">
        <w:t xml:space="preserve"> and identificat</w:t>
      </w:r>
      <w:r>
        <w:t xml:space="preserve">ion and referral behavior patterns at two points in time, specifically </w:t>
      </w:r>
      <w:r w:rsidRPr="00160AFC">
        <w:t>3 and 6</w:t>
      </w:r>
      <w:r>
        <w:t xml:space="preserve"> </w:t>
      </w:r>
      <w:r w:rsidRPr="00160AFC">
        <w:t>month</w:t>
      </w:r>
      <w:r>
        <w:t>s after the training.</w:t>
      </w:r>
      <w:r w:rsidRPr="00160AFC">
        <w:t xml:space="preserve"> </w:t>
      </w:r>
    </w:p>
    <w:p w14:paraId="62CCBD96" w14:textId="77777777" w:rsidR="005701B4" w:rsidRPr="00160AFC" w:rsidRDefault="005701B4" w:rsidP="00CB1EDA">
      <w:pPr>
        <w:pStyle w:val="GLSBody"/>
        <w:spacing w:after="200"/>
      </w:pPr>
      <w:r>
        <w:t xml:space="preserve">All State/Tribal grantees are required to participate in the </w:t>
      </w:r>
      <w:r w:rsidRPr="002F31A4">
        <w:rPr>
          <w:b/>
        </w:rPr>
        <w:t>EIRF-I</w:t>
      </w:r>
      <w:r>
        <w:t xml:space="preserve">, which will </w:t>
      </w:r>
      <w:r w:rsidRPr="00160AFC">
        <w:t>provide additional context for the self-report data shared by trainees</w:t>
      </w:r>
      <w:r>
        <w:t>. In addition, EIRF data will be used to</w:t>
      </w:r>
      <w:r w:rsidRPr="00160AFC">
        <w:t xml:space="preserve"> measure the broader impact of training on the trainee communities (e.g., community based organization</w:t>
      </w:r>
      <w:r>
        <w:t>s and</w:t>
      </w:r>
      <w:r w:rsidRPr="00160AFC">
        <w:t xml:space="preserve"> school, child welfare, or</w:t>
      </w:r>
      <w:r>
        <w:t>/or</w:t>
      </w:r>
      <w:r w:rsidRPr="00160AFC">
        <w:t xml:space="preserve"> juvenile justice agenc</w:t>
      </w:r>
      <w:r>
        <w:t>ies</w:t>
      </w:r>
      <w:r w:rsidRPr="00160AFC">
        <w:t xml:space="preserve">). </w:t>
      </w:r>
      <w:r>
        <w:t xml:space="preserve">For this aspect, information from the </w:t>
      </w:r>
      <w:r w:rsidRPr="00160AFC">
        <w:t xml:space="preserve">TASP (e.g., percentage trained within same setting) </w:t>
      </w:r>
      <w:r>
        <w:t>w</w:t>
      </w:r>
      <w:r w:rsidRPr="00160AFC">
        <w:t>ill be reviewed to understand more about</w:t>
      </w:r>
      <w:r>
        <w:t xml:space="preserve"> the</w:t>
      </w:r>
      <w:r w:rsidRPr="00160AFC">
        <w:t xml:space="preserve"> contextual effects of training and connecting training to a broader system or community effects. </w:t>
      </w:r>
    </w:p>
    <w:p w14:paraId="63921528" w14:textId="2CC8059C" w:rsidR="005701B4" w:rsidRPr="00B5673F" w:rsidRDefault="00837BCE" w:rsidP="005701B4">
      <w:pPr>
        <w:pStyle w:val="GLSBody"/>
        <w:keepNext/>
        <w:spacing w:before="240" w:after="60"/>
        <w:rPr>
          <w:rFonts w:ascii="Tw Cen MT" w:hAnsi="Tw Cen MT" w:cs="Arial"/>
          <w:i/>
          <w:sz w:val="28"/>
          <w:szCs w:val="28"/>
        </w:rPr>
      </w:pPr>
      <w:r w:rsidRPr="00B5673F">
        <w:rPr>
          <w:rFonts w:ascii="Tw Cen MT" w:hAnsi="Tw Cen MT" w:cs="Arial"/>
          <w:i/>
          <w:sz w:val="28"/>
          <w:szCs w:val="28"/>
        </w:rPr>
        <w:t xml:space="preserve">Training Study </w:t>
      </w:r>
      <w:r w:rsidR="005701B4" w:rsidRPr="00B5673F">
        <w:rPr>
          <w:rFonts w:ascii="Tw Cen MT" w:hAnsi="Tw Cen MT" w:cs="Arial"/>
          <w:i/>
          <w:sz w:val="28"/>
          <w:szCs w:val="28"/>
        </w:rPr>
        <w:t>RCT</w:t>
      </w:r>
    </w:p>
    <w:p w14:paraId="76428E6C" w14:textId="77777777" w:rsidR="005701B4" w:rsidRDefault="005701B4" w:rsidP="00CF5DFC">
      <w:pPr>
        <w:pStyle w:val="GLSBody"/>
        <w:spacing w:after="200"/>
      </w:pPr>
      <w:r w:rsidRPr="005836E8">
        <w:t xml:space="preserve">The </w:t>
      </w:r>
      <w:r>
        <w:t xml:space="preserve">enhanced RCT study </w:t>
      </w:r>
      <w:r w:rsidRPr="005836E8">
        <w:t xml:space="preserve">will be implemented to understand how the use </w:t>
      </w:r>
      <w:r>
        <w:t>active training strategies</w:t>
      </w:r>
      <w:r w:rsidRPr="005836E8">
        <w:t xml:space="preserve"> and booster trainings affect </w:t>
      </w:r>
      <w:r>
        <w:t xml:space="preserve">training participant </w:t>
      </w:r>
      <w:r w:rsidRPr="005836E8">
        <w:t>knowledge, skills, and identification and referral behaviors over time.</w:t>
      </w:r>
      <w:r>
        <w:t xml:space="preserve"> </w:t>
      </w:r>
      <w:r w:rsidRPr="005836E8">
        <w:t xml:space="preserve">The RCT </w:t>
      </w:r>
      <w:r>
        <w:t>uses</w:t>
      </w:r>
      <w:r w:rsidRPr="005836E8">
        <w:t xml:space="preserve"> a factorial randomized</w:t>
      </w:r>
      <w:r w:rsidRPr="005836E8">
        <w:rPr>
          <w:rStyle w:val="CommentReference"/>
        </w:rPr>
        <w:t xml:space="preserve"> </w:t>
      </w:r>
      <w:r w:rsidRPr="005836E8">
        <w:t xml:space="preserve">controlled design (Montgomery, Peters, &amp; Little, 2003) </w:t>
      </w:r>
      <w:r>
        <w:t>to examine the impacts of</w:t>
      </w:r>
      <w:r w:rsidRPr="005836E8">
        <w:t xml:space="preserve"> four </w:t>
      </w:r>
      <w:r>
        <w:t xml:space="preserve">different </w:t>
      </w:r>
      <w:r w:rsidRPr="005836E8">
        <w:t xml:space="preserve">training interventions: </w:t>
      </w:r>
    </w:p>
    <w:p w14:paraId="725EBED7" w14:textId="77777777" w:rsidR="005701B4" w:rsidRDefault="005701B4" w:rsidP="00075FA6">
      <w:pPr>
        <w:pStyle w:val="GLSBody"/>
        <w:numPr>
          <w:ilvl w:val="0"/>
          <w:numId w:val="22"/>
        </w:numPr>
        <w:spacing w:after="60"/>
      </w:pPr>
      <w:r>
        <w:t>G</w:t>
      </w:r>
      <w:r w:rsidRPr="005836E8">
        <w:t>atekeeper training</w:t>
      </w:r>
    </w:p>
    <w:p w14:paraId="37CC36D1" w14:textId="77777777" w:rsidR="005701B4" w:rsidRDefault="005701B4" w:rsidP="00075FA6">
      <w:pPr>
        <w:pStyle w:val="GLSBody"/>
        <w:numPr>
          <w:ilvl w:val="0"/>
          <w:numId w:val="22"/>
        </w:numPr>
        <w:spacing w:after="60"/>
      </w:pPr>
      <w:r>
        <w:t>G</w:t>
      </w:r>
      <w:r w:rsidRPr="005836E8">
        <w:t>atek</w:t>
      </w:r>
      <w:r>
        <w:t>eeper training + role-play</w:t>
      </w:r>
    </w:p>
    <w:p w14:paraId="305FBB61" w14:textId="77777777" w:rsidR="005701B4" w:rsidRDefault="005701B4" w:rsidP="00075FA6">
      <w:pPr>
        <w:pStyle w:val="GLSBody"/>
        <w:numPr>
          <w:ilvl w:val="0"/>
          <w:numId w:val="22"/>
        </w:numPr>
        <w:spacing w:after="60"/>
      </w:pPr>
      <w:r>
        <w:t>G</w:t>
      </w:r>
      <w:r w:rsidRPr="005836E8">
        <w:t>atekeeper training + booster</w:t>
      </w:r>
      <w:r>
        <w:t xml:space="preserve"> </w:t>
      </w:r>
      <w:r w:rsidRPr="005836E8">
        <w:t xml:space="preserve"> </w:t>
      </w:r>
    </w:p>
    <w:p w14:paraId="63A44EB4" w14:textId="77777777" w:rsidR="005701B4" w:rsidRDefault="005701B4" w:rsidP="00CF5DFC">
      <w:pPr>
        <w:pStyle w:val="GLSBody"/>
        <w:numPr>
          <w:ilvl w:val="0"/>
          <w:numId w:val="22"/>
        </w:numPr>
        <w:spacing w:after="200"/>
      </w:pPr>
      <w:r>
        <w:t>G</w:t>
      </w:r>
      <w:r w:rsidRPr="005836E8">
        <w:t xml:space="preserve">atekeeper training + role-play + booster training. </w:t>
      </w:r>
    </w:p>
    <w:p w14:paraId="316C40C2" w14:textId="738613CB" w:rsidR="005701B4" w:rsidRDefault="005701B4" w:rsidP="005701B4">
      <w:pPr>
        <w:pStyle w:val="GLSBody"/>
      </w:pPr>
      <w:r w:rsidRPr="005836E8">
        <w:t xml:space="preserve">A sample of </w:t>
      </w:r>
      <w:r>
        <w:t xml:space="preserve">10 </w:t>
      </w:r>
      <w:r w:rsidRPr="005836E8">
        <w:t>State</w:t>
      </w:r>
      <w:r>
        <w:t>/</w:t>
      </w:r>
      <w:r w:rsidRPr="005836E8">
        <w:t xml:space="preserve">Tribal grantees  will be recruited </w:t>
      </w:r>
      <w:r>
        <w:t xml:space="preserve">to </w:t>
      </w:r>
      <w:r w:rsidRPr="005836E8">
        <w:t xml:space="preserve">implement the </w:t>
      </w:r>
      <w:r>
        <w:t xml:space="preserve">four </w:t>
      </w:r>
      <w:r w:rsidRPr="005836E8">
        <w:t xml:space="preserve">training </w:t>
      </w:r>
      <w:r>
        <w:t xml:space="preserve">interventions and help </w:t>
      </w:r>
      <w:r w:rsidRPr="005836E8">
        <w:t>recruit training participants</w:t>
      </w:r>
      <w:r>
        <w:t xml:space="preserve"> locally for the RCT</w:t>
      </w:r>
      <w:r w:rsidRPr="005836E8">
        <w:t xml:space="preserve">. </w:t>
      </w:r>
      <w:r>
        <w:t xml:space="preserve">Participant grantees will implement </w:t>
      </w:r>
      <w:r w:rsidRPr="00160AFC">
        <w:t>gatekeeper training</w:t>
      </w:r>
      <w:r>
        <w:t>s</w:t>
      </w:r>
      <w:r w:rsidRPr="00160AFC">
        <w:t xml:space="preserve"> that </w:t>
      </w:r>
      <w:r>
        <w:t>are i</w:t>
      </w:r>
      <w:r w:rsidRPr="00160AFC">
        <w:t>ntended for adults over the age of 18</w:t>
      </w:r>
      <w:r>
        <w:t xml:space="preserve">; </w:t>
      </w:r>
      <w:r w:rsidRPr="00160AFC">
        <w:t>relatively brief (about 1 to 3 hours in duration)</w:t>
      </w:r>
      <w:r>
        <w:t>;</w:t>
      </w:r>
      <w:r w:rsidRPr="00160AFC">
        <w:t xml:space="preserve"> </w:t>
      </w:r>
      <w:r>
        <w:t>e</w:t>
      </w:r>
      <w:r w:rsidRPr="00160AFC">
        <w:t>mphasize the outcomes of interest for the study</w:t>
      </w:r>
      <w:r>
        <w:t>;</w:t>
      </w:r>
      <w:r w:rsidRPr="00160AFC">
        <w:t xml:space="preserve"> </w:t>
      </w:r>
      <w:r>
        <w:t>are i</w:t>
      </w:r>
      <w:r w:rsidRPr="00160AFC">
        <w:t>ntend</w:t>
      </w:r>
      <w:r>
        <w:t>ed</w:t>
      </w:r>
      <w:r w:rsidRPr="00160AFC">
        <w:t xml:space="preserve"> to share information about identification, assessment, and referr</w:t>
      </w:r>
      <w:r>
        <w:t>al of suicidal individuals; and emphasize</w:t>
      </w:r>
      <w:r w:rsidRPr="00160AFC">
        <w:t xml:space="preserve"> questioning individuals who may be at risk for suicide (QPR: </w:t>
      </w:r>
      <w:proofErr w:type="spellStart"/>
      <w:r w:rsidRPr="00160AFC">
        <w:t>Quinnett</w:t>
      </w:r>
      <w:proofErr w:type="spellEnd"/>
      <w:r w:rsidRPr="00160AFC">
        <w:t xml:space="preserve">, 1995). </w:t>
      </w:r>
      <w:r>
        <w:t xml:space="preserve">All </w:t>
      </w:r>
      <w:r w:rsidR="00DF0389">
        <w:t xml:space="preserve">RCT </w:t>
      </w:r>
      <w:r>
        <w:t xml:space="preserve">training participants who </w:t>
      </w:r>
      <w:r w:rsidRPr="00016F35">
        <w:t>consent to be contacted will be eligible</w:t>
      </w:r>
      <w:r>
        <w:t xml:space="preserve"> to participate in </w:t>
      </w:r>
      <w:r w:rsidRPr="00016F35">
        <w:t>the</w:t>
      </w:r>
      <w:r>
        <w:t xml:space="preserve"> study, specifically the</w:t>
      </w:r>
      <w:r w:rsidRPr="00016F35">
        <w:t xml:space="preserve"> TUP-S</w:t>
      </w:r>
      <w:r>
        <w:t xml:space="preserve"> RCT. The TUP-S RCT will be administered at four points in time: baseline (pre-training) and 3, 6, and 12 months after the training. Participants will receive a consent-to-contact form at registration for the training that asks brief questions about them and their history of identification and referrals. </w:t>
      </w:r>
      <w:r w:rsidR="00294127">
        <w:t>A total of 1,332 training participants</w:t>
      </w:r>
      <w:r w:rsidRPr="00016F35">
        <w:t xml:space="preserve"> will be recruited </w:t>
      </w:r>
      <w:r w:rsidR="00294127">
        <w:t>for</w:t>
      </w:r>
      <w:r w:rsidRPr="00016F35">
        <w:t xml:space="preserve"> the </w:t>
      </w:r>
      <w:r>
        <w:t>RCT</w:t>
      </w:r>
      <w:r w:rsidRPr="00016F35">
        <w:t xml:space="preserve">, with 333 participants </w:t>
      </w:r>
      <w:r w:rsidR="00294127">
        <w:t xml:space="preserve">randomly assigned to </w:t>
      </w:r>
      <w:r w:rsidRPr="00016F35">
        <w:t xml:space="preserve">each training </w:t>
      </w:r>
      <w:r w:rsidR="00294127">
        <w:t>intervention</w:t>
      </w:r>
      <w:r w:rsidRPr="00016F35">
        <w:t xml:space="preserve">. </w:t>
      </w:r>
    </w:p>
    <w:p w14:paraId="20FD2580" w14:textId="77777777" w:rsidR="005701B4" w:rsidRPr="00690DCF" w:rsidRDefault="005701B4" w:rsidP="0045340E">
      <w:pPr>
        <w:pStyle w:val="GLSBody"/>
        <w:spacing w:before="240" w:after="60"/>
        <w:rPr>
          <w:rFonts w:ascii="Tw Cen MT" w:hAnsi="Tw Cen MT" w:cs="Arial"/>
          <w:b/>
          <w:sz w:val="26"/>
          <w:szCs w:val="26"/>
          <w:u w:val="single"/>
        </w:rPr>
      </w:pPr>
      <w:r w:rsidRPr="00690DCF">
        <w:rPr>
          <w:rFonts w:ascii="Tw Cen MT" w:hAnsi="Tw Cen MT" w:cs="Arial"/>
          <w:b/>
          <w:sz w:val="26"/>
          <w:szCs w:val="26"/>
          <w:u w:val="single"/>
        </w:rPr>
        <w:t xml:space="preserve">Continuity of Care (COC) Study  </w:t>
      </w:r>
    </w:p>
    <w:p w14:paraId="2A945CDE" w14:textId="60AFBD35" w:rsidR="005701B4" w:rsidRPr="00160AFC" w:rsidRDefault="005701B4" w:rsidP="00CF5DFC">
      <w:pPr>
        <w:pStyle w:val="GLSBody"/>
        <w:spacing w:after="200"/>
      </w:pPr>
      <w:r w:rsidRPr="00160AFC">
        <w:t xml:space="preserve">The COC Study will be used to understand the process of identifications and referrals supported by the GLS Suicide Prevention Program, as well as what happens to </w:t>
      </w:r>
      <w:r w:rsidR="0092755E">
        <w:t>youth</w:t>
      </w:r>
      <w:r w:rsidRPr="00160AFC">
        <w:t xml:space="preserve">/students </w:t>
      </w:r>
      <w:proofErr w:type="gramStart"/>
      <w:r w:rsidRPr="00160AFC">
        <w:t>who</w:t>
      </w:r>
      <w:proofErr w:type="gramEnd"/>
      <w:r w:rsidRPr="00160AFC">
        <w:t xml:space="preserve"> are identified as a result of the program. The study will assess the early identification, referral, and follow-up practices of GLS grantees, as well as the results of these efforts. The study </w:t>
      </w:r>
      <w:r>
        <w:t>examines</w:t>
      </w:r>
      <w:r w:rsidRPr="00160AFC">
        <w:t xml:space="preserve"> the extent to which </w:t>
      </w:r>
      <w:r w:rsidR="0092755E" w:rsidRPr="00533C30">
        <w:t>youth</w:t>
      </w:r>
      <w:r w:rsidRPr="00533C30">
        <w:t xml:space="preserve">, identified as a result of the GLS Suicide Prevention Program, receive follow-up mental health services and other supports after their identification. A </w:t>
      </w:r>
      <w:r w:rsidR="006C0F16" w:rsidRPr="00533C30">
        <w:t xml:space="preserve">detailed </w:t>
      </w:r>
      <w:r w:rsidRPr="00533C30">
        <w:t xml:space="preserve">logic model for the COC is located in </w:t>
      </w:r>
      <w:r w:rsidR="009A3E74" w:rsidRPr="00533C30">
        <w:t>Attachment</w:t>
      </w:r>
      <w:r w:rsidRPr="00533C30">
        <w:t xml:space="preserve"> </w:t>
      </w:r>
      <w:r w:rsidR="00A860DF">
        <w:t>N</w:t>
      </w:r>
      <w:r>
        <w:t xml:space="preserve">. </w:t>
      </w:r>
    </w:p>
    <w:p w14:paraId="18BB816D" w14:textId="3CE218A7" w:rsidR="005701B4" w:rsidRDefault="005701B4" w:rsidP="00CF5DFC">
      <w:pPr>
        <w:pStyle w:val="GLSBody"/>
        <w:spacing w:after="200"/>
      </w:pPr>
      <w:r>
        <w:t xml:space="preserve">An integral component of GLS </w:t>
      </w:r>
      <w:r w:rsidRPr="00160AFC">
        <w:t xml:space="preserve">State/Tribal </w:t>
      </w:r>
      <w:r>
        <w:t xml:space="preserve">programs is building </w:t>
      </w:r>
      <w:r w:rsidRPr="00160AFC">
        <w:t xml:space="preserve">capacity and infrastructure to identify and refer at-risk </w:t>
      </w:r>
      <w:r w:rsidR="0092755E">
        <w:t>youth</w:t>
      </w:r>
      <w:r w:rsidRPr="00160AFC">
        <w:t xml:space="preserve"> </w:t>
      </w:r>
      <w:r>
        <w:t>through the implementation of</w:t>
      </w:r>
      <w:r w:rsidRPr="00160AFC">
        <w:t xml:space="preserve"> gatekeeper trainings and suicide risk screenings</w:t>
      </w:r>
      <w:r>
        <w:t>. A best practice f</w:t>
      </w:r>
      <w:r w:rsidRPr="00160AFC">
        <w:t xml:space="preserve">or both </w:t>
      </w:r>
      <w:r>
        <w:t>mechanisms</w:t>
      </w:r>
      <w:r w:rsidRPr="00160AFC">
        <w:t xml:space="preserve"> </w:t>
      </w:r>
      <w:r>
        <w:t xml:space="preserve">is </w:t>
      </w:r>
      <w:r w:rsidRPr="00016BB2">
        <w:t xml:space="preserve">that </w:t>
      </w:r>
      <w:r w:rsidRPr="003152DE">
        <w:t>a</w:t>
      </w:r>
      <w:r w:rsidRPr="00016BB2">
        <w:rPr>
          <w:color w:val="FF0000"/>
        </w:rPr>
        <w:t xml:space="preserve"> </w:t>
      </w:r>
      <w:r w:rsidRPr="00794553">
        <w:t xml:space="preserve">system be in </w:t>
      </w:r>
      <w:r w:rsidRPr="00160AFC">
        <w:t>place to monitor and ensure that follow-up services are received after referral.</w:t>
      </w:r>
      <w:r w:rsidRPr="00016BB2">
        <w:t xml:space="preserve"> </w:t>
      </w:r>
      <w:r>
        <w:t>A</w:t>
      </w:r>
      <w:r w:rsidRPr="00B22732">
        <w:t xml:space="preserve">dditional recommendations state that gatekeeper training must include post-identification </w:t>
      </w:r>
      <w:r w:rsidRPr="00794553">
        <w:t>protocols,</w:t>
      </w:r>
      <w:r w:rsidRPr="005E2358">
        <w:rPr>
          <w:color w:val="FF0000"/>
        </w:rPr>
        <w:t xml:space="preserve"> </w:t>
      </w:r>
      <w:r w:rsidRPr="00B22732">
        <w:t xml:space="preserve">community-specific suicide prevention resources, and supports that are available where the trainee works and/or lives—all of which demand that adequate supports/services are in fact, available to at-risk </w:t>
      </w:r>
      <w:r w:rsidR="0092755E">
        <w:t>youth</w:t>
      </w:r>
      <w:r w:rsidRPr="00B22732">
        <w:t>.</w:t>
      </w:r>
      <w:r w:rsidRPr="00016BB2">
        <w:t xml:space="preserve"> </w:t>
      </w:r>
      <w:r>
        <w:t>Recommendations for s</w:t>
      </w:r>
      <w:r w:rsidRPr="00B22732">
        <w:t xml:space="preserve">creening include </w:t>
      </w:r>
      <w:r>
        <w:t>developing</w:t>
      </w:r>
      <w:r w:rsidRPr="00B22732">
        <w:t xml:space="preserve"> </w:t>
      </w:r>
      <w:r>
        <w:t>r</w:t>
      </w:r>
      <w:r w:rsidRPr="00160AFC">
        <w:t xml:space="preserve">esponse protocols </w:t>
      </w:r>
      <w:r>
        <w:t>for</w:t>
      </w:r>
      <w:r w:rsidRPr="00160AFC">
        <w:t xml:space="preserve"> </w:t>
      </w:r>
      <w:r w:rsidR="0092755E">
        <w:t>youth</w:t>
      </w:r>
      <w:r w:rsidRPr="00160AFC">
        <w:t xml:space="preserve"> perceived at risk, including imminent risk, </w:t>
      </w:r>
      <w:r>
        <w:t>to</w:t>
      </w:r>
      <w:r w:rsidRPr="00160AFC">
        <w:t xml:space="preserve"> </w:t>
      </w:r>
      <w:r>
        <w:t xml:space="preserve">ensure the receipt of </w:t>
      </w:r>
      <w:r w:rsidRPr="00160AFC">
        <w:t>immediate guidance and referral</w:t>
      </w:r>
      <w:r>
        <w:t xml:space="preserve">—also demanding the availability of </w:t>
      </w:r>
      <w:r w:rsidRPr="00160AFC">
        <w:t>adequate services in the event that a</w:t>
      </w:r>
      <w:r>
        <w:t>n at-risk</w:t>
      </w:r>
      <w:r w:rsidRPr="00160AFC">
        <w:t xml:space="preserve"> youth is </w:t>
      </w:r>
      <w:r>
        <w:t>identified</w:t>
      </w:r>
      <w:r w:rsidRPr="00160AFC">
        <w:t xml:space="preserve">. Further recommendations strongly encourage a directory of </w:t>
      </w:r>
      <w:r>
        <w:t xml:space="preserve">available </w:t>
      </w:r>
      <w:r w:rsidRPr="00160AFC">
        <w:t xml:space="preserve">community resources </w:t>
      </w:r>
      <w:r>
        <w:t>for</w:t>
      </w:r>
      <w:r w:rsidRPr="00160AFC">
        <w:t xml:space="preserve"> behavioral health care </w:t>
      </w:r>
      <w:r>
        <w:t>that can be</w:t>
      </w:r>
      <w:r w:rsidRPr="00160AFC">
        <w:t xml:space="preserve"> used for referral after identification.</w:t>
      </w:r>
    </w:p>
    <w:p w14:paraId="6C60DEBA" w14:textId="7B9E56B9" w:rsidR="005701B4" w:rsidRDefault="005701B4" w:rsidP="00CF5DFC">
      <w:pPr>
        <w:pStyle w:val="GLSBody"/>
        <w:spacing w:after="200"/>
      </w:pPr>
      <w:r>
        <w:t xml:space="preserve">For Campus program grantees, developing the </w:t>
      </w:r>
      <w:r w:rsidRPr="00160AFC">
        <w:t xml:space="preserve">infrastructure to deliver effective mental health and substance abuse prevention, treatment, and recovery support </w:t>
      </w:r>
      <w:r>
        <w:t xml:space="preserve">services is critical—whether or not the campus itself provides </w:t>
      </w:r>
      <w:r w:rsidRPr="00160AFC">
        <w:t>comprehensive behavioral health services</w:t>
      </w:r>
      <w:r>
        <w:t xml:space="preserve">. Campuses not providing </w:t>
      </w:r>
      <w:r w:rsidRPr="00160AFC">
        <w:t>these</w:t>
      </w:r>
      <w:r>
        <w:t xml:space="preserve"> services must </w:t>
      </w:r>
      <w:r w:rsidRPr="00160AFC">
        <w:t>creat</w:t>
      </w:r>
      <w:r>
        <w:t>e a network infrastructure linking</w:t>
      </w:r>
      <w:r w:rsidRPr="00160AFC">
        <w:t xml:space="preserve"> the institution </w:t>
      </w:r>
      <w:r>
        <w:t>to</w:t>
      </w:r>
      <w:r w:rsidRPr="00160AFC">
        <w:t xml:space="preserve"> health care providers from the broader community</w:t>
      </w:r>
      <w:r>
        <w:t>, specifically providers</w:t>
      </w:r>
      <w:r w:rsidRPr="00160AFC">
        <w:t xml:space="preserve"> who can provide culturally and linguistically appropriate treatment and recovery support services. </w:t>
      </w:r>
      <w:r>
        <w:t>Campus grantees must also have</w:t>
      </w:r>
      <w:r w:rsidRPr="00160AFC">
        <w:t xml:space="preserve"> </w:t>
      </w:r>
      <w:r>
        <w:t>e</w:t>
      </w:r>
      <w:r w:rsidRPr="00160AFC">
        <w:t>ssential capacities in place</w:t>
      </w:r>
      <w:r>
        <w:t xml:space="preserve">—crisis </w:t>
      </w:r>
      <w:r w:rsidRPr="00160AFC">
        <w:t>response protocol</w:t>
      </w:r>
      <w:r>
        <w:t>s</w:t>
      </w:r>
      <w:r w:rsidRPr="00160AFC">
        <w:t>, information and referral to adequate on- and off-campus behavioral health services, and trained staff</w:t>
      </w:r>
      <w:r>
        <w:t xml:space="preserve">—before adding new efforts </w:t>
      </w:r>
      <w:r w:rsidRPr="00160AFC">
        <w:t>so that demand</w:t>
      </w:r>
      <w:r>
        <w:t xml:space="preserve"> for services</w:t>
      </w:r>
      <w:r w:rsidRPr="00160AFC">
        <w:t xml:space="preserve"> does not outpace capacity. </w:t>
      </w:r>
    </w:p>
    <w:p w14:paraId="5B4D853F" w14:textId="79B23DAA" w:rsidR="005701B4" w:rsidRPr="00160AFC" w:rsidRDefault="005701B4" w:rsidP="00CF5DFC">
      <w:pPr>
        <w:pStyle w:val="GLSBody"/>
        <w:spacing w:after="200"/>
      </w:pPr>
      <w:r>
        <w:t xml:space="preserve">Eight instruments will inform the COC Study in its aim to answer </w:t>
      </w:r>
      <w:r w:rsidR="006C0F16">
        <w:t>EQ-</w:t>
      </w:r>
      <w:r>
        <w:t xml:space="preserve">2 and </w:t>
      </w:r>
      <w:r w:rsidR="00294127">
        <w:t xml:space="preserve">7 </w:t>
      </w:r>
      <w:proofErr w:type="spellStart"/>
      <w:r>
        <w:t>subquestions</w:t>
      </w:r>
      <w:proofErr w:type="spellEnd"/>
      <w:r>
        <w:t xml:space="preserve">. Exhibit </w:t>
      </w:r>
      <w:r w:rsidR="00DD1247">
        <w:t>3</w:t>
      </w:r>
      <w:r w:rsidR="00D83862">
        <w:t xml:space="preserve"> </w:t>
      </w:r>
      <w:r>
        <w:t>presents an overview of study components, questions, and instruments.</w:t>
      </w:r>
    </w:p>
    <w:p w14:paraId="47FDAF82" w14:textId="7CEB26B6" w:rsidR="005701B4" w:rsidRPr="00525CAA" w:rsidRDefault="005701B4" w:rsidP="005701B4">
      <w:pPr>
        <w:pStyle w:val="GLSBody"/>
        <w:spacing w:after="120"/>
        <w:rPr>
          <w:rFonts w:ascii="Tw Cen MT" w:hAnsi="Tw Cen MT" w:cs="Arial"/>
          <w:b/>
        </w:rPr>
      </w:pPr>
      <w:proofErr w:type="gramStart"/>
      <w:r w:rsidRPr="00525CAA">
        <w:rPr>
          <w:rFonts w:ascii="Tw Cen MT" w:hAnsi="Tw Cen MT" w:cs="Arial"/>
          <w:b/>
        </w:rPr>
        <w:t xml:space="preserve">Exhibit </w:t>
      </w:r>
      <w:r w:rsidR="00DD1247">
        <w:rPr>
          <w:rFonts w:ascii="Tw Cen MT" w:hAnsi="Tw Cen MT" w:cs="Arial"/>
          <w:b/>
        </w:rPr>
        <w:t>3</w:t>
      </w:r>
      <w:r w:rsidRPr="00525CAA">
        <w:rPr>
          <w:rFonts w:ascii="Tw Cen MT" w:hAnsi="Tw Cen MT" w:cs="Arial"/>
          <w:b/>
        </w:rPr>
        <w:t>.</w:t>
      </w:r>
      <w:proofErr w:type="gramEnd"/>
      <w:r w:rsidRPr="00525CAA">
        <w:rPr>
          <w:rFonts w:ascii="Tw Cen MT" w:hAnsi="Tw Cen MT" w:cs="Arial"/>
          <w:b/>
        </w:rPr>
        <w:t xml:space="preserve"> COC Study </w:t>
      </w:r>
      <w:r w:rsidR="00BE674A">
        <w:rPr>
          <w:rFonts w:ascii="Tw Cen MT" w:hAnsi="Tw Cen MT" w:cs="Arial"/>
          <w:b/>
        </w:rPr>
        <w:t xml:space="preserve">Components, Questions, and </w:t>
      </w:r>
      <w:r w:rsidRPr="00525CAA">
        <w:rPr>
          <w:rFonts w:ascii="Tw Cen MT" w:hAnsi="Tw Cen MT" w:cs="Arial"/>
          <w:b/>
        </w:rPr>
        <w:t xml:space="preserve">Instruments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6925"/>
        <w:gridCol w:w="450"/>
        <w:gridCol w:w="540"/>
        <w:gridCol w:w="450"/>
        <w:gridCol w:w="450"/>
        <w:gridCol w:w="540"/>
      </w:tblGrid>
      <w:tr w:rsidR="00C81557" w:rsidRPr="00CF6DB0" w14:paraId="7B29D205" w14:textId="77777777" w:rsidTr="00443E33">
        <w:trPr>
          <w:cantSplit/>
          <w:trHeight w:val="872"/>
          <w:tblHeader/>
        </w:trPr>
        <w:tc>
          <w:tcPr>
            <w:tcW w:w="6925" w:type="dxa"/>
            <w:shd w:val="clear" w:color="auto" w:fill="404040" w:themeFill="text1" w:themeFillTint="BF"/>
            <w:vAlign w:val="center"/>
          </w:tcPr>
          <w:p w14:paraId="6A42DE19" w14:textId="681224B9" w:rsidR="00C81557" w:rsidRPr="00CF6DB0" w:rsidRDefault="00C81557" w:rsidP="000012F2">
            <w:pPr>
              <w:pStyle w:val="GLSTable1"/>
              <w:spacing w:before="0" w:after="0"/>
              <w:jc w:val="left"/>
              <w:rPr>
                <w:b w:val="0"/>
                <w:color w:val="FFFFFF" w:themeColor="background1"/>
                <w:sz w:val="22"/>
                <w:szCs w:val="22"/>
              </w:rPr>
            </w:pPr>
            <w:r w:rsidRPr="00CF6DB0">
              <w:rPr>
                <w:b w:val="0"/>
                <w:color w:val="FFFFFF" w:themeColor="background1"/>
                <w:sz w:val="22"/>
                <w:szCs w:val="22"/>
              </w:rPr>
              <w:t>EQ-2: Are GLS prevention activities effective in developing continuity of care from identification, to referral of youth at risk for suicide, to the provision of needed services?</w:t>
            </w:r>
          </w:p>
        </w:tc>
        <w:tc>
          <w:tcPr>
            <w:tcW w:w="450" w:type="dxa"/>
            <w:shd w:val="clear" w:color="auto" w:fill="404040" w:themeFill="text1" w:themeFillTint="BF"/>
            <w:textDirection w:val="btLr"/>
          </w:tcPr>
          <w:p w14:paraId="224F570D" w14:textId="77777777" w:rsidR="00C81557" w:rsidRPr="00CF6DB0" w:rsidRDefault="00C81557" w:rsidP="0050582E">
            <w:pPr>
              <w:pStyle w:val="GLSTable1"/>
              <w:spacing w:before="0" w:after="0"/>
              <w:ind w:left="113" w:right="113"/>
              <w:jc w:val="left"/>
              <w:rPr>
                <w:b w:val="0"/>
                <w:color w:val="FFFFFF" w:themeColor="background1"/>
                <w:sz w:val="22"/>
                <w:szCs w:val="22"/>
              </w:rPr>
            </w:pPr>
            <w:r w:rsidRPr="00CF6DB0">
              <w:rPr>
                <w:b w:val="0"/>
                <w:color w:val="FFFFFF" w:themeColor="background1"/>
                <w:sz w:val="22"/>
                <w:szCs w:val="22"/>
              </w:rPr>
              <w:t>PSI</w:t>
            </w:r>
          </w:p>
        </w:tc>
        <w:tc>
          <w:tcPr>
            <w:tcW w:w="540" w:type="dxa"/>
            <w:shd w:val="clear" w:color="auto" w:fill="404040" w:themeFill="text1" w:themeFillTint="BF"/>
            <w:textDirection w:val="btLr"/>
          </w:tcPr>
          <w:p w14:paraId="58CB4BC3" w14:textId="77777777" w:rsidR="00C81557" w:rsidRPr="00CF6DB0" w:rsidRDefault="00C81557" w:rsidP="0050582E">
            <w:pPr>
              <w:pStyle w:val="GLSTable1"/>
              <w:spacing w:before="0" w:after="0"/>
              <w:ind w:left="113" w:right="113"/>
              <w:jc w:val="left"/>
              <w:rPr>
                <w:b w:val="0"/>
                <w:color w:val="FFFFFF" w:themeColor="background1"/>
                <w:sz w:val="22"/>
                <w:szCs w:val="22"/>
              </w:rPr>
            </w:pPr>
            <w:r w:rsidRPr="00CF6DB0">
              <w:rPr>
                <w:b w:val="0"/>
                <w:color w:val="FFFFFF" w:themeColor="background1"/>
                <w:sz w:val="22"/>
                <w:szCs w:val="22"/>
              </w:rPr>
              <w:t>EIRF-I</w:t>
            </w:r>
          </w:p>
        </w:tc>
        <w:tc>
          <w:tcPr>
            <w:tcW w:w="450" w:type="dxa"/>
            <w:shd w:val="clear" w:color="auto" w:fill="404040" w:themeFill="text1" w:themeFillTint="BF"/>
            <w:textDirection w:val="btLr"/>
          </w:tcPr>
          <w:p w14:paraId="0A2660F8" w14:textId="77777777" w:rsidR="00C81557" w:rsidRPr="00CF6DB0" w:rsidRDefault="00C81557" w:rsidP="0050582E">
            <w:pPr>
              <w:pStyle w:val="GLSTable1"/>
              <w:spacing w:before="0" w:after="0"/>
              <w:ind w:left="113" w:right="113"/>
              <w:jc w:val="left"/>
              <w:rPr>
                <w:b w:val="0"/>
                <w:color w:val="FFFFFF" w:themeColor="background1"/>
                <w:sz w:val="22"/>
                <w:szCs w:val="22"/>
              </w:rPr>
            </w:pPr>
            <w:r w:rsidRPr="00CF6DB0">
              <w:rPr>
                <w:b w:val="0"/>
                <w:color w:val="FFFFFF" w:themeColor="background1"/>
                <w:sz w:val="22"/>
                <w:szCs w:val="22"/>
              </w:rPr>
              <w:t>EIRF-S</w:t>
            </w:r>
          </w:p>
        </w:tc>
        <w:tc>
          <w:tcPr>
            <w:tcW w:w="450" w:type="dxa"/>
            <w:shd w:val="clear" w:color="auto" w:fill="404040" w:themeFill="text1" w:themeFillTint="BF"/>
            <w:textDirection w:val="btLr"/>
          </w:tcPr>
          <w:p w14:paraId="4F268630" w14:textId="77777777" w:rsidR="00C81557" w:rsidRPr="00CF6DB0" w:rsidRDefault="00C81557" w:rsidP="0050582E">
            <w:pPr>
              <w:pStyle w:val="GLSTable1"/>
              <w:spacing w:before="0" w:after="0"/>
              <w:ind w:left="113" w:right="113"/>
              <w:jc w:val="left"/>
              <w:rPr>
                <w:b w:val="0"/>
                <w:color w:val="FFFFFF" w:themeColor="background1"/>
                <w:sz w:val="22"/>
                <w:szCs w:val="22"/>
              </w:rPr>
            </w:pPr>
            <w:r w:rsidRPr="00CF6DB0">
              <w:rPr>
                <w:b w:val="0"/>
                <w:color w:val="FFFFFF" w:themeColor="background1"/>
                <w:sz w:val="22"/>
                <w:szCs w:val="22"/>
              </w:rPr>
              <w:t>SBHF</w:t>
            </w:r>
          </w:p>
        </w:tc>
        <w:tc>
          <w:tcPr>
            <w:tcW w:w="540" w:type="dxa"/>
            <w:shd w:val="clear" w:color="auto" w:fill="404040" w:themeFill="text1" w:themeFillTint="BF"/>
            <w:textDirection w:val="btLr"/>
          </w:tcPr>
          <w:p w14:paraId="79687EE5" w14:textId="77777777" w:rsidR="00C81557" w:rsidRPr="00CF6DB0" w:rsidRDefault="00C81557" w:rsidP="0050582E">
            <w:pPr>
              <w:pStyle w:val="GLSTable1"/>
              <w:spacing w:before="0" w:after="0"/>
              <w:ind w:left="113" w:right="113"/>
              <w:jc w:val="left"/>
              <w:rPr>
                <w:b w:val="0"/>
                <w:color w:val="FFFFFF" w:themeColor="background1"/>
                <w:sz w:val="22"/>
                <w:szCs w:val="22"/>
              </w:rPr>
            </w:pPr>
            <w:r w:rsidRPr="00CF6DB0">
              <w:rPr>
                <w:b w:val="0"/>
                <w:color w:val="FFFFFF" w:themeColor="background1"/>
                <w:sz w:val="22"/>
                <w:szCs w:val="22"/>
              </w:rPr>
              <w:t>BHPS</w:t>
            </w:r>
          </w:p>
        </w:tc>
      </w:tr>
      <w:tr w:rsidR="00C81557" w:rsidRPr="00CF6DB0" w14:paraId="06153ABA" w14:textId="77777777" w:rsidTr="005F2F76">
        <w:trPr>
          <w:cantSplit/>
        </w:trPr>
        <w:tc>
          <w:tcPr>
            <w:tcW w:w="6925" w:type="dxa"/>
            <w:shd w:val="clear" w:color="auto" w:fill="auto"/>
          </w:tcPr>
          <w:p w14:paraId="77DB47B7" w14:textId="3700D4AD" w:rsidR="00C81557" w:rsidRPr="00CF6DB0" w:rsidRDefault="00C81557" w:rsidP="0050582E">
            <w:pPr>
              <w:pStyle w:val="GLSTableBullet1"/>
              <w:rPr>
                <w:sz w:val="22"/>
                <w:szCs w:val="22"/>
              </w:rPr>
            </w:pPr>
            <w:r w:rsidRPr="00CF6DB0">
              <w:rPr>
                <w:b/>
                <w:sz w:val="22"/>
                <w:szCs w:val="22"/>
              </w:rPr>
              <w:t>2.1:</w:t>
            </w:r>
            <w:r w:rsidRPr="00CF6DB0">
              <w:rPr>
                <w:sz w:val="22"/>
                <w:szCs w:val="22"/>
              </w:rPr>
              <w:t xml:space="preserve"> </w:t>
            </w:r>
            <w:r w:rsidRPr="00CF6DB0">
              <w:rPr>
                <w:color w:val="000000"/>
                <w:sz w:val="22"/>
                <w:szCs w:val="22"/>
              </w:rPr>
              <w:t xml:space="preserve">What </w:t>
            </w:r>
            <w:proofErr w:type="gramStart"/>
            <w:r w:rsidRPr="00CF6DB0">
              <w:rPr>
                <w:color w:val="000000"/>
                <w:sz w:val="22"/>
                <w:szCs w:val="22"/>
              </w:rPr>
              <w:t>proportion of youth identified by GLS grantees receive</w:t>
            </w:r>
            <w:proofErr w:type="gramEnd"/>
            <w:r w:rsidRPr="00CF6DB0">
              <w:rPr>
                <w:color w:val="000000"/>
                <w:sz w:val="22"/>
                <w:szCs w:val="22"/>
              </w:rPr>
              <w:t xml:space="preserve"> follow-up support?</w:t>
            </w:r>
          </w:p>
        </w:tc>
        <w:tc>
          <w:tcPr>
            <w:tcW w:w="450" w:type="dxa"/>
            <w:shd w:val="clear" w:color="auto" w:fill="auto"/>
          </w:tcPr>
          <w:p w14:paraId="325B3A88" w14:textId="77777777" w:rsidR="00C81557" w:rsidRPr="00CF6DB0" w:rsidRDefault="00C81557" w:rsidP="0050582E">
            <w:pPr>
              <w:pStyle w:val="GLSTableBullet1"/>
              <w:rPr>
                <w:sz w:val="22"/>
                <w:szCs w:val="22"/>
              </w:rPr>
            </w:pPr>
          </w:p>
        </w:tc>
        <w:tc>
          <w:tcPr>
            <w:tcW w:w="540" w:type="dxa"/>
          </w:tcPr>
          <w:p w14:paraId="70E14167" w14:textId="77777777" w:rsidR="00C81557" w:rsidRPr="00CF6DB0" w:rsidRDefault="00C81557" w:rsidP="0050582E">
            <w:pPr>
              <w:pStyle w:val="GLSTableBullet1"/>
              <w:rPr>
                <w:sz w:val="22"/>
                <w:szCs w:val="22"/>
              </w:rPr>
            </w:pPr>
            <w:r w:rsidRPr="00CF6DB0">
              <w:rPr>
                <w:sz w:val="22"/>
                <w:szCs w:val="22"/>
              </w:rPr>
              <w:t>x</w:t>
            </w:r>
          </w:p>
        </w:tc>
        <w:tc>
          <w:tcPr>
            <w:tcW w:w="450" w:type="dxa"/>
          </w:tcPr>
          <w:p w14:paraId="0C970FFF" w14:textId="77777777" w:rsidR="00C81557" w:rsidRPr="00CF6DB0" w:rsidRDefault="00C81557" w:rsidP="0050582E">
            <w:pPr>
              <w:pStyle w:val="GLSTableBullet1"/>
              <w:rPr>
                <w:sz w:val="22"/>
                <w:szCs w:val="22"/>
              </w:rPr>
            </w:pPr>
          </w:p>
        </w:tc>
        <w:tc>
          <w:tcPr>
            <w:tcW w:w="450" w:type="dxa"/>
          </w:tcPr>
          <w:p w14:paraId="24C075CC" w14:textId="77777777" w:rsidR="00C81557" w:rsidRPr="00CF6DB0" w:rsidRDefault="00C81557" w:rsidP="0050582E">
            <w:pPr>
              <w:pStyle w:val="GLSTableBullet1"/>
              <w:rPr>
                <w:sz w:val="22"/>
                <w:szCs w:val="22"/>
              </w:rPr>
            </w:pPr>
          </w:p>
        </w:tc>
        <w:tc>
          <w:tcPr>
            <w:tcW w:w="540" w:type="dxa"/>
          </w:tcPr>
          <w:p w14:paraId="235F711D" w14:textId="77777777" w:rsidR="00C81557" w:rsidRPr="00CF6DB0" w:rsidRDefault="00C81557" w:rsidP="0050582E">
            <w:pPr>
              <w:pStyle w:val="GLSTableBullet1"/>
              <w:rPr>
                <w:sz w:val="22"/>
                <w:szCs w:val="22"/>
              </w:rPr>
            </w:pPr>
          </w:p>
        </w:tc>
      </w:tr>
      <w:tr w:rsidR="00C81557" w:rsidRPr="00CF6DB0" w14:paraId="43278D73" w14:textId="77777777" w:rsidTr="005F2F76">
        <w:trPr>
          <w:cantSplit/>
        </w:trPr>
        <w:tc>
          <w:tcPr>
            <w:tcW w:w="6925" w:type="dxa"/>
            <w:shd w:val="clear" w:color="auto" w:fill="auto"/>
          </w:tcPr>
          <w:p w14:paraId="777AACFC" w14:textId="77777777" w:rsidR="00C81557" w:rsidRPr="00CF6DB0" w:rsidRDefault="00C81557" w:rsidP="0050582E">
            <w:pPr>
              <w:pStyle w:val="GLSTableBullet1"/>
              <w:rPr>
                <w:sz w:val="22"/>
                <w:szCs w:val="22"/>
              </w:rPr>
            </w:pPr>
            <w:r w:rsidRPr="00CF6DB0">
              <w:rPr>
                <w:b/>
                <w:color w:val="000000"/>
                <w:sz w:val="22"/>
                <w:szCs w:val="22"/>
              </w:rPr>
              <w:t>2.2:</w:t>
            </w:r>
            <w:r w:rsidRPr="00CF6DB0">
              <w:rPr>
                <w:color w:val="000000"/>
                <w:sz w:val="22"/>
                <w:szCs w:val="22"/>
              </w:rPr>
              <w:t xml:space="preserve"> Do youth characteristics predict follow-up support and adherence to follow-up care (e.g., gender, race-ethnicity) or setting of identification?</w:t>
            </w:r>
          </w:p>
        </w:tc>
        <w:tc>
          <w:tcPr>
            <w:tcW w:w="450" w:type="dxa"/>
            <w:shd w:val="clear" w:color="auto" w:fill="auto"/>
          </w:tcPr>
          <w:p w14:paraId="384B4153" w14:textId="77777777" w:rsidR="00C81557" w:rsidRPr="00CF6DB0" w:rsidRDefault="00C81557" w:rsidP="0050582E">
            <w:pPr>
              <w:pStyle w:val="GLSTableBullet1"/>
              <w:rPr>
                <w:sz w:val="22"/>
                <w:szCs w:val="22"/>
              </w:rPr>
            </w:pPr>
          </w:p>
        </w:tc>
        <w:tc>
          <w:tcPr>
            <w:tcW w:w="540" w:type="dxa"/>
          </w:tcPr>
          <w:p w14:paraId="3A15D7B5" w14:textId="77777777" w:rsidR="00C81557" w:rsidRPr="00CF6DB0" w:rsidRDefault="00C81557" w:rsidP="0050582E">
            <w:pPr>
              <w:pStyle w:val="GLSTableBullet1"/>
              <w:rPr>
                <w:sz w:val="22"/>
                <w:szCs w:val="22"/>
              </w:rPr>
            </w:pPr>
            <w:r w:rsidRPr="00CF6DB0">
              <w:rPr>
                <w:sz w:val="22"/>
                <w:szCs w:val="22"/>
              </w:rPr>
              <w:t>x</w:t>
            </w:r>
          </w:p>
        </w:tc>
        <w:tc>
          <w:tcPr>
            <w:tcW w:w="450" w:type="dxa"/>
          </w:tcPr>
          <w:p w14:paraId="73010A53" w14:textId="77777777" w:rsidR="00C81557" w:rsidRPr="00CF6DB0" w:rsidRDefault="00C81557" w:rsidP="0050582E">
            <w:pPr>
              <w:pStyle w:val="GLSTableBullet1"/>
              <w:rPr>
                <w:sz w:val="22"/>
                <w:szCs w:val="22"/>
              </w:rPr>
            </w:pPr>
          </w:p>
        </w:tc>
        <w:tc>
          <w:tcPr>
            <w:tcW w:w="450" w:type="dxa"/>
          </w:tcPr>
          <w:p w14:paraId="3F9B4546" w14:textId="77777777" w:rsidR="00C81557" w:rsidRPr="00CF6DB0" w:rsidRDefault="00C81557" w:rsidP="0050582E">
            <w:pPr>
              <w:pStyle w:val="GLSTableBullet1"/>
              <w:rPr>
                <w:sz w:val="22"/>
                <w:szCs w:val="22"/>
              </w:rPr>
            </w:pPr>
          </w:p>
        </w:tc>
        <w:tc>
          <w:tcPr>
            <w:tcW w:w="540" w:type="dxa"/>
          </w:tcPr>
          <w:p w14:paraId="74B26F20" w14:textId="77777777" w:rsidR="00C81557" w:rsidRPr="00CF6DB0" w:rsidRDefault="00C81557" w:rsidP="0050582E">
            <w:pPr>
              <w:pStyle w:val="GLSTableBullet1"/>
              <w:rPr>
                <w:sz w:val="22"/>
                <w:szCs w:val="22"/>
              </w:rPr>
            </w:pPr>
          </w:p>
        </w:tc>
      </w:tr>
      <w:tr w:rsidR="00C81557" w:rsidRPr="00CF6DB0" w14:paraId="181ACF3D" w14:textId="77777777" w:rsidTr="005F2F76">
        <w:trPr>
          <w:cantSplit/>
        </w:trPr>
        <w:tc>
          <w:tcPr>
            <w:tcW w:w="6925" w:type="dxa"/>
            <w:shd w:val="clear" w:color="auto" w:fill="auto"/>
          </w:tcPr>
          <w:p w14:paraId="5F6A3E21" w14:textId="77777777" w:rsidR="00C81557" w:rsidRPr="00CF6DB0" w:rsidRDefault="00C81557" w:rsidP="0050582E">
            <w:pPr>
              <w:pStyle w:val="GLSTableBullet1"/>
              <w:rPr>
                <w:b/>
                <w:sz w:val="22"/>
                <w:szCs w:val="22"/>
              </w:rPr>
            </w:pPr>
            <w:r w:rsidRPr="00CF6DB0">
              <w:rPr>
                <w:b/>
                <w:color w:val="000000"/>
                <w:sz w:val="22"/>
                <w:szCs w:val="22"/>
              </w:rPr>
              <w:t>2.3:</w:t>
            </w:r>
            <w:r w:rsidRPr="00CF6DB0">
              <w:rPr>
                <w:color w:val="000000"/>
                <w:sz w:val="22"/>
                <w:szCs w:val="22"/>
              </w:rPr>
              <w:t xml:space="preserve"> Does the proportion of follow-up care increase over the duration of GLS program activities?</w:t>
            </w:r>
          </w:p>
        </w:tc>
        <w:tc>
          <w:tcPr>
            <w:tcW w:w="450" w:type="dxa"/>
            <w:shd w:val="clear" w:color="auto" w:fill="auto"/>
          </w:tcPr>
          <w:p w14:paraId="09DE7187" w14:textId="77777777" w:rsidR="00C81557" w:rsidRPr="00CF6DB0" w:rsidRDefault="00C81557" w:rsidP="0050582E">
            <w:pPr>
              <w:pStyle w:val="GLSTableBullet1"/>
              <w:rPr>
                <w:sz w:val="22"/>
                <w:szCs w:val="22"/>
              </w:rPr>
            </w:pPr>
          </w:p>
        </w:tc>
        <w:tc>
          <w:tcPr>
            <w:tcW w:w="540" w:type="dxa"/>
          </w:tcPr>
          <w:p w14:paraId="35B5ECFC" w14:textId="77777777" w:rsidR="00C81557" w:rsidRPr="00CF6DB0" w:rsidRDefault="00C81557" w:rsidP="0050582E">
            <w:pPr>
              <w:pStyle w:val="GLSTableBullet1"/>
              <w:rPr>
                <w:sz w:val="22"/>
                <w:szCs w:val="22"/>
              </w:rPr>
            </w:pPr>
            <w:r w:rsidRPr="00CF6DB0">
              <w:rPr>
                <w:sz w:val="22"/>
                <w:szCs w:val="22"/>
              </w:rPr>
              <w:t>x</w:t>
            </w:r>
          </w:p>
        </w:tc>
        <w:tc>
          <w:tcPr>
            <w:tcW w:w="450" w:type="dxa"/>
          </w:tcPr>
          <w:p w14:paraId="1F514814" w14:textId="77777777" w:rsidR="00C81557" w:rsidRPr="00CF6DB0" w:rsidRDefault="00C81557" w:rsidP="0050582E">
            <w:pPr>
              <w:pStyle w:val="GLSTableBullet1"/>
              <w:rPr>
                <w:sz w:val="22"/>
                <w:szCs w:val="22"/>
              </w:rPr>
            </w:pPr>
          </w:p>
        </w:tc>
        <w:tc>
          <w:tcPr>
            <w:tcW w:w="450" w:type="dxa"/>
          </w:tcPr>
          <w:p w14:paraId="1A0545DD" w14:textId="77777777" w:rsidR="00C81557" w:rsidRPr="00CF6DB0" w:rsidRDefault="00C81557" w:rsidP="0050582E">
            <w:pPr>
              <w:pStyle w:val="GLSTableBullet1"/>
              <w:rPr>
                <w:sz w:val="22"/>
                <w:szCs w:val="22"/>
              </w:rPr>
            </w:pPr>
          </w:p>
        </w:tc>
        <w:tc>
          <w:tcPr>
            <w:tcW w:w="540" w:type="dxa"/>
          </w:tcPr>
          <w:p w14:paraId="1772C749" w14:textId="77777777" w:rsidR="00C81557" w:rsidRPr="00CF6DB0" w:rsidRDefault="00C81557" w:rsidP="0050582E">
            <w:pPr>
              <w:pStyle w:val="GLSTableBullet1"/>
              <w:rPr>
                <w:sz w:val="22"/>
                <w:szCs w:val="22"/>
              </w:rPr>
            </w:pPr>
          </w:p>
        </w:tc>
      </w:tr>
      <w:tr w:rsidR="00C81557" w:rsidRPr="00CF6DB0" w14:paraId="46C1FAC4" w14:textId="77777777" w:rsidTr="005F2F76">
        <w:trPr>
          <w:cantSplit/>
        </w:trPr>
        <w:tc>
          <w:tcPr>
            <w:tcW w:w="6925" w:type="dxa"/>
            <w:shd w:val="clear" w:color="auto" w:fill="auto"/>
          </w:tcPr>
          <w:p w14:paraId="578D064A" w14:textId="32558D67" w:rsidR="00C81557" w:rsidRPr="00CF6DB0" w:rsidRDefault="00C81557" w:rsidP="0050582E">
            <w:pPr>
              <w:pStyle w:val="GLSTableBullet1"/>
              <w:rPr>
                <w:b/>
                <w:sz w:val="22"/>
                <w:szCs w:val="22"/>
              </w:rPr>
            </w:pPr>
            <w:r w:rsidRPr="00CF6DB0">
              <w:rPr>
                <w:b/>
                <w:color w:val="000000"/>
                <w:sz w:val="22"/>
                <w:szCs w:val="22"/>
              </w:rPr>
              <w:t>2.4:</w:t>
            </w:r>
            <w:r w:rsidRPr="00CF6DB0">
              <w:rPr>
                <w:color w:val="000000"/>
                <w:sz w:val="22"/>
                <w:szCs w:val="22"/>
              </w:rPr>
              <w:t xml:space="preserve"> What are the practices and supports used by the grantees to ensure that identified youth receive referral </w:t>
            </w:r>
            <w:r w:rsidRPr="00CF6DB0">
              <w:rPr>
                <w:iCs/>
                <w:color w:val="000000"/>
                <w:sz w:val="22"/>
                <w:szCs w:val="22"/>
              </w:rPr>
              <w:t>and</w:t>
            </w:r>
            <w:r w:rsidRPr="00CF6DB0">
              <w:rPr>
                <w:i/>
                <w:iCs/>
                <w:color w:val="000000"/>
                <w:sz w:val="22"/>
                <w:szCs w:val="22"/>
              </w:rPr>
              <w:t xml:space="preserve"> </w:t>
            </w:r>
            <w:r w:rsidRPr="00CF6DB0">
              <w:rPr>
                <w:color w:val="000000"/>
                <w:sz w:val="22"/>
                <w:szCs w:val="22"/>
              </w:rPr>
              <w:t>follow-up?</w:t>
            </w:r>
          </w:p>
        </w:tc>
        <w:tc>
          <w:tcPr>
            <w:tcW w:w="450" w:type="dxa"/>
            <w:shd w:val="clear" w:color="auto" w:fill="auto"/>
          </w:tcPr>
          <w:p w14:paraId="58372863" w14:textId="77777777" w:rsidR="00C81557" w:rsidRPr="00CF6DB0" w:rsidRDefault="00C81557" w:rsidP="0050582E">
            <w:pPr>
              <w:pStyle w:val="GLSTableBullet1"/>
              <w:rPr>
                <w:sz w:val="22"/>
                <w:szCs w:val="22"/>
              </w:rPr>
            </w:pPr>
            <w:r w:rsidRPr="00CF6DB0">
              <w:rPr>
                <w:sz w:val="22"/>
                <w:szCs w:val="22"/>
              </w:rPr>
              <w:t>x</w:t>
            </w:r>
          </w:p>
        </w:tc>
        <w:tc>
          <w:tcPr>
            <w:tcW w:w="540" w:type="dxa"/>
          </w:tcPr>
          <w:p w14:paraId="57154032" w14:textId="77777777" w:rsidR="00C81557" w:rsidRPr="00CF6DB0" w:rsidRDefault="00C81557" w:rsidP="0050582E">
            <w:pPr>
              <w:pStyle w:val="GLSTableBullet1"/>
              <w:rPr>
                <w:sz w:val="22"/>
                <w:szCs w:val="22"/>
              </w:rPr>
            </w:pPr>
            <w:r w:rsidRPr="00CF6DB0">
              <w:rPr>
                <w:sz w:val="22"/>
                <w:szCs w:val="22"/>
              </w:rPr>
              <w:t>x</w:t>
            </w:r>
          </w:p>
        </w:tc>
        <w:tc>
          <w:tcPr>
            <w:tcW w:w="450" w:type="dxa"/>
          </w:tcPr>
          <w:p w14:paraId="654C9D05" w14:textId="77777777" w:rsidR="00C81557" w:rsidRPr="00CF6DB0" w:rsidRDefault="00C81557" w:rsidP="0050582E">
            <w:pPr>
              <w:pStyle w:val="GLSTableBullet1"/>
              <w:rPr>
                <w:sz w:val="22"/>
                <w:szCs w:val="22"/>
              </w:rPr>
            </w:pPr>
          </w:p>
        </w:tc>
        <w:tc>
          <w:tcPr>
            <w:tcW w:w="450" w:type="dxa"/>
          </w:tcPr>
          <w:p w14:paraId="355D5956" w14:textId="77777777" w:rsidR="00C81557" w:rsidRPr="00CF6DB0" w:rsidRDefault="00C81557" w:rsidP="0050582E">
            <w:pPr>
              <w:pStyle w:val="GLSTableBullet1"/>
              <w:rPr>
                <w:sz w:val="22"/>
                <w:szCs w:val="22"/>
              </w:rPr>
            </w:pPr>
          </w:p>
        </w:tc>
        <w:tc>
          <w:tcPr>
            <w:tcW w:w="540" w:type="dxa"/>
          </w:tcPr>
          <w:p w14:paraId="79BD2C3C" w14:textId="77777777" w:rsidR="00C81557" w:rsidRPr="00CF6DB0" w:rsidRDefault="00C81557" w:rsidP="0050582E">
            <w:pPr>
              <w:pStyle w:val="GLSTableBullet1"/>
              <w:rPr>
                <w:sz w:val="22"/>
                <w:szCs w:val="22"/>
              </w:rPr>
            </w:pPr>
            <w:r w:rsidRPr="00CF6DB0">
              <w:rPr>
                <w:sz w:val="22"/>
                <w:szCs w:val="22"/>
              </w:rPr>
              <w:t>x</w:t>
            </w:r>
          </w:p>
        </w:tc>
      </w:tr>
      <w:tr w:rsidR="00C81557" w:rsidRPr="00CF6DB0" w14:paraId="271F43E3" w14:textId="77777777" w:rsidTr="005F2F76">
        <w:trPr>
          <w:cantSplit/>
        </w:trPr>
        <w:tc>
          <w:tcPr>
            <w:tcW w:w="6925" w:type="dxa"/>
            <w:shd w:val="clear" w:color="auto" w:fill="auto"/>
          </w:tcPr>
          <w:p w14:paraId="1ABE1636" w14:textId="0780BAC6" w:rsidR="00C81557" w:rsidRPr="00CF6DB0" w:rsidRDefault="00C81557" w:rsidP="0050582E">
            <w:pPr>
              <w:pStyle w:val="GLSTableBullet1"/>
              <w:rPr>
                <w:b/>
                <w:sz w:val="22"/>
                <w:szCs w:val="22"/>
              </w:rPr>
            </w:pPr>
            <w:r w:rsidRPr="00CF6DB0">
              <w:rPr>
                <w:b/>
                <w:color w:val="000000"/>
                <w:sz w:val="22"/>
                <w:szCs w:val="22"/>
              </w:rPr>
              <w:t>2.5:</w:t>
            </w:r>
            <w:r w:rsidRPr="00CF6DB0">
              <w:rPr>
                <w:color w:val="000000"/>
                <w:sz w:val="22"/>
                <w:szCs w:val="22"/>
              </w:rPr>
              <w:t xml:space="preserve"> What are the gaps in support for youth identified as at risk for suicide?</w:t>
            </w:r>
          </w:p>
        </w:tc>
        <w:tc>
          <w:tcPr>
            <w:tcW w:w="450" w:type="dxa"/>
            <w:shd w:val="clear" w:color="auto" w:fill="auto"/>
          </w:tcPr>
          <w:p w14:paraId="0966C367" w14:textId="77777777" w:rsidR="00C81557" w:rsidRPr="00CF6DB0" w:rsidRDefault="00C81557" w:rsidP="0050582E">
            <w:pPr>
              <w:pStyle w:val="GLSTableBullet1"/>
              <w:rPr>
                <w:sz w:val="22"/>
                <w:szCs w:val="22"/>
              </w:rPr>
            </w:pPr>
          </w:p>
        </w:tc>
        <w:tc>
          <w:tcPr>
            <w:tcW w:w="540" w:type="dxa"/>
          </w:tcPr>
          <w:p w14:paraId="4662F938" w14:textId="77777777" w:rsidR="00C81557" w:rsidRPr="00CF6DB0" w:rsidRDefault="00C81557" w:rsidP="0050582E">
            <w:pPr>
              <w:pStyle w:val="GLSTableBullet1"/>
              <w:rPr>
                <w:sz w:val="22"/>
                <w:szCs w:val="22"/>
              </w:rPr>
            </w:pPr>
            <w:r w:rsidRPr="00CF6DB0">
              <w:rPr>
                <w:sz w:val="22"/>
                <w:szCs w:val="22"/>
              </w:rPr>
              <w:t>x</w:t>
            </w:r>
          </w:p>
        </w:tc>
        <w:tc>
          <w:tcPr>
            <w:tcW w:w="450" w:type="dxa"/>
          </w:tcPr>
          <w:p w14:paraId="5DFFB907" w14:textId="77777777" w:rsidR="00C81557" w:rsidRPr="00CF6DB0" w:rsidRDefault="00C81557" w:rsidP="0050582E">
            <w:pPr>
              <w:pStyle w:val="GLSTableBullet1"/>
              <w:rPr>
                <w:sz w:val="22"/>
                <w:szCs w:val="22"/>
              </w:rPr>
            </w:pPr>
          </w:p>
        </w:tc>
        <w:tc>
          <w:tcPr>
            <w:tcW w:w="450" w:type="dxa"/>
          </w:tcPr>
          <w:p w14:paraId="1F673340" w14:textId="77777777" w:rsidR="00C81557" w:rsidRPr="00CF6DB0" w:rsidRDefault="00C81557" w:rsidP="0050582E">
            <w:pPr>
              <w:pStyle w:val="GLSTableBullet1"/>
              <w:rPr>
                <w:sz w:val="22"/>
                <w:szCs w:val="22"/>
              </w:rPr>
            </w:pPr>
          </w:p>
        </w:tc>
        <w:tc>
          <w:tcPr>
            <w:tcW w:w="540" w:type="dxa"/>
          </w:tcPr>
          <w:p w14:paraId="298F1FDA" w14:textId="77777777" w:rsidR="00C81557" w:rsidRPr="00CF6DB0" w:rsidRDefault="00C81557" w:rsidP="0050582E">
            <w:pPr>
              <w:pStyle w:val="GLSTableBullet1"/>
              <w:rPr>
                <w:sz w:val="22"/>
                <w:szCs w:val="22"/>
              </w:rPr>
            </w:pPr>
          </w:p>
        </w:tc>
      </w:tr>
      <w:tr w:rsidR="00C81557" w:rsidRPr="00CF6DB0" w14:paraId="4844A169" w14:textId="77777777" w:rsidTr="005F2F76">
        <w:trPr>
          <w:cantSplit/>
        </w:trPr>
        <w:tc>
          <w:tcPr>
            <w:tcW w:w="6925" w:type="dxa"/>
            <w:shd w:val="clear" w:color="auto" w:fill="auto"/>
          </w:tcPr>
          <w:p w14:paraId="757C1156" w14:textId="784C6573" w:rsidR="00C81557" w:rsidRPr="00CF6DB0" w:rsidRDefault="00C81557" w:rsidP="0050582E">
            <w:pPr>
              <w:pStyle w:val="GLSTableBullet1"/>
              <w:rPr>
                <w:b/>
                <w:sz w:val="22"/>
                <w:szCs w:val="22"/>
              </w:rPr>
            </w:pPr>
            <w:r w:rsidRPr="00CF6DB0">
              <w:rPr>
                <w:b/>
                <w:color w:val="000000"/>
                <w:sz w:val="22"/>
                <w:szCs w:val="22"/>
              </w:rPr>
              <w:t>2.6:</w:t>
            </w:r>
            <w:r w:rsidRPr="00CF6DB0">
              <w:rPr>
                <w:color w:val="000000"/>
                <w:sz w:val="22"/>
                <w:szCs w:val="22"/>
              </w:rPr>
              <w:t xml:space="preserve"> What are the patterns of identification, referral, and follow-up for youth identified as at risk for suicide?</w:t>
            </w:r>
          </w:p>
        </w:tc>
        <w:tc>
          <w:tcPr>
            <w:tcW w:w="450" w:type="dxa"/>
            <w:shd w:val="clear" w:color="auto" w:fill="auto"/>
          </w:tcPr>
          <w:p w14:paraId="33B20116" w14:textId="77777777" w:rsidR="00C81557" w:rsidRPr="00CF6DB0" w:rsidRDefault="00C81557" w:rsidP="0050582E">
            <w:pPr>
              <w:pStyle w:val="GLSTableBullet1"/>
              <w:rPr>
                <w:sz w:val="22"/>
                <w:szCs w:val="22"/>
              </w:rPr>
            </w:pPr>
          </w:p>
        </w:tc>
        <w:tc>
          <w:tcPr>
            <w:tcW w:w="540" w:type="dxa"/>
          </w:tcPr>
          <w:p w14:paraId="4EE071BF" w14:textId="77777777" w:rsidR="00C81557" w:rsidRPr="00CF6DB0" w:rsidRDefault="00C81557" w:rsidP="0050582E">
            <w:pPr>
              <w:pStyle w:val="GLSTableBullet1"/>
              <w:rPr>
                <w:sz w:val="22"/>
                <w:szCs w:val="22"/>
              </w:rPr>
            </w:pPr>
            <w:r w:rsidRPr="00CF6DB0">
              <w:rPr>
                <w:sz w:val="22"/>
                <w:szCs w:val="22"/>
              </w:rPr>
              <w:t>x</w:t>
            </w:r>
          </w:p>
        </w:tc>
        <w:tc>
          <w:tcPr>
            <w:tcW w:w="450" w:type="dxa"/>
          </w:tcPr>
          <w:p w14:paraId="1378948A" w14:textId="77777777" w:rsidR="00C81557" w:rsidRPr="00CF6DB0" w:rsidRDefault="00C81557" w:rsidP="0050582E">
            <w:pPr>
              <w:pStyle w:val="GLSTableBullet1"/>
              <w:rPr>
                <w:sz w:val="22"/>
                <w:szCs w:val="22"/>
              </w:rPr>
            </w:pPr>
            <w:r w:rsidRPr="00CF6DB0">
              <w:rPr>
                <w:sz w:val="22"/>
                <w:szCs w:val="22"/>
              </w:rPr>
              <w:t>x</w:t>
            </w:r>
          </w:p>
        </w:tc>
        <w:tc>
          <w:tcPr>
            <w:tcW w:w="450" w:type="dxa"/>
          </w:tcPr>
          <w:p w14:paraId="285DC388" w14:textId="77777777" w:rsidR="00C81557" w:rsidRPr="00CF6DB0" w:rsidRDefault="00C81557" w:rsidP="0050582E">
            <w:pPr>
              <w:pStyle w:val="GLSTableBullet1"/>
              <w:rPr>
                <w:sz w:val="22"/>
                <w:szCs w:val="22"/>
              </w:rPr>
            </w:pPr>
            <w:r w:rsidRPr="00CF6DB0">
              <w:rPr>
                <w:sz w:val="22"/>
                <w:szCs w:val="22"/>
              </w:rPr>
              <w:t>x</w:t>
            </w:r>
          </w:p>
        </w:tc>
        <w:tc>
          <w:tcPr>
            <w:tcW w:w="540" w:type="dxa"/>
          </w:tcPr>
          <w:p w14:paraId="49FBE987" w14:textId="77777777" w:rsidR="00C81557" w:rsidRPr="00CF6DB0" w:rsidRDefault="00C81557" w:rsidP="0050582E">
            <w:pPr>
              <w:pStyle w:val="GLSTableBullet1"/>
              <w:rPr>
                <w:sz w:val="22"/>
                <w:szCs w:val="22"/>
              </w:rPr>
            </w:pPr>
          </w:p>
        </w:tc>
      </w:tr>
      <w:tr w:rsidR="00C81557" w:rsidRPr="00CF6DB0" w14:paraId="58687969" w14:textId="77777777" w:rsidTr="00CF6DB0">
        <w:trPr>
          <w:cantSplit/>
          <w:trHeight w:val="368"/>
        </w:trPr>
        <w:tc>
          <w:tcPr>
            <w:tcW w:w="6925" w:type="dxa"/>
            <w:shd w:val="clear" w:color="auto" w:fill="auto"/>
          </w:tcPr>
          <w:p w14:paraId="0BF11A7B" w14:textId="24CA49F8" w:rsidR="00C81557" w:rsidRPr="00CF6DB0" w:rsidRDefault="00C81557" w:rsidP="0050582E">
            <w:pPr>
              <w:pStyle w:val="GLSTableBullet1"/>
              <w:rPr>
                <w:b/>
                <w:sz w:val="22"/>
                <w:szCs w:val="22"/>
              </w:rPr>
            </w:pPr>
            <w:r w:rsidRPr="00CF6DB0">
              <w:rPr>
                <w:b/>
                <w:color w:val="000000"/>
                <w:sz w:val="22"/>
                <w:szCs w:val="22"/>
              </w:rPr>
              <w:t>2.7:</w:t>
            </w:r>
            <w:r w:rsidRPr="00CF6DB0">
              <w:rPr>
                <w:color w:val="000000"/>
                <w:sz w:val="22"/>
                <w:szCs w:val="22"/>
              </w:rPr>
              <w:t xml:space="preserve"> What are the follow-up services received by at-risk youth?</w:t>
            </w:r>
          </w:p>
        </w:tc>
        <w:tc>
          <w:tcPr>
            <w:tcW w:w="450" w:type="dxa"/>
            <w:shd w:val="clear" w:color="auto" w:fill="auto"/>
          </w:tcPr>
          <w:p w14:paraId="3B919249" w14:textId="77777777" w:rsidR="00C81557" w:rsidRPr="00CF6DB0" w:rsidRDefault="00C81557" w:rsidP="0050582E">
            <w:pPr>
              <w:pStyle w:val="GLSTableBullet1"/>
              <w:rPr>
                <w:sz w:val="22"/>
                <w:szCs w:val="22"/>
              </w:rPr>
            </w:pPr>
          </w:p>
        </w:tc>
        <w:tc>
          <w:tcPr>
            <w:tcW w:w="540" w:type="dxa"/>
          </w:tcPr>
          <w:p w14:paraId="5AA5DDCC" w14:textId="77777777" w:rsidR="00C81557" w:rsidRPr="00CF6DB0" w:rsidRDefault="00C81557" w:rsidP="0050582E">
            <w:pPr>
              <w:pStyle w:val="GLSTableBullet1"/>
              <w:rPr>
                <w:sz w:val="22"/>
                <w:szCs w:val="22"/>
              </w:rPr>
            </w:pPr>
            <w:r w:rsidRPr="00CF6DB0">
              <w:rPr>
                <w:sz w:val="22"/>
                <w:szCs w:val="22"/>
              </w:rPr>
              <w:t>x</w:t>
            </w:r>
          </w:p>
        </w:tc>
        <w:tc>
          <w:tcPr>
            <w:tcW w:w="450" w:type="dxa"/>
          </w:tcPr>
          <w:p w14:paraId="283ACECD" w14:textId="77777777" w:rsidR="00C81557" w:rsidRPr="00CF6DB0" w:rsidRDefault="00C81557" w:rsidP="0050582E">
            <w:pPr>
              <w:pStyle w:val="GLSTableBullet1"/>
              <w:rPr>
                <w:sz w:val="22"/>
                <w:szCs w:val="22"/>
              </w:rPr>
            </w:pPr>
          </w:p>
        </w:tc>
        <w:tc>
          <w:tcPr>
            <w:tcW w:w="450" w:type="dxa"/>
          </w:tcPr>
          <w:p w14:paraId="20B5BAF3" w14:textId="77777777" w:rsidR="00C81557" w:rsidRPr="00CF6DB0" w:rsidRDefault="00C81557" w:rsidP="0050582E">
            <w:pPr>
              <w:pStyle w:val="GLSTableBullet1"/>
              <w:rPr>
                <w:sz w:val="22"/>
                <w:szCs w:val="22"/>
              </w:rPr>
            </w:pPr>
            <w:r w:rsidRPr="00CF6DB0">
              <w:rPr>
                <w:sz w:val="22"/>
                <w:szCs w:val="22"/>
              </w:rPr>
              <w:t>x</w:t>
            </w:r>
          </w:p>
        </w:tc>
        <w:tc>
          <w:tcPr>
            <w:tcW w:w="540" w:type="dxa"/>
          </w:tcPr>
          <w:p w14:paraId="65B7CC21" w14:textId="77777777" w:rsidR="00C81557" w:rsidRPr="00CF6DB0" w:rsidRDefault="00C81557" w:rsidP="0050582E">
            <w:pPr>
              <w:pStyle w:val="GLSTableBullet1"/>
              <w:rPr>
                <w:sz w:val="22"/>
                <w:szCs w:val="22"/>
              </w:rPr>
            </w:pPr>
          </w:p>
        </w:tc>
      </w:tr>
    </w:tbl>
    <w:p w14:paraId="4B373EE4" w14:textId="21749B27" w:rsidR="001E50ED" w:rsidRPr="00B5673F" w:rsidRDefault="00837BCE" w:rsidP="00443E33">
      <w:pPr>
        <w:pStyle w:val="GLSBody"/>
        <w:keepNext/>
        <w:spacing w:before="120" w:after="60"/>
        <w:rPr>
          <w:rFonts w:ascii="Tw Cen MT" w:hAnsi="Tw Cen MT" w:cs="Arial"/>
          <w:i/>
          <w:sz w:val="28"/>
          <w:szCs w:val="28"/>
        </w:rPr>
      </w:pPr>
      <w:r w:rsidRPr="00B5673F">
        <w:rPr>
          <w:rFonts w:ascii="Tw Cen MT" w:hAnsi="Tw Cen MT" w:cs="Arial"/>
          <w:i/>
          <w:sz w:val="28"/>
          <w:szCs w:val="28"/>
        </w:rPr>
        <w:t xml:space="preserve">COC </w:t>
      </w:r>
      <w:r w:rsidR="005701B4" w:rsidRPr="00B5673F">
        <w:rPr>
          <w:rFonts w:ascii="Tw Cen MT" w:hAnsi="Tw Cen MT" w:cs="Arial"/>
          <w:i/>
          <w:sz w:val="28"/>
          <w:szCs w:val="28"/>
        </w:rPr>
        <w:t>Study</w:t>
      </w:r>
      <w:r w:rsidR="006F36B9" w:rsidRPr="00B5673F">
        <w:rPr>
          <w:rFonts w:ascii="Tw Cen MT" w:hAnsi="Tw Cen MT" w:cs="Arial"/>
          <w:i/>
          <w:sz w:val="28"/>
          <w:szCs w:val="28"/>
        </w:rPr>
        <w:t xml:space="preserve"> Core</w:t>
      </w:r>
      <w:r w:rsidR="005701B4" w:rsidRPr="00B5673F">
        <w:rPr>
          <w:rFonts w:ascii="Tw Cen MT" w:hAnsi="Tw Cen MT" w:cs="Arial"/>
          <w:i/>
          <w:sz w:val="28"/>
          <w:szCs w:val="28"/>
        </w:rPr>
        <w:t xml:space="preserve"> </w:t>
      </w:r>
    </w:p>
    <w:p w14:paraId="4E10273E" w14:textId="686F89EA" w:rsidR="005701B4" w:rsidRDefault="005701B4" w:rsidP="00CF5DFC">
      <w:pPr>
        <w:pStyle w:val="GLSBody"/>
        <w:spacing w:after="200"/>
      </w:pPr>
      <w:r w:rsidRPr="00265507">
        <w:t xml:space="preserve">The </w:t>
      </w:r>
      <w:r>
        <w:t>COC core comprises</w:t>
      </w:r>
      <w:r w:rsidRPr="00265507">
        <w:t xml:space="preserve"> primary and secondary data collection activities</w:t>
      </w:r>
      <w:r>
        <w:t>—</w:t>
      </w:r>
      <w:r w:rsidRPr="00265507">
        <w:t>surveys</w:t>
      </w:r>
      <w:r>
        <w:t xml:space="preserve">, </w:t>
      </w:r>
      <w:r w:rsidRPr="00265507">
        <w:t>inventories</w:t>
      </w:r>
      <w:r>
        <w:t>, and existing data abstractions</w:t>
      </w:r>
      <w:r w:rsidRPr="00265507">
        <w:t xml:space="preserve">—to document </w:t>
      </w:r>
      <w:r>
        <w:t xml:space="preserve">the </w:t>
      </w:r>
      <w:r w:rsidRPr="00265507">
        <w:t>GLS</w:t>
      </w:r>
      <w:r>
        <w:t>-sponsored</w:t>
      </w:r>
      <w:r w:rsidRPr="00265507">
        <w:t xml:space="preserve"> prevention activities that support and contribute to the early identification, referral, and follow-up of students and </w:t>
      </w:r>
      <w:r w:rsidR="0092755E">
        <w:t>youth</w:t>
      </w:r>
      <w:r w:rsidRPr="00265507">
        <w:t xml:space="preserve"> at risk for suicide</w:t>
      </w:r>
      <w:r>
        <w:t>.</w:t>
      </w:r>
      <w:r w:rsidRPr="00265507">
        <w:t xml:space="preserve"> All grantees will </w:t>
      </w:r>
      <w:r>
        <w:t>contribute data to the COC core;</w:t>
      </w:r>
      <w:r w:rsidRPr="00265507">
        <w:t xml:space="preserve"> however, some data collection activities apply only to Campus or State/Tribal grantees.</w:t>
      </w:r>
      <w:r>
        <w:t xml:space="preserve"> </w:t>
      </w:r>
    </w:p>
    <w:p w14:paraId="5CBE4C5D" w14:textId="7E22F0F8" w:rsidR="005701B4" w:rsidRPr="00160AFC" w:rsidRDefault="005701B4" w:rsidP="00CF5DFC">
      <w:pPr>
        <w:pStyle w:val="GLSBody"/>
        <w:spacing w:after="200"/>
      </w:pPr>
      <w:r>
        <w:t>State/Tribal and Campus grantees will contribute to the COC through the PSI and TUP-S. T</w:t>
      </w:r>
      <w:r w:rsidRPr="00160AFC">
        <w:t xml:space="preserve">he </w:t>
      </w:r>
      <w:r w:rsidRPr="00160AFC">
        <w:rPr>
          <w:b/>
        </w:rPr>
        <w:t xml:space="preserve">PSI </w:t>
      </w:r>
      <w:r>
        <w:t>gathers</w:t>
      </w:r>
      <w:r w:rsidRPr="00160AFC">
        <w:t xml:space="preserve"> the prevention strategies </w:t>
      </w:r>
      <w:r>
        <w:t>for the</w:t>
      </w:r>
      <w:r w:rsidRPr="00160AFC">
        <w:t xml:space="preserve"> early identification, referral, and follow-up of </w:t>
      </w:r>
      <w:r>
        <w:t xml:space="preserve">at-risk </w:t>
      </w:r>
      <w:r w:rsidR="0092755E">
        <w:t>youth</w:t>
      </w:r>
      <w:r w:rsidRPr="00160AFC">
        <w:t xml:space="preserve"> and students</w:t>
      </w:r>
      <w:r>
        <w:t xml:space="preserve">; </w:t>
      </w:r>
      <w:r w:rsidRPr="00160AFC">
        <w:t xml:space="preserve">how grantees track and monitor </w:t>
      </w:r>
      <w:r>
        <w:t xml:space="preserve">at-risk </w:t>
      </w:r>
      <w:r w:rsidR="0092755E">
        <w:t>youth</w:t>
      </w:r>
      <w:r w:rsidRPr="00160AFC">
        <w:t xml:space="preserve"> </w:t>
      </w:r>
      <w:r>
        <w:t xml:space="preserve">identified through </w:t>
      </w:r>
      <w:r w:rsidRPr="00160AFC">
        <w:t>screenings</w:t>
      </w:r>
      <w:r>
        <w:t>; and the</w:t>
      </w:r>
      <w:r w:rsidRPr="00160AFC">
        <w:t xml:space="preserve"> follow-up protocols for each screening activity (e.g., the protocols and tracking tools used to ensure that </w:t>
      </w:r>
      <w:r w:rsidR="0092755E">
        <w:t>youth</w:t>
      </w:r>
      <w:r w:rsidRPr="00160AFC">
        <w:t xml:space="preserve"> referred for services are followed up with and get to adequate mental health or other support referral sources).</w:t>
      </w:r>
      <w:r>
        <w:t xml:space="preserve"> </w:t>
      </w:r>
      <w:r w:rsidRPr="00E016F0">
        <w:rPr>
          <w:b/>
        </w:rPr>
        <w:t>TUP-S</w:t>
      </w:r>
      <w:r w:rsidRPr="00B77252">
        <w:t xml:space="preserve"> </w:t>
      </w:r>
      <w:r>
        <w:t xml:space="preserve">data </w:t>
      </w:r>
      <w:r w:rsidRPr="00B77252">
        <w:t xml:space="preserve">will provide context to the practices and protocols of trained gatekeepers to ensure that </w:t>
      </w:r>
      <w:r w:rsidR="0092755E">
        <w:t>youth</w:t>
      </w:r>
      <w:r w:rsidRPr="00B77252">
        <w:t xml:space="preserve"> receive follow-up services</w:t>
      </w:r>
      <w:r>
        <w:t>;</w:t>
      </w:r>
      <w:r w:rsidRPr="00B77252">
        <w:t xml:space="preserve"> </w:t>
      </w:r>
      <w:r w:rsidRPr="00160AFC">
        <w:t xml:space="preserve">what roles and responsibilities the trained gatekeeper has (or was trained in) relative to tracking or monitoring follow-up on any at-risk </w:t>
      </w:r>
      <w:r w:rsidR="0092755E">
        <w:t>youth</w:t>
      </w:r>
      <w:r w:rsidRPr="00160AFC">
        <w:t xml:space="preserve"> identified</w:t>
      </w:r>
      <w:r>
        <w:t xml:space="preserve">; and </w:t>
      </w:r>
      <w:r w:rsidRPr="00160AFC">
        <w:t xml:space="preserve">what they did to ensure access to mental health services (or other support services) after their identification of at-risk </w:t>
      </w:r>
      <w:r w:rsidR="0092755E">
        <w:t>youth</w:t>
      </w:r>
      <w:r w:rsidRPr="00160AFC">
        <w:t xml:space="preserve">. </w:t>
      </w:r>
    </w:p>
    <w:p w14:paraId="0B8479A2" w14:textId="7E1627EB" w:rsidR="005701B4" w:rsidRPr="00160AFC" w:rsidRDefault="005701B4" w:rsidP="00CF5DFC">
      <w:pPr>
        <w:pStyle w:val="GLSBody"/>
        <w:spacing w:after="200"/>
      </w:pPr>
      <w:r>
        <w:t>Separately, all State/Tribal grantees will complete the EIRF-I and EIRF-S t</w:t>
      </w:r>
      <w:r w:rsidRPr="00160AFC">
        <w:t xml:space="preserve">o understand </w:t>
      </w:r>
      <w:r>
        <w:t>the</w:t>
      </w:r>
      <w:r w:rsidRPr="00160AFC">
        <w:t xml:space="preserve"> practices and outcomes (receipt of follow-up services) associated with early identification and referral of </w:t>
      </w:r>
      <w:r w:rsidR="0092755E">
        <w:t>youth</w:t>
      </w:r>
      <w:r w:rsidRPr="00160AFC">
        <w:t xml:space="preserve">. The </w:t>
      </w:r>
      <w:r w:rsidRPr="00E016F0">
        <w:rPr>
          <w:b/>
        </w:rPr>
        <w:t>EIRF–I</w:t>
      </w:r>
      <w:r w:rsidRPr="00166A99">
        <w:t xml:space="preserve"> </w:t>
      </w:r>
      <w:r>
        <w:t>will g</w:t>
      </w:r>
      <w:r w:rsidRPr="00160AFC">
        <w:t xml:space="preserve">ather individual-level (de-identified) data on early identification, referral, and follow-up information for </w:t>
      </w:r>
      <w:r w:rsidR="0092755E">
        <w:t>youth</w:t>
      </w:r>
      <w:r w:rsidRPr="00160AFC">
        <w:t xml:space="preserve"> identified through the </w:t>
      </w:r>
      <w:r>
        <w:t>program</w:t>
      </w:r>
      <w:r w:rsidRPr="00160AFC">
        <w:t xml:space="preserve"> (i.e., through GLS-trained gatekeepers or through GLS-sponsored screenings)</w:t>
      </w:r>
      <w:r>
        <w:t>, while the</w:t>
      </w:r>
      <w:r w:rsidRPr="00166A99">
        <w:t xml:space="preserve"> </w:t>
      </w:r>
      <w:r w:rsidRPr="00C87992">
        <w:rPr>
          <w:b/>
        </w:rPr>
        <w:t>EIRF–S</w:t>
      </w:r>
      <w:r w:rsidRPr="00166A99">
        <w:t xml:space="preserve"> </w:t>
      </w:r>
      <w:r>
        <w:t>collects</w:t>
      </w:r>
      <w:r w:rsidRPr="00166A99">
        <w:t xml:space="preserve"> aggregate </w:t>
      </w:r>
      <w:r>
        <w:t xml:space="preserve">data </w:t>
      </w:r>
      <w:r w:rsidRPr="00166A99">
        <w:t xml:space="preserve">on the number of </w:t>
      </w:r>
      <w:r w:rsidR="0092755E">
        <w:t>youth</w:t>
      </w:r>
      <w:r w:rsidRPr="00166A99">
        <w:t xml:space="preserve"> screened for suicide risk</w:t>
      </w:r>
      <w:r>
        <w:t>,</w:t>
      </w:r>
      <w:r w:rsidRPr="00160AFC">
        <w:t xml:space="preserve"> the number screening positive, and the number confirmed to be at risk after initial positive screening. </w:t>
      </w:r>
    </w:p>
    <w:p w14:paraId="743AFA44" w14:textId="55D02495" w:rsidR="005701B4" w:rsidRDefault="005701B4" w:rsidP="001E50ED">
      <w:pPr>
        <w:pStyle w:val="GLSBody"/>
        <w:spacing w:after="200"/>
      </w:pPr>
      <w:r>
        <w:t xml:space="preserve">For all </w:t>
      </w:r>
      <w:r w:rsidRPr="00160AFC">
        <w:t xml:space="preserve">Campus </w:t>
      </w:r>
      <w:r>
        <w:t>p</w:t>
      </w:r>
      <w:r w:rsidRPr="00160AFC">
        <w:t>rogram</w:t>
      </w:r>
      <w:r>
        <w:t xml:space="preserve"> grantees, the annual </w:t>
      </w:r>
      <w:r w:rsidRPr="00C87992">
        <w:rPr>
          <w:b/>
        </w:rPr>
        <w:t>SBHF</w:t>
      </w:r>
      <w:r>
        <w:t xml:space="preserve"> data abstraction and submission will provide the </w:t>
      </w:r>
      <w:r w:rsidRPr="00160AFC">
        <w:t xml:space="preserve">number of </w:t>
      </w:r>
      <w:r>
        <w:t xml:space="preserve">students </w:t>
      </w:r>
      <w:r w:rsidR="00F168FB">
        <w:t>identified as being at risk, i</w:t>
      </w:r>
      <w:r>
        <w:t xml:space="preserve">ncluding </w:t>
      </w:r>
      <w:r w:rsidRPr="00160AFC">
        <w:t>students that self-present or are referred for campus counseling or psychological</w:t>
      </w:r>
      <w:r>
        <w:t xml:space="preserve"> </w:t>
      </w:r>
      <w:r w:rsidRPr="00160AFC">
        <w:t xml:space="preserve">services. </w:t>
      </w:r>
      <w:r>
        <w:t>Additional information will include aggregate data on GLS-sponsored s</w:t>
      </w:r>
      <w:r w:rsidRPr="00160AFC">
        <w:t>creenings, populations screened (universal or selective)</w:t>
      </w:r>
      <w:r>
        <w:t>, the</w:t>
      </w:r>
      <w:r w:rsidRPr="00160AFC">
        <w:t xml:space="preserve"> </w:t>
      </w:r>
      <w:r>
        <w:t xml:space="preserve">resulting </w:t>
      </w:r>
      <w:r w:rsidRPr="00160AFC">
        <w:t>number of</w:t>
      </w:r>
      <w:r>
        <w:t xml:space="preserve"> at-risk</w:t>
      </w:r>
      <w:r w:rsidRPr="00160AFC">
        <w:t xml:space="preserve"> identifi</w:t>
      </w:r>
      <w:r>
        <w:t>cations</w:t>
      </w:r>
      <w:r w:rsidRPr="00160AFC">
        <w:t xml:space="preserve"> </w:t>
      </w:r>
      <w:r>
        <w:t>and</w:t>
      </w:r>
      <w:r w:rsidRPr="00160AFC">
        <w:t xml:space="preserve"> services provided</w:t>
      </w:r>
      <w:r>
        <w:t xml:space="preserve">, </w:t>
      </w:r>
      <w:r w:rsidR="00F875FD">
        <w:t>and the number of</w:t>
      </w:r>
      <w:r>
        <w:t xml:space="preserve"> </w:t>
      </w:r>
      <w:r w:rsidRPr="00160AFC">
        <w:t xml:space="preserve">student </w:t>
      </w:r>
      <w:r>
        <w:t>suicide attempts and completions.</w:t>
      </w:r>
    </w:p>
    <w:p w14:paraId="30FFC388" w14:textId="53C5A9BB" w:rsidR="005701B4" w:rsidRPr="00690DCF" w:rsidRDefault="005701B4" w:rsidP="001E50ED">
      <w:pPr>
        <w:pStyle w:val="GLSBody"/>
        <w:keepNext/>
        <w:spacing w:before="240" w:after="60"/>
        <w:rPr>
          <w:rFonts w:ascii="Tw Cen MT" w:hAnsi="Tw Cen MT" w:cs="Arial"/>
          <w:b/>
          <w:sz w:val="26"/>
          <w:szCs w:val="26"/>
          <w:u w:val="single"/>
        </w:rPr>
      </w:pPr>
      <w:r w:rsidRPr="00690DCF">
        <w:rPr>
          <w:rFonts w:ascii="Tw Cen MT" w:hAnsi="Tw Cen MT" w:cs="Arial"/>
          <w:b/>
          <w:sz w:val="26"/>
          <w:szCs w:val="26"/>
          <w:u w:val="single"/>
        </w:rPr>
        <w:t xml:space="preserve">Suicide Safer Environment (SSE) </w:t>
      </w:r>
      <w:r w:rsidR="006A210B" w:rsidRPr="00690DCF">
        <w:rPr>
          <w:rFonts w:ascii="Tw Cen MT" w:hAnsi="Tw Cen MT" w:cs="Arial"/>
          <w:b/>
          <w:sz w:val="26"/>
          <w:szCs w:val="26"/>
          <w:u w:val="single"/>
        </w:rPr>
        <w:t>Study</w:t>
      </w:r>
    </w:p>
    <w:p w14:paraId="5EFCFF96" w14:textId="38D1CB14" w:rsidR="005701B4" w:rsidRDefault="006A210B" w:rsidP="00CF5DFC">
      <w:pPr>
        <w:pStyle w:val="GLSBody"/>
        <w:spacing w:after="200"/>
      </w:pPr>
      <w:r>
        <w:t>T</w:t>
      </w:r>
      <w:r w:rsidRPr="00160AFC">
        <w:t xml:space="preserve">he SSE Study assesses the extent to which grantees and partnering providers are implementing </w:t>
      </w:r>
      <w:r>
        <w:t xml:space="preserve">Goal 8 and </w:t>
      </w:r>
      <w:r w:rsidRPr="00BF1A8A">
        <w:t xml:space="preserve">9 practices of the </w:t>
      </w:r>
      <w:r>
        <w:t xml:space="preserve">NSSP (HHS, 2012), which move away </w:t>
      </w:r>
      <w:r w:rsidRPr="00160AFC">
        <w:t>from more primary prevention activities</w:t>
      </w:r>
      <w:r>
        <w:t xml:space="preserve">, such as </w:t>
      </w:r>
      <w:r w:rsidRPr="00160AFC">
        <w:t>wellness programs, community awareness, and improving community readiness</w:t>
      </w:r>
      <w:r>
        <w:t>, and</w:t>
      </w:r>
      <w:r w:rsidRPr="00160AFC">
        <w:t xml:space="preserve"> emphasize </w:t>
      </w:r>
      <w:r>
        <w:t>integrating</w:t>
      </w:r>
      <w:r w:rsidRPr="00160AFC">
        <w:t xml:space="preserve"> </w:t>
      </w:r>
      <w:r>
        <w:t>s</w:t>
      </w:r>
      <w:r w:rsidRPr="00160AFC">
        <w:t>uicide prevention as a core component of health care</w:t>
      </w:r>
      <w:r>
        <w:t xml:space="preserve"> and </w:t>
      </w:r>
      <w:r w:rsidRPr="00160AFC">
        <w:t xml:space="preserve">implementing effective clinical and professional practices </w:t>
      </w:r>
      <w:r>
        <w:t>to assess and treat at-risk individuals.</w:t>
      </w:r>
      <w:r w:rsidRPr="00160AFC">
        <w:t xml:space="preserve"> </w:t>
      </w:r>
      <w:r>
        <w:t xml:space="preserve">The focus is on </w:t>
      </w:r>
      <w:r w:rsidRPr="00160AFC">
        <w:t xml:space="preserve">treatment and support services for individuals at high risk of </w:t>
      </w:r>
      <w:r>
        <w:t xml:space="preserve">suicide and </w:t>
      </w:r>
      <w:r w:rsidRPr="00160AFC">
        <w:t>whether these practices lead to the long-term outcomes of reductions in s</w:t>
      </w:r>
      <w:r>
        <w:t>uicide deaths and attempts.</w:t>
      </w:r>
      <w:r w:rsidRPr="005C2CC3">
        <w:t xml:space="preserve"> </w:t>
      </w:r>
      <w:r>
        <w:t xml:space="preserve">Taken together, the goals </w:t>
      </w:r>
      <w:r w:rsidRPr="00160AFC">
        <w:t xml:space="preserve">include 15 primary objectives summarized by the primary components of the Zero Suicide </w:t>
      </w:r>
      <w:r>
        <w:t xml:space="preserve">framework that </w:t>
      </w:r>
      <w:r w:rsidRPr="00160AFC">
        <w:t>can lead to suicide</w:t>
      </w:r>
      <w:r>
        <w:t xml:space="preserve"> safer health care environments:</w:t>
      </w:r>
      <w:r w:rsidR="005701B4">
        <w:t xml:space="preserve"> </w:t>
      </w:r>
    </w:p>
    <w:p w14:paraId="2AE60CC3" w14:textId="77777777" w:rsidR="005701B4" w:rsidRDefault="005701B4" w:rsidP="00075FA6">
      <w:pPr>
        <w:pStyle w:val="GLSBullet1"/>
        <w:numPr>
          <w:ilvl w:val="0"/>
          <w:numId w:val="26"/>
        </w:numPr>
      </w:pPr>
      <w:r>
        <w:t>Creating a Zero Suicide culture committed to dramatically reducing suicide among people under care</w:t>
      </w:r>
    </w:p>
    <w:p w14:paraId="56846490" w14:textId="77777777" w:rsidR="005701B4" w:rsidRDefault="005701B4" w:rsidP="00075FA6">
      <w:pPr>
        <w:pStyle w:val="GLSBullet1"/>
        <w:numPr>
          <w:ilvl w:val="0"/>
          <w:numId w:val="26"/>
        </w:numPr>
      </w:pPr>
      <w:r>
        <w:t>Systematically identifying and assessing suicide risk level among people at risk, using credible screening tools followed by clinical assessment</w:t>
      </w:r>
    </w:p>
    <w:p w14:paraId="3012CC58" w14:textId="77777777" w:rsidR="005701B4" w:rsidRDefault="005701B4" w:rsidP="00075FA6">
      <w:pPr>
        <w:pStyle w:val="GLSBullet1"/>
        <w:numPr>
          <w:ilvl w:val="0"/>
          <w:numId w:val="26"/>
        </w:numPr>
      </w:pPr>
      <w:r>
        <w:t>Ensuring every person has a pathway to care that is both timely and adequate to meet their needs</w:t>
      </w:r>
    </w:p>
    <w:p w14:paraId="5C361240" w14:textId="77777777" w:rsidR="005701B4" w:rsidRDefault="005701B4" w:rsidP="00075FA6">
      <w:pPr>
        <w:pStyle w:val="GLSBullet1"/>
        <w:numPr>
          <w:ilvl w:val="0"/>
          <w:numId w:val="26"/>
        </w:numPr>
      </w:pPr>
      <w:r>
        <w:t>Developing a competent, confident, and caring workforce</w:t>
      </w:r>
    </w:p>
    <w:p w14:paraId="216709A1" w14:textId="77777777" w:rsidR="005701B4" w:rsidRDefault="005701B4" w:rsidP="00075FA6">
      <w:pPr>
        <w:pStyle w:val="GLSBullet1"/>
        <w:numPr>
          <w:ilvl w:val="0"/>
          <w:numId w:val="26"/>
        </w:numPr>
      </w:pPr>
      <w:r>
        <w:t>Using effective evidence-based care including collaborative safety planning, restriction of lethal means, and effective treatment of suicidality</w:t>
      </w:r>
    </w:p>
    <w:p w14:paraId="08E919F1" w14:textId="77777777" w:rsidR="005701B4" w:rsidRDefault="005701B4" w:rsidP="00075FA6">
      <w:pPr>
        <w:pStyle w:val="GLSBullet1"/>
        <w:numPr>
          <w:ilvl w:val="0"/>
          <w:numId w:val="26"/>
        </w:numPr>
      </w:pPr>
      <w:r>
        <w:t>Continuing contact and support, especially after acute care</w:t>
      </w:r>
    </w:p>
    <w:p w14:paraId="7194EBB8" w14:textId="77777777" w:rsidR="005701B4" w:rsidRDefault="005701B4" w:rsidP="00CF5DFC">
      <w:pPr>
        <w:pStyle w:val="GLSBullet1"/>
        <w:numPr>
          <w:ilvl w:val="0"/>
          <w:numId w:val="26"/>
        </w:numPr>
        <w:spacing w:after="200"/>
      </w:pPr>
      <w:r>
        <w:t>Applying a data-driven quality improvement approach to inform system changes</w:t>
      </w:r>
    </w:p>
    <w:p w14:paraId="7923E262" w14:textId="079D3EF7" w:rsidR="005701B4" w:rsidRDefault="005701B4" w:rsidP="00CF5DFC">
      <w:pPr>
        <w:pStyle w:val="GLSBody"/>
        <w:spacing w:after="200"/>
      </w:pPr>
      <w:r w:rsidRPr="00160AFC">
        <w:t>State/Tribal grantees funded in FY 2014</w:t>
      </w:r>
      <w:r w:rsidR="00770E8F">
        <w:t xml:space="preserve"> or later</w:t>
      </w:r>
      <w:r w:rsidRPr="00160AFC">
        <w:t xml:space="preserve"> include a focus on implementing Goals 8 </w:t>
      </w:r>
      <w:r>
        <w:t xml:space="preserve">and 9 </w:t>
      </w:r>
      <w:r w:rsidRPr="00160AFC">
        <w:t>and to reduce rates of suicidal ideation, suicide attempts, and suicide deaths in their communities. Through partnerships wit</w:t>
      </w:r>
      <w:r>
        <w:t xml:space="preserve">h behavioral health providers, grantees </w:t>
      </w:r>
      <w:r w:rsidRPr="00160AFC">
        <w:t xml:space="preserve">are expected to apply key elements of the </w:t>
      </w:r>
      <w:r w:rsidRPr="00BE7CAA">
        <w:t>Zero Suicide Toolkit, developed by the Clinical Care and Intervention Task Force of the N</w:t>
      </w:r>
      <w:r w:rsidR="0045340E">
        <w:t>ational Action Alliance for Suicide Prevention (Action Alliance).</w:t>
      </w:r>
      <w:r w:rsidRPr="00BE7CAA">
        <w:t xml:space="preserve"> This </w:t>
      </w:r>
      <w:r w:rsidRPr="00160AFC">
        <w:t>toolkit identifies essential dimensions of suicide prevention for health care systems, including health care plans or care organizations serving a defined population of consumers (e.g., behavioral health programs, integrated delivery systems, and comprehensive primary care programs)</w:t>
      </w:r>
      <w:r>
        <w:t>.</w:t>
      </w:r>
      <w:r w:rsidRPr="00160AFC">
        <w:t xml:space="preserve"> </w:t>
      </w:r>
    </w:p>
    <w:p w14:paraId="04208F30" w14:textId="343043C9" w:rsidR="005701B4" w:rsidRPr="00533C30" w:rsidRDefault="005701B4" w:rsidP="00CF5DFC">
      <w:pPr>
        <w:pStyle w:val="GLSBody"/>
        <w:spacing w:before="240" w:after="200"/>
      </w:pPr>
      <w:r w:rsidRPr="00160AFC">
        <w:rPr>
          <w:rFonts w:eastAsia="Calibri"/>
        </w:rPr>
        <w:t xml:space="preserve">The </w:t>
      </w:r>
      <w:r>
        <w:rPr>
          <w:rFonts w:eastAsia="Calibri"/>
        </w:rPr>
        <w:t>SSE</w:t>
      </w:r>
      <w:r w:rsidRPr="00160AFC">
        <w:rPr>
          <w:rFonts w:eastAsia="Calibri"/>
        </w:rPr>
        <w:t xml:space="preserve"> </w:t>
      </w:r>
      <w:r>
        <w:rPr>
          <w:rFonts w:eastAsia="Calibri"/>
        </w:rPr>
        <w:t xml:space="preserve">core </w:t>
      </w:r>
      <w:r w:rsidRPr="00160AFC">
        <w:rPr>
          <w:rFonts w:eastAsia="Calibri"/>
        </w:rPr>
        <w:t>is focused on the development of a suicide safe environment using a Zero Suicide framework for behavioral health provider networks</w:t>
      </w:r>
      <w:r w:rsidR="00770E8F">
        <w:rPr>
          <w:rFonts w:eastAsia="Calibri"/>
        </w:rPr>
        <w:t xml:space="preserve"> or campus health services</w:t>
      </w:r>
      <w:r w:rsidRPr="00160AFC">
        <w:rPr>
          <w:rFonts w:eastAsia="Calibri"/>
        </w:rPr>
        <w:t xml:space="preserve">, and its association with proximal and distal outcomes, including suicide attempts and suicide mortality. The </w:t>
      </w:r>
      <w:r>
        <w:rPr>
          <w:rFonts w:eastAsia="Calibri"/>
        </w:rPr>
        <w:t xml:space="preserve">enhanced study uses a claims-based retrospective cohort design to examine </w:t>
      </w:r>
      <w:r w:rsidRPr="00160AFC">
        <w:rPr>
          <w:rFonts w:eastAsia="Calibri"/>
        </w:rPr>
        <w:t xml:space="preserve">the effects of these networks/provider services by comparing outcomes (e.g., attempts, mortality, hospitalizations) of </w:t>
      </w:r>
      <w:r w:rsidR="0092755E">
        <w:rPr>
          <w:rFonts w:eastAsia="Calibri"/>
        </w:rPr>
        <w:t>youth</w:t>
      </w:r>
      <w:r w:rsidRPr="00160AFC">
        <w:rPr>
          <w:rFonts w:eastAsia="Calibri"/>
        </w:rPr>
        <w:t xml:space="preserve"> served in enhanced suicide safer environment contexts with those receiving usual care (providers not implementing a suicide safer </w:t>
      </w:r>
      <w:r w:rsidRPr="00533C30">
        <w:rPr>
          <w:rFonts w:eastAsia="Calibri"/>
        </w:rPr>
        <w:t xml:space="preserve">environment framework) using extant Medicaid claims data (MAX). </w:t>
      </w:r>
      <w:r w:rsidRPr="00533C30">
        <w:t xml:space="preserve">A summary logic model </w:t>
      </w:r>
      <w:r w:rsidR="00526505" w:rsidRPr="00533C30">
        <w:t>for the SSE</w:t>
      </w:r>
      <w:r w:rsidRPr="00533C30">
        <w:t xml:space="preserve"> can be found in </w:t>
      </w:r>
      <w:r w:rsidR="009A3E74" w:rsidRPr="00533C30">
        <w:t>Attachment</w:t>
      </w:r>
      <w:r w:rsidRPr="00533C30">
        <w:t xml:space="preserve"> </w:t>
      </w:r>
      <w:r w:rsidR="00A860DF">
        <w:t>O</w:t>
      </w:r>
      <w:r w:rsidRPr="00533C30">
        <w:t>.</w:t>
      </w:r>
    </w:p>
    <w:p w14:paraId="6C2E80AE" w14:textId="497A737C" w:rsidR="006A210B" w:rsidRDefault="006A210B" w:rsidP="00CF5DFC">
      <w:pPr>
        <w:pStyle w:val="GLSBody"/>
        <w:keepNext/>
        <w:spacing w:after="200"/>
      </w:pPr>
      <w:r w:rsidRPr="00533C30">
        <w:t xml:space="preserve">The aim of the SSE Study is to answer </w:t>
      </w:r>
      <w:r w:rsidR="00526505" w:rsidRPr="00533C30">
        <w:t>EQ-3, along</w:t>
      </w:r>
      <w:r w:rsidR="00526505">
        <w:t xml:space="preserve"> with </w:t>
      </w:r>
      <w:r w:rsidR="00294127">
        <w:t xml:space="preserve">6 </w:t>
      </w:r>
      <w:proofErr w:type="spellStart"/>
      <w:r>
        <w:t>subquestions</w:t>
      </w:r>
      <w:proofErr w:type="spellEnd"/>
      <w:r>
        <w:t xml:space="preserve"> from the core and cohort</w:t>
      </w:r>
      <w:r w:rsidR="000012F2">
        <w:t xml:space="preserve"> study</w:t>
      </w:r>
      <w:r>
        <w:t xml:space="preserve"> components. The study </w:t>
      </w:r>
      <w:r w:rsidRPr="00160AFC">
        <w:t>assess</w:t>
      </w:r>
      <w:r>
        <w:t xml:space="preserve">es </w:t>
      </w:r>
      <w:r w:rsidRPr="00160AFC">
        <w:t xml:space="preserve">the extent and degree </w:t>
      </w:r>
      <w:r>
        <w:t>of success with implementing toolkit practices</w:t>
      </w:r>
      <w:r w:rsidRPr="00160AFC">
        <w:t xml:space="preserve"> among </w:t>
      </w:r>
      <w:r>
        <w:t xml:space="preserve">State/Tribal </w:t>
      </w:r>
      <w:r w:rsidRPr="00160AFC">
        <w:t>partnering behavioral health providers</w:t>
      </w:r>
      <w:r>
        <w:t xml:space="preserve">. Related </w:t>
      </w:r>
      <w:r w:rsidRPr="00160AFC">
        <w:t xml:space="preserve">practices </w:t>
      </w:r>
      <w:r>
        <w:t>implemente</w:t>
      </w:r>
      <w:r w:rsidRPr="00160AFC">
        <w:t>d within campus health services</w:t>
      </w:r>
      <w:r>
        <w:t xml:space="preserve"> also will be assessed</w:t>
      </w:r>
      <w:r w:rsidRPr="00160AFC">
        <w:t>.</w:t>
      </w:r>
      <w:r>
        <w:t xml:space="preserve"> Together, SSE data sources include: PSI, BHPS, SBHF, and MAX. An overview of the SSE components, </w:t>
      </w:r>
      <w:proofErr w:type="spellStart"/>
      <w:r>
        <w:t>subquestions</w:t>
      </w:r>
      <w:proofErr w:type="spellEnd"/>
      <w:r>
        <w:t xml:space="preserve">, and associated instruments is presented in Exhibit </w:t>
      </w:r>
      <w:r w:rsidR="00DD1247">
        <w:t>4</w:t>
      </w:r>
      <w:r>
        <w:t>.</w:t>
      </w:r>
    </w:p>
    <w:p w14:paraId="5CE3A37F" w14:textId="7DC7745B" w:rsidR="005701B4" w:rsidRPr="00525CAA" w:rsidRDefault="005701B4" w:rsidP="00215EC3">
      <w:pPr>
        <w:pStyle w:val="GLSBody"/>
        <w:keepNext/>
        <w:spacing w:after="120"/>
        <w:rPr>
          <w:rFonts w:ascii="Tw Cen MT" w:hAnsi="Tw Cen MT" w:cs="Arial"/>
          <w:b/>
        </w:rPr>
      </w:pPr>
      <w:proofErr w:type="gramStart"/>
      <w:r w:rsidRPr="00525CAA">
        <w:rPr>
          <w:rFonts w:ascii="Tw Cen MT" w:hAnsi="Tw Cen MT" w:cs="Arial"/>
          <w:b/>
        </w:rPr>
        <w:t xml:space="preserve">Exhibit </w:t>
      </w:r>
      <w:r w:rsidR="00DD1247">
        <w:rPr>
          <w:rFonts w:ascii="Tw Cen MT" w:hAnsi="Tw Cen MT" w:cs="Arial"/>
          <w:b/>
        </w:rPr>
        <w:t>4</w:t>
      </w:r>
      <w:r w:rsidRPr="00525CAA">
        <w:rPr>
          <w:rFonts w:ascii="Tw Cen MT" w:hAnsi="Tw Cen MT" w:cs="Arial"/>
          <w:b/>
        </w:rPr>
        <w:t>.</w:t>
      </w:r>
      <w:proofErr w:type="gramEnd"/>
      <w:r w:rsidRPr="00525CAA">
        <w:rPr>
          <w:rFonts w:ascii="Tw Cen MT" w:hAnsi="Tw Cen MT" w:cs="Arial"/>
          <w:b/>
        </w:rPr>
        <w:t xml:space="preserve"> SSE </w:t>
      </w:r>
      <w:r w:rsidR="00BE674A">
        <w:rPr>
          <w:rFonts w:ascii="Tw Cen MT" w:hAnsi="Tw Cen MT" w:cs="Arial"/>
          <w:b/>
        </w:rPr>
        <w:t xml:space="preserve">Study </w:t>
      </w:r>
      <w:r w:rsidRPr="00525CAA">
        <w:rPr>
          <w:rFonts w:ascii="Tw Cen MT" w:hAnsi="Tw Cen MT" w:cs="Arial"/>
          <w:b/>
        </w:rPr>
        <w:t xml:space="preserve">Components, Questions, and Instruments </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7555"/>
        <w:gridCol w:w="450"/>
        <w:gridCol w:w="450"/>
        <w:gridCol w:w="450"/>
        <w:gridCol w:w="450"/>
      </w:tblGrid>
      <w:tr w:rsidR="005F2F76" w:rsidRPr="006E402F" w14:paraId="384C375A" w14:textId="77777777" w:rsidTr="00CB1EDA">
        <w:trPr>
          <w:cantSplit/>
          <w:trHeight w:val="1205"/>
          <w:tblHeader/>
          <w:jc w:val="center"/>
        </w:trPr>
        <w:tc>
          <w:tcPr>
            <w:tcW w:w="7555" w:type="dxa"/>
            <w:shd w:val="clear" w:color="auto" w:fill="404040" w:themeFill="text1" w:themeFillTint="BF"/>
            <w:vAlign w:val="center"/>
          </w:tcPr>
          <w:p w14:paraId="24043899" w14:textId="0521B227" w:rsidR="005F2F76" w:rsidRPr="006E402F" w:rsidRDefault="005F2F76" w:rsidP="0050582E">
            <w:pPr>
              <w:pStyle w:val="GLSTable1"/>
              <w:spacing w:before="0" w:after="0"/>
              <w:jc w:val="left"/>
              <w:rPr>
                <w:b w:val="0"/>
                <w:color w:val="FFFFFF" w:themeColor="background1"/>
                <w:sz w:val="22"/>
                <w:szCs w:val="22"/>
              </w:rPr>
            </w:pPr>
            <w:r w:rsidRPr="006E402F">
              <w:rPr>
                <w:rFonts w:eastAsiaTheme="minorHAnsi"/>
                <w:b w:val="0"/>
                <w:color w:val="FFFFFF" w:themeColor="background1"/>
                <w:sz w:val="22"/>
                <w:szCs w:val="22"/>
              </w:rPr>
              <w:t>EQ-3. To what extent are grantees and associated providers implementing suicide safer environment frameworks? Does this framework implementation lead to decreases in suicide attempts and completions?</w:t>
            </w:r>
          </w:p>
        </w:tc>
        <w:tc>
          <w:tcPr>
            <w:tcW w:w="450" w:type="dxa"/>
            <w:shd w:val="clear" w:color="auto" w:fill="404040" w:themeFill="text1" w:themeFillTint="BF"/>
            <w:textDirection w:val="btLr"/>
          </w:tcPr>
          <w:p w14:paraId="50FC09EA" w14:textId="77777777" w:rsidR="005F2F76" w:rsidRPr="006E402F" w:rsidRDefault="005F2F76" w:rsidP="0050582E">
            <w:pPr>
              <w:pStyle w:val="GLSTable1"/>
              <w:spacing w:before="0" w:after="0"/>
              <w:ind w:left="115"/>
              <w:jc w:val="left"/>
              <w:rPr>
                <w:b w:val="0"/>
                <w:color w:val="FFFFFF" w:themeColor="background1"/>
                <w:sz w:val="22"/>
                <w:szCs w:val="22"/>
              </w:rPr>
            </w:pPr>
            <w:r w:rsidRPr="006E402F">
              <w:rPr>
                <w:b w:val="0"/>
                <w:color w:val="FFFFFF" w:themeColor="background1"/>
                <w:sz w:val="22"/>
                <w:szCs w:val="22"/>
              </w:rPr>
              <w:t>PSI</w:t>
            </w:r>
          </w:p>
        </w:tc>
        <w:tc>
          <w:tcPr>
            <w:tcW w:w="450" w:type="dxa"/>
            <w:shd w:val="clear" w:color="auto" w:fill="404040" w:themeFill="text1" w:themeFillTint="BF"/>
            <w:textDirection w:val="btLr"/>
          </w:tcPr>
          <w:p w14:paraId="70154905" w14:textId="77777777" w:rsidR="005F2F76" w:rsidRPr="006E402F" w:rsidRDefault="005F2F76" w:rsidP="0050582E">
            <w:pPr>
              <w:pStyle w:val="GLSTable1"/>
              <w:spacing w:before="0" w:after="0"/>
              <w:ind w:left="115"/>
              <w:jc w:val="left"/>
              <w:rPr>
                <w:b w:val="0"/>
                <w:color w:val="FFFFFF" w:themeColor="background1"/>
                <w:sz w:val="22"/>
                <w:szCs w:val="22"/>
              </w:rPr>
            </w:pPr>
            <w:r w:rsidRPr="006E402F">
              <w:rPr>
                <w:b w:val="0"/>
                <w:color w:val="FFFFFF" w:themeColor="background1"/>
                <w:sz w:val="22"/>
                <w:szCs w:val="22"/>
              </w:rPr>
              <w:t>SBHF</w:t>
            </w:r>
          </w:p>
        </w:tc>
        <w:tc>
          <w:tcPr>
            <w:tcW w:w="450" w:type="dxa"/>
            <w:shd w:val="clear" w:color="auto" w:fill="404040" w:themeFill="text1" w:themeFillTint="BF"/>
            <w:textDirection w:val="btLr"/>
          </w:tcPr>
          <w:p w14:paraId="7B9F3E0C" w14:textId="3657C3DC" w:rsidR="005F2F76" w:rsidRPr="006E402F" w:rsidRDefault="005F2F76" w:rsidP="0050582E">
            <w:pPr>
              <w:pStyle w:val="GLSTable1"/>
              <w:spacing w:before="0" w:after="0"/>
              <w:ind w:left="115"/>
              <w:jc w:val="left"/>
              <w:rPr>
                <w:b w:val="0"/>
                <w:color w:val="FFFFFF" w:themeColor="background1"/>
                <w:sz w:val="22"/>
                <w:szCs w:val="22"/>
              </w:rPr>
            </w:pPr>
            <w:r w:rsidRPr="006E402F">
              <w:rPr>
                <w:b w:val="0"/>
                <w:color w:val="FFFFFF" w:themeColor="background1"/>
                <w:sz w:val="22"/>
                <w:szCs w:val="22"/>
              </w:rPr>
              <w:t>BHPS</w:t>
            </w:r>
          </w:p>
        </w:tc>
        <w:tc>
          <w:tcPr>
            <w:tcW w:w="450" w:type="dxa"/>
            <w:shd w:val="clear" w:color="auto" w:fill="404040" w:themeFill="text1" w:themeFillTint="BF"/>
            <w:textDirection w:val="btLr"/>
          </w:tcPr>
          <w:p w14:paraId="271C4EAB" w14:textId="3D15B95E" w:rsidR="005F2F76" w:rsidRPr="006E402F" w:rsidRDefault="005F2F76" w:rsidP="0050582E">
            <w:pPr>
              <w:pStyle w:val="GLSTable1"/>
              <w:spacing w:before="0" w:after="0"/>
              <w:ind w:left="115"/>
              <w:jc w:val="left"/>
              <w:rPr>
                <w:b w:val="0"/>
                <w:color w:val="FFFFFF" w:themeColor="background1"/>
                <w:sz w:val="22"/>
                <w:szCs w:val="22"/>
              </w:rPr>
            </w:pPr>
            <w:r w:rsidRPr="006E402F">
              <w:rPr>
                <w:b w:val="0"/>
                <w:color w:val="FFFFFF" w:themeColor="background1"/>
                <w:sz w:val="22"/>
                <w:szCs w:val="22"/>
              </w:rPr>
              <w:t>Extant Data</w:t>
            </w:r>
          </w:p>
        </w:tc>
      </w:tr>
      <w:tr w:rsidR="005701B4" w:rsidRPr="006E402F" w14:paraId="5BF1BD12" w14:textId="77777777" w:rsidTr="00CB1EDA">
        <w:trPr>
          <w:cantSplit/>
          <w:trHeight w:val="278"/>
          <w:jc w:val="center"/>
        </w:trPr>
        <w:tc>
          <w:tcPr>
            <w:tcW w:w="9355" w:type="dxa"/>
            <w:gridSpan w:val="5"/>
            <w:shd w:val="clear" w:color="auto" w:fill="D9D9D9" w:themeFill="background1" w:themeFillShade="D9"/>
            <w:vAlign w:val="center"/>
          </w:tcPr>
          <w:p w14:paraId="5EF4446C" w14:textId="77777777" w:rsidR="005701B4" w:rsidRPr="006E402F" w:rsidRDefault="005701B4" w:rsidP="006E402F">
            <w:pPr>
              <w:pStyle w:val="GLSTableBullet1"/>
              <w:spacing w:before="0" w:after="0"/>
              <w:jc w:val="center"/>
              <w:rPr>
                <w:b/>
                <w:sz w:val="22"/>
                <w:szCs w:val="22"/>
              </w:rPr>
            </w:pPr>
            <w:r w:rsidRPr="006E402F">
              <w:rPr>
                <w:b/>
                <w:sz w:val="22"/>
                <w:szCs w:val="22"/>
              </w:rPr>
              <w:t>Core</w:t>
            </w:r>
          </w:p>
        </w:tc>
      </w:tr>
      <w:tr w:rsidR="005F2F76" w:rsidRPr="006E402F" w14:paraId="447BEEF4" w14:textId="77777777" w:rsidTr="00CB1EDA">
        <w:trPr>
          <w:cantSplit/>
          <w:trHeight w:val="692"/>
          <w:jc w:val="center"/>
        </w:trPr>
        <w:tc>
          <w:tcPr>
            <w:tcW w:w="7555" w:type="dxa"/>
            <w:shd w:val="clear" w:color="auto" w:fill="auto"/>
          </w:tcPr>
          <w:p w14:paraId="63EF5393" w14:textId="63589155" w:rsidR="005F2F76" w:rsidRPr="006E402F" w:rsidRDefault="005F2F76" w:rsidP="005F2F76">
            <w:pPr>
              <w:pStyle w:val="GLSTableBullet1"/>
              <w:spacing w:before="0" w:after="0"/>
              <w:rPr>
                <w:sz w:val="22"/>
                <w:szCs w:val="22"/>
              </w:rPr>
            </w:pPr>
            <w:r w:rsidRPr="006E402F">
              <w:rPr>
                <w:b/>
                <w:color w:val="000000"/>
                <w:sz w:val="22"/>
                <w:szCs w:val="22"/>
              </w:rPr>
              <w:t>3.1:</w:t>
            </w:r>
            <w:r w:rsidRPr="006E402F">
              <w:rPr>
                <w:color w:val="000000"/>
                <w:sz w:val="22"/>
                <w:szCs w:val="22"/>
              </w:rPr>
              <w:t xml:space="preserve"> </w:t>
            </w:r>
            <w:r w:rsidRPr="006E402F">
              <w:rPr>
                <w:sz w:val="22"/>
                <w:szCs w:val="22"/>
              </w:rPr>
              <w:t>What specific elements and activities of a suicide safer environment framework (particularly Goals 8 and 9 of the National Strategy are being implemented by behavioral health providers involved in the GLS State/Tribal Program?</w:t>
            </w:r>
          </w:p>
        </w:tc>
        <w:tc>
          <w:tcPr>
            <w:tcW w:w="450" w:type="dxa"/>
            <w:shd w:val="clear" w:color="auto" w:fill="auto"/>
          </w:tcPr>
          <w:p w14:paraId="6F6607CA" w14:textId="77777777" w:rsidR="005F2F76" w:rsidRPr="006E402F" w:rsidRDefault="005F2F76" w:rsidP="005F2F76">
            <w:pPr>
              <w:pStyle w:val="GLSTableBullet1"/>
              <w:spacing w:before="0" w:after="0"/>
              <w:rPr>
                <w:sz w:val="22"/>
                <w:szCs w:val="22"/>
              </w:rPr>
            </w:pPr>
          </w:p>
        </w:tc>
        <w:tc>
          <w:tcPr>
            <w:tcW w:w="450" w:type="dxa"/>
          </w:tcPr>
          <w:p w14:paraId="3845C4F9" w14:textId="77777777" w:rsidR="005F2F76" w:rsidRPr="006E402F" w:rsidRDefault="005F2F76" w:rsidP="005F2F76">
            <w:pPr>
              <w:pStyle w:val="GLSTableBullet1"/>
              <w:spacing w:before="0" w:after="0"/>
              <w:ind w:hanging="360"/>
              <w:rPr>
                <w:sz w:val="22"/>
                <w:szCs w:val="22"/>
              </w:rPr>
            </w:pPr>
            <w:r w:rsidRPr="006E402F">
              <w:rPr>
                <w:sz w:val="22"/>
                <w:szCs w:val="22"/>
              </w:rPr>
              <w:t>x</w:t>
            </w:r>
          </w:p>
        </w:tc>
        <w:tc>
          <w:tcPr>
            <w:tcW w:w="450" w:type="dxa"/>
          </w:tcPr>
          <w:p w14:paraId="67A25035" w14:textId="48B31E65" w:rsidR="005F2F76" w:rsidRPr="006E402F" w:rsidRDefault="005F2F76" w:rsidP="005F2F76">
            <w:pPr>
              <w:pStyle w:val="GLSTableBullet1"/>
              <w:spacing w:before="0" w:after="0"/>
              <w:rPr>
                <w:sz w:val="22"/>
                <w:szCs w:val="22"/>
              </w:rPr>
            </w:pPr>
            <w:r w:rsidRPr="006E402F">
              <w:rPr>
                <w:sz w:val="22"/>
                <w:szCs w:val="22"/>
              </w:rPr>
              <w:t>x</w:t>
            </w:r>
          </w:p>
        </w:tc>
        <w:tc>
          <w:tcPr>
            <w:tcW w:w="450" w:type="dxa"/>
          </w:tcPr>
          <w:p w14:paraId="58EBF398" w14:textId="046874DC" w:rsidR="005F2F76" w:rsidRPr="006E402F" w:rsidRDefault="005F2F76" w:rsidP="005F2F76">
            <w:pPr>
              <w:pStyle w:val="GLSTableBullet1"/>
              <w:spacing w:before="0" w:after="0"/>
              <w:rPr>
                <w:sz w:val="22"/>
                <w:szCs w:val="22"/>
              </w:rPr>
            </w:pPr>
          </w:p>
        </w:tc>
      </w:tr>
      <w:tr w:rsidR="005F2F76" w:rsidRPr="006E402F" w14:paraId="0008F029" w14:textId="77777777" w:rsidTr="00CB1EDA">
        <w:trPr>
          <w:cantSplit/>
          <w:trHeight w:val="530"/>
          <w:jc w:val="center"/>
        </w:trPr>
        <w:tc>
          <w:tcPr>
            <w:tcW w:w="7555" w:type="dxa"/>
            <w:shd w:val="clear" w:color="auto" w:fill="auto"/>
          </w:tcPr>
          <w:p w14:paraId="707791AF" w14:textId="77777777" w:rsidR="005F2F76" w:rsidRPr="006E402F" w:rsidRDefault="005F2F76" w:rsidP="005F2F76">
            <w:pPr>
              <w:pStyle w:val="GLSTableBullet1"/>
              <w:spacing w:before="0" w:after="0"/>
              <w:rPr>
                <w:b/>
                <w:sz w:val="22"/>
                <w:szCs w:val="22"/>
              </w:rPr>
            </w:pPr>
            <w:r w:rsidRPr="006E402F">
              <w:rPr>
                <w:b/>
                <w:color w:val="000000"/>
                <w:sz w:val="22"/>
                <w:szCs w:val="22"/>
              </w:rPr>
              <w:t>3.2:</w:t>
            </w:r>
            <w:r w:rsidRPr="006E402F">
              <w:rPr>
                <w:color w:val="000000"/>
                <w:sz w:val="22"/>
                <w:szCs w:val="22"/>
              </w:rPr>
              <w:t xml:space="preserve"> What suicide safer environment care activities are being implemented by campus health services?</w:t>
            </w:r>
          </w:p>
        </w:tc>
        <w:tc>
          <w:tcPr>
            <w:tcW w:w="450" w:type="dxa"/>
            <w:shd w:val="clear" w:color="auto" w:fill="auto"/>
          </w:tcPr>
          <w:p w14:paraId="361CD04D" w14:textId="77777777" w:rsidR="005F2F76" w:rsidRPr="006E402F" w:rsidRDefault="005F2F76" w:rsidP="005F2F76">
            <w:pPr>
              <w:pStyle w:val="GLSTableBullet1"/>
              <w:spacing w:before="0" w:after="0"/>
              <w:rPr>
                <w:sz w:val="22"/>
                <w:szCs w:val="22"/>
              </w:rPr>
            </w:pPr>
            <w:r w:rsidRPr="006E402F">
              <w:rPr>
                <w:sz w:val="22"/>
                <w:szCs w:val="22"/>
              </w:rPr>
              <w:t>x</w:t>
            </w:r>
          </w:p>
        </w:tc>
        <w:tc>
          <w:tcPr>
            <w:tcW w:w="450" w:type="dxa"/>
          </w:tcPr>
          <w:p w14:paraId="0A6FD8D7" w14:textId="77777777" w:rsidR="005F2F76" w:rsidRPr="006E402F" w:rsidRDefault="005F2F76" w:rsidP="005F2F76">
            <w:pPr>
              <w:pStyle w:val="GLSTableBullet1"/>
              <w:spacing w:before="0" w:after="0"/>
              <w:rPr>
                <w:sz w:val="22"/>
                <w:szCs w:val="22"/>
              </w:rPr>
            </w:pPr>
            <w:r w:rsidRPr="006E402F">
              <w:rPr>
                <w:sz w:val="22"/>
                <w:szCs w:val="22"/>
              </w:rPr>
              <w:t>x</w:t>
            </w:r>
          </w:p>
        </w:tc>
        <w:tc>
          <w:tcPr>
            <w:tcW w:w="450" w:type="dxa"/>
          </w:tcPr>
          <w:p w14:paraId="7FDE72CA" w14:textId="77777777" w:rsidR="005F2F76" w:rsidRPr="006E402F" w:rsidRDefault="005F2F76" w:rsidP="005F2F76">
            <w:pPr>
              <w:pStyle w:val="GLSTableBullet1"/>
              <w:spacing w:before="0" w:after="0"/>
              <w:rPr>
                <w:sz w:val="22"/>
                <w:szCs w:val="22"/>
              </w:rPr>
            </w:pPr>
          </w:p>
        </w:tc>
        <w:tc>
          <w:tcPr>
            <w:tcW w:w="450" w:type="dxa"/>
          </w:tcPr>
          <w:p w14:paraId="13E6A28D" w14:textId="77777777" w:rsidR="005F2F76" w:rsidRPr="006E402F" w:rsidRDefault="005F2F76" w:rsidP="005F2F76">
            <w:pPr>
              <w:pStyle w:val="GLSTableBullet1"/>
              <w:spacing w:before="0" w:after="0"/>
              <w:rPr>
                <w:sz w:val="22"/>
                <w:szCs w:val="22"/>
              </w:rPr>
            </w:pPr>
          </w:p>
        </w:tc>
      </w:tr>
      <w:tr w:rsidR="005F2F76" w:rsidRPr="006E402F" w14:paraId="0B91063F" w14:textId="77777777" w:rsidTr="00CB1EDA">
        <w:trPr>
          <w:cantSplit/>
          <w:trHeight w:val="800"/>
          <w:jc w:val="center"/>
        </w:trPr>
        <w:tc>
          <w:tcPr>
            <w:tcW w:w="7555" w:type="dxa"/>
            <w:shd w:val="clear" w:color="auto" w:fill="auto"/>
          </w:tcPr>
          <w:p w14:paraId="71F20884" w14:textId="77777777" w:rsidR="005F2F76" w:rsidRPr="006E402F" w:rsidRDefault="005F2F76" w:rsidP="005F2F76">
            <w:pPr>
              <w:pStyle w:val="GLSTableBullet1"/>
              <w:spacing w:before="0" w:after="0"/>
              <w:rPr>
                <w:b/>
                <w:sz w:val="22"/>
                <w:szCs w:val="22"/>
              </w:rPr>
            </w:pPr>
            <w:r w:rsidRPr="006E402F">
              <w:rPr>
                <w:b/>
                <w:color w:val="000000"/>
                <w:sz w:val="22"/>
                <w:szCs w:val="22"/>
              </w:rPr>
              <w:t>3.3:</w:t>
            </w:r>
            <w:r w:rsidRPr="006E402F">
              <w:rPr>
                <w:color w:val="000000"/>
                <w:sz w:val="22"/>
                <w:szCs w:val="22"/>
              </w:rPr>
              <w:t xml:space="preserve"> Are access and utilization of campus behavioral health services higher for students on campuses that integrate clinical screenings or suicide assessments into campus primary and behavioral health care?</w:t>
            </w:r>
          </w:p>
        </w:tc>
        <w:tc>
          <w:tcPr>
            <w:tcW w:w="450" w:type="dxa"/>
            <w:shd w:val="clear" w:color="auto" w:fill="auto"/>
          </w:tcPr>
          <w:p w14:paraId="6D3DB5ED" w14:textId="77777777" w:rsidR="005F2F76" w:rsidRPr="006E402F" w:rsidRDefault="005F2F76" w:rsidP="005F2F76">
            <w:pPr>
              <w:pStyle w:val="GLSTableBullet1"/>
              <w:spacing w:before="0" w:after="0"/>
              <w:rPr>
                <w:sz w:val="22"/>
                <w:szCs w:val="22"/>
              </w:rPr>
            </w:pPr>
            <w:r w:rsidRPr="006E402F">
              <w:rPr>
                <w:sz w:val="22"/>
                <w:szCs w:val="22"/>
              </w:rPr>
              <w:t>x</w:t>
            </w:r>
          </w:p>
        </w:tc>
        <w:tc>
          <w:tcPr>
            <w:tcW w:w="450" w:type="dxa"/>
          </w:tcPr>
          <w:p w14:paraId="73792407" w14:textId="77777777" w:rsidR="005F2F76" w:rsidRPr="006E402F" w:rsidRDefault="005F2F76" w:rsidP="005F2F76">
            <w:pPr>
              <w:pStyle w:val="GLSTableBullet1"/>
              <w:spacing w:before="0" w:after="0"/>
              <w:rPr>
                <w:sz w:val="22"/>
                <w:szCs w:val="22"/>
              </w:rPr>
            </w:pPr>
            <w:r w:rsidRPr="006E402F">
              <w:rPr>
                <w:sz w:val="22"/>
                <w:szCs w:val="22"/>
              </w:rPr>
              <w:t>x</w:t>
            </w:r>
          </w:p>
        </w:tc>
        <w:tc>
          <w:tcPr>
            <w:tcW w:w="450" w:type="dxa"/>
          </w:tcPr>
          <w:p w14:paraId="09682625" w14:textId="77777777" w:rsidR="005F2F76" w:rsidRPr="006E402F" w:rsidRDefault="005F2F76" w:rsidP="005F2F76">
            <w:pPr>
              <w:pStyle w:val="GLSTableBullet1"/>
              <w:spacing w:before="0" w:after="0"/>
              <w:rPr>
                <w:sz w:val="22"/>
                <w:szCs w:val="22"/>
              </w:rPr>
            </w:pPr>
          </w:p>
        </w:tc>
        <w:tc>
          <w:tcPr>
            <w:tcW w:w="450" w:type="dxa"/>
          </w:tcPr>
          <w:p w14:paraId="7B8C07D2" w14:textId="77777777" w:rsidR="005F2F76" w:rsidRPr="006E402F" w:rsidRDefault="005F2F76" w:rsidP="005F2F76">
            <w:pPr>
              <w:pStyle w:val="GLSTableBullet1"/>
              <w:spacing w:before="0" w:after="0"/>
              <w:rPr>
                <w:sz w:val="22"/>
                <w:szCs w:val="22"/>
              </w:rPr>
            </w:pPr>
          </w:p>
        </w:tc>
      </w:tr>
      <w:tr w:rsidR="005F2F76" w:rsidRPr="006E402F" w14:paraId="027769EA" w14:textId="77777777" w:rsidTr="00CB1EDA">
        <w:trPr>
          <w:cantSplit/>
          <w:trHeight w:val="269"/>
          <w:jc w:val="center"/>
        </w:trPr>
        <w:tc>
          <w:tcPr>
            <w:tcW w:w="7555" w:type="dxa"/>
            <w:shd w:val="clear" w:color="auto" w:fill="auto"/>
          </w:tcPr>
          <w:p w14:paraId="55A95968" w14:textId="77777777" w:rsidR="005F2F76" w:rsidRPr="006E402F" w:rsidRDefault="005F2F76" w:rsidP="005F2F76">
            <w:pPr>
              <w:pStyle w:val="GLSTableBullet1"/>
              <w:spacing w:before="0" w:after="0"/>
              <w:rPr>
                <w:b/>
                <w:sz w:val="22"/>
                <w:szCs w:val="22"/>
              </w:rPr>
            </w:pPr>
            <w:r w:rsidRPr="006E402F">
              <w:rPr>
                <w:b/>
                <w:color w:val="000000"/>
                <w:sz w:val="22"/>
                <w:szCs w:val="22"/>
              </w:rPr>
              <w:t>3.4:</w:t>
            </w:r>
            <w:r w:rsidRPr="006E402F">
              <w:rPr>
                <w:color w:val="000000"/>
                <w:sz w:val="22"/>
                <w:szCs w:val="22"/>
              </w:rPr>
              <w:t xml:space="preserve"> Are suicide ideation, attempts, and completions lower for students on campuses that are more fully implementing the suicide safer environment framework activities?</w:t>
            </w:r>
          </w:p>
        </w:tc>
        <w:tc>
          <w:tcPr>
            <w:tcW w:w="450" w:type="dxa"/>
            <w:shd w:val="clear" w:color="auto" w:fill="auto"/>
          </w:tcPr>
          <w:p w14:paraId="5CD7BF4D" w14:textId="77777777" w:rsidR="005F2F76" w:rsidRPr="006E402F" w:rsidRDefault="005F2F76" w:rsidP="005F2F76">
            <w:pPr>
              <w:pStyle w:val="GLSTableBullet1"/>
              <w:spacing w:before="0" w:after="0"/>
              <w:rPr>
                <w:sz w:val="22"/>
                <w:szCs w:val="22"/>
              </w:rPr>
            </w:pPr>
            <w:r w:rsidRPr="006E402F">
              <w:rPr>
                <w:sz w:val="22"/>
                <w:szCs w:val="22"/>
              </w:rPr>
              <w:t>x</w:t>
            </w:r>
          </w:p>
        </w:tc>
        <w:tc>
          <w:tcPr>
            <w:tcW w:w="450" w:type="dxa"/>
          </w:tcPr>
          <w:p w14:paraId="5BD2C29D" w14:textId="77777777" w:rsidR="005F2F76" w:rsidRPr="006E402F" w:rsidRDefault="005F2F76" w:rsidP="005F2F76">
            <w:pPr>
              <w:pStyle w:val="GLSTableBullet1"/>
              <w:spacing w:before="0" w:after="0"/>
              <w:rPr>
                <w:sz w:val="22"/>
                <w:szCs w:val="22"/>
              </w:rPr>
            </w:pPr>
            <w:r w:rsidRPr="006E402F">
              <w:rPr>
                <w:sz w:val="22"/>
                <w:szCs w:val="22"/>
              </w:rPr>
              <w:t>x</w:t>
            </w:r>
          </w:p>
        </w:tc>
        <w:tc>
          <w:tcPr>
            <w:tcW w:w="450" w:type="dxa"/>
          </w:tcPr>
          <w:p w14:paraId="3F80F27A" w14:textId="77777777" w:rsidR="005F2F76" w:rsidRPr="006E402F" w:rsidRDefault="005F2F76" w:rsidP="005F2F76">
            <w:pPr>
              <w:pStyle w:val="GLSTableBullet1"/>
              <w:spacing w:before="0" w:after="0"/>
              <w:rPr>
                <w:sz w:val="22"/>
                <w:szCs w:val="22"/>
              </w:rPr>
            </w:pPr>
          </w:p>
        </w:tc>
        <w:tc>
          <w:tcPr>
            <w:tcW w:w="450" w:type="dxa"/>
          </w:tcPr>
          <w:p w14:paraId="50E30C4F" w14:textId="45A274D2" w:rsidR="005F2F76" w:rsidRPr="006E402F" w:rsidRDefault="005F2F76" w:rsidP="005F2F76">
            <w:pPr>
              <w:pStyle w:val="GLSTableBullet1"/>
              <w:spacing w:before="0" w:after="0"/>
              <w:rPr>
                <w:sz w:val="22"/>
                <w:szCs w:val="22"/>
              </w:rPr>
            </w:pPr>
            <w:r w:rsidRPr="006E402F">
              <w:rPr>
                <w:sz w:val="22"/>
                <w:szCs w:val="22"/>
              </w:rPr>
              <w:t>x</w:t>
            </w:r>
          </w:p>
        </w:tc>
      </w:tr>
      <w:tr w:rsidR="005F2F76" w:rsidRPr="006E402F" w14:paraId="7F57088F" w14:textId="77777777" w:rsidTr="00CB1EDA">
        <w:trPr>
          <w:cantSplit/>
          <w:trHeight w:val="287"/>
          <w:jc w:val="center"/>
        </w:trPr>
        <w:tc>
          <w:tcPr>
            <w:tcW w:w="9355" w:type="dxa"/>
            <w:gridSpan w:val="5"/>
            <w:shd w:val="clear" w:color="auto" w:fill="D9D9D9" w:themeFill="background1" w:themeFillShade="D9"/>
            <w:vAlign w:val="center"/>
          </w:tcPr>
          <w:p w14:paraId="3A26D8C6" w14:textId="77777777" w:rsidR="005F2F76" w:rsidRPr="006E402F" w:rsidRDefault="005F2F76" w:rsidP="006E402F">
            <w:pPr>
              <w:pStyle w:val="GLSTableBullet1"/>
              <w:spacing w:before="0" w:after="0"/>
              <w:ind w:left="360" w:hanging="360"/>
              <w:jc w:val="center"/>
              <w:rPr>
                <w:b/>
                <w:color w:val="FFFFFF" w:themeColor="background1"/>
                <w:sz w:val="22"/>
                <w:szCs w:val="22"/>
              </w:rPr>
            </w:pPr>
            <w:r w:rsidRPr="006E402F">
              <w:rPr>
                <w:b/>
                <w:sz w:val="22"/>
                <w:szCs w:val="22"/>
              </w:rPr>
              <w:t>Retrospective Cohort Study (Medicaid Claims Analysis)</w:t>
            </w:r>
          </w:p>
        </w:tc>
      </w:tr>
      <w:tr w:rsidR="005F2F76" w:rsidRPr="006E402F" w14:paraId="48967B2F" w14:textId="77777777" w:rsidTr="00CB1EDA">
        <w:trPr>
          <w:cantSplit/>
          <w:trHeight w:val="296"/>
          <w:jc w:val="center"/>
        </w:trPr>
        <w:tc>
          <w:tcPr>
            <w:tcW w:w="7555" w:type="dxa"/>
            <w:shd w:val="clear" w:color="auto" w:fill="auto"/>
          </w:tcPr>
          <w:p w14:paraId="48F0449E" w14:textId="7DBAC1A2" w:rsidR="005F2F76" w:rsidRPr="006E402F" w:rsidRDefault="005F2F76" w:rsidP="005F2F76">
            <w:pPr>
              <w:pStyle w:val="GLSTableBullet1"/>
              <w:spacing w:before="0" w:after="0"/>
              <w:rPr>
                <w:sz w:val="22"/>
                <w:szCs w:val="22"/>
              </w:rPr>
            </w:pPr>
            <w:r w:rsidRPr="006E402F">
              <w:rPr>
                <w:b/>
                <w:color w:val="000000"/>
                <w:sz w:val="22"/>
                <w:szCs w:val="22"/>
              </w:rPr>
              <w:t>3.5:</w:t>
            </w:r>
            <w:r w:rsidRPr="006E402F">
              <w:rPr>
                <w:color w:val="000000"/>
                <w:sz w:val="22"/>
                <w:szCs w:val="22"/>
              </w:rPr>
              <w:t xml:space="preserve"> Are suicide attempts reduced for youth receiving services by GLS behavioral health providers compared to non-GLS providers?</w:t>
            </w:r>
          </w:p>
        </w:tc>
        <w:tc>
          <w:tcPr>
            <w:tcW w:w="450" w:type="dxa"/>
            <w:shd w:val="clear" w:color="auto" w:fill="auto"/>
          </w:tcPr>
          <w:p w14:paraId="4485462D" w14:textId="77777777" w:rsidR="005F2F76" w:rsidRPr="006E402F" w:rsidRDefault="005F2F76" w:rsidP="005F2F76">
            <w:pPr>
              <w:pStyle w:val="GLSTableBullet1"/>
              <w:spacing w:before="0" w:after="0"/>
              <w:rPr>
                <w:sz w:val="22"/>
                <w:szCs w:val="22"/>
              </w:rPr>
            </w:pPr>
          </w:p>
        </w:tc>
        <w:tc>
          <w:tcPr>
            <w:tcW w:w="450" w:type="dxa"/>
          </w:tcPr>
          <w:p w14:paraId="47E211F3" w14:textId="77777777" w:rsidR="005F2F76" w:rsidRPr="006E402F" w:rsidRDefault="005F2F76" w:rsidP="005F2F76">
            <w:pPr>
              <w:pStyle w:val="GLSTableBullet1"/>
              <w:spacing w:before="0" w:after="0"/>
              <w:rPr>
                <w:sz w:val="22"/>
                <w:szCs w:val="22"/>
              </w:rPr>
            </w:pPr>
          </w:p>
        </w:tc>
        <w:tc>
          <w:tcPr>
            <w:tcW w:w="450" w:type="dxa"/>
          </w:tcPr>
          <w:p w14:paraId="46D77CCE" w14:textId="23B73193" w:rsidR="005F2F76" w:rsidRPr="006E402F" w:rsidRDefault="005F2F76" w:rsidP="005F2F76">
            <w:pPr>
              <w:pStyle w:val="GLSTableBullet1"/>
              <w:spacing w:before="0" w:after="0"/>
              <w:rPr>
                <w:sz w:val="22"/>
                <w:szCs w:val="22"/>
              </w:rPr>
            </w:pPr>
            <w:r w:rsidRPr="006E402F">
              <w:rPr>
                <w:sz w:val="22"/>
                <w:szCs w:val="22"/>
              </w:rPr>
              <w:t>x</w:t>
            </w:r>
          </w:p>
        </w:tc>
        <w:tc>
          <w:tcPr>
            <w:tcW w:w="450" w:type="dxa"/>
          </w:tcPr>
          <w:p w14:paraId="53DBC965" w14:textId="77777777" w:rsidR="005F2F76" w:rsidRPr="006E402F" w:rsidRDefault="005F2F76" w:rsidP="005F2F76">
            <w:pPr>
              <w:pStyle w:val="GLSTableBullet1"/>
              <w:spacing w:before="0" w:after="0"/>
              <w:rPr>
                <w:sz w:val="22"/>
                <w:szCs w:val="22"/>
              </w:rPr>
            </w:pPr>
            <w:r w:rsidRPr="006E402F">
              <w:rPr>
                <w:sz w:val="22"/>
                <w:szCs w:val="22"/>
              </w:rPr>
              <w:t>x</w:t>
            </w:r>
          </w:p>
        </w:tc>
      </w:tr>
      <w:tr w:rsidR="005F2F76" w:rsidRPr="006E402F" w14:paraId="4BD7FB6A" w14:textId="77777777" w:rsidTr="00CB1EDA">
        <w:trPr>
          <w:cantSplit/>
          <w:trHeight w:val="791"/>
          <w:jc w:val="center"/>
        </w:trPr>
        <w:tc>
          <w:tcPr>
            <w:tcW w:w="7555" w:type="dxa"/>
            <w:shd w:val="clear" w:color="auto" w:fill="auto"/>
          </w:tcPr>
          <w:p w14:paraId="50008C45" w14:textId="3C82F021" w:rsidR="005F2F76" w:rsidRPr="006E402F" w:rsidRDefault="005F2F76" w:rsidP="005F2F76">
            <w:pPr>
              <w:pStyle w:val="GLSTableBullet1"/>
              <w:spacing w:before="0" w:after="0"/>
              <w:rPr>
                <w:b/>
                <w:sz w:val="22"/>
                <w:szCs w:val="22"/>
              </w:rPr>
            </w:pPr>
            <w:r w:rsidRPr="006E402F">
              <w:rPr>
                <w:b/>
                <w:color w:val="000000"/>
                <w:sz w:val="22"/>
                <w:szCs w:val="22"/>
              </w:rPr>
              <w:t>3.6:</w:t>
            </w:r>
            <w:r w:rsidRPr="006E402F">
              <w:rPr>
                <w:color w:val="000000"/>
                <w:sz w:val="22"/>
                <w:szCs w:val="22"/>
              </w:rPr>
              <w:t xml:space="preserve"> Are hospital readmissions and in-hospital deaths by suicide lower for youth (at risk for suicide) who use services from providers that have implemented National Strategy Goals 8 and 9 activities?</w:t>
            </w:r>
          </w:p>
        </w:tc>
        <w:tc>
          <w:tcPr>
            <w:tcW w:w="450" w:type="dxa"/>
            <w:shd w:val="clear" w:color="auto" w:fill="auto"/>
          </w:tcPr>
          <w:p w14:paraId="401216DF" w14:textId="77777777" w:rsidR="005F2F76" w:rsidRPr="006E402F" w:rsidRDefault="005F2F76" w:rsidP="005F2F76">
            <w:pPr>
              <w:pStyle w:val="GLSTableBullet1"/>
              <w:spacing w:before="0" w:after="0"/>
              <w:rPr>
                <w:sz w:val="22"/>
                <w:szCs w:val="22"/>
              </w:rPr>
            </w:pPr>
          </w:p>
        </w:tc>
        <w:tc>
          <w:tcPr>
            <w:tcW w:w="450" w:type="dxa"/>
          </w:tcPr>
          <w:p w14:paraId="110440C2" w14:textId="77777777" w:rsidR="005F2F76" w:rsidRPr="006E402F" w:rsidRDefault="005F2F76" w:rsidP="005F2F76">
            <w:pPr>
              <w:pStyle w:val="GLSTableBullet1"/>
              <w:spacing w:before="0" w:after="0"/>
              <w:rPr>
                <w:sz w:val="22"/>
                <w:szCs w:val="22"/>
              </w:rPr>
            </w:pPr>
          </w:p>
        </w:tc>
        <w:tc>
          <w:tcPr>
            <w:tcW w:w="450" w:type="dxa"/>
          </w:tcPr>
          <w:p w14:paraId="6B34FA7C" w14:textId="45F5A912" w:rsidR="005F2F76" w:rsidRPr="006E402F" w:rsidRDefault="005F2F76" w:rsidP="005F2F76">
            <w:pPr>
              <w:pStyle w:val="GLSTableBullet1"/>
              <w:spacing w:before="0" w:after="0"/>
              <w:rPr>
                <w:sz w:val="22"/>
                <w:szCs w:val="22"/>
              </w:rPr>
            </w:pPr>
            <w:r w:rsidRPr="006E402F">
              <w:rPr>
                <w:sz w:val="22"/>
                <w:szCs w:val="22"/>
              </w:rPr>
              <w:t>x</w:t>
            </w:r>
          </w:p>
        </w:tc>
        <w:tc>
          <w:tcPr>
            <w:tcW w:w="450" w:type="dxa"/>
          </w:tcPr>
          <w:p w14:paraId="6A7A6719" w14:textId="77777777" w:rsidR="005F2F76" w:rsidRPr="006E402F" w:rsidRDefault="005F2F76" w:rsidP="005F2F76">
            <w:pPr>
              <w:pStyle w:val="GLSTableBullet1"/>
              <w:spacing w:before="0" w:after="0"/>
              <w:rPr>
                <w:sz w:val="22"/>
                <w:szCs w:val="22"/>
              </w:rPr>
            </w:pPr>
            <w:r w:rsidRPr="006E402F">
              <w:rPr>
                <w:sz w:val="22"/>
                <w:szCs w:val="22"/>
              </w:rPr>
              <w:t>x</w:t>
            </w:r>
          </w:p>
        </w:tc>
      </w:tr>
    </w:tbl>
    <w:p w14:paraId="292A91CC" w14:textId="2CF0147B" w:rsidR="005701B4" w:rsidRPr="00B5673F" w:rsidRDefault="00837BCE" w:rsidP="00CF5DFC">
      <w:pPr>
        <w:pStyle w:val="GLSBody"/>
        <w:keepNext/>
        <w:spacing w:before="240" w:after="60"/>
        <w:rPr>
          <w:rFonts w:ascii="Tw Cen MT" w:hAnsi="Tw Cen MT" w:cs="Arial"/>
          <w:i/>
          <w:sz w:val="28"/>
          <w:szCs w:val="28"/>
        </w:rPr>
      </w:pPr>
      <w:r w:rsidRPr="00B5673F">
        <w:rPr>
          <w:rFonts w:ascii="Tw Cen MT" w:hAnsi="Tw Cen MT" w:cs="Arial"/>
          <w:i/>
          <w:sz w:val="28"/>
          <w:szCs w:val="28"/>
        </w:rPr>
        <w:t>SSE</w:t>
      </w:r>
      <w:r w:rsidR="00525CAA" w:rsidRPr="00B5673F">
        <w:rPr>
          <w:rFonts w:ascii="Tw Cen MT" w:hAnsi="Tw Cen MT" w:cs="Arial"/>
          <w:i/>
          <w:sz w:val="28"/>
          <w:szCs w:val="28"/>
        </w:rPr>
        <w:t xml:space="preserve"> Study</w:t>
      </w:r>
      <w:r w:rsidR="006F36B9" w:rsidRPr="00B5673F">
        <w:rPr>
          <w:rFonts w:ascii="Tw Cen MT" w:hAnsi="Tw Cen MT" w:cs="Arial"/>
          <w:i/>
          <w:sz w:val="28"/>
          <w:szCs w:val="28"/>
        </w:rPr>
        <w:t xml:space="preserve"> Core</w:t>
      </w:r>
    </w:p>
    <w:p w14:paraId="61280CE2" w14:textId="77777777" w:rsidR="005701B4" w:rsidRDefault="005701B4" w:rsidP="00CF5DFC">
      <w:pPr>
        <w:pStyle w:val="GLSBody"/>
        <w:spacing w:after="200"/>
      </w:pPr>
      <w:r w:rsidRPr="00160AFC">
        <w:t xml:space="preserve">The </w:t>
      </w:r>
      <w:r>
        <w:t xml:space="preserve">SSE core study uses </w:t>
      </w:r>
      <w:r w:rsidRPr="00160AFC">
        <w:t>primary and secondary data</w:t>
      </w:r>
      <w:r>
        <w:t xml:space="preserve"> collections—</w:t>
      </w:r>
      <w:r w:rsidRPr="00160AFC">
        <w:t>student surveys, provider surveys, and behavioral health services data extraction activities</w:t>
      </w:r>
      <w:r>
        <w:t>—to document</w:t>
      </w:r>
      <w:r w:rsidRPr="00160AFC">
        <w:t xml:space="preserve"> the nature, extent, and changes </w:t>
      </w:r>
      <w:r>
        <w:t>in SSE practices over time</w:t>
      </w:r>
      <w:r w:rsidRPr="00160AFC">
        <w:t>. Together, the data collection activities also address the long-term outcomes of reductions in suicide attempts and deaths and associations with SSE care implementation. Across the core SSE data collection activities, there is no site selection required, as the activities apply to all relevant</w:t>
      </w:r>
      <w:r>
        <w:t xml:space="preserve"> Campus or State/Tribal grantees</w:t>
      </w:r>
      <w:r w:rsidRPr="00160AFC">
        <w:t>.</w:t>
      </w:r>
    </w:p>
    <w:p w14:paraId="588328C5" w14:textId="1154D6B3" w:rsidR="005701B4" w:rsidRPr="00160AFC" w:rsidRDefault="006A210B" w:rsidP="00CF5DFC">
      <w:pPr>
        <w:pStyle w:val="GLSBody"/>
        <w:spacing w:after="200"/>
      </w:pPr>
      <w:r>
        <w:t xml:space="preserve">Across State/Tribal grantees, the </w:t>
      </w:r>
      <w:r w:rsidRPr="00160AFC">
        <w:t xml:space="preserve">bulk of the suicide safer care activities will occur within partnering behavioral health provider organization or other providers </w:t>
      </w:r>
      <w:r>
        <w:t>in associated</w:t>
      </w:r>
      <w:r w:rsidRPr="00160AFC">
        <w:t xml:space="preserve"> referral networks who identify and refer at-risk </w:t>
      </w:r>
      <w:r w:rsidR="0092755E">
        <w:t>youth</w:t>
      </w:r>
      <w:r w:rsidRPr="00160AFC">
        <w:t xml:space="preserve"> to health care settings. </w:t>
      </w:r>
      <w:r>
        <w:t xml:space="preserve">State/Tribal </w:t>
      </w:r>
      <w:r w:rsidRPr="00160AFC">
        <w:t xml:space="preserve">core activities </w:t>
      </w:r>
      <w:r>
        <w:t>will</w:t>
      </w:r>
      <w:r w:rsidRPr="00160AFC">
        <w:t xml:space="preserve"> gather</w:t>
      </w:r>
      <w:r>
        <w:t xml:space="preserve"> </w:t>
      </w:r>
      <w:r w:rsidRPr="00160AFC">
        <w:t xml:space="preserve">implementation and outcome information </w:t>
      </w:r>
      <w:r>
        <w:t xml:space="preserve">from </w:t>
      </w:r>
      <w:r w:rsidRPr="00160AFC">
        <w:t xml:space="preserve">provider and referral organizations. </w:t>
      </w:r>
      <w:r>
        <w:t>Grantee p</w:t>
      </w:r>
      <w:r w:rsidRPr="00160AFC">
        <w:t xml:space="preserve">artnering </w:t>
      </w:r>
      <w:r>
        <w:t>providers</w:t>
      </w:r>
      <w:r w:rsidRPr="00160AFC">
        <w:t xml:space="preserve"> </w:t>
      </w:r>
      <w:r>
        <w:t xml:space="preserve">will provide information about </w:t>
      </w:r>
      <w:r w:rsidRPr="00160AFC">
        <w:t>SSE care practice implementation and client outcomes (number of su</w:t>
      </w:r>
      <w:r>
        <w:t xml:space="preserve">icide attempts and deaths) through the </w:t>
      </w:r>
      <w:r w:rsidRPr="00733584">
        <w:rPr>
          <w:b/>
        </w:rPr>
        <w:t>BHPS</w:t>
      </w:r>
      <w:r>
        <w:t>.</w:t>
      </w:r>
      <w:r w:rsidRPr="00160AFC">
        <w:t xml:space="preserve"> </w:t>
      </w:r>
    </w:p>
    <w:p w14:paraId="65949CA3" w14:textId="1A2BA06D" w:rsidR="006A210B" w:rsidRDefault="006A210B" w:rsidP="006A210B">
      <w:pPr>
        <w:pStyle w:val="GLSBody"/>
      </w:pPr>
      <w:r w:rsidRPr="00160AFC">
        <w:t>Within the Campus grantee setting, the SSE Study applies primarily to campus behavioral health provision</w:t>
      </w:r>
      <w:r>
        <w:t xml:space="preserve">—for example, </w:t>
      </w:r>
      <w:r w:rsidRPr="00160AFC">
        <w:t xml:space="preserve">looking at suicide safer care practice implementation within campus counseling centers or suicide screening and referral practices within campus primary health care settings. </w:t>
      </w:r>
      <w:r>
        <w:t xml:space="preserve">All Campus grantees will complete the </w:t>
      </w:r>
      <w:r w:rsidRPr="00C9531E">
        <w:rPr>
          <w:b/>
        </w:rPr>
        <w:t>SBHF</w:t>
      </w:r>
      <w:r>
        <w:t xml:space="preserve"> data abstraction and submission which gathers </w:t>
      </w:r>
      <w:r w:rsidRPr="00160AFC">
        <w:t xml:space="preserve">existing de-identified data about </w:t>
      </w:r>
      <w:r>
        <w:t xml:space="preserve">the </w:t>
      </w:r>
      <w:r w:rsidRPr="00160AFC">
        <w:t xml:space="preserve">types and numbers of behavioral health services provided on campus, </w:t>
      </w:r>
      <w:r>
        <w:t xml:space="preserve">the </w:t>
      </w:r>
      <w:r w:rsidRPr="00160AFC">
        <w:t xml:space="preserve">number of </w:t>
      </w:r>
      <w:r w:rsidR="0092755E">
        <w:t>youth</w:t>
      </w:r>
      <w:r w:rsidRPr="00160AFC">
        <w:t xml:space="preserve"> screened for suicide risk, referrals to services off campus, </w:t>
      </w:r>
      <w:r>
        <w:t>student</w:t>
      </w:r>
      <w:r w:rsidRPr="00160AFC">
        <w:t xml:space="preserve"> suicide attempts </w:t>
      </w:r>
      <w:r>
        <w:t>and</w:t>
      </w:r>
      <w:r w:rsidRPr="00160AFC">
        <w:t xml:space="preserve"> completions</w:t>
      </w:r>
      <w:r>
        <w:t xml:space="preserve">, </w:t>
      </w:r>
      <w:r w:rsidRPr="00160AFC">
        <w:t xml:space="preserve">and </w:t>
      </w:r>
      <w:r>
        <w:t xml:space="preserve">the </w:t>
      </w:r>
      <w:r w:rsidRPr="00160AFC">
        <w:t xml:space="preserve">number of follow-ups with </w:t>
      </w:r>
      <w:r>
        <w:t xml:space="preserve">at-risk </w:t>
      </w:r>
      <w:r w:rsidRPr="00160AFC">
        <w:t xml:space="preserve">students identified and/or </w:t>
      </w:r>
      <w:r>
        <w:t xml:space="preserve">those who </w:t>
      </w:r>
      <w:r w:rsidRPr="00160AFC">
        <w:t xml:space="preserve">attempted suicide. </w:t>
      </w:r>
      <w:r>
        <w:t>Information about screening</w:t>
      </w:r>
      <w:r w:rsidRPr="00160AFC">
        <w:t xml:space="preserve">, referring, </w:t>
      </w:r>
      <w:r>
        <w:t xml:space="preserve">and </w:t>
      </w:r>
      <w:r w:rsidRPr="00160AFC">
        <w:t>assessing suicide risk</w:t>
      </w:r>
      <w:r w:rsidRPr="00521128">
        <w:t xml:space="preserve"> </w:t>
      </w:r>
      <w:r w:rsidRPr="00160AFC">
        <w:t xml:space="preserve">procedures, </w:t>
      </w:r>
      <w:r>
        <w:t xml:space="preserve">as well as </w:t>
      </w:r>
      <w:r w:rsidRPr="00160AFC">
        <w:t>service provision</w:t>
      </w:r>
      <w:r>
        <w:t xml:space="preserve"> help </w:t>
      </w:r>
      <w:r w:rsidRPr="00160AFC">
        <w:t xml:space="preserve">to document the extent of suicide safer practices implemented within campus health services. </w:t>
      </w:r>
    </w:p>
    <w:p w14:paraId="48D2FFAD" w14:textId="6FF25142" w:rsidR="005701B4" w:rsidRPr="00B5673F" w:rsidRDefault="00837BCE" w:rsidP="006A210B">
      <w:pPr>
        <w:pStyle w:val="GLSBody"/>
        <w:keepNext/>
        <w:spacing w:before="240" w:after="60"/>
        <w:rPr>
          <w:rFonts w:ascii="Tw Cen MT" w:hAnsi="Tw Cen MT" w:cs="Arial"/>
          <w:i/>
          <w:sz w:val="28"/>
          <w:szCs w:val="28"/>
        </w:rPr>
      </w:pPr>
      <w:r w:rsidRPr="00B5673F">
        <w:rPr>
          <w:rFonts w:ascii="Tw Cen MT" w:hAnsi="Tw Cen MT" w:cs="Arial"/>
          <w:i/>
          <w:sz w:val="28"/>
          <w:szCs w:val="28"/>
        </w:rPr>
        <w:t xml:space="preserve">SSE </w:t>
      </w:r>
      <w:r w:rsidR="00525CAA" w:rsidRPr="00B5673F">
        <w:rPr>
          <w:rFonts w:ascii="Tw Cen MT" w:hAnsi="Tw Cen MT" w:cs="Arial"/>
          <w:i/>
          <w:sz w:val="28"/>
          <w:szCs w:val="28"/>
        </w:rPr>
        <w:t>Cohort Study (</w:t>
      </w:r>
      <w:r w:rsidR="00D23D1F">
        <w:rPr>
          <w:rFonts w:ascii="Tw Cen MT" w:hAnsi="Tw Cen MT" w:cs="Arial"/>
          <w:i/>
          <w:sz w:val="28"/>
          <w:szCs w:val="28"/>
        </w:rPr>
        <w:t>MAX</w:t>
      </w:r>
      <w:r w:rsidR="00525CAA" w:rsidRPr="00B5673F">
        <w:rPr>
          <w:rFonts w:ascii="Tw Cen MT" w:hAnsi="Tw Cen MT" w:cs="Arial"/>
          <w:i/>
          <w:sz w:val="28"/>
          <w:szCs w:val="28"/>
        </w:rPr>
        <w:t xml:space="preserve"> Analysis)</w:t>
      </w:r>
    </w:p>
    <w:p w14:paraId="48EE0B74" w14:textId="4CB7FCC7" w:rsidR="006A210B" w:rsidRDefault="006A210B" w:rsidP="00CF5DFC">
      <w:pPr>
        <w:pStyle w:val="GLSBody"/>
        <w:spacing w:after="200"/>
        <w:rPr>
          <w:rFonts w:eastAsiaTheme="minorHAnsi"/>
        </w:rPr>
      </w:pPr>
      <w:r>
        <w:t xml:space="preserve">No primary data are directly collected for the enhanced SSE. Rather, the </w:t>
      </w:r>
      <w:r w:rsidRPr="00265507">
        <w:rPr>
          <w:rFonts w:eastAsiaTheme="minorHAnsi"/>
        </w:rPr>
        <w:t xml:space="preserve">study </w:t>
      </w:r>
      <w:r w:rsidRPr="00265507">
        <w:rPr>
          <w:rFonts w:eastAsia="Calibri"/>
        </w:rPr>
        <w:t xml:space="preserve">uses Medicaid claims data to examine the effects of provider services by comparing outcomes (attempts, mortality, hospitalizations) of </w:t>
      </w:r>
      <w:r w:rsidR="0092755E">
        <w:rPr>
          <w:rFonts w:eastAsia="Calibri"/>
        </w:rPr>
        <w:t>youth</w:t>
      </w:r>
      <w:r w:rsidRPr="00265507">
        <w:rPr>
          <w:rFonts w:eastAsia="Calibri"/>
        </w:rPr>
        <w:t xml:space="preserve"> served in enhanced suicide safer environment contexts with youth receiving usual care (providers not implementing a suicide safer environment framework). The study </w:t>
      </w:r>
      <w:r w:rsidRPr="00265507">
        <w:rPr>
          <w:rFonts w:eastAsiaTheme="minorHAnsi"/>
        </w:rPr>
        <w:t xml:space="preserve">will look in-depth at the outcomes of clients served by GLS-partnering providers and draw on </w:t>
      </w:r>
      <w:r>
        <w:rPr>
          <w:rFonts w:eastAsiaTheme="minorHAnsi"/>
        </w:rPr>
        <w:t xml:space="preserve">extant claims data </w:t>
      </w:r>
      <w:r w:rsidRPr="00265507">
        <w:rPr>
          <w:rFonts w:eastAsiaTheme="minorHAnsi"/>
        </w:rPr>
        <w:t>as the main outcomes source for GLS-partnering providers and providers not associated with GLS grantees (as a control in analyses).</w:t>
      </w:r>
    </w:p>
    <w:p w14:paraId="6F3A42D8" w14:textId="77777777" w:rsidR="006A210B" w:rsidRDefault="006A210B" w:rsidP="00CF5DFC">
      <w:pPr>
        <w:pStyle w:val="GLSBody"/>
        <w:spacing w:after="200"/>
      </w:pPr>
      <w:r>
        <w:t>Given the SSE focus</w:t>
      </w:r>
      <w:r w:rsidRPr="00160AFC">
        <w:t xml:space="preserve"> </w:t>
      </w:r>
      <w:r>
        <w:t xml:space="preserve">on </w:t>
      </w:r>
      <w:r w:rsidRPr="00160AFC">
        <w:t>health care setting</w:t>
      </w:r>
      <w:r>
        <w:t xml:space="preserve">s, it is critical to develop a full understanding of the </w:t>
      </w:r>
      <w:r w:rsidRPr="00160AFC">
        <w:t xml:space="preserve">SSE </w:t>
      </w:r>
      <w:r w:rsidRPr="00BF1A8A">
        <w:t>care practices undertaken by GLS partnering providers, as well as relationship of care practices w</w:t>
      </w:r>
      <w:r>
        <w:t>ith</w:t>
      </w:r>
      <w:r w:rsidRPr="00160AFC">
        <w:t xml:space="preserve"> long-term outcomes </w:t>
      </w:r>
      <w:r>
        <w:t>(</w:t>
      </w:r>
      <w:r w:rsidRPr="00160AFC">
        <w:t>reductions in suicide attempts and deaths</w:t>
      </w:r>
      <w:r>
        <w:t xml:space="preserve">), particularly nonfatal suicide attempts requiring medical attention. To effectively </w:t>
      </w:r>
      <w:r w:rsidRPr="00160AFC">
        <w:t>measure sui</w:t>
      </w:r>
      <w:r>
        <w:t xml:space="preserve">cide attempts and deaths among </w:t>
      </w:r>
      <w:r w:rsidRPr="00160AFC">
        <w:t xml:space="preserve">client populations served by </w:t>
      </w:r>
      <w:r>
        <w:t>GLS partnering</w:t>
      </w:r>
      <w:r w:rsidRPr="00160AFC">
        <w:t xml:space="preserve"> </w:t>
      </w:r>
      <w:r>
        <w:t>providers, a control group must be used. Thus, the enhanced study component draws on extant Medicaid claims data (MAX)—specifically, patients</w:t>
      </w:r>
      <w:r w:rsidRPr="00160AFC">
        <w:t xml:space="preserve"> with Medicaid coverage</w:t>
      </w:r>
      <w:r>
        <w:t xml:space="preserve">—to compare </w:t>
      </w:r>
      <w:r w:rsidRPr="00160AFC">
        <w:t>outcomes</w:t>
      </w:r>
      <w:r>
        <w:rPr>
          <w:b/>
        </w:rPr>
        <w:t xml:space="preserve"> </w:t>
      </w:r>
      <w:r>
        <w:t>across two cohorts:</w:t>
      </w:r>
    </w:p>
    <w:p w14:paraId="29235347" w14:textId="77777777" w:rsidR="006A210B" w:rsidRDefault="006A210B" w:rsidP="00CB1EDA">
      <w:pPr>
        <w:pStyle w:val="GLSBody"/>
        <w:numPr>
          <w:ilvl w:val="0"/>
          <w:numId w:val="25"/>
        </w:numPr>
        <w:spacing w:after="60"/>
      </w:pPr>
      <w:r>
        <w:t>1,000 youth identified as at risk through the GLS program for the year following their contact with a GLS behavioral health provider (test group)</w:t>
      </w:r>
    </w:p>
    <w:p w14:paraId="4B3E998B" w14:textId="77777777" w:rsidR="006A210B" w:rsidRDefault="006A210B" w:rsidP="00CF5DFC">
      <w:pPr>
        <w:pStyle w:val="GLSBody"/>
        <w:numPr>
          <w:ilvl w:val="0"/>
          <w:numId w:val="25"/>
        </w:numPr>
        <w:spacing w:after="200"/>
      </w:pPr>
      <w:r>
        <w:t>1,000 youth</w:t>
      </w:r>
      <w:r w:rsidRPr="00547E55">
        <w:t xml:space="preserve"> </w:t>
      </w:r>
      <w:r>
        <w:t xml:space="preserve">experiencing </w:t>
      </w:r>
      <w:r w:rsidRPr="00160AFC">
        <w:t>similar circumstances</w:t>
      </w:r>
      <w:r>
        <w:t xml:space="preserve"> for the year following their contact with</w:t>
      </w:r>
      <w:r w:rsidRPr="00160AFC">
        <w:t xml:space="preserve"> </w:t>
      </w:r>
      <w:r w:rsidRPr="00547E55">
        <w:rPr>
          <w:i/>
        </w:rPr>
        <w:t>non</w:t>
      </w:r>
      <w:r w:rsidRPr="00160AFC">
        <w:t>-GLS providers</w:t>
      </w:r>
      <w:r>
        <w:t xml:space="preserve"> (control group)</w:t>
      </w:r>
    </w:p>
    <w:p w14:paraId="22D42539" w14:textId="6FB7ED27" w:rsidR="005701B4" w:rsidRPr="00445099" w:rsidRDefault="006A210B" w:rsidP="00CF5DFC">
      <w:pPr>
        <w:pStyle w:val="GLSBody"/>
        <w:spacing w:after="200"/>
      </w:pPr>
      <w:r w:rsidRPr="007720D6">
        <w:t>The</w:t>
      </w:r>
      <w:r>
        <w:rPr>
          <w:b/>
        </w:rPr>
        <w:t xml:space="preserve"> </w:t>
      </w:r>
      <w:r w:rsidRPr="00377779">
        <w:rPr>
          <w:b/>
        </w:rPr>
        <w:t>MAX</w:t>
      </w:r>
      <w:r>
        <w:t xml:space="preserve"> c</w:t>
      </w:r>
      <w:r w:rsidRPr="00160AFC">
        <w:t>laim</w:t>
      </w:r>
      <w:r>
        <w:t>s</w:t>
      </w:r>
      <w:r w:rsidRPr="00160AFC">
        <w:t xml:space="preserve"> data can be used to (1) identify the population at risk of suicide </w:t>
      </w:r>
      <w:r>
        <w:t>who reach</w:t>
      </w:r>
      <w:r w:rsidRPr="00160AFC">
        <w:t xml:space="preserve"> the health service </w:t>
      </w:r>
      <w:r>
        <w:t>s</w:t>
      </w:r>
      <w:r w:rsidRPr="00160AFC">
        <w:t>ystem (through diagnosis and service use)</w:t>
      </w:r>
      <w:r>
        <w:t>,</w:t>
      </w:r>
      <w:r w:rsidRPr="00160AFC">
        <w:t xml:space="preserve"> and (2) obtain pertinent patient-level outcome measures (injury requiring medical attention, hospital admission</w:t>
      </w:r>
      <w:r>
        <w:t>, in-hospital deaths</w:t>
      </w:r>
      <w:r w:rsidRPr="00160AFC">
        <w:t>). Longitudinal information on the same patient is available across multiple health care providers</w:t>
      </w:r>
      <w:r>
        <w:t xml:space="preserve"> when </w:t>
      </w:r>
      <w:r w:rsidRPr="00160AFC">
        <w:t xml:space="preserve">the patient remains with the same insurance provider. </w:t>
      </w:r>
      <w:r>
        <w:t>MAX</w:t>
      </w:r>
      <w:r w:rsidRPr="00160AFC">
        <w:t xml:space="preserve"> can be linked to the provider-level information collected through the </w:t>
      </w:r>
      <w:r w:rsidRPr="00377779">
        <w:rPr>
          <w:b/>
        </w:rPr>
        <w:t>BHPS</w:t>
      </w:r>
      <w:r w:rsidRPr="00160AFC">
        <w:t xml:space="preserve"> using provider identifiers. </w:t>
      </w:r>
      <w:r w:rsidR="00EB48CD">
        <w:t xml:space="preserve">All </w:t>
      </w:r>
      <w:r w:rsidR="00EB48CD" w:rsidRPr="000F152B">
        <w:t xml:space="preserve">States/Tribes </w:t>
      </w:r>
      <w:r w:rsidR="00EB48CD">
        <w:t>with available claims data and BHPS</w:t>
      </w:r>
      <w:r w:rsidR="00FA6228">
        <w:t xml:space="preserve"> </w:t>
      </w:r>
      <w:r w:rsidR="00EB48CD">
        <w:t xml:space="preserve">data </w:t>
      </w:r>
      <w:r w:rsidR="00EB48CD" w:rsidRPr="000F152B">
        <w:t>will</w:t>
      </w:r>
      <w:r w:rsidR="00EB48CD" w:rsidRPr="00160AFC">
        <w:t xml:space="preserve"> be </w:t>
      </w:r>
      <w:r w:rsidR="00EB48CD">
        <w:t>included in</w:t>
      </w:r>
      <w:r w:rsidR="00EB48CD" w:rsidRPr="00160AFC">
        <w:t xml:space="preserve"> the </w:t>
      </w:r>
      <w:r w:rsidR="00EB48CD">
        <w:t xml:space="preserve">enhanced </w:t>
      </w:r>
      <w:r w:rsidR="00EB48CD" w:rsidRPr="00160AFC">
        <w:t xml:space="preserve">claims analysis. Because the MAX data are available for all States for a single access fee, there will be flexibility </w:t>
      </w:r>
      <w:r w:rsidR="00EB48CD">
        <w:t>around</w:t>
      </w:r>
      <w:r w:rsidR="00EB48CD" w:rsidRPr="00160AFC">
        <w:t xml:space="preserve"> cohort sizes if necessary. </w:t>
      </w:r>
    </w:p>
    <w:p w14:paraId="03E0BC18" w14:textId="657DE7B9" w:rsidR="00034EE7" w:rsidRPr="00920109" w:rsidRDefault="00034EE7" w:rsidP="003536EA">
      <w:pPr>
        <w:pStyle w:val="SuicideBodyText"/>
        <w:keepNext/>
        <w:numPr>
          <w:ilvl w:val="0"/>
          <w:numId w:val="36"/>
        </w:numPr>
        <w:spacing w:before="240" w:after="120"/>
        <w:rPr>
          <w:rFonts w:ascii="Tw Cen MT" w:hAnsi="Tw Cen MT" w:cs="Arial"/>
          <w:b/>
          <w:sz w:val="28"/>
          <w:szCs w:val="28"/>
        </w:rPr>
      </w:pPr>
      <w:r w:rsidRPr="00920109">
        <w:rPr>
          <w:rFonts w:ascii="Tw Cen MT" w:hAnsi="Tw Cen MT" w:cs="Arial"/>
          <w:b/>
          <w:sz w:val="28"/>
          <w:szCs w:val="28"/>
        </w:rPr>
        <w:t>Revisions</w:t>
      </w:r>
    </w:p>
    <w:p w14:paraId="5F9C9160" w14:textId="2D33404D" w:rsidR="00034EE7" w:rsidRDefault="00034EE7" w:rsidP="00CF5DFC">
      <w:pPr>
        <w:pStyle w:val="SuicideBodyText"/>
        <w:spacing w:after="200"/>
      </w:pPr>
      <w:r>
        <w:t xml:space="preserve">Exhibit </w:t>
      </w:r>
      <w:r w:rsidR="00DD1247">
        <w:t>5</w:t>
      </w:r>
      <w:r>
        <w:t xml:space="preserve"> contains a </w:t>
      </w:r>
      <w:r w:rsidRPr="003A3348">
        <w:t>summary of revisions</w:t>
      </w:r>
      <w:r>
        <w:t xml:space="preserve"> </w:t>
      </w:r>
      <w:r w:rsidRPr="003A3348">
        <w:t>to the previously</w:t>
      </w:r>
      <w:r>
        <w:t>-</w:t>
      </w:r>
      <w:r w:rsidRPr="003A3348">
        <w:t>approved cross-site evaluation package and the rationale behind each of the changes</w:t>
      </w:r>
      <w:r>
        <w:t xml:space="preserve">. </w:t>
      </w:r>
    </w:p>
    <w:p w14:paraId="1481F39C" w14:textId="25CCAD83" w:rsidR="00034EE7" w:rsidRPr="00525CAA" w:rsidRDefault="00034EE7" w:rsidP="005E6C37">
      <w:pPr>
        <w:pStyle w:val="GLSBody"/>
        <w:keepNext/>
        <w:spacing w:after="120"/>
        <w:rPr>
          <w:rFonts w:ascii="Tw Cen MT" w:hAnsi="Tw Cen MT" w:cs="Arial"/>
          <w:b/>
        </w:rPr>
      </w:pPr>
      <w:proofErr w:type="gramStart"/>
      <w:r w:rsidRPr="00525CAA">
        <w:rPr>
          <w:rFonts w:ascii="Tw Cen MT" w:hAnsi="Tw Cen MT" w:cs="Arial"/>
          <w:b/>
        </w:rPr>
        <w:t xml:space="preserve">Exhibit </w:t>
      </w:r>
      <w:r w:rsidR="00DD1247">
        <w:rPr>
          <w:rFonts w:ascii="Tw Cen MT" w:hAnsi="Tw Cen MT" w:cs="Arial"/>
          <w:b/>
        </w:rPr>
        <w:t>5</w:t>
      </w:r>
      <w:r w:rsidRPr="00525CAA">
        <w:rPr>
          <w:rFonts w:ascii="Tw Cen MT" w:hAnsi="Tw Cen MT" w:cs="Arial"/>
          <w:b/>
        </w:rPr>
        <w:t>.</w:t>
      </w:r>
      <w:proofErr w:type="gramEnd"/>
      <w:r w:rsidRPr="00525CAA">
        <w:rPr>
          <w:rFonts w:ascii="Tw Cen MT" w:hAnsi="Tw Cen MT" w:cs="Arial"/>
          <w:b/>
        </w:rPr>
        <w:t xml:space="preserve"> Revisions to the Evaluation</w:t>
      </w:r>
    </w:p>
    <w:tbl>
      <w:tblPr>
        <w:tblStyle w:val="TableGrid"/>
        <w:tblW w:w="9535" w:type="dxa"/>
        <w:tblLayout w:type="fixed"/>
        <w:tblCellMar>
          <w:top w:w="43" w:type="dxa"/>
          <w:left w:w="115" w:type="dxa"/>
          <w:bottom w:w="43" w:type="dxa"/>
          <w:right w:w="115" w:type="dxa"/>
        </w:tblCellMar>
        <w:tblLook w:val="04A0" w:firstRow="1" w:lastRow="0" w:firstColumn="1" w:lastColumn="0" w:noHBand="0" w:noVBand="1"/>
      </w:tblPr>
      <w:tblGrid>
        <w:gridCol w:w="1435"/>
        <w:gridCol w:w="8100"/>
      </w:tblGrid>
      <w:tr w:rsidR="00034EE7" w:rsidRPr="00CF6DB0" w14:paraId="247C1EF1" w14:textId="77777777" w:rsidTr="006E402F">
        <w:trPr>
          <w:cantSplit/>
          <w:tblHeader/>
        </w:trPr>
        <w:tc>
          <w:tcPr>
            <w:tcW w:w="1435" w:type="dxa"/>
            <w:tcBorders>
              <w:bottom w:val="single" w:sz="4" w:space="0" w:color="auto"/>
            </w:tcBorders>
            <w:shd w:val="clear" w:color="auto" w:fill="404040" w:themeFill="text1" w:themeFillTint="BF"/>
          </w:tcPr>
          <w:p w14:paraId="586B5215" w14:textId="77777777" w:rsidR="00034EE7" w:rsidRPr="00CF6DB0" w:rsidRDefault="00034EE7" w:rsidP="00003B96">
            <w:pPr>
              <w:jc w:val="center"/>
              <w:rPr>
                <w:rFonts w:ascii="Tw Cen MT" w:hAnsi="Tw Cen MT"/>
                <w:color w:val="FFFFFF" w:themeColor="background1"/>
                <w:sz w:val="22"/>
                <w:szCs w:val="22"/>
              </w:rPr>
            </w:pPr>
            <w:r w:rsidRPr="00CF6DB0">
              <w:rPr>
                <w:rFonts w:ascii="Tw Cen MT" w:hAnsi="Tw Cen MT"/>
                <w:color w:val="FFFFFF" w:themeColor="background1"/>
                <w:sz w:val="22"/>
                <w:szCs w:val="22"/>
              </w:rPr>
              <w:t xml:space="preserve">Revision </w:t>
            </w:r>
          </w:p>
        </w:tc>
        <w:tc>
          <w:tcPr>
            <w:tcW w:w="8100" w:type="dxa"/>
            <w:tcBorders>
              <w:bottom w:val="single" w:sz="4" w:space="0" w:color="auto"/>
            </w:tcBorders>
            <w:shd w:val="clear" w:color="auto" w:fill="404040" w:themeFill="text1" w:themeFillTint="BF"/>
          </w:tcPr>
          <w:p w14:paraId="2838C220" w14:textId="77777777" w:rsidR="00034EE7" w:rsidRPr="00CF6DB0" w:rsidRDefault="00034EE7" w:rsidP="00943D93">
            <w:pPr>
              <w:jc w:val="center"/>
              <w:rPr>
                <w:rFonts w:ascii="Tw Cen MT" w:hAnsi="Tw Cen MT"/>
                <w:color w:val="FFFFFF" w:themeColor="background1"/>
                <w:sz w:val="22"/>
                <w:szCs w:val="22"/>
              </w:rPr>
            </w:pPr>
            <w:r w:rsidRPr="00CF6DB0">
              <w:rPr>
                <w:rFonts w:ascii="Tw Cen MT" w:hAnsi="Tw Cen MT"/>
                <w:color w:val="FFFFFF" w:themeColor="background1"/>
                <w:sz w:val="22"/>
                <w:szCs w:val="22"/>
              </w:rPr>
              <w:t>Rationale</w:t>
            </w:r>
          </w:p>
        </w:tc>
      </w:tr>
      <w:tr w:rsidR="00034EE7" w:rsidRPr="00CF6DB0" w14:paraId="712D9F81" w14:textId="77777777" w:rsidTr="006E402F">
        <w:tc>
          <w:tcPr>
            <w:tcW w:w="1435" w:type="dxa"/>
          </w:tcPr>
          <w:p w14:paraId="48BBCACF" w14:textId="77777777" w:rsidR="00034EE7" w:rsidRPr="00CF6DB0" w:rsidRDefault="00034EE7" w:rsidP="00003B96">
            <w:pPr>
              <w:jc w:val="left"/>
              <w:rPr>
                <w:rFonts w:ascii="Tw Cen MT" w:hAnsi="Tw Cen MT"/>
                <w:sz w:val="22"/>
                <w:szCs w:val="22"/>
              </w:rPr>
            </w:pPr>
            <w:r w:rsidRPr="00CF6DB0">
              <w:rPr>
                <w:rFonts w:ascii="Tw Cen MT" w:hAnsi="Tw Cen MT"/>
                <w:sz w:val="22"/>
                <w:szCs w:val="22"/>
              </w:rPr>
              <w:t>Title</w:t>
            </w:r>
          </w:p>
        </w:tc>
        <w:tc>
          <w:tcPr>
            <w:tcW w:w="8100" w:type="dxa"/>
          </w:tcPr>
          <w:p w14:paraId="67603712" w14:textId="7EE7BE7D" w:rsidR="00034EE7" w:rsidRPr="00CF6DB0" w:rsidRDefault="002B3CB6" w:rsidP="004A7201">
            <w:pPr>
              <w:rPr>
                <w:rFonts w:ascii="Tw Cen MT" w:eastAsia="Calibri" w:hAnsi="Tw Cen MT"/>
                <w:sz w:val="22"/>
                <w:szCs w:val="22"/>
              </w:rPr>
            </w:pPr>
            <w:r w:rsidRPr="00CF6DB0">
              <w:rPr>
                <w:rFonts w:ascii="Tw Cen MT" w:hAnsi="Tw Cen MT"/>
                <w:sz w:val="22"/>
                <w:szCs w:val="22"/>
              </w:rPr>
              <w:t>T</w:t>
            </w:r>
            <w:r w:rsidR="00034EE7" w:rsidRPr="00CF6DB0">
              <w:rPr>
                <w:rFonts w:ascii="Tw Cen MT" w:hAnsi="Tw Cen MT"/>
                <w:sz w:val="22"/>
                <w:szCs w:val="22"/>
              </w:rPr>
              <w:t xml:space="preserve">he </w:t>
            </w:r>
            <w:r w:rsidR="00912BE2" w:rsidRPr="00CF6DB0">
              <w:rPr>
                <w:rFonts w:ascii="Tw Cen MT" w:hAnsi="Tw Cen MT"/>
                <w:sz w:val="22"/>
                <w:szCs w:val="22"/>
              </w:rPr>
              <w:t>c</w:t>
            </w:r>
            <w:r w:rsidR="00034EE7" w:rsidRPr="00CF6DB0">
              <w:rPr>
                <w:rFonts w:ascii="Tw Cen MT" w:hAnsi="Tw Cen MT"/>
                <w:sz w:val="22"/>
                <w:szCs w:val="22"/>
              </w:rPr>
              <w:t xml:space="preserve">ross-site </w:t>
            </w:r>
            <w:r w:rsidR="00912BE2" w:rsidRPr="00CF6DB0">
              <w:rPr>
                <w:rFonts w:ascii="Tw Cen MT" w:hAnsi="Tw Cen MT"/>
                <w:sz w:val="22"/>
                <w:szCs w:val="22"/>
              </w:rPr>
              <w:t>e</w:t>
            </w:r>
            <w:r w:rsidR="00034EE7" w:rsidRPr="00CF6DB0">
              <w:rPr>
                <w:rFonts w:ascii="Tw Cen MT" w:hAnsi="Tw Cen MT"/>
                <w:sz w:val="22"/>
                <w:szCs w:val="22"/>
              </w:rPr>
              <w:t>valuation will be renamed the National Outcomes Evaluation</w:t>
            </w:r>
            <w:r w:rsidR="00912BE2" w:rsidRPr="00CF6DB0">
              <w:rPr>
                <w:rFonts w:ascii="Tw Cen MT" w:hAnsi="Tw Cen MT"/>
                <w:sz w:val="22"/>
                <w:szCs w:val="22"/>
              </w:rPr>
              <w:t xml:space="preserve"> (NOE)</w:t>
            </w:r>
            <w:r w:rsidR="00034EE7" w:rsidRPr="00CF6DB0">
              <w:rPr>
                <w:rFonts w:ascii="Tw Cen MT" w:hAnsi="Tw Cen MT"/>
                <w:sz w:val="22"/>
                <w:szCs w:val="22"/>
              </w:rPr>
              <w:t>, reflecting SAMHSA’s desire to focus on outcomes of the GLS program.</w:t>
            </w:r>
          </w:p>
        </w:tc>
      </w:tr>
      <w:tr w:rsidR="00034EE7" w:rsidRPr="00CF6DB0" w14:paraId="64C489DC" w14:textId="77777777" w:rsidTr="006E402F">
        <w:tc>
          <w:tcPr>
            <w:tcW w:w="1435" w:type="dxa"/>
          </w:tcPr>
          <w:p w14:paraId="7E4CFC44" w14:textId="77777777" w:rsidR="00034EE7" w:rsidRPr="00CF6DB0" w:rsidRDefault="00034EE7" w:rsidP="00003B96">
            <w:pPr>
              <w:jc w:val="left"/>
              <w:rPr>
                <w:rFonts w:ascii="Tw Cen MT" w:hAnsi="Tw Cen MT"/>
                <w:sz w:val="22"/>
                <w:szCs w:val="22"/>
              </w:rPr>
            </w:pPr>
            <w:r w:rsidRPr="00CF6DB0">
              <w:rPr>
                <w:rFonts w:ascii="Tw Cen MT" w:hAnsi="Tw Cen MT"/>
                <w:sz w:val="22"/>
                <w:szCs w:val="22"/>
              </w:rPr>
              <w:t>Burden Calculation Period</w:t>
            </w:r>
          </w:p>
        </w:tc>
        <w:tc>
          <w:tcPr>
            <w:tcW w:w="8100" w:type="dxa"/>
          </w:tcPr>
          <w:p w14:paraId="6A76A5D3" w14:textId="5E51CC59" w:rsidR="00034EE7" w:rsidRPr="00CF6DB0" w:rsidRDefault="00034EE7" w:rsidP="00BB0E56">
            <w:pPr>
              <w:pStyle w:val="GLSBody"/>
              <w:spacing w:after="0"/>
              <w:rPr>
                <w:rFonts w:ascii="Tw Cen MT" w:eastAsia="Calibri" w:hAnsi="Tw Cen MT"/>
                <w:sz w:val="22"/>
                <w:szCs w:val="22"/>
              </w:rPr>
            </w:pPr>
            <w:r w:rsidRPr="00CF6DB0">
              <w:rPr>
                <w:rFonts w:ascii="Tw Cen MT" w:hAnsi="Tw Cen MT"/>
                <w:sz w:val="22"/>
                <w:szCs w:val="22"/>
              </w:rPr>
              <w:t xml:space="preserve">Through the most recent OMB clearance for the cross-site evaluation was requested and approved for 3 years of data collection through January 2017. Respondent burden for this </w:t>
            </w:r>
            <w:r w:rsidR="00BB0E56" w:rsidRPr="00CF6DB0">
              <w:rPr>
                <w:rFonts w:ascii="Tw Cen MT" w:hAnsi="Tw Cen MT"/>
                <w:sz w:val="22"/>
                <w:szCs w:val="22"/>
              </w:rPr>
              <w:t>revision</w:t>
            </w:r>
            <w:r w:rsidRPr="00CF6DB0">
              <w:rPr>
                <w:rFonts w:ascii="Tw Cen MT" w:hAnsi="Tw Cen MT"/>
                <w:sz w:val="22"/>
                <w:szCs w:val="22"/>
              </w:rPr>
              <w:t xml:space="preserve"> request is calculated for the next 3 years of data collection, from </w:t>
            </w:r>
            <w:r w:rsidR="005C2D1C" w:rsidRPr="00CF6DB0">
              <w:rPr>
                <w:rFonts w:ascii="Tw Cen MT" w:hAnsi="Tw Cen MT"/>
                <w:sz w:val="22"/>
                <w:szCs w:val="22"/>
              </w:rPr>
              <w:t>Ja</w:t>
            </w:r>
            <w:r w:rsidR="004A7201" w:rsidRPr="00CF6DB0">
              <w:rPr>
                <w:rFonts w:ascii="Tw Cen MT" w:hAnsi="Tw Cen MT"/>
                <w:sz w:val="22"/>
                <w:szCs w:val="22"/>
              </w:rPr>
              <w:t>nuary 2016 to January 2019.</w:t>
            </w:r>
            <w:r w:rsidRPr="00CF6DB0">
              <w:rPr>
                <w:rFonts w:ascii="Tw Cen MT" w:hAnsi="Tw Cen MT"/>
                <w:sz w:val="22"/>
                <w:szCs w:val="22"/>
              </w:rPr>
              <w:t xml:space="preserve"> </w:t>
            </w:r>
          </w:p>
        </w:tc>
      </w:tr>
      <w:tr w:rsidR="00034EE7" w:rsidRPr="00CF6DB0" w14:paraId="2C0F12A8" w14:textId="77777777" w:rsidTr="006E402F">
        <w:trPr>
          <w:trHeight w:val="233"/>
        </w:trPr>
        <w:tc>
          <w:tcPr>
            <w:tcW w:w="1435" w:type="dxa"/>
          </w:tcPr>
          <w:p w14:paraId="62E9A093" w14:textId="77777777" w:rsidR="00034EE7" w:rsidRPr="00CF6DB0" w:rsidRDefault="00034EE7" w:rsidP="00003B96">
            <w:pPr>
              <w:jc w:val="left"/>
              <w:rPr>
                <w:rFonts w:ascii="Tw Cen MT" w:hAnsi="Tw Cen MT"/>
                <w:sz w:val="22"/>
                <w:szCs w:val="22"/>
              </w:rPr>
            </w:pPr>
            <w:r w:rsidRPr="00CF6DB0">
              <w:rPr>
                <w:rFonts w:ascii="Tw Cen MT" w:hAnsi="Tw Cen MT"/>
                <w:sz w:val="22"/>
                <w:szCs w:val="22"/>
              </w:rPr>
              <w:t>Grantee Participants</w:t>
            </w:r>
          </w:p>
        </w:tc>
        <w:tc>
          <w:tcPr>
            <w:tcW w:w="8100" w:type="dxa"/>
          </w:tcPr>
          <w:p w14:paraId="511C1894" w14:textId="77777777" w:rsidR="002D3EC5" w:rsidRPr="00CF6DB0" w:rsidRDefault="00034EE7" w:rsidP="002D3EC5">
            <w:pPr>
              <w:pStyle w:val="GLSBody"/>
              <w:spacing w:after="60"/>
              <w:rPr>
                <w:rFonts w:ascii="Tw Cen MT" w:hAnsi="Tw Cen MT"/>
                <w:sz w:val="22"/>
                <w:szCs w:val="22"/>
              </w:rPr>
            </w:pPr>
            <w:r w:rsidRPr="00CF6DB0">
              <w:rPr>
                <w:rFonts w:ascii="Tw Cen MT" w:hAnsi="Tw Cen MT"/>
                <w:sz w:val="22"/>
                <w:szCs w:val="22"/>
              </w:rPr>
              <w:t xml:space="preserve">The number of grantees for which burden is calculated is </w:t>
            </w:r>
            <w:r w:rsidR="00E8097A" w:rsidRPr="00CF6DB0">
              <w:rPr>
                <w:rFonts w:ascii="Tw Cen MT" w:hAnsi="Tw Cen MT"/>
                <w:sz w:val="22"/>
                <w:szCs w:val="22"/>
              </w:rPr>
              <w:t>1</w:t>
            </w:r>
            <w:r w:rsidR="00681E5F" w:rsidRPr="00CF6DB0">
              <w:rPr>
                <w:rFonts w:ascii="Tw Cen MT" w:hAnsi="Tw Cen MT"/>
                <w:sz w:val="22"/>
                <w:szCs w:val="22"/>
              </w:rPr>
              <w:t>40</w:t>
            </w:r>
            <w:r w:rsidRPr="00CF6DB0">
              <w:rPr>
                <w:rFonts w:ascii="Tw Cen MT" w:hAnsi="Tw Cen MT"/>
                <w:sz w:val="22"/>
                <w:szCs w:val="22"/>
              </w:rPr>
              <w:t xml:space="preserve"> (</w:t>
            </w:r>
            <w:r w:rsidR="00D23D1F" w:rsidRPr="00CF6DB0">
              <w:rPr>
                <w:rFonts w:ascii="Tw Cen MT" w:hAnsi="Tw Cen MT"/>
                <w:sz w:val="22"/>
                <w:szCs w:val="22"/>
              </w:rPr>
              <w:t>4</w:t>
            </w:r>
            <w:r w:rsidR="00681E5F" w:rsidRPr="00CF6DB0">
              <w:rPr>
                <w:rFonts w:ascii="Tw Cen MT" w:hAnsi="Tw Cen MT"/>
                <w:sz w:val="22"/>
                <w:szCs w:val="22"/>
              </w:rPr>
              <w:t>9</w:t>
            </w:r>
            <w:r w:rsidRPr="00CF6DB0">
              <w:rPr>
                <w:rFonts w:ascii="Tw Cen MT" w:hAnsi="Tw Cen MT"/>
                <w:sz w:val="22"/>
                <w:szCs w:val="22"/>
              </w:rPr>
              <w:t xml:space="preserve"> State/Tribal grantees and </w:t>
            </w:r>
            <w:r w:rsidR="00681E5F" w:rsidRPr="00CF6DB0">
              <w:rPr>
                <w:rFonts w:ascii="Tw Cen MT" w:hAnsi="Tw Cen MT"/>
                <w:sz w:val="22"/>
                <w:szCs w:val="22"/>
              </w:rPr>
              <w:t>91</w:t>
            </w:r>
            <w:r w:rsidRPr="00CF6DB0">
              <w:rPr>
                <w:rFonts w:ascii="Tw Cen MT" w:hAnsi="Tw Cen MT"/>
                <w:sz w:val="22"/>
                <w:szCs w:val="22"/>
              </w:rPr>
              <w:t xml:space="preserve"> Campus grantees), representing the </w:t>
            </w:r>
            <w:r w:rsidR="00681E5F" w:rsidRPr="00CF6DB0">
              <w:rPr>
                <w:rFonts w:ascii="Tw Cen MT" w:hAnsi="Tw Cen MT"/>
                <w:sz w:val="22"/>
                <w:szCs w:val="22"/>
              </w:rPr>
              <w:t xml:space="preserve">total </w:t>
            </w:r>
            <w:r w:rsidRPr="00CF6DB0">
              <w:rPr>
                <w:rFonts w:ascii="Tw Cen MT" w:hAnsi="Tw Cen MT"/>
                <w:sz w:val="22"/>
                <w:szCs w:val="22"/>
              </w:rPr>
              <w:t xml:space="preserve">number of </w:t>
            </w:r>
            <w:r w:rsidR="00681E5F" w:rsidRPr="00CF6DB0">
              <w:rPr>
                <w:rFonts w:ascii="Tw Cen MT" w:hAnsi="Tw Cen MT"/>
                <w:sz w:val="22"/>
                <w:szCs w:val="22"/>
              </w:rPr>
              <w:t xml:space="preserve">grantees that will be funded across the 3-year OMB period. </w:t>
            </w:r>
          </w:p>
          <w:p w14:paraId="5060456C" w14:textId="1CE82B85" w:rsidR="002D3EC5" w:rsidRPr="00CF6DB0" w:rsidRDefault="002D3EC5" w:rsidP="003536EA">
            <w:pPr>
              <w:pStyle w:val="GLSBody"/>
              <w:numPr>
                <w:ilvl w:val="0"/>
                <w:numId w:val="55"/>
              </w:numPr>
              <w:spacing w:after="60"/>
              <w:rPr>
                <w:rFonts w:ascii="Tw Cen MT" w:eastAsia="Calibri" w:hAnsi="Tw Cen MT"/>
                <w:sz w:val="22"/>
                <w:szCs w:val="22"/>
              </w:rPr>
            </w:pPr>
            <w:r w:rsidRPr="00CF6DB0">
              <w:rPr>
                <w:rFonts w:ascii="Tw Cen MT" w:hAnsi="Tw Cen MT"/>
                <w:sz w:val="22"/>
                <w:szCs w:val="22"/>
              </w:rPr>
              <w:t>Campus grantee numb</w:t>
            </w:r>
            <w:r w:rsidR="00681E5F" w:rsidRPr="00CF6DB0">
              <w:rPr>
                <w:rFonts w:ascii="Tw Cen MT" w:hAnsi="Tw Cen MT"/>
                <w:sz w:val="22"/>
                <w:szCs w:val="22"/>
              </w:rPr>
              <w:t>er</w:t>
            </w:r>
            <w:r w:rsidRPr="00CF6DB0">
              <w:rPr>
                <w:rFonts w:ascii="Tw Cen MT" w:hAnsi="Tw Cen MT"/>
                <w:sz w:val="22"/>
                <w:szCs w:val="22"/>
              </w:rPr>
              <w:t xml:space="preserve">s and </w:t>
            </w:r>
            <w:r w:rsidR="00681E5F" w:rsidRPr="00CF6DB0">
              <w:rPr>
                <w:rFonts w:ascii="Tw Cen MT" w:hAnsi="Tw Cen MT"/>
                <w:sz w:val="22"/>
                <w:szCs w:val="22"/>
              </w:rPr>
              <w:t>funding year</w:t>
            </w:r>
            <w:r w:rsidRPr="00CF6DB0">
              <w:rPr>
                <w:rFonts w:ascii="Tw Cen MT" w:hAnsi="Tw Cen MT"/>
                <w:sz w:val="22"/>
                <w:szCs w:val="22"/>
              </w:rPr>
              <w:t>s are</w:t>
            </w:r>
            <w:r w:rsidR="00681E5F" w:rsidRPr="00CF6DB0">
              <w:rPr>
                <w:rFonts w:ascii="Tw Cen MT" w:hAnsi="Tw Cen MT"/>
                <w:sz w:val="22"/>
                <w:szCs w:val="22"/>
              </w:rPr>
              <w:t xml:space="preserve"> as follows: 22</w:t>
            </w:r>
            <w:r w:rsidRPr="00CF6DB0">
              <w:rPr>
                <w:rFonts w:ascii="Tw Cen MT" w:hAnsi="Tw Cen MT"/>
                <w:sz w:val="22"/>
                <w:szCs w:val="22"/>
              </w:rPr>
              <w:t xml:space="preserve"> (</w:t>
            </w:r>
            <w:r w:rsidR="00681E5F" w:rsidRPr="00CF6DB0">
              <w:rPr>
                <w:rFonts w:ascii="Tw Cen MT" w:hAnsi="Tw Cen MT"/>
                <w:sz w:val="22"/>
                <w:szCs w:val="22"/>
              </w:rPr>
              <w:t>FY2013</w:t>
            </w:r>
            <w:r w:rsidRPr="00CF6DB0">
              <w:rPr>
                <w:rFonts w:ascii="Tw Cen MT" w:hAnsi="Tw Cen MT"/>
                <w:sz w:val="22"/>
                <w:szCs w:val="22"/>
              </w:rPr>
              <w:t>), 15 (FY2014), 22 (FY2015), 17 (</w:t>
            </w:r>
            <w:r w:rsidRPr="00CF6DB0">
              <w:rPr>
                <w:rFonts w:ascii="Tw Cen MT" w:hAnsi="Tw Cen MT"/>
                <w:i/>
                <w:sz w:val="22"/>
                <w:szCs w:val="22"/>
              </w:rPr>
              <w:t>expected</w:t>
            </w:r>
            <w:r w:rsidRPr="00CF6DB0">
              <w:rPr>
                <w:rFonts w:ascii="Tw Cen MT" w:hAnsi="Tw Cen MT"/>
                <w:sz w:val="22"/>
                <w:szCs w:val="22"/>
              </w:rPr>
              <w:t xml:space="preserve"> FY2016), and 15 (</w:t>
            </w:r>
            <w:r w:rsidRPr="00CF6DB0">
              <w:rPr>
                <w:rFonts w:ascii="Tw Cen MT" w:hAnsi="Tw Cen MT"/>
                <w:i/>
                <w:sz w:val="22"/>
                <w:szCs w:val="22"/>
              </w:rPr>
              <w:t>expected</w:t>
            </w:r>
            <w:r w:rsidRPr="00CF6DB0">
              <w:rPr>
                <w:rFonts w:ascii="Tw Cen MT" w:hAnsi="Tw Cen MT"/>
                <w:sz w:val="22"/>
                <w:szCs w:val="22"/>
              </w:rPr>
              <w:t xml:space="preserve"> FY2017). All campus grantees have 3-year grant cycles.</w:t>
            </w:r>
          </w:p>
          <w:p w14:paraId="37C21792" w14:textId="7E11EBD2" w:rsidR="00034EE7" w:rsidRPr="00CF6DB0" w:rsidRDefault="002D3EC5" w:rsidP="00F011B2">
            <w:pPr>
              <w:pStyle w:val="GLSBody"/>
              <w:numPr>
                <w:ilvl w:val="0"/>
                <w:numId w:val="55"/>
              </w:numPr>
              <w:spacing w:after="0"/>
              <w:rPr>
                <w:rFonts w:ascii="Tw Cen MT" w:eastAsia="Calibri" w:hAnsi="Tw Cen MT"/>
                <w:sz w:val="22"/>
                <w:szCs w:val="22"/>
              </w:rPr>
            </w:pPr>
            <w:r w:rsidRPr="00CF6DB0">
              <w:rPr>
                <w:rFonts w:ascii="Tw Cen MT" w:hAnsi="Tw Cen MT"/>
                <w:sz w:val="22"/>
                <w:szCs w:val="22"/>
              </w:rPr>
              <w:t>State/Tribal grantee numbers and funding years include: 7 (FY 2013), 26 (FY 2014), 12 (FY 2015), and 4 (</w:t>
            </w:r>
            <w:r w:rsidRPr="00CF6DB0">
              <w:rPr>
                <w:rFonts w:ascii="Tw Cen MT" w:hAnsi="Tw Cen MT"/>
                <w:i/>
                <w:sz w:val="22"/>
                <w:szCs w:val="22"/>
              </w:rPr>
              <w:t>expected</w:t>
            </w:r>
            <w:r w:rsidRPr="00CF6DB0">
              <w:rPr>
                <w:rFonts w:ascii="Tw Cen MT" w:hAnsi="Tw Cen MT"/>
                <w:sz w:val="22"/>
                <w:szCs w:val="22"/>
              </w:rPr>
              <w:t xml:space="preserve"> FY 2016). None are expected to be funded in FY </w:t>
            </w:r>
            <w:r w:rsidR="00F011B2" w:rsidRPr="00CF6DB0">
              <w:rPr>
                <w:rFonts w:ascii="Tw Cen MT" w:hAnsi="Tw Cen MT"/>
                <w:sz w:val="22"/>
                <w:szCs w:val="22"/>
              </w:rPr>
              <w:t>2017</w:t>
            </w:r>
            <w:r w:rsidRPr="00CF6DB0">
              <w:rPr>
                <w:rFonts w:ascii="Tw Cen MT" w:hAnsi="Tw Cen MT"/>
                <w:sz w:val="22"/>
                <w:szCs w:val="22"/>
              </w:rPr>
              <w:t>. Grantees funded in FY 2013 have 3-year funding cycles</w:t>
            </w:r>
            <w:r w:rsidR="00182E12" w:rsidRPr="00CF6DB0">
              <w:rPr>
                <w:rFonts w:ascii="Tw Cen MT" w:hAnsi="Tw Cen MT"/>
                <w:sz w:val="22"/>
                <w:szCs w:val="22"/>
              </w:rPr>
              <w:t xml:space="preserve">; grantees </w:t>
            </w:r>
            <w:r w:rsidRPr="00CF6DB0">
              <w:rPr>
                <w:rFonts w:ascii="Tw Cen MT" w:hAnsi="Tw Cen MT"/>
                <w:sz w:val="22"/>
                <w:szCs w:val="22"/>
              </w:rPr>
              <w:t xml:space="preserve">funded in FY 2014 and beyond </w:t>
            </w:r>
            <w:r w:rsidR="00182E12" w:rsidRPr="00CF6DB0">
              <w:rPr>
                <w:rFonts w:ascii="Tw Cen MT" w:hAnsi="Tw Cen MT"/>
                <w:sz w:val="22"/>
                <w:szCs w:val="22"/>
              </w:rPr>
              <w:t>have</w:t>
            </w:r>
            <w:r w:rsidRPr="00CF6DB0">
              <w:rPr>
                <w:rFonts w:ascii="Tw Cen MT" w:hAnsi="Tw Cen MT"/>
                <w:sz w:val="22"/>
                <w:szCs w:val="22"/>
              </w:rPr>
              <w:t xml:space="preserve"> 5-year grant cycles.</w:t>
            </w:r>
          </w:p>
        </w:tc>
      </w:tr>
      <w:tr w:rsidR="00034EE7" w:rsidRPr="00CF6DB0" w14:paraId="0231F848" w14:textId="77777777" w:rsidTr="006E402F">
        <w:trPr>
          <w:trHeight w:val="757"/>
        </w:trPr>
        <w:tc>
          <w:tcPr>
            <w:tcW w:w="1435" w:type="dxa"/>
          </w:tcPr>
          <w:p w14:paraId="594B8FF8" w14:textId="77777777" w:rsidR="00034EE7" w:rsidRPr="00CF6DB0" w:rsidRDefault="00034EE7" w:rsidP="00003B96">
            <w:pPr>
              <w:jc w:val="left"/>
              <w:rPr>
                <w:rFonts w:ascii="Tw Cen MT" w:hAnsi="Tw Cen MT"/>
                <w:sz w:val="22"/>
                <w:szCs w:val="22"/>
              </w:rPr>
            </w:pPr>
            <w:r w:rsidRPr="00CF6DB0">
              <w:rPr>
                <w:rFonts w:ascii="Tw Cen MT" w:hAnsi="Tw Cen MT"/>
                <w:sz w:val="22"/>
                <w:szCs w:val="22"/>
              </w:rPr>
              <w:t>Evaluation Questions</w:t>
            </w:r>
          </w:p>
        </w:tc>
        <w:tc>
          <w:tcPr>
            <w:tcW w:w="8100" w:type="dxa"/>
          </w:tcPr>
          <w:p w14:paraId="42DF0E3C" w14:textId="539F2E1B" w:rsidR="00034EE7" w:rsidRPr="00CF6DB0" w:rsidRDefault="00034EE7" w:rsidP="004A7201">
            <w:pPr>
              <w:pStyle w:val="GLSBody"/>
              <w:spacing w:after="0"/>
              <w:rPr>
                <w:rFonts w:ascii="Tw Cen MT" w:hAnsi="Tw Cen MT"/>
                <w:sz w:val="22"/>
                <w:szCs w:val="22"/>
              </w:rPr>
            </w:pPr>
            <w:r w:rsidRPr="00CF6DB0">
              <w:rPr>
                <w:rFonts w:ascii="Tw Cen MT" w:hAnsi="Tw Cen MT"/>
                <w:sz w:val="22"/>
                <w:szCs w:val="22"/>
              </w:rPr>
              <w:t xml:space="preserve">The NOE aims to answer 3 primary evaluation questions and multiple </w:t>
            </w:r>
            <w:proofErr w:type="spellStart"/>
            <w:r w:rsidRPr="00CF6DB0">
              <w:rPr>
                <w:rFonts w:ascii="Tw Cen MT" w:hAnsi="Tw Cen MT"/>
                <w:sz w:val="22"/>
                <w:szCs w:val="22"/>
              </w:rPr>
              <w:t>subquestions</w:t>
            </w:r>
            <w:proofErr w:type="spellEnd"/>
            <w:r w:rsidRPr="00CF6DB0">
              <w:rPr>
                <w:rFonts w:ascii="Tw Cen MT" w:hAnsi="Tw Cen MT"/>
                <w:sz w:val="22"/>
                <w:szCs w:val="22"/>
              </w:rPr>
              <w:t xml:space="preserve"> </w:t>
            </w:r>
            <w:r w:rsidR="00912BE2" w:rsidRPr="00CF6DB0">
              <w:rPr>
                <w:rFonts w:ascii="Tw Cen MT" w:hAnsi="Tw Cen MT"/>
                <w:sz w:val="22"/>
                <w:szCs w:val="22"/>
              </w:rPr>
              <w:t>that</w:t>
            </w:r>
            <w:r w:rsidRPr="00CF6DB0">
              <w:rPr>
                <w:rFonts w:ascii="Tw Cen MT" w:hAnsi="Tw Cen MT"/>
                <w:sz w:val="22"/>
                <w:szCs w:val="22"/>
              </w:rPr>
              <w:t xml:space="preserve"> assess the implementation, outcomes, and impacts associated with the GLS </w:t>
            </w:r>
            <w:r w:rsidR="00912BE2" w:rsidRPr="00CF6DB0">
              <w:rPr>
                <w:rFonts w:ascii="Tw Cen MT" w:hAnsi="Tw Cen MT"/>
                <w:sz w:val="22"/>
                <w:szCs w:val="22"/>
              </w:rPr>
              <w:t>p</w:t>
            </w:r>
            <w:r w:rsidRPr="00CF6DB0">
              <w:rPr>
                <w:rFonts w:ascii="Tw Cen MT" w:hAnsi="Tw Cen MT"/>
                <w:sz w:val="22"/>
                <w:szCs w:val="22"/>
              </w:rPr>
              <w:t>rogram</w:t>
            </w:r>
            <w:r w:rsidR="00912BE2" w:rsidRPr="00CF6DB0">
              <w:rPr>
                <w:rFonts w:ascii="Tw Cen MT" w:hAnsi="Tw Cen MT"/>
                <w:sz w:val="22"/>
                <w:szCs w:val="22"/>
              </w:rPr>
              <w:t>—a change in focus and number of questions from the previous package</w:t>
            </w:r>
            <w:r w:rsidRPr="00CF6DB0">
              <w:rPr>
                <w:rFonts w:ascii="Tw Cen MT" w:hAnsi="Tw Cen MT"/>
                <w:sz w:val="22"/>
                <w:szCs w:val="22"/>
              </w:rPr>
              <w:t>.</w:t>
            </w:r>
          </w:p>
        </w:tc>
      </w:tr>
      <w:tr w:rsidR="00034EE7" w:rsidRPr="00CF6DB0" w14:paraId="387BCB95" w14:textId="77777777" w:rsidTr="006E402F">
        <w:trPr>
          <w:trHeight w:val="559"/>
        </w:trPr>
        <w:tc>
          <w:tcPr>
            <w:tcW w:w="1435" w:type="dxa"/>
          </w:tcPr>
          <w:p w14:paraId="520E8586" w14:textId="0187A60A" w:rsidR="00034EE7" w:rsidRPr="00CF6DB0" w:rsidRDefault="00034EE7" w:rsidP="00F875FD">
            <w:pPr>
              <w:jc w:val="left"/>
              <w:rPr>
                <w:rFonts w:ascii="Tw Cen MT" w:hAnsi="Tw Cen MT"/>
                <w:sz w:val="22"/>
                <w:szCs w:val="22"/>
              </w:rPr>
            </w:pPr>
            <w:r w:rsidRPr="00CF6DB0">
              <w:rPr>
                <w:rFonts w:ascii="Tw Cen MT" w:hAnsi="Tw Cen MT"/>
                <w:sz w:val="22"/>
                <w:szCs w:val="22"/>
              </w:rPr>
              <w:t xml:space="preserve">Design </w:t>
            </w:r>
          </w:p>
        </w:tc>
        <w:tc>
          <w:tcPr>
            <w:tcW w:w="8100" w:type="dxa"/>
          </w:tcPr>
          <w:p w14:paraId="12253555" w14:textId="079F5DE2" w:rsidR="00034EE7" w:rsidRPr="00CF6DB0" w:rsidRDefault="00034EE7" w:rsidP="00F875FD">
            <w:pPr>
              <w:pStyle w:val="GLSBody"/>
              <w:spacing w:after="0"/>
              <w:rPr>
                <w:rFonts w:ascii="Tw Cen MT" w:hAnsi="Tw Cen MT"/>
                <w:sz w:val="22"/>
                <w:szCs w:val="22"/>
              </w:rPr>
            </w:pPr>
            <w:r w:rsidRPr="00CF6DB0">
              <w:rPr>
                <w:rFonts w:ascii="Tw Cen MT" w:hAnsi="Tw Cen MT"/>
                <w:sz w:val="22"/>
                <w:szCs w:val="22"/>
              </w:rPr>
              <w:t>The evaluation design has been updated to reflect SAMHSA’s desire to assess the implementation, outcomes, and impacts of the GLS Suicide Prevention Program. Building on information collected through prior GLS evaluations, the</w:t>
            </w:r>
            <w:r w:rsidRPr="00CF6DB0">
              <w:rPr>
                <w:rFonts w:ascii="Tw Cen MT" w:eastAsia="Calibri" w:hAnsi="Tw Cen MT"/>
                <w:sz w:val="22"/>
                <w:szCs w:val="22"/>
              </w:rPr>
              <w:t xml:space="preserve"> NOE will contribute</w:t>
            </w:r>
            <w:r w:rsidRPr="00CF6DB0">
              <w:rPr>
                <w:rFonts w:ascii="Tw Cen MT" w:hAnsi="Tw Cen MT"/>
                <w:sz w:val="22"/>
                <w:szCs w:val="22"/>
              </w:rPr>
              <w:t xml:space="preserve"> additional evidence on: </w:t>
            </w:r>
            <w:r w:rsidR="00912BE2" w:rsidRPr="00CF6DB0">
              <w:rPr>
                <w:rFonts w:ascii="Tw Cen MT" w:hAnsi="Tw Cen MT"/>
                <w:sz w:val="22"/>
                <w:szCs w:val="22"/>
              </w:rPr>
              <w:t xml:space="preserve">(1) </w:t>
            </w:r>
            <w:r w:rsidRPr="00CF6DB0">
              <w:rPr>
                <w:rFonts w:ascii="Tw Cen MT" w:hAnsi="Tw Cen MT"/>
                <w:sz w:val="22"/>
                <w:szCs w:val="22"/>
              </w:rPr>
              <w:t xml:space="preserve">suicide prevention training effectiveness, </w:t>
            </w:r>
            <w:r w:rsidR="00912BE2" w:rsidRPr="00CF6DB0">
              <w:rPr>
                <w:rFonts w:ascii="Tw Cen MT" w:hAnsi="Tw Cen MT"/>
                <w:sz w:val="22"/>
                <w:szCs w:val="22"/>
              </w:rPr>
              <w:t xml:space="preserve">(2) </w:t>
            </w:r>
            <w:r w:rsidRPr="00CF6DB0">
              <w:rPr>
                <w:rFonts w:ascii="Tw Cen MT" w:hAnsi="Tw Cen MT"/>
                <w:sz w:val="22"/>
                <w:szCs w:val="22"/>
              </w:rPr>
              <w:t xml:space="preserve">the impact of early identification and referral on subsequent care follow-up and adherence, and </w:t>
            </w:r>
            <w:r w:rsidR="00912BE2" w:rsidRPr="00CF6DB0">
              <w:rPr>
                <w:rFonts w:ascii="Tw Cen MT" w:hAnsi="Tw Cen MT"/>
                <w:sz w:val="22"/>
                <w:szCs w:val="22"/>
              </w:rPr>
              <w:t xml:space="preserve">(3) </w:t>
            </w:r>
            <w:r w:rsidRPr="00CF6DB0">
              <w:rPr>
                <w:rFonts w:ascii="Tw Cen MT" w:hAnsi="Tw Cen MT"/>
                <w:sz w:val="22"/>
                <w:szCs w:val="22"/>
              </w:rPr>
              <w:t>the impact of GLS behavioral health providers implementing</w:t>
            </w:r>
            <w:r w:rsidR="00912BE2" w:rsidRPr="00CF6DB0">
              <w:rPr>
                <w:rFonts w:ascii="Tw Cen MT" w:hAnsi="Tw Cen MT"/>
                <w:sz w:val="22"/>
                <w:szCs w:val="22"/>
              </w:rPr>
              <w:t xml:space="preserve"> the</w:t>
            </w:r>
            <w:r w:rsidRPr="00CF6DB0">
              <w:rPr>
                <w:rFonts w:ascii="Tw Cen MT" w:hAnsi="Tw Cen MT"/>
                <w:sz w:val="22"/>
                <w:szCs w:val="22"/>
              </w:rPr>
              <w:t xml:space="preserve"> </w:t>
            </w:r>
            <w:r w:rsidR="00912BE2" w:rsidRPr="00CF6DB0">
              <w:rPr>
                <w:rFonts w:ascii="Tw Cen MT" w:hAnsi="Tw Cen MT"/>
                <w:sz w:val="22"/>
                <w:szCs w:val="22"/>
              </w:rPr>
              <w:t>SSE</w:t>
            </w:r>
            <w:r w:rsidRPr="00CF6DB0">
              <w:rPr>
                <w:rFonts w:ascii="Tw Cen MT" w:hAnsi="Tw Cen MT"/>
                <w:sz w:val="22"/>
                <w:szCs w:val="22"/>
              </w:rPr>
              <w:t xml:space="preserve"> framework </w:t>
            </w:r>
            <w:r w:rsidR="00912BE2" w:rsidRPr="00CF6DB0">
              <w:rPr>
                <w:rFonts w:ascii="Tw Cen MT" w:hAnsi="Tw Cen MT"/>
                <w:sz w:val="22"/>
                <w:szCs w:val="22"/>
              </w:rPr>
              <w:t>with</w:t>
            </w:r>
            <w:r w:rsidRPr="00CF6DB0">
              <w:rPr>
                <w:rFonts w:ascii="Tw Cen MT" w:hAnsi="Tw Cen MT"/>
                <w:sz w:val="22"/>
                <w:szCs w:val="22"/>
              </w:rPr>
              <w:t xml:space="preserve"> at-risk </w:t>
            </w:r>
            <w:r w:rsidR="0092755E" w:rsidRPr="00CF6DB0">
              <w:rPr>
                <w:rFonts w:ascii="Tw Cen MT" w:hAnsi="Tw Cen MT"/>
                <w:sz w:val="22"/>
                <w:szCs w:val="22"/>
              </w:rPr>
              <w:t>youth</w:t>
            </w:r>
            <w:r w:rsidRPr="00CF6DB0">
              <w:rPr>
                <w:rFonts w:ascii="Tw Cen MT" w:hAnsi="Tw Cen MT"/>
                <w:sz w:val="22"/>
                <w:szCs w:val="22"/>
              </w:rPr>
              <w:t xml:space="preserve">. The </w:t>
            </w:r>
            <w:r w:rsidR="00912BE2" w:rsidRPr="00CF6DB0">
              <w:rPr>
                <w:rFonts w:ascii="Tw Cen MT" w:hAnsi="Tw Cen MT"/>
                <w:sz w:val="22"/>
                <w:szCs w:val="22"/>
              </w:rPr>
              <w:t xml:space="preserve">NOE </w:t>
            </w:r>
            <w:r w:rsidRPr="00CF6DB0">
              <w:rPr>
                <w:rFonts w:ascii="Tw Cen MT" w:hAnsi="Tw Cen MT"/>
                <w:sz w:val="22"/>
                <w:szCs w:val="22"/>
              </w:rPr>
              <w:t xml:space="preserve">consists of three </w:t>
            </w:r>
            <w:r w:rsidR="000E3F24" w:rsidRPr="00CF6DB0">
              <w:rPr>
                <w:rFonts w:ascii="Tw Cen MT" w:hAnsi="Tw Cen MT"/>
                <w:sz w:val="22"/>
                <w:szCs w:val="22"/>
              </w:rPr>
              <w:t xml:space="preserve">core </w:t>
            </w:r>
            <w:r w:rsidRPr="00CF6DB0">
              <w:rPr>
                <w:rFonts w:ascii="Tw Cen MT" w:hAnsi="Tw Cen MT"/>
                <w:sz w:val="22"/>
                <w:szCs w:val="22"/>
              </w:rPr>
              <w:t xml:space="preserve">studies—Training, </w:t>
            </w:r>
            <w:r w:rsidR="00F875FD" w:rsidRPr="00CF6DB0">
              <w:rPr>
                <w:rFonts w:ascii="Tw Cen MT" w:hAnsi="Tw Cen MT"/>
                <w:sz w:val="22"/>
                <w:szCs w:val="22"/>
              </w:rPr>
              <w:t>COC</w:t>
            </w:r>
            <w:r w:rsidRPr="00CF6DB0">
              <w:rPr>
                <w:rFonts w:ascii="Tw Cen MT" w:hAnsi="Tw Cen MT"/>
                <w:sz w:val="22"/>
                <w:szCs w:val="22"/>
              </w:rPr>
              <w:t xml:space="preserve">, and </w:t>
            </w:r>
            <w:r w:rsidR="00F875FD" w:rsidRPr="00CF6DB0">
              <w:rPr>
                <w:rFonts w:ascii="Tw Cen MT" w:hAnsi="Tw Cen MT"/>
                <w:sz w:val="22"/>
                <w:szCs w:val="22"/>
              </w:rPr>
              <w:t>SSE</w:t>
            </w:r>
            <w:r w:rsidR="000E3F24" w:rsidRPr="00CF6DB0">
              <w:rPr>
                <w:rFonts w:ascii="Tw Cen MT" w:hAnsi="Tw Cen MT"/>
                <w:sz w:val="22"/>
                <w:szCs w:val="22"/>
              </w:rPr>
              <w:t>. The Training and SSE Studies also have</w:t>
            </w:r>
            <w:r w:rsidRPr="00CF6DB0">
              <w:rPr>
                <w:rFonts w:ascii="Tw Cen MT" w:hAnsi="Tw Cen MT"/>
                <w:sz w:val="22"/>
                <w:szCs w:val="22"/>
              </w:rPr>
              <w:t xml:space="preserve"> enhanced study components</w:t>
            </w:r>
            <w:r w:rsidR="00912BE2" w:rsidRPr="00CF6DB0">
              <w:rPr>
                <w:rFonts w:ascii="Tw Cen MT" w:hAnsi="Tw Cen MT"/>
                <w:sz w:val="22"/>
                <w:szCs w:val="22"/>
              </w:rPr>
              <w:t xml:space="preserve"> (RCT and </w:t>
            </w:r>
            <w:r w:rsidR="000E3F24" w:rsidRPr="00CF6DB0">
              <w:rPr>
                <w:rFonts w:ascii="Tw Cen MT" w:hAnsi="Tw Cen MT"/>
                <w:sz w:val="22"/>
                <w:szCs w:val="22"/>
              </w:rPr>
              <w:t xml:space="preserve">retrospective </w:t>
            </w:r>
            <w:r w:rsidR="00912BE2" w:rsidRPr="00CF6DB0">
              <w:rPr>
                <w:rFonts w:ascii="Tw Cen MT" w:hAnsi="Tw Cen MT"/>
                <w:sz w:val="22"/>
                <w:szCs w:val="22"/>
              </w:rPr>
              <w:t>cohort studies</w:t>
            </w:r>
            <w:r w:rsidR="000E3F24" w:rsidRPr="00CF6DB0">
              <w:rPr>
                <w:rFonts w:ascii="Tw Cen MT" w:hAnsi="Tw Cen MT"/>
                <w:sz w:val="22"/>
                <w:szCs w:val="22"/>
              </w:rPr>
              <w:t>, respectively</w:t>
            </w:r>
            <w:r w:rsidR="00912BE2" w:rsidRPr="00CF6DB0">
              <w:rPr>
                <w:rFonts w:ascii="Tw Cen MT" w:hAnsi="Tw Cen MT"/>
                <w:sz w:val="22"/>
                <w:szCs w:val="22"/>
              </w:rPr>
              <w:t>)</w:t>
            </w:r>
            <w:r w:rsidRPr="00CF6DB0">
              <w:rPr>
                <w:rFonts w:ascii="Tw Cen MT" w:hAnsi="Tw Cen MT"/>
                <w:sz w:val="22"/>
                <w:szCs w:val="22"/>
              </w:rPr>
              <w:t xml:space="preserve">. </w:t>
            </w:r>
            <w:r w:rsidR="00912BE2" w:rsidRPr="00CF6DB0">
              <w:rPr>
                <w:rFonts w:ascii="Tw Cen MT" w:hAnsi="Tw Cen MT"/>
                <w:sz w:val="22"/>
                <w:szCs w:val="22"/>
              </w:rPr>
              <w:t>C</w:t>
            </w:r>
            <w:r w:rsidRPr="00CF6DB0">
              <w:rPr>
                <w:rFonts w:ascii="Tw Cen MT" w:hAnsi="Tw Cen MT"/>
                <w:sz w:val="22"/>
                <w:szCs w:val="22"/>
              </w:rPr>
              <w:t xml:space="preserve">ore study components align with grantee program requirements. </w:t>
            </w:r>
            <w:r w:rsidR="00912BE2" w:rsidRPr="00CF6DB0">
              <w:rPr>
                <w:rFonts w:ascii="Tw Cen MT" w:hAnsi="Tw Cen MT"/>
                <w:sz w:val="22"/>
                <w:szCs w:val="22"/>
              </w:rPr>
              <w:t>E</w:t>
            </w:r>
            <w:r w:rsidRPr="00CF6DB0">
              <w:rPr>
                <w:rFonts w:ascii="Tw Cen MT" w:hAnsi="Tw Cen MT"/>
                <w:sz w:val="22"/>
                <w:szCs w:val="22"/>
              </w:rPr>
              <w:t xml:space="preserve">nhanced studies utilize experimental </w:t>
            </w:r>
            <w:r w:rsidR="000E3F24" w:rsidRPr="00CF6DB0">
              <w:rPr>
                <w:rFonts w:ascii="Tw Cen MT" w:hAnsi="Tw Cen MT"/>
                <w:sz w:val="22"/>
                <w:szCs w:val="22"/>
              </w:rPr>
              <w:t xml:space="preserve">and </w:t>
            </w:r>
            <w:r w:rsidRPr="00CF6DB0">
              <w:rPr>
                <w:rFonts w:ascii="Tw Cen MT" w:hAnsi="Tw Cen MT"/>
                <w:sz w:val="22"/>
                <w:szCs w:val="22"/>
              </w:rPr>
              <w:t>quasi-experimental design and methods to assess program impacts. The design also incorporates both the State/Tribal and Campus programs’ foci within and across programs and communities</w:t>
            </w:r>
            <w:r w:rsidR="00912BE2" w:rsidRPr="00CF6DB0">
              <w:rPr>
                <w:rFonts w:ascii="Tw Cen MT" w:hAnsi="Tw Cen MT"/>
                <w:sz w:val="22"/>
                <w:szCs w:val="22"/>
              </w:rPr>
              <w:t xml:space="preserve"> and accounts for the difference in funding cycles between the State/Tribal and Campus programs.</w:t>
            </w:r>
          </w:p>
        </w:tc>
      </w:tr>
      <w:tr w:rsidR="00C42BC2" w:rsidRPr="00CF6DB0" w14:paraId="4546E640" w14:textId="77777777" w:rsidTr="006E402F">
        <w:tc>
          <w:tcPr>
            <w:tcW w:w="1435" w:type="dxa"/>
          </w:tcPr>
          <w:p w14:paraId="54687659" w14:textId="5CCC414A" w:rsidR="00C42BC2" w:rsidRPr="00CF6DB0" w:rsidRDefault="00C42BC2" w:rsidP="00C42BC2">
            <w:pPr>
              <w:jc w:val="left"/>
              <w:rPr>
                <w:rFonts w:ascii="Tw Cen MT" w:hAnsi="Tw Cen MT"/>
                <w:sz w:val="22"/>
                <w:szCs w:val="22"/>
              </w:rPr>
            </w:pPr>
            <w:r w:rsidRPr="00CF6DB0">
              <w:rPr>
                <w:rFonts w:ascii="Tw Cen MT" w:hAnsi="Tw Cen MT"/>
                <w:sz w:val="22"/>
                <w:szCs w:val="22"/>
              </w:rPr>
              <w:t>Instrument Removals</w:t>
            </w:r>
          </w:p>
        </w:tc>
        <w:tc>
          <w:tcPr>
            <w:tcW w:w="8100" w:type="dxa"/>
          </w:tcPr>
          <w:p w14:paraId="46910A5A" w14:textId="7F0196E1" w:rsidR="00C42BC2" w:rsidRPr="00CF6DB0" w:rsidDel="00C42BC2" w:rsidRDefault="00C42BC2" w:rsidP="00C42BC2">
            <w:pPr>
              <w:rPr>
                <w:rFonts w:ascii="Tw Cen MT" w:eastAsia="Calibri" w:hAnsi="Tw Cen MT"/>
                <w:sz w:val="22"/>
                <w:szCs w:val="22"/>
              </w:rPr>
            </w:pPr>
            <w:r w:rsidRPr="00CF6DB0">
              <w:rPr>
                <w:rFonts w:ascii="Tw Cen MT" w:hAnsi="Tw Cen MT"/>
                <w:sz w:val="22"/>
                <w:szCs w:val="22"/>
              </w:rPr>
              <w:t xml:space="preserve">Due to the fulfillment of data collection requirements, 6 previously-approved instruments will be removed: Coalition Profile (CP), Coalition Survey (CS), TUP-S Adolescent, Training Exit Survey (TES) Individual Forms, Life Skills Activities &amp; Follow-up Interview (LAFI), </w:t>
            </w:r>
            <w:r w:rsidR="00DC4A79" w:rsidRPr="00CF6DB0">
              <w:rPr>
                <w:rFonts w:ascii="Tw Cen MT" w:hAnsi="Tw Cen MT"/>
                <w:sz w:val="22"/>
                <w:szCs w:val="22"/>
              </w:rPr>
              <w:t xml:space="preserve">and </w:t>
            </w:r>
            <w:r w:rsidRPr="00CF6DB0">
              <w:rPr>
                <w:rFonts w:ascii="Tw Cen MT" w:hAnsi="Tw Cen MT"/>
                <w:sz w:val="22"/>
                <w:szCs w:val="22"/>
              </w:rPr>
              <w:t>Student Awareness Intercept Survey (SAIS).</w:t>
            </w:r>
          </w:p>
        </w:tc>
      </w:tr>
      <w:tr w:rsidR="00C42BC2" w:rsidRPr="00CF6DB0" w14:paraId="2A05B9C5" w14:textId="77777777" w:rsidTr="006E402F">
        <w:tc>
          <w:tcPr>
            <w:tcW w:w="1435" w:type="dxa"/>
          </w:tcPr>
          <w:p w14:paraId="269C4029" w14:textId="4E698A90" w:rsidR="00C42BC2" w:rsidRPr="00CF6DB0" w:rsidRDefault="00ED0FCC" w:rsidP="00C42BC2">
            <w:pPr>
              <w:jc w:val="left"/>
              <w:rPr>
                <w:rFonts w:ascii="Tw Cen MT" w:hAnsi="Tw Cen MT"/>
                <w:sz w:val="22"/>
                <w:szCs w:val="22"/>
              </w:rPr>
            </w:pPr>
            <w:r w:rsidRPr="00CF6DB0">
              <w:rPr>
                <w:rFonts w:ascii="Tw Cen MT" w:hAnsi="Tw Cen MT"/>
                <w:sz w:val="22"/>
                <w:szCs w:val="22"/>
              </w:rPr>
              <w:t>Instrument Continuations</w:t>
            </w:r>
          </w:p>
        </w:tc>
        <w:tc>
          <w:tcPr>
            <w:tcW w:w="8100" w:type="dxa"/>
          </w:tcPr>
          <w:p w14:paraId="69437E0C" w14:textId="5470E03C" w:rsidR="00083D29" w:rsidRPr="00CF6DB0" w:rsidRDefault="00083D29" w:rsidP="00083D29">
            <w:pPr>
              <w:rPr>
                <w:rFonts w:ascii="Tw Cen MT" w:eastAsia="Calibri" w:hAnsi="Tw Cen MT"/>
                <w:sz w:val="22"/>
                <w:szCs w:val="22"/>
              </w:rPr>
            </w:pPr>
            <w:r w:rsidRPr="00CF6DB0">
              <w:rPr>
                <w:rFonts w:ascii="Tw Cen MT" w:eastAsia="Calibri" w:hAnsi="Tw Cen MT"/>
                <w:sz w:val="22"/>
                <w:szCs w:val="22"/>
              </w:rPr>
              <w:t>To satisfy existing data collection requirements</w:t>
            </w:r>
            <w:r w:rsidR="00CB2540" w:rsidRPr="00CF6DB0">
              <w:rPr>
                <w:rFonts w:ascii="Tw Cen MT" w:eastAsia="Calibri" w:hAnsi="Tw Cen MT"/>
                <w:sz w:val="22"/>
                <w:szCs w:val="22"/>
              </w:rPr>
              <w:t xml:space="preserve"> </w:t>
            </w:r>
            <w:r w:rsidR="003E0A32" w:rsidRPr="00CF6DB0">
              <w:rPr>
                <w:rFonts w:ascii="Tw Cen MT" w:eastAsia="Calibri" w:hAnsi="Tw Cen MT"/>
                <w:sz w:val="22"/>
                <w:szCs w:val="22"/>
              </w:rPr>
              <w:t>for</w:t>
            </w:r>
            <w:r w:rsidR="00CB2540" w:rsidRPr="00CF6DB0">
              <w:rPr>
                <w:rFonts w:ascii="Tw Cen MT" w:eastAsia="Calibri" w:hAnsi="Tw Cen MT"/>
                <w:sz w:val="22"/>
                <w:szCs w:val="22"/>
              </w:rPr>
              <w:t xml:space="preserve"> the </w:t>
            </w:r>
            <w:r w:rsidR="003E0A32" w:rsidRPr="00CF6DB0">
              <w:rPr>
                <w:rFonts w:ascii="Tw Cen MT" w:eastAsia="Calibri" w:hAnsi="Tw Cen MT"/>
                <w:sz w:val="22"/>
                <w:szCs w:val="22"/>
              </w:rPr>
              <w:t xml:space="preserve">current design </w:t>
            </w:r>
            <w:r w:rsidR="00CB2540" w:rsidRPr="00CF6DB0">
              <w:rPr>
                <w:rFonts w:ascii="Tw Cen MT" w:eastAsia="Calibri" w:hAnsi="Tw Cen MT"/>
                <w:sz w:val="22"/>
                <w:szCs w:val="22"/>
              </w:rPr>
              <w:t>protocol</w:t>
            </w:r>
            <w:r w:rsidRPr="00CF6DB0">
              <w:rPr>
                <w:rFonts w:ascii="Tw Cen MT" w:eastAsia="Calibri" w:hAnsi="Tw Cen MT"/>
                <w:sz w:val="22"/>
                <w:szCs w:val="22"/>
              </w:rPr>
              <w:t xml:space="preserve">, the RNS, TUP-S Campus, and SMSS will be administered </w:t>
            </w:r>
            <w:r w:rsidR="00ED0FCC" w:rsidRPr="00CF6DB0">
              <w:rPr>
                <w:rFonts w:ascii="Tw Cen MT" w:eastAsia="Calibri" w:hAnsi="Tw Cen MT"/>
                <w:sz w:val="22"/>
                <w:szCs w:val="22"/>
              </w:rPr>
              <w:t xml:space="preserve">with certain grantees </w:t>
            </w:r>
            <w:r w:rsidRPr="00CF6DB0">
              <w:rPr>
                <w:rFonts w:ascii="Tw Cen MT" w:eastAsia="Calibri" w:hAnsi="Tw Cen MT"/>
                <w:sz w:val="22"/>
                <w:szCs w:val="22"/>
              </w:rPr>
              <w:t>during OMB Year 1. Each instrument has been previously approved</w:t>
            </w:r>
            <w:r w:rsidR="00A208E3" w:rsidRPr="00CF6DB0">
              <w:rPr>
                <w:rFonts w:ascii="Tw Cen MT" w:eastAsia="Calibri" w:hAnsi="Tw Cen MT"/>
                <w:sz w:val="22"/>
                <w:szCs w:val="22"/>
              </w:rPr>
              <w:t xml:space="preserve"> and </w:t>
            </w:r>
            <w:r w:rsidRPr="00CF6DB0">
              <w:rPr>
                <w:rFonts w:ascii="Tw Cen MT" w:eastAsia="Calibri" w:hAnsi="Tw Cen MT"/>
                <w:sz w:val="22"/>
                <w:szCs w:val="22"/>
              </w:rPr>
              <w:t>no changes are being made.</w:t>
            </w:r>
            <w:r w:rsidR="00CB2540" w:rsidRPr="00CF6DB0">
              <w:rPr>
                <w:rFonts w:ascii="Tw Cen MT" w:eastAsia="Calibri" w:hAnsi="Tw Cen MT"/>
                <w:sz w:val="22"/>
                <w:szCs w:val="22"/>
              </w:rPr>
              <w:t xml:space="preserve"> These instruments are not a part of the new proposed evaluation studies and will be discontinued after existing protocols are completed.</w:t>
            </w:r>
            <w:r w:rsidRPr="00CF6DB0">
              <w:rPr>
                <w:rFonts w:ascii="Tw Cen MT" w:eastAsia="Calibri" w:hAnsi="Tw Cen MT"/>
                <w:sz w:val="22"/>
                <w:szCs w:val="22"/>
              </w:rPr>
              <w:t xml:space="preserve">   </w:t>
            </w:r>
          </w:p>
          <w:p w14:paraId="58F74530" w14:textId="58E9A74B" w:rsidR="00083D29" w:rsidRPr="00CF6DB0" w:rsidRDefault="004A1E99" w:rsidP="00083D29">
            <w:pPr>
              <w:numPr>
                <w:ilvl w:val="0"/>
                <w:numId w:val="57"/>
              </w:numPr>
              <w:rPr>
                <w:rFonts w:ascii="Tw Cen MT" w:eastAsia="Calibri" w:hAnsi="Tw Cen MT"/>
                <w:sz w:val="22"/>
                <w:szCs w:val="22"/>
              </w:rPr>
            </w:pPr>
            <w:r w:rsidRPr="00CF6DB0">
              <w:rPr>
                <w:rFonts w:ascii="Tw Cen MT" w:eastAsia="Calibri" w:hAnsi="Tw Cen MT"/>
                <w:sz w:val="22"/>
                <w:szCs w:val="22"/>
              </w:rPr>
              <w:t>State/Tribal Cohort 8 grantees will participate in the RNS</w:t>
            </w:r>
            <w:r w:rsidR="00CB2540" w:rsidRPr="00CF6DB0">
              <w:rPr>
                <w:rFonts w:ascii="Tw Cen MT" w:eastAsia="Calibri" w:hAnsi="Tw Cen MT"/>
                <w:sz w:val="22"/>
                <w:szCs w:val="22"/>
              </w:rPr>
              <w:t>, completing their 2</w:t>
            </w:r>
            <w:r w:rsidR="00CB2540" w:rsidRPr="00CF6DB0">
              <w:rPr>
                <w:rFonts w:ascii="Tw Cen MT" w:eastAsia="Calibri" w:hAnsi="Tw Cen MT"/>
                <w:sz w:val="22"/>
                <w:szCs w:val="22"/>
                <w:vertAlign w:val="superscript"/>
              </w:rPr>
              <w:t>nd</w:t>
            </w:r>
            <w:r w:rsidR="00CB2540" w:rsidRPr="00CF6DB0">
              <w:rPr>
                <w:rFonts w:ascii="Tw Cen MT" w:eastAsia="Calibri" w:hAnsi="Tw Cen MT"/>
                <w:sz w:val="22"/>
                <w:szCs w:val="22"/>
              </w:rPr>
              <w:t xml:space="preserve"> administration of the instrument.</w:t>
            </w:r>
            <w:r w:rsidR="00CB1EDA">
              <w:rPr>
                <w:rFonts w:ascii="Tw Cen MT" w:eastAsia="Calibri" w:hAnsi="Tw Cen MT"/>
                <w:sz w:val="22"/>
                <w:szCs w:val="22"/>
              </w:rPr>
              <w:t xml:space="preserve"> The RNS takes 40 minutes to complete.</w:t>
            </w:r>
          </w:p>
          <w:p w14:paraId="7588281B" w14:textId="12336395" w:rsidR="00083D29" w:rsidRPr="00CF6DB0" w:rsidRDefault="004A1E99" w:rsidP="00083D29">
            <w:pPr>
              <w:numPr>
                <w:ilvl w:val="0"/>
                <w:numId w:val="57"/>
              </w:numPr>
              <w:rPr>
                <w:rFonts w:ascii="Tw Cen MT" w:eastAsia="Calibri" w:hAnsi="Tw Cen MT"/>
                <w:sz w:val="22"/>
                <w:szCs w:val="22"/>
              </w:rPr>
            </w:pPr>
            <w:r w:rsidRPr="00CF6DB0">
              <w:rPr>
                <w:rFonts w:ascii="Tw Cen MT" w:eastAsia="Calibri" w:hAnsi="Tw Cen MT"/>
                <w:sz w:val="22"/>
                <w:szCs w:val="22"/>
              </w:rPr>
              <w:t>Campus Cohorts 7 and 8</w:t>
            </w:r>
            <w:r w:rsidR="00083D29" w:rsidRPr="00CF6DB0">
              <w:rPr>
                <w:rFonts w:ascii="Tw Cen MT" w:eastAsia="Calibri" w:hAnsi="Tw Cen MT"/>
                <w:sz w:val="22"/>
                <w:szCs w:val="22"/>
              </w:rPr>
              <w:t xml:space="preserve"> will </w:t>
            </w:r>
            <w:r w:rsidR="00CB1EDA">
              <w:rPr>
                <w:rFonts w:ascii="Tw Cen MT" w:eastAsia="Calibri" w:hAnsi="Tw Cen MT"/>
                <w:sz w:val="22"/>
                <w:szCs w:val="22"/>
              </w:rPr>
              <w:t>participate in the TUP-S Campus. The TUP-S Campus takes 10 minutes to complete.</w:t>
            </w:r>
          </w:p>
          <w:p w14:paraId="53561F90" w14:textId="587FFCF4" w:rsidR="00C42BC2" w:rsidRPr="00CF6DB0" w:rsidDel="00C42BC2" w:rsidRDefault="00083D29" w:rsidP="00CB1EDA">
            <w:pPr>
              <w:numPr>
                <w:ilvl w:val="0"/>
                <w:numId w:val="57"/>
              </w:numPr>
              <w:rPr>
                <w:rFonts w:ascii="Tw Cen MT" w:eastAsia="Calibri" w:hAnsi="Tw Cen MT"/>
                <w:sz w:val="22"/>
                <w:szCs w:val="22"/>
              </w:rPr>
            </w:pPr>
            <w:r w:rsidRPr="00CF6DB0">
              <w:rPr>
                <w:rFonts w:ascii="Tw Cen MT" w:eastAsia="Calibri" w:hAnsi="Tw Cen MT"/>
                <w:sz w:val="22"/>
                <w:szCs w:val="22"/>
              </w:rPr>
              <w:t>Cohort 7 campuses will participate in the SMSS</w:t>
            </w:r>
            <w:r w:rsidR="00CB2540" w:rsidRPr="00CF6DB0">
              <w:rPr>
                <w:rFonts w:ascii="Tw Cen MT" w:eastAsia="Calibri" w:hAnsi="Tw Cen MT"/>
                <w:sz w:val="22"/>
                <w:szCs w:val="22"/>
              </w:rPr>
              <w:t xml:space="preserve">, completing their </w:t>
            </w:r>
            <w:r w:rsidR="00CB1EDA">
              <w:rPr>
                <w:rFonts w:ascii="Tw Cen MT" w:eastAsia="Calibri" w:hAnsi="Tw Cen MT"/>
                <w:sz w:val="22"/>
                <w:szCs w:val="22"/>
              </w:rPr>
              <w:t>2</w:t>
            </w:r>
            <w:r w:rsidR="00CB1EDA" w:rsidRPr="00CB1EDA">
              <w:rPr>
                <w:rFonts w:ascii="Tw Cen MT" w:eastAsia="Calibri" w:hAnsi="Tw Cen MT"/>
                <w:sz w:val="22"/>
                <w:szCs w:val="22"/>
              </w:rPr>
              <w:t>nd</w:t>
            </w:r>
            <w:r w:rsidR="00CB1EDA">
              <w:rPr>
                <w:rFonts w:ascii="Tw Cen MT" w:eastAsia="Calibri" w:hAnsi="Tw Cen MT"/>
                <w:sz w:val="22"/>
                <w:szCs w:val="22"/>
              </w:rPr>
              <w:t xml:space="preserve"> </w:t>
            </w:r>
            <w:r w:rsidR="00CB2540" w:rsidRPr="00CF6DB0">
              <w:rPr>
                <w:rFonts w:ascii="Tw Cen MT" w:eastAsia="Calibri" w:hAnsi="Tw Cen MT"/>
                <w:sz w:val="22"/>
                <w:szCs w:val="22"/>
              </w:rPr>
              <w:t>administration of the instrument.</w:t>
            </w:r>
            <w:r w:rsidR="00CB1EDA">
              <w:rPr>
                <w:rFonts w:ascii="Tw Cen MT" w:eastAsia="Calibri" w:hAnsi="Tw Cen MT"/>
                <w:sz w:val="22"/>
                <w:szCs w:val="22"/>
              </w:rPr>
              <w:t xml:space="preserve"> The SMSS takes 5 minutes to complete.</w:t>
            </w:r>
          </w:p>
        </w:tc>
      </w:tr>
      <w:tr w:rsidR="00C42BC2" w:rsidRPr="00CF6DB0" w14:paraId="27A231BA" w14:textId="77777777" w:rsidTr="006E402F">
        <w:tc>
          <w:tcPr>
            <w:tcW w:w="1435" w:type="dxa"/>
          </w:tcPr>
          <w:p w14:paraId="334273A5" w14:textId="16687581" w:rsidR="00C42BC2" w:rsidRPr="00CF6DB0" w:rsidRDefault="00C42BC2" w:rsidP="00C42BC2">
            <w:pPr>
              <w:jc w:val="left"/>
              <w:rPr>
                <w:rFonts w:ascii="Tw Cen MT" w:hAnsi="Tw Cen MT"/>
                <w:sz w:val="22"/>
                <w:szCs w:val="22"/>
              </w:rPr>
            </w:pPr>
            <w:r w:rsidRPr="00CF6DB0">
              <w:rPr>
                <w:rFonts w:ascii="Tw Cen MT" w:hAnsi="Tw Cen MT"/>
                <w:sz w:val="22"/>
                <w:szCs w:val="22"/>
              </w:rPr>
              <w:t>Instrument Additions</w:t>
            </w:r>
          </w:p>
        </w:tc>
        <w:tc>
          <w:tcPr>
            <w:tcW w:w="8100" w:type="dxa"/>
          </w:tcPr>
          <w:p w14:paraId="175B60ED" w14:textId="1A732746" w:rsidR="00C42BC2" w:rsidRPr="00CF6DB0" w:rsidRDefault="00C42BC2" w:rsidP="00D71BEC">
            <w:pPr>
              <w:rPr>
                <w:rFonts w:ascii="Tw Cen MT" w:eastAsia="Calibri" w:hAnsi="Tw Cen MT"/>
                <w:sz w:val="22"/>
                <w:szCs w:val="22"/>
              </w:rPr>
            </w:pPr>
            <w:r w:rsidRPr="00CF6DB0">
              <w:rPr>
                <w:rFonts w:ascii="Tw Cen MT" w:eastAsia="Calibri" w:hAnsi="Tw Cen MT"/>
                <w:sz w:val="22"/>
                <w:szCs w:val="22"/>
              </w:rPr>
              <w:t xml:space="preserve">Two new instruments will be incorporated into the NOE: TUP-S </w:t>
            </w:r>
            <w:r w:rsidR="00D71BEC" w:rsidRPr="00CF6DB0">
              <w:rPr>
                <w:rFonts w:ascii="Tw Cen MT" w:eastAsia="Calibri" w:hAnsi="Tw Cen MT"/>
                <w:sz w:val="22"/>
                <w:szCs w:val="22"/>
              </w:rPr>
              <w:t xml:space="preserve">(baseline and 12-month RCT versions) </w:t>
            </w:r>
            <w:r w:rsidRPr="00CF6DB0">
              <w:rPr>
                <w:rFonts w:ascii="Tw Cen MT" w:eastAsia="Calibri" w:hAnsi="Tw Cen MT"/>
                <w:sz w:val="22"/>
                <w:szCs w:val="22"/>
              </w:rPr>
              <w:t xml:space="preserve">and BHPS. </w:t>
            </w:r>
          </w:p>
        </w:tc>
      </w:tr>
      <w:tr w:rsidR="00C42BC2" w:rsidRPr="00CF6DB0" w14:paraId="5D1EEAF0" w14:textId="77777777" w:rsidTr="006E402F">
        <w:tc>
          <w:tcPr>
            <w:tcW w:w="1435" w:type="dxa"/>
          </w:tcPr>
          <w:p w14:paraId="117CF122" w14:textId="0627CE29" w:rsidR="00C42BC2" w:rsidRPr="00CF6DB0" w:rsidRDefault="00C42BC2" w:rsidP="00C42BC2">
            <w:pPr>
              <w:jc w:val="left"/>
              <w:rPr>
                <w:rFonts w:ascii="Tw Cen MT" w:hAnsi="Tw Cen MT"/>
                <w:sz w:val="22"/>
                <w:szCs w:val="22"/>
              </w:rPr>
            </w:pPr>
            <w:r w:rsidRPr="00CF6DB0">
              <w:rPr>
                <w:rFonts w:ascii="Tw Cen MT" w:hAnsi="Tw Cen MT"/>
                <w:sz w:val="22"/>
                <w:szCs w:val="22"/>
              </w:rPr>
              <w:t>Instrument Revisions</w:t>
            </w:r>
          </w:p>
        </w:tc>
        <w:tc>
          <w:tcPr>
            <w:tcW w:w="8100" w:type="dxa"/>
          </w:tcPr>
          <w:p w14:paraId="013B5B01" w14:textId="28F551B1" w:rsidR="00C42BC2" w:rsidRPr="00CF6DB0" w:rsidRDefault="00C42BC2" w:rsidP="00C42BC2">
            <w:pPr>
              <w:rPr>
                <w:rFonts w:ascii="Tw Cen MT" w:hAnsi="Tw Cen MT"/>
                <w:sz w:val="22"/>
                <w:szCs w:val="22"/>
              </w:rPr>
            </w:pPr>
            <w:r w:rsidRPr="00CF6DB0">
              <w:rPr>
                <w:rFonts w:ascii="Tw Cen MT" w:hAnsi="Tw Cen MT"/>
                <w:sz w:val="22"/>
                <w:szCs w:val="22"/>
              </w:rPr>
              <w:t xml:space="preserve">Six previously-approved instruments will be revised as part of the NOE: the PSI, TASP, TUP-S, </w:t>
            </w:r>
            <w:proofErr w:type="gramStart"/>
            <w:r w:rsidRPr="00CF6DB0">
              <w:rPr>
                <w:rFonts w:ascii="Tw Cen MT" w:hAnsi="Tw Cen MT"/>
                <w:sz w:val="22"/>
                <w:szCs w:val="22"/>
              </w:rPr>
              <w:t>EIRF</w:t>
            </w:r>
            <w:proofErr w:type="gramEnd"/>
            <w:r w:rsidRPr="00CF6DB0">
              <w:rPr>
                <w:rFonts w:ascii="Tw Cen MT" w:hAnsi="Tw Cen MT"/>
                <w:sz w:val="22"/>
                <w:szCs w:val="22"/>
              </w:rPr>
              <w:t>-I, EIRF-S, and SBHF/MIS.</w:t>
            </w:r>
          </w:p>
        </w:tc>
      </w:tr>
      <w:tr w:rsidR="00C42BC2" w:rsidRPr="00CF6DB0" w14:paraId="483FAC9D" w14:textId="77777777" w:rsidTr="006E402F">
        <w:tc>
          <w:tcPr>
            <w:tcW w:w="1435" w:type="dxa"/>
          </w:tcPr>
          <w:p w14:paraId="191F3107" w14:textId="62D00BAB" w:rsidR="00C42BC2" w:rsidRPr="00CF6DB0" w:rsidRDefault="00C42BC2" w:rsidP="00C42BC2">
            <w:pPr>
              <w:jc w:val="left"/>
              <w:rPr>
                <w:rFonts w:ascii="Tw Cen MT" w:hAnsi="Tw Cen MT"/>
                <w:sz w:val="22"/>
                <w:szCs w:val="22"/>
              </w:rPr>
            </w:pPr>
            <w:r w:rsidRPr="00CF6DB0">
              <w:rPr>
                <w:rFonts w:ascii="Tw Cen MT" w:hAnsi="Tw Cen MT"/>
                <w:sz w:val="22"/>
                <w:szCs w:val="22"/>
              </w:rPr>
              <w:t>PSI Revisions</w:t>
            </w:r>
          </w:p>
        </w:tc>
        <w:tc>
          <w:tcPr>
            <w:tcW w:w="8100" w:type="dxa"/>
          </w:tcPr>
          <w:p w14:paraId="5CA88693" w14:textId="625C8506" w:rsidR="00C42BC2" w:rsidRPr="00CF6DB0" w:rsidRDefault="00C42BC2" w:rsidP="00C42BC2">
            <w:pPr>
              <w:rPr>
                <w:rFonts w:ascii="Tw Cen MT" w:hAnsi="Tw Cen MT"/>
                <w:sz w:val="22"/>
                <w:szCs w:val="22"/>
              </w:rPr>
            </w:pPr>
            <w:r w:rsidRPr="00CF6DB0">
              <w:rPr>
                <w:rFonts w:ascii="Tw Cen MT" w:hAnsi="Tw Cen MT"/>
                <w:sz w:val="22"/>
                <w:szCs w:val="22"/>
              </w:rPr>
              <w:t>The PSI has been updated to enhance the utility and accuracy of the data collected. Changes capture different strategies implemented and products distributed by grantee programs, the population of focus for each strategy, total GLS budget expenditures, and the percent of funds allocated by the activity type. Data from the PSI will address the core components of the Training Study, Continuity of Care Study, and Suicide Safer Environment Study. The PSI takes 45 minutes to complete.</w:t>
            </w:r>
          </w:p>
        </w:tc>
      </w:tr>
      <w:tr w:rsidR="00C42BC2" w:rsidRPr="00CF6DB0" w14:paraId="1BBB00FA" w14:textId="77777777" w:rsidTr="006E402F">
        <w:tc>
          <w:tcPr>
            <w:tcW w:w="1435" w:type="dxa"/>
          </w:tcPr>
          <w:p w14:paraId="7F6EBE4B" w14:textId="77777777" w:rsidR="00C42BC2" w:rsidRPr="00CF6DB0" w:rsidRDefault="00C42BC2" w:rsidP="00C42BC2">
            <w:pPr>
              <w:jc w:val="left"/>
              <w:rPr>
                <w:rFonts w:ascii="Tw Cen MT" w:hAnsi="Tw Cen MT"/>
                <w:sz w:val="22"/>
                <w:szCs w:val="22"/>
              </w:rPr>
            </w:pPr>
            <w:r w:rsidRPr="00CF6DB0">
              <w:rPr>
                <w:rFonts w:ascii="Tw Cen MT" w:hAnsi="Tw Cen MT"/>
                <w:sz w:val="22"/>
                <w:szCs w:val="22"/>
              </w:rPr>
              <w:t>TASP Revisions</w:t>
            </w:r>
          </w:p>
        </w:tc>
        <w:tc>
          <w:tcPr>
            <w:tcW w:w="8100" w:type="dxa"/>
          </w:tcPr>
          <w:p w14:paraId="568732F7" w14:textId="4E633CD7" w:rsidR="00C42BC2" w:rsidRPr="00CF6DB0" w:rsidRDefault="00C42BC2" w:rsidP="006E402F">
            <w:pPr>
              <w:rPr>
                <w:rFonts w:ascii="Tw Cen MT" w:eastAsia="Calibri" w:hAnsi="Tw Cen MT"/>
                <w:sz w:val="22"/>
                <w:szCs w:val="22"/>
              </w:rPr>
            </w:pPr>
            <w:r w:rsidRPr="00CF6DB0">
              <w:rPr>
                <w:rFonts w:ascii="Tw Cen MT" w:hAnsi="Tw Cen MT"/>
                <w:bCs/>
                <w:sz w:val="22"/>
                <w:szCs w:val="22"/>
              </w:rPr>
              <w:t xml:space="preserve">New items on the TASP </w:t>
            </w:r>
            <w:r w:rsidRPr="00CF6DB0">
              <w:rPr>
                <w:rFonts w:ascii="Tw Cen MT" w:hAnsi="Tw Cen MT"/>
                <w:sz w:val="22"/>
                <w:szCs w:val="22"/>
              </w:rPr>
              <w:t xml:space="preserve">gather information about the use of behavioral rehearsal and/or role-play and resources provided at trainings—practices that have been found to improve retention of knowledge and skills </w:t>
            </w:r>
            <w:proofErr w:type="spellStart"/>
            <w:r w:rsidRPr="00CF6DB0">
              <w:rPr>
                <w:rFonts w:ascii="Tw Cen MT" w:hAnsi="Tw Cen MT"/>
                <w:sz w:val="22"/>
                <w:szCs w:val="22"/>
              </w:rPr>
              <w:t>posttraining</w:t>
            </w:r>
            <w:proofErr w:type="spellEnd"/>
            <w:r w:rsidRPr="00CF6DB0">
              <w:rPr>
                <w:rFonts w:ascii="Tw Cen MT" w:hAnsi="Tw Cen MT"/>
                <w:sz w:val="22"/>
                <w:szCs w:val="22"/>
              </w:rPr>
              <w:t xml:space="preserve">. In addition, understanding how skills can be maintained over time with materials provided at trainings (e.g., video reminders, wallet cards, online and phone applications) is an area suggested for further study (Cross et al., 2011). It is estimated that project staff will spend 15 minutes completing TASPs </w:t>
            </w:r>
            <w:r w:rsidR="006E402F" w:rsidRPr="00CF6DB0">
              <w:rPr>
                <w:rFonts w:ascii="Tw Cen MT" w:hAnsi="Tw Cen MT"/>
                <w:sz w:val="22"/>
                <w:szCs w:val="22"/>
              </w:rPr>
              <w:t>quarterly</w:t>
            </w:r>
            <w:r w:rsidRPr="00CF6DB0">
              <w:rPr>
                <w:rFonts w:ascii="Tw Cen MT" w:hAnsi="Tw Cen MT"/>
                <w:sz w:val="22"/>
                <w:szCs w:val="22"/>
              </w:rPr>
              <w:t xml:space="preserve">.  </w:t>
            </w:r>
          </w:p>
        </w:tc>
      </w:tr>
      <w:tr w:rsidR="00C42BC2" w:rsidRPr="00CF6DB0" w14:paraId="71D8DFAE" w14:textId="77777777" w:rsidTr="006E402F">
        <w:tc>
          <w:tcPr>
            <w:tcW w:w="1435" w:type="dxa"/>
          </w:tcPr>
          <w:p w14:paraId="70214917" w14:textId="4CB6F73B" w:rsidR="00C42BC2" w:rsidRPr="00CF6DB0" w:rsidRDefault="00C42BC2" w:rsidP="00A208E3">
            <w:pPr>
              <w:jc w:val="left"/>
              <w:rPr>
                <w:rFonts w:ascii="Tw Cen MT" w:hAnsi="Tw Cen MT"/>
                <w:sz w:val="22"/>
                <w:szCs w:val="22"/>
              </w:rPr>
            </w:pPr>
            <w:r w:rsidRPr="00CF6DB0">
              <w:rPr>
                <w:rFonts w:ascii="Tw Cen MT" w:hAnsi="Tw Cen MT"/>
                <w:sz w:val="22"/>
                <w:szCs w:val="22"/>
              </w:rPr>
              <w:t>TUP-S Revisions</w:t>
            </w:r>
          </w:p>
        </w:tc>
        <w:tc>
          <w:tcPr>
            <w:tcW w:w="8100" w:type="dxa"/>
          </w:tcPr>
          <w:p w14:paraId="47FDE221" w14:textId="41E21B9A" w:rsidR="00C42BC2" w:rsidRPr="00CF6DB0" w:rsidRDefault="00C42BC2" w:rsidP="00294127">
            <w:pPr>
              <w:rPr>
                <w:rFonts w:ascii="Tw Cen MT" w:eastAsia="Calibri" w:hAnsi="Tw Cen MT"/>
                <w:sz w:val="22"/>
                <w:szCs w:val="22"/>
              </w:rPr>
            </w:pPr>
            <w:r w:rsidRPr="00CF6DB0">
              <w:rPr>
                <w:rFonts w:ascii="Tw Cen MT" w:hAnsi="Tw Cen MT"/>
                <w:sz w:val="22"/>
                <w:szCs w:val="22"/>
              </w:rPr>
              <w:t xml:space="preserve">The TUP-S has been improved to examine </w:t>
            </w:r>
            <w:proofErr w:type="spellStart"/>
            <w:r w:rsidRPr="00CF6DB0">
              <w:rPr>
                <w:rFonts w:ascii="Tw Cen MT" w:hAnsi="Tw Cen MT"/>
                <w:sz w:val="22"/>
                <w:szCs w:val="22"/>
              </w:rPr>
              <w:t>posttraining</w:t>
            </w:r>
            <w:proofErr w:type="spellEnd"/>
            <w:r w:rsidRPr="00CF6DB0">
              <w:rPr>
                <w:rFonts w:ascii="Tw Cen MT" w:hAnsi="Tw Cen MT"/>
                <w:sz w:val="22"/>
                <w:szCs w:val="22"/>
              </w:rPr>
              <w:t xml:space="preserve"> behaviors and utilization of skills by training participants—factors known to improve understanding of the comprehensive training process and the impact that training has on identifications, referrals, and service use. </w:t>
            </w:r>
            <w:r w:rsidRPr="00CF6DB0">
              <w:rPr>
                <w:rFonts w:ascii="Tw Cen MT" w:hAnsi="Tw Cen MT"/>
                <w:bCs/>
                <w:sz w:val="22"/>
                <w:szCs w:val="22"/>
              </w:rPr>
              <w:t xml:space="preserve">The survey now requests detailed information about training resources received, practice components, trainee participation in role play, and previous suicide prevention trainings attended. Experience intervening with a suicidal individual (from QPR evaluation tool), intended use of the training, and referral behaviors also will be collected. Other items will measure previous contact and quality of relationships with youth. Broad items about training others, the use/intended use of skills, and barriers/facilitators have been removed. The consent-to-contact form has been modified to add brief items about the trainee and previous identifications/referrals and takes 10 minutes to complete. Broad items about training others, the use/intended use of skills, and barriers/facilitators have been removed. The TUP-S will be administered at 3 and 6 months post-training to a random sample of training participants via CATI (2000 ST TUP-S 3-mo/600 ST TUP-S 6-mo per year). </w:t>
            </w:r>
            <w:r w:rsidRPr="00CF6DB0">
              <w:rPr>
                <w:rFonts w:ascii="Tw Cen MT" w:hAnsi="Tw Cen MT"/>
                <w:sz w:val="22"/>
                <w:szCs w:val="22"/>
              </w:rPr>
              <w:t xml:space="preserve">The TUP-S takes 30 minutes to complete at 3 months and 25 minutes to complete at 6 months. </w:t>
            </w:r>
          </w:p>
        </w:tc>
      </w:tr>
      <w:tr w:rsidR="00C42BC2" w:rsidRPr="00CF6DB0" w14:paraId="3BDB4085" w14:textId="77777777" w:rsidTr="006E402F">
        <w:tc>
          <w:tcPr>
            <w:tcW w:w="1435" w:type="dxa"/>
          </w:tcPr>
          <w:p w14:paraId="280A124B" w14:textId="77777777" w:rsidR="00C42BC2" w:rsidRPr="00CF6DB0" w:rsidRDefault="00C42BC2" w:rsidP="00C42BC2">
            <w:pPr>
              <w:jc w:val="left"/>
              <w:rPr>
                <w:rFonts w:ascii="Tw Cen MT" w:hAnsi="Tw Cen MT"/>
                <w:sz w:val="22"/>
                <w:szCs w:val="22"/>
              </w:rPr>
            </w:pPr>
            <w:r w:rsidRPr="00CF6DB0">
              <w:rPr>
                <w:rFonts w:ascii="Tw Cen MT" w:hAnsi="Tw Cen MT"/>
                <w:sz w:val="22"/>
                <w:szCs w:val="22"/>
              </w:rPr>
              <w:t>TUP-S RCT</w:t>
            </w:r>
          </w:p>
          <w:p w14:paraId="256C994B" w14:textId="0FE3579B" w:rsidR="00C42BC2" w:rsidRPr="00CF6DB0" w:rsidRDefault="00C42BC2" w:rsidP="00C42BC2">
            <w:pPr>
              <w:jc w:val="left"/>
              <w:rPr>
                <w:rFonts w:ascii="Tw Cen MT" w:hAnsi="Tw Cen MT"/>
                <w:sz w:val="22"/>
                <w:szCs w:val="22"/>
              </w:rPr>
            </w:pPr>
            <w:r w:rsidRPr="00CF6DB0">
              <w:rPr>
                <w:rFonts w:ascii="Tw Cen MT" w:hAnsi="Tw Cen MT"/>
                <w:sz w:val="22"/>
                <w:szCs w:val="22"/>
              </w:rPr>
              <w:t>New Versions</w:t>
            </w:r>
          </w:p>
        </w:tc>
        <w:tc>
          <w:tcPr>
            <w:tcW w:w="8100" w:type="dxa"/>
          </w:tcPr>
          <w:p w14:paraId="5241A81D" w14:textId="4019C6FB" w:rsidR="00C42BC2" w:rsidRPr="00CF6DB0" w:rsidRDefault="00C42BC2" w:rsidP="00F875FD">
            <w:pPr>
              <w:rPr>
                <w:rFonts w:ascii="Tw Cen MT" w:eastAsia="Calibri" w:hAnsi="Tw Cen MT"/>
                <w:sz w:val="22"/>
                <w:szCs w:val="22"/>
              </w:rPr>
            </w:pPr>
            <w:r w:rsidRPr="00CF6DB0">
              <w:rPr>
                <w:rFonts w:ascii="Tw Cen MT" w:hAnsi="Tw Cen MT"/>
                <w:bCs/>
                <w:sz w:val="22"/>
                <w:szCs w:val="22"/>
              </w:rPr>
              <w:t xml:space="preserve">Two new versions of the TUP-S (BL and 12 months) are being added for use in the Training Study RCT and take </w:t>
            </w:r>
            <w:r w:rsidRPr="00CF6DB0">
              <w:rPr>
                <w:rFonts w:ascii="Tw Cen MT" w:hAnsi="Tw Cen MT"/>
                <w:sz w:val="22"/>
                <w:szCs w:val="22"/>
              </w:rPr>
              <w:t xml:space="preserve">25 minutes to complete. </w:t>
            </w:r>
            <w:r w:rsidRPr="00CF6DB0">
              <w:rPr>
                <w:rFonts w:ascii="Tw Cen MT" w:hAnsi="Tw Cen MT"/>
                <w:bCs/>
                <w:sz w:val="22"/>
                <w:szCs w:val="22"/>
              </w:rPr>
              <w:t xml:space="preserve">The TUP-S RCT refers to all TUP-S versions administered as part of the Training Study RCT. The RCT collects TUP-S data at baseline (pre-training) and 3, 6, and 12 months after training. Because the surveys are conducted at different times, each version refers the participant to a specific time period. All State/Tribal trainees participating in the RCT who consent to be contacted will be surveyed until the desired sample size of 1332 respondents is achieved. The consent-to-contact form will describe the RCT and the 4 assessment periods. </w:t>
            </w:r>
          </w:p>
        </w:tc>
      </w:tr>
      <w:tr w:rsidR="00C42BC2" w:rsidRPr="00CF6DB0" w14:paraId="72A21019" w14:textId="77777777" w:rsidTr="006E402F">
        <w:tc>
          <w:tcPr>
            <w:tcW w:w="1435" w:type="dxa"/>
          </w:tcPr>
          <w:p w14:paraId="6546FBF1" w14:textId="77777777" w:rsidR="00C42BC2" w:rsidRPr="00CF6DB0" w:rsidRDefault="00C42BC2" w:rsidP="00C42BC2">
            <w:pPr>
              <w:jc w:val="left"/>
              <w:rPr>
                <w:rFonts w:ascii="Tw Cen MT" w:hAnsi="Tw Cen MT"/>
                <w:sz w:val="22"/>
                <w:szCs w:val="22"/>
              </w:rPr>
            </w:pPr>
            <w:r w:rsidRPr="00CF6DB0">
              <w:rPr>
                <w:rFonts w:ascii="Tw Cen MT" w:hAnsi="Tw Cen MT"/>
                <w:sz w:val="22"/>
                <w:szCs w:val="22"/>
              </w:rPr>
              <w:t>EIRF-I Revisions</w:t>
            </w:r>
          </w:p>
        </w:tc>
        <w:tc>
          <w:tcPr>
            <w:tcW w:w="8100" w:type="dxa"/>
          </w:tcPr>
          <w:p w14:paraId="6F3C2D48" w14:textId="606EA0D9" w:rsidR="00C42BC2" w:rsidRPr="00CF6DB0" w:rsidRDefault="00C42BC2" w:rsidP="00C42BC2">
            <w:pPr>
              <w:rPr>
                <w:rFonts w:ascii="Tw Cen MT" w:hAnsi="Tw Cen MT"/>
                <w:color w:val="000000"/>
                <w:sz w:val="22"/>
                <w:szCs w:val="22"/>
              </w:rPr>
            </w:pPr>
            <w:r w:rsidRPr="00CF6DB0">
              <w:rPr>
                <w:rFonts w:ascii="Tw Cen MT" w:hAnsi="Tw Cen MT"/>
                <w:sz w:val="22"/>
                <w:szCs w:val="22"/>
              </w:rPr>
              <w:t xml:space="preserve">The EIRF-I has been improved to gather initial follow-up information about youth identified as being at risk as a result of the GLS program (whether or not a service was received after referral). </w:t>
            </w:r>
            <w:r w:rsidRPr="00CF6DB0">
              <w:rPr>
                <w:rFonts w:ascii="Tw Cen MT" w:hAnsi="Tw Cen MT"/>
                <w:color w:val="000000"/>
                <w:sz w:val="22"/>
                <w:szCs w:val="22"/>
              </w:rPr>
              <w:t xml:space="preserve">EIRF-I data elements have been expanded to include screening practices, screening tools, and screening results of youth identified as at-risk for suicide. Response options have been </w:t>
            </w:r>
            <w:proofErr w:type="gramStart"/>
            <w:r w:rsidRPr="00CF6DB0">
              <w:rPr>
                <w:rFonts w:ascii="Tw Cen MT" w:hAnsi="Tw Cen MT"/>
                <w:color w:val="000000"/>
                <w:sz w:val="22"/>
                <w:szCs w:val="22"/>
              </w:rPr>
              <w:t>expanded/refined</w:t>
            </w:r>
            <w:proofErr w:type="gramEnd"/>
            <w:r w:rsidRPr="00CF6DB0">
              <w:rPr>
                <w:rFonts w:ascii="Tw Cen MT" w:hAnsi="Tw Cen MT"/>
                <w:color w:val="000000"/>
                <w:sz w:val="22"/>
                <w:szCs w:val="22"/>
              </w:rPr>
              <w:t xml:space="preserve">: setting/source of identification, mental health and non-mental health referral locations, and services received. Tribal-specific data elements have been added and the </w:t>
            </w:r>
            <w:proofErr w:type="gramStart"/>
            <w:r w:rsidRPr="00CF6DB0">
              <w:rPr>
                <w:rFonts w:ascii="Tw Cen MT" w:hAnsi="Tw Cen MT"/>
                <w:color w:val="000000"/>
                <w:sz w:val="22"/>
                <w:szCs w:val="22"/>
              </w:rPr>
              <w:t>sources of information used has</w:t>
            </w:r>
            <w:proofErr w:type="gramEnd"/>
            <w:r w:rsidRPr="00CF6DB0">
              <w:rPr>
                <w:rFonts w:ascii="Tw Cen MT" w:hAnsi="Tw Cen MT"/>
                <w:color w:val="000000"/>
                <w:sz w:val="22"/>
                <w:szCs w:val="22"/>
              </w:rPr>
              <w:t xml:space="preserve"> been removed. </w:t>
            </w:r>
            <w:r w:rsidRPr="00CF6DB0">
              <w:rPr>
                <w:rFonts w:ascii="Tw Cen MT" w:hAnsi="Tw Cen MT"/>
                <w:sz w:val="22"/>
                <w:szCs w:val="22"/>
              </w:rPr>
              <w:t>It is estimated that project staff will spend 45 minutes completing the EIRF-I each quarter.</w:t>
            </w:r>
          </w:p>
        </w:tc>
      </w:tr>
      <w:tr w:rsidR="00C42BC2" w:rsidRPr="00CF6DB0" w14:paraId="40BEFBF0" w14:textId="77777777" w:rsidTr="006E402F">
        <w:tc>
          <w:tcPr>
            <w:tcW w:w="1435" w:type="dxa"/>
          </w:tcPr>
          <w:p w14:paraId="4E50937B" w14:textId="77777777" w:rsidR="00C42BC2" w:rsidRPr="00CF6DB0" w:rsidRDefault="00C42BC2" w:rsidP="00C42BC2">
            <w:pPr>
              <w:jc w:val="left"/>
              <w:rPr>
                <w:rFonts w:ascii="Tw Cen MT" w:hAnsi="Tw Cen MT"/>
                <w:sz w:val="22"/>
                <w:szCs w:val="22"/>
              </w:rPr>
            </w:pPr>
            <w:r w:rsidRPr="00CF6DB0">
              <w:rPr>
                <w:rFonts w:ascii="Tw Cen MT" w:hAnsi="Tw Cen MT"/>
                <w:sz w:val="22"/>
                <w:szCs w:val="22"/>
              </w:rPr>
              <w:t>EIRF-S Revisions</w:t>
            </w:r>
          </w:p>
        </w:tc>
        <w:tc>
          <w:tcPr>
            <w:tcW w:w="8100" w:type="dxa"/>
          </w:tcPr>
          <w:p w14:paraId="0436AE07" w14:textId="55607608" w:rsidR="00C42BC2" w:rsidRPr="00CF6DB0" w:rsidRDefault="00C42BC2" w:rsidP="00C42BC2">
            <w:pPr>
              <w:rPr>
                <w:rFonts w:ascii="Tw Cen MT" w:eastAsia="Calibri" w:hAnsi="Tw Cen MT"/>
                <w:sz w:val="22"/>
                <w:szCs w:val="22"/>
              </w:rPr>
            </w:pPr>
            <w:r w:rsidRPr="00CF6DB0">
              <w:rPr>
                <w:rFonts w:ascii="Tw Cen MT" w:hAnsi="Tw Cen MT"/>
                <w:color w:val="000000"/>
                <w:sz w:val="22"/>
                <w:szCs w:val="22"/>
              </w:rPr>
              <w:t xml:space="preserve">Data elements have been added to indicate whether screenings were performed at the individual- or group-level. New response options have been added under “screening tool” and “false positive” has been removed as an option. </w:t>
            </w:r>
            <w:r w:rsidRPr="00CF6DB0">
              <w:rPr>
                <w:rFonts w:ascii="Tw Cen MT" w:hAnsi="Tw Cen MT"/>
                <w:sz w:val="22"/>
                <w:szCs w:val="22"/>
              </w:rPr>
              <w:t>It is estimated that project staff will spend 45 minutes completing the EIRF-S each quarter.</w:t>
            </w:r>
          </w:p>
        </w:tc>
      </w:tr>
      <w:tr w:rsidR="00C42BC2" w:rsidRPr="00CF6DB0" w14:paraId="60F8FB5E" w14:textId="77777777" w:rsidTr="006E402F">
        <w:tc>
          <w:tcPr>
            <w:tcW w:w="1435" w:type="dxa"/>
          </w:tcPr>
          <w:p w14:paraId="3354C7FD" w14:textId="77777777" w:rsidR="00C42BC2" w:rsidRPr="00CF6DB0" w:rsidRDefault="00C42BC2" w:rsidP="00C42BC2">
            <w:pPr>
              <w:jc w:val="left"/>
              <w:rPr>
                <w:rFonts w:ascii="Tw Cen MT" w:hAnsi="Tw Cen MT"/>
                <w:sz w:val="22"/>
                <w:szCs w:val="22"/>
              </w:rPr>
            </w:pPr>
            <w:r w:rsidRPr="00CF6DB0">
              <w:rPr>
                <w:rFonts w:ascii="Tw Cen MT" w:hAnsi="Tw Cen MT"/>
                <w:sz w:val="22"/>
                <w:szCs w:val="22"/>
              </w:rPr>
              <w:t>BHPS</w:t>
            </w:r>
          </w:p>
          <w:p w14:paraId="62DF6B32" w14:textId="4BF99018" w:rsidR="00C42BC2" w:rsidRPr="00CF6DB0" w:rsidRDefault="00C42BC2" w:rsidP="00C42BC2">
            <w:pPr>
              <w:jc w:val="left"/>
              <w:rPr>
                <w:rFonts w:ascii="Tw Cen MT" w:hAnsi="Tw Cen MT"/>
                <w:sz w:val="22"/>
                <w:szCs w:val="22"/>
              </w:rPr>
            </w:pPr>
            <w:r w:rsidRPr="00CF6DB0">
              <w:rPr>
                <w:rFonts w:ascii="Tw Cen MT" w:hAnsi="Tw Cen MT"/>
                <w:sz w:val="22"/>
                <w:szCs w:val="22"/>
              </w:rPr>
              <w:t>New</w:t>
            </w:r>
            <w:r w:rsidR="00F875FD" w:rsidRPr="00CF6DB0">
              <w:rPr>
                <w:rFonts w:ascii="Tw Cen MT" w:hAnsi="Tw Cen MT"/>
                <w:sz w:val="22"/>
                <w:szCs w:val="22"/>
              </w:rPr>
              <w:t xml:space="preserve"> Instrument</w:t>
            </w:r>
          </w:p>
        </w:tc>
        <w:tc>
          <w:tcPr>
            <w:tcW w:w="8100" w:type="dxa"/>
          </w:tcPr>
          <w:p w14:paraId="302044B7" w14:textId="18455F5A" w:rsidR="00C42BC2" w:rsidRPr="00CF6DB0" w:rsidRDefault="00C42BC2" w:rsidP="00C42BC2">
            <w:pPr>
              <w:rPr>
                <w:rFonts w:ascii="Tw Cen MT" w:hAnsi="Tw Cen MT"/>
                <w:color w:val="000000"/>
                <w:sz w:val="22"/>
                <w:szCs w:val="22"/>
              </w:rPr>
            </w:pPr>
            <w:r w:rsidRPr="00CF6DB0">
              <w:rPr>
                <w:rFonts w:ascii="Tw Cen MT" w:hAnsi="Tw Cen MT"/>
                <w:sz w:val="22"/>
                <w:szCs w:val="22"/>
              </w:rPr>
              <w:t>The BHPS is a new data collection activity and the first to specifically target behavioral health providers partnering with GLS grantees. Data will include information about referrals for at-risk youth, SSE care practices implemented, and client outcomes (number of suicide attempts and deaths). A total of 1-10 behavioral health partners from each State/Trial grantee will participate annually. The BHPS takes 45 minutes to complete.</w:t>
            </w:r>
          </w:p>
        </w:tc>
      </w:tr>
      <w:tr w:rsidR="00C42BC2" w:rsidRPr="00CF6DB0" w14:paraId="174718C4" w14:textId="77777777" w:rsidTr="006E402F">
        <w:tc>
          <w:tcPr>
            <w:tcW w:w="1435" w:type="dxa"/>
          </w:tcPr>
          <w:p w14:paraId="51225928" w14:textId="77777777" w:rsidR="00C42BC2" w:rsidRPr="00CF6DB0" w:rsidRDefault="00C42BC2" w:rsidP="00C42BC2">
            <w:pPr>
              <w:jc w:val="left"/>
              <w:rPr>
                <w:rFonts w:ascii="Tw Cen MT" w:hAnsi="Tw Cen MT"/>
                <w:sz w:val="22"/>
                <w:szCs w:val="22"/>
              </w:rPr>
            </w:pPr>
            <w:r w:rsidRPr="00CF6DB0">
              <w:rPr>
                <w:rFonts w:ascii="Tw Cen MT" w:hAnsi="Tw Cen MT"/>
                <w:sz w:val="22"/>
                <w:szCs w:val="22"/>
              </w:rPr>
              <w:t>SBHF/MIS Revisions</w:t>
            </w:r>
            <w:r w:rsidRPr="00CF6DB0">
              <w:rPr>
                <w:rFonts w:ascii="Tw Cen MT" w:hAnsi="Tw Cen MT"/>
                <w:i/>
                <w:sz w:val="22"/>
                <w:szCs w:val="22"/>
              </w:rPr>
              <w:t xml:space="preserve"> </w:t>
            </w:r>
          </w:p>
          <w:p w14:paraId="2DC33098" w14:textId="77777777" w:rsidR="00C42BC2" w:rsidRPr="00CF6DB0" w:rsidRDefault="00C42BC2" w:rsidP="00C42BC2">
            <w:pPr>
              <w:jc w:val="left"/>
              <w:rPr>
                <w:rFonts w:ascii="Tw Cen MT" w:hAnsi="Tw Cen MT"/>
                <w:sz w:val="22"/>
                <w:szCs w:val="22"/>
              </w:rPr>
            </w:pPr>
          </w:p>
        </w:tc>
        <w:tc>
          <w:tcPr>
            <w:tcW w:w="8100" w:type="dxa"/>
          </w:tcPr>
          <w:p w14:paraId="342C01A0" w14:textId="385894F1" w:rsidR="00C42BC2" w:rsidRPr="00CF6DB0" w:rsidRDefault="00C42BC2" w:rsidP="00C42BC2">
            <w:pPr>
              <w:rPr>
                <w:rFonts w:ascii="Tw Cen MT" w:hAnsi="Tw Cen MT"/>
                <w:color w:val="000000"/>
                <w:sz w:val="22"/>
                <w:szCs w:val="22"/>
              </w:rPr>
            </w:pPr>
            <w:r w:rsidRPr="00CF6DB0">
              <w:rPr>
                <w:rFonts w:ascii="Tw Cen MT" w:hAnsi="Tw Cen MT"/>
                <w:color w:val="000000"/>
                <w:sz w:val="22"/>
                <w:szCs w:val="22"/>
              </w:rPr>
              <w:t xml:space="preserve">The SBHF (formerly entitled the MIS) has been expanded and renamed. The form has been enhanced to include referral and follow-up procedure questions (rather than simply counts); numbers screened, identified at risk, receiving suicide-specific services, referred, and receiving follow-up; and age and gender breakdowns of suicide attempts and deaths. Student enrollment/retention items have been removed; these will be obtained through the Integrated Postsecondary Education Data System (IPEDS). The SBHF takes 40 minutes to complete. It will require closer involvement with campus behavioral health/health providers to gather data on procedural questions and screenings, risk assessment, services, referrals, and follow-ups. </w:t>
            </w:r>
          </w:p>
        </w:tc>
      </w:tr>
      <w:tr w:rsidR="00C42BC2" w:rsidRPr="00CF6DB0" w14:paraId="2F1DF6EF" w14:textId="77777777" w:rsidTr="006E402F">
        <w:tc>
          <w:tcPr>
            <w:tcW w:w="1435" w:type="dxa"/>
          </w:tcPr>
          <w:p w14:paraId="1D8DCF2D" w14:textId="77777777" w:rsidR="00C42BC2" w:rsidRPr="00CF6DB0" w:rsidRDefault="00C42BC2" w:rsidP="00C42BC2">
            <w:pPr>
              <w:jc w:val="left"/>
              <w:rPr>
                <w:rFonts w:ascii="Tw Cen MT" w:hAnsi="Tw Cen MT"/>
                <w:sz w:val="22"/>
                <w:szCs w:val="22"/>
              </w:rPr>
            </w:pPr>
            <w:r w:rsidRPr="00CF6DB0">
              <w:rPr>
                <w:rFonts w:ascii="Tw Cen MT" w:hAnsi="Tw Cen MT"/>
                <w:sz w:val="22"/>
                <w:szCs w:val="22"/>
              </w:rPr>
              <w:t>Special Analyses</w:t>
            </w:r>
          </w:p>
        </w:tc>
        <w:tc>
          <w:tcPr>
            <w:tcW w:w="8100" w:type="dxa"/>
          </w:tcPr>
          <w:p w14:paraId="6451BF1F" w14:textId="10541CF4" w:rsidR="00C42BC2" w:rsidRPr="00CF6DB0" w:rsidRDefault="00C42BC2" w:rsidP="00C42BC2">
            <w:pPr>
              <w:rPr>
                <w:rFonts w:ascii="Tw Cen MT" w:eastAsia="Calibri" w:hAnsi="Tw Cen MT"/>
                <w:sz w:val="22"/>
                <w:szCs w:val="22"/>
              </w:rPr>
            </w:pPr>
            <w:r w:rsidRPr="00CF6DB0">
              <w:rPr>
                <w:rFonts w:ascii="Tw Cen MT" w:eastAsia="Calibri" w:hAnsi="Tw Cen MT"/>
                <w:sz w:val="22"/>
                <w:szCs w:val="22"/>
              </w:rPr>
              <w:t>Three types of special analyses—</w:t>
            </w:r>
            <w:r w:rsidRPr="00CF6DB0">
              <w:rPr>
                <w:rFonts w:ascii="Tw Cen MT" w:hAnsi="Tw Cen MT"/>
                <w:sz w:val="22"/>
                <w:szCs w:val="22"/>
              </w:rPr>
              <w:t>Ecological Impact, Outcomes Modeling, and Unintended Consequences—</w:t>
            </w:r>
            <w:r w:rsidRPr="00CF6DB0">
              <w:rPr>
                <w:rFonts w:ascii="Tw Cen MT" w:eastAsia="Calibri" w:hAnsi="Tw Cen MT"/>
                <w:sz w:val="22"/>
                <w:szCs w:val="22"/>
              </w:rPr>
              <w:t xml:space="preserve">are proposed to address effectiveness and impact questions and use primary data collected by ICF for previous evaluations of the GLS Suicide Prevention Program, apply new data collected for each of the three studies, and integrate extant data (MAX) for context and comparison. </w:t>
            </w:r>
          </w:p>
        </w:tc>
      </w:tr>
    </w:tbl>
    <w:p w14:paraId="40781E9F" w14:textId="42B58C11" w:rsidR="00034EE7" w:rsidRPr="00B603E8" w:rsidRDefault="00034EE7" w:rsidP="00966D74">
      <w:pPr>
        <w:pStyle w:val="GLSBody"/>
        <w:keepNext/>
        <w:numPr>
          <w:ilvl w:val="0"/>
          <w:numId w:val="36"/>
        </w:numPr>
        <w:spacing w:before="240" w:after="120"/>
        <w:rPr>
          <w:rFonts w:ascii="Tw Cen MT" w:hAnsi="Tw Cen MT" w:cs="Arial"/>
          <w:b/>
          <w:sz w:val="28"/>
          <w:szCs w:val="28"/>
        </w:rPr>
      </w:pPr>
      <w:r w:rsidRPr="00B603E8">
        <w:rPr>
          <w:rFonts w:ascii="Tw Cen MT" w:hAnsi="Tw Cen MT" w:cs="Arial"/>
          <w:b/>
          <w:sz w:val="28"/>
          <w:szCs w:val="28"/>
        </w:rPr>
        <w:t>Uses of Information Collected</w:t>
      </w:r>
    </w:p>
    <w:p w14:paraId="73787BC3" w14:textId="0A11AC2A" w:rsidR="00023D4B" w:rsidRPr="00B603E8" w:rsidRDefault="003251BD" w:rsidP="00D95D6B">
      <w:pPr>
        <w:spacing w:after="240"/>
      </w:pPr>
      <w:r w:rsidRPr="00B603E8">
        <w:t xml:space="preserve">The </w:t>
      </w:r>
      <w:r w:rsidR="003B63F7" w:rsidRPr="00B603E8">
        <w:t>9</w:t>
      </w:r>
      <w:r w:rsidRPr="00B603E8">
        <w:t>-year cross-site evaluation of the GLS Suicide Prevention Program has resulted in the largest repository of youth suicide prevention data in the United States</w:t>
      </w:r>
      <w:r w:rsidR="006068AA" w:rsidRPr="00B603E8">
        <w:t xml:space="preserve">. </w:t>
      </w:r>
      <w:r w:rsidR="00B613A8" w:rsidRPr="00B603E8">
        <w:t>Across its history, t</w:t>
      </w:r>
      <w:r w:rsidR="00023D4B" w:rsidRPr="00B603E8">
        <w:t xml:space="preserve">he </w:t>
      </w:r>
      <w:r w:rsidR="006068AA" w:rsidRPr="00B603E8">
        <w:t>evaluation</w:t>
      </w:r>
      <w:r w:rsidR="00B613A8" w:rsidRPr="00B603E8">
        <w:t xml:space="preserve"> has responded to the National Strategy for Suicide Prevention (National Strategy) developed by the National Action Alliance for Suicide Prevention (Action Alliance) in 2001 and revised in 2012. Further, the evaluation aligns</w:t>
      </w:r>
      <w:r w:rsidR="006068AA" w:rsidRPr="00B603E8">
        <w:t xml:space="preserve"> with and </w:t>
      </w:r>
      <w:r w:rsidR="00B613A8" w:rsidRPr="00B603E8">
        <w:t>provides</w:t>
      </w:r>
      <w:r w:rsidR="006068AA" w:rsidRPr="00B603E8">
        <w:t xml:space="preserve"> data sources to track SAMHSA’s Strategic Initiatives</w:t>
      </w:r>
      <w:r w:rsidR="00023D4B" w:rsidRPr="00B603E8">
        <w:t xml:space="preserve">. </w:t>
      </w:r>
      <w:r w:rsidR="00B613A8" w:rsidRPr="00B603E8">
        <w:t xml:space="preserve">The information gathered has been essential to SAMHSA and others in helping communities and decision-makers at all levels of government improve suicide prevention effectiveness. </w:t>
      </w:r>
      <w:r w:rsidR="00023D4B" w:rsidRPr="00B603E8">
        <w:t xml:space="preserve">Building on the revised </w:t>
      </w:r>
      <w:r w:rsidR="0045340E" w:rsidRPr="00B603E8">
        <w:t>National Strategy</w:t>
      </w:r>
      <w:r w:rsidR="00023D4B" w:rsidRPr="00B603E8">
        <w:t xml:space="preserve"> (</w:t>
      </w:r>
      <w:r w:rsidR="0045340E" w:rsidRPr="00B603E8">
        <w:t>HHS</w:t>
      </w:r>
      <w:r w:rsidR="00023D4B" w:rsidRPr="00B603E8">
        <w:t xml:space="preserve">, 2012) the Action Alliance released the first-of-its-kind action plan in 2014, </w:t>
      </w:r>
      <w:r w:rsidR="00023D4B" w:rsidRPr="00B603E8">
        <w:rPr>
          <w:i/>
        </w:rPr>
        <w:t>A Prioritized Research Agenda for Suicide Prevention: An Action Plan to Save Lives</w:t>
      </w:r>
      <w:r w:rsidR="00023D4B" w:rsidRPr="00B603E8">
        <w:t xml:space="preserve">, aimed at prioritizing suicide prevention research with the greatest likelihood of reducing suicide morbidity and mortality. Consistent with the Action Alliance goal to save 20,000 lives in 5 years, the agenda outlines multiple approaches that collectively could achieve a reduction in suicide attempts and deaths by 20% in 5 years and 40% or greater in 10 years (Action Alliance, 2014). The agenda is organized around 6 key questions, each tied to one or more of 12 aspirational goals which serve as an organizing frame for suggested research pathways to reduce the burden of suicide. The public health approach to suicide prevention recommended in these guiding documents has been a hallmark of SAMHSA’s suicide prevention programs. </w:t>
      </w:r>
      <w:r w:rsidR="00B613A8" w:rsidRPr="00B603E8">
        <w:t xml:space="preserve">Information collected through the evaluation of the GLS Suicide Prevention Program has contributed </w:t>
      </w:r>
      <w:r w:rsidR="00DE0704" w:rsidRPr="00B603E8">
        <w:t>t</w:t>
      </w:r>
      <w:r w:rsidR="00B613A8" w:rsidRPr="00B603E8">
        <w:t xml:space="preserve">o key areas of both efforts and is a priority for the NOE.   </w:t>
      </w:r>
    </w:p>
    <w:p w14:paraId="1E4251E3" w14:textId="65DD7DB4" w:rsidR="003251BD" w:rsidRPr="00B603E8" w:rsidRDefault="003251BD" w:rsidP="003536EA">
      <w:pPr>
        <w:pStyle w:val="BodyText"/>
        <w:numPr>
          <w:ilvl w:val="0"/>
          <w:numId w:val="41"/>
        </w:numPr>
        <w:tabs>
          <w:tab w:val="left" w:pos="1563"/>
        </w:tabs>
        <w:spacing w:after="120"/>
        <w:rPr>
          <w:rFonts w:ascii="Tw Cen MT" w:hAnsi="Tw Cen MT" w:cs="Times New Roman"/>
          <w:b/>
          <w:sz w:val="28"/>
          <w:szCs w:val="28"/>
        </w:rPr>
      </w:pPr>
      <w:r w:rsidRPr="00B603E8">
        <w:rPr>
          <w:rFonts w:ascii="Tw Cen MT" w:hAnsi="Tw Cen MT" w:cs="Times New Roman"/>
          <w:b/>
          <w:sz w:val="28"/>
          <w:szCs w:val="28"/>
        </w:rPr>
        <w:t>SAMHSA</w:t>
      </w:r>
      <w:r w:rsidR="00222CF5" w:rsidRPr="00B603E8">
        <w:rPr>
          <w:rFonts w:ascii="Tw Cen MT" w:hAnsi="Tw Cen MT" w:cs="Times New Roman"/>
          <w:b/>
          <w:sz w:val="28"/>
          <w:szCs w:val="28"/>
        </w:rPr>
        <w:t>’s</w:t>
      </w:r>
      <w:r w:rsidRPr="00B603E8">
        <w:rPr>
          <w:rFonts w:ascii="Tw Cen MT" w:hAnsi="Tw Cen MT" w:cs="Times New Roman"/>
          <w:b/>
          <w:sz w:val="28"/>
          <w:szCs w:val="28"/>
        </w:rPr>
        <w:t xml:space="preserve"> Strategic Initiatives</w:t>
      </w:r>
      <w:r w:rsidR="00D671C1" w:rsidRPr="00B603E8">
        <w:rPr>
          <w:rFonts w:ascii="Tw Cen MT" w:hAnsi="Tw Cen MT" w:cs="Times New Roman"/>
          <w:b/>
          <w:sz w:val="28"/>
          <w:szCs w:val="28"/>
        </w:rPr>
        <w:t xml:space="preserve">  </w:t>
      </w:r>
    </w:p>
    <w:p w14:paraId="4009EF86" w14:textId="689AB6BE" w:rsidR="00EF530E" w:rsidRPr="00B603E8" w:rsidRDefault="00375E9A" w:rsidP="00EF530E">
      <w:pPr>
        <w:pStyle w:val="BodyText"/>
        <w:tabs>
          <w:tab w:val="left" w:pos="1563"/>
        </w:tabs>
        <w:spacing w:after="240"/>
        <w:rPr>
          <w:rFonts w:ascii="Times New Roman" w:eastAsiaTheme="minorHAnsi" w:hAnsi="Times New Roman" w:cs="Times New Roman"/>
          <w:color w:val="000000"/>
          <w:sz w:val="24"/>
          <w:szCs w:val="24"/>
        </w:rPr>
      </w:pPr>
      <w:r w:rsidRPr="00B603E8">
        <w:rPr>
          <w:rFonts w:ascii="Times New Roman" w:hAnsi="Times New Roman" w:cs="Times New Roman"/>
          <w:sz w:val="24"/>
          <w:szCs w:val="24"/>
        </w:rPr>
        <w:t xml:space="preserve">In FY 2010, SAMHSA developed an updated </w:t>
      </w:r>
      <w:r w:rsidR="00BC1AEC" w:rsidRPr="00B603E8">
        <w:rPr>
          <w:rFonts w:ascii="Times New Roman" w:hAnsi="Times New Roman" w:cs="Times New Roman"/>
          <w:sz w:val="24"/>
          <w:szCs w:val="24"/>
        </w:rPr>
        <w:t xml:space="preserve">strategic </w:t>
      </w:r>
      <w:r w:rsidRPr="00B603E8">
        <w:rPr>
          <w:rFonts w:ascii="Times New Roman" w:hAnsi="Times New Roman" w:cs="Times New Roman"/>
          <w:sz w:val="24"/>
          <w:szCs w:val="24"/>
        </w:rPr>
        <w:t xml:space="preserve">plan, </w:t>
      </w:r>
      <w:r w:rsidR="00222CF5" w:rsidRPr="00B603E8">
        <w:rPr>
          <w:rFonts w:ascii="Times New Roman" w:hAnsi="Times New Roman" w:cs="Times New Roman"/>
          <w:i/>
          <w:sz w:val="24"/>
          <w:szCs w:val="24"/>
        </w:rPr>
        <w:t>Leading Change: A Plan for SAMHSA’s Roles and Actions: FY 2011–2014</w:t>
      </w:r>
      <w:r w:rsidR="00AD0EAC" w:rsidRPr="00B603E8">
        <w:rPr>
          <w:rFonts w:ascii="Times New Roman" w:hAnsi="Times New Roman" w:cs="Times New Roman"/>
          <w:i/>
          <w:sz w:val="24"/>
          <w:szCs w:val="24"/>
        </w:rPr>
        <w:t xml:space="preserve">. </w:t>
      </w:r>
      <w:r w:rsidR="00AD0EAC" w:rsidRPr="00B603E8">
        <w:rPr>
          <w:rFonts w:ascii="Times New Roman" w:hAnsi="Times New Roman" w:cs="Times New Roman"/>
          <w:sz w:val="24"/>
          <w:szCs w:val="24"/>
        </w:rPr>
        <w:t xml:space="preserve">The 2011–2014 </w:t>
      </w:r>
      <w:proofErr w:type="gramStart"/>
      <w:r w:rsidR="00AD0EAC" w:rsidRPr="00B603E8">
        <w:rPr>
          <w:rFonts w:ascii="Times New Roman" w:hAnsi="Times New Roman" w:cs="Times New Roman"/>
          <w:sz w:val="24"/>
          <w:szCs w:val="24"/>
        </w:rPr>
        <w:t>plan</w:t>
      </w:r>
      <w:proofErr w:type="gramEnd"/>
      <w:r w:rsidR="00AD0EAC" w:rsidRPr="00B603E8">
        <w:rPr>
          <w:rFonts w:ascii="Times New Roman" w:hAnsi="Times New Roman" w:cs="Times New Roman"/>
          <w:sz w:val="24"/>
          <w:szCs w:val="24"/>
        </w:rPr>
        <w:t xml:space="preserve"> </w:t>
      </w:r>
      <w:r w:rsidRPr="00B603E8">
        <w:rPr>
          <w:rFonts w:ascii="Times New Roman" w:hAnsi="Times New Roman" w:cs="Times New Roman"/>
          <w:sz w:val="24"/>
          <w:szCs w:val="24"/>
        </w:rPr>
        <w:t>comprise</w:t>
      </w:r>
      <w:r w:rsidR="00BC1AEC" w:rsidRPr="00B603E8">
        <w:rPr>
          <w:rFonts w:ascii="Times New Roman" w:hAnsi="Times New Roman" w:cs="Times New Roman"/>
          <w:sz w:val="24"/>
          <w:szCs w:val="24"/>
        </w:rPr>
        <w:t>s</w:t>
      </w:r>
      <w:r w:rsidRPr="00B603E8">
        <w:rPr>
          <w:rFonts w:ascii="Times New Roman" w:hAnsi="Times New Roman" w:cs="Times New Roman"/>
          <w:sz w:val="24"/>
          <w:szCs w:val="24"/>
        </w:rPr>
        <w:t xml:space="preserve"> 8 Strategic Initiatives (SIs)</w:t>
      </w:r>
      <w:r w:rsidR="00AD0EAC" w:rsidRPr="00B603E8">
        <w:rPr>
          <w:rFonts w:ascii="Times New Roman" w:hAnsi="Times New Roman" w:cs="Times New Roman"/>
          <w:sz w:val="24"/>
          <w:szCs w:val="24"/>
        </w:rPr>
        <w:t xml:space="preserve"> </w:t>
      </w:r>
      <w:r w:rsidR="00BC1AEC" w:rsidRPr="00B603E8">
        <w:rPr>
          <w:rFonts w:ascii="Times New Roman" w:hAnsi="Times New Roman" w:cs="Times New Roman"/>
          <w:sz w:val="24"/>
          <w:szCs w:val="24"/>
        </w:rPr>
        <w:t xml:space="preserve">that </w:t>
      </w:r>
      <w:r w:rsidR="00AD0EAC" w:rsidRPr="00B603E8">
        <w:rPr>
          <w:rFonts w:ascii="Times New Roman" w:hAnsi="Times New Roman" w:cs="Times New Roman"/>
          <w:sz w:val="24"/>
          <w:szCs w:val="24"/>
        </w:rPr>
        <w:t xml:space="preserve">focus on </w:t>
      </w:r>
      <w:r w:rsidR="00BC1AEC" w:rsidRPr="00B603E8">
        <w:rPr>
          <w:rStyle w:val="SuicideBodyTextChar"/>
          <w:rFonts w:eastAsia="Arial"/>
        </w:rPr>
        <w:t xml:space="preserve">SAMHSA’s work on improving lives and capitalizing on emerging opportunities. </w:t>
      </w:r>
      <w:r w:rsidR="00BC1AEC" w:rsidRPr="00B603E8">
        <w:rPr>
          <w:rFonts w:ascii="Times New Roman" w:hAnsi="Times New Roman" w:cs="Times New Roman"/>
          <w:sz w:val="24"/>
          <w:szCs w:val="24"/>
        </w:rPr>
        <w:t>In the Leading Change Accomplishments Report,</w:t>
      </w:r>
      <w:r w:rsidR="00AD0EAC" w:rsidRPr="00B603E8">
        <w:rPr>
          <w:rFonts w:ascii="Times New Roman" w:hAnsi="Times New Roman" w:cs="Times New Roman"/>
          <w:sz w:val="24"/>
          <w:szCs w:val="24"/>
        </w:rPr>
        <w:t xml:space="preserve"> SAMHSA </w:t>
      </w:r>
      <w:r w:rsidR="00BC1AEC" w:rsidRPr="00B603E8">
        <w:rPr>
          <w:rFonts w:ascii="Times New Roman" w:hAnsi="Times New Roman" w:cs="Times New Roman"/>
          <w:sz w:val="24"/>
          <w:szCs w:val="24"/>
        </w:rPr>
        <w:t>reported attaining signification success</w:t>
      </w:r>
      <w:r w:rsidR="000A228B" w:rsidRPr="00B603E8">
        <w:rPr>
          <w:rFonts w:ascii="Times New Roman" w:hAnsi="Times New Roman" w:cs="Times New Roman"/>
          <w:sz w:val="24"/>
          <w:szCs w:val="24"/>
        </w:rPr>
        <w:t xml:space="preserve"> in </w:t>
      </w:r>
      <w:r w:rsidR="00207DE9" w:rsidRPr="00B603E8">
        <w:rPr>
          <w:rFonts w:ascii="Times New Roman" w:hAnsi="Times New Roman" w:cs="Times New Roman"/>
          <w:sz w:val="24"/>
          <w:szCs w:val="24"/>
        </w:rPr>
        <w:t xml:space="preserve">all </w:t>
      </w:r>
      <w:r w:rsidR="000A228B" w:rsidRPr="00B603E8">
        <w:rPr>
          <w:rFonts w:ascii="Times New Roman" w:hAnsi="Times New Roman" w:cs="Times New Roman"/>
          <w:sz w:val="24"/>
          <w:szCs w:val="24"/>
        </w:rPr>
        <w:t xml:space="preserve">8 areas and </w:t>
      </w:r>
      <w:r w:rsidR="00BC1AEC" w:rsidRPr="00B603E8">
        <w:rPr>
          <w:rFonts w:ascii="Times New Roman" w:hAnsi="Times New Roman" w:cs="Times New Roman"/>
          <w:sz w:val="24"/>
          <w:szCs w:val="24"/>
        </w:rPr>
        <w:t xml:space="preserve">meeting </w:t>
      </w:r>
      <w:r w:rsidR="000A228B" w:rsidRPr="00B603E8">
        <w:rPr>
          <w:rFonts w:ascii="Times New Roman" w:hAnsi="Times New Roman" w:cs="Times New Roman"/>
          <w:sz w:val="24"/>
          <w:szCs w:val="24"/>
        </w:rPr>
        <w:t>several goals</w:t>
      </w:r>
      <w:r w:rsidR="00BC1AEC" w:rsidRPr="00B603E8">
        <w:rPr>
          <w:rFonts w:ascii="Times New Roman" w:hAnsi="Times New Roman" w:cs="Times New Roman"/>
          <w:sz w:val="24"/>
          <w:szCs w:val="24"/>
        </w:rPr>
        <w:t xml:space="preserve"> within the SIs</w:t>
      </w:r>
      <w:r w:rsidR="000A228B" w:rsidRPr="00B603E8">
        <w:rPr>
          <w:rFonts w:ascii="Times New Roman" w:hAnsi="Times New Roman" w:cs="Times New Roman"/>
          <w:sz w:val="24"/>
          <w:szCs w:val="24"/>
        </w:rPr>
        <w:t xml:space="preserve">. Moreover, SAMSHA </w:t>
      </w:r>
      <w:r w:rsidR="00BC1AEC" w:rsidRPr="00B603E8">
        <w:rPr>
          <w:rFonts w:ascii="Times New Roman" w:hAnsi="Times New Roman" w:cs="Times New Roman"/>
          <w:sz w:val="24"/>
          <w:szCs w:val="24"/>
        </w:rPr>
        <w:t>accomplished</w:t>
      </w:r>
      <w:r w:rsidR="000A228B" w:rsidRPr="00B603E8">
        <w:rPr>
          <w:rFonts w:ascii="Times New Roman" w:hAnsi="Times New Roman" w:cs="Times New Roman"/>
          <w:sz w:val="24"/>
          <w:szCs w:val="24"/>
        </w:rPr>
        <w:t xml:space="preserve"> key objectives </w:t>
      </w:r>
      <w:r w:rsidR="00E34F5F" w:rsidRPr="00B603E8">
        <w:rPr>
          <w:rFonts w:ascii="Times New Roman" w:hAnsi="Times New Roman" w:cs="Times New Roman"/>
          <w:sz w:val="24"/>
          <w:szCs w:val="24"/>
        </w:rPr>
        <w:t>in three areas</w:t>
      </w:r>
      <w:r w:rsidR="000A228B" w:rsidRPr="00B603E8">
        <w:rPr>
          <w:rFonts w:ascii="Times New Roman" w:hAnsi="Times New Roman" w:cs="Times New Roman"/>
          <w:sz w:val="24"/>
          <w:szCs w:val="24"/>
        </w:rPr>
        <w:t>—</w:t>
      </w:r>
      <w:r w:rsidR="00AD0EAC" w:rsidRPr="00B603E8">
        <w:rPr>
          <w:rFonts w:ascii="Times New Roman" w:hAnsi="Times New Roman" w:cs="Times New Roman"/>
          <w:sz w:val="24"/>
          <w:szCs w:val="24"/>
        </w:rPr>
        <w:t xml:space="preserve">Public Awareness and Support; Military Families; and Data, Outcomes, and Quality. </w:t>
      </w:r>
      <w:r w:rsidR="00BC1AEC" w:rsidRPr="00B603E8">
        <w:rPr>
          <w:rFonts w:ascii="Times New Roman" w:hAnsi="Times New Roman" w:cs="Times New Roman"/>
          <w:sz w:val="24"/>
          <w:szCs w:val="24"/>
        </w:rPr>
        <w:t>It is these within these areas that i</w:t>
      </w:r>
      <w:r w:rsidR="00D671C1" w:rsidRPr="00B603E8">
        <w:rPr>
          <w:rFonts w:ascii="Times New Roman" w:hAnsi="Times New Roman" w:cs="Times New Roman"/>
          <w:sz w:val="24"/>
          <w:szCs w:val="24"/>
        </w:rPr>
        <w:t xml:space="preserve">nformation collected through </w:t>
      </w:r>
      <w:r w:rsidR="00BC1AEC" w:rsidRPr="00B603E8">
        <w:rPr>
          <w:rFonts w:ascii="Times New Roman" w:hAnsi="Times New Roman" w:cs="Times New Roman"/>
          <w:sz w:val="24"/>
          <w:szCs w:val="24"/>
        </w:rPr>
        <w:t xml:space="preserve">the cross-site evaluation has </w:t>
      </w:r>
      <w:r w:rsidR="00D671C1" w:rsidRPr="00B603E8">
        <w:rPr>
          <w:rFonts w:ascii="Times New Roman" w:hAnsi="Times New Roman" w:cs="Times New Roman"/>
          <w:sz w:val="24"/>
          <w:szCs w:val="24"/>
        </w:rPr>
        <w:t xml:space="preserve">contributed </w:t>
      </w:r>
      <w:r w:rsidR="00637784" w:rsidRPr="00B603E8">
        <w:rPr>
          <w:rFonts w:ascii="Times New Roman" w:hAnsi="Times New Roman" w:cs="Times New Roman"/>
          <w:sz w:val="24"/>
          <w:szCs w:val="24"/>
        </w:rPr>
        <w:t xml:space="preserve">explicitly </w:t>
      </w:r>
      <w:r w:rsidR="00D671C1" w:rsidRPr="00B603E8">
        <w:rPr>
          <w:rFonts w:ascii="Times New Roman" w:hAnsi="Times New Roman" w:cs="Times New Roman"/>
          <w:sz w:val="24"/>
          <w:szCs w:val="24"/>
        </w:rPr>
        <w:t>to SAMHSA’s success.</w:t>
      </w:r>
      <w:r w:rsidR="00D95D6B" w:rsidRPr="00B603E8">
        <w:rPr>
          <w:rFonts w:ascii="Times New Roman" w:hAnsi="Times New Roman" w:cs="Times New Roman"/>
          <w:sz w:val="24"/>
          <w:szCs w:val="24"/>
        </w:rPr>
        <w:t xml:space="preserve"> </w:t>
      </w:r>
      <w:r w:rsidR="00637784" w:rsidRPr="00B603E8">
        <w:rPr>
          <w:rFonts w:ascii="Times New Roman" w:hAnsi="Times New Roman" w:cs="Times New Roman"/>
          <w:sz w:val="24"/>
          <w:szCs w:val="24"/>
        </w:rPr>
        <w:t>In FY 2014 and based on accomplishments to date,</w:t>
      </w:r>
      <w:r w:rsidR="00366C6E" w:rsidRPr="00B603E8">
        <w:rPr>
          <w:rFonts w:ascii="Times New Roman" w:hAnsi="Times New Roman" w:cs="Times New Roman"/>
          <w:sz w:val="24"/>
          <w:szCs w:val="24"/>
        </w:rPr>
        <w:t xml:space="preserve"> </w:t>
      </w:r>
      <w:r w:rsidR="00AD0EAC" w:rsidRPr="00B603E8">
        <w:rPr>
          <w:rFonts w:ascii="Times New Roman" w:hAnsi="Times New Roman" w:cs="Times New Roman"/>
          <w:sz w:val="24"/>
          <w:szCs w:val="24"/>
        </w:rPr>
        <w:t>SAMHSA updated its</w:t>
      </w:r>
      <w:r w:rsidR="00222CF5" w:rsidRPr="00B603E8">
        <w:rPr>
          <w:rFonts w:ascii="Times New Roman" w:hAnsi="Times New Roman" w:cs="Times New Roman"/>
          <w:sz w:val="24"/>
          <w:szCs w:val="24"/>
        </w:rPr>
        <w:t xml:space="preserve"> strategic plan</w:t>
      </w:r>
      <w:r w:rsidR="00637784" w:rsidRPr="00B603E8">
        <w:rPr>
          <w:rFonts w:ascii="Times New Roman" w:hAnsi="Times New Roman" w:cs="Times New Roman"/>
          <w:sz w:val="24"/>
          <w:szCs w:val="24"/>
        </w:rPr>
        <w:t xml:space="preserve">, entitled </w:t>
      </w:r>
      <w:r w:rsidR="00AD0EAC" w:rsidRPr="00B603E8">
        <w:rPr>
          <w:rFonts w:ascii="Times New Roman" w:hAnsi="Times New Roman" w:cs="Times New Roman"/>
          <w:i/>
          <w:sz w:val="24"/>
          <w:szCs w:val="24"/>
        </w:rPr>
        <w:t>Leading Change 2.0: Advancing the Behavioral Health of the Nation 2015-2018</w:t>
      </w:r>
      <w:r w:rsidR="00D671C1" w:rsidRPr="00B603E8">
        <w:rPr>
          <w:rFonts w:ascii="Times New Roman" w:hAnsi="Times New Roman" w:cs="Times New Roman"/>
          <w:i/>
          <w:sz w:val="24"/>
          <w:szCs w:val="24"/>
        </w:rPr>
        <w:t xml:space="preserve"> </w:t>
      </w:r>
      <w:r w:rsidR="00D671C1" w:rsidRPr="00B603E8">
        <w:rPr>
          <w:rFonts w:ascii="Times New Roman" w:hAnsi="Times New Roman" w:cs="Times New Roman"/>
          <w:sz w:val="24"/>
          <w:szCs w:val="24"/>
        </w:rPr>
        <w:t>(Leading Change 2.0)</w:t>
      </w:r>
      <w:r w:rsidR="005C298E" w:rsidRPr="00B603E8">
        <w:rPr>
          <w:rFonts w:ascii="Times New Roman" w:hAnsi="Times New Roman" w:cs="Times New Roman"/>
          <w:i/>
          <w:sz w:val="24"/>
          <w:szCs w:val="24"/>
        </w:rPr>
        <w:t xml:space="preserve">. </w:t>
      </w:r>
      <w:r w:rsidR="005C298E" w:rsidRPr="00B603E8">
        <w:rPr>
          <w:rFonts w:ascii="Times New Roman" w:hAnsi="Times New Roman" w:cs="Times New Roman"/>
          <w:sz w:val="24"/>
          <w:szCs w:val="24"/>
        </w:rPr>
        <w:t>Leading Change 2.0</w:t>
      </w:r>
      <w:r w:rsidR="00AD0EAC" w:rsidRPr="00B603E8">
        <w:rPr>
          <w:rFonts w:ascii="Times New Roman" w:hAnsi="Times New Roman" w:cs="Times New Roman"/>
          <w:sz w:val="24"/>
          <w:szCs w:val="24"/>
        </w:rPr>
        <w:t xml:space="preserve"> </w:t>
      </w:r>
      <w:r w:rsidR="006F608A" w:rsidRPr="00B603E8">
        <w:rPr>
          <w:rFonts w:ascii="Times New Roman" w:hAnsi="Times New Roman" w:cs="Times New Roman"/>
          <w:sz w:val="24"/>
          <w:szCs w:val="24"/>
        </w:rPr>
        <w:t>identifies 6 SIs</w:t>
      </w:r>
      <w:r w:rsidR="002F33F4" w:rsidRPr="00B603E8">
        <w:rPr>
          <w:rFonts w:ascii="Times New Roman" w:hAnsi="Times New Roman" w:cs="Times New Roman"/>
          <w:sz w:val="24"/>
          <w:szCs w:val="24"/>
        </w:rPr>
        <w:t xml:space="preserve">. </w:t>
      </w:r>
      <w:r w:rsidR="00CB0D47" w:rsidRPr="00B603E8">
        <w:rPr>
          <w:rFonts w:ascii="Times New Roman" w:hAnsi="Times New Roman" w:cs="Times New Roman"/>
          <w:sz w:val="24"/>
          <w:szCs w:val="24"/>
        </w:rPr>
        <w:t xml:space="preserve">In particular, the NOE is in line with S-1 and its proposed strategies. </w:t>
      </w:r>
      <w:r w:rsidR="00EF530E" w:rsidRPr="00B603E8">
        <w:rPr>
          <w:rFonts w:ascii="Times New Roman" w:hAnsi="Times New Roman" w:cs="Times New Roman"/>
          <w:sz w:val="24"/>
          <w:szCs w:val="24"/>
        </w:rPr>
        <w:t>Information collected through the NOE will help SAMHSA to assess these essential strategies aimed at inf</w:t>
      </w:r>
      <w:r w:rsidR="00EF530E" w:rsidRPr="00B603E8">
        <w:rPr>
          <w:rFonts w:ascii="Times New Roman" w:hAnsi="Times New Roman" w:cs="Times New Roman"/>
          <w:color w:val="000000"/>
          <w:sz w:val="24"/>
          <w:szCs w:val="24"/>
        </w:rPr>
        <w:t>luencing comprehensive change across the b</w:t>
      </w:r>
      <w:r w:rsidR="00303381" w:rsidRPr="00B603E8">
        <w:rPr>
          <w:rFonts w:ascii="Times New Roman" w:hAnsi="Times New Roman" w:cs="Times New Roman"/>
          <w:color w:val="000000"/>
          <w:sz w:val="24"/>
          <w:szCs w:val="24"/>
        </w:rPr>
        <w:t>ehavioral health service system, as well as assist SAMHSA in its aim to implement more rigorous evaluations of process, outcomes, and impacts of its initiatives.</w:t>
      </w:r>
    </w:p>
    <w:p w14:paraId="4AC949EC" w14:textId="5366F9ED" w:rsidR="00366C6E" w:rsidRPr="00B603E8" w:rsidRDefault="00023D4B" w:rsidP="00837BCE">
      <w:pPr>
        <w:autoSpaceDE w:val="0"/>
        <w:autoSpaceDN w:val="0"/>
        <w:adjustRightInd w:val="0"/>
        <w:spacing w:after="60"/>
        <w:jc w:val="left"/>
        <w:rPr>
          <w:rFonts w:ascii="Tw Cen MT" w:eastAsiaTheme="minorHAnsi" w:hAnsi="Tw Cen MT"/>
          <w:b/>
          <w:color w:val="000000"/>
          <w:sz w:val="26"/>
          <w:szCs w:val="26"/>
        </w:rPr>
      </w:pPr>
      <w:r w:rsidRPr="00B603E8">
        <w:rPr>
          <w:rFonts w:ascii="Tw Cen MT" w:eastAsiaTheme="minorHAnsi" w:hAnsi="Tw Cen MT"/>
          <w:b/>
          <w:color w:val="000000"/>
          <w:sz w:val="26"/>
          <w:szCs w:val="26"/>
        </w:rPr>
        <w:t>SI-1</w:t>
      </w:r>
      <w:r w:rsidR="00E34F5F" w:rsidRPr="00B603E8">
        <w:rPr>
          <w:rFonts w:ascii="Tw Cen MT" w:eastAsiaTheme="minorHAnsi" w:hAnsi="Tw Cen MT"/>
          <w:b/>
          <w:color w:val="000000"/>
          <w:sz w:val="26"/>
          <w:szCs w:val="26"/>
        </w:rPr>
        <w:t>:</w:t>
      </w:r>
      <w:r w:rsidR="00366C6E" w:rsidRPr="00B603E8">
        <w:rPr>
          <w:rFonts w:ascii="Tw Cen MT" w:eastAsiaTheme="minorHAnsi" w:hAnsi="Tw Cen MT"/>
          <w:b/>
          <w:color w:val="000000"/>
          <w:sz w:val="26"/>
          <w:szCs w:val="26"/>
        </w:rPr>
        <w:t xml:space="preserve"> Prevention of Substance Abuse and Mental Illness </w:t>
      </w:r>
    </w:p>
    <w:p w14:paraId="425488CD" w14:textId="05FB3985" w:rsidR="0040434D" w:rsidRPr="00B603E8" w:rsidRDefault="0040434D" w:rsidP="00CF5DFC">
      <w:pPr>
        <w:pStyle w:val="BodyText"/>
        <w:numPr>
          <w:ilvl w:val="0"/>
          <w:numId w:val="51"/>
        </w:numPr>
        <w:tabs>
          <w:tab w:val="left" w:pos="1563"/>
        </w:tabs>
        <w:spacing w:after="60"/>
        <w:rPr>
          <w:rFonts w:ascii="Times New Roman" w:hAnsi="Times New Roman" w:cs="Times New Roman"/>
          <w:color w:val="000000"/>
          <w:sz w:val="24"/>
          <w:szCs w:val="24"/>
        </w:rPr>
      </w:pPr>
      <w:r w:rsidRPr="00B603E8">
        <w:rPr>
          <w:rFonts w:ascii="Times New Roman" w:hAnsi="Times New Roman" w:cs="Times New Roman"/>
          <w:color w:val="000000"/>
          <w:sz w:val="24"/>
          <w:szCs w:val="24"/>
        </w:rPr>
        <w:t>Employ</w:t>
      </w:r>
      <w:r w:rsidR="00637784" w:rsidRPr="00B603E8">
        <w:rPr>
          <w:rFonts w:ascii="Times New Roman" w:hAnsi="Times New Roman" w:cs="Times New Roman"/>
          <w:color w:val="000000"/>
          <w:sz w:val="24"/>
          <w:szCs w:val="24"/>
        </w:rPr>
        <w:t xml:space="preserve"> a continuum of care approach</w:t>
      </w:r>
      <w:r w:rsidR="00530961" w:rsidRPr="00B603E8">
        <w:rPr>
          <w:rFonts w:ascii="Times New Roman" w:hAnsi="Times New Roman" w:cs="Times New Roman"/>
          <w:color w:val="000000"/>
          <w:sz w:val="24"/>
          <w:szCs w:val="24"/>
        </w:rPr>
        <w:t xml:space="preserve"> (promotion, prevention, treatment, and recovery strategies) </w:t>
      </w:r>
      <w:r w:rsidRPr="00B603E8">
        <w:rPr>
          <w:rFonts w:ascii="Times New Roman" w:hAnsi="Times New Roman" w:cs="Times New Roman"/>
          <w:color w:val="000000"/>
          <w:sz w:val="24"/>
          <w:szCs w:val="24"/>
        </w:rPr>
        <w:t>to address</w:t>
      </w:r>
      <w:r w:rsidR="00637784" w:rsidRPr="00B603E8">
        <w:rPr>
          <w:rFonts w:ascii="Times New Roman" w:hAnsi="Times New Roman" w:cs="Times New Roman"/>
          <w:color w:val="000000"/>
          <w:sz w:val="24"/>
          <w:szCs w:val="24"/>
        </w:rPr>
        <w:t xml:space="preserve"> behavioral health problems</w:t>
      </w:r>
      <w:r w:rsidR="00641B6B" w:rsidRPr="00B603E8">
        <w:rPr>
          <w:rFonts w:ascii="Times New Roman" w:hAnsi="Times New Roman" w:cs="Times New Roman"/>
          <w:color w:val="000000"/>
          <w:sz w:val="24"/>
          <w:szCs w:val="24"/>
        </w:rPr>
        <w:t xml:space="preserve">; </w:t>
      </w:r>
      <w:r w:rsidR="00507BFB" w:rsidRPr="00B603E8">
        <w:rPr>
          <w:rFonts w:ascii="Times New Roman" w:hAnsi="Times New Roman" w:cs="Times New Roman"/>
          <w:color w:val="000000"/>
          <w:sz w:val="24"/>
          <w:szCs w:val="24"/>
        </w:rPr>
        <w:t>COC</w:t>
      </w:r>
      <w:r w:rsidR="00B74FF6" w:rsidRPr="00B603E8">
        <w:rPr>
          <w:rFonts w:ascii="Times New Roman" w:hAnsi="Times New Roman" w:cs="Times New Roman"/>
          <w:color w:val="000000"/>
          <w:sz w:val="24"/>
          <w:szCs w:val="24"/>
        </w:rPr>
        <w:t xml:space="preserve"> and </w:t>
      </w:r>
      <w:r w:rsidR="00507BFB" w:rsidRPr="00B603E8">
        <w:rPr>
          <w:rFonts w:ascii="Times New Roman" w:hAnsi="Times New Roman" w:cs="Times New Roman"/>
          <w:color w:val="000000"/>
          <w:sz w:val="24"/>
          <w:szCs w:val="24"/>
        </w:rPr>
        <w:t>SSE</w:t>
      </w:r>
      <w:r w:rsidR="00B74FF6" w:rsidRPr="00B603E8">
        <w:rPr>
          <w:rFonts w:ascii="Times New Roman" w:hAnsi="Times New Roman" w:cs="Times New Roman"/>
          <w:color w:val="000000"/>
          <w:sz w:val="24"/>
          <w:szCs w:val="24"/>
        </w:rPr>
        <w:t xml:space="preserve"> </w:t>
      </w:r>
      <w:r w:rsidRPr="00B603E8">
        <w:rPr>
          <w:rFonts w:ascii="Times New Roman" w:hAnsi="Times New Roman" w:cs="Times New Roman"/>
          <w:color w:val="000000"/>
          <w:sz w:val="24"/>
          <w:szCs w:val="24"/>
        </w:rPr>
        <w:t>Stud</w:t>
      </w:r>
      <w:r w:rsidR="00B74FF6" w:rsidRPr="00B603E8">
        <w:rPr>
          <w:rFonts w:ascii="Times New Roman" w:hAnsi="Times New Roman" w:cs="Times New Roman"/>
          <w:color w:val="000000"/>
          <w:sz w:val="24"/>
          <w:szCs w:val="24"/>
        </w:rPr>
        <w:t>ies</w:t>
      </w:r>
    </w:p>
    <w:p w14:paraId="75F17028" w14:textId="31D196ED" w:rsidR="0040434D" w:rsidRDefault="0040434D" w:rsidP="00CF5DFC">
      <w:pPr>
        <w:pStyle w:val="BodyText"/>
        <w:numPr>
          <w:ilvl w:val="0"/>
          <w:numId w:val="51"/>
        </w:numPr>
        <w:tabs>
          <w:tab w:val="left" w:pos="1563"/>
        </w:tabs>
        <w:spacing w:after="60"/>
        <w:rPr>
          <w:rFonts w:ascii="Times New Roman" w:hAnsi="Times New Roman" w:cs="Times New Roman"/>
          <w:color w:val="000000"/>
          <w:sz w:val="24"/>
          <w:szCs w:val="24"/>
        </w:rPr>
      </w:pPr>
      <w:r w:rsidRPr="00B603E8">
        <w:rPr>
          <w:rFonts w:ascii="Times New Roman" w:hAnsi="Times New Roman" w:cs="Times New Roman"/>
          <w:color w:val="000000"/>
          <w:sz w:val="24"/>
          <w:szCs w:val="24"/>
        </w:rPr>
        <w:t>I</w:t>
      </w:r>
      <w:r w:rsidR="00530961" w:rsidRPr="00B603E8">
        <w:rPr>
          <w:rFonts w:ascii="Times New Roman" w:hAnsi="Times New Roman" w:cs="Times New Roman"/>
          <w:color w:val="000000"/>
          <w:sz w:val="24"/>
          <w:szCs w:val="24"/>
        </w:rPr>
        <w:t>ncrease awa</w:t>
      </w:r>
      <w:r w:rsidR="00530961">
        <w:rPr>
          <w:rFonts w:ascii="Times New Roman" w:hAnsi="Times New Roman" w:cs="Times New Roman"/>
          <w:color w:val="000000"/>
          <w:sz w:val="24"/>
          <w:szCs w:val="24"/>
        </w:rPr>
        <w:t>reness about risk and protective factors</w:t>
      </w:r>
      <w:r w:rsidR="00641B6B">
        <w:rPr>
          <w:rFonts w:ascii="Times New Roman" w:hAnsi="Times New Roman" w:cs="Times New Roman"/>
          <w:color w:val="000000"/>
          <w:sz w:val="24"/>
          <w:szCs w:val="24"/>
        </w:rPr>
        <w:t xml:space="preserve">; </w:t>
      </w:r>
      <w:r w:rsidR="00CB0D47" w:rsidRPr="00641B6B">
        <w:rPr>
          <w:rFonts w:ascii="Times New Roman" w:hAnsi="Times New Roman" w:cs="Times New Roman"/>
          <w:color w:val="000000"/>
          <w:sz w:val="24"/>
          <w:szCs w:val="24"/>
        </w:rPr>
        <w:t>T</w:t>
      </w:r>
      <w:r w:rsidRPr="00641B6B">
        <w:rPr>
          <w:rFonts w:ascii="Times New Roman" w:hAnsi="Times New Roman" w:cs="Times New Roman"/>
          <w:color w:val="000000"/>
          <w:sz w:val="24"/>
          <w:szCs w:val="24"/>
        </w:rPr>
        <w:t>raining</w:t>
      </w:r>
      <w:r w:rsidR="00B74FF6" w:rsidRPr="00641B6B">
        <w:rPr>
          <w:rFonts w:ascii="Times New Roman" w:hAnsi="Times New Roman" w:cs="Times New Roman"/>
          <w:color w:val="000000"/>
          <w:sz w:val="24"/>
          <w:szCs w:val="24"/>
        </w:rPr>
        <w:t xml:space="preserve">, </w:t>
      </w:r>
      <w:r w:rsidR="00507BFB" w:rsidRPr="00641B6B">
        <w:rPr>
          <w:rFonts w:ascii="Times New Roman" w:hAnsi="Times New Roman" w:cs="Times New Roman"/>
          <w:color w:val="000000"/>
          <w:sz w:val="24"/>
          <w:szCs w:val="24"/>
        </w:rPr>
        <w:t>COC,</w:t>
      </w:r>
      <w:r w:rsidR="00B74FF6" w:rsidRPr="00641B6B">
        <w:rPr>
          <w:rFonts w:ascii="Times New Roman" w:hAnsi="Times New Roman" w:cs="Times New Roman"/>
          <w:color w:val="000000"/>
          <w:sz w:val="24"/>
          <w:szCs w:val="24"/>
        </w:rPr>
        <w:t xml:space="preserve"> and </w:t>
      </w:r>
      <w:r w:rsidR="00507BFB" w:rsidRPr="00641B6B">
        <w:rPr>
          <w:rFonts w:ascii="Times New Roman" w:hAnsi="Times New Roman" w:cs="Times New Roman"/>
          <w:color w:val="000000"/>
          <w:sz w:val="24"/>
          <w:szCs w:val="24"/>
        </w:rPr>
        <w:t xml:space="preserve">SSE </w:t>
      </w:r>
      <w:r w:rsidRPr="00641B6B">
        <w:rPr>
          <w:rFonts w:ascii="Times New Roman" w:hAnsi="Times New Roman" w:cs="Times New Roman"/>
          <w:color w:val="000000"/>
          <w:sz w:val="24"/>
          <w:szCs w:val="24"/>
        </w:rPr>
        <w:t>Studies</w:t>
      </w:r>
    </w:p>
    <w:p w14:paraId="3A2D93FA" w14:textId="120CC958" w:rsidR="0040434D" w:rsidRPr="00CB0D47" w:rsidRDefault="0040434D" w:rsidP="00CF5DFC">
      <w:pPr>
        <w:pStyle w:val="BodyText"/>
        <w:numPr>
          <w:ilvl w:val="0"/>
          <w:numId w:val="51"/>
        </w:numPr>
        <w:tabs>
          <w:tab w:val="left" w:pos="1563"/>
        </w:tabs>
        <w:spacing w:after="60"/>
        <w:rPr>
          <w:rFonts w:ascii="Times New Roman" w:hAnsi="Times New Roman" w:cs="Times New Roman"/>
          <w:i/>
          <w:color w:val="000000"/>
          <w:sz w:val="24"/>
          <w:szCs w:val="24"/>
        </w:rPr>
      </w:pPr>
      <w:r>
        <w:rPr>
          <w:rFonts w:ascii="Times New Roman" w:hAnsi="Times New Roman" w:cs="Times New Roman"/>
          <w:color w:val="000000"/>
          <w:sz w:val="24"/>
          <w:szCs w:val="24"/>
        </w:rPr>
        <w:t>D</w:t>
      </w:r>
      <w:r w:rsidR="00530961">
        <w:rPr>
          <w:rFonts w:ascii="Times New Roman" w:hAnsi="Times New Roman" w:cs="Times New Roman"/>
          <w:color w:val="000000"/>
          <w:sz w:val="24"/>
          <w:szCs w:val="24"/>
        </w:rPr>
        <w:t>evelop and implement evidence-based practices for early identification</w:t>
      </w:r>
      <w:r w:rsidR="00641B6B">
        <w:rPr>
          <w:rFonts w:ascii="Times New Roman" w:hAnsi="Times New Roman" w:cs="Times New Roman"/>
          <w:color w:val="000000"/>
          <w:sz w:val="24"/>
          <w:szCs w:val="24"/>
        </w:rPr>
        <w:t xml:space="preserve">; </w:t>
      </w:r>
      <w:r w:rsidR="00CB0D47" w:rsidRPr="00641B6B">
        <w:rPr>
          <w:rFonts w:ascii="Times New Roman" w:hAnsi="Times New Roman" w:cs="Times New Roman"/>
          <w:color w:val="000000"/>
          <w:sz w:val="24"/>
          <w:szCs w:val="24"/>
        </w:rPr>
        <w:t xml:space="preserve">Training, </w:t>
      </w:r>
      <w:r w:rsidR="00507BFB" w:rsidRPr="00641B6B">
        <w:rPr>
          <w:rFonts w:ascii="Times New Roman" w:hAnsi="Times New Roman" w:cs="Times New Roman"/>
          <w:color w:val="000000"/>
          <w:sz w:val="24"/>
          <w:szCs w:val="24"/>
        </w:rPr>
        <w:t xml:space="preserve">COC, </w:t>
      </w:r>
      <w:r w:rsidR="00641B6B">
        <w:rPr>
          <w:rFonts w:ascii="Times New Roman" w:hAnsi="Times New Roman" w:cs="Times New Roman"/>
          <w:color w:val="000000"/>
          <w:sz w:val="24"/>
          <w:szCs w:val="24"/>
        </w:rPr>
        <w:t>and SSE Studies</w:t>
      </w:r>
    </w:p>
    <w:p w14:paraId="06D2FFCC" w14:textId="5E7F9AAF" w:rsidR="0040434D" w:rsidRPr="00641B6B" w:rsidRDefault="0040434D" w:rsidP="00CF5DFC">
      <w:pPr>
        <w:pStyle w:val="BodyText"/>
        <w:numPr>
          <w:ilvl w:val="0"/>
          <w:numId w:val="51"/>
        </w:numPr>
        <w:tabs>
          <w:tab w:val="left" w:pos="1563"/>
        </w:tabs>
        <w:spacing w:after="60"/>
        <w:rPr>
          <w:rFonts w:ascii="Times New Roman" w:hAnsi="Times New Roman" w:cs="Times New Roman"/>
          <w:color w:val="000000"/>
          <w:sz w:val="24"/>
          <w:szCs w:val="24"/>
        </w:rPr>
      </w:pPr>
      <w:r>
        <w:rPr>
          <w:rFonts w:ascii="Times New Roman" w:hAnsi="Times New Roman" w:cs="Times New Roman"/>
          <w:color w:val="000000"/>
          <w:sz w:val="24"/>
          <w:szCs w:val="24"/>
        </w:rPr>
        <w:t>I</w:t>
      </w:r>
      <w:r w:rsidR="00530961">
        <w:rPr>
          <w:rFonts w:ascii="Times New Roman" w:hAnsi="Times New Roman" w:cs="Times New Roman"/>
          <w:color w:val="000000"/>
          <w:sz w:val="24"/>
          <w:szCs w:val="24"/>
        </w:rPr>
        <w:t>mprove cultural awareness and competency to address health disparities</w:t>
      </w:r>
      <w:r w:rsidR="00641B6B">
        <w:rPr>
          <w:rFonts w:ascii="Times New Roman" w:hAnsi="Times New Roman" w:cs="Times New Roman"/>
          <w:color w:val="000000"/>
          <w:sz w:val="24"/>
          <w:szCs w:val="24"/>
        </w:rPr>
        <w:t xml:space="preserve">; </w:t>
      </w:r>
      <w:r w:rsidR="00CB0D47" w:rsidRPr="00641B6B">
        <w:rPr>
          <w:rFonts w:ascii="Times New Roman" w:hAnsi="Times New Roman" w:cs="Times New Roman"/>
          <w:color w:val="000000"/>
          <w:sz w:val="24"/>
          <w:szCs w:val="24"/>
        </w:rPr>
        <w:t xml:space="preserve">Training and </w:t>
      </w:r>
      <w:r w:rsidR="00507BFB" w:rsidRPr="00641B6B">
        <w:rPr>
          <w:rFonts w:ascii="Times New Roman" w:hAnsi="Times New Roman" w:cs="Times New Roman"/>
          <w:color w:val="000000"/>
          <w:sz w:val="24"/>
          <w:szCs w:val="24"/>
        </w:rPr>
        <w:t>COC</w:t>
      </w:r>
      <w:r w:rsidR="002F33F4" w:rsidRPr="00641B6B">
        <w:rPr>
          <w:rFonts w:ascii="Times New Roman" w:hAnsi="Times New Roman" w:cs="Times New Roman"/>
          <w:color w:val="000000"/>
          <w:sz w:val="24"/>
          <w:szCs w:val="24"/>
        </w:rPr>
        <w:t xml:space="preserve"> Stud</w:t>
      </w:r>
      <w:r w:rsidR="00CB0D47" w:rsidRPr="00641B6B">
        <w:rPr>
          <w:rFonts w:ascii="Times New Roman" w:hAnsi="Times New Roman" w:cs="Times New Roman"/>
          <w:color w:val="000000"/>
          <w:sz w:val="24"/>
          <w:szCs w:val="24"/>
        </w:rPr>
        <w:t>ies</w:t>
      </w:r>
    </w:p>
    <w:p w14:paraId="04F3E083" w14:textId="4872182F" w:rsidR="00CB0D47" w:rsidRPr="00641B6B" w:rsidRDefault="0098595D" w:rsidP="00CF5DFC">
      <w:pPr>
        <w:pStyle w:val="BodyText"/>
        <w:numPr>
          <w:ilvl w:val="0"/>
          <w:numId w:val="51"/>
        </w:numPr>
        <w:tabs>
          <w:tab w:val="left" w:pos="1563"/>
        </w:tabs>
        <w:spacing w:after="200"/>
        <w:rPr>
          <w:rFonts w:ascii="Times New Roman" w:hAnsi="Times New Roman" w:cs="Times New Roman"/>
          <w:color w:val="000000"/>
          <w:sz w:val="24"/>
          <w:szCs w:val="24"/>
        </w:rPr>
      </w:pPr>
      <w:r w:rsidRPr="00641B6B">
        <w:rPr>
          <w:rFonts w:ascii="Times New Roman" w:hAnsi="Times New Roman" w:cs="Times New Roman"/>
          <w:color w:val="000000"/>
          <w:sz w:val="24"/>
          <w:szCs w:val="24"/>
        </w:rPr>
        <w:t>Utilize</w:t>
      </w:r>
      <w:r w:rsidR="0040434D" w:rsidRPr="00641B6B">
        <w:rPr>
          <w:rFonts w:ascii="Times New Roman" w:hAnsi="Times New Roman" w:cs="Times New Roman"/>
          <w:color w:val="000000"/>
          <w:sz w:val="24"/>
          <w:szCs w:val="24"/>
        </w:rPr>
        <w:t xml:space="preserve"> community coalit</w:t>
      </w:r>
      <w:r w:rsidR="003453DC">
        <w:rPr>
          <w:rFonts w:ascii="Times New Roman" w:hAnsi="Times New Roman" w:cs="Times New Roman"/>
          <w:color w:val="000000"/>
          <w:sz w:val="24"/>
          <w:szCs w:val="24"/>
        </w:rPr>
        <w:t xml:space="preserve">ions to foster community health; </w:t>
      </w:r>
      <w:r w:rsidR="00507BFB" w:rsidRPr="00641B6B">
        <w:rPr>
          <w:rFonts w:ascii="Times New Roman" w:hAnsi="Times New Roman" w:cs="Times New Roman"/>
          <w:color w:val="000000"/>
          <w:sz w:val="24"/>
          <w:szCs w:val="24"/>
        </w:rPr>
        <w:t>COC</w:t>
      </w:r>
      <w:r w:rsidR="00CB0D47" w:rsidRPr="00641B6B">
        <w:rPr>
          <w:rFonts w:ascii="Times New Roman" w:hAnsi="Times New Roman" w:cs="Times New Roman"/>
          <w:color w:val="000000"/>
          <w:sz w:val="24"/>
          <w:szCs w:val="24"/>
        </w:rPr>
        <w:t xml:space="preserve"> and </w:t>
      </w:r>
      <w:r w:rsidR="00507BFB" w:rsidRPr="00641B6B">
        <w:rPr>
          <w:rFonts w:ascii="Times New Roman" w:hAnsi="Times New Roman" w:cs="Times New Roman"/>
          <w:color w:val="000000"/>
          <w:sz w:val="24"/>
          <w:szCs w:val="24"/>
        </w:rPr>
        <w:t>SSE</w:t>
      </w:r>
      <w:r w:rsidR="00B74FF6" w:rsidRPr="00641B6B">
        <w:rPr>
          <w:rFonts w:ascii="Times New Roman" w:hAnsi="Times New Roman" w:cs="Times New Roman"/>
          <w:color w:val="000000"/>
          <w:sz w:val="24"/>
          <w:szCs w:val="24"/>
        </w:rPr>
        <w:t xml:space="preserve"> Stud</w:t>
      </w:r>
      <w:r w:rsidR="00CB0D47" w:rsidRPr="00641B6B">
        <w:rPr>
          <w:rFonts w:ascii="Times New Roman" w:hAnsi="Times New Roman" w:cs="Times New Roman"/>
          <w:color w:val="000000"/>
          <w:sz w:val="24"/>
          <w:szCs w:val="24"/>
        </w:rPr>
        <w:t>ies</w:t>
      </w:r>
    </w:p>
    <w:p w14:paraId="61640535" w14:textId="6F7B3CEF" w:rsidR="003251BD" w:rsidRPr="0080212A" w:rsidRDefault="003251BD" w:rsidP="003536EA">
      <w:pPr>
        <w:pStyle w:val="BodyText"/>
        <w:keepNext/>
        <w:numPr>
          <w:ilvl w:val="0"/>
          <w:numId w:val="41"/>
        </w:numPr>
        <w:tabs>
          <w:tab w:val="left" w:pos="1563"/>
        </w:tabs>
        <w:spacing w:before="360" w:after="120"/>
        <w:rPr>
          <w:rFonts w:ascii="Tw Cen MT" w:hAnsi="Tw Cen MT" w:cs="Times New Roman"/>
          <w:b/>
          <w:sz w:val="28"/>
          <w:szCs w:val="28"/>
        </w:rPr>
      </w:pPr>
      <w:r w:rsidRPr="0080212A">
        <w:rPr>
          <w:rFonts w:ascii="Tw Cen MT" w:hAnsi="Tw Cen MT" w:cs="Times New Roman"/>
          <w:b/>
          <w:sz w:val="28"/>
          <w:szCs w:val="28"/>
        </w:rPr>
        <w:t xml:space="preserve">National Strategy </w:t>
      </w:r>
      <w:r w:rsidR="00D53513" w:rsidRPr="0080212A">
        <w:rPr>
          <w:rFonts w:ascii="Tw Cen MT" w:hAnsi="Tw Cen MT" w:cs="Times New Roman"/>
          <w:b/>
          <w:sz w:val="28"/>
          <w:szCs w:val="28"/>
        </w:rPr>
        <w:t xml:space="preserve">for Suicide Prevention </w:t>
      </w:r>
      <w:r w:rsidR="004C1061" w:rsidRPr="0080212A">
        <w:rPr>
          <w:rFonts w:ascii="Tw Cen MT" w:hAnsi="Tw Cen MT" w:cs="Times New Roman"/>
          <w:b/>
          <w:sz w:val="28"/>
          <w:szCs w:val="28"/>
        </w:rPr>
        <w:t>(National Strategy)</w:t>
      </w:r>
    </w:p>
    <w:p w14:paraId="18730E4A" w14:textId="0C377D9C" w:rsidR="00EF530E" w:rsidRDefault="00D008FC" w:rsidP="00CF5DFC">
      <w:pPr>
        <w:pStyle w:val="GLSBody"/>
        <w:spacing w:after="200"/>
      </w:pPr>
      <w:r>
        <w:t>The</w:t>
      </w:r>
      <w:r w:rsidR="00694DE2">
        <w:t xml:space="preserve"> 2010 report, </w:t>
      </w:r>
      <w:proofErr w:type="gramStart"/>
      <w:r w:rsidR="00694DE2" w:rsidRPr="00694DE2">
        <w:rPr>
          <w:i/>
        </w:rPr>
        <w:t>Charting</w:t>
      </w:r>
      <w:proofErr w:type="gramEnd"/>
      <w:r w:rsidR="00694DE2" w:rsidRPr="00694DE2">
        <w:rPr>
          <w:i/>
        </w:rPr>
        <w:t xml:space="preserve"> the Future of Suicide Prevention</w:t>
      </w:r>
      <w:r w:rsidR="00694DE2">
        <w:rPr>
          <w:i/>
        </w:rPr>
        <w:t>,</w:t>
      </w:r>
      <w:r w:rsidR="00694DE2">
        <w:t xml:space="preserve"> </w:t>
      </w:r>
      <w:r>
        <w:t xml:space="preserve">was commissioned by SAMHSA to </w:t>
      </w:r>
      <w:r w:rsidR="005417C8">
        <w:t xml:space="preserve">assess the progress in suicide prevention </w:t>
      </w:r>
      <w:r>
        <w:t xml:space="preserve">since the release of </w:t>
      </w:r>
      <w:r w:rsidR="005417C8">
        <w:t xml:space="preserve">the 2001 </w:t>
      </w:r>
      <w:r>
        <w:t>National Strategy</w:t>
      </w:r>
      <w:r w:rsidR="005417C8">
        <w:t>.</w:t>
      </w:r>
      <w:r>
        <w:t xml:space="preserve"> </w:t>
      </w:r>
      <w:r w:rsidR="005417C8">
        <w:t xml:space="preserve">In addition to major achievements, the report highlighted the increased training of gatekeepers and enhanced collaboration across the </w:t>
      </w:r>
      <w:r>
        <w:t xml:space="preserve">public and private </w:t>
      </w:r>
      <w:r w:rsidR="005417C8">
        <w:t>sectors as important areas of progress. In 2012, the</w:t>
      </w:r>
      <w:r w:rsidR="00D341F9">
        <w:t xml:space="preserve"> National Strategy</w:t>
      </w:r>
      <w:r w:rsidR="00694DE2">
        <w:t xml:space="preserve"> </w:t>
      </w:r>
      <w:r w:rsidR="00D341F9" w:rsidRPr="00016F35">
        <w:t xml:space="preserve">was revised and expanded to include 4 strategic directions, 13 goals, and 60 objectives. The 2012 </w:t>
      </w:r>
      <w:r w:rsidR="005417C8">
        <w:t>National Strategy</w:t>
      </w:r>
      <w:r w:rsidR="00D341F9" w:rsidRPr="00016F35">
        <w:t xml:space="preserve"> represents the culmination of an intensive consultation process coordinated by the Action Alliance, a nationwide partnership created in 2010 and comprised of more than 200 representatives from the public and private sectors. The revised NSSP has been updated to “reflect advances in suicide prevention knowledge, research, and practice, as well as broader changes in society and health care delivery that have created new opportunities for suicide prevention” (HHS, 2012).</w:t>
      </w:r>
      <w:r w:rsidR="00EF530E">
        <w:t xml:space="preserve"> </w:t>
      </w:r>
    </w:p>
    <w:p w14:paraId="78979DA2" w14:textId="0BEFDD5A" w:rsidR="00D776FD" w:rsidRPr="00303381" w:rsidRDefault="005033E5" w:rsidP="00D776FD">
      <w:pPr>
        <w:pStyle w:val="GLSBody"/>
      </w:pPr>
      <w:r>
        <w:t xml:space="preserve">The 2012 National Strategy </w:t>
      </w:r>
      <w:r w:rsidR="00303381">
        <w:t xml:space="preserve">responds to the needs of </w:t>
      </w:r>
      <w:r w:rsidR="00EC6B20">
        <w:t xml:space="preserve">and aims to advance </w:t>
      </w:r>
      <w:r w:rsidR="00303381">
        <w:t xml:space="preserve">the field of suicide prevention </w:t>
      </w:r>
      <w:r w:rsidR="00EC6B20">
        <w:t>and the wellbeing of persons at large</w:t>
      </w:r>
      <w:r w:rsidR="00303381">
        <w:t xml:space="preserve">. </w:t>
      </w:r>
      <w:r w:rsidR="00DF5F92">
        <w:t xml:space="preserve">The hallmark of the </w:t>
      </w:r>
      <w:r>
        <w:t>strategy</w:t>
      </w:r>
      <w:r w:rsidR="00DF5F92">
        <w:t xml:space="preserve"> is its emphasis on incorporating prevention into all aspects of daily life</w:t>
      </w:r>
      <w:r>
        <w:t xml:space="preserve">. </w:t>
      </w:r>
      <w:r w:rsidR="00641B6B">
        <w:t>It</w:t>
      </w:r>
      <w:r>
        <w:t xml:space="preserve"> </w:t>
      </w:r>
      <w:r w:rsidR="00D776FD">
        <w:t>emphasizes integrating suicide care into multiple sectors and settings, including those outside of behavioral health care</w:t>
      </w:r>
      <w:r w:rsidR="00641B6B">
        <w:t>, and i</w:t>
      </w:r>
      <w:r>
        <w:t>ts four priority areas</w:t>
      </w:r>
      <w:r w:rsidR="00004CAD">
        <w:t xml:space="preserve"> (i.e., strategic directions [SDs]) </w:t>
      </w:r>
      <w:r w:rsidR="00D776FD">
        <w:t>and goals partic</w:t>
      </w:r>
      <w:r w:rsidR="00D776FD" w:rsidRPr="00303381">
        <w:t>ularly relevant to the NOE</w:t>
      </w:r>
      <w:r w:rsidR="00303381" w:rsidRPr="00303381">
        <w:t>.</w:t>
      </w:r>
      <w:r w:rsidR="00D776FD" w:rsidRPr="00303381">
        <w:t xml:space="preserve"> </w:t>
      </w:r>
    </w:p>
    <w:p w14:paraId="60A3FEC0" w14:textId="357DDD21" w:rsidR="00D341F9" w:rsidRPr="00DE0704" w:rsidRDefault="00004CAD" w:rsidP="00D341F9">
      <w:pPr>
        <w:pStyle w:val="BodyText"/>
        <w:tabs>
          <w:tab w:val="left" w:pos="1563"/>
        </w:tabs>
        <w:spacing w:after="60"/>
        <w:rPr>
          <w:rFonts w:ascii="Tw Cen MT" w:hAnsi="Tw Cen MT" w:cs="Times New Roman"/>
          <w:sz w:val="24"/>
          <w:szCs w:val="24"/>
        </w:rPr>
      </w:pPr>
      <w:r w:rsidRPr="00303381">
        <w:rPr>
          <w:rFonts w:ascii="Tw Cen MT" w:hAnsi="Tw Cen MT" w:cs="Times New Roman"/>
          <w:b/>
          <w:sz w:val="24"/>
          <w:szCs w:val="24"/>
        </w:rPr>
        <w:t>SD-</w:t>
      </w:r>
      <w:r w:rsidRPr="00DE0704">
        <w:rPr>
          <w:rFonts w:ascii="Tw Cen MT" w:hAnsi="Tw Cen MT" w:cs="Times New Roman"/>
          <w:b/>
          <w:sz w:val="24"/>
          <w:szCs w:val="24"/>
        </w:rPr>
        <w:t>1</w:t>
      </w:r>
      <w:r w:rsidR="00D341F9" w:rsidRPr="00DE0704">
        <w:rPr>
          <w:rFonts w:ascii="Tw Cen MT" w:hAnsi="Tw Cen MT" w:cs="Times New Roman"/>
          <w:b/>
          <w:sz w:val="24"/>
          <w:szCs w:val="24"/>
        </w:rPr>
        <w:t>: Healthy and Empowered Individuals, Families, and Communities</w:t>
      </w:r>
      <w:r w:rsidR="00D776FD" w:rsidRPr="00DE0704">
        <w:rPr>
          <w:rFonts w:ascii="Tw Cen MT" w:hAnsi="Tw Cen MT" w:cs="Times New Roman"/>
          <w:b/>
          <w:sz w:val="24"/>
          <w:szCs w:val="24"/>
        </w:rPr>
        <w:t xml:space="preserve"> </w:t>
      </w:r>
      <w:r w:rsidR="00D776FD" w:rsidRPr="00DE0704">
        <w:rPr>
          <w:rFonts w:ascii="Tw Cen MT" w:hAnsi="Tw Cen MT" w:cs="Times New Roman"/>
          <w:i/>
          <w:sz w:val="24"/>
          <w:szCs w:val="24"/>
        </w:rPr>
        <w:t>(</w:t>
      </w:r>
      <w:r w:rsidRPr="00DE0704">
        <w:rPr>
          <w:rFonts w:ascii="Tw Cen MT" w:hAnsi="Tw Cen MT" w:cs="Times New Roman"/>
          <w:i/>
          <w:sz w:val="24"/>
          <w:szCs w:val="24"/>
        </w:rPr>
        <w:t>Training &amp; COC Studies</w:t>
      </w:r>
      <w:r w:rsidR="00D776FD" w:rsidRPr="00DE0704">
        <w:rPr>
          <w:rFonts w:ascii="Tw Cen MT" w:hAnsi="Tw Cen MT" w:cs="Times New Roman"/>
          <w:i/>
          <w:sz w:val="24"/>
          <w:szCs w:val="24"/>
        </w:rPr>
        <w:t>)</w:t>
      </w:r>
    </w:p>
    <w:p w14:paraId="55846EB3" w14:textId="07F01CF4" w:rsidR="00137FF4" w:rsidRPr="00DE0704" w:rsidRDefault="00D776FD" w:rsidP="003536EA">
      <w:pPr>
        <w:pStyle w:val="Default"/>
        <w:numPr>
          <w:ilvl w:val="0"/>
          <w:numId w:val="49"/>
        </w:numPr>
        <w:spacing w:after="120"/>
        <w:rPr>
          <w:rFonts w:ascii="Times New Roman" w:hAnsi="Times New Roman" w:cs="Times New Roman"/>
          <w:i/>
        </w:rPr>
      </w:pPr>
      <w:r w:rsidRPr="00DE0704">
        <w:rPr>
          <w:rFonts w:ascii="Times New Roman" w:hAnsi="Times New Roman" w:cs="Times New Roman"/>
          <w:i/>
        </w:rPr>
        <w:t xml:space="preserve">Goal </w:t>
      </w:r>
      <w:r w:rsidR="00137FF4" w:rsidRPr="00DE0704">
        <w:rPr>
          <w:rFonts w:ascii="Times New Roman" w:hAnsi="Times New Roman" w:cs="Times New Roman"/>
          <w:i/>
        </w:rPr>
        <w:t>1</w:t>
      </w:r>
      <w:r w:rsidRPr="00DE0704">
        <w:rPr>
          <w:rFonts w:ascii="Times New Roman" w:hAnsi="Times New Roman" w:cs="Times New Roman"/>
          <w:i/>
        </w:rPr>
        <w:t xml:space="preserve">. </w:t>
      </w:r>
      <w:r w:rsidR="00137FF4" w:rsidRPr="00DE0704">
        <w:rPr>
          <w:rFonts w:ascii="Times New Roman" w:hAnsi="Times New Roman" w:cs="Times New Roman"/>
          <w:i/>
        </w:rPr>
        <w:t>Integrate and coordinate suicide prevention activities across multiple sectors and settings.</w:t>
      </w:r>
    </w:p>
    <w:p w14:paraId="06A6F545" w14:textId="48C03DAB" w:rsidR="00D341F9" w:rsidRPr="00DE0704" w:rsidRDefault="00004CAD" w:rsidP="005E6C37">
      <w:pPr>
        <w:pStyle w:val="Default"/>
        <w:keepNext/>
        <w:spacing w:after="60"/>
        <w:rPr>
          <w:rFonts w:ascii="Tw Cen MT" w:hAnsi="Tw Cen MT" w:cs="Times New Roman"/>
          <w:b/>
        </w:rPr>
      </w:pPr>
      <w:r w:rsidRPr="00DE0704">
        <w:rPr>
          <w:rFonts w:ascii="Tw Cen MT" w:hAnsi="Tw Cen MT" w:cs="Times New Roman"/>
          <w:b/>
        </w:rPr>
        <w:t>SD-2</w:t>
      </w:r>
      <w:r w:rsidR="00D341F9" w:rsidRPr="00DE0704">
        <w:rPr>
          <w:rFonts w:ascii="Tw Cen MT" w:hAnsi="Tw Cen MT" w:cs="Times New Roman"/>
          <w:b/>
        </w:rPr>
        <w:t>: Clinical and Community Preventive Services</w:t>
      </w:r>
      <w:r w:rsidR="00D776FD" w:rsidRPr="00DE0704">
        <w:rPr>
          <w:rFonts w:ascii="Tw Cen MT" w:hAnsi="Tw Cen MT" w:cs="Times New Roman"/>
          <w:b/>
        </w:rPr>
        <w:t xml:space="preserve"> </w:t>
      </w:r>
      <w:r w:rsidR="00D776FD" w:rsidRPr="00DE0704">
        <w:rPr>
          <w:rFonts w:ascii="Tw Cen MT" w:hAnsi="Tw Cen MT" w:cs="Times New Roman"/>
          <w:i/>
        </w:rPr>
        <w:t>(</w:t>
      </w:r>
      <w:r w:rsidR="00137FF4" w:rsidRPr="00DE0704">
        <w:rPr>
          <w:rFonts w:ascii="Tw Cen MT" w:hAnsi="Tw Cen MT" w:cs="Times New Roman"/>
          <w:i/>
        </w:rPr>
        <w:t>Training</w:t>
      </w:r>
      <w:r w:rsidRPr="00DE0704">
        <w:rPr>
          <w:rFonts w:ascii="Tw Cen MT" w:hAnsi="Tw Cen MT" w:cs="Times New Roman"/>
          <w:i/>
        </w:rPr>
        <w:t xml:space="preserve"> &amp; </w:t>
      </w:r>
      <w:r w:rsidR="00BB21B9" w:rsidRPr="00DE0704">
        <w:rPr>
          <w:rFonts w:ascii="Tw Cen MT" w:hAnsi="Tw Cen MT" w:cs="Times New Roman"/>
          <w:i/>
        </w:rPr>
        <w:t>COC Studies</w:t>
      </w:r>
      <w:r w:rsidR="00137FF4" w:rsidRPr="00DE0704">
        <w:rPr>
          <w:rFonts w:ascii="Tw Cen MT" w:hAnsi="Tw Cen MT" w:cs="Times New Roman"/>
          <w:i/>
        </w:rPr>
        <w:t>)</w:t>
      </w:r>
    </w:p>
    <w:p w14:paraId="5C4C6268" w14:textId="23BD439F" w:rsidR="00137FF4" w:rsidRPr="00DE0704" w:rsidRDefault="00137FF4" w:rsidP="003536EA">
      <w:pPr>
        <w:pStyle w:val="Default"/>
        <w:numPr>
          <w:ilvl w:val="0"/>
          <w:numId w:val="50"/>
        </w:numPr>
        <w:spacing w:after="60"/>
        <w:rPr>
          <w:rFonts w:ascii="Times New Roman" w:hAnsi="Times New Roman" w:cs="Times New Roman"/>
          <w:i/>
        </w:rPr>
      </w:pPr>
      <w:r w:rsidRPr="00DE0704">
        <w:rPr>
          <w:rFonts w:ascii="Times New Roman" w:hAnsi="Times New Roman" w:cs="Times New Roman"/>
          <w:i/>
        </w:rPr>
        <w:t>Goal 5. Develop, implement, and monitor effective programs that promote wellness and prevent suicide</w:t>
      </w:r>
    </w:p>
    <w:p w14:paraId="226A0266" w14:textId="668E2164" w:rsidR="00D341F9" w:rsidRPr="00DE0704" w:rsidRDefault="00D341F9" w:rsidP="003536EA">
      <w:pPr>
        <w:pStyle w:val="Default"/>
        <w:numPr>
          <w:ilvl w:val="0"/>
          <w:numId w:val="50"/>
        </w:numPr>
        <w:spacing w:after="120"/>
        <w:rPr>
          <w:rFonts w:ascii="Times New Roman" w:hAnsi="Times New Roman" w:cs="Times New Roman"/>
          <w:i/>
        </w:rPr>
      </w:pPr>
      <w:r w:rsidRPr="00DE0704">
        <w:rPr>
          <w:rFonts w:ascii="Times New Roman" w:hAnsi="Times New Roman" w:cs="Times New Roman"/>
          <w:i/>
        </w:rPr>
        <w:t>Goal 7. Provide training to community and clinical service providers on the prevention of suicide and related behaviors.</w:t>
      </w:r>
      <w:r w:rsidR="00137FF4" w:rsidRPr="00DE0704">
        <w:rPr>
          <w:rFonts w:ascii="Times New Roman" w:hAnsi="Times New Roman" w:cs="Times New Roman"/>
          <w:i/>
        </w:rPr>
        <w:t xml:space="preserve">  </w:t>
      </w:r>
    </w:p>
    <w:p w14:paraId="57EAC0B8" w14:textId="3CE89632" w:rsidR="00D341F9" w:rsidRPr="00DE0704" w:rsidRDefault="00004CAD" w:rsidP="00D341F9">
      <w:pPr>
        <w:pStyle w:val="Default"/>
        <w:spacing w:after="60"/>
        <w:rPr>
          <w:rFonts w:ascii="Tw Cen MT" w:hAnsi="Tw Cen MT" w:cs="Times New Roman"/>
          <w:i/>
        </w:rPr>
      </w:pPr>
      <w:r w:rsidRPr="00DE0704">
        <w:rPr>
          <w:rFonts w:ascii="Tw Cen MT" w:hAnsi="Tw Cen MT" w:cs="Times New Roman"/>
          <w:b/>
        </w:rPr>
        <w:t>SD-3</w:t>
      </w:r>
      <w:r w:rsidR="00D341F9" w:rsidRPr="00DE0704">
        <w:rPr>
          <w:rFonts w:ascii="Tw Cen MT" w:hAnsi="Tw Cen MT" w:cs="Times New Roman"/>
          <w:b/>
        </w:rPr>
        <w:t>: Treatment and Support Services</w:t>
      </w:r>
      <w:r w:rsidR="00D776FD" w:rsidRPr="00DE0704">
        <w:rPr>
          <w:rFonts w:ascii="Tw Cen MT" w:hAnsi="Tw Cen MT" w:cs="Times New Roman"/>
          <w:b/>
        </w:rPr>
        <w:t xml:space="preserve"> </w:t>
      </w:r>
      <w:r w:rsidRPr="00DE0704">
        <w:rPr>
          <w:rFonts w:ascii="Tw Cen MT" w:hAnsi="Tw Cen MT" w:cs="Times New Roman"/>
          <w:i/>
        </w:rPr>
        <w:t>(COC &amp; SSE Studies</w:t>
      </w:r>
      <w:r w:rsidR="00D776FD" w:rsidRPr="00DE0704">
        <w:rPr>
          <w:rFonts w:ascii="Tw Cen MT" w:hAnsi="Tw Cen MT" w:cs="Times New Roman"/>
          <w:i/>
        </w:rPr>
        <w:t>)</w:t>
      </w:r>
    </w:p>
    <w:p w14:paraId="63F03F7D" w14:textId="59770546" w:rsidR="00D341F9" w:rsidRPr="00DE0704" w:rsidRDefault="00D341F9" w:rsidP="003536EA">
      <w:pPr>
        <w:pStyle w:val="Default"/>
        <w:numPr>
          <w:ilvl w:val="0"/>
          <w:numId w:val="50"/>
        </w:numPr>
        <w:spacing w:after="60"/>
        <w:rPr>
          <w:rFonts w:ascii="Times New Roman" w:hAnsi="Times New Roman" w:cs="Times New Roman"/>
          <w:i/>
        </w:rPr>
      </w:pPr>
      <w:r w:rsidRPr="00DE0704">
        <w:rPr>
          <w:rFonts w:ascii="Times New Roman" w:hAnsi="Times New Roman" w:cs="Times New Roman"/>
          <w:i/>
        </w:rPr>
        <w:t>Goal 8. Promote suicide prevention as a core component of health care services.</w:t>
      </w:r>
      <w:r w:rsidR="00D776FD" w:rsidRPr="00DE0704">
        <w:rPr>
          <w:rFonts w:ascii="Times New Roman" w:hAnsi="Times New Roman" w:cs="Times New Roman"/>
          <w:i/>
        </w:rPr>
        <w:t xml:space="preserve"> </w:t>
      </w:r>
    </w:p>
    <w:p w14:paraId="12C086CA" w14:textId="77777777" w:rsidR="00D341F9" w:rsidRPr="00DE0704" w:rsidRDefault="00D341F9" w:rsidP="003536EA">
      <w:pPr>
        <w:pStyle w:val="Default"/>
        <w:numPr>
          <w:ilvl w:val="0"/>
          <w:numId w:val="50"/>
        </w:numPr>
        <w:spacing w:after="120"/>
        <w:rPr>
          <w:rFonts w:ascii="Times New Roman" w:hAnsi="Times New Roman" w:cs="Times New Roman"/>
          <w:i/>
        </w:rPr>
      </w:pPr>
      <w:r w:rsidRPr="00DE0704">
        <w:rPr>
          <w:rFonts w:ascii="Times New Roman" w:hAnsi="Times New Roman" w:cs="Times New Roman"/>
          <w:i/>
        </w:rPr>
        <w:t xml:space="preserve">Goal 9. Promote and implement effective clinical and professional practices for assessing and treating those identified as being at risk for suicidal behaviors. </w:t>
      </w:r>
    </w:p>
    <w:p w14:paraId="7EFFA7D4" w14:textId="049552FC" w:rsidR="00D341F9" w:rsidRPr="00DE0704" w:rsidRDefault="00004CAD" w:rsidP="006E402F">
      <w:pPr>
        <w:pStyle w:val="Default"/>
        <w:keepNext/>
        <w:spacing w:after="60"/>
        <w:rPr>
          <w:rFonts w:ascii="Tw Cen MT" w:hAnsi="Tw Cen MT" w:cs="Times New Roman"/>
        </w:rPr>
      </w:pPr>
      <w:r w:rsidRPr="00DE0704">
        <w:rPr>
          <w:rFonts w:ascii="Tw Cen MT" w:hAnsi="Tw Cen MT" w:cs="Times New Roman"/>
          <w:b/>
        </w:rPr>
        <w:t>SD-</w:t>
      </w:r>
      <w:r w:rsidR="00D341F9" w:rsidRPr="00DE0704">
        <w:rPr>
          <w:rFonts w:ascii="Tw Cen MT" w:hAnsi="Tw Cen MT" w:cs="Times New Roman"/>
          <w:b/>
        </w:rPr>
        <w:t>4: Surveillance, Research, and Evaluation</w:t>
      </w:r>
      <w:r w:rsidR="00137FF4" w:rsidRPr="00DE0704">
        <w:rPr>
          <w:rFonts w:ascii="Tw Cen MT" w:hAnsi="Tw Cen MT" w:cs="Times New Roman"/>
          <w:b/>
        </w:rPr>
        <w:t xml:space="preserve"> </w:t>
      </w:r>
      <w:r w:rsidR="00137FF4" w:rsidRPr="00DE0704">
        <w:rPr>
          <w:rFonts w:ascii="Tw Cen MT" w:hAnsi="Tw Cen MT" w:cs="Times New Roman"/>
          <w:i/>
        </w:rPr>
        <w:t>(</w:t>
      </w:r>
      <w:r w:rsidRPr="00DE0704">
        <w:rPr>
          <w:rFonts w:ascii="Tw Cen MT" w:hAnsi="Tw Cen MT" w:cs="Times New Roman"/>
          <w:i/>
        </w:rPr>
        <w:t>Training, COC, &amp; SSE Studies</w:t>
      </w:r>
      <w:r w:rsidR="00137FF4" w:rsidRPr="00DE0704">
        <w:rPr>
          <w:rFonts w:ascii="Tw Cen MT" w:hAnsi="Tw Cen MT" w:cs="Times New Roman"/>
          <w:i/>
        </w:rPr>
        <w:t>)</w:t>
      </w:r>
    </w:p>
    <w:p w14:paraId="2E765C43" w14:textId="77777777" w:rsidR="00D341F9" w:rsidRPr="00DE0704" w:rsidRDefault="00D341F9" w:rsidP="003536EA">
      <w:pPr>
        <w:pStyle w:val="Default"/>
        <w:numPr>
          <w:ilvl w:val="0"/>
          <w:numId w:val="50"/>
        </w:numPr>
        <w:spacing w:after="60"/>
        <w:rPr>
          <w:rFonts w:ascii="Times New Roman" w:hAnsi="Times New Roman" w:cs="Times New Roman"/>
          <w:i/>
        </w:rPr>
      </w:pPr>
      <w:r w:rsidRPr="00DE0704">
        <w:rPr>
          <w:rFonts w:ascii="Times New Roman" w:hAnsi="Times New Roman" w:cs="Times New Roman"/>
          <w:i/>
        </w:rPr>
        <w:t>Goal 12. Promote and support research on suicide prevention.</w:t>
      </w:r>
    </w:p>
    <w:p w14:paraId="0DBE5068" w14:textId="24F90A75" w:rsidR="00D341F9" w:rsidRPr="00DE0704" w:rsidRDefault="00D341F9" w:rsidP="003536EA">
      <w:pPr>
        <w:pStyle w:val="Default"/>
        <w:numPr>
          <w:ilvl w:val="0"/>
          <w:numId w:val="50"/>
        </w:numPr>
        <w:spacing w:after="240"/>
        <w:rPr>
          <w:rFonts w:ascii="Times New Roman" w:hAnsi="Times New Roman" w:cs="Times New Roman"/>
          <w:i/>
        </w:rPr>
      </w:pPr>
      <w:r w:rsidRPr="00DE0704">
        <w:rPr>
          <w:rFonts w:ascii="Times New Roman" w:hAnsi="Times New Roman" w:cs="Times New Roman"/>
          <w:i/>
        </w:rPr>
        <w:t>Goal 13. Evaluate the impact and effectiveness of suicide prevention interventions an</w:t>
      </w:r>
      <w:r w:rsidR="00004CAD" w:rsidRPr="00DE0704">
        <w:rPr>
          <w:rFonts w:ascii="Times New Roman" w:hAnsi="Times New Roman" w:cs="Times New Roman"/>
          <w:i/>
        </w:rPr>
        <w:t>d</w:t>
      </w:r>
      <w:r w:rsidRPr="00DE0704">
        <w:rPr>
          <w:rFonts w:ascii="Times New Roman" w:hAnsi="Times New Roman" w:cs="Times New Roman"/>
          <w:i/>
        </w:rPr>
        <w:t xml:space="preserve"> systems and synthesize and disseminate findings.</w:t>
      </w:r>
    </w:p>
    <w:p w14:paraId="3F92E512" w14:textId="58F41E7C" w:rsidR="00D53513" w:rsidRPr="0080212A" w:rsidRDefault="00D53513" w:rsidP="00F875FD">
      <w:pPr>
        <w:pStyle w:val="BodyText"/>
        <w:keepNext/>
        <w:widowControl/>
        <w:numPr>
          <w:ilvl w:val="0"/>
          <w:numId w:val="41"/>
        </w:numPr>
        <w:tabs>
          <w:tab w:val="left" w:pos="1563"/>
        </w:tabs>
        <w:spacing w:before="240" w:after="120"/>
        <w:rPr>
          <w:rFonts w:ascii="Tw Cen MT" w:hAnsi="Tw Cen MT" w:cs="Times New Roman"/>
          <w:b/>
          <w:sz w:val="28"/>
          <w:szCs w:val="28"/>
        </w:rPr>
      </w:pPr>
      <w:r w:rsidRPr="0080212A">
        <w:rPr>
          <w:rFonts w:ascii="Tw Cen MT" w:hAnsi="Tw Cen MT" w:cs="Times New Roman"/>
          <w:b/>
          <w:sz w:val="28"/>
          <w:szCs w:val="28"/>
        </w:rPr>
        <w:t xml:space="preserve">Advancing the Field </w:t>
      </w:r>
      <w:r w:rsidR="00B613A8" w:rsidRPr="0080212A">
        <w:rPr>
          <w:rFonts w:ascii="Tw Cen MT" w:hAnsi="Tw Cen MT" w:cs="Times New Roman"/>
          <w:b/>
          <w:sz w:val="28"/>
          <w:szCs w:val="28"/>
        </w:rPr>
        <w:t xml:space="preserve"> </w:t>
      </w:r>
      <w:r w:rsidRPr="0080212A">
        <w:rPr>
          <w:rFonts w:ascii="Tw Cen MT" w:hAnsi="Tw Cen MT" w:cs="Times New Roman"/>
          <w:b/>
          <w:sz w:val="28"/>
          <w:szCs w:val="28"/>
        </w:rPr>
        <w:t xml:space="preserve"> </w:t>
      </w:r>
    </w:p>
    <w:p w14:paraId="762A91E3" w14:textId="1DF22006" w:rsidR="00AD336F" w:rsidRDefault="00DE0704" w:rsidP="00CF5DFC">
      <w:pPr>
        <w:pStyle w:val="SuicideBodyText"/>
        <w:spacing w:after="200"/>
      </w:pPr>
      <w:r>
        <w:t xml:space="preserve">Information gathered through the NOE </w:t>
      </w:r>
      <w:r w:rsidR="00B613A8" w:rsidRPr="00F1465D">
        <w:t xml:space="preserve">will continue to be useful to SAMHSA and its partners, other Federal agencies and administrators, </w:t>
      </w:r>
      <w:r>
        <w:t xml:space="preserve">GLS </w:t>
      </w:r>
      <w:r w:rsidR="00B613A8" w:rsidRPr="00F1465D">
        <w:t xml:space="preserve">State/Tribal </w:t>
      </w:r>
      <w:r>
        <w:t>and</w:t>
      </w:r>
      <w:r w:rsidR="00B613A8" w:rsidRPr="00F1465D">
        <w:t xml:space="preserve"> Campus grantees, legislators, the </w:t>
      </w:r>
      <w:r w:rsidR="00EC6B20">
        <w:t xml:space="preserve">National Strategy and the </w:t>
      </w:r>
      <w:r w:rsidR="00B613A8" w:rsidRPr="00F1465D">
        <w:t xml:space="preserve">field of suicide prevention, individual youth and their families, and the communities in which they live. </w:t>
      </w:r>
      <w:r w:rsidR="00C66028">
        <w:t xml:space="preserve">Further, </w:t>
      </w:r>
      <w:r>
        <w:t xml:space="preserve">the focus of the NOE on assessing the implementation, outcomes, and impacts of the GLS Suicide Prevention Program will contribute immensely to </w:t>
      </w:r>
      <w:r w:rsidR="00AD336F">
        <w:t>advancing</w:t>
      </w:r>
      <w:r>
        <w:t xml:space="preserve"> the field of</w:t>
      </w:r>
      <w:r w:rsidR="00AD336F">
        <w:t xml:space="preserve"> </w:t>
      </w:r>
      <w:r>
        <w:t>suicide prevention.</w:t>
      </w:r>
      <w:r w:rsidR="00AD336F">
        <w:t xml:space="preserve"> </w:t>
      </w:r>
      <w:r w:rsidR="00C66028">
        <w:t>For example, data collected will help to inform SAMHSA’s other suicide prevention initiatives, such as the NSPL. Thus, t</w:t>
      </w:r>
      <w:r w:rsidR="00AD336F">
        <w:rPr>
          <w:rStyle w:val="ProposalBodyTextChar"/>
          <w:rFonts w:eastAsia="Arial"/>
          <w:szCs w:val="24"/>
        </w:rPr>
        <w:t>he</w:t>
      </w:r>
      <w:r w:rsidR="00AD336F" w:rsidRPr="009D4F0B">
        <w:rPr>
          <w:rStyle w:val="ProposalBodyTextChar"/>
          <w:rFonts w:eastAsia="Arial"/>
          <w:szCs w:val="24"/>
        </w:rPr>
        <w:t xml:space="preserve"> </w:t>
      </w:r>
      <w:r w:rsidR="005E6C37">
        <w:rPr>
          <w:rStyle w:val="ProposalBodyTextChar"/>
          <w:rFonts w:eastAsia="Arial"/>
          <w:szCs w:val="24"/>
        </w:rPr>
        <w:t>NOE</w:t>
      </w:r>
      <w:r w:rsidR="00AD336F" w:rsidRPr="009D4F0B">
        <w:rPr>
          <w:rStyle w:val="ProposalBodyTextChar"/>
          <w:rFonts w:eastAsia="Arial"/>
          <w:szCs w:val="24"/>
        </w:rPr>
        <w:t xml:space="preserve"> will</w:t>
      </w:r>
      <w:r w:rsidR="00AD336F" w:rsidRPr="009D4F0B">
        <w:t xml:space="preserve"> allow SAMHSA to expand the evidence base for suicide prevention; address factors contributing to suicide deaths </w:t>
      </w:r>
      <w:r w:rsidR="00AD336F" w:rsidRPr="002E47B3">
        <w:t>and attempts; and establish standards for developing, implementing, and evaluating suicide prevention programs.</w:t>
      </w:r>
      <w:r w:rsidR="00AD336F">
        <w:t xml:space="preserve"> </w:t>
      </w:r>
    </w:p>
    <w:p w14:paraId="4D62EBC3" w14:textId="73A56581" w:rsidR="00B613A8" w:rsidRPr="00F1465D" w:rsidRDefault="00B613A8" w:rsidP="00B613A8">
      <w:pPr>
        <w:pStyle w:val="SuicideBodyText"/>
      </w:pPr>
      <w:r w:rsidRPr="00F1465D">
        <w:t xml:space="preserve">Without this evaluation, Federal and local officials will not </w:t>
      </w:r>
      <w:r w:rsidR="004B6517">
        <w:t>determine</w:t>
      </w:r>
      <w:r w:rsidRPr="00F1465D">
        <w:t xml:space="preserve"> whether the suicide prevention programs implemented as part of the GLSMA ha</w:t>
      </w:r>
      <w:r w:rsidR="005E6C37">
        <w:t xml:space="preserve">ve </w:t>
      </w:r>
      <w:r w:rsidRPr="00F1465D">
        <w:t xml:space="preserve">an impact on </w:t>
      </w:r>
      <w:r w:rsidR="005E6C37">
        <w:t>the prevention of suicide;</w:t>
      </w:r>
      <w:r w:rsidRPr="00F1465D">
        <w:t xml:space="preserve"> </w:t>
      </w:r>
      <w:r w:rsidR="004B6517">
        <w:t>their effectiveness on</w:t>
      </w:r>
      <w:r w:rsidR="00C66028">
        <w:t xml:space="preserve"> </w:t>
      </w:r>
      <w:r w:rsidRPr="00F1465D">
        <w:t>identification</w:t>
      </w:r>
      <w:r w:rsidR="005E6C37">
        <w:t xml:space="preserve">, referral, and provision of services to </w:t>
      </w:r>
      <w:r w:rsidRPr="00F1465D">
        <w:t>youth</w:t>
      </w:r>
      <w:r w:rsidR="005E6C37">
        <w:t xml:space="preserve"> and students identified as at risk;</w:t>
      </w:r>
      <w:r w:rsidRPr="00F1465D">
        <w:t xml:space="preserve"> </w:t>
      </w:r>
      <w:r w:rsidR="00C66028">
        <w:t>and</w:t>
      </w:r>
      <w:r w:rsidRPr="00F1465D">
        <w:t xml:space="preserve"> whether GLS grantee programs are meeting the goals of the GLSMA. SAMHSA </w:t>
      </w:r>
      <w:r w:rsidR="00EC6B20">
        <w:t xml:space="preserve">also </w:t>
      </w:r>
      <w:r w:rsidRPr="00F1465D">
        <w:t>will use</w:t>
      </w:r>
      <w:r w:rsidR="00AD336F">
        <w:t xml:space="preserve"> the</w:t>
      </w:r>
      <w:r w:rsidRPr="00F1465D">
        <w:t xml:space="preserve"> data collected to provide </w:t>
      </w:r>
      <w:r w:rsidRPr="00F1465D">
        <w:rPr>
          <w:rFonts w:cs="Arial"/>
        </w:rPr>
        <w:t xml:space="preserve">objective measures of its progress toward meeting targets of key performance indicators put forward in its annual performance plans as required by law under the GPRA. </w:t>
      </w:r>
    </w:p>
    <w:p w14:paraId="6268A0BE" w14:textId="061F4924" w:rsidR="00F0228B" w:rsidRPr="009C724F" w:rsidRDefault="00F0228B" w:rsidP="001E50ED">
      <w:pPr>
        <w:pStyle w:val="BodyText"/>
        <w:keepNext/>
        <w:widowControl/>
        <w:numPr>
          <w:ilvl w:val="0"/>
          <w:numId w:val="17"/>
        </w:numPr>
        <w:tabs>
          <w:tab w:val="left" w:pos="1563"/>
        </w:tabs>
        <w:spacing w:before="240" w:after="120"/>
        <w:rPr>
          <w:rFonts w:ascii="Tw Cen MT" w:hAnsi="Tw Cen MT" w:cs="Arial"/>
          <w:b/>
          <w:sz w:val="28"/>
          <w:szCs w:val="28"/>
        </w:rPr>
      </w:pPr>
      <w:r w:rsidRPr="009C724F">
        <w:rPr>
          <w:rFonts w:ascii="Tw Cen MT" w:hAnsi="Tw Cen MT" w:cs="Arial"/>
          <w:b/>
          <w:color w:val="181818"/>
          <w:sz w:val="28"/>
          <w:szCs w:val="28"/>
        </w:rPr>
        <w:t>Use of Improved Information Technology</w:t>
      </w:r>
    </w:p>
    <w:p w14:paraId="1EB2899A" w14:textId="68B9C3CF" w:rsidR="00F0228B" w:rsidRPr="00F1465D" w:rsidRDefault="00F0228B" w:rsidP="001E50ED">
      <w:pPr>
        <w:pStyle w:val="SuicideBodyText"/>
        <w:spacing w:after="200"/>
        <w:rPr>
          <w:spacing w:val="-2"/>
        </w:rPr>
      </w:pPr>
      <w:r w:rsidRPr="00F1465D">
        <w:rPr>
          <w:spacing w:val="-2"/>
        </w:rPr>
        <w:t xml:space="preserve">Every effort </w:t>
      </w:r>
      <w:r w:rsidR="000F7808">
        <w:rPr>
          <w:spacing w:val="-2"/>
        </w:rPr>
        <w:t xml:space="preserve">had been </w:t>
      </w:r>
      <w:r w:rsidRPr="00F1465D">
        <w:rPr>
          <w:spacing w:val="-2"/>
        </w:rPr>
        <w:t xml:space="preserve">made to limit burden on individual respondents who participate in the </w:t>
      </w:r>
      <w:r w:rsidR="000F7808">
        <w:rPr>
          <w:spacing w:val="-2"/>
        </w:rPr>
        <w:t xml:space="preserve">NOE </w:t>
      </w:r>
      <w:r w:rsidRPr="00F1465D">
        <w:rPr>
          <w:spacing w:val="-2"/>
        </w:rPr>
        <w:t xml:space="preserve">through the use of technology. Data collection instruments will be administered via the Web and telephone. Below </w:t>
      </w:r>
      <w:r w:rsidR="000F7808">
        <w:rPr>
          <w:spacing w:val="-2"/>
        </w:rPr>
        <w:t>are</w:t>
      </w:r>
      <w:r w:rsidRPr="00F1465D">
        <w:rPr>
          <w:spacing w:val="-2"/>
        </w:rPr>
        <w:t xml:space="preserve"> description</w:t>
      </w:r>
      <w:r w:rsidR="000F7808">
        <w:rPr>
          <w:spacing w:val="-2"/>
        </w:rPr>
        <w:t>s</w:t>
      </w:r>
      <w:r w:rsidRPr="00F1465D">
        <w:rPr>
          <w:spacing w:val="-2"/>
        </w:rPr>
        <w:t xml:space="preserve"> of the</w:t>
      </w:r>
      <w:r w:rsidR="000F7808">
        <w:rPr>
          <w:spacing w:val="-2"/>
        </w:rPr>
        <w:t xml:space="preserve"> technology that will be used for data collection:</w:t>
      </w:r>
      <w:r w:rsidRPr="00F1465D">
        <w:rPr>
          <w:spacing w:val="-2"/>
        </w:rPr>
        <w:t xml:space="preserve"> </w:t>
      </w:r>
      <w:r w:rsidR="0045340E">
        <w:rPr>
          <w:spacing w:val="-2"/>
        </w:rPr>
        <w:t xml:space="preserve">(a) </w:t>
      </w:r>
      <w:r w:rsidRPr="00F1465D">
        <w:rPr>
          <w:spacing w:val="-2"/>
        </w:rPr>
        <w:t>Web-based data collection and management system</w:t>
      </w:r>
      <w:r w:rsidR="0045340E">
        <w:rPr>
          <w:spacing w:val="-2"/>
        </w:rPr>
        <w:t>, (b)</w:t>
      </w:r>
      <w:r w:rsidR="000F7808">
        <w:rPr>
          <w:spacing w:val="-2"/>
        </w:rPr>
        <w:t xml:space="preserve"> CATI,</w:t>
      </w:r>
      <w:r w:rsidR="0045340E">
        <w:rPr>
          <w:spacing w:val="-2"/>
        </w:rPr>
        <w:t xml:space="preserve"> </w:t>
      </w:r>
      <w:r w:rsidRPr="00F1465D">
        <w:rPr>
          <w:spacing w:val="-2"/>
        </w:rPr>
        <w:t xml:space="preserve">and </w:t>
      </w:r>
      <w:r w:rsidR="0045340E">
        <w:rPr>
          <w:spacing w:val="-2"/>
        </w:rPr>
        <w:t xml:space="preserve">(c) </w:t>
      </w:r>
      <w:r w:rsidR="000F7808">
        <w:rPr>
          <w:spacing w:val="-2"/>
        </w:rPr>
        <w:t>SMS.</w:t>
      </w:r>
    </w:p>
    <w:p w14:paraId="1965688D" w14:textId="68131AA9" w:rsidR="00F0228B" w:rsidRPr="0080212A" w:rsidRDefault="00F0228B" w:rsidP="003536EA">
      <w:pPr>
        <w:pStyle w:val="SuicideBodyText"/>
        <w:keepNext/>
        <w:numPr>
          <w:ilvl w:val="0"/>
          <w:numId w:val="48"/>
        </w:numPr>
        <w:spacing w:after="120"/>
        <w:rPr>
          <w:rFonts w:ascii="Tw Cen MT" w:hAnsi="Tw Cen MT" w:cs="Arial"/>
          <w:b/>
          <w:sz w:val="28"/>
          <w:szCs w:val="28"/>
        </w:rPr>
      </w:pPr>
      <w:r w:rsidRPr="0080212A">
        <w:rPr>
          <w:rFonts w:ascii="Tw Cen MT" w:hAnsi="Tw Cen MT" w:cs="Arial"/>
          <w:b/>
          <w:sz w:val="28"/>
          <w:szCs w:val="28"/>
        </w:rPr>
        <w:t>Web-based Data Collection and Management System</w:t>
      </w:r>
    </w:p>
    <w:p w14:paraId="38E17421" w14:textId="21293935" w:rsidR="00001EEA" w:rsidRDefault="00C20A2F" w:rsidP="00CF5DFC">
      <w:pPr>
        <w:pStyle w:val="SuicideBodyText"/>
        <w:spacing w:after="200"/>
      </w:pPr>
      <w:r>
        <w:t>The</w:t>
      </w:r>
      <w:r w:rsidR="007D3FDB">
        <w:t xml:space="preserve"> </w:t>
      </w:r>
      <w:r w:rsidR="00F0228B" w:rsidRPr="00F1465D">
        <w:t>Web-based data collection and management system</w:t>
      </w:r>
      <w:r>
        <w:t xml:space="preserve">, </w:t>
      </w:r>
      <w:r w:rsidR="00C25649">
        <w:t xml:space="preserve">the Suicide Prevention Data Center </w:t>
      </w:r>
      <w:r>
        <w:t>(</w:t>
      </w:r>
      <w:r w:rsidR="00C25649">
        <w:t>SPDC</w:t>
      </w:r>
      <w:r>
        <w:t xml:space="preserve">), </w:t>
      </w:r>
      <w:r w:rsidR="00F0228B" w:rsidRPr="00F1465D">
        <w:t xml:space="preserve">will </w:t>
      </w:r>
      <w:r w:rsidR="007D3FDB">
        <w:t xml:space="preserve">continue to </w:t>
      </w:r>
      <w:r w:rsidR="00F0228B" w:rsidRPr="00F1465D">
        <w:t xml:space="preserve">be used to facilitate data collection by program staff, program participants, key stakeholders, students, and </w:t>
      </w:r>
      <w:r>
        <w:t>c</w:t>
      </w:r>
      <w:r w:rsidR="00F0228B" w:rsidRPr="00F1465D">
        <w:t xml:space="preserve">ampus faculty/staff. </w:t>
      </w:r>
      <w:r w:rsidR="007D3FDB">
        <w:t xml:space="preserve">The </w:t>
      </w:r>
      <w:r w:rsidR="00C25649">
        <w:t>SPDC</w:t>
      </w:r>
      <w:r w:rsidR="00F0228B" w:rsidRPr="00F1465D">
        <w:t xml:space="preserve"> will serve</w:t>
      </w:r>
      <w:r w:rsidR="007D3FDB">
        <w:t xml:space="preserve"> </w:t>
      </w:r>
      <w:r>
        <w:t xml:space="preserve">as a </w:t>
      </w:r>
      <w:r w:rsidR="007D3FDB">
        <w:t xml:space="preserve">(1) </w:t>
      </w:r>
      <w:r w:rsidR="00F0228B" w:rsidRPr="00F1465D">
        <w:t xml:space="preserve">data entry tool for program </w:t>
      </w:r>
      <w:r w:rsidR="007D3FDB">
        <w:t>and evaluation staff</w:t>
      </w:r>
      <w:r w:rsidR="00F0228B" w:rsidRPr="00F1465D">
        <w:t xml:space="preserve"> to enter information or data elements and (2) data collection tool for administering Web surveys to respondents. All data obtained through direct entry by prog</w:t>
      </w:r>
      <w:r>
        <w:t xml:space="preserve">ram and/or evaluation staff or through </w:t>
      </w:r>
      <w:r w:rsidR="00F0228B" w:rsidRPr="00F1465D">
        <w:t xml:space="preserve">Web surveys will be stored in the </w:t>
      </w:r>
      <w:r>
        <w:t>central repository to reduce</w:t>
      </w:r>
      <w:r w:rsidR="00F0228B" w:rsidRPr="00F1465D">
        <w:t xml:space="preserve"> evaluation burden</w:t>
      </w:r>
      <w:r>
        <w:t xml:space="preserve"> on grantees</w:t>
      </w:r>
      <w:r w:rsidR="00F0228B" w:rsidRPr="00F1465D">
        <w:t xml:space="preserve"> and </w:t>
      </w:r>
      <w:r>
        <w:t>to allow</w:t>
      </w:r>
      <w:r w:rsidR="00F0228B" w:rsidRPr="00F1465D">
        <w:t xml:space="preserve"> ease of access to data for program personnel and evaluation team</w:t>
      </w:r>
      <w:r>
        <w:t xml:space="preserve"> members</w:t>
      </w:r>
      <w:r w:rsidR="00F0228B" w:rsidRPr="00F1465D">
        <w:t>.</w:t>
      </w:r>
      <w:r>
        <w:t xml:space="preserve"> </w:t>
      </w:r>
      <w:r w:rsidRPr="00F1465D">
        <w:t>All data collected will be stored in the central data repository</w:t>
      </w:r>
      <w:r>
        <w:t>, allowing</w:t>
      </w:r>
      <w:r w:rsidRPr="00F1465D">
        <w:t xml:space="preserve"> for the analysis and summary of information within and across surveys.</w:t>
      </w:r>
      <w:r>
        <w:t xml:space="preserve"> </w:t>
      </w:r>
      <w:r w:rsidR="007D3FDB">
        <w:rPr>
          <w:lang w:val="en-CA"/>
        </w:rPr>
        <w:t xml:space="preserve">To maintain privacy, </w:t>
      </w:r>
      <w:r w:rsidR="00F0228B" w:rsidRPr="00F1465D">
        <w:rPr>
          <w:lang w:val="en-CA"/>
        </w:rPr>
        <w:fldChar w:fldCharType="begin"/>
      </w:r>
      <w:r w:rsidR="00F0228B" w:rsidRPr="00F1465D">
        <w:rPr>
          <w:lang w:val="en-CA"/>
        </w:rPr>
        <w:instrText xml:space="preserve"> SEQ CHAPTER \h \r 1</w:instrText>
      </w:r>
      <w:r w:rsidR="00F0228B" w:rsidRPr="00F1465D">
        <w:rPr>
          <w:lang w:val="en-CA"/>
        </w:rPr>
        <w:fldChar w:fldCharType="end"/>
      </w:r>
      <w:r w:rsidR="007D3FDB">
        <w:rPr>
          <w:lang w:val="en-CA"/>
        </w:rPr>
        <w:t>t</w:t>
      </w:r>
      <w:r w:rsidR="00F0228B" w:rsidRPr="00F1465D">
        <w:t xml:space="preserve">he secure </w:t>
      </w:r>
      <w:r w:rsidR="00001EEA">
        <w:t>SPDC</w:t>
      </w:r>
      <w:r w:rsidR="00F0228B" w:rsidRPr="00F1465D">
        <w:t xml:space="preserve"> </w:t>
      </w:r>
      <w:r w:rsidR="007D3FDB">
        <w:t xml:space="preserve">offers </w:t>
      </w:r>
      <w:r w:rsidR="00193C19">
        <w:t>six</w:t>
      </w:r>
      <w:r w:rsidR="007D3FDB">
        <w:t xml:space="preserve"> levels of password-protected access to site-specific and aggregate</w:t>
      </w:r>
      <w:r w:rsidR="00001EEA">
        <w:t xml:space="preserve"> data as </w:t>
      </w:r>
      <w:r>
        <w:t>described</w:t>
      </w:r>
      <w:r w:rsidR="00001EEA">
        <w:t xml:space="preserve"> in Exhibit </w:t>
      </w:r>
      <w:r w:rsidR="00DD1247">
        <w:t>6</w:t>
      </w:r>
      <w:r w:rsidR="007D3FDB">
        <w:t>.</w:t>
      </w:r>
      <w:r w:rsidR="00F0228B" w:rsidRPr="00F1465D">
        <w:t xml:space="preserve"> </w:t>
      </w:r>
      <w:r w:rsidR="00001EEA">
        <w:t xml:space="preserve"> </w:t>
      </w:r>
    </w:p>
    <w:p w14:paraId="789416FF" w14:textId="296194E1" w:rsidR="00084715" w:rsidRPr="00E60B30" w:rsidRDefault="00084715" w:rsidP="00CF5DFC">
      <w:pPr>
        <w:pStyle w:val="SuicideBodyText"/>
        <w:spacing w:after="200"/>
        <w:rPr>
          <w:b/>
        </w:rPr>
      </w:pPr>
      <w:r>
        <w:t xml:space="preserve">Only users with administrative privileges </w:t>
      </w:r>
      <w:r w:rsidRPr="009C724F">
        <w:rPr>
          <w:b/>
          <w:i/>
        </w:rPr>
        <w:t>(evaluation management, evaluation team, and grantee site administrators)</w:t>
      </w:r>
      <w:r>
        <w:t xml:space="preserve"> </w:t>
      </w:r>
      <w:r w:rsidRPr="00E60B30">
        <w:t>will have the security to access to raw data. To protect from potential misuse of those data (inadvertent identification of respondents as a function of their unique demographic/</w:t>
      </w:r>
      <w:r>
        <w:t xml:space="preserve"> </w:t>
      </w:r>
      <w:r w:rsidRPr="00E60B30">
        <w:t>workforce characteristic profile)</w:t>
      </w:r>
      <w:r>
        <w:t>,</w:t>
      </w:r>
      <w:r w:rsidRPr="00E60B30">
        <w:t xml:space="preserve"> the following measures are in place: (1) access to raw datasets will be restricted to designated individual(s) and (2) the </w:t>
      </w:r>
      <w:r w:rsidRPr="00193C19">
        <w:rPr>
          <w:b/>
          <w:i/>
        </w:rPr>
        <w:t>grantee site administrator</w:t>
      </w:r>
      <w:r w:rsidRPr="00E60B30">
        <w:t xml:space="preserve"> will sign a data use agreement. Within the context of protecting from inadvertent identification, this agreement will stipulate who, how, and under what circumstances the raw data can be </w:t>
      </w:r>
      <w:proofErr w:type="gramStart"/>
      <w:r w:rsidRPr="00E60B30">
        <w:t>analyzed/reported</w:t>
      </w:r>
      <w:proofErr w:type="gramEnd"/>
      <w:r w:rsidRPr="00E60B30">
        <w:t xml:space="preserve">. For example, the </w:t>
      </w:r>
      <w:r>
        <w:t>NOE</w:t>
      </w:r>
      <w:r w:rsidRPr="00E60B30">
        <w:t xml:space="preserve"> team will obtain an agreement from each </w:t>
      </w:r>
      <w:r w:rsidRPr="00193C19">
        <w:rPr>
          <w:b/>
          <w:i/>
        </w:rPr>
        <w:t xml:space="preserve">grantee </w:t>
      </w:r>
      <w:r w:rsidRPr="00E60B30">
        <w:rPr>
          <w:b/>
          <w:i/>
        </w:rPr>
        <w:t>site administrator</w:t>
      </w:r>
      <w:r w:rsidRPr="00E60B30">
        <w:t xml:space="preserve"> not to report categories in which less than 10 cases exist and to stipulate who will have access to raw data. </w:t>
      </w:r>
      <w:r w:rsidRPr="00B43FCC">
        <w:t>Further, the agreement will indicate that no attempt, through complex analysis using outside information, will be made to ascertain the identity of particular persons from the datasets. A copy</w:t>
      </w:r>
      <w:r w:rsidRPr="00E60B30">
        <w:t xml:space="preserve"> of the agreement is located in Attachment </w:t>
      </w:r>
      <w:r w:rsidR="00A860DF">
        <w:t>P</w:t>
      </w:r>
      <w:r w:rsidR="00DD1247">
        <w:t>.</w:t>
      </w:r>
    </w:p>
    <w:p w14:paraId="0FB28C36" w14:textId="27B67589" w:rsidR="00001EEA" w:rsidRPr="00525CAA" w:rsidRDefault="00001EEA" w:rsidP="001E50ED">
      <w:pPr>
        <w:pStyle w:val="SuicideBodyText"/>
        <w:keepNext/>
        <w:spacing w:after="120"/>
        <w:rPr>
          <w:rFonts w:ascii="Tw Cen MT" w:hAnsi="Tw Cen MT" w:cs="Arial"/>
          <w:b/>
        </w:rPr>
      </w:pPr>
      <w:proofErr w:type="gramStart"/>
      <w:r w:rsidRPr="00525CAA">
        <w:rPr>
          <w:rFonts w:ascii="Tw Cen MT" w:hAnsi="Tw Cen MT" w:cs="Arial"/>
          <w:b/>
        </w:rPr>
        <w:t xml:space="preserve">Exhibit </w:t>
      </w:r>
      <w:r w:rsidR="00DD1247">
        <w:rPr>
          <w:rFonts w:ascii="Tw Cen MT" w:hAnsi="Tw Cen MT" w:cs="Arial"/>
          <w:b/>
        </w:rPr>
        <w:t>6</w:t>
      </w:r>
      <w:r w:rsidRPr="00525CAA">
        <w:rPr>
          <w:rFonts w:ascii="Tw Cen MT" w:hAnsi="Tw Cen MT" w:cs="Arial"/>
          <w:b/>
        </w:rPr>
        <w:t>.</w:t>
      </w:r>
      <w:proofErr w:type="gramEnd"/>
      <w:r w:rsidRPr="00525CAA">
        <w:rPr>
          <w:rFonts w:ascii="Tw Cen MT" w:hAnsi="Tw Cen MT" w:cs="Arial"/>
          <w:b/>
        </w:rPr>
        <w:t xml:space="preserve"> SPDC User Security Levels</w:t>
      </w:r>
    </w:p>
    <w:tbl>
      <w:tblPr>
        <w:tblStyle w:val="TableGrid"/>
        <w:tblW w:w="9355" w:type="dxa"/>
        <w:tblLook w:val="04A0" w:firstRow="1" w:lastRow="0" w:firstColumn="1" w:lastColumn="0" w:noHBand="0" w:noVBand="1"/>
      </w:tblPr>
      <w:tblGrid>
        <w:gridCol w:w="1525"/>
        <w:gridCol w:w="7830"/>
      </w:tblGrid>
      <w:tr w:rsidR="00E60B30" w:rsidRPr="006E402F" w14:paraId="22FC8E6B" w14:textId="77777777" w:rsidTr="00443E33">
        <w:trPr>
          <w:trHeight w:val="286"/>
          <w:tblHeader/>
        </w:trPr>
        <w:tc>
          <w:tcPr>
            <w:tcW w:w="1525" w:type="dxa"/>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14:paraId="209D94C6" w14:textId="77777777" w:rsidR="00E60B30" w:rsidRPr="006E402F" w:rsidRDefault="00E60B30" w:rsidP="003F6A55">
            <w:pPr>
              <w:pStyle w:val="SuicideBodyText"/>
              <w:jc w:val="center"/>
              <w:rPr>
                <w:rFonts w:ascii="Tw Cen MT" w:hAnsi="Tw Cen MT"/>
                <w:color w:val="FFFFFF" w:themeColor="background1"/>
                <w:sz w:val="22"/>
                <w:szCs w:val="22"/>
              </w:rPr>
            </w:pPr>
            <w:r w:rsidRPr="006E402F">
              <w:rPr>
                <w:rFonts w:ascii="Tw Cen MT" w:hAnsi="Tw Cen MT"/>
                <w:color w:val="FFFFFF" w:themeColor="background1"/>
                <w:sz w:val="22"/>
                <w:szCs w:val="22"/>
              </w:rPr>
              <w:t>Security Level</w:t>
            </w:r>
          </w:p>
        </w:tc>
        <w:tc>
          <w:tcPr>
            <w:tcW w:w="7830" w:type="dxa"/>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14:paraId="58612CB2" w14:textId="29F9208F" w:rsidR="00E60B30" w:rsidRPr="006E402F" w:rsidRDefault="00D27557" w:rsidP="003F6A55">
            <w:pPr>
              <w:pStyle w:val="SuicideBodyText"/>
              <w:jc w:val="center"/>
              <w:rPr>
                <w:rFonts w:ascii="Tw Cen MT" w:hAnsi="Tw Cen MT"/>
                <w:color w:val="FFFFFF" w:themeColor="background1"/>
                <w:sz w:val="22"/>
                <w:szCs w:val="22"/>
              </w:rPr>
            </w:pPr>
            <w:r w:rsidRPr="006E402F">
              <w:rPr>
                <w:rFonts w:ascii="Tw Cen MT" w:hAnsi="Tw Cen MT"/>
                <w:color w:val="FFFFFF" w:themeColor="background1"/>
                <w:sz w:val="22"/>
                <w:szCs w:val="22"/>
              </w:rPr>
              <w:t>SPDC Privileges</w:t>
            </w:r>
          </w:p>
        </w:tc>
      </w:tr>
      <w:tr w:rsidR="00CA0267" w:rsidRPr="006E402F" w14:paraId="73C9605B" w14:textId="77777777" w:rsidTr="00084715">
        <w:trPr>
          <w:trHeight w:val="305"/>
        </w:trPr>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43" w:type="dxa"/>
            </w:tcMar>
            <w:hideMark/>
          </w:tcPr>
          <w:p w14:paraId="4DF06BF9" w14:textId="4ED2A3DB" w:rsidR="00CA0267" w:rsidRPr="006E402F" w:rsidRDefault="00A33755" w:rsidP="004A5C33">
            <w:pPr>
              <w:pStyle w:val="SuicideBodyText"/>
              <w:jc w:val="left"/>
              <w:rPr>
                <w:rFonts w:ascii="Tw Cen MT" w:hAnsi="Tw Cen MT"/>
                <w:sz w:val="22"/>
                <w:szCs w:val="22"/>
              </w:rPr>
            </w:pPr>
            <w:r w:rsidRPr="006E402F">
              <w:rPr>
                <w:rFonts w:ascii="Tw Cen MT" w:hAnsi="Tw Cen MT"/>
                <w:sz w:val="22"/>
                <w:szCs w:val="22"/>
              </w:rPr>
              <w:t>Evaluation M</w:t>
            </w:r>
            <w:r w:rsidR="00CA0267" w:rsidRPr="006E402F">
              <w:rPr>
                <w:rFonts w:ascii="Tw Cen MT" w:hAnsi="Tw Cen MT"/>
                <w:sz w:val="22"/>
                <w:szCs w:val="22"/>
              </w:rPr>
              <w:t>anagement</w:t>
            </w:r>
            <w:r w:rsidRPr="006E402F">
              <w:rPr>
                <w:rFonts w:ascii="Tw Cen MT" w:hAnsi="Tw Cen MT"/>
                <w:sz w:val="22"/>
                <w:szCs w:val="22"/>
              </w:rPr>
              <w:t xml:space="preserve"> Administrator</w:t>
            </w:r>
          </w:p>
        </w:tc>
        <w:tc>
          <w:tcPr>
            <w:tcW w:w="7830" w:type="dxa"/>
            <w:tcBorders>
              <w:top w:val="single" w:sz="4" w:space="0" w:color="auto"/>
              <w:left w:val="single" w:sz="4" w:space="0" w:color="auto"/>
              <w:bottom w:val="single" w:sz="4" w:space="0" w:color="auto"/>
              <w:right w:val="single" w:sz="4" w:space="0" w:color="auto"/>
            </w:tcBorders>
            <w:tcMar>
              <w:top w:w="43" w:type="dxa"/>
              <w:left w:w="58" w:type="dxa"/>
              <w:bottom w:w="43" w:type="dxa"/>
              <w:right w:w="43" w:type="dxa"/>
            </w:tcMar>
            <w:hideMark/>
          </w:tcPr>
          <w:p w14:paraId="5DA39841" w14:textId="30DB4393" w:rsidR="00CA0267" w:rsidRPr="006E402F" w:rsidRDefault="00CA0267" w:rsidP="00075FA6">
            <w:pPr>
              <w:pStyle w:val="SuicideBodyText"/>
              <w:numPr>
                <w:ilvl w:val="0"/>
                <w:numId w:val="13"/>
              </w:numPr>
              <w:adjustRightInd/>
              <w:jc w:val="left"/>
              <w:rPr>
                <w:rFonts w:ascii="Tw Cen MT" w:hAnsi="Tw Cen MT"/>
                <w:sz w:val="22"/>
                <w:szCs w:val="22"/>
              </w:rPr>
            </w:pPr>
            <w:r w:rsidRPr="006E402F">
              <w:rPr>
                <w:rFonts w:ascii="Tw Cen MT" w:hAnsi="Tw Cen MT"/>
                <w:spacing w:val="-2"/>
                <w:sz w:val="22"/>
                <w:szCs w:val="22"/>
              </w:rPr>
              <w:t>Capability to view number of instruments completed &amp; submitted (all grantees)</w:t>
            </w:r>
            <w:r w:rsidR="004A5C33" w:rsidRPr="006E402F">
              <w:rPr>
                <w:rFonts w:ascii="Tw Cen MT" w:hAnsi="Tw Cen MT"/>
                <w:spacing w:val="-2"/>
                <w:sz w:val="22"/>
                <w:szCs w:val="22"/>
              </w:rPr>
              <w:t xml:space="preserve"> and to </w:t>
            </w:r>
            <w:r w:rsidRPr="006E402F">
              <w:rPr>
                <w:rFonts w:ascii="Tw Cen MT" w:hAnsi="Tw Cen MT"/>
                <w:spacing w:val="-2"/>
                <w:sz w:val="22"/>
                <w:szCs w:val="22"/>
              </w:rPr>
              <w:t>download site and aggregate datasets</w:t>
            </w:r>
            <w:r w:rsidRPr="006E402F">
              <w:rPr>
                <w:rFonts w:ascii="Tw Cen MT" w:hAnsi="Tw Cen MT"/>
                <w:sz w:val="22"/>
                <w:szCs w:val="22"/>
              </w:rPr>
              <w:t xml:space="preserve"> </w:t>
            </w:r>
          </w:p>
          <w:p w14:paraId="6814EAE0" w14:textId="77777777" w:rsidR="00CA0267" w:rsidRPr="006E402F" w:rsidRDefault="00CA0267" w:rsidP="00075FA6">
            <w:pPr>
              <w:pStyle w:val="SuicideBodyText"/>
              <w:numPr>
                <w:ilvl w:val="0"/>
                <w:numId w:val="13"/>
              </w:numPr>
              <w:adjustRightInd/>
              <w:jc w:val="left"/>
              <w:rPr>
                <w:rFonts w:ascii="Tw Cen MT" w:hAnsi="Tw Cen MT"/>
                <w:sz w:val="22"/>
                <w:szCs w:val="22"/>
              </w:rPr>
            </w:pPr>
            <w:r w:rsidRPr="006E402F">
              <w:rPr>
                <w:rFonts w:ascii="Tw Cen MT" w:hAnsi="Tw Cen MT"/>
                <w:sz w:val="22"/>
                <w:szCs w:val="22"/>
              </w:rPr>
              <w:t>Access site-specific data from all grantees and available aggregate reports</w:t>
            </w:r>
          </w:p>
          <w:p w14:paraId="1B6B05C7" w14:textId="0583777C" w:rsidR="00CA0267" w:rsidRPr="006E402F" w:rsidRDefault="00CA0267" w:rsidP="00075FA6">
            <w:pPr>
              <w:pStyle w:val="SuicideBodyText"/>
              <w:numPr>
                <w:ilvl w:val="0"/>
                <w:numId w:val="13"/>
              </w:numPr>
              <w:jc w:val="left"/>
              <w:rPr>
                <w:rFonts w:ascii="Tw Cen MT" w:hAnsi="Tw Cen MT"/>
                <w:sz w:val="22"/>
                <w:szCs w:val="22"/>
              </w:rPr>
            </w:pPr>
            <w:r w:rsidRPr="006E402F">
              <w:rPr>
                <w:rFonts w:ascii="Tw Cen MT" w:hAnsi="Tw Cen MT"/>
                <w:spacing w:val="-2"/>
                <w:sz w:val="22"/>
                <w:szCs w:val="22"/>
              </w:rPr>
              <w:t>Capability to add, modify, and remove users for all grantees</w:t>
            </w:r>
          </w:p>
        </w:tc>
      </w:tr>
      <w:tr w:rsidR="00CA0267" w:rsidRPr="006E402F" w14:paraId="4B72AF25" w14:textId="77777777" w:rsidTr="00084715">
        <w:trPr>
          <w:trHeight w:val="467"/>
        </w:trPr>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43" w:type="dxa"/>
            </w:tcMar>
          </w:tcPr>
          <w:p w14:paraId="0F8284B0" w14:textId="01E4E087" w:rsidR="00CA0267" w:rsidRPr="006E402F" w:rsidRDefault="00A33755" w:rsidP="004A5C33">
            <w:pPr>
              <w:pStyle w:val="SuicideBodyText"/>
              <w:jc w:val="left"/>
              <w:rPr>
                <w:rFonts w:ascii="Tw Cen MT" w:hAnsi="Tw Cen MT"/>
                <w:sz w:val="22"/>
                <w:szCs w:val="22"/>
              </w:rPr>
            </w:pPr>
            <w:r w:rsidRPr="006E402F">
              <w:rPr>
                <w:rFonts w:ascii="Tw Cen MT" w:hAnsi="Tw Cen MT"/>
                <w:sz w:val="22"/>
                <w:szCs w:val="22"/>
              </w:rPr>
              <w:t>Evaluation Team Member  Administrator</w:t>
            </w:r>
          </w:p>
        </w:tc>
        <w:tc>
          <w:tcPr>
            <w:tcW w:w="7830" w:type="dxa"/>
            <w:tcBorders>
              <w:top w:val="single" w:sz="4" w:space="0" w:color="auto"/>
              <w:left w:val="single" w:sz="4" w:space="0" w:color="auto"/>
              <w:bottom w:val="single" w:sz="4" w:space="0" w:color="auto"/>
              <w:right w:val="single" w:sz="4" w:space="0" w:color="auto"/>
            </w:tcBorders>
            <w:tcMar>
              <w:top w:w="43" w:type="dxa"/>
              <w:left w:w="58" w:type="dxa"/>
              <w:bottom w:w="43" w:type="dxa"/>
              <w:right w:w="43" w:type="dxa"/>
            </w:tcMar>
          </w:tcPr>
          <w:p w14:paraId="7804DB26" w14:textId="19C3D6D4" w:rsidR="00CA0267" w:rsidRPr="006E402F" w:rsidRDefault="00CA0267" w:rsidP="00075FA6">
            <w:pPr>
              <w:pStyle w:val="SuicideBodyText"/>
              <w:numPr>
                <w:ilvl w:val="0"/>
                <w:numId w:val="14"/>
              </w:numPr>
              <w:adjustRightInd/>
              <w:jc w:val="left"/>
              <w:rPr>
                <w:rFonts w:ascii="Tw Cen MT" w:hAnsi="Tw Cen MT"/>
                <w:sz w:val="22"/>
                <w:szCs w:val="22"/>
              </w:rPr>
            </w:pPr>
            <w:r w:rsidRPr="006E402F">
              <w:rPr>
                <w:rFonts w:ascii="Tw Cen MT" w:hAnsi="Tw Cen MT"/>
                <w:spacing w:val="-2"/>
                <w:sz w:val="22"/>
                <w:szCs w:val="22"/>
              </w:rPr>
              <w:t>Capability to view number of instruments completed &amp; submitted (all grantees)</w:t>
            </w:r>
          </w:p>
          <w:p w14:paraId="6D58431A" w14:textId="77777777" w:rsidR="00CA0267" w:rsidRPr="006E402F" w:rsidRDefault="00CA0267" w:rsidP="00075FA6">
            <w:pPr>
              <w:pStyle w:val="SuicideBodyText"/>
              <w:numPr>
                <w:ilvl w:val="0"/>
                <w:numId w:val="14"/>
              </w:numPr>
              <w:adjustRightInd/>
              <w:jc w:val="left"/>
              <w:rPr>
                <w:rFonts w:ascii="Tw Cen MT" w:hAnsi="Tw Cen MT"/>
                <w:sz w:val="22"/>
                <w:szCs w:val="22"/>
              </w:rPr>
            </w:pPr>
            <w:r w:rsidRPr="006E402F">
              <w:rPr>
                <w:rFonts w:ascii="Tw Cen MT" w:hAnsi="Tw Cen MT"/>
                <w:spacing w:val="-2"/>
                <w:sz w:val="22"/>
                <w:szCs w:val="22"/>
              </w:rPr>
              <w:t>Capability to download site and aggregate datasets</w:t>
            </w:r>
            <w:r w:rsidRPr="006E402F">
              <w:rPr>
                <w:rFonts w:ascii="Tw Cen MT" w:hAnsi="Tw Cen MT"/>
                <w:sz w:val="22"/>
                <w:szCs w:val="22"/>
              </w:rPr>
              <w:t xml:space="preserve"> </w:t>
            </w:r>
          </w:p>
          <w:p w14:paraId="1D2910B5" w14:textId="6E1337DA" w:rsidR="00CA0267" w:rsidRPr="006E402F" w:rsidRDefault="00CA0267" w:rsidP="00075FA6">
            <w:pPr>
              <w:pStyle w:val="SuicideBodyText"/>
              <w:numPr>
                <w:ilvl w:val="0"/>
                <w:numId w:val="10"/>
              </w:numPr>
              <w:jc w:val="left"/>
              <w:rPr>
                <w:rFonts w:ascii="Tw Cen MT" w:hAnsi="Tw Cen MT"/>
                <w:spacing w:val="-2"/>
                <w:sz w:val="22"/>
                <w:szCs w:val="22"/>
              </w:rPr>
            </w:pPr>
            <w:r w:rsidRPr="006E402F">
              <w:rPr>
                <w:rFonts w:ascii="Tw Cen MT" w:hAnsi="Tw Cen MT"/>
                <w:sz w:val="22"/>
                <w:szCs w:val="22"/>
              </w:rPr>
              <w:t>Access site-specific data from all grantees and available aggregate reports</w:t>
            </w:r>
          </w:p>
        </w:tc>
      </w:tr>
      <w:tr w:rsidR="00CA0267" w:rsidRPr="006E402F" w14:paraId="38F753FE" w14:textId="77777777" w:rsidTr="00084715">
        <w:trPr>
          <w:trHeight w:val="467"/>
        </w:trPr>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43" w:type="dxa"/>
            </w:tcMar>
            <w:hideMark/>
          </w:tcPr>
          <w:p w14:paraId="09B5EB8C" w14:textId="62F82027" w:rsidR="00CA0267" w:rsidRPr="006E402F" w:rsidRDefault="00CA0267" w:rsidP="004A5C33">
            <w:pPr>
              <w:pStyle w:val="SuicideBodyText"/>
              <w:jc w:val="left"/>
              <w:rPr>
                <w:rFonts w:ascii="Tw Cen MT" w:hAnsi="Tw Cen MT"/>
                <w:sz w:val="22"/>
                <w:szCs w:val="22"/>
              </w:rPr>
            </w:pPr>
            <w:r w:rsidRPr="006E402F">
              <w:rPr>
                <w:rFonts w:ascii="Tw Cen MT" w:hAnsi="Tw Cen MT"/>
                <w:sz w:val="22"/>
                <w:szCs w:val="22"/>
              </w:rPr>
              <w:t>Grantee Site Administrator</w:t>
            </w:r>
          </w:p>
        </w:tc>
        <w:tc>
          <w:tcPr>
            <w:tcW w:w="7830" w:type="dxa"/>
            <w:tcBorders>
              <w:top w:val="single" w:sz="4" w:space="0" w:color="auto"/>
              <w:left w:val="single" w:sz="4" w:space="0" w:color="auto"/>
              <w:bottom w:val="single" w:sz="4" w:space="0" w:color="auto"/>
              <w:right w:val="single" w:sz="4" w:space="0" w:color="auto"/>
            </w:tcBorders>
            <w:tcMar>
              <w:top w:w="43" w:type="dxa"/>
              <w:left w:w="58" w:type="dxa"/>
              <w:bottom w:w="43" w:type="dxa"/>
              <w:right w:w="43" w:type="dxa"/>
            </w:tcMar>
            <w:hideMark/>
          </w:tcPr>
          <w:p w14:paraId="232BDA23" w14:textId="21028CD0" w:rsidR="00CA0267" w:rsidRPr="006E402F" w:rsidRDefault="00CA0267" w:rsidP="00075FA6">
            <w:pPr>
              <w:pStyle w:val="SuicideBodyText"/>
              <w:numPr>
                <w:ilvl w:val="0"/>
                <w:numId w:val="15"/>
              </w:numPr>
              <w:adjustRightInd/>
              <w:jc w:val="left"/>
              <w:rPr>
                <w:rFonts w:ascii="Tw Cen MT" w:hAnsi="Tw Cen MT"/>
                <w:sz w:val="22"/>
                <w:szCs w:val="22"/>
              </w:rPr>
            </w:pPr>
            <w:r w:rsidRPr="006E402F">
              <w:rPr>
                <w:rFonts w:ascii="Tw Cen MT" w:hAnsi="Tw Cen MT"/>
                <w:spacing w:val="-2"/>
                <w:sz w:val="22"/>
                <w:szCs w:val="22"/>
              </w:rPr>
              <w:t>Capability to view number of instrume</w:t>
            </w:r>
            <w:r w:rsidR="004A5C33" w:rsidRPr="006E402F">
              <w:rPr>
                <w:rFonts w:ascii="Tw Cen MT" w:hAnsi="Tw Cen MT"/>
                <w:spacing w:val="-2"/>
                <w:sz w:val="22"/>
                <w:szCs w:val="22"/>
              </w:rPr>
              <w:t>nts completed &amp; submitted and to download site-specific</w:t>
            </w:r>
            <w:r w:rsidRPr="006E402F">
              <w:rPr>
                <w:rFonts w:ascii="Tw Cen MT" w:hAnsi="Tw Cen MT"/>
                <w:spacing w:val="-2"/>
                <w:sz w:val="22"/>
                <w:szCs w:val="22"/>
              </w:rPr>
              <w:t xml:space="preserve"> datasets</w:t>
            </w:r>
            <w:r w:rsidRPr="006E402F">
              <w:rPr>
                <w:rFonts w:ascii="Tw Cen MT" w:hAnsi="Tw Cen MT"/>
                <w:sz w:val="22"/>
                <w:szCs w:val="22"/>
              </w:rPr>
              <w:t xml:space="preserve"> </w:t>
            </w:r>
          </w:p>
          <w:p w14:paraId="2F42C138" w14:textId="12DC266F" w:rsidR="004A5C33" w:rsidRPr="006E402F" w:rsidRDefault="004A5C33" w:rsidP="00075FA6">
            <w:pPr>
              <w:pStyle w:val="SuicideBodyText"/>
              <w:numPr>
                <w:ilvl w:val="0"/>
                <w:numId w:val="15"/>
              </w:numPr>
              <w:adjustRightInd/>
              <w:jc w:val="left"/>
              <w:rPr>
                <w:rFonts w:ascii="Tw Cen MT" w:hAnsi="Tw Cen MT"/>
                <w:sz w:val="22"/>
                <w:szCs w:val="22"/>
              </w:rPr>
            </w:pPr>
            <w:r w:rsidRPr="006E402F">
              <w:rPr>
                <w:rFonts w:ascii="Tw Cen MT" w:hAnsi="Tw Cen MT"/>
                <w:spacing w:val="-2"/>
                <w:sz w:val="22"/>
                <w:szCs w:val="22"/>
              </w:rPr>
              <w:t>Capability to enter data via upload or Web survey</w:t>
            </w:r>
          </w:p>
          <w:p w14:paraId="645C351F" w14:textId="77777777" w:rsidR="00CA0267" w:rsidRPr="006E402F" w:rsidRDefault="00CA0267" w:rsidP="00075FA6">
            <w:pPr>
              <w:pStyle w:val="SuicideBodyText"/>
              <w:numPr>
                <w:ilvl w:val="0"/>
                <w:numId w:val="15"/>
              </w:numPr>
              <w:adjustRightInd/>
              <w:jc w:val="left"/>
              <w:rPr>
                <w:rFonts w:ascii="Tw Cen MT" w:hAnsi="Tw Cen MT"/>
                <w:sz w:val="22"/>
                <w:szCs w:val="22"/>
              </w:rPr>
            </w:pPr>
            <w:r w:rsidRPr="006E402F">
              <w:rPr>
                <w:rFonts w:ascii="Tw Cen MT" w:hAnsi="Tw Cen MT"/>
                <w:spacing w:val="-2"/>
                <w:sz w:val="22"/>
                <w:szCs w:val="22"/>
              </w:rPr>
              <w:t xml:space="preserve">Access grantee-specific data and reports and available aggregate reports </w:t>
            </w:r>
          </w:p>
          <w:p w14:paraId="231A09D1" w14:textId="789D9FA2" w:rsidR="00CA0267" w:rsidRPr="006E402F" w:rsidRDefault="00CA0267" w:rsidP="00075FA6">
            <w:pPr>
              <w:pStyle w:val="SuicideBodyText"/>
              <w:numPr>
                <w:ilvl w:val="0"/>
                <w:numId w:val="11"/>
              </w:numPr>
              <w:jc w:val="left"/>
              <w:rPr>
                <w:rFonts w:ascii="Tw Cen MT" w:hAnsi="Tw Cen MT"/>
                <w:sz w:val="22"/>
                <w:szCs w:val="22"/>
              </w:rPr>
            </w:pPr>
            <w:r w:rsidRPr="006E402F">
              <w:rPr>
                <w:rFonts w:ascii="Tw Cen MT" w:hAnsi="Tw Cen MT"/>
                <w:spacing w:val="-2"/>
                <w:sz w:val="22"/>
                <w:szCs w:val="22"/>
              </w:rPr>
              <w:t>Capability to add, modify, and remove users for site</w:t>
            </w:r>
          </w:p>
        </w:tc>
      </w:tr>
      <w:tr w:rsidR="00CA0267" w:rsidRPr="006E402F" w14:paraId="1D506A73" w14:textId="77777777" w:rsidTr="004B6517">
        <w:trPr>
          <w:trHeight w:val="298"/>
        </w:trPr>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43" w:type="dxa"/>
            </w:tcMar>
          </w:tcPr>
          <w:p w14:paraId="50E8545B" w14:textId="32BBB33F" w:rsidR="00CA0267" w:rsidRPr="006E402F" w:rsidRDefault="00CA0267" w:rsidP="004A5C33">
            <w:pPr>
              <w:pStyle w:val="SuicideBodyText"/>
              <w:jc w:val="left"/>
              <w:rPr>
                <w:rFonts w:ascii="Tw Cen MT" w:hAnsi="Tw Cen MT"/>
                <w:sz w:val="22"/>
                <w:szCs w:val="22"/>
              </w:rPr>
            </w:pPr>
            <w:r w:rsidRPr="006E402F">
              <w:rPr>
                <w:rFonts w:ascii="Tw Cen MT" w:hAnsi="Tw Cen MT"/>
                <w:sz w:val="22"/>
                <w:szCs w:val="22"/>
              </w:rPr>
              <w:t>Grantee Site User</w:t>
            </w:r>
          </w:p>
        </w:tc>
        <w:tc>
          <w:tcPr>
            <w:tcW w:w="7830" w:type="dxa"/>
            <w:tcBorders>
              <w:top w:val="single" w:sz="4" w:space="0" w:color="auto"/>
              <w:left w:val="single" w:sz="4" w:space="0" w:color="auto"/>
              <w:bottom w:val="single" w:sz="4" w:space="0" w:color="auto"/>
              <w:right w:val="single" w:sz="4" w:space="0" w:color="auto"/>
            </w:tcBorders>
            <w:tcMar>
              <w:top w:w="43" w:type="dxa"/>
              <w:left w:w="58" w:type="dxa"/>
              <w:bottom w:w="43" w:type="dxa"/>
              <w:right w:w="43" w:type="dxa"/>
            </w:tcMar>
          </w:tcPr>
          <w:p w14:paraId="348DD7B8" w14:textId="65212F2A" w:rsidR="00CA0267" w:rsidRPr="006E402F" w:rsidRDefault="00CA0267" w:rsidP="00075FA6">
            <w:pPr>
              <w:pStyle w:val="SuicideBodyText"/>
              <w:numPr>
                <w:ilvl w:val="0"/>
                <w:numId w:val="15"/>
              </w:numPr>
              <w:adjustRightInd/>
              <w:jc w:val="left"/>
              <w:rPr>
                <w:rFonts w:ascii="Tw Cen MT" w:hAnsi="Tw Cen MT"/>
                <w:spacing w:val="-2"/>
                <w:sz w:val="22"/>
                <w:szCs w:val="22"/>
              </w:rPr>
            </w:pPr>
            <w:r w:rsidRPr="006E402F">
              <w:rPr>
                <w:rFonts w:ascii="Tw Cen MT" w:hAnsi="Tw Cen MT"/>
                <w:sz w:val="22"/>
                <w:szCs w:val="22"/>
              </w:rPr>
              <w:t xml:space="preserve">No access to </w:t>
            </w:r>
            <w:r w:rsidRPr="006E402F">
              <w:rPr>
                <w:rFonts w:ascii="Tw Cen MT" w:hAnsi="Tw Cen MT"/>
                <w:spacing w:val="-2"/>
                <w:sz w:val="22"/>
                <w:szCs w:val="22"/>
              </w:rPr>
              <w:t xml:space="preserve">view the number of instruments completed </w:t>
            </w:r>
            <w:r w:rsidR="004A5C33" w:rsidRPr="006E402F">
              <w:rPr>
                <w:rFonts w:ascii="Tw Cen MT" w:hAnsi="Tw Cen MT"/>
                <w:spacing w:val="-2"/>
                <w:sz w:val="22"/>
                <w:szCs w:val="22"/>
              </w:rPr>
              <w:t xml:space="preserve">&amp; </w:t>
            </w:r>
            <w:r w:rsidRPr="006E402F">
              <w:rPr>
                <w:rFonts w:ascii="Tw Cen MT" w:hAnsi="Tw Cen MT"/>
                <w:spacing w:val="-2"/>
                <w:sz w:val="22"/>
                <w:szCs w:val="22"/>
              </w:rPr>
              <w:t>submitted</w:t>
            </w:r>
          </w:p>
          <w:p w14:paraId="40998D74" w14:textId="77777777" w:rsidR="00CA0267" w:rsidRPr="006E402F" w:rsidRDefault="00CA0267" w:rsidP="00075FA6">
            <w:pPr>
              <w:pStyle w:val="SuicideBodyText"/>
              <w:numPr>
                <w:ilvl w:val="0"/>
                <w:numId w:val="15"/>
              </w:numPr>
              <w:adjustRightInd/>
              <w:jc w:val="left"/>
              <w:rPr>
                <w:rFonts w:ascii="Tw Cen MT" w:hAnsi="Tw Cen MT"/>
                <w:spacing w:val="-2"/>
                <w:sz w:val="22"/>
                <w:szCs w:val="22"/>
              </w:rPr>
            </w:pPr>
            <w:r w:rsidRPr="006E402F">
              <w:rPr>
                <w:rFonts w:ascii="Tw Cen MT" w:hAnsi="Tw Cen MT"/>
                <w:sz w:val="22"/>
                <w:szCs w:val="22"/>
              </w:rPr>
              <w:t>No access to datasets</w:t>
            </w:r>
          </w:p>
          <w:p w14:paraId="5DD46C49" w14:textId="77777777" w:rsidR="00CA0267" w:rsidRPr="006E402F" w:rsidRDefault="00CA0267" w:rsidP="00075FA6">
            <w:pPr>
              <w:pStyle w:val="SuicideBodyText"/>
              <w:numPr>
                <w:ilvl w:val="0"/>
                <w:numId w:val="15"/>
              </w:numPr>
              <w:adjustRightInd/>
              <w:jc w:val="left"/>
              <w:rPr>
                <w:rFonts w:ascii="Tw Cen MT" w:hAnsi="Tw Cen MT"/>
                <w:spacing w:val="-2"/>
                <w:sz w:val="22"/>
                <w:szCs w:val="22"/>
              </w:rPr>
            </w:pPr>
            <w:r w:rsidRPr="006E402F">
              <w:rPr>
                <w:rFonts w:ascii="Tw Cen MT" w:hAnsi="Tw Cen MT"/>
                <w:spacing w:val="-2"/>
                <w:sz w:val="22"/>
                <w:szCs w:val="22"/>
              </w:rPr>
              <w:t>Access to aggregate reports only</w:t>
            </w:r>
          </w:p>
          <w:p w14:paraId="7BF912BA" w14:textId="394B21DC" w:rsidR="00CA0267" w:rsidRPr="006E402F" w:rsidRDefault="00CA0267" w:rsidP="00075FA6">
            <w:pPr>
              <w:pStyle w:val="SuicideBodyText"/>
              <w:numPr>
                <w:ilvl w:val="0"/>
                <w:numId w:val="11"/>
              </w:numPr>
              <w:jc w:val="left"/>
              <w:rPr>
                <w:rFonts w:ascii="Tw Cen MT" w:hAnsi="Tw Cen MT"/>
                <w:spacing w:val="-2"/>
                <w:sz w:val="22"/>
                <w:szCs w:val="22"/>
              </w:rPr>
            </w:pPr>
            <w:r w:rsidRPr="006E402F">
              <w:rPr>
                <w:rFonts w:ascii="Tw Cen MT" w:hAnsi="Tw Cen MT"/>
                <w:spacing w:val="-2"/>
                <w:sz w:val="22"/>
                <w:szCs w:val="22"/>
              </w:rPr>
              <w:t>Capability to enter data via upload or web-survey</w:t>
            </w:r>
          </w:p>
        </w:tc>
      </w:tr>
      <w:tr w:rsidR="00CA0267" w:rsidRPr="006E402F" w14:paraId="722F4190" w14:textId="77777777" w:rsidTr="006E402F">
        <w:trPr>
          <w:trHeight w:val="559"/>
        </w:trPr>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43" w:type="dxa"/>
            </w:tcMar>
            <w:hideMark/>
          </w:tcPr>
          <w:p w14:paraId="035E128A" w14:textId="570444FB" w:rsidR="00CA0267" w:rsidRPr="006E402F" w:rsidRDefault="00CA0267" w:rsidP="004A5C33">
            <w:pPr>
              <w:pStyle w:val="SuicideBodyText"/>
              <w:jc w:val="left"/>
              <w:rPr>
                <w:rFonts w:ascii="Tw Cen MT" w:hAnsi="Tw Cen MT"/>
                <w:sz w:val="22"/>
                <w:szCs w:val="22"/>
              </w:rPr>
            </w:pPr>
            <w:r w:rsidRPr="006E402F">
              <w:rPr>
                <w:rFonts w:ascii="Tw Cen MT" w:hAnsi="Tw Cen MT"/>
                <w:sz w:val="22"/>
                <w:szCs w:val="22"/>
              </w:rPr>
              <w:t>Grantee Contact User</w:t>
            </w:r>
          </w:p>
        </w:tc>
        <w:tc>
          <w:tcPr>
            <w:tcW w:w="7830" w:type="dxa"/>
            <w:tcBorders>
              <w:top w:val="single" w:sz="4" w:space="0" w:color="auto"/>
              <w:left w:val="single" w:sz="4" w:space="0" w:color="auto"/>
              <w:bottom w:val="single" w:sz="4" w:space="0" w:color="auto"/>
              <w:right w:val="single" w:sz="4" w:space="0" w:color="auto"/>
            </w:tcBorders>
            <w:tcMar>
              <w:top w:w="43" w:type="dxa"/>
              <w:left w:w="58" w:type="dxa"/>
              <w:bottom w:w="43" w:type="dxa"/>
              <w:right w:w="43" w:type="dxa"/>
            </w:tcMar>
            <w:hideMark/>
          </w:tcPr>
          <w:p w14:paraId="3038443B" w14:textId="77777777" w:rsidR="00CA0267" w:rsidRPr="006E402F" w:rsidRDefault="00CA0267" w:rsidP="00075FA6">
            <w:pPr>
              <w:pStyle w:val="SuicideBodyText"/>
              <w:numPr>
                <w:ilvl w:val="0"/>
                <w:numId w:val="16"/>
              </w:numPr>
              <w:adjustRightInd/>
              <w:jc w:val="left"/>
              <w:rPr>
                <w:rFonts w:ascii="Tw Cen MT" w:hAnsi="Tw Cen MT"/>
                <w:sz w:val="22"/>
                <w:szCs w:val="22"/>
              </w:rPr>
            </w:pPr>
            <w:r w:rsidRPr="006E402F">
              <w:rPr>
                <w:rFonts w:ascii="Tw Cen MT" w:hAnsi="Tw Cen MT"/>
                <w:sz w:val="22"/>
                <w:szCs w:val="22"/>
              </w:rPr>
              <w:t>Capability to enter data into the Web-based system only</w:t>
            </w:r>
          </w:p>
          <w:p w14:paraId="4AF9F4C0" w14:textId="799E52D6" w:rsidR="00CA0267" w:rsidRPr="006E402F" w:rsidRDefault="00CA0267" w:rsidP="00075FA6">
            <w:pPr>
              <w:pStyle w:val="SuicideBodyText"/>
              <w:numPr>
                <w:ilvl w:val="0"/>
                <w:numId w:val="12"/>
              </w:numPr>
              <w:jc w:val="left"/>
              <w:rPr>
                <w:rFonts w:ascii="Tw Cen MT" w:hAnsi="Tw Cen MT"/>
                <w:sz w:val="22"/>
                <w:szCs w:val="22"/>
              </w:rPr>
            </w:pPr>
            <w:r w:rsidRPr="006E402F">
              <w:rPr>
                <w:rFonts w:ascii="Tw Cen MT" w:hAnsi="Tw Cen MT"/>
                <w:sz w:val="22"/>
                <w:szCs w:val="22"/>
              </w:rPr>
              <w:t>No other privileges (for data collectors and survey respondents)</w:t>
            </w:r>
          </w:p>
        </w:tc>
      </w:tr>
      <w:tr w:rsidR="00CA0267" w:rsidRPr="006E402F" w14:paraId="7EE5E808" w14:textId="77777777" w:rsidTr="00084715">
        <w:trPr>
          <w:trHeight w:val="572"/>
        </w:trPr>
        <w:tc>
          <w:tcPr>
            <w:tcW w:w="1525" w:type="dxa"/>
            <w:tcBorders>
              <w:top w:val="single" w:sz="4" w:space="0" w:color="auto"/>
              <w:left w:val="single" w:sz="4" w:space="0" w:color="auto"/>
              <w:bottom w:val="single" w:sz="4" w:space="0" w:color="auto"/>
              <w:right w:val="single" w:sz="4" w:space="0" w:color="auto"/>
            </w:tcBorders>
            <w:tcMar>
              <w:top w:w="43" w:type="dxa"/>
              <w:left w:w="58" w:type="dxa"/>
              <w:bottom w:w="43" w:type="dxa"/>
              <w:right w:w="43" w:type="dxa"/>
            </w:tcMar>
          </w:tcPr>
          <w:p w14:paraId="2320A53D" w14:textId="73631378" w:rsidR="00CA0267" w:rsidRPr="006E402F" w:rsidRDefault="00A33755" w:rsidP="009C724F">
            <w:pPr>
              <w:pStyle w:val="SuicideBodyText"/>
              <w:jc w:val="left"/>
              <w:rPr>
                <w:rFonts w:ascii="Tw Cen MT" w:hAnsi="Tw Cen MT"/>
                <w:sz w:val="22"/>
                <w:szCs w:val="22"/>
              </w:rPr>
            </w:pPr>
            <w:r w:rsidRPr="006E402F">
              <w:rPr>
                <w:rFonts w:ascii="Tw Cen MT" w:hAnsi="Tw Cen MT"/>
                <w:sz w:val="22"/>
                <w:szCs w:val="22"/>
              </w:rPr>
              <w:t>SAMHSA</w:t>
            </w:r>
            <w:r w:rsidR="004A5C33" w:rsidRPr="006E402F">
              <w:rPr>
                <w:rFonts w:ascii="Tw Cen MT" w:hAnsi="Tw Cen MT"/>
                <w:sz w:val="22"/>
                <w:szCs w:val="22"/>
              </w:rPr>
              <w:t>, its Consultants</w:t>
            </w:r>
            <w:r w:rsidR="009C724F" w:rsidRPr="006E402F">
              <w:rPr>
                <w:rFonts w:ascii="Tw Cen MT" w:hAnsi="Tw Cen MT"/>
                <w:sz w:val="22"/>
                <w:szCs w:val="22"/>
              </w:rPr>
              <w:t>, &amp;</w:t>
            </w:r>
            <w:r w:rsidR="004A5C33" w:rsidRPr="006E402F">
              <w:rPr>
                <w:rFonts w:ascii="Tw Cen MT" w:hAnsi="Tw Cen MT"/>
                <w:sz w:val="22"/>
                <w:szCs w:val="22"/>
              </w:rPr>
              <w:t xml:space="preserve"> Partners</w:t>
            </w:r>
            <w:r w:rsidRPr="006E402F">
              <w:rPr>
                <w:rFonts w:ascii="Tw Cen MT" w:hAnsi="Tw Cen MT"/>
                <w:sz w:val="22"/>
                <w:szCs w:val="22"/>
              </w:rPr>
              <w:t xml:space="preserve"> </w:t>
            </w:r>
          </w:p>
        </w:tc>
        <w:tc>
          <w:tcPr>
            <w:tcW w:w="7830" w:type="dxa"/>
            <w:tcBorders>
              <w:top w:val="single" w:sz="4" w:space="0" w:color="auto"/>
              <w:left w:val="single" w:sz="4" w:space="0" w:color="auto"/>
              <w:bottom w:val="single" w:sz="4" w:space="0" w:color="auto"/>
              <w:right w:val="single" w:sz="4" w:space="0" w:color="auto"/>
            </w:tcBorders>
            <w:tcMar>
              <w:top w:w="43" w:type="dxa"/>
              <w:left w:w="58" w:type="dxa"/>
              <w:bottom w:w="43" w:type="dxa"/>
              <w:right w:w="43" w:type="dxa"/>
            </w:tcMar>
          </w:tcPr>
          <w:p w14:paraId="45F3BF90" w14:textId="77777777" w:rsidR="00A33755" w:rsidRPr="006E402F" w:rsidRDefault="00A33755" w:rsidP="00075FA6">
            <w:pPr>
              <w:pStyle w:val="SuicideBodyText"/>
              <w:numPr>
                <w:ilvl w:val="0"/>
                <w:numId w:val="12"/>
              </w:numPr>
              <w:jc w:val="left"/>
              <w:rPr>
                <w:rFonts w:ascii="Tw Cen MT" w:hAnsi="Tw Cen MT"/>
                <w:sz w:val="22"/>
                <w:szCs w:val="22"/>
              </w:rPr>
            </w:pPr>
            <w:r w:rsidRPr="006E402F">
              <w:rPr>
                <w:rFonts w:ascii="Tw Cen MT" w:hAnsi="Tw Cen MT"/>
                <w:spacing w:val="-2"/>
                <w:sz w:val="22"/>
                <w:szCs w:val="22"/>
              </w:rPr>
              <w:t>Capability to view number of instruments completed &amp; submitted (all grantees)</w:t>
            </w:r>
          </w:p>
          <w:p w14:paraId="366FED0D" w14:textId="3308DFC3" w:rsidR="00CA0267" w:rsidRPr="006E402F" w:rsidRDefault="00CA0267" w:rsidP="00075FA6">
            <w:pPr>
              <w:pStyle w:val="SuicideBodyText"/>
              <w:numPr>
                <w:ilvl w:val="0"/>
                <w:numId w:val="12"/>
              </w:numPr>
              <w:jc w:val="left"/>
              <w:rPr>
                <w:rFonts w:ascii="Tw Cen MT" w:hAnsi="Tw Cen MT"/>
                <w:sz w:val="22"/>
                <w:szCs w:val="22"/>
              </w:rPr>
            </w:pPr>
            <w:r w:rsidRPr="006E402F">
              <w:rPr>
                <w:rFonts w:ascii="Tw Cen MT" w:hAnsi="Tw Cen MT"/>
                <w:sz w:val="22"/>
                <w:szCs w:val="22"/>
              </w:rPr>
              <w:t>Access site-specific data from all grantees and available aggregate reports</w:t>
            </w:r>
          </w:p>
        </w:tc>
      </w:tr>
    </w:tbl>
    <w:p w14:paraId="62B07810" w14:textId="58B13DB8" w:rsidR="00F0228B" w:rsidRDefault="00F0228B" w:rsidP="001E50ED">
      <w:pPr>
        <w:pStyle w:val="SuicideBodyText"/>
        <w:spacing w:before="240" w:after="200"/>
      </w:pPr>
      <w:r w:rsidRPr="00F1465D">
        <w:t xml:space="preserve">A </w:t>
      </w:r>
      <w:r w:rsidRPr="00943D93">
        <w:t>System of Records Notice (SORN) and</w:t>
      </w:r>
      <w:r w:rsidR="00525D28" w:rsidRPr="00943D93">
        <w:t xml:space="preserve"> an</w:t>
      </w:r>
      <w:r w:rsidRPr="00943D93">
        <w:t xml:space="preserve"> HHS Privacy Impact Assessment (PIA) </w:t>
      </w:r>
      <w:r w:rsidR="002F6B00">
        <w:t xml:space="preserve">(see Attachment </w:t>
      </w:r>
      <w:r w:rsidR="00A860DF">
        <w:t>Q</w:t>
      </w:r>
      <w:r w:rsidR="002F6B00">
        <w:t xml:space="preserve">) </w:t>
      </w:r>
      <w:r w:rsidRPr="00943D93">
        <w:t xml:space="preserve">form have been completed for the </w:t>
      </w:r>
      <w:r w:rsidR="00525D28" w:rsidRPr="00943D93">
        <w:t>p</w:t>
      </w:r>
      <w:r w:rsidRPr="00943D93">
        <w:rPr>
          <w:color w:val="000000"/>
          <w:shd w:val="clear" w:color="auto" w:fill="FFFFFF"/>
        </w:rPr>
        <w:t xml:space="preserve">ersonally </w:t>
      </w:r>
      <w:r w:rsidR="00525D28" w:rsidRPr="00943D93">
        <w:rPr>
          <w:color w:val="000000"/>
          <w:shd w:val="clear" w:color="auto" w:fill="FFFFFF"/>
        </w:rPr>
        <w:t>i</w:t>
      </w:r>
      <w:r w:rsidRPr="00943D93">
        <w:rPr>
          <w:color w:val="000000"/>
          <w:shd w:val="clear" w:color="auto" w:fill="FFFFFF"/>
        </w:rPr>
        <w:t xml:space="preserve">dentifiable </w:t>
      </w:r>
      <w:r w:rsidR="00525D28" w:rsidRPr="00943D93">
        <w:rPr>
          <w:color w:val="000000"/>
          <w:shd w:val="clear" w:color="auto" w:fill="FFFFFF"/>
        </w:rPr>
        <w:t>i</w:t>
      </w:r>
      <w:r w:rsidRPr="00943D93">
        <w:rPr>
          <w:color w:val="000000"/>
          <w:shd w:val="clear" w:color="auto" w:fill="FFFFFF"/>
        </w:rPr>
        <w:t xml:space="preserve">nformation </w:t>
      </w:r>
      <w:r w:rsidR="008D1185" w:rsidRPr="00943D93">
        <w:rPr>
          <w:color w:val="000000"/>
          <w:shd w:val="clear" w:color="auto" w:fill="FFFFFF"/>
        </w:rPr>
        <w:t>that will be contained within the SPDC (</w:t>
      </w:r>
      <w:r w:rsidRPr="00943D93">
        <w:rPr>
          <w:color w:val="000000"/>
          <w:shd w:val="clear" w:color="auto" w:fill="FFFFFF"/>
        </w:rPr>
        <w:t xml:space="preserve">related to SPDC users </w:t>
      </w:r>
      <w:r w:rsidRPr="00F069FA">
        <w:rPr>
          <w:color w:val="000000"/>
          <w:shd w:val="clear" w:color="auto" w:fill="FFFFFF"/>
        </w:rPr>
        <w:t xml:space="preserve">and </w:t>
      </w:r>
      <w:r w:rsidR="00525D28" w:rsidRPr="00F069FA">
        <w:rPr>
          <w:color w:val="000000"/>
          <w:shd w:val="clear" w:color="auto" w:fill="FFFFFF"/>
        </w:rPr>
        <w:t xml:space="preserve">the </w:t>
      </w:r>
      <w:r w:rsidRPr="00F069FA">
        <w:rPr>
          <w:color w:val="000000"/>
          <w:shd w:val="clear" w:color="auto" w:fill="FFFFFF"/>
        </w:rPr>
        <w:t>SMSS</w:t>
      </w:r>
      <w:r w:rsidR="008D1185" w:rsidRPr="00F069FA">
        <w:rPr>
          <w:color w:val="000000"/>
          <w:shd w:val="clear" w:color="auto" w:fill="FFFFFF"/>
        </w:rPr>
        <w:t>)</w:t>
      </w:r>
      <w:r w:rsidRPr="00F069FA">
        <w:rPr>
          <w:color w:val="000000"/>
          <w:shd w:val="clear" w:color="auto" w:fill="FFFFFF"/>
        </w:rPr>
        <w:t>. The SORN was submitted in March 2013, and the PIA was submitted in November</w:t>
      </w:r>
      <w:r w:rsidRPr="009C724F">
        <w:rPr>
          <w:color w:val="000000"/>
          <w:shd w:val="clear" w:color="auto" w:fill="FFFFFF"/>
        </w:rPr>
        <w:t xml:space="preserve"> 2013.</w:t>
      </w:r>
    </w:p>
    <w:p w14:paraId="61DC864C" w14:textId="404E44CF" w:rsidR="00F0228B" w:rsidRPr="0080212A" w:rsidRDefault="00F0228B" w:rsidP="003536EA">
      <w:pPr>
        <w:pStyle w:val="SuicideBodyText"/>
        <w:numPr>
          <w:ilvl w:val="0"/>
          <w:numId w:val="48"/>
        </w:numPr>
        <w:spacing w:after="120"/>
        <w:rPr>
          <w:rFonts w:ascii="Tw Cen MT" w:hAnsi="Tw Cen MT" w:cs="Arial"/>
          <w:b/>
          <w:sz w:val="28"/>
          <w:szCs w:val="28"/>
        </w:rPr>
      </w:pPr>
      <w:r w:rsidRPr="0080212A">
        <w:rPr>
          <w:rFonts w:ascii="Tw Cen MT" w:hAnsi="Tw Cen MT" w:cs="Arial"/>
          <w:b/>
          <w:sz w:val="28"/>
          <w:szCs w:val="28"/>
        </w:rPr>
        <w:t>Computer Assisted Telephone Interviewing (CATI) Technology</w:t>
      </w:r>
    </w:p>
    <w:p w14:paraId="6E4BCB0F" w14:textId="10192CBB" w:rsidR="00F0228B" w:rsidRPr="00F1465D" w:rsidRDefault="005D2F7A" w:rsidP="00E842CC">
      <w:pPr>
        <w:pStyle w:val="SuicideBodyText"/>
        <w:spacing w:after="240"/>
      </w:pPr>
      <w:r>
        <w:t>All</w:t>
      </w:r>
      <w:r w:rsidR="00E973FD" w:rsidRPr="00E973FD">
        <w:t xml:space="preserve"> </w:t>
      </w:r>
      <w:r w:rsidR="00F0228B" w:rsidRPr="00F1465D">
        <w:rPr>
          <w:b/>
        </w:rPr>
        <w:t>TUP-S</w:t>
      </w:r>
      <w:r>
        <w:rPr>
          <w:b/>
        </w:rPr>
        <w:t xml:space="preserve"> versions</w:t>
      </w:r>
      <w:r w:rsidR="00B35751">
        <w:rPr>
          <w:b/>
        </w:rPr>
        <w:t xml:space="preserve"> </w:t>
      </w:r>
      <w:r w:rsidR="005F2F76">
        <w:t>are</w:t>
      </w:r>
      <w:r w:rsidR="00F0228B" w:rsidRPr="00DF3F3F">
        <w:t xml:space="preserve"> telephone </w:t>
      </w:r>
      <w:r w:rsidR="005F2F76">
        <w:t>surveys that will be administered u</w:t>
      </w:r>
      <w:r w:rsidR="00F0228B" w:rsidRPr="00DF3F3F">
        <w:t>sing CATI technology. The evaluation division of ICF, Public Health and Survey Research (</w:t>
      </w:r>
      <w:proofErr w:type="spellStart"/>
      <w:r w:rsidR="00F0228B" w:rsidRPr="00DF3F3F">
        <w:t>PHaSR</w:t>
      </w:r>
      <w:proofErr w:type="spellEnd"/>
      <w:r w:rsidR="00F0228B" w:rsidRPr="00DF3F3F">
        <w:t>), operates fully integrated call</w:t>
      </w:r>
      <w:r w:rsidR="00E973FD" w:rsidRPr="00DF3F3F">
        <w:t xml:space="preserve"> centers in Burlington, Vermont;</w:t>
      </w:r>
      <w:r w:rsidR="00F0228B" w:rsidRPr="00DF3F3F">
        <w:t xml:space="preserve"> Seattle, Washington</w:t>
      </w:r>
      <w:r w:rsidR="00E973FD" w:rsidRPr="00DF3F3F">
        <w:t>;</w:t>
      </w:r>
      <w:r w:rsidR="00F0228B" w:rsidRPr="00DF3F3F">
        <w:t xml:space="preserve"> and Martinsville, Virginia</w:t>
      </w:r>
      <w:r w:rsidR="00525D28" w:rsidRPr="00DF3F3F">
        <w:t xml:space="preserve"> that</w:t>
      </w:r>
      <w:r w:rsidR="00CE1A9B" w:rsidRPr="00DF3F3F">
        <w:t xml:space="preserve"> together offer 340 CATI stations that conduct more than 600,000 interviews annually</w:t>
      </w:r>
      <w:r w:rsidR="00F0228B" w:rsidRPr="00DF3F3F">
        <w:t xml:space="preserve">. </w:t>
      </w:r>
      <w:r w:rsidR="00E973FD" w:rsidRPr="00DF3F3F">
        <w:t>The</w:t>
      </w:r>
      <w:r w:rsidR="00F0228B" w:rsidRPr="00DF3F3F">
        <w:t xml:space="preserve"> centers </w:t>
      </w:r>
      <w:r w:rsidR="00E973FD" w:rsidRPr="00DF3F3F">
        <w:t>are networked with each other</w:t>
      </w:r>
      <w:r w:rsidR="00CE1A9B" w:rsidRPr="00DF3F3F">
        <w:t xml:space="preserve">, </w:t>
      </w:r>
      <w:r w:rsidR="00F0228B" w:rsidRPr="00DF3F3F">
        <w:t xml:space="preserve">use the same CATI software, operate on the same platform, and are connected by a high-speed link that allows projects managed </w:t>
      </w:r>
      <w:r w:rsidR="00CE1A9B" w:rsidRPr="00DF3F3F">
        <w:t xml:space="preserve">in one site to </w:t>
      </w:r>
      <w:r w:rsidR="00F0228B" w:rsidRPr="00DF3F3F">
        <w:t xml:space="preserve">be </w:t>
      </w:r>
      <w:r w:rsidR="00DF3F3F">
        <w:t>managed</w:t>
      </w:r>
      <w:r w:rsidR="00F0228B" w:rsidRPr="00DF3F3F">
        <w:t xml:space="preserve"> </w:t>
      </w:r>
      <w:r w:rsidR="00CE1A9B" w:rsidRPr="00DF3F3F">
        <w:t>from another</w:t>
      </w:r>
      <w:r w:rsidR="00F0228B" w:rsidRPr="00DF3F3F">
        <w:t xml:space="preserve">, or from both sites simultaneously. The </w:t>
      </w:r>
      <w:proofErr w:type="spellStart"/>
      <w:r w:rsidR="00F0228B" w:rsidRPr="00DF3F3F">
        <w:t>CfMC</w:t>
      </w:r>
      <w:proofErr w:type="spellEnd"/>
      <w:r w:rsidR="00F0228B" w:rsidRPr="00DF3F3F">
        <w:t xml:space="preserve"> questionnaire programming language</w:t>
      </w:r>
      <w:r w:rsidR="00CE1A9B" w:rsidRPr="00DF3F3F">
        <w:t xml:space="preserve"> </w:t>
      </w:r>
      <w:r w:rsidR="00F0228B" w:rsidRPr="00DF3F3F">
        <w:t>provides call management and quota controls, inbound calling capabilities, multilingual interviewing capabilities, data back-up and monitoring, and incidence tracking. All CATI stations are equipped</w:t>
      </w:r>
      <w:r w:rsidR="00F0228B" w:rsidRPr="00F1465D">
        <w:t xml:space="preserve"> with predictive dialing capabilities. The use of </w:t>
      </w:r>
      <w:r w:rsidR="00E35145">
        <w:t xml:space="preserve">the </w:t>
      </w:r>
      <w:proofErr w:type="spellStart"/>
      <w:r w:rsidR="00E35145">
        <w:t>PHaSR</w:t>
      </w:r>
      <w:proofErr w:type="spellEnd"/>
      <w:r w:rsidR="00F0228B" w:rsidRPr="00F1465D">
        <w:t xml:space="preserve"> CATI system, predictive dialing system, and supervisory staff ensure that </w:t>
      </w:r>
      <w:r w:rsidR="00CE1A9B">
        <w:t xml:space="preserve">this </w:t>
      </w:r>
      <w:r w:rsidR="00F0228B" w:rsidRPr="00F1465D">
        <w:t>data</w:t>
      </w:r>
      <w:r w:rsidR="00CE1A9B">
        <w:t xml:space="preserve"> collection</w:t>
      </w:r>
      <w:r w:rsidR="00F0228B" w:rsidRPr="00F1465D">
        <w:t xml:space="preserve"> is methodologically consistent with other study efforts.</w:t>
      </w:r>
    </w:p>
    <w:p w14:paraId="53861BDB" w14:textId="7E9A59FB" w:rsidR="00F0228B" w:rsidRPr="0080212A" w:rsidRDefault="00F0228B" w:rsidP="003536EA">
      <w:pPr>
        <w:pStyle w:val="SuicideBodyText"/>
        <w:keepNext/>
        <w:numPr>
          <w:ilvl w:val="0"/>
          <w:numId w:val="48"/>
        </w:numPr>
        <w:spacing w:after="120"/>
        <w:rPr>
          <w:rFonts w:ascii="Tw Cen MT" w:hAnsi="Tw Cen MT" w:cs="Arial"/>
          <w:b/>
          <w:sz w:val="28"/>
          <w:szCs w:val="28"/>
        </w:rPr>
      </w:pPr>
      <w:r w:rsidRPr="0080212A">
        <w:rPr>
          <w:rFonts w:ascii="Tw Cen MT" w:hAnsi="Tw Cen MT" w:cs="Arial"/>
          <w:b/>
          <w:sz w:val="28"/>
          <w:szCs w:val="28"/>
        </w:rPr>
        <w:t>S</w:t>
      </w:r>
      <w:r w:rsidR="009C724F" w:rsidRPr="0080212A">
        <w:rPr>
          <w:rFonts w:ascii="Tw Cen MT" w:hAnsi="Tw Cen MT" w:cs="Arial"/>
          <w:b/>
          <w:sz w:val="28"/>
          <w:szCs w:val="28"/>
        </w:rPr>
        <w:t xml:space="preserve">hort </w:t>
      </w:r>
      <w:r w:rsidRPr="0080212A">
        <w:rPr>
          <w:rFonts w:ascii="Tw Cen MT" w:hAnsi="Tw Cen MT" w:cs="Arial"/>
          <w:b/>
          <w:sz w:val="28"/>
          <w:szCs w:val="28"/>
        </w:rPr>
        <w:t>M</w:t>
      </w:r>
      <w:r w:rsidR="009C724F" w:rsidRPr="0080212A">
        <w:rPr>
          <w:rFonts w:ascii="Tw Cen MT" w:hAnsi="Tw Cen MT" w:cs="Arial"/>
          <w:b/>
          <w:sz w:val="28"/>
          <w:szCs w:val="28"/>
        </w:rPr>
        <w:t xml:space="preserve">essage </w:t>
      </w:r>
      <w:r w:rsidRPr="0080212A">
        <w:rPr>
          <w:rFonts w:ascii="Tw Cen MT" w:hAnsi="Tw Cen MT" w:cs="Arial"/>
          <w:b/>
          <w:sz w:val="28"/>
          <w:szCs w:val="28"/>
        </w:rPr>
        <w:t>S</w:t>
      </w:r>
      <w:r w:rsidR="009C724F" w:rsidRPr="0080212A">
        <w:rPr>
          <w:rFonts w:ascii="Tw Cen MT" w:hAnsi="Tw Cen MT" w:cs="Arial"/>
          <w:b/>
          <w:sz w:val="28"/>
          <w:szCs w:val="28"/>
        </w:rPr>
        <w:t>ervice (SMS)</w:t>
      </w:r>
      <w:r w:rsidRPr="0080212A">
        <w:rPr>
          <w:rFonts w:ascii="Tw Cen MT" w:hAnsi="Tw Cen MT" w:cs="Arial"/>
          <w:b/>
          <w:sz w:val="28"/>
          <w:szCs w:val="28"/>
        </w:rPr>
        <w:t xml:space="preserve"> Technology</w:t>
      </w:r>
    </w:p>
    <w:p w14:paraId="4887C8DD" w14:textId="4740ED08" w:rsidR="00F0228B" w:rsidRDefault="00F0228B" w:rsidP="00F0228B">
      <w:pPr>
        <w:pStyle w:val="SuicideBodyText"/>
        <w:rPr>
          <w:spacing w:val="-2"/>
        </w:rPr>
      </w:pPr>
      <w:r w:rsidRPr="00F1465D">
        <w:rPr>
          <w:spacing w:val="-2"/>
        </w:rPr>
        <w:t xml:space="preserve">The </w:t>
      </w:r>
      <w:r w:rsidR="00CE1A9B">
        <w:rPr>
          <w:b/>
          <w:spacing w:val="-2"/>
        </w:rPr>
        <w:t>SMSS</w:t>
      </w:r>
      <w:r w:rsidRPr="00F1465D">
        <w:rPr>
          <w:b/>
          <w:spacing w:val="-2"/>
        </w:rPr>
        <w:t xml:space="preserve"> </w:t>
      </w:r>
      <w:r w:rsidRPr="00F1465D">
        <w:rPr>
          <w:spacing w:val="-2"/>
        </w:rPr>
        <w:t>will be administered via SMS</w:t>
      </w:r>
      <w:r w:rsidR="009C724F">
        <w:rPr>
          <w:spacing w:val="-2"/>
        </w:rPr>
        <w:t xml:space="preserve">, or </w:t>
      </w:r>
      <w:r w:rsidRPr="00F1465D">
        <w:rPr>
          <w:spacing w:val="-2"/>
        </w:rPr>
        <w:t>text messaging</w:t>
      </w:r>
      <w:r w:rsidR="009C724F">
        <w:rPr>
          <w:spacing w:val="-2"/>
        </w:rPr>
        <w:t>,</w:t>
      </w:r>
      <w:r w:rsidRPr="00F1465D">
        <w:rPr>
          <w:spacing w:val="-2"/>
        </w:rPr>
        <w:t xml:space="preserve"> technology. Text messaging is </w:t>
      </w:r>
      <w:r w:rsidR="00E35145">
        <w:rPr>
          <w:spacing w:val="-2"/>
        </w:rPr>
        <w:t>popular among younger Americans and</w:t>
      </w:r>
      <w:r w:rsidRPr="00F1465D">
        <w:rPr>
          <w:spacing w:val="-2"/>
        </w:rPr>
        <w:t xml:space="preserve"> is </w:t>
      </w:r>
      <w:r w:rsidR="00E35145">
        <w:rPr>
          <w:spacing w:val="-2"/>
        </w:rPr>
        <w:t xml:space="preserve">increasingly </w:t>
      </w:r>
      <w:r w:rsidRPr="00F1465D">
        <w:rPr>
          <w:spacing w:val="-2"/>
        </w:rPr>
        <w:t>being adapted for research purposes</w:t>
      </w:r>
      <w:r w:rsidR="00E35145">
        <w:rPr>
          <w:spacing w:val="-2"/>
        </w:rPr>
        <w:t>, though</w:t>
      </w:r>
      <w:r w:rsidRPr="00F1465D">
        <w:rPr>
          <w:spacing w:val="-2"/>
        </w:rPr>
        <w:t xml:space="preserve"> the fi</w:t>
      </w:r>
      <w:r w:rsidR="00E35145">
        <w:rPr>
          <w:spacing w:val="-2"/>
        </w:rPr>
        <w:t>eld is in its infancy. The medium has some</w:t>
      </w:r>
      <w:r w:rsidRPr="00F1465D">
        <w:rPr>
          <w:spacing w:val="-2"/>
        </w:rPr>
        <w:t xml:space="preserve"> limitations</w:t>
      </w:r>
      <w:r w:rsidR="00E35145">
        <w:rPr>
          <w:spacing w:val="-2"/>
        </w:rPr>
        <w:t>—question</w:t>
      </w:r>
      <w:r w:rsidRPr="00F1465D">
        <w:rPr>
          <w:spacing w:val="-2"/>
        </w:rPr>
        <w:t>naires must be shorter (to limit break-offs or incomplete surveys), and questions must be shortened and</w:t>
      </w:r>
      <w:r w:rsidR="00E35145">
        <w:rPr>
          <w:spacing w:val="-2"/>
        </w:rPr>
        <w:t>/or</w:t>
      </w:r>
      <w:r w:rsidRPr="00F1465D">
        <w:rPr>
          <w:spacing w:val="-2"/>
        </w:rPr>
        <w:t xml:space="preserve"> reworded to fit within the SMS frame work (e.g., character limitations, brief instructions). </w:t>
      </w:r>
    </w:p>
    <w:p w14:paraId="370C7AF8" w14:textId="65441E7B" w:rsidR="00F0228B" w:rsidRPr="009C724F" w:rsidRDefault="00F0228B" w:rsidP="001E50ED">
      <w:pPr>
        <w:pStyle w:val="SuicideBodyText"/>
        <w:keepNext/>
        <w:numPr>
          <w:ilvl w:val="0"/>
          <w:numId w:val="17"/>
        </w:numPr>
        <w:spacing w:before="240" w:after="120"/>
        <w:rPr>
          <w:rFonts w:ascii="Tw Cen MT" w:hAnsi="Tw Cen MT" w:cs="Arial"/>
          <w:b/>
          <w:spacing w:val="-2"/>
          <w:sz w:val="28"/>
          <w:szCs w:val="28"/>
        </w:rPr>
      </w:pPr>
      <w:r w:rsidRPr="009C724F">
        <w:rPr>
          <w:rFonts w:ascii="Tw Cen MT" w:hAnsi="Tw Cen MT" w:cs="Arial"/>
          <w:b/>
          <w:spacing w:val="-2"/>
          <w:sz w:val="28"/>
          <w:szCs w:val="28"/>
        </w:rPr>
        <w:t>Efforts to Identify Duplication</w:t>
      </w:r>
    </w:p>
    <w:p w14:paraId="67B1591C" w14:textId="367553A7" w:rsidR="00F0228B" w:rsidRPr="00FF4887" w:rsidRDefault="00F0228B" w:rsidP="001E50ED">
      <w:pPr>
        <w:pStyle w:val="SuicideBodyText"/>
        <w:spacing w:after="200"/>
      </w:pPr>
      <w:r w:rsidRPr="00F1465D">
        <w:t xml:space="preserve">The </w:t>
      </w:r>
      <w:r w:rsidR="00FF4887">
        <w:t>NOE</w:t>
      </w:r>
      <w:r w:rsidR="00E35145">
        <w:t xml:space="preserve"> team</w:t>
      </w:r>
      <w:r w:rsidRPr="00F1465D">
        <w:t xml:space="preserve">, in developing the data collection activities </w:t>
      </w:r>
      <w:r w:rsidR="00E35145">
        <w:t xml:space="preserve">and updated design </w:t>
      </w:r>
      <w:r w:rsidRPr="00F1465D">
        <w:t>for the evaluation, conducted a literature review to avoid duplication in data collection activities and the use of similar information. Specifically, existing research studies and the efforts of other Federal initiatives de</w:t>
      </w:r>
      <w:r w:rsidRPr="00FF4887">
        <w:t>signed to evaluate suicide or suicide prevention were reviewed.</w:t>
      </w:r>
    </w:p>
    <w:p w14:paraId="4CEC6832" w14:textId="4D22B89D" w:rsidR="00683939" w:rsidRPr="0080212A" w:rsidRDefault="00683939" w:rsidP="001E50ED">
      <w:pPr>
        <w:pStyle w:val="BodyText"/>
        <w:keepNext/>
        <w:widowControl/>
        <w:numPr>
          <w:ilvl w:val="0"/>
          <w:numId w:val="6"/>
        </w:numPr>
        <w:tabs>
          <w:tab w:val="left" w:pos="1563"/>
        </w:tabs>
        <w:spacing w:before="200" w:after="120"/>
        <w:rPr>
          <w:rFonts w:ascii="Tw Cen MT" w:hAnsi="Tw Cen MT" w:cs="Arial"/>
          <w:b/>
          <w:sz w:val="28"/>
          <w:szCs w:val="28"/>
        </w:rPr>
      </w:pPr>
      <w:r w:rsidRPr="0080212A">
        <w:rPr>
          <w:rFonts w:ascii="Tw Cen MT" w:hAnsi="Tw Cen MT" w:cs="Arial"/>
          <w:b/>
          <w:sz w:val="28"/>
          <w:szCs w:val="28"/>
        </w:rPr>
        <w:t>Existing Research</w:t>
      </w:r>
    </w:p>
    <w:p w14:paraId="7769AED4" w14:textId="54050F9F" w:rsidR="00E842CC" w:rsidRDefault="00E842CC" w:rsidP="00CF5DFC">
      <w:pPr>
        <w:pStyle w:val="SuicideBodyText"/>
        <w:spacing w:after="200"/>
      </w:pPr>
      <w:r w:rsidRPr="00F1465D">
        <w:t xml:space="preserve">Many in the field of suicide prevention agree that there is insufficient information on the causes of suicide and even less information on how to most effectively prevent suicide (SPAN USA, Inc., 2001; Institutes of Medicine, 2002; U.S. Public Health Service, 2001). The studies on suicide prevention activities have provided important information, but for the most part have been conducted with </w:t>
      </w:r>
      <w:r w:rsidR="002F77DB">
        <w:t>nonrandomized groups</w:t>
      </w:r>
      <w:r w:rsidRPr="00F1465D">
        <w:t>. Similarly, the lack of longitudinal and prospective studies has been a barrier to understanding and preventing suicide (Institutes of Medicine</w:t>
      </w:r>
      <w:r w:rsidR="002F77DB">
        <w:t xml:space="preserve"> [IOM]</w:t>
      </w:r>
      <w:r w:rsidRPr="00F1465D">
        <w:t xml:space="preserve">, 2002). </w:t>
      </w:r>
      <w:proofErr w:type="gramStart"/>
      <w:r w:rsidRPr="00F1465D">
        <w:t xml:space="preserve">Acknowledging the dearth of information on the effectiveness of suicide prevention programs, the </w:t>
      </w:r>
      <w:r w:rsidR="002F77DB">
        <w:t>IOM</w:t>
      </w:r>
      <w:r w:rsidRPr="00F1465D">
        <w:t xml:space="preserve"> Report, </w:t>
      </w:r>
      <w:r w:rsidRPr="002F77DB">
        <w:rPr>
          <w:i/>
        </w:rPr>
        <w:t>Reducing Suicide: A National Imperative</w:t>
      </w:r>
      <w:r w:rsidR="002F77DB">
        <w:rPr>
          <w:i/>
        </w:rPr>
        <w:t>,</w:t>
      </w:r>
      <w:r w:rsidRPr="00F1465D">
        <w:t xml:space="preserve"> provide</w:t>
      </w:r>
      <w:r w:rsidR="002F77DB">
        <w:t>d</w:t>
      </w:r>
      <w:r w:rsidRPr="00F1465D">
        <w:t xml:space="preserve"> recommendations for increasing research on suicide (2002)</w:t>
      </w:r>
      <w:r w:rsidR="002F77DB">
        <w:t>, including</w:t>
      </w:r>
      <w:r w:rsidRPr="00F1465D">
        <w:t xml:space="preserve"> Federal funding for suicide prevention interventions and longitudinal studies that focus on the medium to long-term impacts of suicide prevention activities</w:t>
      </w:r>
      <w:r w:rsidR="002F77DB">
        <w:t>.</w:t>
      </w:r>
      <w:proofErr w:type="gramEnd"/>
      <w:r w:rsidRPr="00F1465D">
        <w:t xml:space="preserve"> </w:t>
      </w:r>
    </w:p>
    <w:p w14:paraId="2427C97F" w14:textId="7B914A7E" w:rsidR="00836647" w:rsidRDefault="00C80864" w:rsidP="00CF5DFC">
      <w:pPr>
        <w:pStyle w:val="SuicideBodyText"/>
        <w:spacing w:after="200"/>
      </w:pPr>
      <w:r>
        <w:t xml:space="preserve">Since then, research has identified </w:t>
      </w:r>
      <w:r w:rsidR="00836647">
        <w:t>g</w:t>
      </w:r>
      <w:r w:rsidR="00836647" w:rsidRPr="0013759B">
        <w:t>atekeeper training as a critical element in suicide preventi</w:t>
      </w:r>
      <w:r w:rsidR="00836647">
        <w:t>on efforts (Isaac et al., 2009)</w:t>
      </w:r>
      <w:r>
        <w:t xml:space="preserve"> and also has shown that t</w:t>
      </w:r>
      <w:r w:rsidR="00836647">
        <w:t>raining</w:t>
      </w:r>
      <w:r>
        <w:t xml:space="preserve"> </w:t>
      </w:r>
      <w:r w:rsidR="00836647" w:rsidRPr="0013759B">
        <w:t>increase</w:t>
      </w:r>
      <w:r>
        <w:t>s knowledge, s</w:t>
      </w:r>
      <w:r w:rsidR="00836647" w:rsidRPr="0013759B">
        <w:t xml:space="preserve">kills, </w:t>
      </w:r>
      <w:r>
        <w:t>an intention</w:t>
      </w:r>
      <w:r w:rsidR="00836647" w:rsidRPr="0013759B">
        <w:t xml:space="preserve"> to help someone at risk for suicide </w:t>
      </w:r>
      <w:r>
        <w:t xml:space="preserve">among an array of gatekeepers </w:t>
      </w:r>
      <w:r w:rsidR="00836647" w:rsidRPr="0013759B">
        <w:t>(King &amp; Smith, 2000; Reis &amp; Cornell, 2008; Wyman, 2008</w:t>
      </w:r>
      <w:r>
        <w:t xml:space="preserve">; </w:t>
      </w:r>
      <w:r w:rsidR="00836647" w:rsidRPr="0013759B">
        <w:t>Keller et al., 2009</w:t>
      </w:r>
      <w:r>
        <w:t xml:space="preserve">; </w:t>
      </w:r>
      <w:proofErr w:type="spellStart"/>
      <w:r w:rsidR="00836647" w:rsidRPr="0013759B">
        <w:t>Matthieu</w:t>
      </w:r>
      <w:proofErr w:type="spellEnd"/>
      <w:r w:rsidR="00836647" w:rsidRPr="0013759B">
        <w:t xml:space="preserve">, Cross, </w:t>
      </w:r>
      <w:proofErr w:type="spellStart"/>
      <w:r w:rsidR="00836647" w:rsidRPr="0013759B">
        <w:t>Batres</w:t>
      </w:r>
      <w:proofErr w:type="spellEnd"/>
      <w:r w:rsidR="00836647" w:rsidRPr="0013759B">
        <w:t>, Flora, &amp; Knox, 2008</w:t>
      </w:r>
      <w:r>
        <w:t xml:space="preserve">; </w:t>
      </w:r>
      <w:r w:rsidR="00836647" w:rsidRPr="0013759B">
        <w:t>Isaac et al., 2009.</w:t>
      </w:r>
      <w:r w:rsidR="00836647">
        <w:t xml:space="preserve"> </w:t>
      </w:r>
      <w:proofErr w:type="gramStart"/>
      <w:r>
        <w:t xml:space="preserve">Initial findings from the cross-site evaluation of the GLS program </w:t>
      </w:r>
      <w:r w:rsidR="00836647" w:rsidRPr="00016F35">
        <w:t>indicate a positive collective impact of suicide prevention trainings on subsequent identification behavior of</w:t>
      </w:r>
      <w:r w:rsidR="00836647">
        <w:t xml:space="preserve"> trainees (</w:t>
      </w:r>
      <w:proofErr w:type="spellStart"/>
      <w:r w:rsidR="00836647">
        <w:t>Condron</w:t>
      </w:r>
      <w:proofErr w:type="spellEnd"/>
      <w:r w:rsidR="00836647">
        <w:t>, Godoy-</w:t>
      </w:r>
      <w:proofErr w:type="spellStart"/>
      <w:r w:rsidR="00836647">
        <w:t>Garra</w:t>
      </w:r>
      <w:r w:rsidR="00836647" w:rsidRPr="00016F35">
        <w:t>za</w:t>
      </w:r>
      <w:proofErr w:type="spellEnd"/>
      <w:r w:rsidR="00836647" w:rsidRPr="00016F35">
        <w:t xml:space="preserve">, Walrath, McKeon, &amp; </w:t>
      </w:r>
      <w:proofErr w:type="spellStart"/>
      <w:r w:rsidR="00836647" w:rsidRPr="00016F35">
        <w:t>Heilbron</w:t>
      </w:r>
      <w:proofErr w:type="spellEnd"/>
      <w:r w:rsidR="00836647" w:rsidRPr="00016F35">
        <w:t>, 2014) and establishes</w:t>
      </w:r>
      <w:proofErr w:type="gramEnd"/>
      <w:r w:rsidR="00836647" w:rsidRPr="00016F35">
        <w:t xml:space="preserve"> the effect of GLS Suicide Prevention Program trainings on youth suicide attempts</w:t>
      </w:r>
      <w:r w:rsidR="00836647">
        <w:t xml:space="preserve"> and suicide mortality</w:t>
      </w:r>
      <w:r>
        <w:t>. F</w:t>
      </w:r>
      <w:r w:rsidR="00836647">
        <w:t>indings indicate</w:t>
      </w:r>
      <w:r w:rsidR="00836647" w:rsidRPr="00B0516F">
        <w:t xml:space="preserve"> </w:t>
      </w:r>
      <w:r w:rsidR="00836647" w:rsidRPr="00A655EC">
        <w:t>that counties where GLS trainings were implemented had lower suicide rates in the year following training events compared to similar counties that did not have GLS trainings</w:t>
      </w:r>
      <w:r w:rsidR="00836647" w:rsidRPr="0013759B">
        <w:t xml:space="preserve"> </w:t>
      </w:r>
      <w:r w:rsidR="00836647" w:rsidRPr="00016F35">
        <w:t>(Walrath, Godoy-</w:t>
      </w:r>
      <w:proofErr w:type="spellStart"/>
      <w:r w:rsidR="00836647" w:rsidRPr="00016F35">
        <w:t>Garraza</w:t>
      </w:r>
      <w:proofErr w:type="spellEnd"/>
      <w:r w:rsidR="00836647" w:rsidRPr="00016F35">
        <w:t xml:space="preserve">, Reid, </w:t>
      </w:r>
      <w:proofErr w:type="spellStart"/>
      <w:r w:rsidR="00836647" w:rsidRPr="00016F35">
        <w:t>Goldston</w:t>
      </w:r>
      <w:proofErr w:type="spellEnd"/>
      <w:r w:rsidR="00836647" w:rsidRPr="00016F35">
        <w:t>, &amp; McKeon, in press</w:t>
      </w:r>
      <w:r w:rsidR="00836647">
        <w:t xml:space="preserve">; </w:t>
      </w:r>
      <w:r w:rsidR="00836647" w:rsidRPr="0013759B">
        <w:t>SAMHSA, 2013b</w:t>
      </w:r>
      <w:r w:rsidR="00836647" w:rsidRPr="00016F35">
        <w:t>).</w:t>
      </w:r>
      <w:r w:rsidR="00C33E1E">
        <w:t xml:space="preserve"> Findings such as these helped to guide the direction </w:t>
      </w:r>
      <w:r w:rsidR="0067262B">
        <w:t xml:space="preserve">of further research, such as </w:t>
      </w:r>
      <w:r w:rsidR="00C33E1E">
        <w:t xml:space="preserve">determining the training types and practices </w:t>
      </w:r>
      <w:r w:rsidR="0067262B">
        <w:t xml:space="preserve">that </w:t>
      </w:r>
      <w:r w:rsidR="00C33E1E">
        <w:t xml:space="preserve">are most effective when identifying and referring youth. </w:t>
      </w:r>
    </w:p>
    <w:p w14:paraId="6EFFB03A" w14:textId="4CA478F3" w:rsidR="002F77DB" w:rsidRDefault="008368B7" w:rsidP="002F77DB">
      <w:pPr>
        <w:pStyle w:val="GLSBody"/>
      </w:pPr>
      <w:r>
        <w:t>In addition</w:t>
      </w:r>
      <w:r w:rsidR="002F77DB">
        <w:t>, the evaluation of SAMHSA’s National Suicide Prevention Lifeline (</w:t>
      </w:r>
      <w:r w:rsidR="002F77DB" w:rsidRPr="00016F35">
        <w:t>NSPL</w:t>
      </w:r>
      <w:r w:rsidR="002F77DB">
        <w:t>)</w:t>
      </w:r>
      <w:r w:rsidR="002F77DB" w:rsidRPr="00016F35">
        <w:t xml:space="preserve"> has developed evidence to support crisis lines’ effectiveness and the value of suicide prevention efforts.</w:t>
      </w:r>
      <w:r w:rsidR="00622EC5">
        <w:rPr>
          <w:rStyle w:val="FootnoteReference"/>
        </w:rPr>
        <w:footnoteReference w:id="2"/>
      </w:r>
      <w:r w:rsidR="002F77DB" w:rsidRPr="00016F35">
        <w:t xml:space="preserve"> As a result, the NSPL</w:t>
      </w:r>
      <w:r w:rsidR="002F77DB" w:rsidRPr="00016F35" w:rsidDel="00EB6359">
        <w:t xml:space="preserve"> </w:t>
      </w:r>
      <w:r w:rsidR="002F77DB" w:rsidRPr="00016F35">
        <w:t xml:space="preserve">has emerged as a key component for a range of suicide prevention programs and has expanded to offer clinical follow-up services to callers and to those who had received service in emergency departments and hospitals for suicidality. </w:t>
      </w:r>
    </w:p>
    <w:p w14:paraId="015ABDE9" w14:textId="5C83B7DF" w:rsidR="00683939" w:rsidRPr="0080212A" w:rsidRDefault="00683939" w:rsidP="0080212A">
      <w:pPr>
        <w:pStyle w:val="Style2"/>
        <w:keepNext/>
        <w:numPr>
          <w:ilvl w:val="0"/>
          <w:numId w:val="6"/>
        </w:numPr>
        <w:spacing w:before="240" w:after="120"/>
        <w:rPr>
          <w:szCs w:val="28"/>
        </w:rPr>
      </w:pPr>
      <w:r w:rsidRPr="0080212A">
        <w:rPr>
          <w:szCs w:val="28"/>
        </w:rPr>
        <w:t>Other Federal Efforts</w:t>
      </w:r>
    </w:p>
    <w:p w14:paraId="762A30A4" w14:textId="6B4202C2" w:rsidR="00683939" w:rsidRPr="00F1465D" w:rsidRDefault="00683939" w:rsidP="00CF5DFC">
      <w:pPr>
        <w:pStyle w:val="SuicideBodyText"/>
        <w:spacing w:after="200"/>
      </w:pPr>
      <w:r w:rsidRPr="00F1465D">
        <w:t xml:space="preserve">The Centers for Disease Control and Prevention’s (CDC) National Center for Injury Prevention and Control provides funding and TA to states through its Core Violence and Injury Prevention Program (Core VIPP). The program supports </w:t>
      </w:r>
      <w:r w:rsidR="002F77DB">
        <w:t>S</w:t>
      </w:r>
      <w:r w:rsidRPr="00F1465D">
        <w:t xml:space="preserve">tate health departments in strengthening their capacity to collect data and use data for a better understanding of local injury issues, including suicide. The focus of Core VIPP is on supporting funded state partners in their efforts to build a solid violence and injury prevention infrastructure, collect and analyze data, and implement and evaluate injury prevention programs. This CDC program may provide a broader understanding of suicide as a by-product of its efforts to gain a better understanding of local injury </w:t>
      </w:r>
      <w:proofErr w:type="gramStart"/>
      <w:r w:rsidRPr="00F1465D">
        <w:t>issues,</w:t>
      </w:r>
      <w:proofErr w:type="gramEnd"/>
      <w:r w:rsidRPr="00F1465D">
        <w:t xml:space="preserve"> however, the focus of the GLS cross-site evaluation is specifically to evaluate the effectiveness of suicide prevention programs.</w:t>
      </w:r>
    </w:p>
    <w:p w14:paraId="47D405BF" w14:textId="4D5603BB" w:rsidR="00683939" w:rsidRDefault="00683939" w:rsidP="00CF5DFC">
      <w:pPr>
        <w:pStyle w:val="SuicideBodyText"/>
        <w:spacing w:after="200"/>
      </w:pPr>
      <w:r w:rsidRPr="00F1465D">
        <w:t xml:space="preserve">SAMHSA is sponsoring an ongoing evaluation of the </w:t>
      </w:r>
      <w:r w:rsidR="00A10DA1">
        <w:t>NSPL</w:t>
      </w:r>
      <w:r w:rsidRPr="00F1465D">
        <w:t xml:space="preserve">. The purpose of the evaluation is to assess the impact of the national crisis hotline connecting callers to mental health professionals and to assess participation with the Lifelines networks. The specific focus of the ongoing evaluations changes as the components and dimensions of the National Suicide Prevention Lifeline expand. Although the data collection activities planned as part of this effort will provide valuable information on the effectiveness of this important service for at-risk youth, the scope of the evaluation focuses on all callers (adult and youth) to the national hotline and is specific to </w:t>
      </w:r>
      <w:r w:rsidR="00A10DA1">
        <w:t xml:space="preserve">certain </w:t>
      </w:r>
      <w:r w:rsidRPr="00F1465D">
        <w:t>intervention</w:t>
      </w:r>
      <w:r w:rsidR="00A10DA1">
        <w:t>s</w:t>
      </w:r>
      <w:r w:rsidRPr="00F1465D">
        <w:t xml:space="preserve">. </w:t>
      </w:r>
      <w:r w:rsidR="00A10DA1">
        <w:t>T</w:t>
      </w:r>
      <w:r w:rsidR="00A10DA1" w:rsidRPr="00016F35">
        <w:t>he NSPL</w:t>
      </w:r>
      <w:r w:rsidR="00A10DA1" w:rsidRPr="00016F35" w:rsidDel="00EB6359">
        <w:t xml:space="preserve"> </w:t>
      </w:r>
      <w:r w:rsidR="00A10DA1" w:rsidRPr="00016F35">
        <w:t xml:space="preserve">has emerged as a key component for a range of suicide prevention programs and has expanded to offer clinical follow-up services to callers and to those who had received service in emergency departments and hospitals for suicidality. Based on this work and to continue to address gaps in research and the field, the NSPL will focus on evaluating clinical follow-up for those who received emergency department or hospital care, emerging technology approaches (i.e., chat interventions), and imminent risk caller guidelines. </w:t>
      </w:r>
    </w:p>
    <w:p w14:paraId="52C3939A" w14:textId="6ACB72C1" w:rsidR="002F77DB" w:rsidRDefault="002F77DB" w:rsidP="00CF5DFC">
      <w:pPr>
        <w:pStyle w:val="GLSBody"/>
        <w:spacing w:after="200"/>
      </w:pPr>
      <w:r w:rsidRPr="00016F35">
        <w:t>In 2014, SAMHSA awarded cooperative agreements to twenty federally recognized tribes or tribal organizations to implement the Tribal Behavioral Health Program (N</w:t>
      </w:r>
      <w:r w:rsidR="00A10DA1">
        <w:t xml:space="preserve">ative </w:t>
      </w:r>
      <w:r w:rsidRPr="00016F35">
        <w:t>C</w:t>
      </w:r>
      <w:r w:rsidR="00A10DA1">
        <w:t>onnections)</w:t>
      </w:r>
      <w:r w:rsidRPr="00016F35">
        <w:t xml:space="preserve"> to address high rates of suicide and substance abuse with AI/AN </w:t>
      </w:r>
      <w:r w:rsidR="00A92A8C">
        <w:t>youth</w:t>
      </w:r>
      <w:r w:rsidRPr="00016F35">
        <w:t xml:space="preserve"> up to age 24. The NC program provides support to tribes and tribal organizations to</w:t>
      </w:r>
      <w:r w:rsidR="00EC6B20">
        <w:t xml:space="preserve"> build capacity for the </w:t>
      </w:r>
      <w:r w:rsidRPr="00016F35">
        <w:t>implement</w:t>
      </w:r>
      <w:r w:rsidR="00EC6B20">
        <w:t>ation of</w:t>
      </w:r>
      <w:r w:rsidRPr="00016F35">
        <w:t xml:space="preserve"> suicide prevention, substance abuse prevention, </w:t>
      </w:r>
      <w:r w:rsidR="00EC6B20">
        <w:t xml:space="preserve">surveillance, </w:t>
      </w:r>
      <w:r w:rsidRPr="00016F35">
        <w:t xml:space="preserve">and mental health promotion activities among young people. For this new project, </w:t>
      </w:r>
      <w:r w:rsidR="00A10DA1">
        <w:t>SAMHSA</w:t>
      </w:r>
      <w:r w:rsidRPr="00016F35">
        <w:t xml:space="preserve"> is conducting </w:t>
      </w:r>
      <w:proofErr w:type="spellStart"/>
      <w:r w:rsidRPr="00016F35">
        <w:t>evaluability</w:t>
      </w:r>
      <w:proofErr w:type="spellEnd"/>
      <w:r w:rsidRPr="00016F35">
        <w:t xml:space="preserve"> assessments to assess NC grantee readiness to participate in local or cross-program evaluation</w:t>
      </w:r>
      <w:r w:rsidR="00A10DA1">
        <w:t>, as well as to s</w:t>
      </w:r>
      <w:r w:rsidRPr="00016F35">
        <w:t xml:space="preserve">upport NC grantees in their efforts to implement and use existing and new surveillance to understand prevalence and prevention outcomes related to suicide and substance abuse. </w:t>
      </w:r>
    </w:p>
    <w:p w14:paraId="698F665A" w14:textId="7BDD08BE" w:rsidR="00A10DA1" w:rsidRPr="00016F35" w:rsidRDefault="00A566F7" w:rsidP="002F77DB">
      <w:pPr>
        <w:pStyle w:val="GLSBody"/>
      </w:pPr>
      <w:r>
        <w:t>Also in 2014,</w:t>
      </w:r>
      <w:r w:rsidR="00A10DA1" w:rsidRPr="00A566F7">
        <w:t xml:space="preserve"> SAMHSA </w:t>
      </w:r>
      <w:r w:rsidR="00836647">
        <w:t>funded 4 National Strategy Grants to State</w:t>
      </w:r>
      <w:r w:rsidR="00C45CEC">
        <w:t xml:space="preserve"> program grantees</w:t>
      </w:r>
      <w:r w:rsidR="00836647">
        <w:t xml:space="preserve"> to support the implementation of the 2012 National Strategy. The cooperative agreements </w:t>
      </w:r>
      <w:r w:rsidR="00836647">
        <w:rPr>
          <w:color w:val="000000"/>
          <w:shd w:val="clear" w:color="auto" w:fill="FFFFFF"/>
        </w:rPr>
        <w:t>provide funding for suicide prevention among working-age adults from 25 to 64 years</w:t>
      </w:r>
      <w:r w:rsidR="00622EC5">
        <w:rPr>
          <w:color w:val="000000"/>
          <w:shd w:val="clear" w:color="auto" w:fill="FFFFFF"/>
        </w:rPr>
        <w:t xml:space="preserve"> old</w:t>
      </w:r>
      <w:r w:rsidR="00836647">
        <w:rPr>
          <w:color w:val="000000"/>
          <w:shd w:val="clear" w:color="auto" w:fill="FFFFFF"/>
        </w:rPr>
        <w:t xml:space="preserve">. </w:t>
      </w:r>
      <w:r w:rsidR="00836647" w:rsidRPr="00A566F7">
        <w:rPr>
          <w:color w:val="000000"/>
          <w:shd w:val="clear" w:color="auto" w:fill="FFFFFF"/>
        </w:rPr>
        <w:t xml:space="preserve"> </w:t>
      </w:r>
      <w:r w:rsidR="00836647">
        <w:rPr>
          <w:color w:val="000000"/>
          <w:shd w:val="clear" w:color="auto" w:fill="FFFFFF"/>
        </w:rPr>
        <w:t xml:space="preserve"> </w:t>
      </w:r>
      <w:r w:rsidR="00836647">
        <w:t xml:space="preserve"> </w:t>
      </w:r>
    </w:p>
    <w:p w14:paraId="4ACE63FC" w14:textId="6E242010" w:rsidR="00683939" w:rsidRPr="009C724F" w:rsidRDefault="00683939" w:rsidP="001E50ED">
      <w:pPr>
        <w:pStyle w:val="BodyText"/>
        <w:keepNext/>
        <w:widowControl/>
        <w:numPr>
          <w:ilvl w:val="0"/>
          <w:numId w:val="17"/>
        </w:numPr>
        <w:tabs>
          <w:tab w:val="left" w:pos="1563"/>
        </w:tabs>
        <w:spacing w:before="240" w:after="120"/>
        <w:rPr>
          <w:rFonts w:ascii="Tw Cen MT" w:hAnsi="Tw Cen MT" w:cs="Arial"/>
          <w:b/>
          <w:sz w:val="28"/>
          <w:szCs w:val="28"/>
        </w:rPr>
      </w:pPr>
      <w:r w:rsidRPr="009C724F">
        <w:rPr>
          <w:rFonts w:ascii="Tw Cen MT" w:hAnsi="Tw Cen MT" w:cs="Arial"/>
          <w:b/>
          <w:sz w:val="28"/>
          <w:szCs w:val="28"/>
        </w:rPr>
        <w:t>Impact on Small Businesses or Other Small Entities</w:t>
      </w:r>
    </w:p>
    <w:p w14:paraId="3BC9FB9A" w14:textId="380E04FF" w:rsidR="00683939" w:rsidRDefault="00683939" w:rsidP="00683939">
      <w:pPr>
        <w:pStyle w:val="SuicideBodyText"/>
      </w:pPr>
      <w:r w:rsidRPr="00F1465D">
        <w:t xml:space="preserve">Some </w:t>
      </w:r>
      <w:r w:rsidR="008C445B">
        <w:t>data collection activities involve</w:t>
      </w:r>
      <w:r w:rsidRPr="00F1465D">
        <w:t xml:space="preserve"> </w:t>
      </w:r>
      <w:r w:rsidR="008C445B">
        <w:t>individuals from</w:t>
      </w:r>
      <w:r w:rsidRPr="00F1465D">
        <w:t xml:space="preserve"> public agencies, such as mental health, juvenile justic</w:t>
      </w:r>
      <w:r w:rsidR="00E35145">
        <w:t>e, education, and child welfare, as well as</w:t>
      </w:r>
      <w:r w:rsidRPr="00F1465D">
        <w:t xml:space="preserve"> colleges and universit</w:t>
      </w:r>
      <w:r w:rsidR="00E35145">
        <w:t>ies</w:t>
      </w:r>
      <w:r w:rsidRPr="00F1465D">
        <w:t>. While most data will be collected from public agencies or universities, it is possible that organizations involved in the referral networks</w:t>
      </w:r>
      <w:r w:rsidR="00B35751">
        <w:t xml:space="preserve"> </w:t>
      </w:r>
      <w:r w:rsidRPr="00F1465D">
        <w:t xml:space="preserve">would qualify as small entities. </w:t>
      </w:r>
      <w:r w:rsidR="008C445B">
        <w:t>W</w:t>
      </w:r>
      <w:r w:rsidR="008C445B" w:rsidRPr="00F1465D">
        <w:t>hile most likely employed by public agencies</w:t>
      </w:r>
      <w:r w:rsidR="00B35751">
        <w:t>, res</w:t>
      </w:r>
      <w:r w:rsidR="008C445B">
        <w:t xml:space="preserve">pondents </w:t>
      </w:r>
      <w:r w:rsidR="00B35751">
        <w:t>to the TUP</w:t>
      </w:r>
      <w:r w:rsidR="00B35751" w:rsidRPr="00836647">
        <w:t>-S</w:t>
      </w:r>
      <w:r w:rsidR="00215EC3" w:rsidRPr="00836647">
        <w:t>, TUP-S RCT</w:t>
      </w:r>
      <w:r w:rsidR="00B35751" w:rsidRPr="00836647">
        <w:t>, RNS</w:t>
      </w:r>
      <w:r w:rsidR="00B35751">
        <w:t xml:space="preserve">, and BHPS </w:t>
      </w:r>
      <w:r w:rsidRPr="00F1465D">
        <w:t>may also be employed by small businesses or other small entities</w:t>
      </w:r>
      <w:r w:rsidR="008C445B">
        <w:t>, but</w:t>
      </w:r>
      <w:r w:rsidRPr="00F1465D">
        <w:t xml:space="preserve"> these data collection</w:t>
      </w:r>
      <w:r w:rsidR="008C445B">
        <w:t>s</w:t>
      </w:r>
      <w:r w:rsidRPr="00F1465D">
        <w:t xml:space="preserve"> will not have a significant impact on the agencies or organizations.  </w:t>
      </w:r>
    </w:p>
    <w:p w14:paraId="4E170688" w14:textId="2FF8B16B" w:rsidR="00FF4887" w:rsidRPr="009C724F" w:rsidRDefault="00FF4887" w:rsidP="00443E33">
      <w:pPr>
        <w:pStyle w:val="SuicideBodyText"/>
        <w:keepNext/>
        <w:numPr>
          <w:ilvl w:val="0"/>
          <w:numId w:val="17"/>
        </w:numPr>
        <w:spacing w:before="200" w:after="120"/>
        <w:rPr>
          <w:rFonts w:ascii="Tw Cen MT" w:hAnsi="Tw Cen MT" w:cs="Arial"/>
          <w:b/>
          <w:sz w:val="28"/>
          <w:szCs w:val="28"/>
        </w:rPr>
      </w:pPr>
      <w:r w:rsidRPr="009C724F">
        <w:rPr>
          <w:rFonts w:ascii="Tw Cen MT" w:hAnsi="Tw Cen MT" w:cs="Arial"/>
          <w:b/>
          <w:sz w:val="28"/>
          <w:szCs w:val="28"/>
        </w:rPr>
        <w:t>Consequences if Infor</w:t>
      </w:r>
      <w:r w:rsidR="00190C81" w:rsidRPr="009C724F">
        <w:rPr>
          <w:rFonts w:ascii="Tw Cen MT" w:hAnsi="Tw Cen MT" w:cs="Arial"/>
          <w:b/>
          <w:sz w:val="28"/>
          <w:szCs w:val="28"/>
        </w:rPr>
        <w:t>mation Collected Less Frequently</w:t>
      </w:r>
    </w:p>
    <w:p w14:paraId="13FB6FB2" w14:textId="16958022" w:rsidR="00190C81" w:rsidRDefault="00190C81" w:rsidP="00CF5DFC">
      <w:pPr>
        <w:pStyle w:val="SuicideBodyText"/>
        <w:spacing w:after="200"/>
      </w:pPr>
      <w:r>
        <w:t>The rigor of the NOE design</w:t>
      </w:r>
      <w:r w:rsidR="0037786E">
        <w:t xml:space="preserve"> and</w:t>
      </w:r>
      <w:r>
        <w:t xml:space="preserve"> its ability to answer the primary evaluation questions are dependent on t</w:t>
      </w:r>
      <w:r w:rsidR="0037786E">
        <w:t>he frequency of the data collected.</w:t>
      </w:r>
      <w:r>
        <w:t xml:space="preserve"> </w:t>
      </w:r>
      <w:r w:rsidR="0037786E">
        <w:t>Additionally, because the NOE is aligned with the foci of the GLS State/Tribal and Campus Programs, the frequency with which data collection activities are administered is critical to SAMHSA’s overall assessment of the GLS Suicide Prevention Program.</w:t>
      </w:r>
      <w:r w:rsidR="00AE594E">
        <w:t xml:space="preserve"> Exhibit </w:t>
      </w:r>
      <w:r w:rsidR="00DD1247">
        <w:t>7</w:t>
      </w:r>
      <w:r w:rsidR="00AE594E">
        <w:t xml:space="preserve"> describes the consequences if data are collected less frequently.</w:t>
      </w:r>
    </w:p>
    <w:p w14:paraId="68BF7509" w14:textId="3B776C16" w:rsidR="009C724F" w:rsidRPr="009C724F" w:rsidRDefault="009C724F" w:rsidP="00CF5DFC">
      <w:pPr>
        <w:pStyle w:val="SuicideBodyText"/>
        <w:keepNext/>
        <w:spacing w:after="120"/>
        <w:rPr>
          <w:rFonts w:ascii="Tw Cen MT" w:hAnsi="Tw Cen MT" w:cs="Arial"/>
          <w:b/>
        </w:rPr>
      </w:pPr>
      <w:proofErr w:type="gramStart"/>
      <w:r>
        <w:rPr>
          <w:rFonts w:ascii="Tw Cen MT" w:hAnsi="Tw Cen MT"/>
          <w:b/>
        </w:rPr>
        <w:t xml:space="preserve">Exhibit </w:t>
      </w:r>
      <w:r w:rsidR="00DD1247">
        <w:rPr>
          <w:rFonts w:ascii="Tw Cen MT" w:hAnsi="Tw Cen MT"/>
          <w:b/>
        </w:rPr>
        <w:t>7</w:t>
      </w:r>
      <w:r>
        <w:rPr>
          <w:rFonts w:ascii="Tw Cen MT" w:hAnsi="Tw Cen MT"/>
          <w:b/>
        </w:rPr>
        <w:t>.</w:t>
      </w:r>
      <w:proofErr w:type="gramEnd"/>
      <w:r>
        <w:rPr>
          <w:rFonts w:ascii="Tw Cen MT" w:hAnsi="Tw Cen MT"/>
          <w:b/>
        </w:rPr>
        <w:t xml:space="preserve"> Data Collection Activities and Consequences </w:t>
      </w:r>
      <w:r w:rsidR="00CF5DFC">
        <w:rPr>
          <w:rFonts w:ascii="Tw Cen MT" w:hAnsi="Tw Cen MT"/>
          <w:b/>
        </w:rPr>
        <w:t>I</w:t>
      </w:r>
      <w:r>
        <w:rPr>
          <w:rFonts w:ascii="Tw Cen MT" w:hAnsi="Tw Cen MT"/>
          <w:b/>
        </w:rPr>
        <w:t xml:space="preserve">f </w:t>
      </w:r>
      <w:r w:rsidR="00BE674A">
        <w:rPr>
          <w:rFonts w:ascii="Tw Cen MT" w:hAnsi="Tw Cen MT"/>
          <w:b/>
        </w:rPr>
        <w:t xml:space="preserve">Information </w:t>
      </w:r>
      <w:r>
        <w:rPr>
          <w:rFonts w:ascii="Tw Cen MT" w:hAnsi="Tw Cen MT"/>
          <w:b/>
        </w:rPr>
        <w:t>Collected Less Frequently</w:t>
      </w:r>
    </w:p>
    <w:tbl>
      <w:tblPr>
        <w:tblStyle w:val="TableGrid"/>
        <w:tblW w:w="9535" w:type="dxa"/>
        <w:tblLayout w:type="fixed"/>
        <w:tblCellMar>
          <w:top w:w="43" w:type="dxa"/>
          <w:left w:w="115" w:type="dxa"/>
          <w:bottom w:w="43" w:type="dxa"/>
          <w:right w:w="115" w:type="dxa"/>
        </w:tblCellMar>
        <w:tblLook w:val="04A0" w:firstRow="1" w:lastRow="0" w:firstColumn="1" w:lastColumn="0" w:noHBand="0" w:noVBand="1"/>
      </w:tblPr>
      <w:tblGrid>
        <w:gridCol w:w="1165"/>
        <w:gridCol w:w="8370"/>
      </w:tblGrid>
      <w:tr w:rsidR="00E842CC" w:rsidRPr="006E402F" w14:paraId="7C2F9BDB" w14:textId="77777777" w:rsidTr="00370F0A">
        <w:trPr>
          <w:cantSplit/>
          <w:tblHeader/>
        </w:trPr>
        <w:tc>
          <w:tcPr>
            <w:tcW w:w="1165" w:type="dxa"/>
            <w:tcBorders>
              <w:bottom w:val="single" w:sz="4" w:space="0" w:color="auto"/>
            </w:tcBorders>
            <w:shd w:val="clear" w:color="auto" w:fill="404040" w:themeFill="text1" w:themeFillTint="BF"/>
          </w:tcPr>
          <w:p w14:paraId="16AA9843" w14:textId="0D0B1D1F" w:rsidR="00E842CC" w:rsidRPr="006E402F" w:rsidRDefault="001539BC" w:rsidP="00003B96">
            <w:pPr>
              <w:jc w:val="center"/>
              <w:rPr>
                <w:rFonts w:ascii="Tw Cen MT" w:hAnsi="Tw Cen MT"/>
                <w:color w:val="FFFFFF" w:themeColor="background1"/>
                <w:sz w:val="22"/>
                <w:szCs w:val="22"/>
              </w:rPr>
            </w:pPr>
            <w:r w:rsidRPr="006E402F">
              <w:rPr>
                <w:rFonts w:ascii="Tw Cen MT" w:hAnsi="Tw Cen MT"/>
                <w:color w:val="FFFFFF" w:themeColor="background1"/>
                <w:sz w:val="22"/>
                <w:szCs w:val="22"/>
              </w:rPr>
              <w:t>Activity</w:t>
            </w:r>
          </w:p>
        </w:tc>
        <w:tc>
          <w:tcPr>
            <w:tcW w:w="8370" w:type="dxa"/>
            <w:tcBorders>
              <w:bottom w:val="single" w:sz="4" w:space="0" w:color="auto"/>
            </w:tcBorders>
            <w:shd w:val="clear" w:color="auto" w:fill="404040" w:themeFill="text1" w:themeFillTint="BF"/>
          </w:tcPr>
          <w:p w14:paraId="29A00D6B" w14:textId="77777777" w:rsidR="00E842CC" w:rsidRPr="006E402F" w:rsidRDefault="00E842CC" w:rsidP="00CF6DB0">
            <w:pPr>
              <w:jc w:val="center"/>
              <w:rPr>
                <w:rFonts w:ascii="Tw Cen MT" w:hAnsi="Tw Cen MT"/>
                <w:color w:val="FFFFFF" w:themeColor="background1"/>
                <w:sz w:val="22"/>
                <w:szCs w:val="22"/>
              </w:rPr>
            </w:pPr>
            <w:r w:rsidRPr="006E402F">
              <w:rPr>
                <w:rFonts w:ascii="Tw Cen MT" w:hAnsi="Tw Cen MT"/>
                <w:color w:val="FFFFFF" w:themeColor="background1"/>
                <w:sz w:val="22"/>
                <w:szCs w:val="22"/>
              </w:rPr>
              <w:t>Rationale</w:t>
            </w:r>
          </w:p>
        </w:tc>
      </w:tr>
      <w:tr w:rsidR="00E842CC" w:rsidRPr="006E402F" w14:paraId="3C6ECD19" w14:textId="77777777" w:rsidTr="00370F0A">
        <w:tc>
          <w:tcPr>
            <w:tcW w:w="1165" w:type="dxa"/>
          </w:tcPr>
          <w:p w14:paraId="52909FD0" w14:textId="43777141" w:rsidR="00E842CC" w:rsidRPr="006E402F" w:rsidRDefault="00E842CC" w:rsidP="00E842CC">
            <w:pPr>
              <w:jc w:val="left"/>
              <w:rPr>
                <w:rFonts w:ascii="Tw Cen MT" w:hAnsi="Tw Cen MT"/>
                <w:sz w:val="22"/>
                <w:szCs w:val="22"/>
              </w:rPr>
            </w:pPr>
            <w:r w:rsidRPr="006E402F">
              <w:rPr>
                <w:rFonts w:ascii="Tw Cen MT" w:hAnsi="Tw Cen MT"/>
                <w:sz w:val="22"/>
                <w:szCs w:val="22"/>
              </w:rPr>
              <w:t xml:space="preserve">PSI </w:t>
            </w:r>
          </w:p>
        </w:tc>
        <w:tc>
          <w:tcPr>
            <w:tcW w:w="8370" w:type="dxa"/>
          </w:tcPr>
          <w:p w14:paraId="114FC615" w14:textId="34B77D88" w:rsidR="00E842CC" w:rsidRPr="006E402F" w:rsidRDefault="00003B96" w:rsidP="00952DFE">
            <w:pPr>
              <w:pStyle w:val="SuicideBodyText"/>
              <w:rPr>
                <w:rFonts w:ascii="Tw Cen MT" w:hAnsi="Tw Cen MT"/>
                <w:color w:val="000000"/>
                <w:sz w:val="22"/>
                <w:szCs w:val="22"/>
              </w:rPr>
            </w:pPr>
            <w:r w:rsidRPr="006E402F">
              <w:rPr>
                <w:rFonts w:ascii="Tw Cen MT" w:hAnsi="Tw Cen MT"/>
                <w:sz w:val="22"/>
                <w:szCs w:val="22"/>
              </w:rPr>
              <w:t xml:space="preserve">Grantees will be required to complete the PSI beginning in year 1 of the grant. Thereafter, they will complete the </w:t>
            </w:r>
            <w:r w:rsidRPr="006E402F">
              <w:rPr>
                <w:rFonts w:ascii="Tw Cen MT" w:hAnsi="Tw Cen MT"/>
                <w:bCs/>
                <w:sz w:val="22"/>
                <w:szCs w:val="22"/>
              </w:rPr>
              <w:t>PSI</w:t>
            </w:r>
            <w:r w:rsidRPr="006E402F">
              <w:rPr>
                <w:rFonts w:ascii="Tw Cen MT" w:hAnsi="Tw Cen MT"/>
                <w:sz w:val="22"/>
                <w:szCs w:val="22"/>
              </w:rPr>
              <w:t xml:space="preserve"> on a quarterly basis over the duration of their grant period. Collecting this information quarterly is necessary to track progress toward meeting suicide prevention goals and to provide information on the development stage of products and services within State/Tribal and Campus programs. The consequence of collecting the PSI less frequently is losing information related to all studies of the NOE—Training, COC, and SSE—as well as losing the ability to track progress over time. </w:t>
            </w:r>
            <w:r w:rsidR="00952DFE" w:rsidRPr="006E402F">
              <w:rPr>
                <w:rFonts w:ascii="Tw Cen MT" w:hAnsi="Tw Cen MT"/>
                <w:sz w:val="22"/>
                <w:szCs w:val="22"/>
              </w:rPr>
              <w:t xml:space="preserve"> </w:t>
            </w:r>
          </w:p>
        </w:tc>
      </w:tr>
      <w:tr w:rsidR="00E842CC" w:rsidRPr="006E402F" w14:paraId="76FE4759" w14:textId="77777777" w:rsidTr="00370F0A">
        <w:tc>
          <w:tcPr>
            <w:tcW w:w="1165" w:type="dxa"/>
          </w:tcPr>
          <w:p w14:paraId="01BF1E23" w14:textId="58409684" w:rsidR="00E842CC" w:rsidRPr="006E402F" w:rsidRDefault="00E842CC" w:rsidP="00E842CC">
            <w:pPr>
              <w:jc w:val="left"/>
              <w:rPr>
                <w:rFonts w:ascii="Tw Cen MT" w:hAnsi="Tw Cen MT"/>
                <w:sz w:val="22"/>
                <w:szCs w:val="22"/>
              </w:rPr>
            </w:pPr>
            <w:r w:rsidRPr="006E402F">
              <w:rPr>
                <w:rFonts w:ascii="Tw Cen MT" w:hAnsi="Tw Cen MT"/>
                <w:sz w:val="22"/>
                <w:szCs w:val="22"/>
              </w:rPr>
              <w:t xml:space="preserve">TASP </w:t>
            </w:r>
          </w:p>
        </w:tc>
        <w:tc>
          <w:tcPr>
            <w:tcW w:w="8370" w:type="dxa"/>
          </w:tcPr>
          <w:p w14:paraId="1BF3E754" w14:textId="6891BF60" w:rsidR="00E842CC" w:rsidRPr="006E402F" w:rsidRDefault="008D1F04" w:rsidP="00952DFE">
            <w:pPr>
              <w:rPr>
                <w:rFonts w:ascii="Tw Cen MT" w:eastAsia="Calibri" w:hAnsi="Tw Cen MT"/>
                <w:sz w:val="22"/>
                <w:szCs w:val="22"/>
              </w:rPr>
            </w:pPr>
            <w:r w:rsidRPr="006E402F">
              <w:rPr>
                <w:rFonts w:ascii="Tw Cen MT" w:hAnsi="Tw Cen MT"/>
                <w:sz w:val="22"/>
                <w:szCs w:val="22"/>
              </w:rPr>
              <w:t>Because</w:t>
            </w:r>
            <w:r w:rsidR="00003B96" w:rsidRPr="006E402F">
              <w:rPr>
                <w:rFonts w:ascii="Tw Cen MT" w:hAnsi="Tw Cen MT"/>
                <w:sz w:val="22"/>
                <w:szCs w:val="22"/>
              </w:rPr>
              <w:t xml:space="preserve"> gatekeeper training is a widely implemented suicide prevention strategy among State/Tribal and Campus grantees, aggregate basic information about trainings</w:t>
            </w:r>
            <w:r w:rsidRPr="006E402F">
              <w:rPr>
                <w:rFonts w:ascii="Tw Cen MT" w:hAnsi="Tw Cen MT"/>
                <w:sz w:val="22"/>
                <w:szCs w:val="22"/>
              </w:rPr>
              <w:t xml:space="preserve"> and trainee types and roles</w:t>
            </w:r>
            <w:r w:rsidR="00003B96" w:rsidRPr="006E402F">
              <w:rPr>
                <w:rFonts w:ascii="Tw Cen MT" w:hAnsi="Tw Cen MT"/>
                <w:sz w:val="22"/>
                <w:szCs w:val="22"/>
              </w:rPr>
              <w:t xml:space="preserve"> is necessary </w:t>
            </w:r>
            <w:r w:rsidRPr="006E402F">
              <w:rPr>
                <w:rFonts w:ascii="Tw Cen MT" w:hAnsi="Tw Cen MT"/>
                <w:sz w:val="22"/>
                <w:szCs w:val="22"/>
              </w:rPr>
              <w:t xml:space="preserve">for SAMHSA </w:t>
            </w:r>
            <w:r w:rsidR="00003B96" w:rsidRPr="006E402F">
              <w:rPr>
                <w:rFonts w:ascii="Tw Cen MT" w:hAnsi="Tw Cen MT"/>
                <w:sz w:val="22"/>
                <w:szCs w:val="22"/>
              </w:rPr>
              <w:t xml:space="preserve">to understand how grant funds are being utilized in support of training. </w:t>
            </w:r>
          </w:p>
        </w:tc>
      </w:tr>
      <w:tr w:rsidR="00E842CC" w:rsidRPr="006E402F" w14:paraId="3E64326A" w14:textId="77777777" w:rsidTr="00370F0A">
        <w:tc>
          <w:tcPr>
            <w:tcW w:w="1165" w:type="dxa"/>
          </w:tcPr>
          <w:p w14:paraId="14041D44" w14:textId="40DB1FDE" w:rsidR="00E842CC" w:rsidRPr="006E402F" w:rsidRDefault="00E842CC" w:rsidP="00E842CC">
            <w:pPr>
              <w:jc w:val="left"/>
              <w:rPr>
                <w:rFonts w:ascii="Tw Cen MT" w:hAnsi="Tw Cen MT"/>
                <w:sz w:val="22"/>
                <w:szCs w:val="22"/>
              </w:rPr>
            </w:pPr>
            <w:r w:rsidRPr="006E402F">
              <w:rPr>
                <w:rFonts w:ascii="Tw Cen MT" w:hAnsi="Tw Cen MT"/>
                <w:sz w:val="22"/>
                <w:szCs w:val="22"/>
              </w:rPr>
              <w:t xml:space="preserve">TUP-S </w:t>
            </w:r>
          </w:p>
        </w:tc>
        <w:tc>
          <w:tcPr>
            <w:tcW w:w="8370" w:type="dxa"/>
          </w:tcPr>
          <w:p w14:paraId="7CE37DF6" w14:textId="4FCD3779" w:rsidR="00E842CC" w:rsidRPr="006E402F" w:rsidRDefault="008D1F04" w:rsidP="008D1F04">
            <w:pPr>
              <w:rPr>
                <w:rFonts w:ascii="Tw Cen MT" w:eastAsia="Calibri" w:hAnsi="Tw Cen MT"/>
                <w:sz w:val="22"/>
                <w:szCs w:val="22"/>
              </w:rPr>
            </w:pPr>
            <w:r w:rsidRPr="006E402F">
              <w:rPr>
                <w:rFonts w:ascii="Tw Cen MT" w:eastAsia="Calibri" w:hAnsi="Tw Cen MT"/>
                <w:sz w:val="22"/>
                <w:szCs w:val="22"/>
              </w:rPr>
              <w:t xml:space="preserve">Information from the TUP-S informs the Training Study and tracks the effectiveness of trainings on participant knowledge and use of skills. </w:t>
            </w:r>
            <w:r w:rsidRPr="006E402F">
              <w:rPr>
                <w:rFonts w:ascii="Tw Cen MT" w:hAnsi="Tw Cen MT"/>
                <w:sz w:val="22"/>
                <w:szCs w:val="22"/>
              </w:rPr>
              <w:t xml:space="preserve">The consequence of not collecting these data at the conclusion of the training experience include a loss of knowledge about the types of trainings and practices implemented,  as well as the impact of training on the identification and referral of at-risk youth. </w:t>
            </w:r>
          </w:p>
        </w:tc>
      </w:tr>
      <w:tr w:rsidR="00E842CC" w:rsidRPr="006E402F" w14:paraId="436CFC1D" w14:textId="77777777" w:rsidTr="00370F0A">
        <w:trPr>
          <w:trHeight w:val="307"/>
        </w:trPr>
        <w:tc>
          <w:tcPr>
            <w:tcW w:w="1165" w:type="dxa"/>
          </w:tcPr>
          <w:p w14:paraId="24EEE3A7" w14:textId="77777777" w:rsidR="00E842CC" w:rsidRPr="006E402F" w:rsidRDefault="00E842CC" w:rsidP="00003B96">
            <w:pPr>
              <w:jc w:val="left"/>
              <w:rPr>
                <w:rFonts w:ascii="Tw Cen MT" w:hAnsi="Tw Cen MT"/>
                <w:sz w:val="22"/>
                <w:szCs w:val="22"/>
              </w:rPr>
            </w:pPr>
            <w:r w:rsidRPr="006E402F">
              <w:rPr>
                <w:rFonts w:ascii="Tw Cen MT" w:hAnsi="Tw Cen MT"/>
                <w:sz w:val="22"/>
                <w:szCs w:val="22"/>
              </w:rPr>
              <w:t>TUP-S RCT</w:t>
            </w:r>
          </w:p>
          <w:p w14:paraId="7BA03AA8" w14:textId="3162604A" w:rsidR="00E842CC" w:rsidRPr="006E402F" w:rsidRDefault="00E842CC" w:rsidP="00003B96">
            <w:pPr>
              <w:jc w:val="left"/>
              <w:rPr>
                <w:rFonts w:ascii="Tw Cen MT" w:hAnsi="Tw Cen MT"/>
                <w:sz w:val="22"/>
                <w:szCs w:val="22"/>
              </w:rPr>
            </w:pPr>
          </w:p>
        </w:tc>
        <w:tc>
          <w:tcPr>
            <w:tcW w:w="8370" w:type="dxa"/>
          </w:tcPr>
          <w:p w14:paraId="4CF739B0" w14:textId="5955AE4E" w:rsidR="00E842CC" w:rsidRPr="006E402F" w:rsidRDefault="008D1F04" w:rsidP="00BB7B8D">
            <w:pPr>
              <w:rPr>
                <w:rFonts w:ascii="Tw Cen MT" w:eastAsia="Calibri" w:hAnsi="Tw Cen MT"/>
                <w:sz w:val="22"/>
                <w:szCs w:val="22"/>
              </w:rPr>
            </w:pPr>
            <w:r w:rsidRPr="006E402F">
              <w:rPr>
                <w:rFonts w:ascii="Tw Cen MT" w:eastAsia="Calibri" w:hAnsi="Tw Cen MT"/>
                <w:sz w:val="22"/>
                <w:szCs w:val="22"/>
              </w:rPr>
              <w:t xml:space="preserve">The </w:t>
            </w:r>
            <w:r w:rsidR="009D3C35" w:rsidRPr="006E402F">
              <w:rPr>
                <w:rFonts w:ascii="Tw Cen MT" w:eastAsia="Calibri" w:hAnsi="Tw Cen MT"/>
                <w:sz w:val="22"/>
                <w:szCs w:val="22"/>
              </w:rPr>
              <w:t xml:space="preserve">longitudinal implementation of the </w:t>
            </w:r>
            <w:r w:rsidRPr="006E402F">
              <w:rPr>
                <w:rFonts w:ascii="Tw Cen MT" w:eastAsia="Calibri" w:hAnsi="Tw Cen MT"/>
                <w:sz w:val="22"/>
                <w:szCs w:val="22"/>
              </w:rPr>
              <w:t xml:space="preserve">TUP-S RCT is </w:t>
            </w:r>
            <w:r w:rsidR="009D3C35" w:rsidRPr="006E402F">
              <w:rPr>
                <w:rFonts w:ascii="Tw Cen MT" w:eastAsia="Calibri" w:hAnsi="Tw Cen MT"/>
                <w:sz w:val="22"/>
                <w:szCs w:val="22"/>
              </w:rPr>
              <w:t xml:space="preserve">the basis for the </w:t>
            </w:r>
            <w:r w:rsidRPr="006E402F">
              <w:rPr>
                <w:rFonts w:ascii="Tw Cen MT" w:eastAsia="Calibri" w:hAnsi="Tw Cen MT"/>
                <w:sz w:val="22"/>
                <w:szCs w:val="22"/>
              </w:rPr>
              <w:t xml:space="preserve">Training Study RCT. </w:t>
            </w:r>
            <w:r w:rsidR="009D3C35" w:rsidRPr="006E402F">
              <w:rPr>
                <w:rFonts w:ascii="Tw Cen MT" w:eastAsia="Calibri" w:hAnsi="Tw Cen MT"/>
                <w:sz w:val="22"/>
                <w:szCs w:val="22"/>
              </w:rPr>
              <w:t xml:space="preserve">Collecting this information less frequently will impair the rigor of the </w:t>
            </w:r>
            <w:r w:rsidR="00BB7B8D" w:rsidRPr="006E402F">
              <w:rPr>
                <w:rFonts w:ascii="Tw Cen MT" w:eastAsia="Calibri" w:hAnsi="Tw Cen MT"/>
                <w:sz w:val="22"/>
                <w:szCs w:val="22"/>
              </w:rPr>
              <w:t xml:space="preserve">experimental </w:t>
            </w:r>
            <w:r w:rsidR="009D3C35" w:rsidRPr="006E402F">
              <w:rPr>
                <w:rFonts w:ascii="Tw Cen MT" w:eastAsia="Calibri" w:hAnsi="Tw Cen MT"/>
                <w:sz w:val="22"/>
                <w:szCs w:val="22"/>
              </w:rPr>
              <w:t>design and the</w:t>
            </w:r>
            <w:r w:rsidR="00BB7B8D" w:rsidRPr="006E402F">
              <w:rPr>
                <w:rFonts w:ascii="Tw Cen MT" w:eastAsia="Calibri" w:hAnsi="Tw Cen MT"/>
                <w:sz w:val="22"/>
                <w:szCs w:val="22"/>
              </w:rPr>
              <w:t xml:space="preserve"> ability to identify the trainings and training enhancements that are most effective. </w:t>
            </w:r>
          </w:p>
        </w:tc>
      </w:tr>
      <w:tr w:rsidR="00E842CC" w:rsidRPr="006E402F" w14:paraId="2EEE2195" w14:textId="77777777" w:rsidTr="00370F0A">
        <w:tc>
          <w:tcPr>
            <w:tcW w:w="1165" w:type="dxa"/>
          </w:tcPr>
          <w:p w14:paraId="4710C2F2" w14:textId="2614CC27" w:rsidR="00E842CC" w:rsidRPr="006E402F" w:rsidRDefault="00E842CC" w:rsidP="00E842CC">
            <w:pPr>
              <w:jc w:val="left"/>
              <w:rPr>
                <w:rFonts w:ascii="Tw Cen MT" w:hAnsi="Tw Cen MT"/>
                <w:sz w:val="22"/>
                <w:szCs w:val="22"/>
              </w:rPr>
            </w:pPr>
            <w:r w:rsidRPr="006E402F">
              <w:rPr>
                <w:rFonts w:ascii="Tw Cen MT" w:hAnsi="Tw Cen MT"/>
                <w:sz w:val="22"/>
                <w:szCs w:val="22"/>
              </w:rPr>
              <w:t xml:space="preserve">EIRF-I </w:t>
            </w:r>
          </w:p>
        </w:tc>
        <w:tc>
          <w:tcPr>
            <w:tcW w:w="8370" w:type="dxa"/>
          </w:tcPr>
          <w:p w14:paraId="691392A8" w14:textId="58D4ACD3" w:rsidR="00FF2A91" w:rsidRPr="006E402F" w:rsidRDefault="00124B16" w:rsidP="00BB7B8D">
            <w:pPr>
              <w:jc w:val="left"/>
              <w:rPr>
                <w:rFonts w:ascii="Tw Cen MT" w:hAnsi="Tw Cen MT"/>
                <w:color w:val="000000"/>
                <w:sz w:val="22"/>
                <w:szCs w:val="22"/>
              </w:rPr>
            </w:pPr>
            <w:r w:rsidRPr="006E402F">
              <w:rPr>
                <w:rFonts w:ascii="Tw Cen MT" w:hAnsi="Tw Cen MT"/>
                <w:sz w:val="22"/>
                <w:szCs w:val="22"/>
              </w:rPr>
              <w:t>The EIRF-I requires State/Tribal grantees to share existing data on the youth identified as at risk. Data from the EIRF-I are integral to understanding the impact of gatekeeper training on identifications and referrals</w:t>
            </w:r>
            <w:r w:rsidR="00FF2A91" w:rsidRPr="006E402F">
              <w:rPr>
                <w:rFonts w:ascii="Tw Cen MT" w:hAnsi="Tw Cen MT"/>
                <w:sz w:val="22"/>
                <w:szCs w:val="22"/>
              </w:rPr>
              <w:t xml:space="preserve"> and services received as a result of the GLS Suicide Prevention Program</w:t>
            </w:r>
            <w:r w:rsidR="00BB7B8D" w:rsidRPr="006E402F">
              <w:rPr>
                <w:rFonts w:ascii="Tw Cen MT" w:hAnsi="Tw Cen MT"/>
                <w:sz w:val="22"/>
                <w:szCs w:val="22"/>
              </w:rPr>
              <w:t>.</w:t>
            </w:r>
          </w:p>
        </w:tc>
      </w:tr>
      <w:tr w:rsidR="00E842CC" w:rsidRPr="006E402F" w14:paraId="7948A52C" w14:textId="77777777" w:rsidTr="00370F0A">
        <w:tc>
          <w:tcPr>
            <w:tcW w:w="1165" w:type="dxa"/>
          </w:tcPr>
          <w:p w14:paraId="008B0FD9" w14:textId="06E8C2C6" w:rsidR="00E842CC" w:rsidRPr="006E402F" w:rsidRDefault="00E842CC" w:rsidP="00E842CC">
            <w:pPr>
              <w:jc w:val="left"/>
              <w:rPr>
                <w:rFonts w:ascii="Tw Cen MT" w:hAnsi="Tw Cen MT"/>
                <w:sz w:val="22"/>
                <w:szCs w:val="22"/>
              </w:rPr>
            </w:pPr>
            <w:r w:rsidRPr="006E402F">
              <w:rPr>
                <w:rFonts w:ascii="Tw Cen MT" w:hAnsi="Tw Cen MT"/>
                <w:sz w:val="22"/>
                <w:szCs w:val="22"/>
              </w:rPr>
              <w:t xml:space="preserve">EIRF-S </w:t>
            </w:r>
          </w:p>
        </w:tc>
        <w:tc>
          <w:tcPr>
            <w:tcW w:w="8370" w:type="dxa"/>
          </w:tcPr>
          <w:p w14:paraId="71EBAC94" w14:textId="3A2DA050" w:rsidR="00FF2A91" w:rsidRPr="006E402F" w:rsidRDefault="00124B16" w:rsidP="00FF2A91">
            <w:pPr>
              <w:rPr>
                <w:rFonts w:ascii="Tw Cen MT" w:eastAsia="Calibri" w:hAnsi="Tw Cen MT"/>
                <w:sz w:val="22"/>
                <w:szCs w:val="22"/>
              </w:rPr>
            </w:pPr>
            <w:r w:rsidRPr="006E402F">
              <w:rPr>
                <w:rFonts w:ascii="Tw Cen MT" w:hAnsi="Tw Cen MT"/>
                <w:sz w:val="22"/>
                <w:szCs w:val="22"/>
              </w:rPr>
              <w:t>State/Tribal grantees are also required to report aggregate screening information for all youth screened as part of their suicide prevention programs</w:t>
            </w:r>
            <w:r w:rsidR="00FF2A91" w:rsidRPr="006E402F">
              <w:rPr>
                <w:rFonts w:ascii="Tw Cen MT" w:hAnsi="Tw Cen MT"/>
                <w:sz w:val="22"/>
                <w:szCs w:val="22"/>
              </w:rPr>
              <w:t>. The information collected includes the number youth screened, the number screening positive, and the number confirmed to be at risk. This information is necessary for SAMHSA to understand the types and effectiveness of screenings implemented as a result of the GLS program.</w:t>
            </w:r>
          </w:p>
        </w:tc>
      </w:tr>
      <w:tr w:rsidR="00E842CC" w:rsidRPr="006E402F" w14:paraId="225B3D78" w14:textId="77777777" w:rsidTr="00370F0A">
        <w:tc>
          <w:tcPr>
            <w:tcW w:w="1165" w:type="dxa"/>
          </w:tcPr>
          <w:p w14:paraId="72F574A7" w14:textId="2A84C7CD" w:rsidR="00E842CC" w:rsidRPr="006E402F" w:rsidRDefault="00E842CC" w:rsidP="00E842CC">
            <w:pPr>
              <w:jc w:val="left"/>
              <w:rPr>
                <w:rFonts w:ascii="Tw Cen MT" w:hAnsi="Tw Cen MT"/>
                <w:sz w:val="22"/>
                <w:szCs w:val="22"/>
              </w:rPr>
            </w:pPr>
            <w:r w:rsidRPr="006E402F">
              <w:rPr>
                <w:rFonts w:ascii="Tw Cen MT" w:hAnsi="Tw Cen MT"/>
                <w:sz w:val="22"/>
                <w:szCs w:val="22"/>
              </w:rPr>
              <w:t xml:space="preserve">RNS </w:t>
            </w:r>
          </w:p>
        </w:tc>
        <w:tc>
          <w:tcPr>
            <w:tcW w:w="8370" w:type="dxa"/>
          </w:tcPr>
          <w:p w14:paraId="4D892B9E" w14:textId="20D21B7B" w:rsidR="00BB7B8D" w:rsidRPr="006E402F" w:rsidRDefault="00CB2540" w:rsidP="00CB2540">
            <w:pPr>
              <w:pStyle w:val="SuicideBodyText"/>
              <w:rPr>
                <w:rFonts w:ascii="Tw Cen MT" w:hAnsi="Tw Cen MT"/>
                <w:sz w:val="22"/>
                <w:szCs w:val="22"/>
              </w:rPr>
            </w:pPr>
            <w:r w:rsidRPr="006E402F">
              <w:rPr>
                <w:rFonts w:ascii="Tw Cen MT" w:hAnsi="Tw Cen MT"/>
                <w:sz w:val="22"/>
                <w:szCs w:val="22"/>
              </w:rPr>
              <w:t>In order to complete the previously-approved RNS data collection protocol, t</w:t>
            </w:r>
            <w:r w:rsidR="009D3C35" w:rsidRPr="006E402F">
              <w:rPr>
                <w:rFonts w:ascii="Tw Cen MT" w:hAnsi="Tw Cen MT"/>
                <w:sz w:val="22"/>
                <w:szCs w:val="22"/>
              </w:rPr>
              <w:t xml:space="preserve">wo administrations of the </w:t>
            </w:r>
            <w:r w:rsidR="00124B16" w:rsidRPr="006E402F">
              <w:rPr>
                <w:rFonts w:ascii="Tw Cen MT" w:hAnsi="Tw Cen MT"/>
                <w:sz w:val="22"/>
                <w:szCs w:val="22"/>
              </w:rPr>
              <w:t>RNS</w:t>
            </w:r>
            <w:r w:rsidR="009D3C35" w:rsidRPr="006E402F">
              <w:rPr>
                <w:rFonts w:ascii="Tw Cen MT" w:hAnsi="Tw Cen MT"/>
                <w:sz w:val="22"/>
                <w:szCs w:val="22"/>
              </w:rPr>
              <w:t xml:space="preserve"> are important </w:t>
            </w:r>
            <w:r w:rsidR="00124B16" w:rsidRPr="006E402F">
              <w:rPr>
                <w:rFonts w:ascii="Tw Cen MT" w:hAnsi="Tw Cen MT"/>
                <w:sz w:val="22"/>
                <w:szCs w:val="22"/>
              </w:rPr>
              <w:t xml:space="preserve">to assessing </w:t>
            </w:r>
            <w:r w:rsidR="00BB7B8D" w:rsidRPr="006E402F">
              <w:rPr>
                <w:rFonts w:ascii="Tw Cen MT" w:hAnsi="Tw Cen MT"/>
                <w:sz w:val="22"/>
                <w:szCs w:val="22"/>
              </w:rPr>
              <w:t xml:space="preserve">how networks influence referral mechanisms and service ability, as well as policies and protocols regarding follow-up for youth who have attempted suicide and are at risk for suicide. </w:t>
            </w:r>
            <w:r w:rsidR="009D3C35" w:rsidRPr="006E402F">
              <w:rPr>
                <w:rFonts w:ascii="Tw Cen MT" w:hAnsi="Tw Cen MT"/>
                <w:sz w:val="22"/>
                <w:szCs w:val="22"/>
              </w:rPr>
              <w:t xml:space="preserve">The consequences associated with less frequent data collection would be a lack of information that assesses the impact of time on the development of referral networks and coalitions. </w:t>
            </w:r>
            <w:r w:rsidR="00BB7B8D" w:rsidRPr="006E402F">
              <w:rPr>
                <w:rFonts w:ascii="Tw Cen MT" w:hAnsi="Tw Cen MT"/>
                <w:sz w:val="22"/>
                <w:szCs w:val="22"/>
              </w:rPr>
              <w:t xml:space="preserve">Data also examines how collaboration and integration are used to share and transfer knowledge, resources, and technology among State/Tribal grantees and stakeholders. </w:t>
            </w:r>
          </w:p>
        </w:tc>
      </w:tr>
      <w:tr w:rsidR="00E842CC" w:rsidRPr="006E402F" w14:paraId="1684C1A7" w14:textId="77777777" w:rsidTr="00370F0A">
        <w:tc>
          <w:tcPr>
            <w:tcW w:w="1165" w:type="dxa"/>
          </w:tcPr>
          <w:p w14:paraId="2151DBBE" w14:textId="243995EF" w:rsidR="00E842CC" w:rsidRPr="006E402F" w:rsidRDefault="00190C81" w:rsidP="00802744">
            <w:pPr>
              <w:jc w:val="left"/>
              <w:rPr>
                <w:rFonts w:ascii="Tw Cen MT" w:hAnsi="Tw Cen MT"/>
                <w:sz w:val="22"/>
                <w:szCs w:val="22"/>
              </w:rPr>
            </w:pPr>
            <w:r w:rsidRPr="006E402F">
              <w:rPr>
                <w:rFonts w:ascii="Tw Cen MT" w:hAnsi="Tw Cen MT"/>
                <w:sz w:val="22"/>
                <w:szCs w:val="22"/>
              </w:rPr>
              <w:t>BH</w:t>
            </w:r>
            <w:r w:rsidR="00802744" w:rsidRPr="006E402F">
              <w:rPr>
                <w:rFonts w:ascii="Tw Cen MT" w:hAnsi="Tw Cen MT"/>
                <w:sz w:val="22"/>
                <w:szCs w:val="22"/>
              </w:rPr>
              <w:t>P</w:t>
            </w:r>
            <w:r w:rsidRPr="006E402F">
              <w:rPr>
                <w:rFonts w:ascii="Tw Cen MT" w:hAnsi="Tw Cen MT"/>
                <w:sz w:val="22"/>
                <w:szCs w:val="22"/>
              </w:rPr>
              <w:t>S</w:t>
            </w:r>
          </w:p>
        </w:tc>
        <w:tc>
          <w:tcPr>
            <w:tcW w:w="8370" w:type="dxa"/>
          </w:tcPr>
          <w:p w14:paraId="5C67D5DF" w14:textId="69C7868D" w:rsidR="00E842CC" w:rsidRPr="006E402F" w:rsidRDefault="00802744" w:rsidP="00802744">
            <w:pPr>
              <w:jc w:val="left"/>
              <w:rPr>
                <w:rFonts w:ascii="Tw Cen MT" w:hAnsi="Tw Cen MT"/>
                <w:color w:val="000000"/>
                <w:sz w:val="22"/>
                <w:szCs w:val="22"/>
              </w:rPr>
            </w:pPr>
            <w:r w:rsidRPr="006E402F">
              <w:rPr>
                <w:rFonts w:ascii="Tw Cen MT" w:hAnsi="Tw Cen MT"/>
                <w:sz w:val="22"/>
                <w:szCs w:val="22"/>
              </w:rPr>
              <w:t xml:space="preserve">The BHPS will inform SAMHSA about referrals for at-risk youth, the implementation of SSE care practices by behavioral health providers partnering with GLS grantees, and client outcomes. Information collected through the BHPS is critical to understanding the care practices implemented by </w:t>
            </w:r>
            <w:r w:rsidR="00BB7B8D" w:rsidRPr="006E402F">
              <w:rPr>
                <w:rFonts w:ascii="Tw Cen MT" w:hAnsi="Tw Cen MT"/>
                <w:sz w:val="22"/>
                <w:szCs w:val="22"/>
              </w:rPr>
              <w:t xml:space="preserve">partner providers—the </w:t>
            </w:r>
            <w:r w:rsidRPr="006E402F">
              <w:rPr>
                <w:rFonts w:ascii="Tw Cen MT" w:hAnsi="Tw Cen MT"/>
                <w:sz w:val="22"/>
                <w:szCs w:val="22"/>
              </w:rPr>
              <w:t xml:space="preserve">primary providers of behavioral health care to youth and students identified as at risk through the GLS program. </w:t>
            </w:r>
            <w:r w:rsidR="00BB7B8D" w:rsidRPr="006E402F">
              <w:rPr>
                <w:rFonts w:ascii="Tw Cen MT" w:hAnsi="Tw Cen MT"/>
                <w:sz w:val="22"/>
                <w:szCs w:val="22"/>
              </w:rPr>
              <w:t>Data are collected once per year.</w:t>
            </w:r>
          </w:p>
        </w:tc>
      </w:tr>
      <w:tr w:rsidR="00190C81" w:rsidRPr="006E402F" w14:paraId="1FACC58A" w14:textId="77777777" w:rsidTr="00370F0A">
        <w:tc>
          <w:tcPr>
            <w:tcW w:w="1165" w:type="dxa"/>
          </w:tcPr>
          <w:p w14:paraId="0E34547F" w14:textId="5EEB0CC1" w:rsidR="00190C81" w:rsidRPr="006E402F" w:rsidRDefault="00190C81" w:rsidP="00190C81">
            <w:pPr>
              <w:jc w:val="left"/>
              <w:rPr>
                <w:rFonts w:ascii="Tw Cen MT" w:hAnsi="Tw Cen MT"/>
                <w:sz w:val="22"/>
                <w:szCs w:val="22"/>
              </w:rPr>
            </w:pPr>
            <w:r w:rsidRPr="006E402F">
              <w:rPr>
                <w:rFonts w:ascii="Tw Cen MT" w:hAnsi="Tw Cen MT"/>
                <w:sz w:val="22"/>
                <w:szCs w:val="22"/>
              </w:rPr>
              <w:t xml:space="preserve">SMSS </w:t>
            </w:r>
          </w:p>
        </w:tc>
        <w:tc>
          <w:tcPr>
            <w:tcW w:w="8370" w:type="dxa"/>
          </w:tcPr>
          <w:p w14:paraId="089A39EC" w14:textId="218487D2" w:rsidR="00190C81" w:rsidRPr="006E402F" w:rsidRDefault="00CB2540" w:rsidP="00CB2540">
            <w:pPr>
              <w:pStyle w:val="SuicideBodyText"/>
              <w:rPr>
                <w:rFonts w:ascii="Tw Cen MT" w:hAnsi="Tw Cen MT"/>
                <w:color w:val="000000"/>
                <w:sz w:val="22"/>
                <w:szCs w:val="22"/>
              </w:rPr>
            </w:pPr>
            <w:r w:rsidRPr="006E402F">
              <w:rPr>
                <w:rFonts w:ascii="Tw Cen MT" w:hAnsi="Tw Cen MT"/>
                <w:sz w:val="22"/>
                <w:szCs w:val="22"/>
              </w:rPr>
              <w:t>In order to complete the previously approved SMSS data collection protocol, t</w:t>
            </w:r>
            <w:r w:rsidR="00DA0D9A" w:rsidRPr="006E402F">
              <w:rPr>
                <w:rFonts w:ascii="Tw Cen MT" w:hAnsi="Tw Cen MT"/>
                <w:sz w:val="22"/>
                <w:szCs w:val="22"/>
              </w:rPr>
              <w:t xml:space="preserve">wo administrations (grant years 1 and 3) of the </w:t>
            </w:r>
            <w:r w:rsidR="00D71BEC" w:rsidRPr="006E402F">
              <w:rPr>
                <w:rFonts w:ascii="Tw Cen MT" w:hAnsi="Tw Cen MT"/>
                <w:sz w:val="22"/>
                <w:szCs w:val="22"/>
              </w:rPr>
              <w:t xml:space="preserve">cross-sectional </w:t>
            </w:r>
            <w:r w:rsidR="00DA0D9A" w:rsidRPr="006E402F">
              <w:rPr>
                <w:rFonts w:ascii="Tw Cen MT" w:hAnsi="Tw Cen MT"/>
                <w:sz w:val="22"/>
                <w:szCs w:val="22"/>
              </w:rPr>
              <w:t xml:space="preserve">SMSS are necessary </w:t>
            </w:r>
            <w:r w:rsidR="001539BC" w:rsidRPr="006E402F">
              <w:rPr>
                <w:rFonts w:ascii="Tw Cen MT" w:hAnsi="Tw Cen MT"/>
                <w:sz w:val="22"/>
                <w:szCs w:val="22"/>
              </w:rPr>
              <w:t>to determine</w:t>
            </w:r>
            <w:r w:rsidR="00D71BEC" w:rsidRPr="006E402F">
              <w:rPr>
                <w:rFonts w:ascii="Tw Cen MT" w:hAnsi="Tw Cen MT"/>
                <w:sz w:val="22"/>
                <w:szCs w:val="22"/>
              </w:rPr>
              <w:t xml:space="preserve"> any</w:t>
            </w:r>
            <w:r w:rsidR="001539BC" w:rsidRPr="006E402F">
              <w:rPr>
                <w:rFonts w:ascii="Tw Cen MT" w:hAnsi="Tw Cen MT"/>
                <w:sz w:val="22"/>
                <w:szCs w:val="22"/>
              </w:rPr>
              <w:t xml:space="preserve"> change in awareness and knowledge as a result of suicide prevention activities. </w:t>
            </w:r>
            <w:r w:rsidR="00D71BEC" w:rsidRPr="006E402F">
              <w:rPr>
                <w:rFonts w:ascii="Tw Cen MT" w:hAnsi="Tw Cen MT"/>
                <w:sz w:val="22"/>
                <w:szCs w:val="22"/>
              </w:rPr>
              <w:t>If collected less often, there would be no</w:t>
            </w:r>
            <w:r w:rsidR="001539BC" w:rsidRPr="006E402F">
              <w:rPr>
                <w:rFonts w:ascii="Tw Cen MT" w:hAnsi="Tw Cen MT"/>
                <w:sz w:val="22"/>
                <w:szCs w:val="22"/>
              </w:rPr>
              <w:t xml:space="preserve"> means by which to assess change over time, an important element of the suicide prevention program. </w:t>
            </w:r>
          </w:p>
        </w:tc>
      </w:tr>
    </w:tbl>
    <w:p w14:paraId="4F3C072F" w14:textId="2F770965" w:rsidR="00683939" w:rsidRPr="004C1061" w:rsidRDefault="00683939" w:rsidP="00C45CEC">
      <w:pPr>
        <w:pStyle w:val="SuicideBodyText"/>
        <w:keepNext/>
        <w:numPr>
          <w:ilvl w:val="0"/>
          <w:numId w:val="17"/>
        </w:numPr>
        <w:spacing w:before="240" w:after="120"/>
        <w:rPr>
          <w:rFonts w:ascii="Tw Cen MT" w:hAnsi="Tw Cen MT" w:cs="Arial"/>
          <w:b/>
          <w:sz w:val="28"/>
          <w:szCs w:val="28"/>
        </w:rPr>
      </w:pPr>
      <w:r w:rsidRPr="004C1061">
        <w:rPr>
          <w:rFonts w:ascii="Tw Cen MT" w:hAnsi="Tw Cen MT" w:cs="Arial"/>
          <w:b/>
          <w:sz w:val="28"/>
          <w:szCs w:val="28"/>
        </w:rPr>
        <w:t>Consistency with the Guidelines of 5 CFR 1320.5(d)(2)</w:t>
      </w:r>
    </w:p>
    <w:p w14:paraId="14918CF0" w14:textId="77777777" w:rsidR="00683939" w:rsidRPr="00F1465D" w:rsidRDefault="00683939" w:rsidP="001E50ED">
      <w:pPr>
        <w:pStyle w:val="SuicideBodyText"/>
        <w:spacing w:after="200"/>
      </w:pPr>
      <w:r w:rsidRPr="00F1465D">
        <w:t>The data collection fully complies with the requirements of 5 CFR 1320.5(d) (2).</w:t>
      </w:r>
    </w:p>
    <w:p w14:paraId="6EB49B0A" w14:textId="4550FFFF" w:rsidR="00683939" w:rsidRPr="004C1061" w:rsidRDefault="00683939" w:rsidP="001E50ED">
      <w:pPr>
        <w:pStyle w:val="SuicideBodyText"/>
        <w:numPr>
          <w:ilvl w:val="0"/>
          <w:numId w:val="17"/>
        </w:numPr>
        <w:spacing w:before="240" w:after="120"/>
        <w:rPr>
          <w:rFonts w:ascii="Tw Cen MT" w:hAnsi="Tw Cen MT" w:cs="Arial"/>
          <w:b/>
          <w:sz w:val="28"/>
          <w:szCs w:val="28"/>
        </w:rPr>
      </w:pPr>
      <w:r w:rsidRPr="004C1061">
        <w:rPr>
          <w:rFonts w:ascii="Tw Cen MT" w:hAnsi="Tw Cen MT" w:cs="Arial"/>
          <w:b/>
          <w:sz w:val="28"/>
          <w:szCs w:val="28"/>
        </w:rPr>
        <w:t>Consultation Outside the Agency</w:t>
      </w:r>
    </w:p>
    <w:p w14:paraId="356D8340" w14:textId="4F49C016" w:rsidR="00683939" w:rsidRPr="0080212A" w:rsidRDefault="00683939" w:rsidP="003536EA">
      <w:pPr>
        <w:pStyle w:val="SuicideBodyText"/>
        <w:numPr>
          <w:ilvl w:val="0"/>
          <w:numId w:val="43"/>
        </w:numPr>
        <w:spacing w:after="120"/>
        <w:rPr>
          <w:rFonts w:ascii="Tw Cen MT" w:hAnsi="Tw Cen MT" w:cs="Arial"/>
          <w:b/>
          <w:sz w:val="28"/>
          <w:szCs w:val="28"/>
        </w:rPr>
      </w:pPr>
      <w:r w:rsidRPr="0080212A">
        <w:rPr>
          <w:rFonts w:ascii="Tw Cen MT" w:hAnsi="Tw Cen MT" w:cs="Arial"/>
          <w:b/>
          <w:sz w:val="28"/>
          <w:szCs w:val="28"/>
        </w:rPr>
        <w:t>Federal Register Notice</w:t>
      </w:r>
    </w:p>
    <w:p w14:paraId="2132CCC0" w14:textId="013C60F4" w:rsidR="006910EB" w:rsidRDefault="00683939" w:rsidP="001E50ED">
      <w:pPr>
        <w:pStyle w:val="SuicideBodyText"/>
        <w:spacing w:after="200"/>
        <w:rPr>
          <w:spacing w:val="-2"/>
        </w:rPr>
      </w:pPr>
      <w:r w:rsidRPr="00F1465D">
        <w:rPr>
          <w:spacing w:val="-2"/>
        </w:rPr>
        <w:t xml:space="preserve">SAMHSA published a notice in the </w:t>
      </w:r>
      <w:r w:rsidRPr="008368B7">
        <w:rPr>
          <w:i/>
          <w:iCs/>
          <w:spacing w:val="-2"/>
        </w:rPr>
        <w:t xml:space="preserve">Federal Register </w:t>
      </w:r>
      <w:r w:rsidR="006910EB" w:rsidRPr="006910EB">
        <w:rPr>
          <w:iCs/>
          <w:spacing w:val="-2"/>
        </w:rPr>
        <w:t>on</w:t>
      </w:r>
      <w:r w:rsidR="006910EB">
        <w:rPr>
          <w:i/>
          <w:iCs/>
          <w:spacing w:val="-2"/>
        </w:rPr>
        <w:t xml:space="preserve"> </w:t>
      </w:r>
      <w:r w:rsidR="00DC3610">
        <w:rPr>
          <w:spacing w:val="-2"/>
        </w:rPr>
        <w:t>October 7</w:t>
      </w:r>
      <w:r w:rsidR="00525D28" w:rsidRPr="00EC6B20">
        <w:rPr>
          <w:spacing w:val="-2"/>
        </w:rPr>
        <w:t>, 2015</w:t>
      </w:r>
      <w:r w:rsidR="006910EB">
        <w:rPr>
          <w:spacing w:val="-2"/>
        </w:rPr>
        <w:t xml:space="preserve"> (80</w:t>
      </w:r>
      <w:r w:rsidR="005C2445">
        <w:rPr>
          <w:spacing w:val="-2"/>
        </w:rPr>
        <w:t xml:space="preserve"> FR </w:t>
      </w:r>
      <w:r w:rsidR="00DC3610">
        <w:rPr>
          <w:spacing w:val="-2"/>
        </w:rPr>
        <w:t>6069</w:t>
      </w:r>
      <w:r w:rsidR="005C2445">
        <w:rPr>
          <w:spacing w:val="-2"/>
        </w:rPr>
        <w:t>4</w:t>
      </w:r>
      <w:bookmarkStart w:id="0" w:name="_GoBack"/>
      <w:bookmarkEnd w:id="0"/>
      <w:r w:rsidR="006910EB">
        <w:rPr>
          <w:spacing w:val="-2"/>
        </w:rPr>
        <w:t>)</w:t>
      </w:r>
      <w:r w:rsidRPr="00EC6B20">
        <w:rPr>
          <w:spacing w:val="-2"/>
        </w:rPr>
        <w:t xml:space="preserve">, soliciting public comment on this study. </w:t>
      </w:r>
      <w:r w:rsidR="00DC3610">
        <w:rPr>
          <w:spacing w:val="-2"/>
        </w:rPr>
        <w:t>No public comments were received.</w:t>
      </w:r>
    </w:p>
    <w:p w14:paraId="13CDF56A" w14:textId="591CA2E3" w:rsidR="00683939" w:rsidRPr="0080212A" w:rsidRDefault="00683939" w:rsidP="00966D74">
      <w:pPr>
        <w:pStyle w:val="SuicideBodyText"/>
        <w:numPr>
          <w:ilvl w:val="0"/>
          <w:numId w:val="43"/>
        </w:numPr>
        <w:spacing w:after="120"/>
        <w:rPr>
          <w:rFonts w:ascii="Tw Cen MT" w:hAnsi="Tw Cen MT" w:cs="Arial"/>
          <w:b/>
          <w:sz w:val="28"/>
          <w:szCs w:val="28"/>
        </w:rPr>
      </w:pPr>
      <w:r w:rsidRPr="0080212A">
        <w:rPr>
          <w:rFonts w:ascii="Tw Cen MT" w:hAnsi="Tw Cen MT" w:cs="Arial"/>
          <w:b/>
          <w:sz w:val="28"/>
          <w:szCs w:val="28"/>
        </w:rPr>
        <w:t>Consultation Outside the Agency</w:t>
      </w:r>
    </w:p>
    <w:p w14:paraId="3102FC5E" w14:textId="006494D5" w:rsidR="00683939" w:rsidRPr="00F1465D" w:rsidRDefault="00683939" w:rsidP="00CF5DFC">
      <w:pPr>
        <w:pStyle w:val="SuicideBodyText"/>
        <w:spacing w:after="200"/>
      </w:pPr>
      <w:r w:rsidRPr="00F1465D">
        <w:t xml:space="preserve">Consultation on the design, instrumentation, and statistical aspects of the evaluation has occurred with individuals outside of SAMHSA. </w:t>
      </w:r>
      <w:r w:rsidR="00EE12F0">
        <w:t>In 2005, a</w:t>
      </w:r>
      <w:r w:rsidRPr="00F1465D">
        <w:t xml:space="preserve">n </w:t>
      </w:r>
      <w:r w:rsidRPr="008368B7">
        <w:t xml:space="preserve">evaluation </w:t>
      </w:r>
      <w:r w:rsidR="00EE12F0" w:rsidRPr="008368B7">
        <w:t>steering committee w</w:t>
      </w:r>
      <w:r w:rsidRPr="008368B7">
        <w:t xml:space="preserve">as established to provide input and guidance in designing and implementing the </w:t>
      </w:r>
      <w:r w:rsidR="00525D28" w:rsidRPr="008368B7">
        <w:t xml:space="preserve">original </w:t>
      </w:r>
      <w:r w:rsidRPr="008368B7">
        <w:t xml:space="preserve">cross-site evaluation. Consultation with the </w:t>
      </w:r>
      <w:r w:rsidR="00EE12F0" w:rsidRPr="008368B7">
        <w:t xml:space="preserve">steering committee has continued </w:t>
      </w:r>
      <w:r w:rsidR="00783AEB" w:rsidRPr="008368B7">
        <w:t xml:space="preserve">since 2005. </w:t>
      </w:r>
      <w:r w:rsidR="00EE12F0" w:rsidRPr="008368B7">
        <w:t xml:space="preserve">Similarly, an </w:t>
      </w:r>
      <w:r w:rsidR="00EC6B20">
        <w:t xml:space="preserve">evaluation </w:t>
      </w:r>
      <w:r w:rsidR="00EE12F0" w:rsidRPr="008368B7">
        <w:t xml:space="preserve">advisory </w:t>
      </w:r>
      <w:r w:rsidR="00EC6B20">
        <w:t xml:space="preserve">Expert Advisory Panel (EAP) </w:t>
      </w:r>
      <w:r w:rsidR="00EE12F0" w:rsidRPr="008368B7">
        <w:t xml:space="preserve">established in 2014 </w:t>
      </w:r>
      <w:r w:rsidR="00F21C5B">
        <w:t xml:space="preserve">and convened in 2015 </w:t>
      </w:r>
      <w:r w:rsidR="00EE12F0" w:rsidRPr="008368B7">
        <w:t xml:space="preserve">to provide input and guidance on the updated design </w:t>
      </w:r>
      <w:r w:rsidR="00783AEB" w:rsidRPr="008368B7">
        <w:t>and implementation of</w:t>
      </w:r>
      <w:r w:rsidR="00EE12F0" w:rsidRPr="008368B7">
        <w:t xml:space="preserve"> the NOE</w:t>
      </w:r>
      <w:r w:rsidR="00783AEB" w:rsidRPr="008368B7">
        <w:t xml:space="preserve">. Consultation with this </w:t>
      </w:r>
      <w:r w:rsidR="00F21C5B">
        <w:t>EAP</w:t>
      </w:r>
      <w:r w:rsidR="00783AEB" w:rsidRPr="008368B7">
        <w:t xml:space="preserve"> will </w:t>
      </w:r>
      <w:r w:rsidRPr="008368B7">
        <w:t xml:space="preserve">continue as needed throughout the grant-funding period. Representatives on the </w:t>
      </w:r>
      <w:r w:rsidR="00F21C5B">
        <w:t>EAP</w:t>
      </w:r>
      <w:r w:rsidRPr="008368B7">
        <w:t xml:space="preserve"> include leaders in the field of suicide prevention</w:t>
      </w:r>
      <w:r w:rsidR="00F21C5B">
        <w:t xml:space="preserve"> program implementation, research,</w:t>
      </w:r>
      <w:r w:rsidRPr="008368B7">
        <w:t xml:space="preserve"> and evaluation. </w:t>
      </w:r>
      <w:r w:rsidR="00783AEB" w:rsidRPr="00F1465D">
        <w:t xml:space="preserve">In addition, </w:t>
      </w:r>
      <w:r w:rsidR="00783AEB">
        <w:t xml:space="preserve">a panel of local evaluators from currently funded grantees that will be participating in the NOE reviewed the evaluation and provided feedback in 2015. </w:t>
      </w:r>
      <w:r w:rsidRPr="00F1465D">
        <w:t xml:space="preserve">The SPRC provides TA to entities implementing suicide prevention programs. Input from representatives of the CDC was also solicited in 2005. The CDC has conducted research in the field of suicide prevention and was consulted to comment on the cross-site evaluation design, frequency of data collection activities, and instrumentation. </w:t>
      </w:r>
    </w:p>
    <w:p w14:paraId="25405B80" w14:textId="32A2B140" w:rsidR="00683939" w:rsidRPr="00683939" w:rsidRDefault="00FF4887" w:rsidP="001E50ED">
      <w:pPr>
        <w:pStyle w:val="SuicideBodyText"/>
        <w:spacing w:after="200"/>
        <w:rPr>
          <w:rFonts w:ascii="Arial" w:hAnsi="Arial" w:cs="Arial"/>
          <w:b/>
        </w:rPr>
      </w:pPr>
      <w:r>
        <w:t>As with previous evaluations, u</w:t>
      </w:r>
      <w:r w:rsidR="00683939" w:rsidRPr="00F1465D">
        <w:t>pdates to the instruments were informed through direct consultation with current and former grantees, as well as representatives of the SPRC and CDC. These consultations had four purposes: (1) to ensure continued coordination of related activities, especially at the Federal level; (2) to ensure the rigor of the evaluation design, the proper implementation of the design, and the technical soundness of study results; (3) to verify the relevance and accessibility of the data to be collected; and (4) to minimize respondent burden.</w:t>
      </w:r>
    </w:p>
    <w:p w14:paraId="711DF5E7" w14:textId="364B79B0" w:rsidR="00B72B27" w:rsidRPr="00084715" w:rsidRDefault="00B72B27" w:rsidP="001E50ED">
      <w:pPr>
        <w:pStyle w:val="SuicideBodyText"/>
        <w:keepNext/>
        <w:numPr>
          <w:ilvl w:val="0"/>
          <w:numId w:val="17"/>
        </w:numPr>
        <w:spacing w:before="240" w:after="120"/>
        <w:rPr>
          <w:rFonts w:ascii="Tw Cen MT" w:hAnsi="Tw Cen MT" w:cs="Arial"/>
          <w:b/>
          <w:sz w:val="28"/>
          <w:szCs w:val="28"/>
        </w:rPr>
      </w:pPr>
      <w:r w:rsidRPr="00084715">
        <w:rPr>
          <w:rFonts w:ascii="Tw Cen MT" w:hAnsi="Tw Cen MT" w:cs="Arial"/>
          <w:b/>
          <w:sz w:val="28"/>
          <w:szCs w:val="28"/>
          <w:lang w:val="en-CA"/>
        </w:rPr>
        <w:t>Payment to Respondents</w:t>
      </w:r>
    </w:p>
    <w:p w14:paraId="0F5DB3CE" w14:textId="4144AC42" w:rsidR="00430ADF" w:rsidRPr="00430ADF" w:rsidRDefault="0013746B" w:rsidP="001E50ED">
      <w:pPr>
        <w:pStyle w:val="SuicideBodyText"/>
        <w:spacing w:after="200"/>
        <w:rPr>
          <w:lang w:val="en-CA"/>
        </w:rPr>
      </w:pPr>
      <w:r>
        <w:rPr>
          <w:lang w:val="en-CA"/>
        </w:rPr>
        <w:t xml:space="preserve">As with previous evaluations, the NOE will use a research-based approach and will require participation students, suicide prevention training participants, and others beyond grantee program staff. </w:t>
      </w:r>
      <w:r w:rsidR="0039474F">
        <w:rPr>
          <w:lang w:val="en-CA"/>
        </w:rPr>
        <w:t xml:space="preserve">Consequently, remuneration is suggested for respondents not directly affiliated with suicide prevention programs </w:t>
      </w:r>
      <w:r w:rsidRPr="00183906">
        <w:rPr>
          <w:lang w:val="en-CA"/>
        </w:rPr>
        <w:t xml:space="preserve">at the time of their </w:t>
      </w:r>
      <w:r>
        <w:rPr>
          <w:lang w:val="en-CA"/>
        </w:rPr>
        <w:t xml:space="preserve">participation in surveys and interviews </w:t>
      </w:r>
      <w:r w:rsidR="0039474F">
        <w:rPr>
          <w:lang w:val="en-CA"/>
        </w:rPr>
        <w:t>as</w:t>
      </w:r>
      <w:r w:rsidRPr="00183906">
        <w:rPr>
          <w:lang w:val="en-CA"/>
        </w:rPr>
        <w:t xml:space="preserve"> compensation for the additional burden</w:t>
      </w:r>
      <w:r>
        <w:rPr>
          <w:lang w:val="en-CA"/>
        </w:rPr>
        <w:t xml:space="preserve">, </w:t>
      </w:r>
      <w:r w:rsidRPr="00183906">
        <w:rPr>
          <w:lang w:val="en-CA"/>
        </w:rPr>
        <w:t xml:space="preserve">potential inconvenience of </w:t>
      </w:r>
      <w:r>
        <w:rPr>
          <w:lang w:val="en-CA"/>
        </w:rPr>
        <w:t xml:space="preserve">participation, and any </w:t>
      </w:r>
      <w:r w:rsidR="004B6517">
        <w:rPr>
          <w:lang w:val="en-CA"/>
        </w:rPr>
        <w:t xml:space="preserve">related </w:t>
      </w:r>
      <w:r>
        <w:rPr>
          <w:lang w:val="en-CA"/>
        </w:rPr>
        <w:t xml:space="preserve">costs </w:t>
      </w:r>
      <w:r w:rsidR="004B6517">
        <w:rPr>
          <w:lang w:val="en-CA"/>
        </w:rPr>
        <w:t>(e.g., transportation costs, mobile phone minutes or data, compensation for time)</w:t>
      </w:r>
      <w:r>
        <w:rPr>
          <w:lang w:val="en-CA"/>
        </w:rPr>
        <w:t>.</w:t>
      </w:r>
      <w:r w:rsidR="0039474F">
        <w:rPr>
          <w:lang w:val="en-CA"/>
        </w:rPr>
        <w:t xml:space="preserve"> </w:t>
      </w:r>
      <w:r w:rsidR="004B6517">
        <w:t>R</w:t>
      </w:r>
      <w:r w:rsidR="0039474F">
        <w:t>emuneration</w:t>
      </w:r>
      <w:r w:rsidR="0039474F" w:rsidRPr="00831C7A">
        <w:t xml:space="preserve"> </w:t>
      </w:r>
      <w:r w:rsidR="004B6517">
        <w:t xml:space="preserve">also </w:t>
      </w:r>
      <w:r w:rsidR="0039474F" w:rsidRPr="00831C7A">
        <w:t>is a standard practice in longitudinal studies</w:t>
      </w:r>
      <w:r w:rsidR="0039474F">
        <w:t xml:space="preserve"> </w:t>
      </w:r>
      <w:r w:rsidR="004B6517">
        <w:t>partly</w:t>
      </w:r>
      <w:r w:rsidR="0039474F">
        <w:t xml:space="preserve"> because respondents are </w:t>
      </w:r>
      <w:r w:rsidR="004B6517">
        <w:t xml:space="preserve">typically </w:t>
      </w:r>
      <w:r w:rsidR="0039474F">
        <w:t xml:space="preserve">not directly affiliated with the program being evaluated. Given the </w:t>
      </w:r>
      <w:r w:rsidR="004B6517">
        <w:t xml:space="preserve">use of longitudinal data collection for the NOE and the </w:t>
      </w:r>
      <w:r w:rsidR="0039474F" w:rsidRPr="00831C7A">
        <w:rPr>
          <w:lang w:val="en-CA"/>
        </w:rPr>
        <w:t xml:space="preserve">hard-to-reach nature of these populations, </w:t>
      </w:r>
      <w:r w:rsidR="0039474F">
        <w:rPr>
          <w:lang w:val="en-CA"/>
        </w:rPr>
        <w:t xml:space="preserve">compensation </w:t>
      </w:r>
      <w:r w:rsidR="0039474F" w:rsidRPr="00831C7A">
        <w:rPr>
          <w:lang w:val="en-CA"/>
        </w:rPr>
        <w:t>will be provided for activities that involve follow-up interviews.</w:t>
      </w:r>
      <w:r w:rsidR="0039474F">
        <w:rPr>
          <w:lang w:val="en-CA"/>
        </w:rPr>
        <w:t xml:space="preserve"> </w:t>
      </w:r>
      <w:r w:rsidR="006C419C" w:rsidRPr="00430ADF">
        <w:t xml:space="preserve">Historically, </w:t>
      </w:r>
      <w:r>
        <w:t>remuneration has</w:t>
      </w:r>
      <w:r w:rsidR="006C419C" w:rsidRPr="00430ADF">
        <w:t xml:space="preserve"> been used with the TUP-S </w:t>
      </w:r>
      <w:r>
        <w:t xml:space="preserve">($10) </w:t>
      </w:r>
      <w:r w:rsidR="006C419C" w:rsidRPr="00430ADF">
        <w:t>and the SMSS</w:t>
      </w:r>
      <w:r>
        <w:t xml:space="preserve"> ($5)</w:t>
      </w:r>
      <w:r w:rsidR="006C419C" w:rsidRPr="00430ADF">
        <w:t xml:space="preserve">. </w:t>
      </w:r>
      <w:r w:rsidR="00430ADF" w:rsidRPr="00430ADF">
        <w:rPr>
          <w:lang w:val="en-CA"/>
        </w:rPr>
        <w:t>Moving forward, remuneration will continue for these activities and also is proposed for the TUP-S RCT</w:t>
      </w:r>
      <w:r>
        <w:rPr>
          <w:lang w:val="en-CA"/>
        </w:rPr>
        <w:t xml:space="preserve"> ($10)</w:t>
      </w:r>
      <w:r w:rsidR="0011207D">
        <w:rPr>
          <w:lang w:val="en-CA"/>
        </w:rPr>
        <w:t xml:space="preserve"> </w:t>
      </w:r>
      <w:r w:rsidR="003E6191">
        <w:rPr>
          <w:lang w:val="en-CA"/>
        </w:rPr>
        <w:t xml:space="preserve">and </w:t>
      </w:r>
      <w:r w:rsidR="0039474F">
        <w:rPr>
          <w:lang w:val="en-CA"/>
        </w:rPr>
        <w:t>BHPS ($10)</w:t>
      </w:r>
      <w:r w:rsidR="003E6191">
        <w:rPr>
          <w:lang w:val="en-CA"/>
        </w:rPr>
        <w:t xml:space="preserve"> </w:t>
      </w:r>
      <w:r>
        <w:rPr>
          <w:lang w:val="en-CA"/>
        </w:rPr>
        <w:t>at the time of participation.</w:t>
      </w:r>
      <w:r w:rsidR="00503204" w:rsidRPr="00831C7A">
        <w:t xml:space="preserve"> </w:t>
      </w:r>
      <w:r w:rsidR="00430ADF" w:rsidRPr="00831C7A">
        <w:rPr>
          <w:lang w:val="en-CA"/>
        </w:rPr>
        <w:t>Respondents to other data collection activities are primarily staff of the suicide</w:t>
      </w:r>
      <w:r w:rsidR="00430ADF" w:rsidRPr="00430ADF">
        <w:rPr>
          <w:lang w:val="en-CA"/>
        </w:rPr>
        <w:t xml:space="preserve"> prevention programs or close affiliates. Therefore, no remuneration is planned for those activities</w:t>
      </w:r>
      <w:r w:rsidR="00430ADF">
        <w:rPr>
          <w:lang w:val="en-CA"/>
        </w:rPr>
        <w:t xml:space="preserve">. </w:t>
      </w:r>
      <w:r w:rsidR="00EE12F0">
        <w:rPr>
          <w:lang w:val="en-CA"/>
        </w:rPr>
        <w:t xml:space="preserve"> </w:t>
      </w:r>
    </w:p>
    <w:p w14:paraId="420AEA1E" w14:textId="6B661ABD" w:rsidR="00B72B27" w:rsidRPr="00084715" w:rsidRDefault="00B72B27" w:rsidP="001E50ED">
      <w:pPr>
        <w:pStyle w:val="SuicideBodyText"/>
        <w:numPr>
          <w:ilvl w:val="0"/>
          <w:numId w:val="17"/>
        </w:numPr>
        <w:spacing w:before="240" w:after="120"/>
        <w:rPr>
          <w:rFonts w:ascii="Tw Cen MT" w:hAnsi="Tw Cen MT" w:cs="Arial"/>
          <w:b/>
          <w:sz w:val="28"/>
          <w:szCs w:val="28"/>
        </w:rPr>
      </w:pPr>
      <w:r w:rsidRPr="00084715">
        <w:rPr>
          <w:rFonts w:ascii="Tw Cen MT" w:hAnsi="Tw Cen MT" w:cs="Arial"/>
          <w:b/>
          <w:sz w:val="28"/>
          <w:szCs w:val="28"/>
          <w:lang w:val="en-CA"/>
        </w:rPr>
        <w:t>Assurances of Confidentiality</w:t>
      </w:r>
    </w:p>
    <w:p w14:paraId="064C0134" w14:textId="427987DA" w:rsidR="00AE3B1F" w:rsidRDefault="00831C7A" w:rsidP="00CF5DFC">
      <w:pPr>
        <w:pStyle w:val="GLSBody"/>
        <w:spacing w:after="200"/>
        <w:rPr>
          <w:lang w:val="en-CA"/>
        </w:rPr>
      </w:pPr>
      <w:r w:rsidRPr="00016F35">
        <w:t xml:space="preserve">To ensure the confidentiality of data compiled the protection of human subjects, </w:t>
      </w:r>
      <w:r>
        <w:t>t</w:t>
      </w:r>
      <w:r w:rsidRPr="00016F35">
        <w:t xml:space="preserve">he data collection protocol and instruments for </w:t>
      </w:r>
      <w:r>
        <w:t>NOE</w:t>
      </w:r>
      <w:r w:rsidRPr="00016F35">
        <w:t xml:space="preserve"> will be reviewed through the ICF </w:t>
      </w:r>
      <w:r>
        <w:t>institutional review board (</w:t>
      </w:r>
      <w:r w:rsidRPr="00016F35">
        <w:t>IRB</w:t>
      </w:r>
      <w:r>
        <w:t xml:space="preserve">) </w:t>
      </w:r>
      <w:r w:rsidRPr="00016F35">
        <w:t xml:space="preserve">prior to the collection of covered or protected data. </w:t>
      </w:r>
      <w:r>
        <w:t>The ICF IRB</w:t>
      </w:r>
      <w:r w:rsidRPr="00016F35">
        <w:t xml:space="preserve"> holds a Federal wide Assurance (FWA00000845; </w:t>
      </w:r>
      <w:r>
        <w:t>E</w:t>
      </w:r>
      <w:r w:rsidRPr="00016F35">
        <w:t>xpir</w:t>
      </w:r>
      <w:r>
        <w:t>a</w:t>
      </w:r>
      <w:r w:rsidR="00C36547">
        <w:t xml:space="preserve">tion, </w:t>
      </w:r>
      <w:r w:rsidRPr="00016F35">
        <w:t>April 13, 2019) from the HHS Office for Hu</w:t>
      </w:r>
      <w:r>
        <w:t>man Research Protections (OHRP)</w:t>
      </w:r>
      <w:r w:rsidR="00C36547">
        <w:t>.</w:t>
      </w:r>
      <w:r>
        <w:t xml:space="preserve"> </w:t>
      </w:r>
      <w:r w:rsidRPr="00016F35">
        <w:t xml:space="preserve">This review ensures compliance with </w:t>
      </w:r>
      <w:r w:rsidRPr="008368B7">
        <w:t xml:space="preserve">the spirit and letter of HHS regulations governing such projects. </w:t>
      </w:r>
      <w:r w:rsidR="00C36547" w:rsidRPr="008368B7">
        <w:t xml:space="preserve">All protected data will be stored on secure servers at ICF in the manner described in the IT Plan and IT Data Security Plan </w:t>
      </w:r>
      <w:r w:rsidR="008368B7">
        <w:t>submitted to and approved by SAMHSA</w:t>
      </w:r>
      <w:r w:rsidR="00C36547" w:rsidRPr="008368B7">
        <w:t xml:space="preserve"> January 7, 2015. </w:t>
      </w:r>
      <w:r w:rsidR="00AE3B1F" w:rsidRPr="008368B7">
        <w:t>In addition, t</w:t>
      </w:r>
      <w:r w:rsidR="00C36547" w:rsidRPr="008368B7">
        <w:rPr>
          <w:lang w:val="en-CA"/>
        </w:rPr>
        <w:t>he Web-based data collection and management</w:t>
      </w:r>
      <w:r w:rsidR="00C36547" w:rsidRPr="00F1465D">
        <w:rPr>
          <w:lang w:val="en-CA"/>
        </w:rPr>
        <w:t xml:space="preserve"> system</w:t>
      </w:r>
      <w:r w:rsidR="00C36547">
        <w:rPr>
          <w:lang w:val="en-CA"/>
        </w:rPr>
        <w:t>, the SPDC, will</w:t>
      </w:r>
      <w:r w:rsidR="00C36547" w:rsidRPr="00F1465D">
        <w:rPr>
          <w:lang w:val="en-CA"/>
        </w:rPr>
        <w:t xml:space="preserve"> facilitate data entry and management for </w:t>
      </w:r>
      <w:r w:rsidR="00C36547">
        <w:rPr>
          <w:lang w:val="en-CA"/>
        </w:rPr>
        <w:t>the</w:t>
      </w:r>
      <w:r w:rsidR="00C36547" w:rsidRPr="00F1465D">
        <w:rPr>
          <w:lang w:val="en-CA"/>
        </w:rPr>
        <w:t xml:space="preserve"> evaluation. </w:t>
      </w:r>
    </w:p>
    <w:p w14:paraId="3E28AAAB" w14:textId="4CB0176D" w:rsidR="00C10AE1" w:rsidRDefault="00C36547" w:rsidP="00CF5DFC">
      <w:pPr>
        <w:pStyle w:val="GLSBody"/>
        <w:spacing w:after="200"/>
        <w:rPr>
          <w:lang w:val="en-CA"/>
        </w:rPr>
      </w:pPr>
      <w:r w:rsidRPr="00F1465D">
        <w:rPr>
          <w:lang w:val="en-CA"/>
        </w:rPr>
        <w:t>Descriptive information will be collected from respondents to data collection activities</w:t>
      </w:r>
      <w:r>
        <w:rPr>
          <w:lang w:val="en-CA"/>
        </w:rPr>
        <w:t xml:space="preserve">, but </w:t>
      </w:r>
      <w:r w:rsidRPr="00F1465D">
        <w:rPr>
          <w:lang w:val="en-CA"/>
        </w:rPr>
        <w:t>no identifying information will be entered or stored</w:t>
      </w:r>
      <w:r>
        <w:rPr>
          <w:lang w:val="en-CA"/>
        </w:rPr>
        <w:t xml:space="preserve"> in the SPDC</w:t>
      </w:r>
      <w:r w:rsidRPr="00F1465D">
        <w:rPr>
          <w:lang w:val="en-CA"/>
        </w:rPr>
        <w:t>.</w:t>
      </w:r>
      <w:r w:rsidR="00702939">
        <w:rPr>
          <w:lang w:val="en-CA"/>
        </w:rPr>
        <w:t xml:space="preserve"> </w:t>
      </w:r>
      <w:r w:rsidR="00AE3B1F">
        <w:rPr>
          <w:lang w:val="en-CA"/>
        </w:rPr>
        <w:t>All</w:t>
      </w:r>
      <w:r w:rsidR="00C10AE1">
        <w:rPr>
          <w:lang w:val="en-CA"/>
        </w:rPr>
        <w:t xml:space="preserve"> </w:t>
      </w:r>
      <w:r w:rsidR="00C10AE1" w:rsidRPr="00F1465D">
        <w:rPr>
          <w:iCs/>
          <w:lang w:val="en-CA"/>
        </w:rPr>
        <w:t xml:space="preserve">hard copy forms </w:t>
      </w:r>
      <w:r w:rsidR="00C10AE1">
        <w:rPr>
          <w:iCs/>
          <w:lang w:val="en-CA"/>
        </w:rPr>
        <w:t xml:space="preserve">with identifying information </w:t>
      </w:r>
      <w:r w:rsidR="00C10AE1" w:rsidRPr="00F1465D">
        <w:rPr>
          <w:iCs/>
          <w:lang w:val="en-CA"/>
        </w:rPr>
        <w:t>will be stored in locked cabinets</w:t>
      </w:r>
      <w:r w:rsidR="00AE3B1F">
        <w:rPr>
          <w:iCs/>
          <w:lang w:val="en-CA"/>
        </w:rPr>
        <w:t xml:space="preserve">; </w:t>
      </w:r>
      <w:r w:rsidR="00C10AE1" w:rsidRPr="00F1465D">
        <w:rPr>
          <w:iCs/>
          <w:lang w:val="en-CA"/>
        </w:rPr>
        <w:t>the contact information will be entered into a password-protected database that can only be accessed by the limited number of individuals who require access (selected ICF staff such as telephone interviewers, data analysts and administrative staff for administering the incentives). These individuals have signed privacy, data access</w:t>
      </w:r>
      <w:r w:rsidR="00C10AE1">
        <w:rPr>
          <w:iCs/>
          <w:lang w:val="en-CA"/>
        </w:rPr>
        <w:t>,</w:t>
      </w:r>
      <w:r w:rsidR="00C10AE1" w:rsidRPr="00F1465D">
        <w:rPr>
          <w:iCs/>
          <w:lang w:val="en-CA"/>
        </w:rPr>
        <w:t xml:space="preserve"> and </w:t>
      </w:r>
      <w:r w:rsidR="00C10AE1">
        <w:rPr>
          <w:iCs/>
          <w:lang w:val="en-CA"/>
        </w:rPr>
        <w:t xml:space="preserve">data </w:t>
      </w:r>
      <w:r w:rsidR="00C10AE1" w:rsidRPr="00F1465D">
        <w:rPr>
          <w:iCs/>
          <w:lang w:val="en-CA"/>
        </w:rPr>
        <w:t xml:space="preserve">use agreements. </w:t>
      </w:r>
      <w:r w:rsidR="00AE3B1F">
        <w:rPr>
          <w:lang w:val="en-CA"/>
        </w:rPr>
        <w:t>I</w:t>
      </w:r>
      <w:r w:rsidR="00AE3B1F" w:rsidRPr="00F1465D">
        <w:rPr>
          <w:lang w:val="en-CA"/>
        </w:rPr>
        <w:t>dentifying information</w:t>
      </w:r>
      <w:r w:rsidR="00AE3B1F">
        <w:rPr>
          <w:lang w:val="en-CA"/>
        </w:rPr>
        <w:t xml:space="preserve"> collected to facilitate the administration of surveys</w:t>
      </w:r>
      <w:r w:rsidR="00AE3B1F" w:rsidRPr="00F1465D">
        <w:rPr>
          <w:lang w:val="en-CA"/>
        </w:rPr>
        <w:t xml:space="preserve"> </w:t>
      </w:r>
      <w:r w:rsidR="00AE3B1F" w:rsidRPr="00AE3B1F">
        <w:rPr>
          <w:lang w:val="en-CA"/>
        </w:rPr>
        <w:t>will not be stored with</w:t>
      </w:r>
      <w:r w:rsidR="00AE3B1F" w:rsidRPr="00F1465D">
        <w:rPr>
          <w:lang w:val="en-CA"/>
        </w:rPr>
        <w:t xml:space="preserve"> survey responses</w:t>
      </w:r>
      <w:r w:rsidR="00AE3B1F">
        <w:rPr>
          <w:lang w:val="en-CA"/>
        </w:rPr>
        <w:t>. Further, d</w:t>
      </w:r>
      <w:r w:rsidR="00C10AE1" w:rsidRPr="00F1465D">
        <w:rPr>
          <w:iCs/>
          <w:lang w:val="en-CA"/>
        </w:rPr>
        <w:t>atasets will be stripped of any identifying information</w:t>
      </w:r>
      <w:r w:rsidR="00C10AE1">
        <w:rPr>
          <w:iCs/>
          <w:lang w:val="en-CA"/>
        </w:rPr>
        <w:t xml:space="preserve"> prior to use</w:t>
      </w:r>
      <w:r w:rsidR="00C10AE1" w:rsidRPr="00F1465D">
        <w:rPr>
          <w:iCs/>
          <w:lang w:val="en-CA"/>
        </w:rPr>
        <w:t xml:space="preserve"> by data analysts</w:t>
      </w:r>
      <w:r w:rsidR="00C10AE1">
        <w:rPr>
          <w:iCs/>
          <w:lang w:val="en-CA"/>
        </w:rPr>
        <w:t>.</w:t>
      </w:r>
      <w:r w:rsidR="00C10AE1" w:rsidRPr="00F1465D">
        <w:rPr>
          <w:iCs/>
          <w:lang w:val="en-CA"/>
        </w:rPr>
        <w:t xml:space="preserve"> Once incentives are sent out</w:t>
      </w:r>
      <w:r w:rsidR="00C10AE1">
        <w:rPr>
          <w:iCs/>
          <w:lang w:val="en-CA"/>
        </w:rPr>
        <w:t xml:space="preserve"> (as appropriate)</w:t>
      </w:r>
      <w:r w:rsidR="00C10AE1" w:rsidRPr="00F1465D">
        <w:rPr>
          <w:iCs/>
          <w:lang w:val="en-CA"/>
        </w:rPr>
        <w:t xml:space="preserve">, respondent contact information will be deleted from the database and the hard </w:t>
      </w:r>
      <w:r w:rsidR="00C10AE1">
        <w:rPr>
          <w:iCs/>
          <w:lang w:val="en-CA"/>
        </w:rPr>
        <w:t>copy</w:t>
      </w:r>
      <w:r w:rsidR="00C10AE1" w:rsidRPr="00F1465D">
        <w:rPr>
          <w:iCs/>
          <w:lang w:val="en-CA"/>
        </w:rPr>
        <w:t xml:space="preserve"> forms will be destroyed.</w:t>
      </w:r>
    </w:p>
    <w:p w14:paraId="34241DF0" w14:textId="0C7F6057" w:rsidR="00C36547" w:rsidRPr="0080212A" w:rsidRDefault="00AE3B1F" w:rsidP="00CF5DFC">
      <w:pPr>
        <w:pStyle w:val="GLSBody"/>
        <w:spacing w:after="200"/>
      </w:pPr>
      <w:r>
        <w:rPr>
          <w:lang w:val="en-CA"/>
        </w:rPr>
        <w:t xml:space="preserve">Data collection </w:t>
      </w:r>
      <w:r w:rsidRPr="00AE3B1F">
        <w:rPr>
          <w:lang w:val="en-CA"/>
        </w:rPr>
        <w:t>activities requiring the collection of i</w:t>
      </w:r>
      <w:r w:rsidR="00C36547" w:rsidRPr="00AE3B1F">
        <w:rPr>
          <w:lang w:val="en-CA"/>
        </w:rPr>
        <w:t xml:space="preserve">dentifying information </w:t>
      </w:r>
      <w:r w:rsidRPr="00AE3B1F">
        <w:rPr>
          <w:lang w:val="en-CA"/>
        </w:rPr>
        <w:t>for the NOE include the following</w:t>
      </w:r>
      <w:r w:rsidRPr="0080212A">
        <w:rPr>
          <w:lang w:val="en-CA"/>
        </w:rPr>
        <w:t>: PSI,</w:t>
      </w:r>
      <w:r w:rsidRPr="0080212A">
        <w:rPr>
          <w:color w:val="FF0000"/>
          <w:lang w:val="en-CA"/>
        </w:rPr>
        <w:t xml:space="preserve"> </w:t>
      </w:r>
      <w:r w:rsidRPr="0080212A">
        <w:rPr>
          <w:lang w:val="en-CA"/>
        </w:rPr>
        <w:t>T</w:t>
      </w:r>
      <w:r w:rsidR="00C36547" w:rsidRPr="0080212A">
        <w:rPr>
          <w:lang w:val="en-CA"/>
        </w:rPr>
        <w:t xml:space="preserve">UP-S, TUP-S RCT, RNS, BHPS, </w:t>
      </w:r>
      <w:r w:rsidR="00DA0D9A">
        <w:rPr>
          <w:lang w:val="en-CA"/>
        </w:rPr>
        <w:t xml:space="preserve">and </w:t>
      </w:r>
      <w:r w:rsidR="00C36547" w:rsidRPr="0080212A">
        <w:rPr>
          <w:lang w:val="en-CA"/>
        </w:rPr>
        <w:t xml:space="preserve">SMSS. Specific procedures to protect the privacy of respondents are described below. </w:t>
      </w:r>
    </w:p>
    <w:p w14:paraId="4B589C7D" w14:textId="1DB27C5B" w:rsidR="00503204" w:rsidRPr="00F1465D" w:rsidRDefault="00503204" w:rsidP="00370F0A">
      <w:pPr>
        <w:pStyle w:val="SuicideBodyText"/>
        <w:numPr>
          <w:ilvl w:val="0"/>
          <w:numId w:val="64"/>
        </w:numPr>
        <w:spacing w:after="200"/>
        <w:rPr>
          <w:lang w:val="en-CA"/>
        </w:rPr>
      </w:pPr>
      <w:r w:rsidRPr="0080212A">
        <w:rPr>
          <w:b/>
          <w:lang w:val="en-CA"/>
        </w:rPr>
        <w:t>PSI</w:t>
      </w:r>
      <w:r w:rsidR="00B37224" w:rsidRPr="0080212A">
        <w:rPr>
          <w:b/>
          <w:lang w:val="en-CA"/>
        </w:rPr>
        <w:t>:</w:t>
      </w:r>
      <w:r w:rsidRPr="0080212A">
        <w:rPr>
          <w:lang w:val="en-CA"/>
        </w:rPr>
        <w:t xml:space="preserve"> Information to complete the inventories will be directly entered into the Web-based system. To access</w:t>
      </w:r>
      <w:r w:rsidRPr="00F1465D">
        <w:rPr>
          <w:lang w:val="en-CA"/>
        </w:rPr>
        <w:t xml:space="preserve"> the system, respondents receive an individual username and password to protect their privacy and no identifying information is requested on the inventories. </w:t>
      </w:r>
    </w:p>
    <w:p w14:paraId="2F8B0C3F" w14:textId="1F1CC835" w:rsidR="00702939" w:rsidRDefault="00B37224" w:rsidP="00370F0A">
      <w:pPr>
        <w:pStyle w:val="SuicideBodyText"/>
        <w:numPr>
          <w:ilvl w:val="0"/>
          <w:numId w:val="64"/>
        </w:numPr>
        <w:spacing w:after="200"/>
      </w:pPr>
      <w:r>
        <w:rPr>
          <w:b/>
          <w:lang w:val="en-CA"/>
        </w:rPr>
        <w:t>TUP-S</w:t>
      </w:r>
      <w:r w:rsidR="00702939">
        <w:rPr>
          <w:lang w:val="en-CA"/>
        </w:rPr>
        <w:t>:</w:t>
      </w:r>
      <w:r w:rsidR="00503204" w:rsidRPr="00F1465D">
        <w:rPr>
          <w:lang w:val="en-CA"/>
        </w:rPr>
        <w:t xml:space="preserve"> </w:t>
      </w:r>
      <w:r w:rsidR="00702939" w:rsidRPr="00016F35">
        <w:t xml:space="preserve">Prior to each training event, all training participants will be asked to respond to a request for consent to contact for </w:t>
      </w:r>
      <w:r w:rsidR="00AE3B1F">
        <w:t>the TUP-S</w:t>
      </w:r>
      <w:r w:rsidR="00702939" w:rsidRPr="00016F35">
        <w:t xml:space="preserve"> that will gather </w:t>
      </w:r>
      <w:r w:rsidR="00702939" w:rsidRPr="0080212A">
        <w:t xml:space="preserve">information about identification and referral behaviors to help establish a baseline about trainee behaviors. </w:t>
      </w:r>
      <w:r w:rsidR="00C10AE1" w:rsidRPr="0080212A">
        <w:rPr>
          <w:iCs/>
          <w:lang w:val="en-CA"/>
        </w:rPr>
        <w:t>The consent-to-contact form will include a training participant ID (which contains no identifying information) and ask participants to provide the identifying information (name,</w:t>
      </w:r>
      <w:r w:rsidR="00C10AE1" w:rsidRPr="00F1465D">
        <w:rPr>
          <w:iCs/>
          <w:lang w:val="en-CA"/>
        </w:rPr>
        <w:t xml:space="preserve"> telephone number, and mailing address) necessary </w:t>
      </w:r>
      <w:r w:rsidR="00C10AE1">
        <w:rPr>
          <w:iCs/>
          <w:lang w:val="en-CA"/>
        </w:rPr>
        <w:t xml:space="preserve">to contact them </w:t>
      </w:r>
      <w:r w:rsidR="00C10AE1" w:rsidRPr="00F1465D">
        <w:rPr>
          <w:iCs/>
          <w:lang w:val="en-CA"/>
        </w:rPr>
        <w:t xml:space="preserve">for the </w:t>
      </w:r>
      <w:r w:rsidR="00C10AE1">
        <w:rPr>
          <w:iCs/>
          <w:lang w:val="en-CA"/>
        </w:rPr>
        <w:t>survey</w:t>
      </w:r>
      <w:r w:rsidR="00C10AE1" w:rsidRPr="00F1465D">
        <w:rPr>
          <w:iCs/>
          <w:lang w:val="en-CA"/>
        </w:rPr>
        <w:t xml:space="preserve"> and </w:t>
      </w:r>
      <w:r w:rsidR="00C10AE1">
        <w:rPr>
          <w:iCs/>
          <w:lang w:val="en-CA"/>
        </w:rPr>
        <w:t>administer</w:t>
      </w:r>
      <w:r w:rsidR="00C10AE1" w:rsidRPr="00F1465D">
        <w:rPr>
          <w:iCs/>
          <w:lang w:val="en-CA"/>
        </w:rPr>
        <w:t xml:space="preserve"> the incentive. </w:t>
      </w:r>
      <w:r w:rsidR="00702939" w:rsidRPr="00016F35">
        <w:t xml:space="preserve">A link to an online form will be shared with grantees to gather this information at registration prior to the trainings. Alternatively, grantees and training facilitators can collect the information before the training activity </w:t>
      </w:r>
      <w:r w:rsidR="00C10AE1">
        <w:t>via</w:t>
      </w:r>
      <w:r w:rsidR="00702939" w:rsidRPr="00016F35">
        <w:t xml:space="preserve"> hard-copy form or by sharing the link to the online form (which will be mobile device compatible). Information gathered via hard-copy form will be returned to ICF (or submitted online to ICF). Trainees who are assessed at 3 months will be asked for their consent to be contacted for a follow-up at 6 months. </w:t>
      </w:r>
      <w:r w:rsidR="00C10AE1">
        <w:rPr>
          <w:iCs/>
          <w:lang w:val="en-CA"/>
        </w:rPr>
        <w:t xml:space="preserve">Verbal consent will be obtained at the </w:t>
      </w:r>
      <w:r w:rsidR="00AE3B1F">
        <w:rPr>
          <w:iCs/>
          <w:lang w:val="en-CA"/>
        </w:rPr>
        <w:t xml:space="preserve">start </w:t>
      </w:r>
      <w:r w:rsidR="005C2668">
        <w:t>at the start of survey administration</w:t>
      </w:r>
      <w:r w:rsidR="00AE3B1F">
        <w:rPr>
          <w:iCs/>
          <w:lang w:val="en-CA"/>
        </w:rPr>
        <w:t>.</w:t>
      </w:r>
      <w:r w:rsidR="00C10AE1" w:rsidRPr="00F1465D">
        <w:rPr>
          <w:iCs/>
          <w:lang w:val="en-CA"/>
        </w:rPr>
        <w:t xml:space="preserve"> </w:t>
      </w:r>
    </w:p>
    <w:p w14:paraId="6C43505E" w14:textId="77777777" w:rsidR="005D2F7A" w:rsidRDefault="00702939" w:rsidP="00370F0A">
      <w:pPr>
        <w:pStyle w:val="GLSBody"/>
        <w:numPr>
          <w:ilvl w:val="0"/>
          <w:numId w:val="64"/>
        </w:numPr>
        <w:spacing w:after="200"/>
      </w:pPr>
      <w:r w:rsidRPr="00D157E6">
        <w:rPr>
          <w:b/>
          <w:iCs/>
          <w:lang w:val="en-CA"/>
        </w:rPr>
        <w:t>TUP-S RCT</w:t>
      </w:r>
      <w:r>
        <w:rPr>
          <w:iCs/>
          <w:lang w:val="en-CA"/>
        </w:rPr>
        <w:t xml:space="preserve">: </w:t>
      </w:r>
      <w:r w:rsidR="00AE3B1F">
        <w:t>G</w:t>
      </w:r>
      <w:r w:rsidRPr="00016F35">
        <w:t xml:space="preserve">rantees </w:t>
      </w:r>
      <w:r w:rsidR="00AE3B1F">
        <w:t xml:space="preserve">participating in the </w:t>
      </w:r>
      <w:r w:rsidR="00D157E6">
        <w:t xml:space="preserve">Training Study </w:t>
      </w:r>
      <w:r w:rsidR="00AE3B1F">
        <w:t xml:space="preserve">RCT </w:t>
      </w:r>
      <w:r w:rsidRPr="00016F35">
        <w:t xml:space="preserve">will share </w:t>
      </w:r>
      <w:r w:rsidR="00AE3B1F">
        <w:t>the TUP-S RCT</w:t>
      </w:r>
      <w:r w:rsidRPr="00016F35">
        <w:t xml:space="preserve"> consent-to-contact form with prospective participants at registration. ICF will e-mail a link to an online consent-to-contact form to facilitate the process for those sites that </w:t>
      </w:r>
      <w:r w:rsidR="00AE3B1F">
        <w:t>offer</w:t>
      </w:r>
      <w:r w:rsidRPr="00016F35">
        <w:t xml:space="preserve"> online registration; this will send information electronically to ICF. If hard-copy consent-to-contact forms are distributed, the grantee will gather the forms and send them to ICF for processing. </w:t>
      </w:r>
      <w:r w:rsidR="005C2668" w:rsidRPr="00016F35">
        <w:t xml:space="preserve">Trainees who </w:t>
      </w:r>
      <w:r w:rsidR="005C2668">
        <w:t xml:space="preserve">participate at baselines will </w:t>
      </w:r>
      <w:r w:rsidR="005C2668" w:rsidRPr="00016F35">
        <w:t xml:space="preserve">be asked for their consent to be contacted </w:t>
      </w:r>
      <w:r w:rsidR="005C2668">
        <w:t xml:space="preserve">prior to the 3-, 6-, and 12-month surveys. Verbal consent will be obtained at the start of survey administration. </w:t>
      </w:r>
    </w:p>
    <w:p w14:paraId="4CC68774" w14:textId="6D6F144A" w:rsidR="00DE255F" w:rsidRPr="00016F35" w:rsidRDefault="00B37224" w:rsidP="00370F0A">
      <w:pPr>
        <w:pStyle w:val="GLSBody"/>
        <w:numPr>
          <w:ilvl w:val="0"/>
          <w:numId w:val="64"/>
        </w:numPr>
        <w:spacing w:after="200"/>
      </w:pPr>
      <w:r>
        <w:rPr>
          <w:b/>
          <w:bCs/>
          <w:iCs/>
          <w:lang w:val="en-CA"/>
        </w:rPr>
        <w:t xml:space="preserve">RNS </w:t>
      </w:r>
      <w:r w:rsidRPr="00F851EE">
        <w:rPr>
          <w:bCs/>
          <w:iCs/>
          <w:lang w:val="en-CA"/>
        </w:rPr>
        <w:t>and</w:t>
      </w:r>
      <w:r>
        <w:rPr>
          <w:b/>
          <w:bCs/>
          <w:iCs/>
          <w:lang w:val="en-CA"/>
        </w:rPr>
        <w:t xml:space="preserve"> BHPS:</w:t>
      </w:r>
      <w:r w:rsidR="00503204" w:rsidRPr="00F1465D">
        <w:rPr>
          <w:b/>
          <w:bCs/>
          <w:iCs/>
          <w:lang w:val="en-CA"/>
        </w:rPr>
        <w:t xml:space="preserve"> </w:t>
      </w:r>
      <w:r w:rsidR="00503204" w:rsidRPr="00F1465D">
        <w:t xml:space="preserve">Identifying information for respondents to the </w:t>
      </w:r>
      <w:r w:rsidR="00DE255F">
        <w:t>RNS and BHPS</w:t>
      </w:r>
      <w:r w:rsidR="00503204" w:rsidRPr="00F1465D">
        <w:t xml:space="preserve"> will be necessary </w:t>
      </w:r>
      <w:r w:rsidR="00DE255F">
        <w:t xml:space="preserve">for survey administration. </w:t>
      </w:r>
      <w:r w:rsidR="00503204" w:rsidRPr="00F1465D">
        <w:t>Contact information will be limited to agency affiliations, names, email addresses and telephone numbers</w:t>
      </w:r>
      <w:r w:rsidR="00DE255F">
        <w:t xml:space="preserve"> and w</w:t>
      </w:r>
      <w:r w:rsidR="00503204" w:rsidRPr="00F1465D">
        <w:t xml:space="preserve">ill be </w:t>
      </w:r>
      <w:r w:rsidR="00503204" w:rsidRPr="00F1465D">
        <w:rPr>
          <w:lang w:val="en-CA"/>
        </w:rPr>
        <w:t>entered into a password-protected database</w:t>
      </w:r>
      <w:r w:rsidR="00DE255F">
        <w:rPr>
          <w:lang w:val="en-CA"/>
        </w:rPr>
        <w:t>.</w:t>
      </w:r>
      <w:r w:rsidR="00503204" w:rsidRPr="00F1465D">
        <w:rPr>
          <w:lang w:val="en-CA"/>
        </w:rPr>
        <w:t xml:space="preserve"> </w:t>
      </w:r>
      <w:r w:rsidR="00DE255F">
        <w:rPr>
          <w:lang w:val="en-CA"/>
        </w:rPr>
        <w:t>Although</w:t>
      </w:r>
      <w:r w:rsidR="00503204" w:rsidRPr="00F1465D">
        <w:rPr>
          <w:lang w:val="en-CA"/>
        </w:rPr>
        <w:t xml:space="preserve"> the individual’s identifying name will not be used by any reports or datasets, the reports and datasets will contain the name of the agency/organization and the information provided about the agency or organization. Therefore, an individual may be identifiable when reporting results. Respondents are informed of possible identification in the consent language at the start of the Web-surveys</w:t>
      </w:r>
      <w:r w:rsidR="00DE255F">
        <w:rPr>
          <w:lang w:val="en-CA"/>
        </w:rPr>
        <w:t>.</w:t>
      </w:r>
      <w:r w:rsidR="00503204" w:rsidRPr="00F1465D">
        <w:rPr>
          <w:lang w:val="en-CA"/>
        </w:rPr>
        <w:t xml:space="preserve"> </w:t>
      </w:r>
      <w:r w:rsidR="005C2668">
        <w:t>To</w:t>
      </w:r>
      <w:r w:rsidR="00DE255F" w:rsidRPr="00016F35">
        <w:t xml:space="preserve"> capture the potentially lengthy set of NPIs associated within provider organizations </w:t>
      </w:r>
      <w:r w:rsidR="005C2668">
        <w:t xml:space="preserve">(to </w:t>
      </w:r>
      <w:r w:rsidR="00DE255F" w:rsidRPr="00016F35">
        <w:t>link to the Medicaid claims data for analyses</w:t>
      </w:r>
      <w:r w:rsidR="005C2668">
        <w:t>)</w:t>
      </w:r>
      <w:r w:rsidR="00DE255F" w:rsidRPr="00016F35">
        <w:t>, the BHPS will include a link so that providers can upload a file containing NPIs rather than entering them in the survey form.</w:t>
      </w:r>
    </w:p>
    <w:p w14:paraId="3C0CB16B" w14:textId="1FB75B14" w:rsidR="00503204" w:rsidRPr="00F1465D" w:rsidRDefault="00B37224" w:rsidP="00370F0A">
      <w:pPr>
        <w:pStyle w:val="SuicideBodyText"/>
        <w:numPr>
          <w:ilvl w:val="0"/>
          <w:numId w:val="64"/>
        </w:numPr>
        <w:rPr>
          <w:bCs/>
          <w:iCs/>
          <w:lang w:val="en-CA"/>
        </w:rPr>
      </w:pPr>
      <w:r>
        <w:rPr>
          <w:b/>
          <w:bCs/>
          <w:iCs/>
          <w:lang w:val="en-CA"/>
        </w:rPr>
        <w:t>SMSS</w:t>
      </w:r>
      <w:r w:rsidR="005C2668">
        <w:rPr>
          <w:b/>
          <w:bCs/>
          <w:iCs/>
          <w:lang w:val="en-CA"/>
        </w:rPr>
        <w:t>:</w:t>
      </w:r>
      <w:r w:rsidR="00503204" w:rsidRPr="00F1465D">
        <w:rPr>
          <w:b/>
          <w:bCs/>
          <w:iCs/>
          <w:lang w:val="en-CA"/>
        </w:rPr>
        <w:t xml:space="preserve"> </w:t>
      </w:r>
      <w:r w:rsidR="00503204" w:rsidRPr="00F1465D">
        <w:rPr>
          <w:bCs/>
          <w:iCs/>
          <w:lang w:val="en-CA"/>
        </w:rPr>
        <w:t>Identifying information will be necessary to contact respondents via text message</w:t>
      </w:r>
      <w:r w:rsidR="00FF7113">
        <w:rPr>
          <w:bCs/>
          <w:iCs/>
          <w:lang w:val="en-CA"/>
        </w:rPr>
        <w:t xml:space="preserve"> and will b</w:t>
      </w:r>
      <w:r w:rsidR="00503204" w:rsidRPr="00F1465D">
        <w:rPr>
          <w:bCs/>
          <w:iCs/>
          <w:lang w:val="en-CA"/>
        </w:rPr>
        <w:t xml:space="preserve">e limited to a mobile phone number. </w:t>
      </w:r>
      <w:r w:rsidR="00FF7113">
        <w:rPr>
          <w:bCs/>
          <w:iCs/>
          <w:lang w:val="en-CA"/>
        </w:rPr>
        <w:t>Campus grantee staff will assist in recruiting students for the baseline SMSS.</w:t>
      </w:r>
      <w:r w:rsidR="008368B7">
        <w:rPr>
          <w:bCs/>
          <w:iCs/>
          <w:lang w:val="en-CA"/>
        </w:rPr>
        <w:t xml:space="preserve"> </w:t>
      </w:r>
      <w:r w:rsidR="00503204" w:rsidRPr="00F1465D">
        <w:rPr>
          <w:bCs/>
          <w:iCs/>
          <w:lang w:val="en-CA"/>
        </w:rPr>
        <w:t xml:space="preserve">Each student whose number has been obtained will receive an initial text message asking if he or she would like to participate in a text survey about suicide prevention. Upon responding “yes,” the student will receive 2-3 messages containing consent </w:t>
      </w:r>
      <w:r w:rsidR="00503204" w:rsidRPr="005C2668">
        <w:rPr>
          <w:bCs/>
          <w:iCs/>
          <w:lang w:val="en-CA"/>
        </w:rPr>
        <w:t>language,</w:t>
      </w:r>
      <w:r w:rsidR="00503204" w:rsidRPr="00F1465D">
        <w:rPr>
          <w:bCs/>
          <w:iCs/>
          <w:lang w:val="en-CA"/>
        </w:rPr>
        <w:t xml:space="preserve"> including background information about the study, risks and benefits, as well as information to contact the </w:t>
      </w:r>
      <w:r w:rsidR="00FF7113">
        <w:rPr>
          <w:bCs/>
          <w:iCs/>
          <w:lang w:val="en-CA"/>
        </w:rPr>
        <w:t>NSPL</w:t>
      </w:r>
      <w:r w:rsidR="00503204" w:rsidRPr="00F1465D">
        <w:rPr>
          <w:bCs/>
          <w:iCs/>
          <w:lang w:val="en-CA"/>
        </w:rPr>
        <w:t xml:space="preserve"> if they require help. After the consent process, students will have the option to select “yes” to continue to the survey. Identifying information will not be used for analysis or reporting efforts.</w:t>
      </w:r>
      <w:r w:rsidR="00FF7113">
        <w:rPr>
          <w:bCs/>
          <w:iCs/>
          <w:lang w:val="en-CA"/>
        </w:rPr>
        <w:t xml:space="preserve"> </w:t>
      </w:r>
    </w:p>
    <w:p w14:paraId="502659C1" w14:textId="37C45FC2" w:rsidR="007D1703" w:rsidRPr="00084715" w:rsidRDefault="007D1703" w:rsidP="00443E33">
      <w:pPr>
        <w:pStyle w:val="SuicideBodyText"/>
        <w:keepNext/>
        <w:numPr>
          <w:ilvl w:val="0"/>
          <w:numId w:val="17"/>
        </w:numPr>
        <w:spacing w:before="240" w:after="120"/>
        <w:rPr>
          <w:rFonts w:ascii="Tw Cen MT" w:hAnsi="Tw Cen MT" w:cs="Arial"/>
          <w:b/>
          <w:sz w:val="28"/>
          <w:szCs w:val="28"/>
        </w:rPr>
      </w:pPr>
      <w:r w:rsidRPr="00084715">
        <w:rPr>
          <w:rFonts w:ascii="Tw Cen MT" w:hAnsi="Tw Cen MT" w:cs="Arial"/>
          <w:b/>
          <w:sz w:val="28"/>
          <w:szCs w:val="28"/>
          <w:lang w:val="en-CA"/>
        </w:rPr>
        <w:t>Questions of a Sensitive Nature</w:t>
      </w:r>
    </w:p>
    <w:p w14:paraId="4A697323" w14:textId="0546F5B0" w:rsidR="007D1703" w:rsidRPr="00F851EE" w:rsidRDefault="007D1703" w:rsidP="00966D74">
      <w:pPr>
        <w:pStyle w:val="SuicideBodyText"/>
        <w:spacing w:after="200"/>
      </w:pPr>
      <w:r w:rsidRPr="00F851EE">
        <w:t xml:space="preserve">Survey and interview instruments include questions that are potentially sensitive because this project concerns suicide prevention. These questions collect information about mental health, substance abuse, family circumstances, mental health services seeking, and suicide. These questions are central to the agency’s goal of learning about the protective factors and campus wellness context related to suicide prevention. Names and email addresses collected as part of the consent process will be kept separate from responses as stated above. All data will be managed and stored in the manner described above and therefore will be unavailable to anyone but authorized project staff. Active consent forms explicitly advise potential respondents and participants about the sensitive nature and content of the data collection protocol as well as the voluntary nature of all data collection activities. Unanticipated or negative consequences will be reported immediately to the campus and ICF </w:t>
      </w:r>
      <w:r w:rsidR="00215EC3" w:rsidRPr="00F851EE">
        <w:t xml:space="preserve">institutional </w:t>
      </w:r>
      <w:r w:rsidRPr="00F851EE">
        <w:t xml:space="preserve">review boards (IRB). The Principal Investigator and Project Director will also consult with appropriate clinical professionals and immediately determine if the participant presents a risk to themselves or others and make appropriate referrals. The proposed protocols were submitted to the ICF IRB for review and were approved on </w:t>
      </w:r>
      <w:r w:rsidR="00622EC5" w:rsidRPr="005A27FB">
        <w:t>d</w:t>
      </w:r>
      <w:r w:rsidR="00FF7113" w:rsidRPr="005A27FB">
        <w:t>ate</w:t>
      </w:r>
      <w:r w:rsidRPr="005A27FB">
        <w:t>.</w:t>
      </w:r>
      <w:r w:rsidRPr="00F851EE">
        <w:t xml:space="preserve"> Updated protocols will be submitted to the IRB once OMB approval is received.</w:t>
      </w:r>
    </w:p>
    <w:p w14:paraId="563E6145" w14:textId="3CE2841F" w:rsidR="007D1703" w:rsidRDefault="007D1703" w:rsidP="00966D74">
      <w:pPr>
        <w:pStyle w:val="SuicideBodyText"/>
        <w:keepNext/>
        <w:numPr>
          <w:ilvl w:val="0"/>
          <w:numId w:val="17"/>
        </w:numPr>
        <w:spacing w:before="200" w:after="120"/>
        <w:rPr>
          <w:rFonts w:ascii="Tw Cen MT" w:hAnsi="Tw Cen MT" w:cs="Arial"/>
          <w:b/>
          <w:sz w:val="28"/>
          <w:szCs w:val="28"/>
        </w:rPr>
      </w:pPr>
      <w:r w:rsidRPr="0090386F">
        <w:rPr>
          <w:rFonts w:ascii="Tw Cen MT" w:hAnsi="Tw Cen MT" w:cs="Arial"/>
          <w:b/>
          <w:sz w:val="28"/>
          <w:szCs w:val="28"/>
        </w:rPr>
        <w:t>Estimates of Annualized Burden Hours and Costs</w:t>
      </w:r>
    </w:p>
    <w:p w14:paraId="44BAAEAA" w14:textId="77777777" w:rsidR="00BB0E56" w:rsidRPr="00B603E8" w:rsidRDefault="00701A61" w:rsidP="00CF5DFC">
      <w:pPr>
        <w:pStyle w:val="SuicideBodyText"/>
        <w:spacing w:after="200"/>
      </w:pPr>
      <w:r>
        <w:t>Clearance is being requested for 3 ye</w:t>
      </w:r>
      <w:r w:rsidR="00D23D1F">
        <w:t>ars of data collection for the National Outcomes Evaluation</w:t>
      </w:r>
      <w:r w:rsidR="00332004">
        <w:t>.</w:t>
      </w:r>
      <w:r w:rsidRPr="00F1465D">
        <w:t xml:space="preserve"> Data collection for the currently active grantees </w:t>
      </w:r>
      <w:r w:rsidR="00332004">
        <w:t>(</w:t>
      </w:r>
      <w:r w:rsidR="00182E12" w:rsidRPr="00B603E8">
        <w:t xml:space="preserve">104 </w:t>
      </w:r>
      <w:r w:rsidR="00332004" w:rsidRPr="00B603E8">
        <w:t xml:space="preserve">total) </w:t>
      </w:r>
      <w:r w:rsidRPr="00B603E8">
        <w:t>is operating under the previously approved clearance</w:t>
      </w:r>
      <w:r w:rsidR="00332004" w:rsidRPr="00B603E8">
        <w:rPr>
          <w:spacing w:val="-2"/>
        </w:rPr>
        <w:t xml:space="preserve"> (OMB </w:t>
      </w:r>
      <w:r w:rsidR="00332004" w:rsidRPr="00B603E8">
        <w:t>No. 0930-0286),</w:t>
      </w:r>
      <w:r w:rsidRPr="00B603E8">
        <w:t xml:space="preserve"> which </w:t>
      </w:r>
      <w:r w:rsidR="00BB0E56" w:rsidRPr="00B603E8">
        <w:t xml:space="preserve">will expire </w:t>
      </w:r>
      <w:r w:rsidRPr="00B603E8">
        <w:t xml:space="preserve">January </w:t>
      </w:r>
      <w:r w:rsidR="00BB0E56" w:rsidRPr="00B603E8">
        <w:t xml:space="preserve">31, </w:t>
      </w:r>
      <w:r w:rsidRPr="00B603E8">
        <w:t>2017.</w:t>
      </w:r>
    </w:p>
    <w:p w14:paraId="07B21012" w14:textId="27808430" w:rsidR="003E7B58" w:rsidRDefault="00701A61" w:rsidP="003E46E7">
      <w:pPr>
        <w:pStyle w:val="SuicideBodyText"/>
        <w:spacing w:after="600"/>
      </w:pPr>
      <w:r w:rsidRPr="00B603E8">
        <w:t xml:space="preserve">Exhibit </w:t>
      </w:r>
      <w:r w:rsidR="00DD1247" w:rsidRPr="00B603E8">
        <w:t>8</w:t>
      </w:r>
      <w:r w:rsidRPr="00B603E8">
        <w:t xml:space="preserve"> below describes the burden and costs associated with NOE data collection activities. Burden is calculated for </w:t>
      </w:r>
      <w:r w:rsidR="00D23D1F" w:rsidRPr="00B603E8">
        <w:t>4</w:t>
      </w:r>
      <w:r w:rsidR="00182E12" w:rsidRPr="00B603E8">
        <w:t>9</w:t>
      </w:r>
      <w:r w:rsidRPr="00B603E8">
        <w:t xml:space="preserve"> State/Tribal and </w:t>
      </w:r>
      <w:r w:rsidR="00182E12" w:rsidRPr="00B603E8">
        <w:t>91</w:t>
      </w:r>
      <w:r w:rsidRPr="00B603E8">
        <w:t xml:space="preserve"> Campus</w:t>
      </w:r>
      <w:r w:rsidRPr="00332004">
        <w:t xml:space="preserve"> grantees, which represents the number currently </w:t>
      </w:r>
      <w:r w:rsidR="003E7B58" w:rsidRPr="00182E12">
        <w:t>active</w:t>
      </w:r>
      <w:r w:rsidR="00182E12">
        <w:t xml:space="preserve"> (104) and the number expected to be funded in FY 2016 (21) and FY 2017 (15)</w:t>
      </w:r>
      <w:r w:rsidRPr="00182E12">
        <w:t xml:space="preserve">. </w:t>
      </w:r>
      <w:r w:rsidR="00EA53D7">
        <w:t>All Campus grantees, as well as the 7 State/Tribal grantees funded in FY 2013, have 3-year funding cycles. Beginning i</w:t>
      </w:r>
      <w:r w:rsidR="00182E12">
        <w:t>n FY 2014, SAMSHA</w:t>
      </w:r>
      <w:r w:rsidR="0075451C" w:rsidRPr="00182E12">
        <w:t xml:space="preserve"> </w:t>
      </w:r>
      <w:r w:rsidR="00182E12">
        <w:t>e</w:t>
      </w:r>
      <w:r w:rsidR="0075451C" w:rsidRPr="00182E12">
        <w:t xml:space="preserve">xpanded State/Tribal grants </w:t>
      </w:r>
      <w:r w:rsidR="00EA53D7">
        <w:t>to a 5-year funding cycle.</w:t>
      </w:r>
      <w:r w:rsidR="00182E12">
        <w:t xml:space="preserve"> </w:t>
      </w:r>
      <w:r w:rsidR="00EA53D7">
        <w:t xml:space="preserve">This is taken into account in the table below. </w:t>
      </w:r>
      <w:r w:rsidRPr="00182E12">
        <w:t>The cost was calculated based on the hourly wage rates for appropriate wage rate categories using data collected as part of the National Compensation Survey (BLS, 201</w:t>
      </w:r>
      <w:r w:rsidR="00332004" w:rsidRPr="00182E12">
        <w:t>4</w:t>
      </w:r>
      <w:r w:rsidRPr="00182E12">
        <w:t>) and from the U</w:t>
      </w:r>
      <w:r w:rsidR="00332004" w:rsidRPr="00182E12">
        <w:t xml:space="preserve">.S. </w:t>
      </w:r>
      <w:r w:rsidRPr="00182E12">
        <w:t>Department of Labor Federal Minimum Wage Standards.</w:t>
      </w:r>
      <w:r w:rsidR="003E7B58" w:rsidRPr="00182E12">
        <w:t xml:space="preserve"> Exhibit 9 shows an annualized summary</w:t>
      </w:r>
      <w:r w:rsidR="003E7B58" w:rsidRPr="00332004">
        <w:t xml:space="preserve"> of burden hours by respondent type.</w:t>
      </w:r>
    </w:p>
    <w:p w14:paraId="62327DD4" w14:textId="77777777" w:rsidR="00D649AF" w:rsidRDefault="00D649AF" w:rsidP="001E50ED">
      <w:pPr>
        <w:pStyle w:val="SuicideBodyText"/>
        <w:keepNext/>
        <w:spacing w:after="120"/>
        <w:rPr>
          <w:rFonts w:ascii="Tw Cen MT" w:hAnsi="Tw Cen MT"/>
          <w:b/>
        </w:rPr>
      </w:pPr>
      <w:proofErr w:type="gramStart"/>
      <w:r>
        <w:rPr>
          <w:rFonts w:ascii="Tw Cen MT" w:hAnsi="Tw Cen MT"/>
          <w:b/>
        </w:rPr>
        <w:t>Exhibit 8.</w:t>
      </w:r>
      <w:proofErr w:type="gramEnd"/>
      <w:r>
        <w:rPr>
          <w:rFonts w:ascii="Tw Cen MT" w:hAnsi="Tw Cen MT"/>
          <w:b/>
        </w:rPr>
        <w:t xml:space="preserve"> Estimated Annualized Burden Hours and Costs (Across the 3-Year Clearance Period)</w:t>
      </w:r>
    </w:p>
    <w:tbl>
      <w:tblPr>
        <w:tblStyle w:val="TableGrid"/>
        <w:tblW w:w="9720" w:type="dxa"/>
        <w:tblInd w:w="-5" w:type="dxa"/>
        <w:tblLayout w:type="fixed"/>
        <w:tblLook w:val="04A0" w:firstRow="1" w:lastRow="0" w:firstColumn="1" w:lastColumn="0" w:noHBand="0" w:noVBand="1"/>
      </w:tblPr>
      <w:tblGrid>
        <w:gridCol w:w="1260"/>
        <w:gridCol w:w="1440"/>
        <w:gridCol w:w="1170"/>
        <w:gridCol w:w="1170"/>
        <w:gridCol w:w="1080"/>
        <w:gridCol w:w="1080"/>
        <w:gridCol w:w="720"/>
        <w:gridCol w:w="810"/>
        <w:gridCol w:w="990"/>
      </w:tblGrid>
      <w:tr w:rsidR="006E402F" w:rsidRPr="00CF6DB0" w14:paraId="234A1635" w14:textId="77777777" w:rsidTr="006E402F">
        <w:trPr>
          <w:trHeight w:val="746"/>
          <w:tblHeader/>
        </w:trPr>
        <w:tc>
          <w:tcPr>
            <w:tcW w:w="1260" w:type="dxa"/>
            <w:shd w:val="clear" w:color="auto" w:fill="404040" w:themeFill="text1" w:themeFillTint="BF"/>
            <w:tcMar>
              <w:left w:w="58" w:type="dxa"/>
              <w:right w:w="58" w:type="dxa"/>
            </w:tcMar>
            <w:vAlign w:val="center"/>
          </w:tcPr>
          <w:p w14:paraId="25A3D73C" w14:textId="77777777" w:rsidR="005F5486" w:rsidRPr="00CF6DB0" w:rsidRDefault="005F5486" w:rsidP="005B55E4">
            <w:pPr>
              <w:pStyle w:val="SuicideTableHeading1"/>
              <w:rPr>
                <w:rFonts w:ascii="Tw Cen MT" w:hAnsi="Tw Cen MT"/>
                <w:b w:val="0"/>
                <w:color w:val="FFFFFF" w:themeColor="background1"/>
                <w:spacing w:val="-4"/>
                <w:sz w:val="22"/>
                <w:szCs w:val="22"/>
              </w:rPr>
            </w:pPr>
            <w:r w:rsidRPr="00CF6DB0">
              <w:rPr>
                <w:rFonts w:ascii="Tw Cen MT" w:hAnsi="Tw Cen MT"/>
                <w:b w:val="0"/>
                <w:color w:val="FFFFFF" w:themeColor="background1"/>
                <w:spacing w:val="-4"/>
                <w:sz w:val="22"/>
                <w:szCs w:val="22"/>
              </w:rPr>
              <w:t>Type of Respondent</w:t>
            </w:r>
          </w:p>
        </w:tc>
        <w:tc>
          <w:tcPr>
            <w:tcW w:w="1440" w:type="dxa"/>
            <w:shd w:val="clear" w:color="auto" w:fill="404040" w:themeFill="text1" w:themeFillTint="BF"/>
            <w:tcMar>
              <w:left w:w="58" w:type="dxa"/>
              <w:right w:w="58" w:type="dxa"/>
            </w:tcMar>
            <w:vAlign w:val="center"/>
          </w:tcPr>
          <w:p w14:paraId="1984EED1" w14:textId="77777777" w:rsidR="005F5486" w:rsidRPr="00CF6DB0" w:rsidRDefault="005F5486" w:rsidP="005B55E4">
            <w:pPr>
              <w:pStyle w:val="SuicideTableHeading1"/>
              <w:rPr>
                <w:rFonts w:ascii="Tw Cen MT" w:hAnsi="Tw Cen MT"/>
                <w:b w:val="0"/>
                <w:color w:val="FFFFFF" w:themeColor="background1"/>
                <w:spacing w:val="-4"/>
                <w:sz w:val="22"/>
                <w:szCs w:val="22"/>
              </w:rPr>
            </w:pPr>
            <w:r w:rsidRPr="00CF6DB0">
              <w:rPr>
                <w:rFonts w:ascii="Tw Cen MT" w:hAnsi="Tw Cen MT"/>
                <w:b w:val="0"/>
                <w:color w:val="FFFFFF" w:themeColor="background1"/>
                <w:spacing w:val="-4"/>
                <w:sz w:val="22"/>
                <w:szCs w:val="22"/>
              </w:rPr>
              <w:t>Instrument</w:t>
            </w:r>
          </w:p>
        </w:tc>
        <w:tc>
          <w:tcPr>
            <w:tcW w:w="1170" w:type="dxa"/>
            <w:shd w:val="clear" w:color="auto" w:fill="404040" w:themeFill="text1" w:themeFillTint="BF"/>
            <w:tcMar>
              <w:left w:w="58" w:type="dxa"/>
              <w:right w:w="58" w:type="dxa"/>
            </w:tcMar>
            <w:vAlign w:val="center"/>
          </w:tcPr>
          <w:p w14:paraId="1BCA8F7C" w14:textId="77777777" w:rsidR="005F5486" w:rsidRPr="00CF6DB0" w:rsidRDefault="005F5486" w:rsidP="005B55E4">
            <w:pPr>
              <w:pStyle w:val="SuicideTableHeading1"/>
              <w:rPr>
                <w:rFonts w:ascii="Tw Cen MT" w:hAnsi="Tw Cen MT"/>
                <w:b w:val="0"/>
                <w:color w:val="FFFFFF" w:themeColor="background1"/>
                <w:spacing w:val="-4"/>
                <w:sz w:val="22"/>
                <w:szCs w:val="22"/>
              </w:rPr>
            </w:pPr>
            <w:r w:rsidRPr="00CF6DB0">
              <w:rPr>
                <w:rFonts w:ascii="Tw Cen MT" w:hAnsi="Tw Cen MT"/>
                <w:b w:val="0"/>
                <w:color w:val="FFFFFF" w:themeColor="background1"/>
                <w:spacing w:val="-4"/>
                <w:sz w:val="22"/>
                <w:szCs w:val="22"/>
              </w:rPr>
              <w:t>Number of Respondents</w:t>
            </w:r>
          </w:p>
        </w:tc>
        <w:tc>
          <w:tcPr>
            <w:tcW w:w="1170" w:type="dxa"/>
            <w:shd w:val="clear" w:color="auto" w:fill="404040" w:themeFill="text1" w:themeFillTint="BF"/>
            <w:tcMar>
              <w:left w:w="58" w:type="dxa"/>
              <w:right w:w="58" w:type="dxa"/>
            </w:tcMar>
            <w:vAlign w:val="center"/>
          </w:tcPr>
          <w:p w14:paraId="44EF4D6E" w14:textId="77777777" w:rsidR="005F5486" w:rsidRPr="00CF6DB0" w:rsidRDefault="005F5486" w:rsidP="005B55E4">
            <w:pPr>
              <w:pStyle w:val="SuicideTableHeading1"/>
              <w:rPr>
                <w:rFonts w:ascii="Tw Cen MT" w:hAnsi="Tw Cen MT"/>
                <w:b w:val="0"/>
                <w:color w:val="FFFFFF" w:themeColor="background1"/>
                <w:spacing w:val="-4"/>
                <w:sz w:val="22"/>
                <w:szCs w:val="22"/>
              </w:rPr>
            </w:pPr>
            <w:r w:rsidRPr="00CF6DB0">
              <w:rPr>
                <w:rFonts w:ascii="Tw Cen MT" w:hAnsi="Tw Cen MT"/>
                <w:b w:val="0"/>
                <w:color w:val="FFFFFF" w:themeColor="background1"/>
                <w:spacing w:val="-4"/>
                <w:sz w:val="22"/>
                <w:szCs w:val="22"/>
              </w:rPr>
              <w:t>Responses per Respondent</w:t>
            </w:r>
          </w:p>
        </w:tc>
        <w:tc>
          <w:tcPr>
            <w:tcW w:w="1080" w:type="dxa"/>
            <w:shd w:val="clear" w:color="auto" w:fill="404040" w:themeFill="text1" w:themeFillTint="BF"/>
            <w:tcMar>
              <w:left w:w="58" w:type="dxa"/>
              <w:right w:w="58" w:type="dxa"/>
            </w:tcMar>
            <w:vAlign w:val="center"/>
          </w:tcPr>
          <w:p w14:paraId="2B7A5672" w14:textId="77777777" w:rsidR="005F5486" w:rsidRPr="00CF6DB0" w:rsidRDefault="005F5486" w:rsidP="005B55E4">
            <w:pPr>
              <w:pStyle w:val="SuicideTableHeading1"/>
              <w:rPr>
                <w:rFonts w:ascii="Tw Cen MT" w:hAnsi="Tw Cen MT"/>
                <w:b w:val="0"/>
                <w:color w:val="FFFFFF" w:themeColor="background1"/>
                <w:spacing w:val="-4"/>
                <w:sz w:val="22"/>
                <w:szCs w:val="22"/>
              </w:rPr>
            </w:pPr>
            <w:r w:rsidRPr="00CF6DB0">
              <w:rPr>
                <w:rFonts w:ascii="Tw Cen MT" w:hAnsi="Tw Cen MT"/>
                <w:b w:val="0"/>
                <w:color w:val="FFFFFF" w:themeColor="background1"/>
                <w:spacing w:val="-4"/>
                <w:sz w:val="22"/>
                <w:szCs w:val="22"/>
              </w:rPr>
              <w:t>Total Number of Responses</w:t>
            </w:r>
          </w:p>
        </w:tc>
        <w:tc>
          <w:tcPr>
            <w:tcW w:w="1080" w:type="dxa"/>
            <w:shd w:val="clear" w:color="auto" w:fill="404040" w:themeFill="text1" w:themeFillTint="BF"/>
            <w:tcMar>
              <w:left w:w="58" w:type="dxa"/>
              <w:right w:w="58" w:type="dxa"/>
            </w:tcMar>
            <w:vAlign w:val="center"/>
          </w:tcPr>
          <w:p w14:paraId="0F5312F5" w14:textId="5A1F2902" w:rsidR="005F5486" w:rsidRPr="00CF6DB0" w:rsidRDefault="005F5486" w:rsidP="00A225A1">
            <w:pPr>
              <w:pStyle w:val="SuicideTableHeading1"/>
              <w:rPr>
                <w:rFonts w:ascii="Tw Cen MT" w:hAnsi="Tw Cen MT"/>
                <w:b w:val="0"/>
                <w:color w:val="FFFFFF" w:themeColor="background1"/>
                <w:spacing w:val="-4"/>
                <w:sz w:val="22"/>
                <w:szCs w:val="22"/>
              </w:rPr>
            </w:pPr>
            <w:r w:rsidRPr="00CF6DB0">
              <w:rPr>
                <w:rFonts w:ascii="Tw Cen MT" w:hAnsi="Tw Cen MT"/>
                <w:b w:val="0"/>
                <w:color w:val="FFFFFF" w:themeColor="background1"/>
                <w:spacing w:val="-4"/>
                <w:sz w:val="22"/>
                <w:szCs w:val="22"/>
              </w:rPr>
              <w:t>Burden</w:t>
            </w:r>
            <w:r w:rsidR="00A225A1" w:rsidRPr="00CF6DB0">
              <w:rPr>
                <w:rFonts w:ascii="Tw Cen MT" w:hAnsi="Tw Cen MT"/>
                <w:b w:val="0"/>
                <w:color w:val="FFFFFF" w:themeColor="background1"/>
                <w:spacing w:val="-4"/>
                <w:sz w:val="22"/>
                <w:szCs w:val="22"/>
              </w:rPr>
              <w:t xml:space="preserve"> per Res</w:t>
            </w:r>
            <w:r w:rsidRPr="00CF6DB0">
              <w:rPr>
                <w:rFonts w:ascii="Tw Cen MT" w:hAnsi="Tw Cen MT"/>
                <w:b w:val="0"/>
                <w:color w:val="FFFFFF" w:themeColor="background1"/>
                <w:spacing w:val="-4"/>
                <w:sz w:val="22"/>
                <w:szCs w:val="22"/>
              </w:rPr>
              <w:t>ponse (hours)</w:t>
            </w:r>
          </w:p>
        </w:tc>
        <w:tc>
          <w:tcPr>
            <w:tcW w:w="720" w:type="dxa"/>
            <w:shd w:val="clear" w:color="auto" w:fill="404040" w:themeFill="text1" w:themeFillTint="BF"/>
            <w:tcMar>
              <w:left w:w="58" w:type="dxa"/>
              <w:right w:w="58" w:type="dxa"/>
            </w:tcMar>
            <w:vAlign w:val="center"/>
          </w:tcPr>
          <w:p w14:paraId="010AF5AF" w14:textId="77777777" w:rsidR="005F5486" w:rsidRPr="00CF6DB0" w:rsidRDefault="005F5486" w:rsidP="005B55E4">
            <w:pPr>
              <w:pStyle w:val="SuicideTableHeading1"/>
              <w:rPr>
                <w:rFonts w:ascii="Tw Cen MT" w:hAnsi="Tw Cen MT"/>
                <w:b w:val="0"/>
                <w:color w:val="FFFFFF" w:themeColor="background1"/>
                <w:spacing w:val="-4"/>
                <w:sz w:val="22"/>
                <w:szCs w:val="22"/>
              </w:rPr>
            </w:pPr>
            <w:r w:rsidRPr="00CF6DB0">
              <w:rPr>
                <w:rFonts w:ascii="Tw Cen MT" w:hAnsi="Tw Cen MT"/>
                <w:b w:val="0"/>
                <w:color w:val="FFFFFF" w:themeColor="background1"/>
                <w:spacing w:val="-4"/>
                <w:sz w:val="22"/>
                <w:szCs w:val="22"/>
              </w:rPr>
              <w:t>Annual Burden (hours)</w:t>
            </w:r>
          </w:p>
        </w:tc>
        <w:tc>
          <w:tcPr>
            <w:tcW w:w="810" w:type="dxa"/>
            <w:shd w:val="clear" w:color="auto" w:fill="404040" w:themeFill="text1" w:themeFillTint="BF"/>
            <w:tcMar>
              <w:left w:w="58" w:type="dxa"/>
              <w:right w:w="58" w:type="dxa"/>
            </w:tcMar>
            <w:vAlign w:val="center"/>
          </w:tcPr>
          <w:p w14:paraId="1C7FE24A" w14:textId="77777777" w:rsidR="005F5486" w:rsidRPr="00CF6DB0" w:rsidRDefault="005F5486" w:rsidP="005B55E4">
            <w:pPr>
              <w:pStyle w:val="SuicideTableHeading1"/>
              <w:rPr>
                <w:rFonts w:ascii="Tw Cen MT" w:hAnsi="Tw Cen MT"/>
                <w:b w:val="0"/>
                <w:color w:val="FFFFFF" w:themeColor="background1"/>
                <w:spacing w:val="-4"/>
                <w:sz w:val="22"/>
                <w:szCs w:val="22"/>
              </w:rPr>
            </w:pPr>
            <w:r w:rsidRPr="00CF6DB0">
              <w:rPr>
                <w:rFonts w:ascii="Tw Cen MT" w:hAnsi="Tw Cen MT"/>
                <w:b w:val="0"/>
                <w:color w:val="FFFFFF" w:themeColor="background1"/>
                <w:spacing w:val="-4"/>
                <w:sz w:val="22"/>
                <w:szCs w:val="22"/>
              </w:rPr>
              <w:t>Hourly</w:t>
            </w:r>
          </w:p>
          <w:p w14:paraId="7118EEB2" w14:textId="77777777" w:rsidR="005F5486" w:rsidRPr="00CF6DB0" w:rsidRDefault="005F5486" w:rsidP="005B55E4">
            <w:pPr>
              <w:pStyle w:val="SuicideTableHeading1"/>
              <w:rPr>
                <w:rFonts w:ascii="Tw Cen MT" w:hAnsi="Tw Cen MT"/>
                <w:b w:val="0"/>
                <w:color w:val="FFFFFF" w:themeColor="background1"/>
                <w:spacing w:val="-4"/>
                <w:sz w:val="22"/>
                <w:szCs w:val="22"/>
              </w:rPr>
            </w:pPr>
            <w:r w:rsidRPr="00CF6DB0">
              <w:rPr>
                <w:rFonts w:ascii="Tw Cen MT" w:hAnsi="Tw Cen MT"/>
                <w:b w:val="0"/>
                <w:color w:val="FFFFFF" w:themeColor="background1"/>
                <w:spacing w:val="-4"/>
                <w:sz w:val="22"/>
                <w:szCs w:val="22"/>
              </w:rPr>
              <w:t>Wage Rate ($)</w:t>
            </w:r>
          </w:p>
        </w:tc>
        <w:tc>
          <w:tcPr>
            <w:tcW w:w="990" w:type="dxa"/>
            <w:shd w:val="clear" w:color="auto" w:fill="404040" w:themeFill="text1" w:themeFillTint="BF"/>
            <w:tcMar>
              <w:left w:w="58" w:type="dxa"/>
              <w:right w:w="58" w:type="dxa"/>
            </w:tcMar>
            <w:vAlign w:val="center"/>
          </w:tcPr>
          <w:p w14:paraId="648A28BF" w14:textId="77777777" w:rsidR="005F5486" w:rsidRPr="00CF6DB0" w:rsidRDefault="005F5486" w:rsidP="005B55E4">
            <w:pPr>
              <w:pStyle w:val="SuicideTableHeading1"/>
              <w:rPr>
                <w:rFonts w:ascii="Tw Cen MT" w:hAnsi="Tw Cen MT"/>
                <w:b w:val="0"/>
                <w:color w:val="FFFFFF" w:themeColor="background1"/>
                <w:spacing w:val="-4"/>
                <w:sz w:val="22"/>
                <w:szCs w:val="22"/>
              </w:rPr>
            </w:pPr>
            <w:r w:rsidRPr="00CF6DB0">
              <w:rPr>
                <w:rFonts w:ascii="Tw Cen MT" w:hAnsi="Tw Cen MT"/>
                <w:b w:val="0"/>
                <w:color w:val="FFFFFF" w:themeColor="background1"/>
                <w:spacing w:val="-4"/>
                <w:sz w:val="22"/>
                <w:szCs w:val="22"/>
              </w:rPr>
              <w:t>Total Cost ($)</w:t>
            </w:r>
          </w:p>
        </w:tc>
      </w:tr>
      <w:tr w:rsidR="005F5486" w:rsidRPr="00CF6DB0" w14:paraId="572126CC" w14:textId="77777777" w:rsidTr="006E402F">
        <w:trPr>
          <w:trHeight w:val="287"/>
        </w:trPr>
        <w:tc>
          <w:tcPr>
            <w:tcW w:w="9720" w:type="dxa"/>
            <w:gridSpan w:val="9"/>
            <w:shd w:val="clear" w:color="auto" w:fill="D9D9D9" w:themeFill="background1" w:themeFillShade="D9"/>
            <w:tcMar>
              <w:left w:w="58" w:type="dxa"/>
              <w:right w:w="58" w:type="dxa"/>
            </w:tcMar>
            <w:vAlign w:val="center"/>
          </w:tcPr>
          <w:p w14:paraId="6C42BB87" w14:textId="233C77FC" w:rsidR="005F5486" w:rsidRPr="00CF6DB0" w:rsidRDefault="00443E33" w:rsidP="00A225A1">
            <w:pPr>
              <w:pStyle w:val="SuicideTableHeading1"/>
              <w:rPr>
                <w:rFonts w:ascii="Tw Cen MT" w:hAnsi="Tw Cen MT"/>
                <w:caps/>
                <w:color w:val="auto"/>
                <w:spacing w:val="-4"/>
                <w:sz w:val="22"/>
                <w:szCs w:val="22"/>
              </w:rPr>
            </w:pPr>
            <w:r w:rsidRPr="00CF6DB0">
              <w:rPr>
                <w:rFonts w:ascii="Tw Cen MT" w:hAnsi="Tw Cen MT"/>
                <w:bCs/>
                <w:caps/>
                <w:color w:val="auto"/>
                <w:sz w:val="22"/>
                <w:szCs w:val="22"/>
              </w:rPr>
              <w:t>State/Tribal Instruments</w:t>
            </w:r>
          </w:p>
        </w:tc>
      </w:tr>
      <w:tr w:rsidR="006E402F" w:rsidRPr="00CF6DB0" w14:paraId="39AA83B5" w14:textId="77777777" w:rsidTr="006E402F">
        <w:trPr>
          <w:trHeight w:val="314"/>
        </w:trPr>
        <w:tc>
          <w:tcPr>
            <w:tcW w:w="1260" w:type="dxa"/>
            <w:shd w:val="clear" w:color="auto" w:fill="auto"/>
            <w:tcMar>
              <w:left w:w="72" w:type="dxa"/>
              <w:right w:w="72" w:type="dxa"/>
            </w:tcMar>
          </w:tcPr>
          <w:p w14:paraId="2DDA4A95" w14:textId="77777777" w:rsidR="005F5486" w:rsidRPr="00CF6DB0" w:rsidRDefault="005F5486" w:rsidP="005B55E4">
            <w:pPr>
              <w:jc w:val="left"/>
              <w:rPr>
                <w:rFonts w:ascii="Tw Cen MT" w:hAnsi="Tw Cen MT"/>
                <w:color w:val="000000"/>
                <w:sz w:val="22"/>
                <w:szCs w:val="22"/>
              </w:rPr>
            </w:pPr>
            <w:r w:rsidRPr="00CF6DB0">
              <w:rPr>
                <w:rFonts w:ascii="Tw Cen MT" w:hAnsi="Tw Cen MT"/>
                <w:color w:val="000000"/>
                <w:sz w:val="22"/>
                <w:szCs w:val="22"/>
              </w:rPr>
              <w:t xml:space="preserve">Project Evaluator </w:t>
            </w:r>
          </w:p>
        </w:tc>
        <w:tc>
          <w:tcPr>
            <w:tcW w:w="1440" w:type="dxa"/>
            <w:tcMar>
              <w:left w:w="72" w:type="dxa"/>
              <w:right w:w="72" w:type="dxa"/>
            </w:tcMar>
          </w:tcPr>
          <w:p w14:paraId="2A6C143E" w14:textId="509D6B8F" w:rsidR="005F5486" w:rsidRPr="00CF6DB0" w:rsidRDefault="00BF5CAE" w:rsidP="005B55E4">
            <w:pPr>
              <w:jc w:val="left"/>
              <w:rPr>
                <w:rFonts w:ascii="Tw Cen MT" w:hAnsi="Tw Cen MT"/>
                <w:color w:val="000000"/>
                <w:sz w:val="22"/>
                <w:szCs w:val="22"/>
              </w:rPr>
            </w:pPr>
            <w:r w:rsidRPr="00CF6DB0">
              <w:rPr>
                <w:rFonts w:ascii="Tw Cen MT" w:hAnsi="Tw Cen MT"/>
                <w:color w:val="000000"/>
                <w:sz w:val="22"/>
                <w:szCs w:val="22"/>
              </w:rPr>
              <w:t>PSI</w:t>
            </w:r>
            <w:r w:rsidR="005F5486" w:rsidRPr="00CF6DB0">
              <w:rPr>
                <w:rFonts w:ascii="Tw Cen MT" w:hAnsi="Tw Cen MT"/>
                <w:color w:val="000000"/>
                <w:sz w:val="22"/>
                <w:szCs w:val="22"/>
              </w:rPr>
              <w:t xml:space="preserve"> </w:t>
            </w:r>
          </w:p>
        </w:tc>
        <w:tc>
          <w:tcPr>
            <w:tcW w:w="1170" w:type="dxa"/>
            <w:tcMar>
              <w:left w:w="72" w:type="dxa"/>
              <w:right w:w="72" w:type="dxa"/>
            </w:tcMar>
          </w:tcPr>
          <w:p w14:paraId="0F514766"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43</w:t>
            </w:r>
          </w:p>
        </w:tc>
        <w:tc>
          <w:tcPr>
            <w:tcW w:w="1170" w:type="dxa"/>
            <w:tcMar>
              <w:left w:w="72" w:type="dxa"/>
              <w:right w:w="72" w:type="dxa"/>
            </w:tcMar>
          </w:tcPr>
          <w:p w14:paraId="3C2CC25C" w14:textId="77777777" w:rsidR="005F5486" w:rsidRPr="00CF6DB0" w:rsidRDefault="005F5486" w:rsidP="005B55E4">
            <w:pPr>
              <w:jc w:val="center"/>
              <w:rPr>
                <w:rFonts w:ascii="Tw Cen MT" w:hAnsi="Tw Cen MT"/>
                <w:sz w:val="22"/>
                <w:szCs w:val="22"/>
              </w:rPr>
            </w:pPr>
            <w:r w:rsidRPr="00CF6DB0">
              <w:rPr>
                <w:rFonts w:ascii="Tw Cen MT" w:hAnsi="Tw Cen MT"/>
                <w:sz w:val="22"/>
                <w:szCs w:val="22"/>
              </w:rPr>
              <w:t>4</w:t>
            </w:r>
          </w:p>
        </w:tc>
        <w:tc>
          <w:tcPr>
            <w:tcW w:w="1080" w:type="dxa"/>
            <w:tcMar>
              <w:left w:w="72" w:type="dxa"/>
              <w:right w:w="72" w:type="dxa"/>
            </w:tcMar>
          </w:tcPr>
          <w:p w14:paraId="1C292701"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172</w:t>
            </w:r>
          </w:p>
        </w:tc>
        <w:tc>
          <w:tcPr>
            <w:tcW w:w="1080" w:type="dxa"/>
            <w:tcMar>
              <w:left w:w="72" w:type="dxa"/>
              <w:right w:w="72" w:type="dxa"/>
            </w:tcMar>
          </w:tcPr>
          <w:p w14:paraId="71CA1432"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0.750</w:t>
            </w:r>
          </w:p>
        </w:tc>
        <w:tc>
          <w:tcPr>
            <w:tcW w:w="720" w:type="dxa"/>
            <w:tcMar>
              <w:left w:w="72" w:type="dxa"/>
              <w:right w:w="72" w:type="dxa"/>
            </w:tcMar>
          </w:tcPr>
          <w:p w14:paraId="7075C343"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129</w:t>
            </w:r>
          </w:p>
        </w:tc>
        <w:tc>
          <w:tcPr>
            <w:tcW w:w="810" w:type="dxa"/>
            <w:tcMar>
              <w:left w:w="72" w:type="dxa"/>
              <w:right w:w="72" w:type="dxa"/>
            </w:tcMar>
          </w:tcPr>
          <w:p w14:paraId="70D0E057"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36.72</w:t>
            </w:r>
          </w:p>
        </w:tc>
        <w:tc>
          <w:tcPr>
            <w:tcW w:w="990" w:type="dxa"/>
            <w:tcMar>
              <w:left w:w="72" w:type="dxa"/>
              <w:right w:w="72" w:type="dxa"/>
            </w:tcMar>
          </w:tcPr>
          <w:p w14:paraId="183B6551"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4,737</w:t>
            </w:r>
          </w:p>
        </w:tc>
      </w:tr>
      <w:tr w:rsidR="006E402F" w:rsidRPr="00CF6DB0" w14:paraId="2EC383FA" w14:textId="77777777" w:rsidTr="006E402F">
        <w:trPr>
          <w:trHeight w:val="314"/>
        </w:trPr>
        <w:tc>
          <w:tcPr>
            <w:tcW w:w="1260" w:type="dxa"/>
            <w:shd w:val="clear" w:color="auto" w:fill="auto"/>
            <w:tcMar>
              <w:left w:w="72" w:type="dxa"/>
              <w:right w:w="72" w:type="dxa"/>
            </w:tcMar>
          </w:tcPr>
          <w:p w14:paraId="5D8B81D5" w14:textId="77777777" w:rsidR="005F5486" w:rsidRPr="00CF6DB0" w:rsidRDefault="005F5486" w:rsidP="005B55E4">
            <w:pPr>
              <w:jc w:val="left"/>
              <w:rPr>
                <w:rFonts w:ascii="Tw Cen MT" w:hAnsi="Tw Cen MT"/>
                <w:color w:val="000000"/>
                <w:sz w:val="22"/>
                <w:szCs w:val="22"/>
              </w:rPr>
            </w:pPr>
            <w:r w:rsidRPr="00CF6DB0">
              <w:rPr>
                <w:rFonts w:ascii="Tw Cen MT" w:hAnsi="Tw Cen MT"/>
                <w:color w:val="000000"/>
                <w:sz w:val="22"/>
                <w:szCs w:val="22"/>
              </w:rPr>
              <w:t xml:space="preserve">Project Evaluator </w:t>
            </w:r>
          </w:p>
        </w:tc>
        <w:tc>
          <w:tcPr>
            <w:tcW w:w="1440" w:type="dxa"/>
            <w:tcMar>
              <w:left w:w="72" w:type="dxa"/>
              <w:right w:w="72" w:type="dxa"/>
            </w:tcMar>
          </w:tcPr>
          <w:p w14:paraId="4C00A25E" w14:textId="7738B3C8" w:rsidR="005F5486" w:rsidRPr="00CF6DB0" w:rsidRDefault="00BF5CAE" w:rsidP="005B55E4">
            <w:pPr>
              <w:jc w:val="left"/>
              <w:rPr>
                <w:rFonts w:ascii="Tw Cen MT" w:hAnsi="Tw Cen MT"/>
                <w:color w:val="000000"/>
                <w:sz w:val="22"/>
                <w:szCs w:val="22"/>
              </w:rPr>
            </w:pPr>
            <w:r w:rsidRPr="00CF6DB0">
              <w:rPr>
                <w:rFonts w:ascii="Tw Cen MT" w:hAnsi="Tw Cen MT"/>
                <w:color w:val="000000"/>
                <w:sz w:val="22"/>
                <w:szCs w:val="22"/>
              </w:rPr>
              <w:t>TASP</w:t>
            </w:r>
          </w:p>
        </w:tc>
        <w:tc>
          <w:tcPr>
            <w:tcW w:w="1170" w:type="dxa"/>
            <w:tcMar>
              <w:left w:w="72" w:type="dxa"/>
              <w:right w:w="72" w:type="dxa"/>
            </w:tcMar>
          </w:tcPr>
          <w:p w14:paraId="4F61CFC2"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43</w:t>
            </w:r>
          </w:p>
        </w:tc>
        <w:tc>
          <w:tcPr>
            <w:tcW w:w="1170" w:type="dxa"/>
            <w:tcMar>
              <w:left w:w="72" w:type="dxa"/>
              <w:right w:w="72" w:type="dxa"/>
            </w:tcMar>
          </w:tcPr>
          <w:p w14:paraId="766C169F" w14:textId="77777777" w:rsidR="005F5486" w:rsidRPr="00CF6DB0" w:rsidRDefault="005F5486" w:rsidP="005B55E4">
            <w:pPr>
              <w:jc w:val="center"/>
              <w:rPr>
                <w:rFonts w:ascii="Tw Cen MT" w:hAnsi="Tw Cen MT"/>
                <w:sz w:val="22"/>
                <w:szCs w:val="22"/>
              </w:rPr>
            </w:pPr>
            <w:r w:rsidRPr="00CF6DB0">
              <w:rPr>
                <w:rFonts w:ascii="Tw Cen MT" w:hAnsi="Tw Cen MT"/>
                <w:sz w:val="22"/>
                <w:szCs w:val="22"/>
              </w:rPr>
              <w:t>4</w:t>
            </w:r>
          </w:p>
        </w:tc>
        <w:tc>
          <w:tcPr>
            <w:tcW w:w="1080" w:type="dxa"/>
            <w:tcMar>
              <w:left w:w="72" w:type="dxa"/>
              <w:right w:w="72" w:type="dxa"/>
            </w:tcMar>
          </w:tcPr>
          <w:p w14:paraId="2BACC71A"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172</w:t>
            </w:r>
          </w:p>
        </w:tc>
        <w:tc>
          <w:tcPr>
            <w:tcW w:w="1080" w:type="dxa"/>
            <w:tcMar>
              <w:left w:w="72" w:type="dxa"/>
              <w:right w:w="72" w:type="dxa"/>
            </w:tcMar>
          </w:tcPr>
          <w:p w14:paraId="1E5EF54F"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0.250</w:t>
            </w:r>
          </w:p>
        </w:tc>
        <w:tc>
          <w:tcPr>
            <w:tcW w:w="720" w:type="dxa"/>
            <w:tcMar>
              <w:left w:w="72" w:type="dxa"/>
              <w:right w:w="72" w:type="dxa"/>
            </w:tcMar>
          </w:tcPr>
          <w:p w14:paraId="3BF58867"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43</w:t>
            </w:r>
          </w:p>
        </w:tc>
        <w:tc>
          <w:tcPr>
            <w:tcW w:w="810" w:type="dxa"/>
            <w:tcMar>
              <w:left w:w="72" w:type="dxa"/>
              <w:right w:w="72" w:type="dxa"/>
            </w:tcMar>
          </w:tcPr>
          <w:p w14:paraId="557EB3CE"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36.72</w:t>
            </w:r>
          </w:p>
        </w:tc>
        <w:tc>
          <w:tcPr>
            <w:tcW w:w="990" w:type="dxa"/>
            <w:tcMar>
              <w:left w:w="72" w:type="dxa"/>
              <w:right w:w="72" w:type="dxa"/>
            </w:tcMar>
          </w:tcPr>
          <w:p w14:paraId="78C4BE40"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1,579</w:t>
            </w:r>
          </w:p>
        </w:tc>
      </w:tr>
      <w:tr w:rsidR="006E402F" w:rsidRPr="00CF6DB0" w14:paraId="2742DDE0" w14:textId="77777777" w:rsidTr="006E402F">
        <w:trPr>
          <w:trHeight w:val="464"/>
        </w:trPr>
        <w:tc>
          <w:tcPr>
            <w:tcW w:w="1260" w:type="dxa"/>
            <w:shd w:val="clear" w:color="auto" w:fill="auto"/>
            <w:tcMar>
              <w:left w:w="72" w:type="dxa"/>
              <w:right w:w="72" w:type="dxa"/>
            </w:tcMar>
          </w:tcPr>
          <w:p w14:paraId="1DAAE8DC" w14:textId="77777777" w:rsidR="005F5486" w:rsidRPr="00CF6DB0" w:rsidRDefault="005F5486" w:rsidP="005B55E4">
            <w:pPr>
              <w:rPr>
                <w:rFonts w:ascii="Tw Cen MT" w:hAnsi="Tw Cen MT"/>
                <w:sz w:val="22"/>
                <w:szCs w:val="22"/>
              </w:rPr>
            </w:pPr>
            <w:r w:rsidRPr="00CF6DB0">
              <w:rPr>
                <w:rFonts w:ascii="Tw Cen MT" w:hAnsi="Tw Cen MT"/>
                <w:color w:val="000000"/>
                <w:sz w:val="22"/>
                <w:szCs w:val="22"/>
              </w:rPr>
              <w:t xml:space="preserve">Project Evaluator </w:t>
            </w:r>
          </w:p>
        </w:tc>
        <w:tc>
          <w:tcPr>
            <w:tcW w:w="1440" w:type="dxa"/>
            <w:tcMar>
              <w:left w:w="72" w:type="dxa"/>
              <w:right w:w="72" w:type="dxa"/>
            </w:tcMar>
          </w:tcPr>
          <w:p w14:paraId="40B40DFF" w14:textId="41F15E3E" w:rsidR="005F5486" w:rsidRPr="00CF6DB0" w:rsidRDefault="00BF5CAE" w:rsidP="00BF5CAE">
            <w:pPr>
              <w:jc w:val="left"/>
              <w:rPr>
                <w:rFonts w:ascii="Tw Cen MT" w:hAnsi="Tw Cen MT"/>
                <w:color w:val="000000"/>
                <w:sz w:val="22"/>
                <w:szCs w:val="22"/>
              </w:rPr>
            </w:pPr>
            <w:r w:rsidRPr="00CF6DB0">
              <w:rPr>
                <w:rFonts w:ascii="Tw Cen MT" w:hAnsi="Tw Cen MT"/>
                <w:color w:val="000000"/>
                <w:sz w:val="22"/>
                <w:szCs w:val="22"/>
              </w:rPr>
              <w:t>EIRF-Individual</w:t>
            </w:r>
            <w:r w:rsidR="005F5486" w:rsidRPr="00CF6DB0">
              <w:rPr>
                <w:rFonts w:ascii="Tw Cen MT" w:hAnsi="Tw Cen MT"/>
                <w:color w:val="000000"/>
                <w:sz w:val="22"/>
                <w:szCs w:val="22"/>
              </w:rPr>
              <w:t xml:space="preserve"> Form </w:t>
            </w:r>
          </w:p>
        </w:tc>
        <w:tc>
          <w:tcPr>
            <w:tcW w:w="1170" w:type="dxa"/>
            <w:tcMar>
              <w:left w:w="72" w:type="dxa"/>
              <w:right w:w="72" w:type="dxa"/>
            </w:tcMar>
          </w:tcPr>
          <w:p w14:paraId="5689D3D1"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43</w:t>
            </w:r>
          </w:p>
        </w:tc>
        <w:tc>
          <w:tcPr>
            <w:tcW w:w="1170" w:type="dxa"/>
            <w:tcMar>
              <w:left w:w="72" w:type="dxa"/>
              <w:right w:w="72" w:type="dxa"/>
            </w:tcMar>
          </w:tcPr>
          <w:p w14:paraId="008FCD26" w14:textId="77777777" w:rsidR="005F5486" w:rsidRPr="00CF6DB0" w:rsidRDefault="005F5486" w:rsidP="005B55E4">
            <w:pPr>
              <w:jc w:val="center"/>
              <w:rPr>
                <w:rFonts w:ascii="Tw Cen MT" w:hAnsi="Tw Cen MT"/>
                <w:sz w:val="22"/>
                <w:szCs w:val="22"/>
              </w:rPr>
            </w:pPr>
            <w:r w:rsidRPr="00CF6DB0">
              <w:rPr>
                <w:rFonts w:ascii="Tw Cen MT" w:hAnsi="Tw Cen MT"/>
                <w:sz w:val="22"/>
                <w:szCs w:val="22"/>
              </w:rPr>
              <w:t>4</w:t>
            </w:r>
          </w:p>
        </w:tc>
        <w:tc>
          <w:tcPr>
            <w:tcW w:w="1080" w:type="dxa"/>
            <w:tcMar>
              <w:left w:w="72" w:type="dxa"/>
              <w:right w:w="72" w:type="dxa"/>
            </w:tcMar>
          </w:tcPr>
          <w:p w14:paraId="27BDE494"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172</w:t>
            </w:r>
          </w:p>
        </w:tc>
        <w:tc>
          <w:tcPr>
            <w:tcW w:w="1080" w:type="dxa"/>
            <w:tcMar>
              <w:left w:w="72" w:type="dxa"/>
              <w:right w:w="72" w:type="dxa"/>
            </w:tcMar>
          </w:tcPr>
          <w:p w14:paraId="3AF6B6F7"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0.750</w:t>
            </w:r>
          </w:p>
        </w:tc>
        <w:tc>
          <w:tcPr>
            <w:tcW w:w="720" w:type="dxa"/>
            <w:tcMar>
              <w:left w:w="72" w:type="dxa"/>
              <w:right w:w="72" w:type="dxa"/>
            </w:tcMar>
          </w:tcPr>
          <w:p w14:paraId="25D605B9"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129</w:t>
            </w:r>
          </w:p>
        </w:tc>
        <w:tc>
          <w:tcPr>
            <w:tcW w:w="810" w:type="dxa"/>
            <w:tcMar>
              <w:left w:w="72" w:type="dxa"/>
              <w:right w:w="72" w:type="dxa"/>
            </w:tcMar>
          </w:tcPr>
          <w:p w14:paraId="1EA6603A"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36.72</w:t>
            </w:r>
          </w:p>
        </w:tc>
        <w:tc>
          <w:tcPr>
            <w:tcW w:w="990" w:type="dxa"/>
            <w:tcMar>
              <w:left w:w="72" w:type="dxa"/>
              <w:right w:w="72" w:type="dxa"/>
            </w:tcMar>
          </w:tcPr>
          <w:p w14:paraId="6FC658A0"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4,737</w:t>
            </w:r>
          </w:p>
        </w:tc>
      </w:tr>
      <w:tr w:rsidR="006E402F" w:rsidRPr="00CF6DB0" w14:paraId="1CB58685" w14:textId="77777777" w:rsidTr="006E402F">
        <w:trPr>
          <w:trHeight w:val="464"/>
        </w:trPr>
        <w:tc>
          <w:tcPr>
            <w:tcW w:w="1260" w:type="dxa"/>
            <w:shd w:val="clear" w:color="auto" w:fill="auto"/>
            <w:tcMar>
              <w:left w:w="72" w:type="dxa"/>
              <w:right w:w="72" w:type="dxa"/>
            </w:tcMar>
          </w:tcPr>
          <w:p w14:paraId="4B4695A5" w14:textId="77777777" w:rsidR="005F5486" w:rsidRPr="00CF6DB0" w:rsidRDefault="005F5486" w:rsidP="005B55E4">
            <w:pPr>
              <w:rPr>
                <w:rFonts w:ascii="Tw Cen MT" w:hAnsi="Tw Cen MT"/>
                <w:sz w:val="22"/>
                <w:szCs w:val="22"/>
              </w:rPr>
            </w:pPr>
            <w:r w:rsidRPr="00CF6DB0">
              <w:rPr>
                <w:rFonts w:ascii="Tw Cen MT" w:hAnsi="Tw Cen MT"/>
                <w:color w:val="000000"/>
                <w:sz w:val="22"/>
                <w:szCs w:val="22"/>
              </w:rPr>
              <w:t xml:space="preserve">Project Evaluator </w:t>
            </w:r>
          </w:p>
        </w:tc>
        <w:tc>
          <w:tcPr>
            <w:tcW w:w="1440" w:type="dxa"/>
            <w:tcMar>
              <w:left w:w="72" w:type="dxa"/>
              <w:right w:w="72" w:type="dxa"/>
            </w:tcMar>
          </w:tcPr>
          <w:p w14:paraId="6DE7A86A" w14:textId="77777777" w:rsidR="005F5486" w:rsidRPr="00CF6DB0" w:rsidRDefault="005F5486" w:rsidP="005B55E4">
            <w:pPr>
              <w:jc w:val="left"/>
              <w:rPr>
                <w:rFonts w:ascii="Tw Cen MT" w:hAnsi="Tw Cen MT"/>
                <w:color w:val="000000"/>
                <w:sz w:val="22"/>
                <w:szCs w:val="22"/>
              </w:rPr>
            </w:pPr>
            <w:r w:rsidRPr="00CF6DB0">
              <w:rPr>
                <w:rFonts w:ascii="Tw Cen MT" w:hAnsi="Tw Cen MT"/>
                <w:color w:val="000000"/>
                <w:sz w:val="22"/>
                <w:szCs w:val="22"/>
              </w:rPr>
              <w:t xml:space="preserve">EIRF Screening Form </w:t>
            </w:r>
          </w:p>
        </w:tc>
        <w:tc>
          <w:tcPr>
            <w:tcW w:w="1170" w:type="dxa"/>
            <w:tcMar>
              <w:left w:w="72" w:type="dxa"/>
              <w:right w:w="72" w:type="dxa"/>
            </w:tcMar>
          </w:tcPr>
          <w:p w14:paraId="6B34E3AA"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43</w:t>
            </w:r>
          </w:p>
        </w:tc>
        <w:tc>
          <w:tcPr>
            <w:tcW w:w="1170" w:type="dxa"/>
            <w:tcMar>
              <w:left w:w="72" w:type="dxa"/>
              <w:right w:w="72" w:type="dxa"/>
            </w:tcMar>
          </w:tcPr>
          <w:p w14:paraId="670EE605" w14:textId="77777777" w:rsidR="005F5486" w:rsidRPr="00CF6DB0" w:rsidRDefault="005F5486" w:rsidP="005B55E4">
            <w:pPr>
              <w:jc w:val="center"/>
              <w:rPr>
                <w:rFonts w:ascii="Tw Cen MT" w:hAnsi="Tw Cen MT"/>
                <w:sz w:val="22"/>
                <w:szCs w:val="22"/>
              </w:rPr>
            </w:pPr>
            <w:r w:rsidRPr="00CF6DB0">
              <w:rPr>
                <w:rFonts w:ascii="Tw Cen MT" w:hAnsi="Tw Cen MT"/>
                <w:sz w:val="22"/>
                <w:szCs w:val="22"/>
              </w:rPr>
              <w:t>4</w:t>
            </w:r>
          </w:p>
        </w:tc>
        <w:tc>
          <w:tcPr>
            <w:tcW w:w="1080" w:type="dxa"/>
            <w:tcMar>
              <w:left w:w="72" w:type="dxa"/>
              <w:right w:w="72" w:type="dxa"/>
            </w:tcMar>
          </w:tcPr>
          <w:p w14:paraId="419B31FF"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172</w:t>
            </w:r>
          </w:p>
        </w:tc>
        <w:tc>
          <w:tcPr>
            <w:tcW w:w="1080" w:type="dxa"/>
            <w:tcMar>
              <w:left w:w="72" w:type="dxa"/>
              <w:right w:w="72" w:type="dxa"/>
            </w:tcMar>
          </w:tcPr>
          <w:p w14:paraId="79D9D7DA"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0.750</w:t>
            </w:r>
          </w:p>
        </w:tc>
        <w:tc>
          <w:tcPr>
            <w:tcW w:w="720" w:type="dxa"/>
            <w:tcMar>
              <w:left w:w="72" w:type="dxa"/>
              <w:right w:w="72" w:type="dxa"/>
            </w:tcMar>
          </w:tcPr>
          <w:p w14:paraId="353ACCB1"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129</w:t>
            </w:r>
          </w:p>
        </w:tc>
        <w:tc>
          <w:tcPr>
            <w:tcW w:w="810" w:type="dxa"/>
            <w:tcMar>
              <w:left w:w="72" w:type="dxa"/>
              <w:right w:w="72" w:type="dxa"/>
            </w:tcMar>
          </w:tcPr>
          <w:p w14:paraId="2BCB7DF1"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36.72</w:t>
            </w:r>
          </w:p>
        </w:tc>
        <w:tc>
          <w:tcPr>
            <w:tcW w:w="990" w:type="dxa"/>
            <w:tcMar>
              <w:left w:w="72" w:type="dxa"/>
              <w:right w:w="72" w:type="dxa"/>
            </w:tcMar>
          </w:tcPr>
          <w:p w14:paraId="38AB3FA6"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4,737</w:t>
            </w:r>
          </w:p>
        </w:tc>
      </w:tr>
      <w:tr w:rsidR="006E402F" w:rsidRPr="00CF6DB0" w14:paraId="427E2A2B" w14:textId="77777777" w:rsidTr="006E402F">
        <w:trPr>
          <w:trHeight w:val="464"/>
        </w:trPr>
        <w:tc>
          <w:tcPr>
            <w:tcW w:w="1260" w:type="dxa"/>
            <w:shd w:val="clear" w:color="auto" w:fill="auto"/>
            <w:tcMar>
              <w:left w:w="72" w:type="dxa"/>
              <w:right w:w="72" w:type="dxa"/>
            </w:tcMar>
          </w:tcPr>
          <w:p w14:paraId="7AF64D2B" w14:textId="77777777" w:rsidR="005F5486" w:rsidRPr="00CF6DB0" w:rsidRDefault="005F5486" w:rsidP="005B55E4">
            <w:pPr>
              <w:jc w:val="left"/>
              <w:rPr>
                <w:rFonts w:ascii="Tw Cen MT" w:hAnsi="Tw Cen MT"/>
                <w:color w:val="000000"/>
                <w:sz w:val="22"/>
                <w:szCs w:val="22"/>
              </w:rPr>
            </w:pPr>
            <w:r w:rsidRPr="00CF6DB0">
              <w:rPr>
                <w:rFonts w:ascii="Tw Cen MT" w:hAnsi="Tw Cen MT"/>
                <w:color w:val="000000"/>
                <w:sz w:val="22"/>
                <w:szCs w:val="22"/>
              </w:rPr>
              <w:t>Provider Trainee</w:t>
            </w:r>
          </w:p>
        </w:tc>
        <w:tc>
          <w:tcPr>
            <w:tcW w:w="1440" w:type="dxa"/>
            <w:tcMar>
              <w:left w:w="72" w:type="dxa"/>
              <w:right w:w="72" w:type="dxa"/>
            </w:tcMar>
          </w:tcPr>
          <w:p w14:paraId="55FB54F1" w14:textId="77777777" w:rsidR="005F5486" w:rsidRPr="00CF6DB0" w:rsidRDefault="005F5486" w:rsidP="005B55E4">
            <w:pPr>
              <w:jc w:val="left"/>
              <w:rPr>
                <w:rFonts w:ascii="Tw Cen MT" w:hAnsi="Tw Cen MT"/>
                <w:color w:val="000000"/>
                <w:sz w:val="22"/>
                <w:szCs w:val="22"/>
              </w:rPr>
            </w:pPr>
            <w:r w:rsidRPr="00CF6DB0">
              <w:rPr>
                <w:rFonts w:ascii="Tw Cen MT" w:hAnsi="Tw Cen MT"/>
                <w:color w:val="000000"/>
                <w:sz w:val="22"/>
                <w:szCs w:val="22"/>
              </w:rPr>
              <w:t xml:space="preserve">TUP-S Consent to Contact </w:t>
            </w:r>
          </w:p>
        </w:tc>
        <w:tc>
          <w:tcPr>
            <w:tcW w:w="1170" w:type="dxa"/>
            <w:tcMar>
              <w:left w:w="72" w:type="dxa"/>
              <w:right w:w="72" w:type="dxa"/>
            </w:tcMar>
          </w:tcPr>
          <w:p w14:paraId="25F6982A"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6,000</w:t>
            </w:r>
          </w:p>
        </w:tc>
        <w:tc>
          <w:tcPr>
            <w:tcW w:w="1170" w:type="dxa"/>
            <w:tcMar>
              <w:left w:w="72" w:type="dxa"/>
              <w:right w:w="72" w:type="dxa"/>
            </w:tcMar>
          </w:tcPr>
          <w:p w14:paraId="00384B58" w14:textId="77777777" w:rsidR="005F5486" w:rsidRPr="00CF6DB0" w:rsidRDefault="005F5486" w:rsidP="005B55E4">
            <w:pPr>
              <w:jc w:val="center"/>
              <w:rPr>
                <w:rFonts w:ascii="Tw Cen MT" w:hAnsi="Tw Cen MT"/>
                <w:sz w:val="22"/>
                <w:szCs w:val="22"/>
              </w:rPr>
            </w:pPr>
            <w:r w:rsidRPr="00CF6DB0">
              <w:rPr>
                <w:rFonts w:ascii="Tw Cen MT" w:hAnsi="Tw Cen MT"/>
                <w:sz w:val="22"/>
                <w:szCs w:val="22"/>
              </w:rPr>
              <w:t>1</w:t>
            </w:r>
          </w:p>
        </w:tc>
        <w:tc>
          <w:tcPr>
            <w:tcW w:w="1080" w:type="dxa"/>
            <w:tcMar>
              <w:left w:w="72" w:type="dxa"/>
              <w:right w:w="72" w:type="dxa"/>
            </w:tcMar>
          </w:tcPr>
          <w:p w14:paraId="0AAF1868"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6000</w:t>
            </w:r>
          </w:p>
        </w:tc>
        <w:tc>
          <w:tcPr>
            <w:tcW w:w="1080" w:type="dxa"/>
            <w:tcMar>
              <w:left w:w="72" w:type="dxa"/>
              <w:right w:w="72" w:type="dxa"/>
            </w:tcMar>
          </w:tcPr>
          <w:p w14:paraId="7A48126A"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0.167</w:t>
            </w:r>
          </w:p>
        </w:tc>
        <w:tc>
          <w:tcPr>
            <w:tcW w:w="720" w:type="dxa"/>
            <w:tcMar>
              <w:left w:w="72" w:type="dxa"/>
              <w:right w:w="72" w:type="dxa"/>
            </w:tcMar>
          </w:tcPr>
          <w:p w14:paraId="39F76369"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1000</w:t>
            </w:r>
          </w:p>
        </w:tc>
        <w:tc>
          <w:tcPr>
            <w:tcW w:w="810" w:type="dxa"/>
            <w:tcMar>
              <w:left w:w="72" w:type="dxa"/>
              <w:right w:w="72" w:type="dxa"/>
            </w:tcMar>
          </w:tcPr>
          <w:p w14:paraId="62AD87E3"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22.22</w:t>
            </w:r>
          </w:p>
        </w:tc>
        <w:tc>
          <w:tcPr>
            <w:tcW w:w="990" w:type="dxa"/>
            <w:tcMar>
              <w:left w:w="72" w:type="dxa"/>
              <w:right w:w="72" w:type="dxa"/>
            </w:tcMar>
          </w:tcPr>
          <w:p w14:paraId="3642FA04"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22,220</w:t>
            </w:r>
          </w:p>
        </w:tc>
      </w:tr>
      <w:tr w:rsidR="006E402F" w:rsidRPr="00CF6DB0" w14:paraId="17447875" w14:textId="77777777" w:rsidTr="006E402F">
        <w:trPr>
          <w:trHeight w:val="350"/>
        </w:trPr>
        <w:tc>
          <w:tcPr>
            <w:tcW w:w="1260" w:type="dxa"/>
            <w:shd w:val="clear" w:color="auto" w:fill="auto"/>
            <w:tcMar>
              <w:left w:w="72" w:type="dxa"/>
              <w:right w:w="72" w:type="dxa"/>
            </w:tcMar>
          </w:tcPr>
          <w:p w14:paraId="7D248EBB" w14:textId="77777777" w:rsidR="005F5486" w:rsidRPr="00CF6DB0" w:rsidRDefault="005F5486" w:rsidP="005B55E4">
            <w:pPr>
              <w:jc w:val="left"/>
              <w:rPr>
                <w:rFonts w:ascii="Tw Cen MT" w:hAnsi="Tw Cen MT"/>
                <w:sz w:val="22"/>
                <w:szCs w:val="22"/>
              </w:rPr>
            </w:pPr>
            <w:r w:rsidRPr="00CF6DB0">
              <w:rPr>
                <w:rFonts w:ascii="Tw Cen MT" w:hAnsi="Tw Cen MT"/>
                <w:color w:val="000000"/>
                <w:sz w:val="22"/>
                <w:szCs w:val="22"/>
              </w:rPr>
              <w:t>Provider Trainee</w:t>
            </w:r>
          </w:p>
        </w:tc>
        <w:tc>
          <w:tcPr>
            <w:tcW w:w="1440" w:type="dxa"/>
            <w:tcMar>
              <w:left w:w="72" w:type="dxa"/>
              <w:right w:w="72" w:type="dxa"/>
            </w:tcMar>
          </w:tcPr>
          <w:p w14:paraId="7E849756" w14:textId="77777777" w:rsidR="005F5486" w:rsidRPr="00CF6DB0" w:rsidRDefault="005F5486" w:rsidP="005B55E4">
            <w:pPr>
              <w:jc w:val="left"/>
              <w:rPr>
                <w:rFonts w:ascii="Tw Cen MT" w:hAnsi="Tw Cen MT"/>
                <w:color w:val="000000"/>
                <w:sz w:val="22"/>
                <w:szCs w:val="22"/>
              </w:rPr>
            </w:pPr>
            <w:r w:rsidRPr="00CF6DB0">
              <w:rPr>
                <w:rFonts w:ascii="Tw Cen MT" w:hAnsi="Tw Cen MT"/>
                <w:color w:val="000000"/>
                <w:sz w:val="22"/>
                <w:szCs w:val="22"/>
              </w:rPr>
              <w:t>TUP-S 3 Month Version</w:t>
            </w:r>
          </w:p>
        </w:tc>
        <w:tc>
          <w:tcPr>
            <w:tcW w:w="1170" w:type="dxa"/>
            <w:tcMar>
              <w:left w:w="72" w:type="dxa"/>
              <w:right w:w="72" w:type="dxa"/>
            </w:tcMar>
          </w:tcPr>
          <w:p w14:paraId="3FAEC4BD"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2,000</w:t>
            </w:r>
          </w:p>
        </w:tc>
        <w:tc>
          <w:tcPr>
            <w:tcW w:w="1170" w:type="dxa"/>
            <w:tcMar>
              <w:left w:w="72" w:type="dxa"/>
              <w:right w:w="72" w:type="dxa"/>
            </w:tcMar>
          </w:tcPr>
          <w:p w14:paraId="2EBE624D" w14:textId="77777777" w:rsidR="005F5486" w:rsidRPr="00CF6DB0" w:rsidRDefault="005F5486" w:rsidP="005B55E4">
            <w:pPr>
              <w:jc w:val="center"/>
              <w:rPr>
                <w:rFonts w:ascii="Tw Cen MT" w:hAnsi="Tw Cen MT"/>
                <w:sz w:val="22"/>
                <w:szCs w:val="22"/>
              </w:rPr>
            </w:pPr>
            <w:r w:rsidRPr="00CF6DB0">
              <w:rPr>
                <w:rFonts w:ascii="Tw Cen MT" w:hAnsi="Tw Cen MT"/>
                <w:sz w:val="22"/>
                <w:szCs w:val="22"/>
              </w:rPr>
              <w:t>1</w:t>
            </w:r>
          </w:p>
        </w:tc>
        <w:tc>
          <w:tcPr>
            <w:tcW w:w="1080" w:type="dxa"/>
            <w:tcMar>
              <w:left w:w="72" w:type="dxa"/>
              <w:right w:w="72" w:type="dxa"/>
            </w:tcMar>
          </w:tcPr>
          <w:p w14:paraId="58CDDD11"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2000</w:t>
            </w:r>
          </w:p>
        </w:tc>
        <w:tc>
          <w:tcPr>
            <w:tcW w:w="1080" w:type="dxa"/>
            <w:tcMar>
              <w:left w:w="72" w:type="dxa"/>
              <w:right w:w="72" w:type="dxa"/>
            </w:tcMar>
          </w:tcPr>
          <w:p w14:paraId="6CA6BEBF"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0.500</w:t>
            </w:r>
          </w:p>
        </w:tc>
        <w:tc>
          <w:tcPr>
            <w:tcW w:w="720" w:type="dxa"/>
            <w:tcMar>
              <w:left w:w="72" w:type="dxa"/>
              <w:right w:w="72" w:type="dxa"/>
            </w:tcMar>
          </w:tcPr>
          <w:p w14:paraId="53F0A2F7"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1000</w:t>
            </w:r>
          </w:p>
        </w:tc>
        <w:tc>
          <w:tcPr>
            <w:tcW w:w="810" w:type="dxa"/>
            <w:tcMar>
              <w:left w:w="72" w:type="dxa"/>
              <w:right w:w="72" w:type="dxa"/>
            </w:tcMar>
          </w:tcPr>
          <w:p w14:paraId="51A8C80E"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22.22</w:t>
            </w:r>
          </w:p>
        </w:tc>
        <w:tc>
          <w:tcPr>
            <w:tcW w:w="990" w:type="dxa"/>
            <w:tcMar>
              <w:left w:w="72" w:type="dxa"/>
              <w:right w:w="72" w:type="dxa"/>
            </w:tcMar>
          </w:tcPr>
          <w:p w14:paraId="530F9142"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22,220</w:t>
            </w:r>
          </w:p>
        </w:tc>
      </w:tr>
      <w:tr w:rsidR="006E402F" w:rsidRPr="00CF6DB0" w14:paraId="53170795" w14:textId="77777777" w:rsidTr="006E402F">
        <w:trPr>
          <w:trHeight w:val="359"/>
        </w:trPr>
        <w:tc>
          <w:tcPr>
            <w:tcW w:w="1260" w:type="dxa"/>
            <w:shd w:val="clear" w:color="auto" w:fill="auto"/>
            <w:tcMar>
              <w:left w:w="72" w:type="dxa"/>
              <w:right w:w="72" w:type="dxa"/>
            </w:tcMar>
          </w:tcPr>
          <w:p w14:paraId="38CDCE10" w14:textId="77777777" w:rsidR="005F5486" w:rsidRPr="00CF6DB0" w:rsidRDefault="005F5486" w:rsidP="005B55E4">
            <w:pPr>
              <w:jc w:val="left"/>
              <w:rPr>
                <w:rFonts w:ascii="Tw Cen MT" w:hAnsi="Tw Cen MT"/>
                <w:sz w:val="22"/>
                <w:szCs w:val="22"/>
              </w:rPr>
            </w:pPr>
            <w:r w:rsidRPr="00CF6DB0">
              <w:rPr>
                <w:rFonts w:ascii="Tw Cen MT" w:hAnsi="Tw Cen MT"/>
                <w:color w:val="000000"/>
                <w:sz w:val="22"/>
                <w:szCs w:val="22"/>
              </w:rPr>
              <w:t>Provider Trainee</w:t>
            </w:r>
          </w:p>
        </w:tc>
        <w:tc>
          <w:tcPr>
            <w:tcW w:w="1440" w:type="dxa"/>
            <w:tcMar>
              <w:left w:w="72" w:type="dxa"/>
              <w:right w:w="72" w:type="dxa"/>
            </w:tcMar>
          </w:tcPr>
          <w:p w14:paraId="4A670012" w14:textId="77777777" w:rsidR="005F5486" w:rsidRPr="00CF6DB0" w:rsidRDefault="005F5486" w:rsidP="005B55E4">
            <w:pPr>
              <w:jc w:val="left"/>
              <w:rPr>
                <w:rFonts w:ascii="Tw Cen MT" w:hAnsi="Tw Cen MT"/>
                <w:color w:val="000000"/>
                <w:sz w:val="22"/>
                <w:szCs w:val="22"/>
              </w:rPr>
            </w:pPr>
            <w:r w:rsidRPr="00CF6DB0">
              <w:rPr>
                <w:rFonts w:ascii="Tw Cen MT" w:hAnsi="Tw Cen MT"/>
                <w:color w:val="000000"/>
                <w:sz w:val="22"/>
                <w:szCs w:val="22"/>
              </w:rPr>
              <w:t>TUP-S 6 Month Version</w:t>
            </w:r>
          </w:p>
        </w:tc>
        <w:tc>
          <w:tcPr>
            <w:tcW w:w="1170" w:type="dxa"/>
            <w:tcMar>
              <w:left w:w="72" w:type="dxa"/>
              <w:right w:w="72" w:type="dxa"/>
            </w:tcMar>
          </w:tcPr>
          <w:p w14:paraId="6C7A9E95"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600</w:t>
            </w:r>
          </w:p>
        </w:tc>
        <w:tc>
          <w:tcPr>
            <w:tcW w:w="1170" w:type="dxa"/>
            <w:tcMar>
              <w:left w:w="72" w:type="dxa"/>
              <w:right w:w="72" w:type="dxa"/>
            </w:tcMar>
          </w:tcPr>
          <w:p w14:paraId="3722B77C" w14:textId="77777777" w:rsidR="005F5486" w:rsidRPr="00CF6DB0" w:rsidRDefault="005F5486" w:rsidP="005B55E4">
            <w:pPr>
              <w:jc w:val="center"/>
              <w:rPr>
                <w:rFonts w:ascii="Tw Cen MT" w:hAnsi="Tw Cen MT"/>
                <w:sz w:val="22"/>
                <w:szCs w:val="22"/>
              </w:rPr>
            </w:pPr>
            <w:r w:rsidRPr="00CF6DB0">
              <w:rPr>
                <w:rFonts w:ascii="Tw Cen MT" w:hAnsi="Tw Cen MT"/>
                <w:sz w:val="22"/>
                <w:szCs w:val="22"/>
              </w:rPr>
              <w:t>1</w:t>
            </w:r>
          </w:p>
        </w:tc>
        <w:tc>
          <w:tcPr>
            <w:tcW w:w="1080" w:type="dxa"/>
            <w:tcMar>
              <w:left w:w="72" w:type="dxa"/>
              <w:right w:w="72" w:type="dxa"/>
            </w:tcMar>
          </w:tcPr>
          <w:p w14:paraId="49E5E58A"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600</w:t>
            </w:r>
          </w:p>
        </w:tc>
        <w:tc>
          <w:tcPr>
            <w:tcW w:w="1080" w:type="dxa"/>
            <w:tcMar>
              <w:left w:w="72" w:type="dxa"/>
              <w:right w:w="72" w:type="dxa"/>
            </w:tcMar>
          </w:tcPr>
          <w:p w14:paraId="13A3C2A4"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0.417</w:t>
            </w:r>
          </w:p>
        </w:tc>
        <w:tc>
          <w:tcPr>
            <w:tcW w:w="720" w:type="dxa"/>
            <w:tcMar>
              <w:left w:w="72" w:type="dxa"/>
              <w:right w:w="72" w:type="dxa"/>
            </w:tcMar>
          </w:tcPr>
          <w:p w14:paraId="0C6EC973"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250</w:t>
            </w:r>
          </w:p>
        </w:tc>
        <w:tc>
          <w:tcPr>
            <w:tcW w:w="810" w:type="dxa"/>
            <w:tcMar>
              <w:left w:w="72" w:type="dxa"/>
              <w:right w:w="72" w:type="dxa"/>
            </w:tcMar>
          </w:tcPr>
          <w:p w14:paraId="1132F947"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22.22</w:t>
            </w:r>
          </w:p>
        </w:tc>
        <w:tc>
          <w:tcPr>
            <w:tcW w:w="990" w:type="dxa"/>
            <w:tcMar>
              <w:left w:w="72" w:type="dxa"/>
              <w:right w:w="72" w:type="dxa"/>
            </w:tcMar>
          </w:tcPr>
          <w:p w14:paraId="6B91CA9E"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5,555</w:t>
            </w:r>
          </w:p>
        </w:tc>
      </w:tr>
      <w:tr w:rsidR="006E402F" w:rsidRPr="00CF6DB0" w14:paraId="4BE1AB58" w14:textId="77777777" w:rsidTr="006E402F">
        <w:trPr>
          <w:trHeight w:val="350"/>
        </w:trPr>
        <w:tc>
          <w:tcPr>
            <w:tcW w:w="1260" w:type="dxa"/>
            <w:shd w:val="clear" w:color="auto" w:fill="auto"/>
            <w:tcMar>
              <w:left w:w="72" w:type="dxa"/>
              <w:right w:w="72" w:type="dxa"/>
            </w:tcMar>
          </w:tcPr>
          <w:p w14:paraId="358AC675" w14:textId="77777777" w:rsidR="005F5486" w:rsidRPr="00CF6DB0" w:rsidRDefault="005F5486" w:rsidP="005B55E4">
            <w:pPr>
              <w:jc w:val="left"/>
              <w:rPr>
                <w:rFonts w:ascii="Tw Cen MT" w:hAnsi="Tw Cen MT"/>
                <w:sz w:val="22"/>
                <w:szCs w:val="22"/>
              </w:rPr>
            </w:pPr>
            <w:r w:rsidRPr="00CF6DB0">
              <w:rPr>
                <w:rFonts w:ascii="Tw Cen MT" w:hAnsi="Tw Cen MT"/>
                <w:color w:val="000000"/>
                <w:sz w:val="22"/>
                <w:szCs w:val="22"/>
              </w:rPr>
              <w:t>Provider Trainee</w:t>
            </w:r>
          </w:p>
        </w:tc>
        <w:tc>
          <w:tcPr>
            <w:tcW w:w="1440" w:type="dxa"/>
            <w:tcMar>
              <w:left w:w="72" w:type="dxa"/>
              <w:right w:w="72" w:type="dxa"/>
            </w:tcMar>
          </w:tcPr>
          <w:p w14:paraId="27EC3C7D" w14:textId="77777777" w:rsidR="005F5486" w:rsidRPr="00CF6DB0" w:rsidRDefault="005F5486" w:rsidP="005B55E4">
            <w:pPr>
              <w:jc w:val="left"/>
              <w:rPr>
                <w:rFonts w:ascii="Tw Cen MT" w:hAnsi="Tw Cen MT"/>
                <w:color w:val="000000"/>
                <w:sz w:val="22"/>
                <w:szCs w:val="22"/>
              </w:rPr>
            </w:pPr>
            <w:r w:rsidRPr="00CF6DB0">
              <w:rPr>
                <w:rFonts w:ascii="Tw Cen MT" w:hAnsi="Tw Cen MT"/>
                <w:color w:val="000000"/>
                <w:sz w:val="22"/>
                <w:szCs w:val="22"/>
              </w:rPr>
              <w:t>TUP-S RCT BL Version</w:t>
            </w:r>
          </w:p>
        </w:tc>
        <w:tc>
          <w:tcPr>
            <w:tcW w:w="1170" w:type="dxa"/>
            <w:tcMar>
              <w:left w:w="72" w:type="dxa"/>
              <w:right w:w="72" w:type="dxa"/>
            </w:tcMar>
          </w:tcPr>
          <w:p w14:paraId="2CD953EA"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444</w:t>
            </w:r>
          </w:p>
        </w:tc>
        <w:tc>
          <w:tcPr>
            <w:tcW w:w="1170" w:type="dxa"/>
            <w:tcMar>
              <w:left w:w="72" w:type="dxa"/>
              <w:right w:w="72" w:type="dxa"/>
            </w:tcMar>
          </w:tcPr>
          <w:p w14:paraId="2874FCF2" w14:textId="77777777" w:rsidR="005F5486" w:rsidRPr="00CF6DB0" w:rsidRDefault="005F5486" w:rsidP="005B55E4">
            <w:pPr>
              <w:jc w:val="center"/>
              <w:rPr>
                <w:rFonts w:ascii="Tw Cen MT" w:hAnsi="Tw Cen MT"/>
                <w:sz w:val="22"/>
                <w:szCs w:val="22"/>
              </w:rPr>
            </w:pPr>
            <w:r w:rsidRPr="00CF6DB0">
              <w:rPr>
                <w:rFonts w:ascii="Tw Cen MT" w:hAnsi="Tw Cen MT"/>
                <w:sz w:val="22"/>
                <w:szCs w:val="22"/>
              </w:rPr>
              <w:t>1</w:t>
            </w:r>
          </w:p>
        </w:tc>
        <w:tc>
          <w:tcPr>
            <w:tcW w:w="1080" w:type="dxa"/>
            <w:tcMar>
              <w:left w:w="72" w:type="dxa"/>
              <w:right w:w="72" w:type="dxa"/>
            </w:tcMar>
          </w:tcPr>
          <w:p w14:paraId="2B188796" w14:textId="77777777" w:rsidR="005F5486" w:rsidRPr="00CF6DB0" w:rsidRDefault="005F5486" w:rsidP="005B55E4">
            <w:pPr>
              <w:jc w:val="center"/>
              <w:rPr>
                <w:rFonts w:ascii="Tw Cen MT" w:hAnsi="Tw Cen MT"/>
                <w:sz w:val="22"/>
                <w:szCs w:val="22"/>
              </w:rPr>
            </w:pPr>
            <w:r w:rsidRPr="00CF6DB0">
              <w:rPr>
                <w:rFonts w:ascii="Tw Cen MT" w:hAnsi="Tw Cen MT"/>
                <w:color w:val="000000"/>
                <w:sz w:val="22"/>
                <w:szCs w:val="22"/>
              </w:rPr>
              <w:t>444</w:t>
            </w:r>
          </w:p>
        </w:tc>
        <w:tc>
          <w:tcPr>
            <w:tcW w:w="1080" w:type="dxa"/>
            <w:tcMar>
              <w:left w:w="72" w:type="dxa"/>
              <w:right w:w="72" w:type="dxa"/>
            </w:tcMar>
          </w:tcPr>
          <w:p w14:paraId="67165DC1"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0.417</w:t>
            </w:r>
          </w:p>
        </w:tc>
        <w:tc>
          <w:tcPr>
            <w:tcW w:w="720" w:type="dxa"/>
            <w:tcMar>
              <w:left w:w="72" w:type="dxa"/>
              <w:right w:w="72" w:type="dxa"/>
            </w:tcMar>
          </w:tcPr>
          <w:p w14:paraId="6017B444"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185</w:t>
            </w:r>
          </w:p>
        </w:tc>
        <w:tc>
          <w:tcPr>
            <w:tcW w:w="810" w:type="dxa"/>
            <w:tcMar>
              <w:left w:w="72" w:type="dxa"/>
              <w:right w:w="72" w:type="dxa"/>
            </w:tcMar>
          </w:tcPr>
          <w:p w14:paraId="086B77E9"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22.22</w:t>
            </w:r>
          </w:p>
        </w:tc>
        <w:tc>
          <w:tcPr>
            <w:tcW w:w="990" w:type="dxa"/>
            <w:tcMar>
              <w:left w:w="72" w:type="dxa"/>
              <w:right w:w="72" w:type="dxa"/>
            </w:tcMar>
          </w:tcPr>
          <w:p w14:paraId="1DE3EC01"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4,111</w:t>
            </w:r>
          </w:p>
        </w:tc>
      </w:tr>
      <w:tr w:rsidR="006E402F" w:rsidRPr="00CF6DB0" w14:paraId="389D9DDC" w14:textId="77777777" w:rsidTr="006E402F">
        <w:trPr>
          <w:trHeight w:val="341"/>
        </w:trPr>
        <w:tc>
          <w:tcPr>
            <w:tcW w:w="1260" w:type="dxa"/>
            <w:shd w:val="clear" w:color="auto" w:fill="auto"/>
            <w:tcMar>
              <w:left w:w="72" w:type="dxa"/>
              <w:right w:w="72" w:type="dxa"/>
            </w:tcMar>
          </w:tcPr>
          <w:p w14:paraId="2B7725AA" w14:textId="77777777" w:rsidR="005F5486" w:rsidRPr="00CF6DB0" w:rsidRDefault="005F5486" w:rsidP="005B55E4">
            <w:pPr>
              <w:jc w:val="left"/>
              <w:rPr>
                <w:rFonts w:ascii="Tw Cen MT" w:hAnsi="Tw Cen MT"/>
                <w:sz w:val="22"/>
                <w:szCs w:val="22"/>
              </w:rPr>
            </w:pPr>
            <w:r w:rsidRPr="00CF6DB0">
              <w:rPr>
                <w:rFonts w:ascii="Tw Cen MT" w:hAnsi="Tw Cen MT"/>
                <w:color w:val="000000"/>
                <w:sz w:val="22"/>
                <w:szCs w:val="22"/>
              </w:rPr>
              <w:t>Provider Trainee</w:t>
            </w:r>
          </w:p>
        </w:tc>
        <w:tc>
          <w:tcPr>
            <w:tcW w:w="1440" w:type="dxa"/>
            <w:tcMar>
              <w:left w:w="72" w:type="dxa"/>
              <w:right w:w="72" w:type="dxa"/>
            </w:tcMar>
          </w:tcPr>
          <w:p w14:paraId="14ECA44E" w14:textId="77777777" w:rsidR="005F5486" w:rsidRPr="00CF6DB0" w:rsidRDefault="005F5486" w:rsidP="005B55E4">
            <w:pPr>
              <w:jc w:val="left"/>
              <w:rPr>
                <w:rFonts w:ascii="Tw Cen MT" w:hAnsi="Tw Cen MT"/>
                <w:color w:val="000000"/>
                <w:sz w:val="22"/>
                <w:szCs w:val="22"/>
              </w:rPr>
            </w:pPr>
            <w:r w:rsidRPr="00CF6DB0">
              <w:rPr>
                <w:rFonts w:ascii="Tw Cen MT" w:hAnsi="Tw Cen MT"/>
                <w:color w:val="000000"/>
                <w:sz w:val="22"/>
                <w:szCs w:val="22"/>
              </w:rPr>
              <w:t xml:space="preserve">TUP-S RCT 3 Month Version </w:t>
            </w:r>
          </w:p>
        </w:tc>
        <w:tc>
          <w:tcPr>
            <w:tcW w:w="1170" w:type="dxa"/>
            <w:tcMar>
              <w:left w:w="72" w:type="dxa"/>
              <w:right w:w="72" w:type="dxa"/>
            </w:tcMar>
          </w:tcPr>
          <w:p w14:paraId="55680AFE"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444</w:t>
            </w:r>
          </w:p>
        </w:tc>
        <w:tc>
          <w:tcPr>
            <w:tcW w:w="1170" w:type="dxa"/>
            <w:tcMar>
              <w:left w:w="72" w:type="dxa"/>
              <w:right w:w="72" w:type="dxa"/>
            </w:tcMar>
          </w:tcPr>
          <w:p w14:paraId="137A9721" w14:textId="77777777" w:rsidR="005F5486" w:rsidRPr="00CF6DB0" w:rsidRDefault="005F5486" w:rsidP="005B55E4">
            <w:pPr>
              <w:jc w:val="center"/>
              <w:rPr>
                <w:rFonts w:ascii="Tw Cen MT" w:hAnsi="Tw Cen MT"/>
                <w:sz w:val="22"/>
                <w:szCs w:val="22"/>
              </w:rPr>
            </w:pPr>
            <w:r w:rsidRPr="00CF6DB0">
              <w:rPr>
                <w:rFonts w:ascii="Tw Cen MT" w:hAnsi="Tw Cen MT"/>
                <w:sz w:val="22"/>
                <w:szCs w:val="22"/>
              </w:rPr>
              <w:t>1</w:t>
            </w:r>
          </w:p>
        </w:tc>
        <w:tc>
          <w:tcPr>
            <w:tcW w:w="1080" w:type="dxa"/>
            <w:tcMar>
              <w:left w:w="72" w:type="dxa"/>
              <w:right w:w="72" w:type="dxa"/>
            </w:tcMar>
          </w:tcPr>
          <w:p w14:paraId="61049332" w14:textId="77777777" w:rsidR="005F5486" w:rsidRPr="00CF6DB0" w:rsidRDefault="005F5486" w:rsidP="005B55E4">
            <w:pPr>
              <w:jc w:val="center"/>
              <w:rPr>
                <w:rFonts w:ascii="Tw Cen MT" w:hAnsi="Tw Cen MT"/>
                <w:sz w:val="22"/>
                <w:szCs w:val="22"/>
              </w:rPr>
            </w:pPr>
            <w:r w:rsidRPr="00CF6DB0">
              <w:rPr>
                <w:rFonts w:ascii="Tw Cen MT" w:hAnsi="Tw Cen MT"/>
                <w:color w:val="000000"/>
                <w:sz w:val="22"/>
                <w:szCs w:val="22"/>
              </w:rPr>
              <w:t>444</w:t>
            </w:r>
          </w:p>
        </w:tc>
        <w:tc>
          <w:tcPr>
            <w:tcW w:w="1080" w:type="dxa"/>
            <w:tcMar>
              <w:left w:w="72" w:type="dxa"/>
              <w:right w:w="72" w:type="dxa"/>
            </w:tcMar>
          </w:tcPr>
          <w:p w14:paraId="078FC693"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0.500</w:t>
            </w:r>
          </w:p>
        </w:tc>
        <w:tc>
          <w:tcPr>
            <w:tcW w:w="720" w:type="dxa"/>
            <w:tcMar>
              <w:left w:w="72" w:type="dxa"/>
              <w:right w:w="72" w:type="dxa"/>
            </w:tcMar>
          </w:tcPr>
          <w:p w14:paraId="31C1ADF9"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222</w:t>
            </w:r>
          </w:p>
        </w:tc>
        <w:tc>
          <w:tcPr>
            <w:tcW w:w="810" w:type="dxa"/>
            <w:tcMar>
              <w:left w:w="72" w:type="dxa"/>
              <w:right w:w="72" w:type="dxa"/>
            </w:tcMar>
          </w:tcPr>
          <w:p w14:paraId="6E3C089D"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22.22</w:t>
            </w:r>
          </w:p>
        </w:tc>
        <w:tc>
          <w:tcPr>
            <w:tcW w:w="990" w:type="dxa"/>
            <w:tcMar>
              <w:left w:w="72" w:type="dxa"/>
              <w:right w:w="72" w:type="dxa"/>
            </w:tcMar>
          </w:tcPr>
          <w:p w14:paraId="1023631A"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4,933</w:t>
            </w:r>
          </w:p>
        </w:tc>
      </w:tr>
      <w:tr w:rsidR="006E402F" w:rsidRPr="00CF6DB0" w14:paraId="24DBD58F" w14:textId="77777777" w:rsidTr="006E402F">
        <w:trPr>
          <w:trHeight w:val="350"/>
        </w:trPr>
        <w:tc>
          <w:tcPr>
            <w:tcW w:w="1260" w:type="dxa"/>
            <w:shd w:val="clear" w:color="auto" w:fill="auto"/>
            <w:tcMar>
              <w:left w:w="72" w:type="dxa"/>
              <w:right w:w="72" w:type="dxa"/>
            </w:tcMar>
          </w:tcPr>
          <w:p w14:paraId="11BDCA5B" w14:textId="77777777" w:rsidR="005F5486" w:rsidRPr="00CF6DB0" w:rsidRDefault="005F5486" w:rsidP="005B55E4">
            <w:pPr>
              <w:jc w:val="left"/>
              <w:rPr>
                <w:rFonts w:ascii="Tw Cen MT" w:hAnsi="Tw Cen MT"/>
                <w:sz w:val="22"/>
                <w:szCs w:val="22"/>
              </w:rPr>
            </w:pPr>
            <w:r w:rsidRPr="00CF6DB0">
              <w:rPr>
                <w:rFonts w:ascii="Tw Cen MT" w:hAnsi="Tw Cen MT"/>
                <w:color w:val="000000"/>
                <w:sz w:val="22"/>
                <w:szCs w:val="22"/>
              </w:rPr>
              <w:t>Provider Trainee</w:t>
            </w:r>
          </w:p>
        </w:tc>
        <w:tc>
          <w:tcPr>
            <w:tcW w:w="1440" w:type="dxa"/>
            <w:tcMar>
              <w:left w:w="72" w:type="dxa"/>
              <w:right w:w="72" w:type="dxa"/>
            </w:tcMar>
          </w:tcPr>
          <w:p w14:paraId="3908B8D6" w14:textId="77777777" w:rsidR="005F5486" w:rsidRPr="00CF6DB0" w:rsidRDefault="005F5486" w:rsidP="005B55E4">
            <w:pPr>
              <w:jc w:val="left"/>
              <w:rPr>
                <w:rFonts w:ascii="Tw Cen MT" w:hAnsi="Tw Cen MT"/>
                <w:color w:val="000000"/>
                <w:sz w:val="22"/>
                <w:szCs w:val="22"/>
              </w:rPr>
            </w:pPr>
            <w:r w:rsidRPr="00CF6DB0">
              <w:rPr>
                <w:rFonts w:ascii="Tw Cen MT" w:hAnsi="Tw Cen MT"/>
                <w:color w:val="000000"/>
                <w:sz w:val="22"/>
                <w:szCs w:val="22"/>
              </w:rPr>
              <w:t xml:space="preserve">TUP-S RCT 6 Month Version </w:t>
            </w:r>
          </w:p>
        </w:tc>
        <w:tc>
          <w:tcPr>
            <w:tcW w:w="1170" w:type="dxa"/>
            <w:tcMar>
              <w:left w:w="72" w:type="dxa"/>
              <w:right w:w="72" w:type="dxa"/>
            </w:tcMar>
          </w:tcPr>
          <w:p w14:paraId="1EA7B0ED"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444</w:t>
            </w:r>
          </w:p>
        </w:tc>
        <w:tc>
          <w:tcPr>
            <w:tcW w:w="1170" w:type="dxa"/>
            <w:tcMar>
              <w:left w:w="72" w:type="dxa"/>
              <w:right w:w="72" w:type="dxa"/>
            </w:tcMar>
          </w:tcPr>
          <w:p w14:paraId="223B3D01" w14:textId="77777777" w:rsidR="005F5486" w:rsidRPr="00CF6DB0" w:rsidRDefault="005F5486" w:rsidP="005B55E4">
            <w:pPr>
              <w:jc w:val="center"/>
              <w:rPr>
                <w:rFonts w:ascii="Tw Cen MT" w:hAnsi="Tw Cen MT"/>
                <w:sz w:val="22"/>
                <w:szCs w:val="22"/>
              </w:rPr>
            </w:pPr>
            <w:r w:rsidRPr="00CF6DB0">
              <w:rPr>
                <w:rFonts w:ascii="Tw Cen MT" w:hAnsi="Tw Cen MT"/>
                <w:sz w:val="22"/>
                <w:szCs w:val="22"/>
              </w:rPr>
              <w:t>1</w:t>
            </w:r>
          </w:p>
        </w:tc>
        <w:tc>
          <w:tcPr>
            <w:tcW w:w="1080" w:type="dxa"/>
            <w:tcMar>
              <w:left w:w="72" w:type="dxa"/>
              <w:right w:w="72" w:type="dxa"/>
            </w:tcMar>
          </w:tcPr>
          <w:p w14:paraId="55A01F16" w14:textId="77777777" w:rsidR="005F5486" w:rsidRPr="00CF6DB0" w:rsidRDefault="005F5486" w:rsidP="005B55E4">
            <w:pPr>
              <w:jc w:val="center"/>
              <w:rPr>
                <w:rFonts w:ascii="Tw Cen MT" w:hAnsi="Tw Cen MT"/>
                <w:sz w:val="22"/>
                <w:szCs w:val="22"/>
              </w:rPr>
            </w:pPr>
            <w:r w:rsidRPr="00CF6DB0">
              <w:rPr>
                <w:rFonts w:ascii="Tw Cen MT" w:hAnsi="Tw Cen MT"/>
                <w:color w:val="000000"/>
                <w:sz w:val="22"/>
                <w:szCs w:val="22"/>
              </w:rPr>
              <w:t>444</w:t>
            </w:r>
          </w:p>
        </w:tc>
        <w:tc>
          <w:tcPr>
            <w:tcW w:w="1080" w:type="dxa"/>
            <w:tcMar>
              <w:left w:w="72" w:type="dxa"/>
              <w:right w:w="72" w:type="dxa"/>
            </w:tcMar>
          </w:tcPr>
          <w:p w14:paraId="7AD57305"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0.417</w:t>
            </w:r>
          </w:p>
        </w:tc>
        <w:tc>
          <w:tcPr>
            <w:tcW w:w="720" w:type="dxa"/>
            <w:tcMar>
              <w:left w:w="72" w:type="dxa"/>
              <w:right w:w="72" w:type="dxa"/>
            </w:tcMar>
          </w:tcPr>
          <w:p w14:paraId="69AA7376"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185</w:t>
            </w:r>
          </w:p>
        </w:tc>
        <w:tc>
          <w:tcPr>
            <w:tcW w:w="810" w:type="dxa"/>
            <w:tcMar>
              <w:left w:w="72" w:type="dxa"/>
              <w:right w:w="72" w:type="dxa"/>
            </w:tcMar>
          </w:tcPr>
          <w:p w14:paraId="4B1C5E64"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22.22</w:t>
            </w:r>
          </w:p>
        </w:tc>
        <w:tc>
          <w:tcPr>
            <w:tcW w:w="990" w:type="dxa"/>
            <w:tcMar>
              <w:left w:w="72" w:type="dxa"/>
              <w:right w:w="72" w:type="dxa"/>
            </w:tcMar>
          </w:tcPr>
          <w:p w14:paraId="1A5E0B15"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4,111</w:t>
            </w:r>
          </w:p>
        </w:tc>
      </w:tr>
      <w:tr w:rsidR="006E402F" w:rsidRPr="00CF6DB0" w14:paraId="1126BCB5" w14:textId="77777777" w:rsidTr="006E402F">
        <w:trPr>
          <w:trHeight w:val="359"/>
        </w:trPr>
        <w:tc>
          <w:tcPr>
            <w:tcW w:w="1260" w:type="dxa"/>
            <w:shd w:val="clear" w:color="auto" w:fill="auto"/>
            <w:tcMar>
              <w:left w:w="72" w:type="dxa"/>
              <w:right w:w="72" w:type="dxa"/>
            </w:tcMar>
          </w:tcPr>
          <w:p w14:paraId="209C99E1" w14:textId="77777777" w:rsidR="005F5486" w:rsidRPr="00CF6DB0" w:rsidRDefault="005F5486" w:rsidP="005B55E4">
            <w:pPr>
              <w:jc w:val="left"/>
              <w:rPr>
                <w:rFonts w:ascii="Tw Cen MT" w:hAnsi="Tw Cen MT"/>
                <w:sz w:val="22"/>
                <w:szCs w:val="22"/>
              </w:rPr>
            </w:pPr>
            <w:r w:rsidRPr="00CF6DB0">
              <w:rPr>
                <w:rFonts w:ascii="Tw Cen MT" w:hAnsi="Tw Cen MT"/>
                <w:color w:val="000000"/>
                <w:sz w:val="22"/>
                <w:szCs w:val="22"/>
              </w:rPr>
              <w:t>Provider Trainee</w:t>
            </w:r>
          </w:p>
        </w:tc>
        <w:tc>
          <w:tcPr>
            <w:tcW w:w="1440" w:type="dxa"/>
            <w:tcMar>
              <w:left w:w="72" w:type="dxa"/>
              <w:right w:w="72" w:type="dxa"/>
            </w:tcMar>
          </w:tcPr>
          <w:p w14:paraId="32C818CB" w14:textId="77777777" w:rsidR="005F5486" w:rsidRPr="00CF6DB0" w:rsidRDefault="005F5486" w:rsidP="005B55E4">
            <w:pPr>
              <w:jc w:val="left"/>
              <w:rPr>
                <w:rFonts w:ascii="Tw Cen MT" w:hAnsi="Tw Cen MT"/>
                <w:color w:val="000000"/>
                <w:sz w:val="22"/>
                <w:szCs w:val="22"/>
              </w:rPr>
            </w:pPr>
            <w:r w:rsidRPr="00CF6DB0">
              <w:rPr>
                <w:rFonts w:ascii="Tw Cen MT" w:hAnsi="Tw Cen MT"/>
                <w:color w:val="000000"/>
                <w:sz w:val="22"/>
                <w:szCs w:val="22"/>
              </w:rPr>
              <w:t>TUP-S RCT 12 Month Version</w:t>
            </w:r>
          </w:p>
        </w:tc>
        <w:tc>
          <w:tcPr>
            <w:tcW w:w="1170" w:type="dxa"/>
            <w:tcMar>
              <w:left w:w="72" w:type="dxa"/>
              <w:right w:w="72" w:type="dxa"/>
            </w:tcMar>
          </w:tcPr>
          <w:p w14:paraId="416BE53C"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444</w:t>
            </w:r>
          </w:p>
        </w:tc>
        <w:tc>
          <w:tcPr>
            <w:tcW w:w="1170" w:type="dxa"/>
            <w:tcMar>
              <w:left w:w="72" w:type="dxa"/>
              <w:right w:w="72" w:type="dxa"/>
            </w:tcMar>
          </w:tcPr>
          <w:p w14:paraId="6345FF31" w14:textId="77777777" w:rsidR="005F5486" w:rsidRPr="00CF6DB0" w:rsidRDefault="005F5486" w:rsidP="005B55E4">
            <w:pPr>
              <w:jc w:val="center"/>
              <w:rPr>
                <w:rFonts w:ascii="Tw Cen MT" w:hAnsi="Tw Cen MT"/>
                <w:sz w:val="22"/>
                <w:szCs w:val="22"/>
              </w:rPr>
            </w:pPr>
            <w:r w:rsidRPr="00CF6DB0">
              <w:rPr>
                <w:rFonts w:ascii="Tw Cen MT" w:hAnsi="Tw Cen MT"/>
                <w:sz w:val="22"/>
                <w:szCs w:val="22"/>
              </w:rPr>
              <w:t>1</w:t>
            </w:r>
          </w:p>
        </w:tc>
        <w:tc>
          <w:tcPr>
            <w:tcW w:w="1080" w:type="dxa"/>
            <w:tcMar>
              <w:left w:w="72" w:type="dxa"/>
              <w:right w:w="72" w:type="dxa"/>
            </w:tcMar>
          </w:tcPr>
          <w:p w14:paraId="0F5BF72F" w14:textId="77777777" w:rsidR="005F5486" w:rsidRPr="00CF6DB0" w:rsidRDefault="005F5486" w:rsidP="005B55E4">
            <w:pPr>
              <w:jc w:val="center"/>
              <w:rPr>
                <w:rFonts w:ascii="Tw Cen MT" w:hAnsi="Tw Cen MT"/>
                <w:sz w:val="22"/>
                <w:szCs w:val="22"/>
              </w:rPr>
            </w:pPr>
            <w:r w:rsidRPr="00CF6DB0">
              <w:rPr>
                <w:rFonts w:ascii="Tw Cen MT" w:hAnsi="Tw Cen MT"/>
                <w:color w:val="000000"/>
                <w:sz w:val="22"/>
                <w:szCs w:val="22"/>
              </w:rPr>
              <w:t>444</w:t>
            </w:r>
          </w:p>
        </w:tc>
        <w:tc>
          <w:tcPr>
            <w:tcW w:w="1080" w:type="dxa"/>
            <w:tcMar>
              <w:left w:w="72" w:type="dxa"/>
              <w:right w:w="72" w:type="dxa"/>
            </w:tcMar>
          </w:tcPr>
          <w:p w14:paraId="56268DA1"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0.417</w:t>
            </w:r>
          </w:p>
        </w:tc>
        <w:tc>
          <w:tcPr>
            <w:tcW w:w="720" w:type="dxa"/>
            <w:tcMar>
              <w:left w:w="72" w:type="dxa"/>
              <w:right w:w="72" w:type="dxa"/>
            </w:tcMar>
          </w:tcPr>
          <w:p w14:paraId="2014453D"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185</w:t>
            </w:r>
          </w:p>
        </w:tc>
        <w:tc>
          <w:tcPr>
            <w:tcW w:w="810" w:type="dxa"/>
            <w:tcMar>
              <w:left w:w="72" w:type="dxa"/>
              <w:right w:w="72" w:type="dxa"/>
            </w:tcMar>
          </w:tcPr>
          <w:p w14:paraId="44B0F047"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22.22</w:t>
            </w:r>
          </w:p>
        </w:tc>
        <w:tc>
          <w:tcPr>
            <w:tcW w:w="990" w:type="dxa"/>
            <w:tcMar>
              <w:left w:w="72" w:type="dxa"/>
              <w:right w:w="72" w:type="dxa"/>
            </w:tcMar>
          </w:tcPr>
          <w:p w14:paraId="52FEB9B2"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4,111</w:t>
            </w:r>
          </w:p>
        </w:tc>
      </w:tr>
      <w:tr w:rsidR="006E402F" w:rsidRPr="00CF6DB0" w14:paraId="284F35D9" w14:textId="77777777" w:rsidTr="006E402F">
        <w:trPr>
          <w:trHeight w:val="341"/>
        </w:trPr>
        <w:tc>
          <w:tcPr>
            <w:tcW w:w="1260" w:type="dxa"/>
            <w:shd w:val="clear" w:color="auto" w:fill="auto"/>
            <w:tcMar>
              <w:left w:w="72" w:type="dxa"/>
              <w:right w:w="72" w:type="dxa"/>
            </w:tcMar>
          </w:tcPr>
          <w:p w14:paraId="16221378" w14:textId="77777777" w:rsidR="005F5486" w:rsidRPr="00CF6DB0" w:rsidRDefault="005F5486" w:rsidP="005B55E4">
            <w:pPr>
              <w:jc w:val="left"/>
              <w:rPr>
                <w:rFonts w:ascii="Tw Cen MT" w:hAnsi="Tw Cen MT"/>
                <w:color w:val="000000"/>
                <w:sz w:val="22"/>
                <w:szCs w:val="22"/>
              </w:rPr>
            </w:pPr>
            <w:r w:rsidRPr="00CF6DB0">
              <w:rPr>
                <w:rFonts w:ascii="Tw Cen MT" w:hAnsi="Tw Cen MT"/>
                <w:color w:val="000000"/>
                <w:sz w:val="22"/>
                <w:szCs w:val="22"/>
              </w:rPr>
              <w:t>Provider Stakeholder</w:t>
            </w:r>
          </w:p>
        </w:tc>
        <w:tc>
          <w:tcPr>
            <w:tcW w:w="1440" w:type="dxa"/>
            <w:tcMar>
              <w:left w:w="72" w:type="dxa"/>
              <w:right w:w="72" w:type="dxa"/>
            </w:tcMar>
          </w:tcPr>
          <w:p w14:paraId="3451A069" w14:textId="1D105920" w:rsidR="005F5486" w:rsidRPr="00CF6DB0" w:rsidRDefault="00BF5CAE" w:rsidP="005B55E4">
            <w:pPr>
              <w:jc w:val="left"/>
              <w:rPr>
                <w:rFonts w:ascii="Tw Cen MT" w:hAnsi="Tw Cen MT"/>
                <w:color w:val="000000"/>
                <w:sz w:val="22"/>
                <w:szCs w:val="22"/>
              </w:rPr>
            </w:pPr>
            <w:r w:rsidRPr="00CF6DB0">
              <w:rPr>
                <w:rFonts w:ascii="Tw Cen MT" w:hAnsi="Tw Cen MT"/>
                <w:color w:val="000000"/>
                <w:sz w:val="22"/>
                <w:szCs w:val="22"/>
              </w:rPr>
              <w:t>RNS</w:t>
            </w:r>
          </w:p>
        </w:tc>
        <w:tc>
          <w:tcPr>
            <w:tcW w:w="1170" w:type="dxa"/>
            <w:tcMar>
              <w:left w:w="72" w:type="dxa"/>
              <w:right w:w="72" w:type="dxa"/>
            </w:tcMar>
          </w:tcPr>
          <w:p w14:paraId="3A83B05D"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26</w:t>
            </w:r>
          </w:p>
        </w:tc>
        <w:tc>
          <w:tcPr>
            <w:tcW w:w="1170" w:type="dxa"/>
            <w:tcMar>
              <w:left w:w="72" w:type="dxa"/>
              <w:right w:w="72" w:type="dxa"/>
            </w:tcMar>
          </w:tcPr>
          <w:p w14:paraId="6911BFEA" w14:textId="77777777" w:rsidR="005F5486" w:rsidRPr="00CF6DB0" w:rsidRDefault="005F5486" w:rsidP="005B55E4">
            <w:pPr>
              <w:jc w:val="center"/>
              <w:rPr>
                <w:rFonts w:ascii="Tw Cen MT" w:hAnsi="Tw Cen MT"/>
                <w:sz w:val="22"/>
                <w:szCs w:val="22"/>
              </w:rPr>
            </w:pPr>
            <w:r w:rsidRPr="00CF6DB0">
              <w:rPr>
                <w:rFonts w:ascii="Tw Cen MT" w:hAnsi="Tw Cen MT"/>
                <w:sz w:val="22"/>
                <w:szCs w:val="22"/>
              </w:rPr>
              <w:t>1</w:t>
            </w:r>
          </w:p>
        </w:tc>
        <w:tc>
          <w:tcPr>
            <w:tcW w:w="1080" w:type="dxa"/>
            <w:tcMar>
              <w:left w:w="72" w:type="dxa"/>
              <w:right w:w="72" w:type="dxa"/>
            </w:tcMar>
          </w:tcPr>
          <w:p w14:paraId="68FC75EE"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26</w:t>
            </w:r>
          </w:p>
        </w:tc>
        <w:tc>
          <w:tcPr>
            <w:tcW w:w="1080" w:type="dxa"/>
            <w:tcMar>
              <w:left w:w="72" w:type="dxa"/>
              <w:right w:w="72" w:type="dxa"/>
            </w:tcMar>
          </w:tcPr>
          <w:p w14:paraId="38452A51"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0.667</w:t>
            </w:r>
          </w:p>
        </w:tc>
        <w:tc>
          <w:tcPr>
            <w:tcW w:w="720" w:type="dxa"/>
            <w:tcMar>
              <w:left w:w="72" w:type="dxa"/>
              <w:right w:w="72" w:type="dxa"/>
            </w:tcMar>
          </w:tcPr>
          <w:p w14:paraId="50752CC2"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17</w:t>
            </w:r>
          </w:p>
        </w:tc>
        <w:tc>
          <w:tcPr>
            <w:tcW w:w="810" w:type="dxa"/>
            <w:tcMar>
              <w:left w:w="72" w:type="dxa"/>
              <w:right w:w="72" w:type="dxa"/>
            </w:tcMar>
          </w:tcPr>
          <w:p w14:paraId="3A42E552"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36.44</w:t>
            </w:r>
          </w:p>
        </w:tc>
        <w:tc>
          <w:tcPr>
            <w:tcW w:w="990" w:type="dxa"/>
            <w:tcMar>
              <w:left w:w="72" w:type="dxa"/>
              <w:right w:w="72" w:type="dxa"/>
            </w:tcMar>
          </w:tcPr>
          <w:p w14:paraId="33644246"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620</w:t>
            </w:r>
          </w:p>
        </w:tc>
      </w:tr>
      <w:tr w:rsidR="006E402F" w:rsidRPr="00CF6DB0" w14:paraId="51C14E62" w14:textId="77777777" w:rsidTr="006E402F">
        <w:trPr>
          <w:trHeight w:val="350"/>
        </w:trPr>
        <w:tc>
          <w:tcPr>
            <w:tcW w:w="1260" w:type="dxa"/>
            <w:shd w:val="clear" w:color="auto" w:fill="auto"/>
            <w:tcMar>
              <w:left w:w="72" w:type="dxa"/>
              <w:right w:w="72" w:type="dxa"/>
            </w:tcMar>
          </w:tcPr>
          <w:p w14:paraId="01D18513" w14:textId="77777777" w:rsidR="005F5486" w:rsidRPr="00CF6DB0" w:rsidRDefault="005F5486" w:rsidP="005B55E4">
            <w:pPr>
              <w:jc w:val="left"/>
              <w:rPr>
                <w:rFonts w:ascii="Tw Cen MT" w:hAnsi="Tw Cen MT"/>
                <w:color w:val="000000"/>
                <w:sz w:val="22"/>
                <w:szCs w:val="22"/>
              </w:rPr>
            </w:pPr>
            <w:r w:rsidRPr="00CF6DB0">
              <w:rPr>
                <w:rFonts w:ascii="Tw Cen MT" w:hAnsi="Tw Cen MT"/>
                <w:color w:val="000000"/>
                <w:sz w:val="22"/>
                <w:szCs w:val="22"/>
              </w:rPr>
              <w:t>Behavioral Health Provider</w:t>
            </w:r>
          </w:p>
        </w:tc>
        <w:tc>
          <w:tcPr>
            <w:tcW w:w="1440" w:type="dxa"/>
            <w:tcMar>
              <w:left w:w="72" w:type="dxa"/>
              <w:right w:w="72" w:type="dxa"/>
            </w:tcMar>
          </w:tcPr>
          <w:p w14:paraId="5DEAE911" w14:textId="483760D4" w:rsidR="005F5486" w:rsidRPr="00CF6DB0" w:rsidRDefault="00BF5CAE" w:rsidP="005B55E4">
            <w:pPr>
              <w:jc w:val="left"/>
              <w:rPr>
                <w:rFonts w:ascii="Tw Cen MT" w:hAnsi="Tw Cen MT"/>
                <w:color w:val="000000"/>
                <w:sz w:val="22"/>
                <w:szCs w:val="22"/>
              </w:rPr>
            </w:pPr>
            <w:r w:rsidRPr="00CF6DB0">
              <w:rPr>
                <w:rFonts w:ascii="Tw Cen MT" w:hAnsi="Tw Cen MT"/>
                <w:color w:val="000000"/>
                <w:sz w:val="22"/>
                <w:szCs w:val="22"/>
              </w:rPr>
              <w:t>BHPS</w:t>
            </w:r>
          </w:p>
        </w:tc>
        <w:tc>
          <w:tcPr>
            <w:tcW w:w="1170" w:type="dxa"/>
            <w:tcMar>
              <w:left w:w="72" w:type="dxa"/>
              <w:right w:w="72" w:type="dxa"/>
            </w:tcMar>
          </w:tcPr>
          <w:p w14:paraId="17FC0FBE"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407</w:t>
            </w:r>
          </w:p>
        </w:tc>
        <w:tc>
          <w:tcPr>
            <w:tcW w:w="1170" w:type="dxa"/>
            <w:tcMar>
              <w:left w:w="72" w:type="dxa"/>
              <w:right w:w="72" w:type="dxa"/>
            </w:tcMar>
          </w:tcPr>
          <w:p w14:paraId="3BF498FB" w14:textId="77777777" w:rsidR="005F5486" w:rsidRPr="00CF6DB0" w:rsidRDefault="005F5486" w:rsidP="005B55E4">
            <w:pPr>
              <w:jc w:val="center"/>
              <w:rPr>
                <w:rFonts w:ascii="Tw Cen MT" w:hAnsi="Tw Cen MT"/>
                <w:sz w:val="22"/>
                <w:szCs w:val="22"/>
              </w:rPr>
            </w:pPr>
            <w:r w:rsidRPr="00CF6DB0">
              <w:rPr>
                <w:rFonts w:ascii="Tw Cen MT" w:hAnsi="Tw Cen MT"/>
                <w:sz w:val="22"/>
                <w:szCs w:val="22"/>
              </w:rPr>
              <w:t>1</w:t>
            </w:r>
          </w:p>
        </w:tc>
        <w:tc>
          <w:tcPr>
            <w:tcW w:w="1080" w:type="dxa"/>
            <w:tcMar>
              <w:left w:w="72" w:type="dxa"/>
              <w:right w:w="72" w:type="dxa"/>
            </w:tcMar>
          </w:tcPr>
          <w:p w14:paraId="319DAE6D"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407</w:t>
            </w:r>
          </w:p>
        </w:tc>
        <w:tc>
          <w:tcPr>
            <w:tcW w:w="1080" w:type="dxa"/>
            <w:tcMar>
              <w:left w:w="72" w:type="dxa"/>
              <w:right w:w="72" w:type="dxa"/>
            </w:tcMar>
          </w:tcPr>
          <w:p w14:paraId="09394BE4"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0.750</w:t>
            </w:r>
          </w:p>
        </w:tc>
        <w:tc>
          <w:tcPr>
            <w:tcW w:w="720" w:type="dxa"/>
            <w:tcMar>
              <w:left w:w="72" w:type="dxa"/>
              <w:right w:w="72" w:type="dxa"/>
            </w:tcMar>
          </w:tcPr>
          <w:p w14:paraId="76211775"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305</w:t>
            </w:r>
          </w:p>
        </w:tc>
        <w:tc>
          <w:tcPr>
            <w:tcW w:w="810" w:type="dxa"/>
            <w:tcMar>
              <w:left w:w="72" w:type="dxa"/>
              <w:right w:w="72" w:type="dxa"/>
            </w:tcMar>
          </w:tcPr>
          <w:p w14:paraId="6E8DD518"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36.44</w:t>
            </w:r>
          </w:p>
        </w:tc>
        <w:tc>
          <w:tcPr>
            <w:tcW w:w="990" w:type="dxa"/>
            <w:tcMar>
              <w:left w:w="72" w:type="dxa"/>
              <w:right w:w="72" w:type="dxa"/>
            </w:tcMar>
          </w:tcPr>
          <w:p w14:paraId="5234E1A5"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11,114</w:t>
            </w:r>
          </w:p>
        </w:tc>
      </w:tr>
      <w:tr w:rsidR="005F5486" w:rsidRPr="00CF6DB0" w14:paraId="23AB6568" w14:textId="77777777" w:rsidTr="006E402F">
        <w:trPr>
          <w:trHeight w:val="287"/>
        </w:trPr>
        <w:tc>
          <w:tcPr>
            <w:tcW w:w="9720" w:type="dxa"/>
            <w:gridSpan w:val="9"/>
            <w:shd w:val="clear" w:color="auto" w:fill="D9D9D9" w:themeFill="background1" w:themeFillShade="D9"/>
            <w:tcMar>
              <w:left w:w="72" w:type="dxa"/>
              <w:right w:w="72" w:type="dxa"/>
            </w:tcMar>
            <w:vAlign w:val="center"/>
          </w:tcPr>
          <w:p w14:paraId="7FE8DE77" w14:textId="6AF9BE35" w:rsidR="005F5486" w:rsidRPr="00CF6DB0" w:rsidRDefault="00443E33" w:rsidP="00A225A1">
            <w:pPr>
              <w:jc w:val="center"/>
              <w:rPr>
                <w:rFonts w:ascii="Tw Cen MT" w:hAnsi="Tw Cen MT"/>
                <w:b/>
                <w:caps/>
                <w:sz w:val="22"/>
                <w:szCs w:val="22"/>
              </w:rPr>
            </w:pPr>
            <w:r w:rsidRPr="00CF6DB0">
              <w:rPr>
                <w:rFonts w:ascii="Tw Cen MT" w:hAnsi="Tw Cen MT"/>
                <w:b/>
                <w:bCs/>
                <w:caps/>
                <w:sz w:val="22"/>
                <w:szCs w:val="22"/>
              </w:rPr>
              <w:t>Campus Instruments</w:t>
            </w:r>
          </w:p>
        </w:tc>
      </w:tr>
      <w:tr w:rsidR="006E402F" w:rsidRPr="00CF6DB0" w14:paraId="1139ECA5" w14:textId="77777777" w:rsidTr="006E402F">
        <w:trPr>
          <w:trHeight w:val="481"/>
        </w:trPr>
        <w:tc>
          <w:tcPr>
            <w:tcW w:w="1260" w:type="dxa"/>
            <w:shd w:val="clear" w:color="auto" w:fill="auto"/>
            <w:tcMar>
              <w:left w:w="72" w:type="dxa"/>
              <w:right w:w="72" w:type="dxa"/>
            </w:tcMar>
          </w:tcPr>
          <w:p w14:paraId="015E0919" w14:textId="77777777" w:rsidR="005F5486" w:rsidRPr="00CF6DB0" w:rsidRDefault="005F5486" w:rsidP="005B55E4">
            <w:pPr>
              <w:rPr>
                <w:rFonts w:ascii="Tw Cen MT" w:hAnsi="Tw Cen MT"/>
                <w:color w:val="000000"/>
                <w:sz w:val="22"/>
                <w:szCs w:val="22"/>
              </w:rPr>
            </w:pPr>
            <w:r w:rsidRPr="00CF6DB0">
              <w:rPr>
                <w:rFonts w:ascii="Tw Cen MT" w:hAnsi="Tw Cen MT"/>
                <w:sz w:val="22"/>
                <w:szCs w:val="22"/>
              </w:rPr>
              <w:t xml:space="preserve">Project Evaluator </w:t>
            </w:r>
          </w:p>
        </w:tc>
        <w:tc>
          <w:tcPr>
            <w:tcW w:w="1440" w:type="dxa"/>
            <w:tcMar>
              <w:left w:w="72" w:type="dxa"/>
              <w:right w:w="72" w:type="dxa"/>
            </w:tcMar>
          </w:tcPr>
          <w:p w14:paraId="0F8FAE0C" w14:textId="0FBB842B" w:rsidR="005F5486" w:rsidRPr="00CF6DB0" w:rsidRDefault="00BF5CAE" w:rsidP="005B55E4">
            <w:pPr>
              <w:jc w:val="left"/>
              <w:rPr>
                <w:rFonts w:ascii="Tw Cen MT" w:hAnsi="Tw Cen MT"/>
                <w:color w:val="000000"/>
                <w:sz w:val="22"/>
                <w:szCs w:val="22"/>
              </w:rPr>
            </w:pPr>
            <w:r w:rsidRPr="00CF6DB0">
              <w:rPr>
                <w:rFonts w:ascii="Tw Cen MT" w:hAnsi="Tw Cen MT"/>
                <w:sz w:val="22"/>
                <w:szCs w:val="22"/>
              </w:rPr>
              <w:t>PSI</w:t>
            </w:r>
            <w:r w:rsidR="005F5486" w:rsidRPr="00CF6DB0">
              <w:rPr>
                <w:rFonts w:ascii="Tw Cen MT" w:hAnsi="Tw Cen MT"/>
                <w:sz w:val="22"/>
                <w:szCs w:val="22"/>
              </w:rPr>
              <w:t xml:space="preserve"> </w:t>
            </w:r>
          </w:p>
        </w:tc>
        <w:tc>
          <w:tcPr>
            <w:tcW w:w="1170" w:type="dxa"/>
            <w:tcMar>
              <w:left w:w="72" w:type="dxa"/>
              <w:right w:w="72" w:type="dxa"/>
            </w:tcMar>
          </w:tcPr>
          <w:p w14:paraId="1614AB0D"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56</w:t>
            </w:r>
          </w:p>
        </w:tc>
        <w:tc>
          <w:tcPr>
            <w:tcW w:w="1170" w:type="dxa"/>
            <w:tcMar>
              <w:left w:w="72" w:type="dxa"/>
              <w:right w:w="72" w:type="dxa"/>
            </w:tcMar>
          </w:tcPr>
          <w:p w14:paraId="31F2C28A" w14:textId="77777777" w:rsidR="005F5486" w:rsidRPr="00CF6DB0" w:rsidRDefault="005F5486" w:rsidP="005B55E4">
            <w:pPr>
              <w:jc w:val="center"/>
              <w:rPr>
                <w:rFonts w:ascii="Tw Cen MT" w:hAnsi="Tw Cen MT"/>
                <w:sz w:val="22"/>
                <w:szCs w:val="22"/>
              </w:rPr>
            </w:pPr>
            <w:r w:rsidRPr="00CF6DB0">
              <w:rPr>
                <w:rFonts w:ascii="Tw Cen MT" w:hAnsi="Tw Cen MT"/>
                <w:sz w:val="22"/>
                <w:szCs w:val="22"/>
              </w:rPr>
              <w:t>4</w:t>
            </w:r>
          </w:p>
        </w:tc>
        <w:tc>
          <w:tcPr>
            <w:tcW w:w="1080" w:type="dxa"/>
            <w:shd w:val="clear" w:color="auto" w:fill="auto"/>
            <w:tcMar>
              <w:left w:w="72" w:type="dxa"/>
              <w:right w:w="72" w:type="dxa"/>
            </w:tcMar>
          </w:tcPr>
          <w:p w14:paraId="491DFBCA"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224</w:t>
            </w:r>
          </w:p>
        </w:tc>
        <w:tc>
          <w:tcPr>
            <w:tcW w:w="1080" w:type="dxa"/>
            <w:tcMar>
              <w:left w:w="72" w:type="dxa"/>
              <w:right w:w="72" w:type="dxa"/>
            </w:tcMar>
          </w:tcPr>
          <w:p w14:paraId="1E5159CD"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0.750</w:t>
            </w:r>
          </w:p>
        </w:tc>
        <w:tc>
          <w:tcPr>
            <w:tcW w:w="720" w:type="dxa"/>
            <w:tcMar>
              <w:left w:w="72" w:type="dxa"/>
              <w:right w:w="72" w:type="dxa"/>
            </w:tcMar>
          </w:tcPr>
          <w:p w14:paraId="31EECE5D"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168</w:t>
            </w:r>
          </w:p>
        </w:tc>
        <w:tc>
          <w:tcPr>
            <w:tcW w:w="810" w:type="dxa"/>
            <w:tcMar>
              <w:left w:w="72" w:type="dxa"/>
              <w:right w:w="72" w:type="dxa"/>
            </w:tcMar>
          </w:tcPr>
          <w:p w14:paraId="316F84CD"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36.72</w:t>
            </w:r>
          </w:p>
        </w:tc>
        <w:tc>
          <w:tcPr>
            <w:tcW w:w="990" w:type="dxa"/>
            <w:tcMar>
              <w:left w:w="72" w:type="dxa"/>
              <w:right w:w="72" w:type="dxa"/>
            </w:tcMar>
          </w:tcPr>
          <w:p w14:paraId="1E467D19"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6,169</w:t>
            </w:r>
          </w:p>
        </w:tc>
      </w:tr>
      <w:tr w:rsidR="006E402F" w:rsidRPr="00CF6DB0" w14:paraId="1C15F6D7" w14:textId="77777777" w:rsidTr="006E402F">
        <w:trPr>
          <w:trHeight w:val="481"/>
        </w:trPr>
        <w:tc>
          <w:tcPr>
            <w:tcW w:w="1260" w:type="dxa"/>
            <w:shd w:val="clear" w:color="auto" w:fill="auto"/>
            <w:tcMar>
              <w:left w:w="72" w:type="dxa"/>
              <w:right w:w="72" w:type="dxa"/>
            </w:tcMar>
          </w:tcPr>
          <w:p w14:paraId="76383122" w14:textId="77777777" w:rsidR="005F5486" w:rsidRPr="00CF6DB0" w:rsidRDefault="005F5486" w:rsidP="005B55E4">
            <w:pPr>
              <w:rPr>
                <w:rFonts w:ascii="Tw Cen MT" w:hAnsi="Tw Cen MT"/>
                <w:color w:val="000000"/>
                <w:sz w:val="22"/>
                <w:szCs w:val="22"/>
              </w:rPr>
            </w:pPr>
            <w:r w:rsidRPr="00CF6DB0">
              <w:rPr>
                <w:rFonts w:ascii="Tw Cen MT" w:hAnsi="Tw Cen MT"/>
                <w:sz w:val="22"/>
                <w:szCs w:val="22"/>
              </w:rPr>
              <w:t xml:space="preserve">Project Evaluator </w:t>
            </w:r>
          </w:p>
        </w:tc>
        <w:tc>
          <w:tcPr>
            <w:tcW w:w="1440" w:type="dxa"/>
            <w:tcMar>
              <w:left w:w="72" w:type="dxa"/>
              <w:right w:w="72" w:type="dxa"/>
            </w:tcMar>
          </w:tcPr>
          <w:p w14:paraId="64C1D238" w14:textId="0AB5A06D" w:rsidR="005F5486" w:rsidRPr="00CF6DB0" w:rsidRDefault="00BF5CAE" w:rsidP="005B55E4">
            <w:pPr>
              <w:jc w:val="left"/>
              <w:rPr>
                <w:rFonts w:ascii="Tw Cen MT" w:hAnsi="Tw Cen MT"/>
                <w:color w:val="000000"/>
                <w:sz w:val="22"/>
                <w:szCs w:val="22"/>
              </w:rPr>
            </w:pPr>
            <w:r w:rsidRPr="00CF6DB0">
              <w:rPr>
                <w:rFonts w:ascii="Tw Cen MT" w:hAnsi="Tw Cen MT"/>
                <w:sz w:val="22"/>
                <w:szCs w:val="22"/>
              </w:rPr>
              <w:t>TASP</w:t>
            </w:r>
            <w:r w:rsidR="005F5486" w:rsidRPr="00CF6DB0">
              <w:rPr>
                <w:rFonts w:ascii="Tw Cen MT" w:hAnsi="Tw Cen MT"/>
                <w:sz w:val="22"/>
                <w:szCs w:val="22"/>
              </w:rPr>
              <w:t xml:space="preserve"> </w:t>
            </w:r>
          </w:p>
        </w:tc>
        <w:tc>
          <w:tcPr>
            <w:tcW w:w="1170" w:type="dxa"/>
            <w:tcMar>
              <w:left w:w="72" w:type="dxa"/>
              <w:right w:w="72" w:type="dxa"/>
            </w:tcMar>
          </w:tcPr>
          <w:p w14:paraId="7AAAABB2"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56</w:t>
            </w:r>
          </w:p>
        </w:tc>
        <w:tc>
          <w:tcPr>
            <w:tcW w:w="1170" w:type="dxa"/>
            <w:tcMar>
              <w:left w:w="72" w:type="dxa"/>
              <w:right w:w="72" w:type="dxa"/>
            </w:tcMar>
          </w:tcPr>
          <w:p w14:paraId="0089C773" w14:textId="77777777" w:rsidR="005F5486" w:rsidRPr="00CF6DB0" w:rsidRDefault="005F5486" w:rsidP="005B55E4">
            <w:pPr>
              <w:jc w:val="center"/>
              <w:rPr>
                <w:rFonts w:ascii="Tw Cen MT" w:hAnsi="Tw Cen MT"/>
                <w:sz w:val="22"/>
                <w:szCs w:val="22"/>
              </w:rPr>
            </w:pPr>
            <w:r w:rsidRPr="00CF6DB0">
              <w:rPr>
                <w:rFonts w:ascii="Tw Cen MT" w:hAnsi="Tw Cen MT"/>
                <w:sz w:val="22"/>
                <w:szCs w:val="22"/>
              </w:rPr>
              <w:t>4</w:t>
            </w:r>
          </w:p>
        </w:tc>
        <w:tc>
          <w:tcPr>
            <w:tcW w:w="1080" w:type="dxa"/>
            <w:shd w:val="clear" w:color="auto" w:fill="auto"/>
            <w:tcMar>
              <w:left w:w="72" w:type="dxa"/>
              <w:right w:w="72" w:type="dxa"/>
            </w:tcMar>
          </w:tcPr>
          <w:p w14:paraId="40B53CF3"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224</w:t>
            </w:r>
          </w:p>
        </w:tc>
        <w:tc>
          <w:tcPr>
            <w:tcW w:w="1080" w:type="dxa"/>
            <w:tcMar>
              <w:left w:w="72" w:type="dxa"/>
              <w:right w:w="72" w:type="dxa"/>
            </w:tcMar>
          </w:tcPr>
          <w:p w14:paraId="03F01CA2"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0.250</w:t>
            </w:r>
          </w:p>
        </w:tc>
        <w:tc>
          <w:tcPr>
            <w:tcW w:w="720" w:type="dxa"/>
            <w:tcMar>
              <w:left w:w="72" w:type="dxa"/>
              <w:right w:w="72" w:type="dxa"/>
            </w:tcMar>
          </w:tcPr>
          <w:p w14:paraId="2D873670"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56</w:t>
            </w:r>
          </w:p>
        </w:tc>
        <w:tc>
          <w:tcPr>
            <w:tcW w:w="810" w:type="dxa"/>
            <w:tcMar>
              <w:left w:w="72" w:type="dxa"/>
              <w:right w:w="72" w:type="dxa"/>
            </w:tcMar>
          </w:tcPr>
          <w:p w14:paraId="37403A62"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36.72</w:t>
            </w:r>
          </w:p>
        </w:tc>
        <w:tc>
          <w:tcPr>
            <w:tcW w:w="990" w:type="dxa"/>
            <w:tcMar>
              <w:left w:w="72" w:type="dxa"/>
              <w:right w:w="72" w:type="dxa"/>
            </w:tcMar>
          </w:tcPr>
          <w:p w14:paraId="360C9752"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2,056</w:t>
            </w:r>
          </w:p>
        </w:tc>
      </w:tr>
      <w:tr w:rsidR="006E402F" w:rsidRPr="00CF6DB0" w14:paraId="295913F9" w14:textId="77777777" w:rsidTr="006E402F">
        <w:trPr>
          <w:trHeight w:val="481"/>
        </w:trPr>
        <w:tc>
          <w:tcPr>
            <w:tcW w:w="1260" w:type="dxa"/>
            <w:shd w:val="clear" w:color="auto" w:fill="auto"/>
            <w:tcMar>
              <w:left w:w="72" w:type="dxa"/>
              <w:right w:w="72" w:type="dxa"/>
            </w:tcMar>
          </w:tcPr>
          <w:p w14:paraId="11AB459D" w14:textId="77777777" w:rsidR="005F5486" w:rsidRPr="00CF6DB0" w:rsidRDefault="005F5486" w:rsidP="005B55E4">
            <w:pPr>
              <w:rPr>
                <w:rFonts w:ascii="Tw Cen MT" w:hAnsi="Tw Cen MT"/>
                <w:sz w:val="22"/>
                <w:szCs w:val="22"/>
              </w:rPr>
            </w:pPr>
            <w:r w:rsidRPr="00CF6DB0">
              <w:rPr>
                <w:rFonts w:ascii="Tw Cen MT" w:hAnsi="Tw Cen MT"/>
                <w:sz w:val="22"/>
                <w:szCs w:val="22"/>
              </w:rPr>
              <w:t>Project Evaluator</w:t>
            </w:r>
          </w:p>
        </w:tc>
        <w:tc>
          <w:tcPr>
            <w:tcW w:w="1440" w:type="dxa"/>
            <w:tcMar>
              <w:left w:w="72" w:type="dxa"/>
              <w:right w:w="72" w:type="dxa"/>
            </w:tcMar>
          </w:tcPr>
          <w:p w14:paraId="729A51A7" w14:textId="28FF76B3" w:rsidR="005F5486" w:rsidRPr="00CF6DB0" w:rsidRDefault="00BF5CAE" w:rsidP="005B55E4">
            <w:pPr>
              <w:jc w:val="left"/>
              <w:rPr>
                <w:rFonts w:ascii="Tw Cen MT" w:hAnsi="Tw Cen MT"/>
                <w:sz w:val="22"/>
                <w:szCs w:val="22"/>
              </w:rPr>
            </w:pPr>
            <w:r w:rsidRPr="00CF6DB0">
              <w:rPr>
                <w:rFonts w:ascii="Tw Cen MT" w:hAnsi="Tw Cen MT"/>
                <w:sz w:val="22"/>
                <w:szCs w:val="22"/>
              </w:rPr>
              <w:t>SBHF</w:t>
            </w:r>
          </w:p>
        </w:tc>
        <w:tc>
          <w:tcPr>
            <w:tcW w:w="1170" w:type="dxa"/>
            <w:tcMar>
              <w:left w:w="72" w:type="dxa"/>
              <w:right w:w="72" w:type="dxa"/>
            </w:tcMar>
          </w:tcPr>
          <w:p w14:paraId="253B67A9"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56</w:t>
            </w:r>
          </w:p>
        </w:tc>
        <w:tc>
          <w:tcPr>
            <w:tcW w:w="1170" w:type="dxa"/>
            <w:tcMar>
              <w:left w:w="72" w:type="dxa"/>
              <w:right w:w="72" w:type="dxa"/>
            </w:tcMar>
          </w:tcPr>
          <w:p w14:paraId="730478C3" w14:textId="77777777" w:rsidR="005F5486" w:rsidRPr="00CF6DB0" w:rsidRDefault="005F5486" w:rsidP="005B55E4">
            <w:pPr>
              <w:jc w:val="center"/>
              <w:rPr>
                <w:rFonts w:ascii="Tw Cen MT" w:hAnsi="Tw Cen MT"/>
                <w:sz w:val="22"/>
                <w:szCs w:val="22"/>
              </w:rPr>
            </w:pPr>
            <w:r w:rsidRPr="00CF6DB0">
              <w:rPr>
                <w:rFonts w:ascii="Tw Cen MT" w:hAnsi="Tw Cen MT"/>
                <w:sz w:val="22"/>
                <w:szCs w:val="22"/>
              </w:rPr>
              <w:t>1</w:t>
            </w:r>
          </w:p>
        </w:tc>
        <w:tc>
          <w:tcPr>
            <w:tcW w:w="1080" w:type="dxa"/>
            <w:tcMar>
              <w:left w:w="72" w:type="dxa"/>
              <w:right w:w="72" w:type="dxa"/>
            </w:tcMar>
          </w:tcPr>
          <w:p w14:paraId="0D99BDCA"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56</w:t>
            </w:r>
          </w:p>
        </w:tc>
        <w:tc>
          <w:tcPr>
            <w:tcW w:w="1080" w:type="dxa"/>
            <w:tcMar>
              <w:left w:w="72" w:type="dxa"/>
              <w:right w:w="72" w:type="dxa"/>
            </w:tcMar>
          </w:tcPr>
          <w:p w14:paraId="5E12A60E"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0.667</w:t>
            </w:r>
          </w:p>
        </w:tc>
        <w:tc>
          <w:tcPr>
            <w:tcW w:w="720" w:type="dxa"/>
            <w:tcMar>
              <w:left w:w="72" w:type="dxa"/>
              <w:right w:w="72" w:type="dxa"/>
            </w:tcMar>
          </w:tcPr>
          <w:p w14:paraId="0C793F5B"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37</w:t>
            </w:r>
          </w:p>
        </w:tc>
        <w:tc>
          <w:tcPr>
            <w:tcW w:w="810" w:type="dxa"/>
            <w:tcMar>
              <w:left w:w="72" w:type="dxa"/>
              <w:right w:w="72" w:type="dxa"/>
            </w:tcMar>
          </w:tcPr>
          <w:p w14:paraId="2280387D"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36.72</w:t>
            </w:r>
          </w:p>
        </w:tc>
        <w:tc>
          <w:tcPr>
            <w:tcW w:w="990" w:type="dxa"/>
            <w:tcMar>
              <w:left w:w="72" w:type="dxa"/>
              <w:right w:w="72" w:type="dxa"/>
            </w:tcMar>
          </w:tcPr>
          <w:p w14:paraId="2C03D041"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1,359</w:t>
            </w:r>
          </w:p>
        </w:tc>
      </w:tr>
      <w:tr w:rsidR="006E402F" w:rsidRPr="00CF6DB0" w14:paraId="7B612FD1" w14:textId="77777777" w:rsidTr="006E402F">
        <w:trPr>
          <w:trHeight w:val="481"/>
        </w:trPr>
        <w:tc>
          <w:tcPr>
            <w:tcW w:w="1260" w:type="dxa"/>
            <w:shd w:val="clear" w:color="auto" w:fill="auto"/>
            <w:tcMar>
              <w:left w:w="72" w:type="dxa"/>
              <w:right w:w="72" w:type="dxa"/>
            </w:tcMar>
          </w:tcPr>
          <w:p w14:paraId="59600070" w14:textId="77777777" w:rsidR="005F5486" w:rsidRPr="00CF6DB0" w:rsidRDefault="005F5486" w:rsidP="005B55E4">
            <w:pPr>
              <w:rPr>
                <w:rFonts w:ascii="Tw Cen MT" w:hAnsi="Tw Cen MT"/>
                <w:color w:val="000000"/>
                <w:sz w:val="22"/>
                <w:szCs w:val="22"/>
              </w:rPr>
            </w:pPr>
            <w:r w:rsidRPr="00CF6DB0">
              <w:rPr>
                <w:rFonts w:ascii="Tw Cen MT" w:hAnsi="Tw Cen MT"/>
                <w:sz w:val="22"/>
                <w:szCs w:val="22"/>
              </w:rPr>
              <w:t>Student</w:t>
            </w:r>
          </w:p>
        </w:tc>
        <w:tc>
          <w:tcPr>
            <w:tcW w:w="1440" w:type="dxa"/>
            <w:tcMar>
              <w:left w:w="72" w:type="dxa"/>
              <w:right w:w="72" w:type="dxa"/>
            </w:tcMar>
          </w:tcPr>
          <w:p w14:paraId="52FD9F61" w14:textId="6BF8F331" w:rsidR="005F5486" w:rsidRPr="00CF6DB0" w:rsidRDefault="005F5486" w:rsidP="00BF5CAE">
            <w:pPr>
              <w:jc w:val="left"/>
              <w:rPr>
                <w:rFonts w:ascii="Tw Cen MT" w:hAnsi="Tw Cen MT"/>
                <w:color w:val="000000"/>
                <w:sz w:val="22"/>
                <w:szCs w:val="22"/>
              </w:rPr>
            </w:pPr>
            <w:r w:rsidRPr="00CF6DB0">
              <w:rPr>
                <w:rFonts w:ascii="Tw Cen MT" w:hAnsi="Tw Cen MT"/>
                <w:sz w:val="22"/>
                <w:szCs w:val="22"/>
              </w:rPr>
              <w:t xml:space="preserve">TUP-S </w:t>
            </w:r>
            <w:r w:rsidR="00BF5CAE" w:rsidRPr="00CF6DB0">
              <w:rPr>
                <w:rFonts w:ascii="Tw Cen MT" w:hAnsi="Tw Cen MT"/>
                <w:sz w:val="22"/>
                <w:szCs w:val="22"/>
              </w:rPr>
              <w:t>Campus</w:t>
            </w:r>
            <w:r w:rsidRPr="00CF6DB0">
              <w:rPr>
                <w:rFonts w:ascii="Tw Cen MT" w:hAnsi="Tw Cen MT"/>
                <w:sz w:val="22"/>
                <w:szCs w:val="22"/>
              </w:rPr>
              <w:t xml:space="preserve"> Version</w:t>
            </w:r>
          </w:p>
        </w:tc>
        <w:tc>
          <w:tcPr>
            <w:tcW w:w="1170" w:type="dxa"/>
            <w:tcMar>
              <w:left w:w="72" w:type="dxa"/>
              <w:right w:w="72" w:type="dxa"/>
            </w:tcMar>
          </w:tcPr>
          <w:p w14:paraId="66D82C25" w14:textId="77777777" w:rsidR="005F5486" w:rsidRPr="00CF6DB0" w:rsidRDefault="005F5486" w:rsidP="005B55E4">
            <w:pPr>
              <w:tabs>
                <w:tab w:val="left" w:pos="335"/>
                <w:tab w:val="center" w:pos="558"/>
              </w:tabs>
              <w:jc w:val="center"/>
              <w:rPr>
                <w:rFonts w:ascii="Tw Cen MT" w:hAnsi="Tw Cen MT"/>
                <w:color w:val="000000"/>
                <w:sz w:val="22"/>
                <w:szCs w:val="22"/>
              </w:rPr>
            </w:pPr>
            <w:r w:rsidRPr="00CF6DB0">
              <w:rPr>
                <w:rFonts w:ascii="Tw Cen MT" w:hAnsi="Tw Cen MT"/>
                <w:color w:val="000000"/>
                <w:sz w:val="22"/>
                <w:szCs w:val="22"/>
              </w:rPr>
              <w:t>167</w:t>
            </w:r>
          </w:p>
        </w:tc>
        <w:tc>
          <w:tcPr>
            <w:tcW w:w="1170" w:type="dxa"/>
            <w:tcMar>
              <w:left w:w="72" w:type="dxa"/>
              <w:right w:w="72" w:type="dxa"/>
            </w:tcMar>
          </w:tcPr>
          <w:p w14:paraId="0E227477" w14:textId="77777777" w:rsidR="005F5486" w:rsidRPr="00CF6DB0" w:rsidRDefault="005F5486" w:rsidP="005B55E4">
            <w:pPr>
              <w:jc w:val="center"/>
              <w:rPr>
                <w:rFonts w:ascii="Tw Cen MT" w:hAnsi="Tw Cen MT"/>
                <w:sz w:val="22"/>
                <w:szCs w:val="22"/>
              </w:rPr>
            </w:pPr>
            <w:r w:rsidRPr="00CF6DB0">
              <w:rPr>
                <w:rFonts w:ascii="Tw Cen MT" w:hAnsi="Tw Cen MT"/>
                <w:sz w:val="22"/>
                <w:szCs w:val="22"/>
              </w:rPr>
              <w:t>1</w:t>
            </w:r>
          </w:p>
        </w:tc>
        <w:tc>
          <w:tcPr>
            <w:tcW w:w="1080" w:type="dxa"/>
            <w:tcMar>
              <w:left w:w="72" w:type="dxa"/>
              <w:right w:w="72" w:type="dxa"/>
            </w:tcMar>
          </w:tcPr>
          <w:p w14:paraId="5ADAB7B8"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167</w:t>
            </w:r>
          </w:p>
        </w:tc>
        <w:tc>
          <w:tcPr>
            <w:tcW w:w="1080" w:type="dxa"/>
            <w:tcMar>
              <w:left w:w="72" w:type="dxa"/>
              <w:right w:w="72" w:type="dxa"/>
            </w:tcMar>
          </w:tcPr>
          <w:p w14:paraId="13C6FA6B"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0.167</w:t>
            </w:r>
          </w:p>
        </w:tc>
        <w:tc>
          <w:tcPr>
            <w:tcW w:w="720" w:type="dxa"/>
            <w:tcMar>
              <w:left w:w="72" w:type="dxa"/>
              <w:right w:w="72" w:type="dxa"/>
            </w:tcMar>
          </w:tcPr>
          <w:p w14:paraId="538195EA"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28</w:t>
            </w:r>
          </w:p>
        </w:tc>
        <w:tc>
          <w:tcPr>
            <w:tcW w:w="810" w:type="dxa"/>
            <w:tcMar>
              <w:left w:w="72" w:type="dxa"/>
              <w:right w:w="72" w:type="dxa"/>
            </w:tcMar>
          </w:tcPr>
          <w:p w14:paraId="2D6110F2"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7.25</w:t>
            </w:r>
          </w:p>
        </w:tc>
        <w:tc>
          <w:tcPr>
            <w:tcW w:w="990" w:type="dxa"/>
            <w:tcMar>
              <w:left w:w="72" w:type="dxa"/>
              <w:right w:w="72" w:type="dxa"/>
            </w:tcMar>
          </w:tcPr>
          <w:p w14:paraId="7FD3CCB5"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203</w:t>
            </w:r>
          </w:p>
        </w:tc>
      </w:tr>
      <w:tr w:rsidR="006E402F" w:rsidRPr="00CF6DB0" w14:paraId="36071396" w14:textId="77777777" w:rsidTr="006E402F">
        <w:trPr>
          <w:trHeight w:val="404"/>
        </w:trPr>
        <w:tc>
          <w:tcPr>
            <w:tcW w:w="1260" w:type="dxa"/>
            <w:shd w:val="clear" w:color="auto" w:fill="auto"/>
            <w:tcMar>
              <w:left w:w="72" w:type="dxa"/>
              <w:right w:w="72" w:type="dxa"/>
            </w:tcMar>
          </w:tcPr>
          <w:p w14:paraId="5A744CB3" w14:textId="77777777" w:rsidR="005F5486" w:rsidRPr="00CF6DB0" w:rsidRDefault="005F5486" w:rsidP="005B55E4">
            <w:pPr>
              <w:rPr>
                <w:rFonts w:ascii="Tw Cen MT" w:hAnsi="Tw Cen MT"/>
                <w:color w:val="000000"/>
                <w:sz w:val="22"/>
                <w:szCs w:val="22"/>
              </w:rPr>
            </w:pPr>
            <w:r w:rsidRPr="00CF6DB0">
              <w:rPr>
                <w:rFonts w:ascii="Tw Cen MT" w:hAnsi="Tw Cen MT"/>
                <w:sz w:val="22"/>
                <w:szCs w:val="22"/>
              </w:rPr>
              <w:t>Student</w:t>
            </w:r>
          </w:p>
        </w:tc>
        <w:tc>
          <w:tcPr>
            <w:tcW w:w="1440" w:type="dxa"/>
            <w:tcMar>
              <w:left w:w="72" w:type="dxa"/>
              <w:right w:w="72" w:type="dxa"/>
            </w:tcMar>
          </w:tcPr>
          <w:p w14:paraId="3AAF5EE5" w14:textId="77777777" w:rsidR="005F5486" w:rsidRPr="00CF6DB0" w:rsidRDefault="005F5486" w:rsidP="005B55E4">
            <w:pPr>
              <w:jc w:val="left"/>
              <w:rPr>
                <w:rFonts w:ascii="Tw Cen MT" w:hAnsi="Tw Cen MT"/>
                <w:color w:val="000000"/>
                <w:sz w:val="22"/>
                <w:szCs w:val="22"/>
              </w:rPr>
            </w:pPr>
            <w:r w:rsidRPr="00CF6DB0">
              <w:rPr>
                <w:rFonts w:ascii="Tw Cen MT" w:hAnsi="Tw Cen MT"/>
                <w:sz w:val="22"/>
                <w:szCs w:val="22"/>
              </w:rPr>
              <w:t>SMSS</w:t>
            </w:r>
          </w:p>
        </w:tc>
        <w:tc>
          <w:tcPr>
            <w:tcW w:w="1170" w:type="dxa"/>
            <w:tcMar>
              <w:left w:w="72" w:type="dxa"/>
              <w:right w:w="72" w:type="dxa"/>
            </w:tcMar>
          </w:tcPr>
          <w:p w14:paraId="74D8584C"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734</w:t>
            </w:r>
          </w:p>
        </w:tc>
        <w:tc>
          <w:tcPr>
            <w:tcW w:w="1170" w:type="dxa"/>
            <w:tcMar>
              <w:left w:w="72" w:type="dxa"/>
              <w:right w:w="72" w:type="dxa"/>
            </w:tcMar>
          </w:tcPr>
          <w:p w14:paraId="2AC04509" w14:textId="77777777" w:rsidR="005F5486" w:rsidRPr="00CF6DB0" w:rsidRDefault="005F5486" w:rsidP="005B55E4">
            <w:pPr>
              <w:jc w:val="center"/>
              <w:rPr>
                <w:rFonts w:ascii="Tw Cen MT" w:hAnsi="Tw Cen MT"/>
                <w:sz w:val="22"/>
                <w:szCs w:val="22"/>
              </w:rPr>
            </w:pPr>
            <w:r w:rsidRPr="00CF6DB0">
              <w:rPr>
                <w:rFonts w:ascii="Tw Cen MT" w:hAnsi="Tw Cen MT"/>
                <w:sz w:val="22"/>
                <w:szCs w:val="22"/>
              </w:rPr>
              <w:t>1</w:t>
            </w:r>
          </w:p>
        </w:tc>
        <w:tc>
          <w:tcPr>
            <w:tcW w:w="1080" w:type="dxa"/>
            <w:tcMar>
              <w:left w:w="72" w:type="dxa"/>
              <w:right w:w="72" w:type="dxa"/>
            </w:tcMar>
          </w:tcPr>
          <w:p w14:paraId="2D2533A0"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734</w:t>
            </w:r>
          </w:p>
        </w:tc>
        <w:tc>
          <w:tcPr>
            <w:tcW w:w="1080" w:type="dxa"/>
            <w:tcMar>
              <w:left w:w="72" w:type="dxa"/>
              <w:right w:w="72" w:type="dxa"/>
            </w:tcMar>
          </w:tcPr>
          <w:p w14:paraId="073A544D"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0.083</w:t>
            </w:r>
          </w:p>
        </w:tc>
        <w:tc>
          <w:tcPr>
            <w:tcW w:w="720" w:type="dxa"/>
            <w:tcMar>
              <w:left w:w="72" w:type="dxa"/>
              <w:right w:w="72" w:type="dxa"/>
            </w:tcMar>
          </w:tcPr>
          <w:p w14:paraId="63C0B2E9"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61</w:t>
            </w:r>
          </w:p>
        </w:tc>
        <w:tc>
          <w:tcPr>
            <w:tcW w:w="810" w:type="dxa"/>
            <w:tcMar>
              <w:left w:w="72" w:type="dxa"/>
              <w:right w:w="72" w:type="dxa"/>
            </w:tcMar>
          </w:tcPr>
          <w:p w14:paraId="729C8389"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7.25</w:t>
            </w:r>
          </w:p>
        </w:tc>
        <w:tc>
          <w:tcPr>
            <w:tcW w:w="990" w:type="dxa"/>
            <w:tcMar>
              <w:left w:w="72" w:type="dxa"/>
              <w:right w:w="72" w:type="dxa"/>
            </w:tcMar>
          </w:tcPr>
          <w:p w14:paraId="796F1860" w14:textId="77777777" w:rsidR="005F5486" w:rsidRPr="00CF6DB0" w:rsidRDefault="005F5486" w:rsidP="005B55E4">
            <w:pPr>
              <w:jc w:val="center"/>
              <w:rPr>
                <w:rFonts w:ascii="Tw Cen MT" w:hAnsi="Tw Cen MT"/>
                <w:color w:val="000000"/>
                <w:sz w:val="22"/>
                <w:szCs w:val="22"/>
              </w:rPr>
            </w:pPr>
            <w:r w:rsidRPr="00CF6DB0">
              <w:rPr>
                <w:rFonts w:ascii="Tw Cen MT" w:hAnsi="Tw Cen MT"/>
                <w:color w:val="000000"/>
                <w:sz w:val="22"/>
                <w:szCs w:val="22"/>
              </w:rPr>
              <w:t>442</w:t>
            </w:r>
          </w:p>
        </w:tc>
      </w:tr>
      <w:tr w:rsidR="008F0E6D" w:rsidRPr="00CF6DB0" w14:paraId="13ADDEBA" w14:textId="77777777" w:rsidTr="006E402F">
        <w:trPr>
          <w:trHeight w:val="350"/>
        </w:trPr>
        <w:tc>
          <w:tcPr>
            <w:tcW w:w="2700" w:type="dxa"/>
            <w:gridSpan w:val="2"/>
            <w:shd w:val="clear" w:color="auto" w:fill="404040" w:themeFill="text1" w:themeFillTint="BF"/>
            <w:tcMar>
              <w:left w:w="72" w:type="dxa"/>
              <w:right w:w="72" w:type="dxa"/>
            </w:tcMar>
          </w:tcPr>
          <w:p w14:paraId="576B789B" w14:textId="77777777" w:rsidR="005F5486" w:rsidRPr="00CF6DB0" w:rsidRDefault="005F5486" w:rsidP="005B55E4">
            <w:pPr>
              <w:jc w:val="center"/>
              <w:rPr>
                <w:rFonts w:ascii="Tw Cen MT" w:hAnsi="Tw Cen MT"/>
                <w:color w:val="FFFFFF" w:themeColor="background1"/>
                <w:sz w:val="22"/>
                <w:szCs w:val="22"/>
              </w:rPr>
            </w:pPr>
            <w:r w:rsidRPr="00CF6DB0">
              <w:rPr>
                <w:rFonts w:ascii="Tw Cen MT" w:hAnsi="Tw Cen MT"/>
                <w:color w:val="FFFFFF" w:themeColor="background1"/>
                <w:sz w:val="22"/>
                <w:szCs w:val="22"/>
              </w:rPr>
              <w:t>Total</w:t>
            </w:r>
          </w:p>
        </w:tc>
        <w:tc>
          <w:tcPr>
            <w:tcW w:w="1170" w:type="dxa"/>
            <w:shd w:val="clear" w:color="auto" w:fill="auto"/>
            <w:tcMar>
              <w:left w:w="72" w:type="dxa"/>
              <w:right w:w="72" w:type="dxa"/>
            </w:tcMar>
          </w:tcPr>
          <w:p w14:paraId="50FEA554" w14:textId="77777777" w:rsidR="005F5486" w:rsidRPr="00CF6DB0" w:rsidRDefault="005F5486" w:rsidP="005B55E4">
            <w:pPr>
              <w:jc w:val="center"/>
              <w:rPr>
                <w:rFonts w:ascii="Tw Cen MT" w:hAnsi="Tw Cen MT"/>
                <w:sz w:val="22"/>
                <w:szCs w:val="22"/>
              </w:rPr>
            </w:pPr>
            <w:r w:rsidRPr="00CF6DB0">
              <w:rPr>
                <w:rFonts w:ascii="Tw Cen MT" w:hAnsi="Tw Cen MT"/>
                <w:sz w:val="22"/>
                <w:szCs w:val="22"/>
              </w:rPr>
              <w:t>12,050</w:t>
            </w:r>
          </w:p>
        </w:tc>
        <w:tc>
          <w:tcPr>
            <w:tcW w:w="1170" w:type="dxa"/>
            <w:shd w:val="clear" w:color="auto" w:fill="auto"/>
            <w:tcMar>
              <w:left w:w="72" w:type="dxa"/>
              <w:right w:w="72" w:type="dxa"/>
            </w:tcMar>
          </w:tcPr>
          <w:p w14:paraId="54196B3F" w14:textId="77777777" w:rsidR="005F5486" w:rsidRPr="00CF6DB0" w:rsidRDefault="005F5486" w:rsidP="005B55E4">
            <w:pPr>
              <w:jc w:val="center"/>
              <w:rPr>
                <w:rFonts w:ascii="Tw Cen MT" w:hAnsi="Tw Cen MT"/>
                <w:sz w:val="22"/>
                <w:szCs w:val="22"/>
              </w:rPr>
            </w:pPr>
          </w:p>
        </w:tc>
        <w:tc>
          <w:tcPr>
            <w:tcW w:w="1080" w:type="dxa"/>
            <w:shd w:val="clear" w:color="auto" w:fill="auto"/>
            <w:tcMar>
              <w:left w:w="72" w:type="dxa"/>
              <w:right w:w="72" w:type="dxa"/>
            </w:tcMar>
          </w:tcPr>
          <w:p w14:paraId="6E3420A8" w14:textId="77777777" w:rsidR="005F5486" w:rsidRPr="00CF6DB0" w:rsidRDefault="005F5486" w:rsidP="005B55E4">
            <w:pPr>
              <w:jc w:val="center"/>
              <w:rPr>
                <w:rFonts w:ascii="Tw Cen MT" w:hAnsi="Tw Cen MT"/>
                <w:sz w:val="22"/>
                <w:szCs w:val="22"/>
              </w:rPr>
            </w:pPr>
            <w:r w:rsidRPr="00CF6DB0">
              <w:rPr>
                <w:rFonts w:ascii="Tw Cen MT" w:hAnsi="Tw Cen MT"/>
                <w:sz w:val="22"/>
                <w:szCs w:val="22"/>
              </w:rPr>
              <w:t>12,902</w:t>
            </w:r>
          </w:p>
        </w:tc>
        <w:tc>
          <w:tcPr>
            <w:tcW w:w="1080" w:type="dxa"/>
            <w:shd w:val="clear" w:color="auto" w:fill="auto"/>
            <w:tcMar>
              <w:left w:w="72" w:type="dxa"/>
              <w:right w:w="72" w:type="dxa"/>
            </w:tcMar>
          </w:tcPr>
          <w:p w14:paraId="60D5C5E4" w14:textId="77777777" w:rsidR="005F5486" w:rsidRPr="00CF6DB0" w:rsidRDefault="005F5486" w:rsidP="005B55E4">
            <w:pPr>
              <w:jc w:val="center"/>
              <w:rPr>
                <w:rFonts w:ascii="Tw Cen MT" w:hAnsi="Tw Cen MT"/>
                <w:sz w:val="22"/>
                <w:szCs w:val="22"/>
              </w:rPr>
            </w:pPr>
          </w:p>
        </w:tc>
        <w:tc>
          <w:tcPr>
            <w:tcW w:w="720" w:type="dxa"/>
            <w:shd w:val="clear" w:color="auto" w:fill="auto"/>
            <w:tcMar>
              <w:left w:w="72" w:type="dxa"/>
              <w:right w:w="72" w:type="dxa"/>
            </w:tcMar>
          </w:tcPr>
          <w:p w14:paraId="04159539" w14:textId="77777777" w:rsidR="005F5486" w:rsidRPr="00CF6DB0" w:rsidRDefault="005F5486" w:rsidP="005B55E4">
            <w:pPr>
              <w:jc w:val="center"/>
              <w:rPr>
                <w:rFonts w:ascii="Tw Cen MT" w:hAnsi="Tw Cen MT"/>
                <w:sz w:val="22"/>
                <w:szCs w:val="22"/>
              </w:rPr>
            </w:pPr>
            <w:r w:rsidRPr="00CF6DB0">
              <w:rPr>
                <w:rFonts w:ascii="Tw Cen MT" w:hAnsi="Tw Cen MT"/>
                <w:sz w:val="22"/>
                <w:szCs w:val="22"/>
              </w:rPr>
              <w:t>4,129</w:t>
            </w:r>
          </w:p>
        </w:tc>
        <w:tc>
          <w:tcPr>
            <w:tcW w:w="810" w:type="dxa"/>
            <w:shd w:val="clear" w:color="auto" w:fill="auto"/>
            <w:tcMar>
              <w:left w:w="72" w:type="dxa"/>
              <w:right w:w="72" w:type="dxa"/>
            </w:tcMar>
          </w:tcPr>
          <w:p w14:paraId="4B0A5392" w14:textId="77777777" w:rsidR="005F5486" w:rsidRPr="00CF6DB0" w:rsidRDefault="005F5486" w:rsidP="005B55E4">
            <w:pPr>
              <w:jc w:val="center"/>
              <w:rPr>
                <w:rFonts w:ascii="Tw Cen MT" w:hAnsi="Tw Cen MT"/>
                <w:sz w:val="22"/>
                <w:szCs w:val="22"/>
              </w:rPr>
            </w:pPr>
          </w:p>
        </w:tc>
        <w:tc>
          <w:tcPr>
            <w:tcW w:w="990" w:type="dxa"/>
            <w:shd w:val="clear" w:color="auto" w:fill="auto"/>
            <w:tcMar>
              <w:left w:w="14" w:type="dxa"/>
              <w:right w:w="14" w:type="dxa"/>
            </w:tcMar>
          </w:tcPr>
          <w:p w14:paraId="6634D3CA" w14:textId="29ABC588" w:rsidR="005F5486" w:rsidRPr="00CF6DB0" w:rsidRDefault="00A225A1" w:rsidP="005B55E4">
            <w:pPr>
              <w:jc w:val="center"/>
              <w:rPr>
                <w:rFonts w:ascii="Tw Cen MT" w:hAnsi="Tw Cen MT"/>
                <w:sz w:val="22"/>
                <w:szCs w:val="22"/>
              </w:rPr>
            </w:pPr>
            <w:r w:rsidRPr="00CF6DB0">
              <w:rPr>
                <w:rFonts w:ascii="Tw Cen MT" w:hAnsi="Tw Cen MT"/>
                <w:sz w:val="22"/>
                <w:szCs w:val="22"/>
              </w:rPr>
              <w:t>$</w:t>
            </w:r>
            <w:r w:rsidR="005F5486" w:rsidRPr="00CF6DB0">
              <w:rPr>
                <w:rFonts w:ascii="Tw Cen MT" w:hAnsi="Tw Cen MT"/>
                <w:sz w:val="22"/>
                <w:szCs w:val="22"/>
              </w:rPr>
              <w:t>105,014</w:t>
            </w:r>
          </w:p>
        </w:tc>
      </w:tr>
    </w:tbl>
    <w:p w14:paraId="270BD078" w14:textId="77777777" w:rsidR="00D649AF" w:rsidRDefault="00D649AF" w:rsidP="00CE2586">
      <w:pPr>
        <w:pStyle w:val="SuicideBodyText"/>
        <w:keepNext/>
        <w:spacing w:before="720" w:after="120"/>
        <w:rPr>
          <w:rFonts w:ascii="Tw Cen MT" w:hAnsi="Tw Cen MT"/>
          <w:b/>
        </w:rPr>
      </w:pPr>
      <w:proofErr w:type="gramStart"/>
      <w:r w:rsidRPr="0081238C">
        <w:rPr>
          <w:rFonts w:ascii="Tw Cen MT" w:hAnsi="Tw Cen MT"/>
          <w:b/>
        </w:rPr>
        <w:t>Exhibit 9.</w:t>
      </w:r>
      <w:proofErr w:type="gramEnd"/>
      <w:r w:rsidRPr="0081238C">
        <w:rPr>
          <w:rFonts w:ascii="Tw Cen MT" w:hAnsi="Tw Cen MT"/>
          <w:b/>
        </w:rPr>
        <w:t xml:space="preserve"> Annualized Summary Burden by Respondent Type</w:t>
      </w:r>
    </w:p>
    <w:tbl>
      <w:tblPr>
        <w:tblStyle w:val="TableGrid"/>
        <w:tblW w:w="9355" w:type="dxa"/>
        <w:tblLayout w:type="fixed"/>
        <w:tblLook w:val="01E0" w:firstRow="1" w:lastRow="1" w:firstColumn="1" w:lastColumn="1" w:noHBand="0" w:noVBand="0"/>
      </w:tblPr>
      <w:tblGrid>
        <w:gridCol w:w="2785"/>
        <w:gridCol w:w="1417"/>
        <w:gridCol w:w="1733"/>
        <w:gridCol w:w="1620"/>
        <w:gridCol w:w="1800"/>
      </w:tblGrid>
      <w:tr w:rsidR="005F5486" w:rsidRPr="006E402F" w14:paraId="0B20D316" w14:textId="77777777" w:rsidTr="008F0E6D">
        <w:trPr>
          <w:trHeight w:val="485"/>
          <w:tblHeader/>
        </w:trPr>
        <w:tc>
          <w:tcPr>
            <w:tcW w:w="2785" w:type="dxa"/>
            <w:shd w:val="clear" w:color="auto" w:fill="404040" w:themeFill="text1" w:themeFillTint="BF"/>
            <w:vAlign w:val="center"/>
          </w:tcPr>
          <w:p w14:paraId="16F42D79" w14:textId="77777777" w:rsidR="005F5486" w:rsidRPr="006E402F" w:rsidRDefault="005F5486" w:rsidP="005B55E4">
            <w:pPr>
              <w:pStyle w:val="SuicideTableHeading2"/>
              <w:jc w:val="center"/>
              <w:rPr>
                <w:rFonts w:ascii="Tw Cen MT" w:hAnsi="Tw Cen MT"/>
                <w:b w:val="0"/>
                <w:color w:val="FFFFFF" w:themeColor="background1"/>
                <w:sz w:val="22"/>
                <w:szCs w:val="22"/>
              </w:rPr>
            </w:pPr>
            <w:r w:rsidRPr="006E402F">
              <w:rPr>
                <w:rFonts w:ascii="Tw Cen MT" w:hAnsi="Tw Cen MT"/>
                <w:b w:val="0"/>
                <w:color w:val="FFFFFF" w:themeColor="background1"/>
                <w:sz w:val="22"/>
                <w:szCs w:val="22"/>
              </w:rPr>
              <w:t>Respondents</w:t>
            </w:r>
          </w:p>
        </w:tc>
        <w:tc>
          <w:tcPr>
            <w:tcW w:w="1417" w:type="dxa"/>
            <w:shd w:val="clear" w:color="auto" w:fill="404040" w:themeFill="text1" w:themeFillTint="BF"/>
            <w:vAlign w:val="center"/>
          </w:tcPr>
          <w:p w14:paraId="30812A3D" w14:textId="77777777" w:rsidR="005F5486" w:rsidRPr="006E402F" w:rsidRDefault="005F5486" w:rsidP="005B55E4">
            <w:pPr>
              <w:pStyle w:val="SuicideTableHeading2"/>
              <w:jc w:val="center"/>
              <w:rPr>
                <w:rFonts w:ascii="Tw Cen MT" w:hAnsi="Tw Cen MT"/>
                <w:b w:val="0"/>
                <w:color w:val="FFFFFF" w:themeColor="background1"/>
                <w:sz w:val="22"/>
                <w:szCs w:val="22"/>
              </w:rPr>
            </w:pPr>
            <w:r w:rsidRPr="006E402F">
              <w:rPr>
                <w:rFonts w:ascii="Tw Cen MT" w:hAnsi="Tw Cen MT"/>
                <w:b w:val="0"/>
                <w:color w:val="FFFFFF" w:themeColor="background1"/>
                <w:sz w:val="22"/>
                <w:szCs w:val="22"/>
              </w:rPr>
              <w:t>Number of Respondents</w:t>
            </w:r>
          </w:p>
        </w:tc>
        <w:tc>
          <w:tcPr>
            <w:tcW w:w="1733" w:type="dxa"/>
            <w:shd w:val="clear" w:color="auto" w:fill="404040" w:themeFill="text1" w:themeFillTint="BF"/>
            <w:vAlign w:val="center"/>
          </w:tcPr>
          <w:p w14:paraId="663E313C" w14:textId="77777777" w:rsidR="005F5486" w:rsidRPr="006E402F" w:rsidRDefault="005F5486" w:rsidP="005B55E4">
            <w:pPr>
              <w:pStyle w:val="SuicideTableHeading2"/>
              <w:jc w:val="center"/>
              <w:rPr>
                <w:rFonts w:ascii="Tw Cen MT" w:hAnsi="Tw Cen MT"/>
                <w:b w:val="0"/>
                <w:color w:val="FFFFFF" w:themeColor="background1"/>
                <w:sz w:val="22"/>
                <w:szCs w:val="22"/>
              </w:rPr>
            </w:pPr>
            <w:r w:rsidRPr="006E402F">
              <w:rPr>
                <w:rFonts w:ascii="Tw Cen MT" w:hAnsi="Tw Cen MT"/>
                <w:b w:val="0"/>
                <w:color w:val="FFFFFF" w:themeColor="background1"/>
                <w:sz w:val="22"/>
                <w:szCs w:val="22"/>
              </w:rPr>
              <w:t>Responses/</w:t>
            </w:r>
          </w:p>
          <w:p w14:paraId="7AF3CB25" w14:textId="77777777" w:rsidR="005F5486" w:rsidRPr="006E402F" w:rsidRDefault="005F5486" w:rsidP="005B55E4">
            <w:pPr>
              <w:pStyle w:val="SuicideTableHeading2"/>
              <w:spacing w:before="0"/>
              <w:jc w:val="center"/>
              <w:rPr>
                <w:rFonts w:ascii="Tw Cen MT" w:hAnsi="Tw Cen MT"/>
                <w:b w:val="0"/>
                <w:color w:val="FFFFFF" w:themeColor="background1"/>
                <w:sz w:val="22"/>
                <w:szCs w:val="22"/>
              </w:rPr>
            </w:pPr>
            <w:r w:rsidRPr="006E402F">
              <w:rPr>
                <w:rFonts w:ascii="Tw Cen MT" w:hAnsi="Tw Cen MT"/>
                <w:b w:val="0"/>
                <w:color w:val="FFFFFF" w:themeColor="background1"/>
                <w:sz w:val="22"/>
                <w:szCs w:val="22"/>
              </w:rPr>
              <w:t>Respondent</w:t>
            </w:r>
          </w:p>
        </w:tc>
        <w:tc>
          <w:tcPr>
            <w:tcW w:w="1620" w:type="dxa"/>
            <w:shd w:val="clear" w:color="auto" w:fill="404040" w:themeFill="text1" w:themeFillTint="BF"/>
            <w:vAlign w:val="center"/>
          </w:tcPr>
          <w:p w14:paraId="75C55069" w14:textId="77777777" w:rsidR="005F5486" w:rsidRPr="006E402F" w:rsidRDefault="005F5486" w:rsidP="005B55E4">
            <w:pPr>
              <w:pStyle w:val="SuicideTableHeading2"/>
              <w:jc w:val="center"/>
              <w:rPr>
                <w:rFonts w:ascii="Tw Cen MT" w:hAnsi="Tw Cen MT"/>
                <w:b w:val="0"/>
                <w:color w:val="FFFFFF" w:themeColor="background1"/>
                <w:sz w:val="22"/>
                <w:szCs w:val="22"/>
              </w:rPr>
            </w:pPr>
            <w:r w:rsidRPr="006E402F">
              <w:rPr>
                <w:rFonts w:ascii="Tw Cen MT" w:hAnsi="Tw Cen MT"/>
                <w:b w:val="0"/>
                <w:color w:val="FFFFFF" w:themeColor="background1"/>
                <w:sz w:val="22"/>
                <w:szCs w:val="22"/>
              </w:rPr>
              <w:t>Total Responses</w:t>
            </w:r>
          </w:p>
        </w:tc>
        <w:tc>
          <w:tcPr>
            <w:tcW w:w="1800" w:type="dxa"/>
            <w:shd w:val="clear" w:color="auto" w:fill="404040" w:themeFill="text1" w:themeFillTint="BF"/>
            <w:vAlign w:val="center"/>
          </w:tcPr>
          <w:p w14:paraId="2DAAC3A8" w14:textId="77777777" w:rsidR="005F5486" w:rsidRPr="006E402F" w:rsidRDefault="005F5486" w:rsidP="005B55E4">
            <w:pPr>
              <w:pStyle w:val="SuicideTableHeading2"/>
              <w:jc w:val="center"/>
              <w:rPr>
                <w:rFonts w:ascii="Tw Cen MT" w:hAnsi="Tw Cen MT"/>
                <w:b w:val="0"/>
                <w:color w:val="FFFFFF" w:themeColor="background1"/>
                <w:sz w:val="22"/>
                <w:szCs w:val="22"/>
              </w:rPr>
            </w:pPr>
            <w:r w:rsidRPr="006E402F">
              <w:rPr>
                <w:rFonts w:ascii="Tw Cen MT" w:hAnsi="Tw Cen MT"/>
                <w:b w:val="0"/>
                <w:color w:val="FFFFFF" w:themeColor="background1"/>
                <w:sz w:val="22"/>
                <w:szCs w:val="22"/>
              </w:rPr>
              <w:t>Total Annualized Hour Burden</w:t>
            </w:r>
          </w:p>
        </w:tc>
      </w:tr>
      <w:tr w:rsidR="005F5486" w:rsidRPr="006E402F" w14:paraId="3335D3B6" w14:textId="77777777" w:rsidTr="008F0E6D">
        <w:trPr>
          <w:trHeight w:val="278"/>
        </w:trPr>
        <w:tc>
          <w:tcPr>
            <w:tcW w:w="9355" w:type="dxa"/>
            <w:gridSpan w:val="5"/>
            <w:shd w:val="clear" w:color="auto" w:fill="D9D9D9" w:themeFill="background1" w:themeFillShade="D9"/>
            <w:vAlign w:val="center"/>
          </w:tcPr>
          <w:p w14:paraId="054E984F" w14:textId="7F0E6DFB" w:rsidR="005F5486" w:rsidRPr="006E402F" w:rsidRDefault="00443E33" w:rsidP="00A225A1">
            <w:pPr>
              <w:pStyle w:val="SuicideTableText"/>
              <w:spacing w:before="0" w:after="0"/>
              <w:jc w:val="center"/>
              <w:rPr>
                <w:rFonts w:ascii="Tw Cen MT" w:hAnsi="Tw Cen MT"/>
                <w:b/>
                <w:caps/>
                <w:sz w:val="22"/>
                <w:szCs w:val="22"/>
              </w:rPr>
            </w:pPr>
            <w:r w:rsidRPr="006E402F">
              <w:rPr>
                <w:rFonts w:ascii="Tw Cen MT" w:hAnsi="Tw Cen MT"/>
                <w:b/>
                <w:bCs/>
                <w:caps/>
                <w:sz w:val="22"/>
                <w:szCs w:val="22"/>
              </w:rPr>
              <w:t>State/Tribal Instruments</w:t>
            </w:r>
          </w:p>
        </w:tc>
      </w:tr>
      <w:tr w:rsidR="005F5486" w:rsidRPr="006E402F" w14:paraId="18303E4A" w14:textId="77777777" w:rsidTr="008F0E6D">
        <w:trPr>
          <w:trHeight w:val="332"/>
        </w:trPr>
        <w:tc>
          <w:tcPr>
            <w:tcW w:w="2785" w:type="dxa"/>
            <w:shd w:val="clear" w:color="auto" w:fill="auto"/>
          </w:tcPr>
          <w:p w14:paraId="3307ABC2" w14:textId="77777777" w:rsidR="005F5486" w:rsidRPr="006E402F" w:rsidRDefault="005F5486" w:rsidP="005B55E4">
            <w:pPr>
              <w:pStyle w:val="SuicideTableText"/>
              <w:spacing w:before="0" w:after="0"/>
              <w:rPr>
                <w:rFonts w:ascii="Tw Cen MT" w:hAnsi="Tw Cen MT"/>
                <w:sz w:val="22"/>
                <w:szCs w:val="22"/>
              </w:rPr>
            </w:pPr>
            <w:r w:rsidRPr="006E402F">
              <w:rPr>
                <w:rFonts w:ascii="Tw Cen MT" w:hAnsi="Tw Cen MT"/>
                <w:sz w:val="22"/>
                <w:szCs w:val="22"/>
              </w:rPr>
              <w:t>Project Evaluators</w:t>
            </w:r>
          </w:p>
        </w:tc>
        <w:tc>
          <w:tcPr>
            <w:tcW w:w="1417" w:type="dxa"/>
            <w:vAlign w:val="center"/>
          </w:tcPr>
          <w:p w14:paraId="4855059F" w14:textId="1179B1DF" w:rsidR="005F5486" w:rsidRPr="006E402F" w:rsidRDefault="00357ECB" w:rsidP="005B55E4">
            <w:pPr>
              <w:pStyle w:val="SuicideTableText"/>
              <w:spacing w:before="0" w:after="0"/>
              <w:jc w:val="center"/>
              <w:rPr>
                <w:rFonts w:ascii="Tw Cen MT" w:hAnsi="Tw Cen MT"/>
                <w:sz w:val="22"/>
                <w:szCs w:val="22"/>
              </w:rPr>
            </w:pPr>
            <w:r>
              <w:rPr>
                <w:rFonts w:ascii="Tw Cen MT" w:hAnsi="Tw Cen MT"/>
                <w:sz w:val="22"/>
                <w:szCs w:val="22"/>
              </w:rPr>
              <w:t>43</w:t>
            </w:r>
          </w:p>
        </w:tc>
        <w:tc>
          <w:tcPr>
            <w:tcW w:w="1733" w:type="dxa"/>
            <w:vAlign w:val="center"/>
          </w:tcPr>
          <w:p w14:paraId="00C57DEE" w14:textId="0D314581" w:rsidR="005F5486" w:rsidRPr="006E402F" w:rsidRDefault="00357ECB" w:rsidP="005B55E4">
            <w:pPr>
              <w:pStyle w:val="SuicideTableText"/>
              <w:spacing w:before="0" w:after="0"/>
              <w:jc w:val="center"/>
              <w:rPr>
                <w:rFonts w:ascii="Tw Cen MT" w:hAnsi="Tw Cen MT"/>
                <w:sz w:val="22"/>
                <w:szCs w:val="22"/>
              </w:rPr>
            </w:pPr>
            <w:r>
              <w:rPr>
                <w:rFonts w:ascii="Tw Cen MT" w:hAnsi="Tw Cen MT"/>
                <w:sz w:val="22"/>
                <w:szCs w:val="22"/>
              </w:rPr>
              <w:t>16</w:t>
            </w:r>
          </w:p>
        </w:tc>
        <w:tc>
          <w:tcPr>
            <w:tcW w:w="1620" w:type="dxa"/>
            <w:vAlign w:val="center"/>
          </w:tcPr>
          <w:p w14:paraId="337CCCC8" w14:textId="77777777" w:rsidR="005F5486" w:rsidRPr="006E402F" w:rsidRDefault="005F5486" w:rsidP="005B55E4">
            <w:pPr>
              <w:pStyle w:val="SuicideTableText"/>
              <w:spacing w:before="0" w:after="0"/>
              <w:jc w:val="center"/>
              <w:rPr>
                <w:rFonts w:ascii="Tw Cen MT" w:hAnsi="Tw Cen MT"/>
                <w:sz w:val="22"/>
                <w:szCs w:val="22"/>
              </w:rPr>
            </w:pPr>
            <w:r w:rsidRPr="006E402F">
              <w:rPr>
                <w:rFonts w:ascii="Tw Cen MT" w:hAnsi="Tw Cen MT"/>
                <w:sz w:val="22"/>
                <w:szCs w:val="22"/>
              </w:rPr>
              <w:t>688</w:t>
            </w:r>
          </w:p>
        </w:tc>
        <w:tc>
          <w:tcPr>
            <w:tcW w:w="1800" w:type="dxa"/>
            <w:vAlign w:val="center"/>
          </w:tcPr>
          <w:p w14:paraId="55C8ECC6" w14:textId="77777777" w:rsidR="005F5486" w:rsidRPr="006E402F" w:rsidRDefault="005F5486" w:rsidP="005B55E4">
            <w:pPr>
              <w:pStyle w:val="SuicideTableText"/>
              <w:spacing w:before="0" w:after="0"/>
              <w:jc w:val="center"/>
              <w:rPr>
                <w:rFonts w:ascii="Tw Cen MT" w:hAnsi="Tw Cen MT"/>
                <w:sz w:val="22"/>
                <w:szCs w:val="22"/>
              </w:rPr>
            </w:pPr>
            <w:r w:rsidRPr="006E402F">
              <w:rPr>
                <w:rFonts w:ascii="Tw Cen MT" w:hAnsi="Tw Cen MT"/>
                <w:sz w:val="22"/>
                <w:szCs w:val="22"/>
              </w:rPr>
              <w:t>430</w:t>
            </w:r>
          </w:p>
        </w:tc>
      </w:tr>
      <w:tr w:rsidR="005F5486" w:rsidRPr="006E402F" w14:paraId="2E40BEC2" w14:textId="77777777" w:rsidTr="008F0E6D">
        <w:trPr>
          <w:trHeight w:val="368"/>
        </w:trPr>
        <w:tc>
          <w:tcPr>
            <w:tcW w:w="2785" w:type="dxa"/>
            <w:shd w:val="clear" w:color="auto" w:fill="auto"/>
          </w:tcPr>
          <w:p w14:paraId="0DD24A4B" w14:textId="77777777" w:rsidR="005F5486" w:rsidRPr="006E402F" w:rsidRDefault="005F5486" w:rsidP="005B55E4">
            <w:pPr>
              <w:pStyle w:val="SuicideTableText"/>
              <w:spacing w:before="0" w:after="0"/>
              <w:rPr>
                <w:rFonts w:ascii="Tw Cen MT" w:hAnsi="Tw Cen MT"/>
                <w:sz w:val="22"/>
                <w:szCs w:val="22"/>
              </w:rPr>
            </w:pPr>
            <w:r w:rsidRPr="006E402F">
              <w:rPr>
                <w:rFonts w:ascii="Tw Cen MT" w:hAnsi="Tw Cen MT"/>
                <w:sz w:val="22"/>
                <w:szCs w:val="22"/>
              </w:rPr>
              <w:t>Provider (Trainees)</w:t>
            </w:r>
          </w:p>
        </w:tc>
        <w:tc>
          <w:tcPr>
            <w:tcW w:w="1417" w:type="dxa"/>
            <w:vAlign w:val="center"/>
          </w:tcPr>
          <w:p w14:paraId="5778D591" w14:textId="77777777" w:rsidR="005F5486" w:rsidRPr="006E402F" w:rsidRDefault="005F5486" w:rsidP="005B55E4">
            <w:pPr>
              <w:pStyle w:val="SuicideTableText"/>
              <w:spacing w:before="0" w:after="0"/>
              <w:jc w:val="center"/>
              <w:rPr>
                <w:rFonts w:ascii="Tw Cen MT" w:hAnsi="Tw Cen MT"/>
                <w:sz w:val="22"/>
                <w:szCs w:val="22"/>
              </w:rPr>
            </w:pPr>
            <w:r w:rsidRPr="006E402F">
              <w:rPr>
                <w:rFonts w:ascii="Tw Cen MT" w:hAnsi="Tw Cen MT"/>
                <w:sz w:val="22"/>
                <w:szCs w:val="22"/>
              </w:rPr>
              <w:t>10,376</w:t>
            </w:r>
          </w:p>
        </w:tc>
        <w:tc>
          <w:tcPr>
            <w:tcW w:w="1733" w:type="dxa"/>
            <w:vAlign w:val="center"/>
          </w:tcPr>
          <w:p w14:paraId="51A60FF7" w14:textId="3F975841" w:rsidR="005F5486" w:rsidRPr="006E402F" w:rsidRDefault="009A2BF3" w:rsidP="005B55E4">
            <w:pPr>
              <w:pStyle w:val="SuicideTableText"/>
              <w:spacing w:before="0" w:after="0"/>
              <w:jc w:val="center"/>
              <w:rPr>
                <w:rFonts w:ascii="Tw Cen MT" w:hAnsi="Tw Cen MT"/>
                <w:sz w:val="22"/>
                <w:szCs w:val="22"/>
              </w:rPr>
            </w:pPr>
            <w:r w:rsidRPr="006E402F">
              <w:rPr>
                <w:rFonts w:ascii="Tw Cen MT" w:hAnsi="Tw Cen MT"/>
                <w:sz w:val="22"/>
                <w:szCs w:val="22"/>
              </w:rPr>
              <w:t>1</w:t>
            </w:r>
          </w:p>
        </w:tc>
        <w:tc>
          <w:tcPr>
            <w:tcW w:w="1620" w:type="dxa"/>
            <w:vAlign w:val="center"/>
          </w:tcPr>
          <w:p w14:paraId="6ABF4CF8" w14:textId="77777777" w:rsidR="005F5486" w:rsidRPr="006E402F" w:rsidRDefault="005F5486" w:rsidP="005B55E4">
            <w:pPr>
              <w:pStyle w:val="SuicideTableText"/>
              <w:spacing w:before="0" w:after="0"/>
              <w:jc w:val="center"/>
              <w:rPr>
                <w:rFonts w:ascii="Tw Cen MT" w:hAnsi="Tw Cen MT"/>
                <w:sz w:val="22"/>
                <w:szCs w:val="22"/>
              </w:rPr>
            </w:pPr>
            <w:r w:rsidRPr="006E402F">
              <w:rPr>
                <w:rFonts w:ascii="Tw Cen MT" w:hAnsi="Tw Cen MT"/>
                <w:sz w:val="22"/>
                <w:szCs w:val="22"/>
              </w:rPr>
              <w:t>10,376</w:t>
            </w:r>
          </w:p>
        </w:tc>
        <w:tc>
          <w:tcPr>
            <w:tcW w:w="1800" w:type="dxa"/>
            <w:vAlign w:val="center"/>
          </w:tcPr>
          <w:p w14:paraId="47F8C8EB" w14:textId="77777777" w:rsidR="005F5486" w:rsidRPr="006E402F" w:rsidRDefault="005F5486" w:rsidP="005B55E4">
            <w:pPr>
              <w:pStyle w:val="SuicideTableText"/>
              <w:spacing w:before="0" w:after="0"/>
              <w:jc w:val="center"/>
              <w:rPr>
                <w:rFonts w:ascii="Tw Cen MT" w:hAnsi="Tw Cen MT"/>
                <w:sz w:val="22"/>
                <w:szCs w:val="22"/>
              </w:rPr>
            </w:pPr>
            <w:r w:rsidRPr="006E402F">
              <w:rPr>
                <w:rFonts w:ascii="Tw Cen MT" w:hAnsi="Tw Cen MT"/>
                <w:sz w:val="22"/>
                <w:szCs w:val="22"/>
              </w:rPr>
              <w:t>3,027</w:t>
            </w:r>
          </w:p>
        </w:tc>
      </w:tr>
      <w:tr w:rsidR="005F5486" w:rsidRPr="006E402F" w14:paraId="1BB169D2" w14:textId="77777777" w:rsidTr="00A225A1">
        <w:trPr>
          <w:trHeight w:val="485"/>
        </w:trPr>
        <w:tc>
          <w:tcPr>
            <w:tcW w:w="2785" w:type="dxa"/>
            <w:shd w:val="clear" w:color="auto" w:fill="auto"/>
          </w:tcPr>
          <w:p w14:paraId="04E2D4B9" w14:textId="77777777" w:rsidR="005F5486" w:rsidRPr="006E402F" w:rsidRDefault="005F5486" w:rsidP="005B55E4">
            <w:pPr>
              <w:pStyle w:val="SuicideTableText"/>
              <w:spacing w:before="0" w:after="0"/>
              <w:rPr>
                <w:rFonts w:ascii="Tw Cen MT" w:hAnsi="Tw Cen MT"/>
                <w:sz w:val="22"/>
                <w:szCs w:val="22"/>
              </w:rPr>
            </w:pPr>
            <w:r w:rsidRPr="006E402F">
              <w:rPr>
                <w:rFonts w:ascii="Tw Cen MT" w:hAnsi="Tw Cen MT"/>
                <w:sz w:val="22"/>
                <w:szCs w:val="22"/>
              </w:rPr>
              <w:t>Behavioral Health Provider/ Provider Stakeholder</w:t>
            </w:r>
          </w:p>
        </w:tc>
        <w:tc>
          <w:tcPr>
            <w:tcW w:w="1417" w:type="dxa"/>
            <w:vAlign w:val="center"/>
          </w:tcPr>
          <w:p w14:paraId="0D07722F" w14:textId="77777777" w:rsidR="005F5486" w:rsidRPr="006E402F" w:rsidRDefault="005F5486" w:rsidP="005B55E4">
            <w:pPr>
              <w:pStyle w:val="SuicideTableText"/>
              <w:spacing w:before="0" w:after="0"/>
              <w:jc w:val="center"/>
              <w:rPr>
                <w:rFonts w:ascii="Tw Cen MT" w:hAnsi="Tw Cen MT"/>
                <w:sz w:val="22"/>
                <w:szCs w:val="22"/>
              </w:rPr>
            </w:pPr>
            <w:r w:rsidRPr="006E402F">
              <w:rPr>
                <w:rFonts w:ascii="Tw Cen MT" w:hAnsi="Tw Cen MT"/>
                <w:sz w:val="22"/>
                <w:szCs w:val="22"/>
              </w:rPr>
              <w:t>433</w:t>
            </w:r>
          </w:p>
        </w:tc>
        <w:tc>
          <w:tcPr>
            <w:tcW w:w="1733" w:type="dxa"/>
            <w:vAlign w:val="center"/>
          </w:tcPr>
          <w:p w14:paraId="71B438A8" w14:textId="77777777" w:rsidR="005F5486" w:rsidRPr="006E402F" w:rsidRDefault="005F5486" w:rsidP="005B55E4">
            <w:pPr>
              <w:pStyle w:val="SuicideTableText"/>
              <w:spacing w:before="0" w:after="0"/>
              <w:jc w:val="center"/>
              <w:rPr>
                <w:rFonts w:ascii="Tw Cen MT" w:hAnsi="Tw Cen MT"/>
                <w:sz w:val="22"/>
                <w:szCs w:val="22"/>
              </w:rPr>
            </w:pPr>
            <w:r w:rsidRPr="006E402F">
              <w:rPr>
                <w:rFonts w:ascii="Tw Cen MT" w:hAnsi="Tw Cen MT"/>
                <w:sz w:val="22"/>
                <w:szCs w:val="22"/>
              </w:rPr>
              <w:t>1</w:t>
            </w:r>
          </w:p>
        </w:tc>
        <w:tc>
          <w:tcPr>
            <w:tcW w:w="1620" w:type="dxa"/>
            <w:vAlign w:val="center"/>
          </w:tcPr>
          <w:p w14:paraId="29EE7F17" w14:textId="77777777" w:rsidR="005F5486" w:rsidRPr="006E402F" w:rsidRDefault="005F5486" w:rsidP="005B55E4">
            <w:pPr>
              <w:pStyle w:val="SuicideTableText"/>
              <w:spacing w:before="0" w:after="0"/>
              <w:jc w:val="center"/>
              <w:rPr>
                <w:rFonts w:ascii="Tw Cen MT" w:hAnsi="Tw Cen MT"/>
                <w:sz w:val="22"/>
                <w:szCs w:val="22"/>
              </w:rPr>
            </w:pPr>
            <w:r w:rsidRPr="006E402F">
              <w:rPr>
                <w:rFonts w:ascii="Tw Cen MT" w:hAnsi="Tw Cen MT"/>
                <w:sz w:val="22"/>
                <w:szCs w:val="22"/>
              </w:rPr>
              <w:t>433</w:t>
            </w:r>
          </w:p>
        </w:tc>
        <w:tc>
          <w:tcPr>
            <w:tcW w:w="1800" w:type="dxa"/>
            <w:vAlign w:val="center"/>
          </w:tcPr>
          <w:p w14:paraId="3D8E6B26" w14:textId="77777777" w:rsidR="005F5486" w:rsidRPr="006E402F" w:rsidRDefault="005F5486" w:rsidP="005B55E4">
            <w:pPr>
              <w:pStyle w:val="SuicideTableText"/>
              <w:spacing w:before="0" w:after="0"/>
              <w:jc w:val="center"/>
              <w:rPr>
                <w:rFonts w:ascii="Tw Cen MT" w:hAnsi="Tw Cen MT"/>
                <w:sz w:val="22"/>
                <w:szCs w:val="22"/>
              </w:rPr>
            </w:pPr>
            <w:r w:rsidRPr="006E402F">
              <w:rPr>
                <w:rFonts w:ascii="Tw Cen MT" w:hAnsi="Tw Cen MT"/>
                <w:sz w:val="22"/>
                <w:szCs w:val="22"/>
              </w:rPr>
              <w:t>322</w:t>
            </w:r>
          </w:p>
        </w:tc>
      </w:tr>
      <w:tr w:rsidR="005F5486" w:rsidRPr="006E402F" w14:paraId="1CF18CA1" w14:textId="77777777" w:rsidTr="008F0E6D">
        <w:trPr>
          <w:trHeight w:val="287"/>
        </w:trPr>
        <w:tc>
          <w:tcPr>
            <w:tcW w:w="9355" w:type="dxa"/>
            <w:gridSpan w:val="5"/>
            <w:shd w:val="clear" w:color="auto" w:fill="D9D9D9" w:themeFill="background1" w:themeFillShade="D9"/>
            <w:vAlign w:val="center"/>
          </w:tcPr>
          <w:p w14:paraId="00356F0A" w14:textId="2975F9FE" w:rsidR="005F5486" w:rsidRPr="006E402F" w:rsidRDefault="00443E33" w:rsidP="00A225A1">
            <w:pPr>
              <w:pStyle w:val="SuicideTableText"/>
              <w:spacing w:before="0" w:after="0"/>
              <w:jc w:val="center"/>
              <w:rPr>
                <w:rFonts w:ascii="Tw Cen MT" w:hAnsi="Tw Cen MT"/>
                <w:b/>
                <w:bCs/>
                <w:caps/>
                <w:sz w:val="22"/>
                <w:szCs w:val="22"/>
              </w:rPr>
            </w:pPr>
            <w:r w:rsidRPr="006E402F">
              <w:rPr>
                <w:rFonts w:ascii="Tw Cen MT" w:hAnsi="Tw Cen MT"/>
                <w:b/>
                <w:bCs/>
                <w:caps/>
                <w:sz w:val="22"/>
                <w:szCs w:val="22"/>
              </w:rPr>
              <w:t>Campus Instruments</w:t>
            </w:r>
          </w:p>
        </w:tc>
      </w:tr>
      <w:tr w:rsidR="005F5486" w:rsidRPr="006E402F" w14:paraId="73E11F27" w14:textId="77777777" w:rsidTr="00A225A1">
        <w:trPr>
          <w:trHeight w:val="264"/>
        </w:trPr>
        <w:tc>
          <w:tcPr>
            <w:tcW w:w="2785" w:type="dxa"/>
            <w:shd w:val="clear" w:color="auto" w:fill="auto"/>
          </w:tcPr>
          <w:p w14:paraId="79ACC697" w14:textId="77777777" w:rsidR="005F5486" w:rsidRPr="006E402F" w:rsidRDefault="005F5486" w:rsidP="005B55E4">
            <w:pPr>
              <w:pStyle w:val="SuicideTableText"/>
              <w:spacing w:before="0" w:after="0"/>
              <w:rPr>
                <w:rFonts w:ascii="Tw Cen MT" w:hAnsi="Tw Cen MT"/>
                <w:sz w:val="22"/>
                <w:szCs w:val="22"/>
              </w:rPr>
            </w:pPr>
            <w:r w:rsidRPr="006E402F">
              <w:rPr>
                <w:rFonts w:ascii="Tw Cen MT" w:hAnsi="Tw Cen MT"/>
                <w:sz w:val="22"/>
                <w:szCs w:val="22"/>
              </w:rPr>
              <w:t>Project Evaluators</w:t>
            </w:r>
          </w:p>
        </w:tc>
        <w:tc>
          <w:tcPr>
            <w:tcW w:w="1417" w:type="dxa"/>
            <w:vAlign w:val="center"/>
          </w:tcPr>
          <w:p w14:paraId="744B8FBB" w14:textId="4CB98C90" w:rsidR="005F5486" w:rsidRPr="006E402F" w:rsidRDefault="00357ECB" w:rsidP="005B55E4">
            <w:pPr>
              <w:pStyle w:val="SuicideTableText"/>
              <w:spacing w:before="0" w:after="0"/>
              <w:jc w:val="center"/>
              <w:rPr>
                <w:rFonts w:ascii="Tw Cen MT" w:hAnsi="Tw Cen MT"/>
                <w:sz w:val="22"/>
                <w:szCs w:val="22"/>
              </w:rPr>
            </w:pPr>
            <w:r>
              <w:rPr>
                <w:rFonts w:ascii="Tw Cen MT" w:hAnsi="Tw Cen MT"/>
                <w:sz w:val="22"/>
                <w:szCs w:val="22"/>
              </w:rPr>
              <w:t>56</w:t>
            </w:r>
          </w:p>
        </w:tc>
        <w:tc>
          <w:tcPr>
            <w:tcW w:w="1733" w:type="dxa"/>
            <w:vAlign w:val="center"/>
          </w:tcPr>
          <w:p w14:paraId="11D5E2F6" w14:textId="4201BFAF" w:rsidR="005F5486" w:rsidRPr="006E402F" w:rsidRDefault="00357ECB" w:rsidP="005B55E4">
            <w:pPr>
              <w:pStyle w:val="SuicideTableText"/>
              <w:spacing w:before="0" w:after="0"/>
              <w:jc w:val="center"/>
              <w:rPr>
                <w:rFonts w:ascii="Tw Cen MT" w:hAnsi="Tw Cen MT"/>
                <w:sz w:val="22"/>
                <w:szCs w:val="22"/>
              </w:rPr>
            </w:pPr>
            <w:r>
              <w:rPr>
                <w:rFonts w:ascii="Tw Cen MT" w:hAnsi="Tw Cen MT"/>
                <w:sz w:val="22"/>
                <w:szCs w:val="22"/>
              </w:rPr>
              <w:t>9</w:t>
            </w:r>
          </w:p>
        </w:tc>
        <w:tc>
          <w:tcPr>
            <w:tcW w:w="1620" w:type="dxa"/>
            <w:vAlign w:val="center"/>
          </w:tcPr>
          <w:p w14:paraId="5570ABBE" w14:textId="77777777" w:rsidR="005F5486" w:rsidRPr="006E402F" w:rsidRDefault="005F5486" w:rsidP="005B55E4">
            <w:pPr>
              <w:pStyle w:val="SuicideTableText"/>
              <w:spacing w:before="0" w:after="0"/>
              <w:jc w:val="center"/>
              <w:rPr>
                <w:rFonts w:ascii="Tw Cen MT" w:hAnsi="Tw Cen MT"/>
                <w:sz w:val="22"/>
                <w:szCs w:val="22"/>
              </w:rPr>
            </w:pPr>
            <w:r w:rsidRPr="006E402F">
              <w:rPr>
                <w:rFonts w:ascii="Tw Cen MT" w:hAnsi="Tw Cen MT"/>
                <w:sz w:val="22"/>
                <w:szCs w:val="22"/>
              </w:rPr>
              <w:t>504</w:t>
            </w:r>
          </w:p>
        </w:tc>
        <w:tc>
          <w:tcPr>
            <w:tcW w:w="1800" w:type="dxa"/>
            <w:vAlign w:val="center"/>
          </w:tcPr>
          <w:p w14:paraId="5E797096" w14:textId="77777777" w:rsidR="005F5486" w:rsidRPr="006E402F" w:rsidRDefault="005F5486" w:rsidP="005B55E4">
            <w:pPr>
              <w:pStyle w:val="SuicideTableText"/>
              <w:spacing w:before="0" w:after="0"/>
              <w:jc w:val="center"/>
              <w:rPr>
                <w:rFonts w:ascii="Tw Cen MT" w:hAnsi="Tw Cen MT"/>
                <w:sz w:val="22"/>
                <w:szCs w:val="22"/>
              </w:rPr>
            </w:pPr>
            <w:r w:rsidRPr="006E402F">
              <w:rPr>
                <w:rFonts w:ascii="Tw Cen MT" w:hAnsi="Tw Cen MT"/>
                <w:sz w:val="22"/>
                <w:szCs w:val="22"/>
              </w:rPr>
              <w:t>261</w:t>
            </w:r>
          </w:p>
        </w:tc>
      </w:tr>
      <w:tr w:rsidR="005F5486" w:rsidRPr="006E402F" w14:paraId="6B7F3BD7" w14:textId="77777777" w:rsidTr="00A225A1">
        <w:trPr>
          <w:trHeight w:val="346"/>
        </w:trPr>
        <w:tc>
          <w:tcPr>
            <w:tcW w:w="2785" w:type="dxa"/>
            <w:shd w:val="clear" w:color="auto" w:fill="auto"/>
          </w:tcPr>
          <w:p w14:paraId="1E751441" w14:textId="77777777" w:rsidR="005F5486" w:rsidRPr="006E402F" w:rsidRDefault="005F5486" w:rsidP="005B55E4">
            <w:pPr>
              <w:pStyle w:val="SuicideTableText"/>
              <w:spacing w:before="0" w:after="0"/>
              <w:rPr>
                <w:rFonts w:ascii="Tw Cen MT" w:hAnsi="Tw Cen MT"/>
                <w:sz w:val="22"/>
                <w:szCs w:val="22"/>
              </w:rPr>
            </w:pPr>
            <w:r w:rsidRPr="006E402F">
              <w:rPr>
                <w:rFonts w:ascii="Tw Cen MT" w:hAnsi="Tw Cen MT"/>
                <w:sz w:val="22"/>
                <w:szCs w:val="22"/>
              </w:rPr>
              <w:t>Students</w:t>
            </w:r>
          </w:p>
        </w:tc>
        <w:tc>
          <w:tcPr>
            <w:tcW w:w="1417" w:type="dxa"/>
            <w:vAlign w:val="center"/>
          </w:tcPr>
          <w:p w14:paraId="0C96C979" w14:textId="77777777" w:rsidR="005F5486" w:rsidRPr="006E402F" w:rsidRDefault="005F5486" w:rsidP="005B55E4">
            <w:pPr>
              <w:pStyle w:val="SuicideTableText"/>
              <w:spacing w:before="0" w:after="0"/>
              <w:jc w:val="center"/>
              <w:rPr>
                <w:rFonts w:ascii="Tw Cen MT" w:hAnsi="Tw Cen MT"/>
                <w:bCs/>
                <w:sz w:val="22"/>
                <w:szCs w:val="22"/>
              </w:rPr>
            </w:pPr>
            <w:r w:rsidRPr="006E402F">
              <w:rPr>
                <w:rFonts w:ascii="Tw Cen MT" w:hAnsi="Tw Cen MT"/>
                <w:bCs/>
                <w:sz w:val="22"/>
                <w:szCs w:val="22"/>
              </w:rPr>
              <w:t>901</w:t>
            </w:r>
          </w:p>
        </w:tc>
        <w:tc>
          <w:tcPr>
            <w:tcW w:w="1733" w:type="dxa"/>
            <w:vAlign w:val="center"/>
          </w:tcPr>
          <w:p w14:paraId="0FBBE1DB" w14:textId="77777777" w:rsidR="005F5486" w:rsidRPr="006E402F" w:rsidRDefault="005F5486" w:rsidP="005B55E4">
            <w:pPr>
              <w:pStyle w:val="SuicideTableText"/>
              <w:spacing w:before="0" w:after="0"/>
              <w:jc w:val="center"/>
              <w:rPr>
                <w:rFonts w:ascii="Tw Cen MT" w:hAnsi="Tw Cen MT"/>
                <w:bCs/>
                <w:sz w:val="22"/>
                <w:szCs w:val="22"/>
              </w:rPr>
            </w:pPr>
            <w:r w:rsidRPr="006E402F">
              <w:rPr>
                <w:rFonts w:ascii="Tw Cen MT" w:hAnsi="Tw Cen MT"/>
                <w:bCs/>
                <w:sz w:val="22"/>
                <w:szCs w:val="22"/>
              </w:rPr>
              <w:t>1</w:t>
            </w:r>
          </w:p>
        </w:tc>
        <w:tc>
          <w:tcPr>
            <w:tcW w:w="1620" w:type="dxa"/>
            <w:vAlign w:val="center"/>
          </w:tcPr>
          <w:p w14:paraId="35D43932" w14:textId="77777777" w:rsidR="005F5486" w:rsidRPr="006E402F" w:rsidRDefault="005F5486" w:rsidP="005B55E4">
            <w:pPr>
              <w:pStyle w:val="SuicideTableText"/>
              <w:spacing w:before="0" w:after="0"/>
              <w:jc w:val="center"/>
              <w:rPr>
                <w:rFonts w:ascii="Tw Cen MT" w:hAnsi="Tw Cen MT"/>
                <w:bCs/>
                <w:sz w:val="22"/>
                <w:szCs w:val="22"/>
              </w:rPr>
            </w:pPr>
            <w:r w:rsidRPr="006E402F">
              <w:rPr>
                <w:rFonts w:ascii="Tw Cen MT" w:hAnsi="Tw Cen MT"/>
                <w:bCs/>
                <w:sz w:val="22"/>
                <w:szCs w:val="22"/>
              </w:rPr>
              <w:t>901</w:t>
            </w:r>
          </w:p>
        </w:tc>
        <w:tc>
          <w:tcPr>
            <w:tcW w:w="1800" w:type="dxa"/>
            <w:vAlign w:val="center"/>
          </w:tcPr>
          <w:p w14:paraId="29A2F434" w14:textId="77777777" w:rsidR="005F5486" w:rsidRPr="006E402F" w:rsidRDefault="005F5486" w:rsidP="005B55E4">
            <w:pPr>
              <w:pStyle w:val="SuicideTableText"/>
              <w:spacing w:before="0" w:after="0"/>
              <w:jc w:val="center"/>
              <w:rPr>
                <w:rFonts w:ascii="Tw Cen MT" w:hAnsi="Tw Cen MT"/>
                <w:bCs/>
                <w:sz w:val="22"/>
                <w:szCs w:val="22"/>
              </w:rPr>
            </w:pPr>
            <w:r w:rsidRPr="006E402F">
              <w:rPr>
                <w:rFonts w:ascii="Tw Cen MT" w:hAnsi="Tw Cen MT"/>
                <w:bCs/>
                <w:sz w:val="22"/>
                <w:szCs w:val="22"/>
              </w:rPr>
              <w:t>89</w:t>
            </w:r>
          </w:p>
        </w:tc>
      </w:tr>
      <w:tr w:rsidR="005F5486" w:rsidRPr="006E402F" w14:paraId="2AD75E02" w14:textId="77777777" w:rsidTr="00357ECB">
        <w:trPr>
          <w:trHeight w:val="366"/>
        </w:trPr>
        <w:tc>
          <w:tcPr>
            <w:tcW w:w="2785" w:type="dxa"/>
            <w:shd w:val="clear" w:color="auto" w:fill="404040" w:themeFill="text1" w:themeFillTint="BF"/>
            <w:vAlign w:val="center"/>
          </w:tcPr>
          <w:p w14:paraId="659730C8" w14:textId="77777777" w:rsidR="005F5486" w:rsidRPr="006E402F" w:rsidRDefault="005F5486" w:rsidP="005B55E4">
            <w:pPr>
              <w:pStyle w:val="SuicideTableText"/>
              <w:jc w:val="center"/>
              <w:rPr>
                <w:rFonts w:ascii="Tw Cen MT" w:hAnsi="Tw Cen MT"/>
                <w:color w:val="FFFFFF" w:themeColor="background1"/>
                <w:sz w:val="22"/>
                <w:szCs w:val="22"/>
              </w:rPr>
            </w:pPr>
            <w:r w:rsidRPr="006E402F">
              <w:rPr>
                <w:rFonts w:ascii="Tw Cen MT" w:hAnsi="Tw Cen MT"/>
                <w:color w:val="FFFFFF" w:themeColor="background1"/>
                <w:sz w:val="22"/>
                <w:szCs w:val="22"/>
              </w:rPr>
              <w:t>Total</w:t>
            </w:r>
          </w:p>
        </w:tc>
        <w:tc>
          <w:tcPr>
            <w:tcW w:w="1417" w:type="dxa"/>
            <w:shd w:val="clear" w:color="auto" w:fill="auto"/>
            <w:vAlign w:val="center"/>
          </w:tcPr>
          <w:p w14:paraId="7437651C" w14:textId="1C0DD051" w:rsidR="005F5486" w:rsidRPr="006E402F" w:rsidRDefault="00357ECB" w:rsidP="005B55E4">
            <w:pPr>
              <w:jc w:val="center"/>
              <w:rPr>
                <w:rFonts w:ascii="Tw Cen MT" w:hAnsi="Tw Cen MT" w:cs="Calibri"/>
                <w:color w:val="000000"/>
                <w:sz w:val="22"/>
                <w:szCs w:val="22"/>
              </w:rPr>
            </w:pPr>
            <w:r>
              <w:rPr>
                <w:rFonts w:ascii="Tw Cen MT" w:hAnsi="Tw Cen MT" w:cs="Calibri"/>
                <w:color w:val="000000"/>
                <w:sz w:val="22"/>
                <w:szCs w:val="22"/>
              </w:rPr>
              <w:t>11,809</w:t>
            </w:r>
          </w:p>
        </w:tc>
        <w:tc>
          <w:tcPr>
            <w:tcW w:w="1733" w:type="dxa"/>
            <w:shd w:val="clear" w:color="auto" w:fill="auto"/>
            <w:vAlign w:val="center"/>
          </w:tcPr>
          <w:p w14:paraId="0C2ED810" w14:textId="77777777" w:rsidR="005F5486" w:rsidRPr="006E402F" w:rsidRDefault="005F5486" w:rsidP="005B55E4">
            <w:pPr>
              <w:jc w:val="center"/>
              <w:rPr>
                <w:rFonts w:ascii="Tw Cen MT" w:hAnsi="Tw Cen MT" w:cs="Calibri"/>
                <w:color w:val="000000"/>
                <w:sz w:val="22"/>
                <w:szCs w:val="22"/>
              </w:rPr>
            </w:pPr>
            <w:r w:rsidRPr="006E402F">
              <w:rPr>
                <w:rFonts w:ascii="Tw Cen MT" w:hAnsi="Tw Cen MT" w:cs="Calibri"/>
                <w:color w:val="000000"/>
                <w:sz w:val="22"/>
                <w:szCs w:val="22"/>
              </w:rPr>
              <w:t>-</w:t>
            </w:r>
          </w:p>
        </w:tc>
        <w:tc>
          <w:tcPr>
            <w:tcW w:w="1620" w:type="dxa"/>
            <w:shd w:val="clear" w:color="auto" w:fill="auto"/>
            <w:vAlign w:val="center"/>
          </w:tcPr>
          <w:p w14:paraId="7C239F12" w14:textId="77777777" w:rsidR="005F5486" w:rsidRPr="006E402F" w:rsidRDefault="005F5486" w:rsidP="005B55E4">
            <w:pPr>
              <w:jc w:val="center"/>
              <w:rPr>
                <w:rFonts w:ascii="Tw Cen MT" w:hAnsi="Tw Cen MT" w:cs="Calibri"/>
                <w:color w:val="000000"/>
                <w:sz w:val="22"/>
                <w:szCs w:val="22"/>
              </w:rPr>
            </w:pPr>
            <w:r w:rsidRPr="006E402F">
              <w:rPr>
                <w:rFonts w:ascii="Tw Cen MT" w:hAnsi="Tw Cen MT" w:cs="Calibri"/>
                <w:color w:val="000000"/>
                <w:sz w:val="22"/>
                <w:szCs w:val="22"/>
              </w:rPr>
              <w:t>12,902</w:t>
            </w:r>
          </w:p>
        </w:tc>
        <w:tc>
          <w:tcPr>
            <w:tcW w:w="1800" w:type="dxa"/>
            <w:shd w:val="clear" w:color="auto" w:fill="auto"/>
            <w:vAlign w:val="center"/>
          </w:tcPr>
          <w:p w14:paraId="7D9A7DC1" w14:textId="77777777" w:rsidR="005F5486" w:rsidRPr="006E402F" w:rsidRDefault="005F5486" w:rsidP="005B55E4">
            <w:pPr>
              <w:jc w:val="center"/>
              <w:rPr>
                <w:rFonts w:ascii="Tw Cen MT" w:hAnsi="Tw Cen MT" w:cs="Calibri"/>
                <w:color w:val="000000"/>
                <w:sz w:val="22"/>
                <w:szCs w:val="22"/>
              </w:rPr>
            </w:pPr>
            <w:r w:rsidRPr="006E402F">
              <w:rPr>
                <w:rFonts w:ascii="Tw Cen MT" w:hAnsi="Tw Cen MT" w:cs="Calibri"/>
                <w:color w:val="000000"/>
                <w:sz w:val="22"/>
                <w:szCs w:val="22"/>
              </w:rPr>
              <w:t>4,129</w:t>
            </w:r>
          </w:p>
        </w:tc>
      </w:tr>
    </w:tbl>
    <w:p w14:paraId="34E2A624" w14:textId="77777777" w:rsidR="00D649AF" w:rsidRPr="00F749FB" w:rsidRDefault="00D649AF" w:rsidP="001E50ED">
      <w:pPr>
        <w:pStyle w:val="SuicideBodyText"/>
        <w:numPr>
          <w:ilvl w:val="0"/>
          <w:numId w:val="17"/>
        </w:numPr>
        <w:spacing w:before="240" w:after="120"/>
        <w:rPr>
          <w:rFonts w:ascii="Tw Cen MT" w:hAnsi="Tw Cen MT" w:cs="Arial"/>
          <w:b/>
          <w:sz w:val="28"/>
          <w:szCs w:val="28"/>
        </w:rPr>
      </w:pPr>
      <w:r w:rsidRPr="00F749FB">
        <w:rPr>
          <w:rFonts w:ascii="Tw Cen MT" w:hAnsi="Tw Cen MT" w:cs="Arial"/>
          <w:b/>
          <w:sz w:val="28"/>
          <w:szCs w:val="28"/>
        </w:rPr>
        <w:t>Estimates of Annualized Cost Burden to Respondents or Record Keepers</w:t>
      </w:r>
    </w:p>
    <w:p w14:paraId="739B0E24" w14:textId="2155AB53" w:rsidR="007D1703" w:rsidRDefault="007D1703" w:rsidP="00C221FD">
      <w:pPr>
        <w:pStyle w:val="SuicideBodyText"/>
        <w:rPr>
          <w:rFonts w:ascii="Arial" w:hAnsi="Arial" w:cs="Arial"/>
          <w:b/>
        </w:rPr>
      </w:pPr>
      <w:r w:rsidRPr="00F1465D">
        <w:t xml:space="preserve">Grantees are collecting the majority of the required data elements as part of their normal suicide prevention program operations. Grantees will maintain this information for their own program planning, quality improvement, and reporting purposes. Therefore, there are no additional capital or start-up costs associated with the </w:t>
      </w:r>
      <w:r w:rsidR="00F57AD5">
        <w:t>NOE</w:t>
      </w:r>
      <w:r w:rsidRPr="00F1465D">
        <w:t>. There will be some additional burden on record keepers to provide potential respondent lists for data collection activities. However, these operation costs will be minimal. Other costs related to this effort, such as the cost of shipping consent-to-contact forms is cost to the Federal Government as part of the funding received for participation in the evaluation. Each grantee has been funded, as part of the overall cooperative agreement award, to fund an evaluator and related costs to carry out the requirements of the cross-site evaluation. Therefore, no cost burden is imposed on the grantee by this additional effort.</w:t>
      </w:r>
    </w:p>
    <w:p w14:paraId="259E0B16" w14:textId="3B1C0BE1" w:rsidR="007D1703" w:rsidRPr="00F749FB" w:rsidRDefault="007D1703" w:rsidP="001E50ED">
      <w:pPr>
        <w:pStyle w:val="SuicideBodyText"/>
        <w:numPr>
          <w:ilvl w:val="0"/>
          <w:numId w:val="17"/>
        </w:numPr>
        <w:spacing w:before="240" w:after="120"/>
        <w:rPr>
          <w:rFonts w:ascii="Tw Cen MT" w:hAnsi="Tw Cen MT" w:cs="Arial"/>
          <w:b/>
          <w:sz w:val="28"/>
          <w:szCs w:val="28"/>
        </w:rPr>
      </w:pPr>
      <w:r w:rsidRPr="00F749FB">
        <w:rPr>
          <w:rFonts w:ascii="Tw Cen MT" w:hAnsi="Tw Cen MT" w:cs="Arial"/>
          <w:b/>
          <w:sz w:val="28"/>
          <w:szCs w:val="28"/>
        </w:rPr>
        <w:t>Estimates of Annualized Cost to the Government</w:t>
      </w:r>
    </w:p>
    <w:p w14:paraId="130E8B9E" w14:textId="5D5D03F8" w:rsidR="007D1703" w:rsidRPr="00B603E8" w:rsidRDefault="007D1703" w:rsidP="00045A50">
      <w:pPr>
        <w:pStyle w:val="SuicideBodyText"/>
        <w:spacing w:after="200"/>
        <w:rPr>
          <w:rFonts w:ascii="Calibri" w:hAnsi="Calibri"/>
          <w:sz w:val="22"/>
          <w:szCs w:val="22"/>
        </w:rPr>
      </w:pPr>
      <w:r w:rsidRPr="00F1465D">
        <w:t xml:space="preserve">CMHS has planned and allocated resources for the management, processing and use of the collected information in a manner that shall enhance its utility to agencies and the public. Including the Federal contribution to local grantee evaluation efforts, the contract with the National </w:t>
      </w:r>
      <w:proofErr w:type="gramStart"/>
      <w:r w:rsidRPr="00F1465D">
        <w:t>Evaluator,</w:t>
      </w:r>
      <w:proofErr w:type="gramEnd"/>
      <w:r w:rsidRPr="00F1465D">
        <w:t xml:space="preserve"> and </w:t>
      </w:r>
      <w:r w:rsidRPr="0080212A">
        <w:t xml:space="preserve">Government staff to oversee the evaluation, the annualized cost to the Government is estimated </w:t>
      </w:r>
      <w:r w:rsidRPr="00FA56E1">
        <w:t xml:space="preserve">at </w:t>
      </w:r>
      <w:r w:rsidRPr="00B603E8">
        <w:t>$4,</w:t>
      </w:r>
      <w:r w:rsidR="00FA56E1" w:rsidRPr="00B603E8">
        <w:t>339</w:t>
      </w:r>
      <w:r w:rsidRPr="00B603E8">
        <w:t>,</w:t>
      </w:r>
      <w:r w:rsidR="00FA56E1" w:rsidRPr="00B603E8">
        <w:t>803</w:t>
      </w:r>
      <w:r w:rsidRPr="00B603E8">
        <w:t>. These costs are described below.</w:t>
      </w:r>
    </w:p>
    <w:p w14:paraId="47337496" w14:textId="576BEF7B" w:rsidR="007D1703" w:rsidRPr="00B603E8" w:rsidRDefault="007D1703" w:rsidP="00045A50">
      <w:pPr>
        <w:pStyle w:val="SuicideBodyText"/>
        <w:spacing w:after="200"/>
      </w:pPr>
      <w:r w:rsidRPr="00B603E8">
        <w:t xml:space="preserve">Each grantee is expected to fund an evaluator to conduct the self-evaluation and to satisfy the requirements of the cross-site evaluation. It is estimated that participating in the </w:t>
      </w:r>
      <w:r w:rsidR="00C221FD" w:rsidRPr="00B603E8">
        <w:t>NOE</w:t>
      </w:r>
      <w:r w:rsidRPr="00B603E8">
        <w:t xml:space="preserve"> will require 0.20 full-time </w:t>
      </w:r>
      <w:proofErr w:type="gramStart"/>
      <w:r w:rsidRPr="00B603E8">
        <w:t>equivalent</w:t>
      </w:r>
      <w:proofErr w:type="gramEnd"/>
      <w:r w:rsidRPr="00B603E8">
        <w:t xml:space="preserve"> (FTE) to collect information, enter information into the Web-based data collection and management system, and to conduct analyses at the local level. Assuming: </w:t>
      </w:r>
      <w:r w:rsidR="00C221FD" w:rsidRPr="00B603E8">
        <w:t>(</w:t>
      </w:r>
      <w:r w:rsidRPr="00B603E8">
        <w:t>1) an average annual salary of $</w:t>
      </w:r>
      <w:r w:rsidR="0025482D" w:rsidRPr="00B603E8">
        <w:t>76,378</w:t>
      </w:r>
      <w:r w:rsidRPr="00B603E8">
        <w:t xml:space="preserve"> (BLS, 201</w:t>
      </w:r>
      <w:r w:rsidR="0025482D" w:rsidRPr="00B603E8">
        <w:t>4</w:t>
      </w:r>
      <w:r w:rsidRPr="00B603E8">
        <w:t xml:space="preserve">) for a 0.20 FTE evaluator; </w:t>
      </w:r>
      <w:r w:rsidR="00C221FD" w:rsidRPr="00B603E8">
        <w:t>(</w:t>
      </w:r>
      <w:r w:rsidRPr="00B603E8">
        <w:t xml:space="preserve">2) </w:t>
      </w:r>
      <w:r w:rsidR="00B505CC">
        <w:t>45</w:t>
      </w:r>
      <w:r w:rsidRPr="00B603E8">
        <w:t xml:space="preserve"> State/Tribal and </w:t>
      </w:r>
      <w:r w:rsidR="00B505CC">
        <w:t>59</w:t>
      </w:r>
      <w:r w:rsidRPr="00B603E8">
        <w:t xml:space="preserve"> Campus grantees; and </w:t>
      </w:r>
      <w:r w:rsidR="00C221FD" w:rsidRPr="00B603E8">
        <w:t>(</w:t>
      </w:r>
      <w:r w:rsidRPr="00B603E8">
        <w:t xml:space="preserve">3) that Campus grantees had to cost share on a 1:1 basis, the annual cost for the </w:t>
      </w:r>
      <w:r w:rsidR="0025482D" w:rsidRPr="00B603E8">
        <w:t>NOE</w:t>
      </w:r>
      <w:r w:rsidRPr="00B603E8">
        <w:t xml:space="preserve"> at the grantee level is estimated at $</w:t>
      </w:r>
      <w:r w:rsidR="0025482D" w:rsidRPr="00B603E8">
        <w:t>1,680,316</w:t>
      </w:r>
      <w:r w:rsidRPr="00B603E8">
        <w:t xml:space="preserve">. These monies are included in the cooperative agreement awards. </w:t>
      </w:r>
    </w:p>
    <w:p w14:paraId="4516B445" w14:textId="44F8BC62" w:rsidR="007D1703" w:rsidRPr="00B603E8" w:rsidRDefault="007D1703" w:rsidP="00966D74">
      <w:pPr>
        <w:pStyle w:val="SuicideBodyText"/>
        <w:spacing w:after="200"/>
        <w:rPr>
          <w:rFonts w:ascii="Arial" w:hAnsi="Arial" w:cs="Arial"/>
          <w:b/>
        </w:rPr>
      </w:pPr>
      <w:r w:rsidRPr="00B603E8">
        <w:t xml:space="preserve">The </w:t>
      </w:r>
      <w:r w:rsidR="00F57AD5" w:rsidRPr="00B603E8">
        <w:t>NOE</w:t>
      </w:r>
      <w:r w:rsidRPr="00B603E8">
        <w:t xml:space="preserve"> contract has been </w:t>
      </w:r>
      <w:r w:rsidR="00C221FD" w:rsidRPr="00B603E8">
        <w:t xml:space="preserve">awarded to ICF </w:t>
      </w:r>
      <w:r w:rsidRPr="00B603E8">
        <w:t xml:space="preserve">for evaluation of </w:t>
      </w:r>
      <w:r w:rsidR="00402B62" w:rsidRPr="00B603E8">
        <w:t>the GLS Suicide Prevention Program.</w:t>
      </w:r>
      <w:r w:rsidRPr="00B603E8">
        <w:t xml:space="preserve"> The current evaluation contract with SAMHSA </w:t>
      </w:r>
      <w:r w:rsidR="00402B62" w:rsidRPr="00B603E8">
        <w:t>is funded to conduct the NOE with 1</w:t>
      </w:r>
      <w:r w:rsidR="00EA53D7" w:rsidRPr="00B603E8">
        <w:t>04</w:t>
      </w:r>
      <w:r w:rsidR="00402B62" w:rsidRPr="00B603E8">
        <w:t xml:space="preserve"> grantees over the next 5 years with a value of</w:t>
      </w:r>
      <w:r w:rsidRPr="00B603E8">
        <w:t xml:space="preserve"> $</w:t>
      </w:r>
      <w:r w:rsidR="00402B62" w:rsidRPr="00B603E8">
        <w:t>13,167,432.</w:t>
      </w:r>
      <w:r w:rsidRPr="00B603E8">
        <w:t xml:space="preserve"> </w:t>
      </w:r>
      <w:r w:rsidR="00402B62" w:rsidRPr="00B603E8">
        <w:t xml:space="preserve">Additional contract dollars will be set aside for the evaluation as future cohorts are funded. The </w:t>
      </w:r>
      <w:r w:rsidRPr="00B603E8">
        <w:t>estimated average annual cost of the contract will be $</w:t>
      </w:r>
      <w:r w:rsidR="0025482D" w:rsidRPr="00B603E8">
        <w:t>2,633,487</w:t>
      </w:r>
      <w:r w:rsidRPr="00B603E8">
        <w:t xml:space="preserve">. This covers expenses related to developing and monitoring the </w:t>
      </w:r>
      <w:r w:rsidR="00C221FD" w:rsidRPr="00B603E8">
        <w:t>NOE</w:t>
      </w:r>
      <w:r w:rsidRPr="00B603E8">
        <w:t xml:space="preserve"> including</w:t>
      </w:r>
      <w:r w:rsidR="00C221FD" w:rsidRPr="00B603E8">
        <w:t>, but not limited to:</w:t>
      </w:r>
      <w:r w:rsidRPr="00B603E8">
        <w:t xml:space="preserve"> developing the evaluation design</w:t>
      </w:r>
      <w:r w:rsidR="00C221FD" w:rsidRPr="00B603E8">
        <w:t xml:space="preserve"> and instrumentation</w:t>
      </w:r>
      <w:r w:rsidRPr="00B603E8">
        <w:t>; developing training and TA resources (i.e., manuals, training materials, etc.); conducting in-person or telephone training and TA; monitoring of grantees; traveling to grantee sites and relevant meetings; and analyzing and disseminating data activities. In addition, these funds will support the development of the Web-based data collection and management system and fund staff support for data collection. It is estimated that CMHS will allocate 0.30 of a full-time equivalent each year for Government oversight of the evaluation. Assuming an annual salary of $80,000, these Government costs will be $24,000 per year.</w:t>
      </w:r>
      <w:r w:rsidR="004322F0" w:rsidRPr="00B603E8">
        <w:t xml:space="preserve"> </w:t>
      </w:r>
      <w:r w:rsidR="00F749FB" w:rsidRPr="00B603E8">
        <w:rPr>
          <w:color w:val="FF0000"/>
        </w:rPr>
        <w:t xml:space="preserve"> </w:t>
      </w:r>
    </w:p>
    <w:p w14:paraId="3E009C1E" w14:textId="56788F3B" w:rsidR="007D1703" w:rsidRPr="00B603E8" w:rsidRDefault="007D1703" w:rsidP="001E50ED">
      <w:pPr>
        <w:pStyle w:val="SuicideBodyText"/>
        <w:numPr>
          <w:ilvl w:val="0"/>
          <w:numId w:val="17"/>
        </w:numPr>
        <w:spacing w:before="240" w:after="120"/>
        <w:rPr>
          <w:rFonts w:ascii="Tw Cen MT" w:hAnsi="Tw Cen MT" w:cs="Arial"/>
          <w:b/>
          <w:sz w:val="28"/>
          <w:szCs w:val="28"/>
        </w:rPr>
      </w:pPr>
      <w:r w:rsidRPr="00B603E8">
        <w:rPr>
          <w:rFonts w:ascii="Tw Cen MT" w:hAnsi="Tw Cen MT" w:cs="Arial"/>
          <w:b/>
          <w:sz w:val="28"/>
          <w:szCs w:val="28"/>
        </w:rPr>
        <w:t>Change</w:t>
      </w:r>
      <w:r w:rsidR="00920109" w:rsidRPr="00B603E8">
        <w:rPr>
          <w:rFonts w:ascii="Tw Cen MT" w:hAnsi="Tw Cen MT" w:cs="Arial"/>
          <w:b/>
          <w:sz w:val="28"/>
          <w:szCs w:val="28"/>
        </w:rPr>
        <w:t>s</w:t>
      </w:r>
      <w:r w:rsidRPr="00B603E8">
        <w:rPr>
          <w:rFonts w:ascii="Tw Cen MT" w:hAnsi="Tw Cen MT" w:cs="Arial"/>
          <w:b/>
          <w:sz w:val="28"/>
          <w:szCs w:val="28"/>
        </w:rPr>
        <w:t xml:space="preserve"> in Burden</w:t>
      </w:r>
    </w:p>
    <w:p w14:paraId="1DFCB92A" w14:textId="79EA3C81" w:rsidR="007D1703" w:rsidRPr="00B603E8" w:rsidRDefault="007D1703" w:rsidP="00045A50">
      <w:pPr>
        <w:pStyle w:val="SuicideBodyText"/>
        <w:spacing w:after="200"/>
      </w:pPr>
      <w:r w:rsidRPr="00B603E8">
        <w:t xml:space="preserve">Currently there are </w:t>
      </w:r>
      <w:r w:rsidR="00332004" w:rsidRPr="00B603E8">
        <w:t>8,014</w:t>
      </w:r>
      <w:r w:rsidRPr="00B603E8">
        <w:rPr>
          <w:rFonts w:ascii="Calibri" w:hAnsi="Calibri" w:cs="Calibri"/>
          <w:sz w:val="22"/>
          <w:szCs w:val="22"/>
        </w:rPr>
        <w:t xml:space="preserve"> </w:t>
      </w:r>
      <w:r w:rsidR="00EA4A21">
        <w:t xml:space="preserve">annual </w:t>
      </w:r>
      <w:r w:rsidRPr="00B603E8">
        <w:t xml:space="preserve">burden hours in the OMB inventory. SAMHSA is requesting </w:t>
      </w:r>
      <w:r w:rsidR="00EA4A21">
        <w:t>4,129 annual burden</w:t>
      </w:r>
      <w:r w:rsidRPr="00B603E8">
        <w:t xml:space="preserve"> hours for this submission</w:t>
      </w:r>
      <w:r w:rsidR="005059BD" w:rsidRPr="00B603E8">
        <w:t xml:space="preserve">, representing </w:t>
      </w:r>
      <w:r w:rsidR="006910EB" w:rsidRPr="00B603E8">
        <w:t xml:space="preserve">a </w:t>
      </w:r>
      <w:r w:rsidR="00EA4A21">
        <w:t>decrease of</w:t>
      </w:r>
      <w:r w:rsidR="005059BD" w:rsidRPr="00B603E8">
        <w:t xml:space="preserve"> </w:t>
      </w:r>
      <w:r w:rsidR="00EA4A21">
        <w:t>3,885 annual</w:t>
      </w:r>
      <w:r w:rsidR="005059BD" w:rsidRPr="00B603E8">
        <w:t xml:space="preserve"> burden hours. </w:t>
      </w:r>
      <w:r w:rsidR="00714929" w:rsidRPr="00B603E8">
        <w:t xml:space="preserve">The </w:t>
      </w:r>
      <w:r w:rsidR="005059BD" w:rsidRPr="00B603E8">
        <w:t xml:space="preserve">total </w:t>
      </w:r>
      <w:r w:rsidR="00714929" w:rsidRPr="00B603E8">
        <w:t>number of grantees for which burden is calculated is 140 (49 State/Tribal grantees and 91 Campus grantees)</w:t>
      </w:r>
      <w:r w:rsidR="005059BD" w:rsidRPr="00B603E8">
        <w:t>, which includes the number c</w:t>
      </w:r>
      <w:r w:rsidR="00714929" w:rsidRPr="00B603E8">
        <w:t xml:space="preserve">urrently active (104) and </w:t>
      </w:r>
      <w:r w:rsidR="005059BD" w:rsidRPr="00B603E8">
        <w:t>those</w:t>
      </w:r>
      <w:r w:rsidR="00714929" w:rsidRPr="00B603E8">
        <w:t xml:space="preserve"> expected to be funded in FY 2016 (21) and FY 2017 (15). </w:t>
      </w:r>
      <w:r w:rsidR="005059BD" w:rsidRPr="00B603E8">
        <w:t>Other program changes that account for the change in burden include:</w:t>
      </w:r>
    </w:p>
    <w:p w14:paraId="267C0C54" w14:textId="63F2D8A3" w:rsidR="00113CD0" w:rsidRPr="00B603E8" w:rsidRDefault="00113CD0" w:rsidP="00045A50">
      <w:pPr>
        <w:pStyle w:val="SuicideBodyText"/>
        <w:numPr>
          <w:ilvl w:val="0"/>
          <w:numId w:val="27"/>
        </w:numPr>
        <w:spacing w:after="60"/>
        <w:jc w:val="left"/>
      </w:pPr>
      <w:r w:rsidRPr="00B603E8">
        <w:t xml:space="preserve">The previously-approved </w:t>
      </w:r>
      <w:r w:rsidR="004322F0" w:rsidRPr="00B603E8">
        <w:rPr>
          <w:b/>
        </w:rPr>
        <w:t xml:space="preserve">TUP-S Adolescent </w:t>
      </w:r>
      <w:r w:rsidRPr="00B603E8">
        <w:rPr>
          <w:b/>
        </w:rPr>
        <w:t>Version</w:t>
      </w:r>
      <w:r w:rsidRPr="00B603E8">
        <w:t xml:space="preserve"> will no longer be administered with State/Tribal grantees. The estimated annual burden for this effort was </w:t>
      </w:r>
      <w:r w:rsidR="008A6270" w:rsidRPr="00B603E8">
        <w:t>48</w:t>
      </w:r>
      <w:r w:rsidRPr="00B603E8">
        <w:t xml:space="preserve"> hours.</w:t>
      </w:r>
    </w:p>
    <w:p w14:paraId="5667BDD5" w14:textId="69593CBA" w:rsidR="00113CD0" w:rsidRPr="00B603E8" w:rsidRDefault="00113CD0" w:rsidP="00045A50">
      <w:pPr>
        <w:pStyle w:val="SuicideBodyText"/>
        <w:numPr>
          <w:ilvl w:val="0"/>
          <w:numId w:val="27"/>
        </w:numPr>
        <w:spacing w:after="60"/>
        <w:jc w:val="left"/>
      </w:pPr>
      <w:r w:rsidRPr="00B603E8">
        <w:t xml:space="preserve">The previously-approved </w:t>
      </w:r>
      <w:r w:rsidRPr="00B603E8">
        <w:rPr>
          <w:b/>
        </w:rPr>
        <w:t xml:space="preserve">Coalition </w:t>
      </w:r>
      <w:r w:rsidR="008A6270" w:rsidRPr="00B603E8">
        <w:rPr>
          <w:b/>
        </w:rPr>
        <w:t>Profile</w:t>
      </w:r>
      <w:r w:rsidR="00647325" w:rsidRPr="00B603E8">
        <w:rPr>
          <w:b/>
        </w:rPr>
        <w:t xml:space="preserve"> </w:t>
      </w:r>
      <w:r w:rsidRPr="00B603E8">
        <w:t xml:space="preserve">will no longer be administered with State/Tribal grantees. The estimated annual burden for this effort was </w:t>
      </w:r>
      <w:r w:rsidR="008A6270" w:rsidRPr="00B603E8">
        <w:t>11</w:t>
      </w:r>
      <w:r w:rsidRPr="00B603E8">
        <w:t xml:space="preserve"> hours.</w:t>
      </w:r>
    </w:p>
    <w:p w14:paraId="64EA7BA1" w14:textId="190791C5" w:rsidR="00113CD0" w:rsidRPr="00B603E8" w:rsidRDefault="00113CD0" w:rsidP="00045A50">
      <w:pPr>
        <w:pStyle w:val="SuicideBodyText"/>
        <w:numPr>
          <w:ilvl w:val="0"/>
          <w:numId w:val="27"/>
        </w:numPr>
        <w:spacing w:after="60"/>
        <w:jc w:val="left"/>
      </w:pPr>
      <w:r w:rsidRPr="00B603E8">
        <w:t xml:space="preserve">The previously-approved </w:t>
      </w:r>
      <w:r w:rsidRPr="00B603E8">
        <w:rPr>
          <w:b/>
        </w:rPr>
        <w:t xml:space="preserve">Coalition </w:t>
      </w:r>
      <w:r w:rsidR="008A6270" w:rsidRPr="00B603E8">
        <w:rPr>
          <w:b/>
        </w:rPr>
        <w:t>Survey</w:t>
      </w:r>
      <w:r w:rsidR="00647325" w:rsidRPr="00B603E8">
        <w:rPr>
          <w:b/>
        </w:rPr>
        <w:t xml:space="preserve"> </w:t>
      </w:r>
      <w:r w:rsidRPr="00B603E8">
        <w:t xml:space="preserve">will no longer be administered with State/Tribal grantees. The estimated annual burden for this effort was </w:t>
      </w:r>
      <w:r w:rsidR="008A6270" w:rsidRPr="00B603E8">
        <w:t>286</w:t>
      </w:r>
      <w:r w:rsidRPr="00B603E8">
        <w:t xml:space="preserve"> hours.</w:t>
      </w:r>
    </w:p>
    <w:p w14:paraId="1295B4DF" w14:textId="62865E30" w:rsidR="00113CD0" w:rsidRPr="00B603E8" w:rsidRDefault="00113CD0" w:rsidP="00045A50">
      <w:pPr>
        <w:pStyle w:val="SuicideBodyText"/>
        <w:numPr>
          <w:ilvl w:val="0"/>
          <w:numId w:val="27"/>
        </w:numPr>
        <w:spacing w:after="60"/>
        <w:jc w:val="left"/>
      </w:pPr>
      <w:r w:rsidRPr="00B603E8">
        <w:t xml:space="preserve">The previously-approved </w:t>
      </w:r>
      <w:r w:rsidRPr="00B603E8">
        <w:rPr>
          <w:b/>
        </w:rPr>
        <w:t>TES Individual Forms</w:t>
      </w:r>
      <w:r w:rsidRPr="00B603E8">
        <w:t xml:space="preserve"> will no longer be administered with Campus grantees. The estimated annual burden for this effort was </w:t>
      </w:r>
      <w:r w:rsidR="008A6270" w:rsidRPr="00B603E8">
        <w:t>737</w:t>
      </w:r>
      <w:r w:rsidRPr="00B603E8">
        <w:t xml:space="preserve"> hours.</w:t>
      </w:r>
    </w:p>
    <w:p w14:paraId="2FE658C7" w14:textId="5DBF8428" w:rsidR="00113CD0" w:rsidRPr="00B603E8" w:rsidRDefault="00113CD0" w:rsidP="00045A50">
      <w:pPr>
        <w:pStyle w:val="SuicideBodyText"/>
        <w:numPr>
          <w:ilvl w:val="0"/>
          <w:numId w:val="27"/>
        </w:numPr>
        <w:spacing w:after="60"/>
        <w:jc w:val="left"/>
      </w:pPr>
      <w:r w:rsidRPr="00B603E8">
        <w:t xml:space="preserve">The previously-approved </w:t>
      </w:r>
      <w:r w:rsidR="00DD6BF5">
        <w:rPr>
          <w:b/>
        </w:rPr>
        <w:t xml:space="preserve">LAFI </w:t>
      </w:r>
      <w:r w:rsidRPr="00B603E8">
        <w:t xml:space="preserve">will no longer be administered with Campus grantees. The estimated annual burden for this effort was </w:t>
      </w:r>
      <w:r w:rsidR="008A6270" w:rsidRPr="00B603E8">
        <w:t xml:space="preserve">18 </w:t>
      </w:r>
      <w:r w:rsidRPr="00B603E8">
        <w:t>hours.</w:t>
      </w:r>
    </w:p>
    <w:p w14:paraId="32E8A435" w14:textId="5FE1351D" w:rsidR="00113CD0" w:rsidRPr="00B603E8" w:rsidRDefault="00113CD0" w:rsidP="00045A50">
      <w:pPr>
        <w:pStyle w:val="SuicideBodyText"/>
        <w:numPr>
          <w:ilvl w:val="0"/>
          <w:numId w:val="27"/>
        </w:numPr>
        <w:spacing w:after="60"/>
        <w:jc w:val="left"/>
      </w:pPr>
      <w:r w:rsidRPr="00B603E8">
        <w:t xml:space="preserve">The previously-approved </w:t>
      </w:r>
      <w:r w:rsidR="00DD6BF5">
        <w:rPr>
          <w:b/>
        </w:rPr>
        <w:t>SAIS</w:t>
      </w:r>
      <w:r w:rsidR="00647325" w:rsidRPr="00B603E8">
        <w:rPr>
          <w:b/>
        </w:rPr>
        <w:t xml:space="preserve"> </w:t>
      </w:r>
      <w:r w:rsidRPr="00B603E8">
        <w:t xml:space="preserve">will no longer be administered with </w:t>
      </w:r>
      <w:r w:rsidR="002049A6" w:rsidRPr="00B603E8">
        <w:t>C</w:t>
      </w:r>
      <w:r w:rsidRPr="00B603E8">
        <w:t>ampus</w:t>
      </w:r>
      <w:r w:rsidR="002049A6" w:rsidRPr="00B603E8">
        <w:t xml:space="preserve"> grantees</w:t>
      </w:r>
      <w:r w:rsidRPr="00B603E8">
        <w:t xml:space="preserve">. The estimated annual burden for this effort was </w:t>
      </w:r>
      <w:r w:rsidR="008A6270" w:rsidRPr="00B603E8">
        <w:t>3,200</w:t>
      </w:r>
      <w:r w:rsidRPr="00B603E8">
        <w:t xml:space="preserve"> hours.</w:t>
      </w:r>
    </w:p>
    <w:p w14:paraId="3D8765E3" w14:textId="3B90AAC2" w:rsidR="008A6270" w:rsidRPr="00B603E8" w:rsidRDefault="004C197A" w:rsidP="00045A50">
      <w:pPr>
        <w:pStyle w:val="SuicideBullet1"/>
        <w:numPr>
          <w:ilvl w:val="0"/>
          <w:numId w:val="27"/>
        </w:numPr>
        <w:spacing w:after="60"/>
        <w:jc w:val="left"/>
      </w:pPr>
      <w:r w:rsidRPr="00B603E8">
        <w:t>The previously-approved</w:t>
      </w:r>
      <w:r w:rsidR="008A6270" w:rsidRPr="00B603E8">
        <w:t xml:space="preserve"> </w:t>
      </w:r>
      <w:r w:rsidR="00B54034" w:rsidRPr="00B603E8">
        <w:rPr>
          <w:b/>
        </w:rPr>
        <w:t xml:space="preserve">TUP-S </w:t>
      </w:r>
      <w:r w:rsidR="00A661F0">
        <w:rPr>
          <w:b/>
        </w:rPr>
        <w:t>Campus</w:t>
      </w:r>
      <w:r w:rsidR="008A6270" w:rsidRPr="00B603E8">
        <w:rPr>
          <w:b/>
        </w:rPr>
        <w:t xml:space="preserve"> </w:t>
      </w:r>
      <w:r w:rsidR="00A661F0">
        <w:t>will be</w:t>
      </w:r>
      <w:r w:rsidRPr="00B603E8">
        <w:t xml:space="preserve"> </w:t>
      </w:r>
      <w:r w:rsidR="00C73FF5">
        <w:t>conducted</w:t>
      </w:r>
      <w:r w:rsidR="00A661F0">
        <w:t xml:space="preserve"> </w:t>
      </w:r>
      <w:r w:rsidR="00C73FF5">
        <w:t>in OMB Year 1 with</w:t>
      </w:r>
      <w:r w:rsidR="00616564">
        <w:t xml:space="preserve"> Campus</w:t>
      </w:r>
      <w:r w:rsidR="00C73FF5">
        <w:t xml:space="preserve"> Cohort</w:t>
      </w:r>
      <w:r w:rsidR="00616564">
        <w:t>s</w:t>
      </w:r>
      <w:r w:rsidR="00C73FF5">
        <w:t xml:space="preserve"> 7 and 8</w:t>
      </w:r>
      <w:r w:rsidR="000A3E19">
        <w:t xml:space="preserve"> only and</w:t>
      </w:r>
      <w:r w:rsidR="00616564">
        <w:t xml:space="preserve"> discontinued after.</w:t>
      </w:r>
      <w:r w:rsidR="00616564" w:rsidRPr="00616564">
        <w:t xml:space="preserve"> </w:t>
      </w:r>
      <w:r w:rsidR="000A3E19">
        <w:t xml:space="preserve">The estimated annual burden for the TUP-S Campus </w:t>
      </w:r>
      <w:r w:rsidR="00DD6BF5">
        <w:t xml:space="preserve">has decreased from 59 hours to </w:t>
      </w:r>
      <w:r w:rsidR="000A3E19">
        <w:t>28 hours.</w:t>
      </w:r>
    </w:p>
    <w:p w14:paraId="0E5C7E86" w14:textId="1048A849" w:rsidR="008A6270" w:rsidRDefault="00B54034" w:rsidP="00045A50">
      <w:pPr>
        <w:pStyle w:val="SuicideBullet1"/>
        <w:numPr>
          <w:ilvl w:val="0"/>
          <w:numId w:val="27"/>
        </w:numPr>
        <w:spacing w:after="60"/>
        <w:jc w:val="left"/>
      </w:pPr>
      <w:r w:rsidRPr="00B603E8">
        <w:t xml:space="preserve">The </w:t>
      </w:r>
      <w:r w:rsidR="00B22F8E">
        <w:t xml:space="preserve">previously-approved </w:t>
      </w:r>
      <w:r w:rsidRPr="00B603E8">
        <w:rPr>
          <w:b/>
        </w:rPr>
        <w:t xml:space="preserve">RNS </w:t>
      </w:r>
      <w:r w:rsidR="00A661F0" w:rsidRPr="00A661F0">
        <w:t xml:space="preserve">will be </w:t>
      </w:r>
      <w:r w:rsidR="00C73FF5">
        <w:t xml:space="preserve">administered </w:t>
      </w:r>
      <w:r w:rsidR="00C73FF5" w:rsidRPr="00A661F0">
        <w:t>in OMB Year 1</w:t>
      </w:r>
      <w:r w:rsidR="00C73FF5">
        <w:t xml:space="preserve"> </w:t>
      </w:r>
      <w:r w:rsidR="00A661F0" w:rsidRPr="00A661F0">
        <w:t>with Cohort 8 State/Tribal grantees</w:t>
      </w:r>
      <w:r w:rsidR="00EA4A21">
        <w:t xml:space="preserve"> only and </w:t>
      </w:r>
      <w:r w:rsidR="00A661F0">
        <w:t>discontinued after</w:t>
      </w:r>
      <w:r w:rsidR="00A661F0" w:rsidRPr="00A661F0">
        <w:t xml:space="preserve">. </w:t>
      </w:r>
      <w:r w:rsidR="00EA4A21">
        <w:t>The esti</w:t>
      </w:r>
      <w:r w:rsidR="00DD6BF5">
        <w:t xml:space="preserve">mated annual burden for the RNS has decreased from 956 hours to </w:t>
      </w:r>
      <w:r w:rsidR="00EA4A21">
        <w:t>17 hours</w:t>
      </w:r>
      <w:r w:rsidR="000A3E19">
        <w:t>.</w:t>
      </w:r>
    </w:p>
    <w:p w14:paraId="00DB1A2A" w14:textId="173DDE95" w:rsidR="000A3E19" w:rsidRDefault="000A3E19" w:rsidP="00045A50">
      <w:pPr>
        <w:pStyle w:val="SuicideBodyText"/>
        <w:numPr>
          <w:ilvl w:val="0"/>
          <w:numId w:val="27"/>
        </w:numPr>
        <w:spacing w:after="60"/>
        <w:jc w:val="left"/>
      </w:pPr>
      <w:r>
        <w:t xml:space="preserve">The previously-approved </w:t>
      </w:r>
      <w:r w:rsidRPr="00C73FF5">
        <w:rPr>
          <w:b/>
        </w:rPr>
        <w:t>SMSS</w:t>
      </w:r>
      <w:r>
        <w:t xml:space="preserve"> will be conducted in OMB Year 1 with Campus Cohort 7 grantees only and discontinued after. The estimated annual burden for the SMSS </w:t>
      </w:r>
      <w:r w:rsidR="00DD6BF5">
        <w:t>has decreased from 432 hours to 61 hours.</w:t>
      </w:r>
    </w:p>
    <w:p w14:paraId="37F3A9E5" w14:textId="0D762612" w:rsidR="00DD6BF5" w:rsidRPr="00B603E8" w:rsidRDefault="00DD6BF5" w:rsidP="000A3E19">
      <w:pPr>
        <w:pStyle w:val="SuicideBodyText"/>
        <w:numPr>
          <w:ilvl w:val="0"/>
          <w:numId w:val="27"/>
        </w:numPr>
        <w:spacing w:after="120"/>
        <w:jc w:val="left"/>
      </w:pPr>
      <w:r>
        <w:t xml:space="preserve">The addition of the </w:t>
      </w:r>
      <w:r w:rsidRPr="00DD6BF5">
        <w:rPr>
          <w:b/>
        </w:rPr>
        <w:t>TUP-S RCT</w:t>
      </w:r>
      <w:r w:rsidRPr="00DD6BF5">
        <w:t xml:space="preserve"> </w:t>
      </w:r>
      <w:r>
        <w:t xml:space="preserve">and </w:t>
      </w:r>
      <w:r w:rsidRPr="00DD6BF5">
        <w:rPr>
          <w:b/>
        </w:rPr>
        <w:t xml:space="preserve">BHPS </w:t>
      </w:r>
      <w:r>
        <w:t xml:space="preserve">represent an </w:t>
      </w:r>
      <w:r w:rsidR="0069696B">
        <w:t xml:space="preserve">annual </w:t>
      </w:r>
      <w:r>
        <w:t xml:space="preserve">increase of 777 hours and 305 hours, respectively, for a total increase of 1,082 annual burden hours.  </w:t>
      </w:r>
    </w:p>
    <w:p w14:paraId="07CB083E" w14:textId="560ABB2C" w:rsidR="007D1703" w:rsidRPr="00B603E8" w:rsidRDefault="007D1703" w:rsidP="00CB1EDA">
      <w:pPr>
        <w:pStyle w:val="SuicideBodyText"/>
        <w:keepNext/>
        <w:numPr>
          <w:ilvl w:val="0"/>
          <w:numId w:val="17"/>
        </w:numPr>
        <w:spacing w:before="240" w:after="120"/>
        <w:rPr>
          <w:rFonts w:ascii="Tw Cen MT" w:hAnsi="Tw Cen MT" w:cs="Arial"/>
          <w:b/>
          <w:sz w:val="28"/>
          <w:szCs w:val="28"/>
        </w:rPr>
      </w:pPr>
      <w:r w:rsidRPr="00B603E8">
        <w:rPr>
          <w:rFonts w:ascii="Tw Cen MT" w:hAnsi="Tw Cen MT" w:cs="Arial"/>
          <w:b/>
          <w:sz w:val="28"/>
          <w:szCs w:val="28"/>
        </w:rPr>
        <w:t>Time Schedule, Publication, and Analysis Plans</w:t>
      </w:r>
    </w:p>
    <w:p w14:paraId="1307EDB8" w14:textId="1D5AF06C" w:rsidR="007D1703" w:rsidRPr="00B603E8" w:rsidRDefault="007D1703" w:rsidP="003536EA">
      <w:pPr>
        <w:pStyle w:val="SuicideBodyText"/>
        <w:numPr>
          <w:ilvl w:val="0"/>
          <w:numId w:val="44"/>
        </w:numPr>
        <w:spacing w:after="120"/>
        <w:rPr>
          <w:rFonts w:ascii="Tw Cen MT" w:hAnsi="Tw Cen MT" w:cs="Arial"/>
          <w:b/>
          <w:sz w:val="28"/>
          <w:szCs w:val="28"/>
        </w:rPr>
      </w:pPr>
      <w:r w:rsidRPr="00B603E8">
        <w:rPr>
          <w:rFonts w:ascii="Tw Cen MT" w:hAnsi="Tw Cen MT" w:cs="Arial"/>
          <w:b/>
          <w:sz w:val="28"/>
          <w:szCs w:val="28"/>
        </w:rPr>
        <w:t>Time Schedule</w:t>
      </w:r>
    </w:p>
    <w:p w14:paraId="30A7C8BE" w14:textId="5E7E8AB7" w:rsidR="007D1703" w:rsidRDefault="007D1703" w:rsidP="00045A50">
      <w:pPr>
        <w:pStyle w:val="SuicideBodyText"/>
        <w:spacing w:after="200"/>
      </w:pPr>
      <w:r w:rsidRPr="00B603E8">
        <w:t xml:space="preserve">The time schedule for implementing the cross-site evaluation is summarized in </w:t>
      </w:r>
      <w:r w:rsidR="006F36B9" w:rsidRPr="00B603E8">
        <w:t xml:space="preserve">Exhibit </w:t>
      </w:r>
      <w:r w:rsidR="00DD1247" w:rsidRPr="00B603E8">
        <w:t>10</w:t>
      </w:r>
      <w:r w:rsidRPr="00B603E8">
        <w:t>. A 3-year clearance is requested for this project.</w:t>
      </w:r>
    </w:p>
    <w:p w14:paraId="78133482" w14:textId="06638314" w:rsidR="007D1703" w:rsidRPr="00B603E8" w:rsidRDefault="00C221FD" w:rsidP="00F749FB">
      <w:pPr>
        <w:pStyle w:val="SuicideTableTitle"/>
        <w:jc w:val="left"/>
        <w:rPr>
          <w:rFonts w:ascii="Tw Cen MT" w:hAnsi="Tw Cen MT"/>
          <w:sz w:val="24"/>
          <w:szCs w:val="24"/>
        </w:rPr>
      </w:pPr>
      <w:proofErr w:type="gramStart"/>
      <w:r w:rsidRPr="00B603E8">
        <w:rPr>
          <w:rFonts w:ascii="Tw Cen MT" w:hAnsi="Tw Cen MT"/>
          <w:sz w:val="24"/>
          <w:szCs w:val="24"/>
        </w:rPr>
        <w:t xml:space="preserve">Exhibit </w:t>
      </w:r>
      <w:r w:rsidR="00DD1247" w:rsidRPr="00B603E8">
        <w:rPr>
          <w:rFonts w:ascii="Tw Cen MT" w:hAnsi="Tw Cen MT"/>
          <w:sz w:val="24"/>
          <w:szCs w:val="24"/>
        </w:rPr>
        <w:t>10</w:t>
      </w:r>
      <w:r w:rsidR="007D1703" w:rsidRPr="00B603E8">
        <w:rPr>
          <w:rFonts w:ascii="Tw Cen MT" w:hAnsi="Tw Cen MT"/>
          <w:sz w:val="24"/>
          <w:szCs w:val="24"/>
        </w:rPr>
        <w:t>.</w:t>
      </w:r>
      <w:proofErr w:type="gramEnd"/>
      <w:r w:rsidR="007D1703" w:rsidRPr="00B603E8">
        <w:rPr>
          <w:rFonts w:ascii="Tw Cen MT" w:hAnsi="Tw Cen MT"/>
          <w:sz w:val="24"/>
          <w:szCs w:val="24"/>
        </w:rPr>
        <w:t xml:space="preserve"> Time Schedule</w:t>
      </w:r>
    </w:p>
    <w:tbl>
      <w:tblPr>
        <w:tblStyle w:val="TableGrid"/>
        <w:tblW w:w="9350" w:type="dxa"/>
        <w:tblLayout w:type="fixed"/>
        <w:tblLook w:val="04A0" w:firstRow="1" w:lastRow="0" w:firstColumn="1" w:lastColumn="0" w:noHBand="0" w:noVBand="1"/>
      </w:tblPr>
      <w:tblGrid>
        <w:gridCol w:w="6205"/>
        <w:gridCol w:w="3145"/>
      </w:tblGrid>
      <w:tr w:rsidR="00C221FD" w:rsidRPr="00CF6DB0" w14:paraId="40622EB4" w14:textId="77777777" w:rsidTr="00CF6DB0">
        <w:trPr>
          <w:trHeight w:val="278"/>
          <w:tblHeader/>
        </w:trPr>
        <w:tc>
          <w:tcPr>
            <w:tcW w:w="6205" w:type="dxa"/>
            <w:tcBorders>
              <w:top w:val="single" w:sz="4" w:space="0" w:color="auto"/>
              <w:left w:val="single" w:sz="4" w:space="0" w:color="auto"/>
              <w:bottom w:val="single" w:sz="4" w:space="0" w:color="auto"/>
              <w:right w:val="single" w:sz="4" w:space="0" w:color="auto"/>
            </w:tcBorders>
            <w:shd w:val="clear" w:color="auto" w:fill="404040" w:themeFill="text1" w:themeFillTint="BF"/>
            <w:tcMar>
              <w:left w:w="115" w:type="dxa"/>
              <w:bottom w:w="43" w:type="dxa"/>
              <w:right w:w="115" w:type="dxa"/>
            </w:tcMar>
          </w:tcPr>
          <w:p w14:paraId="29291D1B" w14:textId="120AF2E7" w:rsidR="00C221FD" w:rsidRPr="00CF6DB0" w:rsidRDefault="00C221FD" w:rsidP="004D511D">
            <w:pPr>
              <w:pStyle w:val="SuicideBodyText"/>
              <w:jc w:val="center"/>
              <w:rPr>
                <w:rFonts w:ascii="Tw Cen MT" w:hAnsi="Tw Cen MT"/>
                <w:color w:val="FFFFFF" w:themeColor="background1"/>
                <w:sz w:val="22"/>
                <w:szCs w:val="22"/>
              </w:rPr>
            </w:pPr>
            <w:r w:rsidRPr="00CF6DB0">
              <w:rPr>
                <w:rFonts w:ascii="Tw Cen MT" w:hAnsi="Tw Cen MT"/>
                <w:color w:val="FFFFFF" w:themeColor="background1"/>
                <w:sz w:val="22"/>
                <w:szCs w:val="22"/>
              </w:rPr>
              <w:t>Activity</w:t>
            </w:r>
          </w:p>
        </w:tc>
        <w:tc>
          <w:tcPr>
            <w:tcW w:w="3145" w:type="dxa"/>
            <w:tcBorders>
              <w:top w:val="single" w:sz="4" w:space="0" w:color="auto"/>
              <w:left w:val="single" w:sz="4" w:space="0" w:color="auto"/>
              <w:bottom w:val="single" w:sz="4" w:space="0" w:color="auto"/>
              <w:right w:val="single" w:sz="4" w:space="0" w:color="auto"/>
            </w:tcBorders>
            <w:shd w:val="clear" w:color="auto" w:fill="404040" w:themeFill="text1" w:themeFillTint="BF"/>
            <w:tcMar>
              <w:left w:w="115" w:type="dxa"/>
              <w:bottom w:w="43" w:type="dxa"/>
              <w:right w:w="115" w:type="dxa"/>
            </w:tcMar>
          </w:tcPr>
          <w:p w14:paraId="294E6AC1" w14:textId="418D54D9" w:rsidR="00C221FD" w:rsidRPr="00CF6DB0" w:rsidRDefault="006F36B9" w:rsidP="006F36B9">
            <w:pPr>
              <w:pStyle w:val="SuicideBodyText"/>
              <w:tabs>
                <w:tab w:val="center" w:pos="1460"/>
                <w:tab w:val="right" w:pos="2920"/>
              </w:tabs>
              <w:jc w:val="left"/>
              <w:rPr>
                <w:rFonts w:ascii="Tw Cen MT" w:hAnsi="Tw Cen MT"/>
                <w:color w:val="FFFFFF" w:themeColor="background1"/>
                <w:sz w:val="22"/>
                <w:szCs w:val="22"/>
              </w:rPr>
            </w:pPr>
            <w:r w:rsidRPr="00CF6DB0">
              <w:rPr>
                <w:rFonts w:ascii="Tw Cen MT" w:hAnsi="Tw Cen MT"/>
                <w:color w:val="FFFFFF" w:themeColor="background1"/>
                <w:sz w:val="22"/>
                <w:szCs w:val="22"/>
              </w:rPr>
              <w:tab/>
            </w:r>
            <w:r w:rsidR="004D511D" w:rsidRPr="00CF6DB0">
              <w:rPr>
                <w:rFonts w:ascii="Tw Cen MT" w:hAnsi="Tw Cen MT"/>
                <w:color w:val="FFFFFF" w:themeColor="background1"/>
                <w:sz w:val="22"/>
                <w:szCs w:val="22"/>
              </w:rPr>
              <w:t>Timeframe</w:t>
            </w:r>
            <w:r w:rsidRPr="00CF6DB0">
              <w:rPr>
                <w:rFonts w:ascii="Tw Cen MT" w:hAnsi="Tw Cen MT"/>
                <w:color w:val="FFFFFF" w:themeColor="background1"/>
                <w:sz w:val="22"/>
                <w:szCs w:val="22"/>
              </w:rPr>
              <w:tab/>
            </w:r>
          </w:p>
        </w:tc>
      </w:tr>
      <w:tr w:rsidR="004D511D" w:rsidRPr="00CF6DB0" w14:paraId="1B555B06" w14:textId="77777777" w:rsidTr="00CF6DB0">
        <w:trPr>
          <w:trHeight w:val="638"/>
        </w:trPr>
        <w:tc>
          <w:tcPr>
            <w:tcW w:w="6205" w:type="dxa"/>
            <w:tcBorders>
              <w:top w:val="single" w:sz="4" w:space="0" w:color="auto"/>
              <w:left w:val="single" w:sz="4" w:space="0" w:color="auto"/>
              <w:bottom w:val="single" w:sz="4" w:space="0" w:color="auto"/>
              <w:right w:val="single" w:sz="4" w:space="0" w:color="auto"/>
            </w:tcBorders>
            <w:tcMar>
              <w:left w:w="115" w:type="dxa"/>
              <w:bottom w:w="43" w:type="dxa"/>
              <w:right w:w="115" w:type="dxa"/>
            </w:tcMar>
          </w:tcPr>
          <w:p w14:paraId="02E8B59E" w14:textId="26E5D3A2" w:rsidR="00F658A4" w:rsidRPr="00CF6DB0" w:rsidRDefault="004D511D" w:rsidP="007C6CE1">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rPr>
                <w:rFonts w:ascii="Tw Cen MT" w:hAnsi="Tw Cen MT" w:cs="Arial"/>
                <w:sz w:val="22"/>
                <w:szCs w:val="22"/>
              </w:rPr>
            </w:pPr>
            <w:r w:rsidRPr="00CF6DB0">
              <w:rPr>
                <w:rFonts w:ascii="Tw Cen MT" w:hAnsi="Tw Cen MT" w:cs="Arial"/>
                <w:sz w:val="22"/>
                <w:szCs w:val="22"/>
              </w:rPr>
              <w:t xml:space="preserve">Begin data collection for </w:t>
            </w:r>
            <w:r w:rsidR="00F658A4" w:rsidRPr="00CF6DB0">
              <w:rPr>
                <w:rFonts w:ascii="Tw Cen MT" w:hAnsi="Tw Cen MT" w:cs="Arial"/>
                <w:sz w:val="22"/>
                <w:szCs w:val="22"/>
              </w:rPr>
              <w:t>1</w:t>
            </w:r>
            <w:r w:rsidR="005059BD" w:rsidRPr="00CF6DB0">
              <w:rPr>
                <w:rFonts w:ascii="Tw Cen MT" w:hAnsi="Tw Cen MT" w:cs="Arial"/>
                <w:sz w:val="22"/>
                <w:szCs w:val="22"/>
              </w:rPr>
              <w:t>04</w:t>
            </w:r>
            <w:r w:rsidR="00F658A4" w:rsidRPr="00CF6DB0">
              <w:rPr>
                <w:rFonts w:ascii="Tw Cen MT" w:hAnsi="Tw Cen MT" w:cs="Arial"/>
                <w:sz w:val="22"/>
                <w:szCs w:val="22"/>
              </w:rPr>
              <w:t xml:space="preserve"> grantees</w:t>
            </w:r>
          </w:p>
          <w:p w14:paraId="11A678E6" w14:textId="6F7A47F2" w:rsidR="004D511D" w:rsidRPr="00CF6DB0" w:rsidRDefault="00EC1892" w:rsidP="00CF6DB0">
            <w:pPr>
              <w:numPr>
                <w:ilvl w:val="0"/>
                <w:numId w:val="38"/>
              </w:num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rPr>
                <w:rFonts w:ascii="Tw Cen MT" w:hAnsi="Tw Cen MT" w:cs="Arial"/>
                <w:i/>
                <w:sz w:val="22"/>
                <w:szCs w:val="22"/>
              </w:rPr>
            </w:pPr>
            <w:r w:rsidRPr="00CF6DB0">
              <w:rPr>
                <w:rFonts w:ascii="Tw Cen MT" w:hAnsi="Tw Cen MT" w:cs="Arial"/>
                <w:sz w:val="22"/>
                <w:szCs w:val="22"/>
              </w:rPr>
              <w:t>45</w:t>
            </w:r>
            <w:r w:rsidR="00F658A4" w:rsidRPr="00CF6DB0">
              <w:rPr>
                <w:rFonts w:ascii="Tw Cen MT" w:hAnsi="Tw Cen MT" w:cs="Arial"/>
                <w:sz w:val="22"/>
                <w:szCs w:val="22"/>
              </w:rPr>
              <w:t xml:space="preserve"> S/T and </w:t>
            </w:r>
            <w:r w:rsidRPr="00CF6DB0">
              <w:rPr>
                <w:rFonts w:ascii="Tw Cen MT" w:hAnsi="Tw Cen MT" w:cs="Arial"/>
                <w:sz w:val="22"/>
                <w:szCs w:val="22"/>
              </w:rPr>
              <w:t>59</w:t>
            </w:r>
            <w:r w:rsidR="00F658A4" w:rsidRPr="00CF6DB0">
              <w:rPr>
                <w:rFonts w:ascii="Tw Cen MT" w:hAnsi="Tw Cen MT" w:cs="Arial"/>
                <w:sz w:val="22"/>
                <w:szCs w:val="22"/>
              </w:rPr>
              <w:t xml:space="preserve"> Campus grantees</w:t>
            </w:r>
          </w:p>
        </w:tc>
        <w:tc>
          <w:tcPr>
            <w:tcW w:w="3145"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6EB28E4D" w14:textId="77777777" w:rsidR="00E94239" w:rsidRPr="00CF6DB0" w:rsidRDefault="003F5BF2" w:rsidP="007C6CE1">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left"/>
              <w:rPr>
                <w:rFonts w:ascii="Tw Cen MT" w:hAnsi="Tw Cen MT" w:cs="Arial"/>
                <w:sz w:val="22"/>
                <w:szCs w:val="22"/>
              </w:rPr>
            </w:pPr>
            <w:r w:rsidRPr="00CF6DB0">
              <w:rPr>
                <w:rFonts w:ascii="Tw Cen MT" w:hAnsi="Tw Cen MT" w:cs="Arial"/>
                <w:sz w:val="22"/>
                <w:szCs w:val="22"/>
              </w:rPr>
              <w:t>February 2016</w:t>
            </w:r>
            <w:r w:rsidR="00F658A4" w:rsidRPr="00CF6DB0">
              <w:rPr>
                <w:rFonts w:ascii="Tw Cen MT" w:hAnsi="Tw Cen MT" w:cs="Arial"/>
                <w:sz w:val="22"/>
                <w:szCs w:val="22"/>
              </w:rPr>
              <w:t xml:space="preserve"> </w:t>
            </w:r>
          </w:p>
          <w:p w14:paraId="3269AE6D" w14:textId="49E59CCA" w:rsidR="004D511D" w:rsidRPr="00CF6DB0" w:rsidRDefault="00E94239" w:rsidP="007C6CE1">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left"/>
              <w:rPr>
                <w:rFonts w:ascii="Tw Cen MT" w:hAnsi="Tw Cen MT"/>
                <w:sz w:val="22"/>
                <w:szCs w:val="22"/>
              </w:rPr>
            </w:pPr>
            <w:r w:rsidRPr="00CF6DB0">
              <w:rPr>
                <w:rFonts w:ascii="Tw Cen MT" w:hAnsi="Tw Cen MT" w:cs="Arial"/>
                <w:sz w:val="22"/>
                <w:szCs w:val="22"/>
              </w:rPr>
              <w:t>(</w:t>
            </w:r>
            <w:r w:rsidR="00F658A4" w:rsidRPr="00CF6DB0">
              <w:rPr>
                <w:rFonts w:ascii="Tw Cen MT" w:hAnsi="Tw Cen MT" w:cs="Arial"/>
                <w:sz w:val="22"/>
                <w:szCs w:val="22"/>
              </w:rPr>
              <w:t>1 month after</w:t>
            </w:r>
            <w:r w:rsidR="004D511D" w:rsidRPr="00CF6DB0">
              <w:rPr>
                <w:rFonts w:ascii="Tw Cen MT" w:hAnsi="Tw Cen MT" w:cs="Arial"/>
                <w:sz w:val="22"/>
                <w:szCs w:val="22"/>
              </w:rPr>
              <w:t xml:space="preserve"> OMB </w:t>
            </w:r>
            <w:r w:rsidRPr="00CF6DB0">
              <w:rPr>
                <w:rFonts w:ascii="Tw Cen MT" w:hAnsi="Tw Cen MT" w:cs="Arial"/>
                <w:sz w:val="22"/>
                <w:szCs w:val="22"/>
              </w:rPr>
              <w:t xml:space="preserve">clearance estimated for </w:t>
            </w:r>
            <w:r w:rsidR="003F5BF2" w:rsidRPr="00CF6DB0">
              <w:rPr>
                <w:rFonts w:ascii="Tw Cen MT" w:hAnsi="Tw Cen MT" w:cs="Arial"/>
                <w:sz w:val="22"/>
                <w:szCs w:val="22"/>
              </w:rPr>
              <w:t>January 2016</w:t>
            </w:r>
            <w:r w:rsidRPr="00CF6DB0">
              <w:rPr>
                <w:rFonts w:ascii="Tw Cen MT" w:hAnsi="Tw Cen MT" w:cs="Arial"/>
                <w:sz w:val="22"/>
                <w:szCs w:val="22"/>
              </w:rPr>
              <w:t>)</w:t>
            </w:r>
          </w:p>
        </w:tc>
      </w:tr>
      <w:tr w:rsidR="004D511D" w:rsidRPr="00CF6DB0" w14:paraId="7482C9B2" w14:textId="77777777" w:rsidTr="00CF6DB0">
        <w:trPr>
          <w:trHeight w:val="1088"/>
        </w:trPr>
        <w:tc>
          <w:tcPr>
            <w:tcW w:w="6205"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1386F8E1" w14:textId="52E5D7E7" w:rsidR="00F658A4" w:rsidRPr="00CF6DB0" w:rsidRDefault="004D511D" w:rsidP="007C6CE1">
            <w:pPr>
              <w:pStyle w:val="SuicideBodyText"/>
              <w:spacing w:after="60"/>
              <w:jc w:val="left"/>
              <w:rPr>
                <w:rFonts w:ascii="Tw Cen MT" w:hAnsi="Tw Cen MT" w:cs="Arial"/>
                <w:sz w:val="22"/>
                <w:szCs w:val="22"/>
              </w:rPr>
            </w:pPr>
            <w:r w:rsidRPr="00CF6DB0">
              <w:rPr>
                <w:rFonts w:ascii="Tw Cen MT" w:hAnsi="Tw Cen MT" w:cs="Arial"/>
                <w:sz w:val="22"/>
                <w:szCs w:val="22"/>
              </w:rPr>
              <w:t xml:space="preserve">Data collection completed for </w:t>
            </w:r>
            <w:r w:rsidR="00F658A4" w:rsidRPr="00CF6DB0">
              <w:rPr>
                <w:rFonts w:ascii="Tw Cen MT" w:hAnsi="Tw Cen MT" w:cs="Arial"/>
                <w:sz w:val="22"/>
                <w:szCs w:val="22"/>
              </w:rPr>
              <w:t>FY2013</w:t>
            </w:r>
            <w:r w:rsidR="007C6CE1" w:rsidRPr="00CF6DB0">
              <w:rPr>
                <w:rFonts w:ascii="Tw Cen MT" w:hAnsi="Tw Cen MT" w:cs="Arial"/>
                <w:sz w:val="22"/>
                <w:szCs w:val="22"/>
              </w:rPr>
              <w:t xml:space="preserve"> funded</w:t>
            </w:r>
            <w:r w:rsidR="00F658A4" w:rsidRPr="00CF6DB0">
              <w:rPr>
                <w:rFonts w:ascii="Tw Cen MT" w:hAnsi="Tw Cen MT" w:cs="Arial"/>
                <w:sz w:val="22"/>
                <w:szCs w:val="22"/>
              </w:rPr>
              <w:t xml:space="preserve"> grantees</w:t>
            </w:r>
          </w:p>
          <w:p w14:paraId="4F9222DF" w14:textId="77777777" w:rsidR="002D1531" w:rsidRPr="00CF6DB0" w:rsidRDefault="002D1531" w:rsidP="00616564">
            <w:pPr>
              <w:pStyle w:val="SuicideBodyText"/>
              <w:numPr>
                <w:ilvl w:val="0"/>
                <w:numId w:val="38"/>
              </w:numPr>
              <w:spacing w:after="60"/>
              <w:jc w:val="left"/>
              <w:rPr>
                <w:rFonts w:ascii="Tw Cen MT" w:hAnsi="Tw Cen MT" w:cs="Arial"/>
                <w:sz w:val="22"/>
                <w:szCs w:val="22"/>
              </w:rPr>
            </w:pPr>
            <w:r w:rsidRPr="00CF6DB0">
              <w:rPr>
                <w:rFonts w:ascii="Tw Cen MT" w:hAnsi="Tw Cen MT" w:cs="Arial"/>
                <w:sz w:val="22"/>
                <w:szCs w:val="22"/>
              </w:rPr>
              <w:t>S/T Cohort 8 and Campus Cohort 7 grantees close out</w:t>
            </w:r>
            <w:r w:rsidRPr="00CF6DB0">
              <w:rPr>
                <w:rFonts w:ascii="Tw Cen MT" w:hAnsi="Tw Cen MT" w:cs="Arial"/>
                <w:i/>
                <w:sz w:val="22"/>
                <w:szCs w:val="22"/>
              </w:rPr>
              <w:t xml:space="preserve"> </w:t>
            </w:r>
          </w:p>
          <w:p w14:paraId="3491BD56" w14:textId="02E363A9" w:rsidR="005059BD" w:rsidRPr="00CF6DB0" w:rsidRDefault="00616564" w:rsidP="002D1531">
            <w:pPr>
              <w:pStyle w:val="SuicideBodyText"/>
              <w:numPr>
                <w:ilvl w:val="0"/>
                <w:numId w:val="38"/>
              </w:numPr>
              <w:spacing w:after="60"/>
              <w:jc w:val="left"/>
              <w:rPr>
                <w:rFonts w:ascii="Tw Cen MT" w:hAnsi="Tw Cen MT" w:cs="Arial"/>
                <w:sz w:val="22"/>
                <w:szCs w:val="22"/>
              </w:rPr>
            </w:pPr>
            <w:r w:rsidRPr="00CF6DB0">
              <w:rPr>
                <w:rFonts w:ascii="Tw Cen MT" w:hAnsi="Tw Cen MT" w:cs="Arial"/>
                <w:sz w:val="22"/>
                <w:szCs w:val="22"/>
              </w:rPr>
              <w:t>Data collection requirements for the RNS, TUP-S Campus, and SMSS fulfilled</w:t>
            </w:r>
          </w:p>
        </w:tc>
        <w:tc>
          <w:tcPr>
            <w:tcW w:w="3145"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19873ED9" w14:textId="081CBBB2" w:rsidR="004D511D" w:rsidRPr="00CF6DB0" w:rsidRDefault="004D511D" w:rsidP="003F5BF2">
            <w:pPr>
              <w:pStyle w:val="SuicideBodyText"/>
              <w:jc w:val="left"/>
              <w:rPr>
                <w:rFonts w:ascii="Tw Cen MT" w:hAnsi="Tw Cen MT"/>
                <w:spacing w:val="-2"/>
                <w:sz w:val="22"/>
                <w:szCs w:val="22"/>
              </w:rPr>
            </w:pPr>
            <w:r w:rsidRPr="00CF6DB0">
              <w:rPr>
                <w:rFonts w:ascii="Tw Cen MT" w:hAnsi="Tw Cen MT" w:cs="Arial"/>
                <w:sz w:val="22"/>
                <w:szCs w:val="22"/>
              </w:rPr>
              <w:t xml:space="preserve">September </w:t>
            </w:r>
            <w:r w:rsidR="003F5BF2" w:rsidRPr="00CF6DB0">
              <w:rPr>
                <w:rFonts w:ascii="Tw Cen MT" w:hAnsi="Tw Cen MT" w:cs="Arial"/>
                <w:sz w:val="22"/>
                <w:szCs w:val="22"/>
              </w:rPr>
              <w:t>2016</w:t>
            </w:r>
          </w:p>
        </w:tc>
      </w:tr>
      <w:tr w:rsidR="00EC1892" w:rsidRPr="00CF6DB0" w14:paraId="2E25E2C7" w14:textId="77777777" w:rsidTr="007C6CE1">
        <w:trPr>
          <w:trHeight w:val="545"/>
        </w:trPr>
        <w:tc>
          <w:tcPr>
            <w:tcW w:w="6205"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52B997E4" w14:textId="77777777" w:rsidR="002D1531" w:rsidRPr="00CF6DB0" w:rsidRDefault="00EC1892" w:rsidP="002D1531">
            <w:pPr>
              <w:pStyle w:val="SuicideBodyText"/>
              <w:spacing w:after="60"/>
              <w:jc w:val="left"/>
              <w:rPr>
                <w:rFonts w:ascii="Tw Cen MT" w:hAnsi="Tw Cen MT"/>
                <w:sz w:val="22"/>
                <w:szCs w:val="22"/>
              </w:rPr>
            </w:pPr>
            <w:r w:rsidRPr="00CF6DB0">
              <w:rPr>
                <w:rFonts w:ascii="Tw Cen MT" w:hAnsi="Tw Cen MT"/>
                <w:sz w:val="22"/>
                <w:szCs w:val="22"/>
              </w:rPr>
              <w:t>New funding expected for 21 FY2016 grantees</w:t>
            </w:r>
            <w:r w:rsidR="002D1531" w:rsidRPr="00CF6DB0">
              <w:rPr>
                <w:rFonts w:ascii="Tw Cen MT" w:hAnsi="Tw Cen MT"/>
                <w:sz w:val="22"/>
                <w:szCs w:val="22"/>
              </w:rPr>
              <w:t xml:space="preserve"> </w:t>
            </w:r>
          </w:p>
          <w:p w14:paraId="17ED4F40" w14:textId="06D01A68" w:rsidR="002D1531" w:rsidRPr="00CF6DB0" w:rsidRDefault="002D1531" w:rsidP="002D1531">
            <w:pPr>
              <w:pStyle w:val="SuicideBodyText"/>
              <w:numPr>
                <w:ilvl w:val="0"/>
                <w:numId w:val="63"/>
              </w:numPr>
              <w:spacing w:after="60"/>
              <w:jc w:val="left"/>
              <w:rPr>
                <w:rFonts w:ascii="Tw Cen MT" w:hAnsi="Tw Cen MT"/>
                <w:sz w:val="22"/>
                <w:szCs w:val="22"/>
              </w:rPr>
            </w:pPr>
            <w:r w:rsidRPr="00CF6DB0">
              <w:rPr>
                <w:rFonts w:ascii="Tw Cen MT" w:hAnsi="Tw Cen MT"/>
                <w:sz w:val="22"/>
                <w:szCs w:val="22"/>
              </w:rPr>
              <w:t xml:space="preserve">Data collection begins for new Cohort 10 S/T grantees (4) and Cohort 9 Campus grantees (17)  </w:t>
            </w:r>
          </w:p>
        </w:tc>
        <w:tc>
          <w:tcPr>
            <w:tcW w:w="3145"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0605F8C9" w14:textId="3AA9DE8F" w:rsidR="00EC1892" w:rsidRPr="00CF6DB0" w:rsidRDefault="00EC1892" w:rsidP="003F5BF2">
            <w:pPr>
              <w:pStyle w:val="SuicideBodyText"/>
              <w:jc w:val="left"/>
              <w:rPr>
                <w:rFonts w:ascii="Tw Cen MT" w:hAnsi="Tw Cen MT" w:cs="Arial"/>
                <w:sz w:val="22"/>
                <w:szCs w:val="22"/>
              </w:rPr>
            </w:pPr>
            <w:r w:rsidRPr="00CF6DB0">
              <w:rPr>
                <w:rFonts w:ascii="Tw Cen MT" w:hAnsi="Tw Cen MT" w:cs="Arial"/>
                <w:sz w:val="22"/>
                <w:szCs w:val="22"/>
              </w:rPr>
              <w:t>October 2016</w:t>
            </w:r>
          </w:p>
        </w:tc>
      </w:tr>
      <w:tr w:rsidR="004D511D" w:rsidRPr="00CF6DB0" w14:paraId="777E4AA1" w14:textId="77777777" w:rsidTr="007C6CE1">
        <w:trPr>
          <w:trHeight w:val="545"/>
        </w:trPr>
        <w:tc>
          <w:tcPr>
            <w:tcW w:w="6205"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29D58EDA" w14:textId="56989E5F" w:rsidR="00F658A4" w:rsidRPr="00CF6DB0" w:rsidRDefault="004D511D" w:rsidP="007C6CE1">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left"/>
              <w:rPr>
                <w:rFonts w:ascii="Tw Cen MT" w:hAnsi="Tw Cen MT" w:cs="Arial"/>
                <w:sz w:val="22"/>
                <w:szCs w:val="22"/>
              </w:rPr>
            </w:pPr>
            <w:r w:rsidRPr="00CF6DB0">
              <w:rPr>
                <w:rFonts w:ascii="Tw Cen MT" w:hAnsi="Tw Cen MT" w:cs="Arial"/>
                <w:sz w:val="22"/>
                <w:szCs w:val="22"/>
              </w:rPr>
              <w:t>Data collection completed for FY201</w:t>
            </w:r>
            <w:r w:rsidR="003F5BF2" w:rsidRPr="00CF6DB0">
              <w:rPr>
                <w:rFonts w:ascii="Tw Cen MT" w:hAnsi="Tw Cen MT" w:cs="Arial"/>
                <w:sz w:val="22"/>
                <w:szCs w:val="22"/>
              </w:rPr>
              <w:t>4</w:t>
            </w:r>
            <w:r w:rsidR="002049A6" w:rsidRPr="00CF6DB0">
              <w:rPr>
                <w:rFonts w:ascii="Tw Cen MT" w:hAnsi="Tw Cen MT" w:cs="Arial"/>
                <w:sz w:val="22"/>
                <w:szCs w:val="22"/>
              </w:rPr>
              <w:t xml:space="preserve"> </w:t>
            </w:r>
            <w:r w:rsidR="007C6CE1" w:rsidRPr="00CF6DB0">
              <w:rPr>
                <w:rFonts w:ascii="Tw Cen MT" w:hAnsi="Tw Cen MT" w:cs="Arial"/>
                <w:sz w:val="22"/>
                <w:szCs w:val="22"/>
              </w:rPr>
              <w:t xml:space="preserve">funded </w:t>
            </w:r>
            <w:r w:rsidR="002049A6" w:rsidRPr="00CF6DB0">
              <w:rPr>
                <w:rFonts w:ascii="Tw Cen MT" w:hAnsi="Tw Cen MT" w:cs="Arial"/>
                <w:sz w:val="22"/>
                <w:szCs w:val="22"/>
              </w:rPr>
              <w:t>grantees</w:t>
            </w:r>
          </w:p>
          <w:p w14:paraId="2CA00DB0" w14:textId="5C3285BC" w:rsidR="004D511D" w:rsidRPr="00CF6DB0" w:rsidRDefault="003F5BF2" w:rsidP="002D1531">
            <w:pPr>
              <w:numPr>
                <w:ilvl w:val="0"/>
                <w:numId w:val="39"/>
              </w:num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left"/>
              <w:rPr>
                <w:rFonts w:ascii="Tw Cen MT" w:hAnsi="Tw Cen MT" w:cs="Arial"/>
                <w:i/>
                <w:sz w:val="22"/>
                <w:szCs w:val="22"/>
              </w:rPr>
            </w:pPr>
            <w:r w:rsidRPr="00CF6DB0">
              <w:rPr>
                <w:rFonts w:ascii="Tw Cen MT" w:hAnsi="Tw Cen MT" w:cs="Arial"/>
                <w:sz w:val="22"/>
                <w:szCs w:val="22"/>
              </w:rPr>
              <w:t>S/T Cohort 9 and Campus Cohort 8</w:t>
            </w:r>
            <w:r w:rsidR="007C6CE1" w:rsidRPr="00CF6DB0">
              <w:rPr>
                <w:rFonts w:ascii="Tw Cen MT" w:hAnsi="Tw Cen MT" w:cs="Arial"/>
                <w:sz w:val="22"/>
                <w:szCs w:val="22"/>
              </w:rPr>
              <w:t xml:space="preserve"> grantees close out</w:t>
            </w:r>
          </w:p>
        </w:tc>
        <w:tc>
          <w:tcPr>
            <w:tcW w:w="3145"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237C6D6A" w14:textId="71116AF9" w:rsidR="004D511D" w:rsidRPr="00CF6DB0" w:rsidRDefault="004D511D" w:rsidP="003F5BF2">
            <w:pPr>
              <w:pStyle w:val="SuicideBodyText"/>
              <w:jc w:val="left"/>
              <w:rPr>
                <w:rFonts w:ascii="Tw Cen MT" w:hAnsi="Tw Cen MT"/>
                <w:spacing w:val="-2"/>
                <w:sz w:val="22"/>
                <w:szCs w:val="22"/>
              </w:rPr>
            </w:pPr>
            <w:r w:rsidRPr="00CF6DB0">
              <w:rPr>
                <w:rFonts w:ascii="Tw Cen MT" w:hAnsi="Tw Cen MT" w:cs="Arial"/>
                <w:sz w:val="22"/>
                <w:szCs w:val="22"/>
              </w:rPr>
              <w:t xml:space="preserve">September </w:t>
            </w:r>
            <w:r w:rsidR="003F5BF2" w:rsidRPr="00CF6DB0">
              <w:rPr>
                <w:rFonts w:ascii="Tw Cen MT" w:hAnsi="Tw Cen MT" w:cs="Arial"/>
                <w:sz w:val="22"/>
                <w:szCs w:val="22"/>
              </w:rPr>
              <w:t>2017</w:t>
            </w:r>
          </w:p>
        </w:tc>
      </w:tr>
      <w:tr w:rsidR="002D1531" w:rsidRPr="00CF6DB0" w14:paraId="5FCCFED7" w14:textId="77777777" w:rsidTr="007C6CE1">
        <w:trPr>
          <w:trHeight w:val="545"/>
        </w:trPr>
        <w:tc>
          <w:tcPr>
            <w:tcW w:w="6205"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0F2DD1B1" w14:textId="4528AA8A" w:rsidR="002D1531" w:rsidRPr="00CF6DB0" w:rsidRDefault="002D1531" w:rsidP="002D1531">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left"/>
              <w:rPr>
                <w:rFonts w:ascii="Tw Cen MT" w:hAnsi="Tw Cen MT"/>
                <w:sz w:val="22"/>
                <w:szCs w:val="22"/>
              </w:rPr>
            </w:pPr>
            <w:r w:rsidRPr="00CF6DB0">
              <w:rPr>
                <w:rFonts w:ascii="Tw Cen MT" w:hAnsi="Tw Cen MT"/>
                <w:sz w:val="22"/>
                <w:szCs w:val="22"/>
              </w:rPr>
              <w:t xml:space="preserve">New funding expected for 15 FY 2017 Campus grantees </w:t>
            </w:r>
          </w:p>
          <w:p w14:paraId="0604B7AA" w14:textId="4FFF57A4" w:rsidR="002D1531" w:rsidRPr="00CF6DB0" w:rsidRDefault="002D1531" w:rsidP="002D1531">
            <w:pPr>
              <w:numPr>
                <w:ilvl w:val="0"/>
                <w:numId w:val="39"/>
              </w:num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left"/>
              <w:rPr>
                <w:rFonts w:ascii="Tw Cen MT" w:hAnsi="Tw Cen MT" w:cs="Arial"/>
                <w:sz w:val="22"/>
                <w:szCs w:val="22"/>
              </w:rPr>
            </w:pPr>
            <w:r w:rsidRPr="00CF6DB0">
              <w:rPr>
                <w:rFonts w:ascii="Tw Cen MT" w:hAnsi="Tw Cen MT"/>
                <w:sz w:val="22"/>
                <w:szCs w:val="22"/>
              </w:rPr>
              <w:t xml:space="preserve">Data collection begins for new Cohort 11 Campus grantees (15)    </w:t>
            </w:r>
          </w:p>
        </w:tc>
        <w:tc>
          <w:tcPr>
            <w:tcW w:w="3145"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7E06A3F6" w14:textId="11D203ED" w:rsidR="002D1531" w:rsidRPr="00CF6DB0" w:rsidRDefault="002D1531" w:rsidP="003F5BF2">
            <w:pPr>
              <w:pStyle w:val="SuicideBodyText"/>
              <w:jc w:val="left"/>
              <w:rPr>
                <w:rFonts w:ascii="Tw Cen MT" w:hAnsi="Tw Cen MT" w:cs="Arial"/>
                <w:sz w:val="22"/>
                <w:szCs w:val="22"/>
              </w:rPr>
            </w:pPr>
            <w:r w:rsidRPr="00CF6DB0">
              <w:rPr>
                <w:rFonts w:ascii="Tw Cen MT" w:hAnsi="Tw Cen MT" w:cs="Arial"/>
                <w:sz w:val="22"/>
                <w:szCs w:val="22"/>
              </w:rPr>
              <w:t>October 2017</w:t>
            </w:r>
          </w:p>
        </w:tc>
      </w:tr>
      <w:tr w:rsidR="003F5BF2" w:rsidRPr="00CF6DB0" w14:paraId="4F7585B5" w14:textId="77777777" w:rsidTr="007C6CE1">
        <w:trPr>
          <w:trHeight w:val="651"/>
        </w:trPr>
        <w:tc>
          <w:tcPr>
            <w:tcW w:w="6205"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354DED7D" w14:textId="5167F546" w:rsidR="003F5BF2" w:rsidRPr="00CF6DB0" w:rsidRDefault="003F5BF2" w:rsidP="007C6CE1">
            <w:pPr>
              <w:pStyle w:val="SuicideBodyText"/>
              <w:spacing w:after="60"/>
              <w:jc w:val="left"/>
              <w:rPr>
                <w:rFonts w:ascii="Tw Cen MT" w:hAnsi="Tw Cen MT" w:cs="Arial"/>
                <w:sz w:val="22"/>
                <w:szCs w:val="22"/>
              </w:rPr>
            </w:pPr>
            <w:r w:rsidRPr="00CF6DB0">
              <w:rPr>
                <w:rFonts w:ascii="Tw Cen MT" w:hAnsi="Tw Cen MT" w:cs="Arial"/>
                <w:sz w:val="22"/>
                <w:szCs w:val="22"/>
              </w:rPr>
              <w:t xml:space="preserve">Data collection completed for </w:t>
            </w:r>
            <w:r w:rsidR="002049A6" w:rsidRPr="00CF6DB0">
              <w:rPr>
                <w:rFonts w:ascii="Tw Cen MT" w:hAnsi="Tw Cen MT" w:cs="Arial"/>
                <w:sz w:val="22"/>
                <w:szCs w:val="22"/>
              </w:rPr>
              <w:t xml:space="preserve">FY2015 </w:t>
            </w:r>
            <w:r w:rsidR="002D2560" w:rsidRPr="00CF6DB0">
              <w:rPr>
                <w:rFonts w:ascii="Tw Cen MT" w:hAnsi="Tw Cen MT" w:cs="Arial"/>
                <w:sz w:val="22"/>
                <w:szCs w:val="22"/>
              </w:rPr>
              <w:t>funded</w:t>
            </w:r>
            <w:r w:rsidRPr="00CF6DB0">
              <w:rPr>
                <w:rFonts w:ascii="Tw Cen MT" w:hAnsi="Tw Cen MT" w:cs="Arial"/>
                <w:sz w:val="22"/>
                <w:szCs w:val="22"/>
              </w:rPr>
              <w:t xml:space="preserve"> grantees </w:t>
            </w:r>
          </w:p>
          <w:p w14:paraId="250CE101" w14:textId="1DE90D71" w:rsidR="00F658A4" w:rsidRPr="00CF6DB0" w:rsidRDefault="003F5BF2" w:rsidP="003536EA">
            <w:pPr>
              <w:pStyle w:val="SuicideBodyText"/>
              <w:numPr>
                <w:ilvl w:val="0"/>
                <w:numId w:val="40"/>
              </w:numPr>
              <w:spacing w:after="60"/>
              <w:jc w:val="left"/>
              <w:rPr>
                <w:rFonts w:ascii="Tw Cen MT" w:hAnsi="Tw Cen MT" w:cs="Arial"/>
                <w:sz w:val="22"/>
                <w:szCs w:val="22"/>
              </w:rPr>
            </w:pPr>
            <w:r w:rsidRPr="00CF6DB0">
              <w:rPr>
                <w:rFonts w:ascii="Tw Cen MT" w:hAnsi="Tw Cen MT" w:cs="Arial"/>
                <w:sz w:val="22"/>
                <w:szCs w:val="22"/>
              </w:rPr>
              <w:t xml:space="preserve">Campus Cohort 9 </w:t>
            </w:r>
            <w:r w:rsidR="007C6CE1" w:rsidRPr="00CF6DB0">
              <w:rPr>
                <w:rFonts w:ascii="Tw Cen MT" w:hAnsi="Tw Cen MT" w:cs="Arial"/>
                <w:sz w:val="22"/>
                <w:szCs w:val="22"/>
              </w:rPr>
              <w:t>grantees close out</w:t>
            </w:r>
          </w:p>
        </w:tc>
        <w:tc>
          <w:tcPr>
            <w:tcW w:w="3145" w:type="dxa"/>
            <w:tcBorders>
              <w:top w:val="single" w:sz="4" w:space="0" w:color="auto"/>
              <w:left w:val="single" w:sz="4" w:space="0" w:color="auto"/>
              <w:bottom w:val="single" w:sz="4" w:space="0" w:color="auto"/>
              <w:right w:val="single" w:sz="4" w:space="0" w:color="auto"/>
            </w:tcBorders>
            <w:tcMar>
              <w:left w:w="115" w:type="dxa"/>
              <w:bottom w:w="43" w:type="dxa"/>
              <w:right w:w="115" w:type="dxa"/>
            </w:tcMar>
            <w:vAlign w:val="center"/>
          </w:tcPr>
          <w:p w14:paraId="7A209809" w14:textId="39E014F2" w:rsidR="003F5BF2" w:rsidRPr="00CF6DB0" w:rsidRDefault="00F658A4" w:rsidP="003F5BF2">
            <w:pPr>
              <w:pStyle w:val="SuicideBodyText"/>
              <w:tabs>
                <w:tab w:val="left" w:pos="4410"/>
              </w:tabs>
              <w:jc w:val="left"/>
              <w:rPr>
                <w:rFonts w:ascii="Tw Cen MT" w:hAnsi="Tw Cen MT" w:cs="Arial"/>
                <w:sz w:val="22"/>
                <w:szCs w:val="22"/>
              </w:rPr>
            </w:pPr>
            <w:r w:rsidRPr="00CF6DB0">
              <w:rPr>
                <w:rFonts w:ascii="Tw Cen MT" w:hAnsi="Tw Cen MT" w:cs="Arial"/>
                <w:sz w:val="22"/>
                <w:szCs w:val="22"/>
              </w:rPr>
              <w:t>September 2018</w:t>
            </w:r>
          </w:p>
        </w:tc>
      </w:tr>
    </w:tbl>
    <w:p w14:paraId="3DB8CE5E" w14:textId="657075FB" w:rsidR="007D1703" w:rsidRPr="00B603E8" w:rsidRDefault="007D1703" w:rsidP="001E50ED">
      <w:pPr>
        <w:pStyle w:val="SuicideBodyText"/>
        <w:keepNext/>
        <w:numPr>
          <w:ilvl w:val="0"/>
          <w:numId w:val="44"/>
        </w:numPr>
        <w:spacing w:before="240" w:after="120"/>
        <w:rPr>
          <w:rFonts w:ascii="Tw Cen MT" w:hAnsi="Tw Cen MT" w:cs="Arial"/>
          <w:b/>
          <w:sz w:val="28"/>
          <w:szCs w:val="28"/>
        </w:rPr>
      </w:pPr>
      <w:r w:rsidRPr="00B603E8">
        <w:rPr>
          <w:rFonts w:ascii="Tw Cen MT" w:hAnsi="Tw Cen MT" w:cs="Arial"/>
          <w:b/>
          <w:sz w:val="28"/>
          <w:szCs w:val="28"/>
        </w:rPr>
        <w:t>Publication Plans</w:t>
      </w:r>
    </w:p>
    <w:p w14:paraId="0AB252E0" w14:textId="79CF4EC5" w:rsidR="00A706F0" w:rsidRPr="00B603E8" w:rsidRDefault="001F0210" w:rsidP="00045A50">
      <w:pPr>
        <w:pStyle w:val="SuicideBodyText"/>
        <w:spacing w:after="200"/>
      </w:pPr>
      <w:r w:rsidRPr="00B603E8">
        <w:t xml:space="preserve">The GLSMA requires annual </w:t>
      </w:r>
      <w:r w:rsidR="00A706F0" w:rsidRPr="00B603E8">
        <w:t xml:space="preserve">congressional </w:t>
      </w:r>
      <w:r w:rsidRPr="00B603E8">
        <w:t xml:space="preserve">reports summarizing the results of NOE. The evaluation team will analyze data collected and prepare </w:t>
      </w:r>
      <w:r w:rsidR="00A706F0" w:rsidRPr="00B603E8">
        <w:t>annual congressional</w:t>
      </w:r>
      <w:r w:rsidRPr="00B603E8">
        <w:t xml:space="preserve"> reports to summarize key findings. A final report on the results of the NOE is also required by the GLSMA, and will be produced by the evaluation team. Because of the importance of the NOE to the field of suicide prevention, in collaboration with SAMHSA and the Government project officer, the results of the evaluation </w:t>
      </w:r>
      <w:r w:rsidR="00A706F0" w:rsidRPr="00B603E8">
        <w:t xml:space="preserve">also </w:t>
      </w:r>
      <w:r w:rsidRPr="00B603E8">
        <w:t xml:space="preserve">will be published in relevant professional journals to inform the research community as well as the decision making of policymakers and program administrators. </w:t>
      </w:r>
    </w:p>
    <w:p w14:paraId="771AB403" w14:textId="4970DF25" w:rsidR="00D649AF" w:rsidRPr="00B603E8" w:rsidRDefault="00A706F0" w:rsidP="00045A50">
      <w:pPr>
        <w:pStyle w:val="SuicideBodyText"/>
        <w:spacing w:after="200"/>
      </w:pPr>
      <w:r w:rsidRPr="00B603E8">
        <w:t xml:space="preserve">ICF will develop a minimum of one GLS-focused article for submission to peer-reviewed journals for each year of the contract. An outline and or draft for each manuscript will be submitted to the COR for review and feedback on the structure and content and the potential peer-reviewed journals for submission. Potential manuscript topics that will be explored across the contract will include findings related to priority areas, such unintended consequences of GLS Suicide Prevention Programs. </w:t>
      </w:r>
      <w:r w:rsidR="00D649AF" w:rsidRPr="00B603E8">
        <w:t xml:space="preserve">In FY 2015, the publications will likely focus on findings related to understanding the reduction in suicide mortality in </w:t>
      </w:r>
      <w:r w:rsidR="00A92A8C">
        <w:t>youth</w:t>
      </w:r>
      <w:r w:rsidR="00D649AF" w:rsidRPr="00B603E8">
        <w:t xml:space="preserve"> following implementation of school-based suicide prevention strategies and examining the anticipated impact of using longer gatekeeper trainings versus brief gatekeeper trainings. In addition, or for early Year 2, an article may be developed from the presentation on GLS Campus Program prevention and suicide risk behavior among students.</w:t>
      </w:r>
      <w:r w:rsidRPr="00B603E8">
        <w:t xml:space="preserve"> </w:t>
      </w:r>
    </w:p>
    <w:p w14:paraId="6D421E3D" w14:textId="5678C8F1" w:rsidR="001F0210" w:rsidRPr="00B603E8" w:rsidRDefault="001F0210" w:rsidP="00045A50">
      <w:pPr>
        <w:pStyle w:val="SuicideBodyText"/>
        <w:spacing w:after="200"/>
      </w:pPr>
      <w:r w:rsidRPr="00B603E8">
        <w:t>Potential manuscript topics that will be explored across the contract will include findings related to priority areas, such as unintended consequences of GLS Suicide Prevention Programs</w:t>
      </w:r>
      <w:r w:rsidRPr="00B603E8">
        <w:rPr>
          <w:color w:val="FF0000"/>
        </w:rPr>
        <w:t xml:space="preserve">. </w:t>
      </w:r>
      <w:r w:rsidRPr="00B603E8">
        <w:t xml:space="preserve">Manuscript topics may also be related to research questions and findings of the GLS National Outcomes Evaluation on training, continuity of care, and suicide safer environments. This may include the following topics: </w:t>
      </w:r>
    </w:p>
    <w:p w14:paraId="1C8F0C50" w14:textId="09431823" w:rsidR="001F0210" w:rsidRPr="00B603E8" w:rsidRDefault="001F0210" w:rsidP="00045A50">
      <w:pPr>
        <w:pStyle w:val="GLSBullet1"/>
        <w:numPr>
          <w:ilvl w:val="0"/>
          <w:numId w:val="37"/>
        </w:numPr>
      </w:pPr>
      <w:r w:rsidRPr="00B603E8">
        <w:t xml:space="preserve">Further examination of the impact of training and prevention strategies on potential reduction in suicide mortality and attempts in </w:t>
      </w:r>
      <w:r w:rsidR="00A92A8C">
        <w:t>youth</w:t>
      </w:r>
      <w:r w:rsidRPr="00B603E8">
        <w:t xml:space="preserve"> </w:t>
      </w:r>
    </w:p>
    <w:p w14:paraId="36D8202C" w14:textId="77777777" w:rsidR="001F0210" w:rsidRPr="00B603E8" w:rsidRDefault="001F0210" w:rsidP="00045A50">
      <w:pPr>
        <w:pStyle w:val="GLSBullet1"/>
        <w:numPr>
          <w:ilvl w:val="0"/>
          <w:numId w:val="37"/>
        </w:numPr>
      </w:pPr>
      <w:r w:rsidRPr="00B603E8">
        <w:t>Understanding the anticipated impact of incorporating behavioral rehearsal in every brief gatekeeper training and/or booster intervention on trainee identification behaviors</w:t>
      </w:r>
    </w:p>
    <w:p w14:paraId="1C56F9EC" w14:textId="77777777" w:rsidR="001F0210" w:rsidRPr="00B603E8" w:rsidRDefault="001F0210" w:rsidP="00045A50">
      <w:pPr>
        <w:pStyle w:val="GLSBullet1"/>
        <w:numPr>
          <w:ilvl w:val="0"/>
          <w:numId w:val="37"/>
        </w:numPr>
      </w:pPr>
      <w:r w:rsidRPr="00B603E8">
        <w:t>Understanding the anticipated impact of implementing Zero Suicide in mental health organizations</w:t>
      </w:r>
    </w:p>
    <w:p w14:paraId="4FBEA694" w14:textId="77777777" w:rsidR="001F0210" w:rsidRPr="00B603E8" w:rsidRDefault="001F0210" w:rsidP="00045A50">
      <w:pPr>
        <w:pStyle w:val="GLSBullet1"/>
        <w:numPr>
          <w:ilvl w:val="0"/>
          <w:numId w:val="37"/>
        </w:numPr>
        <w:spacing w:after="200"/>
      </w:pPr>
      <w:r w:rsidRPr="00B603E8">
        <w:t>Further exploration of potential unintended consequences of youth suicide prevention (e.g., number of adults served, dissemination of prevention information among trainee personal/professional networks)</w:t>
      </w:r>
    </w:p>
    <w:p w14:paraId="473C47BC" w14:textId="2E000EC2" w:rsidR="007D1703" w:rsidRPr="00B603E8" w:rsidRDefault="007D1703" w:rsidP="00045A50">
      <w:pPr>
        <w:pStyle w:val="SuicideBodyText"/>
        <w:spacing w:after="200"/>
      </w:pPr>
      <w:r w:rsidRPr="00B603E8">
        <w:t>All publications will be submitted to the Contracting Office Representative (COR) in draft form for review and approval prior to submission to the selected journal.</w:t>
      </w:r>
      <w:r w:rsidR="001F0210" w:rsidRPr="00B603E8">
        <w:t xml:space="preserve"> </w:t>
      </w:r>
      <w:r w:rsidRPr="00B603E8">
        <w:t>Examples of journals that will be considered as vehicles for publication include the following:</w:t>
      </w:r>
    </w:p>
    <w:p w14:paraId="775CC03B" w14:textId="77777777" w:rsidR="007D1703" w:rsidRPr="00B603E8" w:rsidRDefault="007D1703" w:rsidP="00045A50">
      <w:pPr>
        <w:pStyle w:val="SuicideBullet1"/>
        <w:numPr>
          <w:ilvl w:val="0"/>
          <w:numId w:val="30"/>
        </w:numPr>
        <w:spacing w:after="60"/>
        <w:jc w:val="left"/>
      </w:pPr>
      <w:r w:rsidRPr="00B603E8">
        <w:t>American Journal of Public Health</w:t>
      </w:r>
    </w:p>
    <w:p w14:paraId="3C477EC3" w14:textId="77777777" w:rsidR="007D1703" w:rsidRPr="00B603E8" w:rsidRDefault="007D1703" w:rsidP="00045A50">
      <w:pPr>
        <w:pStyle w:val="SuicideBullet1"/>
        <w:numPr>
          <w:ilvl w:val="0"/>
          <w:numId w:val="30"/>
        </w:numPr>
        <w:spacing w:after="60"/>
        <w:jc w:val="left"/>
      </w:pPr>
      <w:r w:rsidRPr="00B603E8">
        <w:t>American Psychologist</w:t>
      </w:r>
    </w:p>
    <w:p w14:paraId="1DD6C4E6" w14:textId="77777777" w:rsidR="007D1703" w:rsidRPr="00B603E8" w:rsidRDefault="007D1703" w:rsidP="003536EA">
      <w:pPr>
        <w:pStyle w:val="SuicideBullet1"/>
        <w:numPr>
          <w:ilvl w:val="0"/>
          <w:numId w:val="30"/>
        </w:numPr>
        <w:spacing w:after="60"/>
        <w:jc w:val="left"/>
      </w:pPr>
      <w:r w:rsidRPr="00B603E8">
        <w:t>American Journal of Diseases of Children</w:t>
      </w:r>
    </w:p>
    <w:p w14:paraId="534C7F06" w14:textId="77777777" w:rsidR="007D1703" w:rsidRPr="00B603E8" w:rsidRDefault="007D1703" w:rsidP="003536EA">
      <w:pPr>
        <w:pStyle w:val="SuicideBullet1"/>
        <w:numPr>
          <w:ilvl w:val="0"/>
          <w:numId w:val="30"/>
        </w:numPr>
        <w:spacing w:after="60"/>
        <w:jc w:val="left"/>
      </w:pPr>
      <w:r w:rsidRPr="00B603E8">
        <w:t>Child Development</w:t>
      </w:r>
    </w:p>
    <w:p w14:paraId="38B1F05B" w14:textId="77777777" w:rsidR="007D1703" w:rsidRPr="00B603E8" w:rsidRDefault="007D1703" w:rsidP="003536EA">
      <w:pPr>
        <w:pStyle w:val="SuicideBullet1"/>
        <w:numPr>
          <w:ilvl w:val="0"/>
          <w:numId w:val="30"/>
        </w:numPr>
        <w:spacing w:after="60"/>
        <w:jc w:val="left"/>
      </w:pPr>
      <w:r w:rsidRPr="00B603E8">
        <w:t>Crisis</w:t>
      </w:r>
    </w:p>
    <w:p w14:paraId="1D5EB178" w14:textId="77777777" w:rsidR="007D1703" w:rsidRPr="00B603E8" w:rsidRDefault="007D1703" w:rsidP="003536EA">
      <w:pPr>
        <w:pStyle w:val="SuicideBullet1"/>
        <w:numPr>
          <w:ilvl w:val="0"/>
          <w:numId w:val="30"/>
        </w:numPr>
        <w:spacing w:after="60"/>
        <w:jc w:val="left"/>
      </w:pPr>
      <w:r w:rsidRPr="00B603E8">
        <w:t>Evaluation Review</w:t>
      </w:r>
    </w:p>
    <w:p w14:paraId="54CB1D56" w14:textId="77777777" w:rsidR="007D1703" w:rsidRPr="00B603E8" w:rsidRDefault="007D1703" w:rsidP="003536EA">
      <w:pPr>
        <w:pStyle w:val="SuicideBullet1"/>
        <w:numPr>
          <w:ilvl w:val="0"/>
          <w:numId w:val="30"/>
        </w:numPr>
        <w:spacing w:after="60"/>
        <w:jc w:val="left"/>
      </w:pPr>
      <w:r w:rsidRPr="00B603E8">
        <w:t>Evaluation Quarterly</w:t>
      </w:r>
    </w:p>
    <w:p w14:paraId="0F3156CB" w14:textId="77777777" w:rsidR="007D1703" w:rsidRPr="00B603E8" w:rsidRDefault="007D1703" w:rsidP="003536EA">
      <w:pPr>
        <w:pStyle w:val="SuicideBullet1"/>
        <w:numPr>
          <w:ilvl w:val="0"/>
          <w:numId w:val="30"/>
        </w:numPr>
        <w:spacing w:after="60"/>
        <w:jc w:val="left"/>
      </w:pPr>
      <w:r w:rsidRPr="00B603E8">
        <w:t>Journal of the American Academy of Child and Adolescent Psychology</w:t>
      </w:r>
    </w:p>
    <w:p w14:paraId="72DB6875" w14:textId="77777777" w:rsidR="007D1703" w:rsidRPr="00B603E8" w:rsidRDefault="007D1703" w:rsidP="003536EA">
      <w:pPr>
        <w:pStyle w:val="SuicideBullet1"/>
        <w:numPr>
          <w:ilvl w:val="0"/>
          <w:numId w:val="30"/>
        </w:numPr>
        <w:spacing w:after="60"/>
        <w:jc w:val="left"/>
      </w:pPr>
      <w:r w:rsidRPr="00B603E8">
        <w:t>Journal of Applied Development Psychology</w:t>
      </w:r>
    </w:p>
    <w:p w14:paraId="664351FA" w14:textId="77777777" w:rsidR="007D1703" w:rsidRPr="00B603E8" w:rsidRDefault="007D1703" w:rsidP="003536EA">
      <w:pPr>
        <w:pStyle w:val="SuicideBullet1"/>
        <w:numPr>
          <w:ilvl w:val="0"/>
          <w:numId w:val="30"/>
        </w:numPr>
        <w:spacing w:after="60"/>
        <w:jc w:val="left"/>
      </w:pPr>
      <w:r w:rsidRPr="00B603E8">
        <w:t>Journal of Child and Family Studies</w:t>
      </w:r>
    </w:p>
    <w:p w14:paraId="3FACDF3A" w14:textId="77777777" w:rsidR="007D1703" w:rsidRPr="00B603E8" w:rsidRDefault="007D1703" w:rsidP="003536EA">
      <w:pPr>
        <w:pStyle w:val="SuicideBullet1"/>
        <w:numPr>
          <w:ilvl w:val="0"/>
          <w:numId w:val="30"/>
        </w:numPr>
        <w:spacing w:after="60"/>
        <w:jc w:val="left"/>
      </w:pPr>
      <w:r w:rsidRPr="00B603E8">
        <w:t>Journal of Clinical Child and Adolescent Psychology</w:t>
      </w:r>
    </w:p>
    <w:p w14:paraId="65FC9420" w14:textId="77777777" w:rsidR="007D1703" w:rsidRPr="00B603E8" w:rsidRDefault="007D1703" w:rsidP="003536EA">
      <w:pPr>
        <w:pStyle w:val="SuicideBullet1"/>
        <w:numPr>
          <w:ilvl w:val="0"/>
          <w:numId w:val="30"/>
        </w:numPr>
        <w:spacing w:after="60"/>
        <w:jc w:val="left"/>
      </w:pPr>
      <w:r w:rsidRPr="00B603E8">
        <w:t>Journal of Consulting and Clinical Psychology</w:t>
      </w:r>
    </w:p>
    <w:p w14:paraId="25CB8A96" w14:textId="77777777" w:rsidR="007D1703" w:rsidRPr="00B603E8" w:rsidRDefault="007D1703" w:rsidP="003536EA">
      <w:pPr>
        <w:pStyle w:val="SuicideBullet1"/>
        <w:numPr>
          <w:ilvl w:val="0"/>
          <w:numId w:val="30"/>
        </w:numPr>
        <w:spacing w:after="60"/>
        <w:jc w:val="left"/>
      </w:pPr>
      <w:r w:rsidRPr="00B603E8">
        <w:t>Journal of Health and Social Behavior</w:t>
      </w:r>
    </w:p>
    <w:p w14:paraId="0C9052BE" w14:textId="77777777" w:rsidR="007D1703" w:rsidRPr="00B603E8" w:rsidRDefault="007D1703" w:rsidP="003536EA">
      <w:pPr>
        <w:pStyle w:val="SuicideBullet1"/>
        <w:numPr>
          <w:ilvl w:val="0"/>
          <w:numId w:val="30"/>
        </w:numPr>
        <w:spacing w:after="60"/>
        <w:jc w:val="left"/>
      </w:pPr>
      <w:r w:rsidRPr="00B603E8">
        <w:t>Journal of Mental Health Administration</w:t>
      </w:r>
    </w:p>
    <w:p w14:paraId="17C309FC" w14:textId="77777777" w:rsidR="007D1703" w:rsidRPr="00B603E8" w:rsidRDefault="007D1703" w:rsidP="003536EA">
      <w:pPr>
        <w:pStyle w:val="SuicideBullet1"/>
        <w:numPr>
          <w:ilvl w:val="0"/>
          <w:numId w:val="30"/>
        </w:numPr>
        <w:spacing w:after="60"/>
        <w:jc w:val="left"/>
      </w:pPr>
      <w:r w:rsidRPr="00B603E8">
        <w:t>Psychological Reports</w:t>
      </w:r>
    </w:p>
    <w:p w14:paraId="3062BC8C" w14:textId="77777777" w:rsidR="007D1703" w:rsidRPr="00B603E8" w:rsidRDefault="007D1703" w:rsidP="003536EA">
      <w:pPr>
        <w:pStyle w:val="SuicideBullet1"/>
        <w:numPr>
          <w:ilvl w:val="0"/>
          <w:numId w:val="30"/>
        </w:numPr>
        <w:spacing w:after="60"/>
        <w:jc w:val="left"/>
      </w:pPr>
      <w:r w:rsidRPr="00B603E8">
        <w:t>Social Services Review</w:t>
      </w:r>
    </w:p>
    <w:p w14:paraId="62201211" w14:textId="56E822F2" w:rsidR="007D1703" w:rsidRPr="00B603E8" w:rsidRDefault="007D1703" w:rsidP="00966D74">
      <w:pPr>
        <w:pStyle w:val="SuicideBodyText"/>
        <w:numPr>
          <w:ilvl w:val="0"/>
          <w:numId w:val="30"/>
        </w:numPr>
        <w:spacing w:after="200"/>
        <w:rPr>
          <w:rFonts w:ascii="Arial" w:hAnsi="Arial" w:cs="Arial"/>
          <w:b/>
        </w:rPr>
      </w:pPr>
      <w:r w:rsidRPr="00B603E8">
        <w:t>Suicide and Life Threatening Behavior</w:t>
      </w:r>
    </w:p>
    <w:p w14:paraId="0CDE9E7D" w14:textId="70F06D64" w:rsidR="007D1703" w:rsidRPr="00B603E8" w:rsidRDefault="007D1703" w:rsidP="00CB1EDA">
      <w:pPr>
        <w:pStyle w:val="SuicideBodyText"/>
        <w:keepNext/>
        <w:numPr>
          <w:ilvl w:val="0"/>
          <w:numId w:val="44"/>
        </w:numPr>
        <w:spacing w:before="240" w:after="120"/>
        <w:rPr>
          <w:rFonts w:ascii="Tw Cen MT" w:hAnsi="Tw Cen MT" w:cs="Arial"/>
          <w:b/>
          <w:sz w:val="28"/>
          <w:szCs w:val="28"/>
        </w:rPr>
      </w:pPr>
      <w:r w:rsidRPr="00B603E8">
        <w:rPr>
          <w:rFonts w:ascii="Tw Cen MT" w:hAnsi="Tw Cen MT" w:cs="Arial"/>
          <w:b/>
          <w:sz w:val="28"/>
          <w:szCs w:val="28"/>
        </w:rPr>
        <w:t>Data Analysis Plan</w:t>
      </w:r>
    </w:p>
    <w:p w14:paraId="77430766" w14:textId="1E30ECFF" w:rsidR="006F36B9" w:rsidRPr="00B603E8" w:rsidRDefault="00D5605E" w:rsidP="00045A50">
      <w:pPr>
        <w:pStyle w:val="GLSH4"/>
        <w:spacing w:after="200"/>
        <w:jc w:val="both"/>
        <w:rPr>
          <w:rFonts w:ascii="Times New Roman" w:hAnsi="Times New Roman" w:cs="Times New Roman"/>
          <w:b w:val="0"/>
          <w:color w:val="auto"/>
          <w:sz w:val="24"/>
          <w:u w:val="none"/>
        </w:rPr>
      </w:pPr>
      <w:r w:rsidRPr="00B603E8">
        <w:rPr>
          <w:rFonts w:ascii="Times New Roman" w:hAnsi="Times New Roman" w:cs="Times New Roman"/>
          <w:b w:val="0"/>
          <w:color w:val="auto"/>
          <w:sz w:val="24"/>
          <w:u w:val="none"/>
        </w:rPr>
        <w:t xml:space="preserve">Data collected through the </w:t>
      </w:r>
      <w:r w:rsidR="00F966F4">
        <w:rPr>
          <w:rFonts w:ascii="Times New Roman" w:hAnsi="Times New Roman" w:cs="Times New Roman"/>
          <w:b w:val="0"/>
          <w:color w:val="auto"/>
          <w:sz w:val="24"/>
          <w:u w:val="none"/>
        </w:rPr>
        <w:t xml:space="preserve">three </w:t>
      </w:r>
      <w:r w:rsidRPr="00B603E8">
        <w:rPr>
          <w:rFonts w:ascii="Times New Roman" w:hAnsi="Times New Roman" w:cs="Times New Roman"/>
          <w:b w:val="0"/>
          <w:color w:val="auto"/>
          <w:sz w:val="24"/>
          <w:u w:val="none"/>
        </w:rPr>
        <w:t>NOE</w:t>
      </w:r>
      <w:r w:rsidR="00F966F4">
        <w:rPr>
          <w:rFonts w:ascii="Times New Roman" w:hAnsi="Times New Roman" w:cs="Times New Roman"/>
          <w:b w:val="0"/>
          <w:color w:val="auto"/>
          <w:sz w:val="24"/>
          <w:u w:val="none"/>
        </w:rPr>
        <w:t xml:space="preserve"> </w:t>
      </w:r>
      <w:r w:rsidRPr="00B603E8">
        <w:rPr>
          <w:rFonts w:ascii="Times New Roman" w:hAnsi="Times New Roman" w:cs="Times New Roman"/>
          <w:b w:val="0"/>
          <w:color w:val="auto"/>
          <w:sz w:val="24"/>
          <w:u w:val="none"/>
        </w:rPr>
        <w:t xml:space="preserve">studies will be analyzed to address key evaluation </w:t>
      </w:r>
      <w:r w:rsidR="00757925" w:rsidRPr="00B603E8">
        <w:rPr>
          <w:rFonts w:ascii="Times New Roman" w:hAnsi="Times New Roman" w:cs="Times New Roman"/>
          <w:b w:val="0"/>
          <w:color w:val="auto"/>
          <w:sz w:val="24"/>
          <w:u w:val="none"/>
        </w:rPr>
        <w:t>q</w:t>
      </w:r>
      <w:r w:rsidRPr="00B603E8">
        <w:rPr>
          <w:rFonts w:ascii="Times New Roman" w:hAnsi="Times New Roman" w:cs="Times New Roman"/>
          <w:b w:val="0"/>
          <w:color w:val="auto"/>
          <w:sz w:val="24"/>
          <w:u w:val="none"/>
        </w:rPr>
        <w:t xml:space="preserve">uestions and related </w:t>
      </w:r>
      <w:proofErr w:type="spellStart"/>
      <w:r w:rsidRPr="00B603E8">
        <w:rPr>
          <w:rFonts w:ascii="Times New Roman" w:hAnsi="Times New Roman" w:cs="Times New Roman"/>
          <w:b w:val="0"/>
          <w:color w:val="auto"/>
          <w:sz w:val="24"/>
          <w:u w:val="none"/>
        </w:rPr>
        <w:t>subquestions</w:t>
      </w:r>
      <w:proofErr w:type="spellEnd"/>
      <w:r w:rsidRPr="00B603E8">
        <w:rPr>
          <w:rFonts w:ascii="Times New Roman" w:hAnsi="Times New Roman" w:cs="Times New Roman"/>
          <w:b w:val="0"/>
          <w:color w:val="auto"/>
          <w:sz w:val="24"/>
          <w:u w:val="none"/>
        </w:rPr>
        <w:t xml:space="preserve"> (see Section </w:t>
      </w:r>
      <w:r w:rsidR="00846916" w:rsidRPr="00B603E8">
        <w:rPr>
          <w:rFonts w:ascii="Times New Roman" w:hAnsi="Times New Roman" w:cs="Times New Roman"/>
          <w:b w:val="0"/>
          <w:color w:val="auto"/>
          <w:sz w:val="24"/>
          <w:u w:val="none"/>
        </w:rPr>
        <w:t>A</w:t>
      </w:r>
      <w:r w:rsidRPr="00B603E8">
        <w:rPr>
          <w:rFonts w:ascii="Times New Roman" w:hAnsi="Times New Roman" w:cs="Times New Roman"/>
          <w:b w:val="0"/>
          <w:color w:val="auto"/>
          <w:sz w:val="24"/>
          <w:u w:val="none"/>
        </w:rPr>
        <w:t xml:space="preserve">.2.a). </w:t>
      </w:r>
      <w:r w:rsidR="002A380B">
        <w:rPr>
          <w:rFonts w:ascii="Times New Roman" w:hAnsi="Times New Roman" w:cs="Times New Roman"/>
          <w:b w:val="0"/>
          <w:color w:val="auto"/>
          <w:sz w:val="24"/>
          <w:u w:val="none"/>
        </w:rPr>
        <w:t xml:space="preserve">Analysis plans for each study are described below. </w:t>
      </w:r>
      <w:r w:rsidR="00757925" w:rsidRPr="00B603E8">
        <w:rPr>
          <w:rFonts w:ascii="Times New Roman" w:hAnsi="Times New Roman" w:cs="Times New Roman"/>
          <w:b w:val="0"/>
          <w:color w:val="auto"/>
          <w:sz w:val="24"/>
          <w:u w:val="none"/>
        </w:rPr>
        <w:t xml:space="preserve">In addition, three special analyses will be conducted to address evaluation questions that cut across </w:t>
      </w:r>
      <w:r w:rsidR="002A380B">
        <w:rPr>
          <w:rFonts w:ascii="Times New Roman" w:hAnsi="Times New Roman" w:cs="Times New Roman"/>
          <w:b w:val="0"/>
          <w:color w:val="auto"/>
          <w:sz w:val="24"/>
          <w:u w:val="none"/>
        </w:rPr>
        <w:t>the</w:t>
      </w:r>
      <w:r w:rsidR="00116F41">
        <w:rPr>
          <w:rFonts w:ascii="Times New Roman" w:hAnsi="Times New Roman" w:cs="Times New Roman"/>
          <w:b w:val="0"/>
          <w:color w:val="auto"/>
          <w:sz w:val="24"/>
          <w:u w:val="none"/>
        </w:rPr>
        <w:t xml:space="preserve"> NOE</w:t>
      </w:r>
      <w:r w:rsidR="002A380B">
        <w:rPr>
          <w:rFonts w:ascii="Times New Roman" w:hAnsi="Times New Roman" w:cs="Times New Roman"/>
          <w:b w:val="0"/>
          <w:color w:val="auto"/>
          <w:sz w:val="24"/>
          <w:u w:val="none"/>
        </w:rPr>
        <w:t xml:space="preserve"> </w:t>
      </w:r>
      <w:r w:rsidR="00757925" w:rsidRPr="00B603E8">
        <w:rPr>
          <w:rFonts w:ascii="Times New Roman" w:hAnsi="Times New Roman" w:cs="Times New Roman"/>
          <w:b w:val="0"/>
          <w:color w:val="auto"/>
          <w:sz w:val="24"/>
          <w:u w:val="none"/>
        </w:rPr>
        <w:t>studies</w:t>
      </w:r>
      <w:r w:rsidR="002A380B">
        <w:rPr>
          <w:rFonts w:ascii="Times New Roman" w:hAnsi="Times New Roman" w:cs="Times New Roman"/>
          <w:b w:val="0"/>
          <w:color w:val="auto"/>
          <w:sz w:val="24"/>
          <w:u w:val="none"/>
        </w:rPr>
        <w:t>. These analyses integrate</w:t>
      </w:r>
      <w:r w:rsidR="002A380B" w:rsidRPr="00B603E8">
        <w:rPr>
          <w:rFonts w:ascii="Times New Roman" w:hAnsi="Times New Roman" w:cs="Times New Roman"/>
          <w:b w:val="0"/>
          <w:color w:val="auto"/>
          <w:sz w:val="24"/>
          <w:u w:val="none"/>
        </w:rPr>
        <w:t xml:space="preserve"> </w:t>
      </w:r>
      <w:r w:rsidR="00757925" w:rsidRPr="00B603E8">
        <w:rPr>
          <w:rFonts w:ascii="Times New Roman" w:hAnsi="Times New Roman" w:cs="Times New Roman"/>
          <w:b w:val="0"/>
          <w:color w:val="auto"/>
          <w:sz w:val="24"/>
          <w:u w:val="none"/>
        </w:rPr>
        <w:t xml:space="preserve">existing data sources, findings </w:t>
      </w:r>
      <w:r w:rsidR="00F966F4">
        <w:rPr>
          <w:rFonts w:ascii="Times New Roman" w:hAnsi="Times New Roman" w:cs="Times New Roman"/>
          <w:b w:val="0"/>
          <w:color w:val="auto"/>
          <w:sz w:val="24"/>
          <w:u w:val="none"/>
        </w:rPr>
        <w:t>from</w:t>
      </w:r>
      <w:r w:rsidR="00F966F4" w:rsidRPr="00B603E8">
        <w:rPr>
          <w:rFonts w:ascii="Times New Roman" w:hAnsi="Times New Roman" w:cs="Times New Roman"/>
          <w:b w:val="0"/>
          <w:color w:val="auto"/>
          <w:sz w:val="24"/>
          <w:u w:val="none"/>
        </w:rPr>
        <w:t xml:space="preserve"> </w:t>
      </w:r>
      <w:r w:rsidR="00757925" w:rsidRPr="00B603E8">
        <w:rPr>
          <w:rFonts w:ascii="Times New Roman" w:hAnsi="Times New Roman" w:cs="Times New Roman"/>
          <w:b w:val="0"/>
          <w:color w:val="auto"/>
          <w:sz w:val="24"/>
          <w:u w:val="none"/>
        </w:rPr>
        <w:t>the</w:t>
      </w:r>
      <w:r w:rsidR="00F966F4">
        <w:rPr>
          <w:rFonts w:ascii="Times New Roman" w:hAnsi="Times New Roman" w:cs="Times New Roman"/>
          <w:b w:val="0"/>
          <w:color w:val="auto"/>
          <w:sz w:val="24"/>
          <w:u w:val="none"/>
        </w:rPr>
        <w:t xml:space="preserve"> core and enhanced </w:t>
      </w:r>
      <w:r w:rsidR="00757925" w:rsidRPr="00B603E8">
        <w:rPr>
          <w:rFonts w:ascii="Times New Roman" w:hAnsi="Times New Roman" w:cs="Times New Roman"/>
          <w:b w:val="0"/>
          <w:color w:val="auto"/>
          <w:sz w:val="24"/>
          <w:u w:val="none"/>
        </w:rPr>
        <w:t>studies</w:t>
      </w:r>
      <w:r w:rsidR="00F966F4">
        <w:rPr>
          <w:rFonts w:ascii="Times New Roman" w:hAnsi="Times New Roman" w:cs="Times New Roman"/>
          <w:b w:val="0"/>
          <w:color w:val="auto"/>
          <w:sz w:val="24"/>
          <w:u w:val="none"/>
        </w:rPr>
        <w:t>,</w:t>
      </w:r>
      <w:r w:rsidR="00757925" w:rsidRPr="00B603E8">
        <w:rPr>
          <w:rFonts w:ascii="Times New Roman" w:hAnsi="Times New Roman" w:cs="Times New Roman"/>
          <w:b w:val="0"/>
          <w:color w:val="auto"/>
          <w:sz w:val="24"/>
          <w:u w:val="none"/>
        </w:rPr>
        <w:t xml:space="preserve"> and data collected since 2005 from earlier GLS cohorts (included in previous evaluations of the GLS portfolios). Each </w:t>
      </w:r>
      <w:r w:rsidR="00116F41">
        <w:rPr>
          <w:rFonts w:ascii="Times New Roman" w:hAnsi="Times New Roman" w:cs="Times New Roman"/>
          <w:b w:val="0"/>
          <w:color w:val="auto"/>
          <w:sz w:val="24"/>
          <w:u w:val="none"/>
        </w:rPr>
        <w:t xml:space="preserve">special </w:t>
      </w:r>
      <w:r w:rsidR="00757925" w:rsidRPr="00B603E8">
        <w:rPr>
          <w:rFonts w:ascii="Times New Roman" w:hAnsi="Times New Roman" w:cs="Times New Roman"/>
          <w:b w:val="0"/>
          <w:color w:val="auto"/>
          <w:sz w:val="24"/>
          <w:u w:val="none"/>
        </w:rPr>
        <w:t>analysis is associated with a primary evaluation question and multiple</w:t>
      </w:r>
      <w:r w:rsidR="00622EC5" w:rsidRPr="00B603E8">
        <w:rPr>
          <w:rFonts w:ascii="Times New Roman" w:hAnsi="Times New Roman" w:cs="Times New Roman"/>
          <w:b w:val="0"/>
          <w:color w:val="auto"/>
          <w:sz w:val="24"/>
          <w:u w:val="none"/>
        </w:rPr>
        <w:t xml:space="preserve"> </w:t>
      </w:r>
      <w:proofErr w:type="spellStart"/>
      <w:r w:rsidR="00622EC5" w:rsidRPr="00B603E8">
        <w:rPr>
          <w:rFonts w:ascii="Times New Roman" w:hAnsi="Times New Roman" w:cs="Times New Roman"/>
          <w:b w:val="0"/>
          <w:color w:val="auto"/>
          <w:sz w:val="24"/>
          <w:u w:val="none"/>
        </w:rPr>
        <w:t>subquestions</w:t>
      </w:r>
      <w:proofErr w:type="spellEnd"/>
      <w:r w:rsidR="00622EC5" w:rsidRPr="00B603E8">
        <w:rPr>
          <w:rFonts w:ascii="Times New Roman" w:hAnsi="Times New Roman" w:cs="Times New Roman"/>
          <w:b w:val="0"/>
          <w:color w:val="auto"/>
          <w:sz w:val="24"/>
          <w:u w:val="none"/>
        </w:rPr>
        <w:t xml:space="preserve">. </w:t>
      </w:r>
    </w:p>
    <w:p w14:paraId="3588C175" w14:textId="617FD6A7" w:rsidR="00757925" w:rsidRPr="00B603E8" w:rsidRDefault="00757925" w:rsidP="00966D74">
      <w:pPr>
        <w:pStyle w:val="GLSH4"/>
        <w:numPr>
          <w:ilvl w:val="0"/>
          <w:numId w:val="59"/>
        </w:numPr>
        <w:spacing w:after="60"/>
        <w:jc w:val="both"/>
        <w:rPr>
          <w:rFonts w:ascii="Times New Roman" w:hAnsi="Times New Roman" w:cs="Times New Roman"/>
          <w:b w:val="0"/>
          <w:color w:val="auto"/>
          <w:sz w:val="24"/>
          <w:u w:val="none"/>
        </w:rPr>
      </w:pPr>
      <w:r w:rsidRPr="00B603E8">
        <w:rPr>
          <w:rFonts w:ascii="Times New Roman" w:hAnsi="Times New Roman" w:cs="Times New Roman"/>
          <w:b w:val="0"/>
          <w:color w:val="auto"/>
          <w:sz w:val="24"/>
          <w:u w:val="none"/>
        </w:rPr>
        <w:t xml:space="preserve">The </w:t>
      </w:r>
      <w:r w:rsidRPr="00B603E8">
        <w:rPr>
          <w:rFonts w:ascii="Times New Roman" w:hAnsi="Times New Roman" w:cs="Times New Roman"/>
          <w:color w:val="auto"/>
          <w:sz w:val="24"/>
          <w:u w:val="none"/>
        </w:rPr>
        <w:t>ecological analysis of impact</w:t>
      </w:r>
      <w:r w:rsidRPr="00B603E8">
        <w:rPr>
          <w:rFonts w:ascii="Times New Roman" w:hAnsi="Times New Roman" w:cs="Times New Roman"/>
          <w:b w:val="0"/>
          <w:color w:val="auto"/>
          <w:sz w:val="24"/>
          <w:u w:val="none"/>
        </w:rPr>
        <w:t xml:space="preserve"> compares mortality and attempts in areas exposed and areas not exposed to GLS program activities.</w:t>
      </w:r>
    </w:p>
    <w:p w14:paraId="5A726A70" w14:textId="0E9C7829" w:rsidR="00757925" w:rsidRPr="00B603E8" w:rsidRDefault="00757925" w:rsidP="00966D74">
      <w:pPr>
        <w:pStyle w:val="GLSBullet1"/>
        <w:numPr>
          <w:ilvl w:val="0"/>
          <w:numId w:val="59"/>
        </w:numPr>
      </w:pPr>
      <w:r w:rsidRPr="00B603E8">
        <w:rPr>
          <w:b/>
        </w:rPr>
        <w:t>Outcome modeling</w:t>
      </w:r>
      <w:r w:rsidRPr="00B603E8">
        <w:t xml:space="preserve"> will be used to anticipate the impact of particular interventions taking advantage of existing evidence and evidence gathered through the NOE</w:t>
      </w:r>
      <w:r w:rsidR="002049A6" w:rsidRPr="00B603E8">
        <w:t>.</w:t>
      </w:r>
    </w:p>
    <w:p w14:paraId="726A28B8" w14:textId="77777777" w:rsidR="00757925" w:rsidRPr="00B603E8" w:rsidRDefault="00757925" w:rsidP="00966D74">
      <w:pPr>
        <w:pStyle w:val="GLSBullet1"/>
        <w:numPr>
          <w:ilvl w:val="0"/>
          <w:numId w:val="59"/>
        </w:numPr>
        <w:spacing w:after="200"/>
      </w:pPr>
      <w:r w:rsidRPr="00B603E8">
        <w:t xml:space="preserve">The </w:t>
      </w:r>
      <w:r w:rsidRPr="00B603E8">
        <w:rPr>
          <w:b/>
        </w:rPr>
        <w:t>unintended consequences analysis</w:t>
      </w:r>
      <w:r w:rsidRPr="00B603E8">
        <w:t xml:space="preserve"> will explore and when possible, quantify the magnitude of consequences of program implementation beyond those directly related to suicide prevention.</w:t>
      </w:r>
    </w:p>
    <w:p w14:paraId="0F96D44B" w14:textId="1BA4B793" w:rsidR="00D5605E" w:rsidRPr="00B603E8" w:rsidRDefault="00D5605E" w:rsidP="00045A50">
      <w:pPr>
        <w:pStyle w:val="GLSH4"/>
        <w:numPr>
          <w:ilvl w:val="0"/>
          <w:numId w:val="45"/>
        </w:numPr>
        <w:spacing w:before="240"/>
        <w:rPr>
          <w:rFonts w:cs="Times New Roman"/>
          <w:color w:val="auto"/>
          <w:szCs w:val="28"/>
          <w:u w:val="none"/>
        </w:rPr>
      </w:pPr>
      <w:r w:rsidRPr="00B603E8">
        <w:rPr>
          <w:rFonts w:cs="Times New Roman"/>
          <w:color w:val="auto"/>
          <w:szCs w:val="28"/>
          <w:u w:val="none"/>
        </w:rPr>
        <w:t xml:space="preserve">Training Study Analysis </w:t>
      </w:r>
      <w:r w:rsidR="00E84A7F" w:rsidRPr="00B603E8">
        <w:rPr>
          <w:rFonts w:cs="Times New Roman"/>
          <w:color w:val="auto"/>
          <w:szCs w:val="28"/>
          <w:u w:val="none"/>
        </w:rPr>
        <w:t xml:space="preserve"> </w:t>
      </w:r>
    </w:p>
    <w:p w14:paraId="285B0402" w14:textId="73399BC1" w:rsidR="00D5605E" w:rsidRPr="00B603E8" w:rsidRDefault="00CA7586" w:rsidP="00045A50">
      <w:pPr>
        <w:pStyle w:val="ProposalBodyText"/>
        <w:spacing w:after="200"/>
        <w:contextualSpacing w:val="0"/>
        <w:rPr>
          <w:i/>
          <w:szCs w:val="24"/>
        </w:rPr>
      </w:pPr>
      <w:r w:rsidRPr="00B603E8">
        <w:rPr>
          <w:b/>
          <w:szCs w:val="24"/>
        </w:rPr>
        <w:t>EQ-1:</w:t>
      </w:r>
      <w:r w:rsidRPr="00B603E8">
        <w:rPr>
          <w:i/>
          <w:szCs w:val="24"/>
        </w:rPr>
        <w:t xml:space="preserve"> </w:t>
      </w:r>
      <w:r w:rsidR="00D5605E" w:rsidRPr="00B603E8">
        <w:rPr>
          <w:i/>
          <w:szCs w:val="24"/>
        </w:rPr>
        <w:t>Are certain training approaches effective in building capacity to increase youth identification (when compared with more basic trainings)?</w:t>
      </w:r>
      <w:r w:rsidR="00D5605E" w:rsidRPr="00B603E8">
        <w:rPr>
          <w:szCs w:val="24"/>
        </w:rPr>
        <w:t xml:space="preserve"> </w:t>
      </w:r>
      <w:r w:rsidR="00D5605E" w:rsidRPr="00B603E8">
        <w:rPr>
          <w:i/>
          <w:szCs w:val="24"/>
        </w:rPr>
        <w:t xml:space="preserve"> </w:t>
      </w:r>
    </w:p>
    <w:p w14:paraId="46B5947F" w14:textId="7B683A77" w:rsidR="00D5605E" w:rsidRPr="00B603E8" w:rsidRDefault="006669C0" w:rsidP="00D5605E">
      <w:pPr>
        <w:pStyle w:val="GLSH4"/>
        <w:spacing w:after="60"/>
        <w:rPr>
          <w:color w:val="auto"/>
          <w:sz w:val="26"/>
          <w:szCs w:val="26"/>
        </w:rPr>
      </w:pPr>
      <w:r w:rsidRPr="00B603E8">
        <w:rPr>
          <w:color w:val="auto"/>
          <w:sz w:val="26"/>
          <w:szCs w:val="26"/>
        </w:rPr>
        <w:t xml:space="preserve">Training </w:t>
      </w:r>
      <w:r w:rsidR="006F36B9" w:rsidRPr="00B603E8">
        <w:rPr>
          <w:color w:val="auto"/>
          <w:sz w:val="26"/>
          <w:szCs w:val="26"/>
        </w:rPr>
        <w:t xml:space="preserve">Study </w:t>
      </w:r>
      <w:r w:rsidR="00D5605E" w:rsidRPr="00B603E8">
        <w:rPr>
          <w:color w:val="auto"/>
          <w:sz w:val="26"/>
          <w:szCs w:val="26"/>
        </w:rPr>
        <w:t>Core</w:t>
      </w:r>
    </w:p>
    <w:p w14:paraId="3F0EA8D3" w14:textId="64363738" w:rsidR="00D5605E" w:rsidRPr="00B603E8" w:rsidRDefault="00D5605E" w:rsidP="00045A50">
      <w:pPr>
        <w:pStyle w:val="GLSBody"/>
        <w:spacing w:after="200"/>
      </w:pPr>
      <w:r w:rsidRPr="00B603E8">
        <w:t xml:space="preserve">Descriptive statistics will be used to provide a precise characterization of training activities, their outputs, and proximal outcomes. This includes </w:t>
      </w:r>
      <w:r w:rsidR="00F966F4">
        <w:t xml:space="preserve">the </w:t>
      </w:r>
      <w:r w:rsidRPr="00B603E8">
        <w:t>(1) number of training</w:t>
      </w:r>
      <w:r w:rsidR="00F966F4">
        <w:t>s</w:t>
      </w:r>
      <w:r w:rsidRPr="00B603E8">
        <w:t xml:space="preserve"> implemented by </w:t>
      </w:r>
      <w:r w:rsidR="00F966F4">
        <w:t xml:space="preserve">training </w:t>
      </w:r>
      <w:r w:rsidRPr="00B603E8">
        <w:t>type; (2)</w:t>
      </w:r>
      <w:r w:rsidR="00616564" w:rsidRPr="00B603E8">
        <w:t> number</w:t>
      </w:r>
      <w:r w:rsidRPr="00B603E8">
        <w:t xml:space="preserve"> of trainees participating in </w:t>
      </w:r>
      <w:r w:rsidR="00F966F4">
        <w:t>the</w:t>
      </w:r>
      <w:r w:rsidR="00F966F4" w:rsidRPr="00B603E8">
        <w:t xml:space="preserve"> </w:t>
      </w:r>
      <w:r w:rsidRPr="00B603E8">
        <w:t xml:space="preserve">activities, their typical role, and the setting in which participants typically </w:t>
      </w:r>
      <w:proofErr w:type="gramStart"/>
      <w:r w:rsidRPr="00B603E8">
        <w:t>interact</w:t>
      </w:r>
      <w:proofErr w:type="gramEnd"/>
      <w:r w:rsidRPr="00B603E8">
        <w:t xml:space="preserve"> with </w:t>
      </w:r>
      <w:r w:rsidR="00A92A8C">
        <w:t>youth</w:t>
      </w:r>
      <w:r w:rsidRPr="00B603E8">
        <w:t xml:space="preserve">; and (3) participants’ behavior after training, including number of identification referrals of </w:t>
      </w:r>
      <w:r w:rsidR="00A92A8C">
        <w:t>youth</w:t>
      </w:r>
      <w:r w:rsidRPr="00B603E8">
        <w:t xml:space="preserve"> at risk and awareness of follow-up to services received. Both trainees’ characteristics and </w:t>
      </w:r>
      <w:proofErr w:type="spellStart"/>
      <w:r w:rsidRPr="00B603E8">
        <w:t>posttraining</w:t>
      </w:r>
      <w:proofErr w:type="spellEnd"/>
      <w:r w:rsidRPr="00B603E8">
        <w:t xml:space="preserve"> behavior are collected </w:t>
      </w:r>
      <w:proofErr w:type="gramStart"/>
      <w:r w:rsidRPr="00B603E8">
        <w:t>from a probabilistic samples</w:t>
      </w:r>
      <w:proofErr w:type="gramEnd"/>
      <w:r w:rsidRPr="00B603E8">
        <w:t xml:space="preserve"> of participants. In such a case, appropriate measures of uncertainty (i.e., standard error and confidence intervals) will be computed and reported with their respective summary statistics. </w:t>
      </w:r>
    </w:p>
    <w:p w14:paraId="306F7494" w14:textId="1FE6DC1A" w:rsidR="00D5605E" w:rsidRPr="00B603E8" w:rsidRDefault="00D5605E" w:rsidP="00045A50">
      <w:pPr>
        <w:pStyle w:val="GLSBody"/>
        <w:spacing w:after="200"/>
      </w:pPr>
      <w:r w:rsidRPr="00B603E8">
        <w:t xml:space="preserve">Multivariate regression techniques, particularly ordinal and binary logistic regression, will be implemented to explore and summarize association between training activities and their proximal outcomes, as well as variation in outcomes by subpopulation of interest. For example, ICF has recently shown that, for participants typically interacting with </w:t>
      </w:r>
      <w:r w:rsidR="00A92A8C">
        <w:t>youth</w:t>
      </w:r>
      <w:r w:rsidRPr="00B603E8">
        <w:t xml:space="preserve"> in school settings, a larger number of identifications were associated with participation in longer gatekeeper training when compared with shorter trainings 3 months after the activity (</w:t>
      </w:r>
      <w:proofErr w:type="spellStart"/>
      <w:r w:rsidRPr="00B603E8">
        <w:t>Condron</w:t>
      </w:r>
      <w:proofErr w:type="spellEnd"/>
      <w:r w:rsidRPr="00B603E8">
        <w:t xml:space="preserve"> et al., 2014). The analysis controls for several participant characteristics, such as typical time interacting with </w:t>
      </w:r>
      <w:r w:rsidR="00A92A8C">
        <w:t>youth</w:t>
      </w:r>
      <w:r w:rsidRPr="00B603E8">
        <w:t xml:space="preserve">. In that analysis, ICF did not find that the results were heterogeneous by training event or grantee. However, both factors could typically be sources of clustering (participants in the same event, or in trainings by the same grantee, could tend to have more similar </w:t>
      </w:r>
      <w:proofErr w:type="spellStart"/>
      <w:r w:rsidRPr="00B603E8">
        <w:t>posttraining</w:t>
      </w:r>
      <w:proofErr w:type="spellEnd"/>
      <w:r w:rsidRPr="00B603E8">
        <w:t xml:space="preserve"> behavior). These factors will continue to be tested and, if necessary, addressed through either mixed-effects models or the use of generalized estimating equation.</w:t>
      </w:r>
    </w:p>
    <w:p w14:paraId="3ED82802" w14:textId="6897E94E" w:rsidR="00D5605E" w:rsidRPr="00B603E8" w:rsidRDefault="006669C0" w:rsidP="00D5605E">
      <w:pPr>
        <w:pStyle w:val="GLSH4"/>
        <w:spacing w:after="60"/>
        <w:rPr>
          <w:color w:val="auto"/>
          <w:sz w:val="26"/>
          <w:szCs w:val="26"/>
        </w:rPr>
      </w:pPr>
      <w:r w:rsidRPr="00B603E8">
        <w:rPr>
          <w:color w:val="auto"/>
          <w:sz w:val="26"/>
          <w:szCs w:val="26"/>
        </w:rPr>
        <w:t xml:space="preserve">Training </w:t>
      </w:r>
      <w:r w:rsidR="006F36B9" w:rsidRPr="00B603E8">
        <w:rPr>
          <w:color w:val="auto"/>
          <w:sz w:val="26"/>
          <w:szCs w:val="26"/>
        </w:rPr>
        <w:t xml:space="preserve">Study </w:t>
      </w:r>
      <w:r w:rsidR="00D5605E" w:rsidRPr="00B603E8">
        <w:rPr>
          <w:color w:val="auto"/>
          <w:sz w:val="26"/>
          <w:szCs w:val="26"/>
        </w:rPr>
        <w:t>RCT</w:t>
      </w:r>
    </w:p>
    <w:p w14:paraId="0583B131" w14:textId="35BB391D" w:rsidR="00D5605E" w:rsidRPr="00B603E8" w:rsidRDefault="00D5605E" w:rsidP="00D5605E">
      <w:pPr>
        <w:pStyle w:val="GLSBody"/>
      </w:pPr>
      <w:r w:rsidRPr="00B603E8">
        <w:t xml:space="preserve">The Training Study RCT will rely on a factorial randomized design to assess, in real-life settings, the impact of two factors in enhancing the effectiveness of gatekeeper training: the incorporation of active learning techniques (in particular, role-playing exercise), and the use of a booster session 3 to 6 months following participation the initial training. Due to randomization, a comparison of proportions between arms (e.g., the proportion of participants who identify at least one youth at risk, refer the youth to support, and are aware whether the youth received the support) may be directly informative of difference in effectiveness. Additionally, regression analysis will be performed to identify variations in effectiveness by trainee baseline characteristics, such as trainee’s role, setting in which they typically interact with </w:t>
      </w:r>
      <w:r w:rsidR="00A92A8C">
        <w:t>youth</w:t>
      </w:r>
      <w:r w:rsidRPr="00B603E8">
        <w:t xml:space="preserve">, and typical interaction time with </w:t>
      </w:r>
      <w:r w:rsidR="00A92A8C">
        <w:t>youth</w:t>
      </w:r>
      <w:r w:rsidRPr="00B603E8">
        <w:t xml:space="preserve">. Difference in nonresponse patterns between arms is a common challenge encountered in a randomized study setting. Particularly challenging are situations where nonresponse is associated with the value of the unobserved outcome. In the present application, however, we do not anticipate the type of training assigned to predict response rates. Several methods are available to handle missing data if the data are missing completely at random or missing at random after baseline characteristics or previous values of the outcome are controlled for. Compliance, on the other hand, may plausibly be predicted by assignment (e.g., in the case of the booster intervention). Although, the so-called “intention-to-treat” analysis will still be informative, instrumental variable estimation will be implemented to estimate effectiveness associated with actual participation (as opposed to assignment to a type of training). </w:t>
      </w:r>
    </w:p>
    <w:p w14:paraId="28315DD3" w14:textId="3FD8D8CF" w:rsidR="00D5605E" w:rsidRPr="00B603E8" w:rsidRDefault="00D5605E" w:rsidP="00045A50">
      <w:pPr>
        <w:pStyle w:val="GLSBody"/>
        <w:numPr>
          <w:ilvl w:val="0"/>
          <w:numId w:val="45"/>
        </w:numPr>
        <w:spacing w:before="240" w:after="120"/>
        <w:rPr>
          <w:rFonts w:ascii="Tw Cen MT" w:hAnsi="Tw Cen MT" w:cs="Arial"/>
          <w:b/>
          <w:sz w:val="28"/>
          <w:szCs w:val="28"/>
        </w:rPr>
      </w:pPr>
      <w:r w:rsidRPr="00B603E8">
        <w:rPr>
          <w:rFonts w:ascii="Tw Cen MT" w:hAnsi="Tw Cen MT" w:cs="Arial"/>
          <w:b/>
          <w:sz w:val="28"/>
          <w:szCs w:val="28"/>
        </w:rPr>
        <w:t xml:space="preserve">COC Study Analysis </w:t>
      </w:r>
    </w:p>
    <w:p w14:paraId="08E923E6" w14:textId="77777777" w:rsidR="00D5605E" w:rsidRPr="00B603E8" w:rsidRDefault="00D5605E" w:rsidP="00045A50">
      <w:pPr>
        <w:pStyle w:val="ProposalBodyText"/>
        <w:spacing w:after="200"/>
        <w:contextualSpacing w:val="0"/>
        <w:rPr>
          <w:szCs w:val="24"/>
        </w:rPr>
      </w:pPr>
      <w:r w:rsidRPr="00B603E8">
        <w:rPr>
          <w:b/>
          <w:szCs w:val="24"/>
        </w:rPr>
        <w:t>EQ-2:</w:t>
      </w:r>
      <w:r w:rsidRPr="00B603E8">
        <w:rPr>
          <w:szCs w:val="24"/>
        </w:rPr>
        <w:t xml:space="preserve"> </w:t>
      </w:r>
      <w:r w:rsidRPr="00B603E8">
        <w:rPr>
          <w:i/>
          <w:szCs w:val="24"/>
        </w:rPr>
        <w:t>Are GLS prevention activities effective in developing continuity of care from identification, to referral of at-risk youth, to the provision of needed services? Are early identification and referral practices associated with service receipt and follow-up treatment adherence compared with those not retained in services?</w:t>
      </w:r>
      <w:r w:rsidRPr="00B603E8">
        <w:rPr>
          <w:szCs w:val="24"/>
        </w:rPr>
        <w:t xml:space="preserve"> </w:t>
      </w:r>
      <w:r w:rsidRPr="00B603E8">
        <w:rPr>
          <w:i/>
          <w:szCs w:val="24"/>
        </w:rPr>
        <w:t xml:space="preserve"> </w:t>
      </w:r>
    </w:p>
    <w:p w14:paraId="7312E387" w14:textId="26DE3BC4" w:rsidR="00D5605E" w:rsidRPr="00B603E8" w:rsidRDefault="006669C0" w:rsidP="006669C0">
      <w:pPr>
        <w:pStyle w:val="GLSBody"/>
        <w:keepNext/>
        <w:spacing w:after="60"/>
        <w:rPr>
          <w:rFonts w:ascii="Tw Cen MT" w:hAnsi="Tw Cen MT" w:cs="Arial"/>
          <w:b/>
          <w:sz w:val="26"/>
          <w:szCs w:val="26"/>
          <w:u w:val="single"/>
        </w:rPr>
      </w:pPr>
      <w:r w:rsidRPr="00B603E8">
        <w:rPr>
          <w:rFonts w:ascii="Tw Cen MT" w:hAnsi="Tw Cen MT" w:cs="Arial"/>
          <w:b/>
          <w:sz w:val="26"/>
          <w:szCs w:val="26"/>
          <w:u w:val="single"/>
        </w:rPr>
        <w:t xml:space="preserve">COC </w:t>
      </w:r>
      <w:r w:rsidR="006F36B9" w:rsidRPr="00B603E8">
        <w:rPr>
          <w:rFonts w:ascii="Tw Cen MT" w:hAnsi="Tw Cen MT" w:cs="Arial"/>
          <w:b/>
          <w:sz w:val="26"/>
          <w:szCs w:val="26"/>
          <w:u w:val="single"/>
        </w:rPr>
        <w:t xml:space="preserve">Study </w:t>
      </w:r>
      <w:r w:rsidR="00D5605E" w:rsidRPr="00B603E8">
        <w:rPr>
          <w:rFonts w:ascii="Tw Cen MT" w:hAnsi="Tw Cen MT" w:cs="Arial"/>
          <w:b/>
          <w:sz w:val="26"/>
          <w:szCs w:val="26"/>
          <w:u w:val="single"/>
        </w:rPr>
        <w:t>Core</w:t>
      </w:r>
    </w:p>
    <w:p w14:paraId="36AF9BFE" w14:textId="54372453" w:rsidR="00D5605E" w:rsidRPr="00B603E8" w:rsidRDefault="00D5605E" w:rsidP="00045A50">
      <w:pPr>
        <w:pStyle w:val="GLSBody"/>
        <w:spacing w:after="200"/>
      </w:pPr>
      <w:r w:rsidRPr="00B603E8">
        <w:t xml:space="preserve">ICF will rely on descriptive statistics to regularly provide a precise characterization of the program early identification, referral, and follow-up activities as well as youth proximal outcomes, including: (1) the number of </w:t>
      </w:r>
      <w:r w:rsidR="00A92A8C">
        <w:t>youth</w:t>
      </w:r>
      <w:r w:rsidRPr="00B603E8">
        <w:t xml:space="preserve"> identified </w:t>
      </w:r>
      <w:r w:rsidR="00F47B17" w:rsidRPr="00B603E8">
        <w:t xml:space="preserve">as at risk for </w:t>
      </w:r>
      <w:r w:rsidRPr="00B603E8">
        <w:t xml:space="preserve">suicide by GLS grantees by youth characteristics (gender, race-ethnicity) and setting of identification; (2) the proportion of those </w:t>
      </w:r>
      <w:r w:rsidR="00A92A8C">
        <w:t>youth</w:t>
      </w:r>
      <w:r w:rsidRPr="00B603E8">
        <w:t xml:space="preserve"> identified at risk who received follow-up support; and (3) the risk status of the </w:t>
      </w:r>
      <w:r w:rsidR="00A92A8C">
        <w:t>youth</w:t>
      </w:r>
      <w:r w:rsidRPr="00B603E8">
        <w:t xml:space="preserve"> receiving mental health services by a GLS provider months after initial contact.</w:t>
      </w:r>
    </w:p>
    <w:p w14:paraId="0A00331F" w14:textId="6708F492" w:rsidR="00D5605E" w:rsidRPr="00B603E8" w:rsidRDefault="00D5605E" w:rsidP="001E50ED">
      <w:pPr>
        <w:pStyle w:val="GLSBody"/>
        <w:spacing w:after="200"/>
      </w:pPr>
      <w:r w:rsidRPr="00B603E8">
        <w:t xml:space="preserve">ICF will use multivariate regression techniques, particularly binary logistic regression, to explore and summarize association between proximal outcomes and youth, provider, and grantee characteristics. For example, ICF has shown that for </w:t>
      </w:r>
      <w:r w:rsidR="00A92A8C">
        <w:t>youth</w:t>
      </w:r>
      <w:r w:rsidRPr="00B603E8">
        <w:t xml:space="preserve"> identified by trained gatekeepers, age was associated with the probability of being referred to mental health services and, in turn, referrals to the emergency room were associated with a higher likelihood of receiving the service (</w:t>
      </w:r>
      <w:proofErr w:type="spellStart"/>
      <w:r w:rsidRPr="00B603E8">
        <w:t>Rodi</w:t>
      </w:r>
      <w:proofErr w:type="spellEnd"/>
      <w:r w:rsidRPr="00B603E8">
        <w:t xml:space="preserve"> et al., 2012). This analysis controlled for several additional gatekeeper and youth characteristics, including gatekeeper role and setting of identification. The analysis will incorporate the grantee as a possible source of variation in follow-up patterns, either through random-effects models, as in this example, or through the use of generalized estimation equation in combination with grantee-level fixed effects.</w:t>
      </w:r>
    </w:p>
    <w:p w14:paraId="1BDAF0F3" w14:textId="17219ADA" w:rsidR="00D5605E" w:rsidRPr="00B603E8" w:rsidRDefault="00D5605E" w:rsidP="00045A50">
      <w:pPr>
        <w:pStyle w:val="GLSH4"/>
        <w:numPr>
          <w:ilvl w:val="0"/>
          <w:numId w:val="45"/>
        </w:numPr>
        <w:spacing w:before="240"/>
        <w:rPr>
          <w:color w:val="auto"/>
          <w:szCs w:val="28"/>
          <w:u w:val="none"/>
        </w:rPr>
      </w:pPr>
      <w:r w:rsidRPr="00B603E8">
        <w:rPr>
          <w:color w:val="auto"/>
          <w:szCs w:val="28"/>
          <w:u w:val="none"/>
        </w:rPr>
        <w:t>SSE Study Analysis Plan</w:t>
      </w:r>
    </w:p>
    <w:p w14:paraId="395A4CDB" w14:textId="77777777" w:rsidR="00D5605E" w:rsidRPr="00B603E8" w:rsidRDefault="00D5605E" w:rsidP="00045A50">
      <w:pPr>
        <w:pStyle w:val="ProposalBodyText"/>
        <w:widowControl w:val="0"/>
        <w:spacing w:after="200"/>
        <w:contextualSpacing w:val="0"/>
        <w:rPr>
          <w:i/>
          <w:szCs w:val="24"/>
        </w:rPr>
      </w:pPr>
      <w:r w:rsidRPr="00B603E8">
        <w:rPr>
          <w:b/>
          <w:szCs w:val="24"/>
        </w:rPr>
        <w:t>EQ-3:</w:t>
      </w:r>
      <w:r w:rsidRPr="00B603E8">
        <w:rPr>
          <w:szCs w:val="24"/>
        </w:rPr>
        <w:t xml:space="preserve"> </w:t>
      </w:r>
      <w:r w:rsidRPr="00B603E8">
        <w:rPr>
          <w:i/>
          <w:szCs w:val="24"/>
        </w:rPr>
        <w:t xml:space="preserve">Does the provision of services by GLS behavioral health provider networks implementing a zero suicide framework reduce suicide attempts, hospitalization, and associated costs (return on investment) compared with non-GLS behavioral health providers?  </w:t>
      </w:r>
    </w:p>
    <w:p w14:paraId="58433856" w14:textId="26A98FC7" w:rsidR="00D5605E" w:rsidRPr="00B603E8" w:rsidRDefault="006669C0" w:rsidP="001E50ED">
      <w:pPr>
        <w:pStyle w:val="GLSH4"/>
        <w:spacing w:after="60"/>
        <w:rPr>
          <w:sz w:val="26"/>
          <w:szCs w:val="26"/>
        </w:rPr>
      </w:pPr>
      <w:r w:rsidRPr="00B603E8">
        <w:rPr>
          <w:color w:val="auto"/>
          <w:sz w:val="26"/>
          <w:szCs w:val="26"/>
        </w:rPr>
        <w:t xml:space="preserve">SSE </w:t>
      </w:r>
      <w:r w:rsidR="00891F55" w:rsidRPr="00B603E8">
        <w:rPr>
          <w:color w:val="auto"/>
          <w:sz w:val="26"/>
          <w:szCs w:val="26"/>
        </w:rPr>
        <w:t xml:space="preserve">Study </w:t>
      </w:r>
      <w:r w:rsidR="00D96A3E" w:rsidRPr="00B603E8">
        <w:rPr>
          <w:color w:val="auto"/>
          <w:sz w:val="26"/>
          <w:szCs w:val="26"/>
        </w:rPr>
        <w:t>Core</w:t>
      </w:r>
    </w:p>
    <w:p w14:paraId="25D51FB9" w14:textId="612EC8E5" w:rsidR="00D5605E" w:rsidRPr="00B603E8" w:rsidRDefault="00D5605E" w:rsidP="00045A50">
      <w:pPr>
        <w:pStyle w:val="GLSBody"/>
        <w:spacing w:after="200"/>
      </w:pPr>
      <w:r w:rsidRPr="00B603E8">
        <w:t xml:space="preserve">Across the various core instruments within the SSE, we will use descriptive statistics to provide a precise characterization of SSE activity implementation and associated outcomes. For campus grantees, this will include annual descriptive analyses of SBHF data to investigate changes in screening, assessment, follow-up, and services for students at risk of suicide, along with descriptive analyses of change in the number of suicide attempts and deaths over time. We will use multivariate regression techniques, particularly ordinal and binary logistic regression, to explore and summarize association between campus implementation of SSE practices, as measured by the SBHF and PSI, and the outcomes of suicide attempts and suicide deaths (from SBHF). </w:t>
      </w:r>
    </w:p>
    <w:p w14:paraId="7C2EC5EF" w14:textId="6FC76BE9" w:rsidR="00D5605E" w:rsidRPr="00B603E8" w:rsidRDefault="00D5605E" w:rsidP="00045A50">
      <w:pPr>
        <w:pStyle w:val="GLSBody"/>
        <w:spacing w:after="200"/>
      </w:pPr>
      <w:r w:rsidRPr="00B603E8">
        <w:t xml:space="preserve">For State/Tribal grantees, we will conduct similar descriptive analyses of SSE care activities and associated outcomes. The BHPS provides detailed information on implementation of these care practices within the behavioral health providers partnering with GLS grantees. Variation over time in the implementation of elements of the suicide safer environment framework, as well as their association with provider characteristics, will be explored and summarized using multivariate regression techniques, particularly binary logistic regression. Qualitative analysis aims at classifying groups of providers by their approach to the implementation of suicide safer environments, and will use model-based clustering techniques (e.g., latent class analysis). </w:t>
      </w:r>
    </w:p>
    <w:p w14:paraId="296C57D7" w14:textId="20B6C649" w:rsidR="00D5605E" w:rsidRPr="00B603E8" w:rsidRDefault="006669C0" w:rsidP="00D5605E">
      <w:pPr>
        <w:pStyle w:val="GLSH4"/>
        <w:spacing w:after="60"/>
        <w:rPr>
          <w:sz w:val="26"/>
          <w:szCs w:val="26"/>
        </w:rPr>
      </w:pPr>
      <w:r w:rsidRPr="00B603E8">
        <w:rPr>
          <w:color w:val="auto"/>
          <w:sz w:val="26"/>
          <w:szCs w:val="26"/>
        </w:rPr>
        <w:t xml:space="preserve">SSE </w:t>
      </w:r>
      <w:r w:rsidR="00D5605E" w:rsidRPr="00B603E8">
        <w:rPr>
          <w:color w:val="auto"/>
          <w:sz w:val="26"/>
          <w:szCs w:val="26"/>
        </w:rPr>
        <w:t>Cohort</w:t>
      </w:r>
      <w:r w:rsidR="00F749FB" w:rsidRPr="00B603E8">
        <w:rPr>
          <w:color w:val="auto"/>
          <w:sz w:val="26"/>
          <w:szCs w:val="26"/>
        </w:rPr>
        <w:t xml:space="preserve"> Study</w:t>
      </w:r>
      <w:r w:rsidR="00D5605E" w:rsidRPr="00B603E8">
        <w:rPr>
          <w:color w:val="auto"/>
          <w:sz w:val="26"/>
          <w:szCs w:val="26"/>
        </w:rPr>
        <w:t xml:space="preserve"> </w:t>
      </w:r>
      <w:r w:rsidRPr="00B603E8">
        <w:rPr>
          <w:color w:val="auto"/>
          <w:sz w:val="26"/>
          <w:szCs w:val="26"/>
        </w:rPr>
        <w:t>(MAX Claims Analysis)</w:t>
      </w:r>
    </w:p>
    <w:p w14:paraId="3C7289E1" w14:textId="01B00BBB" w:rsidR="00D5605E" w:rsidRDefault="00D5605E" w:rsidP="00D5605E">
      <w:pPr>
        <w:pStyle w:val="GLSBody"/>
      </w:pPr>
      <w:r w:rsidRPr="00B603E8">
        <w:t xml:space="preserve">The SSE enhanced component uses a claims-based retrospective cohort design to compare youth outcomes, particularly nonfatal suicide attempts requiring medical attention, the year following a contact with a GLS behavioral health provider with the outcomes of </w:t>
      </w:r>
      <w:r w:rsidR="00A92A8C">
        <w:t>youth</w:t>
      </w:r>
      <w:r w:rsidRPr="00B603E8">
        <w:t xml:space="preserve"> who, under similar circumstances, enter into contact with non-GLS providers. Naturally, </w:t>
      </w:r>
      <w:r w:rsidR="00A92A8C">
        <w:t>youth</w:t>
      </w:r>
      <w:r w:rsidRPr="00B603E8">
        <w:t xml:space="preserve"> identified as at risk of suicide are not randomly assigned to services received from either a GLS or non-GLS provider. Instead, propensity score matching techniques will be used to identify control cases that share key characteristics with these GLS cases, including demographics, suicide-related diagnoses, previous suicide attempts, mental health service, and prescription use. In the case of hospital claims data, it is possible to determine whether the patient died during hospitalization. Using this subset of claims data, it will also be possible to conduct similar analyses comparing the rate of this subset of suicide deaths among </w:t>
      </w:r>
      <w:r w:rsidR="00A92A8C">
        <w:t>youth</w:t>
      </w:r>
      <w:r w:rsidRPr="00B603E8">
        <w:t xml:space="preserve"> in contact with GLS providers to </w:t>
      </w:r>
      <w:r w:rsidR="00A92A8C">
        <w:t>youth</w:t>
      </w:r>
      <w:r w:rsidRPr="00B603E8">
        <w:t xml:space="preserve"> in contact with non-GLS providers.</w:t>
      </w:r>
    </w:p>
    <w:p w14:paraId="34C7F33F" w14:textId="6F86688B" w:rsidR="00D5605E" w:rsidRPr="00B603E8" w:rsidRDefault="00727065" w:rsidP="001E50ED">
      <w:pPr>
        <w:pStyle w:val="GLSBody"/>
        <w:keepNext/>
        <w:numPr>
          <w:ilvl w:val="0"/>
          <w:numId w:val="45"/>
        </w:numPr>
        <w:spacing w:before="240" w:after="120"/>
        <w:rPr>
          <w:rFonts w:ascii="Tw Cen MT" w:hAnsi="Tw Cen MT" w:cs="Arial"/>
          <w:b/>
          <w:sz w:val="28"/>
          <w:szCs w:val="28"/>
        </w:rPr>
      </w:pPr>
      <w:r w:rsidRPr="00B603E8">
        <w:rPr>
          <w:rFonts w:ascii="Tw Cen MT" w:hAnsi="Tw Cen MT" w:cs="Arial"/>
          <w:b/>
          <w:sz w:val="28"/>
          <w:szCs w:val="28"/>
        </w:rPr>
        <w:t>E</w:t>
      </w:r>
      <w:r w:rsidR="00D5605E" w:rsidRPr="00B603E8">
        <w:rPr>
          <w:rFonts w:ascii="Tw Cen MT" w:hAnsi="Tw Cen MT" w:cs="Arial"/>
          <w:b/>
          <w:sz w:val="28"/>
          <w:szCs w:val="28"/>
        </w:rPr>
        <w:t xml:space="preserve">cological </w:t>
      </w:r>
      <w:r w:rsidR="00CA75B9" w:rsidRPr="00B603E8">
        <w:rPr>
          <w:rFonts w:ascii="Tw Cen MT" w:hAnsi="Tw Cen MT" w:cs="Arial"/>
          <w:b/>
          <w:sz w:val="28"/>
          <w:szCs w:val="28"/>
        </w:rPr>
        <w:t xml:space="preserve">Analysis of </w:t>
      </w:r>
      <w:r w:rsidR="00D5605E" w:rsidRPr="00B603E8">
        <w:rPr>
          <w:rFonts w:ascii="Tw Cen MT" w:hAnsi="Tw Cen MT" w:cs="Arial"/>
          <w:b/>
          <w:sz w:val="28"/>
          <w:szCs w:val="28"/>
        </w:rPr>
        <w:t xml:space="preserve">Impact </w:t>
      </w:r>
    </w:p>
    <w:p w14:paraId="4E8F8389" w14:textId="6A59439B" w:rsidR="00A663E5" w:rsidRPr="00B603E8" w:rsidRDefault="00A663E5" w:rsidP="001E50ED">
      <w:pPr>
        <w:pStyle w:val="GLSBody"/>
        <w:spacing w:after="200"/>
        <w:rPr>
          <w:i/>
        </w:rPr>
      </w:pPr>
      <w:r w:rsidRPr="00B603E8">
        <w:rPr>
          <w:b/>
        </w:rPr>
        <w:t>EQ-4</w:t>
      </w:r>
      <w:r w:rsidR="001300F2" w:rsidRPr="00B603E8">
        <w:rPr>
          <w:b/>
        </w:rPr>
        <w:t>:</w:t>
      </w:r>
      <w:r w:rsidR="001300F2" w:rsidRPr="00B603E8">
        <w:rPr>
          <w:rFonts w:ascii="Tw Cen MT" w:hAnsi="Tw Cen MT"/>
          <w:b/>
        </w:rPr>
        <w:t xml:space="preserve"> </w:t>
      </w:r>
      <w:r w:rsidRPr="00B603E8">
        <w:rPr>
          <w:i/>
        </w:rPr>
        <w:t xml:space="preserve">Is there a reduction in suicide behavior in the areas exposed to GLS interventions compared with similar areas that were not exposed to those interventions?  </w:t>
      </w:r>
    </w:p>
    <w:p w14:paraId="28316A55" w14:textId="7B3645CF" w:rsidR="00757925" w:rsidRPr="00B603E8" w:rsidRDefault="00A3339A" w:rsidP="00045A50">
      <w:pPr>
        <w:pStyle w:val="GLSBody"/>
        <w:spacing w:after="200"/>
        <w:rPr>
          <w:i/>
        </w:rPr>
      </w:pPr>
      <w:r w:rsidRPr="00B603E8">
        <w:t xml:space="preserve">The ecological analysis of impact relies on comparing the change in outcomes (mortality, suicide attempts) in areas exposed to GLS interventions with the change observed in areas that were not exposed to those interventions during the same period. Naturally, GLS grantees did not randomly decide the areas and timing for implementation of GLS interventions. Although different approaches exist to handle potentially confounding variables, propensity score–based techniques, including matching and </w:t>
      </w:r>
      <w:proofErr w:type="spellStart"/>
      <w:r w:rsidRPr="00B603E8">
        <w:t>subclassification</w:t>
      </w:r>
      <w:proofErr w:type="spellEnd"/>
      <w:r w:rsidRPr="00B603E8">
        <w:t xml:space="preserve">, are appealing due to their reduced dependence on statistical assumptions. In addition, applying the same analysis to related variables that are not expected to be affected by GLS interventions (termed ‘control’ outcomes) offers additional protection against unmeasured confounding variables. </w:t>
      </w:r>
      <w:r w:rsidR="00757925" w:rsidRPr="00B603E8">
        <w:t xml:space="preserve">Exhibit </w:t>
      </w:r>
      <w:r w:rsidR="00DD1247" w:rsidRPr="00B603E8">
        <w:t>11</w:t>
      </w:r>
      <w:r w:rsidR="00757925" w:rsidRPr="00B603E8">
        <w:t xml:space="preserve"> outlines </w:t>
      </w:r>
      <w:r w:rsidRPr="00B603E8">
        <w:t>questions/</w:t>
      </w:r>
      <w:proofErr w:type="spellStart"/>
      <w:r w:rsidRPr="00B603E8">
        <w:t>subquestions</w:t>
      </w:r>
      <w:proofErr w:type="spellEnd"/>
      <w:r w:rsidR="00757925" w:rsidRPr="00B603E8">
        <w:t xml:space="preserve"> and contract year </w:t>
      </w:r>
      <w:r w:rsidRPr="00B603E8">
        <w:t xml:space="preserve">for the Ecological Impact Analysis.  </w:t>
      </w:r>
    </w:p>
    <w:p w14:paraId="24CF8FB6" w14:textId="17F19C23" w:rsidR="006669C0" w:rsidRPr="00B603E8" w:rsidRDefault="006669C0" w:rsidP="006669C0">
      <w:pPr>
        <w:pStyle w:val="GLSBody"/>
        <w:keepNext/>
        <w:spacing w:after="120"/>
        <w:rPr>
          <w:rFonts w:ascii="Tw Cen MT" w:hAnsi="Tw Cen MT" w:cs="Arial"/>
          <w:b/>
        </w:rPr>
      </w:pPr>
      <w:proofErr w:type="gramStart"/>
      <w:r w:rsidRPr="00B603E8">
        <w:rPr>
          <w:rFonts w:ascii="Tw Cen MT" w:hAnsi="Tw Cen MT" w:cs="Arial"/>
          <w:b/>
        </w:rPr>
        <w:t xml:space="preserve">Exhibit </w:t>
      </w:r>
      <w:r w:rsidR="00DD1247" w:rsidRPr="00B603E8">
        <w:rPr>
          <w:rFonts w:ascii="Tw Cen MT" w:hAnsi="Tw Cen MT" w:cs="Arial"/>
          <w:b/>
        </w:rPr>
        <w:t>11</w:t>
      </w:r>
      <w:r w:rsidRPr="00B603E8">
        <w:rPr>
          <w:rFonts w:ascii="Tw Cen MT" w:hAnsi="Tw Cen MT" w:cs="Arial"/>
          <w:b/>
        </w:rPr>
        <w:t>.</w:t>
      </w:r>
      <w:proofErr w:type="gramEnd"/>
      <w:r w:rsidRPr="00B603E8">
        <w:rPr>
          <w:rFonts w:ascii="Tw Cen MT" w:hAnsi="Tw Cen MT" w:cs="Arial"/>
          <w:b/>
        </w:rPr>
        <w:t xml:space="preserve"> Ecological </w:t>
      </w:r>
      <w:r w:rsidR="00BE674A" w:rsidRPr="00B603E8">
        <w:rPr>
          <w:rFonts w:ascii="Tw Cen MT" w:hAnsi="Tw Cen MT" w:cs="Arial"/>
          <w:b/>
        </w:rPr>
        <w:t>Impact Analysis</w:t>
      </w:r>
      <w:r w:rsidRPr="00B603E8">
        <w:rPr>
          <w:rFonts w:ascii="Tw Cen MT" w:hAnsi="Tw Cen MT" w:cs="Arial"/>
          <w:b/>
        </w:rPr>
        <w:t xml:space="preserve"> Questions and Timeline</w:t>
      </w:r>
    </w:p>
    <w:tbl>
      <w:tblPr>
        <w:tblStyle w:val="TableGrid2"/>
        <w:tblW w:w="93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9" w:type="dxa"/>
          <w:left w:w="58" w:type="dxa"/>
          <w:bottom w:w="29" w:type="dxa"/>
          <w:right w:w="58" w:type="dxa"/>
        </w:tblCellMar>
        <w:tblLook w:val="04A0" w:firstRow="1" w:lastRow="0" w:firstColumn="1" w:lastColumn="0" w:noHBand="0" w:noVBand="1"/>
      </w:tblPr>
      <w:tblGrid>
        <w:gridCol w:w="7560"/>
        <w:gridCol w:w="360"/>
        <w:gridCol w:w="360"/>
        <w:gridCol w:w="360"/>
        <w:gridCol w:w="360"/>
        <w:gridCol w:w="360"/>
      </w:tblGrid>
      <w:tr w:rsidR="006669C0" w:rsidRPr="00CF6DB0" w14:paraId="7FB19391" w14:textId="77777777" w:rsidTr="00CF6DB0">
        <w:trPr>
          <w:trHeight w:val="682"/>
          <w:jc w:val="center"/>
        </w:trPr>
        <w:tc>
          <w:tcPr>
            <w:tcW w:w="7560" w:type="dxa"/>
            <w:shd w:val="clear" w:color="auto" w:fill="404040" w:themeFill="text1" w:themeFillTint="BF"/>
            <w:vAlign w:val="center"/>
          </w:tcPr>
          <w:p w14:paraId="2E997A6F" w14:textId="1D277555" w:rsidR="006669C0" w:rsidRPr="00CF6DB0" w:rsidRDefault="00757925" w:rsidP="00CF6DB0">
            <w:pPr>
              <w:pStyle w:val="GLSTable1"/>
              <w:jc w:val="both"/>
              <w:rPr>
                <w:b w:val="0"/>
                <w:color w:val="FFFFFF" w:themeColor="background1"/>
                <w:sz w:val="22"/>
                <w:szCs w:val="22"/>
              </w:rPr>
            </w:pPr>
            <w:r w:rsidRPr="00CF6DB0">
              <w:rPr>
                <w:b w:val="0"/>
                <w:color w:val="FFFFFF" w:themeColor="background1"/>
                <w:sz w:val="22"/>
                <w:szCs w:val="22"/>
              </w:rPr>
              <w:t>EQ-4: Is there a reduction in suicide behavior in the areas exposed to GLS interventions compared with similar areas that were not exposed to those interventions?</w:t>
            </w:r>
          </w:p>
        </w:tc>
        <w:tc>
          <w:tcPr>
            <w:tcW w:w="360" w:type="dxa"/>
            <w:shd w:val="clear" w:color="auto" w:fill="404040" w:themeFill="text1" w:themeFillTint="BF"/>
            <w:textDirection w:val="btLr"/>
          </w:tcPr>
          <w:p w14:paraId="50FAB330" w14:textId="77777777" w:rsidR="006669C0" w:rsidRPr="00CF6DB0" w:rsidRDefault="006669C0" w:rsidP="00CF6DB0">
            <w:pPr>
              <w:pStyle w:val="GLSTable1"/>
              <w:spacing w:before="0" w:after="0"/>
              <w:jc w:val="left"/>
              <w:rPr>
                <w:b w:val="0"/>
                <w:color w:val="FFFFFF" w:themeColor="background1"/>
                <w:sz w:val="22"/>
                <w:szCs w:val="22"/>
              </w:rPr>
            </w:pPr>
            <w:r w:rsidRPr="00CF6DB0">
              <w:rPr>
                <w:b w:val="0"/>
                <w:color w:val="FFFFFF" w:themeColor="background1"/>
                <w:sz w:val="22"/>
                <w:szCs w:val="22"/>
              </w:rPr>
              <w:t>FY15</w:t>
            </w:r>
          </w:p>
        </w:tc>
        <w:tc>
          <w:tcPr>
            <w:tcW w:w="360" w:type="dxa"/>
            <w:shd w:val="clear" w:color="auto" w:fill="404040" w:themeFill="text1" w:themeFillTint="BF"/>
            <w:textDirection w:val="btLr"/>
          </w:tcPr>
          <w:p w14:paraId="3CB9217D" w14:textId="77777777" w:rsidR="006669C0" w:rsidRPr="00CF6DB0" w:rsidRDefault="006669C0" w:rsidP="00CF6DB0">
            <w:pPr>
              <w:pStyle w:val="GLSTable1"/>
              <w:spacing w:before="0" w:after="0"/>
              <w:jc w:val="left"/>
              <w:rPr>
                <w:b w:val="0"/>
                <w:color w:val="FFFFFF" w:themeColor="background1"/>
                <w:sz w:val="22"/>
                <w:szCs w:val="22"/>
              </w:rPr>
            </w:pPr>
            <w:r w:rsidRPr="00CF6DB0">
              <w:rPr>
                <w:b w:val="0"/>
                <w:color w:val="FFFFFF" w:themeColor="background1"/>
                <w:sz w:val="22"/>
                <w:szCs w:val="22"/>
              </w:rPr>
              <w:t>FY16</w:t>
            </w:r>
          </w:p>
        </w:tc>
        <w:tc>
          <w:tcPr>
            <w:tcW w:w="360" w:type="dxa"/>
            <w:shd w:val="clear" w:color="auto" w:fill="404040" w:themeFill="text1" w:themeFillTint="BF"/>
            <w:textDirection w:val="btLr"/>
          </w:tcPr>
          <w:p w14:paraId="25468537" w14:textId="77777777" w:rsidR="006669C0" w:rsidRPr="00CF6DB0" w:rsidRDefault="006669C0" w:rsidP="00CF6DB0">
            <w:pPr>
              <w:pStyle w:val="GLSTable1"/>
              <w:spacing w:before="0" w:after="0"/>
              <w:jc w:val="left"/>
              <w:rPr>
                <w:b w:val="0"/>
                <w:color w:val="FFFFFF" w:themeColor="background1"/>
                <w:sz w:val="22"/>
                <w:szCs w:val="22"/>
              </w:rPr>
            </w:pPr>
            <w:r w:rsidRPr="00CF6DB0">
              <w:rPr>
                <w:b w:val="0"/>
                <w:color w:val="FFFFFF" w:themeColor="background1"/>
                <w:sz w:val="22"/>
                <w:szCs w:val="22"/>
              </w:rPr>
              <w:t>FY17</w:t>
            </w:r>
          </w:p>
        </w:tc>
        <w:tc>
          <w:tcPr>
            <w:tcW w:w="360" w:type="dxa"/>
            <w:shd w:val="clear" w:color="auto" w:fill="404040" w:themeFill="text1" w:themeFillTint="BF"/>
            <w:textDirection w:val="btLr"/>
          </w:tcPr>
          <w:p w14:paraId="1D71496D" w14:textId="77777777" w:rsidR="006669C0" w:rsidRPr="00CF6DB0" w:rsidRDefault="006669C0" w:rsidP="00CF6DB0">
            <w:pPr>
              <w:pStyle w:val="GLSTable1"/>
              <w:spacing w:before="0" w:after="0"/>
              <w:jc w:val="left"/>
              <w:rPr>
                <w:b w:val="0"/>
                <w:color w:val="FFFFFF" w:themeColor="background1"/>
                <w:sz w:val="22"/>
                <w:szCs w:val="22"/>
              </w:rPr>
            </w:pPr>
            <w:r w:rsidRPr="00CF6DB0">
              <w:rPr>
                <w:b w:val="0"/>
                <w:color w:val="FFFFFF" w:themeColor="background1"/>
                <w:sz w:val="22"/>
                <w:szCs w:val="22"/>
              </w:rPr>
              <w:t>FY18</w:t>
            </w:r>
          </w:p>
        </w:tc>
        <w:tc>
          <w:tcPr>
            <w:tcW w:w="360" w:type="dxa"/>
            <w:shd w:val="clear" w:color="auto" w:fill="404040" w:themeFill="text1" w:themeFillTint="BF"/>
            <w:textDirection w:val="btLr"/>
          </w:tcPr>
          <w:p w14:paraId="1E1AA827" w14:textId="77777777" w:rsidR="006669C0" w:rsidRPr="00CF6DB0" w:rsidRDefault="006669C0" w:rsidP="00CF6DB0">
            <w:pPr>
              <w:pStyle w:val="GLSTable1"/>
              <w:spacing w:before="0" w:after="0"/>
              <w:jc w:val="left"/>
              <w:rPr>
                <w:b w:val="0"/>
                <w:color w:val="FFFFFF" w:themeColor="background1"/>
                <w:sz w:val="22"/>
                <w:szCs w:val="22"/>
              </w:rPr>
            </w:pPr>
            <w:r w:rsidRPr="00CF6DB0">
              <w:rPr>
                <w:b w:val="0"/>
                <w:color w:val="FFFFFF" w:themeColor="background1"/>
                <w:sz w:val="22"/>
                <w:szCs w:val="22"/>
              </w:rPr>
              <w:t>FY19</w:t>
            </w:r>
          </w:p>
        </w:tc>
      </w:tr>
      <w:tr w:rsidR="006669C0" w:rsidRPr="00CF6DB0" w14:paraId="2C136FC9" w14:textId="77777777" w:rsidTr="00CF6DB0">
        <w:trPr>
          <w:trHeight w:val="20"/>
          <w:jc w:val="center"/>
        </w:trPr>
        <w:tc>
          <w:tcPr>
            <w:tcW w:w="7560" w:type="dxa"/>
          </w:tcPr>
          <w:p w14:paraId="797ACDEC" w14:textId="04B845B1" w:rsidR="006669C0" w:rsidRPr="00CF6DB0" w:rsidRDefault="006669C0" w:rsidP="00CF6DB0">
            <w:pPr>
              <w:pStyle w:val="GLSTable3"/>
              <w:spacing w:line="216" w:lineRule="auto"/>
              <w:jc w:val="both"/>
              <w:rPr>
                <w:sz w:val="22"/>
                <w:szCs w:val="22"/>
              </w:rPr>
            </w:pPr>
            <w:r w:rsidRPr="00CF6DB0">
              <w:rPr>
                <w:b/>
                <w:sz w:val="22"/>
                <w:szCs w:val="22"/>
              </w:rPr>
              <w:t>4.1:</w:t>
            </w:r>
            <w:r w:rsidRPr="00CF6DB0">
              <w:rPr>
                <w:sz w:val="22"/>
                <w:szCs w:val="22"/>
              </w:rPr>
              <w:t xml:space="preserve"> Is there a reduction in suicide mortality in </w:t>
            </w:r>
            <w:r w:rsidR="00A92A8C">
              <w:rPr>
                <w:sz w:val="22"/>
                <w:szCs w:val="22"/>
              </w:rPr>
              <w:t>youth</w:t>
            </w:r>
            <w:r w:rsidRPr="00CF6DB0">
              <w:rPr>
                <w:sz w:val="22"/>
                <w:szCs w:val="22"/>
              </w:rPr>
              <w:t xml:space="preserve"> aged 10–18 following implementation of school-based suicide prevention strategies during 2006–2011? Is the difference associated with the level of ‘saturation’ of teachers and school staff with trainings?</w:t>
            </w:r>
          </w:p>
        </w:tc>
        <w:tc>
          <w:tcPr>
            <w:tcW w:w="360" w:type="dxa"/>
            <w:vAlign w:val="center"/>
          </w:tcPr>
          <w:p w14:paraId="773ADE20" w14:textId="77777777" w:rsidR="006669C0" w:rsidRPr="00CF6DB0" w:rsidRDefault="006669C0" w:rsidP="00701A61">
            <w:pPr>
              <w:pStyle w:val="GLSTable3"/>
              <w:spacing w:line="216" w:lineRule="auto"/>
              <w:jc w:val="center"/>
              <w:rPr>
                <w:sz w:val="22"/>
                <w:szCs w:val="22"/>
              </w:rPr>
            </w:pPr>
            <w:r w:rsidRPr="00CF6DB0">
              <w:rPr>
                <w:sz w:val="22"/>
                <w:szCs w:val="22"/>
              </w:rPr>
              <w:t>X</w:t>
            </w:r>
          </w:p>
        </w:tc>
        <w:tc>
          <w:tcPr>
            <w:tcW w:w="360" w:type="dxa"/>
            <w:vAlign w:val="center"/>
          </w:tcPr>
          <w:p w14:paraId="28687A85" w14:textId="77777777" w:rsidR="006669C0" w:rsidRPr="00CF6DB0" w:rsidRDefault="006669C0" w:rsidP="00701A61">
            <w:pPr>
              <w:pStyle w:val="GLSTable3"/>
              <w:spacing w:line="216" w:lineRule="auto"/>
              <w:jc w:val="center"/>
              <w:rPr>
                <w:sz w:val="22"/>
                <w:szCs w:val="22"/>
              </w:rPr>
            </w:pPr>
          </w:p>
        </w:tc>
        <w:tc>
          <w:tcPr>
            <w:tcW w:w="360" w:type="dxa"/>
            <w:vAlign w:val="center"/>
          </w:tcPr>
          <w:p w14:paraId="4B3114C3" w14:textId="77777777" w:rsidR="006669C0" w:rsidRPr="00CF6DB0" w:rsidRDefault="006669C0" w:rsidP="00701A61">
            <w:pPr>
              <w:pStyle w:val="GLSTable3"/>
              <w:spacing w:line="216" w:lineRule="auto"/>
              <w:jc w:val="center"/>
              <w:rPr>
                <w:sz w:val="22"/>
                <w:szCs w:val="22"/>
              </w:rPr>
            </w:pPr>
          </w:p>
        </w:tc>
        <w:tc>
          <w:tcPr>
            <w:tcW w:w="360" w:type="dxa"/>
            <w:vAlign w:val="center"/>
          </w:tcPr>
          <w:p w14:paraId="34F64B84" w14:textId="77777777" w:rsidR="006669C0" w:rsidRPr="00CF6DB0" w:rsidRDefault="006669C0" w:rsidP="00701A61">
            <w:pPr>
              <w:pStyle w:val="GLSTable3"/>
              <w:spacing w:line="216" w:lineRule="auto"/>
              <w:jc w:val="center"/>
              <w:rPr>
                <w:sz w:val="22"/>
                <w:szCs w:val="22"/>
              </w:rPr>
            </w:pPr>
          </w:p>
        </w:tc>
        <w:tc>
          <w:tcPr>
            <w:tcW w:w="360" w:type="dxa"/>
            <w:vAlign w:val="center"/>
          </w:tcPr>
          <w:p w14:paraId="67BBD626" w14:textId="77777777" w:rsidR="006669C0" w:rsidRPr="00CF6DB0" w:rsidRDefault="006669C0" w:rsidP="00701A61">
            <w:pPr>
              <w:pStyle w:val="GLSTable3"/>
              <w:spacing w:line="216" w:lineRule="auto"/>
              <w:jc w:val="center"/>
              <w:rPr>
                <w:sz w:val="22"/>
                <w:szCs w:val="22"/>
              </w:rPr>
            </w:pPr>
          </w:p>
        </w:tc>
      </w:tr>
      <w:tr w:rsidR="006669C0" w:rsidRPr="00CF6DB0" w14:paraId="6C08D6FA" w14:textId="77777777" w:rsidTr="00CF6DB0">
        <w:trPr>
          <w:trHeight w:val="20"/>
          <w:jc w:val="center"/>
        </w:trPr>
        <w:tc>
          <w:tcPr>
            <w:tcW w:w="7560" w:type="dxa"/>
          </w:tcPr>
          <w:p w14:paraId="00B42ECA" w14:textId="0842A628" w:rsidR="006669C0" w:rsidRPr="00CF6DB0" w:rsidRDefault="006669C0" w:rsidP="00CF6DB0">
            <w:pPr>
              <w:pStyle w:val="GLSTable3"/>
              <w:spacing w:line="216" w:lineRule="auto"/>
              <w:jc w:val="both"/>
              <w:rPr>
                <w:sz w:val="22"/>
                <w:szCs w:val="22"/>
              </w:rPr>
            </w:pPr>
            <w:r w:rsidRPr="00CF6DB0">
              <w:rPr>
                <w:b/>
                <w:sz w:val="22"/>
                <w:szCs w:val="22"/>
              </w:rPr>
              <w:t>4.2:</w:t>
            </w:r>
            <w:r w:rsidRPr="00CF6DB0">
              <w:rPr>
                <w:sz w:val="22"/>
                <w:szCs w:val="22"/>
              </w:rPr>
              <w:t xml:space="preserve"> Is there a reduction in suicide mortality and attempts in </w:t>
            </w:r>
            <w:r w:rsidR="00A92A8C">
              <w:rPr>
                <w:sz w:val="22"/>
                <w:szCs w:val="22"/>
              </w:rPr>
              <w:t>youth</w:t>
            </w:r>
            <w:r w:rsidRPr="00CF6DB0">
              <w:rPr>
                <w:sz w:val="22"/>
                <w:szCs w:val="22"/>
              </w:rPr>
              <w:t xml:space="preserve"> aged 19–24 following the implementation of higher education–based prevention strategies during 2006–2011?</w:t>
            </w:r>
          </w:p>
        </w:tc>
        <w:tc>
          <w:tcPr>
            <w:tcW w:w="360" w:type="dxa"/>
            <w:vAlign w:val="center"/>
          </w:tcPr>
          <w:p w14:paraId="1B73BAC6" w14:textId="77777777" w:rsidR="006669C0" w:rsidRPr="00CF6DB0" w:rsidRDefault="006669C0" w:rsidP="00701A61">
            <w:pPr>
              <w:pStyle w:val="GLSTable3"/>
              <w:spacing w:line="216" w:lineRule="auto"/>
              <w:jc w:val="center"/>
              <w:rPr>
                <w:sz w:val="22"/>
                <w:szCs w:val="22"/>
              </w:rPr>
            </w:pPr>
          </w:p>
        </w:tc>
        <w:tc>
          <w:tcPr>
            <w:tcW w:w="360" w:type="dxa"/>
            <w:vAlign w:val="center"/>
          </w:tcPr>
          <w:p w14:paraId="41D10B08" w14:textId="77777777" w:rsidR="006669C0" w:rsidRPr="00CF6DB0" w:rsidRDefault="006669C0" w:rsidP="00701A61">
            <w:pPr>
              <w:pStyle w:val="GLSTable3"/>
              <w:spacing w:line="216" w:lineRule="auto"/>
              <w:jc w:val="center"/>
              <w:rPr>
                <w:sz w:val="22"/>
                <w:szCs w:val="22"/>
              </w:rPr>
            </w:pPr>
            <w:r w:rsidRPr="00CF6DB0">
              <w:rPr>
                <w:sz w:val="22"/>
                <w:szCs w:val="22"/>
              </w:rPr>
              <w:t>X</w:t>
            </w:r>
          </w:p>
        </w:tc>
        <w:tc>
          <w:tcPr>
            <w:tcW w:w="360" w:type="dxa"/>
            <w:vAlign w:val="center"/>
          </w:tcPr>
          <w:p w14:paraId="0BA113BB" w14:textId="77777777" w:rsidR="006669C0" w:rsidRPr="00CF6DB0" w:rsidRDefault="006669C0" w:rsidP="00701A61">
            <w:pPr>
              <w:pStyle w:val="GLSTable3"/>
              <w:spacing w:line="216" w:lineRule="auto"/>
              <w:jc w:val="center"/>
              <w:rPr>
                <w:sz w:val="22"/>
                <w:szCs w:val="22"/>
              </w:rPr>
            </w:pPr>
          </w:p>
        </w:tc>
        <w:tc>
          <w:tcPr>
            <w:tcW w:w="360" w:type="dxa"/>
            <w:vAlign w:val="center"/>
          </w:tcPr>
          <w:p w14:paraId="3D7E9240" w14:textId="77777777" w:rsidR="006669C0" w:rsidRPr="00CF6DB0" w:rsidRDefault="006669C0" w:rsidP="00701A61">
            <w:pPr>
              <w:pStyle w:val="GLSTable3"/>
              <w:spacing w:line="216" w:lineRule="auto"/>
              <w:jc w:val="center"/>
              <w:rPr>
                <w:sz w:val="22"/>
                <w:szCs w:val="22"/>
              </w:rPr>
            </w:pPr>
          </w:p>
        </w:tc>
        <w:tc>
          <w:tcPr>
            <w:tcW w:w="360" w:type="dxa"/>
            <w:vAlign w:val="center"/>
          </w:tcPr>
          <w:p w14:paraId="3BBD6642" w14:textId="77777777" w:rsidR="006669C0" w:rsidRPr="00CF6DB0" w:rsidRDefault="006669C0" w:rsidP="00701A61">
            <w:pPr>
              <w:pStyle w:val="GLSTable3"/>
              <w:spacing w:line="216" w:lineRule="auto"/>
              <w:jc w:val="center"/>
              <w:rPr>
                <w:sz w:val="22"/>
                <w:szCs w:val="22"/>
              </w:rPr>
            </w:pPr>
          </w:p>
        </w:tc>
      </w:tr>
      <w:tr w:rsidR="006669C0" w:rsidRPr="00CF6DB0" w14:paraId="09F3274D" w14:textId="77777777" w:rsidTr="00CF6DB0">
        <w:trPr>
          <w:trHeight w:val="20"/>
          <w:jc w:val="center"/>
        </w:trPr>
        <w:tc>
          <w:tcPr>
            <w:tcW w:w="7560" w:type="dxa"/>
          </w:tcPr>
          <w:p w14:paraId="75ED5600" w14:textId="2D09422D" w:rsidR="00CF6DB0" w:rsidRDefault="00CF6DB0" w:rsidP="00CF6DB0">
            <w:pPr>
              <w:pStyle w:val="GLSTable3"/>
              <w:spacing w:after="120" w:line="216" w:lineRule="auto"/>
              <w:jc w:val="both"/>
              <w:rPr>
                <w:b/>
                <w:sz w:val="22"/>
                <w:szCs w:val="22"/>
              </w:rPr>
            </w:pPr>
            <w:r>
              <w:rPr>
                <w:b/>
                <w:sz w:val="22"/>
                <w:szCs w:val="22"/>
              </w:rPr>
              <w:t>Other Potential Questions</w:t>
            </w:r>
          </w:p>
          <w:p w14:paraId="7C2082C0" w14:textId="3FA23B5E" w:rsidR="006669C0" w:rsidRPr="00CF6DB0" w:rsidRDefault="006669C0" w:rsidP="00370F0A">
            <w:pPr>
              <w:pStyle w:val="GLSTable3"/>
              <w:spacing w:after="120" w:line="216" w:lineRule="auto"/>
              <w:jc w:val="both"/>
              <w:rPr>
                <w:i/>
                <w:sz w:val="22"/>
                <w:szCs w:val="22"/>
              </w:rPr>
            </w:pPr>
            <w:r w:rsidRPr="00CF6DB0">
              <w:rPr>
                <w:b/>
                <w:i/>
                <w:sz w:val="22"/>
                <w:szCs w:val="22"/>
              </w:rPr>
              <w:t>4.3:</w:t>
            </w:r>
            <w:r w:rsidRPr="00CF6DB0">
              <w:rPr>
                <w:i/>
                <w:sz w:val="22"/>
                <w:szCs w:val="22"/>
              </w:rPr>
              <w:t xml:space="preserve"> Is there a reduction in suicide mortality and attempts in </w:t>
            </w:r>
            <w:r w:rsidR="00A92A8C">
              <w:rPr>
                <w:i/>
                <w:sz w:val="22"/>
                <w:szCs w:val="22"/>
              </w:rPr>
              <w:t>youth</w:t>
            </w:r>
            <w:r w:rsidRPr="00CF6DB0">
              <w:rPr>
                <w:i/>
                <w:sz w:val="22"/>
                <w:szCs w:val="22"/>
              </w:rPr>
              <w:t xml:space="preserve"> aged 19–24 following the implementation of GLS trainings in community settings?</w:t>
            </w:r>
          </w:p>
          <w:p w14:paraId="06450CC5" w14:textId="34B55DF6" w:rsidR="006669C0" w:rsidRPr="00CF6DB0" w:rsidRDefault="006669C0" w:rsidP="00370F0A">
            <w:pPr>
              <w:pStyle w:val="GLSTable3"/>
              <w:spacing w:line="216" w:lineRule="auto"/>
              <w:jc w:val="both"/>
              <w:rPr>
                <w:sz w:val="22"/>
                <w:szCs w:val="22"/>
              </w:rPr>
            </w:pPr>
            <w:r w:rsidRPr="00CF6DB0">
              <w:rPr>
                <w:b/>
                <w:i/>
                <w:sz w:val="22"/>
                <w:szCs w:val="22"/>
              </w:rPr>
              <w:t>4.4:</w:t>
            </w:r>
            <w:r w:rsidRPr="00CF6DB0">
              <w:rPr>
                <w:i/>
                <w:sz w:val="22"/>
                <w:szCs w:val="22"/>
              </w:rPr>
              <w:t xml:space="preserve"> Is there a reduction in self-inflicted injury requiring hospitalization in </w:t>
            </w:r>
            <w:r w:rsidR="00A92A8C">
              <w:rPr>
                <w:i/>
                <w:sz w:val="22"/>
                <w:szCs w:val="22"/>
              </w:rPr>
              <w:t>youth</w:t>
            </w:r>
            <w:r w:rsidRPr="00CF6DB0">
              <w:rPr>
                <w:i/>
                <w:sz w:val="22"/>
                <w:szCs w:val="22"/>
              </w:rPr>
              <w:t xml:space="preserve"> aged 10–24 following GLS training implementation in 20 States? (HCUP—State Emergency Department Databases/State Inpatient Databases; </w:t>
            </w:r>
            <w:proofErr w:type="spellStart"/>
            <w:r w:rsidRPr="00CF6DB0">
              <w:rPr>
                <w:i/>
                <w:sz w:val="22"/>
                <w:szCs w:val="22"/>
              </w:rPr>
              <w:t>Truven</w:t>
            </w:r>
            <w:proofErr w:type="spellEnd"/>
            <w:r w:rsidRPr="00CF6DB0">
              <w:rPr>
                <w:i/>
                <w:sz w:val="22"/>
                <w:szCs w:val="22"/>
              </w:rPr>
              <w:t>)</w:t>
            </w:r>
          </w:p>
        </w:tc>
        <w:tc>
          <w:tcPr>
            <w:tcW w:w="360" w:type="dxa"/>
            <w:vAlign w:val="center"/>
          </w:tcPr>
          <w:p w14:paraId="22078F5A" w14:textId="77777777" w:rsidR="006669C0" w:rsidRPr="00CF6DB0" w:rsidRDefault="006669C0" w:rsidP="00701A61">
            <w:pPr>
              <w:pStyle w:val="GLSTable3"/>
              <w:spacing w:line="216" w:lineRule="auto"/>
              <w:jc w:val="center"/>
              <w:rPr>
                <w:sz w:val="22"/>
                <w:szCs w:val="22"/>
              </w:rPr>
            </w:pPr>
          </w:p>
        </w:tc>
        <w:tc>
          <w:tcPr>
            <w:tcW w:w="360" w:type="dxa"/>
            <w:vAlign w:val="center"/>
          </w:tcPr>
          <w:p w14:paraId="17132280" w14:textId="77777777" w:rsidR="006669C0" w:rsidRPr="00CF6DB0" w:rsidRDefault="006669C0" w:rsidP="00701A61">
            <w:pPr>
              <w:pStyle w:val="GLSTable3"/>
              <w:spacing w:line="216" w:lineRule="auto"/>
              <w:jc w:val="center"/>
              <w:rPr>
                <w:sz w:val="22"/>
                <w:szCs w:val="22"/>
              </w:rPr>
            </w:pPr>
            <w:r w:rsidRPr="00CF6DB0">
              <w:rPr>
                <w:sz w:val="22"/>
                <w:szCs w:val="22"/>
              </w:rPr>
              <w:t>X</w:t>
            </w:r>
          </w:p>
        </w:tc>
        <w:tc>
          <w:tcPr>
            <w:tcW w:w="360" w:type="dxa"/>
            <w:vAlign w:val="center"/>
          </w:tcPr>
          <w:p w14:paraId="541F41D2" w14:textId="77777777" w:rsidR="006669C0" w:rsidRPr="00CF6DB0" w:rsidRDefault="006669C0" w:rsidP="00701A61">
            <w:pPr>
              <w:pStyle w:val="GLSTable3"/>
              <w:spacing w:line="216" w:lineRule="auto"/>
              <w:jc w:val="center"/>
              <w:rPr>
                <w:sz w:val="22"/>
                <w:szCs w:val="22"/>
              </w:rPr>
            </w:pPr>
            <w:r w:rsidRPr="00CF6DB0">
              <w:rPr>
                <w:sz w:val="22"/>
                <w:szCs w:val="22"/>
              </w:rPr>
              <w:t>X</w:t>
            </w:r>
          </w:p>
        </w:tc>
        <w:tc>
          <w:tcPr>
            <w:tcW w:w="360" w:type="dxa"/>
            <w:vAlign w:val="center"/>
          </w:tcPr>
          <w:p w14:paraId="4E2CED67" w14:textId="77777777" w:rsidR="006669C0" w:rsidRPr="00CF6DB0" w:rsidRDefault="006669C0" w:rsidP="00701A61">
            <w:pPr>
              <w:pStyle w:val="GLSTable3"/>
              <w:spacing w:line="216" w:lineRule="auto"/>
              <w:jc w:val="center"/>
              <w:rPr>
                <w:sz w:val="22"/>
                <w:szCs w:val="22"/>
              </w:rPr>
            </w:pPr>
            <w:r w:rsidRPr="00CF6DB0">
              <w:rPr>
                <w:sz w:val="22"/>
                <w:szCs w:val="22"/>
              </w:rPr>
              <w:t>X</w:t>
            </w:r>
          </w:p>
        </w:tc>
        <w:tc>
          <w:tcPr>
            <w:tcW w:w="360" w:type="dxa"/>
            <w:vAlign w:val="center"/>
          </w:tcPr>
          <w:p w14:paraId="2C9C79A3" w14:textId="77777777" w:rsidR="006669C0" w:rsidRPr="00CF6DB0" w:rsidRDefault="006669C0" w:rsidP="00701A61">
            <w:pPr>
              <w:pStyle w:val="GLSTable3"/>
              <w:spacing w:line="216" w:lineRule="auto"/>
              <w:jc w:val="center"/>
              <w:rPr>
                <w:sz w:val="22"/>
                <w:szCs w:val="22"/>
              </w:rPr>
            </w:pPr>
          </w:p>
        </w:tc>
      </w:tr>
    </w:tbl>
    <w:p w14:paraId="75CB7A7F" w14:textId="4A6A76FE" w:rsidR="00D5605E" w:rsidRPr="00B603E8" w:rsidRDefault="00D5605E" w:rsidP="00045A50">
      <w:pPr>
        <w:pStyle w:val="GLSBody"/>
        <w:spacing w:before="240" w:after="200"/>
      </w:pPr>
      <w:r w:rsidRPr="00B603E8">
        <w:t>The ecological analysis of impact takes advantage of the availability of three types of information for relatively small areas (</w:t>
      </w:r>
      <w:r w:rsidR="00225DF2" w:rsidRPr="00B603E8">
        <w:t xml:space="preserve">e.g., </w:t>
      </w:r>
      <w:r w:rsidRPr="00B603E8">
        <w:t xml:space="preserve">county): </w:t>
      </w:r>
    </w:p>
    <w:p w14:paraId="1A274656" w14:textId="77777777" w:rsidR="00D5605E" w:rsidRPr="00B603E8" w:rsidRDefault="00D5605E" w:rsidP="00045A50">
      <w:pPr>
        <w:pStyle w:val="GLSBody"/>
        <w:numPr>
          <w:ilvl w:val="0"/>
          <w:numId w:val="28"/>
        </w:numPr>
        <w:spacing w:after="60"/>
        <w:jc w:val="left"/>
      </w:pPr>
      <w:r w:rsidRPr="00B603E8">
        <w:rPr>
          <w:b/>
        </w:rPr>
        <w:t>Primary data</w:t>
      </w:r>
      <w:r w:rsidRPr="00B603E8">
        <w:t xml:space="preserve"> from the NOE and previous cross-evaluation design measuring program activities and outputs since program inception </w:t>
      </w:r>
    </w:p>
    <w:p w14:paraId="6FC20FCE" w14:textId="77777777" w:rsidR="00D5605E" w:rsidRPr="00B603E8" w:rsidRDefault="00D5605E" w:rsidP="00045A50">
      <w:pPr>
        <w:pStyle w:val="GLSBody"/>
        <w:numPr>
          <w:ilvl w:val="0"/>
          <w:numId w:val="28"/>
        </w:numPr>
        <w:spacing w:after="60"/>
        <w:jc w:val="left"/>
      </w:pPr>
      <w:r w:rsidRPr="00B603E8">
        <w:t xml:space="preserve">Large </w:t>
      </w:r>
      <w:r w:rsidRPr="00B603E8">
        <w:rPr>
          <w:b/>
        </w:rPr>
        <w:t>extant data sets</w:t>
      </w:r>
      <w:r w:rsidRPr="00B603E8">
        <w:t xml:space="preserve"> capturing suicide mortality and nonfatal attempts for long periods of time before GLS Suicide Prevention Program inception (i.e., Centers for Disease Control and Prevention’s [CDC’s] Compressed Mortality Files and SAMHSA’s National Survey on Drug Use and Health); </w:t>
      </w:r>
    </w:p>
    <w:p w14:paraId="02E54561" w14:textId="77777777" w:rsidR="00D5605E" w:rsidRPr="00B603E8" w:rsidRDefault="00D5605E" w:rsidP="00045A50">
      <w:pPr>
        <w:pStyle w:val="GLSBody"/>
        <w:numPr>
          <w:ilvl w:val="0"/>
          <w:numId w:val="28"/>
        </w:numPr>
        <w:spacing w:after="200"/>
        <w:jc w:val="left"/>
      </w:pPr>
      <w:r w:rsidRPr="00B603E8">
        <w:rPr>
          <w:b/>
        </w:rPr>
        <w:t>Secondary data</w:t>
      </w:r>
      <w:r w:rsidRPr="00B603E8">
        <w:t xml:space="preserve"> on a rich set of potential confounding variables, including unemployment, income, and health insurance coverage. </w:t>
      </w:r>
    </w:p>
    <w:p w14:paraId="047330F3" w14:textId="0BB85BD0" w:rsidR="00D5605E" w:rsidRPr="00B603E8" w:rsidRDefault="00F80F9E" w:rsidP="00045A50">
      <w:pPr>
        <w:pStyle w:val="GLSBody"/>
        <w:spacing w:after="200"/>
      </w:pPr>
      <w:r w:rsidRPr="00B603E8">
        <w:t>ICF has identified additional sources containing pertinent outcome information. Although promising, accessibility issues, particularly regarding key data elements that would allow the integration with primary data collected through the national evaluation (such as small area identifiers), have not been entirely resolved. Additional sources include: Healthcare Cost and Utilization Project</w:t>
      </w:r>
      <w:r w:rsidRPr="00B603E8">
        <w:rPr>
          <w:color w:val="FF0000"/>
        </w:rPr>
        <w:t xml:space="preserve"> </w:t>
      </w:r>
      <w:r w:rsidRPr="00B603E8">
        <w:t>(HCUP), Center for Collegiate Mental Health (CCMH), and the National College Health Assessment (NCHA</w:t>
      </w:r>
      <w:r w:rsidR="00CD1EEF" w:rsidRPr="00B603E8">
        <w:t>).</w:t>
      </w:r>
      <w:r w:rsidR="00377228" w:rsidRPr="00B603E8">
        <w:t xml:space="preserve"> </w:t>
      </w:r>
      <w:r w:rsidR="00D5605E" w:rsidRPr="00B603E8">
        <w:t>The ecological analysis of impac</w:t>
      </w:r>
      <w:r w:rsidR="00D5605E" w:rsidRPr="00B603E8">
        <w:rPr>
          <w:rStyle w:val="GLSBodyChar"/>
        </w:rPr>
        <w:t>t</w:t>
      </w:r>
      <w:r w:rsidR="00D5605E" w:rsidRPr="00B603E8">
        <w:t xml:space="preserve"> integrates information on program activities collected through the national evaluation with outcomes and covariate information from secondary sources. Sources and possible indicators by type of variable are presented in </w:t>
      </w:r>
      <w:r w:rsidRPr="00B603E8">
        <w:t xml:space="preserve">Exhibit </w:t>
      </w:r>
      <w:r w:rsidR="00DD1247" w:rsidRPr="00B603E8">
        <w:t>12</w:t>
      </w:r>
      <w:r w:rsidR="00D5605E" w:rsidRPr="00B603E8">
        <w:t xml:space="preserve">. </w:t>
      </w:r>
    </w:p>
    <w:p w14:paraId="52299E50" w14:textId="187C1E09" w:rsidR="00D5605E" w:rsidRPr="00B603E8" w:rsidRDefault="00CD1EEF" w:rsidP="00F749FB">
      <w:pPr>
        <w:pStyle w:val="GLSTableExhibit"/>
        <w:jc w:val="left"/>
        <w:rPr>
          <w:color w:val="auto"/>
        </w:rPr>
      </w:pPr>
      <w:proofErr w:type="gramStart"/>
      <w:r w:rsidRPr="00B603E8">
        <w:rPr>
          <w:color w:val="auto"/>
        </w:rPr>
        <w:t xml:space="preserve">Exhibit </w:t>
      </w:r>
      <w:r w:rsidR="00DD1247" w:rsidRPr="00B603E8">
        <w:rPr>
          <w:color w:val="auto"/>
        </w:rPr>
        <w:t>12</w:t>
      </w:r>
      <w:r w:rsidR="00D5605E" w:rsidRPr="00B603E8">
        <w:rPr>
          <w:color w:val="auto"/>
        </w:rPr>
        <w:t>.</w:t>
      </w:r>
      <w:proofErr w:type="gramEnd"/>
      <w:r w:rsidR="00D5605E" w:rsidRPr="00B603E8">
        <w:rPr>
          <w:color w:val="auto"/>
        </w:rPr>
        <w:t xml:space="preserve"> </w:t>
      </w:r>
      <w:r w:rsidR="00BE674A" w:rsidRPr="00B603E8">
        <w:rPr>
          <w:color w:val="auto"/>
        </w:rPr>
        <w:t xml:space="preserve">Possible Indicators and </w:t>
      </w:r>
      <w:r w:rsidR="00D5605E" w:rsidRPr="00B603E8">
        <w:rPr>
          <w:color w:val="auto"/>
        </w:rPr>
        <w:t>Sources by Variable</w:t>
      </w:r>
      <w:r w:rsidR="00BE674A" w:rsidRPr="00B603E8">
        <w:rPr>
          <w:color w:val="auto"/>
        </w:rPr>
        <w:t xml:space="preserve"> Type</w:t>
      </w:r>
    </w:p>
    <w:tbl>
      <w:tblPr>
        <w:tblStyle w:val="TableGrid11"/>
        <w:tblW w:w="93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15" w:type="dxa"/>
          <w:right w:w="115" w:type="dxa"/>
        </w:tblCellMar>
        <w:tblLook w:val="04A0" w:firstRow="1" w:lastRow="0" w:firstColumn="1" w:lastColumn="0" w:noHBand="0" w:noVBand="1"/>
      </w:tblPr>
      <w:tblGrid>
        <w:gridCol w:w="1880"/>
        <w:gridCol w:w="3690"/>
        <w:gridCol w:w="3790"/>
      </w:tblGrid>
      <w:tr w:rsidR="00D5605E" w:rsidRPr="00CF6DB0" w14:paraId="55C39CD0" w14:textId="77777777" w:rsidTr="00CF6DB0">
        <w:trPr>
          <w:trHeight w:val="430"/>
          <w:tblHeader/>
          <w:jc w:val="center"/>
        </w:trPr>
        <w:tc>
          <w:tcPr>
            <w:tcW w:w="1880" w:type="dxa"/>
            <w:tcBorders>
              <w:bottom w:val="single" w:sz="8" w:space="0" w:color="auto"/>
            </w:tcBorders>
            <w:shd w:val="clear" w:color="auto" w:fill="404040" w:themeFill="text1" w:themeFillTint="BF"/>
            <w:vAlign w:val="center"/>
          </w:tcPr>
          <w:p w14:paraId="21AB3A35" w14:textId="77777777" w:rsidR="00D5605E" w:rsidRPr="00CF6DB0" w:rsidRDefault="00D5605E" w:rsidP="00D5605E">
            <w:pPr>
              <w:pStyle w:val="GLSTable1"/>
              <w:rPr>
                <w:b w:val="0"/>
                <w:color w:val="FFFFFF" w:themeColor="background1"/>
                <w:sz w:val="22"/>
                <w:szCs w:val="22"/>
              </w:rPr>
            </w:pPr>
            <w:r w:rsidRPr="00CF6DB0">
              <w:rPr>
                <w:b w:val="0"/>
                <w:color w:val="FFFFFF" w:themeColor="background1"/>
                <w:sz w:val="22"/>
                <w:szCs w:val="22"/>
              </w:rPr>
              <w:t>Type of Variable</w:t>
            </w:r>
          </w:p>
        </w:tc>
        <w:tc>
          <w:tcPr>
            <w:tcW w:w="3690" w:type="dxa"/>
            <w:tcBorders>
              <w:bottom w:val="single" w:sz="8" w:space="0" w:color="auto"/>
            </w:tcBorders>
            <w:shd w:val="clear" w:color="auto" w:fill="404040" w:themeFill="text1" w:themeFillTint="BF"/>
            <w:vAlign w:val="center"/>
          </w:tcPr>
          <w:p w14:paraId="40E4C03F" w14:textId="77777777" w:rsidR="00D5605E" w:rsidRPr="00CF6DB0" w:rsidRDefault="00D5605E" w:rsidP="00D5605E">
            <w:pPr>
              <w:pStyle w:val="GLSTable1"/>
              <w:rPr>
                <w:b w:val="0"/>
                <w:color w:val="FFFFFF" w:themeColor="background1"/>
                <w:sz w:val="22"/>
                <w:szCs w:val="22"/>
              </w:rPr>
            </w:pPr>
            <w:r w:rsidRPr="00CF6DB0">
              <w:rPr>
                <w:b w:val="0"/>
                <w:color w:val="FFFFFF" w:themeColor="background1"/>
                <w:sz w:val="22"/>
                <w:szCs w:val="22"/>
              </w:rPr>
              <w:t>Indicator</w:t>
            </w:r>
          </w:p>
        </w:tc>
        <w:tc>
          <w:tcPr>
            <w:tcW w:w="3790" w:type="dxa"/>
            <w:shd w:val="clear" w:color="auto" w:fill="404040" w:themeFill="text1" w:themeFillTint="BF"/>
            <w:vAlign w:val="center"/>
          </w:tcPr>
          <w:p w14:paraId="22B0052F" w14:textId="77777777" w:rsidR="00D5605E" w:rsidRPr="00CF6DB0" w:rsidRDefault="00D5605E" w:rsidP="00D5605E">
            <w:pPr>
              <w:pStyle w:val="GLSTable1"/>
              <w:rPr>
                <w:b w:val="0"/>
                <w:color w:val="FFFFFF" w:themeColor="background1"/>
                <w:sz w:val="22"/>
                <w:szCs w:val="22"/>
              </w:rPr>
            </w:pPr>
            <w:r w:rsidRPr="00CF6DB0">
              <w:rPr>
                <w:b w:val="0"/>
                <w:color w:val="FFFFFF" w:themeColor="background1"/>
                <w:sz w:val="22"/>
                <w:szCs w:val="22"/>
              </w:rPr>
              <w:t>Source</w:t>
            </w:r>
          </w:p>
        </w:tc>
      </w:tr>
      <w:tr w:rsidR="00D5605E" w:rsidRPr="00CF6DB0" w14:paraId="5913241F" w14:textId="77777777" w:rsidTr="00F749FB">
        <w:trPr>
          <w:trHeight w:val="20"/>
          <w:jc w:val="center"/>
        </w:trPr>
        <w:tc>
          <w:tcPr>
            <w:tcW w:w="1880" w:type="dxa"/>
            <w:vMerge w:val="restart"/>
            <w:shd w:val="clear" w:color="auto" w:fill="auto"/>
          </w:tcPr>
          <w:p w14:paraId="4C63AF01" w14:textId="77777777" w:rsidR="00D5605E" w:rsidRPr="00CF6DB0" w:rsidRDefault="00D5605E" w:rsidP="00D5605E">
            <w:pPr>
              <w:pStyle w:val="GLSTable2"/>
              <w:rPr>
                <w:b w:val="0"/>
                <w:szCs w:val="22"/>
              </w:rPr>
            </w:pPr>
            <w:r w:rsidRPr="00CF6DB0">
              <w:rPr>
                <w:b w:val="0"/>
                <w:szCs w:val="22"/>
              </w:rPr>
              <w:t xml:space="preserve">Suicidal behavior </w:t>
            </w:r>
          </w:p>
        </w:tc>
        <w:tc>
          <w:tcPr>
            <w:tcW w:w="3690" w:type="dxa"/>
            <w:shd w:val="clear" w:color="auto" w:fill="auto"/>
          </w:tcPr>
          <w:p w14:paraId="273D923B" w14:textId="77777777" w:rsidR="00D5605E" w:rsidRPr="00CF6DB0" w:rsidRDefault="00D5605E" w:rsidP="00D5605E">
            <w:pPr>
              <w:pStyle w:val="GLSTable3"/>
              <w:rPr>
                <w:sz w:val="22"/>
                <w:szCs w:val="22"/>
              </w:rPr>
            </w:pPr>
            <w:r w:rsidRPr="00CF6DB0">
              <w:rPr>
                <w:sz w:val="22"/>
                <w:szCs w:val="22"/>
              </w:rPr>
              <w:t>Youth suicide rate</w:t>
            </w:r>
          </w:p>
        </w:tc>
        <w:tc>
          <w:tcPr>
            <w:tcW w:w="3790" w:type="dxa"/>
            <w:shd w:val="clear" w:color="auto" w:fill="auto"/>
          </w:tcPr>
          <w:p w14:paraId="001FA53F" w14:textId="77777777" w:rsidR="00D5605E" w:rsidRPr="00CF6DB0" w:rsidRDefault="00D5605E" w:rsidP="00D5605E">
            <w:pPr>
              <w:pStyle w:val="GLSTable3"/>
              <w:rPr>
                <w:sz w:val="22"/>
                <w:szCs w:val="22"/>
              </w:rPr>
            </w:pPr>
            <w:r w:rsidRPr="00CF6DB0">
              <w:rPr>
                <w:sz w:val="22"/>
                <w:szCs w:val="22"/>
              </w:rPr>
              <w:t>Compressed Mortality Files (CMF)</w:t>
            </w:r>
          </w:p>
        </w:tc>
      </w:tr>
      <w:tr w:rsidR="00D5605E" w:rsidRPr="00CF6DB0" w14:paraId="67365165" w14:textId="77777777" w:rsidTr="00F749FB">
        <w:trPr>
          <w:trHeight w:val="20"/>
          <w:jc w:val="center"/>
        </w:trPr>
        <w:tc>
          <w:tcPr>
            <w:tcW w:w="1880" w:type="dxa"/>
            <w:vMerge/>
            <w:shd w:val="clear" w:color="auto" w:fill="auto"/>
          </w:tcPr>
          <w:p w14:paraId="4E5DA8FB" w14:textId="77777777" w:rsidR="00D5605E" w:rsidRPr="00CF6DB0" w:rsidRDefault="00D5605E" w:rsidP="00D5605E">
            <w:pPr>
              <w:pStyle w:val="GLSTable2"/>
              <w:rPr>
                <w:b w:val="0"/>
                <w:szCs w:val="22"/>
              </w:rPr>
            </w:pPr>
          </w:p>
        </w:tc>
        <w:tc>
          <w:tcPr>
            <w:tcW w:w="3690" w:type="dxa"/>
            <w:shd w:val="clear" w:color="auto" w:fill="auto"/>
          </w:tcPr>
          <w:p w14:paraId="7A2886BD" w14:textId="77777777" w:rsidR="00D5605E" w:rsidRPr="00CF6DB0" w:rsidRDefault="00D5605E" w:rsidP="00D5605E">
            <w:pPr>
              <w:pStyle w:val="GLSTable3"/>
              <w:rPr>
                <w:sz w:val="22"/>
                <w:szCs w:val="22"/>
              </w:rPr>
            </w:pPr>
            <w:r w:rsidRPr="00CF6DB0">
              <w:rPr>
                <w:sz w:val="22"/>
                <w:szCs w:val="22"/>
              </w:rPr>
              <w:t xml:space="preserve">Attempt rate among young adults </w:t>
            </w:r>
          </w:p>
        </w:tc>
        <w:tc>
          <w:tcPr>
            <w:tcW w:w="3790" w:type="dxa"/>
            <w:shd w:val="clear" w:color="auto" w:fill="auto"/>
          </w:tcPr>
          <w:p w14:paraId="7FC5ED87" w14:textId="77777777" w:rsidR="00D5605E" w:rsidRPr="00CF6DB0" w:rsidRDefault="00D5605E" w:rsidP="00D5605E">
            <w:pPr>
              <w:pStyle w:val="GLSTable3"/>
              <w:rPr>
                <w:sz w:val="22"/>
                <w:szCs w:val="22"/>
              </w:rPr>
            </w:pPr>
            <w:r w:rsidRPr="00CF6DB0">
              <w:rPr>
                <w:sz w:val="22"/>
                <w:szCs w:val="22"/>
              </w:rPr>
              <w:t>NSDUH</w:t>
            </w:r>
          </w:p>
        </w:tc>
      </w:tr>
      <w:tr w:rsidR="00D5605E" w:rsidRPr="00CF6DB0" w14:paraId="59CB2040" w14:textId="77777777" w:rsidTr="00F749FB">
        <w:trPr>
          <w:trHeight w:val="20"/>
          <w:jc w:val="center"/>
        </w:trPr>
        <w:tc>
          <w:tcPr>
            <w:tcW w:w="1880" w:type="dxa"/>
            <w:shd w:val="clear" w:color="auto" w:fill="auto"/>
          </w:tcPr>
          <w:p w14:paraId="29DD8B8D" w14:textId="77777777" w:rsidR="00D5605E" w:rsidRPr="00CF6DB0" w:rsidRDefault="00D5605E" w:rsidP="00D5605E">
            <w:pPr>
              <w:pStyle w:val="GLSTable2"/>
              <w:rPr>
                <w:b w:val="0"/>
                <w:szCs w:val="22"/>
              </w:rPr>
            </w:pPr>
            <w:r w:rsidRPr="00CF6DB0">
              <w:rPr>
                <w:b w:val="0"/>
                <w:szCs w:val="22"/>
              </w:rPr>
              <w:t xml:space="preserve">Local GLS implementation </w:t>
            </w:r>
          </w:p>
        </w:tc>
        <w:tc>
          <w:tcPr>
            <w:tcW w:w="3690" w:type="dxa"/>
            <w:shd w:val="clear" w:color="auto" w:fill="auto"/>
          </w:tcPr>
          <w:p w14:paraId="333F5D5E" w14:textId="77777777" w:rsidR="00D5605E" w:rsidRPr="00CF6DB0" w:rsidRDefault="00D5605E" w:rsidP="00D5605E">
            <w:pPr>
              <w:pStyle w:val="GLSTable3"/>
              <w:rPr>
                <w:sz w:val="22"/>
                <w:szCs w:val="22"/>
              </w:rPr>
            </w:pPr>
            <w:r w:rsidRPr="00CF6DB0">
              <w:rPr>
                <w:sz w:val="22"/>
                <w:szCs w:val="22"/>
              </w:rPr>
              <w:t>Number of trainings and trainees in school, higher education, and community settings</w:t>
            </w:r>
          </w:p>
        </w:tc>
        <w:tc>
          <w:tcPr>
            <w:tcW w:w="3790" w:type="dxa"/>
            <w:shd w:val="clear" w:color="auto" w:fill="auto"/>
          </w:tcPr>
          <w:p w14:paraId="20ED9B05" w14:textId="60E11225" w:rsidR="00D5605E" w:rsidRPr="00CF6DB0" w:rsidRDefault="00D5605E" w:rsidP="00D5605E">
            <w:pPr>
              <w:pStyle w:val="GLSTable3"/>
              <w:rPr>
                <w:sz w:val="22"/>
                <w:szCs w:val="22"/>
              </w:rPr>
            </w:pPr>
            <w:r w:rsidRPr="00CF6DB0">
              <w:rPr>
                <w:sz w:val="22"/>
                <w:szCs w:val="22"/>
              </w:rPr>
              <w:t xml:space="preserve">TASP; TES </w:t>
            </w:r>
            <w:r w:rsidR="00CD1EEF" w:rsidRPr="00CF6DB0">
              <w:rPr>
                <w:sz w:val="22"/>
                <w:szCs w:val="22"/>
              </w:rPr>
              <w:t xml:space="preserve"> </w:t>
            </w:r>
          </w:p>
          <w:p w14:paraId="5660C750" w14:textId="77777777" w:rsidR="00D5605E" w:rsidRPr="00CF6DB0" w:rsidRDefault="00D5605E" w:rsidP="00D5605E">
            <w:pPr>
              <w:pStyle w:val="GLSTable3"/>
              <w:rPr>
                <w:sz w:val="22"/>
                <w:szCs w:val="22"/>
              </w:rPr>
            </w:pPr>
          </w:p>
        </w:tc>
      </w:tr>
      <w:tr w:rsidR="00D5605E" w:rsidRPr="00CF6DB0" w14:paraId="705C6B2B" w14:textId="77777777" w:rsidTr="00F749FB">
        <w:trPr>
          <w:trHeight w:val="20"/>
          <w:jc w:val="center"/>
        </w:trPr>
        <w:tc>
          <w:tcPr>
            <w:tcW w:w="1880" w:type="dxa"/>
            <w:vMerge w:val="restart"/>
            <w:shd w:val="clear" w:color="auto" w:fill="auto"/>
          </w:tcPr>
          <w:p w14:paraId="60A12F6F" w14:textId="77777777" w:rsidR="00D5605E" w:rsidRPr="00CF6DB0" w:rsidRDefault="00D5605E" w:rsidP="00D5605E">
            <w:pPr>
              <w:pStyle w:val="GLSTable2"/>
              <w:rPr>
                <w:b w:val="0"/>
                <w:szCs w:val="22"/>
              </w:rPr>
            </w:pPr>
            <w:r w:rsidRPr="00CF6DB0">
              <w:rPr>
                <w:b w:val="0"/>
                <w:szCs w:val="22"/>
              </w:rPr>
              <w:t>Covariates</w:t>
            </w:r>
          </w:p>
        </w:tc>
        <w:tc>
          <w:tcPr>
            <w:tcW w:w="3690" w:type="dxa"/>
            <w:shd w:val="clear" w:color="auto" w:fill="auto"/>
          </w:tcPr>
          <w:p w14:paraId="22A59CA7" w14:textId="77777777" w:rsidR="00D5605E" w:rsidRPr="00CF6DB0" w:rsidRDefault="00D5605E" w:rsidP="00D5605E">
            <w:pPr>
              <w:pStyle w:val="GLSTable3"/>
              <w:rPr>
                <w:sz w:val="22"/>
                <w:szCs w:val="22"/>
              </w:rPr>
            </w:pPr>
            <w:r w:rsidRPr="00CF6DB0">
              <w:rPr>
                <w:sz w:val="22"/>
                <w:szCs w:val="22"/>
              </w:rPr>
              <w:t>Number of 5–12 grade teachers; higher education students enrollment</w:t>
            </w:r>
          </w:p>
        </w:tc>
        <w:tc>
          <w:tcPr>
            <w:tcW w:w="3790" w:type="dxa"/>
            <w:shd w:val="clear" w:color="auto" w:fill="auto"/>
          </w:tcPr>
          <w:p w14:paraId="467778A7" w14:textId="77777777" w:rsidR="00D5605E" w:rsidRPr="00CF6DB0" w:rsidRDefault="00D5605E" w:rsidP="00D5605E">
            <w:pPr>
              <w:pStyle w:val="GLSTable3"/>
              <w:rPr>
                <w:sz w:val="22"/>
                <w:szCs w:val="22"/>
              </w:rPr>
            </w:pPr>
            <w:r w:rsidRPr="00CF6DB0">
              <w:rPr>
                <w:sz w:val="22"/>
                <w:szCs w:val="22"/>
              </w:rPr>
              <w:t>NCES-CCD</w:t>
            </w:r>
          </w:p>
        </w:tc>
      </w:tr>
      <w:tr w:rsidR="00D5605E" w:rsidRPr="00CF6DB0" w14:paraId="75B93F25" w14:textId="77777777" w:rsidTr="00F749FB">
        <w:trPr>
          <w:trHeight w:val="20"/>
          <w:jc w:val="center"/>
        </w:trPr>
        <w:tc>
          <w:tcPr>
            <w:tcW w:w="1880" w:type="dxa"/>
            <w:vMerge/>
            <w:shd w:val="clear" w:color="auto" w:fill="auto"/>
          </w:tcPr>
          <w:p w14:paraId="24883BEC" w14:textId="77777777" w:rsidR="00D5605E" w:rsidRPr="00CF6DB0" w:rsidRDefault="00D5605E" w:rsidP="00D5605E">
            <w:pPr>
              <w:spacing w:after="120"/>
              <w:rPr>
                <w:rFonts w:ascii="Tw Cen MT" w:hAnsi="Tw Cen MT"/>
                <w:sz w:val="22"/>
                <w:szCs w:val="22"/>
              </w:rPr>
            </w:pPr>
          </w:p>
        </w:tc>
        <w:tc>
          <w:tcPr>
            <w:tcW w:w="3690" w:type="dxa"/>
            <w:shd w:val="clear" w:color="auto" w:fill="auto"/>
          </w:tcPr>
          <w:p w14:paraId="196F8469" w14:textId="77777777" w:rsidR="00D5605E" w:rsidRPr="00CF6DB0" w:rsidRDefault="00D5605E" w:rsidP="00D5605E">
            <w:pPr>
              <w:pStyle w:val="GLSTable3"/>
              <w:rPr>
                <w:sz w:val="22"/>
                <w:szCs w:val="22"/>
              </w:rPr>
            </w:pPr>
            <w:r w:rsidRPr="00CF6DB0">
              <w:rPr>
                <w:sz w:val="22"/>
                <w:szCs w:val="22"/>
              </w:rPr>
              <w:t>Demographic characteristics</w:t>
            </w:r>
          </w:p>
        </w:tc>
        <w:tc>
          <w:tcPr>
            <w:tcW w:w="3790" w:type="dxa"/>
            <w:shd w:val="clear" w:color="auto" w:fill="auto"/>
          </w:tcPr>
          <w:p w14:paraId="6637620B" w14:textId="77777777" w:rsidR="00D5605E" w:rsidRPr="00CF6DB0" w:rsidRDefault="00D5605E" w:rsidP="00D5605E">
            <w:pPr>
              <w:pStyle w:val="GLSTable3"/>
              <w:rPr>
                <w:sz w:val="22"/>
                <w:szCs w:val="22"/>
              </w:rPr>
            </w:pPr>
            <w:r w:rsidRPr="00CF6DB0">
              <w:rPr>
                <w:sz w:val="22"/>
                <w:szCs w:val="22"/>
              </w:rPr>
              <w:t>U.S. Census Bureau’s population estimates</w:t>
            </w:r>
          </w:p>
        </w:tc>
      </w:tr>
      <w:tr w:rsidR="00D5605E" w:rsidRPr="00CF6DB0" w14:paraId="507A762B" w14:textId="77777777" w:rsidTr="00F749FB">
        <w:trPr>
          <w:trHeight w:val="20"/>
          <w:jc w:val="center"/>
        </w:trPr>
        <w:tc>
          <w:tcPr>
            <w:tcW w:w="1880" w:type="dxa"/>
            <w:vMerge/>
            <w:shd w:val="clear" w:color="auto" w:fill="auto"/>
          </w:tcPr>
          <w:p w14:paraId="5EB87802" w14:textId="77777777" w:rsidR="00D5605E" w:rsidRPr="00CF6DB0" w:rsidRDefault="00D5605E" w:rsidP="00D5605E">
            <w:pPr>
              <w:spacing w:after="120"/>
              <w:rPr>
                <w:rFonts w:ascii="Tw Cen MT" w:hAnsi="Tw Cen MT"/>
                <w:sz w:val="22"/>
                <w:szCs w:val="22"/>
              </w:rPr>
            </w:pPr>
          </w:p>
        </w:tc>
        <w:tc>
          <w:tcPr>
            <w:tcW w:w="3690" w:type="dxa"/>
            <w:shd w:val="clear" w:color="auto" w:fill="auto"/>
          </w:tcPr>
          <w:p w14:paraId="65E0D172" w14:textId="77777777" w:rsidR="00D5605E" w:rsidRPr="00CF6DB0" w:rsidRDefault="00D5605E" w:rsidP="00D5605E">
            <w:pPr>
              <w:pStyle w:val="GLSTable3"/>
              <w:rPr>
                <w:sz w:val="22"/>
                <w:szCs w:val="22"/>
              </w:rPr>
            </w:pPr>
            <w:r w:rsidRPr="00CF6DB0">
              <w:rPr>
                <w:sz w:val="22"/>
                <w:szCs w:val="22"/>
              </w:rPr>
              <w:t>Proportion with no health insurance</w:t>
            </w:r>
          </w:p>
        </w:tc>
        <w:tc>
          <w:tcPr>
            <w:tcW w:w="3790" w:type="dxa"/>
            <w:shd w:val="clear" w:color="auto" w:fill="auto"/>
          </w:tcPr>
          <w:p w14:paraId="7CCFF1C1" w14:textId="77777777" w:rsidR="00D5605E" w:rsidRPr="00CF6DB0" w:rsidRDefault="00D5605E" w:rsidP="00D5605E">
            <w:pPr>
              <w:pStyle w:val="GLSTable3"/>
              <w:rPr>
                <w:sz w:val="22"/>
                <w:szCs w:val="22"/>
              </w:rPr>
            </w:pPr>
            <w:r w:rsidRPr="00CF6DB0">
              <w:rPr>
                <w:sz w:val="22"/>
                <w:szCs w:val="22"/>
              </w:rPr>
              <w:t>U.S. Census Bureau’s Small Area Health Insurance Estimates (SAHIE)</w:t>
            </w:r>
          </w:p>
        </w:tc>
      </w:tr>
      <w:tr w:rsidR="00D5605E" w:rsidRPr="00CF6DB0" w14:paraId="72A9EB9B" w14:textId="77777777" w:rsidTr="00F749FB">
        <w:trPr>
          <w:trHeight w:val="20"/>
          <w:jc w:val="center"/>
        </w:trPr>
        <w:tc>
          <w:tcPr>
            <w:tcW w:w="1880" w:type="dxa"/>
            <w:vMerge/>
            <w:shd w:val="clear" w:color="auto" w:fill="auto"/>
          </w:tcPr>
          <w:p w14:paraId="05142F9C" w14:textId="77777777" w:rsidR="00D5605E" w:rsidRPr="00CF6DB0" w:rsidRDefault="00D5605E" w:rsidP="00D5605E">
            <w:pPr>
              <w:spacing w:after="120"/>
              <w:rPr>
                <w:rFonts w:ascii="Tw Cen MT" w:hAnsi="Tw Cen MT"/>
                <w:sz w:val="22"/>
                <w:szCs w:val="22"/>
              </w:rPr>
            </w:pPr>
          </w:p>
        </w:tc>
        <w:tc>
          <w:tcPr>
            <w:tcW w:w="3690" w:type="dxa"/>
            <w:shd w:val="clear" w:color="auto" w:fill="auto"/>
          </w:tcPr>
          <w:p w14:paraId="72731AEE" w14:textId="77777777" w:rsidR="00D5605E" w:rsidRPr="00CF6DB0" w:rsidRDefault="00D5605E" w:rsidP="00D5605E">
            <w:pPr>
              <w:pStyle w:val="GLSTable3"/>
              <w:rPr>
                <w:sz w:val="22"/>
                <w:szCs w:val="22"/>
              </w:rPr>
            </w:pPr>
            <w:r w:rsidRPr="00CF6DB0">
              <w:rPr>
                <w:sz w:val="22"/>
                <w:szCs w:val="22"/>
              </w:rPr>
              <w:t>Poverty rate; median Income</w:t>
            </w:r>
          </w:p>
        </w:tc>
        <w:tc>
          <w:tcPr>
            <w:tcW w:w="3790" w:type="dxa"/>
            <w:shd w:val="clear" w:color="auto" w:fill="auto"/>
          </w:tcPr>
          <w:p w14:paraId="44DD238F" w14:textId="77777777" w:rsidR="00D5605E" w:rsidRPr="00CF6DB0" w:rsidRDefault="00D5605E" w:rsidP="00D5605E">
            <w:pPr>
              <w:pStyle w:val="GLSTable3"/>
              <w:rPr>
                <w:sz w:val="22"/>
                <w:szCs w:val="22"/>
              </w:rPr>
            </w:pPr>
            <w:r w:rsidRPr="00CF6DB0">
              <w:rPr>
                <w:sz w:val="22"/>
                <w:szCs w:val="22"/>
              </w:rPr>
              <w:t>Small Area Income and Poverty Estimates (SAIPE)</w:t>
            </w:r>
          </w:p>
        </w:tc>
      </w:tr>
      <w:tr w:rsidR="00D5605E" w:rsidRPr="00CF6DB0" w14:paraId="0C98ECCE" w14:textId="77777777" w:rsidTr="00F749FB">
        <w:trPr>
          <w:trHeight w:val="20"/>
          <w:jc w:val="center"/>
        </w:trPr>
        <w:tc>
          <w:tcPr>
            <w:tcW w:w="1880" w:type="dxa"/>
            <w:vMerge/>
            <w:shd w:val="clear" w:color="auto" w:fill="auto"/>
          </w:tcPr>
          <w:p w14:paraId="7BC07E29" w14:textId="77777777" w:rsidR="00D5605E" w:rsidRPr="00CF6DB0" w:rsidRDefault="00D5605E" w:rsidP="00D5605E">
            <w:pPr>
              <w:spacing w:after="120"/>
              <w:rPr>
                <w:rFonts w:ascii="Tw Cen MT" w:hAnsi="Tw Cen MT"/>
                <w:sz w:val="22"/>
                <w:szCs w:val="22"/>
              </w:rPr>
            </w:pPr>
          </w:p>
        </w:tc>
        <w:tc>
          <w:tcPr>
            <w:tcW w:w="3690" w:type="dxa"/>
            <w:shd w:val="clear" w:color="auto" w:fill="auto"/>
          </w:tcPr>
          <w:p w14:paraId="22B4D79E" w14:textId="77777777" w:rsidR="00D5605E" w:rsidRPr="00CF6DB0" w:rsidRDefault="00D5605E" w:rsidP="00D5605E">
            <w:pPr>
              <w:pStyle w:val="GLSTable3"/>
              <w:rPr>
                <w:sz w:val="22"/>
                <w:szCs w:val="22"/>
              </w:rPr>
            </w:pPr>
            <w:r w:rsidRPr="00CF6DB0">
              <w:rPr>
                <w:sz w:val="22"/>
                <w:szCs w:val="22"/>
              </w:rPr>
              <w:t>Unemployment</w:t>
            </w:r>
          </w:p>
        </w:tc>
        <w:tc>
          <w:tcPr>
            <w:tcW w:w="3790" w:type="dxa"/>
            <w:shd w:val="clear" w:color="auto" w:fill="auto"/>
          </w:tcPr>
          <w:p w14:paraId="0EC09175" w14:textId="77777777" w:rsidR="00D5605E" w:rsidRPr="00CF6DB0" w:rsidRDefault="00D5605E" w:rsidP="00D5605E">
            <w:pPr>
              <w:pStyle w:val="GLSTable3"/>
              <w:rPr>
                <w:sz w:val="22"/>
                <w:szCs w:val="22"/>
              </w:rPr>
            </w:pPr>
            <w:r w:rsidRPr="00CF6DB0">
              <w:rPr>
                <w:sz w:val="22"/>
                <w:szCs w:val="22"/>
              </w:rPr>
              <w:t>Bureau of Labor Statistic, the Local Area Unemployment Statistics (LAUS)</w:t>
            </w:r>
          </w:p>
        </w:tc>
      </w:tr>
      <w:tr w:rsidR="00D5605E" w:rsidRPr="00CF6DB0" w14:paraId="65D2686F" w14:textId="77777777" w:rsidTr="00F749FB">
        <w:trPr>
          <w:trHeight w:val="20"/>
          <w:jc w:val="center"/>
        </w:trPr>
        <w:tc>
          <w:tcPr>
            <w:tcW w:w="1880" w:type="dxa"/>
            <w:vMerge/>
            <w:shd w:val="clear" w:color="auto" w:fill="auto"/>
          </w:tcPr>
          <w:p w14:paraId="61C15042" w14:textId="77777777" w:rsidR="00D5605E" w:rsidRPr="00CF6DB0" w:rsidRDefault="00D5605E" w:rsidP="00D5605E">
            <w:pPr>
              <w:spacing w:after="120"/>
              <w:rPr>
                <w:rFonts w:ascii="Tw Cen MT" w:hAnsi="Tw Cen MT"/>
                <w:sz w:val="22"/>
                <w:szCs w:val="22"/>
              </w:rPr>
            </w:pPr>
          </w:p>
        </w:tc>
        <w:tc>
          <w:tcPr>
            <w:tcW w:w="3690" w:type="dxa"/>
            <w:shd w:val="clear" w:color="auto" w:fill="auto"/>
          </w:tcPr>
          <w:p w14:paraId="5030E15F" w14:textId="77777777" w:rsidR="00D5605E" w:rsidRPr="00CF6DB0" w:rsidRDefault="00D5605E" w:rsidP="00D5605E">
            <w:pPr>
              <w:pStyle w:val="GLSTable3"/>
              <w:rPr>
                <w:sz w:val="22"/>
                <w:szCs w:val="22"/>
              </w:rPr>
            </w:pPr>
            <w:r w:rsidRPr="00CF6DB0">
              <w:rPr>
                <w:sz w:val="22"/>
                <w:szCs w:val="22"/>
              </w:rPr>
              <w:t>Six-level urban-rural classification scheme</w:t>
            </w:r>
          </w:p>
        </w:tc>
        <w:tc>
          <w:tcPr>
            <w:tcW w:w="3790" w:type="dxa"/>
            <w:shd w:val="clear" w:color="auto" w:fill="auto"/>
          </w:tcPr>
          <w:p w14:paraId="7E42DAD7" w14:textId="77777777" w:rsidR="00D5605E" w:rsidRPr="00CF6DB0" w:rsidRDefault="00D5605E" w:rsidP="00D5605E">
            <w:pPr>
              <w:pStyle w:val="GLSTable3"/>
              <w:rPr>
                <w:sz w:val="22"/>
                <w:szCs w:val="22"/>
              </w:rPr>
            </w:pPr>
            <w:r w:rsidRPr="00CF6DB0">
              <w:rPr>
                <w:sz w:val="22"/>
                <w:szCs w:val="22"/>
              </w:rPr>
              <w:t>CMF</w:t>
            </w:r>
          </w:p>
        </w:tc>
      </w:tr>
    </w:tbl>
    <w:p w14:paraId="53FD4DC1" w14:textId="77777777" w:rsidR="00D5605E" w:rsidRPr="00B603E8" w:rsidRDefault="00D5605E" w:rsidP="00D5605E">
      <w:pPr>
        <w:pStyle w:val="NoSpacing"/>
      </w:pPr>
    </w:p>
    <w:p w14:paraId="73318A37" w14:textId="5EB8794E" w:rsidR="00D5605E" w:rsidRPr="00B603E8" w:rsidRDefault="00D5605E" w:rsidP="00D5605E">
      <w:pPr>
        <w:pStyle w:val="GLSBody"/>
      </w:pPr>
      <w:r w:rsidRPr="00B603E8">
        <w:rPr>
          <w:bCs/>
        </w:rPr>
        <w:t>T</w:t>
      </w:r>
      <w:r w:rsidRPr="00B603E8">
        <w:t xml:space="preserve">he ecological analysis of impact relies on comparing the change in outcomes (mortality, suicide attempts) in areas exposed to GLS interventions with the change observed in areas that were not exposed to those interventions during the same period. Because of </w:t>
      </w:r>
      <w:r w:rsidR="00F80F9E" w:rsidRPr="00B603E8">
        <w:t>s</w:t>
      </w:r>
      <w:r w:rsidRPr="00B603E8">
        <w:t xml:space="preserve">teps taken to increase comparability, </w:t>
      </w:r>
      <w:r w:rsidR="00F80F9E" w:rsidRPr="00B603E8">
        <w:t>ICF</w:t>
      </w:r>
      <w:r w:rsidRPr="00B603E8">
        <w:t xml:space="preserve"> will be able to use a relatively simple regression model for the main analysis. The outcome measure (i.e., the suicide rate in each county and year) will be regressed on the independent variables (the measures of GLS implementation) using the weighted sample. </w:t>
      </w:r>
      <w:r w:rsidR="00F80F9E" w:rsidRPr="00B603E8">
        <w:t>Sensitivity of results will be assessed</w:t>
      </w:r>
      <w:r w:rsidRPr="00B603E8">
        <w:t xml:space="preserve"> to extreme weights by refitting the regression after truncating 1% and 5% of the weights at each extreme of the distribution. </w:t>
      </w:r>
      <w:r w:rsidR="00F80F9E" w:rsidRPr="00B603E8">
        <w:t xml:space="preserve">Estimates </w:t>
      </w:r>
      <w:r w:rsidR="00433272" w:rsidRPr="00B603E8">
        <w:t xml:space="preserve">will be created for </w:t>
      </w:r>
      <w:r w:rsidRPr="00B603E8">
        <w:t xml:space="preserve">all of the regression models using weighted generalized estimating equations with errors assumed to be clustered at the State level. </w:t>
      </w:r>
      <w:r w:rsidR="00433272" w:rsidRPr="00B603E8">
        <w:t>C</w:t>
      </w:r>
      <w:r w:rsidRPr="00B603E8">
        <w:t>omplementary approaches, such as models for the ‘demean’ outcome</w:t>
      </w:r>
      <w:r w:rsidR="00433272" w:rsidRPr="00B603E8">
        <w:t>, will also be explored</w:t>
      </w:r>
      <w:r w:rsidRPr="00B603E8">
        <w:t>. These approaches may offer additional protection against the influence of unobserved, but time-fixed confounding variables.</w:t>
      </w:r>
    </w:p>
    <w:p w14:paraId="1EDF5A7A" w14:textId="3F0C8F1F" w:rsidR="00F57AD5" w:rsidRPr="00B603E8" w:rsidRDefault="00F57AD5" w:rsidP="001E50ED">
      <w:pPr>
        <w:pStyle w:val="GLSBody"/>
        <w:keepNext/>
        <w:numPr>
          <w:ilvl w:val="0"/>
          <w:numId w:val="45"/>
        </w:numPr>
        <w:spacing w:after="120"/>
        <w:rPr>
          <w:rFonts w:ascii="Tw Cen MT" w:hAnsi="Tw Cen MT" w:cs="Arial"/>
          <w:b/>
          <w:sz w:val="28"/>
          <w:szCs w:val="28"/>
        </w:rPr>
      </w:pPr>
      <w:r w:rsidRPr="00B603E8">
        <w:rPr>
          <w:rFonts w:ascii="Tw Cen MT" w:hAnsi="Tw Cen MT" w:cs="Arial"/>
          <w:b/>
          <w:sz w:val="28"/>
          <w:szCs w:val="28"/>
        </w:rPr>
        <w:t>Outcome Modeling</w:t>
      </w:r>
      <w:r w:rsidR="006D34F2" w:rsidRPr="00B603E8">
        <w:rPr>
          <w:rFonts w:ascii="Tw Cen MT" w:hAnsi="Tw Cen MT" w:cs="Arial"/>
          <w:b/>
          <w:sz w:val="28"/>
          <w:szCs w:val="28"/>
        </w:rPr>
        <w:t xml:space="preserve"> Analysis</w:t>
      </w:r>
    </w:p>
    <w:p w14:paraId="619E3265" w14:textId="442C0279" w:rsidR="00A663E5" w:rsidRPr="00B603E8" w:rsidRDefault="00AD5E38" w:rsidP="00045A50">
      <w:pPr>
        <w:pStyle w:val="GLSBody"/>
        <w:spacing w:after="200"/>
        <w:rPr>
          <w:i/>
        </w:rPr>
      </w:pPr>
      <w:r w:rsidRPr="00B603E8">
        <w:rPr>
          <w:b/>
        </w:rPr>
        <w:t>EQ-5:</w:t>
      </w:r>
      <w:r w:rsidRPr="00B603E8">
        <w:rPr>
          <w:i/>
        </w:rPr>
        <w:t xml:space="preserve"> </w:t>
      </w:r>
      <w:r w:rsidR="00A663E5" w:rsidRPr="00B603E8">
        <w:rPr>
          <w:i/>
        </w:rPr>
        <w:t xml:space="preserve">What is the anticipated impact (in terms of averted suicide attempts and suicide deaths) of specific GLS interventions (e.g., increased use of role-play in gatekeeper trainings, implementation of follow-up contact after identification at school)?  </w:t>
      </w:r>
    </w:p>
    <w:p w14:paraId="5403386A" w14:textId="39C27FE9" w:rsidR="00A3339A" w:rsidRPr="00B603E8" w:rsidRDefault="00A3339A" w:rsidP="00045A50">
      <w:pPr>
        <w:pStyle w:val="GLSBody"/>
        <w:spacing w:before="240" w:after="200"/>
      </w:pPr>
      <w:r w:rsidRPr="00B603E8">
        <w:t xml:space="preserve">While direct evidence from RCTs or other strong study designs is generally thought to provide the strongest evidence of intervention effectiveness, statistical modeling can aid in understanding the impact of an intervention in a broad population (Lynch, 2014). In addition, modeling can help to systematically synthesize data from multiple sources and studies. Models clearly define alternatives, take outcomes under consideration, and make assumptions explicit so that they can be discussed and modified or tailored to specific needs or policy decisions. Since most studies of suicide prevention are small and relatively short term, modeling provides a way to begin to understand what the population impact of implementing effective interventions might look like over the long term. Exhibit </w:t>
      </w:r>
      <w:r w:rsidR="00DD1247" w:rsidRPr="00B603E8">
        <w:t>13</w:t>
      </w:r>
      <w:r w:rsidRPr="00B603E8">
        <w:t xml:space="preserve"> outlines the questions/</w:t>
      </w:r>
      <w:proofErr w:type="spellStart"/>
      <w:r w:rsidRPr="00B603E8">
        <w:t>subquestions</w:t>
      </w:r>
      <w:proofErr w:type="spellEnd"/>
      <w:r w:rsidRPr="00B603E8">
        <w:t xml:space="preserve"> and contract year for the Outcome Modeling Analysis.</w:t>
      </w:r>
    </w:p>
    <w:p w14:paraId="7ABF093C" w14:textId="1EAD1399" w:rsidR="006669C0" w:rsidRPr="00B603E8" w:rsidRDefault="006669C0" w:rsidP="006669C0">
      <w:pPr>
        <w:pStyle w:val="GLSBody"/>
        <w:keepNext/>
        <w:spacing w:after="120"/>
        <w:rPr>
          <w:rFonts w:ascii="Tw Cen MT" w:hAnsi="Tw Cen MT" w:cs="Arial"/>
          <w:b/>
        </w:rPr>
      </w:pPr>
      <w:proofErr w:type="gramStart"/>
      <w:r w:rsidRPr="00B603E8">
        <w:rPr>
          <w:rFonts w:ascii="Tw Cen MT" w:hAnsi="Tw Cen MT" w:cs="Arial"/>
          <w:b/>
        </w:rPr>
        <w:t xml:space="preserve">Exhibit </w:t>
      </w:r>
      <w:r w:rsidR="00DD1247" w:rsidRPr="00B603E8">
        <w:rPr>
          <w:rFonts w:ascii="Tw Cen MT" w:hAnsi="Tw Cen MT" w:cs="Arial"/>
          <w:b/>
        </w:rPr>
        <w:t>13</w:t>
      </w:r>
      <w:r w:rsidRPr="00B603E8">
        <w:rPr>
          <w:rFonts w:ascii="Tw Cen MT" w:hAnsi="Tw Cen MT" w:cs="Arial"/>
          <w:b/>
        </w:rPr>
        <w:t>.</w:t>
      </w:r>
      <w:proofErr w:type="gramEnd"/>
      <w:r w:rsidRPr="00B603E8">
        <w:rPr>
          <w:rFonts w:ascii="Tw Cen MT" w:hAnsi="Tw Cen MT" w:cs="Arial"/>
          <w:b/>
        </w:rPr>
        <w:t xml:space="preserve"> </w:t>
      </w:r>
      <w:r w:rsidR="00757925" w:rsidRPr="00B603E8">
        <w:rPr>
          <w:rFonts w:ascii="Tw Cen MT" w:hAnsi="Tw Cen MT" w:cs="Arial"/>
          <w:b/>
        </w:rPr>
        <w:t>Outcome Modeling Analysi</w:t>
      </w:r>
      <w:r w:rsidRPr="00B603E8">
        <w:rPr>
          <w:rFonts w:ascii="Tw Cen MT" w:hAnsi="Tw Cen MT" w:cs="Arial"/>
          <w:b/>
        </w:rPr>
        <w:t>s Questions and Timeline</w:t>
      </w:r>
    </w:p>
    <w:tbl>
      <w:tblPr>
        <w:tblStyle w:val="TableGrid2"/>
        <w:tblW w:w="93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560"/>
        <w:gridCol w:w="360"/>
        <w:gridCol w:w="360"/>
        <w:gridCol w:w="360"/>
        <w:gridCol w:w="360"/>
        <w:gridCol w:w="360"/>
      </w:tblGrid>
      <w:tr w:rsidR="006669C0" w:rsidRPr="00CF6DB0" w14:paraId="38432298" w14:textId="77777777" w:rsidTr="00CF6DB0">
        <w:trPr>
          <w:trHeight w:val="682"/>
          <w:jc w:val="center"/>
        </w:trPr>
        <w:tc>
          <w:tcPr>
            <w:tcW w:w="7560" w:type="dxa"/>
            <w:shd w:val="clear" w:color="auto" w:fill="404040" w:themeFill="text1" w:themeFillTint="BF"/>
            <w:vAlign w:val="center"/>
          </w:tcPr>
          <w:p w14:paraId="0DD22B66" w14:textId="6E0004BB" w:rsidR="006669C0" w:rsidRPr="00CF6DB0" w:rsidRDefault="00757925" w:rsidP="00757925">
            <w:pPr>
              <w:pStyle w:val="GLSTable1"/>
              <w:jc w:val="left"/>
              <w:rPr>
                <w:b w:val="0"/>
                <w:color w:val="FFFFFF" w:themeColor="background1"/>
                <w:sz w:val="22"/>
                <w:szCs w:val="22"/>
              </w:rPr>
            </w:pPr>
            <w:r w:rsidRPr="00CF6DB0">
              <w:rPr>
                <w:b w:val="0"/>
                <w:color w:val="FFFFFF" w:themeColor="background1"/>
                <w:sz w:val="22"/>
                <w:szCs w:val="22"/>
              </w:rPr>
              <w:t>EQ-5: What is the anticipated impact (in terms of averted suicide attempts and suicide deaths) of specific GLS interventions (e.g., increased use of role-play in gatekeeper trainings, implementation of follow-up contact after identification at school)?</w:t>
            </w:r>
          </w:p>
        </w:tc>
        <w:tc>
          <w:tcPr>
            <w:tcW w:w="360" w:type="dxa"/>
            <w:shd w:val="clear" w:color="auto" w:fill="404040" w:themeFill="text1" w:themeFillTint="BF"/>
            <w:textDirection w:val="btLr"/>
            <w:vAlign w:val="center"/>
          </w:tcPr>
          <w:p w14:paraId="52D7B169" w14:textId="77777777" w:rsidR="006669C0" w:rsidRPr="00CF6DB0" w:rsidRDefault="006669C0" w:rsidP="00701A61">
            <w:pPr>
              <w:pStyle w:val="GLSTable1"/>
              <w:spacing w:before="0" w:after="0"/>
              <w:rPr>
                <w:b w:val="0"/>
                <w:color w:val="FFFFFF" w:themeColor="background1"/>
                <w:sz w:val="22"/>
                <w:szCs w:val="22"/>
              </w:rPr>
            </w:pPr>
            <w:r w:rsidRPr="00CF6DB0">
              <w:rPr>
                <w:b w:val="0"/>
                <w:color w:val="FFFFFF" w:themeColor="background1"/>
                <w:sz w:val="22"/>
                <w:szCs w:val="22"/>
              </w:rPr>
              <w:t>FY15</w:t>
            </w:r>
          </w:p>
        </w:tc>
        <w:tc>
          <w:tcPr>
            <w:tcW w:w="360" w:type="dxa"/>
            <w:shd w:val="clear" w:color="auto" w:fill="404040" w:themeFill="text1" w:themeFillTint="BF"/>
            <w:textDirection w:val="btLr"/>
            <w:vAlign w:val="center"/>
          </w:tcPr>
          <w:p w14:paraId="37BDDC51" w14:textId="77777777" w:rsidR="006669C0" w:rsidRPr="00CF6DB0" w:rsidRDefault="006669C0" w:rsidP="00701A61">
            <w:pPr>
              <w:pStyle w:val="GLSTable1"/>
              <w:spacing w:before="0" w:after="0"/>
              <w:rPr>
                <w:b w:val="0"/>
                <w:color w:val="FFFFFF" w:themeColor="background1"/>
                <w:sz w:val="22"/>
                <w:szCs w:val="22"/>
              </w:rPr>
            </w:pPr>
            <w:r w:rsidRPr="00CF6DB0">
              <w:rPr>
                <w:b w:val="0"/>
                <w:color w:val="FFFFFF" w:themeColor="background1"/>
                <w:sz w:val="22"/>
                <w:szCs w:val="22"/>
              </w:rPr>
              <w:t>FY16</w:t>
            </w:r>
          </w:p>
        </w:tc>
        <w:tc>
          <w:tcPr>
            <w:tcW w:w="360" w:type="dxa"/>
            <w:shd w:val="clear" w:color="auto" w:fill="404040" w:themeFill="text1" w:themeFillTint="BF"/>
            <w:textDirection w:val="btLr"/>
            <w:vAlign w:val="center"/>
          </w:tcPr>
          <w:p w14:paraId="09B9DABB" w14:textId="77777777" w:rsidR="006669C0" w:rsidRPr="00CF6DB0" w:rsidRDefault="006669C0" w:rsidP="00701A61">
            <w:pPr>
              <w:pStyle w:val="GLSTable1"/>
              <w:spacing w:before="0" w:after="0"/>
              <w:rPr>
                <w:b w:val="0"/>
                <w:color w:val="FFFFFF" w:themeColor="background1"/>
                <w:sz w:val="22"/>
                <w:szCs w:val="22"/>
              </w:rPr>
            </w:pPr>
            <w:r w:rsidRPr="00CF6DB0">
              <w:rPr>
                <w:b w:val="0"/>
                <w:color w:val="FFFFFF" w:themeColor="background1"/>
                <w:sz w:val="22"/>
                <w:szCs w:val="22"/>
              </w:rPr>
              <w:t>FY17</w:t>
            </w:r>
          </w:p>
        </w:tc>
        <w:tc>
          <w:tcPr>
            <w:tcW w:w="360" w:type="dxa"/>
            <w:shd w:val="clear" w:color="auto" w:fill="404040" w:themeFill="text1" w:themeFillTint="BF"/>
            <w:textDirection w:val="btLr"/>
            <w:vAlign w:val="center"/>
          </w:tcPr>
          <w:p w14:paraId="3A090077" w14:textId="77777777" w:rsidR="006669C0" w:rsidRPr="00CF6DB0" w:rsidRDefault="006669C0" w:rsidP="00701A61">
            <w:pPr>
              <w:pStyle w:val="GLSTable1"/>
              <w:spacing w:before="0" w:after="0"/>
              <w:rPr>
                <w:b w:val="0"/>
                <w:color w:val="FFFFFF" w:themeColor="background1"/>
                <w:sz w:val="22"/>
                <w:szCs w:val="22"/>
              </w:rPr>
            </w:pPr>
            <w:r w:rsidRPr="00CF6DB0">
              <w:rPr>
                <w:b w:val="0"/>
                <w:color w:val="FFFFFF" w:themeColor="background1"/>
                <w:sz w:val="22"/>
                <w:szCs w:val="22"/>
              </w:rPr>
              <w:t>FY18</w:t>
            </w:r>
          </w:p>
        </w:tc>
        <w:tc>
          <w:tcPr>
            <w:tcW w:w="360" w:type="dxa"/>
            <w:shd w:val="clear" w:color="auto" w:fill="404040" w:themeFill="text1" w:themeFillTint="BF"/>
            <w:textDirection w:val="btLr"/>
            <w:vAlign w:val="center"/>
          </w:tcPr>
          <w:p w14:paraId="0663A87B" w14:textId="77777777" w:rsidR="006669C0" w:rsidRPr="00CF6DB0" w:rsidRDefault="006669C0" w:rsidP="00701A61">
            <w:pPr>
              <w:pStyle w:val="GLSTable1"/>
              <w:spacing w:before="0" w:after="0"/>
              <w:rPr>
                <w:b w:val="0"/>
                <w:color w:val="FFFFFF" w:themeColor="background1"/>
                <w:sz w:val="22"/>
                <w:szCs w:val="22"/>
              </w:rPr>
            </w:pPr>
            <w:r w:rsidRPr="00CF6DB0">
              <w:rPr>
                <w:b w:val="0"/>
                <w:color w:val="FFFFFF" w:themeColor="background1"/>
                <w:sz w:val="22"/>
                <w:szCs w:val="22"/>
              </w:rPr>
              <w:t>FY19</w:t>
            </w:r>
          </w:p>
        </w:tc>
      </w:tr>
      <w:tr w:rsidR="006669C0" w:rsidRPr="00CF6DB0" w14:paraId="68887870" w14:textId="77777777" w:rsidTr="00701A61">
        <w:trPr>
          <w:trHeight w:val="20"/>
          <w:jc w:val="center"/>
        </w:trPr>
        <w:tc>
          <w:tcPr>
            <w:tcW w:w="7560" w:type="dxa"/>
          </w:tcPr>
          <w:p w14:paraId="0EA5A700" w14:textId="77777777" w:rsidR="006669C0" w:rsidRPr="00CF6DB0" w:rsidRDefault="006669C0" w:rsidP="00701A61">
            <w:pPr>
              <w:pStyle w:val="GLSTable3"/>
              <w:spacing w:line="216" w:lineRule="auto"/>
              <w:rPr>
                <w:sz w:val="22"/>
                <w:szCs w:val="22"/>
              </w:rPr>
            </w:pPr>
            <w:r w:rsidRPr="00CF6DB0">
              <w:rPr>
                <w:b/>
                <w:sz w:val="22"/>
                <w:szCs w:val="22"/>
              </w:rPr>
              <w:t>5.1:</w:t>
            </w:r>
            <w:r w:rsidRPr="00CF6DB0">
              <w:rPr>
                <w:sz w:val="22"/>
                <w:szCs w:val="22"/>
              </w:rPr>
              <w:t xml:space="preserve"> What is the anticipated impact of using longer gatekeeper trainings instead of brief gatekeeper trainings [Training Study]?</w:t>
            </w:r>
          </w:p>
        </w:tc>
        <w:tc>
          <w:tcPr>
            <w:tcW w:w="360" w:type="dxa"/>
            <w:vAlign w:val="center"/>
          </w:tcPr>
          <w:p w14:paraId="04045AE2" w14:textId="77777777" w:rsidR="006669C0" w:rsidRPr="00CF6DB0" w:rsidRDefault="006669C0" w:rsidP="00701A61">
            <w:pPr>
              <w:pStyle w:val="GLSTable3"/>
              <w:spacing w:line="216" w:lineRule="auto"/>
              <w:jc w:val="center"/>
              <w:rPr>
                <w:sz w:val="22"/>
                <w:szCs w:val="22"/>
              </w:rPr>
            </w:pPr>
            <w:r w:rsidRPr="00CF6DB0">
              <w:rPr>
                <w:sz w:val="22"/>
                <w:szCs w:val="22"/>
              </w:rPr>
              <w:t>X</w:t>
            </w:r>
          </w:p>
        </w:tc>
        <w:tc>
          <w:tcPr>
            <w:tcW w:w="360" w:type="dxa"/>
            <w:vAlign w:val="center"/>
          </w:tcPr>
          <w:p w14:paraId="361F4633" w14:textId="77777777" w:rsidR="006669C0" w:rsidRPr="00CF6DB0" w:rsidRDefault="006669C0" w:rsidP="00701A61">
            <w:pPr>
              <w:pStyle w:val="GLSTable3"/>
              <w:spacing w:line="216" w:lineRule="auto"/>
              <w:jc w:val="center"/>
              <w:rPr>
                <w:sz w:val="22"/>
                <w:szCs w:val="22"/>
              </w:rPr>
            </w:pPr>
            <w:r w:rsidRPr="00CF6DB0">
              <w:rPr>
                <w:sz w:val="22"/>
                <w:szCs w:val="22"/>
              </w:rPr>
              <w:t>X</w:t>
            </w:r>
          </w:p>
        </w:tc>
        <w:tc>
          <w:tcPr>
            <w:tcW w:w="360" w:type="dxa"/>
            <w:vAlign w:val="center"/>
          </w:tcPr>
          <w:p w14:paraId="68D4F1E9" w14:textId="77777777" w:rsidR="006669C0" w:rsidRPr="00CF6DB0" w:rsidRDefault="006669C0" w:rsidP="00701A61">
            <w:pPr>
              <w:pStyle w:val="GLSTable3"/>
              <w:spacing w:line="216" w:lineRule="auto"/>
              <w:jc w:val="center"/>
              <w:rPr>
                <w:sz w:val="22"/>
                <w:szCs w:val="22"/>
              </w:rPr>
            </w:pPr>
          </w:p>
        </w:tc>
        <w:tc>
          <w:tcPr>
            <w:tcW w:w="360" w:type="dxa"/>
            <w:vAlign w:val="center"/>
          </w:tcPr>
          <w:p w14:paraId="4C515A40" w14:textId="77777777" w:rsidR="006669C0" w:rsidRPr="00CF6DB0" w:rsidRDefault="006669C0" w:rsidP="00701A61">
            <w:pPr>
              <w:pStyle w:val="GLSTable3"/>
              <w:spacing w:line="216" w:lineRule="auto"/>
              <w:jc w:val="center"/>
              <w:rPr>
                <w:sz w:val="22"/>
                <w:szCs w:val="22"/>
              </w:rPr>
            </w:pPr>
          </w:p>
        </w:tc>
        <w:tc>
          <w:tcPr>
            <w:tcW w:w="360" w:type="dxa"/>
            <w:vAlign w:val="center"/>
          </w:tcPr>
          <w:p w14:paraId="68002496" w14:textId="77777777" w:rsidR="006669C0" w:rsidRPr="00CF6DB0" w:rsidRDefault="006669C0" w:rsidP="00701A61">
            <w:pPr>
              <w:pStyle w:val="GLSTable3"/>
              <w:spacing w:line="216" w:lineRule="auto"/>
              <w:jc w:val="center"/>
              <w:rPr>
                <w:sz w:val="22"/>
                <w:szCs w:val="22"/>
              </w:rPr>
            </w:pPr>
          </w:p>
        </w:tc>
      </w:tr>
      <w:tr w:rsidR="006669C0" w:rsidRPr="00CF6DB0" w14:paraId="56FD31D8" w14:textId="77777777" w:rsidTr="00701A61">
        <w:trPr>
          <w:trHeight w:val="20"/>
          <w:jc w:val="center"/>
        </w:trPr>
        <w:tc>
          <w:tcPr>
            <w:tcW w:w="7560" w:type="dxa"/>
          </w:tcPr>
          <w:p w14:paraId="56815ABF" w14:textId="77777777" w:rsidR="006669C0" w:rsidRPr="00CF6DB0" w:rsidRDefault="006669C0" w:rsidP="00701A61">
            <w:pPr>
              <w:pStyle w:val="GLSTable3"/>
              <w:spacing w:line="216" w:lineRule="auto"/>
              <w:rPr>
                <w:sz w:val="22"/>
                <w:szCs w:val="22"/>
              </w:rPr>
            </w:pPr>
            <w:r w:rsidRPr="00CF6DB0">
              <w:rPr>
                <w:b/>
                <w:sz w:val="22"/>
                <w:szCs w:val="22"/>
              </w:rPr>
              <w:t>5.2:</w:t>
            </w:r>
            <w:r w:rsidRPr="00CF6DB0">
              <w:rPr>
                <w:sz w:val="22"/>
                <w:szCs w:val="22"/>
              </w:rPr>
              <w:t xml:space="preserve"> What is the anticipated impact of incorporating role-playing in every brief gatekeeper training and/or booster intervention following gatekeeper training [Training Study]?</w:t>
            </w:r>
          </w:p>
        </w:tc>
        <w:tc>
          <w:tcPr>
            <w:tcW w:w="360" w:type="dxa"/>
            <w:vAlign w:val="center"/>
          </w:tcPr>
          <w:p w14:paraId="3B83271B" w14:textId="77777777" w:rsidR="006669C0" w:rsidRPr="00CF6DB0" w:rsidRDefault="006669C0" w:rsidP="00701A61">
            <w:pPr>
              <w:pStyle w:val="GLSTable3"/>
              <w:spacing w:line="216" w:lineRule="auto"/>
              <w:jc w:val="center"/>
              <w:rPr>
                <w:sz w:val="22"/>
                <w:szCs w:val="22"/>
              </w:rPr>
            </w:pPr>
          </w:p>
        </w:tc>
        <w:tc>
          <w:tcPr>
            <w:tcW w:w="360" w:type="dxa"/>
            <w:vAlign w:val="center"/>
          </w:tcPr>
          <w:p w14:paraId="318008DB" w14:textId="77777777" w:rsidR="006669C0" w:rsidRPr="00CF6DB0" w:rsidRDefault="006669C0" w:rsidP="00701A61">
            <w:pPr>
              <w:pStyle w:val="GLSTable3"/>
              <w:spacing w:line="216" w:lineRule="auto"/>
              <w:jc w:val="center"/>
              <w:rPr>
                <w:sz w:val="22"/>
                <w:szCs w:val="22"/>
              </w:rPr>
            </w:pPr>
          </w:p>
        </w:tc>
        <w:tc>
          <w:tcPr>
            <w:tcW w:w="360" w:type="dxa"/>
            <w:vAlign w:val="center"/>
          </w:tcPr>
          <w:p w14:paraId="17E08F6E" w14:textId="77777777" w:rsidR="006669C0" w:rsidRPr="00CF6DB0" w:rsidRDefault="006669C0" w:rsidP="00701A61">
            <w:pPr>
              <w:pStyle w:val="GLSTable3"/>
              <w:spacing w:line="216" w:lineRule="auto"/>
              <w:jc w:val="center"/>
              <w:rPr>
                <w:sz w:val="22"/>
                <w:szCs w:val="22"/>
              </w:rPr>
            </w:pPr>
            <w:r w:rsidRPr="00CF6DB0">
              <w:rPr>
                <w:sz w:val="22"/>
                <w:szCs w:val="22"/>
              </w:rPr>
              <w:t>X</w:t>
            </w:r>
          </w:p>
        </w:tc>
        <w:tc>
          <w:tcPr>
            <w:tcW w:w="360" w:type="dxa"/>
            <w:vAlign w:val="center"/>
          </w:tcPr>
          <w:p w14:paraId="1CEB2895" w14:textId="77777777" w:rsidR="006669C0" w:rsidRPr="00CF6DB0" w:rsidRDefault="006669C0" w:rsidP="00701A61">
            <w:pPr>
              <w:pStyle w:val="GLSTable3"/>
              <w:spacing w:line="216" w:lineRule="auto"/>
              <w:jc w:val="center"/>
              <w:rPr>
                <w:sz w:val="22"/>
                <w:szCs w:val="22"/>
              </w:rPr>
            </w:pPr>
            <w:r w:rsidRPr="00CF6DB0">
              <w:rPr>
                <w:sz w:val="22"/>
                <w:szCs w:val="22"/>
              </w:rPr>
              <w:t>X</w:t>
            </w:r>
          </w:p>
        </w:tc>
        <w:tc>
          <w:tcPr>
            <w:tcW w:w="360" w:type="dxa"/>
            <w:vAlign w:val="center"/>
          </w:tcPr>
          <w:p w14:paraId="0480A9C2" w14:textId="77777777" w:rsidR="006669C0" w:rsidRPr="00CF6DB0" w:rsidRDefault="006669C0" w:rsidP="00701A61">
            <w:pPr>
              <w:pStyle w:val="GLSTable3"/>
              <w:spacing w:line="216" w:lineRule="auto"/>
              <w:jc w:val="center"/>
              <w:rPr>
                <w:sz w:val="22"/>
                <w:szCs w:val="22"/>
              </w:rPr>
            </w:pPr>
          </w:p>
        </w:tc>
      </w:tr>
      <w:tr w:rsidR="006669C0" w:rsidRPr="00CF6DB0" w14:paraId="2498246D" w14:textId="77777777" w:rsidTr="00701A61">
        <w:trPr>
          <w:trHeight w:val="20"/>
          <w:jc w:val="center"/>
        </w:trPr>
        <w:tc>
          <w:tcPr>
            <w:tcW w:w="7560" w:type="dxa"/>
          </w:tcPr>
          <w:p w14:paraId="4A6E186A" w14:textId="77777777" w:rsidR="006669C0" w:rsidRPr="00CF6DB0" w:rsidRDefault="006669C0" w:rsidP="00701A61">
            <w:pPr>
              <w:pStyle w:val="GLSTable3"/>
              <w:spacing w:line="216" w:lineRule="auto"/>
              <w:rPr>
                <w:sz w:val="22"/>
                <w:szCs w:val="22"/>
              </w:rPr>
            </w:pPr>
            <w:r w:rsidRPr="00CF6DB0">
              <w:rPr>
                <w:b/>
                <w:sz w:val="22"/>
                <w:szCs w:val="22"/>
              </w:rPr>
              <w:t>5.3:</w:t>
            </w:r>
            <w:r w:rsidRPr="00CF6DB0">
              <w:rPr>
                <w:sz w:val="22"/>
                <w:szCs w:val="22"/>
              </w:rPr>
              <w:t xml:space="preserve"> What is the anticipated impact of incorporating follow-up contact after identification at school [Continuity of Care Study]?</w:t>
            </w:r>
          </w:p>
        </w:tc>
        <w:tc>
          <w:tcPr>
            <w:tcW w:w="360" w:type="dxa"/>
            <w:vAlign w:val="center"/>
          </w:tcPr>
          <w:p w14:paraId="7CAB7864" w14:textId="77777777" w:rsidR="006669C0" w:rsidRPr="00CF6DB0" w:rsidRDefault="006669C0" w:rsidP="00701A61">
            <w:pPr>
              <w:pStyle w:val="GLSTable3"/>
              <w:spacing w:line="216" w:lineRule="auto"/>
              <w:jc w:val="center"/>
              <w:rPr>
                <w:sz w:val="22"/>
                <w:szCs w:val="22"/>
              </w:rPr>
            </w:pPr>
          </w:p>
        </w:tc>
        <w:tc>
          <w:tcPr>
            <w:tcW w:w="360" w:type="dxa"/>
            <w:vAlign w:val="center"/>
          </w:tcPr>
          <w:p w14:paraId="59368505" w14:textId="77777777" w:rsidR="006669C0" w:rsidRPr="00CF6DB0" w:rsidRDefault="006669C0" w:rsidP="00701A61">
            <w:pPr>
              <w:pStyle w:val="GLSTable3"/>
              <w:spacing w:line="216" w:lineRule="auto"/>
              <w:jc w:val="center"/>
              <w:rPr>
                <w:sz w:val="22"/>
                <w:szCs w:val="22"/>
              </w:rPr>
            </w:pPr>
          </w:p>
        </w:tc>
        <w:tc>
          <w:tcPr>
            <w:tcW w:w="360" w:type="dxa"/>
            <w:vAlign w:val="center"/>
          </w:tcPr>
          <w:p w14:paraId="1B99F1DA" w14:textId="77777777" w:rsidR="006669C0" w:rsidRPr="00CF6DB0" w:rsidRDefault="006669C0" w:rsidP="00701A61">
            <w:pPr>
              <w:pStyle w:val="GLSTable3"/>
              <w:spacing w:line="216" w:lineRule="auto"/>
              <w:jc w:val="center"/>
              <w:rPr>
                <w:sz w:val="22"/>
                <w:szCs w:val="22"/>
              </w:rPr>
            </w:pPr>
            <w:r w:rsidRPr="00CF6DB0">
              <w:rPr>
                <w:sz w:val="22"/>
                <w:szCs w:val="22"/>
              </w:rPr>
              <w:t>X</w:t>
            </w:r>
          </w:p>
        </w:tc>
        <w:tc>
          <w:tcPr>
            <w:tcW w:w="360" w:type="dxa"/>
            <w:vAlign w:val="center"/>
          </w:tcPr>
          <w:p w14:paraId="7BDFF449" w14:textId="77777777" w:rsidR="006669C0" w:rsidRPr="00CF6DB0" w:rsidRDefault="006669C0" w:rsidP="00701A61">
            <w:pPr>
              <w:pStyle w:val="GLSTable3"/>
              <w:spacing w:line="216" w:lineRule="auto"/>
              <w:jc w:val="center"/>
              <w:rPr>
                <w:sz w:val="22"/>
                <w:szCs w:val="22"/>
              </w:rPr>
            </w:pPr>
            <w:r w:rsidRPr="00CF6DB0">
              <w:rPr>
                <w:sz w:val="22"/>
                <w:szCs w:val="22"/>
              </w:rPr>
              <w:t>X</w:t>
            </w:r>
          </w:p>
        </w:tc>
        <w:tc>
          <w:tcPr>
            <w:tcW w:w="360" w:type="dxa"/>
            <w:vAlign w:val="center"/>
          </w:tcPr>
          <w:p w14:paraId="59AB8848" w14:textId="77777777" w:rsidR="006669C0" w:rsidRPr="00CF6DB0" w:rsidRDefault="006669C0" w:rsidP="00701A61">
            <w:pPr>
              <w:pStyle w:val="GLSTable3"/>
              <w:spacing w:line="216" w:lineRule="auto"/>
              <w:jc w:val="center"/>
              <w:rPr>
                <w:sz w:val="22"/>
                <w:szCs w:val="22"/>
              </w:rPr>
            </w:pPr>
          </w:p>
        </w:tc>
      </w:tr>
      <w:tr w:rsidR="006669C0" w:rsidRPr="00CF6DB0" w14:paraId="3933E6A0" w14:textId="77777777" w:rsidTr="00701A61">
        <w:trPr>
          <w:trHeight w:val="20"/>
          <w:jc w:val="center"/>
        </w:trPr>
        <w:tc>
          <w:tcPr>
            <w:tcW w:w="7560" w:type="dxa"/>
          </w:tcPr>
          <w:p w14:paraId="7BBA1D25" w14:textId="77777777" w:rsidR="006669C0" w:rsidRPr="00CF6DB0" w:rsidRDefault="006669C0" w:rsidP="00701A61">
            <w:pPr>
              <w:pStyle w:val="GLSTable3"/>
              <w:spacing w:line="216" w:lineRule="auto"/>
              <w:rPr>
                <w:sz w:val="22"/>
                <w:szCs w:val="22"/>
              </w:rPr>
            </w:pPr>
            <w:r w:rsidRPr="00CF6DB0">
              <w:rPr>
                <w:b/>
                <w:sz w:val="22"/>
                <w:szCs w:val="22"/>
              </w:rPr>
              <w:t>5.4:</w:t>
            </w:r>
            <w:r w:rsidRPr="00CF6DB0">
              <w:rPr>
                <w:sz w:val="22"/>
                <w:szCs w:val="22"/>
              </w:rPr>
              <w:t xml:space="preserve"> What is the anticipated impact of implementing Zero Suicide in a number of mental health organizations [Suicide Safer Environment Study]? </w:t>
            </w:r>
          </w:p>
        </w:tc>
        <w:tc>
          <w:tcPr>
            <w:tcW w:w="360" w:type="dxa"/>
            <w:vAlign w:val="center"/>
          </w:tcPr>
          <w:p w14:paraId="2DFD1372" w14:textId="77777777" w:rsidR="006669C0" w:rsidRPr="00CF6DB0" w:rsidRDefault="006669C0" w:rsidP="00701A61">
            <w:pPr>
              <w:pStyle w:val="GLSTable3"/>
              <w:spacing w:line="216" w:lineRule="auto"/>
              <w:jc w:val="center"/>
              <w:rPr>
                <w:sz w:val="22"/>
                <w:szCs w:val="22"/>
              </w:rPr>
            </w:pPr>
          </w:p>
        </w:tc>
        <w:tc>
          <w:tcPr>
            <w:tcW w:w="360" w:type="dxa"/>
            <w:vAlign w:val="center"/>
          </w:tcPr>
          <w:p w14:paraId="60DFD1C1" w14:textId="77777777" w:rsidR="006669C0" w:rsidRPr="00CF6DB0" w:rsidRDefault="006669C0" w:rsidP="00701A61">
            <w:pPr>
              <w:pStyle w:val="GLSTable3"/>
              <w:spacing w:line="216" w:lineRule="auto"/>
              <w:jc w:val="center"/>
              <w:rPr>
                <w:sz w:val="22"/>
                <w:szCs w:val="22"/>
              </w:rPr>
            </w:pPr>
          </w:p>
        </w:tc>
        <w:tc>
          <w:tcPr>
            <w:tcW w:w="360" w:type="dxa"/>
            <w:vAlign w:val="center"/>
          </w:tcPr>
          <w:p w14:paraId="057ED50C" w14:textId="77777777" w:rsidR="006669C0" w:rsidRPr="00CF6DB0" w:rsidRDefault="006669C0" w:rsidP="00701A61">
            <w:pPr>
              <w:pStyle w:val="GLSTable3"/>
              <w:spacing w:line="216" w:lineRule="auto"/>
              <w:jc w:val="center"/>
              <w:rPr>
                <w:sz w:val="22"/>
                <w:szCs w:val="22"/>
              </w:rPr>
            </w:pPr>
            <w:r w:rsidRPr="00CF6DB0">
              <w:rPr>
                <w:sz w:val="22"/>
                <w:szCs w:val="22"/>
              </w:rPr>
              <w:t>X</w:t>
            </w:r>
          </w:p>
        </w:tc>
        <w:tc>
          <w:tcPr>
            <w:tcW w:w="360" w:type="dxa"/>
            <w:vAlign w:val="center"/>
          </w:tcPr>
          <w:p w14:paraId="6DBFF177" w14:textId="77777777" w:rsidR="006669C0" w:rsidRPr="00CF6DB0" w:rsidRDefault="006669C0" w:rsidP="00701A61">
            <w:pPr>
              <w:pStyle w:val="GLSTable3"/>
              <w:spacing w:line="216" w:lineRule="auto"/>
              <w:jc w:val="center"/>
              <w:rPr>
                <w:sz w:val="22"/>
                <w:szCs w:val="22"/>
              </w:rPr>
            </w:pPr>
            <w:r w:rsidRPr="00CF6DB0">
              <w:rPr>
                <w:sz w:val="22"/>
                <w:szCs w:val="22"/>
              </w:rPr>
              <w:t>X</w:t>
            </w:r>
          </w:p>
        </w:tc>
        <w:tc>
          <w:tcPr>
            <w:tcW w:w="360" w:type="dxa"/>
            <w:vAlign w:val="center"/>
          </w:tcPr>
          <w:p w14:paraId="779F66B3" w14:textId="77777777" w:rsidR="006669C0" w:rsidRPr="00CF6DB0" w:rsidRDefault="006669C0" w:rsidP="00701A61">
            <w:pPr>
              <w:pStyle w:val="GLSTable3"/>
              <w:spacing w:line="216" w:lineRule="auto"/>
              <w:jc w:val="center"/>
              <w:rPr>
                <w:sz w:val="22"/>
                <w:szCs w:val="22"/>
              </w:rPr>
            </w:pPr>
          </w:p>
        </w:tc>
      </w:tr>
    </w:tbl>
    <w:p w14:paraId="636B9CE5" w14:textId="48A00DA5" w:rsidR="00F57AD5" w:rsidRPr="00B603E8" w:rsidRDefault="00F57AD5" w:rsidP="00045A50">
      <w:pPr>
        <w:pStyle w:val="GLSBody"/>
        <w:spacing w:before="240" w:after="200"/>
        <w:rPr>
          <w:color w:val="231F20"/>
        </w:rPr>
      </w:pPr>
      <w:r w:rsidRPr="00B603E8">
        <w:t xml:space="preserve">The Action Alliance’s Research Agenda for Suicide Prevention included a set of models developed to determine the potential effects of alternative prevention interventions on suicide deaths (NAASP, 2014). A similar approach will be employed to take full advantage of the evidence gathered through the NOE by anticipating the impact of changes in the intervention, such as the widespread adoption of booster trainings, the implementation of a specific method to increase youth engagement with the recommended treatment, or the increased use of particular elements of the Zero Suicide framework by health providers. A preliminary list of interventions and outcomes (in terms of reduction of suicide attempts or suicide deaths), together with the study that will constitute the primary source, is presented in Exhibit </w:t>
      </w:r>
      <w:r w:rsidR="00DD1247" w:rsidRPr="00B603E8">
        <w:t>14</w:t>
      </w:r>
      <w:r w:rsidRPr="00B603E8">
        <w:t>. The primary data sources (i.e., TUP-S, SUESI, and BHPS) and associated methods of data collection were described in Section A.</w:t>
      </w:r>
      <w:r w:rsidR="00377228" w:rsidRPr="00B603E8">
        <w:t>2</w:t>
      </w:r>
      <w:r w:rsidRPr="00B603E8">
        <w:t>.</w:t>
      </w:r>
      <w:r w:rsidR="00377228" w:rsidRPr="00B603E8">
        <w:t>a</w:t>
      </w:r>
      <w:r w:rsidRPr="00B603E8">
        <w:t>.</w:t>
      </w:r>
    </w:p>
    <w:p w14:paraId="12537F00" w14:textId="2770410C" w:rsidR="00F57AD5" w:rsidRPr="00B603E8" w:rsidRDefault="00F57AD5" w:rsidP="00757925">
      <w:pPr>
        <w:pStyle w:val="GLSTableExhibit"/>
        <w:jc w:val="left"/>
        <w:rPr>
          <w:color w:val="auto"/>
        </w:rPr>
      </w:pPr>
      <w:proofErr w:type="gramStart"/>
      <w:r w:rsidRPr="00B603E8">
        <w:rPr>
          <w:color w:val="auto"/>
        </w:rPr>
        <w:t xml:space="preserve">Exhibit </w:t>
      </w:r>
      <w:r w:rsidR="00DD1247" w:rsidRPr="00B603E8">
        <w:rPr>
          <w:color w:val="auto"/>
        </w:rPr>
        <w:t>14</w:t>
      </w:r>
      <w:r w:rsidRPr="00B603E8">
        <w:rPr>
          <w:color w:val="auto"/>
        </w:rPr>
        <w:t>.</w:t>
      </w:r>
      <w:proofErr w:type="gramEnd"/>
      <w:r w:rsidRPr="00B603E8">
        <w:rPr>
          <w:color w:val="auto"/>
        </w:rPr>
        <w:t xml:space="preserve"> </w:t>
      </w:r>
      <w:r w:rsidR="00BE674A" w:rsidRPr="00B603E8">
        <w:rPr>
          <w:color w:val="auto"/>
        </w:rPr>
        <w:t>Preliminary Interventions</w:t>
      </w:r>
      <w:r w:rsidR="00B65D4F" w:rsidRPr="00B603E8">
        <w:rPr>
          <w:color w:val="auto"/>
        </w:rPr>
        <w:t xml:space="preserve"> and</w:t>
      </w:r>
      <w:r w:rsidR="00BE674A" w:rsidRPr="00B603E8">
        <w:rPr>
          <w:color w:val="auto"/>
        </w:rPr>
        <w:t xml:space="preserve"> </w:t>
      </w:r>
      <w:r w:rsidR="00B65D4F" w:rsidRPr="00B603E8">
        <w:rPr>
          <w:color w:val="auto"/>
        </w:rPr>
        <w:t>Parameter</w:t>
      </w:r>
      <w:r w:rsidR="00BE674A" w:rsidRPr="00B603E8">
        <w:rPr>
          <w:color w:val="auto"/>
        </w:rPr>
        <w:t>s</w:t>
      </w:r>
      <w:r w:rsidR="00B65D4F" w:rsidRPr="00B603E8">
        <w:rPr>
          <w:color w:val="auto"/>
        </w:rPr>
        <w:t xml:space="preserve"> by Primary</w:t>
      </w:r>
      <w:r w:rsidR="00BE674A" w:rsidRPr="00B603E8">
        <w:rPr>
          <w:color w:val="auto"/>
        </w:rPr>
        <w:t xml:space="preserve"> Source</w:t>
      </w:r>
      <w:r w:rsidRPr="00B603E8">
        <w:rPr>
          <w:color w:val="auto"/>
        </w:rPr>
        <w:t xml:space="preserve"> </w:t>
      </w:r>
      <w:r w:rsidR="00B65D4F" w:rsidRPr="00B603E8">
        <w:rPr>
          <w:color w:val="auto"/>
        </w:rPr>
        <w:t xml:space="preserve"> </w:t>
      </w:r>
    </w:p>
    <w:tbl>
      <w:tblPr>
        <w:tblStyle w:val="TableGrid11"/>
        <w:tblW w:w="93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60"/>
        <w:gridCol w:w="4680"/>
        <w:gridCol w:w="1715"/>
      </w:tblGrid>
      <w:tr w:rsidR="00F57AD5" w:rsidRPr="009433C4" w14:paraId="1C1FAFD7" w14:textId="77777777" w:rsidTr="00CF6DB0">
        <w:trPr>
          <w:trHeight w:val="332"/>
          <w:tblHeader/>
        </w:trPr>
        <w:tc>
          <w:tcPr>
            <w:tcW w:w="2960" w:type="dxa"/>
            <w:shd w:val="clear" w:color="auto" w:fill="404040" w:themeFill="text1" w:themeFillTint="BF"/>
          </w:tcPr>
          <w:p w14:paraId="283BD7E7" w14:textId="77777777" w:rsidR="00F57AD5" w:rsidRPr="009433C4" w:rsidRDefault="00F57AD5" w:rsidP="00465DF7">
            <w:pPr>
              <w:pStyle w:val="GLSTable1"/>
              <w:rPr>
                <w:b w:val="0"/>
                <w:color w:val="FFFFFF" w:themeColor="background1"/>
                <w:sz w:val="22"/>
                <w:szCs w:val="22"/>
              </w:rPr>
            </w:pPr>
            <w:r w:rsidRPr="009433C4">
              <w:rPr>
                <w:b w:val="0"/>
                <w:color w:val="FFFFFF" w:themeColor="background1"/>
                <w:sz w:val="22"/>
                <w:szCs w:val="22"/>
              </w:rPr>
              <w:t>Intervention</w:t>
            </w:r>
          </w:p>
        </w:tc>
        <w:tc>
          <w:tcPr>
            <w:tcW w:w="4680" w:type="dxa"/>
            <w:shd w:val="clear" w:color="auto" w:fill="404040" w:themeFill="text1" w:themeFillTint="BF"/>
          </w:tcPr>
          <w:p w14:paraId="1AD6758A" w14:textId="77777777" w:rsidR="00F57AD5" w:rsidRPr="009433C4" w:rsidRDefault="00F57AD5" w:rsidP="00465DF7">
            <w:pPr>
              <w:pStyle w:val="GLSTable1"/>
              <w:rPr>
                <w:b w:val="0"/>
                <w:color w:val="FFFFFF" w:themeColor="background1"/>
                <w:sz w:val="22"/>
                <w:szCs w:val="22"/>
              </w:rPr>
            </w:pPr>
            <w:r w:rsidRPr="009433C4">
              <w:rPr>
                <w:b w:val="0"/>
                <w:color w:val="FFFFFF" w:themeColor="background1"/>
                <w:sz w:val="22"/>
                <w:szCs w:val="22"/>
              </w:rPr>
              <w:t>Parameter</w:t>
            </w:r>
          </w:p>
        </w:tc>
        <w:tc>
          <w:tcPr>
            <w:tcW w:w="1715" w:type="dxa"/>
            <w:shd w:val="clear" w:color="auto" w:fill="404040" w:themeFill="text1" w:themeFillTint="BF"/>
          </w:tcPr>
          <w:p w14:paraId="3067E096" w14:textId="77777777" w:rsidR="00F57AD5" w:rsidRPr="009433C4" w:rsidRDefault="00F57AD5" w:rsidP="00465DF7">
            <w:pPr>
              <w:pStyle w:val="GLSTable1"/>
              <w:rPr>
                <w:b w:val="0"/>
                <w:color w:val="FFFFFF" w:themeColor="background1"/>
                <w:sz w:val="22"/>
                <w:szCs w:val="22"/>
              </w:rPr>
            </w:pPr>
            <w:r w:rsidRPr="009433C4">
              <w:rPr>
                <w:b w:val="0"/>
                <w:color w:val="FFFFFF" w:themeColor="background1"/>
                <w:sz w:val="22"/>
                <w:szCs w:val="22"/>
              </w:rPr>
              <w:t>Source</w:t>
            </w:r>
          </w:p>
        </w:tc>
      </w:tr>
      <w:tr w:rsidR="00F57AD5" w:rsidRPr="009433C4" w14:paraId="5DF2A562" w14:textId="77777777" w:rsidTr="009433C4">
        <w:trPr>
          <w:trHeight w:val="655"/>
        </w:trPr>
        <w:tc>
          <w:tcPr>
            <w:tcW w:w="2960" w:type="dxa"/>
            <w:shd w:val="clear" w:color="auto" w:fill="auto"/>
          </w:tcPr>
          <w:p w14:paraId="06A97A50" w14:textId="77777777" w:rsidR="00F57AD5" w:rsidRPr="009433C4" w:rsidRDefault="00F57AD5" w:rsidP="00E84D0B">
            <w:pPr>
              <w:pStyle w:val="GLSTable3"/>
              <w:rPr>
                <w:sz w:val="22"/>
                <w:szCs w:val="22"/>
              </w:rPr>
            </w:pPr>
            <w:r w:rsidRPr="009433C4">
              <w:rPr>
                <w:sz w:val="22"/>
                <w:szCs w:val="22"/>
              </w:rPr>
              <w:t>Use longer gatekeeper trainings instead of brief gatekeeper trainings</w:t>
            </w:r>
          </w:p>
        </w:tc>
        <w:tc>
          <w:tcPr>
            <w:tcW w:w="4680" w:type="dxa"/>
            <w:shd w:val="clear" w:color="auto" w:fill="auto"/>
          </w:tcPr>
          <w:p w14:paraId="2EC6132C" w14:textId="77777777" w:rsidR="00F57AD5" w:rsidRPr="009433C4" w:rsidRDefault="00F57AD5" w:rsidP="00E84D0B">
            <w:pPr>
              <w:pStyle w:val="GLSTable3"/>
              <w:rPr>
                <w:sz w:val="22"/>
                <w:szCs w:val="22"/>
              </w:rPr>
            </w:pPr>
            <w:r w:rsidRPr="009433C4">
              <w:rPr>
                <w:sz w:val="22"/>
                <w:szCs w:val="22"/>
              </w:rPr>
              <w:t>Difference in gatekeeper behavior (identification, referrals, and follow) by type of training</w:t>
            </w:r>
          </w:p>
        </w:tc>
        <w:tc>
          <w:tcPr>
            <w:tcW w:w="1715" w:type="dxa"/>
            <w:shd w:val="clear" w:color="auto" w:fill="auto"/>
          </w:tcPr>
          <w:p w14:paraId="7FDA5D17" w14:textId="77777777" w:rsidR="00F57AD5" w:rsidRPr="009433C4" w:rsidRDefault="00F57AD5" w:rsidP="00E84D0B">
            <w:pPr>
              <w:pStyle w:val="GLSTable3"/>
              <w:rPr>
                <w:sz w:val="22"/>
                <w:szCs w:val="22"/>
              </w:rPr>
            </w:pPr>
            <w:r w:rsidRPr="009433C4">
              <w:rPr>
                <w:sz w:val="22"/>
                <w:szCs w:val="22"/>
              </w:rPr>
              <w:t xml:space="preserve">TUP-S </w:t>
            </w:r>
          </w:p>
          <w:p w14:paraId="773240F3" w14:textId="77777777" w:rsidR="00F57AD5" w:rsidRPr="009433C4" w:rsidRDefault="00F57AD5" w:rsidP="00E84D0B">
            <w:pPr>
              <w:pStyle w:val="GLSTable3"/>
              <w:rPr>
                <w:sz w:val="22"/>
                <w:szCs w:val="22"/>
              </w:rPr>
            </w:pPr>
            <w:r w:rsidRPr="009433C4">
              <w:rPr>
                <w:i/>
                <w:sz w:val="22"/>
                <w:szCs w:val="22"/>
              </w:rPr>
              <w:t>Training Core</w:t>
            </w:r>
          </w:p>
        </w:tc>
      </w:tr>
      <w:tr w:rsidR="00F57AD5" w:rsidRPr="009433C4" w14:paraId="72472E9B" w14:textId="77777777" w:rsidTr="00E84D0B">
        <w:tc>
          <w:tcPr>
            <w:tcW w:w="2960" w:type="dxa"/>
            <w:shd w:val="clear" w:color="auto" w:fill="auto"/>
          </w:tcPr>
          <w:p w14:paraId="40BF8B3A" w14:textId="77777777" w:rsidR="00F57AD5" w:rsidRPr="009433C4" w:rsidRDefault="00F57AD5" w:rsidP="00E84D0B">
            <w:pPr>
              <w:pStyle w:val="GLSTable3"/>
              <w:rPr>
                <w:sz w:val="22"/>
                <w:szCs w:val="22"/>
              </w:rPr>
            </w:pPr>
            <w:r w:rsidRPr="009433C4">
              <w:rPr>
                <w:sz w:val="22"/>
                <w:szCs w:val="22"/>
              </w:rPr>
              <w:t xml:space="preserve">Incorporate role-play in every brief gatekeeper training </w:t>
            </w:r>
          </w:p>
        </w:tc>
        <w:tc>
          <w:tcPr>
            <w:tcW w:w="4680" w:type="dxa"/>
            <w:shd w:val="clear" w:color="auto" w:fill="auto"/>
          </w:tcPr>
          <w:p w14:paraId="0F4CF5C2" w14:textId="77777777" w:rsidR="00F57AD5" w:rsidRPr="009433C4" w:rsidRDefault="00F57AD5" w:rsidP="00E84D0B">
            <w:pPr>
              <w:pStyle w:val="GLSTable3"/>
              <w:rPr>
                <w:sz w:val="22"/>
                <w:szCs w:val="22"/>
              </w:rPr>
            </w:pPr>
            <w:r w:rsidRPr="009433C4">
              <w:rPr>
                <w:sz w:val="22"/>
                <w:szCs w:val="22"/>
              </w:rPr>
              <w:t xml:space="preserve">Effect of the use of role-playing in gatekeeper behavior (identification, referrals, and follow-ups) </w:t>
            </w:r>
          </w:p>
        </w:tc>
        <w:tc>
          <w:tcPr>
            <w:tcW w:w="1715" w:type="dxa"/>
            <w:shd w:val="clear" w:color="auto" w:fill="auto"/>
          </w:tcPr>
          <w:p w14:paraId="167CC41C" w14:textId="77777777" w:rsidR="00F57AD5" w:rsidRPr="009433C4" w:rsidRDefault="00F57AD5" w:rsidP="00E84D0B">
            <w:pPr>
              <w:pStyle w:val="GLSTable3"/>
              <w:rPr>
                <w:sz w:val="22"/>
                <w:szCs w:val="22"/>
              </w:rPr>
            </w:pPr>
            <w:r w:rsidRPr="009433C4">
              <w:rPr>
                <w:sz w:val="22"/>
                <w:szCs w:val="22"/>
              </w:rPr>
              <w:t xml:space="preserve">TUP-S </w:t>
            </w:r>
          </w:p>
          <w:p w14:paraId="4B7C153A" w14:textId="77777777" w:rsidR="00F57AD5" w:rsidRPr="009433C4" w:rsidRDefault="00F57AD5" w:rsidP="00E84D0B">
            <w:pPr>
              <w:pStyle w:val="GLSTable3"/>
              <w:rPr>
                <w:sz w:val="22"/>
                <w:szCs w:val="22"/>
              </w:rPr>
            </w:pPr>
            <w:r w:rsidRPr="009433C4">
              <w:rPr>
                <w:i/>
                <w:sz w:val="22"/>
                <w:szCs w:val="22"/>
              </w:rPr>
              <w:t>Training RCT</w:t>
            </w:r>
          </w:p>
        </w:tc>
      </w:tr>
      <w:tr w:rsidR="00F57AD5" w:rsidRPr="009433C4" w14:paraId="1D3E2059" w14:textId="77777777" w:rsidTr="00E84D0B">
        <w:tc>
          <w:tcPr>
            <w:tcW w:w="2960" w:type="dxa"/>
            <w:shd w:val="clear" w:color="auto" w:fill="auto"/>
          </w:tcPr>
          <w:p w14:paraId="2FD3D6A9" w14:textId="77777777" w:rsidR="00F57AD5" w:rsidRPr="009433C4" w:rsidRDefault="00F57AD5" w:rsidP="00E84D0B">
            <w:pPr>
              <w:pStyle w:val="GLSTable3"/>
              <w:rPr>
                <w:sz w:val="22"/>
                <w:szCs w:val="22"/>
              </w:rPr>
            </w:pPr>
            <w:r w:rsidRPr="009433C4">
              <w:rPr>
                <w:sz w:val="22"/>
                <w:szCs w:val="22"/>
              </w:rPr>
              <w:t xml:space="preserve">Incorporate booster intervention following gatekeeper training </w:t>
            </w:r>
          </w:p>
        </w:tc>
        <w:tc>
          <w:tcPr>
            <w:tcW w:w="4680" w:type="dxa"/>
            <w:shd w:val="clear" w:color="auto" w:fill="auto"/>
          </w:tcPr>
          <w:p w14:paraId="6CDEEFE0" w14:textId="77777777" w:rsidR="00F57AD5" w:rsidRPr="009433C4" w:rsidRDefault="00F57AD5" w:rsidP="00E84D0B">
            <w:pPr>
              <w:pStyle w:val="GLSTable3"/>
              <w:rPr>
                <w:sz w:val="22"/>
                <w:szCs w:val="22"/>
              </w:rPr>
            </w:pPr>
            <w:r w:rsidRPr="009433C4">
              <w:rPr>
                <w:sz w:val="22"/>
                <w:szCs w:val="22"/>
              </w:rPr>
              <w:t xml:space="preserve">Effect of booster intervention on gatekeeper behavior (identification, referrals, and follow-ups) </w:t>
            </w:r>
          </w:p>
        </w:tc>
        <w:tc>
          <w:tcPr>
            <w:tcW w:w="1715" w:type="dxa"/>
            <w:shd w:val="clear" w:color="auto" w:fill="auto"/>
          </w:tcPr>
          <w:p w14:paraId="3FA56673" w14:textId="77777777" w:rsidR="00F57AD5" w:rsidRPr="009433C4" w:rsidRDefault="00F57AD5" w:rsidP="00E84D0B">
            <w:pPr>
              <w:pStyle w:val="GLSTable3"/>
              <w:rPr>
                <w:sz w:val="22"/>
                <w:szCs w:val="22"/>
              </w:rPr>
            </w:pPr>
            <w:r w:rsidRPr="009433C4">
              <w:rPr>
                <w:sz w:val="22"/>
                <w:szCs w:val="22"/>
              </w:rPr>
              <w:t xml:space="preserve">TUP-S </w:t>
            </w:r>
          </w:p>
          <w:p w14:paraId="47583034" w14:textId="77777777" w:rsidR="00F57AD5" w:rsidRPr="009433C4" w:rsidRDefault="00F57AD5" w:rsidP="00E84D0B">
            <w:pPr>
              <w:pStyle w:val="GLSTable3"/>
              <w:rPr>
                <w:sz w:val="22"/>
                <w:szCs w:val="22"/>
              </w:rPr>
            </w:pPr>
            <w:r w:rsidRPr="009433C4">
              <w:rPr>
                <w:i/>
                <w:sz w:val="22"/>
                <w:szCs w:val="22"/>
              </w:rPr>
              <w:t>Training RCT</w:t>
            </w:r>
          </w:p>
        </w:tc>
      </w:tr>
      <w:tr w:rsidR="00F57AD5" w:rsidRPr="009433C4" w14:paraId="3C1F0275" w14:textId="77777777" w:rsidTr="00E84D0B">
        <w:tc>
          <w:tcPr>
            <w:tcW w:w="2960" w:type="dxa"/>
            <w:shd w:val="clear" w:color="auto" w:fill="auto"/>
          </w:tcPr>
          <w:p w14:paraId="6F12FC9F" w14:textId="72C925F7" w:rsidR="00F57AD5" w:rsidRPr="009433C4" w:rsidRDefault="00A706F0" w:rsidP="00E84D0B">
            <w:pPr>
              <w:pStyle w:val="GLSTable3"/>
              <w:rPr>
                <w:sz w:val="22"/>
                <w:szCs w:val="22"/>
              </w:rPr>
            </w:pPr>
            <w:r w:rsidRPr="009433C4">
              <w:rPr>
                <w:sz w:val="22"/>
                <w:szCs w:val="22"/>
              </w:rPr>
              <w:t>Behavioral health organizations</w:t>
            </w:r>
            <w:r w:rsidR="00F57AD5" w:rsidRPr="009433C4">
              <w:rPr>
                <w:sz w:val="22"/>
                <w:szCs w:val="22"/>
              </w:rPr>
              <w:t xml:space="preserve"> implement Zero-Suicide interventions </w:t>
            </w:r>
          </w:p>
        </w:tc>
        <w:tc>
          <w:tcPr>
            <w:tcW w:w="4680" w:type="dxa"/>
            <w:shd w:val="clear" w:color="auto" w:fill="auto"/>
          </w:tcPr>
          <w:p w14:paraId="46725686" w14:textId="77777777" w:rsidR="00F57AD5" w:rsidRPr="009433C4" w:rsidRDefault="00F57AD5" w:rsidP="00E84D0B">
            <w:pPr>
              <w:pStyle w:val="GLSTable3"/>
              <w:rPr>
                <w:sz w:val="22"/>
                <w:szCs w:val="22"/>
              </w:rPr>
            </w:pPr>
            <w:r w:rsidRPr="009433C4">
              <w:rPr>
                <w:sz w:val="22"/>
                <w:szCs w:val="22"/>
              </w:rPr>
              <w:t>Difference in attempt rates among patients served by behavioral health providers implementing Zero Suicide</w:t>
            </w:r>
          </w:p>
        </w:tc>
        <w:tc>
          <w:tcPr>
            <w:tcW w:w="1715" w:type="dxa"/>
            <w:shd w:val="clear" w:color="auto" w:fill="auto"/>
          </w:tcPr>
          <w:p w14:paraId="2B6E28C6" w14:textId="77777777" w:rsidR="00F57AD5" w:rsidRPr="009433C4" w:rsidRDefault="00F57AD5" w:rsidP="00E84D0B">
            <w:pPr>
              <w:pStyle w:val="GLSTable3"/>
              <w:rPr>
                <w:sz w:val="22"/>
                <w:szCs w:val="22"/>
              </w:rPr>
            </w:pPr>
            <w:r w:rsidRPr="009433C4">
              <w:rPr>
                <w:sz w:val="22"/>
                <w:szCs w:val="22"/>
              </w:rPr>
              <w:t xml:space="preserve">BHPS; MAX </w:t>
            </w:r>
            <w:r w:rsidRPr="009433C4">
              <w:rPr>
                <w:i/>
                <w:sz w:val="22"/>
                <w:szCs w:val="22"/>
              </w:rPr>
              <w:t>SSE Cohort Study</w:t>
            </w:r>
          </w:p>
        </w:tc>
      </w:tr>
    </w:tbl>
    <w:p w14:paraId="0CAE03C5" w14:textId="77777777" w:rsidR="00F57AD5" w:rsidRPr="00B603E8" w:rsidRDefault="00F57AD5" w:rsidP="00F57AD5">
      <w:pPr>
        <w:pStyle w:val="NoSpacing"/>
      </w:pPr>
    </w:p>
    <w:p w14:paraId="0AD35810" w14:textId="77777777" w:rsidR="00F57AD5" w:rsidRPr="00B603E8" w:rsidRDefault="00F57AD5" w:rsidP="00045A50">
      <w:pPr>
        <w:pStyle w:val="GLSBody"/>
        <w:spacing w:after="200"/>
      </w:pPr>
      <w:r w:rsidRPr="00B603E8">
        <w:t xml:space="preserve">Both literature review and the analysis of secondary data sources will be necessary to obtain population and event parameter estimates for each model to complement the findings from the GLS studies. Peer-reviewed journal articles, in particular, and published systematic reviews will be the main source for information on effectiveness of interventions beyond the sources collected in the national evaluation. For each type of intervention being modeled, a literature review will be conducted. Different secondary sources may be required to estimate population parameters depending on the final characteristics of the models. The list potentially includes all the sources previously identified for the Ecological Analysis of Impact, in particular the CMF and NSDUH. In addition, it is anticipated that Youth Risk Behavior Survey (YRBS) will be an important source of population parameters for school-aged youth. Youth </w:t>
      </w:r>
      <w:proofErr w:type="gramStart"/>
      <w:r w:rsidRPr="00B603E8">
        <w:t>report of behaviors include</w:t>
      </w:r>
      <w:proofErr w:type="gramEnd"/>
      <w:r w:rsidRPr="00B603E8">
        <w:t xml:space="preserve"> suicide ideation, planning, and attempt within the 12 months prior to the survey.</w:t>
      </w:r>
    </w:p>
    <w:p w14:paraId="5E79C6CF" w14:textId="6F1C45D5" w:rsidR="00F57AD5" w:rsidRPr="00B603E8" w:rsidRDefault="00F57AD5" w:rsidP="00045A50">
      <w:pPr>
        <w:pStyle w:val="GLSBody"/>
        <w:spacing w:after="200"/>
        <w:rPr>
          <w:strike/>
        </w:rPr>
      </w:pPr>
      <w:r w:rsidRPr="00B603E8">
        <w:t xml:space="preserve">Outcome modeling will be used to anticipate the impact of particular interventions taking advantage of the evidence gathered through the national evaluation, as well as existing evidence. For the construction of each decision-analytic model we will use the following steps: </w:t>
      </w:r>
    </w:p>
    <w:p w14:paraId="7C2C7A06" w14:textId="3BDF2F52" w:rsidR="00CD1EEF" w:rsidRPr="00B603E8" w:rsidRDefault="00CD1EEF" w:rsidP="00CD1EEF">
      <w:pPr>
        <w:pStyle w:val="GLSBody"/>
        <w:spacing w:after="60"/>
        <w:rPr>
          <w:rFonts w:ascii="Tw Cen MT" w:hAnsi="Tw Cen MT"/>
          <w:b/>
        </w:rPr>
      </w:pPr>
      <w:r w:rsidRPr="00B603E8">
        <w:rPr>
          <w:rFonts w:ascii="Tw Cen MT" w:hAnsi="Tw Cen MT"/>
          <w:b/>
        </w:rPr>
        <w:t xml:space="preserve">Step 1: </w:t>
      </w:r>
      <w:r w:rsidR="00F57AD5" w:rsidRPr="00B603E8">
        <w:rPr>
          <w:rFonts w:ascii="Tw Cen MT" w:hAnsi="Tw Cen MT"/>
          <w:b/>
        </w:rPr>
        <w:t>Defin</w:t>
      </w:r>
      <w:r w:rsidRPr="00B603E8">
        <w:rPr>
          <w:rFonts w:ascii="Tw Cen MT" w:hAnsi="Tw Cen MT"/>
          <w:b/>
        </w:rPr>
        <w:t>ing</w:t>
      </w:r>
      <w:r w:rsidR="00F57AD5" w:rsidRPr="00B603E8">
        <w:rPr>
          <w:rFonts w:ascii="Tw Cen MT" w:hAnsi="Tw Cen MT"/>
          <w:b/>
        </w:rPr>
        <w:t xml:space="preserve"> the specific question</w:t>
      </w:r>
      <w:r w:rsidRPr="00B603E8">
        <w:rPr>
          <w:rFonts w:ascii="Tw Cen MT" w:hAnsi="Tw Cen MT"/>
          <w:b/>
        </w:rPr>
        <w:t xml:space="preserve"> </w:t>
      </w:r>
    </w:p>
    <w:p w14:paraId="50271929" w14:textId="55080F73" w:rsidR="00F57AD5" w:rsidRPr="00B603E8" w:rsidRDefault="00F57AD5" w:rsidP="001E50ED">
      <w:pPr>
        <w:pStyle w:val="GLSBody"/>
        <w:numPr>
          <w:ilvl w:val="0"/>
          <w:numId w:val="29"/>
        </w:numPr>
        <w:spacing w:after="200"/>
        <w:rPr>
          <w:i/>
        </w:rPr>
      </w:pPr>
      <w:r w:rsidRPr="00B603E8">
        <w:rPr>
          <w:i/>
        </w:rPr>
        <w:t xml:space="preserve">A </w:t>
      </w:r>
      <w:r w:rsidR="00CD1EEF" w:rsidRPr="00B603E8">
        <w:rPr>
          <w:i/>
        </w:rPr>
        <w:t xml:space="preserve">preliminary </w:t>
      </w:r>
      <w:r w:rsidRPr="00B603E8">
        <w:rPr>
          <w:i/>
        </w:rPr>
        <w:t xml:space="preserve">set of specific questions </w:t>
      </w:r>
      <w:r w:rsidR="00CD1EEF" w:rsidRPr="00B603E8">
        <w:rPr>
          <w:i/>
        </w:rPr>
        <w:t>has</w:t>
      </w:r>
      <w:r w:rsidRPr="00B603E8">
        <w:rPr>
          <w:i/>
        </w:rPr>
        <w:t xml:space="preserve"> been identified covering key topics across the three evaluation studies. </w:t>
      </w:r>
      <w:r w:rsidR="00197234" w:rsidRPr="00B603E8">
        <w:rPr>
          <w:i/>
        </w:rPr>
        <w:t>Further, a</w:t>
      </w:r>
      <w:r w:rsidRPr="00B603E8">
        <w:rPr>
          <w:i/>
        </w:rPr>
        <w:t>n initial question has been selected that can take advantage of extant cross-site data</w:t>
      </w:r>
      <w:r w:rsidR="00197234" w:rsidRPr="00B603E8">
        <w:rPr>
          <w:i/>
        </w:rPr>
        <w:t xml:space="preserve"> (</w:t>
      </w:r>
      <w:r w:rsidRPr="00B603E8">
        <w:rPr>
          <w:i/>
        </w:rPr>
        <w:t xml:space="preserve">building on the analysis of </w:t>
      </w:r>
      <w:proofErr w:type="spellStart"/>
      <w:r w:rsidRPr="00B603E8">
        <w:rPr>
          <w:i/>
        </w:rPr>
        <w:t>Condron</w:t>
      </w:r>
      <w:proofErr w:type="spellEnd"/>
      <w:r w:rsidRPr="00B603E8">
        <w:rPr>
          <w:i/>
        </w:rPr>
        <w:t xml:space="preserve"> et al. </w:t>
      </w:r>
      <w:r w:rsidR="00197234" w:rsidRPr="00B603E8">
        <w:rPr>
          <w:i/>
        </w:rPr>
        <w:t>[</w:t>
      </w:r>
      <w:r w:rsidRPr="00B603E8">
        <w:rPr>
          <w:i/>
        </w:rPr>
        <w:t>2014</w:t>
      </w:r>
      <w:r w:rsidR="00197234" w:rsidRPr="00B603E8">
        <w:rPr>
          <w:i/>
        </w:rPr>
        <w:t>])</w:t>
      </w:r>
      <w:r w:rsidRPr="00B603E8">
        <w:rPr>
          <w:i/>
        </w:rPr>
        <w:t xml:space="preserve"> regarding comparative effectiveness of different types of gatekeeper trainings. </w:t>
      </w:r>
    </w:p>
    <w:p w14:paraId="251F6924" w14:textId="054288DE" w:rsidR="00CD1EEF" w:rsidRPr="00B603E8" w:rsidRDefault="00CD1EEF" w:rsidP="005D2F7A">
      <w:pPr>
        <w:pStyle w:val="GLSBody"/>
        <w:keepNext/>
        <w:spacing w:after="60"/>
        <w:rPr>
          <w:rFonts w:ascii="Tw Cen MT" w:hAnsi="Tw Cen MT"/>
          <w:b/>
        </w:rPr>
      </w:pPr>
      <w:r w:rsidRPr="00B603E8">
        <w:rPr>
          <w:rFonts w:ascii="Tw Cen MT" w:hAnsi="Tw Cen MT"/>
          <w:b/>
        </w:rPr>
        <w:t xml:space="preserve">Step 2: </w:t>
      </w:r>
      <w:r w:rsidR="00F57AD5" w:rsidRPr="00B603E8">
        <w:rPr>
          <w:rFonts w:ascii="Tw Cen MT" w:hAnsi="Tw Cen MT"/>
          <w:b/>
        </w:rPr>
        <w:t>Structuring a decision model</w:t>
      </w:r>
      <w:r w:rsidRPr="00B603E8">
        <w:rPr>
          <w:rFonts w:ascii="Tw Cen MT" w:hAnsi="Tw Cen MT"/>
          <w:b/>
        </w:rPr>
        <w:t xml:space="preserve"> </w:t>
      </w:r>
    </w:p>
    <w:p w14:paraId="36E22550" w14:textId="789E9F63" w:rsidR="00F57AD5" w:rsidRPr="00B603E8" w:rsidRDefault="00197234" w:rsidP="00045A50">
      <w:pPr>
        <w:pStyle w:val="GLSBody"/>
        <w:numPr>
          <w:ilvl w:val="0"/>
          <w:numId w:val="29"/>
        </w:numPr>
        <w:spacing w:after="200"/>
        <w:rPr>
          <w:i/>
        </w:rPr>
      </w:pPr>
      <w:r w:rsidRPr="00B603E8">
        <w:rPr>
          <w:i/>
        </w:rPr>
        <w:t xml:space="preserve">This </w:t>
      </w:r>
      <w:r w:rsidR="00F57AD5" w:rsidRPr="00B603E8">
        <w:rPr>
          <w:i/>
        </w:rPr>
        <w:t>will rely on two of the most frequently used techniques for decision modelling (i.e., decision trees and Markov models). Decision trees will be developed primarily as an aid to structure</w:t>
      </w:r>
      <w:r w:rsidRPr="00B603E8">
        <w:rPr>
          <w:i/>
        </w:rPr>
        <w:t xml:space="preserve"> the decision problem; however, </w:t>
      </w:r>
      <w:r w:rsidR="00F57AD5" w:rsidRPr="00B603E8">
        <w:rPr>
          <w:i/>
        </w:rPr>
        <w:t xml:space="preserve">a Markov cohort simulation model </w:t>
      </w:r>
      <w:r w:rsidRPr="00B603E8">
        <w:rPr>
          <w:i/>
        </w:rPr>
        <w:t xml:space="preserve">will be used </w:t>
      </w:r>
      <w:r w:rsidR="00F57AD5" w:rsidRPr="00B603E8">
        <w:rPr>
          <w:i/>
        </w:rPr>
        <w:t>for the final analysis</w:t>
      </w:r>
      <w:r w:rsidRPr="00B603E8">
        <w:rPr>
          <w:i/>
        </w:rPr>
        <w:t xml:space="preserve">. This model </w:t>
      </w:r>
      <w:r w:rsidR="00F57AD5" w:rsidRPr="00B603E8">
        <w:rPr>
          <w:i/>
        </w:rPr>
        <w:t xml:space="preserve">will build upon recently used models to study suicide prevention interventions (Lynch, 2014). </w:t>
      </w:r>
    </w:p>
    <w:p w14:paraId="3D5BF2E0" w14:textId="02651DE4" w:rsidR="00CD1EEF" w:rsidRPr="00B603E8" w:rsidRDefault="00CD1EEF" w:rsidP="00B742A6">
      <w:pPr>
        <w:pStyle w:val="GLSBody"/>
        <w:keepNext/>
        <w:spacing w:after="60"/>
        <w:rPr>
          <w:rFonts w:ascii="Tw Cen MT" w:hAnsi="Tw Cen MT"/>
          <w:b/>
        </w:rPr>
      </w:pPr>
      <w:r w:rsidRPr="00B603E8">
        <w:rPr>
          <w:rFonts w:ascii="Tw Cen MT" w:hAnsi="Tw Cen MT"/>
          <w:b/>
        </w:rPr>
        <w:t xml:space="preserve">Step 3: </w:t>
      </w:r>
      <w:r w:rsidR="00F57AD5" w:rsidRPr="00B603E8">
        <w:rPr>
          <w:rFonts w:ascii="Tw Cen MT" w:hAnsi="Tw Cen MT"/>
          <w:b/>
        </w:rPr>
        <w:t>Identifying and synthesizing evidence</w:t>
      </w:r>
      <w:r w:rsidRPr="00B603E8">
        <w:rPr>
          <w:rFonts w:ascii="Tw Cen MT" w:hAnsi="Tw Cen MT"/>
          <w:b/>
        </w:rPr>
        <w:t xml:space="preserve"> </w:t>
      </w:r>
    </w:p>
    <w:p w14:paraId="4835B8FB" w14:textId="0B81615B" w:rsidR="00F57AD5" w:rsidRPr="00B603E8" w:rsidRDefault="00F57AD5" w:rsidP="00045A50">
      <w:pPr>
        <w:pStyle w:val="GLSBody"/>
        <w:numPr>
          <w:ilvl w:val="0"/>
          <w:numId w:val="29"/>
        </w:numPr>
        <w:spacing w:after="200"/>
        <w:rPr>
          <w:i/>
        </w:rPr>
      </w:pPr>
      <w:r w:rsidRPr="00B603E8">
        <w:rPr>
          <w:i/>
        </w:rPr>
        <w:t>Priority will be given to take full advantage of information generated directly by the cross-site evaluation through the present design, as well as historically. However, both literature reviews, in particular published systematic reviews and the analysis of secondary data sources, will be necessary to obtained population and event parameter estimates (e.g., effectiveness of interventions).</w:t>
      </w:r>
    </w:p>
    <w:p w14:paraId="00E69E9A" w14:textId="1B362922" w:rsidR="00CD1EEF" w:rsidRPr="00B603E8" w:rsidRDefault="00CD1EEF" w:rsidP="00EC1892">
      <w:pPr>
        <w:pStyle w:val="GLSBody"/>
        <w:keepNext/>
        <w:spacing w:after="60"/>
        <w:rPr>
          <w:rFonts w:ascii="Tw Cen MT" w:hAnsi="Tw Cen MT"/>
          <w:b/>
        </w:rPr>
      </w:pPr>
      <w:r w:rsidRPr="00B603E8">
        <w:rPr>
          <w:rFonts w:ascii="Tw Cen MT" w:hAnsi="Tw Cen MT"/>
          <w:b/>
        </w:rPr>
        <w:t xml:space="preserve">Step 4: </w:t>
      </w:r>
      <w:r w:rsidR="00F57AD5" w:rsidRPr="00B603E8">
        <w:rPr>
          <w:rFonts w:ascii="Tw Cen MT" w:hAnsi="Tw Cen MT"/>
          <w:b/>
        </w:rPr>
        <w:t>Run and test models under varying assumptions</w:t>
      </w:r>
      <w:r w:rsidRPr="00B603E8">
        <w:rPr>
          <w:rFonts w:ascii="Tw Cen MT" w:hAnsi="Tw Cen MT"/>
          <w:b/>
        </w:rPr>
        <w:t xml:space="preserve"> </w:t>
      </w:r>
    </w:p>
    <w:p w14:paraId="1E687B77" w14:textId="2A5F2B40" w:rsidR="00F57AD5" w:rsidRPr="00B603E8" w:rsidRDefault="00F57AD5" w:rsidP="003536EA">
      <w:pPr>
        <w:pStyle w:val="GLSBody"/>
        <w:numPr>
          <w:ilvl w:val="0"/>
          <w:numId w:val="29"/>
        </w:numPr>
        <w:rPr>
          <w:i/>
          <w:strike/>
        </w:rPr>
      </w:pPr>
      <w:r w:rsidRPr="00B603E8">
        <w:rPr>
          <w:i/>
        </w:rPr>
        <w:t>Reliable information on key population or event parameter may not be available. In those situations, different plausible assumptions may be posed. The sensitivity of the results to such estimates will be extensively examined.</w:t>
      </w:r>
      <w:r w:rsidRPr="00B603E8">
        <w:rPr>
          <w:i/>
          <w:strike/>
        </w:rPr>
        <w:t xml:space="preserve"> </w:t>
      </w:r>
    </w:p>
    <w:p w14:paraId="07CA5983" w14:textId="02EB67A5" w:rsidR="00F57AD5" w:rsidRPr="00B603E8" w:rsidRDefault="00F57AD5" w:rsidP="00966D74">
      <w:pPr>
        <w:pStyle w:val="GLSBody"/>
        <w:keepNext/>
        <w:numPr>
          <w:ilvl w:val="0"/>
          <w:numId w:val="45"/>
        </w:numPr>
        <w:spacing w:before="200" w:after="120"/>
        <w:rPr>
          <w:rFonts w:ascii="Tw Cen MT" w:hAnsi="Tw Cen MT" w:cs="Arial"/>
          <w:b/>
          <w:sz w:val="28"/>
          <w:szCs w:val="28"/>
        </w:rPr>
      </w:pPr>
      <w:bookmarkStart w:id="1" w:name="_Toc419463401"/>
      <w:r w:rsidRPr="00B603E8">
        <w:rPr>
          <w:rFonts w:ascii="Tw Cen MT" w:hAnsi="Tw Cen MT" w:cs="Arial"/>
          <w:b/>
          <w:sz w:val="28"/>
          <w:szCs w:val="28"/>
        </w:rPr>
        <w:t xml:space="preserve">Unintended Consequences </w:t>
      </w:r>
      <w:r w:rsidR="006D34F2" w:rsidRPr="00B603E8">
        <w:rPr>
          <w:rFonts w:ascii="Tw Cen MT" w:hAnsi="Tw Cen MT" w:cs="Arial"/>
          <w:b/>
          <w:sz w:val="28"/>
          <w:szCs w:val="28"/>
        </w:rPr>
        <w:t>Analysis</w:t>
      </w:r>
    </w:p>
    <w:p w14:paraId="67955303" w14:textId="450E87D2" w:rsidR="00A663E5" w:rsidRPr="00B603E8" w:rsidRDefault="00A663E5" w:rsidP="00966D74">
      <w:pPr>
        <w:pStyle w:val="GLSBody"/>
        <w:spacing w:after="200"/>
        <w:rPr>
          <w:i/>
        </w:rPr>
      </w:pPr>
      <w:r w:rsidRPr="00B603E8">
        <w:rPr>
          <w:b/>
        </w:rPr>
        <w:t>EQ</w:t>
      </w:r>
      <w:r w:rsidR="00A3339A" w:rsidRPr="00B603E8">
        <w:rPr>
          <w:b/>
        </w:rPr>
        <w:t>-</w:t>
      </w:r>
      <w:r w:rsidRPr="00B603E8">
        <w:rPr>
          <w:b/>
        </w:rPr>
        <w:t>6:</w:t>
      </w:r>
      <w:r w:rsidR="001300F2" w:rsidRPr="00B603E8">
        <w:rPr>
          <w:b/>
        </w:rPr>
        <w:t xml:space="preserve"> </w:t>
      </w:r>
      <w:r w:rsidRPr="00B603E8">
        <w:rPr>
          <w:i/>
        </w:rPr>
        <w:t xml:space="preserve">What are the positive and negative unintended consequences of suicide prevention activities (e.g., identification and referral of at-risk adults into care)?  </w:t>
      </w:r>
    </w:p>
    <w:p w14:paraId="06A48EF3" w14:textId="45EA4CD7" w:rsidR="00A3339A" w:rsidRPr="00B603E8" w:rsidRDefault="00A3339A" w:rsidP="00966D74">
      <w:pPr>
        <w:pStyle w:val="GLSBody"/>
        <w:spacing w:after="200"/>
        <w:rPr>
          <w:i/>
        </w:rPr>
      </w:pPr>
      <w:r w:rsidRPr="00B603E8">
        <w:t xml:space="preserve">In pursuing its main goal (i.e., reducing suicide among </w:t>
      </w:r>
      <w:r w:rsidR="00A92A8C">
        <w:t>youth</w:t>
      </w:r>
      <w:r w:rsidRPr="00B603E8">
        <w:t xml:space="preserve">), the GLS Suicide Prevention Program will have consequences on population segments and public health issues beyond youth suicide. For example, the implementation of suicide safer health care environments will be beneficial for adults at risk of suicide as well as </w:t>
      </w:r>
      <w:r w:rsidR="00A92A8C">
        <w:t>youth</w:t>
      </w:r>
      <w:r w:rsidRPr="00B603E8">
        <w:t xml:space="preserve">. An increased access to mental health services for </w:t>
      </w:r>
      <w:r w:rsidR="00A92A8C">
        <w:t>youth</w:t>
      </w:r>
      <w:r w:rsidRPr="00B603E8">
        <w:t xml:space="preserve"> in need will benefit </w:t>
      </w:r>
      <w:r w:rsidR="00A92A8C">
        <w:t>youth</w:t>
      </w:r>
      <w:r w:rsidRPr="00B603E8">
        <w:t xml:space="preserve"> with emotional, mental, or behavioral disorders, even if these </w:t>
      </w:r>
      <w:r w:rsidR="00A92A8C">
        <w:t>youth</w:t>
      </w:r>
      <w:r w:rsidRPr="00B603E8">
        <w:t xml:space="preserve"> would not have actually ended up committing suicide. An improvement in the coordination of the health care and support systems, which is necessary to increase continuity of care among </w:t>
      </w:r>
      <w:r w:rsidR="00A92A8C">
        <w:t>youth</w:t>
      </w:r>
      <w:r w:rsidRPr="00B603E8">
        <w:t xml:space="preserve"> at risk of suicide, will </w:t>
      </w:r>
      <w:proofErr w:type="gramStart"/>
      <w:r w:rsidRPr="00B603E8">
        <w:t>also</w:t>
      </w:r>
      <w:proofErr w:type="gramEnd"/>
      <w:r w:rsidRPr="00B603E8">
        <w:t xml:space="preserve"> be beneficial in addressing other public health issues. Although the evaluation data collection instruments were designed to address specific evaluation questions, they usually include measures that could support complementary analysis. ICF will systematically explore the information collected through the National Outcomes Evaluation across studies as well as secondary data to provide both qualitative and, when possible, quantitative assessments of the nature and extent of these consequences beyond the main GLS goal. Exhibit </w:t>
      </w:r>
      <w:r w:rsidR="00DD1247" w:rsidRPr="00B603E8">
        <w:t>15</w:t>
      </w:r>
      <w:r w:rsidRPr="00B603E8">
        <w:t xml:space="preserve"> outlines the questions/</w:t>
      </w:r>
      <w:proofErr w:type="spellStart"/>
      <w:r w:rsidRPr="00B603E8">
        <w:t>subquestions</w:t>
      </w:r>
      <w:proofErr w:type="spellEnd"/>
      <w:r w:rsidRPr="00B603E8">
        <w:t xml:space="preserve"> and contract year for the </w:t>
      </w:r>
      <w:r w:rsidR="00DD1247" w:rsidRPr="00B603E8">
        <w:t>Unintended Consequences Analysis</w:t>
      </w:r>
      <w:r w:rsidRPr="00B603E8">
        <w:t>.</w:t>
      </w:r>
    </w:p>
    <w:p w14:paraId="17D4321C" w14:textId="3A4913E7" w:rsidR="006669C0" w:rsidRPr="00B603E8" w:rsidRDefault="006669C0" w:rsidP="006669C0">
      <w:pPr>
        <w:pStyle w:val="GLSBody"/>
        <w:keepNext/>
        <w:spacing w:after="120"/>
        <w:rPr>
          <w:rFonts w:ascii="Tw Cen MT" w:hAnsi="Tw Cen MT" w:cs="Arial"/>
          <w:b/>
        </w:rPr>
      </w:pPr>
      <w:proofErr w:type="gramStart"/>
      <w:r w:rsidRPr="00B603E8">
        <w:rPr>
          <w:rFonts w:ascii="Tw Cen MT" w:hAnsi="Tw Cen MT" w:cs="Arial"/>
          <w:b/>
        </w:rPr>
        <w:t xml:space="preserve">Exhibit </w:t>
      </w:r>
      <w:r w:rsidR="00DD1247" w:rsidRPr="00B603E8">
        <w:rPr>
          <w:rFonts w:ascii="Tw Cen MT" w:hAnsi="Tw Cen MT" w:cs="Arial"/>
          <w:b/>
        </w:rPr>
        <w:t>15</w:t>
      </w:r>
      <w:r w:rsidRPr="00B603E8">
        <w:rPr>
          <w:rFonts w:ascii="Tw Cen MT" w:hAnsi="Tw Cen MT" w:cs="Arial"/>
          <w:b/>
        </w:rPr>
        <w:t>.</w:t>
      </w:r>
      <w:proofErr w:type="gramEnd"/>
      <w:r w:rsidRPr="00B603E8">
        <w:rPr>
          <w:rFonts w:ascii="Tw Cen MT" w:hAnsi="Tw Cen MT" w:cs="Arial"/>
          <w:b/>
        </w:rPr>
        <w:t xml:space="preserve"> Unintended Consequences Analysis Questions and Timeline</w:t>
      </w:r>
    </w:p>
    <w:tbl>
      <w:tblPr>
        <w:tblStyle w:val="TableGrid2"/>
        <w:tblW w:w="93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560"/>
        <w:gridCol w:w="360"/>
        <w:gridCol w:w="360"/>
        <w:gridCol w:w="360"/>
        <w:gridCol w:w="360"/>
        <w:gridCol w:w="360"/>
      </w:tblGrid>
      <w:tr w:rsidR="006669C0" w:rsidRPr="00CF6DB0" w14:paraId="71526CC6" w14:textId="77777777" w:rsidTr="00CF6DB0">
        <w:trPr>
          <w:trHeight w:val="682"/>
          <w:jc w:val="center"/>
        </w:trPr>
        <w:tc>
          <w:tcPr>
            <w:tcW w:w="7560" w:type="dxa"/>
            <w:shd w:val="clear" w:color="auto" w:fill="404040" w:themeFill="text1" w:themeFillTint="BF"/>
            <w:vAlign w:val="center"/>
          </w:tcPr>
          <w:p w14:paraId="42932D65" w14:textId="3B905C84" w:rsidR="006669C0" w:rsidRPr="00CF6DB0" w:rsidRDefault="00966D74" w:rsidP="00966D74">
            <w:pPr>
              <w:pStyle w:val="GLSTable1"/>
              <w:jc w:val="both"/>
              <w:rPr>
                <w:b w:val="0"/>
                <w:color w:val="FFFFFF" w:themeColor="background1"/>
                <w:sz w:val="22"/>
                <w:szCs w:val="22"/>
              </w:rPr>
            </w:pPr>
            <w:r w:rsidRPr="00CF6DB0">
              <w:rPr>
                <w:b w:val="0"/>
                <w:color w:val="FFFFFF" w:themeColor="background1"/>
                <w:sz w:val="22"/>
                <w:szCs w:val="22"/>
              </w:rPr>
              <w:t>EQ-6: What are the positive and negative unintended consequences of suicide prevention activities (e.g., identification and referral of at-risk adults into care)?</w:t>
            </w:r>
          </w:p>
        </w:tc>
        <w:tc>
          <w:tcPr>
            <w:tcW w:w="360" w:type="dxa"/>
            <w:shd w:val="clear" w:color="auto" w:fill="404040" w:themeFill="text1" w:themeFillTint="BF"/>
            <w:textDirection w:val="btLr"/>
            <w:vAlign w:val="center"/>
          </w:tcPr>
          <w:p w14:paraId="234151A3" w14:textId="77777777" w:rsidR="006669C0" w:rsidRPr="00CF6DB0" w:rsidRDefault="006669C0" w:rsidP="00701A61">
            <w:pPr>
              <w:pStyle w:val="GLSTable1"/>
              <w:spacing w:before="0" w:after="0"/>
              <w:rPr>
                <w:b w:val="0"/>
                <w:color w:val="FFFFFF" w:themeColor="background1"/>
                <w:sz w:val="22"/>
                <w:szCs w:val="22"/>
              </w:rPr>
            </w:pPr>
            <w:r w:rsidRPr="00CF6DB0">
              <w:rPr>
                <w:b w:val="0"/>
                <w:color w:val="FFFFFF" w:themeColor="background1"/>
                <w:sz w:val="22"/>
                <w:szCs w:val="22"/>
              </w:rPr>
              <w:t>FY15</w:t>
            </w:r>
          </w:p>
        </w:tc>
        <w:tc>
          <w:tcPr>
            <w:tcW w:w="360" w:type="dxa"/>
            <w:shd w:val="clear" w:color="auto" w:fill="404040" w:themeFill="text1" w:themeFillTint="BF"/>
            <w:textDirection w:val="btLr"/>
            <w:vAlign w:val="center"/>
          </w:tcPr>
          <w:p w14:paraId="1BE59ACE" w14:textId="77777777" w:rsidR="006669C0" w:rsidRPr="00CF6DB0" w:rsidRDefault="006669C0" w:rsidP="00701A61">
            <w:pPr>
              <w:pStyle w:val="GLSTable1"/>
              <w:spacing w:before="0" w:after="0"/>
              <w:rPr>
                <w:b w:val="0"/>
                <w:color w:val="FFFFFF" w:themeColor="background1"/>
                <w:sz w:val="22"/>
                <w:szCs w:val="22"/>
              </w:rPr>
            </w:pPr>
            <w:r w:rsidRPr="00CF6DB0">
              <w:rPr>
                <w:b w:val="0"/>
                <w:color w:val="FFFFFF" w:themeColor="background1"/>
                <w:sz w:val="22"/>
                <w:szCs w:val="22"/>
              </w:rPr>
              <w:t>FY16</w:t>
            </w:r>
          </w:p>
        </w:tc>
        <w:tc>
          <w:tcPr>
            <w:tcW w:w="360" w:type="dxa"/>
            <w:shd w:val="clear" w:color="auto" w:fill="404040" w:themeFill="text1" w:themeFillTint="BF"/>
            <w:textDirection w:val="btLr"/>
            <w:vAlign w:val="center"/>
          </w:tcPr>
          <w:p w14:paraId="52709A57" w14:textId="77777777" w:rsidR="006669C0" w:rsidRPr="00CF6DB0" w:rsidRDefault="006669C0" w:rsidP="00701A61">
            <w:pPr>
              <w:pStyle w:val="GLSTable1"/>
              <w:spacing w:before="0" w:after="0"/>
              <w:rPr>
                <w:b w:val="0"/>
                <w:color w:val="FFFFFF" w:themeColor="background1"/>
                <w:sz w:val="22"/>
                <w:szCs w:val="22"/>
              </w:rPr>
            </w:pPr>
            <w:r w:rsidRPr="00CF6DB0">
              <w:rPr>
                <w:b w:val="0"/>
                <w:color w:val="FFFFFF" w:themeColor="background1"/>
                <w:sz w:val="22"/>
                <w:szCs w:val="22"/>
              </w:rPr>
              <w:t>FY17</w:t>
            </w:r>
          </w:p>
        </w:tc>
        <w:tc>
          <w:tcPr>
            <w:tcW w:w="360" w:type="dxa"/>
            <w:shd w:val="clear" w:color="auto" w:fill="404040" w:themeFill="text1" w:themeFillTint="BF"/>
            <w:textDirection w:val="btLr"/>
            <w:vAlign w:val="center"/>
          </w:tcPr>
          <w:p w14:paraId="44DDDCB6" w14:textId="77777777" w:rsidR="006669C0" w:rsidRPr="00CF6DB0" w:rsidRDefault="006669C0" w:rsidP="00701A61">
            <w:pPr>
              <w:pStyle w:val="GLSTable1"/>
              <w:spacing w:before="0" w:after="0"/>
              <w:rPr>
                <w:b w:val="0"/>
                <w:color w:val="FFFFFF" w:themeColor="background1"/>
                <w:sz w:val="22"/>
                <w:szCs w:val="22"/>
              </w:rPr>
            </w:pPr>
            <w:r w:rsidRPr="00CF6DB0">
              <w:rPr>
                <w:b w:val="0"/>
                <w:color w:val="FFFFFF" w:themeColor="background1"/>
                <w:sz w:val="22"/>
                <w:szCs w:val="22"/>
              </w:rPr>
              <w:t>FY18</w:t>
            </w:r>
          </w:p>
        </w:tc>
        <w:tc>
          <w:tcPr>
            <w:tcW w:w="360" w:type="dxa"/>
            <w:shd w:val="clear" w:color="auto" w:fill="404040" w:themeFill="text1" w:themeFillTint="BF"/>
            <w:textDirection w:val="btLr"/>
            <w:vAlign w:val="center"/>
          </w:tcPr>
          <w:p w14:paraId="0E691B8B" w14:textId="77777777" w:rsidR="006669C0" w:rsidRPr="00CF6DB0" w:rsidRDefault="006669C0" w:rsidP="00701A61">
            <w:pPr>
              <w:pStyle w:val="GLSTable1"/>
              <w:spacing w:before="0" w:after="0"/>
              <w:rPr>
                <w:b w:val="0"/>
                <w:color w:val="FFFFFF" w:themeColor="background1"/>
                <w:sz w:val="22"/>
                <w:szCs w:val="22"/>
              </w:rPr>
            </w:pPr>
            <w:r w:rsidRPr="00CF6DB0">
              <w:rPr>
                <w:b w:val="0"/>
                <w:color w:val="FFFFFF" w:themeColor="background1"/>
                <w:sz w:val="22"/>
                <w:szCs w:val="22"/>
              </w:rPr>
              <w:t>FY19</w:t>
            </w:r>
          </w:p>
        </w:tc>
      </w:tr>
      <w:tr w:rsidR="006669C0" w:rsidRPr="00CF6DB0" w14:paraId="5DD1F8F8" w14:textId="77777777" w:rsidTr="00701A61">
        <w:trPr>
          <w:trHeight w:val="20"/>
          <w:jc w:val="center"/>
        </w:trPr>
        <w:tc>
          <w:tcPr>
            <w:tcW w:w="7560" w:type="dxa"/>
          </w:tcPr>
          <w:p w14:paraId="36141BE8" w14:textId="77777777" w:rsidR="006669C0" w:rsidRPr="00CF6DB0" w:rsidRDefault="006669C0" w:rsidP="00701A61">
            <w:pPr>
              <w:pStyle w:val="GLSTable3"/>
              <w:spacing w:line="216" w:lineRule="auto"/>
              <w:rPr>
                <w:sz w:val="22"/>
                <w:szCs w:val="22"/>
              </w:rPr>
            </w:pPr>
            <w:r w:rsidRPr="00CF6DB0">
              <w:rPr>
                <w:b/>
                <w:sz w:val="22"/>
                <w:szCs w:val="22"/>
              </w:rPr>
              <w:t>6.1:</w:t>
            </w:r>
            <w:r w:rsidRPr="00CF6DB0">
              <w:rPr>
                <w:sz w:val="22"/>
                <w:szCs w:val="22"/>
              </w:rPr>
              <w:t xml:space="preserve"> What are the potential unintended consequences documented in the literature? Is there any indication of magnitude of these consequences within GLS based on extant instruments?</w:t>
            </w:r>
          </w:p>
        </w:tc>
        <w:tc>
          <w:tcPr>
            <w:tcW w:w="360" w:type="dxa"/>
            <w:vAlign w:val="center"/>
          </w:tcPr>
          <w:p w14:paraId="3C7F5A50" w14:textId="77777777" w:rsidR="006669C0" w:rsidRPr="00CF6DB0" w:rsidRDefault="006669C0" w:rsidP="00701A61">
            <w:pPr>
              <w:pStyle w:val="GLSTable3"/>
              <w:spacing w:line="216" w:lineRule="auto"/>
              <w:jc w:val="center"/>
              <w:rPr>
                <w:sz w:val="22"/>
                <w:szCs w:val="22"/>
              </w:rPr>
            </w:pPr>
          </w:p>
        </w:tc>
        <w:tc>
          <w:tcPr>
            <w:tcW w:w="360" w:type="dxa"/>
            <w:vAlign w:val="center"/>
          </w:tcPr>
          <w:p w14:paraId="7CB89064" w14:textId="77777777" w:rsidR="006669C0" w:rsidRPr="00CF6DB0" w:rsidRDefault="006669C0" w:rsidP="00701A61">
            <w:pPr>
              <w:pStyle w:val="GLSTable3"/>
              <w:spacing w:line="216" w:lineRule="auto"/>
              <w:jc w:val="center"/>
              <w:rPr>
                <w:sz w:val="22"/>
                <w:szCs w:val="22"/>
              </w:rPr>
            </w:pPr>
          </w:p>
        </w:tc>
        <w:tc>
          <w:tcPr>
            <w:tcW w:w="360" w:type="dxa"/>
            <w:vAlign w:val="center"/>
          </w:tcPr>
          <w:p w14:paraId="4F884AA8" w14:textId="77777777" w:rsidR="006669C0" w:rsidRPr="00CF6DB0" w:rsidRDefault="006669C0" w:rsidP="00701A61">
            <w:pPr>
              <w:pStyle w:val="GLSTable3"/>
              <w:spacing w:line="216" w:lineRule="auto"/>
              <w:jc w:val="center"/>
              <w:rPr>
                <w:sz w:val="22"/>
                <w:szCs w:val="22"/>
              </w:rPr>
            </w:pPr>
            <w:r w:rsidRPr="00CF6DB0">
              <w:rPr>
                <w:sz w:val="22"/>
                <w:szCs w:val="22"/>
              </w:rPr>
              <w:t>X</w:t>
            </w:r>
          </w:p>
        </w:tc>
        <w:tc>
          <w:tcPr>
            <w:tcW w:w="360" w:type="dxa"/>
            <w:vAlign w:val="center"/>
          </w:tcPr>
          <w:p w14:paraId="3AA4F276" w14:textId="77777777" w:rsidR="006669C0" w:rsidRPr="00CF6DB0" w:rsidRDefault="006669C0" w:rsidP="00701A61">
            <w:pPr>
              <w:pStyle w:val="GLSTable3"/>
              <w:spacing w:line="216" w:lineRule="auto"/>
              <w:jc w:val="center"/>
              <w:rPr>
                <w:sz w:val="22"/>
                <w:szCs w:val="22"/>
              </w:rPr>
            </w:pPr>
          </w:p>
        </w:tc>
        <w:tc>
          <w:tcPr>
            <w:tcW w:w="360" w:type="dxa"/>
            <w:vAlign w:val="center"/>
          </w:tcPr>
          <w:p w14:paraId="64F67421" w14:textId="77777777" w:rsidR="006669C0" w:rsidRPr="00CF6DB0" w:rsidRDefault="006669C0" w:rsidP="00701A61">
            <w:pPr>
              <w:pStyle w:val="GLSTable3"/>
              <w:spacing w:line="216" w:lineRule="auto"/>
              <w:jc w:val="center"/>
              <w:rPr>
                <w:sz w:val="22"/>
                <w:szCs w:val="22"/>
              </w:rPr>
            </w:pPr>
          </w:p>
        </w:tc>
      </w:tr>
      <w:tr w:rsidR="006669C0" w:rsidRPr="00CF6DB0" w14:paraId="78A3AE69" w14:textId="77777777" w:rsidTr="00701A61">
        <w:trPr>
          <w:trHeight w:val="20"/>
          <w:jc w:val="center"/>
        </w:trPr>
        <w:tc>
          <w:tcPr>
            <w:tcW w:w="7560" w:type="dxa"/>
          </w:tcPr>
          <w:p w14:paraId="5B4919E9" w14:textId="77777777" w:rsidR="006669C0" w:rsidRPr="00CF6DB0" w:rsidRDefault="006669C0" w:rsidP="00701A61">
            <w:pPr>
              <w:pStyle w:val="GLSTable3"/>
              <w:spacing w:line="216" w:lineRule="auto"/>
              <w:rPr>
                <w:sz w:val="22"/>
                <w:szCs w:val="22"/>
              </w:rPr>
            </w:pPr>
            <w:r w:rsidRPr="00CF6DB0">
              <w:rPr>
                <w:b/>
                <w:sz w:val="22"/>
                <w:szCs w:val="22"/>
              </w:rPr>
              <w:t>6.2:</w:t>
            </w:r>
            <w:r w:rsidRPr="00CF6DB0">
              <w:rPr>
                <w:sz w:val="22"/>
                <w:szCs w:val="22"/>
              </w:rPr>
              <w:t xml:space="preserve"> What is the number of adults served by behavioral health providers partnering with GLS grantees? How frequently have GLS trainees used the training to work with adults at risk? How frequently have GLS trainees disseminated information from the training among their personal/professional network? </w:t>
            </w:r>
          </w:p>
        </w:tc>
        <w:tc>
          <w:tcPr>
            <w:tcW w:w="360" w:type="dxa"/>
            <w:vAlign w:val="center"/>
          </w:tcPr>
          <w:p w14:paraId="1E73D4FD" w14:textId="77777777" w:rsidR="006669C0" w:rsidRPr="00CF6DB0" w:rsidRDefault="006669C0" w:rsidP="00701A61">
            <w:pPr>
              <w:pStyle w:val="GLSTable3"/>
              <w:spacing w:line="216" w:lineRule="auto"/>
              <w:jc w:val="center"/>
              <w:rPr>
                <w:sz w:val="22"/>
                <w:szCs w:val="22"/>
              </w:rPr>
            </w:pPr>
          </w:p>
        </w:tc>
        <w:tc>
          <w:tcPr>
            <w:tcW w:w="360" w:type="dxa"/>
            <w:vAlign w:val="center"/>
          </w:tcPr>
          <w:p w14:paraId="5CBEC37A" w14:textId="77777777" w:rsidR="006669C0" w:rsidRPr="00CF6DB0" w:rsidRDefault="006669C0" w:rsidP="00701A61">
            <w:pPr>
              <w:pStyle w:val="GLSTable3"/>
              <w:spacing w:line="216" w:lineRule="auto"/>
              <w:jc w:val="center"/>
              <w:rPr>
                <w:sz w:val="22"/>
                <w:szCs w:val="22"/>
              </w:rPr>
            </w:pPr>
          </w:p>
        </w:tc>
        <w:tc>
          <w:tcPr>
            <w:tcW w:w="360" w:type="dxa"/>
            <w:vAlign w:val="center"/>
          </w:tcPr>
          <w:p w14:paraId="1D5E09CC" w14:textId="77777777" w:rsidR="006669C0" w:rsidRPr="00CF6DB0" w:rsidRDefault="006669C0" w:rsidP="00701A61">
            <w:pPr>
              <w:pStyle w:val="GLSTable3"/>
              <w:spacing w:line="216" w:lineRule="auto"/>
              <w:jc w:val="center"/>
              <w:rPr>
                <w:sz w:val="22"/>
                <w:szCs w:val="22"/>
              </w:rPr>
            </w:pPr>
          </w:p>
        </w:tc>
        <w:tc>
          <w:tcPr>
            <w:tcW w:w="360" w:type="dxa"/>
            <w:vAlign w:val="center"/>
          </w:tcPr>
          <w:p w14:paraId="3BAA8EDB" w14:textId="77777777" w:rsidR="006669C0" w:rsidRPr="00CF6DB0" w:rsidRDefault="006669C0" w:rsidP="00701A61">
            <w:pPr>
              <w:pStyle w:val="GLSTable3"/>
              <w:spacing w:line="216" w:lineRule="auto"/>
              <w:jc w:val="center"/>
              <w:rPr>
                <w:sz w:val="22"/>
                <w:szCs w:val="22"/>
              </w:rPr>
            </w:pPr>
            <w:r w:rsidRPr="00CF6DB0">
              <w:rPr>
                <w:sz w:val="22"/>
                <w:szCs w:val="22"/>
              </w:rPr>
              <w:t>X</w:t>
            </w:r>
          </w:p>
        </w:tc>
        <w:tc>
          <w:tcPr>
            <w:tcW w:w="360" w:type="dxa"/>
            <w:vAlign w:val="center"/>
          </w:tcPr>
          <w:p w14:paraId="193746CC" w14:textId="77777777" w:rsidR="006669C0" w:rsidRPr="00CF6DB0" w:rsidRDefault="006669C0" w:rsidP="00701A61">
            <w:pPr>
              <w:pStyle w:val="GLSTable3"/>
              <w:spacing w:line="216" w:lineRule="auto"/>
              <w:jc w:val="center"/>
              <w:rPr>
                <w:sz w:val="22"/>
                <w:szCs w:val="22"/>
              </w:rPr>
            </w:pPr>
          </w:p>
        </w:tc>
      </w:tr>
    </w:tbl>
    <w:bookmarkEnd w:id="1"/>
    <w:p w14:paraId="2968F237" w14:textId="7ECD37D4" w:rsidR="00F57AD5" w:rsidRPr="00B603E8" w:rsidRDefault="00F57AD5" w:rsidP="00EC1892">
      <w:pPr>
        <w:pStyle w:val="GLSBody"/>
        <w:spacing w:before="240" w:after="200"/>
      </w:pPr>
      <w:r w:rsidRPr="00B603E8">
        <w:t xml:space="preserve">A preliminary list of potential unintended consequences by prevention strategy is presented in Exhibit </w:t>
      </w:r>
      <w:r w:rsidR="00DD1247" w:rsidRPr="00B603E8">
        <w:t>16</w:t>
      </w:r>
      <w:r w:rsidRPr="00B603E8">
        <w:t xml:space="preserve">. While </w:t>
      </w:r>
      <w:r w:rsidR="00197234" w:rsidRPr="00B603E8">
        <w:t xml:space="preserve">the proposal is to </w:t>
      </w:r>
      <w:r w:rsidRPr="00B603E8">
        <w:t xml:space="preserve">expand and refine the list of potential benefits (costs) based on literature review, </w:t>
      </w:r>
      <w:r w:rsidR="00197234" w:rsidRPr="00B603E8">
        <w:t xml:space="preserve">it is </w:t>
      </w:r>
      <w:r w:rsidRPr="00B603E8">
        <w:t>anticipate</w:t>
      </w:r>
      <w:r w:rsidR="00197234" w:rsidRPr="00B603E8">
        <w:t>d</w:t>
      </w:r>
      <w:r w:rsidRPr="00B603E8">
        <w:t xml:space="preserve"> </w:t>
      </w:r>
      <w:r w:rsidR="00197234" w:rsidRPr="00B603E8">
        <w:t>that</w:t>
      </w:r>
      <w:r w:rsidRPr="00B603E8">
        <w:t xml:space="preserve"> </w:t>
      </w:r>
      <w:r w:rsidR="00197234" w:rsidRPr="00B603E8">
        <w:t xml:space="preserve">only a limited number of these consequences can be </w:t>
      </w:r>
      <w:r w:rsidRPr="00B603E8">
        <w:t xml:space="preserve">explore. </w:t>
      </w:r>
    </w:p>
    <w:p w14:paraId="3A20E4BF" w14:textId="67684D74" w:rsidR="00F57AD5" w:rsidRPr="00B603E8" w:rsidRDefault="00F57AD5" w:rsidP="00757925">
      <w:pPr>
        <w:pStyle w:val="GLSTableExhibit"/>
        <w:jc w:val="left"/>
        <w:rPr>
          <w:color w:val="auto"/>
        </w:rPr>
      </w:pPr>
      <w:proofErr w:type="gramStart"/>
      <w:r w:rsidRPr="00B603E8">
        <w:rPr>
          <w:color w:val="auto"/>
        </w:rPr>
        <w:t xml:space="preserve">Exhibit </w:t>
      </w:r>
      <w:r w:rsidR="00DD1247" w:rsidRPr="00B603E8">
        <w:rPr>
          <w:color w:val="auto"/>
        </w:rPr>
        <w:t>16</w:t>
      </w:r>
      <w:r w:rsidR="00B65D4F" w:rsidRPr="00B603E8">
        <w:rPr>
          <w:color w:val="auto"/>
        </w:rPr>
        <w:t>.</w:t>
      </w:r>
      <w:proofErr w:type="gramEnd"/>
      <w:r w:rsidRPr="00B603E8">
        <w:rPr>
          <w:color w:val="auto"/>
        </w:rPr>
        <w:t xml:space="preserve"> Potential Unintended Consequence by Prevention Strategy</w:t>
      </w:r>
    </w:p>
    <w:tbl>
      <w:tblPr>
        <w:tblStyle w:val="TableGrid2"/>
        <w:tblW w:w="9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30"/>
        <w:gridCol w:w="2430"/>
        <w:gridCol w:w="3150"/>
        <w:gridCol w:w="2430"/>
      </w:tblGrid>
      <w:tr w:rsidR="00F57AD5" w:rsidRPr="00CF6DB0" w14:paraId="3EFF74B8" w14:textId="77777777" w:rsidTr="00370F0A">
        <w:trPr>
          <w:tblHeader/>
          <w:jc w:val="center"/>
        </w:trPr>
        <w:tc>
          <w:tcPr>
            <w:tcW w:w="1430" w:type="dxa"/>
            <w:shd w:val="clear" w:color="auto" w:fill="404040" w:themeFill="text1" w:themeFillTint="BF"/>
          </w:tcPr>
          <w:p w14:paraId="1AF45924" w14:textId="77777777" w:rsidR="00F57AD5" w:rsidRPr="00CF6DB0" w:rsidRDefault="00F57AD5" w:rsidP="00465DF7">
            <w:pPr>
              <w:pStyle w:val="GLSTable1"/>
              <w:rPr>
                <w:b w:val="0"/>
                <w:color w:val="FFFFFF" w:themeColor="background1"/>
                <w:sz w:val="22"/>
                <w:szCs w:val="22"/>
              </w:rPr>
            </w:pPr>
            <w:r w:rsidRPr="00CF6DB0">
              <w:rPr>
                <w:b w:val="0"/>
                <w:color w:val="FFFFFF" w:themeColor="background1"/>
                <w:sz w:val="22"/>
                <w:szCs w:val="22"/>
              </w:rPr>
              <w:t>Strategy</w:t>
            </w:r>
          </w:p>
        </w:tc>
        <w:tc>
          <w:tcPr>
            <w:tcW w:w="2430" w:type="dxa"/>
            <w:shd w:val="clear" w:color="auto" w:fill="404040" w:themeFill="text1" w:themeFillTint="BF"/>
          </w:tcPr>
          <w:p w14:paraId="2B0C872E" w14:textId="77777777" w:rsidR="00F57AD5" w:rsidRPr="00CF6DB0" w:rsidRDefault="00F57AD5" w:rsidP="00465DF7">
            <w:pPr>
              <w:pStyle w:val="GLSTable1"/>
              <w:rPr>
                <w:b w:val="0"/>
                <w:color w:val="FFFFFF" w:themeColor="background1"/>
                <w:sz w:val="22"/>
                <w:szCs w:val="22"/>
              </w:rPr>
            </w:pPr>
            <w:r w:rsidRPr="00CF6DB0">
              <w:rPr>
                <w:b w:val="0"/>
                <w:color w:val="FFFFFF" w:themeColor="background1"/>
                <w:sz w:val="22"/>
                <w:szCs w:val="22"/>
              </w:rPr>
              <w:t>Goal</w:t>
            </w:r>
          </w:p>
        </w:tc>
        <w:tc>
          <w:tcPr>
            <w:tcW w:w="3150" w:type="dxa"/>
            <w:shd w:val="clear" w:color="auto" w:fill="404040" w:themeFill="text1" w:themeFillTint="BF"/>
          </w:tcPr>
          <w:p w14:paraId="1AAAC608" w14:textId="77777777" w:rsidR="00F57AD5" w:rsidRPr="00CF6DB0" w:rsidRDefault="00F57AD5" w:rsidP="00465DF7">
            <w:pPr>
              <w:pStyle w:val="GLSTable1"/>
              <w:rPr>
                <w:b w:val="0"/>
                <w:color w:val="FFFFFF" w:themeColor="background1"/>
                <w:sz w:val="22"/>
                <w:szCs w:val="22"/>
              </w:rPr>
            </w:pPr>
            <w:r w:rsidRPr="00CF6DB0">
              <w:rPr>
                <w:b w:val="0"/>
                <w:color w:val="FFFFFF" w:themeColor="background1"/>
                <w:sz w:val="22"/>
                <w:szCs w:val="22"/>
              </w:rPr>
              <w:t xml:space="preserve">Unexpected Benefits; </w:t>
            </w:r>
            <w:r w:rsidRPr="00CF6DB0">
              <w:rPr>
                <w:b w:val="0"/>
                <w:color w:val="FFFFFF" w:themeColor="background1"/>
                <w:sz w:val="22"/>
                <w:szCs w:val="22"/>
              </w:rPr>
              <w:br/>
              <w:t>Windfall Gain</w:t>
            </w:r>
          </w:p>
        </w:tc>
        <w:tc>
          <w:tcPr>
            <w:tcW w:w="2430" w:type="dxa"/>
            <w:shd w:val="clear" w:color="auto" w:fill="404040" w:themeFill="text1" w:themeFillTint="BF"/>
          </w:tcPr>
          <w:p w14:paraId="247BDDFA" w14:textId="77777777" w:rsidR="00F57AD5" w:rsidRPr="00CF6DB0" w:rsidRDefault="00F57AD5" w:rsidP="00465DF7">
            <w:pPr>
              <w:pStyle w:val="GLSTable1"/>
              <w:rPr>
                <w:b w:val="0"/>
                <w:color w:val="FFFFFF" w:themeColor="background1"/>
                <w:sz w:val="22"/>
                <w:szCs w:val="22"/>
              </w:rPr>
            </w:pPr>
            <w:r w:rsidRPr="00CF6DB0">
              <w:rPr>
                <w:b w:val="0"/>
                <w:color w:val="FFFFFF" w:themeColor="background1"/>
                <w:sz w:val="22"/>
                <w:szCs w:val="22"/>
              </w:rPr>
              <w:t>Side Effects/</w:t>
            </w:r>
            <w:r w:rsidRPr="00CF6DB0">
              <w:rPr>
                <w:b w:val="0"/>
                <w:color w:val="FFFFFF" w:themeColor="background1"/>
                <w:sz w:val="22"/>
                <w:szCs w:val="22"/>
              </w:rPr>
              <w:br/>
              <w:t>Iatrogenic Effects</w:t>
            </w:r>
          </w:p>
        </w:tc>
      </w:tr>
      <w:tr w:rsidR="00F57AD5" w:rsidRPr="00CF6DB0" w14:paraId="3DA2EC2E" w14:textId="77777777" w:rsidTr="00370F0A">
        <w:trPr>
          <w:jc w:val="center"/>
        </w:trPr>
        <w:tc>
          <w:tcPr>
            <w:tcW w:w="1430" w:type="dxa"/>
            <w:shd w:val="clear" w:color="auto" w:fill="auto"/>
          </w:tcPr>
          <w:p w14:paraId="692D99D2" w14:textId="77777777" w:rsidR="00F57AD5" w:rsidRPr="00CF6DB0" w:rsidRDefault="00F57AD5" w:rsidP="00465DF7">
            <w:pPr>
              <w:pStyle w:val="GLSTable3"/>
              <w:rPr>
                <w:sz w:val="22"/>
                <w:szCs w:val="22"/>
              </w:rPr>
            </w:pPr>
            <w:r w:rsidRPr="00CF6DB0">
              <w:rPr>
                <w:sz w:val="22"/>
                <w:szCs w:val="22"/>
              </w:rPr>
              <w:t xml:space="preserve">Public awareness campaigns </w:t>
            </w:r>
          </w:p>
        </w:tc>
        <w:tc>
          <w:tcPr>
            <w:tcW w:w="2430" w:type="dxa"/>
            <w:shd w:val="clear" w:color="auto" w:fill="auto"/>
          </w:tcPr>
          <w:p w14:paraId="15730B79" w14:textId="77777777" w:rsidR="00F57AD5" w:rsidRPr="00CF6DB0" w:rsidRDefault="00F57AD5" w:rsidP="00465DF7">
            <w:pPr>
              <w:pStyle w:val="GLSTable3"/>
              <w:rPr>
                <w:sz w:val="22"/>
                <w:szCs w:val="22"/>
              </w:rPr>
            </w:pPr>
            <w:r w:rsidRPr="00CF6DB0">
              <w:rPr>
                <w:sz w:val="22"/>
                <w:szCs w:val="22"/>
              </w:rPr>
              <w:t>Reduce stigma, increase help-seeking behavior associated with suicide</w:t>
            </w:r>
          </w:p>
        </w:tc>
        <w:tc>
          <w:tcPr>
            <w:tcW w:w="3150" w:type="dxa"/>
            <w:shd w:val="clear" w:color="auto" w:fill="auto"/>
          </w:tcPr>
          <w:p w14:paraId="798BCFEF" w14:textId="77777777" w:rsidR="00F57AD5" w:rsidRPr="00CF6DB0" w:rsidRDefault="00F57AD5" w:rsidP="00465DF7">
            <w:pPr>
              <w:pStyle w:val="GLSTable3"/>
              <w:rPr>
                <w:sz w:val="22"/>
                <w:szCs w:val="22"/>
              </w:rPr>
            </w:pPr>
            <w:r w:rsidRPr="00CF6DB0">
              <w:rPr>
                <w:sz w:val="22"/>
                <w:szCs w:val="22"/>
              </w:rPr>
              <w:t>Reduce stigma, increase help-seeking behavior associated with mental health problems (beyond suicide)</w:t>
            </w:r>
          </w:p>
        </w:tc>
        <w:tc>
          <w:tcPr>
            <w:tcW w:w="2430" w:type="dxa"/>
            <w:shd w:val="clear" w:color="auto" w:fill="auto"/>
          </w:tcPr>
          <w:p w14:paraId="03B4FFC2" w14:textId="77777777" w:rsidR="00F57AD5" w:rsidRPr="00CF6DB0" w:rsidRDefault="00F57AD5" w:rsidP="003536EA">
            <w:pPr>
              <w:pStyle w:val="GLSTableBullet1"/>
              <w:numPr>
                <w:ilvl w:val="0"/>
                <w:numId w:val="33"/>
              </w:numPr>
              <w:rPr>
                <w:sz w:val="22"/>
                <w:szCs w:val="22"/>
              </w:rPr>
            </w:pPr>
            <w:r w:rsidRPr="00CF6DB0">
              <w:rPr>
                <w:sz w:val="22"/>
                <w:szCs w:val="22"/>
              </w:rPr>
              <w:t>‘Normalize’ suicide</w:t>
            </w:r>
          </w:p>
          <w:p w14:paraId="51C47996" w14:textId="77777777" w:rsidR="00F57AD5" w:rsidRPr="00CF6DB0" w:rsidRDefault="00F57AD5" w:rsidP="003536EA">
            <w:pPr>
              <w:pStyle w:val="GLSTableBullet1"/>
              <w:numPr>
                <w:ilvl w:val="0"/>
                <w:numId w:val="33"/>
              </w:numPr>
              <w:rPr>
                <w:sz w:val="22"/>
                <w:szCs w:val="22"/>
              </w:rPr>
            </w:pPr>
            <w:r w:rsidRPr="00CF6DB0">
              <w:rPr>
                <w:sz w:val="22"/>
                <w:szCs w:val="22"/>
              </w:rPr>
              <w:t xml:space="preserve">Increase unmet demand </w:t>
            </w:r>
          </w:p>
          <w:p w14:paraId="79794D99" w14:textId="77777777" w:rsidR="00F57AD5" w:rsidRPr="00CF6DB0" w:rsidRDefault="00F57AD5" w:rsidP="00465DF7">
            <w:pPr>
              <w:pStyle w:val="GLSTable3"/>
              <w:rPr>
                <w:sz w:val="22"/>
                <w:szCs w:val="22"/>
              </w:rPr>
            </w:pPr>
          </w:p>
        </w:tc>
      </w:tr>
      <w:tr w:rsidR="00F57AD5" w:rsidRPr="00CF6DB0" w14:paraId="2CCA6A91" w14:textId="77777777" w:rsidTr="00370F0A">
        <w:trPr>
          <w:jc w:val="center"/>
        </w:trPr>
        <w:tc>
          <w:tcPr>
            <w:tcW w:w="1430" w:type="dxa"/>
            <w:shd w:val="clear" w:color="auto" w:fill="auto"/>
          </w:tcPr>
          <w:p w14:paraId="2E4B7575" w14:textId="77777777" w:rsidR="00F57AD5" w:rsidRPr="00CF6DB0" w:rsidRDefault="00F57AD5" w:rsidP="00465DF7">
            <w:pPr>
              <w:pStyle w:val="GLSTable3"/>
              <w:rPr>
                <w:sz w:val="22"/>
                <w:szCs w:val="22"/>
              </w:rPr>
            </w:pPr>
            <w:r w:rsidRPr="00CF6DB0">
              <w:rPr>
                <w:sz w:val="22"/>
                <w:szCs w:val="22"/>
              </w:rPr>
              <w:t>Gatekeeper training</w:t>
            </w:r>
          </w:p>
        </w:tc>
        <w:tc>
          <w:tcPr>
            <w:tcW w:w="2430" w:type="dxa"/>
            <w:shd w:val="clear" w:color="auto" w:fill="auto"/>
          </w:tcPr>
          <w:p w14:paraId="1FE5CDB1" w14:textId="3AE6C262" w:rsidR="00F57AD5" w:rsidRPr="00CF6DB0" w:rsidRDefault="00F57AD5" w:rsidP="00465DF7">
            <w:pPr>
              <w:pStyle w:val="GLSTable3"/>
              <w:rPr>
                <w:sz w:val="22"/>
                <w:szCs w:val="22"/>
              </w:rPr>
            </w:pPr>
            <w:r w:rsidRPr="00CF6DB0">
              <w:rPr>
                <w:sz w:val="22"/>
                <w:szCs w:val="22"/>
              </w:rPr>
              <w:t xml:space="preserve">Increase identification (referral and treatment) of suicidal </w:t>
            </w:r>
            <w:r w:rsidR="00A92A8C">
              <w:rPr>
                <w:sz w:val="22"/>
                <w:szCs w:val="22"/>
              </w:rPr>
              <w:t>youth</w:t>
            </w:r>
          </w:p>
        </w:tc>
        <w:tc>
          <w:tcPr>
            <w:tcW w:w="3150" w:type="dxa"/>
            <w:shd w:val="clear" w:color="auto" w:fill="auto"/>
          </w:tcPr>
          <w:p w14:paraId="4E10BE04" w14:textId="77777777" w:rsidR="00F57AD5" w:rsidRPr="00CF6DB0" w:rsidRDefault="00F57AD5" w:rsidP="003536EA">
            <w:pPr>
              <w:pStyle w:val="GLSTableBullet1"/>
              <w:numPr>
                <w:ilvl w:val="0"/>
                <w:numId w:val="32"/>
              </w:numPr>
              <w:rPr>
                <w:sz w:val="22"/>
                <w:szCs w:val="22"/>
              </w:rPr>
            </w:pPr>
            <w:r w:rsidRPr="00CF6DB0">
              <w:rPr>
                <w:sz w:val="22"/>
                <w:szCs w:val="22"/>
              </w:rPr>
              <w:t>Improve mental health among training participants</w:t>
            </w:r>
          </w:p>
          <w:p w14:paraId="73567A90" w14:textId="62E8AE39" w:rsidR="00F57AD5" w:rsidRPr="00CF6DB0" w:rsidRDefault="00F57AD5" w:rsidP="003536EA">
            <w:pPr>
              <w:pStyle w:val="GLSTableBullet1"/>
              <w:numPr>
                <w:ilvl w:val="0"/>
                <w:numId w:val="32"/>
              </w:numPr>
              <w:rPr>
                <w:sz w:val="22"/>
                <w:szCs w:val="22"/>
              </w:rPr>
            </w:pPr>
            <w:r w:rsidRPr="00CF6DB0">
              <w:rPr>
                <w:sz w:val="22"/>
                <w:szCs w:val="22"/>
              </w:rPr>
              <w:t xml:space="preserve">Increase early identification (referral and treatment) of </w:t>
            </w:r>
            <w:r w:rsidR="00A92A8C">
              <w:rPr>
                <w:sz w:val="22"/>
                <w:szCs w:val="22"/>
              </w:rPr>
              <w:t>youth</w:t>
            </w:r>
            <w:r w:rsidRPr="00CF6DB0">
              <w:rPr>
                <w:sz w:val="22"/>
                <w:szCs w:val="22"/>
              </w:rPr>
              <w:t xml:space="preserve"> with emerging mental health or substance abuse problems</w:t>
            </w:r>
          </w:p>
          <w:p w14:paraId="57A8E1B8" w14:textId="77777777" w:rsidR="00F57AD5" w:rsidRPr="00CF6DB0" w:rsidRDefault="00F57AD5" w:rsidP="003536EA">
            <w:pPr>
              <w:pStyle w:val="GLSTableBullet1"/>
              <w:numPr>
                <w:ilvl w:val="0"/>
                <w:numId w:val="32"/>
              </w:numPr>
              <w:rPr>
                <w:sz w:val="22"/>
                <w:szCs w:val="22"/>
              </w:rPr>
            </w:pPr>
            <w:r w:rsidRPr="00CF6DB0">
              <w:rPr>
                <w:sz w:val="22"/>
                <w:szCs w:val="22"/>
              </w:rPr>
              <w:t>Informal diffusion of knowledge to nonparticipants</w:t>
            </w:r>
          </w:p>
        </w:tc>
        <w:tc>
          <w:tcPr>
            <w:tcW w:w="2430" w:type="dxa"/>
            <w:shd w:val="clear" w:color="auto" w:fill="auto"/>
          </w:tcPr>
          <w:p w14:paraId="04E82FFB" w14:textId="77777777" w:rsidR="00F57AD5" w:rsidRPr="00CF6DB0" w:rsidRDefault="00F57AD5" w:rsidP="003536EA">
            <w:pPr>
              <w:pStyle w:val="GLSTableBullet1"/>
              <w:numPr>
                <w:ilvl w:val="0"/>
                <w:numId w:val="31"/>
              </w:numPr>
              <w:rPr>
                <w:sz w:val="22"/>
                <w:szCs w:val="22"/>
              </w:rPr>
            </w:pPr>
            <w:r w:rsidRPr="00CF6DB0">
              <w:rPr>
                <w:sz w:val="22"/>
                <w:szCs w:val="22"/>
              </w:rPr>
              <w:t xml:space="preserve">Increase </w:t>
            </w:r>
            <w:r w:rsidRPr="00CF6DB0">
              <w:rPr>
                <w:rFonts w:cs="Tw Cen MT"/>
                <w:sz w:val="22"/>
                <w:szCs w:val="22"/>
              </w:rPr>
              <w:t>‘</w:t>
            </w:r>
            <w:r w:rsidRPr="00CF6DB0">
              <w:rPr>
                <w:sz w:val="22"/>
                <w:szCs w:val="22"/>
              </w:rPr>
              <w:t>false</w:t>
            </w:r>
            <w:r w:rsidRPr="00CF6DB0">
              <w:rPr>
                <w:rFonts w:cs="Tw Cen MT"/>
                <w:sz w:val="22"/>
                <w:szCs w:val="22"/>
              </w:rPr>
              <w:t>’</w:t>
            </w:r>
            <w:r w:rsidRPr="00CF6DB0">
              <w:rPr>
                <w:sz w:val="22"/>
                <w:szCs w:val="22"/>
              </w:rPr>
              <w:t xml:space="preserve"> identifications </w:t>
            </w:r>
          </w:p>
          <w:p w14:paraId="5A856562" w14:textId="77777777" w:rsidR="00F57AD5" w:rsidRPr="00CF6DB0" w:rsidRDefault="00F57AD5" w:rsidP="003536EA">
            <w:pPr>
              <w:pStyle w:val="GLSTableBullet1"/>
              <w:numPr>
                <w:ilvl w:val="0"/>
                <w:numId w:val="31"/>
              </w:numPr>
              <w:rPr>
                <w:sz w:val="22"/>
                <w:szCs w:val="22"/>
              </w:rPr>
            </w:pPr>
            <w:r w:rsidRPr="00CF6DB0">
              <w:rPr>
                <w:sz w:val="22"/>
                <w:szCs w:val="22"/>
              </w:rPr>
              <w:t xml:space="preserve">Increase unmet demand </w:t>
            </w:r>
          </w:p>
          <w:p w14:paraId="4A8F3917" w14:textId="65CE1186" w:rsidR="00F57AD5" w:rsidRPr="00CF6DB0" w:rsidRDefault="00F57AD5" w:rsidP="003536EA">
            <w:pPr>
              <w:pStyle w:val="GLSTableBullet1"/>
              <w:numPr>
                <w:ilvl w:val="0"/>
                <w:numId w:val="31"/>
              </w:numPr>
              <w:rPr>
                <w:sz w:val="22"/>
                <w:szCs w:val="22"/>
              </w:rPr>
            </w:pPr>
            <w:r w:rsidRPr="00CF6DB0">
              <w:rPr>
                <w:sz w:val="22"/>
                <w:szCs w:val="22"/>
              </w:rPr>
              <w:t xml:space="preserve">Mismanagement of suicidal </w:t>
            </w:r>
            <w:r w:rsidR="00A92A8C">
              <w:rPr>
                <w:sz w:val="22"/>
                <w:szCs w:val="22"/>
              </w:rPr>
              <w:t>youth</w:t>
            </w:r>
            <w:r w:rsidRPr="00CF6DB0">
              <w:rPr>
                <w:sz w:val="22"/>
                <w:szCs w:val="22"/>
              </w:rPr>
              <w:t xml:space="preserve"> by laypersons</w:t>
            </w:r>
          </w:p>
          <w:p w14:paraId="738E150C" w14:textId="77777777" w:rsidR="00F57AD5" w:rsidRPr="00CF6DB0" w:rsidRDefault="00F57AD5" w:rsidP="003536EA">
            <w:pPr>
              <w:pStyle w:val="GLSTableBullet1"/>
              <w:numPr>
                <w:ilvl w:val="0"/>
                <w:numId w:val="31"/>
              </w:numPr>
              <w:rPr>
                <w:sz w:val="22"/>
                <w:szCs w:val="22"/>
              </w:rPr>
            </w:pPr>
            <w:r w:rsidRPr="00CF6DB0">
              <w:rPr>
                <w:sz w:val="22"/>
                <w:szCs w:val="22"/>
              </w:rPr>
              <w:t>Increase suicide ideation among participants</w:t>
            </w:r>
          </w:p>
        </w:tc>
      </w:tr>
      <w:tr w:rsidR="00F57AD5" w:rsidRPr="00CF6DB0" w14:paraId="3D94F809" w14:textId="77777777" w:rsidTr="00370F0A">
        <w:trPr>
          <w:trHeight w:val="341"/>
          <w:jc w:val="center"/>
        </w:trPr>
        <w:tc>
          <w:tcPr>
            <w:tcW w:w="1430" w:type="dxa"/>
            <w:shd w:val="clear" w:color="auto" w:fill="auto"/>
          </w:tcPr>
          <w:p w14:paraId="6C67043B" w14:textId="77777777" w:rsidR="00F57AD5" w:rsidRPr="00CF6DB0" w:rsidRDefault="00F57AD5" w:rsidP="00465DF7">
            <w:pPr>
              <w:pStyle w:val="GLSTable3"/>
              <w:rPr>
                <w:sz w:val="22"/>
                <w:szCs w:val="22"/>
              </w:rPr>
            </w:pPr>
            <w:r w:rsidRPr="00CF6DB0">
              <w:rPr>
                <w:sz w:val="22"/>
                <w:szCs w:val="22"/>
              </w:rPr>
              <w:t>Screening</w:t>
            </w:r>
          </w:p>
        </w:tc>
        <w:tc>
          <w:tcPr>
            <w:tcW w:w="2430" w:type="dxa"/>
            <w:shd w:val="clear" w:color="auto" w:fill="auto"/>
          </w:tcPr>
          <w:p w14:paraId="471A372E" w14:textId="1D3EA6E6" w:rsidR="00F57AD5" w:rsidRPr="00CF6DB0" w:rsidRDefault="00F57AD5" w:rsidP="00465DF7">
            <w:pPr>
              <w:pStyle w:val="GLSTable3"/>
              <w:rPr>
                <w:sz w:val="22"/>
                <w:szCs w:val="22"/>
              </w:rPr>
            </w:pPr>
            <w:r w:rsidRPr="00CF6DB0">
              <w:rPr>
                <w:sz w:val="22"/>
                <w:szCs w:val="22"/>
              </w:rPr>
              <w:t xml:space="preserve">Increase identification (referral and treatment) of suicidal </w:t>
            </w:r>
            <w:r w:rsidR="00A92A8C">
              <w:rPr>
                <w:sz w:val="22"/>
                <w:szCs w:val="22"/>
              </w:rPr>
              <w:t>youth</w:t>
            </w:r>
          </w:p>
        </w:tc>
        <w:tc>
          <w:tcPr>
            <w:tcW w:w="3150" w:type="dxa"/>
            <w:shd w:val="clear" w:color="auto" w:fill="auto"/>
          </w:tcPr>
          <w:p w14:paraId="53C3C131" w14:textId="1044CC0F" w:rsidR="00F57AD5" w:rsidRPr="00CF6DB0" w:rsidRDefault="00F57AD5" w:rsidP="00465DF7">
            <w:pPr>
              <w:pStyle w:val="GLSTableBullet1"/>
              <w:rPr>
                <w:sz w:val="22"/>
                <w:szCs w:val="22"/>
              </w:rPr>
            </w:pPr>
            <w:r w:rsidRPr="00CF6DB0">
              <w:rPr>
                <w:sz w:val="22"/>
                <w:szCs w:val="22"/>
              </w:rPr>
              <w:t xml:space="preserve">Increase early identification (referral and treatment) of </w:t>
            </w:r>
            <w:r w:rsidR="00A92A8C">
              <w:rPr>
                <w:sz w:val="22"/>
                <w:szCs w:val="22"/>
              </w:rPr>
              <w:t>youth</w:t>
            </w:r>
            <w:r w:rsidRPr="00CF6DB0">
              <w:rPr>
                <w:sz w:val="22"/>
                <w:szCs w:val="22"/>
              </w:rPr>
              <w:t xml:space="preserve"> with emerging mental health or substance abuse problems</w:t>
            </w:r>
          </w:p>
        </w:tc>
        <w:tc>
          <w:tcPr>
            <w:tcW w:w="2430" w:type="dxa"/>
            <w:shd w:val="clear" w:color="auto" w:fill="auto"/>
          </w:tcPr>
          <w:p w14:paraId="17D75AB5" w14:textId="77777777" w:rsidR="00F57AD5" w:rsidRPr="00CF6DB0" w:rsidRDefault="00F57AD5" w:rsidP="003536EA">
            <w:pPr>
              <w:pStyle w:val="GLSTableBullet1"/>
              <w:numPr>
                <w:ilvl w:val="0"/>
                <w:numId w:val="34"/>
              </w:numPr>
              <w:rPr>
                <w:sz w:val="22"/>
                <w:szCs w:val="22"/>
              </w:rPr>
            </w:pPr>
            <w:r w:rsidRPr="00CF6DB0">
              <w:rPr>
                <w:sz w:val="22"/>
                <w:szCs w:val="22"/>
              </w:rPr>
              <w:t>Increase ‘false’ identifications</w:t>
            </w:r>
          </w:p>
          <w:p w14:paraId="3BBF866E" w14:textId="77777777" w:rsidR="00F57AD5" w:rsidRPr="00CF6DB0" w:rsidRDefault="00F57AD5" w:rsidP="003536EA">
            <w:pPr>
              <w:pStyle w:val="GLSTableBullet1"/>
              <w:numPr>
                <w:ilvl w:val="0"/>
                <w:numId w:val="34"/>
              </w:numPr>
              <w:rPr>
                <w:sz w:val="22"/>
                <w:szCs w:val="22"/>
              </w:rPr>
            </w:pPr>
            <w:r w:rsidRPr="00CF6DB0">
              <w:rPr>
                <w:sz w:val="22"/>
                <w:szCs w:val="22"/>
              </w:rPr>
              <w:t>Increase unmet demand</w:t>
            </w:r>
          </w:p>
        </w:tc>
      </w:tr>
      <w:tr w:rsidR="00F57AD5" w:rsidRPr="00CF6DB0" w14:paraId="0AB9FD7B" w14:textId="77777777" w:rsidTr="00370F0A">
        <w:trPr>
          <w:jc w:val="center"/>
        </w:trPr>
        <w:tc>
          <w:tcPr>
            <w:tcW w:w="1430" w:type="dxa"/>
            <w:shd w:val="clear" w:color="auto" w:fill="auto"/>
          </w:tcPr>
          <w:p w14:paraId="16FC5574" w14:textId="77777777" w:rsidR="00F57AD5" w:rsidRPr="00CF6DB0" w:rsidRDefault="00F57AD5" w:rsidP="00465DF7">
            <w:pPr>
              <w:pStyle w:val="GLSTable3"/>
              <w:rPr>
                <w:sz w:val="22"/>
                <w:szCs w:val="22"/>
              </w:rPr>
            </w:pPr>
            <w:r w:rsidRPr="00CF6DB0">
              <w:rPr>
                <w:sz w:val="22"/>
                <w:szCs w:val="22"/>
              </w:rPr>
              <w:t>Life-skills development activities</w:t>
            </w:r>
          </w:p>
        </w:tc>
        <w:tc>
          <w:tcPr>
            <w:tcW w:w="2430" w:type="dxa"/>
            <w:shd w:val="clear" w:color="auto" w:fill="auto"/>
          </w:tcPr>
          <w:p w14:paraId="6966F0FF" w14:textId="77777777" w:rsidR="00F57AD5" w:rsidRPr="00CF6DB0" w:rsidRDefault="00F57AD5" w:rsidP="00465DF7">
            <w:pPr>
              <w:pStyle w:val="GLSTable3"/>
              <w:rPr>
                <w:sz w:val="22"/>
                <w:szCs w:val="22"/>
              </w:rPr>
            </w:pPr>
            <w:r w:rsidRPr="00CF6DB0">
              <w:rPr>
                <w:sz w:val="22"/>
                <w:szCs w:val="22"/>
              </w:rPr>
              <w:t>Increase suicide protective factors (e.g., copying skills)</w:t>
            </w:r>
          </w:p>
        </w:tc>
        <w:tc>
          <w:tcPr>
            <w:tcW w:w="3150" w:type="dxa"/>
            <w:shd w:val="clear" w:color="auto" w:fill="auto"/>
          </w:tcPr>
          <w:p w14:paraId="2D3846C5" w14:textId="6D2D2021" w:rsidR="00F57AD5" w:rsidRPr="00CF6DB0" w:rsidRDefault="00F57AD5" w:rsidP="00465DF7">
            <w:pPr>
              <w:pStyle w:val="GLSTable3"/>
              <w:rPr>
                <w:sz w:val="22"/>
                <w:szCs w:val="22"/>
              </w:rPr>
            </w:pPr>
            <w:r w:rsidRPr="00CF6DB0">
              <w:rPr>
                <w:sz w:val="22"/>
                <w:szCs w:val="22"/>
              </w:rPr>
              <w:t xml:space="preserve">Reduce risk of other mental health problems among </w:t>
            </w:r>
            <w:r w:rsidR="00A92A8C">
              <w:rPr>
                <w:sz w:val="22"/>
                <w:szCs w:val="22"/>
              </w:rPr>
              <w:t>youth</w:t>
            </w:r>
          </w:p>
        </w:tc>
        <w:tc>
          <w:tcPr>
            <w:tcW w:w="2430" w:type="dxa"/>
            <w:shd w:val="clear" w:color="auto" w:fill="auto"/>
          </w:tcPr>
          <w:p w14:paraId="62FFCF21" w14:textId="77777777" w:rsidR="00F57AD5" w:rsidRPr="00CF6DB0" w:rsidRDefault="00F57AD5" w:rsidP="00465DF7">
            <w:pPr>
              <w:pStyle w:val="GLSTable3"/>
              <w:rPr>
                <w:sz w:val="22"/>
                <w:szCs w:val="22"/>
              </w:rPr>
            </w:pPr>
          </w:p>
        </w:tc>
      </w:tr>
      <w:tr w:rsidR="00926A3A" w:rsidRPr="00CF6DB0" w14:paraId="38259CEF" w14:textId="77777777" w:rsidTr="00370F0A">
        <w:trPr>
          <w:jc w:val="center"/>
        </w:trPr>
        <w:tc>
          <w:tcPr>
            <w:tcW w:w="1430" w:type="dxa"/>
            <w:shd w:val="clear" w:color="auto" w:fill="auto"/>
          </w:tcPr>
          <w:p w14:paraId="0EF0317C" w14:textId="4DA36870" w:rsidR="00926A3A" w:rsidRPr="00CF6DB0" w:rsidRDefault="00926A3A" w:rsidP="00926A3A">
            <w:pPr>
              <w:pStyle w:val="GLSTable3"/>
              <w:rPr>
                <w:sz w:val="22"/>
                <w:szCs w:val="22"/>
              </w:rPr>
            </w:pPr>
            <w:r w:rsidRPr="00CF6DB0">
              <w:rPr>
                <w:sz w:val="22"/>
                <w:szCs w:val="22"/>
              </w:rPr>
              <w:t>Suicide Safer Environment</w:t>
            </w:r>
          </w:p>
        </w:tc>
        <w:tc>
          <w:tcPr>
            <w:tcW w:w="2430" w:type="dxa"/>
            <w:shd w:val="clear" w:color="auto" w:fill="auto"/>
          </w:tcPr>
          <w:p w14:paraId="2FA72376" w14:textId="7FAAE08D" w:rsidR="00926A3A" w:rsidRPr="00CF6DB0" w:rsidRDefault="00926A3A" w:rsidP="00926A3A">
            <w:pPr>
              <w:pStyle w:val="GLSTable3"/>
              <w:rPr>
                <w:sz w:val="22"/>
                <w:szCs w:val="22"/>
              </w:rPr>
            </w:pPr>
            <w:r w:rsidRPr="00CF6DB0">
              <w:rPr>
                <w:sz w:val="22"/>
                <w:szCs w:val="22"/>
              </w:rPr>
              <w:t xml:space="preserve">Improve care of suicidal </w:t>
            </w:r>
            <w:r w:rsidR="00A92A8C">
              <w:rPr>
                <w:sz w:val="22"/>
                <w:szCs w:val="22"/>
              </w:rPr>
              <w:t>youth</w:t>
            </w:r>
            <w:r w:rsidRPr="00CF6DB0">
              <w:rPr>
                <w:sz w:val="22"/>
                <w:szCs w:val="22"/>
              </w:rPr>
              <w:t xml:space="preserve"> </w:t>
            </w:r>
          </w:p>
        </w:tc>
        <w:tc>
          <w:tcPr>
            <w:tcW w:w="3150" w:type="dxa"/>
            <w:shd w:val="clear" w:color="auto" w:fill="auto"/>
          </w:tcPr>
          <w:p w14:paraId="3A082F4C" w14:textId="0AA3FEA0" w:rsidR="00926A3A" w:rsidRPr="00CF6DB0" w:rsidRDefault="00926A3A" w:rsidP="00926A3A">
            <w:pPr>
              <w:pStyle w:val="GLSTable3"/>
              <w:rPr>
                <w:sz w:val="22"/>
                <w:szCs w:val="22"/>
              </w:rPr>
            </w:pPr>
            <w:r w:rsidRPr="00CF6DB0">
              <w:rPr>
                <w:sz w:val="22"/>
                <w:szCs w:val="22"/>
              </w:rPr>
              <w:t>Improve care of suicidal adults</w:t>
            </w:r>
          </w:p>
        </w:tc>
        <w:tc>
          <w:tcPr>
            <w:tcW w:w="2430" w:type="dxa"/>
            <w:shd w:val="clear" w:color="auto" w:fill="auto"/>
          </w:tcPr>
          <w:p w14:paraId="670B50BF" w14:textId="77777777" w:rsidR="00926A3A" w:rsidRPr="00CF6DB0" w:rsidRDefault="00926A3A" w:rsidP="00926A3A">
            <w:pPr>
              <w:pStyle w:val="GLSTable3"/>
              <w:rPr>
                <w:sz w:val="22"/>
                <w:szCs w:val="22"/>
              </w:rPr>
            </w:pPr>
          </w:p>
        </w:tc>
      </w:tr>
      <w:tr w:rsidR="00926A3A" w:rsidRPr="00CF6DB0" w14:paraId="42C0F14E" w14:textId="77777777" w:rsidTr="00370F0A">
        <w:trPr>
          <w:jc w:val="center"/>
        </w:trPr>
        <w:tc>
          <w:tcPr>
            <w:tcW w:w="1430" w:type="dxa"/>
            <w:shd w:val="clear" w:color="auto" w:fill="auto"/>
          </w:tcPr>
          <w:p w14:paraId="4960340A" w14:textId="506BFB51" w:rsidR="00926A3A" w:rsidRPr="00CF6DB0" w:rsidRDefault="00926A3A" w:rsidP="00926A3A">
            <w:pPr>
              <w:pStyle w:val="GLSTable3"/>
              <w:rPr>
                <w:sz w:val="22"/>
                <w:szCs w:val="22"/>
              </w:rPr>
            </w:pPr>
            <w:r w:rsidRPr="00CF6DB0">
              <w:rPr>
                <w:sz w:val="22"/>
                <w:szCs w:val="22"/>
              </w:rPr>
              <w:t>Means restriction</w:t>
            </w:r>
          </w:p>
        </w:tc>
        <w:tc>
          <w:tcPr>
            <w:tcW w:w="2430" w:type="dxa"/>
            <w:shd w:val="clear" w:color="auto" w:fill="auto"/>
          </w:tcPr>
          <w:p w14:paraId="0AB9414C" w14:textId="59953F4C" w:rsidR="00926A3A" w:rsidRPr="00CF6DB0" w:rsidRDefault="00926A3A" w:rsidP="00926A3A">
            <w:pPr>
              <w:pStyle w:val="GLSTable3"/>
              <w:rPr>
                <w:sz w:val="22"/>
                <w:szCs w:val="22"/>
              </w:rPr>
            </w:pPr>
            <w:r w:rsidRPr="00CF6DB0">
              <w:rPr>
                <w:sz w:val="22"/>
                <w:szCs w:val="22"/>
              </w:rPr>
              <w:t>Reduce suicidal youth access to lethal means</w:t>
            </w:r>
          </w:p>
        </w:tc>
        <w:tc>
          <w:tcPr>
            <w:tcW w:w="3150" w:type="dxa"/>
            <w:shd w:val="clear" w:color="auto" w:fill="auto"/>
          </w:tcPr>
          <w:p w14:paraId="000AB60A" w14:textId="4DAA1D87" w:rsidR="00926A3A" w:rsidRPr="00CF6DB0" w:rsidRDefault="00926A3A" w:rsidP="00926A3A">
            <w:pPr>
              <w:pStyle w:val="GLSTable3"/>
              <w:rPr>
                <w:sz w:val="22"/>
                <w:szCs w:val="22"/>
              </w:rPr>
            </w:pPr>
            <w:r w:rsidRPr="00CF6DB0">
              <w:rPr>
                <w:sz w:val="22"/>
                <w:szCs w:val="22"/>
              </w:rPr>
              <w:t>Reduce suicidal adult access to lethal means</w:t>
            </w:r>
          </w:p>
        </w:tc>
        <w:tc>
          <w:tcPr>
            <w:tcW w:w="2430" w:type="dxa"/>
            <w:shd w:val="clear" w:color="auto" w:fill="auto"/>
          </w:tcPr>
          <w:p w14:paraId="35F63E4D" w14:textId="123B927F" w:rsidR="00926A3A" w:rsidRPr="00CF6DB0" w:rsidRDefault="00926A3A" w:rsidP="00926A3A">
            <w:pPr>
              <w:pStyle w:val="GLSTable3"/>
              <w:rPr>
                <w:sz w:val="22"/>
                <w:szCs w:val="22"/>
              </w:rPr>
            </w:pPr>
            <w:r w:rsidRPr="00CF6DB0">
              <w:rPr>
                <w:sz w:val="22"/>
                <w:szCs w:val="22"/>
              </w:rPr>
              <w:t xml:space="preserve">Increase in suicide by alternative means or </w:t>
            </w:r>
            <w:proofErr w:type="spellStart"/>
            <w:r w:rsidRPr="00CF6DB0">
              <w:rPr>
                <w:sz w:val="22"/>
                <w:szCs w:val="22"/>
              </w:rPr>
              <w:t>nonsuicide</w:t>
            </w:r>
            <w:proofErr w:type="spellEnd"/>
            <w:r w:rsidRPr="00CF6DB0">
              <w:rPr>
                <w:sz w:val="22"/>
                <w:szCs w:val="22"/>
              </w:rPr>
              <w:t xml:space="preserve"> mortality (e.g., accidents) </w:t>
            </w:r>
          </w:p>
        </w:tc>
      </w:tr>
    </w:tbl>
    <w:p w14:paraId="7F57587F" w14:textId="1C4ACD85" w:rsidR="00F57AD5" w:rsidRPr="00B603E8" w:rsidRDefault="00F57AD5" w:rsidP="00045A50">
      <w:pPr>
        <w:pStyle w:val="GLSBody"/>
        <w:spacing w:before="240" w:after="200"/>
      </w:pPr>
      <w:r w:rsidRPr="00B603E8">
        <w:t xml:space="preserve">Exhibit </w:t>
      </w:r>
      <w:r w:rsidR="00DD1247" w:rsidRPr="00B603E8">
        <w:t>17</w:t>
      </w:r>
      <w:r w:rsidRPr="00B603E8">
        <w:t xml:space="preserve"> presents possible sources and indicators related to some of unintended consequences presented above. The scope of unintended consequences, or benefits, will be determined during the first year and feedback from an expert advisory panel and a local evaluator panel. As this list is reduced, data sources and collection strategies will also be refined. The primary data sources (i.e., TUP-S, TASP, BHPS, and EIRF-S) and associated methods of data collection can be found in Section A.</w:t>
      </w:r>
      <w:r w:rsidR="00377228" w:rsidRPr="00B603E8">
        <w:t>2</w:t>
      </w:r>
      <w:r w:rsidRPr="00B603E8">
        <w:t>.</w:t>
      </w:r>
      <w:r w:rsidR="00377228" w:rsidRPr="00B603E8">
        <w:t>a</w:t>
      </w:r>
      <w:r w:rsidRPr="00B603E8">
        <w:t>.</w:t>
      </w:r>
    </w:p>
    <w:p w14:paraId="54EAFE3D" w14:textId="67C0250A" w:rsidR="00F57AD5" w:rsidRPr="00B603E8" w:rsidRDefault="00F57AD5" w:rsidP="00757925">
      <w:pPr>
        <w:pStyle w:val="GLSTableExhibit"/>
        <w:jc w:val="left"/>
        <w:rPr>
          <w:color w:val="auto"/>
        </w:rPr>
      </w:pPr>
      <w:proofErr w:type="gramStart"/>
      <w:r w:rsidRPr="00B603E8">
        <w:rPr>
          <w:color w:val="auto"/>
        </w:rPr>
        <w:t xml:space="preserve">Exhibit </w:t>
      </w:r>
      <w:r w:rsidR="00DD1247" w:rsidRPr="00B603E8">
        <w:rPr>
          <w:color w:val="auto"/>
        </w:rPr>
        <w:t>17</w:t>
      </w:r>
      <w:r w:rsidRPr="00B603E8">
        <w:rPr>
          <w:color w:val="auto"/>
        </w:rPr>
        <w:t>.</w:t>
      </w:r>
      <w:proofErr w:type="gramEnd"/>
      <w:r w:rsidRPr="00B603E8">
        <w:rPr>
          <w:color w:val="auto"/>
        </w:rPr>
        <w:t xml:space="preserve"> Possible Sources and Indicators by Unintended Benefit (Cost)</w:t>
      </w:r>
    </w:p>
    <w:tbl>
      <w:tblPr>
        <w:tblStyle w:val="TableGrid11"/>
        <w:tblW w:w="9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040"/>
        <w:gridCol w:w="3600"/>
        <w:gridCol w:w="1800"/>
      </w:tblGrid>
      <w:tr w:rsidR="00F57AD5" w:rsidRPr="00CF6DB0" w14:paraId="29675899" w14:textId="77777777" w:rsidTr="00CF6DB0">
        <w:trPr>
          <w:trHeight w:val="332"/>
          <w:tblHeader/>
          <w:jc w:val="center"/>
        </w:trPr>
        <w:tc>
          <w:tcPr>
            <w:tcW w:w="4040" w:type="dxa"/>
            <w:shd w:val="clear" w:color="auto" w:fill="404040" w:themeFill="text1" w:themeFillTint="BF"/>
          </w:tcPr>
          <w:p w14:paraId="56285EF9" w14:textId="77777777" w:rsidR="00F57AD5" w:rsidRPr="00CF6DB0" w:rsidRDefault="00F57AD5" w:rsidP="00465DF7">
            <w:pPr>
              <w:pStyle w:val="GLSTable1"/>
              <w:rPr>
                <w:b w:val="0"/>
                <w:color w:val="FFFFFF" w:themeColor="background1"/>
                <w:sz w:val="22"/>
                <w:szCs w:val="22"/>
              </w:rPr>
            </w:pPr>
            <w:r w:rsidRPr="00CF6DB0">
              <w:rPr>
                <w:b w:val="0"/>
                <w:color w:val="FFFFFF" w:themeColor="background1"/>
                <w:sz w:val="22"/>
                <w:szCs w:val="22"/>
              </w:rPr>
              <w:t>Unintended Consequence</w:t>
            </w:r>
          </w:p>
        </w:tc>
        <w:tc>
          <w:tcPr>
            <w:tcW w:w="3600" w:type="dxa"/>
            <w:shd w:val="clear" w:color="auto" w:fill="404040" w:themeFill="text1" w:themeFillTint="BF"/>
          </w:tcPr>
          <w:p w14:paraId="65D0571D" w14:textId="77777777" w:rsidR="00F57AD5" w:rsidRPr="00CF6DB0" w:rsidRDefault="00F57AD5" w:rsidP="00465DF7">
            <w:pPr>
              <w:pStyle w:val="GLSTable1"/>
              <w:rPr>
                <w:b w:val="0"/>
                <w:color w:val="FFFFFF" w:themeColor="background1"/>
                <w:sz w:val="22"/>
                <w:szCs w:val="22"/>
              </w:rPr>
            </w:pPr>
            <w:r w:rsidRPr="00CF6DB0">
              <w:rPr>
                <w:b w:val="0"/>
                <w:color w:val="FFFFFF" w:themeColor="background1"/>
                <w:sz w:val="22"/>
                <w:szCs w:val="22"/>
              </w:rPr>
              <w:t>Indicator</w:t>
            </w:r>
          </w:p>
        </w:tc>
        <w:tc>
          <w:tcPr>
            <w:tcW w:w="1800" w:type="dxa"/>
            <w:shd w:val="clear" w:color="auto" w:fill="404040" w:themeFill="text1" w:themeFillTint="BF"/>
          </w:tcPr>
          <w:p w14:paraId="04AAD984" w14:textId="77777777" w:rsidR="00F57AD5" w:rsidRPr="00CF6DB0" w:rsidRDefault="00F57AD5" w:rsidP="00465DF7">
            <w:pPr>
              <w:pStyle w:val="GLSTable1"/>
              <w:rPr>
                <w:b w:val="0"/>
                <w:color w:val="FFFFFF" w:themeColor="background1"/>
                <w:sz w:val="22"/>
                <w:szCs w:val="22"/>
              </w:rPr>
            </w:pPr>
            <w:r w:rsidRPr="00CF6DB0">
              <w:rPr>
                <w:b w:val="0"/>
                <w:color w:val="FFFFFF" w:themeColor="background1"/>
                <w:sz w:val="22"/>
                <w:szCs w:val="22"/>
              </w:rPr>
              <w:t>Source</w:t>
            </w:r>
          </w:p>
        </w:tc>
      </w:tr>
      <w:tr w:rsidR="00F57AD5" w:rsidRPr="00CF6DB0" w14:paraId="7D60AFA4" w14:textId="77777777" w:rsidTr="006F36B9">
        <w:trPr>
          <w:jc w:val="center"/>
        </w:trPr>
        <w:tc>
          <w:tcPr>
            <w:tcW w:w="4040" w:type="dxa"/>
            <w:shd w:val="clear" w:color="auto" w:fill="auto"/>
          </w:tcPr>
          <w:p w14:paraId="7CBEAF88" w14:textId="77777777" w:rsidR="00F57AD5" w:rsidRPr="00CF6DB0" w:rsidRDefault="00F57AD5" w:rsidP="00465DF7">
            <w:pPr>
              <w:pStyle w:val="GLSTable3"/>
              <w:spacing w:line="216" w:lineRule="auto"/>
              <w:rPr>
                <w:sz w:val="22"/>
                <w:szCs w:val="22"/>
              </w:rPr>
            </w:pPr>
            <w:r w:rsidRPr="00CF6DB0">
              <w:rPr>
                <w:sz w:val="22"/>
                <w:szCs w:val="22"/>
              </w:rPr>
              <w:t>Increase identification and referrals of suicidal adults</w:t>
            </w:r>
          </w:p>
        </w:tc>
        <w:tc>
          <w:tcPr>
            <w:tcW w:w="3600" w:type="dxa"/>
            <w:shd w:val="clear" w:color="auto" w:fill="auto"/>
          </w:tcPr>
          <w:p w14:paraId="3A60FF53" w14:textId="77777777" w:rsidR="00F57AD5" w:rsidRPr="00CF6DB0" w:rsidRDefault="00F57AD5" w:rsidP="00465DF7">
            <w:pPr>
              <w:pStyle w:val="GLSTable3"/>
              <w:spacing w:line="216" w:lineRule="auto"/>
              <w:rPr>
                <w:sz w:val="22"/>
                <w:szCs w:val="22"/>
              </w:rPr>
            </w:pPr>
            <w:r w:rsidRPr="00CF6DB0">
              <w:rPr>
                <w:sz w:val="22"/>
                <w:szCs w:val="22"/>
              </w:rPr>
              <w:t>Number of trainees who use the training to work with adult at-risk populations</w:t>
            </w:r>
          </w:p>
        </w:tc>
        <w:tc>
          <w:tcPr>
            <w:tcW w:w="1800" w:type="dxa"/>
            <w:shd w:val="clear" w:color="auto" w:fill="auto"/>
          </w:tcPr>
          <w:p w14:paraId="362FE3DA" w14:textId="77777777" w:rsidR="00F57AD5" w:rsidRPr="00CF6DB0" w:rsidRDefault="00F57AD5" w:rsidP="00465DF7">
            <w:pPr>
              <w:pStyle w:val="GLSTable3"/>
              <w:spacing w:line="216" w:lineRule="auto"/>
              <w:rPr>
                <w:sz w:val="22"/>
                <w:szCs w:val="22"/>
              </w:rPr>
            </w:pPr>
            <w:r w:rsidRPr="00CF6DB0">
              <w:rPr>
                <w:sz w:val="22"/>
                <w:szCs w:val="22"/>
              </w:rPr>
              <w:t xml:space="preserve">TUP-S </w:t>
            </w:r>
          </w:p>
          <w:p w14:paraId="6644EDB9" w14:textId="77777777" w:rsidR="00F57AD5" w:rsidRPr="00CF6DB0" w:rsidRDefault="00F57AD5" w:rsidP="00465DF7">
            <w:pPr>
              <w:pStyle w:val="GLSTable3"/>
              <w:spacing w:line="216" w:lineRule="auto"/>
              <w:rPr>
                <w:sz w:val="22"/>
                <w:szCs w:val="22"/>
              </w:rPr>
            </w:pPr>
            <w:r w:rsidRPr="00CF6DB0">
              <w:rPr>
                <w:sz w:val="22"/>
                <w:szCs w:val="22"/>
              </w:rPr>
              <w:t>Training Core</w:t>
            </w:r>
          </w:p>
        </w:tc>
      </w:tr>
      <w:tr w:rsidR="00F57AD5" w:rsidRPr="00CF6DB0" w14:paraId="7F4343B4" w14:textId="77777777" w:rsidTr="006F36B9">
        <w:trPr>
          <w:jc w:val="center"/>
        </w:trPr>
        <w:tc>
          <w:tcPr>
            <w:tcW w:w="4040" w:type="dxa"/>
            <w:shd w:val="clear" w:color="auto" w:fill="auto"/>
          </w:tcPr>
          <w:p w14:paraId="013F13D4" w14:textId="77777777" w:rsidR="00F57AD5" w:rsidRPr="00CF6DB0" w:rsidRDefault="00F57AD5" w:rsidP="00465DF7">
            <w:pPr>
              <w:pStyle w:val="GLSTable3"/>
              <w:spacing w:line="216" w:lineRule="auto"/>
              <w:rPr>
                <w:sz w:val="22"/>
                <w:szCs w:val="22"/>
              </w:rPr>
            </w:pPr>
            <w:r w:rsidRPr="00CF6DB0">
              <w:rPr>
                <w:sz w:val="22"/>
                <w:szCs w:val="22"/>
              </w:rPr>
              <w:t>Diffusion of knowledge to nonparticipants</w:t>
            </w:r>
          </w:p>
        </w:tc>
        <w:tc>
          <w:tcPr>
            <w:tcW w:w="3600" w:type="dxa"/>
            <w:shd w:val="clear" w:color="auto" w:fill="auto"/>
          </w:tcPr>
          <w:p w14:paraId="6BE8590C" w14:textId="77777777" w:rsidR="00F57AD5" w:rsidRPr="00CF6DB0" w:rsidRDefault="00F57AD5" w:rsidP="00465DF7">
            <w:pPr>
              <w:pStyle w:val="GLSTable3"/>
              <w:spacing w:line="216" w:lineRule="auto"/>
              <w:rPr>
                <w:sz w:val="22"/>
                <w:szCs w:val="22"/>
              </w:rPr>
            </w:pPr>
            <w:r w:rsidRPr="00CF6DB0">
              <w:rPr>
                <w:sz w:val="22"/>
                <w:szCs w:val="22"/>
              </w:rPr>
              <w:t xml:space="preserve">Trainees who discussed and/or share training materials with others </w:t>
            </w:r>
          </w:p>
        </w:tc>
        <w:tc>
          <w:tcPr>
            <w:tcW w:w="1800" w:type="dxa"/>
            <w:shd w:val="clear" w:color="auto" w:fill="auto"/>
          </w:tcPr>
          <w:p w14:paraId="4BAD0191" w14:textId="77777777" w:rsidR="00F57AD5" w:rsidRPr="00CF6DB0" w:rsidRDefault="00F57AD5" w:rsidP="00465DF7">
            <w:pPr>
              <w:pStyle w:val="GLSTable3"/>
              <w:spacing w:line="216" w:lineRule="auto"/>
              <w:rPr>
                <w:sz w:val="22"/>
                <w:szCs w:val="22"/>
              </w:rPr>
            </w:pPr>
            <w:r w:rsidRPr="00CF6DB0">
              <w:rPr>
                <w:sz w:val="22"/>
                <w:szCs w:val="22"/>
              </w:rPr>
              <w:t xml:space="preserve">TUP-S </w:t>
            </w:r>
          </w:p>
          <w:p w14:paraId="472205BF" w14:textId="77777777" w:rsidR="00F57AD5" w:rsidRPr="00CF6DB0" w:rsidRDefault="00F57AD5" w:rsidP="00465DF7">
            <w:pPr>
              <w:pStyle w:val="GLSTable3"/>
              <w:spacing w:line="216" w:lineRule="auto"/>
              <w:rPr>
                <w:sz w:val="22"/>
                <w:szCs w:val="22"/>
              </w:rPr>
            </w:pPr>
            <w:r w:rsidRPr="00CF6DB0">
              <w:rPr>
                <w:sz w:val="22"/>
                <w:szCs w:val="22"/>
              </w:rPr>
              <w:t>Training Core</w:t>
            </w:r>
          </w:p>
        </w:tc>
      </w:tr>
      <w:tr w:rsidR="00F57AD5" w:rsidRPr="00CF6DB0" w14:paraId="2F21D80B" w14:textId="77777777" w:rsidTr="006F36B9">
        <w:trPr>
          <w:jc w:val="center"/>
        </w:trPr>
        <w:tc>
          <w:tcPr>
            <w:tcW w:w="4040" w:type="dxa"/>
            <w:shd w:val="clear" w:color="auto" w:fill="auto"/>
          </w:tcPr>
          <w:p w14:paraId="52894FFE" w14:textId="0963A1D6" w:rsidR="00F57AD5" w:rsidRPr="00CF6DB0" w:rsidRDefault="00F57AD5" w:rsidP="00465DF7">
            <w:pPr>
              <w:pStyle w:val="GLSTable3"/>
              <w:spacing w:line="216" w:lineRule="auto"/>
              <w:rPr>
                <w:sz w:val="22"/>
                <w:szCs w:val="22"/>
              </w:rPr>
            </w:pPr>
            <w:r w:rsidRPr="00CF6DB0">
              <w:rPr>
                <w:sz w:val="22"/>
                <w:szCs w:val="22"/>
              </w:rPr>
              <w:t xml:space="preserve">Reduce risk of other mental health problems among </w:t>
            </w:r>
            <w:r w:rsidR="00A92A8C">
              <w:rPr>
                <w:sz w:val="22"/>
                <w:szCs w:val="22"/>
              </w:rPr>
              <w:t>youth</w:t>
            </w:r>
          </w:p>
        </w:tc>
        <w:tc>
          <w:tcPr>
            <w:tcW w:w="3600" w:type="dxa"/>
            <w:shd w:val="clear" w:color="auto" w:fill="auto"/>
          </w:tcPr>
          <w:p w14:paraId="78CEA9FF" w14:textId="29BBE664" w:rsidR="00F57AD5" w:rsidRPr="00CF6DB0" w:rsidRDefault="00F57AD5" w:rsidP="00465DF7">
            <w:pPr>
              <w:pStyle w:val="GLSTable3"/>
              <w:spacing w:line="216" w:lineRule="auto"/>
              <w:rPr>
                <w:sz w:val="22"/>
                <w:szCs w:val="22"/>
              </w:rPr>
            </w:pPr>
            <w:r w:rsidRPr="00CF6DB0">
              <w:rPr>
                <w:sz w:val="22"/>
                <w:szCs w:val="22"/>
              </w:rPr>
              <w:t xml:space="preserve">Number of </w:t>
            </w:r>
            <w:r w:rsidR="00A92A8C">
              <w:rPr>
                <w:sz w:val="22"/>
                <w:szCs w:val="22"/>
              </w:rPr>
              <w:t>youth</w:t>
            </w:r>
            <w:r w:rsidRPr="00CF6DB0">
              <w:rPr>
                <w:sz w:val="22"/>
                <w:szCs w:val="22"/>
              </w:rPr>
              <w:t xml:space="preserve"> participating in life-skills development trainings</w:t>
            </w:r>
          </w:p>
        </w:tc>
        <w:tc>
          <w:tcPr>
            <w:tcW w:w="1800" w:type="dxa"/>
            <w:shd w:val="clear" w:color="auto" w:fill="auto"/>
          </w:tcPr>
          <w:p w14:paraId="2B5C9CF7" w14:textId="77777777" w:rsidR="00F57AD5" w:rsidRPr="00CF6DB0" w:rsidRDefault="00F57AD5" w:rsidP="00465DF7">
            <w:pPr>
              <w:pStyle w:val="GLSTable3"/>
              <w:spacing w:line="216" w:lineRule="auto"/>
              <w:rPr>
                <w:sz w:val="22"/>
                <w:szCs w:val="22"/>
              </w:rPr>
            </w:pPr>
            <w:r w:rsidRPr="00CF6DB0">
              <w:rPr>
                <w:sz w:val="22"/>
                <w:szCs w:val="22"/>
              </w:rPr>
              <w:t xml:space="preserve">TASP </w:t>
            </w:r>
          </w:p>
          <w:p w14:paraId="1AFE76D7" w14:textId="77777777" w:rsidR="00F57AD5" w:rsidRPr="00CF6DB0" w:rsidRDefault="00F57AD5" w:rsidP="00465DF7">
            <w:pPr>
              <w:pStyle w:val="GLSTable3"/>
              <w:spacing w:line="216" w:lineRule="auto"/>
              <w:rPr>
                <w:sz w:val="22"/>
                <w:szCs w:val="22"/>
              </w:rPr>
            </w:pPr>
            <w:r w:rsidRPr="00CF6DB0">
              <w:rPr>
                <w:sz w:val="22"/>
                <w:szCs w:val="22"/>
              </w:rPr>
              <w:t>Training Core</w:t>
            </w:r>
          </w:p>
        </w:tc>
      </w:tr>
      <w:tr w:rsidR="00F57AD5" w:rsidRPr="00CF6DB0" w14:paraId="3D0B70E4" w14:textId="77777777" w:rsidTr="006F36B9">
        <w:trPr>
          <w:jc w:val="center"/>
        </w:trPr>
        <w:tc>
          <w:tcPr>
            <w:tcW w:w="4040" w:type="dxa"/>
            <w:shd w:val="clear" w:color="auto" w:fill="auto"/>
          </w:tcPr>
          <w:p w14:paraId="4069F1D7" w14:textId="77777777" w:rsidR="00F57AD5" w:rsidRPr="00CF6DB0" w:rsidRDefault="00F57AD5" w:rsidP="00465DF7">
            <w:pPr>
              <w:pStyle w:val="GLSTable3"/>
              <w:spacing w:line="216" w:lineRule="auto"/>
              <w:rPr>
                <w:sz w:val="22"/>
                <w:szCs w:val="22"/>
              </w:rPr>
            </w:pPr>
            <w:r w:rsidRPr="00CF6DB0">
              <w:rPr>
                <w:sz w:val="22"/>
                <w:szCs w:val="22"/>
              </w:rPr>
              <w:t>Improve care of suicidal adults</w:t>
            </w:r>
          </w:p>
        </w:tc>
        <w:tc>
          <w:tcPr>
            <w:tcW w:w="3600" w:type="dxa"/>
            <w:shd w:val="clear" w:color="auto" w:fill="auto"/>
          </w:tcPr>
          <w:p w14:paraId="3B6FA8C3" w14:textId="77777777" w:rsidR="00F57AD5" w:rsidRPr="00CF6DB0" w:rsidRDefault="00F57AD5" w:rsidP="00465DF7">
            <w:pPr>
              <w:pStyle w:val="GLSTable3"/>
              <w:spacing w:line="216" w:lineRule="auto"/>
              <w:rPr>
                <w:sz w:val="22"/>
                <w:szCs w:val="22"/>
              </w:rPr>
            </w:pPr>
            <w:r w:rsidRPr="00CF6DB0">
              <w:rPr>
                <w:sz w:val="22"/>
                <w:szCs w:val="22"/>
              </w:rPr>
              <w:t xml:space="preserve">Number of adults screened, assessed, with a safety plan, contacted/seen weekly as part of management plan </w:t>
            </w:r>
          </w:p>
        </w:tc>
        <w:tc>
          <w:tcPr>
            <w:tcW w:w="1800" w:type="dxa"/>
            <w:shd w:val="clear" w:color="auto" w:fill="auto"/>
          </w:tcPr>
          <w:p w14:paraId="45AA0AA5" w14:textId="77777777" w:rsidR="00F57AD5" w:rsidRPr="00CF6DB0" w:rsidRDefault="00F57AD5" w:rsidP="00465DF7">
            <w:pPr>
              <w:pStyle w:val="GLSTable3"/>
              <w:spacing w:line="216" w:lineRule="auto"/>
              <w:rPr>
                <w:sz w:val="22"/>
                <w:szCs w:val="22"/>
              </w:rPr>
            </w:pPr>
            <w:r w:rsidRPr="00CF6DB0">
              <w:rPr>
                <w:sz w:val="22"/>
                <w:szCs w:val="22"/>
              </w:rPr>
              <w:t xml:space="preserve">BHPS </w:t>
            </w:r>
          </w:p>
          <w:p w14:paraId="2767328F" w14:textId="77777777" w:rsidR="00F57AD5" w:rsidRPr="00CF6DB0" w:rsidRDefault="00F57AD5" w:rsidP="00465DF7">
            <w:pPr>
              <w:pStyle w:val="GLSTable3"/>
              <w:spacing w:line="216" w:lineRule="auto"/>
              <w:rPr>
                <w:sz w:val="22"/>
                <w:szCs w:val="22"/>
              </w:rPr>
            </w:pPr>
            <w:r w:rsidRPr="00CF6DB0">
              <w:rPr>
                <w:sz w:val="22"/>
                <w:szCs w:val="22"/>
              </w:rPr>
              <w:t>SSE Core</w:t>
            </w:r>
          </w:p>
        </w:tc>
      </w:tr>
      <w:tr w:rsidR="00F57AD5" w:rsidRPr="00CF6DB0" w14:paraId="502D420E" w14:textId="77777777" w:rsidTr="006F36B9">
        <w:trPr>
          <w:jc w:val="center"/>
        </w:trPr>
        <w:tc>
          <w:tcPr>
            <w:tcW w:w="4040" w:type="dxa"/>
            <w:shd w:val="clear" w:color="auto" w:fill="auto"/>
          </w:tcPr>
          <w:p w14:paraId="7AF6A59A" w14:textId="2AD4139E" w:rsidR="00F57AD5" w:rsidRPr="00CF6DB0" w:rsidRDefault="00F57AD5" w:rsidP="00465DF7">
            <w:pPr>
              <w:pStyle w:val="GLSTable3"/>
              <w:spacing w:line="216" w:lineRule="auto"/>
              <w:rPr>
                <w:sz w:val="22"/>
                <w:szCs w:val="22"/>
              </w:rPr>
            </w:pPr>
            <w:r w:rsidRPr="00CF6DB0">
              <w:rPr>
                <w:sz w:val="22"/>
                <w:szCs w:val="22"/>
              </w:rPr>
              <w:t xml:space="preserve">Increase early identification of </w:t>
            </w:r>
            <w:r w:rsidR="00A92A8C">
              <w:rPr>
                <w:sz w:val="22"/>
                <w:szCs w:val="22"/>
              </w:rPr>
              <w:t>youth</w:t>
            </w:r>
            <w:r w:rsidRPr="00CF6DB0">
              <w:rPr>
                <w:sz w:val="22"/>
                <w:szCs w:val="22"/>
              </w:rPr>
              <w:t xml:space="preserve"> with emerging mental health or substance abuse problems</w:t>
            </w:r>
          </w:p>
        </w:tc>
        <w:tc>
          <w:tcPr>
            <w:tcW w:w="3600" w:type="dxa"/>
            <w:shd w:val="clear" w:color="auto" w:fill="auto"/>
          </w:tcPr>
          <w:p w14:paraId="633C0FC9" w14:textId="40232C09" w:rsidR="00F57AD5" w:rsidRPr="00CF6DB0" w:rsidRDefault="00F57AD5" w:rsidP="00465DF7">
            <w:pPr>
              <w:pStyle w:val="GLSTable3"/>
              <w:spacing w:line="216" w:lineRule="auto"/>
              <w:rPr>
                <w:sz w:val="22"/>
                <w:szCs w:val="22"/>
              </w:rPr>
            </w:pPr>
            <w:r w:rsidRPr="00CF6DB0">
              <w:rPr>
                <w:sz w:val="22"/>
                <w:szCs w:val="22"/>
              </w:rPr>
              <w:t xml:space="preserve">Number of </w:t>
            </w:r>
            <w:r w:rsidR="00A92A8C">
              <w:rPr>
                <w:sz w:val="22"/>
                <w:szCs w:val="22"/>
              </w:rPr>
              <w:t>youth</w:t>
            </w:r>
            <w:r w:rsidRPr="00CF6DB0">
              <w:rPr>
                <w:sz w:val="22"/>
                <w:szCs w:val="22"/>
              </w:rPr>
              <w:t xml:space="preserve"> who screened positive for other mental health–related issues</w:t>
            </w:r>
          </w:p>
        </w:tc>
        <w:tc>
          <w:tcPr>
            <w:tcW w:w="1800" w:type="dxa"/>
            <w:shd w:val="clear" w:color="auto" w:fill="auto"/>
          </w:tcPr>
          <w:p w14:paraId="12368231" w14:textId="77777777" w:rsidR="00F57AD5" w:rsidRPr="00CF6DB0" w:rsidRDefault="00F57AD5" w:rsidP="00465DF7">
            <w:pPr>
              <w:pStyle w:val="GLSTable3"/>
              <w:spacing w:line="216" w:lineRule="auto"/>
              <w:rPr>
                <w:sz w:val="22"/>
                <w:szCs w:val="22"/>
              </w:rPr>
            </w:pPr>
            <w:r w:rsidRPr="00CF6DB0">
              <w:rPr>
                <w:sz w:val="22"/>
                <w:szCs w:val="22"/>
              </w:rPr>
              <w:t xml:space="preserve">EIRF-S </w:t>
            </w:r>
          </w:p>
        </w:tc>
      </w:tr>
      <w:tr w:rsidR="00F57AD5" w:rsidRPr="00CF6DB0" w14:paraId="238541CC" w14:textId="77777777" w:rsidTr="006F36B9">
        <w:trPr>
          <w:jc w:val="center"/>
        </w:trPr>
        <w:tc>
          <w:tcPr>
            <w:tcW w:w="4040" w:type="dxa"/>
            <w:shd w:val="clear" w:color="auto" w:fill="auto"/>
          </w:tcPr>
          <w:p w14:paraId="734BEC06" w14:textId="77777777" w:rsidR="00F57AD5" w:rsidRPr="00CF6DB0" w:rsidRDefault="00F57AD5" w:rsidP="00465DF7">
            <w:pPr>
              <w:pStyle w:val="GLSTable3"/>
              <w:spacing w:line="216" w:lineRule="auto"/>
              <w:rPr>
                <w:sz w:val="22"/>
                <w:szCs w:val="22"/>
              </w:rPr>
            </w:pPr>
            <w:r w:rsidRPr="00CF6DB0">
              <w:rPr>
                <w:sz w:val="22"/>
                <w:szCs w:val="22"/>
              </w:rPr>
              <w:t xml:space="preserve">Increase in suicide by alternative means or </w:t>
            </w:r>
            <w:proofErr w:type="spellStart"/>
            <w:r w:rsidRPr="00CF6DB0">
              <w:rPr>
                <w:sz w:val="22"/>
                <w:szCs w:val="22"/>
              </w:rPr>
              <w:t>nonsuicide</w:t>
            </w:r>
            <w:proofErr w:type="spellEnd"/>
            <w:r w:rsidRPr="00CF6DB0">
              <w:rPr>
                <w:sz w:val="22"/>
                <w:szCs w:val="22"/>
              </w:rPr>
              <w:t xml:space="preserve"> mortality (e.g., accidents)</w:t>
            </w:r>
          </w:p>
        </w:tc>
        <w:tc>
          <w:tcPr>
            <w:tcW w:w="3600" w:type="dxa"/>
            <w:shd w:val="clear" w:color="auto" w:fill="auto"/>
          </w:tcPr>
          <w:p w14:paraId="42AA9352" w14:textId="77777777" w:rsidR="00F57AD5" w:rsidRPr="00CF6DB0" w:rsidRDefault="00F57AD5" w:rsidP="00465DF7">
            <w:pPr>
              <w:pStyle w:val="GLSTable3"/>
              <w:spacing w:line="216" w:lineRule="auto"/>
              <w:rPr>
                <w:sz w:val="22"/>
                <w:szCs w:val="22"/>
              </w:rPr>
            </w:pPr>
            <w:r w:rsidRPr="00CF6DB0">
              <w:rPr>
                <w:sz w:val="22"/>
                <w:szCs w:val="22"/>
              </w:rPr>
              <w:t>Suicide rate by method (firearm vs. other); accidental death rate</w:t>
            </w:r>
          </w:p>
        </w:tc>
        <w:tc>
          <w:tcPr>
            <w:tcW w:w="1800" w:type="dxa"/>
            <w:shd w:val="clear" w:color="auto" w:fill="auto"/>
          </w:tcPr>
          <w:p w14:paraId="24E29545" w14:textId="77777777" w:rsidR="00F57AD5" w:rsidRPr="00CF6DB0" w:rsidRDefault="00F57AD5" w:rsidP="00465DF7">
            <w:pPr>
              <w:pStyle w:val="GLSTable3"/>
              <w:spacing w:line="216" w:lineRule="auto"/>
              <w:rPr>
                <w:sz w:val="22"/>
                <w:szCs w:val="22"/>
              </w:rPr>
            </w:pPr>
            <w:r w:rsidRPr="00CF6DB0">
              <w:rPr>
                <w:sz w:val="22"/>
                <w:szCs w:val="22"/>
              </w:rPr>
              <w:t>CMF</w:t>
            </w:r>
          </w:p>
        </w:tc>
      </w:tr>
      <w:tr w:rsidR="00F57AD5" w:rsidRPr="00CF6DB0" w14:paraId="240BA4C6" w14:textId="77777777" w:rsidTr="006F36B9">
        <w:trPr>
          <w:jc w:val="center"/>
        </w:trPr>
        <w:tc>
          <w:tcPr>
            <w:tcW w:w="4040" w:type="dxa"/>
            <w:shd w:val="clear" w:color="auto" w:fill="auto"/>
          </w:tcPr>
          <w:p w14:paraId="4A39FEC2" w14:textId="77777777" w:rsidR="00F57AD5" w:rsidRPr="00CF6DB0" w:rsidRDefault="00F57AD5" w:rsidP="00465DF7">
            <w:pPr>
              <w:pStyle w:val="GLSTable3"/>
              <w:spacing w:line="216" w:lineRule="auto"/>
              <w:rPr>
                <w:sz w:val="22"/>
                <w:szCs w:val="22"/>
              </w:rPr>
            </w:pPr>
            <w:r w:rsidRPr="00CF6DB0">
              <w:rPr>
                <w:sz w:val="22"/>
                <w:szCs w:val="22"/>
              </w:rPr>
              <w:t>Increase help-seeking behavior, identification, and referrals associated with mental health problems</w:t>
            </w:r>
          </w:p>
        </w:tc>
        <w:tc>
          <w:tcPr>
            <w:tcW w:w="3600" w:type="dxa"/>
            <w:shd w:val="clear" w:color="auto" w:fill="auto"/>
          </w:tcPr>
          <w:p w14:paraId="2DEF358A" w14:textId="3061084E" w:rsidR="00F57AD5" w:rsidRPr="00CF6DB0" w:rsidRDefault="00F57AD5" w:rsidP="00465DF7">
            <w:pPr>
              <w:pStyle w:val="GLSTable3"/>
              <w:spacing w:line="216" w:lineRule="auto"/>
              <w:rPr>
                <w:sz w:val="22"/>
                <w:szCs w:val="22"/>
              </w:rPr>
            </w:pPr>
            <w:r w:rsidRPr="00CF6DB0">
              <w:rPr>
                <w:sz w:val="22"/>
                <w:szCs w:val="22"/>
              </w:rPr>
              <w:t xml:space="preserve">Proportion of </w:t>
            </w:r>
            <w:r w:rsidR="00A92A8C">
              <w:rPr>
                <w:sz w:val="22"/>
                <w:szCs w:val="22"/>
              </w:rPr>
              <w:t>youth</w:t>
            </w:r>
            <w:r w:rsidRPr="00CF6DB0">
              <w:rPr>
                <w:sz w:val="22"/>
                <w:szCs w:val="22"/>
              </w:rPr>
              <w:t xml:space="preserve"> receiving mental health services among those with mental illness</w:t>
            </w:r>
          </w:p>
        </w:tc>
        <w:tc>
          <w:tcPr>
            <w:tcW w:w="1800" w:type="dxa"/>
            <w:shd w:val="clear" w:color="auto" w:fill="auto"/>
          </w:tcPr>
          <w:p w14:paraId="4CE5B989" w14:textId="77777777" w:rsidR="00F57AD5" w:rsidRPr="00CF6DB0" w:rsidRDefault="00F57AD5" w:rsidP="00465DF7">
            <w:pPr>
              <w:pStyle w:val="GLSTable3"/>
              <w:spacing w:line="216" w:lineRule="auto"/>
              <w:rPr>
                <w:sz w:val="22"/>
                <w:szCs w:val="22"/>
              </w:rPr>
            </w:pPr>
            <w:r w:rsidRPr="00CF6DB0">
              <w:rPr>
                <w:sz w:val="22"/>
                <w:szCs w:val="22"/>
              </w:rPr>
              <w:t>NSDUH</w:t>
            </w:r>
          </w:p>
        </w:tc>
      </w:tr>
    </w:tbl>
    <w:p w14:paraId="79FC42F7" w14:textId="23BA74A5" w:rsidR="00F57AD5" w:rsidRPr="00B603E8" w:rsidRDefault="00F57AD5" w:rsidP="00481F84">
      <w:pPr>
        <w:pStyle w:val="GLSBody"/>
        <w:spacing w:before="200" w:after="200"/>
      </w:pPr>
      <w:r w:rsidRPr="00B603E8">
        <w:t>The unintended consequence analysis will explore, and when possible quantify, the magnitude of consequences of program implementation beyond those directly related with youth suicide prevention. The analysis will be structured around the following steps: (1) identify potential unintended consequences for each type of prevention strategy implemented by GLS grantees; (2) crosswalk with GLS National Outcomes Evaluation data collection instruments, as well as secondary sources to identify pertinent source of information; and (3) synthetize existing evidence on potential unintended consequences and quantify its relative importance within GLS context in the cases where related information is collected.</w:t>
      </w:r>
    </w:p>
    <w:p w14:paraId="5DA208CC" w14:textId="77777777" w:rsidR="00F57AD5" w:rsidRPr="00B603E8" w:rsidRDefault="00F57AD5" w:rsidP="00966D74">
      <w:pPr>
        <w:pStyle w:val="GLSBody"/>
        <w:spacing w:after="200"/>
      </w:pPr>
      <w:r w:rsidRPr="00B603E8">
        <w:t>Further analysis will be carried out for the subset of potential unintended consequences for which information related to their possible magnitude in the GLS context, in particular, is available. In those cases, we will rely on descriptive statistics to provide precise characterization of the potential magnitude of the unintended consequence (e.g., number of adults identified as at risk of suicide and receiving adequate treatment by behavioral health providers partnering with GLS grantees).</w:t>
      </w:r>
    </w:p>
    <w:p w14:paraId="78FBC783" w14:textId="34B9F0E1" w:rsidR="007D1703" w:rsidRPr="00B603E8" w:rsidRDefault="007D1703" w:rsidP="00966D74">
      <w:pPr>
        <w:pStyle w:val="SuicideBodyText"/>
        <w:numPr>
          <w:ilvl w:val="0"/>
          <w:numId w:val="17"/>
        </w:numPr>
        <w:spacing w:before="240" w:after="120"/>
        <w:rPr>
          <w:rFonts w:ascii="Tw Cen MT" w:hAnsi="Tw Cen MT" w:cs="Arial"/>
          <w:b/>
          <w:sz w:val="28"/>
          <w:szCs w:val="28"/>
        </w:rPr>
      </w:pPr>
      <w:r w:rsidRPr="00B603E8">
        <w:rPr>
          <w:rFonts w:ascii="Tw Cen MT" w:hAnsi="Tw Cen MT" w:cs="Arial"/>
          <w:b/>
          <w:sz w:val="28"/>
          <w:szCs w:val="28"/>
        </w:rPr>
        <w:t>Display of Expiration Date</w:t>
      </w:r>
    </w:p>
    <w:p w14:paraId="3FF82159" w14:textId="77777777" w:rsidR="00433272" w:rsidRPr="00B603E8" w:rsidRDefault="007D1703" w:rsidP="00433272">
      <w:pPr>
        <w:pStyle w:val="SuicideBodyText"/>
        <w:spacing w:after="240"/>
        <w:rPr>
          <w:rFonts w:ascii="Arial" w:hAnsi="Arial" w:cs="Arial"/>
          <w:b/>
        </w:rPr>
      </w:pPr>
      <w:r w:rsidRPr="00B603E8">
        <w:t>All data collection instruments will display the expiration date of OMB approval.</w:t>
      </w:r>
    </w:p>
    <w:p w14:paraId="6E21DA5B" w14:textId="364C0779" w:rsidR="007D1703" w:rsidRPr="00B603E8" w:rsidRDefault="007D1703" w:rsidP="00966D74">
      <w:pPr>
        <w:pStyle w:val="SuicideBodyText"/>
        <w:numPr>
          <w:ilvl w:val="0"/>
          <w:numId w:val="17"/>
        </w:numPr>
        <w:spacing w:before="240" w:after="120"/>
        <w:rPr>
          <w:rFonts w:ascii="Tw Cen MT" w:hAnsi="Tw Cen MT" w:cs="Arial"/>
          <w:b/>
          <w:sz w:val="28"/>
          <w:szCs w:val="28"/>
        </w:rPr>
      </w:pPr>
      <w:r w:rsidRPr="00B603E8">
        <w:rPr>
          <w:rFonts w:ascii="Tw Cen MT" w:hAnsi="Tw Cen MT" w:cs="Arial"/>
          <w:b/>
          <w:sz w:val="28"/>
          <w:szCs w:val="28"/>
        </w:rPr>
        <w:t>Exceptions to the Certification Statement</w:t>
      </w:r>
    </w:p>
    <w:p w14:paraId="53211EA5" w14:textId="50E369EC" w:rsidR="008B2815" w:rsidRPr="00E947A4" w:rsidRDefault="007D1703" w:rsidP="00622EC5">
      <w:pPr>
        <w:pStyle w:val="SuicideBodyText"/>
        <w:rPr>
          <w:b/>
        </w:rPr>
      </w:pPr>
      <w:r w:rsidRPr="00B603E8">
        <w:t>This collection of information involves no exceptions to the Certification for Paperwork Reduction Act Submissions.</w:t>
      </w:r>
    </w:p>
    <w:sectPr w:rsidR="008B2815" w:rsidRPr="00E947A4" w:rsidSect="007F7FE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C26AED" w14:textId="77777777" w:rsidR="00615815" w:rsidRDefault="00615815" w:rsidP="00AC2EE2">
      <w:r>
        <w:separator/>
      </w:r>
    </w:p>
    <w:p w14:paraId="138CE7BB" w14:textId="77777777" w:rsidR="00615815" w:rsidRDefault="00615815"/>
  </w:endnote>
  <w:endnote w:type="continuationSeparator" w:id="0">
    <w:p w14:paraId="416F94F1" w14:textId="77777777" w:rsidR="00615815" w:rsidRDefault="00615815" w:rsidP="00AC2EE2">
      <w:r>
        <w:continuationSeparator/>
      </w:r>
    </w:p>
    <w:p w14:paraId="70B1B05F" w14:textId="77777777" w:rsidR="00615815" w:rsidRDefault="006158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w Cen MT" w:hAnsi="Tw Cen MT"/>
        <w:sz w:val="22"/>
        <w:szCs w:val="22"/>
      </w:rPr>
      <w:id w:val="652957068"/>
      <w:docPartObj>
        <w:docPartGallery w:val="Page Numbers (Bottom of Page)"/>
        <w:docPartUnique/>
      </w:docPartObj>
    </w:sdtPr>
    <w:sdtEndPr>
      <w:rPr>
        <w:noProof/>
      </w:rPr>
    </w:sdtEndPr>
    <w:sdtContent>
      <w:p w14:paraId="099596F8" w14:textId="562BC8F4" w:rsidR="00B505CC" w:rsidRPr="00661780" w:rsidRDefault="00B505CC" w:rsidP="00661780">
        <w:pPr>
          <w:pStyle w:val="Footer"/>
          <w:jc w:val="right"/>
          <w:rPr>
            <w:rFonts w:ascii="Tw Cen MT" w:hAnsi="Tw Cen MT"/>
            <w:sz w:val="22"/>
            <w:szCs w:val="22"/>
          </w:rPr>
        </w:pPr>
        <w:r w:rsidRPr="00661780">
          <w:rPr>
            <w:rFonts w:ascii="Tw Cen MT" w:hAnsi="Tw Cen MT"/>
            <w:sz w:val="22"/>
            <w:szCs w:val="22"/>
          </w:rPr>
          <w:t>SS Part A</w:t>
        </w:r>
        <w:r w:rsidRPr="00661780">
          <w:rPr>
            <w:rFonts w:ascii="Tw Cen MT" w:hAnsi="Tw Cen MT"/>
            <w:sz w:val="22"/>
            <w:szCs w:val="22"/>
          </w:rPr>
          <w:tab/>
          <w:t>G</w:t>
        </w:r>
        <w:r>
          <w:rPr>
            <w:rFonts w:ascii="Tw Cen MT" w:hAnsi="Tw Cen MT"/>
            <w:sz w:val="22"/>
            <w:szCs w:val="22"/>
          </w:rPr>
          <w:t>arrett Lee Smith</w:t>
        </w:r>
        <w:r w:rsidRPr="00661780">
          <w:rPr>
            <w:rFonts w:ascii="Tw Cen MT" w:hAnsi="Tw Cen MT"/>
            <w:sz w:val="22"/>
            <w:szCs w:val="22"/>
          </w:rPr>
          <w:t xml:space="preserve"> National Outcomes Evaluation</w:t>
        </w:r>
        <w:r w:rsidRPr="00661780">
          <w:rPr>
            <w:rFonts w:ascii="Tw Cen MT" w:hAnsi="Tw Cen MT"/>
            <w:sz w:val="22"/>
            <w:szCs w:val="22"/>
          </w:rPr>
          <w:tab/>
        </w:r>
        <w:r w:rsidRPr="00661780">
          <w:rPr>
            <w:rFonts w:ascii="Tw Cen MT" w:hAnsi="Tw Cen MT"/>
            <w:sz w:val="22"/>
            <w:szCs w:val="22"/>
          </w:rPr>
          <w:fldChar w:fldCharType="begin"/>
        </w:r>
        <w:r w:rsidRPr="00661780">
          <w:rPr>
            <w:rFonts w:ascii="Tw Cen MT" w:hAnsi="Tw Cen MT"/>
            <w:sz w:val="22"/>
            <w:szCs w:val="22"/>
          </w:rPr>
          <w:instrText xml:space="preserve"> PAGE   \* MERGEFORMAT </w:instrText>
        </w:r>
        <w:r w:rsidRPr="00661780">
          <w:rPr>
            <w:rFonts w:ascii="Tw Cen MT" w:hAnsi="Tw Cen MT"/>
            <w:sz w:val="22"/>
            <w:szCs w:val="22"/>
          </w:rPr>
          <w:fldChar w:fldCharType="separate"/>
        </w:r>
        <w:r w:rsidR="005C2445">
          <w:rPr>
            <w:rFonts w:ascii="Tw Cen MT" w:hAnsi="Tw Cen MT"/>
            <w:noProof/>
            <w:sz w:val="22"/>
            <w:szCs w:val="22"/>
          </w:rPr>
          <w:t>30</w:t>
        </w:r>
        <w:r w:rsidRPr="00661780">
          <w:rPr>
            <w:rFonts w:ascii="Tw Cen MT" w:hAnsi="Tw Cen MT"/>
            <w:noProof/>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20D3C5" w14:textId="77777777" w:rsidR="00615815" w:rsidRDefault="00615815" w:rsidP="00AC2EE2">
      <w:r>
        <w:separator/>
      </w:r>
    </w:p>
    <w:p w14:paraId="7D69251F" w14:textId="77777777" w:rsidR="00615815" w:rsidRDefault="00615815"/>
  </w:footnote>
  <w:footnote w:type="continuationSeparator" w:id="0">
    <w:p w14:paraId="4362F3B4" w14:textId="77777777" w:rsidR="00615815" w:rsidRDefault="00615815" w:rsidP="00AC2EE2">
      <w:r>
        <w:continuationSeparator/>
      </w:r>
    </w:p>
    <w:p w14:paraId="462C0EC4" w14:textId="77777777" w:rsidR="00615815" w:rsidRDefault="00615815"/>
  </w:footnote>
  <w:footnote w:id="1">
    <w:p w14:paraId="467C99CD" w14:textId="7B5A9100" w:rsidR="00B505CC" w:rsidRPr="00622EC5" w:rsidRDefault="00B505CC" w:rsidP="00A47806">
      <w:pPr>
        <w:pStyle w:val="FootnoteText"/>
        <w:rPr>
          <w:sz w:val="18"/>
          <w:szCs w:val="18"/>
        </w:rPr>
      </w:pPr>
      <w:r w:rsidRPr="00622EC5">
        <w:rPr>
          <w:rStyle w:val="FootnoteReference"/>
          <w:sz w:val="18"/>
          <w:szCs w:val="18"/>
        </w:rPr>
        <w:footnoteRef/>
      </w:r>
      <w:r w:rsidRPr="00622EC5">
        <w:rPr>
          <w:sz w:val="18"/>
          <w:szCs w:val="18"/>
        </w:rPr>
        <w:t xml:space="preserve"> </w:t>
      </w:r>
      <w:r w:rsidRPr="00622EC5">
        <w:rPr>
          <w:color w:val="000000"/>
          <w:sz w:val="18"/>
          <w:szCs w:val="18"/>
        </w:rPr>
        <w:t>The evaluation as designed includes four stages (context, content, process, and impact) each of which is hinged to the fundable activities of the grantees, the research questions outlined in the evaluation statement of work, and the state of the knowledge base in the field of suicide prevention. As such, while the evaluation design does not currently include rigorous impact assessment, it does include the comparative assessment of proximal outcomes as a part of the impact stage. Hereafter, the impact stage is used as an umbrella term to cover evaluation protocols designed and implemented to understand the outcomes of the program. </w:t>
      </w:r>
    </w:p>
  </w:footnote>
  <w:footnote w:id="2">
    <w:p w14:paraId="3AAACF7D" w14:textId="076D0171" w:rsidR="00B505CC" w:rsidRPr="00622EC5" w:rsidRDefault="00B505CC">
      <w:pPr>
        <w:pStyle w:val="FootnoteText"/>
        <w:rPr>
          <w:sz w:val="18"/>
          <w:szCs w:val="18"/>
        </w:rPr>
      </w:pPr>
      <w:r>
        <w:rPr>
          <w:rStyle w:val="FootnoteReference"/>
        </w:rPr>
        <w:footnoteRef/>
      </w:r>
      <w:r>
        <w:t xml:space="preserve"> (</w:t>
      </w:r>
      <w:r w:rsidRPr="00622EC5">
        <w:rPr>
          <w:sz w:val="18"/>
          <w:szCs w:val="18"/>
        </w:rPr>
        <w:t xml:space="preserve">Gould, Cross, </w:t>
      </w:r>
      <w:proofErr w:type="spellStart"/>
      <w:r w:rsidRPr="00622EC5">
        <w:rPr>
          <w:sz w:val="18"/>
          <w:szCs w:val="18"/>
        </w:rPr>
        <w:t>Pisani</w:t>
      </w:r>
      <w:proofErr w:type="spellEnd"/>
      <w:r w:rsidRPr="00622EC5">
        <w:rPr>
          <w:sz w:val="18"/>
          <w:szCs w:val="18"/>
        </w:rPr>
        <w:t xml:space="preserve">, </w:t>
      </w:r>
      <w:proofErr w:type="spellStart"/>
      <w:r w:rsidRPr="00622EC5">
        <w:rPr>
          <w:sz w:val="18"/>
          <w:szCs w:val="18"/>
        </w:rPr>
        <w:t>Munfakh</w:t>
      </w:r>
      <w:proofErr w:type="spellEnd"/>
      <w:r w:rsidRPr="00622EC5">
        <w:rPr>
          <w:sz w:val="18"/>
          <w:szCs w:val="18"/>
        </w:rPr>
        <w:t xml:space="preserve">, &amp; </w:t>
      </w:r>
      <w:proofErr w:type="spellStart"/>
      <w:r w:rsidRPr="00622EC5">
        <w:rPr>
          <w:sz w:val="18"/>
          <w:szCs w:val="18"/>
        </w:rPr>
        <w:t>Kleinman</w:t>
      </w:r>
      <w:proofErr w:type="spellEnd"/>
      <w:r w:rsidRPr="00622EC5">
        <w:rPr>
          <w:sz w:val="18"/>
          <w:szCs w:val="18"/>
        </w:rPr>
        <w:t xml:space="preserve">, 2013; Gould &amp; </w:t>
      </w:r>
      <w:proofErr w:type="spellStart"/>
      <w:r w:rsidRPr="00622EC5">
        <w:rPr>
          <w:sz w:val="18"/>
          <w:szCs w:val="18"/>
        </w:rPr>
        <w:t>Kalafat</w:t>
      </w:r>
      <w:proofErr w:type="spellEnd"/>
      <w:r w:rsidRPr="00622EC5">
        <w:rPr>
          <w:sz w:val="18"/>
          <w:szCs w:val="18"/>
        </w:rPr>
        <w:t xml:space="preserve">, 2009; Gould, </w:t>
      </w:r>
      <w:proofErr w:type="spellStart"/>
      <w:r w:rsidRPr="00622EC5">
        <w:rPr>
          <w:sz w:val="18"/>
          <w:szCs w:val="18"/>
        </w:rPr>
        <w:t>Kalafat</w:t>
      </w:r>
      <w:proofErr w:type="spellEnd"/>
      <w:r w:rsidRPr="00622EC5">
        <w:rPr>
          <w:sz w:val="18"/>
          <w:szCs w:val="18"/>
        </w:rPr>
        <w:t xml:space="preserve">, </w:t>
      </w:r>
      <w:proofErr w:type="spellStart"/>
      <w:r w:rsidRPr="00622EC5">
        <w:rPr>
          <w:sz w:val="18"/>
          <w:szCs w:val="18"/>
        </w:rPr>
        <w:t>Munfakh</w:t>
      </w:r>
      <w:proofErr w:type="spellEnd"/>
      <w:r w:rsidRPr="00622EC5">
        <w:rPr>
          <w:sz w:val="18"/>
          <w:szCs w:val="18"/>
        </w:rPr>
        <w:t xml:space="preserve">, &amp; </w:t>
      </w:r>
      <w:proofErr w:type="spellStart"/>
      <w:r w:rsidRPr="00622EC5">
        <w:rPr>
          <w:sz w:val="18"/>
          <w:szCs w:val="18"/>
        </w:rPr>
        <w:t>Kleinman</w:t>
      </w:r>
      <w:proofErr w:type="spellEnd"/>
      <w:r w:rsidRPr="00622EC5">
        <w:rPr>
          <w:sz w:val="18"/>
          <w:szCs w:val="18"/>
        </w:rPr>
        <w:t xml:space="preserve">, 2007; Gould, </w:t>
      </w:r>
      <w:proofErr w:type="spellStart"/>
      <w:r w:rsidRPr="00622EC5">
        <w:rPr>
          <w:sz w:val="18"/>
          <w:szCs w:val="18"/>
        </w:rPr>
        <w:t>Munfakh</w:t>
      </w:r>
      <w:proofErr w:type="spellEnd"/>
      <w:r w:rsidRPr="00622EC5">
        <w:rPr>
          <w:sz w:val="18"/>
          <w:szCs w:val="18"/>
        </w:rPr>
        <w:t xml:space="preserve">, </w:t>
      </w:r>
      <w:proofErr w:type="spellStart"/>
      <w:r w:rsidRPr="00622EC5">
        <w:rPr>
          <w:sz w:val="18"/>
          <w:szCs w:val="18"/>
        </w:rPr>
        <w:t>Kleinman</w:t>
      </w:r>
      <w:proofErr w:type="spellEnd"/>
      <w:r w:rsidRPr="00622EC5">
        <w:rPr>
          <w:sz w:val="18"/>
          <w:szCs w:val="18"/>
        </w:rPr>
        <w:t xml:space="preserve">, &amp; Lake, 2012; </w:t>
      </w:r>
      <w:proofErr w:type="spellStart"/>
      <w:r w:rsidRPr="00622EC5">
        <w:rPr>
          <w:sz w:val="18"/>
          <w:szCs w:val="18"/>
        </w:rPr>
        <w:t>Kalafat</w:t>
      </w:r>
      <w:proofErr w:type="spellEnd"/>
      <w:r w:rsidRPr="00622EC5">
        <w:rPr>
          <w:sz w:val="18"/>
          <w:szCs w:val="18"/>
        </w:rPr>
        <w:t xml:space="preserve">, Gould, </w:t>
      </w:r>
      <w:proofErr w:type="spellStart"/>
      <w:r w:rsidRPr="00622EC5">
        <w:rPr>
          <w:sz w:val="18"/>
          <w:szCs w:val="18"/>
        </w:rPr>
        <w:t>Munfakh</w:t>
      </w:r>
      <w:proofErr w:type="spellEnd"/>
      <w:r w:rsidRPr="00622EC5">
        <w:rPr>
          <w:sz w:val="18"/>
          <w:szCs w:val="18"/>
        </w:rPr>
        <w:t xml:space="preserve">, &amp; </w:t>
      </w:r>
      <w:proofErr w:type="spellStart"/>
      <w:r w:rsidRPr="00622EC5">
        <w:rPr>
          <w:sz w:val="18"/>
          <w:szCs w:val="18"/>
        </w:rPr>
        <w:t>Kleinman</w:t>
      </w:r>
      <w:proofErr w:type="spellEnd"/>
      <w:r w:rsidRPr="00622EC5">
        <w:rPr>
          <w:sz w:val="18"/>
          <w:szCs w:val="18"/>
        </w:rPr>
        <w:t xml:space="preserve">, 2007; King, </w:t>
      </w:r>
      <w:proofErr w:type="spellStart"/>
      <w:r w:rsidRPr="00622EC5">
        <w:rPr>
          <w:sz w:val="18"/>
          <w:szCs w:val="18"/>
        </w:rPr>
        <w:t>Nurcombe</w:t>
      </w:r>
      <w:proofErr w:type="spellEnd"/>
      <w:r w:rsidRPr="00622EC5">
        <w:rPr>
          <w:sz w:val="18"/>
          <w:szCs w:val="18"/>
        </w:rPr>
        <w:t xml:space="preserve">, </w:t>
      </w:r>
      <w:proofErr w:type="spellStart"/>
      <w:r w:rsidRPr="00622EC5">
        <w:rPr>
          <w:sz w:val="18"/>
          <w:szCs w:val="18"/>
        </w:rPr>
        <w:t>Bickman</w:t>
      </w:r>
      <w:proofErr w:type="spellEnd"/>
      <w:r w:rsidRPr="00622EC5">
        <w:rPr>
          <w:sz w:val="18"/>
          <w:szCs w:val="18"/>
        </w:rPr>
        <w:t xml:space="preserve">, Hides, &amp; Reid, 2003; Knox, Kemp, McKeon, &amp; Katz, 2012; </w:t>
      </w:r>
      <w:proofErr w:type="spellStart"/>
      <w:r w:rsidRPr="00622EC5">
        <w:rPr>
          <w:sz w:val="18"/>
          <w:szCs w:val="18"/>
        </w:rPr>
        <w:t>Mishara</w:t>
      </w:r>
      <w:proofErr w:type="spellEnd"/>
      <w:r w:rsidRPr="00622EC5">
        <w:rPr>
          <w:sz w:val="18"/>
          <w:szCs w:val="18"/>
        </w:rPr>
        <w:t xml:space="preserve"> et al., 2007a &amp; 2007b</w:t>
      </w:r>
      <w:r>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B98DE" w14:textId="617B5A93" w:rsidR="00B505CC" w:rsidRDefault="00B505CC">
    <w:pPr>
      <w:pStyle w:val="Header"/>
      <w:jc w:val="right"/>
    </w:pPr>
  </w:p>
  <w:p w14:paraId="4EE2B992" w14:textId="77777777" w:rsidR="00B505CC" w:rsidRDefault="00B505CC">
    <w:pPr>
      <w:pStyle w:val="Header"/>
    </w:pPr>
  </w:p>
  <w:p w14:paraId="7EF44CC9" w14:textId="77777777" w:rsidR="00B505CC" w:rsidRDefault="00B505C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0D49C40"/>
    <w:lvl w:ilvl="0">
      <w:start w:val="1"/>
      <w:numFmt w:val="bullet"/>
      <w:pStyle w:val="ListBullet"/>
      <w:lvlText w:val=""/>
      <w:lvlJc w:val="left"/>
      <w:pPr>
        <w:ind w:left="360" w:hanging="360"/>
      </w:pPr>
      <w:rPr>
        <w:rFonts w:ascii="Wingdings" w:hAnsi="Wingdings" w:hint="default"/>
        <w:b w:val="0"/>
        <w:i w:val="0"/>
        <w:color w:val="0067AC"/>
        <w:sz w:val="20"/>
        <w:szCs w:val="22"/>
      </w:rPr>
    </w:lvl>
  </w:abstractNum>
  <w:abstractNum w:abstractNumId="1">
    <w:nsid w:val="01746AD3"/>
    <w:multiLevelType w:val="hybridMultilevel"/>
    <w:tmpl w:val="88E679B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2C20B50"/>
    <w:multiLevelType w:val="hybridMultilevel"/>
    <w:tmpl w:val="723257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6250B6"/>
    <w:multiLevelType w:val="hybridMultilevel"/>
    <w:tmpl w:val="38CC4964"/>
    <w:lvl w:ilvl="0" w:tplc="5CE083BC">
      <w:start w:val="1"/>
      <w:numFmt w:val="lowerLetter"/>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nsid w:val="06EC2DA6"/>
    <w:multiLevelType w:val="hybridMultilevel"/>
    <w:tmpl w:val="DDB293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046D0B"/>
    <w:multiLevelType w:val="hybridMultilevel"/>
    <w:tmpl w:val="39FE31C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AB44989"/>
    <w:multiLevelType w:val="hybridMultilevel"/>
    <w:tmpl w:val="1E9EE600"/>
    <w:lvl w:ilvl="0" w:tplc="E49CC444">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0664318"/>
    <w:multiLevelType w:val="hybridMultilevel"/>
    <w:tmpl w:val="A7F87C6A"/>
    <w:lvl w:ilvl="0" w:tplc="B23ADCA0">
      <w:start w:val="1"/>
      <w:numFmt w:val="decimal"/>
      <w:lvlText w:val="%1."/>
      <w:lvlJc w:val="left"/>
      <w:pPr>
        <w:ind w:left="360" w:hanging="360"/>
      </w:pPr>
      <w:rPr>
        <w:b/>
      </w:rPr>
    </w:lvl>
    <w:lvl w:ilvl="1" w:tplc="84AE7F92">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16B5DCA"/>
    <w:multiLevelType w:val="hybridMultilevel"/>
    <w:tmpl w:val="37DEA3D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1E826E7"/>
    <w:multiLevelType w:val="hybridMultilevel"/>
    <w:tmpl w:val="5E66E83A"/>
    <w:lvl w:ilvl="0" w:tplc="04090005">
      <w:start w:val="1"/>
      <w:numFmt w:val="bullet"/>
      <w:lvlText w:val=""/>
      <w:lvlJc w:val="left"/>
      <w:pPr>
        <w:ind w:left="720" w:hanging="360"/>
      </w:pPr>
      <w:rPr>
        <w:rFonts w:ascii="Wingdings" w:hAnsi="Wingdings" w:hint="default"/>
        <w:color w:val="auto"/>
      </w:rPr>
    </w:lvl>
    <w:lvl w:ilvl="1" w:tplc="C0A2848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3219BE"/>
    <w:multiLevelType w:val="hybridMultilevel"/>
    <w:tmpl w:val="91A4D8F2"/>
    <w:lvl w:ilvl="0" w:tplc="68D29C74">
      <w:start w:val="1"/>
      <w:numFmt w:val="bullet"/>
      <w:pStyle w:val="SuicideBullet1"/>
      <w:lvlText w:val=""/>
      <w:lvlJc w:val="left"/>
      <w:pPr>
        <w:tabs>
          <w:tab w:val="num" w:pos="2880"/>
        </w:tabs>
        <w:ind w:left="2880" w:hanging="360"/>
      </w:pPr>
      <w:rPr>
        <w:rFonts w:ascii="Symbol" w:hAnsi="Symbol" w:hint="default"/>
        <w:color w:val="auto"/>
      </w:rPr>
    </w:lvl>
    <w:lvl w:ilvl="1" w:tplc="04090003">
      <w:start w:val="1"/>
      <w:numFmt w:val="bullet"/>
      <w:lvlText w:val="o"/>
      <w:lvlJc w:val="left"/>
      <w:pPr>
        <w:tabs>
          <w:tab w:val="num" w:pos="3600"/>
        </w:tabs>
        <w:ind w:left="3600" w:hanging="360"/>
      </w:pPr>
      <w:rPr>
        <w:rFonts w:ascii="Courier New" w:hAnsi="Courier New" w:hint="default"/>
      </w:rPr>
    </w:lvl>
    <w:lvl w:ilvl="2" w:tplc="E3BADCD4">
      <w:numFmt w:val="bullet"/>
      <w:lvlText w:val="-"/>
      <w:lvlJc w:val="left"/>
      <w:pPr>
        <w:tabs>
          <w:tab w:val="num" w:pos="4320"/>
        </w:tabs>
        <w:ind w:left="4320" w:hanging="360"/>
      </w:pPr>
      <w:rPr>
        <w:rFonts w:ascii="Times New Roman" w:eastAsia="Times New Roman" w:hAnsi="Times New Roman" w:cs="Times New Roman"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1">
    <w:nsid w:val="165B5D23"/>
    <w:multiLevelType w:val="hybridMultilevel"/>
    <w:tmpl w:val="92BA56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6EB783B"/>
    <w:multiLevelType w:val="hybridMultilevel"/>
    <w:tmpl w:val="6292128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9227632"/>
    <w:multiLevelType w:val="hybridMultilevel"/>
    <w:tmpl w:val="F8B272C6"/>
    <w:lvl w:ilvl="0" w:tplc="939C3B8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95E6D04"/>
    <w:multiLevelType w:val="hybridMultilevel"/>
    <w:tmpl w:val="1206E71A"/>
    <w:lvl w:ilvl="0" w:tplc="BC465D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9B60631"/>
    <w:multiLevelType w:val="hybridMultilevel"/>
    <w:tmpl w:val="42AAD648"/>
    <w:lvl w:ilvl="0" w:tplc="EDA4523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BBB0D91"/>
    <w:multiLevelType w:val="hybridMultilevel"/>
    <w:tmpl w:val="4B428FF8"/>
    <w:lvl w:ilvl="0" w:tplc="1F543EF2">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91131C"/>
    <w:multiLevelType w:val="hybridMultilevel"/>
    <w:tmpl w:val="76AE5FF6"/>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08308D0"/>
    <w:multiLevelType w:val="hybridMultilevel"/>
    <w:tmpl w:val="71E618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2717D4C"/>
    <w:multiLevelType w:val="hybridMultilevel"/>
    <w:tmpl w:val="0CA46C5A"/>
    <w:lvl w:ilvl="0" w:tplc="358A5F28">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6FC45AE"/>
    <w:multiLevelType w:val="hybridMultilevel"/>
    <w:tmpl w:val="E1CAB6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7035CB0"/>
    <w:multiLevelType w:val="hybridMultilevel"/>
    <w:tmpl w:val="3388633C"/>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94E4128"/>
    <w:multiLevelType w:val="hybridMultilevel"/>
    <w:tmpl w:val="65828CF2"/>
    <w:lvl w:ilvl="0" w:tplc="04090001">
      <w:start w:val="1"/>
      <w:numFmt w:val="bullet"/>
      <w:lvlText w:val=""/>
      <w:lvlJc w:val="left"/>
      <w:pPr>
        <w:ind w:left="1440" w:hanging="360"/>
      </w:pPr>
      <w:rPr>
        <w:rFonts w:ascii="Symbol" w:hAnsi="Symbol" w:hint="default"/>
      </w:rPr>
    </w:lvl>
    <w:lvl w:ilvl="1" w:tplc="805CADFE">
      <w:start w:val="1"/>
      <w:numFmt w:val="bullet"/>
      <w:pStyle w:val="SuicideBullet2"/>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2EDA0E89"/>
    <w:multiLevelType w:val="hybridMultilevel"/>
    <w:tmpl w:val="B0262C08"/>
    <w:lvl w:ilvl="0" w:tplc="47C0F706">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F300536"/>
    <w:multiLevelType w:val="hybridMultilevel"/>
    <w:tmpl w:val="2932E8FE"/>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238485F"/>
    <w:multiLevelType w:val="hybridMultilevel"/>
    <w:tmpl w:val="9A2E6A42"/>
    <w:lvl w:ilvl="0" w:tplc="E6D4D02C">
      <w:start w:val="1"/>
      <w:numFmt w:val="lowerLetter"/>
      <w:pStyle w:val="SuicideHead3"/>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4F6717D"/>
    <w:multiLevelType w:val="hybridMultilevel"/>
    <w:tmpl w:val="30BE55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5901AC0"/>
    <w:multiLevelType w:val="hybridMultilevel"/>
    <w:tmpl w:val="E98E99DC"/>
    <w:lvl w:ilvl="0" w:tplc="3886BF3C">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6192502"/>
    <w:multiLevelType w:val="hybridMultilevel"/>
    <w:tmpl w:val="4CF021B2"/>
    <w:lvl w:ilvl="0" w:tplc="BC465D14">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396800A2"/>
    <w:multiLevelType w:val="hybridMultilevel"/>
    <w:tmpl w:val="8DD492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A4E7042"/>
    <w:multiLevelType w:val="hybridMultilevel"/>
    <w:tmpl w:val="C34CE9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FF25B8A"/>
    <w:multiLevelType w:val="hybridMultilevel"/>
    <w:tmpl w:val="1E34F39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4C5028B"/>
    <w:multiLevelType w:val="hybridMultilevel"/>
    <w:tmpl w:val="A87E686E"/>
    <w:lvl w:ilvl="0" w:tplc="BB0A094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5BC751D"/>
    <w:multiLevelType w:val="hybridMultilevel"/>
    <w:tmpl w:val="DD34D534"/>
    <w:lvl w:ilvl="0" w:tplc="EA02D4D2">
      <w:start w:val="1"/>
      <w:numFmt w:val="bullet"/>
      <w:pStyle w:val="GLSBullet2"/>
      <w:lvlText w:val=""/>
      <w:lvlJc w:val="left"/>
      <w:pPr>
        <w:ind w:left="1080" w:hanging="360"/>
      </w:pPr>
      <w:rPr>
        <w:rFonts w:ascii="Symbol" w:hAnsi="Symbol" w:cs="Times New Roman" w:hint="default"/>
        <w:b w:val="0"/>
        <w:bCs w:val="0"/>
        <w:i w:val="0"/>
        <w:caps w:val="0"/>
        <w:smallCaps w:val="0"/>
        <w:strike w:val="0"/>
        <w:dstrike w:val="0"/>
        <w:vanish w:val="0"/>
        <w:color w:val="auto"/>
        <w:spacing w:val="0"/>
        <w:kern w:val="0"/>
        <w:position w:val="0"/>
        <w:sz w:val="20"/>
        <w:u w:val="none"/>
        <w:vertAlign w:val="baseline"/>
        <w:em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462A0943"/>
    <w:multiLevelType w:val="hybridMultilevel"/>
    <w:tmpl w:val="F35EE644"/>
    <w:lvl w:ilvl="0" w:tplc="BC465D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7CA5B78"/>
    <w:multiLevelType w:val="hybridMultilevel"/>
    <w:tmpl w:val="CD747E3C"/>
    <w:lvl w:ilvl="0" w:tplc="A644FF8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B955F34"/>
    <w:multiLevelType w:val="hybridMultilevel"/>
    <w:tmpl w:val="0EBEFED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4BB34860"/>
    <w:multiLevelType w:val="hybridMultilevel"/>
    <w:tmpl w:val="9F76F2E4"/>
    <w:lvl w:ilvl="0" w:tplc="47C0F706">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EC35C56"/>
    <w:multiLevelType w:val="hybridMultilevel"/>
    <w:tmpl w:val="2E84E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3AF39D9"/>
    <w:multiLevelType w:val="hybridMultilevel"/>
    <w:tmpl w:val="F46694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53F078B9"/>
    <w:multiLevelType w:val="hybridMultilevel"/>
    <w:tmpl w:val="2C3A11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4C72137"/>
    <w:multiLevelType w:val="hybridMultilevel"/>
    <w:tmpl w:val="7910CE2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573011DA"/>
    <w:multiLevelType w:val="hybridMultilevel"/>
    <w:tmpl w:val="F2B239A2"/>
    <w:lvl w:ilvl="0" w:tplc="770C950E">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8FF03DE"/>
    <w:multiLevelType w:val="hybridMultilevel"/>
    <w:tmpl w:val="61101C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B5A4BA4"/>
    <w:multiLevelType w:val="hybridMultilevel"/>
    <w:tmpl w:val="2174D916"/>
    <w:lvl w:ilvl="0" w:tplc="0B82F19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BE35404"/>
    <w:multiLevelType w:val="hybridMultilevel"/>
    <w:tmpl w:val="E9B43C4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5D1A7254"/>
    <w:multiLevelType w:val="hybridMultilevel"/>
    <w:tmpl w:val="9AD0C9E8"/>
    <w:lvl w:ilvl="0" w:tplc="47C0F706">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1A06F80"/>
    <w:multiLevelType w:val="hybridMultilevel"/>
    <w:tmpl w:val="A414FBF4"/>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50E248C"/>
    <w:multiLevelType w:val="hybridMultilevel"/>
    <w:tmpl w:val="897E43C6"/>
    <w:lvl w:ilvl="0" w:tplc="83EC56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66307A18"/>
    <w:multiLevelType w:val="hybridMultilevel"/>
    <w:tmpl w:val="BC685B30"/>
    <w:lvl w:ilvl="0" w:tplc="EC3C54C0">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67A0370D"/>
    <w:multiLevelType w:val="hybridMultilevel"/>
    <w:tmpl w:val="4EDE2CE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67BA2088"/>
    <w:multiLevelType w:val="hybridMultilevel"/>
    <w:tmpl w:val="58DC6B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A633459"/>
    <w:multiLevelType w:val="hybridMultilevel"/>
    <w:tmpl w:val="CF3E31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D616AE4"/>
    <w:multiLevelType w:val="hybridMultilevel"/>
    <w:tmpl w:val="C0F4FAE6"/>
    <w:lvl w:ilvl="0" w:tplc="AA4A5EB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06345EB"/>
    <w:multiLevelType w:val="hybridMultilevel"/>
    <w:tmpl w:val="DAA81882"/>
    <w:lvl w:ilvl="0" w:tplc="D80CC554">
      <w:start w:val="1"/>
      <w:numFmt w:val="lowerLetter"/>
      <w:lvlText w:val="%1."/>
      <w:lvlJc w:val="left"/>
      <w:pPr>
        <w:ind w:left="720" w:hanging="360"/>
      </w:pPr>
      <w:rPr>
        <w:rFonts w:hint="default"/>
        <w:b/>
      </w:rPr>
    </w:lvl>
    <w:lvl w:ilvl="1" w:tplc="04090019">
      <w:start w:val="1"/>
      <w:numFmt w:val="low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759C359E"/>
    <w:multiLevelType w:val="hybridMultilevel"/>
    <w:tmpl w:val="EB6C1C76"/>
    <w:lvl w:ilvl="0" w:tplc="21F0475C">
      <w:start w:val="1"/>
      <w:numFmt w:val="bullet"/>
      <w:pStyle w:val="GLSTableBullet2"/>
      <w:lvlText w:val=""/>
      <w:lvlJc w:val="left"/>
      <w:pPr>
        <w:ind w:left="-630" w:hanging="360"/>
      </w:pPr>
      <w:rPr>
        <w:rFonts w:ascii="Symbol" w:hAnsi="Symbol" w:cs="Times New Roman" w:hint="default"/>
        <w:b w:val="0"/>
        <w:bCs w:val="0"/>
        <w:i w:val="0"/>
        <w:caps w:val="0"/>
        <w:smallCaps w:val="0"/>
        <w:strike w:val="0"/>
        <w:dstrike w:val="0"/>
        <w:vanish w:val="0"/>
        <w:color w:val="auto"/>
        <w:spacing w:val="0"/>
        <w:kern w:val="0"/>
        <w:position w:val="0"/>
        <w:u w:val="none"/>
        <w:vertAlign w:val="baseline"/>
        <w:em w:val="none"/>
      </w:rPr>
    </w:lvl>
    <w:lvl w:ilvl="1" w:tplc="04090003" w:tentative="1">
      <w:start w:val="1"/>
      <w:numFmt w:val="bullet"/>
      <w:lvlText w:val="o"/>
      <w:lvlJc w:val="left"/>
      <w:pPr>
        <w:ind w:left="90" w:hanging="360"/>
      </w:pPr>
      <w:rPr>
        <w:rFonts w:ascii="Courier New" w:hAnsi="Courier New" w:cs="Courier New" w:hint="default"/>
      </w:rPr>
    </w:lvl>
    <w:lvl w:ilvl="2" w:tplc="04090005" w:tentative="1">
      <w:start w:val="1"/>
      <w:numFmt w:val="bullet"/>
      <w:lvlText w:val=""/>
      <w:lvlJc w:val="left"/>
      <w:pPr>
        <w:ind w:left="810" w:hanging="360"/>
      </w:pPr>
      <w:rPr>
        <w:rFonts w:ascii="Wingdings" w:hAnsi="Wingdings" w:hint="default"/>
      </w:rPr>
    </w:lvl>
    <w:lvl w:ilvl="3" w:tplc="04090001" w:tentative="1">
      <w:start w:val="1"/>
      <w:numFmt w:val="bullet"/>
      <w:lvlText w:val=""/>
      <w:lvlJc w:val="left"/>
      <w:pPr>
        <w:ind w:left="1530" w:hanging="360"/>
      </w:pPr>
      <w:rPr>
        <w:rFonts w:ascii="Symbol" w:hAnsi="Symbol" w:hint="default"/>
      </w:rPr>
    </w:lvl>
    <w:lvl w:ilvl="4" w:tplc="04090003" w:tentative="1">
      <w:start w:val="1"/>
      <w:numFmt w:val="bullet"/>
      <w:lvlText w:val="o"/>
      <w:lvlJc w:val="left"/>
      <w:pPr>
        <w:ind w:left="2250" w:hanging="360"/>
      </w:pPr>
      <w:rPr>
        <w:rFonts w:ascii="Courier New" w:hAnsi="Courier New" w:cs="Courier New" w:hint="default"/>
      </w:rPr>
    </w:lvl>
    <w:lvl w:ilvl="5" w:tplc="04090005" w:tentative="1">
      <w:start w:val="1"/>
      <w:numFmt w:val="bullet"/>
      <w:lvlText w:val=""/>
      <w:lvlJc w:val="left"/>
      <w:pPr>
        <w:ind w:left="2970" w:hanging="360"/>
      </w:pPr>
      <w:rPr>
        <w:rFonts w:ascii="Wingdings" w:hAnsi="Wingdings" w:hint="default"/>
      </w:rPr>
    </w:lvl>
    <w:lvl w:ilvl="6" w:tplc="04090001" w:tentative="1">
      <w:start w:val="1"/>
      <w:numFmt w:val="bullet"/>
      <w:lvlText w:val=""/>
      <w:lvlJc w:val="left"/>
      <w:pPr>
        <w:ind w:left="3690" w:hanging="360"/>
      </w:pPr>
      <w:rPr>
        <w:rFonts w:ascii="Symbol" w:hAnsi="Symbol" w:hint="default"/>
      </w:rPr>
    </w:lvl>
    <w:lvl w:ilvl="7" w:tplc="04090003" w:tentative="1">
      <w:start w:val="1"/>
      <w:numFmt w:val="bullet"/>
      <w:lvlText w:val="o"/>
      <w:lvlJc w:val="left"/>
      <w:pPr>
        <w:ind w:left="4410" w:hanging="360"/>
      </w:pPr>
      <w:rPr>
        <w:rFonts w:ascii="Courier New" w:hAnsi="Courier New" w:cs="Courier New" w:hint="default"/>
      </w:rPr>
    </w:lvl>
    <w:lvl w:ilvl="8" w:tplc="04090005" w:tentative="1">
      <w:start w:val="1"/>
      <w:numFmt w:val="bullet"/>
      <w:lvlText w:val=""/>
      <w:lvlJc w:val="left"/>
      <w:pPr>
        <w:ind w:left="5130" w:hanging="360"/>
      </w:pPr>
      <w:rPr>
        <w:rFonts w:ascii="Wingdings" w:hAnsi="Wingdings" w:hint="default"/>
      </w:rPr>
    </w:lvl>
  </w:abstractNum>
  <w:abstractNum w:abstractNumId="56">
    <w:nsid w:val="75A92122"/>
    <w:multiLevelType w:val="hybridMultilevel"/>
    <w:tmpl w:val="F382567E"/>
    <w:lvl w:ilvl="0" w:tplc="DBF62612">
      <w:start w:val="1"/>
      <w:numFmt w:val="upperLetter"/>
      <w:lvlText w:val="%1."/>
      <w:lvlJc w:val="left"/>
      <w:pPr>
        <w:ind w:left="360" w:hanging="360"/>
      </w:pPr>
      <w:rPr>
        <w:rFonts w:hint="default"/>
        <w:color w:val="1818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79447E62"/>
    <w:multiLevelType w:val="hybridMultilevel"/>
    <w:tmpl w:val="1320F864"/>
    <w:lvl w:ilvl="0" w:tplc="70F607F4">
      <w:start w:val="3"/>
      <w:numFmt w:val="decimal"/>
      <w:suff w:val="space"/>
      <w:lvlText w:val="%1."/>
      <w:lvlJc w:val="left"/>
      <w:pPr>
        <w:ind w:left="216" w:hanging="216"/>
      </w:pPr>
      <w:rPr>
        <w:rFonts w:hint="default"/>
        <w:color w:val="181818"/>
      </w:rPr>
    </w:lvl>
    <w:lvl w:ilvl="1" w:tplc="0B82F192">
      <w:start w:val="3"/>
      <w:numFmt w:val="low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7AF552EA"/>
    <w:multiLevelType w:val="hybridMultilevel"/>
    <w:tmpl w:val="996E8C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C453F7D"/>
    <w:multiLevelType w:val="hybridMultilevel"/>
    <w:tmpl w:val="EB6E6C6E"/>
    <w:lvl w:ilvl="0" w:tplc="EDAEBBA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0"/>
  </w:num>
  <w:num w:numId="4">
    <w:abstractNumId w:val="0"/>
  </w:num>
  <w:num w:numId="5">
    <w:abstractNumId w:val="55"/>
  </w:num>
  <w:num w:numId="6">
    <w:abstractNumId w:val="54"/>
  </w:num>
  <w:num w:numId="7">
    <w:abstractNumId w:val="25"/>
  </w:num>
  <w:num w:numId="8">
    <w:abstractNumId w:val="33"/>
  </w:num>
  <w:num w:numId="9">
    <w:abstractNumId w:val="56"/>
  </w:num>
  <w:num w:numId="10">
    <w:abstractNumId w:val="28"/>
  </w:num>
  <w:num w:numId="11">
    <w:abstractNumId w:val="6"/>
  </w:num>
  <w:num w:numId="12">
    <w:abstractNumId w:val="19"/>
  </w:num>
  <w:num w:numId="13">
    <w:abstractNumId w:val="49"/>
  </w:num>
  <w:num w:numId="14">
    <w:abstractNumId w:val="28"/>
  </w:num>
  <w:num w:numId="15">
    <w:abstractNumId w:val="6"/>
  </w:num>
  <w:num w:numId="16">
    <w:abstractNumId w:val="19"/>
  </w:num>
  <w:num w:numId="17">
    <w:abstractNumId w:val="57"/>
  </w:num>
  <w:num w:numId="18">
    <w:abstractNumId w:val="47"/>
  </w:num>
  <w:num w:numId="19">
    <w:abstractNumId w:val="21"/>
  </w:num>
  <w:num w:numId="20">
    <w:abstractNumId w:val="27"/>
  </w:num>
  <w:num w:numId="21">
    <w:abstractNumId w:val="22"/>
  </w:num>
  <w:num w:numId="22">
    <w:abstractNumId w:val="4"/>
  </w:num>
  <w:num w:numId="23">
    <w:abstractNumId w:val="58"/>
  </w:num>
  <w:num w:numId="24">
    <w:abstractNumId w:val="43"/>
  </w:num>
  <w:num w:numId="25">
    <w:abstractNumId w:val="26"/>
  </w:num>
  <w:num w:numId="26">
    <w:abstractNumId w:val="17"/>
  </w:num>
  <w:num w:numId="27">
    <w:abstractNumId w:val="30"/>
  </w:num>
  <w:num w:numId="28">
    <w:abstractNumId w:val="40"/>
  </w:num>
  <w:num w:numId="29">
    <w:abstractNumId w:val="8"/>
  </w:num>
  <w:num w:numId="30">
    <w:abstractNumId w:val="18"/>
  </w:num>
  <w:num w:numId="31">
    <w:abstractNumId w:val="42"/>
  </w:num>
  <w:num w:numId="32">
    <w:abstractNumId w:val="23"/>
  </w:num>
  <w:num w:numId="33">
    <w:abstractNumId w:val="37"/>
  </w:num>
  <w:num w:numId="34">
    <w:abstractNumId w:val="46"/>
  </w:num>
  <w:num w:numId="35">
    <w:abstractNumId w:val="29"/>
  </w:num>
  <w:num w:numId="36">
    <w:abstractNumId w:val="3"/>
  </w:num>
  <w:num w:numId="37">
    <w:abstractNumId w:val="52"/>
  </w:num>
  <w:num w:numId="38">
    <w:abstractNumId w:val="5"/>
  </w:num>
  <w:num w:numId="39">
    <w:abstractNumId w:val="39"/>
  </w:num>
  <w:num w:numId="40">
    <w:abstractNumId w:val="45"/>
  </w:num>
  <w:num w:numId="41">
    <w:abstractNumId w:val="15"/>
  </w:num>
  <w:num w:numId="42">
    <w:abstractNumId w:val="48"/>
  </w:num>
  <w:num w:numId="43">
    <w:abstractNumId w:val="44"/>
  </w:num>
  <w:num w:numId="44">
    <w:abstractNumId w:val="32"/>
  </w:num>
  <w:num w:numId="45">
    <w:abstractNumId w:val="13"/>
  </w:num>
  <w:num w:numId="46">
    <w:abstractNumId w:val="35"/>
  </w:num>
  <w:num w:numId="47">
    <w:abstractNumId w:val="48"/>
    <w:lvlOverride w:ilvl="0">
      <w:lvl w:ilvl="0" w:tplc="83EC56DC">
        <w:start w:val="1"/>
        <w:numFmt w:val="decimal"/>
        <w:lvlText w:val="%1)"/>
        <w:lvlJc w:val="left"/>
        <w:pPr>
          <w:ind w:left="108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8">
    <w:abstractNumId w:val="31"/>
  </w:num>
  <w:num w:numId="49">
    <w:abstractNumId w:val="53"/>
  </w:num>
  <w:num w:numId="50">
    <w:abstractNumId w:val="59"/>
  </w:num>
  <w:num w:numId="51">
    <w:abstractNumId w:val="12"/>
  </w:num>
  <w:num w:numId="52">
    <w:abstractNumId w:val="16"/>
  </w:num>
  <w:num w:numId="53">
    <w:abstractNumId w:val="9"/>
  </w:num>
  <w:num w:numId="54">
    <w:abstractNumId w:val="24"/>
  </w:num>
  <w:num w:numId="55">
    <w:abstractNumId w:val="1"/>
  </w:num>
  <w:num w:numId="56">
    <w:abstractNumId w:val="34"/>
  </w:num>
  <w:num w:numId="57">
    <w:abstractNumId w:val="14"/>
  </w:num>
  <w:num w:numId="58">
    <w:abstractNumId w:val="38"/>
  </w:num>
  <w:num w:numId="59">
    <w:abstractNumId w:val="51"/>
  </w:num>
  <w:num w:numId="60">
    <w:abstractNumId w:val="2"/>
  </w:num>
  <w:num w:numId="61">
    <w:abstractNumId w:val="36"/>
  </w:num>
  <w:num w:numId="62">
    <w:abstractNumId w:val="50"/>
  </w:num>
  <w:num w:numId="63">
    <w:abstractNumId w:val="11"/>
  </w:num>
  <w:num w:numId="64">
    <w:abstractNumId w:val="4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EE2"/>
    <w:rsid w:val="000012F2"/>
    <w:rsid w:val="00001EEA"/>
    <w:rsid w:val="000038CF"/>
    <w:rsid w:val="00003B96"/>
    <w:rsid w:val="00004CAD"/>
    <w:rsid w:val="000162ED"/>
    <w:rsid w:val="00020DFA"/>
    <w:rsid w:val="0002164F"/>
    <w:rsid w:val="00023D4B"/>
    <w:rsid w:val="00025725"/>
    <w:rsid w:val="00025F9F"/>
    <w:rsid w:val="000326AB"/>
    <w:rsid w:val="00032C54"/>
    <w:rsid w:val="0003466C"/>
    <w:rsid w:val="00034EE7"/>
    <w:rsid w:val="00035361"/>
    <w:rsid w:val="00035AD6"/>
    <w:rsid w:val="0004130C"/>
    <w:rsid w:val="00042EBD"/>
    <w:rsid w:val="00045A50"/>
    <w:rsid w:val="0004682C"/>
    <w:rsid w:val="00050270"/>
    <w:rsid w:val="00053BBE"/>
    <w:rsid w:val="00054A1C"/>
    <w:rsid w:val="00061026"/>
    <w:rsid w:val="000613E3"/>
    <w:rsid w:val="000745E4"/>
    <w:rsid w:val="00075AE0"/>
    <w:rsid w:val="00075FA6"/>
    <w:rsid w:val="000802F7"/>
    <w:rsid w:val="00082627"/>
    <w:rsid w:val="00083D29"/>
    <w:rsid w:val="000843CD"/>
    <w:rsid w:val="00084715"/>
    <w:rsid w:val="000870A6"/>
    <w:rsid w:val="00087609"/>
    <w:rsid w:val="000913F4"/>
    <w:rsid w:val="000918A2"/>
    <w:rsid w:val="00093F92"/>
    <w:rsid w:val="000A10AF"/>
    <w:rsid w:val="000A228B"/>
    <w:rsid w:val="000A3E19"/>
    <w:rsid w:val="000A7109"/>
    <w:rsid w:val="000B1239"/>
    <w:rsid w:val="000B207B"/>
    <w:rsid w:val="000B7B11"/>
    <w:rsid w:val="000C2E1D"/>
    <w:rsid w:val="000C3AE6"/>
    <w:rsid w:val="000C406A"/>
    <w:rsid w:val="000C59BD"/>
    <w:rsid w:val="000C72FF"/>
    <w:rsid w:val="000D0720"/>
    <w:rsid w:val="000D1260"/>
    <w:rsid w:val="000D21CC"/>
    <w:rsid w:val="000D556B"/>
    <w:rsid w:val="000E0B60"/>
    <w:rsid w:val="000E3F24"/>
    <w:rsid w:val="000E4698"/>
    <w:rsid w:val="000E5E0C"/>
    <w:rsid w:val="000E7A3E"/>
    <w:rsid w:val="000E7B12"/>
    <w:rsid w:val="000E7EEB"/>
    <w:rsid w:val="000F042E"/>
    <w:rsid w:val="000F1D73"/>
    <w:rsid w:val="000F45FC"/>
    <w:rsid w:val="000F7808"/>
    <w:rsid w:val="000F7C72"/>
    <w:rsid w:val="00100EA6"/>
    <w:rsid w:val="00111D9A"/>
    <w:rsid w:val="00112035"/>
    <w:rsid w:val="0011207D"/>
    <w:rsid w:val="00113CD0"/>
    <w:rsid w:val="00114F29"/>
    <w:rsid w:val="00116F41"/>
    <w:rsid w:val="00117880"/>
    <w:rsid w:val="001205E3"/>
    <w:rsid w:val="00124B16"/>
    <w:rsid w:val="00125B8E"/>
    <w:rsid w:val="00126B5C"/>
    <w:rsid w:val="0012772C"/>
    <w:rsid w:val="00127A4E"/>
    <w:rsid w:val="001300F2"/>
    <w:rsid w:val="001305CC"/>
    <w:rsid w:val="00130AA6"/>
    <w:rsid w:val="00131561"/>
    <w:rsid w:val="00131DA9"/>
    <w:rsid w:val="00132DB7"/>
    <w:rsid w:val="0013379D"/>
    <w:rsid w:val="00133F47"/>
    <w:rsid w:val="0013746B"/>
    <w:rsid w:val="00137FF4"/>
    <w:rsid w:val="00142FD5"/>
    <w:rsid w:val="00144699"/>
    <w:rsid w:val="00152B61"/>
    <w:rsid w:val="001539BC"/>
    <w:rsid w:val="00154EA3"/>
    <w:rsid w:val="0017087D"/>
    <w:rsid w:val="0017453B"/>
    <w:rsid w:val="00174F3A"/>
    <w:rsid w:val="001810DE"/>
    <w:rsid w:val="00182E12"/>
    <w:rsid w:val="001838E3"/>
    <w:rsid w:val="001874F2"/>
    <w:rsid w:val="001876A8"/>
    <w:rsid w:val="00190C81"/>
    <w:rsid w:val="00193C19"/>
    <w:rsid w:val="0019443B"/>
    <w:rsid w:val="0019696E"/>
    <w:rsid w:val="00197234"/>
    <w:rsid w:val="001A1CA1"/>
    <w:rsid w:val="001A23B5"/>
    <w:rsid w:val="001A4BB1"/>
    <w:rsid w:val="001B1713"/>
    <w:rsid w:val="001B3069"/>
    <w:rsid w:val="001B7C9B"/>
    <w:rsid w:val="001C038B"/>
    <w:rsid w:val="001C34E4"/>
    <w:rsid w:val="001C45CB"/>
    <w:rsid w:val="001D4641"/>
    <w:rsid w:val="001D5D3A"/>
    <w:rsid w:val="001D750F"/>
    <w:rsid w:val="001E128E"/>
    <w:rsid w:val="001E2DFA"/>
    <w:rsid w:val="001E50ED"/>
    <w:rsid w:val="001E5489"/>
    <w:rsid w:val="001E7FAC"/>
    <w:rsid w:val="001F0210"/>
    <w:rsid w:val="001F0BE7"/>
    <w:rsid w:val="001F1EEA"/>
    <w:rsid w:val="001F2F14"/>
    <w:rsid w:val="001F5051"/>
    <w:rsid w:val="002049A6"/>
    <w:rsid w:val="00207DE9"/>
    <w:rsid w:val="00215EC3"/>
    <w:rsid w:val="002212AA"/>
    <w:rsid w:val="00221644"/>
    <w:rsid w:val="00222CF5"/>
    <w:rsid w:val="00223E1E"/>
    <w:rsid w:val="00225DF2"/>
    <w:rsid w:val="00237CCC"/>
    <w:rsid w:val="002452EF"/>
    <w:rsid w:val="00247147"/>
    <w:rsid w:val="0025482D"/>
    <w:rsid w:val="00261E6D"/>
    <w:rsid w:val="00262837"/>
    <w:rsid w:val="002628D8"/>
    <w:rsid w:val="00263A16"/>
    <w:rsid w:val="00265507"/>
    <w:rsid w:val="00265BC6"/>
    <w:rsid w:val="00284C16"/>
    <w:rsid w:val="00290C2D"/>
    <w:rsid w:val="00294127"/>
    <w:rsid w:val="00294D07"/>
    <w:rsid w:val="002A00E3"/>
    <w:rsid w:val="002A027D"/>
    <w:rsid w:val="002A218E"/>
    <w:rsid w:val="002A380B"/>
    <w:rsid w:val="002B3CB6"/>
    <w:rsid w:val="002B4733"/>
    <w:rsid w:val="002B4832"/>
    <w:rsid w:val="002B6DC3"/>
    <w:rsid w:val="002C002E"/>
    <w:rsid w:val="002C0908"/>
    <w:rsid w:val="002C1D5E"/>
    <w:rsid w:val="002C29E3"/>
    <w:rsid w:val="002C6DF3"/>
    <w:rsid w:val="002C786F"/>
    <w:rsid w:val="002D1531"/>
    <w:rsid w:val="002D2560"/>
    <w:rsid w:val="002D3EC5"/>
    <w:rsid w:val="002D58AB"/>
    <w:rsid w:val="002D6EA2"/>
    <w:rsid w:val="002E209C"/>
    <w:rsid w:val="002E448F"/>
    <w:rsid w:val="002E47B3"/>
    <w:rsid w:val="002E6167"/>
    <w:rsid w:val="002F06C0"/>
    <w:rsid w:val="002F33F4"/>
    <w:rsid w:val="002F3638"/>
    <w:rsid w:val="002F5469"/>
    <w:rsid w:val="002F6B00"/>
    <w:rsid w:val="002F77DB"/>
    <w:rsid w:val="00303381"/>
    <w:rsid w:val="0030363E"/>
    <w:rsid w:val="0030397E"/>
    <w:rsid w:val="0030427C"/>
    <w:rsid w:val="003066D3"/>
    <w:rsid w:val="003103F5"/>
    <w:rsid w:val="0031054C"/>
    <w:rsid w:val="00315FFA"/>
    <w:rsid w:val="00316684"/>
    <w:rsid w:val="00316D31"/>
    <w:rsid w:val="00320476"/>
    <w:rsid w:val="003251BD"/>
    <w:rsid w:val="00331B39"/>
    <w:rsid w:val="00332004"/>
    <w:rsid w:val="00333E4A"/>
    <w:rsid w:val="0033493C"/>
    <w:rsid w:val="00335099"/>
    <w:rsid w:val="00335F68"/>
    <w:rsid w:val="00343E64"/>
    <w:rsid w:val="00344C88"/>
    <w:rsid w:val="003453DC"/>
    <w:rsid w:val="003536EA"/>
    <w:rsid w:val="00357ECB"/>
    <w:rsid w:val="00364A08"/>
    <w:rsid w:val="00366C6E"/>
    <w:rsid w:val="003700D1"/>
    <w:rsid w:val="00370F0A"/>
    <w:rsid w:val="00371A2B"/>
    <w:rsid w:val="0037263D"/>
    <w:rsid w:val="00374A99"/>
    <w:rsid w:val="00374EF3"/>
    <w:rsid w:val="00375E9A"/>
    <w:rsid w:val="00376ABC"/>
    <w:rsid w:val="00377228"/>
    <w:rsid w:val="0037786E"/>
    <w:rsid w:val="003828F1"/>
    <w:rsid w:val="00383393"/>
    <w:rsid w:val="003863C3"/>
    <w:rsid w:val="0038769A"/>
    <w:rsid w:val="00390116"/>
    <w:rsid w:val="00392200"/>
    <w:rsid w:val="00393BCC"/>
    <w:rsid w:val="0039474F"/>
    <w:rsid w:val="0039575A"/>
    <w:rsid w:val="00396F91"/>
    <w:rsid w:val="00397A58"/>
    <w:rsid w:val="003A230F"/>
    <w:rsid w:val="003A79A0"/>
    <w:rsid w:val="003B4F0F"/>
    <w:rsid w:val="003B63F7"/>
    <w:rsid w:val="003C6C40"/>
    <w:rsid w:val="003D1A02"/>
    <w:rsid w:val="003E0577"/>
    <w:rsid w:val="003E0A32"/>
    <w:rsid w:val="003E0A6E"/>
    <w:rsid w:val="003E42D2"/>
    <w:rsid w:val="003E46E7"/>
    <w:rsid w:val="003E6191"/>
    <w:rsid w:val="003E7B58"/>
    <w:rsid w:val="003F0E6F"/>
    <w:rsid w:val="003F354C"/>
    <w:rsid w:val="003F36C3"/>
    <w:rsid w:val="003F5BF2"/>
    <w:rsid w:val="003F69B8"/>
    <w:rsid w:val="003F6A55"/>
    <w:rsid w:val="003F732C"/>
    <w:rsid w:val="00402B62"/>
    <w:rsid w:val="0040434D"/>
    <w:rsid w:val="00410377"/>
    <w:rsid w:val="00416697"/>
    <w:rsid w:val="00430ADF"/>
    <w:rsid w:val="0043146E"/>
    <w:rsid w:val="00431D38"/>
    <w:rsid w:val="004322F0"/>
    <w:rsid w:val="00433272"/>
    <w:rsid w:val="00435CEC"/>
    <w:rsid w:val="0044366E"/>
    <w:rsid w:val="00443E33"/>
    <w:rsid w:val="00445BC4"/>
    <w:rsid w:val="00451307"/>
    <w:rsid w:val="004518C8"/>
    <w:rsid w:val="0045340E"/>
    <w:rsid w:val="004542DC"/>
    <w:rsid w:val="00457714"/>
    <w:rsid w:val="00457B6C"/>
    <w:rsid w:val="00465DF7"/>
    <w:rsid w:val="00470E98"/>
    <w:rsid w:val="00473A65"/>
    <w:rsid w:val="00481F84"/>
    <w:rsid w:val="00484589"/>
    <w:rsid w:val="00484EF6"/>
    <w:rsid w:val="00487E0A"/>
    <w:rsid w:val="00491DAC"/>
    <w:rsid w:val="004922CF"/>
    <w:rsid w:val="00493E0F"/>
    <w:rsid w:val="004A12D8"/>
    <w:rsid w:val="004A1E99"/>
    <w:rsid w:val="004A5C33"/>
    <w:rsid w:val="004A7201"/>
    <w:rsid w:val="004B1C29"/>
    <w:rsid w:val="004B6517"/>
    <w:rsid w:val="004B7530"/>
    <w:rsid w:val="004C1061"/>
    <w:rsid w:val="004C197A"/>
    <w:rsid w:val="004C35DA"/>
    <w:rsid w:val="004C730F"/>
    <w:rsid w:val="004D03F3"/>
    <w:rsid w:val="004D37EE"/>
    <w:rsid w:val="004D511D"/>
    <w:rsid w:val="004D68DF"/>
    <w:rsid w:val="004D786B"/>
    <w:rsid w:val="004E6F6D"/>
    <w:rsid w:val="004F010F"/>
    <w:rsid w:val="004F06B9"/>
    <w:rsid w:val="004F27B7"/>
    <w:rsid w:val="004F3AE1"/>
    <w:rsid w:val="004F49A9"/>
    <w:rsid w:val="004F7409"/>
    <w:rsid w:val="005024CB"/>
    <w:rsid w:val="0050315C"/>
    <w:rsid w:val="00503204"/>
    <w:rsid w:val="00503276"/>
    <w:rsid w:val="005033E5"/>
    <w:rsid w:val="0050582E"/>
    <w:rsid w:val="005059BD"/>
    <w:rsid w:val="00507BFB"/>
    <w:rsid w:val="00513434"/>
    <w:rsid w:val="00515C63"/>
    <w:rsid w:val="005213E6"/>
    <w:rsid w:val="00522332"/>
    <w:rsid w:val="0052472A"/>
    <w:rsid w:val="00525310"/>
    <w:rsid w:val="00525CAA"/>
    <w:rsid w:val="00525D28"/>
    <w:rsid w:val="00526505"/>
    <w:rsid w:val="00530961"/>
    <w:rsid w:val="00533C30"/>
    <w:rsid w:val="00535BC7"/>
    <w:rsid w:val="005409B7"/>
    <w:rsid w:val="005417C8"/>
    <w:rsid w:val="00542A04"/>
    <w:rsid w:val="00546FC9"/>
    <w:rsid w:val="0055319F"/>
    <w:rsid w:val="00556863"/>
    <w:rsid w:val="0056209E"/>
    <w:rsid w:val="005658CA"/>
    <w:rsid w:val="005674A4"/>
    <w:rsid w:val="005675BD"/>
    <w:rsid w:val="005701B4"/>
    <w:rsid w:val="005732C6"/>
    <w:rsid w:val="00575117"/>
    <w:rsid w:val="00576D0F"/>
    <w:rsid w:val="00581830"/>
    <w:rsid w:val="005836E8"/>
    <w:rsid w:val="00584B4D"/>
    <w:rsid w:val="005901B7"/>
    <w:rsid w:val="0059151F"/>
    <w:rsid w:val="0059410A"/>
    <w:rsid w:val="00596A4B"/>
    <w:rsid w:val="005A27FB"/>
    <w:rsid w:val="005A4B74"/>
    <w:rsid w:val="005A578A"/>
    <w:rsid w:val="005B55E4"/>
    <w:rsid w:val="005C2445"/>
    <w:rsid w:val="005C2668"/>
    <w:rsid w:val="005C298E"/>
    <w:rsid w:val="005C2D1C"/>
    <w:rsid w:val="005C7E37"/>
    <w:rsid w:val="005D1EDE"/>
    <w:rsid w:val="005D2C54"/>
    <w:rsid w:val="005D2F7A"/>
    <w:rsid w:val="005E3130"/>
    <w:rsid w:val="005E3613"/>
    <w:rsid w:val="005E4C5C"/>
    <w:rsid w:val="005E56DB"/>
    <w:rsid w:val="005E6C37"/>
    <w:rsid w:val="005F1CA9"/>
    <w:rsid w:val="005F28EF"/>
    <w:rsid w:val="005F2F76"/>
    <w:rsid w:val="005F32F6"/>
    <w:rsid w:val="005F4A3B"/>
    <w:rsid w:val="005F5486"/>
    <w:rsid w:val="005F67C6"/>
    <w:rsid w:val="005F7C2C"/>
    <w:rsid w:val="00604660"/>
    <w:rsid w:val="006053E9"/>
    <w:rsid w:val="006068AA"/>
    <w:rsid w:val="006141F4"/>
    <w:rsid w:val="00615815"/>
    <w:rsid w:val="00616564"/>
    <w:rsid w:val="00617589"/>
    <w:rsid w:val="00617A9A"/>
    <w:rsid w:val="00622EC5"/>
    <w:rsid w:val="006257B2"/>
    <w:rsid w:val="00631A5B"/>
    <w:rsid w:val="00637784"/>
    <w:rsid w:val="00640475"/>
    <w:rsid w:val="00641B6B"/>
    <w:rsid w:val="00642831"/>
    <w:rsid w:val="00647325"/>
    <w:rsid w:val="00651FD7"/>
    <w:rsid w:val="0065386C"/>
    <w:rsid w:val="00656B9F"/>
    <w:rsid w:val="00660E14"/>
    <w:rsid w:val="00661780"/>
    <w:rsid w:val="00665C18"/>
    <w:rsid w:val="006669C0"/>
    <w:rsid w:val="00671CFC"/>
    <w:rsid w:val="0067262B"/>
    <w:rsid w:val="00675D5A"/>
    <w:rsid w:val="00681E5F"/>
    <w:rsid w:val="00683939"/>
    <w:rsid w:val="00684E41"/>
    <w:rsid w:val="00690DCF"/>
    <w:rsid w:val="006910EB"/>
    <w:rsid w:val="00694DE2"/>
    <w:rsid w:val="0069696B"/>
    <w:rsid w:val="006A210B"/>
    <w:rsid w:val="006A496E"/>
    <w:rsid w:val="006B4596"/>
    <w:rsid w:val="006C0F16"/>
    <w:rsid w:val="006C419C"/>
    <w:rsid w:val="006C5ACD"/>
    <w:rsid w:val="006C602C"/>
    <w:rsid w:val="006D250D"/>
    <w:rsid w:val="006D2B48"/>
    <w:rsid w:val="006D34F2"/>
    <w:rsid w:val="006D4984"/>
    <w:rsid w:val="006E0D9A"/>
    <w:rsid w:val="006E402F"/>
    <w:rsid w:val="006E6FC0"/>
    <w:rsid w:val="006E74E3"/>
    <w:rsid w:val="006F0713"/>
    <w:rsid w:val="006F36B9"/>
    <w:rsid w:val="006F608A"/>
    <w:rsid w:val="0070112F"/>
    <w:rsid w:val="00701A61"/>
    <w:rsid w:val="00702939"/>
    <w:rsid w:val="00711C67"/>
    <w:rsid w:val="00714929"/>
    <w:rsid w:val="00720852"/>
    <w:rsid w:val="00722034"/>
    <w:rsid w:val="00724120"/>
    <w:rsid w:val="00727065"/>
    <w:rsid w:val="00731C97"/>
    <w:rsid w:val="00732B11"/>
    <w:rsid w:val="007339E9"/>
    <w:rsid w:val="00735929"/>
    <w:rsid w:val="0073737B"/>
    <w:rsid w:val="00737720"/>
    <w:rsid w:val="00744086"/>
    <w:rsid w:val="00745F37"/>
    <w:rsid w:val="00746290"/>
    <w:rsid w:val="00750420"/>
    <w:rsid w:val="00752215"/>
    <w:rsid w:val="0075260E"/>
    <w:rsid w:val="007527E3"/>
    <w:rsid w:val="00752EE3"/>
    <w:rsid w:val="0075451C"/>
    <w:rsid w:val="00756D2B"/>
    <w:rsid w:val="00757925"/>
    <w:rsid w:val="00757B1A"/>
    <w:rsid w:val="00761B4E"/>
    <w:rsid w:val="00761FE2"/>
    <w:rsid w:val="00762867"/>
    <w:rsid w:val="007633CE"/>
    <w:rsid w:val="007665B1"/>
    <w:rsid w:val="00770E8F"/>
    <w:rsid w:val="007724F2"/>
    <w:rsid w:val="0078254C"/>
    <w:rsid w:val="00783AEB"/>
    <w:rsid w:val="00784AB8"/>
    <w:rsid w:val="00787C81"/>
    <w:rsid w:val="00794553"/>
    <w:rsid w:val="007966BC"/>
    <w:rsid w:val="00796744"/>
    <w:rsid w:val="00796A44"/>
    <w:rsid w:val="00796AD2"/>
    <w:rsid w:val="007A3408"/>
    <w:rsid w:val="007A78BA"/>
    <w:rsid w:val="007B1B93"/>
    <w:rsid w:val="007B4AF5"/>
    <w:rsid w:val="007C6CE1"/>
    <w:rsid w:val="007D1703"/>
    <w:rsid w:val="007D3FDB"/>
    <w:rsid w:val="007D478E"/>
    <w:rsid w:val="007E6387"/>
    <w:rsid w:val="007E7F92"/>
    <w:rsid w:val="007F43A4"/>
    <w:rsid w:val="007F5389"/>
    <w:rsid w:val="007F7BF7"/>
    <w:rsid w:val="007F7F81"/>
    <w:rsid w:val="007F7FEF"/>
    <w:rsid w:val="0080212A"/>
    <w:rsid w:val="00802744"/>
    <w:rsid w:val="00804DA0"/>
    <w:rsid w:val="00805510"/>
    <w:rsid w:val="00806C90"/>
    <w:rsid w:val="00806DCD"/>
    <w:rsid w:val="008117B7"/>
    <w:rsid w:val="00811C8C"/>
    <w:rsid w:val="00811DD0"/>
    <w:rsid w:val="0081238C"/>
    <w:rsid w:val="00815CA3"/>
    <w:rsid w:val="008203F3"/>
    <w:rsid w:val="008246AD"/>
    <w:rsid w:val="00826650"/>
    <w:rsid w:val="00831C7A"/>
    <w:rsid w:val="00836460"/>
    <w:rsid w:val="00836647"/>
    <w:rsid w:val="008368B7"/>
    <w:rsid w:val="00837BCE"/>
    <w:rsid w:val="00837D8D"/>
    <w:rsid w:val="00842FC6"/>
    <w:rsid w:val="00843687"/>
    <w:rsid w:val="008437FD"/>
    <w:rsid w:val="00846916"/>
    <w:rsid w:val="008504ED"/>
    <w:rsid w:val="00851FCA"/>
    <w:rsid w:val="00852194"/>
    <w:rsid w:val="008546ED"/>
    <w:rsid w:val="00855B3E"/>
    <w:rsid w:val="0085726E"/>
    <w:rsid w:val="0086257A"/>
    <w:rsid w:val="00867354"/>
    <w:rsid w:val="00870276"/>
    <w:rsid w:val="00870832"/>
    <w:rsid w:val="00871DC3"/>
    <w:rsid w:val="00876AC0"/>
    <w:rsid w:val="00877EE4"/>
    <w:rsid w:val="00880648"/>
    <w:rsid w:val="00884015"/>
    <w:rsid w:val="008904C7"/>
    <w:rsid w:val="00891F55"/>
    <w:rsid w:val="008950ED"/>
    <w:rsid w:val="00897FEE"/>
    <w:rsid w:val="008A3414"/>
    <w:rsid w:val="008A3B52"/>
    <w:rsid w:val="008A5132"/>
    <w:rsid w:val="008A579B"/>
    <w:rsid w:val="008A5FE5"/>
    <w:rsid w:val="008A6270"/>
    <w:rsid w:val="008B0D22"/>
    <w:rsid w:val="008B2815"/>
    <w:rsid w:val="008B28E4"/>
    <w:rsid w:val="008B2E0F"/>
    <w:rsid w:val="008B7C15"/>
    <w:rsid w:val="008C1A2F"/>
    <w:rsid w:val="008C445B"/>
    <w:rsid w:val="008C481A"/>
    <w:rsid w:val="008C5A3C"/>
    <w:rsid w:val="008D1185"/>
    <w:rsid w:val="008D1F04"/>
    <w:rsid w:val="008D6B21"/>
    <w:rsid w:val="008D75E4"/>
    <w:rsid w:val="008E2231"/>
    <w:rsid w:val="008F0E6D"/>
    <w:rsid w:val="008F1B7E"/>
    <w:rsid w:val="0090386F"/>
    <w:rsid w:val="0090429D"/>
    <w:rsid w:val="0090777E"/>
    <w:rsid w:val="00912BE2"/>
    <w:rsid w:val="0091427C"/>
    <w:rsid w:val="00920109"/>
    <w:rsid w:val="009214A0"/>
    <w:rsid w:val="0092186B"/>
    <w:rsid w:val="009254DE"/>
    <w:rsid w:val="009269DB"/>
    <w:rsid w:val="00926A3A"/>
    <w:rsid w:val="0092755E"/>
    <w:rsid w:val="00931ACF"/>
    <w:rsid w:val="00934248"/>
    <w:rsid w:val="00935CD5"/>
    <w:rsid w:val="009400A9"/>
    <w:rsid w:val="00943288"/>
    <w:rsid w:val="009433C4"/>
    <w:rsid w:val="009435B6"/>
    <w:rsid w:val="00943D93"/>
    <w:rsid w:val="00950268"/>
    <w:rsid w:val="00952766"/>
    <w:rsid w:val="00952DFE"/>
    <w:rsid w:val="00952F38"/>
    <w:rsid w:val="009606CD"/>
    <w:rsid w:val="00960A58"/>
    <w:rsid w:val="00966D74"/>
    <w:rsid w:val="00967EE8"/>
    <w:rsid w:val="009756A4"/>
    <w:rsid w:val="00975DEF"/>
    <w:rsid w:val="00975F03"/>
    <w:rsid w:val="0098595D"/>
    <w:rsid w:val="00986E2C"/>
    <w:rsid w:val="0098756A"/>
    <w:rsid w:val="00990B17"/>
    <w:rsid w:val="00991800"/>
    <w:rsid w:val="00994A81"/>
    <w:rsid w:val="009A2BF3"/>
    <w:rsid w:val="009A3E74"/>
    <w:rsid w:val="009A440B"/>
    <w:rsid w:val="009A6590"/>
    <w:rsid w:val="009B5105"/>
    <w:rsid w:val="009C637E"/>
    <w:rsid w:val="009C724F"/>
    <w:rsid w:val="009C7956"/>
    <w:rsid w:val="009D34A9"/>
    <w:rsid w:val="009D3C35"/>
    <w:rsid w:val="009D489D"/>
    <w:rsid w:val="009D4F0B"/>
    <w:rsid w:val="009E11DF"/>
    <w:rsid w:val="009E3066"/>
    <w:rsid w:val="009E336B"/>
    <w:rsid w:val="009E4CF8"/>
    <w:rsid w:val="009E65A2"/>
    <w:rsid w:val="009E6640"/>
    <w:rsid w:val="009F002F"/>
    <w:rsid w:val="009F0054"/>
    <w:rsid w:val="009F3A49"/>
    <w:rsid w:val="009F4FB7"/>
    <w:rsid w:val="009F7678"/>
    <w:rsid w:val="00A0310D"/>
    <w:rsid w:val="00A05824"/>
    <w:rsid w:val="00A10DA1"/>
    <w:rsid w:val="00A11E36"/>
    <w:rsid w:val="00A1370E"/>
    <w:rsid w:val="00A14BB0"/>
    <w:rsid w:val="00A14D39"/>
    <w:rsid w:val="00A15B9E"/>
    <w:rsid w:val="00A208E3"/>
    <w:rsid w:val="00A225A1"/>
    <w:rsid w:val="00A240FC"/>
    <w:rsid w:val="00A27A4D"/>
    <w:rsid w:val="00A3073B"/>
    <w:rsid w:val="00A3339A"/>
    <w:rsid w:val="00A33755"/>
    <w:rsid w:val="00A372C7"/>
    <w:rsid w:val="00A37785"/>
    <w:rsid w:val="00A42EC2"/>
    <w:rsid w:val="00A46E9D"/>
    <w:rsid w:val="00A47806"/>
    <w:rsid w:val="00A5086B"/>
    <w:rsid w:val="00A566F7"/>
    <w:rsid w:val="00A578D3"/>
    <w:rsid w:val="00A61CB6"/>
    <w:rsid w:val="00A64450"/>
    <w:rsid w:val="00A661F0"/>
    <w:rsid w:val="00A663E5"/>
    <w:rsid w:val="00A66BF0"/>
    <w:rsid w:val="00A706F0"/>
    <w:rsid w:val="00A72636"/>
    <w:rsid w:val="00A749E4"/>
    <w:rsid w:val="00A74CF3"/>
    <w:rsid w:val="00A74D6E"/>
    <w:rsid w:val="00A74D77"/>
    <w:rsid w:val="00A80555"/>
    <w:rsid w:val="00A860DF"/>
    <w:rsid w:val="00A91CD6"/>
    <w:rsid w:val="00A92461"/>
    <w:rsid w:val="00A92A8C"/>
    <w:rsid w:val="00A94AFB"/>
    <w:rsid w:val="00A95D86"/>
    <w:rsid w:val="00AA1C26"/>
    <w:rsid w:val="00AA4E0F"/>
    <w:rsid w:val="00AA5721"/>
    <w:rsid w:val="00AB246D"/>
    <w:rsid w:val="00AB5AF4"/>
    <w:rsid w:val="00AC0CC6"/>
    <w:rsid w:val="00AC2EE2"/>
    <w:rsid w:val="00AC7F84"/>
    <w:rsid w:val="00AD0EAC"/>
    <w:rsid w:val="00AD113E"/>
    <w:rsid w:val="00AD325F"/>
    <w:rsid w:val="00AD336F"/>
    <w:rsid w:val="00AD5E38"/>
    <w:rsid w:val="00AD7417"/>
    <w:rsid w:val="00AE1732"/>
    <w:rsid w:val="00AE3B1F"/>
    <w:rsid w:val="00AE594E"/>
    <w:rsid w:val="00AF2D59"/>
    <w:rsid w:val="00AF4617"/>
    <w:rsid w:val="00AF485A"/>
    <w:rsid w:val="00AF797C"/>
    <w:rsid w:val="00B0122E"/>
    <w:rsid w:val="00B0516F"/>
    <w:rsid w:val="00B05AFE"/>
    <w:rsid w:val="00B06453"/>
    <w:rsid w:val="00B069C3"/>
    <w:rsid w:val="00B076AC"/>
    <w:rsid w:val="00B144E5"/>
    <w:rsid w:val="00B2251C"/>
    <w:rsid w:val="00B22F8E"/>
    <w:rsid w:val="00B24FB8"/>
    <w:rsid w:val="00B26022"/>
    <w:rsid w:val="00B31CC2"/>
    <w:rsid w:val="00B32D03"/>
    <w:rsid w:val="00B35751"/>
    <w:rsid w:val="00B3603E"/>
    <w:rsid w:val="00B37224"/>
    <w:rsid w:val="00B4008C"/>
    <w:rsid w:val="00B43DEE"/>
    <w:rsid w:val="00B43FCC"/>
    <w:rsid w:val="00B50305"/>
    <w:rsid w:val="00B505CC"/>
    <w:rsid w:val="00B522CD"/>
    <w:rsid w:val="00B52DFA"/>
    <w:rsid w:val="00B54034"/>
    <w:rsid w:val="00B5673F"/>
    <w:rsid w:val="00B56C4E"/>
    <w:rsid w:val="00B603E8"/>
    <w:rsid w:val="00B613A8"/>
    <w:rsid w:val="00B641EE"/>
    <w:rsid w:val="00B6430E"/>
    <w:rsid w:val="00B65D4F"/>
    <w:rsid w:val="00B66974"/>
    <w:rsid w:val="00B70A3B"/>
    <w:rsid w:val="00B72B27"/>
    <w:rsid w:val="00B73C66"/>
    <w:rsid w:val="00B742A6"/>
    <w:rsid w:val="00B748F9"/>
    <w:rsid w:val="00B74FF6"/>
    <w:rsid w:val="00B93B99"/>
    <w:rsid w:val="00BA2AD5"/>
    <w:rsid w:val="00BB0626"/>
    <w:rsid w:val="00BB0E56"/>
    <w:rsid w:val="00BB1E25"/>
    <w:rsid w:val="00BB21B9"/>
    <w:rsid w:val="00BB38BA"/>
    <w:rsid w:val="00BB3FA5"/>
    <w:rsid w:val="00BB7B8D"/>
    <w:rsid w:val="00BC0C08"/>
    <w:rsid w:val="00BC177A"/>
    <w:rsid w:val="00BC1AEC"/>
    <w:rsid w:val="00BC5CA3"/>
    <w:rsid w:val="00BD0A53"/>
    <w:rsid w:val="00BD21E7"/>
    <w:rsid w:val="00BD3D70"/>
    <w:rsid w:val="00BD4300"/>
    <w:rsid w:val="00BE4C3A"/>
    <w:rsid w:val="00BE674A"/>
    <w:rsid w:val="00BF10E0"/>
    <w:rsid w:val="00BF5CAE"/>
    <w:rsid w:val="00C03F3B"/>
    <w:rsid w:val="00C04CFA"/>
    <w:rsid w:val="00C052AD"/>
    <w:rsid w:val="00C10AE1"/>
    <w:rsid w:val="00C161C6"/>
    <w:rsid w:val="00C163EF"/>
    <w:rsid w:val="00C1723A"/>
    <w:rsid w:val="00C1766D"/>
    <w:rsid w:val="00C20A2F"/>
    <w:rsid w:val="00C221FD"/>
    <w:rsid w:val="00C23EE1"/>
    <w:rsid w:val="00C23F7F"/>
    <w:rsid w:val="00C25649"/>
    <w:rsid w:val="00C25EFB"/>
    <w:rsid w:val="00C3036D"/>
    <w:rsid w:val="00C31C34"/>
    <w:rsid w:val="00C33E1E"/>
    <w:rsid w:val="00C33FAF"/>
    <w:rsid w:val="00C36547"/>
    <w:rsid w:val="00C376D7"/>
    <w:rsid w:val="00C4083A"/>
    <w:rsid w:val="00C42BC2"/>
    <w:rsid w:val="00C43690"/>
    <w:rsid w:val="00C44F42"/>
    <w:rsid w:val="00C45CEC"/>
    <w:rsid w:val="00C4690B"/>
    <w:rsid w:val="00C51837"/>
    <w:rsid w:val="00C51ECD"/>
    <w:rsid w:val="00C542E8"/>
    <w:rsid w:val="00C6590E"/>
    <w:rsid w:val="00C65AC4"/>
    <w:rsid w:val="00C66028"/>
    <w:rsid w:val="00C7007D"/>
    <w:rsid w:val="00C70B68"/>
    <w:rsid w:val="00C73FF5"/>
    <w:rsid w:val="00C7682D"/>
    <w:rsid w:val="00C76EA9"/>
    <w:rsid w:val="00C80804"/>
    <w:rsid w:val="00C80864"/>
    <w:rsid w:val="00C81557"/>
    <w:rsid w:val="00C8417B"/>
    <w:rsid w:val="00C873E8"/>
    <w:rsid w:val="00C902A8"/>
    <w:rsid w:val="00C91481"/>
    <w:rsid w:val="00CA0267"/>
    <w:rsid w:val="00CA0ECB"/>
    <w:rsid w:val="00CA272D"/>
    <w:rsid w:val="00CA7586"/>
    <w:rsid w:val="00CA75B9"/>
    <w:rsid w:val="00CB0D47"/>
    <w:rsid w:val="00CB1DA7"/>
    <w:rsid w:val="00CB1EDA"/>
    <w:rsid w:val="00CB2486"/>
    <w:rsid w:val="00CB249C"/>
    <w:rsid w:val="00CB2540"/>
    <w:rsid w:val="00CB2ABA"/>
    <w:rsid w:val="00CC50A6"/>
    <w:rsid w:val="00CC5AF3"/>
    <w:rsid w:val="00CC6FA0"/>
    <w:rsid w:val="00CD070B"/>
    <w:rsid w:val="00CD1D19"/>
    <w:rsid w:val="00CD1EEF"/>
    <w:rsid w:val="00CE02A0"/>
    <w:rsid w:val="00CE0DD0"/>
    <w:rsid w:val="00CE1A9B"/>
    <w:rsid w:val="00CE2586"/>
    <w:rsid w:val="00CE793A"/>
    <w:rsid w:val="00CF28C5"/>
    <w:rsid w:val="00CF4712"/>
    <w:rsid w:val="00CF4E3F"/>
    <w:rsid w:val="00CF5DFC"/>
    <w:rsid w:val="00CF6DB0"/>
    <w:rsid w:val="00CF77CB"/>
    <w:rsid w:val="00D008FC"/>
    <w:rsid w:val="00D02100"/>
    <w:rsid w:val="00D052D1"/>
    <w:rsid w:val="00D12F08"/>
    <w:rsid w:val="00D14395"/>
    <w:rsid w:val="00D157E6"/>
    <w:rsid w:val="00D178C8"/>
    <w:rsid w:val="00D22564"/>
    <w:rsid w:val="00D23D1F"/>
    <w:rsid w:val="00D26238"/>
    <w:rsid w:val="00D27557"/>
    <w:rsid w:val="00D27682"/>
    <w:rsid w:val="00D341F9"/>
    <w:rsid w:val="00D41079"/>
    <w:rsid w:val="00D445DC"/>
    <w:rsid w:val="00D44869"/>
    <w:rsid w:val="00D45A14"/>
    <w:rsid w:val="00D47556"/>
    <w:rsid w:val="00D5028A"/>
    <w:rsid w:val="00D5127B"/>
    <w:rsid w:val="00D53513"/>
    <w:rsid w:val="00D53B35"/>
    <w:rsid w:val="00D54773"/>
    <w:rsid w:val="00D5605E"/>
    <w:rsid w:val="00D62BE7"/>
    <w:rsid w:val="00D649AF"/>
    <w:rsid w:val="00D65DE1"/>
    <w:rsid w:val="00D670A0"/>
    <w:rsid w:val="00D671C1"/>
    <w:rsid w:val="00D6777D"/>
    <w:rsid w:val="00D67E76"/>
    <w:rsid w:val="00D70229"/>
    <w:rsid w:val="00D70A3E"/>
    <w:rsid w:val="00D715E0"/>
    <w:rsid w:val="00D71BEC"/>
    <w:rsid w:val="00D72555"/>
    <w:rsid w:val="00D72AC1"/>
    <w:rsid w:val="00D752F3"/>
    <w:rsid w:val="00D765F6"/>
    <w:rsid w:val="00D76CE6"/>
    <w:rsid w:val="00D776FD"/>
    <w:rsid w:val="00D82902"/>
    <w:rsid w:val="00D83862"/>
    <w:rsid w:val="00D86DC0"/>
    <w:rsid w:val="00D9028B"/>
    <w:rsid w:val="00D91AFF"/>
    <w:rsid w:val="00D9334F"/>
    <w:rsid w:val="00D94765"/>
    <w:rsid w:val="00D953BF"/>
    <w:rsid w:val="00D95D6B"/>
    <w:rsid w:val="00D96A3E"/>
    <w:rsid w:val="00DA0D9A"/>
    <w:rsid w:val="00DA401A"/>
    <w:rsid w:val="00DB0134"/>
    <w:rsid w:val="00DB4831"/>
    <w:rsid w:val="00DC3610"/>
    <w:rsid w:val="00DC3760"/>
    <w:rsid w:val="00DC4A79"/>
    <w:rsid w:val="00DD0EDE"/>
    <w:rsid w:val="00DD1247"/>
    <w:rsid w:val="00DD1E5F"/>
    <w:rsid w:val="00DD6BF5"/>
    <w:rsid w:val="00DE0704"/>
    <w:rsid w:val="00DE255F"/>
    <w:rsid w:val="00DE30AB"/>
    <w:rsid w:val="00DE7254"/>
    <w:rsid w:val="00DF0389"/>
    <w:rsid w:val="00DF3DE8"/>
    <w:rsid w:val="00DF3F3F"/>
    <w:rsid w:val="00DF44AD"/>
    <w:rsid w:val="00DF573F"/>
    <w:rsid w:val="00DF5BDC"/>
    <w:rsid w:val="00DF5F92"/>
    <w:rsid w:val="00E0041C"/>
    <w:rsid w:val="00E01023"/>
    <w:rsid w:val="00E03B21"/>
    <w:rsid w:val="00E05951"/>
    <w:rsid w:val="00E05CA1"/>
    <w:rsid w:val="00E10B44"/>
    <w:rsid w:val="00E13AF3"/>
    <w:rsid w:val="00E156D1"/>
    <w:rsid w:val="00E1755B"/>
    <w:rsid w:val="00E2266B"/>
    <w:rsid w:val="00E2346F"/>
    <w:rsid w:val="00E246A3"/>
    <w:rsid w:val="00E26B69"/>
    <w:rsid w:val="00E3096F"/>
    <w:rsid w:val="00E30D9B"/>
    <w:rsid w:val="00E34E9D"/>
    <w:rsid w:val="00E34F5F"/>
    <w:rsid w:val="00E35145"/>
    <w:rsid w:val="00E36FA4"/>
    <w:rsid w:val="00E41931"/>
    <w:rsid w:val="00E4468E"/>
    <w:rsid w:val="00E4690C"/>
    <w:rsid w:val="00E557C7"/>
    <w:rsid w:val="00E60B30"/>
    <w:rsid w:val="00E66183"/>
    <w:rsid w:val="00E67CCF"/>
    <w:rsid w:val="00E76B3E"/>
    <w:rsid w:val="00E8097A"/>
    <w:rsid w:val="00E8270C"/>
    <w:rsid w:val="00E83784"/>
    <w:rsid w:val="00E842CC"/>
    <w:rsid w:val="00E84A7F"/>
    <w:rsid w:val="00E84D0B"/>
    <w:rsid w:val="00E94239"/>
    <w:rsid w:val="00E942E7"/>
    <w:rsid w:val="00E96A35"/>
    <w:rsid w:val="00E973FD"/>
    <w:rsid w:val="00E97609"/>
    <w:rsid w:val="00EA4A21"/>
    <w:rsid w:val="00EA53D7"/>
    <w:rsid w:val="00EA598F"/>
    <w:rsid w:val="00EB26CB"/>
    <w:rsid w:val="00EB32E0"/>
    <w:rsid w:val="00EB3EDF"/>
    <w:rsid w:val="00EB48CD"/>
    <w:rsid w:val="00EB6935"/>
    <w:rsid w:val="00EB75FA"/>
    <w:rsid w:val="00EB7FE1"/>
    <w:rsid w:val="00EC1154"/>
    <w:rsid w:val="00EC1892"/>
    <w:rsid w:val="00EC6B20"/>
    <w:rsid w:val="00ED0FCC"/>
    <w:rsid w:val="00ED3869"/>
    <w:rsid w:val="00EE0398"/>
    <w:rsid w:val="00EE12F0"/>
    <w:rsid w:val="00EE48BF"/>
    <w:rsid w:val="00EE5042"/>
    <w:rsid w:val="00EF0749"/>
    <w:rsid w:val="00EF4EBD"/>
    <w:rsid w:val="00EF530E"/>
    <w:rsid w:val="00F011B2"/>
    <w:rsid w:val="00F0228B"/>
    <w:rsid w:val="00F05882"/>
    <w:rsid w:val="00F06419"/>
    <w:rsid w:val="00F069FA"/>
    <w:rsid w:val="00F074AF"/>
    <w:rsid w:val="00F0752A"/>
    <w:rsid w:val="00F13177"/>
    <w:rsid w:val="00F168FB"/>
    <w:rsid w:val="00F21C5B"/>
    <w:rsid w:val="00F2359B"/>
    <w:rsid w:val="00F25591"/>
    <w:rsid w:val="00F27887"/>
    <w:rsid w:val="00F279E8"/>
    <w:rsid w:val="00F27D44"/>
    <w:rsid w:val="00F301FF"/>
    <w:rsid w:val="00F3319B"/>
    <w:rsid w:val="00F36735"/>
    <w:rsid w:val="00F43686"/>
    <w:rsid w:val="00F437C5"/>
    <w:rsid w:val="00F47B17"/>
    <w:rsid w:val="00F53685"/>
    <w:rsid w:val="00F5514A"/>
    <w:rsid w:val="00F56874"/>
    <w:rsid w:val="00F57AD5"/>
    <w:rsid w:val="00F6400C"/>
    <w:rsid w:val="00F65558"/>
    <w:rsid w:val="00F658A4"/>
    <w:rsid w:val="00F667A8"/>
    <w:rsid w:val="00F67AB8"/>
    <w:rsid w:val="00F704B2"/>
    <w:rsid w:val="00F70755"/>
    <w:rsid w:val="00F7157E"/>
    <w:rsid w:val="00F733B6"/>
    <w:rsid w:val="00F74867"/>
    <w:rsid w:val="00F749FB"/>
    <w:rsid w:val="00F75472"/>
    <w:rsid w:val="00F7616E"/>
    <w:rsid w:val="00F77639"/>
    <w:rsid w:val="00F805DF"/>
    <w:rsid w:val="00F80F9E"/>
    <w:rsid w:val="00F82708"/>
    <w:rsid w:val="00F851EE"/>
    <w:rsid w:val="00F875FD"/>
    <w:rsid w:val="00F93B3F"/>
    <w:rsid w:val="00F966F4"/>
    <w:rsid w:val="00F967C2"/>
    <w:rsid w:val="00FA3759"/>
    <w:rsid w:val="00FA39BE"/>
    <w:rsid w:val="00FA56E1"/>
    <w:rsid w:val="00FA6228"/>
    <w:rsid w:val="00FA748A"/>
    <w:rsid w:val="00FB010E"/>
    <w:rsid w:val="00FB222C"/>
    <w:rsid w:val="00FC02A4"/>
    <w:rsid w:val="00FC2E5C"/>
    <w:rsid w:val="00FC7056"/>
    <w:rsid w:val="00FC7A01"/>
    <w:rsid w:val="00FD6922"/>
    <w:rsid w:val="00FD7A8C"/>
    <w:rsid w:val="00FE1092"/>
    <w:rsid w:val="00FF2A91"/>
    <w:rsid w:val="00FF4887"/>
    <w:rsid w:val="00FF7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322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CE1"/>
    <w:rPr>
      <w:rFonts w:ascii="Times New Roman" w:eastAsia="Times New Roman" w:hAnsi="Times New Roman" w:cs="Times New Roman"/>
      <w:sz w:val="24"/>
      <w:szCs w:val="24"/>
    </w:rPr>
  </w:style>
  <w:style w:type="paragraph" w:styleId="Heading1">
    <w:name w:val="heading 1"/>
    <w:basedOn w:val="Normal"/>
    <w:next w:val="Normal"/>
    <w:link w:val="Heading1Char"/>
    <w:qFormat/>
    <w:rsid w:val="00AC2EE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next w:val="Normal"/>
    <w:link w:val="Heading5Char"/>
    <w:uiPriority w:val="9"/>
    <w:unhideWhenUsed/>
    <w:qFormat/>
    <w:rsid w:val="0059410A"/>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EE2"/>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AC2EE2"/>
    <w:pPr>
      <w:ind w:left="720"/>
      <w:contextualSpacing/>
    </w:pPr>
  </w:style>
  <w:style w:type="character" w:styleId="CommentReference">
    <w:name w:val="annotation reference"/>
    <w:basedOn w:val="DefaultParagraphFont"/>
    <w:uiPriority w:val="99"/>
    <w:unhideWhenUsed/>
    <w:rsid w:val="00AC2EE2"/>
    <w:rPr>
      <w:sz w:val="16"/>
      <w:szCs w:val="16"/>
    </w:rPr>
  </w:style>
  <w:style w:type="paragraph" w:styleId="CommentText">
    <w:name w:val="annotation text"/>
    <w:basedOn w:val="Normal"/>
    <w:link w:val="CommentTextChar"/>
    <w:uiPriority w:val="99"/>
    <w:unhideWhenUsed/>
    <w:rsid w:val="00AC2EE2"/>
    <w:rPr>
      <w:sz w:val="20"/>
      <w:szCs w:val="20"/>
    </w:rPr>
  </w:style>
  <w:style w:type="character" w:customStyle="1" w:styleId="CommentTextChar">
    <w:name w:val="Comment Text Char"/>
    <w:basedOn w:val="DefaultParagraphFont"/>
    <w:link w:val="CommentText"/>
    <w:uiPriority w:val="99"/>
    <w:rsid w:val="00AC2EE2"/>
    <w:rPr>
      <w:rFonts w:ascii="Times New Roman" w:eastAsia="Times New Roman" w:hAnsi="Times New Roman" w:cs="Times New Roman"/>
      <w:sz w:val="20"/>
      <w:szCs w:val="20"/>
    </w:rPr>
  </w:style>
  <w:style w:type="table" w:styleId="TableGrid">
    <w:name w:val="Table Grid"/>
    <w:basedOn w:val="TableNormal"/>
    <w:uiPriority w:val="59"/>
    <w:rsid w:val="00AC2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C2EE2"/>
    <w:pPr>
      <w:widowControl w:val="0"/>
    </w:pPr>
    <w:rPr>
      <w:rFonts w:ascii="Arial" w:eastAsia="Arial" w:hAnsi="Arial" w:cstheme="minorBidi"/>
      <w:sz w:val="23"/>
      <w:szCs w:val="23"/>
    </w:rPr>
  </w:style>
  <w:style w:type="character" w:customStyle="1" w:styleId="BodyTextChar">
    <w:name w:val="Body Text Char"/>
    <w:basedOn w:val="DefaultParagraphFont"/>
    <w:link w:val="BodyText"/>
    <w:uiPriority w:val="1"/>
    <w:rsid w:val="00AC2EE2"/>
    <w:rPr>
      <w:rFonts w:ascii="Arial" w:eastAsia="Arial" w:hAnsi="Arial"/>
      <w:sz w:val="23"/>
      <w:szCs w:val="23"/>
    </w:rPr>
  </w:style>
  <w:style w:type="paragraph" w:customStyle="1" w:styleId="SuicideBodyText">
    <w:name w:val="Suicide Body Text"/>
    <w:basedOn w:val="Normal"/>
    <w:link w:val="SuicideBodyTextChar"/>
    <w:rsid w:val="00AC2EE2"/>
    <w:pPr>
      <w:autoSpaceDE w:val="0"/>
      <w:autoSpaceDN w:val="0"/>
      <w:adjustRightInd w:val="0"/>
    </w:pPr>
  </w:style>
  <w:style w:type="character" w:customStyle="1" w:styleId="SuicideBodyTextChar">
    <w:name w:val="Suicide Body Text Char"/>
    <w:link w:val="SuicideBodyText"/>
    <w:rsid w:val="00AC2EE2"/>
    <w:rPr>
      <w:rFonts w:ascii="Times New Roman" w:eastAsia="Times New Roman" w:hAnsi="Times New Roman" w:cs="Times New Roman"/>
      <w:sz w:val="24"/>
      <w:szCs w:val="24"/>
    </w:rPr>
  </w:style>
  <w:style w:type="paragraph" w:customStyle="1" w:styleId="GLSBody">
    <w:name w:val="GLS Body"/>
    <w:basedOn w:val="Normal"/>
    <w:link w:val="GLSBodyChar"/>
    <w:rsid w:val="00AC2EE2"/>
    <w:pPr>
      <w:autoSpaceDE w:val="0"/>
      <w:autoSpaceDN w:val="0"/>
      <w:adjustRightInd w:val="0"/>
      <w:spacing w:after="240"/>
    </w:pPr>
  </w:style>
  <w:style w:type="character" w:customStyle="1" w:styleId="GLSBodyChar">
    <w:name w:val="GLS Body Char"/>
    <w:link w:val="GLSBody"/>
    <w:rsid w:val="00AC2EE2"/>
    <w:rPr>
      <w:rFonts w:ascii="Times New Roman" w:eastAsia="Times New Roman" w:hAnsi="Times New Roman" w:cs="Times New Roman"/>
      <w:sz w:val="24"/>
      <w:szCs w:val="24"/>
    </w:rPr>
  </w:style>
  <w:style w:type="paragraph" w:customStyle="1" w:styleId="SuicideBullet1">
    <w:name w:val="Suicide Bullet 1"/>
    <w:basedOn w:val="Normal"/>
    <w:qFormat/>
    <w:rsid w:val="00AC2EE2"/>
    <w:pPr>
      <w:numPr>
        <w:numId w:val="2"/>
      </w:numPr>
      <w:tabs>
        <w:tab w:val="left" w:pos="-1440"/>
        <w:tab w:val="left" w:pos="360"/>
      </w:tabs>
      <w:autoSpaceDE w:val="0"/>
      <w:autoSpaceDN w:val="0"/>
      <w:adjustRightInd w:val="0"/>
      <w:ind w:left="360"/>
    </w:pPr>
  </w:style>
  <w:style w:type="paragraph" w:styleId="FootnoteText">
    <w:name w:val="footnote text"/>
    <w:basedOn w:val="Normal"/>
    <w:link w:val="FootnoteTextChar"/>
    <w:uiPriority w:val="99"/>
    <w:unhideWhenUsed/>
    <w:rsid w:val="00AC2EE2"/>
    <w:pPr>
      <w:autoSpaceDE w:val="0"/>
      <w:autoSpaceDN w:val="0"/>
      <w:adjustRightInd w:val="0"/>
    </w:pPr>
    <w:rPr>
      <w:sz w:val="20"/>
      <w:szCs w:val="20"/>
    </w:rPr>
  </w:style>
  <w:style w:type="character" w:customStyle="1" w:styleId="FootnoteTextChar">
    <w:name w:val="Footnote Text Char"/>
    <w:basedOn w:val="DefaultParagraphFont"/>
    <w:link w:val="FootnoteText"/>
    <w:uiPriority w:val="99"/>
    <w:rsid w:val="00AC2EE2"/>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AC2EE2"/>
    <w:rPr>
      <w:vertAlign w:val="superscript"/>
    </w:rPr>
  </w:style>
  <w:style w:type="paragraph" w:customStyle="1" w:styleId="ProposalBodyText">
    <w:name w:val="Proposal Body Text"/>
    <w:basedOn w:val="Normal"/>
    <w:link w:val="ProposalBodyTextChar"/>
    <w:qFormat/>
    <w:rsid w:val="00AC2EE2"/>
    <w:pPr>
      <w:tabs>
        <w:tab w:val="left" w:pos="0"/>
      </w:tabs>
      <w:autoSpaceDE w:val="0"/>
      <w:autoSpaceDN w:val="0"/>
      <w:adjustRightInd w:val="0"/>
      <w:contextualSpacing/>
    </w:pPr>
    <w:rPr>
      <w:szCs w:val="20"/>
    </w:rPr>
  </w:style>
  <w:style w:type="character" w:customStyle="1" w:styleId="ProposalBodyTextChar">
    <w:name w:val="Proposal Body Text Char"/>
    <w:link w:val="ProposalBodyText"/>
    <w:rsid w:val="00AC2EE2"/>
    <w:rPr>
      <w:rFonts w:ascii="Times New Roman" w:eastAsia="Times New Roman" w:hAnsi="Times New Roman" w:cs="Times New Roman"/>
      <w:sz w:val="24"/>
      <w:szCs w:val="20"/>
    </w:rPr>
  </w:style>
  <w:style w:type="character" w:customStyle="1" w:styleId="minorhead">
    <w:name w:val="minorhead"/>
    <w:rsid w:val="00AC2EE2"/>
    <w:rPr>
      <w:rFonts w:ascii="Arial" w:hAnsi="Arial" w:cs="Arial"/>
      <w:b/>
      <w:bCs/>
      <w:sz w:val="24"/>
      <w:szCs w:val="24"/>
    </w:rPr>
  </w:style>
  <w:style w:type="paragraph" w:styleId="CommentSubject">
    <w:name w:val="annotation subject"/>
    <w:basedOn w:val="CommentText"/>
    <w:next w:val="CommentText"/>
    <w:link w:val="CommentSubjectChar"/>
    <w:uiPriority w:val="99"/>
    <w:semiHidden/>
    <w:unhideWhenUsed/>
    <w:rsid w:val="005732C6"/>
    <w:rPr>
      <w:b/>
      <w:bCs/>
    </w:rPr>
  </w:style>
  <w:style w:type="character" w:customStyle="1" w:styleId="CommentSubjectChar">
    <w:name w:val="Comment Subject Char"/>
    <w:basedOn w:val="CommentTextChar"/>
    <w:link w:val="CommentSubject"/>
    <w:uiPriority w:val="99"/>
    <w:semiHidden/>
    <w:rsid w:val="005732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732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2C6"/>
    <w:rPr>
      <w:rFonts w:ascii="Segoe UI" w:eastAsia="Times New Roman" w:hAnsi="Segoe UI" w:cs="Segoe UI"/>
      <w:sz w:val="18"/>
      <w:szCs w:val="18"/>
    </w:rPr>
  </w:style>
  <w:style w:type="paragraph" w:styleId="Header">
    <w:name w:val="header"/>
    <w:basedOn w:val="Normal"/>
    <w:link w:val="HeaderChar"/>
    <w:uiPriority w:val="99"/>
    <w:unhideWhenUsed/>
    <w:rsid w:val="005732C6"/>
    <w:pPr>
      <w:tabs>
        <w:tab w:val="center" w:pos="4680"/>
        <w:tab w:val="right" w:pos="9360"/>
      </w:tabs>
    </w:pPr>
  </w:style>
  <w:style w:type="character" w:customStyle="1" w:styleId="HeaderChar">
    <w:name w:val="Header Char"/>
    <w:basedOn w:val="DefaultParagraphFont"/>
    <w:link w:val="Header"/>
    <w:uiPriority w:val="99"/>
    <w:rsid w:val="005732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732C6"/>
    <w:pPr>
      <w:tabs>
        <w:tab w:val="center" w:pos="4680"/>
        <w:tab w:val="right" w:pos="9360"/>
      </w:tabs>
    </w:pPr>
  </w:style>
  <w:style w:type="character" w:customStyle="1" w:styleId="FooterChar">
    <w:name w:val="Footer Char"/>
    <w:basedOn w:val="DefaultParagraphFont"/>
    <w:link w:val="Footer"/>
    <w:uiPriority w:val="99"/>
    <w:rsid w:val="005732C6"/>
    <w:rPr>
      <w:rFonts w:ascii="Times New Roman" w:eastAsia="Times New Roman" w:hAnsi="Times New Roman" w:cs="Times New Roman"/>
      <w:sz w:val="24"/>
      <w:szCs w:val="24"/>
    </w:rPr>
  </w:style>
  <w:style w:type="paragraph" w:customStyle="1" w:styleId="GLSReference">
    <w:name w:val="GLS Reference"/>
    <w:rsid w:val="000802F7"/>
    <w:pPr>
      <w:spacing w:before="120"/>
      <w:ind w:left="360" w:hanging="360"/>
    </w:pPr>
    <w:rPr>
      <w:rFonts w:ascii="Times New Roman" w:eastAsia="Times New Roman" w:hAnsi="Times New Roman" w:cs="Times New Roman"/>
      <w:sz w:val="24"/>
      <w:szCs w:val="20"/>
    </w:rPr>
  </w:style>
  <w:style w:type="paragraph" w:styleId="ListBullet">
    <w:name w:val="List Bullet"/>
    <w:basedOn w:val="Normal"/>
    <w:rsid w:val="003E0A6E"/>
    <w:pPr>
      <w:numPr>
        <w:numId w:val="4"/>
      </w:numPr>
      <w:spacing w:after="120"/>
      <w:jc w:val="left"/>
    </w:pPr>
    <w:rPr>
      <w:szCs w:val="22"/>
    </w:rPr>
  </w:style>
  <w:style w:type="character" w:styleId="Emphasis">
    <w:name w:val="Emphasis"/>
    <w:basedOn w:val="DefaultParagraphFont"/>
    <w:uiPriority w:val="20"/>
    <w:qFormat/>
    <w:rsid w:val="003E0A6E"/>
    <w:rPr>
      <w:i/>
      <w:iCs/>
    </w:rPr>
  </w:style>
  <w:style w:type="character" w:customStyle="1" w:styleId="apple-converted-space">
    <w:name w:val="apple-converted-space"/>
    <w:basedOn w:val="DefaultParagraphFont"/>
    <w:rsid w:val="003E0A6E"/>
  </w:style>
  <w:style w:type="paragraph" w:customStyle="1" w:styleId="GLSTable1">
    <w:name w:val="GLS Table 1"/>
    <w:basedOn w:val="Normal"/>
    <w:link w:val="GLSTable1Char"/>
    <w:qFormat/>
    <w:rsid w:val="003E0A6E"/>
    <w:pPr>
      <w:autoSpaceDE w:val="0"/>
      <w:autoSpaceDN w:val="0"/>
      <w:adjustRightInd w:val="0"/>
      <w:spacing w:before="40" w:after="40"/>
      <w:jc w:val="center"/>
    </w:pPr>
    <w:rPr>
      <w:rFonts w:ascii="Tw Cen MT" w:hAnsi="Tw Cen MT" w:cs="Arial"/>
      <w:b/>
      <w:szCs w:val="20"/>
    </w:rPr>
  </w:style>
  <w:style w:type="paragraph" w:customStyle="1" w:styleId="GLSTableBullet1">
    <w:name w:val="GLS Table Bullet 1"/>
    <w:basedOn w:val="Normal"/>
    <w:qFormat/>
    <w:rsid w:val="003E0A6E"/>
    <w:pPr>
      <w:spacing w:before="40" w:after="20"/>
      <w:contextualSpacing/>
    </w:pPr>
    <w:rPr>
      <w:rFonts w:ascii="Tw Cen MT" w:hAnsi="Tw Cen MT" w:cs="Arial"/>
      <w:szCs w:val="20"/>
    </w:rPr>
  </w:style>
  <w:style w:type="paragraph" w:customStyle="1" w:styleId="GLSBullet1">
    <w:name w:val="GLS Bullet 1"/>
    <w:basedOn w:val="Normal"/>
    <w:rsid w:val="00F0752A"/>
    <w:pPr>
      <w:autoSpaceDE w:val="0"/>
      <w:autoSpaceDN w:val="0"/>
      <w:adjustRightInd w:val="0"/>
      <w:spacing w:after="60"/>
      <w:jc w:val="left"/>
    </w:pPr>
  </w:style>
  <w:style w:type="paragraph" w:customStyle="1" w:styleId="GLSH4">
    <w:name w:val="GLS H4"/>
    <w:rsid w:val="00BB3FA5"/>
    <w:pPr>
      <w:keepNext/>
      <w:spacing w:after="120"/>
      <w:jc w:val="left"/>
    </w:pPr>
    <w:rPr>
      <w:rFonts w:ascii="Tw Cen MT" w:eastAsia="Times New Roman" w:hAnsi="Tw Cen MT" w:cs="Arial"/>
      <w:b/>
      <w:iCs/>
      <w:color w:val="296D7F"/>
      <w:sz w:val="28"/>
      <w:szCs w:val="24"/>
      <w:u w:val="single"/>
    </w:rPr>
  </w:style>
  <w:style w:type="character" w:styleId="Hyperlink">
    <w:name w:val="Hyperlink"/>
    <w:basedOn w:val="DefaultParagraphFont"/>
    <w:uiPriority w:val="99"/>
    <w:unhideWhenUsed/>
    <w:rsid w:val="00BB3FA5"/>
    <w:rPr>
      <w:color w:val="0563C1" w:themeColor="hyperlink"/>
      <w:u w:val="single"/>
    </w:rPr>
  </w:style>
  <w:style w:type="paragraph" w:customStyle="1" w:styleId="GLSTableBullet2">
    <w:name w:val="GLS Table Bullet 2"/>
    <w:basedOn w:val="Normal"/>
    <w:qFormat/>
    <w:rsid w:val="00757B1A"/>
    <w:pPr>
      <w:numPr>
        <w:numId w:val="5"/>
      </w:numPr>
      <w:autoSpaceDE w:val="0"/>
      <w:autoSpaceDN w:val="0"/>
      <w:adjustRightInd w:val="0"/>
      <w:spacing w:before="40" w:after="40"/>
      <w:ind w:left="510" w:hanging="240"/>
      <w:jc w:val="left"/>
    </w:pPr>
    <w:rPr>
      <w:rFonts w:ascii="Tw Cen MT" w:eastAsiaTheme="minorEastAsia" w:hAnsi="Tw Cen MT" w:cs="Arial"/>
      <w:szCs w:val="20"/>
    </w:rPr>
  </w:style>
  <w:style w:type="paragraph" w:customStyle="1" w:styleId="GLSTable3">
    <w:name w:val="GLS Table 3"/>
    <w:basedOn w:val="Normal"/>
    <w:qFormat/>
    <w:rsid w:val="00FB010E"/>
    <w:pPr>
      <w:autoSpaceDE w:val="0"/>
      <w:autoSpaceDN w:val="0"/>
      <w:adjustRightInd w:val="0"/>
      <w:spacing w:before="40" w:after="40"/>
      <w:jc w:val="left"/>
    </w:pPr>
    <w:rPr>
      <w:rFonts w:ascii="Tw Cen MT" w:hAnsi="Tw Cen MT" w:cs="Arial"/>
      <w:szCs w:val="20"/>
    </w:rPr>
  </w:style>
  <w:style w:type="paragraph" w:customStyle="1" w:styleId="proposalbodytext0">
    <w:name w:val="proposalbodytext"/>
    <w:basedOn w:val="Normal"/>
    <w:semiHidden/>
    <w:rsid w:val="00F0228B"/>
    <w:pPr>
      <w:spacing w:before="100" w:beforeAutospacing="1" w:after="100" w:afterAutospacing="1"/>
      <w:jc w:val="left"/>
    </w:pPr>
    <w:rPr>
      <w:rFonts w:ascii="Arial Unicode MS" w:eastAsia="Arial Unicode MS" w:hAnsi="Arial Unicode MS" w:cs="Arial Unicode MS"/>
    </w:rPr>
  </w:style>
  <w:style w:type="paragraph" w:styleId="DocumentMap">
    <w:name w:val="Document Map"/>
    <w:basedOn w:val="Normal"/>
    <w:link w:val="DocumentMapChar"/>
    <w:semiHidden/>
    <w:rsid w:val="00683939"/>
    <w:pPr>
      <w:shd w:val="clear" w:color="auto" w:fill="000080"/>
      <w:jc w:val="left"/>
    </w:pPr>
    <w:rPr>
      <w:rFonts w:ascii="Tahoma" w:hAnsi="Tahoma" w:cs="Tahoma"/>
      <w:sz w:val="20"/>
      <w:szCs w:val="20"/>
    </w:rPr>
  </w:style>
  <w:style w:type="character" w:customStyle="1" w:styleId="DocumentMapChar">
    <w:name w:val="Document Map Char"/>
    <w:basedOn w:val="DefaultParagraphFont"/>
    <w:link w:val="DocumentMap"/>
    <w:semiHidden/>
    <w:rsid w:val="00683939"/>
    <w:rPr>
      <w:rFonts w:ascii="Tahoma" w:eastAsia="Times New Roman" w:hAnsi="Tahoma" w:cs="Tahoma"/>
      <w:sz w:val="20"/>
      <w:szCs w:val="20"/>
      <w:shd w:val="clear" w:color="auto" w:fill="000080"/>
    </w:rPr>
  </w:style>
  <w:style w:type="paragraph" w:customStyle="1" w:styleId="SuicideHead3">
    <w:name w:val="Suicide Head 3"/>
    <w:basedOn w:val="Normal"/>
    <w:qFormat/>
    <w:rsid w:val="00683939"/>
    <w:pPr>
      <w:widowControl w:val="0"/>
      <w:numPr>
        <w:numId w:val="7"/>
      </w:numPr>
      <w:autoSpaceDE w:val="0"/>
      <w:autoSpaceDN w:val="0"/>
      <w:adjustRightInd w:val="0"/>
      <w:spacing w:after="120"/>
      <w:jc w:val="left"/>
    </w:pPr>
    <w:rPr>
      <w:rFonts w:ascii="Arial" w:hAnsi="Arial" w:cs="Arial"/>
      <w:b/>
      <w:i/>
      <w:sz w:val="26"/>
      <w:szCs w:val="26"/>
    </w:rPr>
  </w:style>
  <w:style w:type="paragraph" w:customStyle="1" w:styleId="SuicideTableTitle">
    <w:name w:val="Suicide Table Title"/>
    <w:basedOn w:val="Normal"/>
    <w:qFormat/>
    <w:rsid w:val="007D1703"/>
    <w:pPr>
      <w:tabs>
        <w:tab w:val="left" w:pos="-1440"/>
      </w:tabs>
      <w:autoSpaceDE w:val="0"/>
      <w:autoSpaceDN w:val="0"/>
      <w:adjustRightInd w:val="0"/>
      <w:spacing w:after="120"/>
      <w:jc w:val="center"/>
    </w:pPr>
    <w:rPr>
      <w:rFonts w:ascii="Arial" w:hAnsi="Arial" w:cs="Arial"/>
      <w:b/>
      <w:sz w:val="20"/>
      <w:szCs w:val="20"/>
    </w:rPr>
  </w:style>
  <w:style w:type="character" w:customStyle="1" w:styleId="Heading5Char">
    <w:name w:val="Heading 5 Char"/>
    <w:basedOn w:val="DefaultParagraphFont"/>
    <w:link w:val="Heading5"/>
    <w:uiPriority w:val="9"/>
    <w:rsid w:val="0059410A"/>
    <w:rPr>
      <w:rFonts w:asciiTheme="majorHAnsi" w:eastAsiaTheme="majorEastAsia" w:hAnsiTheme="majorHAnsi" w:cstheme="majorBidi"/>
      <w:color w:val="2E74B5" w:themeColor="accent1" w:themeShade="BF"/>
      <w:sz w:val="24"/>
      <w:szCs w:val="24"/>
    </w:rPr>
  </w:style>
  <w:style w:type="paragraph" w:customStyle="1" w:styleId="GLSBullet2">
    <w:name w:val="GLS Bullet 2"/>
    <w:basedOn w:val="Normal"/>
    <w:rsid w:val="00C70B68"/>
    <w:pPr>
      <w:numPr>
        <w:numId w:val="8"/>
      </w:numPr>
      <w:autoSpaceDE w:val="0"/>
      <w:autoSpaceDN w:val="0"/>
      <w:adjustRightInd w:val="0"/>
      <w:spacing w:after="60"/>
      <w:jc w:val="left"/>
    </w:pPr>
  </w:style>
  <w:style w:type="paragraph" w:customStyle="1" w:styleId="SuicideBullet2">
    <w:name w:val="Suicide Bullet 2"/>
    <w:basedOn w:val="Normal"/>
    <w:qFormat/>
    <w:rsid w:val="00E842CC"/>
    <w:pPr>
      <w:widowControl w:val="0"/>
      <w:numPr>
        <w:ilvl w:val="1"/>
        <w:numId w:val="21"/>
      </w:numPr>
      <w:autoSpaceDE w:val="0"/>
      <w:autoSpaceDN w:val="0"/>
      <w:adjustRightInd w:val="0"/>
      <w:ind w:left="720"/>
      <w:jc w:val="left"/>
    </w:pPr>
  </w:style>
  <w:style w:type="paragraph" w:styleId="NoSpacing">
    <w:name w:val="No Spacing"/>
    <w:aliases w:val="GLS No Spacing"/>
    <w:uiPriority w:val="1"/>
    <w:qFormat/>
    <w:rsid w:val="005701B4"/>
    <w:pPr>
      <w:jc w:val="left"/>
    </w:pPr>
  </w:style>
  <w:style w:type="paragraph" w:customStyle="1" w:styleId="GLSH3">
    <w:name w:val="GLS H3"/>
    <w:basedOn w:val="Normal"/>
    <w:rsid w:val="00D5605E"/>
    <w:pPr>
      <w:keepNext/>
      <w:autoSpaceDE w:val="0"/>
      <w:autoSpaceDN w:val="0"/>
      <w:adjustRightInd w:val="0"/>
      <w:spacing w:after="120"/>
      <w:jc w:val="left"/>
    </w:pPr>
    <w:rPr>
      <w:rFonts w:ascii="Tw Cen MT" w:hAnsi="Tw Cen MT" w:cs="Arial"/>
      <w:b/>
      <w:color w:val="000000"/>
      <w:sz w:val="28"/>
    </w:rPr>
  </w:style>
  <w:style w:type="paragraph" w:customStyle="1" w:styleId="GLSTable2">
    <w:name w:val="GLS Table 2"/>
    <w:basedOn w:val="Normal"/>
    <w:qFormat/>
    <w:rsid w:val="00D5605E"/>
    <w:pPr>
      <w:autoSpaceDE w:val="0"/>
      <w:autoSpaceDN w:val="0"/>
      <w:adjustRightInd w:val="0"/>
      <w:spacing w:before="40" w:after="40"/>
      <w:jc w:val="left"/>
    </w:pPr>
    <w:rPr>
      <w:rFonts w:ascii="Tw Cen MT" w:hAnsi="Tw Cen MT" w:cs="Arial"/>
      <w:b/>
      <w:color w:val="000000"/>
      <w:sz w:val="22"/>
      <w:szCs w:val="20"/>
    </w:rPr>
  </w:style>
  <w:style w:type="paragraph" w:customStyle="1" w:styleId="GLSTableExhibit">
    <w:name w:val="GLS Table/Exhibit"/>
    <w:basedOn w:val="Normal"/>
    <w:rsid w:val="00D5605E"/>
    <w:pPr>
      <w:keepNext/>
      <w:autoSpaceDE w:val="0"/>
      <w:autoSpaceDN w:val="0"/>
      <w:adjustRightInd w:val="0"/>
      <w:spacing w:after="120"/>
      <w:jc w:val="center"/>
    </w:pPr>
    <w:rPr>
      <w:rFonts w:ascii="Tw Cen MT" w:hAnsi="Tw Cen MT"/>
      <w:b/>
      <w:color w:val="C86665"/>
      <w:szCs w:val="20"/>
    </w:rPr>
  </w:style>
  <w:style w:type="table" w:customStyle="1" w:styleId="TableGrid2">
    <w:name w:val="Table Grid2"/>
    <w:basedOn w:val="TableNormal"/>
    <w:next w:val="TableGrid"/>
    <w:uiPriority w:val="39"/>
    <w:rsid w:val="00D5605E"/>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D5605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GLSTable1"/>
    <w:link w:val="Style2Char"/>
    <w:qFormat/>
    <w:rsid w:val="00084715"/>
    <w:pPr>
      <w:jc w:val="left"/>
    </w:pPr>
    <w:rPr>
      <w:sz w:val="28"/>
    </w:rPr>
  </w:style>
  <w:style w:type="paragraph" w:customStyle="1" w:styleId="Default">
    <w:name w:val="Default"/>
    <w:rsid w:val="00AF797C"/>
    <w:pPr>
      <w:autoSpaceDE w:val="0"/>
      <w:autoSpaceDN w:val="0"/>
      <w:adjustRightInd w:val="0"/>
      <w:jc w:val="left"/>
    </w:pPr>
    <w:rPr>
      <w:rFonts w:ascii="Georgia" w:hAnsi="Georgia" w:cs="Georgia"/>
      <w:color w:val="000000"/>
      <w:sz w:val="24"/>
      <w:szCs w:val="24"/>
    </w:rPr>
  </w:style>
  <w:style w:type="character" w:customStyle="1" w:styleId="GLSTable1Char">
    <w:name w:val="GLS Table 1 Char"/>
    <w:basedOn w:val="DefaultParagraphFont"/>
    <w:link w:val="GLSTable1"/>
    <w:rsid w:val="00084715"/>
    <w:rPr>
      <w:rFonts w:ascii="Tw Cen MT" w:eastAsia="Times New Roman" w:hAnsi="Tw Cen MT" w:cs="Arial"/>
      <w:b/>
      <w:sz w:val="24"/>
      <w:szCs w:val="20"/>
    </w:rPr>
  </w:style>
  <w:style w:type="character" w:customStyle="1" w:styleId="Style2Char">
    <w:name w:val="Style2 Char"/>
    <w:basedOn w:val="GLSTable1Char"/>
    <w:link w:val="Style2"/>
    <w:rsid w:val="00084715"/>
    <w:rPr>
      <w:rFonts w:ascii="Tw Cen MT" w:eastAsia="Times New Roman" w:hAnsi="Tw Cen MT" w:cs="Arial"/>
      <w:b/>
      <w:sz w:val="28"/>
      <w:szCs w:val="20"/>
    </w:rPr>
  </w:style>
  <w:style w:type="paragraph" w:customStyle="1" w:styleId="Pa2">
    <w:name w:val="Pa2"/>
    <w:basedOn w:val="Default"/>
    <w:next w:val="Default"/>
    <w:uiPriority w:val="99"/>
    <w:rsid w:val="008B7C15"/>
    <w:pPr>
      <w:spacing w:line="241" w:lineRule="atLeast"/>
    </w:pPr>
    <w:rPr>
      <w:rFonts w:ascii="Garamond" w:hAnsi="Garamond" w:cstheme="minorBidi"/>
      <w:color w:val="auto"/>
    </w:rPr>
  </w:style>
  <w:style w:type="paragraph" w:customStyle="1" w:styleId="SuicideTableHeading1">
    <w:name w:val="Suicide Table Heading 1"/>
    <w:basedOn w:val="Normal"/>
    <w:qFormat/>
    <w:rsid w:val="000E7EEB"/>
    <w:pPr>
      <w:tabs>
        <w:tab w:val="left" w:pos="-1440"/>
      </w:tabs>
      <w:autoSpaceDE w:val="0"/>
      <w:autoSpaceDN w:val="0"/>
      <w:adjustRightInd w:val="0"/>
      <w:jc w:val="center"/>
    </w:pPr>
    <w:rPr>
      <w:rFonts w:ascii="Arial" w:hAnsi="Arial" w:cs="Arial"/>
      <w:b/>
      <w:color w:val="FFFFFF"/>
      <w:sz w:val="20"/>
      <w:szCs w:val="20"/>
    </w:rPr>
  </w:style>
  <w:style w:type="table" w:customStyle="1" w:styleId="TableGrid1">
    <w:name w:val="Table Grid1"/>
    <w:basedOn w:val="TableNormal"/>
    <w:next w:val="TableGrid"/>
    <w:uiPriority w:val="39"/>
    <w:rsid w:val="0076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icideTableHeading2">
    <w:name w:val="Suicide Table Heading 2"/>
    <w:basedOn w:val="Normal"/>
    <w:qFormat/>
    <w:rsid w:val="00665C18"/>
    <w:pPr>
      <w:tabs>
        <w:tab w:val="left" w:pos="-1440"/>
      </w:tabs>
      <w:autoSpaceDE w:val="0"/>
      <w:autoSpaceDN w:val="0"/>
      <w:adjustRightInd w:val="0"/>
      <w:spacing w:before="120"/>
      <w:jc w:val="left"/>
    </w:pPr>
    <w:rPr>
      <w:rFonts w:ascii="Arial" w:hAnsi="Arial" w:cs="Arial"/>
      <w:b/>
      <w:sz w:val="20"/>
      <w:szCs w:val="20"/>
    </w:rPr>
  </w:style>
  <w:style w:type="paragraph" w:customStyle="1" w:styleId="SuicideTableText">
    <w:name w:val="Suicide Table Text"/>
    <w:basedOn w:val="Normal"/>
    <w:qFormat/>
    <w:rsid w:val="00665C18"/>
    <w:pPr>
      <w:autoSpaceDE w:val="0"/>
      <w:autoSpaceDN w:val="0"/>
      <w:adjustRightInd w:val="0"/>
      <w:spacing w:before="60" w:after="60"/>
      <w:jc w:val="left"/>
    </w:pPr>
    <w:rPr>
      <w:rFonts w:ascii="Arial" w:hAnsi="Arial" w:cs="Arial"/>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CE1"/>
    <w:rPr>
      <w:rFonts w:ascii="Times New Roman" w:eastAsia="Times New Roman" w:hAnsi="Times New Roman" w:cs="Times New Roman"/>
      <w:sz w:val="24"/>
      <w:szCs w:val="24"/>
    </w:rPr>
  </w:style>
  <w:style w:type="paragraph" w:styleId="Heading1">
    <w:name w:val="heading 1"/>
    <w:basedOn w:val="Normal"/>
    <w:next w:val="Normal"/>
    <w:link w:val="Heading1Char"/>
    <w:qFormat/>
    <w:rsid w:val="00AC2EE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next w:val="Normal"/>
    <w:link w:val="Heading5Char"/>
    <w:uiPriority w:val="9"/>
    <w:unhideWhenUsed/>
    <w:qFormat/>
    <w:rsid w:val="0059410A"/>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EE2"/>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AC2EE2"/>
    <w:pPr>
      <w:ind w:left="720"/>
      <w:contextualSpacing/>
    </w:pPr>
  </w:style>
  <w:style w:type="character" w:styleId="CommentReference">
    <w:name w:val="annotation reference"/>
    <w:basedOn w:val="DefaultParagraphFont"/>
    <w:uiPriority w:val="99"/>
    <w:unhideWhenUsed/>
    <w:rsid w:val="00AC2EE2"/>
    <w:rPr>
      <w:sz w:val="16"/>
      <w:szCs w:val="16"/>
    </w:rPr>
  </w:style>
  <w:style w:type="paragraph" w:styleId="CommentText">
    <w:name w:val="annotation text"/>
    <w:basedOn w:val="Normal"/>
    <w:link w:val="CommentTextChar"/>
    <w:uiPriority w:val="99"/>
    <w:unhideWhenUsed/>
    <w:rsid w:val="00AC2EE2"/>
    <w:rPr>
      <w:sz w:val="20"/>
      <w:szCs w:val="20"/>
    </w:rPr>
  </w:style>
  <w:style w:type="character" w:customStyle="1" w:styleId="CommentTextChar">
    <w:name w:val="Comment Text Char"/>
    <w:basedOn w:val="DefaultParagraphFont"/>
    <w:link w:val="CommentText"/>
    <w:uiPriority w:val="99"/>
    <w:rsid w:val="00AC2EE2"/>
    <w:rPr>
      <w:rFonts w:ascii="Times New Roman" w:eastAsia="Times New Roman" w:hAnsi="Times New Roman" w:cs="Times New Roman"/>
      <w:sz w:val="20"/>
      <w:szCs w:val="20"/>
    </w:rPr>
  </w:style>
  <w:style w:type="table" w:styleId="TableGrid">
    <w:name w:val="Table Grid"/>
    <w:basedOn w:val="TableNormal"/>
    <w:uiPriority w:val="59"/>
    <w:rsid w:val="00AC2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C2EE2"/>
    <w:pPr>
      <w:widowControl w:val="0"/>
    </w:pPr>
    <w:rPr>
      <w:rFonts w:ascii="Arial" w:eastAsia="Arial" w:hAnsi="Arial" w:cstheme="minorBidi"/>
      <w:sz w:val="23"/>
      <w:szCs w:val="23"/>
    </w:rPr>
  </w:style>
  <w:style w:type="character" w:customStyle="1" w:styleId="BodyTextChar">
    <w:name w:val="Body Text Char"/>
    <w:basedOn w:val="DefaultParagraphFont"/>
    <w:link w:val="BodyText"/>
    <w:uiPriority w:val="1"/>
    <w:rsid w:val="00AC2EE2"/>
    <w:rPr>
      <w:rFonts w:ascii="Arial" w:eastAsia="Arial" w:hAnsi="Arial"/>
      <w:sz w:val="23"/>
      <w:szCs w:val="23"/>
    </w:rPr>
  </w:style>
  <w:style w:type="paragraph" w:customStyle="1" w:styleId="SuicideBodyText">
    <w:name w:val="Suicide Body Text"/>
    <w:basedOn w:val="Normal"/>
    <w:link w:val="SuicideBodyTextChar"/>
    <w:rsid w:val="00AC2EE2"/>
    <w:pPr>
      <w:autoSpaceDE w:val="0"/>
      <w:autoSpaceDN w:val="0"/>
      <w:adjustRightInd w:val="0"/>
    </w:pPr>
  </w:style>
  <w:style w:type="character" w:customStyle="1" w:styleId="SuicideBodyTextChar">
    <w:name w:val="Suicide Body Text Char"/>
    <w:link w:val="SuicideBodyText"/>
    <w:rsid w:val="00AC2EE2"/>
    <w:rPr>
      <w:rFonts w:ascii="Times New Roman" w:eastAsia="Times New Roman" w:hAnsi="Times New Roman" w:cs="Times New Roman"/>
      <w:sz w:val="24"/>
      <w:szCs w:val="24"/>
    </w:rPr>
  </w:style>
  <w:style w:type="paragraph" w:customStyle="1" w:styleId="GLSBody">
    <w:name w:val="GLS Body"/>
    <w:basedOn w:val="Normal"/>
    <w:link w:val="GLSBodyChar"/>
    <w:rsid w:val="00AC2EE2"/>
    <w:pPr>
      <w:autoSpaceDE w:val="0"/>
      <w:autoSpaceDN w:val="0"/>
      <w:adjustRightInd w:val="0"/>
      <w:spacing w:after="240"/>
    </w:pPr>
  </w:style>
  <w:style w:type="character" w:customStyle="1" w:styleId="GLSBodyChar">
    <w:name w:val="GLS Body Char"/>
    <w:link w:val="GLSBody"/>
    <w:rsid w:val="00AC2EE2"/>
    <w:rPr>
      <w:rFonts w:ascii="Times New Roman" w:eastAsia="Times New Roman" w:hAnsi="Times New Roman" w:cs="Times New Roman"/>
      <w:sz w:val="24"/>
      <w:szCs w:val="24"/>
    </w:rPr>
  </w:style>
  <w:style w:type="paragraph" w:customStyle="1" w:styleId="SuicideBullet1">
    <w:name w:val="Suicide Bullet 1"/>
    <w:basedOn w:val="Normal"/>
    <w:qFormat/>
    <w:rsid w:val="00AC2EE2"/>
    <w:pPr>
      <w:numPr>
        <w:numId w:val="2"/>
      </w:numPr>
      <w:tabs>
        <w:tab w:val="left" w:pos="-1440"/>
        <w:tab w:val="left" w:pos="360"/>
      </w:tabs>
      <w:autoSpaceDE w:val="0"/>
      <w:autoSpaceDN w:val="0"/>
      <w:adjustRightInd w:val="0"/>
      <w:ind w:left="360"/>
    </w:pPr>
  </w:style>
  <w:style w:type="paragraph" w:styleId="FootnoteText">
    <w:name w:val="footnote text"/>
    <w:basedOn w:val="Normal"/>
    <w:link w:val="FootnoteTextChar"/>
    <w:uiPriority w:val="99"/>
    <w:unhideWhenUsed/>
    <w:rsid w:val="00AC2EE2"/>
    <w:pPr>
      <w:autoSpaceDE w:val="0"/>
      <w:autoSpaceDN w:val="0"/>
      <w:adjustRightInd w:val="0"/>
    </w:pPr>
    <w:rPr>
      <w:sz w:val="20"/>
      <w:szCs w:val="20"/>
    </w:rPr>
  </w:style>
  <w:style w:type="character" w:customStyle="1" w:styleId="FootnoteTextChar">
    <w:name w:val="Footnote Text Char"/>
    <w:basedOn w:val="DefaultParagraphFont"/>
    <w:link w:val="FootnoteText"/>
    <w:uiPriority w:val="99"/>
    <w:rsid w:val="00AC2EE2"/>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AC2EE2"/>
    <w:rPr>
      <w:vertAlign w:val="superscript"/>
    </w:rPr>
  </w:style>
  <w:style w:type="paragraph" w:customStyle="1" w:styleId="ProposalBodyText">
    <w:name w:val="Proposal Body Text"/>
    <w:basedOn w:val="Normal"/>
    <w:link w:val="ProposalBodyTextChar"/>
    <w:qFormat/>
    <w:rsid w:val="00AC2EE2"/>
    <w:pPr>
      <w:tabs>
        <w:tab w:val="left" w:pos="0"/>
      </w:tabs>
      <w:autoSpaceDE w:val="0"/>
      <w:autoSpaceDN w:val="0"/>
      <w:adjustRightInd w:val="0"/>
      <w:contextualSpacing/>
    </w:pPr>
    <w:rPr>
      <w:szCs w:val="20"/>
    </w:rPr>
  </w:style>
  <w:style w:type="character" w:customStyle="1" w:styleId="ProposalBodyTextChar">
    <w:name w:val="Proposal Body Text Char"/>
    <w:link w:val="ProposalBodyText"/>
    <w:rsid w:val="00AC2EE2"/>
    <w:rPr>
      <w:rFonts w:ascii="Times New Roman" w:eastAsia="Times New Roman" w:hAnsi="Times New Roman" w:cs="Times New Roman"/>
      <w:sz w:val="24"/>
      <w:szCs w:val="20"/>
    </w:rPr>
  </w:style>
  <w:style w:type="character" w:customStyle="1" w:styleId="minorhead">
    <w:name w:val="minorhead"/>
    <w:rsid w:val="00AC2EE2"/>
    <w:rPr>
      <w:rFonts w:ascii="Arial" w:hAnsi="Arial" w:cs="Arial"/>
      <w:b/>
      <w:bCs/>
      <w:sz w:val="24"/>
      <w:szCs w:val="24"/>
    </w:rPr>
  </w:style>
  <w:style w:type="paragraph" w:styleId="CommentSubject">
    <w:name w:val="annotation subject"/>
    <w:basedOn w:val="CommentText"/>
    <w:next w:val="CommentText"/>
    <w:link w:val="CommentSubjectChar"/>
    <w:uiPriority w:val="99"/>
    <w:semiHidden/>
    <w:unhideWhenUsed/>
    <w:rsid w:val="005732C6"/>
    <w:rPr>
      <w:b/>
      <w:bCs/>
    </w:rPr>
  </w:style>
  <w:style w:type="character" w:customStyle="1" w:styleId="CommentSubjectChar">
    <w:name w:val="Comment Subject Char"/>
    <w:basedOn w:val="CommentTextChar"/>
    <w:link w:val="CommentSubject"/>
    <w:uiPriority w:val="99"/>
    <w:semiHidden/>
    <w:rsid w:val="005732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732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2C6"/>
    <w:rPr>
      <w:rFonts w:ascii="Segoe UI" w:eastAsia="Times New Roman" w:hAnsi="Segoe UI" w:cs="Segoe UI"/>
      <w:sz w:val="18"/>
      <w:szCs w:val="18"/>
    </w:rPr>
  </w:style>
  <w:style w:type="paragraph" w:styleId="Header">
    <w:name w:val="header"/>
    <w:basedOn w:val="Normal"/>
    <w:link w:val="HeaderChar"/>
    <w:uiPriority w:val="99"/>
    <w:unhideWhenUsed/>
    <w:rsid w:val="005732C6"/>
    <w:pPr>
      <w:tabs>
        <w:tab w:val="center" w:pos="4680"/>
        <w:tab w:val="right" w:pos="9360"/>
      </w:tabs>
    </w:pPr>
  </w:style>
  <w:style w:type="character" w:customStyle="1" w:styleId="HeaderChar">
    <w:name w:val="Header Char"/>
    <w:basedOn w:val="DefaultParagraphFont"/>
    <w:link w:val="Header"/>
    <w:uiPriority w:val="99"/>
    <w:rsid w:val="005732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732C6"/>
    <w:pPr>
      <w:tabs>
        <w:tab w:val="center" w:pos="4680"/>
        <w:tab w:val="right" w:pos="9360"/>
      </w:tabs>
    </w:pPr>
  </w:style>
  <w:style w:type="character" w:customStyle="1" w:styleId="FooterChar">
    <w:name w:val="Footer Char"/>
    <w:basedOn w:val="DefaultParagraphFont"/>
    <w:link w:val="Footer"/>
    <w:uiPriority w:val="99"/>
    <w:rsid w:val="005732C6"/>
    <w:rPr>
      <w:rFonts w:ascii="Times New Roman" w:eastAsia="Times New Roman" w:hAnsi="Times New Roman" w:cs="Times New Roman"/>
      <w:sz w:val="24"/>
      <w:szCs w:val="24"/>
    </w:rPr>
  </w:style>
  <w:style w:type="paragraph" w:customStyle="1" w:styleId="GLSReference">
    <w:name w:val="GLS Reference"/>
    <w:rsid w:val="000802F7"/>
    <w:pPr>
      <w:spacing w:before="120"/>
      <w:ind w:left="360" w:hanging="360"/>
    </w:pPr>
    <w:rPr>
      <w:rFonts w:ascii="Times New Roman" w:eastAsia="Times New Roman" w:hAnsi="Times New Roman" w:cs="Times New Roman"/>
      <w:sz w:val="24"/>
      <w:szCs w:val="20"/>
    </w:rPr>
  </w:style>
  <w:style w:type="paragraph" w:styleId="ListBullet">
    <w:name w:val="List Bullet"/>
    <w:basedOn w:val="Normal"/>
    <w:rsid w:val="003E0A6E"/>
    <w:pPr>
      <w:numPr>
        <w:numId w:val="4"/>
      </w:numPr>
      <w:spacing w:after="120"/>
      <w:jc w:val="left"/>
    </w:pPr>
    <w:rPr>
      <w:szCs w:val="22"/>
    </w:rPr>
  </w:style>
  <w:style w:type="character" w:styleId="Emphasis">
    <w:name w:val="Emphasis"/>
    <w:basedOn w:val="DefaultParagraphFont"/>
    <w:uiPriority w:val="20"/>
    <w:qFormat/>
    <w:rsid w:val="003E0A6E"/>
    <w:rPr>
      <w:i/>
      <w:iCs/>
    </w:rPr>
  </w:style>
  <w:style w:type="character" w:customStyle="1" w:styleId="apple-converted-space">
    <w:name w:val="apple-converted-space"/>
    <w:basedOn w:val="DefaultParagraphFont"/>
    <w:rsid w:val="003E0A6E"/>
  </w:style>
  <w:style w:type="paragraph" w:customStyle="1" w:styleId="GLSTable1">
    <w:name w:val="GLS Table 1"/>
    <w:basedOn w:val="Normal"/>
    <w:link w:val="GLSTable1Char"/>
    <w:qFormat/>
    <w:rsid w:val="003E0A6E"/>
    <w:pPr>
      <w:autoSpaceDE w:val="0"/>
      <w:autoSpaceDN w:val="0"/>
      <w:adjustRightInd w:val="0"/>
      <w:spacing w:before="40" w:after="40"/>
      <w:jc w:val="center"/>
    </w:pPr>
    <w:rPr>
      <w:rFonts w:ascii="Tw Cen MT" w:hAnsi="Tw Cen MT" w:cs="Arial"/>
      <w:b/>
      <w:szCs w:val="20"/>
    </w:rPr>
  </w:style>
  <w:style w:type="paragraph" w:customStyle="1" w:styleId="GLSTableBullet1">
    <w:name w:val="GLS Table Bullet 1"/>
    <w:basedOn w:val="Normal"/>
    <w:qFormat/>
    <w:rsid w:val="003E0A6E"/>
    <w:pPr>
      <w:spacing w:before="40" w:after="20"/>
      <w:contextualSpacing/>
    </w:pPr>
    <w:rPr>
      <w:rFonts w:ascii="Tw Cen MT" w:hAnsi="Tw Cen MT" w:cs="Arial"/>
      <w:szCs w:val="20"/>
    </w:rPr>
  </w:style>
  <w:style w:type="paragraph" w:customStyle="1" w:styleId="GLSBullet1">
    <w:name w:val="GLS Bullet 1"/>
    <w:basedOn w:val="Normal"/>
    <w:rsid w:val="00F0752A"/>
    <w:pPr>
      <w:autoSpaceDE w:val="0"/>
      <w:autoSpaceDN w:val="0"/>
      <w:adjustRightInd w:val="0"/>
      <w:spacing w:after="60"/>
      <w:jc w:val="left"/>
    </w:pPr>
  </w:style>
  <w:style w:type="paragraph" w:customStyle="1" w:styleId="GLSH4">
    <w:name w:val="GLS H4"/>
    <w:rsid w:val="00BB3FA5"/>
    <w:pPr>
      <w:keepNext/>
      <w:spacing w:after="120"/>
      <w:jc w:val="left"/>
    </w:pPr>
    <w:rPr>
      <w:rFonts w:ascii="Tw Cen MT" w:eastAsia="Times New Roman" w:hAnsi="Tw Cen MT" w:cs="Arial"/>
      <w:b/>
      <w:iCs/>
      <w:color w:val="296D7F"/>
      <w:sz w:val="28"/>
      <w:szCs w:val="24"/>
      <w:u w:val="single"/>
    </w:rPr>
  </w:style>
  <w:style w:type="character" w:styleId="Hyperlink">
    <w:name w:val="Hyperlink"/>
    <w:basedOn w:val="DefaultParagraphFont"/>
    <w:uiPriority w:val="99"/>
    <w:unhideWhenUsed/>
    <w:rsid w:val="00BB3FA5"/>
    <w:rPr>
      <w:color w:val="0563C1" w:themeColor="hyperlink"/>
      <w:u w:val="single"/>
    </w:rPr>
  </w:style>
  <w:style w:type="paragraph" w:customStyle="1" w:styleId="GLSTableBullet2">
    <w:name w:val="GLS Table Bullet 2"/>
    <w:basedOn w:val="Normal"/>
    <w:qFormat/>
    <w:rsid w:val="00757B1A"/>
    <w:pPr>
      <w:numPr>
        <w:numId w:val="5"/>
      </w:numPr>
      <w:autoSpaceDE w:val="0"/>
      <w:autoSpaceDN w:val="0"/>
      <w:adjustRightInd w:val="0"/>
      <w:spacing w:before="40" w:after="40"/>
      <w:ind w:left="510" w:hanging="240"/>
      <w:jc w:val="left"/>
    </w:pPr>
    <w:rPr>
      <w:rFonts w:ascii="Tw Cen MT" w:eastAsiaTheme="minorEastAsia" w:hAnsi="Tw Cen MT" w:cs="Arial"/>
      <w:szCs w:val="20"/>
    </w:rPr>
  </w:style>
  <w:style w:type="paragraph" w:customStyle="1" w:styleId="GLSTable3">
    <w:name w:val="GLS Table 3"/>
    <w:basedOn w:val="Normal"/>
    <w:qFormat/>
    <w:rsid w:val="00FB010E"/>
    <w:pPr>
      <w:autoSpaceDE w:val="0"/>
      <w:autoSpaceDN w:val="0"/>
      <w:adjustRightInd w:val="0"/>
      <w:spacing w:before="40" w:after="40"/>
      <w:jc w:val="left"/>
    </w:pPr>
    <w:rPr>
      <w:rFonts w:ascii="Tw Cen MT" w:hAnsi="Tw Cen MT" w:cs="Arial"/>
      <w:szCs w:val="20"/>
    </w:rPr>
  </w:style>
  <w:style w:type="paragraph" w:customStyle="1" w:styleId="proposalbodytext0">
    <w:name w:val="proposalbodytext"/>
    <w:basedOn w:val="Normal"/>
    <w:semiHidden/>
    <w:rsid w:val="00F0228B"/>
    <w:pPr>
      <w:spacing w:before="100" w:beforeAutospacing="1" w:after="100" w:afterAutospacing="1"/>
      <w:jc w:val="left"/>
    </w:pPr>
    <w:rPr>
      <w:rFonts w:ascii="Arial Unicode MS" w:eastAsia="Arial Unicode MS" w:hAnsi="Arial Unicode MS" w:cs="Arial Unicode MS"/>
    </w:rPr>
  </w:style>
  <w:style w:type="paragraph" w:styleId="DocumentMap">
    <w:name w:val="Document Map"/>
    <w:basedOn w:val="Normal"/>
    <w:link w:val="DocumentMapChar"/>
    <w:semiHidden/>
    <w:rsid w:val="00683939"/>
    <w:pPr>
      <w:shd w:val="clear" w:color="auto" w:fill="000080"/>
      <w:jc w:val="left"/>
    </w:pPr>
    <w:rPr>
      <w:rFonts w:ascii="Tahoma" w:hAnsi="Tahoma" w:cs="Tahoma"/>
      <w:sz w:val="20"/>
      <w:szCs w:val="20"/>
    </w:rPr>
  </w:style>
  <w:style w:type="character" w:customStyle="1" w:styleId="DocumentMapChar">
    <w:name w:val="Document Map Char"/>
    <w:basedOn w:val="DefaultParagraphFont"/>
    <w:link w:val="DocumentMap"/>
    <w:semiHidden/>
    <w:rsid w:val="00683939"/>
    <w:rPr>
      <w:rFonts w:ascii="Tahoma" w:eastAsia="Times New Roman" w:hAnsi="Tahoma" w:cs="Tahoma"/>
      <w:sz w:val="20"/>
      <w:szCs w:val="20"/>
      <w:shd w:val="clear" w:color="auto" w:fill="000080"/>
    </w:rPr>
  </w:style>
  <w:style w:type="paragraph" w:customStyle="1" w:styleId="SuicideHead3">
    <w:name w:val="Suicide Head 3"/>
    <w:basedOn w:val="Normal"/>
    <w:qFormat/>
    <w:rsid w:val="00683939"/>
    <w:pPr>
      <w:widowControl w:val="0"/>
      <w:numPr>
        <w:numId w:val="7"/>
      </w:numPr>
      <w:autoSpaceDE w:val="0"/>
      <w:autoSpaceDN w:val="0"/>
      <w:adjustRightInd w:val="0"/>
      <w:spacing w:after="120"/>
      <w:jc w:val="left"/>
    </w:pPr>
    <w:rPr>
      <w:rFonts w:ascii="Arial" w:hAnsi="Arial" w:cs="Arial"/>
      <w:b/>
      <w:i/>
      <w:sz w:val="26"/>
      <w:szCs w:val="26"/>
    </w:rPr>
  </w:style>
  <w:style w:type="paragraph" w:customStyle="1" w:styleId="SuicideTableTitle">
    <w:name w:val="Suicide Table Title"/>
    <w:basedOn w:val="Normal"/>
    <w:qFormat/>
    <w:rsid w:val="007D1703"/>
    <w:pPr>
      <w:tabs>
        <w:tab w:val="left" w:pos="-1440"/>
      </w:tabs>
      <w:autoSpaceDE w:val="0"/>
      <w:autoSpaceDN w:val="0"/>
      <w:adjustRightInd w:val="0"/>
      <w:spacing w:after="120"/>
      <w:jc w:val="center"/>
    </w:pPr>
    <w:rPr>
      <w:rFonts w:ascii="Arial" w:hAnsi="Arial" w:cs="Arial"/>
      <w:b/>
      <w:sz w:val="20"/>
      <w:szCs w:val="20"/>
    </w:rPr>
  </w:style>
  <w:style w:type="character" w:customStyle="1" w:styleId="Heading5Char">
    <w:name w:val="Heading 5 Char"/>
    <w:basedOn w:val="DefaultParagraphFont"/>
    <w:link w:val="Heading5"/>
    <w:uiPriority w:val="9"/>
    <w:rsid w:val="0059410A"/>
    <w:rPr>
      <w:rFonts w:asciiTheme="majorHAnsi" w:eastAsiaTheme="majorEastAsia" w:hAnsiTheme="majorHAnsi" w:cstheme="majorBidi"/>
      <w:color w:val="2E74B5" w:themeColor="accent1" w:themeShade="BF"/>
      <w:sz w:val="24"/>
      <w:szCs w:val="24"/>
    </w:rPr>
  </w:style>
  <w:style w:type="paragraph" w:customStyle="1" w:styleId="GLSBullet2">
    <w:name w:val="GLS Bullet 2"/>
    <w:basedOn w:val="Normal"/>
    <w:rsid w:val="00C70B68"/>
    <w:pPr>
      <w:numPr>
        <w:numId w:val="8"/>
      </w:numPr>
      <w:autoSpaceDE w:val="0"/>
      <w:autoSpaceDN w:val="0"/>
      <w:adjustRightInd w:val="0"/>
      <w:spacing w:after="60"/>
      <w:jc w:val="left"/>
    </w:pPr>
  </w:style>
  <w:style w:type="paragraph" w:customStyle="1" w:styleId="SuicideBullet2">
    <w:name w:val="Suicide Bullet 2"/>
    <w:basedOn w:val="Normal"/>
    <w:qFormat/>
    <w:rsid w:val="00E842CC"/>
    <w:pPr>
      <w:widowControl w:val="0"/>
      <w:numPr>
        <w:ilvl w:val="1"/>
        <w:numId w:val="21"/>
      </w:numPr>
      <w:autoSpaceDE w:val="0"/>
      <w:autoSpaceDN w:val="0"/>
      <w:adjustRightInd w:val="0"/>
      <w:ind w:left="720"/>
      <w:jc w:val="left"/>
    </w:pPr>
  </w:style>
  <w:style w:type="paragraph" w:styleId="NoSpacing">
    <w:name w:val="No Spacing"/>
    <w:aliases w:val="GLS No Spacing"/>
    <w:uiPriority w:val="1"/>
    <w:qFormat/>
    <w:rsid w:val="005701B4"/>
    <w:pPr>
      <w:jc w:val="left"/>
    </w:pPr>
  </w:style>
  <w:style w:type="paragraph" w:customStyle="1" w:styleId="GLSH3">
    <w:name w:val="GLS H3"/>
    <w:basedOn w:val="Normal"/>
    <w:rsid w:val="00D5605E"/>
    <w:pPr>
      <w:keepNext/>
      <w:autoSpaceDE w:val="0"/>
      <w:autoSpaceDN w:val="0"/>
      <w:adjustRightInd w:val="0"/>
      <w:spacing w:after="120"/>
      <w:jc w:val="left"/>
    </w:pPr>
    <w:rPr>
      <w:rFonts w:ascii="Tw Cen MT" w:hAnsi="Tw Cen MT" w:cs="Arial"/>
      <w:b/>
      <w:color w:val="000000"/>
      <w:sz w:val="28"/>
    </w:rPr>
  </w:style>
  <w:style w:type="paragraph" w:customStyle="1" w:styleId="GLSTable2">
    <w:name w:val="GLS Table 2"/>
    <w:basedOn w:val="Normal"/>
    <w:qFormat/>
    <w:rsid w:val="00D5605E"/>
    <w:pPr>
      <w:autoSpaceDE w:val="0"/>
      <w:autoSpaceDN w:val="0"/>
      <w:adjustRightInd w:val="0"/>
      <w:spacing w:before="40" w:after="40"/>
      <w:jc w:val="left"/>
    </w:pPr>
    <w:rPr>
      <w:rFonts w:ascii="Tw Cen MT" w:hAnsi="Tw Cen MT" w:cs="Arial"/>
      <w:b/>
      <w:color w:val="000000"/>
      <w:sz w:val="22"/>
      <w:szCs w:val="20"/>
    </w:rPr>
  </w:style>
  <w:style w:type="paragraph" w:customStyle="1" w:styleId="GLSTableExhibit">
    <w:name w:val="GLS Table/Exhibit"/>
    <w:basedOn w:val="Normal"/>
    <w:rsid w:val="00D5605E"/>
    <w:pPr>
      <w:keepNext/>
      <w:autoSpaceDE w:val="0"/>
      <w:autoSpaceDN w:val="0"/>
      <w:adjustRightInd w:val="0"/>
      <w:spacing w:after="120"/>
      <w:jc w:val="center"/>
    </w:pPr>
    <w:rPr>
      <w:rFonts w:ascii="Tw Cen MT" w:hAnsi="Tw Cen MT"/>
      <w:b/>
      <w:color w:val="C86665"/>
      <w:szCs w:val="20"/>
    </w:rPr>
  </w:style>
  <w:style w:type="table" w:customStyle="1" w:styleId="TableGrid2">
    <w:name w:val="Table Grid2"/>
    <w:basedOn w:val="TableNormal"/>
    <w:next w:val="TableGrid"/>
    <w:uiPriority w:val="39"/>
    <w:rsid w:val="00D5605E"/>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D5605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GLSTable1"/>
    <w:link w:val="Style2Char"/>
    <w:qFormat/>
    <w:rsid w:val="00084715"/>
    <w:pPr>
      <w:jc w:val="left"/>
    </w:pPr>
    <w:rPr>
      <w:sz w:val="28"/>
    </w:rPr>
  </w:style>
  <w:style w:type="paragraph" w:customStyle="1" w:styleId="Default">
    <w:name w:val="Default"/>
    <w:rsid w:val="00AF797C"/>
    <w:pPr>
      <w:autoSpaceDE w:val="0"/>
      <w:autoSpaceDN w:val="0"/>
      <w:adjustRightInd w:val="0"/>
      <w:jc w:val="left"/>
    </w:pPr>
    <w:rPr>
      <w:rFonts w:ascii="Georgia" w:hAnsi="Georgia" w:cs="Georgia"/>
      <w:color w:val="000000"/>
      <w:sz w:val="24"/>
      <w:szCs w:val="24"/>
    </w:rPr>
  </w:style>
  <w:style w:type="character" w:customStyle="1" w:styleId="GLSTable1Char">
    <w:name w:val="GLS Table 1 Char"/>
    <w:basedOn w:val="DefaultParagraphFont"/>
    <w:link w:val="GLSTable1"/>
    <w:rsid w:val="00084715"/>
    <w:rPr>
      <w:rFonts w:ascii="Tw Cen MT" w:eastAsia="Times New Roman" w:hAnsi="Tw Cen MT" w:cs="Arial"/>
      <w:b/>
      <w:sz w:val="24"/>
      <w:szCs w:val="20"/>
    </w:rPr>
  </w:style>
  <w:style w:type="character" w:customStyle="1" w:styleId="Style2Char">
    <w:name w:val="Style2 Char"/>
    <w:basedOn w:val="GLSTable1Char"/>
    <w:link w:val="Style2"/>
    <w:rsid w:val="00084715"/>
    <w:rPr>
      <w:rFonts w:ascii="Tw Cen MT" w:eastAsia="Times New Roman" w:hAnsi="Tw Cen MT" w:cs="Arial"/>
      <w:b/>
      <w:sz w:val="28"/>
      <w:szCs w:val="20"/>
    </w:rPr>
  </w:style>
  <w:style w:type="paragraph" w:customStyle="1" w:styleId="Pa2">
    <w:name w:val="Pa2"/>
    <w:basedOn w:val="Default"/>
    <w:next w:val="Default"/>
    <w:uiPriority w:val="99"/>
    <w:rsid w:val="008B7C15"/>
    <w:pPr>
      <w:spacing w:line="241" w:lineRule="atLeast"/>
    </w:pPr>
    <w:rPr>
      <w:rFonts w:ascii="Garamond" w:hAnsi="Garamond" w:cstheme="minorBidi"/>
      <w:color w:val="auto"/>
    </w:rPr>
  </w:style>
  <w:style w:type="paragraph" w:customStyle="1" w:styleId="SuicideTableHeading1">
    <w:name w:val="Suicide Table Heading 1"/>
    <w:basedOn w:val="Normal"/>
    <w:qFormat/>
    <w:rsid w:val="000E7EEB"/>
    <w:pPr>
      <w:tabs>
        <w:tab w:val="left" w:pos="-1440"/>
      </w:tabs>
      <w:autoSpaceDE w:val="0"/>
      <w:autoSpaceDN w:val="0"/>
      <w:adjustRightInd w:val="0"/>
      <w:jc w:val="center"/>
    </w:pPr>
    <w:rPr>
      <w:rFonts w:ascii="Arial" w:hAnsi="Arial" w:cs="Arial"/>
      <w:b/>
      <w:color w:val="FFFFFF"/>
      <w:sz w:val="20"/>
      <w:szCs w:val="20"/>
    </w:rPr>
  </w:style>
  <w:style w:type="table" w:customStyle="1" w:styleId="TableGrid1">
    <w:name w:val="Table Grid1"/>
    <w:basedOn w:val="TableNormal"/>
    <w:next w:val="TableGrid"/>
    <w:uiPriority w:val="39"/>
    <w:rsid w:val="0076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icideTableHeading2">
    <w:name w:val="Suicide Table Heading 2"/>
    <w:basedOn w:val="Normal"/>
    <w:qFormat/>
    <w:rsid w:val="00665C18"/>
    <w:pPr>
      <w:tabs>
        <w:tab w:val="left" w:pos="-1440"/>
      </w:tabs>
      <w:autoSpaceDE w:val="0"/>
      <w:autoSpaceDN w:val="0"/>
      <w:adjustRightInd w:val="0"/>
      <w:spacing w:before="120"/>
      <w:jc w:val="left"/>
    </w:pPr>
    <w:rPr>
      <w:rFonts w:ascii="Arial" w:hAnsi="Arial" w:cs="Arial"/>
      <w:b/>
      <w:sz w:val="20"/>
      <w:szCs w:val="20"/>
    </w:rPr>
  </w:style>
  <w:style w:type="paragraph" w:customStyle="1" w:styleId="SuicideTableText">
    <w:name w:val="Suicide Table Text"/>
    <w:basedOn w:val="Normal"/>
    <w:qFormat/>
    <w:rsid w:val="00665C18"/>
    <w:pPr>
      <w:autoSpaceDE w:val="0"/>
      <w:autoSpaceDN w:val="0"/>
      <w:adjustRightInd w:val="0"/>
      <w:spacing w:before="60" w:after="60"/>
      <w:jc w:val="left"/>
    </w:pPr>
    <w:rPr>
      <w:rFonts w:ascii="Arial" w:hAnsi="Arial" w:cs="Arial"/>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31804">
      <w:bodyDiv w:val="1"/>
      <w:marLeft w:val="0"/>
      <w:marRight w:val="0"/>
      <w:marTop w:val="0"/>
      <w:marBottom w:val="0"/>
      <w:divBdr>
        <w:top w:val="none" w:sz="0" w:space="0" w:color="auto"/>
        <w:left w:val="none" w:sz="0" w:space="0" w:color="auto"/>
        <w:bottom w:val="none" w:sz="0" w:space="0" w:color="auto"/>
        <w:right w:val="none" w:sz="0" w:space="0" w:color="auto"/>
      </w:divBdr>
    </w:div>
    <w:div w:id="203437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AA67B-D7BF-4C79-B56E-904C6110D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48</Pages>
  <Words>22769</Words>
  <Characters>129789</Characters>
  <Application>Microsoft Office Word</Application>
  <DocSecurity>0</DocSecurity>
  <Lines>1081</Lines>
  <Paragraphs>304</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152254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Sgro</dc:creator>
  <cp:keywords/>
  <dc:description/>
  <cp:lastModifiedBy>Windows User</cp:lastModifiedBy>
  <cp:revision>4</cp:revision>
  <dcterms:created xsi:type="dcterms:W3CDTF">2015-12-10T18:03:00Z</dcterms:created>
  <dcterms:modified xsi:type="dcterms:W3CDTF">2015-12-15T13:25:00Z</dcterms:modified>
</cp:coreProperties>
</file>