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0C1867" w14:textId="77777777" w:rsidR="008478E3" w:rsidRDefault="008478E3" w:rsidP="008478E3">
      <w:pPr>
        <w:pStyle w:val="Heading7"/>
        <w:spacing w:before="0" w:after="12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bookmarkStart w:id="0" w:name="_Toc119829979"/>
      <w:bookmarkStart w:id="1" w:name="_Toc240971097"/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Now is the Time (NITT)–Project AWARE Evaluation—</w:t>
      </w:r>
    </w:p>
    <w:p w14:paraId="2410DD38" w14:textId="77777777" w:rsidR="008478E3" w:rsidRDefault="008478E3" w:rsidP="008478E3">
      <w:pPr>
        <w:pStyle w:val="Heading7"/>
        <w:spacing w:before="0" w:after="12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Site Notification and Recruitment </w:t>
      </w:r>
    </w:p>
    <w:p w14:paraId="360370DB" w14:textId="77777777" w:rsidR="008478E3" w:rsidRDefault="008478E3" w:rsidP="008478E3">
      <w:pPr>
        <w:pStyle w:val="Heading7"/>
        <w:spacing w:before="0" w:after="120"/>
        <w:jc w:val="center"/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</w:pPr>
    </w:p>
    <w:p w14:paraId="2200D414" w14:textId="5B4793A3" w:rsidR="004224C3" w:rsidRDefault="00E705BC" w:rsidP="00D51193">
      <w:pPr>
        <w:pStyle w:val="Heading5"/>
        <w:spacing w:after="200"/>
        <w:jc w:val="center"/>
        <w:rPr>
          <w:iCs/>
        </w:rPr>
      </w:pPr>
      <w:r w:rsidRPr="00E705BC">
        <w:rPr>
          <w:rFonts w:eastAsiaTheme="minorHAnsi"/>
          <w:iCs/>
          <w:sz w:val="28"/>
          <w:szCs w:val="28"/>
        </w:rPr>
        <w:t>SUPPORTING ST</w:t>
      </w:r>
      <w:bookmarkStart w:id="2" w:name="_GoBack"/>
      <w:bookmarkEnd w:id="2"/>
      <w:r w:rsidRPr="00E705BC">
        <w:rPr>
          <w:rFonts w:eastAsiaTheme="minorHAnsi"/>
          <w:iCs/>
          <w:sz w:val="28"/>
          <w:szCs w:val="28"/>
        </w:rPr>
        <w:t>ATEMENT</w:t>
      </w:r>
      <w:r w:rsidRPr="00E705BC">
        <w:rPr>
          <w:iCs/>
        </w:rPr>
        <w:t xml:space="preserve"> </w:t>
      </w:r>
    </w:p>
    <w:p w14:paraId="63F7C86D" w14:textId="77777777" w:rsidR="00D51193" w:rsidRPr="00D51193" w:rsidRDefault="00D51193" w:rsidP="00D51193"/>
    <w:p w14:paraId="7133B8A5" w14:textId="5DE8A6B9" w:rsidR="00AA5BB5" w:rsidRPr="00736C3B" w:rsidRDefault="003C2028" w:rsidP="004224C3">
      <w:pPr>
        <w:pStyle w:val="Heading5"/>
        <w:spacing w:after="200"/>
      </w:pPr>
      <w:r>
        <w:t xml:space="preserve">Part </w:t>
      </w:r>
      <w:r w:rsidR="008F7E55">
        <w:t xml:space="preserve">B: </w:t>
      </w:r>
      <w:bookmarkEnd w:id="0"/>
      <w:bookmarkEnd w:id="1"/>
      <w:r>
        <w:t>Collection of Information Employing Statistical Information</w:t>
      </w:r>
    </w:p>
    <w:p w14:paraId="683F948A" w14:textId="49385AAF" w:rsidR="00AA5BB5" w:rsidRPr="004224C3" w:rsidRDefault="00AA5BB5" w:rsidP="004303B7">
      <w:pPr>
        <w:pStyle w:val="Heading8"/>
        <w:spacing w:after="200" w:line="276" w:lineRule="auto"/>
        <w:jc w:val="left"/>
      </w:pPr>
      <w:bookmarkStart w:id="3" w:name="_Toc119829980"/>
      <w:r w:rsidRPr="004224C3">
        <w:t>B.1</w:t>
      </w:r>
      <w:r w:rsidRPr="004224C3">
        <w:tab/>
        <w:t>Respondent Universe</w:t>
      </w:r>
      <w:r w:rsidR="008F7E55" w:rsidRPr="004224C3">
        <w:t xml:space="preserve"> and Sampling Methods</w:t>
      </w:r>
      <w:r w:rsidRPr="004224C3">
        <w:t xml:space="preserve"> </w:t>
      </w:r>
      <w:bookmarkEnd w:id="3"/>
    </w:p>
    <w:p w14:paraId="2F39B1B8" w14:textId="33ED75B3" w:rsidR="004304D9" w:rsidRPr="004224C3" w:rsidRDefault="00337E3A" w:rsidP="004303B7">
      <w:pPr>
        <w:pStyle w:val="P1-StandPara"/>
        <w:spacing w:after="200" w:line="276" w:lineRule="auto"/>
        <w:ind w:firstLine="0"/>
        <w:jc w:val="left"/>
        <w:rPr>
          <w:sz w:val="24"/>
          <w:szCs w:val="24"/>
        </w:rPr>
      </w:pPr>
      <w:r w:rsidRPr="004224C3">
        <w:rPr>
          <w:sz w:val="24"/>
          <w:szCs w:val="24"/>
        </w:rPr>
        <w:t xml:space="preserve">The respondent universe for the </w:t>
      </w:r>
      <w:r w:rsidR="00D51193">
        <w:rPr>
          <w:sz w:val="24"/>
          <w:szCs w:val="24"/>
        </w:rPr>
        <w:t>AWARE-SEA</w:t>
      </w:r>
      <w:r w:rsidR="008F7E55" w:rsidRPr="004224C3">
        <w:rPr>
          <w:sz w:val="24"/>
          <w:szCs w:val="24"/>
        </w:rPr>
        <w:t xml:space="preserve"> </w:t>
      </w:r>
      <w:r w:rsidR="00096D1E" w:rsidRPr="004224C3">
        <w:rPr>
          <w:sz w:val="24"/>
          <w:szCs w:val="24"/>
        </w:rPr>
        <w:t>notification and recruitment task</w:t>
      </w:r>
      <w:r w:rsidR="008F7E55" w:rsidRPr="004224C3">
        <w:rPr>
          <w:sz w:val="24"/>
          <w:szCs w:val="24"/>
        </w:rPr>
        <w:t xml:space="preserve"> </w:t>
      </w:r>
      <w:r w:rsidRPr="004224C3">
        <w:rPr>
          <w:sz w:val="24"/>
          <w:szCs w:val="24"/>
        </w:rPr>
        <w:t>is</w:t>
      </w:r>
      <w:r w:rsidR="004304D9" w:rsidRPr="004224C3">
        <w:rPr>
          <w:sz w:val="24"/>
          <w:szCs w:val="24"/>
        </w:rPr>
        <w:t>:</w:t>
      </w:r>
    </w:p>
    <w:p w14:paraId="1A86CC94" w14:textId="79768D70" w:rsidR="00B4317C" w:rsidRPr="004224C3" w:rsidRDefault="008F7E55" w:rsidP="004304D9">
      <w:pPr>
        <w:pStyle w:val="P1-StandPara"/>
        <w:numPr>
          <w:ilvl w:val="0"/>
          <w:numId w:val="14"/>
        </w:numPr>
        <w:spacing w:after="200" w:line="276" w:lineRule="auto"/>
        <w:jc w:val="left"/>
        <w:rPr>
          <w:sz w:val="24"/>
          <w:szCs w:val="24"/>
        </w:rPr>
      </w:pPr>
      <w:r w:rsidRPr="004224C3">
        <w:rPr>
          <w:sz w:val="24"/>
          <w:szCs w:val="24"/>
        </w:rPr>
        <w:t xml:space="preserve">all </w:t>
      </w:r>
      <w:r w:rsidR="00D51193">
        <w:rPr>
          <w:sz w:val="24"/>
          <w:szCs w:val="24"/>
        </w:rPr>
        <w:t>AWARE-SEA</w:t>
      </w:r>
      <w:r w:rsidRPr="004224C3">
        <w:rPr>
          <w:sz w:val="24"/>
          <w:szCs w:val="24"/>
        </w:rPr>
        <w:t xml:space="preserve"> grantees at the state level (20)</w:t>
      </w:r>
      <w:r w:rsidR="00B4317C" w:rsidRPr="004224C3">
        <w:rPr>
          <w:sz w:val="24"/>
          <w:szCs w:val="24"/>
        </w:rPr>
        <w:t>;</w:t>
      </w:r>
      <w:r w:rsidRPr="004224C3">
        <w:rPr>
          <w:sz w:val="24"/>
          <w:szCs w:val="24"/>
        </w:rPr>
        <w:t xml:space="preserve"> </w:t>
      </w:r>
    </w:p>
    <w:p w14:paraId="219E77F5" w14:textId="704B89B4" w:rsidR="004304D9" w:rsidRPr="004224C3" w:rsidRDefault="008F7E55" w:rsidP="004304D9">
      <w:pPr>
        <w:pStyle w:val="P1-StandPara"/>
        <w:numPr>
          <w:ilvl w:val="0"/>
          <w:numId w:val="14"/>
        </w:numPr>
        <w:spacing w:after="200" w:line="276" w:lineRule="auto"/>
        <w:jc w:val="left"/>
        <w:rPr>
          <w:sz w:val="24"/>
          <w:szCs w:val="24"/>
        </w:rPr>
      </w:pPr>
      <w:r w:rsidRPr="004224C3">
        <w:rPr>
          <w:sz w:val="24"/>
          <w:szCs w:val="24"/>
        </w:rPr>
        <w:t>all grantee partners at the district level (</w:t>
      </w:r>
      <w:r w:rsidR="00141A13" w:rsidRPr="004224C3">
        <w:rPr>
          <w:sz w:val="24"/>
          <w:szCs w:val="24"/>
        </w:rPr>
        <w:t>approximately 90 school</w:t>
      </w:r>
      <w:r w:rsidR="00B4317C" w:rsidRPr="004224C3">
        <w:rPr>
          <w:sz w:val="24"/>
          <w:szCs w:val="24"/>
        </w:rPr>
        <w:t xml:space="preserve"> districts</w:t>
      </w:r>
      <w:r w:rsidRPr="004224C3">
        <w:rPr>
          <w:sz w:val="24"/>
          <w:szCs w:val="24"/>
        </w:rPr>
        <w:t>)</w:t>
      </w:r>
      <w:r w:rsidR="004304D9" w:rsidRPr="004224C3">
        <w:rPr>
          <w:sz w:val="24"/>
          <w:szCs w:val="24"/>
        </w:rPr>
        <w:t>;</w:t>
      </w:r>
      <w:r w:rsidRPr="004224C3">
        <w:rPr>
          <w:sz w:val="24"/>
          <w:szCs w:val="24"/>
        </w:rPr>
        <w:t xml:space="preserve"> </w:t>
      </w:r>
    </w:p>
    <w:p w14:paraId="7E295072" w14:textId="1F196822" w:rsidR="004304D9" w:rsidRPr="004224C3" w:rsidRDefault="008F7E55" w:rsidP="004304D9">
      <w:pPr>
        <w:pStyle w:val="P1-StandPara"/>
        <w:numPr>
          <w:ilvl w:val="0"/>
          <w:numId w:val="14"/>
        </w:numPr>
        <w:spacing w:after="200" w:line="276" w:lineRule="auto"/>
        <w:jc w:val="left"/>
        <w:rPr>
          <w:sz w:val="24"/>
          <w:szCs w:val="24"/>
        </w:rPr>
      </w:pPr>
      <w:r w:rsidRPr="004224C3">
        <w:rPr>
          <w:sz w:val="24"/>
          <w:szCs w:val="24"/>
        </w:rPr>
        <w:t xml:space="preserve">select </w:t>
      </w:r>
      <w:r w:rsidR="00D51193">
        <w:rPr>
          <w:sz w:val="24"/>
          <w:szCs w:val="24"/>
        </w:rPr>
        <w:t>AWARE-SEA</w:t>
      </w:r>
      <w:r w:rsidRPr="004224C3">
        <w:rPr>
          <w:sz w:val="24"/>
          <w:szCs w:val="24"/>
        </w:rPr>
        <w:t xml:space="preserve"> schools in each grantee district </w:t>
      </w:r>
      <w:r w:rsidR="00B4317C" w:rsidRPr="004224C3">
        <w:rPr>
          <w:sz w:val="24"/>
          <w:szCs w:val="24"/>
        </w:rPr>
        <w:t>to serve as “</w:t>
      </w:r>
      <w:r w:rsidR="00742BB7">
        <w:rPr>
          <w:sz w:val="24"/>
          <w:szCs w:val="24"/>
        </w:rPr>
        <w:t>project site</w:t>
      </w:r>
      <w:r w:rsidR="00B4317C" w:rsidRPr="004224C3">
        <w:rPr>
          <w:sz w:val="24"/>
          <w:szCs w:val="24"/>
        </w:rPr>
        <w:t xml:space="preserve">” schools </w:t>
      </w:r>
      <w:r w:rsidRPr="004224C3">
        <w:rPr>
          <w:sz w:val="24"/>
          <w:szCs w:val="24"/>
        </w:rPr>
        <w:t xml:space="preserve">(approximately </w:t>
      </w:r>
      <w:r w:rsidR="00721883" w:rsidRPr="004224C3">
        <w:rPr>
          <w:sz w:val="24"/>
          <w:szCs w:val="24"/>
        </w:rPr>
        <w:t>4</w:t>
      </w:r>
      <w:r w:rsidR="00141A13" w:rsidRPr="004224C3">
        <w:rPr>
          <w:sz w:val="24"/>
          <w:szCs w:val="24"/>
        </w:rPr>
        <w:t>-5</w:t>
      </w:r>
      <w:r w:rsidR="00721883" w:rsidRPr="004224C3">
        <w:rPr>
          <w:sz w:val="24"/>
          <w:szCs w:val="24"/>
        </w:rPr>
        <w:t xml:space="preserve"> </w:t>
      </w:r>
      <w:r w:rsidRPr="004224C3">
        <w:rPr>
          <w:sz w:val="24"/>
          <w:szCs w:val="24"/>
        </w:rPr>
        <w:t xml:space="preserve">schools per grantee district or </w:t>
      </w:r>
      <w:r w:rsidR="00141A13" w:rsidRPr="004224C3">
        <w:rPr>
          <w:sz w:val="24"/>
          <w:szCs w:val="24"/>
        </w:rPr>
        <w:t xml:space="preserve">396 </w:t>
      </w:r>
      <w:r w:rsidR="00B4317C" w:rsidRPr="004224C3">
        <w:rPr>
          <w:sz w:val="24"/>
          <w:szCs w:val="24"/>
        </w:rPr>
        <w:t>“</w:t>
      </w:r>
      <w:r w:rsidR="00742BB7">
        <w:rPr>
          <w:sz w:val="24"/>
          <w:szCs w:val="24"/>
        </w:rPr>
        <w:t>project site</w:t>
      </w:r>
      <w:r w:rsidR="00B4317C" w:rsidRPr="004224C3">
        <w:rPr>
          <w:sz w:val="24"/>
          <w:szCs w:val="24"/>
        </w:rPr>
        <w:t xml:space="preserve">” </w:t>
      </w:r>
      <w:r w:rsidR="004304D9" w:rsidRPr="004224C3">
        <w:rPr>
          <w:sz w:val="24"/>
          <w:szCs w:val="24"/>
        </w:rPr>
        <w:t xml:space="preserve">schools total); </w:t>
      </w:r>
    </w:p>
    <w:p w14:paraId="2C0BC06C" w14:textId="4464C6CC" w:rsidR="004304D9" w:rsidRPr="004224C3" w:rsidRDefault="004304D9" w:rsidP="004304D9">
      <w:pPr>
        <w:pStyle w:val="P1-StandPara"/>
        <w:numPr>
          <w:ilvl w:val="0"/>
          <w:numId w:val="14"/>
        </w:numPr>
        <w:spacing w:after="200" w:line="276" w:lineRule="auto"/>
        <w:jc w:val="left"/>
        <w:rPr>
          <w:sz w:val="24"/>
          <w:szCs w:val="24"/>
        </w:rPr>
      </w:pPr>
      <w:r w:rsidRPr="004224C3">
        <w:rPr>
          <w:sz w:val="24"/>
          <w:szCs w:val="24"/>
        </w:rPr>
        <w:t xml:space="preserve">select schools in each grantee district </w:t>
      </w:r>
      <w:r w:rsidRPr="004224C3">
        <w:rPr>
          <w:i/>
          <w:sz w:val="24"/>
          <w:szCs w:val="24"/>
        </w:rPr>
        <w:t>not</w:t>
      </w:r>
      <w:r w:rsidRPr="004224C3">
        <w:rPr>
          <w:sz w:val="24"/>
          <w:szCs w:val="24"/>
        </w:rPr>
        <w:t xml:space="preserve"> currently supported by </w:t>
      </w:r>
      <w:r w:rsidR="00D51193">
        <w:rPr>
          <w:sz w:val="24"/>
          <w:szCs w:val="24"/>
        </w:rPr>
        <w:t>AWARE-SEA</w:t>
      </w:r>
      <w:r w:rsidR="00B4317C" w:rsidRPr="004224C3">
        <w:rPr>
          <w:sz w:val="24"/>
          <w:szCs w:val="24"/>
        </w:rPr>
        <w:t>,</w:t>
      </w:r>
      <w:r w:rsidRPr="004224C3">
        <w:rPr>
          <w:sz w:val="24"/>
          <w:szCs w:val="24"/>
        </w:rPr>
        <w:t xml:space="preserve"> to serve as </w:t>
      </w:r>
      <w:r w:rsidR="00B4317C" w:rsidRPr="004224C3">
        <w:rPr>
          <w:sz w:val="24"/>
          <w:szCs w:val="24"/>
        </w:rPr>
        <w:t>“</w:t>
      </w:r>
      <w:r w:rsidRPr="004224C3">
        <w:rPr>
          <w:sz w:val="24"/>
          <w:szCs w:val="24"/>
        </w:rPr>
        <w:t>comparison</w:t>
      </w:r>
      <w:r w:rsidR="00B4317C" w:rsidRPr="004224C3">
        <w:rPr>
          <w:sz w:val="24"/>
          <w:szCs w:val="24"/>
        </w:rPr>
        <w:t>”</w:t>
      </w:r>
      <w:r w:rsidRPr="004224C3">
        <w:rPr>
          <w:sz w:val="24"/>
          <w:szCs w:val="24"/>
        </w:rPr>
        <w:t xml:space="preserve"> schools (approximately </w:t>
      </w:r>
      <w:r w:rsidR="00141A13" w:rsidRPr="004224C3">
        <w:rPr>
          <w:sz w:val="24"/>
          <w:szCs w:val="24"/>
        </w:rPr>
        <w:t xml:space="preserve">432 </w:t>
      </w:r>
      <w:r w:rsidRPr="004224C3">
        <w:rPr>
          <w:sz w:val="24"/>
          <w:szCs w:val="24"/>
        </w:rPr>
        <w:t>“comparison” schools total).</w:t>
      </w:r>
      <w:r w:rsidR="00850E6F" w:rsidRPr="004224C3">
        <w:rPr>
          <w:sz w:val="24"/>
          <w:szCs w:val="24"/>
        </w:rPr>
        <w:t xml:space="preserve">  </w:t>
      </w:r>
    </w:p>
    <w:p w14:paraId="6689AD8B" w14:textId="3ABE6D80" w:rsidR="008F7E55" w:rsidRPr="004224C3" w:rsidRDefault="0060767E" w:rsidP="004303B7">
      <w:pPr>
        <w:pStyle w:val="P1-StandPara"/>
        <w:spacing w:after="200" w:line="276" w:lineRule="auto"/>
        <w:ind w:firstLine="0"/>
        <w:jc w:val="left"/>
        <w:rPr>
          <w:sz w:val="24"/>
          <w:szCs w:val="24"/>
        </w:rPr>
      </w:pPr>
      <w:r w:rsidRPr="004224C3">
        <w:rPr>
          <w:sz w:val="24"/>
          <w:szCs w:val="24"/>
        </w:rPr>
        <w:t xml:space="preserve">One matched comparison school will be identified for each </w:t>
      </w:r>
      <w:r w:rsidR="00742BB7">
        <w:rPr>
          <w:sz w:val="24"/>
          <w:szCs w:val="24"/>
        </w:rPr>
        <w:t>project site</w:t>
      </w:r>
      <w:r w:rsidRPr="004224C3">
        <w:rPr>
          <w:sz w:val="24"/>
          <w:szCs w:val="24"/>
        </w:rPr>
        <w:t xml:space="preserve"> school</w:t>
      </w:r>
      <w:r w:rsidR="003C2028" w:rsidRPr="004224C3">
        <w:rPr>
          <w:sz w:val="24"/>
          <w:szCs w:val="24"/>
        </w:rPr>
        <w:t>. The comparison school will be</w:t>
      </w:r>
      <w:r w:rsidRPr="004224C3">
        <w:rPr>
          <w:sz w:val="24"/>
          <w:szCs w:val="24"/>
        </w:rPr>
        <w:t xml:space="preserve"> similar to the </w:t>
      </w:r>
      <w:r w:rsidR="00742BB7">
        <w:rPr>
          <w:sz w:val="24"/>
          <w:szCs w:val="24"/>
        </w:rPr>
        <w:t>project site</w:t>
      </w:r>
      <w:r w:rsidRPr="004224C3">
        <w:rPr>
          <w:sz w:val="24"/>
          <w:szCs w:val="24"/>
        </w:rPr>
        <w:t xml:space="preserve"> school </w:t>
      </w:r>
      <w:r w:rsidR="00F93C40" w:rsidRPr="004224C3">
        <w:rPr>
          <w:sz w:val="24"/>
          <w:szCs w:val="24"/>
        </w:rPr>
        <w:t>with regards to</w:t>
      </w:r>
      <w:r w:rsidRPr="004224C3">
        <w:rPr>
          <w:sz w:val="24"/>
          <w:szCs w:val="24"/>
        </w:rPr>
        <w:t xml:space="preserve"> demographic characteristics and </w:t>
      </w:r>
      <w:r w:rsidR="00F93C40" w:rsidRPr="004224C3">
        <w:rPr>
          <w:sz w:val="24"/>
          <w:szCs w:val="24"/>
        </w:rPr>
        <w:t>school safety indicators</w:t>
      </w:r>
      <w:r w:rsidRPr="004224C3">
        <w:rPr>
          <w:sz w:val="24"/>
          <w:szCs w:val="24"/>
        </w:rPr>
        <w:t xml:space="preserve"> but is not implementing </w:t>
      </w:r>
      <w:r w:rsidR="00D51193">
        <w:rPr>
          <w:sz w:val="24"/>
          <w:szCs w:val="24"/>
        </w:rPr>
        <w:t>AWARE-SEA</w:t>
      </w:r>
      <w:r w:rsidRPr="004224C3">
        <w:rPr>
          <w:sz w:val="24"/>
          <w:szCs w:val="24"/>
        </w:rPr>
        <w:t xml:space="preserve"> activities. Ideally, the comparison schools will be identified in the same grantee district as the </w:t>
      </w:r>
      <w:r w:rsidR="00742BB7">
        <w:rPr>
          <w:sz w:val="24"/>
          <w:szCs w:val="24"/>
        </w:rPr>
        <w:t>project site</w:t>
      </w:r>
      <w:r w:rsidRPr="004224C3">
        <w:rPr>
          <w:sz w:val="24"/>
          <w:szCs w:val="24"/>
        </w:rPr>
        <w:t xml:space="preserve"> schools. </w:t>
      </w:r>
      <w:proofErr w:type="spellStart"/>
      <w:r w:rsidR="00141A13" w:rsidRPr="004224C3">
        <w:rPr>
          <w:sz w:val="24"/>
          <w:szCs w:val="24"/>
          <w:u w:val="single"/>
        </w:rPr>
        <w:t>N</w:t>
      </w:r>
      <w:r w:rsidR="00B4317C" w:rsidRPr="004224C3">
        <w:rPr>
          <w:sz w:val="24"/>
          <w:szCs w:val="24"/>
          <w:u w:val="single"/>
        </w:rPr>
        <w:t>onpartner</w:t>
      </w:r>
      <w:proofErr w:type="spellEnd"/>
      <w:r w:rsidR="00B4317C" w:rsidRPr="004224C3">
        <w:rPr>
          <w:sz w:val="24"/>
          <w:szCs w:val="24"/>
        </w:rPr>
        <w:t xml:space="preserve"> </w:t>
      </w:r>
      <w:r w:rsidR="004304D9" w:rsidRPr="004224C3">
        <w:rPr>
          <w:sz w:val="24"/>
          <w:szCs w:val="24"/>
        </w:rPr>
        <w:t>districts and schools in neighboring communities</w:t>
      </w:r>
      <w:r w:rsidR="00141A13" w:rsidRPr="004224C3">
        <w:rPr>
          <w:sz w:val="24"/>
          <w:szCs w:val="24"/>
        </w:rPr>
        <w:t xml:space="preserve"> will be contacted as needed,</w:t>
      </w:r>
      <w:r w:rsidR="004304D9" w:rsidRPr="004224C3">
        <w:rPr>
          <w:sz w:val="24"/>
          <w:szCs w:val="24"/>
        </w:rPr>
        <w:t xml:space="preserve"> </w:t>
      </w:r>
      <w:r w:rsidR="00B4317C" w:rsidRPr="004224C3">
        <w:rPr>
          <w:sz w:val="24"/>
          <w:szCs w:val="24"/>
        </w:rPr>
        <w:t>should</w:t>
      </w:r>
      <w:r w:rsidR="004304D9" w:rsidRPr="004224C3">
        <w:rPr>
          <w:sz w:val="24"/>
          <w:szCs w:val="24"/>
        </w:rPr>
        <w:t xml:space="preserve"> </w:t>
      </w:r>
      <w:r w:rsidR="00B4317C" w:rsidRPr="004224C3">
        <w:rPr>
          <w:sz w:val="24"/>
          <w:szCs w:val="24"/>
        </w:rPr>
        <w:t>a</w:t>
      </w:r>
      <w:r w:rsidR="004304D9" w:rsidRPr="004224C3">
        <w:rPr>
          <w:sz w:val="24"/>
          <w:szCs w:val="24"/>
        </w:rPr>
        <w:t xml:space="preserve"> comparison school </w:t>
      </w:r>
      <w:r w:rsidR="00B4317C" w:rsidRPr="004224C3">
        <w:rPr>
          <w:sz w:val="24"/>
          <w:szCs w:val="24"/>
        </w:rPr>
        <w:t>not</w:t>
      </w:r>
      <w:r w:rsidR="004304D9" w:rsidRPr="004224C3">
        <w:rPr>
          <w:sz w:val="24"/>
          <w:szCs w:val="24"/>
        </w:rPr>
        <w:t xml:space="preserve"> be identified or recruited </w:t>
      </w:r>
      <w:r w:rsidR="00B4317C" w:rsidRPr="004224C3">
        <w:rPr>
          <w:sz w:val="24"/>
          <w:szCs w:val="24"/>
        </w:rPr>
        <w:t xml:space="preserve">for a </w:t>
      </w:r>
      <w:r w:rsidR="00742BB7">
        <w:rPr>
          <w:sz w:val="24"/>
          <w:szCs w:val="24"/>
        </w:rPr>
        <w:t>project site</w:t>
      </w:r>
      <w:r w:rsidR="00B4317C" w:rsidRPr="004224C3">
        <w:rPr>
          <w:sz w:val="24"/>
          <w:szCs w:val="24"/>
        </w:rPr>
        <w:t xml:space="preserve"> school </w:t>
      </w:r>
      <w:r w:rsidR="004304D9" w:rsidRPr="004224C3">
        <w:rPr>
          <w:sz w:val="24"/>
          <w:szCs w:val="24"/>
        </w:rPr>
        <w:t xml:space="preserve">within a grantee district. </w:t>
      </w:r>
    </w:p>
    <w:p w14:paraId="2A0EB94C" w14:textId="6AA41AE6" w:rsidR="00AB0265" w:rsidRPr="004224C3" w:rsidRDefault="00AA5BB5" w:rsidP="004303B7">
      <w:pPr>
        <w:pStyle w:val="Heading8"/>
        <w:spacing w:after="200" w:line="276" w:lineRule="auto"/>
        <w:jc w:val="left"/>
      </w:pPr>
      <w:bookmarkStart w:id="4" w:name="_Toc119829981"/>
      <w:r w:rsidRPr="004224C3">
        <w:t>B.2</w:t>
      </w:r>
      <w:r w:rsidRPr="004224C3">
        <w:tab/>
      </w:r>
      <w:bookmarkEnd w:id="4"/>
      <w:r w:rsidR="0060767E" w:rsidRPr="004224C3">
        <w:t>Information Collection Procedures</w:t>
      </w:r>
    </w:p>
    <w:p w14:paraId="5D18A1A2" w14:textId="37C92ACC" w:rsidR="00AB0265" w:rsidRPr="004224C3" w:rsidRDefault="0060767E" w:rsidP="004303B7">
      <w:pPr>
        <w:pStyle w:val="P1-StandPara"/>
        <w:spacing w:after="200" w:line="276" w:lineRule="auto"/>
        <w:ind w:firstLine="0"/>
        <w:jc w:val="left"/>
        <w:rPr>
          <w:sz w:val="24"/>
          <w:szCs w:val="24"/>
        </w:rPr>
      </w:pPr>
      <w:r w:rsidRPr="004224C3">
        <w:rPr>
          <w:sz w:val="24"/>
          <w:szCs w:val="24"/>
        </w:rPr>
        <w:t xml:space="preserve">As noted earlier, this OMB submission is requesting clearance for the site notification and recruitment portion of the evaluation and is focused on one of several study components: </w:t>
      </w:r>
      <w:r w:rsidR="008C6103" w:rsidRPr="004224C3">
        <w:rPr>
          <w:sz w:val="24"/>
          <w:szCs w:val="24"/>
        </w:rPr>
        <w:t xml:space="preserve">the </w:t>
      </w:r>
      <w:r w:rsidR="00D51193">
        <w:rPr>
          <w:sz w:val="24"/>
          <w:szCs w:val="24"/>
        </w:rPr>
        <w:t>AWARE-SEA</w:t>
      </w:r>
      <w:r w:rsidR="008C6103" w:rsidRPr="004224C3">
        <w:rPr>
          <w:sz w:val="24"/>
          <w:szCs w:val="24"/>
        </w:rPr>
        <w:t xml:space="preserve"> evaluation</w:t>
      </w:r>
      <w:r w:rsidR="00B51186" w:rsidRPr="004224C3">
        <w:rPr>
          <w:sz w:val="24"/>
          <w:szCs w:val="24"/>
        </w:rPr>
        <w:t>.</w:t>
      </w:r>
      <w:r w:rsidRPr="004224C3">
        <w:rPr>
          <w:sz w:val="24"/>
          <w:szCs w:val="24"/>
        </w:rPr>
        <w:t xml:space="preserve"> A subsequent OMB submission will be prepared and submitted in late summer 2015 to obtain clearance for data collection instruments and procedures for the</w:t>
      </w:r>
      <w:r w:rsidR="008C6103" w:rsidRPr="004224C3">
        <w:rPr>
          <w:sz w:val="24"/>
          <w:szCs w:val="24"/>
        </w:rPr>
        <w:t xml:space="preserve"> entire</w:t>
      </w:r>
      <w:r w:rsidRPr="004224C3">
        <w:rPr>
          <w:sz w:val="24"/>
          <w:szCs w:val="24"/>
        </w:rPr>
        <w:t xml:space="preserve"> NITT national evaluation.</w:t>
      </w:r>
      <w:r w:rsidR="00F34501" w:rsidRPr="004224C3">
        <w:rPr>
          <w:sz w:val="24"/>
          <w:szCs w:val="24"/>
        </w:rPr>
        <w:t xml:space="preserve"> </w:t>
      </w:r>
    </w:p>
    <w:p w14:paraId="06DFDFB7" w14:textId="0B9DEAF9" w:rsidR="00F34501" w:rsidRPr="004224C3" w:rsidRDefault="00F34501" w:rsidP="004303B7">
      <w:pPr>
        <w:pStyle w:val="P1-StandPara"/>
        <w:spacing w:after="200" w:line="276" w:lineRule="auto"/>
        <w:ind w:firstLine="0"/>
        <w:jc w:val="left"/>
        <w:rPr>
          <w:sz w:val="24"/>
          <w:szCs w:val="24"/>
        </w:rPr>
      </w:pPr>
      <w:r w:rsidRPr="004224C3">
        <w:rPr>
          <w:sz w:val="24"/>
          <w:szCs w:val="24"/>
        </w:rPr>
        <w:t xml:space="preserve">Notification and recruitment of sites will proceed as follows. </w:t>
      </w:r>
      <w:r w:rsidR="008C6103" w:rsidRPr="004224C3">
        <w:rPr>
          <w:sz w:val="24"/>
          <w:szCs w:val="24"/>
        </w:rPr>
        <w:t>The site recruitment letters and other materials are included in the appendices.</w:t>
      </w:r>
      <w:r w:rsidR="00850E6F" w:rsidRPr="004224C3">
        <w:rPr>
          <w:sz w:val="24"/>
          <w:szCs w:val="24"/>
        </w:rPr>
        <w:t xml:space="preserve">  </w:t>
      </w:r>
    </w:p>
    <w:p w14:paraId="0C7E371A" w14:textId="6E6927A4" w:rsidR="00F34501" w:rsidRPr="004224C3" w:rsidRDefault="00F34501" w:rsidP="00F34501">
      <w:pPr>
        <w:pStyle w:val="P1-StandPara"/>
        <w:spacing w:after="200" w:line="276" w:lineRule="auto"/>
        <w:ind w:firstLine="0"/>
        <w:jc w:val="left"/>
        <w:rPr>
          <w:b/>
          <w:sz w:val="24"/>
          <w:szCs w:val="24"/>
        </w:rPr>
      </w:pPr>
      <w:r w:rsidRPr="004224C3">
        <w:rPr>
          <w:b/>
          <w:sz w:val="24"/>
          <w:szCs w:val="24"/>
        </w:rPr>
        <w:t>Introduce the Study to State, District, and School Leaders</w:t>
      </w:r>
    </w:p>
    <w:p w14:paraId="2E6D4F37" w14:textId="199060AC" w:rsidR="00F34501" w:rsidRPr="004224C3" w:rsidRDefault="00F34501" w:rsidP="00F34501">
      <w:pPr>
        <w:pStyle w:val="P1-StandPara"/>
        <w:spacing w:after="200" w:line="276" w:lineRule="auto"/>
        <w:ind w:firstLine="0"/>
        <w:jc w:val="left"/>
        <w:rPr>
          <w:sz w:val="24"/>
          <w:szCs w:val="24"/>
        </w:rPr>
      </w:pPr>
      <w:r w:rsidRPr="004224C3">
        <w:rPr>
          <w:sz w:val="24"/>
          <w:szCs w:val="24"/>
        </w:rPr>
        <w:t>A letter</w:t>
      </w:r>
      <w:r w:rsidR="006A5529" w:rsidRPr="004224C3">
        <w:rPr>
          <w:sz w:val="24"/>
          <w:szCs w:val="24"/>
        </w:rPr>
        <w:t xml:space="preserve">, </w:t>
      </w:r>
      <w:r w:rsidRPr="004224C3">
        <w:rPr>
          <w:sz w:val="24"/>
          <w:szCs w:val="24"/>
        </w:rPr>
        <w:t>brochure</w:t>
      </w:r>
      <w:r w:rsidR="006A5529" w:rsidRPr="004224C3">
        <w:rPr>
          <w:sz w:val="24"/>
          <w:szCs w:val="24"/>
        </w:rPr>
        <w:t xml:space="preserve">, and </w:t>
      </w:r>
      <w:r w:rsidR="003C2028" w:rsidRPr="004224C3">
        <w:rPr>
          <w:sz w:val="24"/>
          <w:szCs w:val="24"/>
        </w:rPr>
        <w:t xml:space="preserve">frequently asked questions </w:t>
      </w:r>
      <w:r w:rsidR="006A5529" w:rsidRPr="004224C3">
        <w:rPr>
          <w:sz w:val="24"/>
          <w:szCs w:val="24"/>
        </w:rPr>
        <w:t>(FAQs)</w:t>
      </w:r>
      <w:r w:rsidRPr="004224C3">
        <w:rPr>
          <w:sz w:val="24"/>
          <w:szCs w:val="24"/>
        </w:rPr>
        <w:t xml:space="preserve"> will be sent to the </w:t>
      </w:r>
      <w:r w:rsidR="00D51193">
        <w:rPr>
          <w:sz w:val="24"/>
          <w:szCs w:val="24"/>
        </w:rPr>
        <w:t>AWARE-SEA</w:t>
      </w:r>
      <w:r w:rsidRPr="004224C3">
        <w:rPr>
          <w:sz w:val="24"/>
          <w:szCs w:val="24"/>
        </w:rPr>
        <w:t xml:space="preserve"> grant </w:t>
      </w:r>
      <w:r w:rsidR="006A5529" w:rsidRPr="004224C3">
        <w:rPr>
          <w:sz w:val="24"/>
          <w:szCs w:val="24"/>
        </w:rPr>
        <w:t>director</w:t>
      </w:r>
      <w:r w:rsidRPr="004224C3">
        <w:rPr>
          <w:sz w:val="24"/>
          <w:szCs w:val="24"/>
        </w:rPr>
        <w:t xml:space="preserve"> at the state level to introduce them to the evaluation study, </w:t>
      </w:r>
      <w:r w:rsidR="006A5529" w:rsidRPr="004224C3">
        <w:rPr>
          <w:sz w:val="24"/>
          <w:szCs w:val="24"/>
        </w:rPr>
        <w:t>provide a timeline and plans for data collection</w:t>
      </w:r>
      <w:r w:rsidRPr="004224C3">
        <w:rPr>
          <w:sz w:val="24"/>
          <w:szCs w:val="24"/>
        </w:rPr>
        <w:t xml:space="preserve">, and detail the specific areas of support requested </w:t>
      </w:r>
      <w:r w:rsidR="006A5529" w:rsidRPr="004224C3">
        <w:rPr>
          <w:sz w:val="24"/>
          <w:szCs w:val="24"/>
        </w:rPr>
        <w:t xml:space="preserve">from all grantees and their partners. The letter will ask the state official to </w:t>
      </w:r>
      <w:bookmarkStart w:id="5" w:name="_Toc119829982"/>
      <w:r w:rsidR="006A5529" w:rsidRPr="004224C3">
        <w:rPr>
          <w:sz w:val="24"/>
          <w:szCs w:val="24"/>
        </w:rPr>
        <w:t>encourage the cooperation of each of their district-level partners.</w:t>
      </w:r>
    </w:p>
    <w:p w14:paraId="4DB0EA78" w14:textId="2D89401E" w:rsidR="006A5529" w:rsidRPr="004224C3" w:rsidRDefault="00585CF6" w:rsidP="00F34501">
      <w:pPr>
        <w:pStyle w:val="P1-StandPara"/>
        <w:spacing w:after="200" w:line="276" w:lineRule="auto"/>
        <w:ind w:firstLine="0"/>
        <w:jc w:val="left"/>
        <w:rPr>
          <w:sz w:val="24"/>
          <w:szCs w:val="24"/>
        </w:rPr>
      </w:pPr>
      <w:r w:rsidRPr="004224C3">
        <w:rPr>
          <w:sz w:val="24"/>
          <w:szCs w:val="24"/>
        </w:rPr>
        <w:lastRenderedPageBreak/>
        <w:t>School d</w:t>
      </w:r>
      <w:r w:rsidR="00055199" w:rsidRPr="004224C3">
        <w:rPr>
          <w:sz w:val="24"/>
          <w:szCs w:val="24"/>
        </w:rPr>
        <w:t xml:space="preserve">istrict letters will be sent after confirming the support </w:t>
      </w:r>
      <w:r w:rsidRPr="004224C3">
        <w:rPr>
          <w:sz w:val="24"/>
          <w:szCs w:val="24"/>
        </w:rPr>
        <w:t xml:space="preserve">and approval </w:t>
      </w:r>
      <w:r w:rsidR="00055199" w:rsidRPr="004224C3">
        <w:rPr>
          <w:sz w:val="24"/>
          <w:szCs w:val="24"/>
        </w:rPr>
        <w:t xml:space="preserve">of the state-level official. </w:t>
      </w:r>
      <w:r w:rsidR="003879F2" w:rsidRPr="004224C3">
        <w:rPr>
          <w:sz w:val="24"/>
          <w:szCs w:val="24"/>
        </w:rPr>
        <w:t>As necessary, the approval of district research committees</w:t>
      </w:r>
      <w:r w:rsidR="00141A13" w:rsidRPr="004224C3">
        <w:rPr>
          <w:sz w:val="24"/>
          <w:szCs w:val="24"/>
        </w:rPr>
        <w:t xml:space="preserve"> will be requested</w:t>
      </w:r>
      <w:r w:rsidR="003879F2" w:rsidRPr="004224C3">
        <w:rPr>
          <w:sz w:val="24"/>
          <w:szCs w:val="24"/>
        </w:rPr>
        <w:t xml:space="preserve"> through submission of the required research application. </w:t>
      </w:r>
      <w:r w:rsidR="006A5529" w:rsidRPr="004224C3">
        <w:rPr>
          <w:sz w:val="24"/>
          <w:szCs w:val="24"/>
        </w:rPr>
        <w:t xml:space="preserve">At the district level, all identified grantee partners will receive a letter, brochure, and FAQs introducing them to the study and asking for their support in specific areas. In particular, grantee districts will be asked to encourage the participation of </w:t>
      </w:r>
      <w:r w:rsidR="00D51193">
        <w:rPr>
          <w:sz w:val="24"/>
          <w:szCs w:val="24"/>
        </w:rPr>
        <w:t>AWARE-SEA</w:t>
      </w:r>
      <w:r w:rsidR="006A5529" w:rsidRPr="004224C3">
        <w:rPr>
          <w:sz w:val="24"/>
          <w:szCs w:val="24"/>
        </w:rPr>
        <w:t xml:space="preserve"> schools in their district and </w:t>
      </w:r>
      <w:r w:rsidR="00A12044" w:rsidRPr="004224C3">
        <w:rPr>
          <w:sz w:val="24"/>
          <w:szCs w:val="24"/>
        </w:rPr>
        <w:t xml:space="preserve">to </w:t>
      </w:r>
      <w:r w:rsidR="006A5529" w:rsidRPr="004224C3">
        <w:rPr>
          <w:sz w:val="24"/>
          <w:szCs w:val="24"/>
        </w:rPr>
        <w:t xml:space="preserve">assist </w:t>
      </w:r>
      <w:r w:rsidR="00A12044" w:rsidRPr="004224C3">
        <w:rPr>
          <w:sz w:val="24"/>
          <w:szCs w:val="24"/>
        </w:rPr>
        <w:t xml:space="preserve">with identifying comparison schools not currently participating in </w:t>
      </w:r>
      <w:r w:rsidR="00D51193">
        <w:rPr>
          <w:sz w:val="24"/>
          <w:szCs w:val="24"/>
        </w:rPr>
        <w:t>AWARE-SEA</w:t>
      </w:r>
      <w:r w:rsidR="00A12044" w:rsidRPr="004224C3">
        <w:rPr>
          <w:sz w:val="24"/>
          <w:szCs w:val="24"/>
        </w:rPr>
        <w:t xml:space="preserve">. Should it be necessary to enlist the support of </w:t>
      </w:r>
      <w:proofErr w:type="spellStart"/>
      <w:r w:rsidR="00A12044" w:rsidRPr="004224C3">
        <w:rPr>
          <w:sz w:val="24"/>
          <w:szCs w:val="24"/>
        </w:rPr>
        <w:t>nongrantee</w:t>
      </w:r>
      <w:proofErr w:type="spellEnd"/>
      <w:r w:rsidR="00A12044" w:rsidRPr="004224C3">
        <w:rPr>
          <w:sz w:val="24"/>
          <w:szCs w:val="24"/>
        </w:rPr>
        <w:t xml:space="preserve"> districts </w:t>
      </w:r>
      <w:r w:rsidR="008C6103" w:rsidRPr="004224C3">
        <w:rPr>
          <w:sz w:val="24"/>
          <w:szCs w:val="24"/>
        </w:rPr>
        <w:t>(</w:t>
      </w:r>
      <w:r w:rsidR="00A12044" w:rsidRPr="004224C3">
        <w:rPr>
          <w:sz w:val="24"/>
          <w:szCs w:val="24"/>
        </w:rPr>
        <w:t>if a matched comparison school cannot be identified or recruited in a grantee district</w:t>
      </w:r>
      <w:r w:rsidR="008C6103" w:rsidRPr="004224C3">
        <w:rPr>
          <w:sz w:val="24"/>
          <w:szCs w:val="24"/>
        </w:rPr>
        <w:t>)</w:t>
      </w:r>
      <w:r w:rsidR="00A12044" w:rsidRPr="004224C3">
        <w:rPr>
          <w:sz w:val="24"/>
          <w:szCs w:val="24"/>
        </w:rPr>
        <w:t xml:space="preserve">, a letter and materials </w:t>
      </w:r>
      <w:r w:rsidR="00141A13" w:rsidRPr="004224C3">
        <w:rPr>
          <w:sz w:val="24"/>
          <w:szCs w:val="24"/>
        </w:rPr>
        <w:t xml:space="preserve">will be sent </w:t>
      </w:r>
      <w:r w:rsidR="00A12044" w:rsidRPr="004224C3">
        <w:rPr>
          <w:sz w:val="24"/>
          <w:szCs w:val="24"/>
        </w:rPr>
        <w:t>to neighboring school districts where matched schools have been identified. The letter will ask for</w:t>
      </w:r>
      <w:r w:rsidRPr="004224C3">
        <w:rPr>
          <w:sz w:val="24"/>
          <w:szCs w:val="24"/>
        </w:rPr>
        <w:t xml:space="preserve"> the</w:t>
      </w:r>
      <w:r w:rsidR="00A12044" w:rsidRPr="004224C3">
        <w:rPr>
          <w:sz w:val="24"/>
          <w:szCs w:val="24"/>
        </w:rPr>
        <w:t xml:space="preserve"> district’s approval to contact the identified schools.</w:t>
      </w:r>
      <w:r w:rsidR="00850E6F" w:rsidRPr="004224C3">
        <w:rPr>
          <w:sz w:val="24"/>
          <w:szCs w:val="24"/>
        </w:rPr>
        <w:t xml:space="preserve">  </w:t>
      </w:r>
    </w:p>
    <w:p w14:paraId="4B60FCBE" w14:textId="3FAFDADD" w:rsidR="00370CA2" w:rsidRPr="004224C3" w:rsidRDefault="00370CA2" w:rsidP="00F34501">
      <w:pPr>
        <w:pStyle w:val="P1-StandPara"/>
        <w:spacing w:after="200" w:line="276" w:lineRule="auto"/>
        <w:ind w:firstLine="0"/>
        <w:jc w:val="left"/>
        <w:rPr>
          <w:sz w:val="24"/>
          <w:szCs w:val="24"/>
        </w:rPr>
      </w:pPr>
      <w:r w:rsidRPr="004224C3">
        <w:rPr>
          <w:sz w:val="24"/>
          <w:szCs w:val="24"/>
        </w:rPr>
        <w:t>Upon receiving approval from district officials</w:t>
      </w:r>
      <w:r w:rsidR="00585CF6" w:rsidRPr="004224C3">
        <w:rPr>
          <w:sz w:val="24"/>
          <w:szCs w:val="24"/>
        </w:rPr>
        <w:t xml:space="preserve"> (including district research committees)</w:t>
      </w:r>
      <w:r w:rsidRPr="004224C3">
        <w:rPr>
          <w:sz w:val="24"/>
          <w:szCs w:val="24"/>
        </w:rPr>
        <w:t xml:space="preserve"> to proceed with school-level recruitment, a letter and materials</w:t>
      </w:r>
      <w:r w:rsidR="00C212D2" w:rsidRPr="004224C3">
        <w:rPr>
          <w:sz w:val="24"/>
          <w:szCs w:val="24"/>
        </w:rPr>
        <w:t xml:space="preserve"> will be sent</w:t>
      </w:r>
      <w:r w:rsidRPr="004224C3">
        <w:rPr>
          <w:sz w:val="24"/>
          <w:szCs w:val="24"/>
        </w:rPr>
        <w:t xml:space="preserve"> to schools identified as </w:t>
      </w:r>
      <w:r w:rsidR="00742BB7">
        <w:rPr>
          <w:sz w:val="24"/>
          <w:szCs w:val="24"/>
        </w:rPr>
        <w:t>project site</w:t>
      </w:r>
      <w:r w:rsidRPr="004224C3">
        <w:rPr>
          <w:sz w:val="24"/>
          <w:szCs w:val="24"/>
        </w:rPr>
        <w:t xml:space="preserve"> schools or comparison schools in partner districts and to schools identified as comparison schools in </w:t>
      </w:r>
      <w:proofErr w:type="spellStart"/>
      <w:r w:rsidRPr="004224C3">
        <w:rPr>
          <w:sz w:val="24"/>
          <w:szCs w:val="24"/>
        </w:rPr>
        <w:t>nonpartner</w:t>
      </w:r>
      <w:proofErr w:type="spellEnd"/>
      <w:r w:rsidRPr="004224C3">
        <w:rPr>
          <w:sz w:val="24"/>
          <w:szCs w:val="24"/>
        </w:rPr>
        <w:t xml:space="preserve"> districts (if necessary). Each letter will indicate the approval of their district superintendent</w:t>
      </w:r>
      <w:r w:rsidR="003879F2" w:rsidRPr="004224C3">
        <w:rPr>
          <w:sz w:val="24"/>
          <w:szCs w:val="24"/>
        </w:rPr>
        <w:t xml:space="preserve"> (and research committee</w:t>
      </w:r>
      <w:r w:rsidR="003C2028" w:rsidRPr="004224C3">
        <w:rPr>
          <w:sz w:val="24"/>
          <w:szCs w:val="24"/>
        </w:rPr>
        <w:t>,</w:t>
      </w:r>
      <w:r w:rsidR="003879F2" w:rsidRPr="004224C3">
        <w:rPr>
          <w:sz w:val="24"/>
          <w:szCs w:val="24"/>
        </w:rPr>
        <w:t xml:space="preserve"> if applicable</w:t>
      </w:r>
      <w:r w:rsidR="003C2028" w:rsidRPr="004224C3">
        <w:rPr>
          <w:sz w:val="24"/>
          <w:szCs w:val="24"/>
        </w:rPr>
        <w:t xml:space="preserve">); </w:t>
      </w:r>
      <w:r w:rsidRPr="004224C3">
        <w:rPr>
          <w:sz w:val="24"/>
          <w:szCs w:val="24"/>
        </w:rPr>
        <w:t xml:space="preserve">describe </w:t>
      </w:r>
      <w:r w:rsidR="00055199" w:rsidRPr="004224C3">
        <w:rPr>
          <w:sz w:val="24"/>
          <w:szCs w:val="24"/>
        </w:rPr>
        <w:t>the study</w:t>
      </w:r>
      <w:r w:rsidR="003C2028" w:rsidRPr="004224C3">
        <w:rPr>
          <w:sz w:val="24"/>
          <w:szCs w:val="24"/>
        </w:rPr>
        <w:t xml:space="preserve">; </w:t>
      </w:r>
      <w:r w:rsidR="00055199" w:rsidRPr="004224C3">
        <w:rPr>
          <w:sz w:val="24"/>
          <w:szCs w:val="24"/>
        </w:rPr>
        <w:t xml:space="preserve">and invite their participation </w:t>
      </w:r>
      <w:r w:rsidR="00585CF6" w:rsidRPr="004224C3">
        <w:rPr>
          <w:sz w:val="24"/>
          <w:szCs w:val="24"/>
        </w:rPr>
        <w:t xml:space="preserve">in </w:t>
      </w:r>
      <w:r w:rsidR="00055199" w:rsidRPr="004224C3">
        <w:rPr>
          <w:sz w:val="24"/>
          <w:szCs w:val="24"/>
        </w:rPr>
        <w:t xml:space="preserve">the </w:t>
      </w:r>
      <w:r w:rsidR="00141A13" w:rsidRPr="004224C3">
        <w:rPr>
          <w:sz w:val="24"/>
          <w:szCs w:val="24"/>
        </w:rPr>
        <w:t>evaluation</w:t>
      </w:r>
      <w:r w:rsidR="00055199" w:rsidRPr="004224C3">
        <w:rPr>
          <w:sz w:val="24"/>
          <w:szCs w:val="24"/>
        </w:rPr>
        <w:t>.</w:t>
      </w:r>
    </w:p>
    <w:p w14:paraId="1EDD62B0" w14:textId="16BF794E" w:rsidR="00055199" w:rsidRPr="004224C3" w:rsidRDefault="00055199" w:rsidP="00F34501">
      <w:pPr>
        <w:pStyle w:val="P1-StandPara"/>
        <w:spacing w:after="200" w:line="276" w:lineRule="auto"/>
        <w:ind w:firstLine="0"/>
        <w:jc w:val="left"/>
        <w:rPr>
          <w:b/>
          <w:sz w:val="24"/>
          <w:szCs w:val="24"/>
        </w:rPr>
      </w:pPr>
      <w:r w:rsidRPr="004224C3">
        <w:rPr>
          <w:b/>
          <w:sz w:val="24"/>
          <w:szCs w:val="24"/>
        </w:rPr>
        <w:t>Follow-Up Communications</w:t>
      </w:r>
    </w:p>
    <w:p w14:paraId="4A9D5524" w14:textId="34DB200F" w:rsidR="008C6103" w:rsidRPr="004224C3" w:rsidRDefault="00055199" w:rsidP="00F34501">
      <w:pPr>
        <w:pStyle w:val="P1-StandPara"/>
        <w:spacing w:after="200" w:line="276" w:lineRule="auto"/>
        <w:ind w:firstLine="0"/>
        <w:jc w:val="left"/>
        <w:rPr>
          <w:sz w:val="24"/>
          <w:szCs w:val="24"/>
        </w:rPr>
      </w:pPr>
      <w:r w:rsidRPr="004224C3">
        <w:rPr>
          <w:sz w:val="24"/>
          <w:szCs w:val="24"/>
        </w:rPr>
        <w:t xml:space="preserve">Within 1 week of sending the letters, follow-up telephone </w:t>
      </w:r>
      <w:r w:rsidR="00585CF6" w:rsidRPr="004224C3">
        <w:rPr>
          <w:sz w:val="24"/>
          <w:szCs w:val="24"/>
        </w:rPr>
        <w:t xml:space="preserve">calls </w:t>
      </w:r>
      <w:r w:rsidR="00141A13" w:rsidRPr="004224C3">
        <w:rPr>
          <w:sz w:val="24"/>
          <w:szCs w:val="24"/>
        </w:rPr>
        <w:t xml:space="preserve">will be made </w:t>
      </w:r>
      <w:r w:rsidR="00585CF6" w:rsidRPr="004224C3">
        <w:rPr>
          <w:sz w:val="24"/>
          <w:szCs w:val="24"/>
        </w:rPr>
        <w:t>to each state, district, and school to confirm receipt of the letter, answer any questions, and ensure their cooperation with the study.</w:t>
      </w:r>
      <w:r w:rsidR="00850E6F" w:rsidRPr="004224C3">
        <w:rPr>
          <w:sz w:val="24"/>
          <w:szCs w:val="24"/>
        </w:rPr>
        <w:t xml:space="preserve">  </w:t>
      </w:r>
    </w:p>
    <w:p w14:paraId="0494A40B" w14:textId="5B1B7132" w:rsidR="00D12080" w:rsidRPr="004224C3" w:rsidRDefault="00141A13" w:rsidP="00F34501">
      <w:pPr>
        <w:pStyle w:val="P1-StandPara"/>
        <w:spacing w:after="200" w:line="276" w:lineRule="auto"/>
        <w:ind w:firstLine="0"/>
        <w:jc w:val="left"/>
        <w:rPr>
          <w:sz w:val="24"/>
          <w:szCs w:val="24"/>
        </w:rPr>
      </w:pPr>
      <w:r w:rsidRPr="004224C3">
        <w:rPr>
          <w:sz w:val="24"/>
          <w:szCs w:val="24"/>
        </w:rPr>
        <w:t>T</w:t>
      </w:r>
      <w:r w:rsidR="003879F2" w:rsidRPr="004224C3">
        <w:rPr>
          <w:sz w:val="24"/>
          <w:szCs w:val="24"/>
        </w:rPr>
        <w:t>he</w:t>
      </w:r>
      <w:r w:rsidRPr="004224C3">
        <w:rPr>
          <w:sz w:val="24"/>
          <w:szCs w:val="24"/>
        </w:rPr>
        <w:t xml:space="preserve"> purpose of the</w:t>
      </w:r>
      <w:r w:rsidR="003879F2" w:rsidRPr="004224C3">
        <w:rPr>
          <w:sz w:val="24"/>
          <w:szCs w:val="24"/>
        </w:rPr>
        <w:t xml:space="preserve"> state grantee calls </w:t>
      </w:r>
      <w:r w:rsidRPr="004224C3">
        <w:rPr>
          <w:sz w:val="24"/>
          <w:szCs w:val="24"/>
        </w:rPr>
        <w:t>is to:</w:t>
      </w:r>
      <w:r w:rsidR="003879F2" w:rsidRPr="004224C3">
        <w:rPr>
          <w:sz w:val="24"/>
          <w:szCs w:val="24"/>
        </w:rPr>
        <w:t xml:space="preserve"> confirm the partner districts and schools</w:t>
      </w:r>
      <w:r w:rsidRPr="004224C3">
        <w:rPr>
          <w:sz w:val="24"/>
          <w:szCs w:val="24"/>
        </w:rPr>
        <w:t>;</w:t>
      </w:r>
      <w:r w:rsidR="003879F2" w:rsidRPr="004224C3">
        <w:rPr>
          <w:sz w:val="24"/>
          <w:szCs w:val="24"/>
        </w:rPr>
        <w:t xml:space="preserve"> discuss possible comparison schools</w:t>
      </w:r>
      <w:r w:rsidRPr="004224C3">
        <w:rPr>
          <w:sz w:val="24"/>
          <w:szCs w:val="24"/>
        </w:rPr>
        <w:t>;</w:t>
      </w:r>
      <w:r w:rsidR="003879F2" w:rsidRPr="004224C3">
        <w:rPr>
          <w:sz w:val="24"/>
          <w:szCs w:val="24"/>
        </w:rPr>
        <w:t xml:space="preserve"> and </w:t>
      </w:r>
      <w:r w:rsidR="008C6103" w:rsidRPr="004224C3">
        <w:rPr>
          <w:sz w:val="24"/>
          <w:szCs w:val="24"/>
        </w:rPr>
        <w:t xml:space="preserve">discuss </w:t>
      </w:r>
      <w:r w:rsidR="003879F2" w:rsidRPr="004224C3">
        <w:rPr>
          <w:sz w:val="24"/>
          <w:szCs w:val="24"/>
        </w:rPr>
        <w:t xml:space="preserve">access to MIS data on school safety indicators (e.g., number of suspensions, expulsions, and incidents of school violence). </w:t>
      </w:r>
    </w:p>
    <w:p w14:paraId="31EA4CE4" w14:textId="3070FC6C" w:rsidR="00D12080" w:rsidRPr="004224C3" w:rsidRDefault="00141A13" w:rsidP="00F34501">
      <w:pPr>
        <w:pStyle w:val="P1-StandPara"/>
        <w:spacing w:after="200" w:line="276" w:lineRule="auto"/>
        <w:ind w:firstLine="0"/>
        <w:jc w:val="left"/>
        <w:rPr>
          <w:sz w:val="24"/>
          <w:szCs w:val="24"/>
        </w:rPr>
      </w:pPr>
      <w:r w:rsidRPr="004224C3">
        <w:rPr>
          <w:sz w:val="24"/>
          <w:szCs w:val="24"/>
        </w:rPr>
        <w:t xml:space="preserve">The purpose of the </w:t>
      </w:r>
      <w:r w:rsidR="00D12080" w:rsidRPr="004224C3">
        <w:rPr>
          <w:sz w:val="24"/>
          <w:szCs w:val="24"/>
        </w:rPr>
        <w:t>c</w:t>
      </w:r>
      <w:r w:rsidR="003879F2" w:rsidRPr="004224C3">
        <w:rPr>
          <w:sz w:val="24"/>
          <w:szCs w:val="24"/>
        </w:rPr>
        <w:t>alls to school district officials</w:t>
      </w:r>
      <w:r w:rsidRPr="004224C3">
        <w:rPr>
          <w:sz w:val="24"/>
          <w:szCs w:val="24"/>
        </w:rPr>
        <w:t xml:space="preserve"> is to:</w:t>
      </w:r>
      <w:r w:rsidR="003879F2" w:rsidRPr="004224C3">
        <w:rPr>
          <w:sz w:val="24"/>
          <w:szCs w:val="24"/>
        </w:rPr>
        <w:t xml:space="preserve"> discuss </w:t>
      </w:r>
      <w:r w:rsidR="00742BB7">
        <w:rPr>
          <w:sz w:val="24"/>
          <w:szCs w:val="24"/>
        </w:rPr>
        <w:t>project site</w:t>
      </w:r>
      <w:r w:rsidR="003879F2" w:rsidRPr="004224C3">
        <w:rPr>
          <w:sz w:val="24"/>
          <w:szCs w:val="24"/>
        </w:rPr>
        <w:t xml:space="preserve"> schools and potential matched comparison schools</w:t>
      </w:r>
      <w:r w:rsidR="00D12080" w:rsidRPr="004224C3">
        <w:rPr>
          <w:sz w:val="24"/>
          <w:szCs w:val="24"/>
        </w:rPr>
        <w:t xml:space="preserve"> in more detail</w:t>
      </w:r>
      <w:r w:rsidRPr="004224C3">
        <w:rPr>
          <w:sz w:val="24"/>
          <w:szCs w:val="24"/>
        </w:rPr>
        <w:t>;</w:t>
      </w:r>
      <w:r w:rsidR="003879F2" w:rsidRPr="004224C3">
        <w:rPr>
          <w:sz w:val="24"/>
          <w:szCs w:val="24"/>
        </w:rPr>
        <w:t xml:space="preserve"> confirm the</w:t>
      </w:r>
      <w:r w:rsidR="00D12080" w:rsidRPr="004224C3">
        <w:rPr>
          <w:sz w:val="24"/>
          <w:szCs w:val="24"/>
        </w:rPr>
        <w:t xml:space="preserve"> schools’</w:t>
      </w:r>
      <w:r w:rsidR="003879F2" w:rsidRPr="004224C3">
        <w:rPr>
          <w:sz w:val="24"/>
          <w:szCs w:val="24"/>
        </w:rPr>
        <w:t xml:space="preserve"> eligibility for the study (i.e., confirm participation in </w:t>
      </w:r>
      <w:r w:rsidR="00D51193">
        <w:rPr>
          <w:sz w:val="24"/>
          <w:szCs w:val="24"/>
        </w:rPr>
        <w:t>AWARE-SEA</w:t>
      </w:r>
      <w:r w:rsidR="003879F2" w:rsidRPr="004224C3">
        <w:rPr>
          <w:sz w:val="24"/>
          <w:szCs w:val="24"/>
        </w:rPr>
        <w:t xml:space="preserve"> activities for </w:t>
      </w:r>
      <w:r w:rsidR="00742BB7">
        <w:rPr>
          <w:sz w:val="24"/>
          <w:szCs w:val="24"/>
        </w:rPr>
        <w:t>project site</w:t>
      </w:r>
      <w:r w:rsidR="003879F2" w:rsidRPr="004224C3">
        <w:rPr>
          <w:sz w:val="24"/>
          <w:szCs w:val="24"/>
        </w:rPr>
        <w:t xml:space="preserve"> schools and no similar activities </w:t>
      </w:r>
      <w:r w:rsidR="00D12080" w:rsidRPr="004224C3">
        <w:rPr>
          <w:sz w:val="24"/>
          <w:szCs w:val="24"/>
        </w:rPr>
        <w:t>in place</w:t>
      </w:r>
      <w:r w:rsidR="003879F2" w:rsidRPr="004224C3">
        <w:rPr>
          <w:sz w:val="24"/>
          <w:szCs w:val="24"/>
        </w:rPr>
        <w:t xml:space="preserve"> or planned for comparison schools)</w:t>
      </w:r>
      <w:r w:rsidRPr="004224C3">
        <w:rPr>
          <w:sz w:val="24"/>
          <w:szCs w:val="24"/>
        </w:rPr>
        <w:t>;</w:t>
      </w:r>
      <w:r w:rsidR="00D12080" w:rsidRPr="004224C3">
        <w:rPr>
          <w:sz w:val="24"/>
          <w:szCs w:val="24"/>
        </w:rPr>
        <w:t xml:space="preserve"> discuss access to relevant school-level MIS data</w:t>
      </w:r>
      <w:r w:rsidRPr="004224C3">
        <w:rPr>
          <w:sz w:val="24"/>
          <w:szCs w:val="24"/>
        </w:rPr>
        <w:t>;</w:t>
      </w:r>
      <w:r w:rsidR="00D12080" w:rsidRPr="004224C3">
        <w:rPr>
          <w:sz w:val="24"/>
          <w:szCs w:val="24"/>
        </w:rPr>
        <w:t xml:space="preserve"> and confirm their approval to contact identified schools</w:t>
      </w:r>
      <w:r w:rsidR="003879F2" w:rsidRPr="004224C3">
        <w:rPr>
          <w:sz w:val="24"/>
          <w:szCs w:val="24"/>
        </w:rPr>
        <w:t>.</w:t>
      </w:r>
    </w:p>
    <w:p w14:paraId="0FF51011" w14:textId="3624C015" w:rsidR="00D12080" w:rsidRPr="004224C3" w:rsidRDefault="00D12080" w:rsidP="00F34501">
      <w:pPr>
        <w:pStyle w:val="P1-StandPara"/>
        <w:spacing w:after="200" w:line="276" w:lineRule="auto"/>
        <w:ind w:firstLine="0"/>
        <w:jc w:val="left"/>
        <w:rPr>
          <w:sz w:val="24"/>
          <w:szCs w:val="24"/>
        </w:rPr>
      </w:pPr>
      <w:r w:rsidRPr="004224C3">
        <w:rPr>
          <w:sz w:val="24"/>
          <w:szCs w:val="24"/>
        </w:rPr>
        <w:t xml:space="preserve">Similar follow-up calls will be made to the school principals to confirm the school’s eligibility as </w:t>
      </w:r>
      <w:r w:rsidR="003C2028" w:rsidRPr="004224C3">
        <w:rPr>
          <w:sz w:val="24"/>
          <w:szCs w:val="24"/>
        </w:rPr>
        <w:t xml:space="preserve">a </w:t>
      </w:r>
      <w:r w:rsidR="00742BB7">
        <w:rPr>
          <w:sz w:val="24"/>
          <w:szCs w:val="24"/>
        </w:rPr>
        <w:t>project site</w:t>
      </w:r>
      <w:r w:rsidRPr="004224C3">
        <w:rPr>
          <w:sz w:val="24"/>
          <w:szCs w:val="24"/>
        </w:rPr>
        <w:t xml:space="preserve"> or comparison school, enlist their participation in the study, and ask for the identi</w:t>
      </w:r>
      <w:r w:rsidR="008C6103" w:rsidRPr="004224C3">
        <w:rPr>
          <w:sz w:val="24"/>
          <w:szCs w:val="24"/>
        </w:rPr>
        <w:t>t</w:t>
      </w:r>
      <w:r w:rsidRPr="004224C3">
        <w:rPr>
          <w:sz w:val="24"/>
          <w:szCs w:val="24"/>
        </w:rPr>
        <w:t xml:space="preserve">y of a school </w:t>
      </w:r>
      <w:r w:rsidR="0069173F" w:rsidRPr="004224C3">
        <w:rPr>
          <w:sz w:val="24"/>
          <w:szCs w:val="24"/>
        </w:rPr>
        <w:t>coordinator</w:t>
      </w:r>
      <w:r w:rsidRPr="004224C3">
        <w:rPr>
          <w:sz w:val="24"/>
          <w:szCs w:val="24"/>
        </w:rPr>
        <w:t xml:space="preserve"> to assist with the student surveys. </w:t>
      </w:r>
    </w:p>
    <w:p w14:paraId="6C63E13F" w14:textId="4DA813DA" w:rsidR="00AA5BB5" w:rsidRPr="004224C3" w:rsidRDefault="00AA5BB5" w:rsidP="004303B7">
      <w:pPr>
        <w:pStyle w:val="Heading8"/>
        <w:spacing w:after="200" w:line="276" w:lineRule="auto"/>
        <w:jc w:val="left"/>
      </w:pPr>
      <w:r w:rsidRPr="004224C3">
        <w:t>B.3</w:t>
      </w:r>
      <w:r w:rsidRPr="004224C3">
        <w:tab/>
      </w:r>
      <w:r w:rsidR="002E54C9" w:rsidRPr="004224C3">
        <w:t>Methods to Maximize</w:t>
      </w:r>
      <w:r w:rsidRPr="004224C3">
        <w:t xml:space="preserve"> Response Rates</w:t>
      </w:r>
      <w:bookmarkEnd w:id="5"/>
    </w:p>
    <w:p w14:paraId="61C6082F" w14:textId="47B1B89F" w:rsidR="00050B5A" w:rsidRPr="004224C3" w:rsidRDefault="00141A13" w:rsidP="00BE62AA">
      <w:pPr>
        <w:pStyle w:val="P1-StandPara"/>
        <w:spacing w:after="120" w:line="240" w:lineRule="auto"/>
        <w:ind w:firstLine="0"/>
        <w:jc w:val="left"/>
        <w:rPr>
          <w:sz w:val="24"/>
          <w:szCs w:val="24"/>
        </w:rPr>
      </w:pPr>
      <w:r w:rsidRPr="004224C3">
        <w:rPr>
          <w:sz w:val="24"/>
          <w:szCs w:val="24"/>
        </w:rPr>
        <w:t xml:space="preserve">As </w:t>
      </w:r>
      <w:r w:rsidR="00050B5A" w:rsidRPr="004224C3">
        <w:rPr>
          <w:sz w:val="24"/>
          <w:szCs w:val="24"/>
        </w:rPr>
        <w:t xml:space="preserve">recipients </w:t>
      </w:r>
      <w:r w:rsidR="005E4FCC" w:rsidRPr="004224C3">
        <w:rPr>
          <w:sz w:val="24"/>
          <w:szCs w:val="24"/>
        </w:rPr>
        <w:t>of the</w:t>
      </w:r>
      <w:r w:rsidR="00050B5A" w:rsidRPr="004224C3">
        <w:rPr>
          <w:sz w:val="24"/>
          <w:szCs w:val="24"/>
        </w:rPr>
        <w:t xml:space="preserve"> </w:t>
      </w:r>
      <w:r w:rsidR="00D51193">
        <w:rPr>
          <w:sz w:val="24"/>
          <w:szCs w:val="24"/>
        </w:rPr>
        <w:t>AWARE-SEA</w:t>
      </w:r>
      <w:r w:rsidR="005E4FCC" w:rsidRPr="004224C3">
        <w:rPr>
          <w:sz w:val="24"/>
          <w:szCs w:val="24"/>
        </w:rPr>
        <w:t xml:space="preserve"> grants,</w:t>
      </w:r>
      <w:r w:rsidR="00050B5A" w:rsidRPr="004224C3">
        <w:rPr>
          <w:sz w:val="24"/>
          <w:szCs w:val="24"/>
        </w:rPr>
        <w:t xml:space="preserve"> </w:t>
      </w:r>
      <w:r w:rsidRPr="004224C3">
        <w:rPr>
          <w:sz w:val="24"/>
          <w:szCs w:val="24"/>
        </w:rPr>
        <w:t xml:space="preserve">it is </w:t>
      </w:r>
      <w:r w:rsidR="00050B5A" w:rsidRPr="004224C3">
        <w:rPr>
          <w:sz w:val="24"/>
          <w:szCs w:val="24"/>
        </w:rPr>
        <w:t>expect</w:t>
      </w:r>
      <w:r w:rsidRPr="004224C3">
        <w:rPr>
          <w:sz w:val="24"/>
          <w:szCs w:val="24"/>
        </w:rPr>
        <w:t>ed</w:t>
      </w:r>
      <w:r w:rsidR="00050B5A" w:rsidRPr="004224C3">
        <w:rPr>
          <w:sz w:val="24"/>
          <w:szCs w:val="24"/>
        </w:rPr>
        <w:t xml:space="preserve"> that grantees and their partners will </w:t>
      </w:r>
      <w:r w:rsidR="005E4FCC" w:rsidRPr="004224C3">
        <w:rPr>
          <w:sz w:val="24"/>
          <w:szCs w:val="24"/>
        </w:rPr>
        <w:t>demonstrate</w:t>
      </w:r>
      <w:r w:rsidR="00050B5A" w:rsidRPr="004224C3">
        <w:rPr>
          <w:sz w:val="24"/>
          <w:szCs w:val="24"/>
        </w:rPr>
        <w:t xml:space="preserve"> high levels of cooperation and be fully engaged as partners in the evaluation. </w:t>
      </w:r>
      <w:proofErr w:type="spellStart"/>
      <w:r w:rsidR="00050B5A" w:rsidRPr="004224C3">
        <w:rPr>
          <w:sz w:val="24"/>
          <w:szCs w:val="24"/>
        </w:rPr>
        <w:t>Nongrantee</w:t>
      </w:r>
      <w:proofErr w:type="spellEnd"/>
      <w:r w:rsidR="00050B5A" w:rsidRPr="004224C3">
        <w:rPr>
          <w:sz w:val="24"/>
          <w:szCs w:val="24"/>
        </w:rPr>
        <w:t xml:space="preserve"> districts and their schools will only be contacted as necessary if a comparison school cannot be identified in a grantee district. For these </w:t>
      </w:r>
      <w:proofErr w:type="spellStart"/>
      <w:r w:rsidR="00050B5A" w:rsidRPr="004224C3">
        <w:rPr>
          <w:sz w:val="24"/>
          <w:szCs w:val="24"/>
        </w:rPr>
        <w:t>nongrantee</w:t>
      </w:r>
      <w:proofErr w:type="spellEnd"/>
      <w:r w:rsidR="00050B5A" w:rsidRPr="004224C3">
        <w:rPr>
          <w:sz w:val="24"/>
          <w:szCs w:val="24"/>
        </w:rPr>
        <w:t xml:space="preserve"> districts and schools, recruitment will be more challenging. For planning purposes, </w:t>
      </w:r>
      <w:r w:rsidRPr="004224C3">
        <w:rPr>
          <w:sz w:val="24"/>
          <w:szCs w:val="24"/>
        </w:rPr>
        <w:t xml:space="preserve">it is </w:t>
      </w:r>
      <w:r w:rsidR="00050B5A" w:rsidRPr="004224C3">
        <w:rPr>
          <w:sz w:val="24"/>
          <w:szCs w:val="24"/>
        </w:rPr>
        <w:t>assume</w:t>
      </w:r>
      <w:r w:rsidRPr="004224C3">
        <w:rPr>
          <w:sz w:val="24"/>
          <w:szCs w:val="24"/>
        </w:rPr>
        <w:t>d</w:t>
      </w:r>
      <w:r w:rsidR="00050B5A" w:rsidRPr="004224C3">
        <w:rPr>
          <w:sz w:val="24"/>
          <w:szCs w:val="24"/>
        </w:rPr>
        <w:t xml:space="preserve"> that three schools will need to be contacted before </w:t>
      </w:r>
      <w:r w:rsidR="00C827EB" w:rsidRPr="004224C3">
        <w:rPr>
          <w:sz w:val="24"/>
          <w:szCs w:val="24"/>
        </w:rPr>
        <w:t>one school will agree to participate as a comparison school</w:t>
      </w:r>
      <w:r w:rsidR="003950AE" w:rsidRPr="004224C3">
        <w:rPr>
          <w:sz w:val="24"/>
          <w:szCs w:val="24"/>
        </w:rPr>
        <w:t xml:space="preserve"> in a </w:t>
      </w:r>
      <w:proofErr w:type="spellStart"/>
      <w:r w:rsidR="003950AE" w:rsidRPr="004224C3">
        <w:rPr>
          <w:sz w:val="24"/>
          <w:szCs w:val="24"/>
        </w:rPr>
        <w:t>nongrantee</w:t>
      </w:r>
      <w:proofErr w:type="spellEnd"/>
      <w:r w:rsidR="003950AE" w:rsidRPr="004224C3">
        <w:rPr>
          <w:sz w:val="24"/>
          <w:szCs w:val="24"/>
        </w:rPr>
        <w:t xml:space="preserve"> district</w:t>
      </w:r>
      <w:r w:rsidR="00C827EB" w:rsidRPr="004224C3">
        <w:rPr>
          <w:sz w:val="24"/>
          <w:szCs w:val="24"/>
        </w:rPr>
        <w:t xml:space="preserve">. At the district level, additional </w:t>
      </w:r>
      <w:proofErr w:type="spellStart"/>
      <w:r w:rsidR="00C827EB" w:rsidRPr="004224C3">
        <w:rPr>
          <w:sz w:val="24"/>
          <w:szCs w:val="24"/>
        </w:rPr>
        <w:t>nongrantee</w:t>
      </w:r>
      <w:proofErr w:type="spellEnd"/>
      <w:r w:rsidR="00C827EB" w:rsidRPr="004224C3">
        <w:rPr>
          <w:sz w:val="24"/>
          <w:szCs w:val="24"/>
        </w:rPr>
        <w:t xml:space="preserve"> districts </w:t>
      </w:r>
      <w:r w:rsidRPr="004224C3">
        <w:rPr>
          <w:sz w:val="24"/>
          <w:szCs w:val="24"/>
        </w:rPr>
        <w:t xml:space="preserve">will be contacted </w:t>
      </w:r>
      <w:r w:rsidR="00C827EB" w:rsidRPr="004224C3">
        <w:rPr>
          <w:sz w:val="24"/>
          <w:szCs w:val="24"/>
        </w:rPr>
        <w:t>as needed to gain approval for contacting identified matched comparison schools.</w:t>
      </w:r>
    </w:p>
    <w:p w14:paraId="1A322CC6" w14:textId="4A4CCF6A" w:rsidR="00A22E18" w:rsidRPr="004224C3" w:rsidRDefault="00C827EB" w:rsidP="00BE62AA">
      <w:pPr>
        <w:pStyle w:val="P1-StandPara"/>
        <w:spacing w:after="120" w:line="240" w:lineRule="auto"/>
        <w:ind w:firstLine="0"/>
        <w:jc w:val="left"/>
        <w:rPr>
          <w:sz w:val="24"/>
          <w:szCs w:val="24"/>
        </w:rPr>
      </w:pPr>
      <w:r w:rsidRPr="004224C3">
        <w:rPr>
          <w:sz w:val="24"/>
          <w:szCs w:val="24"/>
        </w:rPr>
        <w:lastRenderedPageBreak/>
        <w:t xml:space="preserve">Regardless of grantee status, recruitment efforts will be based on establishing strong partnerships at all levels, actively addressing potential concerns, and minimizing burden. </w:t>
      </w:r>
      <w:r w:rsidR="00050B5A" w:rsidRPr="004224C3">
        <w:rPr>
          <w:sz w:val="24"/>
          <w:szCs w:val="24"/>
        </w:rPr>
        <w:t>Efforts to maximize cooperation include</w:t>
      </w:r>
      <w:r w:rsidR="00A22E18" w:rsidRPr="004224C3">
        <w:rPr>
          <w:sz w:val="24"/>
          <w:szCs w:val="24"/>
        </w:rPr>
        <w:t>:</w:t>
      </w:r>
    </w:p>
    <w:p w14:paraId="5C1D2043" w14:textId="080494D1" w:rsidR="00A22E18" w:rsidRPr="004224C3" w:rsidRDefault="00A22E18" w:rsidP="004303B7">
      <w:pPr>
        <w:pStyle w:val="N1-1stBullet"/>
        <w:numPr>
          <w:ilvl w:val="0"/>
          <w:numId w:val="7"/>
        </w:numPr>
        <w:tabs>
          <w:tab w:val="clear" w:pos="1152"/>
        </w:tabs>
        <w:spacing w:after="60" w:line="240" w:lineRule="auto"/>
        <w:ind w:left="547" w:hanging="331"/>
        <w:rPr>
          <w:rFonts w:ascii="Times New Roman" w:hAnsi="Times New Roman"/>
          <w:szCs w:val="24"/>
        </w:rPr>
      </w:pPr>
      <w:r w:rsidRPr="004224C3">
        <w:rPr>
          <w:rFonts w:ascii="Times New Roman" w:hAnsi="Times New Roman"/>
          <w:szCs w:val="24"/>
        </w:rPr>
        <w:t xml:space="preserve">Send </w:t>
      </w:r>
      <w:r w:rsidR="00C827EB" w:rsidRPr="004224C3">
        <w:rPr>
          <w:rFonts w:ascii="Times New Roman" w:hAnsi="Times New Roman"/>
          <w:szCs w:val="24"/>
        </w:rPr>
        <w:t>customized</w:t>
      </w:r>
      <w:r w:rsidR="00050B5A" w:rsidRPr="004224C3">
        <w:rPr>
          <w:rFonts w:ascii="Times New Roman" w:hAnsi="Times New Roman"/>
          <w:szCs w:val="24"/>
        </w:rPr>
        <w:t xml:space="preserve"> </w:t>
      </w:r>
      <w:r w:rsidRPr="004224C3">
        <w:rPr>
          <w:rFonts w:ascii="Times New Roman" w:hAnsi="Times New Roman"/>
          <w:szCs w:val="24"/>
        </w:rPr>
        <w:t xml:space="preserve">letters and informational materials to </w:t>
      </w:r>
      <w:r w:rsidR="00C827EB" w:rsidRPr="004224C3">
        <w:rPr>
          <w:rFonts w:ascii="Times New Roman" w:hAnsi="Times New Roman"/>
          <w:szCs w:val="24"/>
        </w:rPr>
        <w:t xml:space="preserve">state grantees, districts, and </w:t>
      </w:r>
      <w:r w:rsidRPr="004224C3">
        <w:rPr>
          <w:rFonts w:ascii="Times New Roman" w:hAnsi="Times New Roman"/>
          <w:szCs w:val="24"/>
        </w:rPr>
        <w:t>schools</w:t>
      </w:r>
      <w:r w:rsidR="005E4FCC" w:rsidRPr="004224C3">
        <w:rPr>
          <w:rFonts w:ascii="Times New Roman" w:hAnsi="Times New Roman"/>
          <w:szCs w:val="24"/>
        </w:rPr>
        <w:t>;</w:t>
      </w:r>
      <w:r w:rsidR="00C827EB" w:rsidRPr="004224C3">
        <w:rPr>
          <w:rFonts w:ascii="Times New Roman" w:hAnsi="Times New Roman"/>
          <w:szCs w:val="24"/>
        </w:rPr>
        <w:t xml:space="preserve"> letters will use </w:t>
      </w:r>
      <w:r w:rsidR="00D51193">
        <w:rPr>
          <w:rFonts w:ascii="Times New Roman" w:hAnsi="Times New Roman"/>
          <w:szCs w:val="24"/>
        </w:rPr>
        <w:t>AWARE-SEA</w:t>
      </w:r>
      <w:r w:rsidR="00C827EB" w:rsidRPr="004224C3">
        <w:rPr>
          <w:rFonts w:ascii="Times New Roman" w:hAnsi="Times New Roman"/>
          <w:szCs w:val="24"/>
        </w:rPr>
        <w:t xml:space="preserve"> letterhead so they can be readily identified and will be signed by a SAMHSA official</w:t>
      </w:r>
      <w:r w:rsidR="005E4FCC" w:rsidRPr="004224C3">
        <w:rPr>
          <w:rFonts w:ascii="Times New Roman" w:hAnsi="Times New Roman"/>
          <w:szCs w:val="24"/>
        </w:rPr>
        <w:t>;</w:t>
      </w:r>
    </w:p>
    <w:p w14:paraId="511D5299" w14:textId="06441E48" w:rsidR="00746E9A" w:rsidRPr="004224C3" w:rsidRDefault="00746E9A" w:rsidP="004303B7">
      <w:pPr>
        <w:pStyle w:val="N1-1stBullet"/>
        <w:numPr>
          <w:ilvl w:val="0"/>
          <w:numId w:val="7"/>
        </w:numPr>
        <w:tabs>
          <w:tab w:val="clear" w:pos="1152"/>
        </w:tabs>
        <w:spacing w:after="60" w:line="240" w:lineRule="auto"/>
        <w:ind w:left="547" w:hanging="331"/>
        <w:rPr>
          <w:rFonts w:ascii="Times New Roman" w:hAnsi="Times New Roman"/>
          <w:szCs w:val="24"/>
        </w:rPr>
      </w:pPr>
      <w:r w:rsidRPr="004224C3">
        <w:rPr>
          <w:rFonts w:ascii="Times New Roman" w:hAnsi="Times New Roman"/>
          <w:szCs w:val="24"/>
        </w:rPr>
        <w:t>Provide clearly wr</w:t>
      </w:r>
      <w:r w:rsidR="005E4FCC" w:rsidRPr="004224C3">
        <w:rPr>
          <w:rFonts w:ascii="Times New Roman" w:hAnsi="Times New Roman"/>
          <w:szCs w:val="24"/>
        </w:rPr>
        <w:t xml:space="preserve">itten, user-friendly materials (brochure and FAQs); </w:t>
      </w:r>
    </w:p>
    <w:p w14:paraId="646B933D" w14:textId="4C0375E7" w:rsidR="00A22E18" w:rsidRPr="004224C3" w:rsidRDefault="00746E9A" w:rsidP="004303B7">
      <w:pPr>
        <w:pStyle w:val="N1-1stBullet"/>
        <w:numPr>
          <w:ilvl w:val="0"/>
          <w:numId w:val="7"/>
        </w:numPr>
        <w:tabs>
          <w:tab w:val="clear" w:pos="1152"/>
        </w:tabs>
        <w:spacing w:after="60" w:line="240" w:lineRule="auto"/>
        <w:ind w:left="547" w:hanging="331"/>
        <w:rPr>
          <w:rFonts w:ascii="Times New Roman" w:hAnsi="Times New Roman"/>
          <w:szCs w:val="24"/>
        </w:rPr>
      </w:pPr>
      <w:r w:rsidRPr="004224C3">
        <w:rPr>
          <w:rFonts w:ascii="Times New Roman" w:hAnsi="Times New Roman"/>
          <w:szCs w:val="24"/>
        </w:rPr>
        <w:t>Employ</w:t>
      </w:r>
      <w:r w:rsidR="00A22E18" w:rsidRPr="004224C3">
        <w:rPr>
          <w:rFonts w:ascii="Times New Roman" w:hAnsi="Times New Roman"/>
          <w:szCs w:val="24"/>
        </w:rPr>
        <w:t xml:space="preserve"> </w:t>
      </w:r>
      <w:r w:rsidRPr="004224C3">
        <w:rPr>
          <w:rFonts w:ascii="Times New Roman" w:hAnsi="Times New Roman"/>
          <w:szCs w:val="24"/>
        </w:rPr>
        <w:t>trained</w:t>
      </w:r>
      <w:r w:rsidR="005E4FCC" w:rsidRPr="004224C3">
        <w:rPr>
          <w:rFonts w:ascii="Times New Roman" w:hAnsi="Times New Roman"/>
          <w:szCs w:val="24"/>
        </w:rPr>
        <w:t>,</w:t>
      </w:r>
      <w:r w:rsidRPr="004224C3">
        <w:rPr>
          <w:rFonts w:ascii="Times New Roman" w:hAnsi="Times New Roman"/>
          <w:szCs w:val="24"/>
        </w:rPr>
        <w:t xml:space="preserve"> </w:t>
      </w:r>
      <w:r w:rsidR="00A22E18" w:rsidRPr="004224C3">
        <w:rPr>
          <w:rFonts w:ascii="Times New Roman" w:hAnsi="Times New Roman"/>
          <w:szCs w:val="24"/>
        </w:rPr>
        <w:t>experienced</w:t>
      </w:r>
      <w:r w:rsidRPr="004224C3">
        <w:rPr>
          <w:rFonts w:ascii="Times New Roman" w:hAnsi="Times New Roman"/>
          <w:szCs w:val="24"/>
        </w:rPr>
        <w:t xml:space="preserve"> recruiters who are part of the evaluation team</w:t>
      </w:r>
      <w:r w:rsidR="005E4FCC" w:rsidRPr="004224C3">
        <w:rPr>
          <w:rFonts w:ascii="Times New Roman" w:hAnsi="Times New Roman"/>
          <w:szCs w:val="24"/>
        </w:rPr>
        <w:t xml:space="preserve"> and will transition into site liaison roles following recruitment;</w:t>
      </w:r>
    </w:p>
    <w:p w14:paraId="28706F04" w14:textId="0FF8C755" w:rsidR="00A22E18" w:rsidRPr="004224C3" w:rsidRDefault="00A22E18" w:rsidP="004303B7">
      <w:pPr>
        <w:pStyle w:val="N1-1stBullet"/>
        <w:numPr>
          <w:ilvl w:val="0"/>
          <w:numId w:val="7"/>
        </w:numPr>
        <w:tabs>
          <w:tab w:val="clear" w:pos="1152"/>
        </w:tabs>
        <w:spacing w:after="60" w:line="240" w:lineRule="auto"/>
        <w:ind w:left="547" w:hanging="331"/>
        <w:rPr>
          <w:rFonts w:ascii="Times New Roman" w:hAnsi="Times New Roman"/>
          <w:szCs w:val="24"/>
        </w:rPr>
      </w:pPr>
      <w:r w:rsidRPr="004224C3">
        <w:rPr>
          <w:rFonts w:ascii="Times New Roman" w:hAnsi="Times New Roman"/>
          <w:szCs w:val="24"/>
        </w:rPr>
        <w:t>Follow</w:t>
      </w:r>
      <w:r w:rsidR="00746E9A" w:rsidRPr="004224C3">
        <w:rPr>
          <w:rFonts w:ascii="Times New Roman" w:hAnsi="Times New Roman"/>
          <w:szCs w:val="24"/>
        </w:rPr>
        <w:t xml:space="preserve"> </w:t>
      </w:r>
      <w:r w:rsidRPr="004224C3">
        <w:rPr>
          <w:rFonts w:ascii="Times New Roman" w:hAnsi="Times New Roman"/>
          <w:szCs w:val="24"/>
        </w:rPr>
        <w:t xml:space="preserve">up </w:t>
      </w:r>
      <w:r w:rsidR="005E4FCC" w:rsidRPr="004224C3">
        <w:rPr>
          <w:rFonts w:ascii="Times New Roman" w:hAnsi="Times New Roman"/>
          <w:szCs w:val="24"/>
        </w:rPr>
        <w:t xml:space="preserve">the </w:t>
      </w:r>
      <w:r w:rsidR="00746E9A" w:rsidRPr="004224C3">
        <w:rPr>
          <w:rFonts w:ascii="Times New Roman" w:hAnsi="Times New Roman"/>
          <w:szCs w:val="24"/>
        </w:rPr>
        <w:t>letters</w:t>
      </w:r>
      <w:r w:rsidRPr="004224C3">
        <w:rPr>
          <w:rFonts w:ascii="Times New Roman" w:hAnsi="Times New Roman"/>
          <w:szCs w:val="24"/>
        </w:rPr>
        <w:t xml:space="preserve"> with telephone calls</w:t>
      </w:r>
      <w:r w:rsidR="00746E9A" w:rsidRPr="004224C3">
        <w:rPr>
          <w:rFonts w:ascii="Times New Roman" w:hAnsi="Times New Roman"/>
          <w:szCs w:val="24"/>
        </w:rPr>
        <w:t xml:space="preserve"> to </w:t>
      </w:r>
      <w:r w:rsidR="005E4FCC" w:rsidRPr="004224C3">
        <w:rPr>
          <w:rFonts w:ascii="Times New Roman" w:hAnsi="Times New Roman"/>
          <w:szCs w:val="24"/>
        </w:rPr>
        <w:t xml:space="preserve">personally </w:t>
      </w:r>
      <w:r w:rsidR="00746E9A" w:rsidRPr="004224C3">
        <w:rPr>
          <w:rFonts w:ascii="Times New Roman" w:hAnsi="Times New Roman"/>
          <w:szCs w:val="24"/>
        </w:rPr>
        <w:t>address any concerns and establish rapport</w:t>
      </w:r>
      <w:r w:rsidRPr="004224C3">
        <w:rPr>
          <w:rFonts w:ascii="Times New Roman" w:hAnsi="Times New Roman"/>
          <w:szCs w:val="24"/>
        </w:rPr>
        <w:t>;</w:t>
      </w:r>
    </w:p>
    <w:p w14:paraId="4CE92FDC" w14:textId="3218CAA6" w:rsidR="00A22E18" w:rsidRPr="004224C3" w:rsidRDefault="002139F2" w:rsidP="004303B7">
      <w:pPr>
        <w:pStyle w:val="N1-1stBullet"/>
        <w:numPr>
          <w:ilvl w:val="0"/>
          <w:numId w:val="7"/>
        </w:numPr>
        <w:tabs>
          <w:tab w:val="clear" w:pos="1152"/>
        </w:tabs>
        <w:spacing w:after="60" w:line="240" w:lineRule="auto"/>
        <w:ind w:left="547" w:hanging="331"/>
        <w:rPr>
          <w:rFonts w:ascii="Times New Roman" w:hAnsi="Times New Roman"/>
          <w:szCs w:val="24"/>
        </w:rPr>
      </w:pPr>
      <w:r w:rsidRPr="004224C3">
        <w:rPr>
          <w:rFonts w:ascii="Times New Roman" w:hAnsi="Times New Roman"/>
          <w:szCs w:val="24"/>
        </w:rPr>
        <w:t xml:space="preserve">In all </w:t>
      </w:r>
      <w:r w:rsidR="00742BB7">
        <w:rPr>
          <w:rFonts w:ascii="Times New Roman" w:hAnsi="Times New Roman"/>
          <w:szCs w:val="24"/>
        </w:rPr>
        <w:t>project site</w:t>
      </w:r>
      <w:r w:rsidRPr="004224C3">
        <w:rPr>
          <w:rFonts w:ascii="Times New Roman" w:hAnsi="Times New Roman"/>
          <w:szCs w:val="24"/>
        </w:rPr>
        <w:t xml:space="preserve"> and comparison schools, p</w:t>
      </w:r>
      <w:r w:rsidR="00746E9A" w:rsidRPr="004224C3">
        <w:rPr>
          <w:rFonts w:ascii="Times New Roman" w:hAnsi="Times New Roman"/>
          <w:szCs w:val="24"/>
        </w:rPr>
        <w:t>rovide aggregated student survey data for their</w:t>
      </w:r>
      <w:r w:rsidR="0069173F" w:rsidRPr="004224C3">
        <w:rPr>
          <w:rFonts w:ascii="Times New Roman" w:hAnsi="Times New Roman"/>
          <w:szCs w:val="24"/>
        </w:rPr>
        <w:t xml:space="preserve"> own</w:t>
      </w:r>
      <w:r w:rsidR="00746E9A" w:rsidRPr="004224C3">
        <w:rPr>
          <w:rFonts w:ascii="Times New Roman" w:hAnsi="Times New Roman"/>
          <w:szCs w:val="24"/>
        </w:rPr>
        <w:t xml:space="preserve"> schools each year</w:t>
      </w:r>
      <w:r w:rsidR="002848E3" w:rsidRPr="004224C3">
        <w:rPr>
          <w:rFonts w:ascii="Times New Roman" w:hAnsi="Times New Roman"/>
          <w:szCs w:val="24"/>
        </w:rPr>
        <w:t xml:space="preserve">; </w:t>
      </w:r>
      <w:r w:rsidR="00A22E18" w:rsidRPr="004224C3">
        <w:rPr>
          <w:rFonts w:ascii="Times New Roman" w:hAnsi="Times New Roman"/>
          <w:szCs w:val="24"/>
        </w:rPr>
        <w:t>and</w:t>
      </w:r>
    </w:p>
    <w:p w14:paraId="28DDDC98" w14:textId="2683A267" w:rsidR="00EB39FD" w:rsidRPr="004224C3" w:rsidRDefault="00A22E18" w:rsidP="004303B7">
      <w:pPr>
        <w:pStyle w:val="N1-1stBullet"/>
        <w:numPr>
          <w:ilvl w:val="0"/>
          <w:numId w:val="7"/>
        </w:numPr>
        <w:tabs>
          <w:tab w:val="clear" w:pos="1152"/>
        </w:tabs>
        <w:spacing w:after="60" w:line="240" w:lineRule="auto"/>
        <w:ind w:left="540" w:hanging="331"/>
        <w:rPr>
          <w:rFonts w:ascii="Times New Roman" w:hAnsi="Times New Roman"/>
          <w:szCs w:val="24"/>
        </w:rPr>
      </w:pPr>
      <w:r w:rsidRPr="004224C3">
        <w:rPr>
          <w:rFonts w:ascii="Times New Roman" w:hAnsi="Times New Roman"/>
          <w:szCs w:val="24"/>
        </w:rPr>
        <w:t>Make in-person visits</w:t>
      </w:r>
      <w:r w:rsidR="002E026A" w:rsidRPr="004224C3">
        <w:rPr>
          <w:rFonts w:ascii="Times New Roman" w:hAnsi="Times New Roman"/>
          <w:szCs w:val="24"/>
        </w:rPr>
        <w:t xml:space="preserve"> to some schools</w:t>
      </w:r>
      <w:r w:rsidR="00981B35" w:rsidRPr="004224C3">
        <w:rPr>
          <w:rFonts w:ascii="Times New Roman" w:hAnsi="Times New Roman"/>
          <w:szCs w:val="24"/>
        </w:rPr>
        <w:t>,</w:t>
      </w:r>
      <w:r w:rsidRPr="004224C3">
        <w:rPr>
          <w:rFonts w:ascii="Times New Roman" w:hAnsi="Times New Roman"/>
          <w:szCs w:val="24"/>
        </w:rPr>
        <w:t xml:space="preserve"> as </w:t>
      </w:r>
      <w:r w:rsidR="00981B35" w:rsidRPr="004224C3">
        <w:rPr>
          <w:rFonts w:ascii="Times New Roman" w:hAnsi="Times New Roman"/>
          <w:szCs w:val="24"/>
        </w:rPr>
        <w:t>necessary</w:t>
      </w:r>
      <w:r w:rsidR="005E4FCC" w:rsidRPr="004224C3">
        <w:rPr>
          <w:rFonts w:ascii="Times New Roman" w:hAnsi="Times New Roman"/>
          <w:szCs w:val="24"/>
        </w:rPr>
        <w:t>.</w:t>
      </w:r>
    </w:p>
    <w:p w14:paraId="3B2C801E" w14:textId="77777777" w:rsidR="00B63A83" w:rsidRPr="004224C3" w:rsidRDefault="00B63A83" w:rsidP="006620C1">
      <w:pPr>
        <w:pStyle w:val="N1-1stBullet"/>
        <w:numPr>
          <w:ilvl w:val="0"/>
          <w:numId w:val="0"/>
        </w:numPr>
        <w:spacing w:after="0" w:line="240" w:lineRule="auto"/>
        <w:ind w:left="907"/>
        <w:rPr>
          <w:rFonts w:ascii="Times New Roman" w:hAnsi="Times New Roman"/>
          <w:szCs w:val="24"/>
        </w:rPr>
      </w:pPr>
    </w:p>
    <w:p w14:paraId="353BD90A" w14:textId="488A33F0" w:rsidR="00ED77A1" w:rsidRPr="004224C3" w:rsidRDefault="00AA5BB5" w:rsidP="004303B7">
      <w:pPr>
        <w:pStyle w:val="Heading8"/>
        <w:spacing w:after="200" w:line="276" w:lineRule="auto"/>
        <w:jc w:val="left"/>
      </w:pPr>
      <w:bookmarkStart w:id="6" w:name="_Toc119829983"/>
      <w:r w:rsidRPr="004224C3">
        <w:t>B.4</w:t>
      </w:r>
      <w:r w:rsidRPr="004224C3">
        <w:tab/>
      </w:r>
      <w:bookmarkEnd w:id="6"/>
      <w:r w:rsidR="00CA18D2" w:rsidRPr="004224C3">
        <w:t>Test of Procedures</w:t>
      </w:r>
    </w:p>
    <w:p w14:paraId="6242F642" w14:textId="7848BFE8" w:rsidR="00E10DB1" w:rsidRPr="004224C3" w:rsidRDefault="00CA18D2" w:rsidP="004303B7">
      <w:pPr>
        <w:pStyle w:val="N2-2ndBullet"/>
        <w:tabs>
          <w:tab w:val="clear" w:pos="720"/>
        </w:tabs>
        <w:spacing w:after="200" w:line="276" w:lineRule="auto"/>
        <w:ind w:left="0" w:firstLine="0"/>
        <w:jc w:val="left"/>
        <w:rPr>
          <w:sz w:val="24"/>
          <w:szCs w:val="24"/>
        </w:rPr>
      </w:pPr>
      <w:r w:rsidRPr="004224C3">
        <w:rPr>
          <w:sz w:val="24"/>
          <w:szCs w:val="24"/>
        </w:rPr>
        <w:t>Because the site recruitment approach is similar to the approach used in previous studies conducted by the contractor, no field testing of the recruitment scripts is planned</w:t>
      </w:r>
      <w:r w:rsidR="00535862" w:rsidRPr="004224C3">
        <w:rPr>
          <w:sz w:val="24"/>
          <w:szCs w:val="24"/>
        </w:rPr>
        <w:t>.</w:t>
      </w:r>
      <w:r w:rsidRPr="004224C3">
        <w:rPr>
          <w:sz w:val="24"/>
          <w:szCs w:val="24"/>
        </w:rPr>
        <w:t xml:space="preserve"> The school contacting system that will be developed to document contact information and track all communications with sites will be based on existing systems and tested appropriately prior to deployment. </w:t>
      </w:r>
    </w:p>
    <w:p w14:paraId="28FF8F09" w14:textId="2D59F250" w:rsidR="00CA18D2" w:rsidRPr="004224C3" w:rsidRDefault="00CA18D2" w:rsidP="004303B7">
      <w:pPr>
        <w:pStyle w:val="N2-2ndBullet"/>
        <w:tabs>
          <w:tab w:val="clear" w:pos="720"/>
        </w:tabs>
        <w:spacing w:after="200" w:line="276" w:lineRule="auto"/>
        <w:ind w:left="0" w:firstLine="0"/>
        <w:jc w:val="left"/>
        <w:rPr>
          <w:sz w:val="24"/>
          <w:szCs w:val="24"/>
        </w:rPr>
      </w:pPr>
      <w:r w:rsidRPr="004224C3">
        <w:rPr>
          <w:sz w:val="24"/>
          <w:szCs w:val="24"/>
        </w:rPr>
        <w:t>As noted in B.3, experienced recruiters with deep knowledge of site recruitment procedures, including use of the school contacting system, will be employed for this study.</w:t>
      </w:r>
      <w:r w:rsidR="00850E6F" w:rsidRPr="004224C3">
        <w:rPr>
          <w:sz w:val="24"/>
          <w:szCs w:val="24"/>
        </w:rPr>
        <w:t xml:space="preserve">  </w:t>
      </w:r>
    </w:p>
    <w:p w14:paraId="3DEE3358" w14:textId="3D61FF33" w:rsidR="00AA5BB5" w:rsidRPr="004224C3" w:rsidRDefault="00AA5BB5" w:rsidP="004303B7">
      <w:pPr>
        <w:pStyle w:val="Heading8"/>
        <w:spacing w:after="200" w:line="276" w:lineRule="auto"/>
        <w:jc w:val="left"/>
      </w:pPr>
      <w:bookmarkStart w:id="7" w:name="_Toc119829984"/>
      <w:r w:rsidRPr="004224C3">
        <w:t>B.5</w:t>
      </w:r>
      <w:r w:rsidRPr="004224C3">
        <w:tab/>
      </w:r>
      <w:r w:rsidR="004224C3" w:rsidRPr="004224C3">
        <w:t>Statistical Consultants</w:t>
      </w:r>
      <w:bookmarkEnd w:id="7"/>
    </w:p>
    <w:p w14:paraId="1E5C5142" w14:textId="25270AA0" w:rsidR="00C233DD" w:rsidRPr="004224C3" w:rsidRDefault="00C233DD" w:rsidP="00C233DD">
      <w:pPr>
        <w:pStyle w:val="N2-2ndBullet"/>
        <w:tabs>
          <w:tab w:val="clear" w:pos="720"/>
        </w:tabs>
        <w:spacing w:after="200" w:line="276" w:lineRule="auto"/>
        <w:rPr>
          <w:sz w:val="24"/>
          <w:szCs w:val="24"/>
        </w:rPr>
      </w:pPr>
      <w:r w:rsidRPr="004224C3">
        <w:rPr>
          <w:sz w:val="24"/>
          <w:szCs w:val="24"/>
        </w:rPr>
        <w:t xml:space="preserve">The study design aspects related to site notification and recruitment have been </w:t>
      </w:r>
      <w:r w:rsidR="00CE7913" w:rsidRPr="004224C3">
        <w:rPr>
          <w:sz w:val="24"/>
          <w:szCs w:val="24"/>
        </w:rPr>
        <w:t>reviewed by:</w:t>
      </w:r>
    </w:p>
    <w:p w14:paraId="15F272CB" w14:textId="62032C12" w:rsidR="00CE7913" w:rsidRDefault="00B31977" w:rsidP="00B31977">
      <w:pPr>
        <w:pStyle w:val="N2-2ndBullet"/>
        <w:numPr>
          <w:ilvl w:val="0"/>
          <w:numId w:val="15"/>
        </w:numPr>
        <w:spacing w:after="120" w:line="240" w:lineRule="auto"/>
        <w:jc w:val="left"/>
        <w:rPr>
          <w:sz w:val="24"/>
          <w:szCs w:val="24"/>
        </w:rPr>
      </w:pPr>
      <w:r w:rsidRPr="004224C3">
        <w:rPr>
          <w:sz w:val="24"/>
          <w:szCs w:val="24"/>
        </w:rPr>
        <w:t>Nainan Thomas</w:t>
      </w:r>
      <w:r w:rsidR="004A395C" w:rsidRPr="004224C3">
        <w:rPr>
          <w:sz w:val="24"/>
          <w:szCs w:val="24"/>
        </w:rPr>
        <w:t xml:space="preserve">, </w:t>
      </w:r>
      <w:r w:rsidR="00C233DD" w:rsidRPr="004224C3">
        <w:rPr>
          <w:sz w:val="24"/>
          <w:szCs w:val="24"/>
        </w:rPr>
        <w:t>C</w:t>
      </w:r>
      <w:r w:rsidR="004A395C" w:rsidRPr="004224C3">
        <w:rPr>
          <w:sz w:val="24"/>
          <w:szCs w:val="24"/>
        </w:rPr>
        <w:t>ontracting Officer</w:t>
      </w:r>
      <w:r w:rsidR="008A7D09" w:rsidRPr="004224C3">
        <w:rPr>
          <w:sz w:val="24"/>
          <w:szCs w:val="24"/>
        </w:rPr>
        <w:t>’s</w:t>
      </w:r>
      <w:r w:rsidR="004A395C" w:rsidRPr="004224C3">
        <w:rPr>
          <w:sz w:val="24"/>
          <w:szCs w:val="24"/>
        </w:rPr>
        <w:t xml:space="preserve"> Technical Representative, Center for Mental Health Services, SAMHSA</w:t>
      </w:r>
      <w:r w:rsidR="00C233DD" w:rsidRPr="004224C3">
        <w:rPr>
          <w:sz w:val="24"/>
          <w:szCs w:val="24"/>
        </w:rPr>
        <w:t>,</w:t>
      </w:r>
      <w:r w:rsidR="00CE7913" w:rsidRPr="004224C3">
        <w:rPr>
          <w:sz w:val="24"/>
          <w:szCs w:val="24"/>
        </w:rPr>
        <w:t xml:space="preserve"> </w:t>
      </w:r>
      <w:r w:rsidR="00C233DD" w:rsidRPr="004224C3">
        <w:rPr>
          <w:sz w:val="24"/>
          <w:szCs w:val="24"/>
        </w:rPr>
        <w:t>240</w:t>
      </w:r>
      <w:r w:rsidR="00CE7913" w:rsidRPr="004224C3">
        <w:rPr>
          <w:sz w:val="24"/>
          <w:szCs w:val="24"/>
        </w:rPr>
        <w:t>-</w:t>
      </w:r>
      <w:r w:rsidR="00C233DD" w:rsidRPr="004224C3">
        <w:rPr>
          <w:sz w:val="24"/>
          <w:szCs w:val="24"/>
        </w:rPr>
        <w:t>276-</w:t>
      </w:r>
      <w:r w:rsidRPr="004224C3">
        <w:rPr>
          <w:sz w:val="24"/>
          <w:szCs w:val="24"/>
        </w:rPr>
        <w:t>1744</w:t>
      </w:r>
      <w:r w:rsidR="004A395C" w:rsidRPr="004224C3">
        <w:rPr>
          <w:sz w:val="24"/>
          <w:szCs w:val="24"/>
        </w:rPr>
        <w:t>.</w:t>
      </w:r>
    </w:p>
    <w:p w14:paraId="32CDBC5D" w14:textId="6D6BCA94" w:rsidR="00D51193" w:rsidRPr="004224C3" w:rsidRDefault="00D51193" w:rsidP="00B31977">
      <w:pPr>
        <w:pStyle w:val="N2-2ndBullet"/>
        <w:numPr>
          <w:ilvl w:val="0"/>
          <w:numId w:val="15"/>
        </w:numPr>
        <w:spacing w:after="12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Kirstin Painter, Alternate Contracting Officer’s Technical Representative, Center for Mental Health Services, SAMHSA, 240-276-1932.</w:t>
      </w:r>
    </w:p>
    <w:p w14:paraId="4D009B23" w14:textId="112AA074" w:rsidR="00C233DD" w:rsidRPr="004224C3" w:rsidRDefault="004A395C" w:rsidP="00544AEE">
      <w:pPr>
        <w:pStyle w:val="N2-2ndBullet"/>
        <w:numPr>
          <w:ilvl w:val="0"/>
          <w:numId w:val="15"/>
        </w:numPr>
        <w:spacing w:after="120" w:line="240" w:lineRule="auto"/>
        <w:jc w:val="left"/>
        <w:rPr>
          <w:sz w:val="24"/>
          <w:szCs w:val="24"/>
        </w:rPr>
      </w:pPr>
      <w:r w:rsidRPr="004224C3">
        <w:rPr>
          <w:sz w:val="24"/>
          <w:szCs w:val="24"/>
        </w:rPr>
        <w:t>James Trudeau</w:t>
      </w:r>
      <w:r w:rsidR="00C233DD" w:rsidRPr="004224C3">
        <w:rPr>
          <w:sz w:val="24"/>
          <w:szCs w:val="24"/>
        </w:rPr>
        <w:t>, RTI International,</w:t>
      </w:r>
      <w:r w:rsidRPr="004224C3">
        <w:rPr>
          <w:sz w:val="24"/>
          <w:szCs w:val="24"/>
        </w:rPr>
        <w:t xml:space="preserve"> </w:t>
      </w:r>
      <w:r w:rsidR="00C233DD" w:rsidRPr="004224C3">
        <w:rPr>
          <w:sz w:val="24"/>
          <w:szCs w:val="24"/>
        </w:rPr>
        <w:t>Project Director, 919-485-7751.</w:t>
      </w:r>
    </w:p>
    <w:p w14:paraId="18D52511" w14:textId="7C09549A" w:rsidR="00AA5BB5" w:rsidRPr="004224C3" w:rsidRDefault="004A395C" w:rsidP="00C233DD">
      <w:pPr>
        <w:pStyle w:val="N2-2ndBullet"/>
        <w:numPr>
          <w:ilvl w:val="0"/>
          <w:numId w:val="15"/>
        </w:numPr>
        <w:spacing w:after="120" w:line="240" w:lineRule="auto"/>
        <w:jc w:val="left"/>
        <w:rPr>
          <w:sz w:val="24"/>
          <w:szCs w:val="24"/>
        </w:rPr>
      </w:pPr>
      <w:r w:rsidRPr="004224C3">
        <w:rPr>
          <w:sz w:val="24"/>
          <w:szCs w:val="24"/>
        </w:rPr>
        <w:t>Heather Ringeisen</w:t>
      </w:r>
      <w:r w:rsidR="00C233DD" w:rsidRPr="004224C3">
        <w:rPr>
          <w:sz w:val="24"/>
          <w:szCs w:val="24"/>
        </w:rPr>
        <w:t xml:space="preserve">, </w:t>
      </w:r>
      <w:r w:rsidR="008A7D09" w:rsidRPr="004224C3">
        <w:rPr>
          <w:sz w:val="24"/>
          <w:szCs w:val="24"/>
        </w:rPr>
        <w:t>RTI International</w:t>
      </w:r>
      <w:r w:rsidR="00C233DD" w:rsidRPr="004224C3">
        <w:rPr>
          <w:sz w:val="24"/>
          <w:szCs w:val="24"/>
        </w:rPr>
        <w:t xml:space="preserve">, </w:t>
      </w:r>
      <w:r w:rsidRPr="004224C3">
        <w:rPr>
          <w:sz w:val="24"/>
          <w:szCs w:val="24"/>
        </w:rPr>
        <w:t xml:space="preserve">Deputy Project Director, </w:t>
      </w:r>
      <w:r w:rsidR="00C233DD" w:rsidRPr="004224C3">
        <w:rPr>
          <w:sz w:val="24"/>
          <w:szCs w:val="24"/>
        </w:rPr>
        <w:t>919-541-6931.</w:t>
      </w:r>
    </w:p>
    <w:p w14:paraId="4E248C57" w14:textId="39CE2436" w:rsidR="00C233DD" w:rsidRPr="004224C3" w:rsidRDefault="004A395C" w:rsidP="00C233DD">
      <w:pPr>
        <w:pStyle w:val="N2-2ndBullet"/>
        <w:numPr>
          <w:ilvl w:val="0"/>
          <w:numId w:val="15"/>
        </w:numPr>
        <w:spacing w:after="120" w:line="240" w:lineRule="auto"/>
        <w:jc w:val="left"/>
        <w:rPr>
          <w:sz w:val="24"/>
          <w:szCs w:val="24"/>
        </w:rPr>
      </w:pPr>
      <w:r w:rsidRPr="004224C3">
        <w:rPr>
          <w:sz w:val="24"/>
          <w:szCs w:val="24"/>
        </w:rPr>
        <w:t>Duren Banks</w:t>
      </w:r>
      <w:r w:rsidR="00C233DD" w:rsidRPr="004224C3">
        <w:rPr>
          <w:sz w:val="24"/>
          <w:szCs w:val="24"/>
        </w:rPr>
        <w:t xml:space="preserve">, </w:t>
      </w:r>
      <w:r w:rsidRPr="004224C3">
        <w:rPr>
          <w:sz w:val="24"/>
          <w:szCs w:val="24"/>
        </w:rPr>
        <w:t>RTI International</w:t>
      </w:r>
      <w:r w:rsidR="00C233DD" w:rsidRPr="004224C3">
        <w:rPr>
          <w:sz w:val="24"/>
          <w:szCs w:val="24"/>
        </w:rPr>
        <w:t>,</w:t>
      </w:r>
      <w:r w:rsidRPr="004224C3">
        <w:rPr>
          <w:sz w:val="24"/>
          <w:szCs w:val="24"/>
        </w:rPr>
        <w:t xml:space="preserve"> </w:t>
      </w:r>
      <w:r w:rsidR="00D51193">
        <w:rPr>
          <w:sz w:val="24"/>
          <w:szCs w:val="24"/>
        </w:rPr>
        <w:t>AWARE-SEA</w:t>
      </w:r>
      <w:r w:rsidRPr="004224C3">
        <w:rPr>
          <w:sz w:val="24"/>
          <w:szCs w:val="24"/>
        </w:rPr>
        <w:t xml:space="preserve"> evaluation</w:t>
      </w:r>
      <w:r w:rsidR="00C233DD" w:rsidRPr="004224C3">
        <w:rPr>
          <w:sz w:val="24"/>
          <w:szCs w:val="24"/>
        </w:rPr>
        <w:t xml:space="preserve"> lead, 919-541-8026.</w:t>
      </w:r>
    </w:p>
    <w:p w14:paraId="604FAD5E" w14:textId="7B337F17" w:rsidR="00D90DB8" w:rsidRPr="004224C3" w:rsidRDefault="00EB6128" w:rsidP="008A7D09">
      <w:pPr>
        <w:pStyle w:val="N2-2ndBullet"/>
        <w:numPr>
          <w:ilvl w:val="0"/>
          <w:numId w:val="15"/>
        </w:numPr>
        <w:spacing w:after="120" w:line="240" w:lineRule="auto"/>
        <w:jc w:val="left"/>
        <w:rPr>
          <w:sz w:val="24"/>
          <w:szCs w:val="24"/>
        </w:rPr>
      </w:pPr>
      <w:r w:rsidRPr="004224C3">
        <w:rPr>
          <w:sz w:val="24"/>
          <w:szCs w:val="24"/>
        </w:rPr>
        <w:t>Suyapa Silvia</w:t>
      </w:r>
      <w:r w:rsidR="00C233DD" w:rsidRPr="004224C3">
        <w:rPr>
          <w:sz w:val="24"/>
          <w:szCs w:val="24"/>
        </w:rPr>
        <w:t xml:space="preserve">, </w:t>
      </w:r>
      <w:r w:rsidR="008A7D09" w:rsidRPr="004224C3">
        <w:rPr>
          <w:sz w:val="24"/>
          <w:szCs w:val="24"/>
        </w:rPr>
        <w:t>RTI International</w:t>
      </w:r>
      <w:r w:rsidR="00C233DD" w:rsidRPr="004224C3">
        <w:rPr>
          <w:sz w:val="24"/>
          <w:szCs w:val="24"/>
        </w:rPr>
        <w:t xml:space="preserve">, </w:t>
      </w:r>
      <w:r w:rsidR="00D51193">
        <w:rPr>
          <w:sz w:val="24"/>
          <w:szCs w:val="24"/>
        </w:rPr>
        <w:t>AWARE-SEA</w:t>
      </w:r>
      <w:r w:rsidR="00C233DD" w:rsidRPr="004224C3">
        <w:rPr>
          <w:sz w:val="24"/>
          <w:szCs w:val="24"/>
        </w:rPr>
        <w:t xml:space="preserve"> school contact</w:t>
      </w:r>
      <w:r w:rsidR="008A7D09" w:rsidRPr="004224C3">
        <w:rPr>
          <w:sz w:val="24"/>
          <w:szCs w:val="24"/>
        </w:rPr>
        <w:t xml:space="preserve"> lead</w:t>
      </w:r>
      <w:r w:rsidR="00C233DD" w:rsidRPr="004224C3">
        <w:rPr>
          <w:sz w:val="24"/>
          <w:szCs w:val="24"/>
        </w:rPr>
        <w:t>, 919-541-5851.</w:t>
      </w:r>
    </w:p>
    <w:p w14:paraId="2B1522E2" w14:textId="492831EE" w:rsidR="00D90DB8" w:rsidRPr="004224C3" w:rsidRDefault="00D90DB8" w:rsidP="00CE7913">
      <w:pPr>
        <w:pStyle w:val="N2-2ndBullet"/>
        <w:tabs>
          <w:tab w:val="clear" w:pos="720"/>
        </w:tabs>
        <w:spacing w:after="120" w:line="240" w:lineRule="auto"/>
        <w:ind w:left="0" w:firstLine="0"/>
        <w:jc w:val="left"/>
        <w:rPr>
          <w:sz w:val="24"/>
          <w:szCs w:val="24"/>
        </w:rPr>
      </w:pPr>
      <w:r w:rsidRPr="004224C3">
        <w:rPr>
          <w:sz w:val="24"/>
          <w:szCs w:val="24"/>
        </w:rPr>
        <w:t>An Expert Panel with diverse expertise will</w:t>
      </w:r>
      <w:r w:rsidR="008A7D09" w:rsidRPr="004224C3">
        <w:rPr>
          <w:sz w:val="24"/>
          <w:szCs w:val="24"/>
        </w:rPr>
        <w:t xml:space="preserve"> advise the evaluation </w:t>
      </w:r>
      <w:r w:rsidR="00C212D2" w:rsidRPr="004224C3">
        <w:rPr>
          <w:sz w:val="24"/>
          <w:szCs w:val="24"/>
        </w:rPr>
        <w:t xml:space="preserve">team </w:t>
      </w:r>
      <w:r w:rsidR="008A7D09" w:rsidRPr="004224C3">
        <w:rPr>
          <w:sz w:val="24"/>
          <w:szCs w:val="24"/>
        </w:rPr>
        <w:t xml:space="preserve">on </w:t>
      </w:r>
      <w:r w:rsidRPr="004224C3">
        <w:rPr>
          <w:sz w:val="24"/>
          <w:szCs w:val="24"/>
        </w:rPr>
        <w:t xml:space="preserve">study design, instrumentation, and </w:t>
      </w:r>
      <w:r w:rsidR="008A7D09" w:rsidRPr="004224C3">
        <w:rPr>
          <w:sz w:val="24"/>
          <w:szCs w:val="24"/>
        </w:rPr>
        <w:t>data collection</w:t>
      </w:r>
      <w:r w:rsidRPr="004224C3">
        <w:rPr>
          <w:sz w:val="24"/>
          <w:szCs w:val="24"/>
        </w:rPr>
        <w:t xml:space="preserve">. </w:t>
      </w:r>
      <w:r w:rsidR="009F557C">
        <w:rPr>
          <w:sz w:val="24"/>
          <w:szCs w:val="24"/>
        </w:rPr>
        <w:t>The panel members, listed below,</w:t>
      </w:r>
      <w:r w:rsidRPr="004224C3">
        <w:rPr>
          <w:sz w:val="24"/>
          <w:szCs w:val="24"/>
        </w:rPr>
        <w:t xml:space="preserve"> include experts in school-based mental health programs, systems of care, school safety, school climate, youth violence prevention programs, and bullying prevention.</w:t>
      </w:r>
    </w:p>
    <w:p w14:paraId="580F98E3" w14:textId="7F42ADD1" w:rsidR="009F557C" w:rsidRDefault="009F557C" w:rsidP="00F40412">
      <w:pPr>
        <w:pStyle w:val="N2-2ndBullet"/>
        <w:numPr>
          <w:ilvl w:val="0"/>
          <w:numId w:val="17"/>
        </w:numPr>
        <w:spacing w:after="12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Dr. Lynda </w:t>
      </w:r>
      <w:proofErr w:type="spellStart"/>
      <w:r>
        <w:rPr>
          <w:sz w:val="24"/>
          <w:szCs w:val="24"/>
        </w:rPr>
        <w:t>Gargan</w:t>
      </w:r>
      <w:proofErr w:type="spellEnd"/>
      <w:r>
        <w:rPr>
          <w:sz w:val="24"/>
          <w:szCs w:val="24"/>
        </w:rPr>
        <w:t>, Interim Director, Federation of Families for Children’s Mental Health</w:t>
      </w:r>
    </w:p>
    <w:p w14:paraId="5A6A2846" w14:textId="3C1315ED" w:rsidR="009F557C" w:rsidRDefault="009F557C" w:rsidP="00F40412">
      <w:pPr>
        <w:pStyle w:val="N2-2ndBullet"/>
        <w:numPr>
          <w:ilvl w:val="0"/>
          <w:numId w:val="17"/>
        </w:numPr>
        <w:spacing w:after="12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Dr. Susan Keys, Associate Professor and Senior Researcher, College of Public Health and Human Sciences, Oregon State University</w:t>
      </w:r>
    </w:p>
    <w:p w14:paraId="12ECD690" w14:textId="433CE742" w:rsidR="009F557C" w:rsidRDefault="009F557C" w:rsidP="00F40412">
      <w:pPr>
        <w:pStyle w:val="N2-2ndBullet"/>
        <w:numPr>
          <w:ilvl w:val="0"/>
          <w:numId w:val="17"/>
        </w:numPr>
        <w:spacing w:after="12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Dr. Benjamin Le Cook, Assistant Professor of Psychiatry, Harvard Medical School and Senior Scientist, Center for Multicultural Mental Health Research</w:t>
      </w:r>
    </w:p>
    <w:p w14:paraId="303AD9EB" w14:textId="1280B7BB" w:rsidR="009F557C" w:rsidRDefault="009F557C" w:rsidP="00F40412">
      <w:pPr>
        <w:pStyle w:val="N2-2ndBullet"/>
        <w:numPr>
          <w:ilvl w:val="0"/>
          <w:numId w:val="17"/>
        </w:numPr>
        <w:spacing w:after="12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Dr. Michael </w:t>
      </w:r>
      <w:proofErr w:type="spellStart"/>
      <w:r>
        <w:rPr>
          <w:sz w:val="24"/>
          <w:szCs w:val="24"/>
        </w:rPr>
        <w:t>Pullmann</w:t>
      </w:r>
      <w:proofErr w:type="spellEnd"/>
      <w:r>
        <w:rPr>
          <w:sz w:val="24"/>
          <w:szCs w:val="24"/>
        </w:rPr>
        <w:t>, Research Assistant Professor, Department of Psychiatry and Behavioral Sciences, University of Washington</w:t>
      </w:r>
    </w:p>
    <w:p w14:paraId="0779752B" w14:textId="6F1531DC" w:rsidR="009F557C" w:rsidRDefault="009F557C" w:rsidP="00F40412">
      <w:pPr>
        <w:pStyle w:val="N2-2ndBullet"/>
        <w:numPr>
          <w:ilvl w:val="0"/>
          <w:numId w:val="17"/>
        </w:numPr>
        <w:spacing w:after="12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Dr. Pamela </w:t>
      </w:r>
      <w:proofErr w:type="spellStart"/>
      <w:r>
        <w:rPr>
          <w:sz w:val="24"/>
          <w:szCs w:val="24"/>
        </w:rPr>
        <w:t>Orpinas</w:t>
      </w:r>
      <w:proofErr w:type="spellEnd"/>
      <w:r>
        <w:rPr>
          <w:sz w:val="24"/>
          <w:szCs w:val="24"/>
        </w:rPr>
        <w:t>, Professor, Department of Health Promotion and Behavior, University of Georgia</w:t>
      </w:r>
    </w:p>
    <w:p w14:paraId="64AB47BB" w14:textId="1B26B637" w:rsidR="009F557C" w:rsidRDefault="009F557C" w:rsidP="00F40412">
      <w:pPr>
        <w:pStyle w:val="N2-2ndBullet"/>
        <w:numPr>
          <w:ilvl w:val="0"/>
          <w:numId w:val="17"/>
        </w:numPr>
        <w:spacing w:after="12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Dr. Mark </w:t>
      </w:r>
      <w:proofErr w:type="spellStart"/>
      <w:r>
        <w:rPr>
          <w:sz w:val="24"/>
          <w:szCs w:val="24"/>
        </w:rPr>
        <w:t>Salzer</w:t>
      </w:r>
      <w:proofErr w:type="spellEnd"/>
      <w:r>
        <w:rPr>
          <w:sz w:val="24"/>
          <w:szCs w:val="24"/>
        </w:rPr>
        <w:t>, Professor and Chair, Department of Rehabilitation Sciences, Temple University</w:t>
      </w:r>
    </w:p>
    <w:p w14:paraId="4EEEF000" w14:textId="37292809" w:rsidR="008F4E22" w:rsidRDefault="009F557C" w:rsidP="00F40412">
      <w:pPr>
        <w:pStyle w:val="N2-2ndBullet"/>
        <w:numPr>
          <w:ilvl w:val="0"/>
          <w:numId w:val="17"/>
        </w:numPr>
        <w:spacing w:after="120" w:line="240" w:lineRule="auto"/>
        <w:jc w:val="left"/>
        <w:rPr>
          <w:sz w:val="24"/>
          <w:szCs w:val="24"/>
        </w:rPr>
        <w:sectPr w:rsidR="008F4E22" w:rsidSect="004303B7">
          <w:footerReference w:type="default" r:id="rId9"/>
          <w:footerReference w:type="first" r:id="rId10"/>
          <w:pgSz w:w="12240" w:h="15840" w:code="1"/>
          <w:pgMar w:top="1008" w:right="1008" w:bottom="1008" w:left="1008" w:header="432" w:footer="432" w:gutter="0"/>
          <w:pgNumType w:start="1"/>
          <w:cols w:space="720"/>
          <w:titlePg/>
          <w:docGrid w:linePitch="360"/>
        </w:sectPr>
      </w:pPr>
      <w:r>
        <w:rPr>
          <w:sz w:val="24"/>
          <w:szCs w:val="24"/>
        </w:rPr>
        <w:t xml:space="preserve">Dr. </w:t>
      </w:r>
      <w:proofErr w:type="spellStart"/>
      <w:r>
        <w:rPr>
          <w:sz w:val="24"/>
          <w:szCs w:val="24"/>
        </w:rPr>
        <w:t>MaJose</w:t>
      </w:r>
      <w:proofErr w:type="spellEnd"/>
      <w:r>
        <w:rPr>
          <w:sz w:val="24"/>
          <w:szCs w:val="24"/>
        </w:rPr>
        <w:t xml:space="preserve"> Carrasco, Director, Multicultural Action Center, National Alliance on Mental Illness</w:t>
      </w:r>
    </w:p>
    <w:p w14:paraId="735C0FA6" w14:textId="022FED4A" w:rsidR="00814DB1" w:rsidRPr="004224C3" w:rsidRDefault="00814DB1" w:rsidP="00814DB1">
      <w:pPr>
        <w:pStyle w:val="Heading5"/>
        <w:jc w:val="center"/>
        <w:rPr>
          <w:u w:val="single"/>
        </w:rPr>
      </w:pPr>
      <w:r w:rsidRPr="004224C3">
        <w:rPr>
          <w:u w:val="single"/>
        </w:rPr>
        <w:lastRenderedPageBreak/>
        <w:t>LIST OF APPENDICES</w:t>
      </w:r>
    </w:p>
    <w:p w14:paraId="330E2993" w14:textId="77777777" w:rsidR="00814DB1" w:rsidRPr="004224C3" w:rsidRDefault="00814DB1" w:rsidP="00CE7913">
      <w:pPr>
        <w:pStyle w:val="N2-2ndBullet"/>
        <w:tabs>
          <w:tab w:val="clear" w:pos="720"/>
        </w:tabs>
        <w:spacing w:after="120" w:line="240" w:lineRule="auto"/>
        <w:ind w:left="0" w:firstLine="0"/>
        <w:jc w:val="left"/>
        <w:rPr>
          <w:sz w:val="24"/>
          <w:szCs w:val="24"/>
        </w:rPr>
      </w:pPr>
    </w:p>
    <w:p w14:paraId="34EEB81C" w14:textId="77777777" w:rsidR="00814DB1" w:rsidRPr="004224C3" w:rsidRDefault="00814DB1" w:rsidP="00814DB1">
      <w:pPr>
        <w:pStyle w:val="P1-StandPara"/>
        <w:ind w:firstLine="360"/>
        <w:rPr>
          <w:b/>
          <w:bCs/>
          <w:sz w:val="24"/>
          <w:szCs w:val="24"/>
        </w:rPr>
      </w:pPr>
      <w:r w:rsidRPr="004224C3">
        <w:rPr>
          <w:b/>
          <w:bCs/>
          <w:sz w:val="24"/>
          <w:szCs w:val="24"/>
        </w:rPr>
        <w:t>Appendix A: State/Grantee Notification Letter</w:t>
      </w:r>
    </w:p>
    <w:p w14:paraId="07ADC506" w14:textId="6D6FAEBE" w:rsidR="00814DB1" w:rsidRPr="004224C3" w:rsidRDefault="00814DB1" w:rsidP="00814DB1">
      <w:pPr>
        <w:pStyle w:val="P1-StandPara"/>
        <w:ind w:firstLine="360"/>
        <w:rPr>
          <w:sz w:val="24"/>
          <w:szCs w:val="24"/>
        </w:rPr>
      </w:pPr>
      <w:r w:rsidRPr="004224C3">
        <w:rPr>
          <w:b/>
          <w:bCs/>
          <w:sz w:val="24"/>
          <w:szCs w:val="24"/>
        </w:rPr>
        <w:t>Appendix B: District Notification and Recruitment Letters</w:t>
      </w:r>
    </w:p>
    <w:p w14:paraId="75D51ACE" w14:textId="6C3C2743" w:rsidR="00814DB1" w:rsidRPr="004224C3" w:rsidRDefault="00814DB1" w:rsidP="00814DB1">
      <w:pPr>
        <w:pStyle w:val="P1-StandPara"/>
        <w:ind w:firstLine="720"/>
        <w:rPr>
          <w:sz w:val="24"/>
          <w:szCs w:val="24"/>
        </w:rPr>
      </w:pPr>
      <w:r w:rsidRPr="004224C3">
        <w:rPr>
          <w:sz w:val="24"/>
          <w:szCs w:val="24"/>
        </w:rPr>
        <w:t xml:space="preserve">Appendix B.1: District Notification Letter – </w:t>
      </w:r>
      <w:r w:rsidR="00D51193">
        <w:rPr>
          <w:sz w:val="24"/>
          <w:szCs w:val="24"/>
        </w:rPr>
        <w:t>AWARE-SEA</w:t>
      </w:r>
      <w:r w:rsidRPr="004224C3">
        <w:rPr>
          <w:sz w:val="24"/>
          <w:szCs w:val="24"/>
        </w:rPr>
        <w:t xml:space="preserve"> District</w:t>
      </w:r>
    </w:p>
    <w:p w14:paraId="43DEBD77" w14:textId="5864254D" w:rsidR="00814DB1" w:rsidRPr="004224C3" w:rsidRDefault="00814DB1" w:rsidP="00814DB1">
      <w:pPr>
        <w:pStyle w:val="P1-StandPara"/>
        <w:ind w:firstLine="720"/>
        <w:rPr>
          <w:sz w:val="24"/>
          <w:szCs w:val="24"/>
        </w:rPr>
      </w:pPr>
      <w:r w:rsidRPr="004224C3">
        <w:rPr>
          <w:sz w:val="24"/>
          <w:szCs w:val="24"/>
        </w:rPr>
        <w:t>Appendix B.2: District Recruitment Letter – non-</w:t>
      </w:r>
      <w:r w:rsidR="00D51193">
        <w:rPr>
          <w:sz w:val="24"/>
          <w:szCs w:val="24"/>
        </w:rPr>
        <w:t>AWARE-SEA</w:t>
      </w:r>
      <w:r w:rsidRPr="004224C3">
        <w:rPr>
          <w:sz w:val="24"/>
          <w:szCs w:val="24"/>
        </w:rPr>
        <w:t xml:space="preserve"> District</w:t>
      </w:r>
    </w:p>
    <w:p w14:paraId="306C1FB8" w14:textId="3F099396" w:rsidR="00814DB1" w:rsidRPr="004224C3" w:rsidRDefault="00814DB1" w:rsidP="00814DB1">
      <w:pPr>
        <w:pStyle w:val="P1-StandPara"/>
        <w:ind w:firstLine="360"/>
        <w:rPr>
          <w:b/>
          <w:bCs/>
          <w:sz w:val="24"/>
          <w:szCs w:val="24"/>
        </w:rPr>
      </w:pPr>
      <w:r w:rsidRPr="004224C3">
        <w:rPr>
          <w:b/>
          <w:bCs/>
          <w:sz w:val="24"/>
          <w:szCs w:val="24"/>
        </w:rPr>
        <w:t>Appendix C: School Recruitment Letters</w:t>
      </w:r>
    </w:p>
    <w:p w14:paraId="04C45FB1" w14:textId="02C5E013" w:rsidR="00814DB1" w:rsidRPr="004224C3" w:rsidRDefault="00814DB1" w:rsidP="00814DB1">
      <w:pPr>
        <w:pStyle w:val="P1-StandPara"/>
        <w:ind w:firstLine="720"/>
        <w:rPr>
          <w:sz w:val="24"/>
          <w:szCs w:val="24"/>
        </w:rPr>
      </w:pPr>
      <w:r w:rsidRPr="004224C3">
        <w:rPr>
          <w:sz w:val="24"/>
          <w:szCs w:val="24"/>
        </w:rPr>
        <w:t xml:space="preserve">Appendix C.1: School Recruitment Letter – </w:t>
      </w:r>
      <w:r w:rsidR="00D51193">
        <w:rPr>
          <w:sz w:val="24"/>
          <w:szCs w:val="24"/>
        </w:rPr>
        <w:t>AWARE-SEA</w:t>
      </w:r>
      <w:r w:rsidRPr="004224C3">
        <w:rPr>
          <w:sz w:val="24"/>
          <w:szCs w:val="24"/>
        </w:rPr>
        <w:t xml:space="preserve"> School</w:t>
      </w:r>
    </w:p>
    <w:p w14:paraId="38CD0E6A" w14:textId="2265B57E" w:rsidR="00814DB1" w:rsidRPr="004224C3" w:rsidRDefault="00814DB1" w:rsidP="00814DB1">
      <w:pPr>
        <w:pStyle w:val="P1-StandPara"/>
        <w:ind w:firstLine="720"/>
        <w:rPr>
          <w:sz w:val="24"/>
          <w:szCs w:val="24"/>
        </w:rPr>
      </w:pPr>
      <w:r w:rsidRPr="004224C3">
        <w:rPr>
          <w:sz w:val="24"/>
          <w:szCs w:val="24"/>
        </w:rPr>
        <w:t xml:space="preserve">Appendix C.2: School Recruitment Letter – Comparison School in </w:t>
      </w:r>
      <w:r w:rsidR="00D51193">
        <w:rPr>
          <w:sz w:val="24"/>
          <w:szCs w:val="24"/>
        </w:rPr>
        <w:t>AWARE-SEA</w:t>
      </w:r>
      <w:r w:rsidRPr="004224C3">
        <w:rPr>
          <w:sz w:val="24"/>
          <w:szCs w:val="24"/>
        </w:rPr>
        <w:t xml:space="preserve"> School District</w:t>
      </w:r>
    </w:p>
    <w:p w14:paraId="090985C2" w14:textId="4B7F8C06" w:rsidR="00814DB1" w:rsidRPr="004224C3" w:rsidRDefault="00814DB1" w:rsidP="00DD5460">
      <w:pPr>
        <w:pStyle w:val="P1-StandPara"/>
        <w:ind w:left="720" w:firstLine="0"/>
        <w:rPr>
          <w:sz w:val="24"/>
          <w:szCs w:val="24"/>
        </w:rPr>
      </w:pPr>
      <w:r w:rsidRPr="004224C3">
        <w:rPr>
          <w:sz w:val="24"/>
          <w:szCs w:val="24"/>
        </w:rPr>
        <w:t>Appendix C.3: School Recruitment Letter – Comparison School in non-</w:t>
      </w:r>
      <w:r w:rsidR="00D51193">
        <w:rPr>
          <w:sz w:val="24"/>
          <w:szCs w:val="24"/>
        </w:rPr>
        <w:t>AWARE-SEA</w:t>
      </w:r>
      <w:r w:rsidRPr="004224C3">
        <w:rPr>
          <w:sz w:val="24"/>
          <w:szCs w:val="24"/>
        </w:rPr>
        <w:t xml:space="preserve"> School District</w:t>
      </w:r>
    </w:p>
    <w:p w14:paraId="7553285C" w14:textId="48575B25" w:rsidR="00814DB1" w:rsidRPr="004224C3" w:rsidRDefault="00814DB1" w:rsidP="00814DB1">
      <w:pPr>
        <w:pStyle w:val="P1-StandPara"/>
        <w:ind w:firstLine="360"/>
        <w:rPr>
          <w:b/>
          <w:bCs/>
          <w:sz w:val="24"/>
          <w:szCs w:val="24"/>
        </w:rPr>
      </w:pPr>
      <w:r w:rsidRPr="004224C3">
        <w:rPr>
          <w:b/>
          <w:bCs/>
          <w:sz w:val="24"/>
          <w:szCs w:val="24"/>
        </w:rPr>
        <w:t>Appendix D: NITT Brochure Text</w:t>
      </w:r>
    </w:p>
    <w:p w14:paraId="1240505B" w14:textId="5D021506" w:rsidR="00814DB1" w:rsidRPr="004224C3" w:rsidRDefault="00814DB1" w:rsidP="00814DB1">
      <w:pPr>
        <w:pStyle w:val="P1-StandPara"/>
        <w:ind w:firstLine="360"/>
        <w:rPr>
          <w:sz w:val="24"/>
          <w:szCs w:val="24"/>
        </w:rPr>
      </w:pPr>
      <w:r w:rsidRPr="004224C3">
        <w:rPr>
          <w:b/>
          <w:bCs/>
          <w:sz w:val="24"/>
          <w:szCs w:val="24"/>
        </w:rPr>
        <w:t xml:space="preserve">Appendix E: </w:t>
      </w:r>
      <w:r w:rsidR="00D51193">
        <w:rPr>
          <w:b/>
          <w:bCs/>
          <w:sz w:val="24"/>
          <w:szCs w:val="24"/>
        </w:rPr>
        <w:t>AWARE-SEA</w:t>
      </w:r>
      <w:r w:rsidRPr="004224C3">
        <w:rPr>
          <w:b/>
          <w:bCs/>
          <w:sz w:val="24"/>
          <w:szCs w:val="24"/>
        </w:rPr>
        <w:t xml:space="preserve"> FAQs</w:t>
      </w:r>
    </w:p>
    <w:p w14:paraId="358AFBD2" w14:textId="77777777" w:rsidR="00814DB1" w:rsidRPr="009566D5" w:rsidRDefault="00814DB1" w:rsidP="00814DB1">
      <w:pPr>
        <w:pStyle w:val="P1-StandPara"/>
      </w:pPr>
    </w:p>
    <w:sectPr w:rsidR="00814DB1" w:rsidRPr="009566D5" w:rsidSect="00D05D74">
      <w:pgSz w:w="12240" w:h="15840" w:code="1"/>
      <w:pgMar w:top="1008" w:right="1008" w:bottom="1008" w:left="1008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92E60C" w14:textId="77777777" w:rsidR="00DD3ECC" w:rsidRDefault="00DD3ECC" w:rsidP="00465DE7">
      <w:r>
        <w:separator/>
      </w:r>
    </w:p>
  </w:endnote>
  <w:endnote w:type="continuationSeparator" w:id="0">
    <w:p w14:paraId="5FBA2D8A" w14:textId="77777777" w:rsidR="00DD3ECC" w:rsidRDefault="00DD3ECC" w:rsidP="0046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79815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14428B" w14:textId="77777777" w:rsidR="00773BF8" w:rsidRDefault="00B01586" w:rsidP="006620C1">
        <w:pPr>
          <w:pStyle w:val="Footer"/>
          <w:spacing w:line="240" w:lineRule="auto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78E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8354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39C928" w14:textId="14E93A3E" w:rsidR="00B01586" w:rsidRDefault="006433E0" w:rsidP="004303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78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7DC16A" w14:textId="77777777" w:rsidR="00DD3ECC" w:rsidRDefault="00DD3ECC" w:rsidP="00465DE7">
      <w:r>
        <w:separator/>
      </w:r>
    </w:p>
  </w:footnote>
  <w:footnote w:type="continuationSeparator" w:id="0">
    <w:p w14:paraId="7988FC06" w14:textId="77777777" w:rsidR="00DD3ECC" w:rsidRDefault="00DD3ECC" w:rsidP="00465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76A5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375283"/>
    <w:multiLevelType w:val="hybridMultilevel"/>
    <w:tmpl w:val="5E30EB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820AC6"/>
    <w:multiLevelType w:val="hybridMultilevel"/>
    <w:tmpl w:val="04FC8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733116"/>
    <w:multiLevelType w:val="hybridMultilevel"/>
    <w:tmpl w:val="A90EF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42BDC"/>
    <w:multiLevelType w:val="hybridMultilevel"/>
    <w:tmpl w:val="61102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F7658"/>
    <w:multiLevelType w:val="hybridMultilevel"/>
    <w:tmpl w:val="63066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16F5E"/>
    <w:multiLevelType w:val="hybridMultilevel"/>
    <w:tmpl w:val="7E8A1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565A"/>
    <w:multiLevelType w:val="hybridMultilevel"/>
    <w:tmpl w:val="15B05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FE7661"/>
    <w:multiLevelType w:val="hybridMultilevel"/>
    <w:tmpl w:val="AE940552"/>
    <w:lvl w:ilvl="0" w:tplc="E25444AA">
      <w:start w:val="2"/>
      <w:numFmt w:val="upperLetter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60CA5F9A"/>
    <w:multiLevelType w:val="hybridMultilevel"/>
    <w:tmpl w:val="B9382422"/>
    <w:lvl w:ilvl="0" w:tplc="04090001">
      <w:start w:val="1"/>
      <w:numFmt w:val="bullet"/>
      <w:lvlText w:val="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096530"/>
    <w:multiLevelType w:val="hybridMultilevel"/>
    <w:tmpl w:val="5B2405D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77891FFC"/>
    <w:multiLevelType w:val="hybridMultilevel"/>
    <w:tmpl w:val="7D140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DC5C10"/>
    <w:multiLevelType w:val="hybridMultilevel"/>
    <w:tmpl w:val="3724F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544191"/>
    <w:multiLevelType w:val="hybridMultilevel"/>
    <w:tmpl w:val="5016E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7A34E8"/>
    <w:multiLevelType w:val="hybridMultilevel"/>
    <w:tmpl w:val="61102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2"/>
  </w:num>
  <w:num w:numId="5">
    <w:abstractNumId w:val="15"/>
  </w:num>
  <w:num w:numId="6">
    <w:abstractNumId w:val="1"/>
  </w:num>
  <w:num w:numId="7">
    <w:abstractNumId w:val="10"/>
  </w:num>
  <w:num w:numId="8">
    <w:abstractNumId w:val="5"/>
  </w:num>
  <w:num w:numId="9">
    <w:abstractNumId w:val="7"/>
  </w:num>
  <w:num w:numId="10">
    <w:abstractNumId w:val="4"/>
  </w:num>
  <w:num w:numId="11">
    <w:abstractNumId w:val="11"/>
  </w:num>
  <w:num w:numId="12">
    <w:abstractNumId w:val="1"/>
  </w:num>
  <w:num w:numId="13">
    <w:abstractNumId w:val="13"/>
  </w:num>
  <w:num w:numId="14">
    <w:abstractNumId w:val="8"/>
  </w:num>
  <w:num w:numId="15">
    <w:abstractNumId w:val="3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B5"/>
    <w:rsid w:val="00004A66"/>
    <w:rsid w:val="0001678B"/>
    <w:rsid w:val="00031E22"/>
    <w:rsid w:val="00044E52"/>
    <w:rsid w:val="00050B5A"/>
    <w:rsid w:val="00055199"/>
    <w:rsid w:val="00070D23"/>
    <w:rsid w:val="00084A9D"/>
    <w:rsid w:val="00085469"/>
    <w:rsid w:val="000918E6"/>
    <w:rsid w:val="000963B6"/>
    <w:rsid w:val="00096D1E"/>
    <w:rsid w:val="0009736B"/>
    <w:rsid w:val="000B28DE"/>
    <w:rsid w:val="000B2F1A"/>
    <w:rsid w:val="000C2ED3"/>
    <w:rsid w:val="000C3351"/>
    <w:rsid w:val="000C618B"/>
    <w:rsid w:val="000D2917"/>
    <w:rsid w:val="000E0101"/>
    <w:rsid w:val="000E231C"/>
    <w:rsid w:val="000E4B9E"/>
    <w:rsid w:val="000F3C1F"/>
    <w:rsid w:val="000F4806"/>
    <w:rsid w:val="00107E00"/>
    <w:rsid w:val="001100D2"/>
    <w:rsid w:val="00111908"/>
    <w:rsid w:val="00111930"/>
    <w:rsid w:val="00112158"/>
    <w:rsid w:val="00116E46"/>
    <w:rsid w:val="00123761"/>
    <w:rsid w:val="0012695F"/>
    <w:rsid w:val="00127CF3"/>
    <w:rsid w:val="00140004"/>
    <w:rsid w:val="00141A13"/>
    <w:rsid w:val="00160D85"/>
    <w:rsid w:val="00166FB1"/>
    <w:rsid w:val="001704F0"/>
    <w:rsid w:val="00176601"/>
    <w:rsid w:val="00185D80"/>
    <w:rsid w:val="00190F9E"/>
    <w:rsid w:val="001A259F"/>
    <w:rsid w:val="001A43C1"/>
    <w:rsid w:val="001A5204"/>
    <w:rsid w:val="001A7635"/>
    <w:rsid w:val="001B0D41"/>
    <w:rsid w:val="001B3FD9"/>
    <w:rsid w:val="001C1559"/>
    <w:rsid w:val="001C1FAD"/>
    <w:rsid w:val="001C6A93"/>
    <w:rsid w:val="001D1615"/>
    <w:rsid w:val="001D36E8"/>
    <w:rsid w:val="001F0D8A"/>
    <w:rsid w:val="001F7758"/>
    <w:rsid w:val="002139F2"/>
    <w:rsid w:val="002164AF"/>
    <w:rsid w:val="00234077"/>
    <w:rsid w:val="00235A66"/>
    <w:rsid w:val="00236780"/>
    <w:rsid w:val="00236A88"/>
    <w:rsid w:val="00243E8F"/>
    <w:rsid w:val="00251236"/>
    <w:rsid w:val="0026122A"/>
    <w:rsid w:val="002652ED"/>
    <w:rsid w:val="00266BF8"/>
    <w:rsid w:val="00276327"/>
    <w:rsid w:val="002848E3"/>
    <w:rsid w:val="002904D8"/>
    <w:rsid w:val="00292DE1"/>
    <w:rsid w:val="002A467E"/>
    <w:rsid w:val="002B2A24"/>
    <w:rsid w:val="002B3A93"/>
    <w:rsid w:val="002B5844"/>
    <w:rsid w:val="002B749C"/>
    <w:rsid w:val="002C677C"/>
    <w:rsid w:val="002C72D1"/>
    <w:rsid w:val="002E026A"/>
    <w:rsid w:val="002E20BE"/>
    <w:rsid w:val="002E2A23"/>
    <w:rsid w:val="002E54C9"/>
    <w:rsid w:val="002E6195"/>
    <w:rsid w:val="00323F75"/>
    <w:rsid w:val="00335E44"/>
    <w:rsid w:val="00337E3A"/>
    <w:rsid w:val="003425E2"/>
    <w:rsid w:val="00347AB2"/>
    <w:rsid w:val="00351797"/>
    <w:rsid w:val="0035664E"/>
    <w:rsid w:val="00367086"/>
    <w:rsid w:val="00367ACE"/>
    <w:rsid w:val="00370CA2"/>
    <w:rsid w:val="00373459"/>
    <w:rsid w:val="00383A25"/>
    <w:rsid w:val="003879F2"/>
    <w:rsid w:val="0039396D"/>
    <w:rsid w:val="003950AE"/>
    <w:rsid w:val="003C2028"/>
    <w:rsid w:val="003C6E98"/>
    <w:rsid w:val="003F1A50"/>
    <w:rsid w:val="003F6566"/>
    <w:rsid w:val="0040138C"/>
    <w:rsid w:val="00415C30"/>
    <w:rsid w:val="00422029"/>
    <w:rsid w:val="004224C3"/>
    <w:rsid w:val="004245E9"/>
    <w:rsid w:val="00424D2C"/>
    <w:rsid w:val="004303B7"/>
    <w:rsid w:val="004304D9"/>
    <w:rsid w:val="00432515"/>
    <w:rsid w:val="00443BB0"/>
    <w:rsid w:val="00444655"/>
    <w:rsid w:val="00446E98"/>
    <w:rsid w:val="004541C3"/>
    <w:rsid w:val="00463584"/>
    <w:rsid w:val="00465DE7"/>
    <w:rsid w:val="00472A6F"/>
    <w:rsid w:val="004776B1"/>
    <w:rsid w:val="0049395C"/>
    <w:rsid w:val="00493D6A"/>
    <w:rsid w:val="00497C41"/>
    <w:rsid w:val="004A395C"/>
    <w:rsid w:val="004C2F82"/>
    <w:rsid w:val="004C3C53"/>
    <w:rsid w:val="004C6907"/>
    <w:rsid w:val="004F2C98"/>
    <w:rsid w:val="004F6C8B"/>
    <w:rsid w:val="004F6FB0"/>
    <w:rsid w:val="0050013D"/>
    <w:rsid w:val="005020E3"/>
    <w:rsid w:val="005155F5"/>
    <w:rsid w:val="00523787"/>
    <w:rsid w:val="00535862"/>
    <w:rsid w:val="00537E17"/>
    <w:rsid w:val="005430EA"/>
    <w:rsid w:val="00565452"/>
    <w:rsid w:val="0057412D"/>
    <w:rsid w:val="00580D77"/>
    <w:rsid w:val="00584910"/>
    <w:rsid w:val="00585CF6"/>
    <w:rsid w:val="005948B4"/>
    <w:rsid w:val="00594B61"/>
    <w:rsid w:val="005A2964"/>
    <w:rsid w:val="005A7A0E"/>
    <w:rsid w:val="005C7518"/>
    <w:rsid w:val="005C7B83"/>
    <w:rsid w:val="005E41CC"/>
    <w:rsid w:val="005E4FCC"/>
    <w:rsid w:val="005F12F1"/>
    <w:rsid w:val="006013AE"/>
    <w:rsid w:val="0060518C"/>
    <w:rsid w:val="0060767E"/>
    <w:rsid w:val="00610D69"/>
    <w:rsid w:val="00616D46"/>
    <w:rsid w:val="00620BBD"/>
    <w:rsid w:val="00624570"/>
    <w:rsid w:val="006433E0"/>
    <w:rsid w:val="00644686"/>
    <w:rsid w:val="00646E19"/>
    <w:rsid w:val="00653CD5"/>
    <w:rsid w:val="006620C1"/>
    <w:rsid w:val="006656EA"/>
    <w:rsid w:val="006716BC"/>
    <w:rsid w:val="00673A1F"/>
    <w:rsid w:val="006740C0"/>
    <w:rsid w:val="00675A51"/>
    <w:rsid w:val="00676436"/>
    <w:rsid w:val="00677683"/>
    <w:rsid w:val="00682261"/>
    <w:rsid w:val="00683AD9"/>
    <w:rsid w:val="006848AD"/>
    <w:rsid w:val="0068565C"/>
    <w:rsid w:val="0069173F"/>
    <w:rsid w:val="00693B8B"/>
    <w:rsid w:val="006A3FC0"/>
    <w:rsid w:val="006A5529"/>
    <w:rsid w:val="006B2613"/>
    <w:rsid w:val="006B2C46"/>
    <w:rsid w:val="006C2145"/>
    <w:rsid w:val="006C30D1"/>
    <w:rsid w:val="006D1C80"/>
    <w:rsid w:val="006D261F"/>
    <w:rsid w:val="006F0AC9"/>
    <w:rsid w:val="006F5CD2"/>
    <w:rsid w:val="007012A9"/>
    <w:rsid w:val="00707F55"/>
    <w:rsid w:val="00721883"/>
    <w:rsid w:val="0072248B"/>
    <w:rsid w:val="00732D73"/>
    <w:rsid w:val="00736C3B"/>
    <w:rsid w:val="00742BB7"/>
    <w:rsid w:val="00746E9A"/>
    <w:rsid w:val="007540E3"/>
    <w:rsid w:val="00756748"/>
    <w:rsid w:val="0076178B"/>
    <w:rsid w:val="00765070"/>
    <w:rsid w:val="00767393"/>
    <w:rsid w:val="0077031E"/>
    <w:rsid w:val="00773BF8"/>
    <w:rsid w:val="007775F8"/>
    <w:rsid w:val="007816B1"/>
    <w:rsid w:val="00783519"/>
    <w:rsid w:val="007B4D5E"/>
    <w:rsid w:val="007C3BFD"/>
    <w:rsid w:val="007C3C31"/>
    <w:rsid w:val="007C3F9E"/>
    <w:rsid w:val="007C5DD9"/>
    <w:rsid w:val="007E39C0"/>
    <w:rsid w:val="007F3875"/>
    <w:rsid w:val="008044D4"/>
    <w:rsid w:val="00810796"/>
    <w:rsid w:val="00814DB1"/>
    <w:rsid w:val="00815099"/>
    <w:rsid w:val="008254F6"/>
    <w:rsid w:val="0083654E"/>
    <w:rsid w:val="00846A71"/>
    <w:rsid w:val="00846FE7"/>
    <w:rsid w:val="008478E3"/>
    <w:rsid w:val="00850E6F"/>
    <w:rsid w:val="00851E31"/>
    <w:rsid w:val="00863A57"/>
    <w:rsid w:val="00871C07"/>
    <w:rsid w:val="00882558"/>
    <w:rsid w:val="0088266D"/>
    <w:rsid w:val="008843E2"/>
    <w:rsid w:val="008868EB"/>
    <w:rsid w:val="00891534"/>
    <w:rsid w:val="008A07B8"/>
    <w:rsid w:val="008A1ADF"/>
    <w:rsid w:val="008A1FA9"/>
    <w:rsid w:val="008A203F"/>
    <w:rsid w:val="008A7D09"/>
    <w:rsid w:val="008B28E0"/>
    <w:rsid w:val="008C100C"/>
    <w:rsid w:val="008C6103"/>
    <w:rsid w:val="008D5ED4"/>
    <w:rsid w:val="008D7AF0"/>
    <w:rsid w:val="008E53DB"/>
    <w:rsid w:val="008F4E22"/>
    <w:rsid w:val="008F7E55"/>
    <w:rsid w:val="009048CE"/>
    <w:rsid w:val="009075C5"/>
    <w:rsid w:val="00914E4A"/>
    <w:rsid w:val="0092004E"/>
    <w:rsid w:val="009321C6"/>
    <w:rsid w:val="0093743A"/>
    <w:rsid w:val="00940A2E"/>
    <w:rsid w:val="009529CC"/>
    <w:rsid w:val="009554E3"/>
    <w:rsid w:val="009566D5"/>
    <w:rsid w:val="009620F0"/>
    <w:rsid w:val="00973659"/>
    <w:rsid w:val="00981B35"/>
    <w:rsid w:val="009A39E2"/>
    <w:rsid w:val="009A48E1"/>
    <w:rsid w:val="009B2BCA"/>
    <w:rsid w:val="009C58FD"/>
    <w:rsid w:val="009C77D6"/>
    <w:rsid w:val="009D06C4"/>
    <w:rsid w:val="009D3C11"/>
    <w:rsid w:val="009E0550"/>
    <w:rsid w:val="009F25C8"/>
    <w:rsid w:val="009F557C"/>
    <w:rsid w:val="009F5D42"/>
    <w:rsid w:val="00A03925"/>
    <w:rsid w:val="00A068ED"/>
    <w:rsid w:val="00A10B81"/>
    <w:rsid w:val="00A12044"/>
    <w:rsid w:val="00A12807"/>
    <w:rsid w:val="00A22E18"/>
    <w:rsid w:val="00A42BD9"/>
    <w:rsid w:val="00A57010"/>
    <w:rsid w:val="00A6171B"/>
    <w:rsid w:val="00A71930"/>
    <w:rsid w:val="00A71FCB"/>
    <w:rsid w:val="00A83225"/>
    <w:rsid w:val="00A83E6D"/>
    <w:rsid w:val="00A9342A"/>
    <w:rsid w:val="00AA101D"/>
    <w:rsid w:val="00AA5BB5"/>
    <w:rsid w:val="00AA77D4"/>
    <w:rsid w:val="00AB0265"/>
    <w:rsid w:val="00AB0A34"/>
    <w:rsid w:val="00AC784F"/>
    <w:rsid w:val="00AD0A2B"/>
    <w:rsid w:val="00AD623D"/>
    <w:rsid w:val="00AE2FC2"/>
    <w:rsid w:val="00AF4C1D"/>
    <w:rsid w:val="00B01586"/>
    <w:rsid w:val="00B0187F"/>
    <w:rsid w:val="00B12878"/>
    <w:rsid w:val="00B239B5"/>
    <w:rsid w:val="00B31977"/>
    <w:rsid w:val="00B4317C"/>
    <w:rsid w:val="00B51186"/>
    <w:rsid w:val="00B51DE4"/>
    <w:rsid w:val="00B56FAF"/>
    <w:rsid w:val="00B5722D"/>
    <w:rsid w:val="00B63A83"/>
    <w:rsid w:val="00B74171"/>
    <w:rsid w:val="00B77ACE"/>
    <w:rsid w:val="00B8283F"/>
    <w:rsid w:val="00B9785B"/>
    <w:rsid w:val="00BA1E71"/>
    <w:rsid w:val="00BE117A"/>
    <w:rsid w:val="00BE25C2"/>
    <w:rsid w:val="00BE62AA"/>
    <w:rsid w:val="00BF43F9"/>
    <w:rsid w:val="00C03897"/>
    <w:rsid w:val="00C06CB7"/>
    <w:rsid w:val="00C2085A"/>
    <w:rsid w:val="00C212D2"/>
    <w:rsid w:val="00C233DD"/>
    <w:rsid w:val="00C2686F"/>
    <w:rsid w:val="00C35825"/>
    <w:rsid w:val="00C514CA"/>
    <w:rsid w:val="00C827EB"/>
    <w:rsid w:val="00C8304F"/>
    <w:rsid w:val="00C91735"/>
    <w:rsid w:val="00C93A9F"/>
    <w:rsid w:val="00CA18D2"/>
    <w:rsid w:val="00CB4BAF"/>
    <w:rsid w:val="00CB7630"/>
    <w:rsid w:val="00CE0024"/>
    <w:rsid w:val="00CE415B"/>
    <w:rsid w:val="00CE4650"/>
    <w:rsid w:val="00CE49BA"/>
    <w:rsid w:val="00CE5AD3"/>
    <w:rsid w:val="00CE7913"/>
    <w:rsid w:val="00D052EE"/>
    <w:rsid w:val="00D05D74"/>
    <w:rsid w:val="00D11F42"/>
    <w:rsid w:val="00D12080"/>
    <w:rsid w:val="00D12190"/>
    <w:rsid w:val="00D35F31"/>
    <w:rsid w:val="00D51193"/>
    <w:rsid w:val="00D6721D"/>
    <w:rsid w:val="00D86F29"/>
    <w:rsid w:val="00D90D1A"/>
    <w:rsid w:val="00D90DB8"/>
    <w:rsid w:val="00DA0C3B"/>
    <w:rsid w:val="00DA4951"/>
    <w:rsid w:val="00DB2630"/>
    <w:rsid w:val="00DB4B99"/>
    <w:rsid w:val="00DD3ECC"/>
    <w:rsid w:val="00DD5460"/>
    <w:rsid w:val="00DF320A"/>
    <w:rsid w:val="00DF74C8"/>
    <w:rsid w:val="00E021BB"/>
    <w:rsid w:val="00E10DB1"/>
    <w:rsid w:val="00E13DAF"/>
    <w:rsid w:val="00E16020"/>
    <w:rsid w:val="00E200FD"/>
    <w:rsid w:val="00E25C78"/>
    <w:rsid w:val="00E266F1"/>
    <w:rsid w:val="00E57C37"/>
    <w:rsid w:val="00E61FA5"/>
    <w:rsid w:val="00E705BC"/>
    <w:rsid w:val="00E753AD"/>
    <w:rsid w:val="00E77FD2"/>
    <w:rsid w:val="00E80F63"/>
    <w:rsid w:val="00E85F83"/>
    <w:rsid w:val="00E973EE"/>
    <w:rsid w:val="00EA7D23"/>
    <w:rsid w:val="00EB39FD"/>
    <w:rsid w:val="00EB44FE"/>
    <w:rsid w:val="00EB6128"/>
    <w:rsid w:val="00EB70CF"/>
    <w:rsid w:val="00ED488F"/>
    <w:rsid w:val="00ED77A1"/>
    <w:rsid w:val="00EF5C20"/>
    <w:rsid w:val="00F17FE7"/>
    <w:rsid w:val="00F27B69"/>
    <w:rsid w:val="00F32383"/>
    <w:rsid w:val="00F34501"/>
    <w:rsid w:val="00F36B51"/>
    <w:rsid w:val="00F40412"/>
    <w:rsid w:val="00F4279F"/>
    <w:rsid w:val="00F43786"/>
    <w:rsid w:val="00F63CD5"/>
    <w:rsid w:val="00F91B66"/>
    <w:rsid w:val="00F93C40"/>
    <w:rsid w:val="00F950AC"/>
    <w:rsid w:val="00FA0FBE"/>
    <w:rsid w:val="00FA2DFC"/>
    <w:rsid w:val="00FB09D9"/>
    <w:rsid w:val="00FB5681"/>
    <w:rsid w:val="00FC0C2E"/>
    <w:rsid w:val="00FC13DC"/>
    <w:rsid w:val="00FC323B"/>
    <w:rsid w:val="00FC39FE"/>
    <w:rsid w:val="00FE5B95"/>
    <w:rsid w:val="00FE776D"/>
    <w:rsid w:val="00FF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200F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77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2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A5BB5"/>
    <w:pPr>
      <w:keepNext/>
      <w:tabs>
        <w:tab w:val="left" w:pos="1440"/>
        <w:tab w:val="left" w:pos="6480"/>
      </w:tabs>
      <w:spacing w:line="240" w:lineRule="exact"/>
      <w:ind w:left="1440" w:hanging="1440"/>
      <w:outlineLvl w:val="2"/>
    </w:pPr>
    <w:rPr>
      <w:b/>
      <w:bCs/>
    </w:rPr>
  </w:style>
  <w:style w:type="paragraph" w:styleId="Heading4">
    <w:name w:val="heading 4"/>
    <w:aliases w:val="H4 Sec.Heading"/>
    <w:basedOn w:val="Normal"/>
    <w:next w:val="P1-StandPara"/>
    <w:link w:val="Heading4Char"/>
    <w:uiPriority w:val="99"/>
    <w:qFormat/>
    <w:rsid w:val="00AA5BB5"/>
    <w:pPr>
      <w:keepNext/>
      <w:tabs>
        <w:tab w:val="left" w:pos="1152"/>
      </w:tabs>
      <w:spacing w:after="360" w:line="360" w:lineRule="atLeast"/>
      <w:ind w:left="1152" w:hanging="1152"/>
      <w:jc w:val="both"/>
      <w:outlineLvl w:val="3"/>
    </w:pPr>
    <w:rPr>
      <w:b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A5BB5"/>
    <w:pPr>
      <w:keepNext/>
      <w:outlineLvl w:val="4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5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A5BB5"/>
    <w:pPr>
      <w:keepNext/>
      <w:jc w:val="center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AA5BB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aliases w:val="H4 Sec.Heading Char"/>
    <w:basedOn w:val="DefaultParagraphFont"/>
    <w:link w:val="Heading4"/>
    <w:uiPriority w:val="99"/>
    <w:rsid w:val="00AA5BB5"/>
    <w:rPr>
      <w:rFonts w:ascii="Times New Roman" w:eastAsia="Times New Roman" w:hAnsi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AA5BB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A5BB5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1-StandPara">
    <w:name w:val="P1-Stand Para"/>
    <w:rsid w:val="00AA5BB5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uiPriority w:val="99"/>
    <w:rsid w:val="00AA5BB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A5BB5"/>
    <w:pPr>
      <w:tabs>
        <w:tab w:val="center" w:pos="4320"/>
        <w:tab w:val="right" w:pos="8640"/>
      </w:tabs>
      <w:spacing w:line="240" w:lineRule="atLeast"/>
      <w:jc w:val="both"/>
    </w:pPr>
    <w:rPr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A5BB5"/>
    <w:rPr>
      <w:rFonts w:ascii="Times New Roman" w:eastAsia="Times New Roman" w:hAnsi="Times New Roman" w:cs="Times New Roman"/>
      <w:szCs w:val="20"/>
    </w:rPr>
  </w:style>
  <w:style w:type="paragraph" w:customStyle="1" w:styleId="N2-2ndBullet">
    <w:name w:val="N2-2nd Bullet"/>
    <w:basedOn w:val="Normal"/>
    <w:uiPriority w:val="99"/>
    <w:rsid w:val="00AA5BB5"/>
    <w:pPr>
      <w:tabs>
        <w:tab w:val="num" w:pos="720"/>
      </w:tabs>
      <w:spacing w:after="240" w:line="240" w:lineRule="atLeast"/>
      <w:ind w:left="720" w:hanging="720"/>
      <w:jc w:val="both"/>
    </w:pPr>
    <w:rPr>
      <w:sz w:val="22"/>
      <w:szCs w:val="20"/>
    </w:rPr>
  </w:style>
  <w:style w:type="paragraph" w:customStyle="1" w:styleId="C1-CtrBoldHd">
    <w:name w:val="C1-Ctr BoldHd"/>
    <w:uiPriority w:val="99"/>
    <w:rsid w:val="00AA5BB5"/>
    <w:pPr>
      <w:keepNext/>
      <w:spacing w:after="720" w:line="24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BB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5D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5DE7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2FC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2FC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2FC2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1-1stBullet">
    <w:name w:val="N1-1st Bullet"/>
    <w:basedOn w:val="Normal"/>
    <w:rsid w:val="00A22E18"/>
    <w:pPr>
      <w:numPr>
        <w:numId w:val="6"/>
      </w:numPr>
      <w:spacing w:after="240" w:line="240" w:lineRule="atLeast"/>
    </w:pPr>
    <w:rPr>
      <w:rFonts w:ascii="Garamond" w:hAnsi="Garamond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D77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97365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73659"/>
  </w:style>
  <w:style w:type="character" w:customStyle="1" w:styleId="CommentTextChar">
    <w:name w:val="Comment Text Char"/>
    <w:basedOn w:val="DefaultParagraphFont"/>
    <w:link w:val="CommentText"/>
    <w:uiPriority w:val="99"/>
    <w:rsid w:val="00973659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65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65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85F8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85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84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"/>
    <w:next w:val="Normal"/>
    <w:uiPriority w:val="99"/>
    <w:rsid w:val="0072248B"/>
    <w:pPr>
      <w:autoSpaceDE w:val="0"/>
      <w:autoSpaceDN w:val="0"/>
      <w:adjustRightInd w:val="0"/>
      <w:spacing w:line="241" w:lineRule="atLeast"/>
    </w:pPr>
    <w:rPr>
      <w:rFonts w:ascii="Minion Pro" w:eastAsiaTheme="minorHAnsi" w:hAnsi="Minion Pro" w:cstheme="minorBidi"/>
    </w:rPr>
  </w:style>
  <w:style w:type="paragraph" w:styleId="Title">
    <w:name w:val="Title"/>
    <w:basedOn w:val="Normal"/>
    <w:next w:val="Normal"/>
    <w:link w:val="TitleChar"/>
    <w:uiPriority w:val="10"/>
    <w:qFormat/>
    <w:rsid w:val="004A395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5B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D67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51193"/>
    <w:pPr>
      <w:ind w:left="720"/>
    </w:pPr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77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2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A5BB5"/>
    <w:pPr>
      <w:keepNext/>
      <w:tabs>
        <w:tab w:val="left" w:pos="1440"/>
        <w:tab w:val="left" w:pos="6480"/>
      </w:tabs>
      <w:spacing w:line="240" w:lineRule="exact"/>
      <w:ind w:left="1440" w:hanging="1440"/>
      <w:outlineLvl w:val="2"/>
    </w:pPr>
    <w:rPr>
      <w:b/>
      <w:bCs/>
    </w:rPr>
  </w:style>
  <w:style w:type="paragraph" w:styleId="Heading4">
    <w:name w:val="heading 4"/>
    <w:aliases w:val="H4 Sec.Heading"/>
    <w:basedOn w:val="Normal"/>
    <w:next w:val="P1-StandPara"/>
    <w:link w:val="Heading4Char"/>
    <w:uiPriority w:val="99"/>
    <w:qFormat/>
    <w:rsid w:val="00AA5BB5"/>
    <w:pPr>
      <w:keepNext/>
      <w:tabs>
        <w:tab w:val="left" w:pos="1152"/>
      </w:tabs>
      <w:spacing w:after="360" w:line="360" w:lineRule="atLeast"/>
      <w:ind w:left="1152" w:hanging="1152"/>
      <w:jc w:val="both"/>
      <w:outlineLvl w:val="3"/>
    </w:pPr>
    <w:rPr>
      <w:b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A5BB5"/>
    <w:pPr>
      <w:keepNext/>
      <w:outlineLvl w:val="4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5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A5BB5"/>
    <w:pPr>
      <w:keepNext/>
      <w:jc w:val="center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AA5BB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aliases w:val="H4 Sec.Heading Char"/>
    <w:basedOn w:val="DefaultParagraphFont"/>
    <w:link w:val="Heading4"/>
    <w:uiPriority w:val="99"/>
    <w:rsid w:val="00AA5BB5"/>
    <w:rPr>
      <w:rFonts w:ascii="Times New Roman" w:eastAsia="Times New Roman" w:hAnsi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AA5BB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A5BB5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1-StandPara">
    <w:name w:val="P1-Stand Para"/>
    <w:rsid w:val="00AA5BB5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uiPriority w:val="99"/>
    <w:rsid w:val="00AA5BB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A5BB5"/>
    <w:pPr>
      <w:tabs>
        <w:tab w:val="center" w:pos="4320"/>
        <w:tab w:val="right" w:pos="8640"/>
      </w:tabs>
      <w:spacing w:line="240" w:lineRule="atLeast"/>
      <w:jc w:val="both"/>
    </w:pPr>
    <w:rPr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A5BB5"/>
    <w:rPr>
      <w:rFonts w:ascii="Times New Roman" w:eastAsia="Times New Roman" w:hAnsi="Times New Roman" w:cs="Times New Roman"/>
      <w:szCs w:val="20"/>
    </w:rPr>
  </w:style>
  <w:style w:type="paragraph" w:customStyle="1" w:styleId="N2-2ndBullet">
    <w:name w:val="N2-2nd Bullet"/>
    <w:basedOn w:val="Normal"/>
    <w:uiPriority w:val="99"/>
    <w:rsid w:val="00AA5BB5"/>
    <w:pPr>
      <w:tabs>
        <w:tab w:val="num" w:pos="720"/>
      </w:tabs>
      <w:spacing w:after="240" w:line="240" w:lineRule="atLeast"/>
      <w:ind w:left="720" w:hanging="720"/>
      <w:jc w:val="both"/>
    </w:pPr>
    <w:rPr>
      <w:sz w:val="22"/>
      <w:szCs w:val="20"/>
    </w:rPr>
  </w:style>
  <w:style w:type="paragraph" w:customStyle="1" w:styleId="C1-CtrBoldHd">
    <w:name w:val="C1-Ctr BoldHd"/>
    <w:uiPriority w:val="99"/>
    <w:rsid w:val="00AA5BB5"/>
    <w:pPr>
      <w:keepNext/>
      <w:spacing w:after="720" w:line="24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BB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5D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5DE7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2FC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2FC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2FC2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1-1stBullet">
    <w:name w:val="N1-1st Bullet"/>
    <w:basedOn w:val="Normal"/>
    <w:rsid w:val="00A22E18"/>
    <w:pPr>
      <w:numPr>
        <w:numId w:val="6"/>
      </w:numPr>
      <w:spacing w:after="240" w:line="240" w:lineRule="atLeast"/>
    </w:pPr>
    <w:rPr>
      <w:rFonts w:ascii="Garamond" w:hAnsi="Garamond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D77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97365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73659"/>
  </w:style>
  <w:style w:type="character" w:customStyle="1" w:styleId="CommentTextChar">
    <w:name w:val="Comment Text Char"/>
    <w:basedOn w:val="DefaultParagraphFont"/>
    <w:link w:val="CommentText"/>
    <w:uiPriority w:val="99"/>
    <w:rsid w:val="00973659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65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65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85F8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85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84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"/>
    <w:next w:val="Normal"/>
    <w:uiPriority w:val="99"/>
    <w:rsid w:val="0072248B"/>
    <w:pPr>
      <w:autoSpaceDE w:val="0"/>
      <w:autoSpaceDN w:val="0"/>
      <w:adjustRightInd w:val="0"/>
      <w:spacing w:line="241" w:lineRule="atLeast"/>
    </w:pPr>
    <w:rPr>
      <w:rFonts w:ascii="Minion Pro" w:eastAsiaTheme="minorHAnsi" w:hAnsi="Minion Pro" w:cstheme="minorBidi"/>
    </w:rPr>
  </w:style>
  <w:style w:type="paragraph" w:styleId="Title">
    <w:name w:val="Title"/>
    <w:basedOn w:val="Normal"/>
    <w:next w:val="Normal"/>
    <w:link w:val="TitleChar"/>
    <w:uiPriority w:val="10"/>
    <w:qFormat/>
    <w:rsid w:val="004A395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5B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D67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51193"/>
    <w:pPr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D1108-1793-41A2-B181-2C5B20BE3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9735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Calvin Choi</dc:creator>
  <cp:lastModifiedBy>Windows User</cp:lastModifiedBy>
  <cp:revision>4</cp:revision>
  <cp:lastPrinted>2015-06-01T12:21:00Z</cp:lastPrinted>
  <dcterms:created xsi:type="dcterms:W3CDTF">2015-09-14T14:44:00Z</dcterms:created>
  <dcterms:modified xsi:type="dcterms:W3CDTF">2015-09-14T15:17:00Z</dcterms:modified>
</cp:coreProperties>
</file>