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8F1" w:rsidRDefault="003258F1" w:rsidP="003258F1">
      <w:pPr>
        <w:jc w:val="center"/>
        <w:outlineLvl w:val="0"/>
        <w:rPr>
          <w:b/>
          <w:sz w:val="28"/>
        </w:rPr>
      </w:pPr>
    </w:p>
    <w:p w:rsidR="001F558B" w:rsidRPr="00AC7EA2" w:rsidRDefault="001F558B" w:rsidP="003258F1">
      <w:pPr>
        <w:jc w:val="center"/>
        <w:outlineLvl w:val="0"/>
        <w:rPr>
          <w:rFonts w:ascii="Times New Roman" w:hAnsi="Times New Roman"/>
          <w:b/>
        </w:rPr>
      </w:pPr>
      <w:r w:rsidRPr="00AC7EA2">
        <w:rPr>
          <w:rFonts w:ascii="Times New Roman" w:hAnsi="Times New Roman"/>
          <w:b/>
        </w:rPr>
        <w:t>Cross-Site Evaluation of the Minority Substance Abuse/HIV Prevention Program</w:t>
      </w:r>
    </w:p>
    <w:p w:rsidR="001F558B" w:rsidRPr="00AC7EA2" w:rsidRDefault="001F558B" w:rsidP="00471C9E">
      <w:pPr>
        <w:jc w:val="center"/>
        <w:outlineLvl w:val="0"/>
        <w:rPr>
          <w:rFonts w:ascii="Times New Roman" w:hAnsi="Times New Roman"/>
          <w:b/>
        </w:rPr>
      </w:pPr>
    </w:p>
    <w:p w:rsidR="00FC2082" w:rsidRPr="00AC7EA2" w:rsidRDefault="00846D08" w:rsidP="00471C9E">
      <w:pPr>
        <w:jc w:val="center"/>
        <w:outlineLvl w:val="0"/>
        <w:rPr>
          <w:rFonts w:ascii="Times New Roman" w:hAnsi="Times New Roman"/>
          <w:b/>
        </w:rPr>
      </w:pPr>
      <w:r w:rsidRPr="00AC7EA2">
        <w:rPr>
          <w:rFonts w:ascii="Times New Roman" w:hAnsi="Times New Roman"/>
          <w:b/>
        </w:rPr>
        <w:t>OMB Supporting Statement</w:t>
      </w:r>
    </w:p>
    <w:p w:rsidR="00846D08" w:rsidRPr="00AC7EA2" w:rsidRDefault="00846D08">
      <w:pPr>
        <w:rPr>
          <w:rFonts w:ascii="Times New Roman" w:hAnsi="Times New Roman"/>
        </w:rPr>
      </w:pPr>
    </w:p>
    <w:p w:rsidR="002E0F33" w:rsidRPr="00AC7EA2" w:rsidRDefault="002E0F33" w:rsidP="005F2016">
      <w:pPr>
        <w:pStyle w:val="Heading2"/>
        <w:rPr>
          <w:rFonts w:ascii="Times New Roman" w:hAnsi="Times New Roman"/>
          <w:i w:val="0"/>
          <w:sz w:val="24"/>
          <w:szCs w:val="24"/>
        </w:rPr>
      </w:pPr>
      <w:r w:rsidRPr="00AC7EA2">
        <w:rPr>
          <w:rFonts w:ascii="Times New Roman" w:hAnsi="Times New Roman"/>
          <w:i w:val="0"/>
          <w:sz w:val="24"/>
          <w:szCs w:val="24"/>
        </w:rPr>
        <w:t>Part A. Justification</w:t>
      </w: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 Circumstances Necessitating Data Collection</w:t>
      </w:r>
    </w:p>
    <w:p w:rsidR="003752DE" w:rsidRPr="00AC7EA2" w:rsidRDefault="00877400" w:rsidP="005F2016">
      <w:pPr>
        <w:rPr>
          <w:rFonts w:ascii="Times New Roman" w:hAnsi="Times New Roman"/>
        </w:rPr>
      </w:pPr>
      <w:r w:rsidRPr="00AC7EA2">
        <w:rPr>
          <w:rFonts w:ascii="Times New Roman" w:hAnsi="Times New Roman"/>
        </w:rPr>
        <w:t xml:space="preserve">The Substance Abuse and Mental Health Services Administration (SAMHSA), Center for Substance Abuse Prevention (CSAP) is requesting from the Office of Management and Budget (OMB) approval for the </w:t>
      </w:r>
      <w:r w:rsidR="008333BC" w:rsidRPr="00AC7EA2">
        <w:rPr>
          <w:rFonts w:ascii="Times New Roman" w:hAnsi="Times New Roman"/>
        </w:rPr>
        <w:t xml:space="preserve">revision </w:t>
      </w:r>
      <w:r w:rsidRPr="00AC7EA2">
        <w:rPr>
          <w:rFonts w:ascii="Times New Roman" w:hAnsi="Times New Roman"/>
        </w:rPr>
        <w:t xml:space="preserve">of data collection activities for the </w:t>
      </w:r>
      <w:r w:rsidR="00886C51" w:rsidRPr="00AC7EA2">
        <w:rPr>
          <w:rFonts w:ascii="Times New Roman" w:hAnsi="Times New Roman"/>
        </w:rPr>
        <w:t>cross-site evaluation</w:t>
      </w:r>
      <w:r w:rsidRPr="00AC7EA2">
        <w:rPr>
          <w:rFonts w:ascii="Times New Roman" w:hAnsi="Times New Roman"/>
        </w:rPr>
        <w:t xml:space="preserve"> of the </w:t>
      </w:r>
      <w:r w:rsidR="00F3627A" w:rsidRPr="00AC7EA2">
        <w:rPr>
          <w:rFonts w:ascii="Times New Roman" w:hAnsi="Times New Roman"/>
        </w:rPr>
        <w:t xml:space="preserve">Minority </w:t>
      </w:r>
      <w:r w:rsidR="003F3137" w:rsidRPr="00AC7EA2">
        <w:rPr>
          <w:rFonts w:ascii="Times New Roman" w:hAnsi="Times New Roman"/>
        </w:rPr>
        <w:t>HIV/</w:t>
      </w:r>
      <w:r w:rsidR="00F3627A" w:rsidRPr="00AC7EA2">
        <w:rPr>
          <w:rFonts w:ascii="Times New Roman" w:hAnsi="Times New Roman"/>
        </w:rPr>
        <w:t>AIDS Initiative (MAI)</w:t>
      </w:r>
      <w:r w:rsidR="001922E7" w:rsidRPr="00AC7EA2">
        <w:rPr>
          <w:rFonts w:ascii="Times New Roman" w:hAnsi="Times New Roman"/>
        </w:rPr>
        <w:t>.</w:t>
      </w:r>
      <w:r w:rsidR="00E24532" w:rsidRPr="00AC7EA2">
        <w:rPr>
          <w:rFonts w:ascii="Times New Roman" w:hAnsi="Times New Roman"/>
        </w:rPr>
        <w:t xml:space="preserve"> </w:t>
      </w:r>
      <w:r w:rsidR="003752DE" w:rsidRPr="00AC7EA2">
        <w:rPr>
          <w:rFonts w:ascii="Times New Roman" w:hAnsi="Times New Roman"/>
        </w:rPr>
        <w:t xml:space="preserve">This </w:t>
      </w:r>
      <w:r w:rsidR="008333BC" w:rsidRPr="00AC7EA2">
        <w:rPr>
          <w:rFonts w:ascii="Times New Roman" w:hAnsi="Times New Roman"/>
        </w:rPr>
        <w:t xml:space="preserve">revision </w:t>
      </w:r>
      <w:r w:rsidR="003752DE" w:rsidRPr="00AC7EA2">
        <w:rPr>
          <w:rFonts w:ascii="Times New Roman" w:hAnsi="Times New Roman"/>
        </w:rPr>
        <w:t xml:space="preserve">includes 4 </w:t>
      </w:r>
      <w:r w:rsidR="00821766" w:rsidRPr="00AC7EA2">
        <w:rPr>
          <w:rFonts w:ascii="Times New Roman" w:hAnsi="Times New Roman"/>
        </w:rPr>
        <w:t xml:space="preserve">new </w:t>
      </w:r>
      <w:r w:rsidR="003752DE" w:rsidRPr="00AC7EA2">
        <w:rPr>
          <w:rFonts w:ascii="Times New Roman" w:hAnsi="Times New Roman"/>
        </w:rPr>
        <w:t xml:space="preserve">cohorts, </w:t>
      </w:r>
      <w:r w:rsidR="00821766" w:rsidRPr="00AC7EA2">
        <w:rPr>
          <w:rFonts w:ascii="Times New Roman" w:hAnsi="Times New Roman"/>
        </w:rPr>
        <w:t xml:space="preserve">substantial revisions to the </w:t>
      </w:r>
      <w:r w:rsidR="00603AA5" w:rsidRPr="00AC7EA2">
        <w:rPr>
          <w:rFonts w:ascii="Times New Roman" w:hAnsi="Times New Roman"/>
        </w:rPr>
        <w:t xml:space="preserve">previously approved </w:t>
      </w:r>
      <w:r w:rsidR="00821766" w:rsidRPr="00AC7EA2">
        <w:rPr>
          <w:rFonts w:ascii="Times New Roman" w:hAnsi="Times New Roman"/>
        </w:rPr>
        <w:t>youth and adult questionnaires that reduced the number of items by at least twenty-five percent</w:t>
      </w:r>
      <w:r w:rsidR="003752DE" w:rsidRPr="00AC7EA2">
        <w:rPr>
          <w:rFonts w:ascii="Times New Roman" w:hAnsi="Times New Roman"/>
        </w:rPr>
        <w:t xml:space="preserve">, and the addition of two </w:t>
      </w:r>
      <w:r w:rsidR="00821766" w:rsidRPr="00AC7EA2">
        <w:rPr>
          <w:rFonts w:ascii="Times New Roman" w:hAnsi="Times New Roman"/>
        </w:rPr>
        <w:t xml:space="preserve">brief forms for collecting </w:t>
      </w:r>
      <w:r w:rsidR="00C21595" w:rsidRPr="00AC7EA2">
        <w:rPr>
          <w:rFonts w:ascii="Times New Roman" w:hAnsi="Times New Roman"/>
        </w:rPr>
        <w:t xml:space="preserve">program </w:t>
      </w:r>
      <w:r w:rsidR="00821766" w:rsidRPr="00AC7EA2">
        <w:rPr>
          <w:rFonts w:ascii="Times New Roman" w:hAnsi="Times New Roman"/>
        </w:rPr>
        <w:t>dosage data</w:t>
      </w:r>
      <w:r w:rsidR="00A52D8C" w:rsidRPr="00AC7EA2">
        <w:rPr>
          <w:rFonts w:ascii="Times New Roman" w:hAnsi="Times New Roman"/>
        </w:rPr>
        <w:t>.</w:t>
      </w:r>
      <w:r w:rsidR="00B71B37" w:rsidRPr="00AC7EA2">
        <w:rPr>
          <w:rFonts w:ascii="Times New Roman" w:hAnsi="Times New Roman"/>
        </w:rPr>
        <w:t xml:space="preserve"> </w:t>
      </w:r>
      <w:r w:rsidR="00811E4C" w:rsidRPr="00AC7EA2">
        <w:rPr>
          <w:rFonts w:ascii="Times New Roman" w:hAnsi="Times New Roman"/>
        </w:rPr>
        <w:t xml:space="preserve">The current </w:t>
      </w:r>
      <w:r w:rsidR="00603AA5" w:rsidRPr="00AC7EA2">
        <w:rPr>
          <w:rFonts w:ascii="Times New Roman" w:hAnsi="Times New Roman"/>
        </w:rPr>
        <w:t>MAI</w:t>
      </w:r>
      <w:r w:rsidR="002972AF" w:rsidRPr="00AC7EA2">
        <w:rPr>
          <w:rFonts w:ascii="Times New Roman" w:hAnsi="Times New Roman"/>
        </w:rPr>
        <w:t xml:space="preserve"> cross-site </w:t>
      </w:r>
      <w:r w:rsidR="00603AA5" w:rsidRPr="00AC7EA2">
        <w:rPr>
          <w:rFonts w:ascii="Times New Roman" w:hAnsi="Times New Roman"/>
        </w:rPr>
        <w:t xml:space="preserve">evaluation </w:t>
      </w:r>
      <w:r w:rsidR="004B309E" w:rsidRPr="00AC7EA2">
        <w:rPr>
          <w:rFonts w:ascii="Times New Roman" w:hAnsi="Times New Roman"/>
        </w:rPr>
        <w:t>is approved</w:t>
      </w:r>
      <w:r w:rsidR="00811E4C" w:rsidRPr="00AC7EA2">
        <w:rPr>
          <w:rFonts w:ascii="Times New Roman" w:hAnsi="Times New Roman"/>
        </w:rPr>
        <w:t xml:space="preserve"> under OMB No. 0930-0298, which expires on </w:t>
      </w:r>
      <w:r w:rsidR="00340635" w:rsidRPr="00AC7EA2">
        <w:rPr>
          <w:rFonts w:ascii="Times New Roman" w:hAnsi="Times New Roman"/>
        </w:rPr>
        <w:t>2</w:t>
      </w:r>
      <w:r w:rsidR="00811E4C" w:rsidRPr="00AC7EA2">
        <w:rPr>
          <w:rFonts w:ascii="Times New Roman" w:hAnsi="Times New Roman"/>
        </w:rPr>
        <w:t>/</w:t>
      </w:r>
      <w:r w:rsidR="00340635" w:rsidRPr="00AC7EA2">
        <w:rPr>
          <w:rFonts w:ascii="Times New Roman" w:hAnsi="Times New Roman"/>
        </w:rPr>
        <w:t>29</w:t>
      </w:r>
      <w:r w:rsidR="00811E4C" w:rsidRPr="00AC7EA2">
        <w:rPr>
          <w:rFonts w:ascii="Times New Roman" w:hAnsi="Times New Roman"/>
        </w:rPr>
        <w:t>/</w:t>
      </w:r>
      <w:r w:rsidR="00340635" w:rsidRPr="00AC7EA2">
        <w:rPr>
          <w:rFonts w:ascii="Times New Roman" w:hAnsi="Times New Roman"/>
        </w:rPr>
        <w:t>2016</w:t>
      </w:r>
      <w:r w:rsidR="009B4190" w:rsidRPr="00AC7EA2">
        <w:rPr>
          <w:rFonts w:ascii="Times New Roman" w:hAnsi="Times New Roman"/>
        </w:rPr>
        <w:t>.</w:t>
      </w:r>
    </w:p>
    <w:p w:rsidR="009C0003" w:rsidRPr="00AC7EA2" w:rsidRDefault="009C0003" w:rsidP="005F2016">
      <w:pPr>
        <w:rPr>
          <w:rFonts w:ascii="Times New Roman" w:hAnsi="Times New Roman"/>
        </w:rPr>
      </w:pPr>
    </w:p>
    <w:p w:rsidR="009C0003" w:rsidRPr="00AC7EA2" w:rsidRDefault="009C0003" w:rsidP="005F2016">
      <w:pPr>
        <w:rPr>
          <w:rFonts w:ascii="Times New Roman" w:hAnsi="Times New Roman"/>
        </w:rPr>
      </w:pPr>
      <w:r w:rsidRPr="00AC7EA2">
        <w:rPr>
          <w:rFonts w:ascii="Times New Roman" w:hAnsi="Times New Roman"/>
        </w:rPr>
        <w:t>The data collection instruments for which approval is being sought are:</w:t>
      </w:r>
    </w:p>
    <w:p w:rsidR="009C0003" w:rsidRPr="00AC7EA2" w:rsidRDefault="00155EC2" w:rsidP="005F2016">
      <w:pPr>
        <w:pStyle w:val="ListParagraph"/>
        <w:numPr>
          <w:ilvl w:val="0"/>
          <w:numId w:val="16"/>
        </w:numPr>
        <w:rPr>
          <w:rFonts w:ascii="Times New Roman" w:hAnsi="Times New Roman"/>
        </w:rPr>
      </w:pPr>
      <w:r w:rsidRPr="00AC7EA2">
        <w:rPr>
          <w:rFonts w:ascii="Times New Roman" w:hAnsi="Times New Roman"/>
        </w:rPr>
        <w:t>Youth Q</w:t>
      </w:r>
      <w:r w:rsidR="009C0003" w:rsidRPr="00AC7EA2">
        <w:rPr>
          <w:rFonts w:ascii="Times New Roman" w:hAnsi="Times New Roman"/>
        </w:rPr>
        <w:t>uestionnaire designed for respondents age 12 – 17</w:t>
      </w:r>
      <w:r w:rsidRPr="00AC7EA2">
        <w:rPr>
          <w:rFonts w:ascii="Times New Roman" w:hAnsi="Times New Roman"/>
        </w:rPr>
        <w:t xml:space="preserve"> (revision)</w:t>
      </w:r>
      <w:r w:rsidR="008F7041" w:rsidRPr="00AC7EA2">
        <w:rPr>
          <w:rFonts w:ascii="Times New Roman" w:hAnsi="Times New Roman"/>
        </w:rPr>
        <w:t>;</w:t>
      </w:r>
    </w:p>
    <w:p w:rsidR="009C0003" w:rsidRPr="00AC7EA2" w:rsidRDefault="00155EC2" w:rsidP="005F2016">
      <w:pPr>
        <w:pStyle w:val="ListParagraph"/>
        <w:numPr>
          <w:ilvl w:val="0"/>
          <w:numId w:val="16"/>
        </w:numPr>
        <w:rPr>
          <w:rFonts w:ascii="Times New Roman" w:hAnsi="Times New Roman"/>
        </w:rPr>
      </w:pPr>
      <w:r w:rsidRPr="00AC7EA2">
        <w:rPr>
          <w:rFonts w:ascii="Times New Roman" w:hAnsi="Times New Roman"/>
        </w:rPr>
        <w:t>Adult Q</w:t>
      </w:r>
      <w:r w:rsidR="009C0003" w:rsidRPr="00AC7EA2">
        <w:rPr>
          <w:rFonts w:ascii="Times New Roman" w:hAnsi="Times New Roman"/>
        </w:rPr>
        <w:t>uestionnaire designed for respondents age 18 or older</w:t>
      </w:r>
      <w:r w:rsidRPr="00AC7EA2">
        <w:rPr>
          <w:rFonts w:ascii="Times New Roman" w:hAnsi="Times New Roman"/>
        </w:rPr>
        <w:t xml:space="preserve"> (revision)</w:t>
      </w:r>
      <w:r w:rsidR="008F7041" w:rsidRPr="00AC7EA2">
        <w:rPr>
          <w:rFonts w:ascii="Times New Roman" w:hAnsi="Times New Roman"/>
        </w:rPr>
        <w:t>;</w:t>
      </w:r>
    </w:p>
    <w:p w:rsidR="009C0003" w:rsidRPr="00AC7EA2" w:rsidRDefault="009C0003" w:rsidP="005F2016">
      <w:pPr>
        <w:pStyle w:val="ListParagraph"/>
        <w:numPr>
          <w:ilvl w:val="0"/>
          <w:numId w:val="16"/>
        </w:numPr>
        <w:rPr>
          <w:rFonts w:ascii="Times New Roman" w:hAnsi="Times New Roman"/>
        </w:rPr>
      </w:pPr>
      <w:r w:rsidRPr="00AC7EA2">
        <w:rPr>
          <w:rFonts w:ascii="Times New Roman" w:hAnsi="Times New Roman"/>
        </w:rPr>
        <w:t xml:space="preserve">Individual Dosage Form to </w:t>
      </w:r>
      <w:r w:rsidR="00155EC2" w:rsidRPr="00AC7EA2">
        <w:rPr>
          <w:rFonts w:ascii="Times New Roman" w:hAnsi="Times New Roman"/>
        </w:rPr>
        <w:t>keep records of</w:t>
      </w:r>
      <w:r w:rsidRPr="00AC7EA2">
        <w:rPr>
          <w:rFonts w:ascii="Times New Roman" w:hAnsi="Times New Roman"/>
        </w:rPr>
        <w:t xml:space="preserve"> services provided to each participant in one-on-one </w:t>
      </w:r>
      <w:r w:rsidR="00100A32" w:rsidRPr="00AC7EA2">
        <w:rPr>
          <w:rFonts w:ascii="Times New Roman" w:hAnsi="Times New Roman"/>
        </w:rPr>
        <w:t xml:space="preserve">service encounters </w:t>
      </w:r>
      <w:r w:rsidR="00155EC2" w:rsidRPr="00AC7EA2">
        <w:rPr>
          <w:rFonts w:ascii="Times New Roman" w:hAnsi="Times New Roman"/>
        </w:rPr>
        <w:t>(new)</w:t>
      </w:r>
      <w:r w:rsidR="008F7041" w:rsidRPr="00AC7EA2">
        <w:rPr>
          <w:rFonts w:ascii="Times New Roman" w:hAnsi="Times New Roman"/>
        </w:rPr>
        <w:t>;</w:t>
      </w:r>
    </w:p>
    <w:p w:rsidR="009C0003" w:rsidRPr="00AC7EA2" w:rsidRDefault="009C0003" w:rsidP="005F2016">
      <w:pPr>
        <w:pStyle w:val="ListParagraph"/>
        <w:numPr>
          <w:ilvl w:val="0"/>
          <w:numId w:val="16"/>
        </w:numPr>
        <w:rPr>
          <w:rFonts w:ascii="Times New Roman" w:hAnsi="Times New Roman"/>
        </w:rPr>
      </w:pPr>
      <w:r w:rsidRPr="00AC7EA2">
        <w:rPr>
          <w:rFonts w:ascii="Times New Roman" w:hAnsi="Times New Roman"/>
        </w:rPr>
        <w:t xml:space="preserve">Group Dosage Form </w:t>
      </w:r>
      <w:r w:rsidR="00155EC2" w:rsidRPr="00AC7EA2">
        <w:rPr>
          <w:rFonts w:ascii="Times New Roman" w:hAnsi="Times New Roman"/>
        </w:rPr>
        <w:t xml:space="preserve">to keep records of </w:t>
      </w:r>
      <w:r w:rsidRPr="00AC7EA2">
        <w:rPr>
          <w:rFonts w:ascii="Times New Roman" w:hAnsi="Times New Roman"/>
        </w:rPr>
        <w:t>services provided to participants</w:t>
      </w:r>
      <w:r w:rsidR="00155EC2" w:rsidRPr="00AC7EA2">
        <w:rPr>
          <w:rFonts w:ascii="Times New Roman" w:hAnsi="Times New Roman"/>
        </w:rPr>
        <w:t xml:space="preserve"> in group settings (new)</w:t>
      </w:r>
      <w:r w:rsidR="008F7041" w:rsidRPr="00AC7EA2">
        <w:rPr>
          <w:rFonts w:ascii="Times New Roman" w:hAnsi="Times New Roman"/>
        </w:rPr>
        <w:t>.</w:t>
      </w:r>
    </w:p>
    <w:p w:rsidR="003752DE" w:rsidRPr="00AC7EA2" w:rsidRDefault="003752DE" w:rsidP="005F2016">
      <w:pPr>
        <w:rPr>
          <w:rFonts w:ascii="Times New Roman" w:hAnsi="Times New Roman"/>
        </w:rPr>
      </w:pPr>
    </w:p>
    <w:p w:rsidR="00846D08" w:rsidRPr="00AC7EA2" w:rsidRDefault="00877400" w:rsidP="005F2016">
      <w:pPr>
        <w:rPr>
          <w:rFonts w:ascii="Times New Roman" w:hAnsi="Times New Roman"/>
        </w:rPr>
      </w:pPr>
      <w:r w:rsidRPr="00AC7EA2">
        <w:rPr>
          <w:rFonts w:ascii="Times New Roman" w:hAnsi="Times New Roman"/>
        </w:rPr>
        <w:t xml:space="preserve">This cross-site </w:t>
      </w:r>
      <w:r w:rsidR="00886C51" w:rsidRPr="00AC7EA2">
        <w:rPr>
          <w:rFonts w:ascii="Times New Roman" w:hAnsi="Times New Roman"/>
        </w:rPr>
        <w:t>evaluation</w:t>
      </w:r>
      <w:r w:rsidR="00D658C7" w:rsidRPr="00AC7EA2">
        <w:rPr>
          <w:rFonts w:ascii="Times New Roman" w:hAnsi="Times New Roman"/>
        </w:rPr>
        <w:t>, currently being conducted by SAMHSA’s Program Evaluation for Prevention Contract (PEP-C),</w:t>
      </w:r>
      <w:r w:rsidRPr="00AC7EA2">
        <w:rPr>
          <w:rFonts w:ascii="Times New Roman" w:hAnsi="Times New Roman"/>
        </w:rPr>
        <w:t xml:space="preserve"> supports two of SAMHSA’s </w:t>
      </w:r>
      <w:r w:rsidR="00340635" w:rsidRPr="00AC7EA2">
        <w:rPr>
          <w:rFonts w:ascii="Times New Roman" w:hAnsi="Times New Roman"/>
        </w:rPr>
        <w:t xml:space="preserve">6 </w:t>
      </w:r>
      <w:r w:rsidRPr="00AC7EA2">
        <w:rPr>
          <w:rFonts w:ascii="Times New Roman" w:hAnsi="Times New Roman"/>
        </w:rPr>
        <w:t>Strategic Initiatives: Prevention of Substance Abuse and Mental Illness</w:t>
      </w:r>
      <w:r w:rsidR="00A52D8C" w:rsidRPr="00AC7EA2">
        <w:rPr>
          <w:rFonts w:ascii="Times New Roman" w:hAnsi="Times New Roman"/>
        </w:rPr>
        <w:t>,</w:t>
      </w:r>
      <w:r w:rsidRPr="00AC7EA2">
        <w:rPr>
          <w:rFonts w:ascii="Times New Roman" w:hAnsi="Times New Roman"/>
        </w:rPr>
        <w:t xml:space="preserve"> and </w:t>
      </w:r>
      <w:r w:rsidR="00340635" w:rsidRPr="00AC7EA2">
        <w:rPr>
          <w:rFonts w:ascii="Times New Roman" w:hAnsi="Times New Roman"/>
        </w:rPr>
        <w:t>Health Care and Health Systems Integration</w:t>
      </w:r>
      <w:r w:rsidR="00A52D8C" w:rsidRPr="00AC7EA2">
        <w:rPr>
          <w:rFonts w:ascii="Times New Roman" w:hAnsi="Times New Roman"/>
        </w:rPr>
        <w:t>,</w:t>
      </w:r>
      <w:r w:rsidR="003F1E50" w:rsidRPr="00AC7EA2">
        <w:rPr>
          <w:rFonts w:ascii="Times New Roman" w:hAnsi="Times New Roman"/>
        </w:rPr>
        <w:t xml:space="preserve"> while also addressing the</w:t>
      </w:r>
      <w:r w:rsidRPr="00AC7EA2">
        <w:rPr>
          <w:rFonts w:ascii="Times New Roman" w:hAnsi="Times New Roman"/>
        </w:rPr>
        <w:t xml:space="preserve"> </w:t>
      </w:r>
      <w:r w:rsidR="003F1E50" w:rsidRPr="00AC7EA2">
        <w:rPr>
          <w:rFonts w:ascii="Times New Roman" w:hAnsi="Times New Roman"/>
        </w:rPr>
        <w:t>Healthy People 2020 Substance Abuse Topic Area HP 2020-SA.</w:t>
      </w:r>
      <w:r w:rsidR="00846D08" w:rsidRPr="00AC7EA2">
        <w:rPr>
          <w:rFonts w:ascii="Times New Roman" w:hAnsi="Times New Roman"/>
        </w:rPr>
        <w:t xml:space="preserve">The primary objectives of the </w:t>
      </w:r>
      <w:r w:rsidR="006A6ADC" w:rsidRPr="00AC7EA2">
        <w:rPr>
          <w:rFonts w:ascii="Times New Roman" w:hAnsi="Times New Roman"/>
        </w:rPr>
        <w:t>cross-site</w:t>
      </w:r>
      <w:r w:rsidR="00277829" w:rsidRPr="00AC7EA2">
        <w:rPr>
          <w:rFonts w:ascii="Times New Roman" w:hAnsi="Times New Roman"/>
        </w:rPr>
        <w:t xml:space="preserve"> </w:t>
      </w:r>
      <w:r w:rsidR="00886C51" w:rsidRPr="00AC7EA2">
        <w:rPr>
          <w:rFonts w:ascii="Times New Roman" w:hAnsi="Times New Roman"/>
        </w:rPr>
        <w:t>evaluation</w:t>
      </w:r>
      <w:r w:rsidR="00277829" w:rsidRPr="00AC7EA2">
        <w:rPr>
          <w:rFonts w:ascii="Times New Roman" w:hAnsi="Times New Roman"/>
        </w:rPr>
        <w:t xml:space="preserve"> </w:t>
      </w:r>
      <w:r w:rsidR="001A3730" w:rsidRPr="00AC7EA2">
        <w:rPr>
          <w:rFonts w:ascii="Times New Roman" w:hAnsi="Times New Roman"/>
        </w:rPr>
        <w:t xml:space="preserve">are </w:t>
      </w:r>
      <w:r w:rsidR="00277829" w:rsidRPr="00AC7EA2">
        <w:rPr>
          <w:rFonts w:ascii="Times New Roman" w:hAnsi="Times New Roman"/>
        </w:rPr>
        <w:t>to:</w:t>
      </w:r>
    </w:p>
    <w:p w:rsidR="00846D08" w:rsidRPr="00AC7EA2" w:rsidRDefault="00846D08" w:rsidP="005F2016">
      <w:pPr>
        <w:rPr>
          <w:rFonts w:ascii="Times New Roman" w:hAnsi="Times New Roman"/>
        </w:rPr>
      </w:pPr>
    </w:p>
    <w:p w:rsidR="00C7635A" w:rsidRPr="00AC7EA2" w:rsidRDefault="00A52D8C" w:rsidP="005F2016">
      <w:pPr>
        <w:numPr>
          <w:ilvl w:val="0"/>
          <w:numId w:val="11"/>
        </w:numPr>
        <w:rPr>
          <w:rFonts w:ascii="Times New Roman" w:hAnsi="Times New Roman"/>
        </w:rPr>
      </w:pPr>
      <w:r w:rsidRPr="00AC7EA2">
        <w:rPr>
          <w:rFonts w:ascii="Times New Roman" w:hAnsi="Times New Roman"/>
        </w:rPr>
        <w:t>Assess</w:t>
      </w:r>
      <w:r w:rsidR="00C7635A" w:rsidRPr="00AC7EA2">
        <w:rPr>
          <w:rFonts w:ascii="Times New Roman" w:hAnsi="Times New Roman"/>
        </w:rPr>
        <w:t xml:space="preserve"> the success of the MAI in preventing, delaying, and/or reducing the use of alcohol, tobacco, and other drugs (ATO</w:t>
      </w:r>
      <w:r w:rsidR="000C4EC8" w:rsidRPr="00AC7EA2">
        <w:rPr>
          <w:rFonts w:ascii="Times New Roman" w:hAnsi="Times New Roman"/>
        </w:rPr>
        <w:t>D) among the target populations;</w:t>
      </w:r>
      <w:r w:rsidR="00C7635A" w:rsidRPr="00AC7EA2">
        <w:rPr>
          <w:rFonts w:ascii="Times New Roman" w:hAnsi="Times New Roman"/>
        </w:rPr>
        <w:t xml:space="preserve"> </w:t>
      </w:r>
    </w:p>
    <w:p w:rsidR="00B71B37" w:rsidRPr="00AC7EA2" w:rsidRDefault="00A52D8C" w:rsidP="005F2016">
      <w:pPr>
        <w:numPr>
          <w:ilvl w:val="0"/>
          <w:numId w:val="11"/>
        </w:numPr>
        <w:rPr>
          <w:rFonts w:ascii="Times New Roman" w:hAnsi="Times New Roman"/>
        </w:rPr>
      </w:pPr>
      <w:r w:rsidRPr="00AC7EA2">
        <w:rPr>
          <w:rFonts w:ascii="Times New Roman" w:hAnsi="Times New Roman"/>
        </w:rPr>
        <w:t>Assess</w:t>
      </w:r>
      <w:r w:rsidR="00B71B37" w:rsidRPr="00AC7EA2">
        <w:rPr>
          <w:rFonts w:ascii="Times New Roman" w:hAnsi="Times New Roman"/>
        </w:rPr>
        <w:t xml:space="preserve"> the success of the MAI in reducing risk factors and increasing protective factors associated with the transmission of the Human Immunodeficiency Virus (HIV), Hepatitis C Virus (HCV) and other sexu</w:t>
      </w:r>
      <w:r w:rsidR="000C4EC8" w:rsidRPr="00AC7EA2">
        <w:rPr>
          <w:rFonts w:ascii="Times New Roman" w:hAnsi="Times New Roman"/>
        </w:rPr>
        <w:t>ally-transmitted diseases (STD);</w:t>
      </w:r>
    </w:p>
    <w:p w:rsidR="00846D08" w:rsidRPr="00AC7EA2" w:rsidRDefault="00846D08" w:rsidP="005F2016">
      <w:pPr>
        <w:numPr>
          <w:ilvl w:val="0"/>
          <w:numId w:val="11"/>
        </w:numPr>
        <w:rPr>
          <w:rFonts w:ascii="Times New Roman" w:hAnsi="Times New Roman"/>
        </w:rPr>
      </w:pPr>
      <w:r w:rsidRPr="00AC7EA2">
        <w:rPr>
          <w:rFonts w:ascii="Times New Roman" w:hAnsi="Times New Roman"/>
        </w:rPr>
        <w:t xml:space="preserve">Measure the effectiveness of </w:t>
      </w:r>
      <w:r w:rsidR="00277829" w:rsidRPr="00AC7EA2">
        <w:rPr>
          <w:rFonts w:ascii="Times New Roman" w:hAnsi="Times New Roman"/>
        </w:rPr>
        <w:t xml:space="preserve">evidence-based programs and infrastructure development activities such </w:t>
      </w:r>
      <w:r w:rsidR="006A793A" w:rsidRPr="00AC7EA2">
        <w:rPr>
          <w:rFonts w:ascii="Times New Roman" w:hAnsi="Times New Roman"/>
        </w:rPr>
        <w:t>as</w:t>
      </w:r>
      <w:r w:rsidR="00F06A4D" w:rsidRPr="00AC7EA2">
        <w:rPr>
          <w:rFonts w:ascii="Times New Roman" w:hAnsi="Times New Roman"/>
        </w:rPr>
        <w:t>:</w:t>
      </w:r>
      <w:r w:rsidR="006A793A" w:rsidRPr="00AC7EA2">
        <w:rPr>
          <w:rFonts w:ascii="Times New Roman" w:hAnsi="Times New Roman"/>
        </w:rPr>
        <w:t xml:space="preserve"> outreach</w:t>
      </w:r>
      <w:r w:rsidR="00277829" w:rsidRPr="00AC7EA2">
        <w:rPr>
          <w:rFonts w:ascii="Times New Roman" w:hAnsi="Times New Roman"/>
        </w:rPr>
        <w:t xml:space="preserve"> and training, mo</w:t>
      </w:r>
      <w:r w:rsidR="00F3627A" w:rsidRPr="00AC7EA2">
        <w:rPr>
          <w:rFonts w:ascii="Times New Roman" w:hAnsi="Times New Roman"/>
        </w:rPr>
        <w:t>bilization of key stakeholders,</w:t>
      </w:r>
      <w:r w:rsidR="00277829" w:rsidRPr="00AC7EA2">
        <w:rPr>
          <w:rFonts w:ascii="Times New Roman" w:hAnsi="Times New Roman"/>
        </w:rPr>
        <w:t xml:space="preserve"> substance abuse and HIV/</w:t>
      </w:r>
      <w:r w:rsidR="006A793A" w:rsidRPr="00AC7EA2">
        <w:rPr>
          <w:rFonts w:ascii="Times New Roman" w:hAnsi="Times New Roman"/>
        </w:rPr>
        <w:t>AIDS counseling</w:t>
      </w:r>
      <w:r w:rsidR="00277829" w:rsidRPr="00AC7EA2">
        <w:rPr>
          <w:rFonts w:ascii="Times New Roman" w:hAnsi="Times New Roman"/>
        </w:rPr>
        <w:t xml:space="preserve"> and education, </w:t>
      </w:r>
      <w:r w:rsidR="00A52D8C" w:rsidRPr="00AC7EA2">
        <w:rPr>
          <w:rFonts w:ascii="Times New Roman" w:hAnsi="Times New Roman"/>
        </w:rPr>
        <w:t xml:space="preserve">testing, </w:t>
      </w:r>
      <w:r w:rsidR="00277829" w:rsidRPr="00AC7EA2">
        <w:rPr>
          <w:rFonts w:ascii="Times New Roman" w:hAnsi="Times New Roman"/>
        </w:rPr>
        <w:t>referrals to appropriate medical treatment</w:t>
      </w:r>
      <w:r w:rsidR="00603AA5" w:rsidRPr="00AC7EA2">
        <w:rPr>
          <w:rFonts w:ascii="Times New Roman" w:hAnsi="Times New Roman"/>
        </w:rPr>
        <w:t>,</w:t>
      </w:r>
      <w:r w:rsidR="00277829" w:rsidRPr="00AC7EA2">
        <w:rPr>
          <w:rFonts w:ascii="Times New Roman" w:hAnsi="Times New Roman"/>
        </w:rPr>
        <w:t xml:space="preserve"> and other </w:t>
      </w:r>
      <w:r w:rsidRPr="00AC7EA2">
        <w:rPr>
          <w:rFonts w:ascii="Times New Roman" w:hAnsi="Times New Roman"/>
        </w:rPr>
        <w:t xml:space="preserve">intervention strategies </w:t>
      </w:r>
      <w:r w:rsidR="00F06A4D" w:rsidRPr="00AC7EA2">
        <w:rPr>
          <w:rFonts w:ascii="Times New Roman" w:hAnsi="Times New Roman"/>
        </w:rPr>
        <w:t>(i.e., c</w:t>
      </w:r>
      <w:r w:rsidRPr="00AC7EA2">
        <w:rPr>
          <w:rFonts w:ascii="Times New Roman" w:hAnsi="Times New Roman"/>
        </w:rPr>
        <w:t xml:space="preserve">ultural enrichment activities, educational and vocational resources, </w:t>
      </w:r>
      <w:r w:rsidR="00B71B37" w:rsidRPr="00AC7EA2">
        <w:rPr>
          <w:rFonts w:ascii="Times New Roman" w:hAnsi="Times New Roman"/>
        </w:rPr>
        <w:t xml:space="preserve">motivational interviewing &amp; brief interventions, </w:t>
      </w:r>
      <w:r w:rsidR="009D6FC1" w:rsidRPr="00AC7EA2">
        <w:rPr>
          <w:rFonts w:ascii="Times New Roman" w:hAnsi="Times New Roman"/>
        </w:rPr>
        <w:t xml:space="preserve">social marketing, </w:t>
      </w:r>
      <w:r w:rsidR="00F06A4D" w:rsidRPr="00AC7EA2">
        <w:rPr>
          <w:rFonts w:ascii="Times New Roman" w:hAnsi="Times New Roman"/>
        </w:rPr>
        <w:t>and</w:t>
      </w:r>
      <w:r w:rsidRPr="00AC7EA2">
        <w:rPr>
          <w:rFonts w:ascii="Times New Roman" w:hAnsi="Times New Roman"/>
        </w:rPr>
        <w:t xml:space="preserve"> computer-based curricula</w:t>
      </w:r>
      <w:r w:rsidR="00F06A4D" w:rsidRPr="00AC7EA2">
        <w:rPr>
          <w:rFonts w:ascii="Times New Roman" w:hAnsi="Times New Roman"/>
        </w:rPr>
        <w:t>)</w:t>
      </w:r>
      <w:r w:rsidR="000C4EC8" w:rsidRPr="00AC7EA2">
        <w:rPr>
          <w:rFonts w:ascii="Times New Roman" w:hAnsi="Times New Roman"/>
        </w:rPr>
        <w:t>;</w:t>
      </w:r>
    </w:p>
    <w:p w:rsidR="00B71B37" w:rsidRPr="00AC7EA2" w:rsidRDefault="00B71B37" w:rsidP="005F2016">
      <w:pPr>
        <w:numPr>
          <w:ilvl w:val="0"/>
          <w:numId w:val="11"/>
        </w:numPr>
        <w:rPr>
          <w:rFonts w:ascii="Times New Roman" w:hAnsi="Times New Roman"/>
        </w:rPr>
      </w:pPr>
      <w:r w:rsidRPr="00AC7EA2">
        <w:rPr>
          <w:rFonts w:ascii="Times New Roman" w:hAnsi="Times New Roman"/>
        </w:rPr>
        <w:t>Investigate intervention types and features that yield the best outcomes</w:t>
      </w:r>
      <w:r w:rsidR="00A52D8C" w:rsidRPr="00AC7EA2">
        <w:rPr>
          <w:rFonts w:ascii="Times New Roman" w:hAnsi="Times New Roman"/>
        </w:rPr>
        <w:t xml:space="preserve"> for specific population groups</w:t>
      </w:r>
      <w:r w:rsidR="000C4EC8" w:rsidRPr="00AC7EA2">
        <w:rPr>
          <w:rFonts w:ascii="Times New Roman" w:hAnsi="Times New Roman"/>
        </w:rPr>
        <w:t>;</w:t>
      </w:r>
    </w:p>
    <w:p w:rsidR="00B71B37" w:rsidRPr="00AC7EA2" w:rsidRDefault="00B71B37" w:rsidP="005F2016">
      <w:pPr>
        <w:numPr>
          <w:ilvl w:val="0"/>
          <w:numId w:val="11"/>
        </w:numPr>
        <w:rPr>
          <w:rFonts w:ascii="Times New Roman" w:hAnsi="Times New Roman"/>
        </w:rPr>
      </w:pPr>
      <w:r w:rsidRPr="00AC7EA2">
        <w:rPr>
          <w:rFonts w:ascii="Times New Roman" w:hAnsi="Times New Roman"/>
        </w:rPr>
        <w:t xml:space="preserve">Assess the extent to which access to health care was enhanced for population groups </w:t>
      </w:r>
      <w:r w:rsidR="00A52D8C" w:rsidRPr="00AC7EA2">
        <w:rPr>
          <w:rFonts w:ascii="Times New Roman" w:hAnsi="Times New Roman"/>
        </w:rPr>
        <w:t xml:space="preserve">and individuals </w:t>
      </w:r>
      <w:r w:rsidRPr="00AC7EA2">
        <w:rPr>
          <w:rFonts w:ascii="Times New Roman" w:hAnsi="Times New Roman"/>
        </w:rPr>
        <w:t>vulnerable to behavioral health disparities</w:t>
      </w:r>
      <w:r w:rsidR="00A52D8C" w:rsidRPr="00AC7EA2">
        <w:rPr>
          <w:rFonts w:ascii="Times New Roman" w:hAnsi="Times New Roman"/>
        </w:rPr>
        <w:t xml:space="preserve"> residing in communities targeted by funded interventions</w:t>
      </w:r>
      <w:r w:rsidR="000C4EC8" w:rsidRPr="00AC7EA2">
        <w:rPr>
          <w:rFonts w:ascii="Times New Roman" w:hAnsi="Times New Roman"/>
        </w:rPr>
        <w:t>;</w:t>
      </w:r>
    </w:p>
    <w:p w:rsidR="00C7635A" w:rsidRPr="00AC7EA2" w:rsidRDefault="00C7635A" w:rsidP="005F2016">
      <w:pPr>
        <w:numPr>
          <w:ilvl w:val="0"/>
          <w:numId w:val="11"/>
        </w:numPr>
        <w:rPr>
          <w:rFonts w:ascii="Times New Roman" w:hAnsi="Times New Roman"/>
        </w:rPr>
      </w:pPr>
      <w:r w:rsidRPr="00AC7EA2">
        <w:rPr>
          <w:rFonts w:ascii="Times New Roman" w:hAnsi="Times New Roman"/>
        </w:rPr>
        <w:t>Assess the process of adopting and implementing the Strategic Prevention Framework (SPF) with the target populations.</w:t>
      </w:r>
    </w:p>
    <w:p w:rsidR="00846D08" w:rsidRPr="00AC7EA2" w:rsidRDefault="00846D08" w:rsidP="005F2016">
      <w:pPr>
        <w:rPr>
          <w:rFonts w:ascii="Times New Roman" w:hAnsi="Times New Roman"/>
        </w:rPr>
      </w:pPr>
    </w:p>
    <w:p w:rsidR="003F1E50" w:rsidRPr="00AC7EA2" w:rsidRDefault="003F1E5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lastRenderedPageBreak/>
        <w:t>These objectives support the four primary goals of the National HIV/AIDS Strategy which include: 1) reducing new HIV infections, 2) increasing access to care and improving health outcomes for people living with HIV</w:t>
      </w:r>
      <w:r w:rsidR="00A52D8C" w:rsidRPr="00AC7EA2">
        <w:rPr>
          <w:rFonts w:ascii="Times New Roman" w:hAnsi="Times New Roman"/>
        </w:rPr>
        <w:t>/AIDS</w:t>
      </w:r>
      <w:r w:rsidRPr="00AC7EA2">
        <w:rPr>
          <w:rFonts w:ascii="Times New Roman" w:hAnsi="Times New Roman"/>
        </w:rPr>
        <w:t>, 3) reducing HIV-related disparities and health inequities, and 4) achieving a coordinated national response to the HIV epidemic.</w:t>
      </w:r>
    </w:p>
    <w:p w:rsidR="003F1E50" w:rsidRPr="00AC7EA2" w:rsidRDefault="003F1E5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F598D" w:rsidRPr="00AC7EA2" w:rsidRDefault="006F598D"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w:t>
      </w:r>
      <w:r w:rsidR="00CB0124" w:rsidRPr="00AC7EA2">
        <w:rPr>
          <w:rFonts w:ascii="Times New Roman" w:hAnsi="Times New Roman"/>
        </w:rPr>
        <w:t>is pr</w:t>
      </w:r>
      <w:r w:rsidRPr="00AC7EA2">
        <w:rPr>
          <w:rFonts w:ascii="Times New Roman" w:hAnsi="Times New Roman"/>
        </w:rPr>
        <w:t>ogram is</w:t>
      </w:r>
      <w:r w:rsidR="00CB0124" w:rsidRPr="00AC7EA2">
        <w:rPr>
          <w:rFonts w:ascii="Times New Roman" w:hAnsi="Times New Roman"/>
        </w:rPr>
        <w:t xml:space="preserve"> authori</w:t>
      </w:r>
      <w:r w:rsidRPr="00AC7EA2">
        <w:rPr>
          <w:rFonts w:ascii="Times New Roman" w:hAnsi="Times New Roman"/>
        </w:rPr>
        <w:t>z</w:t>
      </w:r>
      <w:r w:rsidR="00CB0124" w:rsidRPr="00AC7EA2">
        <w:rPr>
          <w:rFonts w:ascii="Times New Roman" w:hAnsi="Times New Roman"/>
        </w:rPr>
        <w:t xml:space="preserve">ed by </w:t>
      </w:r>
      <w:r w:rsidR="001A3730" w:rsidRPr="00AC7EA2">
        <w:rPr>
          <w:rFonts w:ascii="Times New Roman" w:hAnsi="Times New Roman"/>
        </w:rPr>
        <w:t>Section 5</w:t>
      </w:r>
      <w:r w:rsidR="00011448" w:rsidRPr="00AC7EA2">
        <w:rPr>
          <w:rFonts w:ascii="Times New Roman" w:hAnsi="Times New Roman"/>
        </w:rPr>
        <w:t>16 of</w:t>
      </w:r>
      <w:r w:rsidR="001A3730" w:rsidRPr="00AC7EA2">
        <w:rPr>
          <w:rFonts w:ascii="Times New Roman" w:hAnsi="Times New Roman"/>
        </w:rPr>
        <w:t xml:space="preserve"> the Public Health </w:t>
      </w:r>
      <w:r w:rsidR="00032379" w:rsidRPr="00AC7EA2">
        <w:rPr>
          <w:rFonts w:ascii="Times New Roman" w:hAnsi="Times New Roman"/>
        </w:rPr>
        <w:t>Service</w:t>
      </w:r>
      <w:r w:rsidR="001A3730" w:rsidRPr="00AC7EA2">
        <w:rPr>
          <w:rFonts w:ascii="Times New Roman" w:hAnsi="Times New Roman"/>
        </w:rPr>
        <w:t xml:space="preserve"> Act, as amended</w:t>
      </w:r>
      <w:r w:rsidR="003D28DB" w:rsidRPr="00AC7EA2">
        <w:rPr>
          <w:rFonts w:ascii="Times New Roman" w:hAnsi="Times New Roman"/>
        </w:rPr>
        <w:t>,</w:t>
      </w:r>
      <w:r w:rsidR="001A3730" w:rsidRPr="00AC7EA2">
        <w:rPr>
          <w:rFonts w:ascii="Times New Roman" w:hAnsi="Times New Roman"/>
        </w:rPr>
        <w:t xml:space="preserve"> and subje</w:t>
      </w:r>
      <w:r w:rsidR="003F3137" w:rsidRPr="00AC7EA2">
        <w:rPr>
          <w:rFonts w:ascii="Times New Roman" w:hAnsi="Times New Roman"/>
        </w:rPr>
        <w:t>ct to the availability of funds</w:t>
      </w:r>
      <w:r w:rsidR="00011448" w:rsidRPr="00AC7EA2">
        <w:rPr>
          <w:rFonts w:ascii="Times New Roman" w:hAnsi="Times New Roman"/>
        </w:rPr>
        <w:t xml:space="preserve">. </w:t>
      </w:r>
      <w:r w:rsidR="001A3730" w:rsidRPr="00AC7EA2">
        <w:rPr>
          <w:rFonts w:ascii="Times New Roman" w:hAnsi="Times New Roman"/>
        </w:rPr>
        <w:t>It was support</w:t>
      </w:r>
      <w:r w:rsidR="00F3627A" w:rsidRPr="00AC7EA2">
        <w:rPr>
          <w:rFonts w:ascii="Times New Roman" w:hAnsi="Times New Roman"/>
        </w:rPr>
        <w:t>ed</w:t>
      </w:r>
      <w:r w:rsidR="001A3730" w:rsidRPr="00AC7EA2">
        <w:rPr>
          <w:rFonts w:ascii="Times New Roman" w:hAnsi="Times New Roman"/>
        </w:rPr>
        <w:t xml:space="preserve"> by the </w:t>
      </w:r>
      <w:r w:rsidR="00CB0124" w:rsidRPr="00AC7EA2">
        <w:rPr>
          <w:rFonts w:ascii="Times New Roman" w:hAnsi="Times New Roman"/>
        </w:rPr>
        <w:t>Congressi</w:t>
      </w:r>
      <w:r w:rsidRPr="00AC7EA2">
        <w:rPr>
          <w:rFonts w:ascii="Times New Roman" w:hAnsi="Times New Roman"/>
        </w:rPr>
        <w:t>on</w:t>
      </w:r>
      <w:r w:rsidR="00CB0124" w:rsidRPr="00AC7EA2">
        <w:rPr>
          <w:rFonts w:ascii="Times New Roman" w:hAnsi="Times New Roman"/>
        </w:rPr>
        <w:t xml:space="preserve">al Black Caucus through its Conference </w:t>
      </w:r>
      <w:r w:rsidRPr="00AC7EA2">
        <w:rPr>
          <w:rFonts w:ascii="Times New Roman" w:hAnsi="Times New Roman"/>
        </w:rPr>
        <w:t>R</w:t>
      </w:r>
      <w:r w:rsidR="00CB0124" w:rsidRPr="00AC7EA2">
        <w:rPr>
          <w:rFonts w:ascii="Times New Roman" w:hAnsi="Times New Roman"/>
        </w:rPr>
        <w:t>eport on H.R. 4328, Making Omnibus Consolidated and Emergency Suppl</w:t>
      </w:r>
      <w:r w:rsidRPr="00AC7EA2">
        <w:rPr>
          <w:rFonts w:ascii="Times New Roman" w:hAnsi="Times New Roman"/>
        </w:rPr>
        <w:t>e</w:t>
      </w:r>
      <w:r w:rsidR="00CB0124" w:rsidRPr="00AC7EA2">
        <w:rPr>
          <w:rFonts w:ascii="Times New Roman" w:hAnsi="Times New Roman"/>
        </w:rPr>
        <w:t xml:space="preserve">mental </w:t>
      </w:r>
      <w:r w:rsidR="00032379" w:rsidRPr="00AC7EA2">
        <w:rPr>
          <w:rFonts w:ascii="Times New Roman" w:hAnsi="Times New Roman"/>
        </w:rPr>
        <w:t>Appropriation</w:t>
      </w:r>
      <w:r w:rsidR="00837384" w:rsidRPr="00AC7EA2">
        <w:rPr>
          <w:rFonts w:ascii="Times New Roman" w:hAnsi="Times New Roman"/>
        </w:rPr>
        <w:t>s Act,</w:t>
      </w:r>
      <w:r w:rsidR="00CB0124" w:rsidRPr="00AC7EA2">
        <w:rPr>
          <w:rFonts w:ascii="Times New Roman" w:hAnsi="Times New Roman"/>
        </w:rPr>
        <w:t xml:space="preserve"> for FY 199</w:t>
      </w:r>
      <w:r w:rsidRPr="00AC7EA2">
        <w:rPr>
          <w:rFonts w:ascii="Times New Roman" w:hAnsi="Times New Roman"/>
        </w:rPr>
        <w:t>8</w:t>
      </w:r>
      <w:r w:rsidR="00011448" w:rsidRPr="00AC7EA2">
        <w:rPr>
          <w:rFonts w:ascii="Times New Roman" w:hAnsi="Times New Roman"/>
        </w:rPr>
        <w:t xml:space="preserve"> </w:t>
      </w:r>
      <w:r w:rsidR="00CB0124" w:rsidRPr="00AC7EA2">
        <w:rPr>
          <w:rFonts w:ascii="Times New Roman" w:hAnsi="Times New Roman"/>
        </w:rPr>
        <w:t>(</w:t>
      </w:r>
      <w:r w:rsidRPr="00AC7EA2">
        <w:rPr>
          <w:rFonts w:ascii="Times New Roman" w:hAnsi="Times New Roman"/>
        </w:rPr>
        <w:t>House</w:t>
      </w:r>
      <w:r w:rsidR="00CB0124" w:rsidRPr="00AC7EA2">
        <w:rPr>
          <w:rFonts w:ascii="Times New Roman" w:hAnsi="Times New Roman"/>
        </w:rPr>
        <w:t xml:space="preserve"> of Represe</w:t>
      </w:r>
      <w:r w:rsidRPr="00AC7EA2">
        <w:rPr>
          <w:rFonts w:ascii="Times New Roman" w:hAnsi="Times New Roman"/>
        </w:rPr>
        <w:t>n</w:t>
      </w:r>
      <w:r w:rsidR="001A3730" w:rsidRPr="00AC7EA2">
        <w:rPr>
          <w:rFonts w:ascii="Times New Roman" w:hAnsi="Times New Roman"/>
        </w:rPr>
        <w:t>tatives, October 19, 1998</w:t>
      </w:r>
      <w:r w:rsidR="00F3627A" w:rsidRPr="00AC7EA2">
        <w:rPr>
          <w:rFonts w:ascii="Times New Roman" w:hAnsi="Times New Roman"/>
        </w:rPr>
        <w:t>)</w:t>
      </w:r>
      <w:r w:rsidR="003D28DB" w:rsidRPr="00AC7EA2">
        <w:rPr>
          <w:rFonts w:ascii="Times New Roman" w:hAnsi="Times New Roman"/>
        </w:rPr>
        <w:t>,</w:t>
      </w:r>
      <w:r w:rsidR="00CB0124" w:rsidRPr="00AC7EA2">
        <w:rPr>
          <w:rFonts w:ascii="Times New Roman" w:hAnsi="Times New Roman"/>
        </w:rPr>
        <w:t xml:space="preserve"> to address prev</w:t>
      </w:r>
      <w:r w:rsidRPr="00AC7EA2">
        <w:rPr>
          <w:rFonts w:ascii="Times New Roman" w:hAnsi="Times New Roman"/>
        </w:rPr>
        <w:t>en</w:t>
      </w:r>
      <w:r w:rsidR="00CB0124" w:rsidRPr="00AC7EA2">
        <w:rPr>
          <w:rFonts w:ascii="Times New Roman" w:hAnsi="Times New Roman"/>
        </w:rPr>
        <w:t>tion and t</w:t>
      </w:r>
      <w:r w:rsidRPr="00AC7EA2">
        <w:rPr>
          <w:rFonts w:ascii="Times New Roman" w:hAnsi="Times New Roman"/>
        </w:rPr>
        <w:t>re</w:t>
      </w:r>
      <w:r w:rsidR="00CB0124" w:rsidRPr="00AC7EA2">
        <w:rPr>
          <w:rFonts w:ascii="Times New Roman" w:hAnsi="Times New Roman"/>
        </w:rPr>
        <w:t>atment needs of minority communit</w:t>
      </w:r>
      <w:r w:rsidRPr="00AC7EA2">
        <w:rPr>
          <w:rFonts w:ascii="Times New Roman" w:hAnsi="Times New Roman"/>
        </w:rPr>
        <w:t>i</w:t>
      </w:r>
      <w:r w:rsidR="00CB0124" w:rsidRPr="00AC7EA2">
        <w:rPr>
          <w:rFonts w:ascii="Times New Roman" w:hAnsi="Times New Roman"/>
        </w:rPr>
        <w:t xml:space="preserve">es that are </w:t>
      </w:r>
      <w:r w:rsidR="002A27DE" w:rsidRPr="00AC7EA2">
        <w:rPr>
          <w:rFonts w:ascii="Times New Roman" w:hAnsi="Times New Roman"/>
        </w:rPr>
        <w:t>disproportionately</w:t>
      </w:r>
      <w:r w:rsidR="00422597" w:rsidRPr="00AC7EA2">
        <w:rPr>
          <w:rFonts w:ascii="Times New Roman" w:hAnsi="Times New Roman"/>
        </w:rPr>
        <w:t xml:space="preserve"> </w:t>
      </w:r>
      <w:r w:rsidR="00CB0124" w:rsidRPr="00AC7EA2">
        <w:rPr>
          <w:rFonts w:ascii="Times New Roman" w:hAnsi="Times New Roman"/>
        </w:rPr>
        <w:t>affected by HIV/AIDS</w:t>
      </w:r>
      <w:r w:rsidR="006540C2" w:rsidRPr="00AC7EA2">
        <w:rPr>
          <w:rFonts w:ascii="Times New Roman" w:hAnsi="Times New Roman"/>
        </w:rPr>
        <w:t xml:space="preserve">. </w:t>
      </w:r>
      <w:r w:rsidRPr="00AC7EA2">
        <w:rPr>
          <w:rFonts w:ascii="Times New Roman" w:hAnsi="Times New Roman"/>
        </w:rPr>
        <w:t>It</w:t>
      </w:r>
      <w:r w:rsidR="00CB0124" w:rsidRPr="00AC7EA2">
        <w:rPr>
          <w:rFonts w:ascii="Times New Roman" w:hAnsi="Times New Roman"/>
        </w:rPr>
        <w:t xml:space="preserve"> builds on pr</w:t>
      </w:r>
      <w:r w:rsidRPr="00AC7EA2">
        <w:rPr>
          <w:rFonts w:ascii="Times New Roman" w:hAnsi="Times New Roman"/>
        </w:rPr>
        <w:t>e</w:t>
      </w:r>
      <w:r w:rsidR="00CB0124" w:rsidRPr="00AC7EA2">
        <w:rPr>
          <w:rFonts w:ascii="Times New Roman" w:hAnsi="Times New Roman"/>
        </w:rPr>
        <w:t>viou</w:t>
      </w:r>
      <w:r w:rsidRPr="00AC7EA2">
        <w:rPr>
          <w:rFonts w:ascii="Times New Roman" w:hAnsi="Times New Roman"/>
        </w:rPr>
        <w:t>s</w:t>
      </w:r>
      <w:r w:rsidR="00CB0124" w:rsidRPr="00AC7EA2">
        <w:rPr>
          <w:rFonts w:ascii="Times New Roman" w:hAnsi="Times New Roman"/>
        </w:rPr>
        <w:t>ly authorized programs addressing these issues</w:t>
      </w:r>
      <w:r w:rsidRPr="00AC7EA2">
        <w:rPr>
          <w:rFonts w:ascii="Times New Roman" w:hAnsi="Times New Roman"/>
        </w:rPr>
        <w:t xml:space="preserve"> </w:t>
      </w:r>
      <w:r w:rsidR="00380AFE" w:rsidRPr="00AC7EA2">
        <w:rPr>
          <w:rFonts w:ascii="Times New Roman" w:hAnsi="Times New Roman"/>
        </w:rPr>
        <w:t>(</w:t>
      </w:r>
      <w:r w:rsidRPr="00AC7EA2">
        <w:rPr>
          <w:rFonts w:ascii="Times New Roman" w:hAnsi="Times New Roman"/>
        </w:rPr>
        <w:t>discussed below</w:t>
      </w:r>
      <w:r w:rsidR="00380AFE" w:rsidRPr="00AC7EA2">
        <w:rPr>
          <w:rFonts w:ascii="Times New Roman" w:hAnsi="Times New Roman"/>
        </w:rPr>
        <w:t>)</w:t>
      </w:r>
      <w:r w:rsidR="00CB0124" w:rsidRPr="00AC7EA2">
        <w:rPr>
          <w:rFonts w:ascii="Times New Roman" w:hAnsi="Times New Roman"/>
        </w:rPr>
        <w:t xml:space="preserve">. </w:t>
      </w:r>
    </w:p>
    <w:p w:rsidR="00C7635A" w:rsidRPr="00AC7EA2" w:rsidRDefault="00C7635A"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46D08" w:rsidRPr="00AC7EA2" w:rsidRDefault="00846D08"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Although several Federal agencies have mandates to fund projects targeting </w:t>
      </w:r>
      <w:r w:rsidR="001A4E71" w:rsidRPr="00AC7EA2">
        <w:rPr>
          <w:rFonts w:ascii="Times New Roman" w:hAnsi="Times New Roman"/>
        </w:rPr>
        <w:t>minority populations</w:t>
      </w:r>
      <w:r w:rsidRPr="00AC7EA2">
        <w:rPr>
          <w:rFonts w:ascii="Times New Roman" w:hAnsi="Times New Roman"/>
        </w:rPr>
        <w:t xml:space="preserve"> who are at risk for substance </w:t>
      </w:r>
      <w:r w:rsidR="003750F2" w:rsidRPr="00AC7EA2">
        <w:rPr>
          <w:rFonts w:ascii="Times New Roman" w:hAnsi="Times New Roman"/>
        </w:rPr>
        <w:t>ab</w:t>
      </w:r>
      <w:r w:rsidR="005E6B63" w:rsidRPr="00AC7EA2">
        <w:rPr>
          <w:rFonts w:ascii="Times New Roman" w:hAnsi="Times New Roman"/>
        </w:rPr>
        <w:t>use</w:t>
      </w:r>
      <w:r w:rsidR="00422597" w:rsidRPr="00AC7EA2">
        <w:rPr>
          <w:rFonts w:ascii="Times New Roman" w:hAnsi="Times New Roman"/>
        </w:rPr>
        <w:t xml:space="preserve"> and</w:t>
      </w:r>
      <w:r w:rsidR="005E6B63" w:rsidRPr="00AC7EA2">
        <w:rPr>
          <w:rFonts w:ascii="Times New Roman" w:hAnsi="Times New Roman"/>
        </w:rPr>
        <w:t xml:space="preserve"> HIV</w:t>
      </w:r>
      <w:r w:rsidR="001A4E71" w:rsidRPr="00AC7EA2">
        <w:rPr>
          <w:rFonts w:ascii="Times New Roman" w:hAnsi="Times New Roman"/>
        </w:rPr>
        <w:t xml:space="preserve">/AIDS, </w:t>
      </w:r>
      <w:r w:rsidR="003750F2" w:rsidRPr="00AC7EA2">
        <w:rPr>
          <w:rFonts w:ascii="Times New Roman" w:hAnsi="Times New Roman"/>
        </w:rPr>
        <w:t>our knowledge of</w:t>
      </w:r>
      <w:r w:rsidRPr="00AC7EA2">
        <w:rPr>
          <w:rFonts w:ascii="Times New Roman" w:hAnsi="Times New Roman"/>
        </w:rPr>
        <w:t xml:space="preserve"> the efficacy of such programs once they become widely disseminated</w:t>
      </w:r>
      <w:r w:rsidR="003750F2" w:rsidRPr="00AC7EA2">
        <w:rPr>
          <w:rFonts w:ascii="Times New Roman" w:hAnsi="Times New Roman"/>
        </w:rPr>
        <w:t xml:space="preserve"> is still limited</w:t>
      </w:r>
      <w:r w:rsidRPr="00AC7EA2">
        <w:rPr>
          <w:rFonts w:ascii="Times New Roman" w:hAnsi="Times New Roman"/>
        </w:rPr>
        <w:t xml:space="preserve">. Prior efforts to evaluate </w:t>
      </w:r>
      <w:r w:rsidR="003750F2" w:rsidRPr="00AC7EA2">
        <w:rPr>
          <w:rFonts w:ascii="Times New Roman" w:hAnsi="Times New Roman"/>
        </w:rPr>
        <w:t>f</w:t>
      </w:r>
      <w:r w:rsidR="006540C2" w:rsidRPr="00AC7EA2">
        <w:rPr>
          <w:rFonts w:ascii="Times New Roman" w:hAnsi="Times New Roman"/>
        </w:rPr>
        <w:t xml:space="preserve">ederal </w:t>
      </w:r>
      <w:r w:rsidRPr="00AC7EA2">
        <w:rPr>
          <w:rFonts w:ascii="Times New Roman" w:hAnsi="Times New Roman"/>
        </w:rPr>
        <w:t xml:space="preserve">substance use prevention initiatives targeting at-risk </w:t>
      </w:r>
      <w:r w:rsidR="001A4E71" w:rsidRPr="00AC7EA2">
        <w:rPr>
          <w:rFonts w:ascii="Times New Roman" w:hAnsi="Times New Roman"/>
        </w:rPr>
        <w:t>populations</w:t>
      </w:r>
      <w:r w:rsidRPr="00AC7EA2">
        <w:rPr>
          <w:rFonts w:ascii="Times New Roman" w:hAnsi="Times New Roman"/>
        </w:rPr>
        <w:t xml:space="preserve"> have focused on highly </w:t>
      </w:r>
      <w:r w:rsidR="00FF14BD" w:rsidRPr="00AC7EA2">
        <w:rPr>
          <w:rFonts w:ascii="Times New Roman" w:hAnsi="Times New Roman"/>
        </w:rPr>
        <w:t xml:space="preserve">specific </w:t>
      </w:r>
      <w:r w:rsidRPr="00AC7EA2">
        <w:rPr>
          <w:rFonts w:ascii="Times New Roman" w:hAnsi="Times New Roman"/>
        </w:rPr>
        <w:t xml:space="preserve">program models and strictly defined target </w:t>
      </w:r>
      <w:r w:rsidR="006540C2" w:rsidRPr="00AC7EA2">
        <w:rPr>
          <w:rFonts w:ascii="Times New Roman" w:hAnsi="Times New Roman"/>
        </w:rPr>
        <w:t xml:space="preserve">populations </w:t>
      </w:r>
      <w:r w:rsidRPr="00AC7EA2">
        <w:rPr>
          <w:rFonts w:ascii="Times New Roman" w:hAnsi="Times New Roman"/>
        </w:rPr>
        <w:t xml:space="preserve">or have been hampered by lack of valid instrumentation and poor </w:t>
      </w:r>
      <w:r w:rsidR="001A4E71" w:rsidRPr="00AC7EA2">
        <w:rPr>
          <w:rFonts w:ascii="Times New Roman" w:hAnsi="Times New Roman"/>
        </w:rPr>
        <w:t xml:space="preserve">study </w:t>
      </w:r>
      <w:r w:rsidRPr="00AC7EA2">
        <w:rPr>
          <w:rFonts w:ascii="Times New Roman" w:hAnsi="Times New Roman"/>
        </w:rPr>
        <w:t xml:space="preserve">design. </w:t>
      </w:r>
      <w:r w:rsidR="006540C2" w:rsidRPr="00AC7EA2">
        <w:rPr>
          <w:rFonts w:ascii="Times New Roman" w:hAnsi="Times New Roman"/>
        </w:rPr>
        <w:t>Although</w:t>
      </w:r>
      <w:r w:rsidR="00380AFE" w:rsidRPr="00AC7EA2">
        <w:rPr>
          <w:rFonts w:ascii="Times New Roman" w:hAnsi="Times New Roman"/>
        </w:rPr>
        <w:t xml:space="preserve"> models </w:t>
      </w:r>
      <w:r w:rsidR="006540C2" w:rsidRPr="00AC7EA2">
        <w:rPr>
          <w:rFonts w:ascii="Times New Roman" w:hAnsi="Times New Roman"/>
        </w:rPr>
        <w:t>have been</w:t>
      </w:r>
      <w:r w:rsidR="00380AFE" w:rsidRPr="00AC7EA2">
        <w:rPr>
          <w:rFonts w:ascii="Times New Roman" w:hAnsi="Times New Roman"/>
        </w:rPr>
        <w:t xml:space="preserve"> disseminated to community-based agencies (</w:t>
      </w:r>
      <w:r w:rsidR="00B54449" w:rsidRPr="00AC7EA2">
        <w:rPr>
          <w:rFonts w:ascii="Times New Roman" w:hAnsi="Times New Roman"/>
        </w:rPr>
        <w:t>that</w:t>
      </w:r>
      <w:r w:rsidR="00380AFE" w:rsidRPr="00AC7EA2">
        <w:rPr>
          <w:rFonts w:ascii="Times New Roman" w:hAnsi="Times New Roman"/>
        </w:rPr>
        <w:t xml:space="preserve"> typically implement these programs under less rigorous and controlled parameters), measures and e</w:t>
      </w:r>
      <w:r w:rsidRPr="00AC7EA2">
        <w:rPr>
          <w:rFonts w:ascii="Times New Roman" w:hAnsi="Times New Roman"/>
        </w:rPr>
        <w:t xml:space="preserve">fforts to assess outcomes </w:t>
      </w:r>
      <w:r w:rsidR="00B54449" w:rsidRPr="00AC7EA2">
        <w:rPr>
          <w:rFonts w:ascii="Times New Roman" w:hAnsi="Times New Roman"/>
        </w:rPr>
        <w:t>were</w:t>
      </w:r>
      <w:r w:rsidRPr="00AC7EA2">
        <w:rPr>
          <w:rFonts w:ascii="Times New Roman" w:hAnsi="Times New Roman"/>
        </w:rPr>
        <w:t xml:space="preserve"> </w:t>
      </w:r>
      <w:r w:rsidR="00B54449" w:rsidRPr="00AC7EA2">
        <w:rPr>
          <w:rFonts w:ascii="Times New Roman" w:hAnsi="Times New Roman"/>
        </w:rPr>
        <w:t xml:space="preserve">inadequate and/or </w:t>
      </w:r>
      <w:r w:rsidRPr="00AC7EA2">
        <w:rPr>
          <w:rFonts w:ascii="Times New Roman" w:hAnsi="Times New Roman"/>
        </w:rPr>
        <w:t>not sufficient</w:t>
      </w:r>
      <w:r w:rsidR="000509DF" w:rsidRPr="00AC7EA2">
        <w:rPr>
          <w:rFonts w:ascii="Times New Roman" w:hAnsi="Times New Roman"/>
        </w:rPr>
        <w:t>ly designed</w:t>
      </w:r>
      <w:r w:rsidRPr="00AC7EA2">
        <w:rPr>
          <w:rFonts w:ascii="Times New Roman" w:hAnsi="Times New Roman"/>
        </w:rPr>
        <w:t xml:space="preserve"> to determine the </w:t>
      </w:r>
      <w:r w:rsidR="003750F2" w:rsidRPr="00AC7EA2">
        <w:rPr>
          <w:rFonts w:ascii="Times New Roman" w:hAnsi="Times New Roman"/>
        </w:rPr>
        <w:t>full</w:t>
      </w:r>
      <w:r w:rsidRPr="00AC7EA2">
        <w:rPr>
          <w:rFonts w:ascii="Times New Roman" w:hAnsi="Times New Roman"/>
        </w:rPr>
        <w:t xml:space="preserve"> impact of these interventions</w:t>
      </w:r>
      <w:r w:rsidR="00C21595" w:rsidRPr="00AC7EA2">
        <w:rPr>
          <w:rFonts w:ascii="Times New Roman" w:hAnsi="Times New Roman"/>
        </w:rPr>
        <w:t>, especially on vulnerable populations</w:t>
      </w:r>
      <w:r w:rsidRPr="00AC7EA2">
        <w:rPr>
          <w:rFonts w:ascii="Times New Roman" w:hAnsi="Times New Roman"/>
        </w:rPr>
        <w:t xml:space="preserve">. In addition, the link between </w:t>
      </w:r>
      <w:r w:rsidR="001A4E71" w:rsidRPr="00AC7EA2">
        <w:rPr>
          <w:rFonts w:ascii="Times New Roman" w:hAnsi="Times New Roman"/>
        </w:rPr>
        <w:t xml:space="preserve">substance abuse and HIV/AIDS </w:t>
      </w:r>
      <w:r w:rsidRPr="00AC7EA2">
        <w:rPr>
          <w:rFonts w:ascii="Times New Roman" w:hAnsi="Times New Roman"/>
        </w:rPr>
        <w:t xml:space="preserve">outcomes has not been </w:t>
      </w:r>
      <w:r w:rsidR="003750F2" w:rsidRPr="00AC7EA2">
        <w:rPr>
          <w:rFonts w:ascii="Times New Roman" w:hAnsi="Times New Roman"/>
        </w:rPr>
        <w:t xml:space="preserve">sufficiently </w:t>
      </w:r>
      <w:r w:rsidRPr="00AC7EA2">
        <w:rPr>
          <w:rFonts w:ascii="Times New Roman" w:hAnsi="Times New Roman"/>
        </w:rPr>
        <w:t xml:space="preserve">evaluated for these programs </w:t>
      </w:r>
      <w:r w:rsidR="002E74FC" w:rsidRPr="00AC7EA2">
        <w:rPr>
          <w:rFonts w:ascii="Times New Roman" w:hAnsi="Times New Roman"/>
        </w:rPr>
        <w:t>or</w:t>
      </w:r>
      <w:r w:rsidRPr="00AC7EA2">
        <w:rPr>
          <w:rFonts w:ascii="Times New Roman" w:hAnsi="Times New Roman"/>
        </w:rPr>
        <w:t xml:space="preserve"> </w:t>
      </w:r>
      <w:r w:rsidR="00011448" w:rsidRPr="00AC7EA2">
        <w:rPr>
          <w:rFonts w:ascii="Times New Roman" w:hAnsi="Times New Roman"/>
        </w:rPr>
        <w:t>in local community settings</w:t>
      </w:r>
      <w:r w:rsidR="002E74FC" w:rsidRPr="00AC7EA2">
        <w:rPr>
          <w:rFonts w:ascii="Times New Roman" w:hAnsi="Times New Roman"/>
        </w:rPr>
        <w:t>.</w:t>
      </w:r>
    </w:p>
    <w:p w:rsidR="00846D08" w:rsidRPr="00AC7EA2" w:rsidRDefault="00846D08"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557BB" w:rsidRPr="00AC7EA2" w:rsidRDefault="001A4E7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w:t>
      </w:r>
      <w:r w:rsidR="00886C51" w:rsidRPr="00AC7EA2">
        <w:rPr>
          <w:rFonts w:ascii="Times New Roman" w:hAnsi="Times New Roman"/>
        </w:rPr>
        <w:t>cross-site evaluation</w:t>
      </w:r>
      <w:r w:rsidRPr="00AC7EA2">
        <w:rPr>
          <w:rFonts w:ascii="Times New Roman" w:hAnsi="Times New Roman"/>
        </w:rPr>
        <w:t xml:space="preserve"> is scientifically appropriate, employs measures to safeguard the privacy and </w:t>
      </w:r>
      <w:r w:rsidR="00962E70" w:rsidRPr="00AC7EA2">
        <w:rPr>
          <w:rFonts w:ascii="Times New Roman" w:hAnsi="Times New Roman"/>
        </w:rPr>
        <w:t xml:space="preserve">security </w:t>
      </w:r>
      <w:r w:rsidRPr="00AC7EA2">
        <w:rPr>
          <w:rFonts w:ascii="Times New Roman" w:hAnsi="Times New Roman"/>
        </w:rPr>
        <w:t>of participants</w:t>
      </w:r>
      <w:r w:rsidR="00962E70" w:rsidRPr="00AC7EA2">
        <w:rPr>
          <w:rFonts w:ascii="Times New Roman" w:hAnsi="Times New Roman"/>
        </w:rPr>
        <w:t>’ responses</w:t>
      </w:r>
      <w:r w:rsidRPr="00AC7EA2">
        <w:rPr>
          <w:rFonts w:ascii="Times New Roman" w:hAnsi="Times New Roman"/>
        </w:rPr>
        <w:t xml:space="preserve">, and supports </w:t>
      </w:r>
      <w:r w:rsidR="006727C3" w:rsidRPr="00AC7EA2">
        <w:rPr>
          <w:rFonts w:ascii="Times New Roman" w:hAnsi="Times New Roman"/>
        </w:rPr>
        <w:t xml:space="preserve">the </w:t>
      </w:r>
      <w:r w:rsidRPr="00AC7EA2">
        <w:rPr>
          <w:rFonts w:ascii="Times New Roman" w:hAnsi="Times New Roman"/>
        </w:rPr>
        <w:t xml:space="preserve">program and </w:t>
      </w:r>
      <w:r w:rsidR="002A4ED2" w:rsidRPr="00AC7EA2">
        <w:rPr>
          <w:rFonts w:ascii="Times New Roman" w:hAnsi="Times New Roman"/>
        </w:rPr>
        <w:t xml:space="preserve">evaluation </w:t>
      </w:r>
      <w:r w:rsidRPr="00AC7EA2">
        <w:rPr>
          <w:rFonts w:ascii="Times New Roman" w:hAnsi="Times New Roman"/>
        </w:rPr>
        <w:t xml:space="preserve">needs of multiple </w:t>
      </w:r>
      <w:r w:rsidR="003750F2" w:rsidRPr="00AC7EA2">
        <w:rPr>
          <w:rFonts w:ascii="Times New Roman" w:hAnsi="Times New Roman"/>
        </w:rPr>
        <w:t>f</w:t>
      </w:r>
      <w:r w:rsidRPr="00AC7EA2">
        <w:rPr>
          <w:rFonts w:ascii="Times New Roman" w:hAnsi="Times New Roman"/>
        </w:rPr>
        <w:t xml:space="preserve">ederal </w:t>
      </w:r>
      <w:r w:rsidR="005D76A6" w:rsidRPr="00AC7EA2">
        <w:rPr>
          <w:rFonts w:ascii="Times New Roman" w:hAnsi="Times New Roman"/>
        </w:rPr>
        <w:t>agencies.</w:t>
      </w:r>
      <w:r w:rsidRPr="00AC7EA2">
        <w:rPr>
          <w:rFonts w:ascii="Times New Roman" w:hAnsi="Times New Roman"/>
        </w:rPr>
        <w:t xml:space="preserve"> </w:t>
      </w:r>
      <w:r w:rsidR="009D6FC1" w:rsidRPr="00AC7EA2">
        <w:rPr>
          <w:rFonts w:ascii="Times New Roman" w:hAnsi="Times New Roman"/>
        </w:rPr>
        <w:t xml:space="preserve">Respondent burden and intrusiveness have been limited to the extent possible while providing sufficient </w:t>
      </w:r>
      <w:r w:rsidR="000C4EC8" w:rsidRPr="00AC7EA2">
        <w:rPr>
          <w:rFonts w:ascii="Times New Roman" w:hAnsi="Times New Roman"/>
        </w:rPr>
        <w:t xml:space="preserve">data and analytic </w:t>
      </w:r>
      <w:r w:rsidR="009D6FC1" w:rsidRPr="00AC7EA2">
        <w:rPr>
          <w:rFonts w:ascii="Times New Roman" w:hAnsi="Times New Roman"/>
        </w:rPr>
        <w:t>power to fulfill the cross-site evaluation’s objectives</w:t>
      </w:r>
      <w:r w:rsidR="00F557BB" w:rsidRPr="00AC7EA2">
        <w:rPr>
          <w:rFonts w:ascii="Times New Roman" w:hAnsi="Times New Roman"/>
        </w:rPr>
        <w:t xml:space="preserve">. </w:t>
      </w:r>
      <w:r w:rsidR="00B54449" w:rsidRPr="00AC7EA2">
        <w:rPr>
          <w:rFonts w:ascii="Times New Roman" w:hAnsi="Times New Roman"/>
        </w:rPr>
        <w:t>To minimize</w:t>
      </w:r>
      <w:r w:rsidR="00532C61" w:rsidRPr="00AC7EA2">
        <w:rPr>
          <w:rFonts w:ascii="Times New Roman" w:hAnsi="Times New Roman"/>
        </w:rPr>
        <w:t xml:space="preserve"> and control</w:t>
      </w:r>
      <w:r w:rsidR="00B54449" w:rsidRPr="00AC7EA2">
        <w:rPr>
          <w:rFonts w:ascii="Times New Roman" w:hAnsi="Times New Roman"/>
        </w:rPr>
        <w:t xml:space="preserve"> respondent burden</w:t>
      </w:r>
      <w:r w:rsidR="00532C61" w:rsidRPr="00AC7EA2">
        <w:rPr>
          <w:rFonts w:ascii="Times New Roman" w:hAnsi="Times New Roman"/>
        </w:rPr>
        <w:t xml:space="preserve"> and to ensure the user-relevance of questions,</w:t>
      </w:r>
      <w:r w:rsidR="00B54449" w:rsidRPr="00AC7EA2">
        <w:rPr>
          <w:rFonts w:ascii="Times New Roman" w:hAnsi="Times New Roman"/>
        </w:rPr>
        <w:t xml:space="preserve"> e</w:t>
      </w:r>
      <w:r w:rsidR="00F557BB" w:rsidRPr="00AC7EA2">
        <w:rPr>
          <w:rFonts w:ascii="Times New Roman" w:hAnsi="Times New Roman"/>
        </w:rPr>
        <w:t>very effort has been made to coordinate</w:t>
      </w:r>
      <w:r w:rsidR="00437A61" w:rsidRPr="00AC7EA2">
        <w:rPr>
          <w:rFonts w:ascii="Times New Roman" w:hAnsi="Times New Roman"/>
        </w:rPr>
        <w:t xml:space="preserve"> </w:t>
      </w:r>
      <w:r w:rsidR="00F557BB" w:rsidRPr="00AC7EA2">
        <w:rPr>
          <w:rFonts w:ascii="Times New Roman" w:hAnsi="Times New Roman"/>
        </w:rPr>
        <w:t>cross-site data collection with local data collection efforts</w:t>
      </w:r>
      <w:r w:rsidR="00532C61" w:rsidRPr="00AC7EA2">
        <w:rPr>
          <w:rFonts w:ascii="Times New Roman" w:hAnsi="Times New Roman"/>
        </w:rPr>
        <w:t>.</w:t>
      </w:r>
    </w:p>
    <w:p w:rsidR="00532C61" w:rsidRPr="00AC7EA2" w:rsidRDefault="00532C6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557BB" w:rsidRPr="00AC7EA2" w:rsidRDefault="00F557B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w:t>
      </w:r>
      <w:r w:rsidR="00886C51" w:rsidRPr="00AC7EA2">
        <w:rPr>
          <w:rFonts w:ascii="Times New Roman" w:hAnsi="Times New Roman"/>
        </w:rPr>
        <w:t>cross-site evaluation</w:t>
      </w:r>
      <w:r w:rsidRPr="00AC7EA2">
        <w:rPr>
          <w:rFonts w:ascii="Times New Roman" w:hAnsi="Times New Roman"/>
        </w:rPr>
        <w:t xml:space="preserve"> results will have significant implications for the substance abuse</w:t>
      </w:r>
      <w:r w:rsidR="00422597" w:rsidRPr="00AC7EA2">
        <w:rPr>
          <w:rFonts w:ascii="Times New Roman" w:hAnsi="Times New Roman"/>
        </w:rPr>
        <w:t xml:space="preserve"> and</w:t>
      </w:r>
      <w:r w:rsidRPr="00AC7EA2">
        <w:rPr>
          <w:rFonts w:ascii="Times New Roman" w:hAnsi="Times New Roman"/>
        </w:rPr>
        <w:t xml:space="preserve"> HIV/AIDS prevention field</w:t>
      </w:r>
      <w:r w:rsidR="003750F2" w:rsidRPr="00AC7EA2">
        <w:rPr>
          <w:rFonts w:ascii="Times New Roman" w:hAnsi="Times New Roman"/>
        </w:rPr>
        <w:t>s</w:t>
      </w:r>
      <w:r w:rsidRPr="00AC7EA2">
        <w:rPr>
          <w:rFonts w:ascii="Times New Roman" w:hAnsi="Times New Roman"/>
        </w:rPr>
        <w:t xml:space="preserve">, the allocation of grant funds, and other evaluation activities conducted by multiple </w:t>
      </w:r>
      <w:r w:rsidR="003750F2" w:rsidRPr="00AC7EA2">
        <w:rPr>
          <w:rFonts w:ascii="Times New Roman" w:hAnsi="Times New Roman"/>
        </w:rPr>
        <w:t>f</w:t>
      </w:r>
      <w:r w:rsidRPr="00AC7EA2">
        <w:rPr>
          <w:rFonts w:ascii="Times New Roman" w:hAnsi="Times New Roman"/>
        </w:rPr>
        <w:t xml:space="preserve">ederal, </w:t>
      </w:r>
      <w:r w:rsidR="003750F2" w:rsidRPr="00AC7EA2">
        <w:rPr>
          <w:rFonts w:ascii="Times New Roman" w:hAnsi="Times New Roman"/>
        </w:rPr>
        <w:t>s</w:t>
      </w:r>
      <w:r w:rsidRPr="00AC7EA2">
        <w:rPr>
          <w:rFonts w:ascii="Times New Roman" w:hAnsi="Times New Roman"/>
        </w:rPr>
        <w:t xml:space="preserve">tate, and local government agencies. The results will be used to develop </w:t>
      </w:r>
      <w:r w:rsidR="003750F2" w:rsidRPr="00AC7EA2">
        <w:rPr>
          <w:rFonts w:ascii="Times New Roman" w:hAnsi="Times New Roman"/>
        </w:rPr>
        <w:t>f</w:t>
      </w:r>
      <w:r w:rsidRPr="00AC7EA2">
        <w:rPr>
          <w:rFonts w:ascii="Times New Roman" w:hAnsi="Times New Roman"/>
        </w:rPr>
        <w:t xml:space="preserve">ederal policy in support of </w:t>
      </w:r>
      <w:r w:rsidR="003750F2" w:rsidRPr="00AC7EA2">
        <w:rPr>
          <w:rFonts w:ascii="Times New Roman" w:hAnsi="Times New Roman"/>
        </w:rPr>
        <w:t>SAMHSA</w:t>
      </w:r>
      <w:r w:rsidRPr="00AC7EA2">
        <w:rPr>
          <w:rFonts w:ascii="Times New Roman" w:hAnsi="Times New Roman"/>
        </w:rPr>
        <w:t xml:space="preserve"> program initiatives, inform the public of lessons learned </w:t>
      </w:r>
      <w:r w:rsidR="003750F2" w:rsidRPr="00AC7EA2">
        <w:rPr>
          <w:rFonts w:ascii="Times New Roman" w:hAnsi="Times New Roman"/>
        </w:rPr>
        <w:t>from the</w:t>
      </w:r>
      <w:r w:rsidRPr="00AC7EA2">
        <w:rPr>
          <w:rFonts w:ascii="Times New Roman" w:hAnsi="Times New Roman"/>
        </w:rPr>
        <w:t xml:space="preserve"> findings, improve existing programs, and promote replication and dissemination of effective prevention strategies</w:t>
      </w:r>
      <w:r w:rsidR="00166B0B" w:rsidRPr="00AC7EA2">
        <w:rPr>
          <w:rFonts w:ascii="Times New Roman" w:hAnsi="Times New Roman"/>
        </w:rPr>
        <w:t xml:space="preserve"> to further reduce health disparities</w:t>
      </w:r>
      <w:r w:rsidRPr="00AC7EA2">
        <w:rPr>
          <w:rFonts w:ascii="Times New Roman" w:hAnsi="Times New Roman"/>
        </w:rPr>
        <w:t>.</w:t>
      </w:r>
    </w:p>
    <w:p w:rsidR="00E26DA7" w:rsidRPr="00AC7EA2" w:rsidRDefault="00E26DA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p>
    <w:p w:rsidR="000D2FB6" w:rsidRPr="00AC7EA2" w:rsidRDefault="000D2FB6" w:rsidP="005F201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r w:rsidRPr="00AC7EA2">
        <w:rPr>
          <w:rFonts w:ascii="Times New Roman" w:hAnsi="Times New Roman"/>
          <w:b/>
        </w:rPr>
        <w:t>Background</w:t>
      </w:r>
    </w:p>
    <w:p w:rsidR="003949C7" w:rsidRPr="00AC7EA2" w:rsidRDefault="003949C7" w:rsidP="005F201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p>
    <w:p w:rsidR="000434E2" w:rsidRPr="00AC7EA2" w:rsidRDefault="00032379"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Epidemiological studies on the dynamics of substance abuse</w:t>
      </w:r>
      <w:r w:rsidR="00422597" w:rsidRPr="00AC7EA2">
        <w:rPr>
          <w:rFonts w:ascii="Times New Roman" w:hAnsi="Times New Roman"/>
        </w:rPr>
        <w:t xml:space="preserve"> and</w:t>
      </w:r>
      <w:r w:rsidRPr="00AC7EA2">
        <w:rPr>
          <w:rFonts w:ascii="Times New Roman" w:hAnsi="Times New Roman"/>
        </w:rPr>
        <w:t xml:space="preserve"> HIV</w:t>
      </w:r>
      <w:r w:rsidR="006727C3" w:rsidRPr="00AC7EA2">
        <w:rPr>
          <w:rFonts w:ascii="Times New Roman" w:hAnsi="Times New Roman"/>
        </w:rPr>
        <w:t>/AIDS</w:t>
      </w:r>
      <w:r w:rsidRPr="00AC7EA2">
        <w:rPr>
          <w:rFonts w:ascii="Times New Roman" w:hAnsi="Times New Roman"/>
        </w:rPr>
        <w:t xml:space="preserve"> demonstrate a continued need to reach</w:t>
      </w:r>
      <w:r w:rsidR="006727C3" w:rsidRPr="00AC7EA2">
        <w:rPr>
          <w:rFonts w:ascii="Times New Roman" w:hAnsi="Times New Roman"/>
        </w:rPr>
        <w:t xml:space="preserve"> out to</w:t>
      </w:r>
      <w:r w:rsidRPr="00AC7EA2">
        <w:rPr>
          <w:rFonts w:ascii="Times New Roman" w:hAnsi="Times New Roman"/>
        </w:rPr>
        <w:t xml:space="preserve"> communities of color, particularly </w:t>
      </w:r>
      <w:r w:rsidR="006727C3" w:rsidRPr="00AC7EA2">
        <w:rPr>
          <w:rFonts w:ascii="Times New Roman" w:hAnsi="Times New Roman"/>
        </w:rPr>
        <w:t xml:space="preserve">to </w:t>
      </w:r>
      <w:r w:rsidRPr="00AC7EA2">
        <w:rPr>
          <w:rFonts w:ascii="Times New Roman" w:hAnsi="Times New Roman"/>
        </w:rPr>
        <w:t>those reporting high rates of HIV</w:t>
      </w:r>
      <w:r w:rsidR="006727C3" w:rsidRPr="00AC7EA2">
        <w:rPr>
          <w:rFonts w:ascii="Times New Roman" w:hAnsi="Times New Roman"/>
        </w:rPr>
        <w:t>/AIDS</w:t>
      </w:r>
      <w:r w:rsidR="00422597" w:rsidRPr="00AC7EA2">
        <w:rPr>
          <w:rFonts w:ascii="Times New Roman" w:hAnsi="Times New Roman"/>
        </w:rPr>
        <w:t xml:space="preserve"> </w:t>
      </w:r>
      <w:r w:rsidRPr="00AC7EA2">
        <w:rPr>
          <w:rFonts w:ascii="Times New Roman" w:hAnsi="Times New Roman"/>
        </w:rPr>
        <w:t xml:space="preserve">and </w:t>
      </w:r>
      <w:r w:rsidR="00422597" w:rsidRPr="00AC7EA2">
        <w:rPr>
          <w:rFonts w:ascii="Times New Roman" w:hAnsi="Times New Roman"/>
        </w:rPr>
        <w:t xml:space="preserve">other </w:t>
      </w:r>
      <w:r w:rsidRPr="00AC7EA2">
        <w:rPr>
          <w:rFonts w:ascii="Times New Roman" w:hAnsi="Times New Roman"/>
        </w:rPr>
        <w:t xml:space="preserve">STDs. </w:t>
      </w:r>
      <w:r w:rsidR="00796165" w:rsidRPr="00AC7EA2">
        <w:rPr>
          <w:rFonts w:ascii="Times New Roman" w:hAnsi="Times New Roman"/>
        </w:rPr>
        <w:t xml:space="preserve">According to </w:t>
      </w:r>
      <w:r w:rsidR="00131A31" w:rsidRPr="00AC7EA2">
        <w:rPr>
          <w:rFonts w:ascii="Times New Roman" w:hAnsi="Times New Roman"/>
        </w:rPr>
        <w:t>2013 surveillance data from</w:t>
      </w:r>
      <w:r w:rsidR="00130FE1" w:rsidRPr="00AC7EA2">
        <w:rPr>
          <w:rFonts w:ascii="Times New Roman" w:hAnsi="Times New Roman"/>
        </w:rPr>
        <w:t xml:space="preserve"> </w:t>
      </w:r>
      <w:r w:rsidR="00130378" w:rsidRPr="00AC7EA2">
        <w:rPr>
          <w:rFonts w:ascii="Times New Roman" w:hAnsi="Times New Roman"/>
        </w:rPr>
        <w:t xml:space="preserve">the U.S. and </w:t>
      </w:r>
      <w:r w:rsidR="003750F2" w:rsidRPr="00AC7EA2">
        <w:rPr>
          <w:rFonts w:ascii="Times New Roman" w:hAnsi="Times New Roman"/>
        </w:rPr>
        <w:t xml:space="preserve">its </w:t>
      </w:r>
      <w:r w:rsidR="00130378" w:rsidRPr="00AC7EA2">
        <w:rPr>
          <w:rFonts w:ascii="Times New Roman" w:hAnsi="Times New Roman"/>
        </w:rPr>
        <w:t>six</w:t>
      </w:r>
      <w:r w:rsidR="00C13FE5" w:rsidRPr="00AC7EA2">
        <w:rPr>
          <w:rFonts w:ascii="Times New Roman" w:hAnsi="Times New Roman"/>
        </w:rPr>
        <w:t xml:space="preserve"> </w:t>
      </w:r>
      <w:r w:rsidR="00130378" w:rsidRPr="00AC7EA2">
        <w:rPr>
          <w:rFonts w:ascii="Times New Roman" w:hAnsi="Times New Roman"/>
        </w:rPr>
        <w:t xml:space="preserve">territories reported by </w:t>
      </w:r>
      <w:r w:rsidR="00130FE1" w:rsidRPr="00AC7EA2">
        <w:rPr>
          <w:rFonts w:ascii="Times New Roman" w:hAnsi="Times New Roman"/>
        </w:rPr>
        <w:t>the Centers for Disease Control and Prevention (CDC</w:t>
      </w:r>
      <w:r w:rsidR="00C13FE5" w:rsidRPr="00AC7EA2">
        <w:rPr>
          <w:rFonts w:ascii="Times New Roman" w:hAnsi="Times New Roman"/>
        </w:rPr>
        <w:t>, 2015</w:t>
      </w:r>
      <w:r w:rsidR="00B06AD8" w:rsidRPr="00AC7EA2">
        <w:rPr>
          <w:rFonts w:ascii="Times New Roman" w:hAnsi="Times New Roman"/>
        </w:rPr>
        <w:t>a</w:t>
      </w:r>
      <w:r w:rsidR="00130FE1" w:rsidRPr="00AC7EA2">
        <w:rPr>
          <w:rFonts w:ascii="Times New Roman" w:hAnsi="Times New Roman"/>
        </w:rPr>
        <w:t>)</w:t>
      </w:r>
      <w:r w:rsidR="00131A31" w:rsidRPr="00AC7EA2">
        <w:rPr>
          <w:rFonts w:ascii="Times New Roman" w:hAnsi="Times New Roman"/>
        </w:rPr>
        <w:t>,</w:t>
      </w:r>
      <w:r w:rsidR="00130FE1" w:rsidRPr="00AC7EA2">
        <w:rPr>
          <w:rFonts w:ascii="Times New Roman" w:hAnsi="Times New Roman"/>
        </w:rPr>
        <w:t xml:space="preserve"> </w:t>
      </w:r>
      <w:r w:rsidR="00131A31" w:rsidRPr="00AC7EA2">
        <w:rPr>
          <w:rFonts w:ascii="Times New Roman" w:hAnsi="Times New Roman"/>
        </w:rPr>
        <w:t>the rate (per 100,000</w:t>
      </w:r>
      <w:r w:rsidR="00675A78">
        <w:rPr>
          <w:rFonts w:ascii="Times New Roman" w:hAnsi="Times New Roman"/>
        </w:rPr>
        <w:t xml:space="preserve"> population</w:t>
      </w:r>
      <w:r w:rsidR="00131A31" w:rsidRPr="00AC7EA2">
        <w:rPr>
          <w:rFonts w:ascii="Times New Roman" w:hAnsi="Times New Roman"/>
        </w:rPr>
        <w:t xml:space="preserve">) of HIV infection was 105.7 </w:t>
      </w:r>
      <w:r w:rsidR="00796165" w:rsidRPr="00AC7EA2">
        <w:rPr>
          <w:rFonts w:ascii="Times New Roman" w:hAnsi="Times New Roman"/>
        </w:rPr>
        <w:t xml:space="preserve">among Black/African </w:t>
      </w:r>
      <w:r w:rsidR="00131A31" w:rsidRPr="00AC7EA2">
        <w:rPr>
          <w:rFonts w:ascii="Times New Roman" w:hAnsi="Times New Roman"/>
        </w:rPr>
        <w:t>Americans and 41.8 among Hispanic/Latinos, but only 13.8 among Whites.</w:t>
      </w:r>
      <w:r w:rsidR="00796165" w:rsidRPr="00AC7EA2">
        <w:rPr>
          <w:rFonts w:ascii="Times New Roman" w:hAnsi="Times New Roman"/>
        </w:rPr>
        <w:t xml:space="preserve">  </w:t>
      </w:r>
      <w:r w:rsidR="000434E2" w:rsidRPr="00AC7EA2">
        <w:rPr>
          <w:rFonts w:ascii="Times New Roman" w:hAnsi="Times New Roman"/>
        </w:rPr>
        <w:t xml:space="preserve"> </w:t>
      </w:r>
    </w:p>
    <w:p w:rsidR="003949C7" w:rsidRPr="00AC7EA2" w:rsidRDefault="003949C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32379" w:rsidRPr="00AC7EA2" w:rsidRDefault="00610D4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Of </w:t>
      </w:r>
      <w:r w:rsidR="00032379" w:rsidRPr="00AC7EA2">
        <w:rPr>
          <w:rFonts w:ascii="Times New Roman" w:hAnsi="Times New Roman"/>
        </w:rPr>
        <w:t>particular</w:t>
      </w:r>
      <w:r w:rsidRPr="00AC7EA2">
        <w:rPr>
          <w:rFonts w:ascii="Times New Roman" w:hAnsi="Times New Roman"/>
        </w:rPr>
        <w:t xml:space="preserve"> </w:t>
      </w:r>
      <w:r w:rsidR="00032379" w:rsidRPr="00AC7EA2">
        <w:rPr>
          <w:rFonts w:ascii="Times New Roman" w:hAnsi="Times New Roman"/>
        </w:rPr>
        <w:t>concern</w:t>
      </w:r>
      <w:r w:rsidRPr="00AC7EA2">
        <w:rPr>
          <w:rFonts w:ascii="Times New Roman" w:hAnsi="Times New Roman"/>
        </w:rPr>
        <w:t xml:space="preserve"> to communi</w:t>
      </w:r>
      <w:r w:rsidR="00A96801" w:rsidRPr="00AC7EA2">
        <w:rPr>
          <w:rFonts w:ascii="Times New Roman" w:hAnsi="Times New Roman"/>
        </w:rPr>
        <w:t xml:space="preserve">ties </w:t>
      </w:r>
      <w:r w:rsidRPr="00AC7EA2">
        <w:rPr>
          <w:rFonts w:ascii="Times New Roman" w:hAnsi="Times New Roman"/>
        </w:rPr>
        <w:t xml:space="preserve">of color is the </w:t>
      </w:r>
      <w:r w:rsidR="00C0193D" w:rsidRPr="00AC7EA2">
        <w:rPr>
          <w:rFonts w:ascii="Times New Roman" w:hAnsi="Times New Roman"/>
        </w:rPr>
        <w:t xml:space="preserve">high level of HIV transmission among </w:t>
      </w:r>
      <w:r w:rsidR="00476691" w:rsidRPr="00AC7EA2">
        <w:rPr>
          <w:rFonts w:ascii="Times New Roman" w:hAnsi="Times New Roman"/>
        </w:rPr>
        <w:t>young people</w:t>
      </w:r>
      <w:r w:rsidR="00C0193D" w:rsidRPr="00AC7EA2">
        <w:rPr>
          <w:rFonts w:ascii="Times New Roman" w:hAnsi="Times New Roman"/>
        </w:rPr>
        <w:t xml:space="preserve">. According to CDC surveillance data, there </w:t>
      </w:r>
      <w:r w:rsidR="00476691" w:rsidRPr="00AC7EA2">
        <w:rPr>
          <w:rFonts w:ascii="Times New Roman" w:hAnsi="Times New Roman"/>
        </w:rPr>
        <w:t xml:space="preserve">were 40,634 individuals between the ages of 13 and 24 living with an HIV infection in the U.S. and its territories, as of the end of 2012. Of these adolescents </w:t>
      </w:r>
      <w:r w:rsidR="00476691" w:rsidRPr="00AC7EA2">
        <w:rPr>
          <w:rFonts w:ascii="Times New Roman" w:hAnsi="Times New Roman"/>
        </w:rPr>
        <w:lastRenderedPageBreak/>
        <w:t xml:space="preserve">and young adults, less than 15% identified themselves as White; the rest belonged to communities of color.  </w:t>
      </w:r>
    </w:p>
    <w:p w:rsidR="00032379" w:rsidRPr="00AC7EA2" w:rsidRDefault="00032379"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0344D" w:rsidRPr="00AC7EA2" w:rsidRDefault="00362CAE"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There are </w:t>
      </w:r>
      <w:r w:rsidR="00BD5F11" w:rsidRPr="00AC7EA2">
        <w:rPr>
          <w:rFonts w:ascii="Times New Roman" w:hAnsi="Times New Roman"/>
        </w:rPr>
        <w:t>multiple</w:t>
      </w:r>
      <w:r w:rsidRPr="00AC7EA2">
        <w:rPr>
          <w:rFonts w:ascii="Times New Roman" w:hAnsi="Times New Roman"/>
        </w:rPr>
        <w:t xml:space="preserve"> psychosocial factors that render specific minority populations especially vulnerable to S</w:t>
      </w:r>
      <w:r w:rsidR="0067420C">
        <w:rPr>
          <w:rFonts w:ascii="Times New Roman" w:hAnsi="Times New Roman"/>
        </w:rPr>
        <w:t xml:space="preserve">ubstance </w:t>
      </w:r>
      <w:proofErr w:type="spellStart"/>
      <w:r w:rsidRPr="00AC7EA2">
        <w:rPr>
          <w:rFonts w:ascii="Times New Roman" w:hAnsi="Times New Roman"/>
        </w:rPr>
        <w:t>A</w:t>
      </w:r>
      <w:r w:rsidR="0067420C">
        <w:rPr>
          <w:rFonts w:ascii="Times New Roman" w:hAnsi="Times New Roman"/>
        </w:rPr>
        <w:t>abuse</w:t>
      </w:r>
      <w:proofErr w:type="spellEnd"/>
      <w:r w:rsidR="0067420C">
        <w:rPr>
          <w:rFonts w:ascii="Times New Roman" w:hAnsi="Times New Roman"/>
        </w:rPr>
        <w:t xml:space="preserve"> (SA)</w:t>
      </w:r>
      <w:r w:rsidRPr="00AC7EA2">
        <w:rPr>
          <w:rFonts w:ascii="Times New Roman" w:hAnsi="Times New Roman"/>
        </w:rPr>
        <w:t xml:space="preserve"> and HIV transmission, such as stigma, homophobia (experienced by gay, lesbian, bisexual, or transgender individuals), poverty, lack of health insurance</w:t>
      </w:r>
      <w:r w:rsidR="009215BF" w:rsidRPr="00AC7EA2">
        <w:rPr>
          <w:rFonts w:ascii="Times New Roman" w:hAnsi="Times New Roman"/>
        </w:rPr>
        <w:t>,</w:t>
      </w:r>
      <w:r w:rsidRPr="00AC7EA2">
        <w:rPr>
          <w:rFonts w:ascii="Times New Roman" w:hAnsi="Times New Roman"/>
        </w:rPr>
        <w:t xml:space="preserve"> and lack of access to high-quality prevention and treatment services. </w:t>
      </w:r>
      <w:r w:rsidR="00422597" w:rsidRPr="00AC7EA2">
        <w:rPr>
          <w:rFonts w:ascii="Times New Roman" w:hAnsi="Times New Roman"/>
        </w:rPr>
        <w:t>Regardless of the mode of transmission</w:t>
      </w:r>
      <w:r w:rsidR="00C13FE5" w:rsidRPr="00AC7EA2">
        <w:rPr>
          <w:rFonts w:ascii="Times New Roman" w:hAnsi="Times New Roman"/>
        </w:rPr>
        <w:t>,</w:t>
      </w:r>
      <w:r w:rsidR="001922E7" w:rsidRPr="00AC7EA2">
        <w:rPr>
          <w:rFonts w:ascii="Times New Roman" w:hAnsi="Times New Roman"/>
        </w:rPr>
        <w:t xml:space="preserve"> </w:t>
      </w:r>
      <w:r w:rsidR="00032379" w:rsidRPr="00AC7EA2">
        <w:rPr>
          <w:rFonts w:ascii="Times New Roman" w:hAnsi="Times New Roman"/>
        </w:rPr>
        <w:t xml:space="preserve">HIV/AIDS </w:t>
      </w:r>
      <w:r w:rsidR="00422597" w:rsidRPr="00AC7EA2">
        <w:rPr>
          <w:rFonts w:ascii="Times New Roman" w:hAnsi="Times New Roman"/>
        </w:rPr>
        <w:t>is an</w:t>
      </w:r>
      <w:r w:rsidR="00032379" w:rsidRPr="00AC7EA2">
        <w:rPr>
          <w:rFonts w:ascii="Times New Roman" w:hAnsi="Times New Roman"/>
        </w:rPr>
        <w:t xml:space="preserve"> infectious disease </w:t>
      </w:r>
      <w:r w:rsidR="00A713F1" w:rsidRPr="00AC7EA2">
        <w:rPr>
          <w:rFonts w:ascii="Times New Roman" w:hAnsi="Times New Roman"/>
        </w:rPr>
        <w:t>that ha</w:t>
      </w:r>
      <w:r w:rsidR="00422597" w:rsidRPr="00AC7EA2">
        <w:rPr>
          <w:rFonts w:ascii="Times New Roman" w:hAnsi="Times New Roman"/>
        </w:rPr>
        <w:t>s</w:t>
      </w:r>
      <w:r w:rsidR="00032379" w:rsidRPr="00AC7EA2">
        <w:rPr>
          <w:rFonts w:ascii="Times New Roman" w:hAnsi="Times New Roman"/>
        </w:rPr>
        <w:t xml:space="preserve"> drastic long</w:t>
      </w:r>
      <w:r w:rsidR="006D369D" w:rsidRPr="00AC7EA2">
        <w:rPr>
          <w:rFonts w:ascii="Times New Roman" w:hAnsi="Times New Roman"/>
        </w:rPr>
        <w:t>-</w:t>
      </w:r>
      <w:r w:rsidR="00032379" w:rsidRPr="00AC7EA2">
        <w:rPr>
          <w:rFonts w:ascii="Times New Roman" w:hAnsi="Times New Roman"/>
        </w:rPr>
        <w:t>term medical</w:t>
      </w:r>
      <w:r w:rsidR="000A57CE" w:rsidRPr="00AC7EA2">
        <w:rPr>
          <w:rFonts w:ascii="Times New Roman" w:hAnsi="Times New Roman"/>
        </w:rPr>
        <w:t>, economic</w:t>
      </w:r>
      <w:r w:rsidR="006D369D" w:rsidRPr="00AC7EA2">
        <w:rPr>
          <w:rFonts w:ascii="Times New Roman" w:hAnsi="Times New Roman"/>
        </w:rPr>
        <w:t>,</w:t>
      </w:r>
      <w:r w:rsidR="00032379" w:rsidRPr="00AC7EA2">
        <w:rPr>
          <w:rFonts w:ascii="Times New Roman" w:hAnsi="Times New Roman"/>
        </w:rPr>
        <w:t xml:space="preserve"> and social consequences </w:t>
      </w:r>
      <w:r w:rsidR="006D369D" w:rsidRPr="00AC7EA2">
        <w:rPr>
          <w:rFonts w:ascii="Times New Roman" w:hAnsi="Times New Roman"/>
        </w:rPr>
        <w:t>on</w:t>
      </w:r>
      <w:r w:rsidR="00032379" w:rsidRPr="00AC7EA2">
        <w:rPr>
          <w:rFonts w:ascii="Times New Roman" w:hAnsi="Times New Roman"/>
        </w:rPr>
        <w:t xml:space="preserve"> minority populations</w:t>
      </w:r>
      <w:r w:rsidR="006D369D" w:rsidRPr="00AC7EA2">
        <w:rPr>
          <w:rFonts w:ascii="Times New Roman" w:hAnsi="Times New Roman"/>
        </w:rPr>
        <w:t>.</w:t>
      </w:r>
      <w:r w:rsidR="00032379" w:rsidRPr="00AC7EA2">
        <w:rPr>
          <w:rFonts w:ascii="Times New Roman" w:hAnsi="Times New Roman"/>
        </w:rPr>
        <w:t xml:space="preserve"> Meeting the challenges posed by </w:t>
      </w:r>
      <w:r w:rsidR="00C13FE5" w:rsidRPr="00AC7EA2">
        <w:rPr>
          <w:rFonts w:ascii="Times New Roman" w:hAnsi="Times New Roman"/>
        </w:rPr>
        <w:t>this disease</w:t>
      </w:r>
      <w:r w:rsidR="00032379" w:rsidRPr="00AC7EA2">
        <w:rPr>
          <w:rFonts w:ascii="Times New Roman" w:hAnsi="Times New Roman"/>
        </w:rPr>
        <w:t xml:space="preserve"> requires close coordination with existing local, </w:t>
      </w:r>
      <w:r w:rsidR="00C13FE5" w:rsidRPr="00AC7EA2">
        <w:rPr>
          <w:rFonts w:ascii="Times New Roman" w:hAnsi="Times New Roman"/>
        </w:rPr>
        <w:t>s</w:t>
      </w:r>
      <w:r w:rsidR="00032379" w:rsidRPr="00AC7EA2">
        <w:rPr>
          <w:rFonts w:ascii="Times New Roman" w:hAnsi="Times New Roman"/>
        </w:rPr>
        <w:t>tate</w:t>
      </w:r>
      <w:r w:rsidR="006D369D" w:rsidRPr="00AC7EA2">
        <w:rPr>
          <w:rFonts w:ascii="Times New Roman" w:hAnsi="Times New Roman"/>
        </w:rPr>
        <w:t>,</w:t>
      </w:r>
      <w:r w:rsidR="00032379" w:rsidRPr="00AC7EA2">
        <w:rPr>
          <w:rFonts w:ascii="Times New Roman" w:hAnsi="Times New Roman"/>
        </w:rPr>
        <w:t xml:space="preserve"> and territorial </w:t>
      </w:r>
      <w:r w:rsidR="00DF54DB" w:rsidRPr="00AC7EA2">
        <w:rPr>
          <w:rFonts w:ascii="Times New Roman" w:hAnsi="Times New Roman"/>
        </w:rPr>
        <w:t>substance abuse</w:t>
      </w:r>
      <w:r w:rsidR="00422597" w:rsidRPr="00AC7EA2">
        <w:rPr>
          <w:rFonts w:ascii="Times New Roman" w:hAnsi="Times New Roman"/>
        </w:rPr>
        <w:t xml:space="preserve"> and</w:t>
      </w:r>
      <w:r w:rsidR="00032379" w:rsidRPr="00AC7EA2">
        <w:rPr>
          <w:rFonts w:ascii="Times New Roman" w:hAnsi="Times New Roman"/>
        </w:rPr>
        <w:t xml:space="preserve"> HIV/AIDS</w:t>
      </w:r>
      <w:r w:rsidR="00532C61" w:rsidRPr="00AC7EA2">
        <w:rPr>
          <w:rFonts w:ascii="Times New Roman" w:hAnsi="Times New Roman"/>
        </w:rPr>
        <w:t xml:space="preserve"> prevention</w:t>
      </w:r>
      <w:r w:rsidR="00032379" w:rsidRPr="00AC7EA2">
        <w:rPr>
          <w:rFonts w:ascii="Times New Roman" w:hAnsi="Times New Roman"/>
        </w:rPr>
        <w:t xml:space="preserve"> programs. SAMHSA is working to improve access to quality </w:t>
      </w:r>
      <w:r w:rsidR="00A56C4C" w:rsidRPr="00AC7EA2">
        <w:rPr>
          <w:rFonts w:ascii="Times New Roman" w:hAnsi="Times New Roman"/>
        </w:rPr>
        <w:t>services</w:t>
      </w:r>
      <w:r w:rsidR="00032379" w:rsidRPr="00AC7EA2">
        <w:rPr>
          <w:rFonts w:ascii="Times New Roman" w:hAnsi="Times New Roman"/>
        </w:rPr>
        <w:t xml:space="preserve"> by increasing outreach and service capacity to at</w:t>
      </w:r>
      <w:r w:rsidR="00DE6EB2" w:rsidRPr="00AC7EA2">
        <w:rPr>
          <w:rFonts w:ascii="Times New Roman" w:hAnsi="Times New Roman"/>
        </w:rPr>
        <w:t>-</w:t>
      </w:r>
      <w:r w:rsidR="00032379" w:rsidRPr="00AC7EA2">
        <w:rPr>
          <w:rFonts w:ascii="Times New Roman" w:hAnsi="Times New Roman"/>
        </w:rPr>
        <w:t xml:space="preserve">risk populations of color. </w:t>
      </w:r>
      <w:r w:rsidR="002B2D04" w:rsidRPr="00AC7EA2">
        <w:rPr>
          <w:rFonts w:ascii="Times New Roman" w:hAnsi="Times New Roman"/>
        </w:rPr>
        <w:t>Grantees are asked to u</w:t>
      </w:r>
      <w:r w:rsidR="00032379" w:rsidRPr="00AC7EA2">
        <w:rPr>
          <w:rFonts w:ascii="Times New Roman" w:hAnsi="Times New Roman"/>
        </w:rPr>
        <w:t>se the S</w:t>
      </w:r>
      <w:r w:rsidR="00C7635A" w:rsidRPr="00AC7EA2">
        <w:rPr>
          <w:rFonts w:ascii="Times New Roman" w:hAnsi="Times New Roman"/>
        </w:rPr>
        <w:t xml:space="preserve">trategic </w:t>
      </w:r>
      <w:r w:rsidR="00032379" w:rsidRPr="00AC7EA2">
        <w:rPr>
          <w:rFonts w:ascii="Times New Roman" w:hAnsi="Times New Roman"/>
        </w:rPr>
        <w:t>P</w:t>
      </w:r>
      <w:r w:rsidR="00C7635A" w:rsidRPr="00AC7EA2">
        <w:rPr>
          <w:rFonts w:ascii="Times New Roman" w:hAnsi="Times New Roman"/>
        </w:rPr>
        <w:t xml:space="preserve">revention </w:t>
      </w:r>
      <w:r w:rsidR="00032379" w:rsidRPr="00AC7EA2">
        <w:rPr>
          <w:rFonts w:ascii="Times New Roman" w:hAnsi="Times New Roman"/>
        </w:rPr>
        <w:t>F</w:t>
      </w:r>
      <w:r w:rsidR="00C7635A" w:rsidRPr="00AC7EA2">
        <w:rPr>
          <w:rFonts w:ascii="Times New Roman" w:hAnsi="Times New Roman"/>
        </w:rPr>
        <w:t>ramework</w:t>
      </w:r>
      <w:r w:rsidR="00032379" w:rsidRPr="00AC7EA2">
        <w:rPr>
          <w:rFonts w:ascii="Times New Roman" w:hAnsi="Times New Roman"/>
        </w:rPr>
        <w:t xml:space="preserve"> </w:t>
      </w:r>
      <w:r w:rsidR="00C13FE5" w:rsidRPr="00AC7EA2">
        <w:rPr>
          <w:rFonts w:ascii="Times New Roman" w:hAnsi="Times New Roman"/>
        </w:rPr>
        <w:t xml:space="preserve">(SPF) </w:t>
      </w:r>
      <w:r w:rsidR="00A96801" w:rsidRPr="00AC7EA2">
        <w:rPr>
          <w:rFonts w:ascii="Times New Roman" w:hAnsi="Times New Roman"/>
        </w:rPr>
        <w:t xml:space="preserve">as </w:t>
      </w:r>
      <w:r w:rsidR="00032379" w:rsidRPr="00AC7EA2">
        <w:rPr>
          <w:rFonts w:ascii="Times New Roman" w:hAnsi="Times New Roman"/>
        </w:rPr>
        <w:t>the foundation for effective and sustainable prevention service delivery in the context of substance abuse and HIV</w:t>
      </w:r>
      <w:r w:rsidR="003135BE" w:rsidRPr="00AC7EA2">
        <w:rPr>
          <w:rFonts w:ascii="Times New Roman" w:hAnsi="Times New Roman"/>
        </w:rPr>
        <w:t>/AIDS</w:t>
      </w:r>
      <w:r w:rsidR="00032379" w:rsidRPr="00AC7EA2">
        <w:rPr>
          <w:rFonts w:ascii="Times New Roman" w:hAnsi="Times New Roman"/>
        </w:rPr>
        <w:t>.</w:t>
      </w:r>
    </w:p>
    <w:p w:rsidR="001A3730" w:rsidRPr="00AC7EA2" w:rsidRDefault="001A373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30DFD" w:rsidRPr="00AC7EA2" w:rsidRDefault="008A6A8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According to the Institute of Medicine (IOM), </w:t>
      </w:r>
      <w:r w:rsidR="00030DFD" w:rsidRPr="00AC7EA2">
        <w:rPr>
          <w:rFonts w:ascii="Times New Roman" w:hAnsi="Times New Roman"/>
        </w:rPr>
        <w:t>Hepatitis C viral infection (HCV) is another growing concern in the United States</w:t>
      </w:r>
      <w:r w:rsidRPr="00AC7EA2">
        <w:rPr>
          <w:rFonts w:ascii="Times New Roman" w:hAnsi="Times New Roman"/>
        </w:rPr>
        <w:t xml:space="preserve"> (IOM, 2010)</w:t>
      </w:r>
      <w:r w:rsidR="00030DFD" w:rsidRPr="00AC7EA2">
        <w:rPr>
          <w:rFonts w:ascii="Times New Roman" w:hAnsi="Times New Roman"/>
        </w:rPr>
        <w:t xml:space="preserve">. Cases of acute HCV cases have recently increased from 781 in 2009 to 2,138 in 2013. During the same period, the incidence rate more than doubled, increasing from 0.3 to 0.7 per 100,000. In 2013, individuals between the ages of 20 and 29 had the highest incidence rate with 2.01 acute cases per 100,000. </w:t>
      </w:r>
      <w:r w:rsidR="0051202D" w:rsidRPr="00AC7EA2">
        <w:rPr>
          <w:rFonts w:ascii="Times New Roman" w:hAnsi="Times New Roman"/>
        </w:rPr>
        <w:t>When broken down by race and ethnicity, t</w:t>
      </w:r>
      <w:r w:rsidR="00030DFD" w:rsidRPr="00AC7EA2">
        <w:rPr>
          <w:rFonts w:ascii="Times New Roman" w:hAnsi="Times New Roman"/>
        </w:rPr>
        <w:t xml:space="preserve">he rate </w:t>
      </w:r>
      <w:r w:rsidR="0051202D" w:rsidRPr="00AC7EA2">
        <w:rPr>
          <w:rFonts w:ascii="Times New Roman" w:hAnsi="Times New Roman"/>
        </w:rPr>
        <w:t>in 2013 was highest among American Indians/Alaska Natives (1.7), followed by White non-Hispanics (0.82). The rates among Black non-Hispanics and Hispanics were 0.20 and 0.22, respectively</w:t>
      </w:r>
      <w:r w:rsidR="00B06AD8" w:rsidRPr="00AC7EA2">
        <w:rPr>
          <w:rFonts w:ascii="Times New Roman" w:hAnsi="Times New Roman"/>
        </w:rPr>
        <w:t xml:space="preserve"> (CDC, 2015b)</w:t>
      </w:r>
      <w:r w:rsidR="0051202D" w:rsidRPr="00AC7EA2">
        <w:rPr>
          <w:rFonts w:ascii="Times New Roman" w:hAnsi="Times New Roman"/>
        </w:rPr>
        <w:t>. In response to the recent emergence of HCV as a national public health concern, SAMHSA has included HCV testing, referral, and prevention efforts among activities required of the recent MAI cohorts, starting with grantees funded in 2014.</w:t>
      </w:r>
    </w:p>
    <w:p w:rsidR="00BB575B" w:rsidRPr="00AC7EA2" w:rsidRDefault="00BB575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B575B" w:rsidRPr="00AC7EA2" w:rsidRDefault="00BB575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HIV and HCV share several risk factors, such as unprotected sexual intercourse and </w:t>
      </w:r>
      <w:r w:rsidR="00675A78">
        <w:rPr>
          <w:rFonts w:ascii="Times New Roman" w:hAnsi="Times New Roman"/>
        </w:rPr>
        <w:t>injection</w:t>
      </w:r>
      <w:r w:rsidR="00675A78" w:rsidRPr="00AC7EA2">
        <w:rPr>
          <w:rFonts w:ascii="Times New Roman" w:hAnsi="Times New Roman"/>
        </w:rPr>
        <w:t xml:space="preserve"> </w:t>
      </w:r>
      <w:r w:rsidRPr="00AC7EA2">
        <w:rPr>
          <w:rFonts w:ascii="Times New Roman" w:hAnsi="Times New Roman"/>
        </w:rPr>
        <w:t>drug use (</w:t>
      </w:r>
      <w:proofErr w:type="spellStart"/>
      <w:r w:rsidRPr="00AC7EA2">
        <w:rPr>
          <w:rFonts w:ascii="Times New Roman" w:hAnsi="Times New Roman"/>
        </w:rPr>
        <w:t>Garfein</w:t>
      </w:r>
      <w:proofErr w:type="spellEnd"/>
      <w:r w:rsidRPr="00AC7EA2">
        <w:rPr>
          <w:rFonts w:ascii="Times New Roman" w:hAnsi="Times New Roman"/>
        </w:rPr>
        <w:t xml:space="preserve">, </w:t>
      </w:r>
      <w:proofErr w:type="spellStart"/>
      <w:r w:rsidRPr="00AC7EA2">
        <w:rPr>
          <w:rFonts w:ascii="Times New Roman" w:hAnsi="Times New Roman"/>
        </w:rPr>
        <w:t>Vlahov</w:t>
      </w:r>
      <w:proofErr w:type="spellEnd"/>
      <w:r w:rsidRPr="00AC7EA2">
        <w:rPr>
          <w:rFonts w:ascii="Times New Roman" w:hAnsi="Times New Roman"/>
        </w:rPr>
        <w:t xml:space="preserve">, </w:t>
      </w:r>
      <w:proofErr w:type="spellStart"/>
      <w:r w:rsidRPr="00AC7EA2">
        <w:rPr>
          <w:rFonts w:ascii="Times New Roman" w:hAnsi="Times New Roman"/>
        </w:rPr>
        <w:t>Galai</w:t>
      </w:r>
      <w:proofErr w:type="spellEnd"/>
      <w:r w:rsidRPr="00AC7EA2">
        <w:rPr>
          <w:rFonts w:ascii="Times New Roman" w:hAnsi="Times New Roman"/>
        </w:rPr>
        <w:t xml:space="preserve">, Doherty, &amp; Nelson, 1996; </w:t>
      </w:r>
      <w:proofErr w:type="spellStart"/>
      <w:r w:rsidR="00DC2CEA" w:rsidRPr="00AC7EA2">
        <w:rPr>
          <w:rFonts w:ascii="Times New Roman" w:hAnsi="Times New Roman"/>
        </w:rPr>
        <w:t>Terrault</w:t>
      </w:r>
      <w:proofErr w:type="spellEnd"/>
      <w:r w:rsidR="00DC2CEA" w:rsidRPr="00AC7EA2">
        <w:rPr>
          <w:rFonts w:ascii="Times New Roman" w:hAnsi="Times New Roman"/>
        </w:rPr>
        <w:t xml:space="preserve">, 2002; </w:t>
      </w:r>
      <w:proofErr w:type="spellStart"/>
      <w:r w:rsidR="00912136" w:rsidRPr="00AC7EA2">
        <w:rPr>
          <w:rFonts w:ascii="Times New Roman" w:hAnsi="Times New Roman"/>
        </w:rPr>
        <w:t>Rodinelli</w:t>
      </w:r>
      <w:proofErr w:type="spellEnd"/>
      <w:r w:rsidR="00912136" w:rsidRPr="00AC7EA2">
        <w:rPr>
          <w:rFonts w:ascii="Times New Roman" w:hAnsi="Times New Roman"/>
        </w:rPr>
        <w:t xml:space="preserve"> et al., 2009</w:t>
      </w:r>
      <w:r w:rsidR="00DC2CEA" w:rsidRPr="00AC7EA2">
        <w:rPr>
          <w:rFonts w:ascii="Times New Roman" w:hAnsi="Times New Roman"/>
        </w:rPr>
        <w:t>). In addition to exacerbating the symptoms of viral Hepatitis through its adverse effects on liver functions, alcohol abuse also poses a risk for both HIV and HCV by increasing the likelihood of risky sexual behaviors and of noncompliance with treatment plans</w:t>
      </w:r>
      <w:r w:rsidR="000A6D6F" w:rsidRPr="00AC7EA2">
        <w:rPr>
          <w:rFonts w:ascii="Times New Roman" w:hAnsi="Times New Roman"/>
        </w:rPr>
        <w:t xml:space="preserve"> (</w:t>
      </w:r>
      <w:r w:rsidR="00DB71C6" w:rsidRPr="00AC7EA2">
        <w:rPr>
          <w:rFonts w:ascii="Times New Roman" w:hAnsi="Times New Roman"/>
        </w:rPr>
        <w:t xml:space="preserve">Alter, 2002; Fisher, Bang, &amp; </w:t>
      </w:r>
      <w:proofErr w:type="spellStart"/>
      <w:r w:rsidR="00DB71C6" w:rsidRPr="00AC7EA2">
        <w:rPr>
          <w:rFonts w:ascii="Times New Roman" w:hAnsi="Times New Roman"/>
        </w:rPr>
        <w:t>Kapiga</w:t>
      </w:r>
      <w:proofErr w:type="spellEnd"/>
      <w:r w:rsidR="00DB71C6" w:rsidRPr="00AC7EA2">
        <w:rPr>
          <w:rFonts w:ascii="Times New Roman" w:hAnsi="Times New Roman"/>
        </w:rPr>
        <w:t xml:space="preserve">, 2007). Likewise, marijuana use has been shown to increase the incidence of risky sexual behaviors, especially among young adults </w:t>
      </w:r>
      <w:r w:rsidR="004B1607" w:rsidRPr="00AC7EA2">
        <w:rPr>
          <w:rFonts w:ascii="Times New Roman" w:hAnsi="Times New Roman"/>
        </w:rPr>
        <w:t>(</w:t>
      </w:r>
      <w:proofErr w:type="spellStart"/>
      <w:r w:rsidR="004B1607" w:rsidRPr="00AC7EA2">
        <w:rPr>
          <w:rFonts w:ascii="Times New Roman" w:hAnsi="Times New Roman"/>
        </w:rPr>
        <w:t>Brodbeck</w:t>
      </w:r>
      <w:proofErr w:type="spellEnd"/>
      <w:r w:rsidR="004B1607" w:rsidRPr="00AC7EA2">
        <w:rPr>
          <w:rFonts w:ascii="Times New Roman" w:hAnsi="Times New Roman"/>
        </w:rPr>
        <w:t xml:space="preserve">, Matter, &amp; </w:t>
      </w:r>
      <w:proofErr w:type="spellStart"/>
      <w:r w:rsidR="004B1607" w:rsidRPr="00AC7EA2">
        <w:rPr>
          <w:rFonts w:ascii="Times New Roman" w:hAnsi="Times New Roman"/>
        </w:rPr>
        <w:t>Moggi</w:t>
      </w:r>
      <w:proofErr w:type="spellEnd"/>
      <w:r w:rsidR="004B1607" w:rsidRPr="00AC7EA2">
        <w:rPr>
          <w:rFonts w:ascii="Times New Roman" w:hAnsi="Times New Roman"/>
        </w:rPr>
        <w:t>, 2006). These findings indicate a national need for integrated SA, HIV, and HCV prevention services. SAMHSA has responded to this need by structuring the requests for applications for MAI grants to require an integrated approach that combines SA, HIV, and HCV prevention interventions with HIV and HCV testing, counseling, and referrals for treatment.</w:t>
      </w:r>
      <w:r w:rsidRPr="00AC7EA2">
        <w:rPr>
          <w:rFonts w:ascii="Times New Roman" w:hAnsi="Times New Roman"/>
        </w:rPr>
        <w:t xml:space="preserve"> </w:t>
      </w:r>
    </w:p>
    <w:p w:rsidR="0051202D" w:rsidRPr="00AC7EA2" w:rsidRDefault="0051202D"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614ED" w:rsidRPr="00AC7EA2" w:rsidRDefault="00B06AD8"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r w:rsidRPr="00AC7EA2">
        <w:rPr>
          <w:rFonts w:ascii="Times New Roman" w:hAnsi="Times New Roman"/>
          <w:b/>
        </w:rPr>
        <w:t>Recent</w:t>
      </w:r>
      <w:r w:rsidR="00D614ED" w:rsidRPr="00AC7EA2">
        <w:rPr>
          <w:rFonts w:ascii="Times New Roman" w:hAnsi="Times New Roman"/>
          <w:b/>
        </w:rPr>
        <w:t xml:space="preserve"> MAI Cohorts and Cross-Site </w:t>
      </w:r>
      <w:r w:rsidR="00B96E28" w:rsidRPr="00AC7EA2">
        <w:rPr>
          <w:rFonts w:ascii="Times New Roman" w:hAnsi="Times New Roman"/>
          <w:b/>
        </w:rPr>
        <w:t>Evaluation Results</w:t>
      </w:r>
    </w:p>
    <w:p w:rsidR="00D614ED" w:rsidRPr="00AC7EA2" w:rsidRDefault="00D614ED"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86C51" w:rsidRPr="00AC7EA2" w:rsidRDefault="00886C5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This MAI cross-site evaluation builds on previous grant programs funded by SAMHSA's CSAP to provide substance abuse and HIV prevention services for minority populations. The first two cohorts were planning grant programs and the remaining were service grant programs. The goals for </w:t>
      </w:r>
      <w:r w:rsidR="00675A78" w:rsidRPr="00AC7EA2">
        <w:rPr>
          <w:rFonts w:ascii="Times New Roman" w:hAnsi="Times New Roman"/>
        </w:rPr>
        <w:t>grants</w:t>
      </w:r>
      <w:r w:rsidR="00675A78">
        <w:rPr>
          <w:rFonts w:ascii="Times New Roman" w:hAnsi="Times New Roman"/>
        </w:rPr>
        <w:t xml:space="preserve"> in </w:t>
      </w:r>
      <w:r w:rsidRPr="00AC7EA2">
        <w:rPr>
          <w:rFonts w:ascii="Times New Roman" w:hAnsi="Times New Roman"/>
        </w:rPr>
        <w:t>Cohort</w:t>
      </w:r>
      <w:r w:rsidR="00675A78">
        <w:rPr>
          <w:rFonts w:ascii="Times New Roman" w:hAnsi="Times New Roman"/>
        </w:rPr>
        <w:t>s</w:t>
      </w:r>
      <w:r w:rsidRPr="00AC7EA2">
        <w:rPr>
          <w:rFonts w:ascii="Times New Roman" w:hAnsi="Times New Roman"/>
        </w:rPr>
        <w:t xml:space="preserve"> 3-6 were to add, increase, or enhance integrated SA and HIV prevention services by providing supportive services and strengthening linkages between service providers for at-risk minority populations. The HIV Cohort 1-3 cross-site previously received </w:t>
      </w:r>
      <w:r w:rsidR="002A4ED2" w:rsidRPr="00AC7EA2">
        <w:rPr>
          <w:rFonts w:ascii="Times New Roman" w:hAnsi="Times New Roman"/>
        </w:rPr>
        <w:t xml:space="preserve">approval </w:t>
      </w:r>
      <w:r w:rsidRPr="00AC7EA2">
        <w:rPr>
          <w:rFonts w:ascii="Times New Roman" w:hAnsi="Times New Roman"/>
        </w:rPr>
        <w:t xml:space="preserve">under OMB No. 0930-0208 and Cohorts 6 through 10 grants received </w:t>
      </w:r>
      <w:r w:rsidR="002A4ED2" w:rsidRPr="00AC7EA2">
        <w:rPr>
          <w:rFonts w:ascii="Times New Roman" w:hAnsi="Times New Roman"/>
        </w:rPr>
        <w:t xml:space="preserve">approval </w:t>
      </w:r>
      <w:r w:rsidRPr="00AC7EA2">
        <w:rPr>
          <w:rFonts w:ascii="Times New Roman" w:hAnsi="Times New Roman"/>
        </w:rPr>
        <w:t xml:space="preserve">under OMB No. 0930-0298. Since neither the HIV Cohort 4 nor the Cohort 5 programs were cross-site studies, they did not require OMB </w:t>
      </w:r>
      <w:r w:rsidR="002A4ED2" w:rsidRPr="00AC7EA2">
        <w:rPr>
          <w:rFonts w:ascii="Times New Roman" w:hAnsi="Times New Roman"/>
        </w:rPr>
        <w:t>approval</w:t>
      </w:r>
      <w:r w:rsidRPr="00AC7EA2">
        <w:rPr>
          <w:rFonts w:ascii="Times New Roman" w:hAnsi="Times New Roman"/>
        </w:rPr>
        <w:t xml:space="preserve">. </w:t>
      </w:r>
    </w:p>
    <w:p w:rsidR="00886C51" w:rsidRPr="00AC7EA2" w:rsidRDefault="00886C5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135BE" w:rsidRPr="00AC7EA2" w:rsidRDefault="003135BE"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In FY </w:t>
      </w:r>
      <w:r w:rsidR="00734517" w:rsidRPr="00AC7EA2">
        <w:rPr>
          <w:rFonts w:ascii="Times New Roman" w:hAnsi="Times New Roman"/>
        </w:rPr>
        <w:t>2009</w:t>
      </w:r>
      <w:r w:rsidRPr="00AC7EA2">
        <w:rPr>
          <w:rFonts w:ascii="Times New Roman" w:hAnsi="Times New Roman"/>
        </w:rPr>
        <w:t>, t</w:t>
      </w:r>
      <w:r w:rsidR="00794EC3" w:rsidRPr="00AC7EA2">
        <w:rPr>
          <w:rFonts w:ascii="Times New Roman" w:hAnsi="Times New Roman"/>
        </w:rPr>
        <w:t xml:space="preserve">he </w:t>
      </w:r>
      <w:r w:rsidR="00744367" w:rsidRPr="00AC7EA2">
        <w:rPr>
          <w:rFonts w:ascii="Times New Roman" w:hAnsi="Times New Roman"/>
        </w:rPr>
        <w:t>MAI</w:t>
      </w:r>
      <w:r w:rsidR="00794EC3" w:rsidRPr="00AC7EA2">
        <w:rPr>
          <w:rFonts w:ascii="Times New Roman" w:hAnsi="Times New Roman"/>
        </w:rPr>
        <w:t xml:space="preserve"> </w:t>
      </w:r>
      <w:r w:rsidR="00563135" w:rsidRPr="00AC7EA2">
        <w:rPr>
          <w:rFonts w:ascii="Times New Roman" w:hAnsi="Times New Roman"/>
        </w:rPr>
        <w:t xml:space="preserve">Cohort </w:t>
      </w:r>
      <w:r w:rsidR="00734517" w:rsidRPr="00AC7EA2">
        <w:rPr>
          <w:rFonts w:ascii="Times New Roman" w:hAnsi="Times New Roman"/>
        </w:rPr>
        <w:t xml:space="preserve">7 </w:t>
      </w:r>
      <w:r w:rsidR="00794EC3" w:rsidRPr="00AC7EA2">
        <w:rPr>
          <w:rFonts w:ascii="Times New Roman" w:hAnsi="Times New Roman"/>
        </w:rPr>
        <w:t xml:space="preserve">Program funded </w:t>
      </w:r>
      <w:r w:rsidR="00734517" w:rsidRPr="00AC7EA2">
        <w:rPr>
          <w:rFonts w:ascii="Times New Roman" w:hAnsi="Times New Roman"/>
        </w:rPr>
        <w:t xml:space="preserve">55 </w:t>
      </w:r>
      <w:r w:rsidRPr="00AC7EA2">
        <w:rPr>
          <w:rFonts w:ascii="Times New Roman" w:hAnsi="Times New Roman"/>
        </w:rPr>
        <w:t>five</w:t>
      </w:r>
      <w:r w:rsidR="00744367" w:rsidRPr="00AC7EA2">
        <w:rPr>
          <w:rFonts w:ascii="Times New Roman" w:hAnsi="Times New Roman"/>
        </w:rPr>
        <w:t>-</w:t>
      </w:r>
      <w:r w:rsidR="00794EC3" w:rsidRPr="00AC7EA2">
        <w:rPr>
          <w:rFonts w:ascii="Times New Roman" w:hAnsi="Times New Roman"/>
        </w:rPr>
        <w:t>year grants</w:t>
      </w:r>
      <w:r w:rsidR="00734517" w:rsidRPr="00AC7EA2">
        <w:rPr>
          <w:rFonts w:ascii="Times New Roman" w:hAnsi="Times New Roman"/>
        </w:rPr>
        <w:t xml:space="preserve"> and in FY 2010 the MAI Cohort 8 Program funded 5 </w:t>
      </w:r>
      <w:r w:rsidR="00C13FE5" w:rsidRPr="00AC7EA2">
        <w:rPr>
          <w:rFonts w:ascii="Times New Roman" w:hAnsi="Times New Roman"/>
        </w:rPr>
        <w:t xml:space="preserve">additional </w:t>
      </w:r>
      <w:r w:rsidR="00734517" w:rsidRPr="00AC7EA2">
        <w:rPr>
          <w:rFonts w:ascii="Times New Roman" w:hAnsi="Times New Roman"/>
        </w:rPr>
        <w:t>five-year grants</w:t>
      </w:r>
      <w:r w:rsidR="003C4122" w:rsidRPr="00AC7EA2">
        <w:rPr>
          <w:rFonts w:ascii="Times New Roman" w:hAnsi="Times New Roman"/>
        </w:rPr>
        <w:t xml:space="preserve"> </w:t>
      </w:r>
      <w:r w:rsidR="00794EC3" w:rsidRPr="00AC7EA2">
        <w:rPr>
          <w:rFonts w:ascii="Times New Roman" w:hAnsi="Times New Roman"/>
        </w:rPr>
        <w:t>to community-based organizations</w:t>
      </w:r>
      <w:r w:rsidRPr="00AC7EA2">
        <w:rPr>
          <w:rFonts w:ascii="Times New Roman" w:hAnsi="Times New Roman"/>
        </w:rPr>
        <w:t>.</w:t>
      </w:r>
      <w:r w:rsidR="00794EC3" w:rsidRPr="00AC7EA2">
        <w:rPr>
          <w:rFonts w:ascii="Times New Roman" w:hAnsi="Times New Roman"/>
        </w:rPr>
        <w:t xml:space="preserve"> Th</w:t>
      </w:r>
      <w:r w:rsidR="008229B0" w:rsidRPr="00AC7EA2">
        <w:rPr>
          <w:rFonts w:ascii="Times New Roman" w:hAnsi="Times New Roman"/>
        </w:rPr>
        <w:t>ese</w:t>
      </w:r>
      <w:r w:rsidR="00794EC3" w:rsidRPr="00AC7EA2">
        <w:rPr>
          <w:rFonts w:ascii="Times New Roman" w:hAnsi="Times New Roman"/>
        </w:rPr>
        <w:t xml:space="preserve"> program</w:t>
      </w:r>
      <w:r w:rsidR="008229B0" w:rsidRPr="00AC7EA2">
        <w:rPr>
          <w:rFonts w:ascii="Times New Roman" w:hAnsi="Times New Roman"/>
        </w:rPr>
        <w:t>s</w:t>
      </w:r>
      <w:r w:rsidR="00794EC3" w:rsidRPr="00AC7EA2">
        <w:rPr>
          <w:rFonts w:ascii="Times New Roman" w:hAnsi="Times New Roman"/>
        </w:rPr>
        <w:t xml:space="preserve"> combine</w:t>
      </w:r>
      <w:r w:rsidR="002B2D04" w:rsidRPr="00AC7EA2">
        <w:rPr>
          <w:rFonts w:ascii="Times New Roman" w:hAnsi="Times New Roman"/>
        </w:rPr>
        <w:t>d</w:t>
      </w:r>
      <w:r w:rsidR="00794EC3" w:rsidRPr="00AC7EA2">
        <w:rPr>
          <w:rFonts w:ascii="Times New Roman" w:hAnsi="Times New Roman"/>
        </w:rPr>
        <w:t xml:space="preserve"> planning and services funding and require</w:t>
      </w:r>
      <w:r w:rsidR="002B2D04" w:rsidRPr="00AC7EA2">
        <w:rPr>
          <w:rFonts w:ascii="Times New Roman" w:hAnsi="Times New Roman"/>
        </w:rPr>
        <w:t>d</w:t>
      </w:r>
      <w:r w:rsidR="00794EC3" w:rsidRPr="00AC7EA2">
        <w:rPr>
          <w:rFonts w:ascii="Times New Roman" w:hAnsi="Times New Roman"/>
        </w:rPr>
        <w:t xml:space="preserve"> all grantees to participate in </w:t>
      </w:r>
      <w:r w:rsidR="00611834" w:rsidRPr="00AC7EA2">
        <w:rPr>
          <w:rFonts w:ascii="Times New Roman" w:hAnsi="Times New Roman"/>
        </w:rPr>
        <w:t xml:space="preserve">the MAI </w:t>
      </w:r>
      <w:r w:rsidR="00886C51" w:rsidRPr="00AC7EA2">
        <w:rPr>
          <w:rFonts w:ascii="Times New Roman" w:hAnsi="Times New Roman"/>
        </w:rPr>
        <w:t>cross-site evaluation</w:t>
      </w:r>
      <w:r w:rsidR="003D35F1" w:rsidRPr="00AC7EA2">
        <w:rPr>
          <w:rFonts w:ascii="Times New Roman" w:hAnsi="Times New Roman"/>
        </w:rPr>
        <w:t xml:space="preserve">. </w:t>
      </w:r>
      <w:r w:rsidR="00611834" w:rsidRPr="00AC7EA2">
        <w:rPr>
          <w:rFonts w:ascii="Times New Roman" w:hAnsi="Times New Roman"/>
        </w:rPr>
        <w:t xml:space="preserve">Cohort 7 and 8 grantees </w:t>
      </w:r>
      <w:r w:rsidR="00ED0572" w:rsidRPr="00AC7EA2">
        <w:rPr>
          <w:rFonts w:ascii="Times New Roman" w:hAnsi="Times New Roman"/>
        </w:rPr>
        <w:t xml:space="preserve">were </w:t>
      </w:r>
      <w:r w:rsidR="00794EC3" w:rsidRPr="00AC7EA2">
        <w:rPr>
          <w:rFonts w:ascii="Times New Roman" w:hAnsi="Times New Roman"/>
        </w:rPr>
        <w:t xml:space="preserve">expected to provide leadership and coordination on the planning and implementation of the SPF </w:t>
      </w:r>
      <w:r w:rsidR="00611834" w:rsidRPr="00AC7EA2">
        <w:rPr>
          <w:rFonts w:ascii="Times New Roman" w:hAnsi="Times New Roman"/>
        </w:rPr>
        <w:t xml:space="preserve">and </w:t>
      </w:r>
      <w:r w:rsidR="00794EC3" w:rsidRPr="00AC7EA2">
        <w:rPr>
          <w:rFonts w:ascii="Times New Roman" w:hAnsi="Times New Roman"/>
        </w:rPr>
        <w:t xml:space="preserve">target minority populations and </w:t>
      </w:r>
      <w:r w:rsidRPr="00AC7EA2">
        <w:rPr>
          <w:rFonts w:ascii="Times New Roman" w:hAnsi="Times New Roman"/>
        </w:rPr>
        <w:t xml:space="preserve">the </w:t>
      </w:r>
      <w:r w:rsidR="00794EC3" w:rsidRPr="00AC7EA2">
        <w:rPr>
          <w:rFonts w:ascii="Times New Roman" w:hAnsi="Times New Roman"/>
        </w:rPr>
        <w:t xml:space="preserve">minority </w:t>
      </w:r>
      <w:r w:rsidR="006A6ADC" w:rsidRPr="00AC7EA2">
        <w:rPr>
          <w:rFonts w:ascii="Times New Roman" w:hAnsi="Times New Roman"/>
        </w:rPr>
        <w:t>re-entry</w:t>
      </w:r>
      <w:r w:rsidR="00794EC3" w:rsidRPr="00AC7EA2">
        <w:rPr>
          <w:rFonts w:ascii="Times New Roman" w:hAnsi="Times New Roman"/>
        </w:rPr>
        <w:t xml:space="preserve"> </w:t>
      </w:r>
      <w:r w:rsidR="0067420C">
        <w:rPr>
          <w:rFonts w:ascii="Times New Roman" w:hAnsi="Times New Roman"/>
        </w:rPr>
        <w:t xml:space="preserve">criminal justice </w:t>
      </w:r>
      <w:r w:rsidR="00794EC3" w:rsidRPr="00AC7EA2">
        <w:rPr>
          <w:rFonts w:ascii="Times New Roman" w:hAnsi="Times New Roman"/>
        </w:rPr>
        <w:t xml:space="preserve">population in communities of color with </w:t>
      </w:r>
      <w:r w:rsidRPr="00AC7EA2">
        <w:rPr>
          <w:rFonts w:ascii="Times New Roman" w:hAnsi="Times New Roman"/>
        </w:rPr>
        <w:t xml:space="preserve">a </w:t>
      </w:r>
      <w:r w:rsidR="00794EC3" w:rsidRPr="00AC7EA2">
        <w:rPr>
          <w:rFonts w:ascii="Times New Roman" w:hAnsi="Times New Roman"/>
        </w:rPr>
        <w:t xml:space="preserve">high prevalence of </w:t>
      </w:r>
      <w:r w:rsidRPr="00AC7EA2">
        <w:rPr>
          <w:rFonts w:ascii="Times New Roman" w:hAnsi="Times New Roman"/>
        </w:rPr>
        <w:t>substance abuse</w:t>
      </w:r>
      <w:r w:rsidR="00422597" w:rsidRPr="00AC7EA2">
        <w:rPr>
          <w:rFonts w:ascii="Times New Roman" w:hAnsi="Times New Roman"/>
        </w:rPr>
        <w:t xml:space="preserve"> and</w:t>
      </w:r>
      <w:r w:rsidR="00794EC3" w:rsidRPr="00AC7EA2">
        <w:rPr>
          <w:rFonts w:ascii="Times New Roman" w:hAnsi="Times New Roman"/>
        </w:rPr>
        <w:t xml:space="preserve"> HIV/AIDS.</w:t>
      </w:r>
    </w:p>
    <w:p w:rsidR="00166B0B" w:rsidRPr="00AC7EA2" w:rsidRDefault="00166B0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166B0B" w:rsidRPr="00AC7EA2" w:rsidRDefault="00166B0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Two additional cohorts were funded in 2010. The Ready-to-Respond initiative (Cohort 9) awarded</w:t>
      </w:r>
      <w:r w:rsidR="006E1140" w:rsidRPr="00AC7EA2">
        <w:rPr>
          <w:rFonts w:ascii="Times New Roman" w:hAnsi="Times New Roman"/>
        </w:rPr>
        <w:t xml:space="preserve"> </w:t>
      </w:r>
      <w:r w:rsidRPr="00AC7EA2">
        <w:rPr>
          <w:rFonts w:ascii="Times New Roman" w:hAnsi="Times New Roman"/>
        </w:rPr>
        <w:t>3</w:t>
      </w:r>
      <w:r w:rsidR="00AC60DF">
        <w:rPr>
          <w:rFonts w:ascii="Times New Roman" w:hAnsi="Times New Roman"/>
        </w:rPr>
        <w:t>4</w:t>
      </w:r>
      <w:r w:rsidRPr="00AC7EA2">
        <w:rPr>
          <w:rFonts w:ascii="Times New Roman" w:hAnsi="Times New Roman"/>
        </w:rPr>
        <w:t xml:space="preserve"> five-year </w:t>
      </w:r>
      <w:r w:rsidR="006E1140" w:rsidRPr="00AC7EA2">
        <w:rPr>
          <w:rFonts w:ascii="Times New Roman" w:hAnsi="Times New Roman"/>
        </w:rPr>
        <w:t xml:space="preserve">grants to former Cohort 6 grantees that had already built some prevention capacity and were expected to start implementing programs in expedited fashion. The Capacity Building Initiative (Cohort 10) funded an additional 27 grants to community-based organizations to build prevention capacity and to implement evidence-based </w:t>
      </w:r>
      <w:r w:rsidR="00BD5F11" w:rsidRPr="00AC7EA2">
        <w:rPr>
          <w:rFonts w:ascii="Times New Roman" w:hAnsi="Times New Roman"/>
        </w:rPr>
        <w:t xml:space="preserve">interventions </w:t>
      </w:r>
      <w:r w:rsidR="006E1140" w:rsidRPr="00AC7EA2">
        <w:rPr>
          <w:rFonts w:ascii="Times New Roman" w:hAnsi="Times New Roman"/>
        </w:rPr>
        <w:t xml:space="preserve">to prevent SA and HIV transmission in communities of color at high risk of HIV infection.  </w:t>
      </w:r>
    </w:p>
    <w:p w:rsidR="0081481B" w:rsidRPr="00AC7EA2" w:rsidRDefault="0081481B" w:rsidP="005F2016">
      <w:pPr>
        <w:rPr>
          <w:rFonts w:ascii="Times New Roman" w:hAnsi="Times New Roman"/>
        </w:rPr>
      </w:pPr>
    </w:p>
    <w:p w:rsidR="0081533E" w:rsidRPr="00AC7EA2" w:rsidRDefault="001075EF"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sectPr w:rsidR="0081533E" w:rsidRPr="00AC7EA2" w:rsidSect="0081533E">
          <w:footerReference w:type="default" r:id="rId10"/>
          <w:footerReference w:type="first" r:id="rId11"/>
          <w:pgSz w:w="12240" w:h="15840" w:code="1"/>
          <w:pgMar w:top="720" w:right="1080" w:bottom="720" w:left="1080" w:header="720" w:footer="720" w:gutter="0"/>
          <w:cols w:space="720"/>
          <w:titlePg/>
          <w:docGrid w:linePitch="360"/>
        </w:sectPr>
      </w:pPr>
      <w:r w:rsidRPr="00AC7EA2">
        <w:rPr>
          <w:rFonts w:ascii="Times New Roman" w:hAnsi="Times New Roman"/>
        </w:rPr>
        <w:t xml:space="preserve">These past programs have enabled </w:t>
      </w:r>
      <w:r w:rsidR="008352F0" w:rsidRPr="00AC7EA2">
        <w:rPr>
          <w:rFonts w:ascii="Times New Roman" w:hAnsi="Times New Roman"/>
        </w:rPr>
        <w:t>SAMHSA/CSAP</w:t>
      </w:r>
      <w:r w:rsidRPr="00AC7EA2">
        <w:rPr>
          <w:rFonts w:ascii="Times New Roman" w:hAnsi="Times New Roman"/>
        </w:rPr>
        <w:t xml:space="preserve"> to make great progress in providing innovative, community-based prevention, planning</w:t>
      </w:r>
      <w:r w:rsidR="003135BE" w:rsidRPr="00AC7EA2">
        <w:rPr>
          <w:rFonts w:ascii="Times New Roman" w:hAnsi="Times New Roman"/>
        </w:rPr>
        <w:t>,</w:t>
      </w:r>
      <w:r w:rsidRPr="00AC7EA2">
        <w:rPr>
          <w:rFonts w:ascii="Times New Roman" w:hAnsi="Times New Roman"/>
        </w:rPr>
        <w:t xml:space="preserve"> and intervention services to minority populations at risk for substance abuse and HIV/AIDS. </w:t>
      </w:r>
      <w:r w:rsidR="00AB436B" w:rsidRPr="00AC7EA2">
        <w:rPr>
          <w:rFonts w:ascii="Times New Roman" w:hAnsi="Times New Roman"/>
        </w:rPr>
        <w:t xml:space="preserve">As exemplified by Tables 1 through 6 below, </w:t>
      </w:r>
      <w:r w:rsidR="006B2FF6" w:rsidRPr="00AC7EA2">
        <w:rPr>
          <w:rFonts w:ascii="Times New Roman" w:hAnsi="Times New Roman"/>
        </w:rPr>
        <w:t>MAI</w:t>
      </w:r>
      <w:r w:rsidR="009435CD" w:rsidRPr="00AC7EA2">
        <w:rPr>
          <w:rFonts w:ascii="Times New Roman" w:hAnsi="Times New Roman"/>
        </w:rPr>
        <w:t xml:space="preserve"> grantees </w:t>
      </w:r>
      <w:r w:rsidR="006B2FF6" w:rsidRPr="00AC7EA2">
        <w:rPr>
          <w:rFonts w:ascii="Times New Roman" w:hAnsi="Times New Roman"/>
        </w:rPr>
        <w:t xml:space="preserve">in Cohorts 7 through 10 </w:t>
      </w:r>
      <w:r w:rsidR="009435CD" w:rsidRPr="00AC7EA2">
        <w:rPr>
          <w:rFonts w:ascii="Times New Roman" w:hAnsi="Times New Roman"/>
        </w:rPr>
        <w:t xml:space="preserve">successfully </w:t>
      </w:r>
      <w:r w:rsidR="006E4B6B" w:rsidRPr="00AC7EA2">
        <w:rPr>
          <w:rFonts w:ascii="Times New Roman" w:hAnsi="Times New Roman"/>
        </w:rPr>
        <w:t xml:space="preserve">improved on a number of key outcomes. </w:t>
      </w:r>
      <w:r w:rsidR="00AB436B" w:rsidRPr="00AC7EA2">
        <w:rPr>
          <w:rFonts w:ascii="Times New Roman" w:hAnsi="Times New Roman"/>
        </w:rPr>
        <w:t>The</w:t>
      </w:r>
      <w:r w:rsidR="006E4B6B" w:rsidRPr="00AC7EA2">
        <w:rPr>
          <w:rFonts w:ascii="Times New Roman" w:hAnsi="Times New Roman"/>
        </w:rPr>
        <w:t xml:space="preserve"> tables </w:t>
      </w:r>
      <w:r w:rsidR="008352F0" w:rsidRPr="00AC7EA2">
        <w:rPr>
          <w:rFonts w:ascii="Times New Roman" w:hAnsi="Times New Roman"/>
        </w:rPr>
        <w:t xml:space="preserve">below </w:t>
      </w:r>
      <w:r w:rsidR="00AB436B" w:rsidRPr="00AC7EA2">
        <w:rPr>
          <w:rFonts w:ascii="Times New Roman" w:hAnsi="Times New Roman"/>
        </w:rPr>
        <w:t>are reproduced from the most recent Minority AIDS Initiative (MAI) HIV Cross-Site Evaluation Report (December, 2013)</w:t>
      </w:r>
      <w:r w:rsidR="006E4B6B" w:rsidRPr="00AC7EA2">
        <w:rPr>
          <w:rFonts w:ascii="Times New Roman" w:hAnsi="Times New Roman"/>
        </w:rPr>
        <w:t>.</w:t>
      </w:r>
      <w:r w:rsidR="006E4B6B" w:rsidRPr="00AC7EA2" w:rsidDel="006E4B6B">
        <w:rPr>
          <w:rFonts w:ascii="Times New Roman" w:hAnsi="Times New Roman"/>
        </w:rPr>
        <w:t xml:space="preserve"> </w:t>
      </w:r>
      <w:bookmarkStart w:id="0" w:name="_Toc304815285"/>
    </w:p>
    <w:p w:rsidR="00287FD2" w:rsidRPr="00AC7EA2" w:rsidRDefault="00287FD2" w:rsidP="005F2016">
      <w:pPr>
        <w:pStyle w:val="Table-Title"/>
        <w:pageBreakBefore/>
        <w:rPr>
          <w:rFonts w:ascii="Times New Roman" w:hAnsi="Times New Roman"/>
          <w:sz w:val="24"/>
        </w:rPr>
      </w:pPr>
      <w:bookmarkStart w:id="1" w:name="_Toc369179538"/>
      <w:bookmarkEnd w:id="0"/>
      <w:r w:rsidRPr="00AC7EA2">
        <w:rPr>
          <w:rFonts w:ascii="Times New Roman" w:hAnsi="Times New Roman"/>
          <w:sz w:val="24"/>
        </w:rPr>
        <w:t xml:space="preserve">Table 1.  </w:t>
      </w:r>
      <w:r w:rsidR="009345D1" w:rsidRPr="00AC7EA2">
        <w:rPr>
          <w:rFonts w:ascii="Times New Roman" w:hAnsi="Times New Roman"/>
          <w:sz w:val="24"/>
        </w:rPr>
        <w:t xml:space="preserve">Perception of </w:t>
      </w:r>
      <w:r w:rsidRPr="00AC7EA2">
        <w:rPr>
          <w:rFonts w:ascii="Times New Roman" w:hAnsi="Times New Roman"/>
          <w:sz w:val="24"/>
        </w:rPr>
        <w:t xml:space="preserve">Risk of Harm </w:t>
      </w:r>
      <w:r w:rsidR="00F2576F" w:rsidRPr="00AC7EA2">
        <w:rPr>
          <w:rFonts w:ascii="Times New Roman" w:hAnsi="Times New Roman"/>
          <w:sz w:val="24"/>
        </w:rPr>
        <w:t>f</w:t>
      </w:r>
      <w:r w:rsidRPr="00AC7EA2">
        <w:rPr>
          <w:rFonts w:ascii="Times New Roman" w:hAnsi="Times New Roman"/>
          <w:sz w:val="24"/>
        </w:rPr>
        <w:t>rom Substance Use</w:t>
      </w:r>
    </w:p>
    <w:p w:rsidR="00287FD2" w:rsidRPr="00AC7EA2" w:rsidRDefault="00287FD2" w:rsidP="005F2016">
      <w:pPr>
        <w:pStyle w:val="Table-Subtitle"/>
        <w:rPr>
          <w:rFonts w:ascii="Times New Roman" w:hAnsi="Times New Roman"/>
          <w:sz w:val="24"/>
        </w:rPr>
      </w:pPr>
      <w:r w:rsidRPr="00AC7EA2">
        <w:rPr>
          <w:rFonts w:ascii="Times New Roman" w:hAnsi="Times New Roman"/>
          <w:sz w:val="24"/>
        </w:rPr>
        <w:t xml:space="preserve">Percentage of MAI Program Participants Ages 12 or Older Reporting Moderate or Great Risk of Harm </w:t>
      </w:r>
      <w:r w:rsidR="00F2576F" w:rsidRPr="00AC7EA2">
        <w:rPr>
          <w:rFonts w:ascii="Times New Roman" w:hAnsi="Times New Roman"/>
          <w:sz w:val="24"/>
        </w:rPr>
        <w:t>f</w:t>
      </w:r>
      <w:r w:rsidRPr="00AC7EA2">
        <w:rPr>
          <w:rFonts w:ascii="Times New Roman" w:hAnsi="Times New Roman"/>
          <w:sz w:val="24"/>
        </w:rPr>
        <w:t>rom Having Five or More Drinks of Alcohol Once or Twice a Week and From Smoking Marijuana Once or Twice a Week at Baseline and Exit</w:t>
      </w:r>
    </w:p>
    <w:tbl>
      <w:tblPr>
        <w:tblW w:w="9375" w:type="dxa"/>
        <w:tblInd w:w="93" w:type="dxa"/>
        <w:tblLook w:val="04A0" w:firstRow="1" w:lastRow="0" w:firstColumn="1" w:lastColumn="0" w:noHBand="0" w:noVBand="1"/>
      </w:tblPr>
      <w:tblGrid>
        <w:gridCol w:w="3980"/>
        <w:gridCol w:w="1165"/>
        <w:gridCol w:w="1530"/>
        <w:gridCol w:w="1080"/>
        <w:gridCol w:w="1620"/>
      </w:tblGrid>
      <w:tr w:rsidR="00287FD2" w:rsidRPr="00AC7EA2" w:rsidTr="00A52D8C">
        <w:trPr>
          <w:trHeight w:val="720"/>
        </w:trPr>
        <w:tc>
          <w:tcPr>
            <w:tcW w:w="3980" w:type="dxa"/>
            <w:tcBorders>
              <w:top w:val="nil"/>
              <w:left w:val="single" w:sz="8" w:space="0" w:color="BFBFBF" w:themeColor="background1" w:themeShade="BF"/>
              <w:bottom w:val="single" w:sz="4" w:space="0" w:color="auto"/>
              <w:right w:val="single" w:sz="12" w:space="0" w:color="CCCCCC"/>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rPr>
              <w:t xml:space="preserve"> </w:t>
            </w:r>
            <w:bookmarkEnd w:id="1"/>
            <w:r w:rsidRPr="00AC7EA2">
              <w:rPr>
                <w:rFonts w:ascii="Times New Roman" w:hAnsi="Times New Roman"/>
                <w:b/>
                <w:bCs/>
                <w:color w:val="FFFFFF"/>
              </w:rPr>
              <w:t>Substance</w:t>
            </w:r>
          </w:p>
        </w:tc>
        <w:tc>
          <w:tcPr>
            <w:tcW w:w="1165" w:type="dxa"/>
            <w:tcBorders>
              <w:top w:val="nil"/>
              <w:left w:val="nil"/>
              <w:bottom w:val="single" w:sz="4" w:space="0" w:color="auto"/>
              <w:right w:val="single" w:sz="4" w:space="0" w:color="FFFFFF"/>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Valid N</w:t>
            </w:r>
          </w:p>
        </w:tc>
        <w:tc>
          <w:tcPr>
            <w:tcW w:w="1530" w:type="dxa"/>
            <w:tcBorders>
              <w:top w:val="nil"/>
              <w:left w:val="nil"/>
              <w:bottom w:val="single" w:sz="4" w:space="0" w:color="auto"/>
              <w:right w:val="single" w:sz="4" w:space="0" w:color="FFFFFF"/>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Baseline %</w:t>
            </w:r>
          </w:p>
        </w:tc>
        <w:tc>
          <w:tcPr>
            <w:tcW w:w="1080" w:type="dxa"/>
            <w:tcBorders>
              <w:top w:val="nil"/>
              <w:left w:val="nil"/>
              <w:bottom w:val="single" w:sz="4" w:space="0" w:color="auto"/>
              <w:right w:val="single" w:sz="4" w:space="0" w:color="FFFFFF"/>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Exit %</w:t>
            </w:r>
          </w:p>
        </w:tc>
        <w:tc>
          <w:tcPr>
            <w:tcW w:w="1620" w:type="dxa"/>
            <w:tcBorders>
              <w:top w:val="nil"/>
              <w:left w:val="nil"/>
              <w:bottom w:val="single" w:sz="4" w:space="0" w:color="auto"/>
              <w:right w:val="single" w:sz="12" w:space="0" w:color="CCCCCC"/>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Baseline to Exit Change</w:t>
            </w:r>
          </w:p>
        </w:tc>
      </w:tr>
      <w:tr w:rsidR="00287FD2" w:rsidRPr="00AC7EA2" w:rsidTr="00A52D8C">
        <w:trPr>
          <w:trHeight w:val="33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Alcohol</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17,593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83.1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89.0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5.9**</w:t>
            </w:r>
          </w:p>
        </w:tc>
      </w:tr>
      <w:tr w:rsidR="00287FD2" w:rsidRPr="00AC7EA2" w:rsidTr="00A52D8C">
        <w:trPr>
          <w:trHeight w:val="343"/>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Marijuana</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16,642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66.9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76.7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9.7**</w:t>
            </w:r>
          </w:p>
        </w:tc>
      </w:tr>
    </w:tbl>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p>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p>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Source: HIV Cohort 7 through 10 participant-level data, matched cases only through FY 2012</w:t>
      </w:r>
    </w:p>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Note 1: Valid N refers to the total number of valid responses to the survey item.</w:t>
      </w:r>
    </w:p>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Note 2: Figures within the Change column are calculated as the difference between exit and baseline. Minor discrepancies are due to rounding.</w:t>
      </w:r>
    </w:p>
    <w:p w:rsidR="00E31F1D" w:rsidRPr="00AC7EA2" w:rsidRDefault="00E31F1D" w:rsidP="005F2016">
      <w:pPr>
        <w:rPr>
          <w:rFonts w:ascii="Times New Roman" w:hAnsi="Times New Roman"/>
        </w:rPr>
      </w:pPr>
    </w:p>
    <w:p w:rsidR="00287FD2" w:rsidRPr="00AC7EA2" w:rsidRDefault="00287FD2" w:rsidP="005F2016">
      <w:pPr>
        <w:pStyle w:val="Table-Title"/>
        <w:rPr>
          <w:rFonts w:ascii="Times New Roman" w:hAnsi="Times New Roman"/>
          <w:sz w:val="24"/>
        </w:rPr>
      </w:pPr>
      <w:bookmarkStart w:id="2" w:name="_Toc304815286"/>
      <w:r w:rsidRPr="00AC7EA2">
        <w:rPr>
          <w:rFonts w:ascii="Times New Roman" w:hAnsi="Times New Roman"/>
          <w:sz w:val="24"/>
        </w:rPr>
        <w:t>Table 2.  Disapproval of Peer Substance Use</w:t>
      </w:r>
      <w:bookmarkEnd w:id="2"/>
    </w:p>
    <w:p w:rsidR="00287FD2" w:rsidRPr="00AC7EA2" w:rsidRDefault="00287FD2" w:rsidP="005F2016">
      <w:pPr>
        <w:rPr>
          <w:rFonts w:ascii="Times New Roman" w:hAnsi="Times New Roman"/>
          <w:color w:val="7F7F7F"/>
        </w:rPr>
      </w:pPr>
      <w:r w:rsidRPr="00AC7EA2">
        <w:rPr>
          <w:rFonts w:ascii="Times New Roman" w:hAnsi="Times New Roman"/>
          <w:color w:val="7F7F7F"/>
        </w:rPr>
        <w:t>Percentage of MAI Program Participants Ages 12 to 17 Who Somewhat or Strongly Disapprove of Their Peers Using Alcohol Nearly Every Day, Trying Marijuana and Using Marijuana Regularly at Baseline and Exit</w:t>
      </w:r>
    </w:p>
    <w:p w:rsidR="00287FD2" w:rsidRPr="00AC7EA2" w:rsidRDefault="00287FD2" w:rsidP="005F2016">
      <w:pPr>
        <w:rPr>
          <w:rFonts w:ascii="Times New Roman" w:hAnsi="Times New Roman"/>
          <w:color w:val="7F7F7F"/>
        </w:rPr>
      </w:pPr>
    </w:p>
    <w:tbl>
      <w:tblPr>
        <w:tblW w:w="10095" w:type="dxa"/>
        <w:tblInd w:w="93" w:type="dxa"/>
        <w:tblLook w:val="04A0" w:firstRow="1" w:lastRow="0" w:firstColumn="1" w:lastColumn="0" w:noHBand="0" w:noVBand="1"/>
      </w:tblPr>
      <w:tblGrid>
        <w:gridCol w:w="3960"/>
        <w:gridCol w:w="1545"/>
        <w:gridCol w:w="1620"/>
        <w:gridCol w:w="1620"/>
        <w:gridCol w:w="1350"/>
      </w:tblGrid>
      <w:tr w:rsidR="00287FD2" w:rsidRPr="00AC7EA2" w:rsidTr="00A52D8C">
        <w:trPr>
          <w:trHeight w:val="432"/>
        </w:trPr>
        <w:tc>
          <w:tcPr>
            <w:tcW w:w="3960" w:type="dxa"/>
            <w:tcBorders>
              <w:top w:val="nil"/>
              <w:left w:val="single" w:sz="8" w:space="0" w:color="BFBFBF" w:themeColor="background1" w:themeShade="BF"/>
              <w:bottom w:val="single" w:sz="4" w:space="0" w:color="auto"/>
              <w:right w:val="single" w:sz="12" w:space="0" w:color="CCCCCC"/>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Substance/</w:t>
            </w:r>
          </w:p>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Target Group</w:t>
            </w:r>
          </w:p>
        </w:tc>
        <w:tc>
          <w:tcPr>
            <w:tcW w:w="1545" w:type="dxa"/>
            <w:tcBorders>
              <w:top w:val="nil"/>
              <w:left w:val="nil"/>
              <w:bottom w:val="single" w:sz="4" w:space="0" w:color="auto"/>
              <w:right w:val="single" w:sz="4" w:space="0" w:color="FFFFFF"/>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Valid N</w:t>
            </w:r>
          </w:p>
        </w:tc>
        <w:tc>
          <w:tcPr>
            <w:tcW w:w="1620" w:type="dxa"/>
            <w:tcBorders>
              <w:top w:val="nil"/>
              <w:left w:val="nil"/>
              <w:bottom w:val="single" w:sz="4" w:space="0" w:color="auto"/>
              <w:right w:val="single" w:sz="4" w:space="0" w:color="FFFFFF"/>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Baseline %</w:t>
            </w:r>
          </w:p>
        </w:tc>
        <w:tc>
          <w:tcPr>
            <w:tcW w:w="1620" w:type="dxa"/>
            <w:tcBorders>
              <w:top w:val="nil"/>
              <w:left w:val="nil"/>
              <w:bottom w:val="single" w:sz="4" w:space="0" w:color="auto"/>
              <w:right w:val="single" w:sz="4" w:space="0" w:color="FFFFFF"/>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Exit %</w:t>
            </w:r>
          </w:p>
        </w:tc>
        <w:tc>
          <w:tcPr>
            <w:tcW w:w="1350" w:type="dxa"/>
            <w:tcBorders>
              <w:top w:val="nil"/>
              <w:left w:val="nil"/>
              <w:bottom w:val="single" w:sz="4" w:space="0" w:color="auto"/>
              <w:right w:val="single" w:sz="12" w:space="0" w:color="CCCCCC"/>
            </w:tcBorders>
            <w:shd w:val="clear" w:color="000000" w:fill="5F391F"/>
            <w:vAlign w:val="center"/>
            <w:hideMark/>
          </w:tcPr>
          <w:p w:rsidR="00287FD2" w:rsidRPr="00AC7EA2" w:rsidRDefault="00287FD2" w:rsidP="005F2016">
            <w:pPr>
              <w:rPr>
                <w:rFonts w:ascii="Times New Roman" w:hAnsi="Times New Roman"/>
                <w:b/>
                <w:bCs/>
                <w:color w:val="FFFFFF"/>
              </w:rPr>
            </w:pPr>
            <w:r w:rsidRPr="00AC7EA2">
              <w:rPr>
                <w:rFonts w:ascii="Times New Roman" w:hAnsi="Times New Roman"/>
                <w:b/>
                <w:bCs/>
                <w:color w:val="FFFFFF"/>
              </w:rPr>
              <w:t>Change</w:t>
            </w:r>
          </w:p>
        </w:tc>
      </w:tr>
      <w:tr w:rsidR="00287FD2" w:rsidRPr="00AC7EA2" w:rsidTr="00A52D8C">
        <w:trPr>
          <w:trHeight w:val="343"/>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Alcohol</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3,865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75.7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78.3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2.6*</w:t>
            </w:r>
          </w:p>
        </w:tc>
      </w:tr>
      <w:tr w:rsidR="00287FD2" w:rsidRPr="00AC7EA2" w:rsidTr="00A52D8C">
        <w:trPr>
          <w:trHeight w:val="343"/>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Trying Marijuana</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3,711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67.7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69.5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1.8</w:t>
            </w:r>
          </w:p>
        </w:tc>
      </w:tr>
      <w:tr w:rsidR="00287FD2" w:rsidRPr="00AC7EA2" w:rsidTr="00A52D8C">
        <w:trPr>
          <w:trHeight w:val="343"/>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 xml:space="preserve">Regular Marijuana </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3,702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66.0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67.5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D2" w:rsidRPr="00AC7EA2" w:rsidRDefault="00287FD2" w:rsidP="005F2016">
            <w:pPr>
              <w:rPr>
                <w:rFonts w:ascii="Times New Roman" w:hAnsi="Times New Roman"/>
                <w:bCs/>
                <w:color w:val="000000"/>
              </w:rPr>
            </w:pPr>
            <w:r w:rsidRPr="00AC7EA2">
              <w:rPr>
                <w:rFonts w:ascii="Times New Roman" w:hAnsi="Times New Roman"/>
                <w:bCs/>
                <w:color w:val="000000"/>
              </w:rPr>
              <w:t>1.5</w:t>
            </w:r>
          </w:p>
        </w:tc>
      </w:tr>
    </w:tbl>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p>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Source: HIV Cohort 7 through 10 participant-level data, matched cases only through FY 2012</w:t>
      </w:r>
    </w:p>
    <w:p w:rsidR="00287FD2" w:rsidRPr="00AC7EA2" w:rsidRDefault="00287FD2"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Note 1: Valid N refers to the total number of valid responses to the survey item.</w:t>
      </w:r>
    </w:p>
    <w:p w:rsidR="00287FD2" w:rsidRPr="00AC7EA2" w:rsidRDefault="00287FD2" w:rsidP="005F2016">
      <w:pPr>
        <w:pStyle w:val="TH-TableHeading"/>
        <w:tabs>
          <w:tab w:val="left" w:pos="1080"/>
        </w:tabs>
        <w:spacing w:line="240" w:lineRule="auto"/>
        <w:jc w:val="left"/>
        <w:rPr>
          <w:rFonts w:ascii="Times New Roman" w:hAnsi="Times New Roman"/>
          <w:sz w:val="24"/>
          <w:szCs w:val="24"/>
        </w:rPr>
      </w:pPr>
      <w:r w:rsidRPr="00AC7EA2">
        <w:rPr>
          <w:rFonts w:ascii="Times New Roman" w:hAnsi="Times New Roman"/>
          <w:b w:val="0"/>
          <w:color w:val="000000"/>
          <w:sz w:val="24"/>
          <w:szCs w:val="24"/>
        </w:rPr>
        <w:t>Note 2: Figures within the</w:t>
      </w:r>
      <w:r w:rsidRPr="00AC7EA2">
        <w:rPr>
          <w:rFonts w:ascii="Times New Roman" w:hAnsi="Times New Roman"/>
          <w:sz w:val="24"/>
          <w:szCs w:val="24"/>
        </w:rPr>
        <w:t xml:space="preserve"> </w:t>
      </w:r>
      <w:r w:rsidRPr="00AC7EA2">
        <w:rPr>
          <w:rFonts w:ascii="Times New Roman" w:hAnsi="Times New Roman"/>
          <w:b w:val="0"/>
          <w:color w:val="000000"/>
          <w:sz w:val="24"/>
          <w:szCs w:val="24"/>
        </w:rPr>
        <w:t>Change column are calculated as the difference between exit and baseline. Minor discrepancies are due to rounding.</w:t>
      </w:r>
      <w:r w:rsidRPr="00AC7EA2">
        <w:rPr>
          <w:rFonts w:ascii="Times New Roman" w:hAnsi="Times New Roman"/>
          <w:b w:val="0"/>
          <w:color w:val="000000"/>
          <w:sz w:val="24"/>
          <w:szCs w:val="24"/>
        </w:rPr>
        <w:tab/>
      </w:r>
    </w:p>
    <w:p w:rsidR="00287FD2" w:rsidRPr="00AC7EA2" w:rsidRDefault="00287FD2" w:rsidP="005F2016">
      <w:pPr>
        <w:rPr>
          <w:rFonts w:ascii="Times New Roman" w:hAnsi="Times New Roman"/>
          <w:color w:val="7F7F7F"/>
        </w:rPr>
      </w:pPr>
    </w:p>
    <w:p w:rsidR="00AC7EA2" w:rsidRDefault="00AC7EA2" w:rsidP="005F2016">
      <w:pPr>
        <w:pStyle w:val="Table-Source"/>
        <w:rPr>
          <w:rFonts w:ascii="Times New Roman" w:hAnsi="Times New Roman"/>
          <w:sz w:val="24"/>
        </w:rPr>
      </w:pPr>
    </w:p>
    <w:p w:rsidR="00AC7EA2" w:rsidRPr="00AC7EA2" w:rsidRDefault="00AC7EA2" w:rsidP="00AC7EA2">
      <w:pPr>
        <w:rPr>
          <w:lang w:bidi="ar-SA"/>
        </w:rPr>
      </w:pPr>
    </w:p>
    <w:p w:rsidR="00AC7EA2" w:rsidRPr="00AC7EA2" w:rsidRDefault="00AC7EA2" w:rsidP="00AC7EA2">
      <w:pPr>
        <w:tabs>
          <w:tab w:val="left" w:pos="7635"/>
        </w:tabs>
        <w:rPr>
          <w:lang w:bidi="ar-SA"/>
        </w:rPr>
      </w:pPr>
      <w:r>
        <w:rPr>
          <w:lang w:bidi="ar-SA"/>
        </w:rPr>
        <w:tab/>
      </w:r>
    </w:p>
    <w:p w:rsidR="00AC7EA2" w:rsidRPr="00AC7EA2" w:rsidRDefault="00AC7EA2" w:rsidP="00AC7EA2">
      <w:pPr>
        <w:rPr>
          <w:lang w:bidi="ar-SA"/>
        </w:rPr>
      </w:pPr>
    </w:p>
    <w:p w:rsidR="00AB436B" w:rsidRPr="00AC7EA2" w:rsidRDefault="00AB436B" w:rsidP="00AC7EA2">
      <w:pPr>
        <w:rPr>
          <w:lang w:bidi="ar-SA"/>
        </w:rPr>
        <w:sectPr w:rsidR="00AB436B" w:rsidRPr="00AC7EA2" w:rsidSect="00AB436B">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2240" w:h="15840" w:code="1"/>
          <w:pgMar w:top="1440" w:right="1440" w:bottom="1440" w:left="1440" w:header="864" w:footer="864" w:gutter="0"/>
          <w:cols w:space="720"/>
          <w:docGrid w:linePitch="326"/>
        </w:sectPr>
      </w:pPr>
    </w:p>
    <w:p w:rsidR="00AB436B" w:rsidRPr="00AC7EA2" w:rsidRDefault="00AB436B" w:rsidP="005F2016">
      <w:pPr>
        <w:pStyle w:val="Table-Title"/>
        <w:rPr>
          <w:rFonts w:ascii="Times New Roman" w:hAnsi="Times New Roman"/>
          <w:sz w:val="24"/>
        </w:rPr>
      </w:pPr>
      <w:bookmarkStart w:id="3" w:name="_Toc304815287"/>
      <w:bookmarkStart w:id="4" w:name="_Toc304815288"/>
      <w:r w:rsidRPr="00AC7EA2">
        <w:rPr>
          <w:rFonts w:ascii="Times New Roman" w:hAnsi="Times New Roman"/>
          <w:sz w:val="24"/>
        </w:rPr>
        <w:t>Table 3.  Changes in Past 30-Day Substance Use</w:t>
      </w:r>
      <w:bookmarkEnd w:id="3"/>
    </w:p>
    <w:p w:rsidR="00AB436B" w:rsidRPr="00AC7EA2" w:rsidRDefault="00AB436B" w:rsidP="005F2016">
      <w:pPr>
        <w:pStyle w:val="Table-Subtitle"/>
        <w:rPr>
          <w:rFonts w:ascii="Times New Roman" w:hAnsi="Times New Roman"/>
          <w:sz w:val="24"/>
        </w:rPr>
      </w:pPr>
      <w:r w:rsidRPr="00AC7EA2">
        <w:rPr>
          <w:rFonts w:ascii="Times New Roman" w:hAnsi="Times New Roman"/>
          <w:sz w:val="24"/>
        </w:rPr>
        <w:t xml:space="preserve">Average Days of Substance Use </w:t>
      </w:r>
      <w:proofErr w:type="gramStart"/>
      <w:r w:rsidRPr="00AC7EA2">
        <w:rPr>
          <w:rFonts w:ascii="Times New Roman" w:hAnsi="Times New Roman"/>
          <w:sz w:val="24"/>
        </w:rPr>
        <w:t>During</w:t>
      </w:r>
      <w:proofErr w:type="gramEnd"/>
      <w:r w:rsidRPr="00AC7EA2">
        <w:rPr>
          <w:rFonts w:ascii="Times New Roman" w:hAnsi="Times New Roman"/>
          <w:sz w:val="24"/>
        </w:rPr>
        <w:t xml:space="preserve"> the Past 30-Days by MAI Participants Ages 12 or Older at Baseline, Exit, and Follow-Up, by SAMHSA-Defined Target Group</w:t>
      </w:r>
    </w:p>
    <w:tbl>
      <w:tblPr>
        <w:tblW w:w="13155" w:type="dxa"/>
        <w:tblInd w:w="93" w:type="dxa"/>
        <w:tblLook w:val="04A0" w:firstRow="1" w:lastRow="0" w:firstColumn="1" w:lastColumn="0" w:noHBand="0" w:noVBand="1"/>
      </w:tblPr>
      <w:tblGrid>
        <w:gridCol w:w="4155"/>
        <w:gridCol w:w="1170"/>
        <w:gridCol w:w="1620"/>
        <w:gridCol w:w="1530"/>
        <w:gridCol w:w="1620"/>
        <w:gridCol w:w="1620"/>
        <w:gridCol w:w="1440"/>
      </w:tblGrid>
      <w:tr w:rsidR="00AB436B" w:rsidRPr="00AC7EA2" w:rsidTr="00A52D8C">
        <w:trPr>
          <w:trHeight w:val="603"/>
          <w:tblHeader/>
        </w:trPr>
        <w:tc>
          <w:tcPr>
            <w:tcW w:w="4155" w:type="dxa"/>
            <w:tcBorders>
              <w:top w:val="nil"/>
              <w:left w:val="single" w:sz="12" w:space="0" w:color="D9D9D9" w:themeColor="background1" w:themeShade="D9"/>
              <w:bottom w:val="single" w:sz="12" w:space="0" w:color="CCCCCC"/>
              <w:right w:val="single" w:sz="12" w:space="0" w:color="CCCCCC"/>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 Substance/</w:t>
            </w:r>
          </w:p>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Target Group</w:t>
            </w:r>
          </w:p>
        </w:tc>
        <w:tc>
          <w:tcPr>
            <w:tcW w:w="1170" w:type="dxa"/>
            <w:tcBorders>
              <w:top w:val="nil"/>
              <w:left w:val="nil"/>
              <w:bottom w:val="single" w:sz="12" w:space="0" w:color="CCCCCC"/>
              <w:right w:val="single" w:sz="4" w:space="0" w:color="FFFFFF"/>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Valid N</w:t>
            </w:r>
          </w:p>
        </w:tc>
        <w:tc>
          <w:tcPr>
            <w:tcW w:w="1620" w:type="dxa"/>
            <w:tcBorders>
              <w:top w:val="nil"/>
              <w:left w:val="nil"/>
              <w:bottom w:val="single" w:sz="12" w:space="0" w:color="CCCCCC"/>
              <w:right w:val="single" w:sz="4" w:space="0" w:color="FFFFFF"/>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Average Days at Baseline</w:t>
            </w:r>
          </w:p>
        </w:tc>
        <w:tc>
          <w:tcPr>
            <w:tcW w:w="1530" w:type="dxa"/>
            <w:tcBorders>
              <w:top w:val="nil"/>
              <w:left w:val="nil"/>
              <w:bottom w:val="single" w:sz="12" w:space="0" w:color="CCCCCC"/>
              <w:right w:val="single" w:sz="4" w:space="0" w:color="FFFFFF"/>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Average Days at Exit</w:t>
            </w:r>
          </w:p>
        </w:tc>
        <w:tc>
          <w:tcPr>
            <w:tcW w:w="1620" w:type="dxa"/>
            <w:tcBorders>
              <w:top w:val="nil"/>
              <w:left w:val="nil"/>
              <w:bottom w:val="single" w:sz="12" w:space="0" w:color="CCCCCC"/>
              <w:right w:val="single" w:sz="4" w:space="0" w:color="FFFFFF"/>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Average Days at Follow-up</w:t>
            </w:r>
          </w:p>
        </w:tc>
        <w:tc>
          <w:tcPr>
            <w:tcW w:w="1620" w:type="dxa"/>
            <w:tcBorders>
              <w:top w:val="nil"/>
              <w:left w:val="nil"/>
              <w:bottom w:val="single" w:sz="12" w:space="0" w:color="CCCCCC"/>
              <w:right w:val="single" w:sz="4" w:space="0" w:color="FFFFFF"/>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Baseline to Follow-Up Change</w:t>
            </w:r>
          </w:p>
        </w:tc>
        <w:tc>
          <w:tcPr>
            <w:tcW w:w="1440" w:type="dxa"/>
            <w:tcBorders>
              <w:top w:val="nil"/>
              <w:left w:val="nil"/>
              <w:bottom w:val="single" w:sz="12" w:space="0" w:color="CCCCCC"/>
              <w:right w:val="single" w:sz="12" w:space="0" w:color="CCCCCC"/>
            </w:tcBorders>
            <w:shd w:val="clear" w:color="000000" w:fill="5F391F"/>
            <w:vAlign w:val="center"/>
            <w:hideMark/>
          </w:tcPr>
          <w:p w:rsidR="00AB436B" w:rsidRPr="00AC7EA2" w:rsidRDefault="00AB436B" w:rsidP="005F2016">
            <w:pPr>
              <w:rPr>
                <w:rFonts w:ascii="Times New Roman" w:hAnsi="Times New Roman"/>
                <w:b/>
                <w:bCs/>
                <w:color w:val="FFFFFF"/>
              </w:rPr>
            </w:pPr>
            <w:r w:rsidRPr="00AC7EA2">
              <w:rPr>
                <w:rFonts w:ascii="Times New Roman" w:hAnsi="Times New Roman"/>
                <w:b/>
                <w:bCs/>
                <w:color w:val="FFFFFF"/>
              </w:rPr>
              <w:t>Exit to Follow-Up Change</w:t>
            </w:r>
          </w:p>
        </w:tc>
      </w:tr>
      <w:tr w:rsidR="00AB436B" w:rsidRPr="00AC7EA2" w:rsidTr="00A52D8C">
        <w:trPr>
          <w:trHeight w:val="343"/>
        </w:trPr>
        <w:tc>
          <w:tcPr>
            <w:tcW w:w="4155" w:type="dxa"/>
            <w:tcBorders>
              <w:top w:val="single" w:sz="12" w:space="0" w:color="CCCCCC"/>
              <w:left w:val="single" w:sz="4" w:space="0" w:color="auto"/>
              <w:bottom w:val="single" w:sz="4" w:space="0" w:color="auto"/>
              <w:right w:val="single" w:sz="12" w:space="0" w:color="CCCCCC"/>
            </w:tcBorders>
            <w:shd w:val="clear" w:color="000000" w:fill="D9D9D9"/>
            <w:vAlign w:val="center"/>
            <w:hideMark/>
          </w:tcPr>
          <w:p w:rsidR="00AB436B" w:rsidRPr="00AC7EA2" w:rsidRDefault="00AB436B" w:rsidP="005F2016">
            <w:pPr>
              <w:rPr>
                <w:rFonts w:ascii="Times New Roman" w:hAnsi="Times New Roman"/>
                <w:b/>
                <w:bCs/>
              </w:rPr>
            </w:pPr>
            <w:r w:rsidRPr="00AC7EA2">
              <w:rPr>
                <w:rFonts w:ascii="Times New Roman" w:hAnsi="Times New Roman"/>
                <w:b/>
                <w:bCs/>
              </w:rPr>
              <w:t>Alcohol</w:t>
            </w:r>
          </w:p>
        </w:tc>
        <w:tc>
          <w:tcPr>
            <w:tcW w:w="9000" w:type="dxa"/>
            <w:gridSpan w:val="6"/>
            <w:tcBorders>
              <w:top w:val="single" w:sz="12" w:space="0" w:color="CCCCCC"/>
              <w:left w:val="nil"/>
              <w:bottom w:val="single" w:sz="4" w:space="0" w:color="auto"/>
              <w:right w:val="single" w:sz="4" w:space="0" w:color="auto"/>
            </w:tcBorders>
            <w:shd w:val="clear" w:color="000000" w:fill="D9D9D9"/>
            <w:vAlign w:val="center"/>
            <w:hideMark/>
          </w:tcPr>
          <w:p w:rsidR="00AB436B" w:rsidRPr="00AC7EA2" w:rsidRDefault="00AB436B" w:rsidP="005F2016">
            <w:pPr>
              <w:rPr>
                <w:rFonts w:ascii="Times New Roman" w:hAnsi="Times New Roman"/>
                <w:b/>
                <w:bCs/>
              </w:rPr>
            </w:pPr>
            <w:r w:rsidRPr="00AC7EA2">
              <w:rPr>
                <w:rFonts w:ascii="Times New Roman" w:hAnsi="Times New Roman"/>
                <w:b/>
                <w:bCs/>
              </w:rPr>
              <w:t> </w:t>
            </w:r>
          </w:p>
        </w:tc>
      </w:tr>
      <w:tr w:rsidR="00AB436B" w:rsidRPr="00AC7EA2" w:rsidTr="00A52D8C">
        <w:trPr>
          <w:trHeight w:val="343"/>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Program 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5,522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3.2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-1.4**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-0.4**</w:t>
            </w:r>
          </w:p>
        </w:tc>
      </w:tr>
      <w:tr w:rsidR="00AB436B" w:rsidRPr="00AC7EA2" w:rsidTr="00A52D8C">
        <w:trPr>
          <w:trHeight w:val="32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Minority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4,980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-0.5**</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Minority Reentry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825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-0.4</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Men Having Sex With Men (MSM)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984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6.4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5.1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-0.8**</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Black, Latina, or Hispanic Women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2,792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-0.5**</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Adolescents (Age 12 to 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919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0.1</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Young Adults (Age 18 to 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1,566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-0.6**</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Older Adults (Age 50 and Over)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911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-0.2</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12" w:space="0" w:color="CCCCCC"/>
            </w:tcBorders>
            <w:shd w:val="clear" w:color="000000" w:fill="D9D9D9"/>
            <w:vAlign w:val="center"/>
            <w:hideMark/>
          </w:tcPr>
          <w:p w:rsidR="00AB436B" w:rsidRPr="00AC7EA2" w:rsidRDefault="00AB436B" w:rsidP="005F2016">
            <w:pPr>
              <w:rPr>
                <w:rFonts w:ascii="Times New Roman" w:hAnsi="Times New Roman"/>
                <w:b/>
                <w:bCs/>
              </w:rPr>
            </w:pPr>
            <w:r w:rsidRPr="00AC7EA2">
              <w:rPr>
                <w:rFonts w:ascii="Times New Roman" w:hAnsi="Times New Roman"/>
                <w:b/>
                <w:bCs/>
              </w:rPr>
              <w:t>Marijuana</w:t>
            </w:r>
          </w:p>
        </w:tc>
        <w:tc>
          <w:tcPr>
            <w:tcW w:w="9000" w:type="dxa"/>
            <w:gridSpan w:val="6"/>
            <w:tcBorders>
              <w:top w:val="single" w:sz="4" w:space="0" w:color="auto"/>
              <w:left w:val="nil"/>
              <w:bottom w:val="single" w:sz="4" w:space="0" w:color="auto"/>
              <w:right w:val="single" w:sz="4" w:space="0" w:color="auto"/>
            </w:tcBorders>
            <w:shd w:val="clear" w:color="000000" w:fill="D9D9D9"/>
            <w:noWrap/>
            <w:vAlign w:val="center"/>
            <w:hideMark/>
          </w:tcPr>
          <w:p w:rsidR="00AB436B" w:rsidRPr="00AC7EA2" w:rsidRDefault="00AB436B" w:rsidP="005F2016">
            <w:pPr>
              <w:rPr>
                <w:rFonts w:ascii="Times New Roman" w:hAnsi="Times New Roman"/>
                <w:b/>
                <w:bCs/>
                <w:color w:val="FFFFFF"/>
              </w:rPr>
            </w:pP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Program 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5,780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3.2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-0.9**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b/>
                <w:bCs/>
                <w:color w:val="000000"/>
              </w:rPr>
            </w:pPr>
            <w:r w:rsidRPr="00AC7EA2">
              <w:rPr>
                <w:rFonts w:ascii="Times New Roman" w:hAnsi="Times New Roman"/>
                <w:b/>
                <w:bCs/>
                <w:color w:val="000000"/>
              </w:rPr>
              <w:t>-0.3**</w:t>
            </w:r>
          </w:p>
        </w:tc>
      </w:tr>
      <w:tr w:rsidR="00AB436B" w:rsidRPr="00AC7EA2" w:rsidTr="00A52D8C">
        <w:trPr>
          <w:trHeight w:val="32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Minority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5,210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-0.3**</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Minority Reentry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881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-0.3</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Men Having Sex With Men (MSM)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1,045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-0.4</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Black, Latina, or Hispanic Women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2,894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-0.3*</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Adolescents (Age 12 to 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969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-0.1</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Young Adults (Age 18 to 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1,648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3.1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-0.6**</w:t>
            </w:r>
          </w:p>
        </w:tc>
      </w:tr>
      <w:tr w:rsidR="00AB436B" w:rsidRPr="00AC7EA2" w:rsidTr="00A52D8C">
        <w:trPr>
          <w:trHeight w:val="33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Older Adults (Age 50 and Over)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941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6B" w:rsidRPr="00AC7EA2" w:rsidRDefault="00AB436B" w:rsidP="005F2016">
            <w:pPr>
              <w:rPr>
                <w:rFonts w:ascii="Times New Roman" w:hAnsi="Times New Roman"/>
                <w:color w:val="000000"/>
              </w:rPr>
            </w:pPr>
            <w:r w:rsidRPr="00AC7EA2">
              <w:rPr>
                <w:rFonts w:ascii="Times New Roman" w:hAnsi="Times New Roman"/>
                <w:color w:val="000000"/>
              </w:rPr>
              <w:t>-0.3*</w:t>
            </w:r>
          </w:p>
        </w:tc>
      </w:tr>
    </w:tbl>
    <w:p w:rsidR="00AB436B" w:rsidRPr="00AC7EA2" w:rsidRDefault="00AB436B" w:rsidP="005F2016">
      <w:pPr>
        <w:pStyle w:val="TH-TableHeading"/>
        <w:tabs>
          <w:tab w:val="left" w:pos="1080"/>
        </w:tabs>
        <w:spacing w:before="60"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p>
    <w:p w:rsidR="00AB436B" w:rsidRPr="00AC7EA2" w:rsidRDefault="00AB436B"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p>
    <w:p w:rsidR="00AB436B" w:rsidRPr="00AC7EA2" w:rsidRDefault="00AB436B"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Source: HIV Cohort 7 through 10 participant-level data, matched cases only through FY 2012</w:t>
      </w:r>
    </w:p>
    <w:p w:rsidR="00AB436B" w:rsidRPr="00AC7EA2" w:rsidRDefault="00AB436B"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Note 1: Valid N refers to the total number of valid responses to the survey item.</w:t>
      </w:r>
    </w:p>
    <w:p w:rsidR="008E2E78" w:rsidRPr="00AC7EA2" w:rsidRDefault="00AB436B" w:rsidP="005F2016">
      <w:pPr>
        <w:pStyle w:val="Table-Title"/>
        <w:rPr>
          <w:rFonts w:ascii="Times New Roman" w:hAnsi="Times New Roman"/>
          <w:b w:val="0"/>
          <w:sz w:val="24"/>
        </w:rPr>
      </w:pPr>
      <w:r w:rsidRPr="00AC7EA2">
        <w:rPr>
          <w:rFonts w:ascii="Times New Roman" w:hAnsi="Times New Roman"/>
          <w:b w:val="0"/>
          <w:sz w:val="24"/>
        </w:rPr>
        <w:t>Note 2: Figures within the Change column are calculated as the difference between follow-up and baseline and follow-up and exit. Minor discrepancies are due to rounding.</w:t>
      </w:r>
    </w:p>
    <w:p w:rsidR="00AB436B" w:rsidRPr="00AC7EA2" w:rsidRDefault="00AB436B" w:rsidP="005F2016">
      <w:pPr>
        <w:pStyle w:val="Table-Subtitle"/>
        <w:rPr>
          <w:rFonts w:ascii="Times New Roman" w:hAnsi="Times New Roman"/>
          <w:sz w:val="24"/>
        </w:rPr>
      </w:pPr>
    </w:p>
    <w:p w:rsidR="00AB436B" w:rsidRPr="00AC7EA2" w:rsidRDefault="00AB436B" w:rsidP="005F2016">
      <w:pPr>
        <w:pStyle w:val="Table-Subtitle"/>
        <w:rPr>
          <w:rFonts w:ascii="Times New Roman" w:hAnsi="Times New Roman"/>
          <w:sz w:val="24"/>
        </w:rPr>
        <w:sectPr w:rsidR="00AB436B" w:rsidRPr="00AC7EA2" w:rsidSect="00AB436B">
          <w:endnotePr>
            <w:numFmt w:val="lowerLetter"/>
          </w:endnotePr>
          <w:pgSz w:w="15840" w:h="12240" w:orient="landscape" w:code="1"/>
          <w:pgMar w:top="645" w:right="1440" w:bottom="1440" w:left="1440" w:header="864" w:footer="414" w:gutter="0"/>
          <w:cols w:space="720"/>
          <w:docGrid w:linePitch="326"/>
        </w:sectPr>
      </w:pPr>
    </w:p>
    <w:bookmarkEnd w:id="4"/>
    <w:p w:rsidR="00E31F1D" w:rsidRPr="00AC7EA2" w:rsidRDefault="00E31F1D" w:rsidP="005F2016">
      <w:pPr>
        <w:pStyle w:val="Table-Title"/>
        <w:pageBreakBefore/>
        <w:ind w:left="-450"/>
        <w:rPr>
          <w:rFonts w:ascii="Times New Roman" w:hAnsi="Times New Roman"/>
          <w:sz w:val="24"/>
        </w:rPr>
      </w:pPr>
      <w:r w:rsidRPr="00AC7EA2">
        <w:rPr>
          <w:rFonts w:ascii="Times New Roman" w:hAnsi="Times New Roman"/>
          <w:sz w:val="24"/>
        </w:rPr>
        <w:t xml:space="preserve">Table </w:t>
      </w:r>
      <w:r w:rsidR="006E1140" w:rsidRPr="00AC7EA2">
        <w:rPr>
          <w:rFonts w:ascii="Times New Roman" w:hAnsi="Times New Roman"/>
          <w:sz w:val="24"/>
        </w:rPr>
        <w:t>4</w:t>
      </w:r>
      <w:r w:rsidRPr="00AC7EA2">
        <w:rPr>
          <w:rFonts w:ascii="Times New Roman" w:hAnsi="Times New Roman"/>
          <w:sz w:val="24"/>
        </w:rPr>
        <w:t xml:space="preserve">.  HIV </w:t>
      </w:r>
      <w:r w:rsidR="009345D1" w:rsidRPr="00AC7EA2">
        <w:rPr>
          <w:rFonts w:ascii="Times New Roman" w:hAnsi="Times New Roman"/>
          <w:sz w:val="24"/>
        </w:rPr>
        <w:t>K</w:t>
      </w:r>
      <w:r w:rsidRPr="00AC7EA2">
        <w:rPr>
          <w:rFonts w:ascii="Times New Roman" w:hAnsi="Times New Roman"/>
          <w:sz w:val="24"/>
        </w:rPr>
        <w:t xml:space="preserve">nowledge </w:t>
      </w:r>
    </w:p>
    <w:p w:rsidR="00E31F1D" w:rsidRPr="00AC7EA2" w:rsidRDefault="00E31F1D" w:rsidP="005F2016">
      <w:pPr>
        <w:pStyle w:val="Table-Subtitle"/>
        <w:ind w:left="-450"/>
        <w:rPr>
          <w:rFonts w:ascii="Times New Roman" w:hAnsi="Times New Roman"/>
          <w:sz w:val="24"/>
        </w:rPr>
      </w:pPr>
      <w:r w:rsidRPr="00AC7EA2">
        <w:rPr>
          <w:rFonts w:ascii="Times New Roman" w:hAnsi="Times New Roman"/>
          <w:sz w:val="24"/>
        </w:rPr>
        <w:t>Average HIV Knowledge Scale Scores at Baseline and Exit for MAI Program Participants Ages 12 or Older, by SAMHSA-Defined Target Group</w:t>
      </w:r>
    </w:p>
    <w:tbl>
      <w:tblPr>
        <w:tblW w:w="9825" w:type="dxa"/>
        <w:tblInd w:w="-421" w:type="dxa"/>
        <w:tblLook w:val="04A0" w:firstRow="1" w:lastRow="0" w:firstColumn="1" w:lastColumn="0" w:noHBand="0" w:noVBand="1"/>
      </w:tblPr>
      <w:tblGrid>
        <w:gridCol w:w="3940"/>
        <w:gridCol w:w="1475"/>
        <w:gridCol w:w="1530"/>
        <w:gridCol w:w="1260"/>
        <w:gridCol w:w="1620"/>
      </w:tblGrid>
      <w:tr w:rsidR="00E31F1D" w:rsidRPr="00AC7EA2" w:rsidTr="00E31F1D">
        <w:trPr>
          <w:trHeight w:val="576"/>
        </w:trPr>
        <w:tc>
          <w:tcPr>
            <w:tcW w:w="3940" w:type="dxa"/>
            <w:tcBorders>
              <w:top w:val="nil"/>
              <w:left w:val="single" w:sz="12" w:space="0" w:color="D9D9D9" w:themeColor="background1" w:themeShade="D9"/>
              <w:bottom w:val="single" w:sz="4" w:space="0" w:color="auto"/>
              <w:right w:val="single" w:sz="12" w:space="0" w:color="CCCCCC"/>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 xml:space="preserve">Target Group </w:t>
            </w:r>
          </w:p>
        </w:tc>
        <w:tc>
          <w:tcPr>
            <w:tcW w:w="1475" w:type="dxa"/>
            <w:tcBorders>
              <w:top w:val="nil"/>
              <w:left w:val="nil"/>
              <w:bottom w:val="single" w:sz="4" w:space="0" w:color="auto"/>
              <w:right w:val="single" w:sz="4" w:space="0" w:color="FFFFFF"/>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Valid N</w:t>
            </w:r>
          </w:p>
        </w:tc>
        <w:tc>
          <w:tcPr>
            <w:tcW w:w="1530" w:type="dxa"/>
            <w:tcBorders>
              <w:top w:val="nil"/>
              <w:left w:val="nil"/>
              <w:bottom w:val="single" w:sz="4" w:space="0" w:color="auto"/>
              <w:right w:val="single" w:sz="4" w:space="0" w:color="FFFFFF"/>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Baseline %</w:t>
            </w:r>
          </w:p>
        </w:tc>
        <w:tc>
          <w:tcPr>
            <w:tcW w:w="1260" w:type="dxa"/>
            <w:tcBorders>
              <w:top w:val="nil"/>
              <w:left w:val="nil"/>
              <w:bottom w:val="single" w:sz="4" w:space="0" w:color="auto"/>
              <w:right w:val="single" w:sz="4" w:space="0" w:color="FFFFFF"/>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Exit %</w:t>
            </w:r>
          </w:p>
        </w:tc>
        <w:tc>
          <w:tcPr>
            <w:tcW w:w="1620" w:type="dxa"/>
            <w:tcBorders>
              <w:top w:val="nil"/>
              <w:left w:val="nil"/>
              <w:bottom w:val="single" w:sz="4" w:space="0" w:color="auto"/>
              <w:right w:val="single" w:sz="12" w:space="0" w:color="CCCCCC"/>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Baseline to Exit Change</w:t>
            </w:r>
          </w:p>
        </w:tc>
      </w:tr>
      <w:tr w:rsidR="00E31F1D" w:rsidRPr="00AC7EA2" w:rsidTr="00E31F1D">
        <w:trPr>
          <w:trHeight w:val="343"/>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b/>
                <w:bCs/>
                <w:color w:val="000000"/>
              </w:rPr>
            </w:pPr>
            <w:r w:rsidRPr="00AC7EA2">
              <w:rPr>
                <w:rFonts w:ascii="Times New Roman" w:hAnsi="Times New Roman"/>
                <w:b/>
                <w:bCs/>
                <w:color w:val="000000"/>
              </w:rPr>
              <w:t>Program Total</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
                <w:bCs/>
                <w:color w:val="000000"/>
              </w:rPr>
            </w:pPr>
            <w:r w:rsidRPr="00AC7EA2">
              <w:rPr>
                <w:rFonts w:ascii="Times New Roman" w:hAnsi="Times New Roman"/>
                <w:b/>
                <w:bCs/>
                <w:color w:val="000000"/>
              </w:rPr>
              <w:t>19,777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
                <w:bCs/>
                <w:color w:val="000000"/>
              </w:rPr>
            </w:pPr>
            <w:r w:rsidRPr="00AC7EA2">
              <w:rPr>
                <w:rFonts w:ascii="Times New Roman" w:hAnsi="Times New Roman"/>
                <w:b/>
                <w:bCs/>
                <w:color w:val="000000"/>
              </w:rPr>
              <w:t>70.9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
                <w:bCs/>
                <w:color w:val="000000"/>
              </w:rPr>
            </w:pPr>
            <w:r w:rsidRPr="00AC7EA2">
              <w:rPr>
                <w:rFonts w:ascii="Times New Roman" w:hAnsi="Times New Roman"/>
                <w:b/>
                <w:bCs/>
                <w:color w:val="000000"/>
              </w:rPr>
              <w:t>81.8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
                <w:bCs/>
                <w:color w:val="000000"/>
              </w:rPr>
            </w:pPr>
            <w:r w:rsidRPr="00AC7EA2">
              <w:rPr>
                <w:rFonts w:ascii="Times New Roman" w:hAnsi="Times New Roman"/>
                <w:b/>
                <w:bCs/>
                <w:color w:val="000000"/>
              </w:rPr>
              <w:t>10.9**</w:t>
            </w:r>
          </w:p>
        </w:tc>
      </w:tr>
      <w:tr w:rsidR="00E31F1D" w:rsidRPr="00AC7EA2" w:rsidTr="00E31F1D">
        <w:trPr>
          <w:trHeight w:val="32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Minority</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17,127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70.7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81.3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10.6**</w:t>
            </w:r>
          </w:p>
        </w:tc>
      </w:tr>
      <w:tr w:rsidR="00E31F1D" w:rsidRPr="00AC7EA2" w:rsidTr="00E31F1D">
        <w:trPr>
          <w:trHeight w:val="3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Minority Reentry</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2,546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73.3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83.0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9.7**</w:t>
            </w:r>
          </w:p>
        </w:tc>
      </w:tr>
      <w:tr w:rsidR="00E31F1D" w:rsidRPr="00AC7EA2" w:rsidTr="00E31F1D">
        <w:trPr>
          <w:trHeight w:val="3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Men Having Sex With Men (MSM)</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2,751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78.1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85.6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7.5**</w:t>
            </w:r>
          </w:p>
        </w:tc>
      </w:tr>
      <w:tr w:rsidR="00E31F1D" w:rsidRPr="00AC7EA2" w:rsidTr="00E31F1D">
        <w:trPr>
          <w:trHeight w:val="3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Black, Latina, or Hispanic Women</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9,348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82.6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11.4**</w:t>
            </w:r>
          </w:p>
        </w:tc>
      </w:tr>
      <w:tr w:rsidR="00E31F1D" w:rsidRPr="00AC7EA2" w:rsidTr="00E31F1D">
        <w:trPr>
          <w:trHeight w:val="3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Adolescents (Age 12 to 17)</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4,940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62.6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13.2**</w:t>
            </w:r>
          </w:p>
        </w:tc>
      </w:tr>
      <w:tr w:rsidR="00E31F1D" w:rsidRPr="00AC7EA2" w:rsidTr="00E31F1D">
        <w:trPr>
          <w:trHeight w:val="3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Young Adults (Age 18 to 24)</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6,011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74.2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83.4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9.1**</w:t>
            </w:r>
          </w:p>
        </w:tc>
      </w:tr>
      <w:tr w:rsidR="00E31F1D" w:rsidRPr="00AC7EA2" w:rsidTr="00E31F1D">
        <w:trPr>
          <w:trHeight w:val="3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Older Adults (Age 50 and Over)</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2,592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69.3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81.4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color w:val="000000"/>
              </w:rPr>
            </w:pPr>
            <w:r w:rsidRPr="00AC7EA2">
              <w:rPr>
                <w:rFonts w:ascii="Times New Roman" w:hAnsi="Times New Roman"/>
                <w:color w:val="000000"/>
              </w:rPr>
              <w:t>12.2**</w:t>
            </w:r>
          </w:p>
        </w:tc>
      </w:tr>
    </w:tbl>
    <w:p w:rsidR="00E31F1D" w:rsidRPr="00AC7EA2" w:rsidRDefault="00E31F1D" w:rsidP="005F2016">
      <w:pPr>
        <w:pStyle w:val="TH-TableHeading"/>
        <w:tabs>
          <w:tab w:val="left" w:pos="1080"/>
        </w:tabs>
        <w:spacing w:before="60" w:line="240" w:lineRule="auto"/>
        <w:ind w:left="-274"/>
        <w:jc w:val="left"/>
        <w:rPr>
          <w:rFonts w:ascii="Times New Roman" w:hAnsi="Times New Roman"/>
          <w:b w:val="0"/>
          <w:color w:val="000000"/>
          <w:sz w:val="24"/>
          <w:szCs w:val="24"/>
        </w:rPr>
      </w:pPr>
      <w:r w:rsidRPr="00AC7EA2">
        <w:rPr>
          <w:rFonts w:ascii="Times New Roman" w:hAnsi="Times New Roman"/>
          <w:b w:val="0"/>
          <w:color w:val="000000"/>
          <w:sz w:val="24"/>
          <w:szCs w:val="24"/>
        </w:rPr>
        <w:t>**Significant at p&lt;.001</w:t>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p>
    <w:p w:rsidR="00E31F1D" w:rsidRPr="00AC7EA2" w:rsidRDefault="00E31F1D" w:rsidP="005F2016">
      <w:pPr>
        <w:pStyle w:val="TH-TableHeading"/>
        <w:tabs>
          <w:tab w:val="left" w:pos="1080"/>
        </w:tabs>
        <w:spacing w:line="240" w:lineRule="auto"/>
        <w:ind w:left="-270"/>
        <w:jc w:val="left"/>
        <w:rPr>
          <w:rFonts w:ascii="Times New Roman" w:hAnsi="Times New Roman"/>
          <w:b w:val="0"/>
          <w:color w:val="000000"/>
          <w:sz w:val="24"/>
          <w:szCs w:val="24"/>
        </w:rPr>
      </w:pPr>
      <w:r w:rsidRPr="00AC7EA2">
        <w:rPr>
          <w:rFonts w:ascii="Times New Roman" w:hAnsi="Times New Roman"/>
          <w:b w:val="0"/>
          <w:color w:val="000000"/>
          <w:sz w:val="24"/>
          <w:szCs w:val="24"/>
        </w:rPr>
        <w:t>Source: HIV Cohort 7 through 10 participant-level data, matched cases only through FY 2012</w:t>
      </w:r>
    </w:p>
    <w:p w:rsidR="00E31F1D" w:rsidRPr="00AC7EA2" w:rsidRDefault="00E31F1D" w:rsidP="005F2016">
      <w:pPr>
        <w:pStyle w:val="TH-TableHeading"/>
        <w:tabs>
          <w:tab w:val="left" w:pos="1080"/>
        </w:tabs>
        <w:spacing w:line="240" w:lineRule="auto"/>
        <w:ind w:left="-270"/>
        <w:jc w:val="left"/>
        <w:rPr>
          <w:rFonts w:ascii="Times New Roman" w:hAnsi="Times New Roman"/>
          <w:b w:val="0"/>
          <w:color w:val="000000"/>
          <w:sz w:val="24"/>
          <w:szCs w:val="24"/>
        </w:rPr>
      </w:pPr>
      <w:r w:rsidRPr="00AC7EA2">
        <w:rPr>
          <w:rFonts w:ascii="Times New Roman" w:hAnsi="Times New Roman"/>
          <w:b w:val="0"/>
          <w:color w:val="000000"/>
          <w:sz w:val="24"/>
          <w:szCs w:val="24"/>
        </w:rPr>
        <w:t>Note 1: Valid N refers to the total number of valid responses to the survey item.</w:t>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p>
    <w:p w:rsidR="00E31F1D" w:rsidRPr="00AC7EA2" w:rsidRDefault="00E31F1D" w:rsidP="005F2016">
      <w:pPr>
        <w:pStyle w:val="TH-TableHeading"/>
        <w:tabs>
          <w:tab w:val="left" w:pos="1080"/>
        </w:tabs>
        <w:spacing w:line="240" w:lineRule="auto"/>
        <w:ind w:left="-270"/>
        <w:jc w:val="left"/>
        <w:rPr>
          <w:rFonts w:ascii="Times New Roman" w:hAnsi="Times New Roman"/>
          <w:b w:val="0"/>
          <w:color w:val="000000"/>
          <w:sz w:val="24"/>
          <w:szCs w:val="24"/>
        </w:rPr>
      </w:pPr>
      <w:r w:rsidRPr="00AC7EA2">
        <w:rPr>
          <w:rFonts w:ascii="Times New Roman" w:hAnsi="Times New Roman"/>
          <w:b w:val="0"/>
          <w:color w:val="000000"/>
          <w:sz w:val="24"/>
          <w:szCs w:val="24"/>
        </w:rPr>
        <w:t>Note 2: Figures within the Change column are calculated as the difference between exit and baseline. Minor discrepancies are due to rounding.</w:t>
      </w:r>
    </w:p>
    <w:p w:rsidR="00E31F1D" w:rsidRPr="00AC7EA2" w:rsidRDefault="00E31F1D" w:rsidP="005F2016">
      <w:pPr>
        <w:pStyle w:val="Table-Subtitle"/>
        <w:ind w:left="-270"/>
        <w:rPr>
          <w:rFonts w:ascii="Times New Roman" w:hAnsi="Times New Roman"/>
          <w:sz w:val="24"/>
        </w:rPr>
      </w:pPr>
      <w:r w:rsidRPr="00AC7EA2">
        <w:rPr>
          <w:rFonts w:ascii="Times New Roman" w:hAnsi="Times New Roman"/>
          <w:color w:val="000000"/>
          <w:sz w:val="24"/>
        </w:rPr>
        <w:t>Note 3: The HIV Knowledge Scale consists of a battery of true/false questions about HIV transmission. The scale score is calculated as the percent of responses that are correct.</w:t>
      </w:r>
    </w:p>
    <w:p w:rsidR="00E31F1D" w:rsidRPr="00AC7EA2" w:rsidRDefault="00E31F1D" w:rsidP="005F2016">
      <w:pPr>
        <w:pStyle w:val="Table-Title"/>
        <w:rPr>
          <w:rFonts w:ascii="Times New Roman" w:hAnsi="Times New Roman"/>
          <w:sz w:val="24"/>
        </w:rPr>
      </w:pPr>
    </w:p>
    <w:p w:rsidR="00CB322C" w:rsidRPr="00AC7EA2" w:rsidRDefault="00CB322C" w:rsidP="005F2016">
      <w:pPr>
        <w:pStyle w:val="Table-Title"/>
        <w:pageBreakBefore/>
        <w:rPr>
          <w:rFonts w:ascii="Times New Roman" w:hAnsi="Times New Roman"/>
          <w:sz w:val="24"/>
        </w:rPr>
      </w:pPr>
      <w:r w:rsidRPr="00AC7EA2">
        <w:rPr>
          <w:rFonts w:ascii="Times New Roman" w:hAnsi="Times New Roman"/>
          <w:sz w:val="24"/>
        </w:rPr>
        <w:t xml:space="preserve">Table </w:t>
      </w:r>
      <w:r w:rsidR="006E1140" w:rsidRPr="00AC7EA2">
        <w:rPr>
          <w:rFonts w:ascii="Times New Roman" w:hAnsi="Times New Roman"/>
          <w:sz w:val="24"/>
        </w:rPr>
        <w:t>5</w:t>
      </w:r>
      <w:r w:rsidRPr="00AC7EA2">
        <w:rPr>
          <w:rFonts w:ascii="Times New Roman" w:hAnsi="Times New Roman"/>
          <w:sz w:val="24"/>
        </w:rPr>
        <w:t xml:space="preserve">.  </w:t>
      </w:r>
      <w:r w:rsidR="009345D1" w:rsidRPr="00AC7EA2">
        <w:rPr>
          <w:rFonts w:ascii="Times New Roman" w:hAnsi="Times New Roman"/>
          <w:sz w:val="24"/>
        </w:rPr>
        <w:t xml:space="preserve">Perception of </w:t>
      </w:r>
      <w:r w:rsidRPr="00AC7EA2">
        <w:rPr>
          <w:rFonts w:ascii="Times New Roman" w:hAnsi="Times New Roman"/>
          <w:sz w:val="24"/>
        </w:rPr>
        <w:t xml:space="preserve">Risk of Harm </w:t>
      </w:r>
      <w:r w:rsidR="00F2576F" w:rsidRPr="00AC7EA2">
        <w:rPr>
          <w:rFonts w:ascii="Times New Roman" w:hAnsi="Times New Roman"/>
          <w:sz w:val="24"/>
        </w:rPr>
        <w:t>f</w:t>
      </w:r>
      <w:r w:rsidRPr="00AC7EA2">
        <w:rPr>
          <w:rFonts w:ascii="Times New Roman" w:hAnsi="Times New Roman"/>
          <w:sz w:val="24"/>
        </w:rPr>
        <w:t>rom Unprotected Sex</w:t>
      </w:r>
    </w:p>
    <w:p w:rsidR="00CB322C" w:rsidRPr="00AC7EA2" w:rsidRDefault="00CB322C" w:rsidP="005F2016">
      <w:pPr>
        <w:pStyle w:val="Table-Subtitle"/>
        <w:rPr>
          <w:rFonts w:ascii="Times New Roman" w:hAnsi="Times New Roman"/>
          <w:sz w:val="24"/>
        </w:rPr>
      </w:pPr>
      <w:r w:rsidRPr="00AC7EA2">
        <w:rPr>
          <w:rFonts w:ascii="Times New Roman" w:hAnsi="Times New Roman"/>
          <w:sz w:val="24"/>
        </w:rPr>
        <w:t xml:space="preserve">Percentage of MAI Program Participants Ages 18 or Older Reporting Moderate or Great Risk of Harm </w:t>
      </w:r>
      <w:r w:rsidR="00984EDC" w:rsidRPr="00AC7EA2">
        <w:rPr>
          <w:rFonts w:ascii="Times New Roman" w:hAnsi="Times New Roman"/>
          <w:sz w:val="24"/>
        </w:rPr>
        <w:t>f</w:t>
      </w:r>
      <w:r w:rsidRPr="00AC7EA2">
        <w:rPr>
          <w:rFonts w:ascii="Times New Roman" w:hAnsi="Times New Roman"/>
          <w:sz w:val="24"/>
        </w:rPr>
        <w:t>rom Unprotected Sex at Baseline and Exit</w:t>
      </w:r>
    </w:p>
    <w:tbl>
      <w:tblPr>
        <w:tblW w:w="9640" w:type="dxa"/>
        <w:tblInd w:w="93" w:type="dxa"/>
        <w:tblLook w:val="04A0" w:firstRow="1" w:lastRow="0" w:firstColumn="1" w:lastColumn="0" w:noHBand="0" w:noVBand="1"/>
      </w:tblPr>
      <w:tblGrid>
        <w:gridCol w:w="4520"/>
        <w:gridCol w:w="1360"/>
        <w:gridCol w:w="1515"/>
        <w:gridCol w:w="1085"/>
        <w:gridCol w:w="1160"/>
      </w:tblGrid>
      <w:tr w:rsidR="00CB322C" w:rsidRPr="00AC7EA2" w:rsidTr="00A52D8C">
        <w:trPr>
          <w:trHeight w:val="432"/>
        </w:trPr>
        <w:tc>
          <w:tcPr>
            <w:tcW w:w="4520" w:type="dxa"/>
            <w:tcBorders>
              <w:top w:val="nil"/>
              <w:left w:val="single" w:sz="12" w:space="0" w:color="D9D9D9" w:themeColor="background1" w:themeShade="D9"/>
              <w:bottom w:val="single" w:sz="4" w:space="0" w:color="auto"/>
              <w:right w:val="single" w:sz="12" w:space="0" w:color="CCCCCC"/>
            </w:tcBorders>
            <w:shd w:val="clear" w:color="000000" w:fill="5F391F"/>
            <w:vAlign w:val="center"/>
            <w:hideMark/>
          </w:tcPr>
          <w:p w:rsidR="00CB322C" w:rsidRPr="00AC7EA2" w:rsidRDefault="00CB322C" w:rsidP="005F2016">
            <w:pPr>
              <w:rPr>
                <w:rFonts w:ascii="Times New Roman" w:hAnsi="Times New Roman"/>
                <w:b/>
                <w:bCs/>
                <w:color w:val="FFFFFF"/>
              </w:rPr>
            </w:pPr>
            <w:r w:rsidRPr="00AC7EA2">
              <w:rPr>
                <w:rFonts w:ascii="Times New Roman" w:hAnsi="Times New Roman"/>
                <w:b/>
                <w:bCs/>
                <w:color w:val="FFFFFF"/>
              </w:rPr>
              <w:t>Perceived Risk/</w:t>
            </w:r>
          </w:p>
          <w:p w:rsidR="00CB322C" w:rsidRPr="00AC7EA2" w:rsidRDefault="00CB322C" w:rsidP="005F2016">
            <w:pPr>
              <w:rPr>
                <w:rFonts w:ascii="Times New Roman" w:hAnsi="Times New Roman"/>
                <w:b/>
                <w:bCs/>
                <w:color w:val="FFFFFF"/>
              </w:rPr>
            </w:pPr>
            <w:r w:rsidRPr="00AC7EA2">
              <w:rPr>
                <w:rFonts w:ascii="Times New Roman" w:hAnsi="Times New Roman"/>
                <w:b/>
                <w:bCs/>
                <w:color w:val="FFFFFF"/>
              </w:rPr>
              <w:t>Target Group</w:t>
            </w:r>
          </w:p>
        </w:tc>
        <w:tc>
          <w:tcPr>
            <w:tcW w:w="1360" w:type="dxa"/>
            <w:tcBorders>
              <w:top w:val="nil"/>
              <w:left w:val="nil"/>
              <w:bottom w:val="single" w:sz="4" w:space="0" w:color="auto"/>
              <w:right w:val="single" w:sz="4" w:space="0" w:color="FFFFFF"/>
            </w:tcBorders>
            <w:shd w:val="clear" w:color="000000" w:fill="5F391F"/>
            <w:vAlign w:val="center"/>
            <w:hideMark/>
          </w:tcPr>
          <w:p w:rsidR="00CB322C" w:rsidRPr="00AC7EA2" w:rsidRDefault="00CB322C" w:rsidP="005F2016">
            <w:pPr>
              <w:rPr>
                <w:rFonts w:ascii="Times New Roman" w:hAnsi="Times New Roman"/>
                <w:b/>
                <w:bCs/>
                <w:color w:val="FFFFFF"/>
              </w:rPr>
            </w:pPr>
            <w:r w:rsidRPr="00AC7EA2">
              <w:rPr>
                <w:rFonts w:ascii="Times New Roman" w:hAnsi="Times New Roman"/>
                <w:b/>
                <w:bCs/>
                <w:color w:val="FFFFFF"/>
              </w:rPr>
              <w:t>Valid N</w:t>
            </w:r>
          </w:p>
        </w:tc>
        <w:tc>
          <w:tcPr>
            <w:tcW w:w="1515" w:type="dxa"/>
            <w:tcBorders>
              <w:top w:val="nil"/>
              <w:left w:val="nil"/>
              <w:bottom w:val="single" w:sz="4" w:space="0" w:color="auto"/>
              <w:right w:val="single" w:sz="4" w:space="0" w:color="FFFFFF"/>
            </w:tcBorders>
            <w:shd w:val="clear" w:color="000000" w:fill="5F391F"/>
            <w:vAlign w:val="center"/>
            <w:hideMark/>
          </w:tcPr>
          <w:p w:rsidR="00CB322C" w:rsidRPr="00AC7EA2" w:rsidRDefault="00CB322C" w:rsidP="005F2016">
            <w:pPr>
              <w:rPr>
                <w:rFonts w:ascii="Times New Roman" w:hAnsi="Times New Roman"/>
                <w:b/>
                <w:bCs/>
                <w:color w:val="FFFFFF"/>
              </w:rPr>
            </w:pPr>
            <w:r w:rsidRPr="00AC7EA2">
              <w:rPr>
                <w:rFonts w:ascii="Times New Roman" w:hAnsi="Times New Roman"/>
                <w:b/>
                <w:bCs/>
                <w:color w:val="FFFFFF"/>
              </w:rPr>
              <w:t>Baseline %</w:t>
            </w:r>
          </w:p>
        </w:tc>
        <w:tc>
          <w:tcPr>
            <w:tcW w:w="1085" w:type="dxa"/>
            <w:tcBorders>
              <w:top w:val="nil"/>
              <w:left w:val="nil"/>
              <w:bottom w:val="single" w:sz="4" w:space="0" w:color="auto"/>
              <w:right w:val="single" w:sz="4" w:space="0" w:color="FFFFFF"/>
            </w:tcBorders>
            <w:shd w:val="clear" w:color="000000" w:fill="5F391F"/>
            <w:vAlign w:val="center"/>
            <w:hideMark/>
          </w:tcPr>
          <w:p w:rsidR="00CB322C" w:rsidRPr="00AC7EA2" w:rsidRDefault="00CB322C" w:rsidP="005F2016">
            <w:pPr>
              <w:rPr>
                <w:rFonts w:ascii="Times New Roman" w:hAnsi="Times New Roman"/>
                <w:b/>
                <w:bCs/>
                <w:color w:val="FFFFFF"/>
              </w:rPr>
            </w:pPr>
            <w:r w:rsidRPr="00AC7EA2">
              <w:rPr>
                <w:rFonts w:ascii="Times New Roman" w:hAnsi="Times New Roman"/>
                <w:b/>
                <w:bCs/>
                <w:color w:val="FFFFFF"/>
              </w:rPr>
              <w:t>Exit %</w:t>
            </w:r>
          </w:p>
        </w:tc>
        <w:tc>
          <w:tcPr>
            <w:tcW w:w="1160" w:type="dxa"/>
            <w:tcBorders>
              <w:top w:val="nil"/>
              <w:left w:val="nil"/>
              <w:bottom w:val="single" w:sz="4" w:space="0" w:color="auto"/>
              <w:right w:val="single" w:sz="12" w:space="0" w:color="CCCCCC"/>
            </w:tcBorders>
            <w:shd w:val="clear" w:color="000000" w:fill="5F391F"/>
            <w:vAlign w:val="center"/>
            <w:hideMark/>
          </w:tcPr>
          <w:p w:rsidR="00CB322C" w:rsidRPr="00AC7EA2" w:rsidRDefault="00CB322C" w:rsidP="005F2016">
            <w:pPr>
              <w:rPr>
                <w:rFonts w:ascii="Times New Roman" w:hAnsi="Times New Roman"/>
                <w:b/>
                <w:bCs/>
                <w:color w:val="FFFFFF"/>
              </w:rPr>
            </w:pPr>
            <w:r w:rsidRPr="00AC7EA2">
              <w:rPr>
                <w:rFonts w:ascii="Times New Roman" w:hAnsi="Times New Roman"/>
                <w:b/>
                <w:bCs/>
                <w:color w:val="FFFFFF"/>
              </w:rPr>
              <w:t>Change</w:t>
            </w:r>
          </w:p>
        </w:tc>
      </w:tr>
      <w:tr w:rsidR="00CB322C" w:rsidRPr="00AC7EA2" w:rsidTr="00A52D8C">
        <w:trPr>
          <w:trHeight w:val="330"/>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rPr>
              <w:t>Perception of Risk of Unprotected Anal Sex</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14,527</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91.8</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95.9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4.1**</w:t>
            </w:r>
          </w:p>
        </w:tc>
      </w:tr>
      <w:tr w:rsidR="00CB322C" w:rsidRPr="00AC7EA2" w:rsidTr="00A52D8C">
        <w:trPr>
          <w:trHeight w:val="343"/>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Perception of Risk of Unprotected Oral Sex</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14,549</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78.1</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86.6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8.5**</w:t>
            </w:r>
          </w:p>
        </w:tc>
      </w:tr>
      <w:tr w:rsidR="00CB322C" w:rsidRPr="00AC7EA2" w:rsidTr="00A52D8C">
        <w:trPr>
          <w:trHeight w:val="343"/>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rPr>
              <w:t>Perception of Risk of Unprotected Vaginal Sex</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14,505</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89.6</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95.1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22C" w:rsidRPr="00AC7EA2" w:rsidRDefault="00CB322C" w:rsidP="005F2016">
            <w:pPr>
              <w:rPr>
                <w:rFonts w:ascii="Times New Roman" w:hAnsi="Times New Roman"/>
                <w:bCs/>
                <w:color w:val="000000"/>
              </w:rPr>
            </w:pPr>
            <w:r w:rsidRPr="00AC7EA2">
              <w:rPr>
                <w:rFonts w:ascii="Times New Roman" w:hAnsi="Times New Roman"/>
                <w:bCs/>
                <w:color w:val="000000"/>
              </w:rPr>
              <w:t>5.5**</w:t>
            </w:r>
          </w:p>
        </w:tc>
      </w:tr>
    </w:tbl>
    <w:p w:rsidR="00CB322C" w:rsidRPr="00AC7EA2" w:rsidRDefault="00CB322C"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p>
    <w:p w:rsidR="008C299A" w:rsidRPr="00AC7EA2" w:rsidRDefault="00CB322C"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Source: HIV Cohort 7 through 10 participant-level data, matched cases only through FY 2012</w:t>
      </w:r>
      <w:r w:rsidR="008C299A" w:rsidRPr="00AC7EA2">
        <w:rPr>
          <w:rFonts w:ascii="Times New Roman" w:hAnsi="Times New Roman"/>
          <w:b w:val="0"/>
          <w:color w:val="000000"/>
          <w:sz w:val="24"/>
          <w:szCs w:val="24"/>
        </w:rPr>
        <w:t>.</w:t>
      </w:r>
    </w:p>
    <w:p w:rsidR="00E31F1D" w:rsidRPr="00AC7EA2" w:rsidRDefault="00E31F1D" w:rsidP="005F2016">
      <w:pPr>
        <w:pStyle w:val="Table-Title"/>
        <w:rPr>
          <w:rFonts w:ascii="Times New Roman" w:hAnsi="Times New Roman"/>
          <w:sz w:val="24"/>
        </w:rPr>
      </w:pPr>
      <w:bookmarkStart w:id="5" w:name="_Toc304815289"/>
    </w:p>
    <w:p w:rsidR="00E31F1D" w:rsidRPr="00AC7EA2" w:rsidRDefault="00E31F1D" w:rsidP="005F2016">
      <w:pPr>
        <w:pStyle w:val="Table-Subtitle"/>
        <w:rPr>
          <w:rFonts w:ascii="Times New Roman" w:hAnsi="Times New Roman"/>
          <w:sz w:val="24"/>
        </w:rPr>
      </w:pPr>
    </w:p>
    <w:p w:rsidR="00E31F1D" w:rsidRPr="00AC7EA2" w:rsidRDefault="00E31F1D" w:rsidP="005F2016">
      <w:pPr>
        <w:pStyle w:val="Table-Title"/>
        <w:rPr>
          <w:rFonts w:ascii="Times New Roman" w:hAnsi="Times New Roman"/>
          <w:sz w:val="24"/>
        </w:rPr>
      </w:pPr>
      <w:r w:rsidRPr="00AC7EA2">
        <w:rPr>
          <w:rFonts w:ascii="Times New Roman" w:hAnsi="Times New Roman"/>
          <w:sz w:val="24"/>
        </w:rPr>
        <w:t xml:space="preserve">Table </w:t>
      </w:r>
      <w:r w:rsidR="006E1140" w:rsidRPr="00AC7EA2">
        <w:rPr>
          <w:rFonts w:ascii="Times New Roman" w:hAnsi="Times New Roman"/>
          <w:sz w:val="24"/>
        </w:rPr>
        <w:t>6</w:t>
      </w:r>
      <w:r w:rsidRPr="00AC7EA2">
        <w:rPr>
          <w:rFonts w:ascii="Times New Roman" w:hAnsi="Times New Roman"/>
          <w:sz w:val="24"/>
        </w:rPr>
        <w:t>.  Participants Reporting Protected Sex</w:t>
      </w:r>
      <w:bookmarkEnd w:id="5"/>
    </w:p>
    <w:p w:rsidR="00E31F1D" w:rsidRPr="00AC7EA2" w:rsidRDefault="00E31F1D" w:rsidP="005F2016">
      <w:pPr>
        <w:pStyle w:val="Table-Subtitle"/>
        <w:rPr>
          <w:rFonts w:ascii="Times New Roman" w:hAnsi="Times New Roman"/>
          <w:sz w:val="24"/>
        </w:rPr>
      </w:pPr>
      <w:r w:rsidRPr="00AC7EA2">
        <w:rPr>
          <w:rFonts w:ascii="Times New Roman" w:hAnsi="Times New Roman"/>
          <w:sz w:val="24"/>
        </w:rPr>
        <w:t>Percentage of MAI Program Participants Ages 18 or Older Reporting That Their Last Sexual Encounter Was Protected at Baseline and Exit, by Type of Intercourse</w:t>
      </w:r>
    </w:p>
    <w:tbl>
      <w:tblPr>
        <w:tblW w:w="9555" w:type="dxa"/>
        <w:tblInd w:w="93" w:type="dxa"/>
        <w:tblLook w:val="04A0" w:firstRow="1" w:lastRow="0" w:firstColumn="1" w:lastColumn="0" w:noHBand="0" w:noVBand="1"/>
      </w:tblPr>
      <w:tblGrid>
        <w:gridCol w:w="3880"/>
        <w:gridCol w:w="1460"/>
        <w:gridCol w:w="1425"/>
        <w:gridCol w:w="1215"/>
        <w:gridCol w:w="1575"/>
      </w:tblGrid>
      <w:tr w:rsidR="00E31F1D" w:rsidRPr="00AC7EA2" w:rsidTr="00A52D8C">
        <w:trPr>
          <w:trHeight w:val="343"/>
        </w:trPr>
        <w:tc>
          <w:tcPr>
            <w:tcW w:w="3880" w:type="dxa"/>
            <w:tcBorders>
              <w:top w:val="nil"/>
              <w:left w:val="single" w:sz="12" w:space="0" w:color="D9D9D9" w:themeColor="background1" w:themeShade="D9"/>
              <w:bottom w:val="single" w:sz="4" w:space="0" w:color="auto"/>
              <w:right w:val="single" w:sz="12" w:space="0" w:color="CCCCCC"/>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Type of Sex/</w:t>
            </w:r>
          </w:p>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 xml:space="preserve">Target Group </w:t>
            </w:r>
          </w:p>
        </w:tc>
        <w:tc>
          <w:tcPr>
            <w:tcW w:w="1460" w:type="dxa"/>
            <w:tcBorders>
              <w:top w:val="nil"/>
              <w:left w:val="nil"/>
              <w:bottom w:val="single" w:sz="4" w:space="0" w:color="auto"/>
              <w:right w:val="single" w:sz="4" w:space="0" w:color="FFFFFF"/>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Valid N</w:t>
            </w:r>
          </w:p>
        </w:tc>
        <w:tc>
          <w:tcPr>
            <w:tcW w:w="1425" w:type="dxa"/>
            <w:tcBorders>
              <w:top w:val="nil"/>
              <w:left w:val="nil"/>
              <w:bottom w:val="single" w:sz="4" w:space="0" w:color="auto"/>
              <w:right w:val="single" w:sz="4" w:space="0" w:color="FFFFFF"/>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Baseline %</w:t>
            </w:r>
          </w:p>
        </w:tc>
        <w:tc>
          <w:tcPr>
            <w:tcW w:w="1215" w:type="dxa"/>
            <w:tcBorders>
              <w:top w:val="nil"/>
              <w:left w:val="nil"/>
              <w:bottom w:val="single" w:sz="4" w:space="0" w:color="auto"/>
              <w:right w:val="single" w:sz="4" w:space="0" w:color="FFFFFF"/>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Exit %</w:t>
            </w:r>
          </w:p>
        </w:tc>
        <w:tc>
          <w:tcPr>
            <w:tcW w:w="1575" w:type="dxa"/>
            <w:tcBorders>
              <w:top w:val="nil"/>
              <w:left w:val="nil"/>
              <w:bottom w:val="single" w:sz="4" w:space="0" w:color="auto"/>
              <w:right w:val="single" w:sz="12" w:space="0" w:color="CCCCCC"/>
            </w:tcBorders>
            <w:shd w:val="clear" w:color="000000" w:fill="5F391F"/>
            <w:vAlign w:val="center"/>
            <w:hideMark/>
          </w:tcPr>
          <w:p w:rsidR="00E31F1D" w:rsidRPr="00AC7EA2" w:rsidRDefault="00E31F1D" w:rsidP="005F2016">
            <w:pPr>
              <w:rPr>
                <w:rFonts w:ascii="Times New Roman" w:hAnsi="Times New Roman"/>
                <w:b/>
                <w:bCs/>
                <w:color w:val="FFFFFF"/>
              </w:rPr>
            </w:pPr>
            <w:r w:rsidRPr="00AC7EA2">
              <w:rPr>
                <w:rFonts w:ascii="Times New Roman" w:hAnsi="Times New Roman"/>
                <w:b/>
                <w:bCs/>
                <w:color w:val="FFFFFF"/>
              </w:rPr>
              <w:t>Baseline to Exit Change</w:t>
            </w:r>
          </w:p>
        </w:tc>
      </w:tr>
      <w:tr w:rsidR="00E31F1D" w:rsidRPr="00AC7EA2" w:rsidTr="00A52D8C">
        <w:trPr>
          <w:trHeight w:val="343"/>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rPr>
              <w:t>Protected Anal Sex</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1,112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48.8</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60.9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12.1**</w:t>
            </w:r>
          </w:p>
        </w:tc>
      </w:tr>
      <w:tr w:rsidR="00E31F1D" w:rsidRPr="00AC7EA2" w:rsidTr="00A52D8C">
        <w:trPr>
          <w:trHeight w:val="343"/>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bCs/>
              </w:rPr>
            </w:pPr>
            <w:r w:rsidRPr="00AC7EA2">
              <w:rPr>
                <w:rFonts w:ascii="Times New Roman" w:hAnsi="Times New Roman"/>
                <w:bCs/>
              </w:rPr>
              <w:t>Protected Oral Sex</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3,784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18.6</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30.1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11.5**</w:t>
            </w:r>
          </w:p>
        </w:tc>
      </w:tr>
      <w:tr w:rsidR="00E31F1D" w:rsidRPr="00AC7EA2" w:rsidTr="00A52D8C">
        <w:trPr>
          <w:trHeight w:val="343"/>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rPr>
              <w:t>Protected Vaginal Sex</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4,369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37.0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50.9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F1D" w:rsidRPr="00AC7EA2" w:rsidRDefault="00E31F1D" w:rsidP="005F2016">
            <w:pPr>
              <w:rPr>
                <w:rFonts w:ascii="Times New Roman" w:hAnsi="Times New Roman"/>
                <w:bCs/>
                <w:color w:val="000000"/>
              </w:rPr>
            </w:pPr>
            <w:r w:rsidRPr="00AC7EA2">
              <w:rPr>
                <w:rFonts w:ascii="Times New Roman" w:hAnsi="Times New Roman"/>
                <w:bCs/>
                <w:color w:val="000000"/>
              </w:rPr>
              <w:t>13.9**</w:t>
            </w:r>
          </w:p>
        </w:tc>
      </w:tr>
    </w:tbl>
    <w:p w:rsidR="00E31F1D" w:rsidRPr="00AC7EA2" w:rsidRDefault="00E31F1D"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 xml:space="preserve">**Significant at p&lt;.001, two-tailed </w:t>
      </w:r>
      <w:proofErr w:type="spellStart"/>
      <w:r w:rsidRPr="00AC7EA2">
        <w:rPr>
          <w:rFonts w:ascii="Times New Roman" w:hAnsi="Times New Roman"/>
          <w:b w:val="0"/>
          <w:color w:val="000000"/>
          <w:sz w:val="24"/>
          <w:szCs w:val="24"/>
        </w:rPr>
        <w:t>McNemar’s</w:t>
      </w:r>
      <w:proofErr w:type="spellEnd"/>
      <w:r w:rsidRPr="00AC7EA2">
        <w:rPr>
          <w:rFonts w:ascii="Times New Roman" w:hAnsi="Times New Roman"/>
          <w:b w:val="0"/>
          <w:color w:val="000000"/>
          <w:sz w:val="24"/>
          <w:szCs w:val="24"/>
        </w:rPr>
        <w:t xml:space="preserve"> test</w:t>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p>
    <w:p w:rsidR="00E31F1D" w:rsidRPr="00AC7EA2" w:rsidRDefault="00E31F1D"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Source: HIV Cohort 7 through 10 participant-level data, matched cases only through FY 2012</w:t>
      </w:r>
    </w:p>
    <w:p w:rsidR="00E31F1D" w:rsidRPr="00AC7EA2" w:rsidRDefault="00E31F1D"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Note 1: Valid N refers to the total number of valid responses to the survey item.</w:t>
      </w:r>
      <w:r w:rsidRPr="00AC7EA2">
        <w:rPr>
          <w:rFonts w:ascii="Times New Roman" w:hAnsi="Times New Roman"/>
          <w:b w:val="0"/>
          <w:color w:val="000000"/>
          <w:sz w:val="24"/>
          <w:szCs w:val="24"/>
        </w:rPr>
        <w:tab/>
      </w:r>
      <w:r w:rsidRPr="00AC7EA2">
        <w:rPr>
          <w:rFonts w:ascii="Times New Roman" w:hAnsi="Times New Roman"/>
          <w:b w:val="0"/>
          <w:color w:val="000000"/>
          <w:sz w:val="24"/>
          <w:szCs w:val="24"/>
        </w:rPr>
        <w:tab/>
      </w:r>
    </w:p>
    <w:p w:rsidR="00E31F1D" w:rsidRPr="00AC7EA2" w:rsidRDefault="00E31F1D" w:rsidP="005F2016">
      <w:pPr>
        <w:pStyle w:val="TH-TableHeading"/>
        <w:tabs>
          <w:tab w:val="left" w:pos="1080"/>
        </w:tabs>
        <w:spacing w:line="240" w:lineRule="auto"/>
        <w:jc w:val="left"/>
        <w:rPr>
          <w:rFonts w:ascii="Times New Roman" w:hAnsi="Times New Roman"/>
          <w:b w:val="0"/>
          <w:color w:val="000000"/>
          <w:sz w:val="24"/>
          <w:szCs w:val="24"/>
        </w:rPr>
      </w:pPr>
      <w:r w:rsidRPr="00AC7EA2">
        <w:rPr>
          <w:rFonts w:ascii="Times New Roman" w:hAnsi="Times New Roman"/>
          <w:b w:val="0"/>
          <w:color w:val="000000"/>
          <w:sz w:val="24"/>
          <w:szCs w:val="24"/>
        </w:rPr>
        <w:t>Note 2: Figures within the Change column are calculated as the difference between exit and baseline. Minor discrepancies are due to rounding.</w:t>
      </w:r>
    </w:p>
    <w:p w:rsidR="00E31F1D" w:rsidRPr="00AC7EA2" w:rsidRDefault="00E31F1D" w:rsidP="005F2016">
      <w:pPr>
        <w:rPr>
          <w:rFonts w:ascii="Times New Roman" w:hAnsi="Times New Roman"/>
        </w:rPr>
      </w:pPr>
    </w:p>
    <w:p w:rsidR="00663878" w:rsidRPr="00AC7EA2" w:rsidRDefault="00663878" w:rsidP="005F2016">
      <w:pPr>
        <w:pageBreakBefore/>
        <w:rPr>
          <w:rFonts w:ascii="Times New Roman" w:hAnsi="Times New Roman"/>
          <w:b/>
        </w:rPr>
      </w:pPr>
      <w:r w:rsidRPr="00AC7EA2">
        <w:rPr>
          <w:rFonts w:ascii="Times New Roman" w:hAnsi="Times New Roman"/>
          <w:b/>
        </w:rPr>
        <w:t>Current Cohorts</w:t>
      </w:r>
    </w:p>
    <w:p w:rsidR="00663878" w:rsidRPr="00AC7EA2" w:rsidRDefault="00663878" w:rsidP="005F2016">
      <w:pPr>
        <w:rPr>
          <w:rFonts w:ascii="Times New Roman" w:hAnsi="Times New Roman"/>
        </w:rPr>
      </w:pPr>
    </w:p>
    <w:p w:rsidR="00791A5D" w:rsidRPr="00AC7EA2" w:rsidRDefault="006B2FF6" w:rsidP="005F2016">
      <w:pPr>
        <w:rPr>
          <w:rFonts w:ascii="Times New Roman" w:hAnsi="Times New Roman"/>
        </w:rPr>
      </w:pPr>
      <w:r w:rsidRPr="00AC7EA2">
        <w:rPr>
          <w:rFonts w:ascii="Times New Roman" w:hAnsi="Times New Roman"/>
        </w:rPr>
        <w:t xml:space="preserve">At the time of this </w:t>
      </w:r>
      <w:r w:rsidR="000E59CD" w:rsidRPr="00AC7EA2">
        <w:rPr>
          <w:rFonts w:ascii="Times New Roman" w:hAnsi="Times New Roman"/>
        </w:rPr>
        <w:t>submission</w:t>
      </w:r>
      <w:r w:rsidRPr="00AC7EA2">
        <w:rPr>
          <w:rFonts w:ascii="Times New Roman" w:hAnsi="Times New Roman"/>
        </w:rPr>
        <w:t xml:space="preserve">, Cohorts 9 and 10 are in the process of closing out their grants. Except for a few no-cost extensions, most of these grantees will conclude their activities by the end of FY 2015. </w:t>
      </w:r>
      <w:r w:rsidR="00791A5D" w:rsidRPr="00AC7EA2">
        <w:rPr>
          <w:rFonts w:ascii="Times New Roman" w:hAnsi="Times New Roman"/>
        </w:rPr>
        <w:t xml:space="preserve">In FY 2013, MAI’s Minority Serving Institutions (MSI) in Partnerships with Community-Based Organizations (CBO) Program funded 29 three-year grants to </w:t>
      </w:r>
      <w:r w:rsidR="00D1265E" w:rsidRPr="00AC7EA2">
        <w:rPr>
          <w:rFonts w:ascii="Times New Roman" w:hAnsi="Times New Roman"/>
        </w:rPr>
        <w:t>H</w:t>
      </w:r>
      <w:r w:rsidR="00791A5D" w:rsidRPr="00AC7EA2">
        <w:rPr>
          <w:rFonts w:ascii="Times New Roman" w:hAnsi="Times New Roman"/>
        </w:rPr>
        <w:t xml:space="preserve">istorically Black Colleges and Universities, Hispanic Serving Institutions, American Pacific Islander Serving Institutions, and Tribal Colleges and Universities in partnership with CBOs in their surrounding communities to provide integrated </w:t>
      </w:r>
      <w:r w:rsidRPr="00AC7EA2">
        <w:rPr>
          <w:rFonts w:ascii="Times New Roman" w:hAnsi="Times New Roman"/>
        </w:rPr>
        <w:t xml:space="preserve">substance abuse (SA), Hepatitis </w:t>
      </w:r>
      <w:r w:rsidR="00791A5D" w:rsidRPr="00AC7EA2">
        <w:rPr>
          <w:rFonts w:ascii="Times New Roman" w:hAnsi="Times New Roman"/>
        </w:rPr>
        <w:t>C (HCV), and HIV prevention services to young adults. In FY 2014, another cohort of 21 grantees was funded under the same program</w:t>
      </w:r>
      <w:r w:rsidR="00D560FB">
        <w:rPr>
          <w:rFonts w:ascii="Times New Roman" w:hAnsi="Times New Roman"/>
        </w:rPr>
        <w:t>,</w:t>
      </w:r>
      <w:r w:rsidR="00791A5D" w:rsidRPr="00AC7EA2">
        <w:rPr>
          <w:rFonts w:ascii="Times New Roman" w:hAnsi="Times New Roman"/>
        </w:rPr>
        <w:t xml:space="preserve"> and in FY 2015 SAMHSA fund</w:t>
      </w:r>
      <w:r w:rsidR="00AC60DF">
        <w:rPr>
          <w:rFonts w:ascii="Times New Roman" w:hAnsi="Times New Roman"/>
        </w:rPr>
        <w:t>ed</w:t>
      </w:r>
      <w:r w:rsidR="00791A5D" w:rsidRPr="00AC7EA2">
        <w:rPr>
          <w:rFonts w:ascii="Times New Roman" w:hAnsi="Times New Roman"/>
        </w:rPr>
        <w:t xml:space="preserve"> an additional 3</w:t>
      </w:r>
      <w:r w:rsidR="00AC60DF">
        <w:rPr>
          <w:rFonts w:ascii="Times New Roman" w:hAnsi="Times New Roman"/>
        </w:rPr>
        <w:t>4</w:t>
      </w:r>
      <w:r w:rsidR="00791A5D" w:rsidRPr="00AC7EA2">
        <w:rPr>
          <w:rFonts w:ascii="Times New Roman" w:hAnsi="Times New Roman"/>
        </w:rPr>
        <w:t xml:space="preserve"> MSI CBO grantees.</w:t>
      </w:r>
      <w:r w:rsidRPr="00AC7EA2">
        <w:rPr>
          <w:rFonts w:ascii="Times New Roman" w:hAnsi="Times New Roman"/>
        </w:rPr>
        <w:t xml:space="preserve"> Additionally, </w:t>
      </w:r>
      <w:r w:rsidR="00AC60DF">
        <w:rPr>
          <w:rFonts w:ascii="Times New Roman" w:hAnsi="Times New Roman"/>
        </w:rPr>
        <w:t>54</w:t>
      </w:r>
      <w:r w:rsidR="00AC60DF" w:rsidRPr="00AC7EA2">
        <w:rPr>
          <w:rFonts w:ascii="Times New Roman" w:hAnsi="Times New Roman"/>
        </w:rPr>
        <w:t xml:space="preserve"> </w:t>
      </w:r>
      <w:r w:rsidRPr="00AC7EA2">
        <w:rPr>
          <w:rFonts w:ascii="Times New Roman" w:hAnsi="Times New Roman"/>
        </w:rPr>
        <w:t>five-year grants w</w:t>
      </w:r>
      <w:r w:rsidR="00AC60DF">
        <w:rPr>
          <w:rFonts w:ascii="Times New Roman" w:hAnsi="Times New Roman"/>
        </w:rPr>
        <w:t>ere</w:t>
      </w:r>
      <w:r w:rsidRPr="00AC7EA2">
        <w:rPr>
          <w:rFonts w:ascii="Times New Roman" w:hAnsi="Times New Roman"/>
        </w:rPr>
        <w:t xml:space="preserve"> funded in </w:t>
      </w:r>
      <w:r w:rsidR="00D560FB">
        <w:rPr>
          <w:rFonts w:ascii="Times New Roman" w:hAnsi="Times New Roman"/>
        </w:rPr>
        <w:t>FY</w:t>
      </w:r>
      <w:r w:rsidRPr="00AC7EA2">
        <w:rPr>
          <w:rFonts w:ascii="Times New Roman" w:hAnsi="Times New Roman"/>
        </w:rPr>
        <w:t xml:space="preserve">2015, under MAI’s Capacity Building Initiative (CBI). These grants </w:t>
      </w:r>
      <w:r w:rsidR="00D1265E" w:rsidRPr="00AC7EA2">
        <w:rPr>
          <w:rFonts w:ascii="Times New Roman" w:hAnsi="Times New Roman"/>
        </w:rPr>
        <w:t xml:space="preserve">will </w:t>
      </w:r>
      <w:r w:rsidRPr="00AC7EA2">
        <w:rPr>
          <w:rFonts w:ascii="Times New Roman" w:hAnsi="Times New Roman"/>
        </w:rPr>
        <w:t xml:space="preserve">provide funds </w:t>
      </w:r>
      <w:r w:rsidR="00D1265E" w:rsidRPr="00AC7EA2">
        <w:rPr>
          <w:rFonts w:ascii="Times New Roman" w:hAnsi="Times New Roman"/>
        </w:rPr>
        <w:t>to community-level domestic, public and private nonprofit entities, federally recognized American Indian/Alaska Native Tribes and tribal organizations, and urban Indian organizations</w:t>
      </w:r>
      <w:r w:rsidR="00791131" w:rsidRPr="00AC7EA2">
        <w:rPr>
          <w:rFonts w:ascii="Times New Roman" w:hAnsi="Times New Roman"/>
        </w:rPr>
        <w:t>. CBI grants focus on</w:t>
      </w:r>
      <w:r w:rsidRPr="00AC7EA2">
        <w:rPr>
          <w:rFonts w:ascii="Times New Roman" w:hAnsi="Times New Roman"/>
        </w:rPr>
        <w:t xml:space="preserve"> building a solid infrastructure for integrated SA, HIV, and HCV prevention service provision and </w:t>
      </w:r>
      <w:r w:rsidR="00791131" w:rsidRPr="00AC7EA2">
        <w:rPr>
          <w:rFonts w:ascii="Times New Roman" w:hAnsi="Times New Roman"/>
        </w:rPr>
        <w:t xml:space="preserve">implementation of </w:t>
      </w:r>
      <w:r w:rsidRPr="00AC7EA2">
        <w:rPr>
          <w:rFonts w:ascii="Times New Roman" w:hAnsi="Times New Roman"/>
        </w:rPr>
        <w:t>evidence-based prevention interventions</w:t>
      </w:r>
      <w:r w:rsidR="00D1265E" w:rsidRPr="00AC7EA2">
        <w:rPr>
          <w:rFonts w:ascii="Times New Roman" w:hAnsi="Times New Roman"/>
        </w:rPr>
        <w:t>.</w:t>
      </w:r>
      <w:r w:rsidR="007B456E" w:rsidRPr="00AC7EA2">
        <w:rPr>
          <w:rFonts w:ascii="Times New Roman" w:hAnsi="Times New Roman"/>
        </w:rPr>
        <w:t xml:space="preserve"> The target population for the CBI grantees will be at-risk minority adolescents and young adults.</w:t>
      </w:r>
    </w:p>
    <w:p w:rsidR="00791A5D" w:rsidRPr="00AC7EA2" w:rsidRDefault="00791A5D" w:rsidP="005F2016">
      <w:pPr>
        <w:rPr>
          <w:rFonts w:ascii="Times New Roman" w:hAnsi="Times New Roman"/>
        </w:rPr>
      </w:pPr>
    </w:p>
    <w:p w:rsidR="00E55F6A" w:rsidRPr="00AC7EA2" w:rsidRDefault="00E55F6A" w:rsidP="005F2016">
      <w:pPr>
        <w:rPr>
          <w:rFonts w:ascii="Times New Roman" w:hAnsi="Times New Roman"/>
        </w:rPr>
      </w:pPr>
      <w:r w:rsidRPr="00AC7EA2">
        <w:rPr>
          <w:rFonts w:ascii="Times New Roman" w:hAnsi="Times New Roman"/>
        </w:rPr>
        <w:t xml:space="preserve">While </w:t>
      </w:r>
      <w:r w:rsidR="001A2863" w:rsidRPr="00AC7EA2">
        <w:rPr>
          <w:rFonts w:ascii="Times New Roman" w:hAnsi="Times New Roman"/>
        </w:rPr>
        <w:t xml:space="preserve">MAI </w:t>
      </w:r>
      <w:r w:rsidRPr="00AC7EA2">
        <w:rPr>
          <w:rFonts w:ascii="Times New Roman" w:hAnsi="Times New Roman"/>
        </w:rPr>
        <w:t>grantees have substantial flexibility in choosing evidence-based programs, they are all required to base their projects on the five steps of SAMHSA’s SPF</w:t>
      </w:r>
      <w:r w:rsidR="005C0EAE" w:rsidRPr="00AC7EA2">
        <w:rPr>
          <w:rFonts w:ascii="Times New Roman" w:hAnsi="Times New Roman"/>
        </w:rPr>
        <w:t>. This framework requires the grantees</w:t>
      </w:r>
      <w:r w:rsidRPr="00AC7EA2">
        <w:rPr>
          <w:rFonts w:ascii="Times New Roman" w:hAnsi="Times New Roman"/>
        </w:rPr>
        <w:t xml:space="preserve"> to build service capacity specific to substance abuse</w:t>
      </w:r>
      <w:r w:rsidR="001A2863" w:rsidRPr="00AC7EA2">
        <w:rPr>
          <w:rFonts w:ascii="Times New Roman" w:hAnsi="Times New Roman"/>
        </w:rPr>
        <w:t>,</w:t>
      </w:r>
      <w:r w:rsidRPr="00AC7EA2">
        <w:rPr>
          <w:rFonts w:ascii="Times New Roman" w:hAnsi="Times New Roman"/>
        </w:rPr>
        <w:t xml:space="preserve"> HIV/AIDS</w:t>
      </w:r>
      <w:r w:rsidR="001A2863" w:rsidRPr="00AC7EA2">
        <w:rPr>
          <w:rFonts w:ascii="Times New Roman" w:hAnsi="Times New Roman"/>
        </w:rPr>
        <w:t>, and for the more recent cohorts, HCV</w:t>
      </w:r>
      <w:r w:rsidRPr="00AC7EA2">
        <w:rPr>
          <w:rFonts w:ascii="Times New Roman" w:hAnsi="Times New Roman"/>
        </w:rPr>
        <w:t xml:space="preserve"> prevention services</w:t>
      </w:r>
      <w:r w:rsidR="005C0EAE" w:rsidRPr="00AC7EA2">
        <w:rPr>
          <w:rFonts w:ascii="Times New Roman" w:hAnsi="Times New Roman"/>
        </w:rPr>
        <w:t>;</w:t>
      </w:r>
      <w:r w:rsidR="001213F2" w:rsidRPr="00AC7EA2">
        <w:rPr>
          <w:rFonts w:ascii="Times New Roman" w:hAnsi="Times New Roman"/>
        </w:rPr>
        <w:t xml:space="preserve"> to produce a strategic prevention plan based on local needs</w:t>
      </w:r>
      <w:r w:rsidR="005C0EAE" w:rsidRPr="00AC7EA2">
        <w:rPr>
          <w:rFonts w:ascii="Times New Roman" w:hAnsi="Times New Roman"/>
        </w:rPr>
        <w:t>;</w:t>
      </w:r>
      <w:r w:rsidR="001213F2" w:rsidRPr="00AC7EA2">
        <w:rPr>
          <w:rFonts w:ascii="Times New Roman" w:hAnsi="Times New Roman"/>
        </w:rPr>
        <w:t xml:space="preserve"> and to implement appropriate evidence-based prevention programs.</w:t>
      </w:r>
      <w:r w:rsidRPr="00AC7EA2">
        <w:rPr>
          <w:rFonts w:ascii="Times New Roman" w:hAnsi="Times New Roman"/>
        </w:rPr>
        <w:t xml:space="preserve"> </w:t>
      </w:r>
    </w:p>
    <w:p w:rsidR="001A2863" w:rsidRPr="00AC7EA2" w:rsidRDefault="001A2863" w:rsidP="005F2016">
      <w:pPr>
        <w:rPr>
          <w:rFonts w:ascii="Times New Roman" w:hAnsi="Times New Roman"/>
        </w:rPr>
      </w:pPr>
    </w:p>
    <w:p w:rsidR="001A2863" w:rsidRPr="00AC7EA2" w:rsidRDefault="001A2863" w:rsidP="005F2016">
      <w:pPr>
        <w:rPr>
          <w:rFonts w:ascii="Times New Roman" w:hAnsi="Times New Roman"/>
        </w:rPr>
      </w:pPr>
      <w:r w:rsidRPr="00AC7EA2">
        <w:rPr>
          <w:rFonts w:ascii="Times New Roman" w:hAnsi="Times New Roman"/>
        </w:rPr>
        <w:t>Starting with Cohort 9</w:t>
      </w:r>
      <w:r w:rsidR="00791131" w:rsidRPr="00AC7EA2">
        <w:rPr>
          <w:rFonts w:ascii="Times New Roman" w:hAnsi="Times New Roman"/>
        </w:rPr>
        <w:t xml:space="preserve"> and continuing into the </w:t>
      </w:r>
      <w:r w:rsidR="005C0EAE" w:rsidRPr="00AC7EA2">
        <w:rPr>
          <w:rFonts w:ascii="Times New Roman" w:hAnsi="Times New Roman"/>
        </w:rPr>
        <w:t xml:space="preserve">MSI </w:t>
      </w:r>
      <w:r w:rsidR="00791131" w:rsidRPr="00AC7EA2">
        <w:rPr>
          <w:rFonts w:ascii="Times New Roman" w:hAnsi="Times New Roman"/>
        </w:rPr>
        <w:t>CBO and CBI</w:t>
      </w:r>
      <w:r w:rsidR="005C0EAE" w:rsidRPr="00AC7EA2">
        <w:rPr>
          <w:rFonts w:ascii="Times New Roman" w:hAnsi="Times New Roman"/>
        </w:rPr>
        <w:t xml:space="preserve"> cohorts</w:t>
      </w:r>
      <w:r w:rsidR="00791131" w:rsidRPr="00AC7EA2">
        <w:rPr>
          <w:rFonts w:ascii="Times New Roman" w:hAnsi="Times New Roman"/>
        </w:rPr>
        <w:t xml:space="preserve">, </w:t>
      </w:r>
      <w:r w:rsidRPr="00AC7EA2">
        <w:rPr>
          <w:rFonts w:ascii="Times New Roman" w:hAnsi="Times New Roman"/>
        </w:rPr>
        <w:t xml:space="preserve">the </w:t>
      </w:r>
      <w:r w:rsidR="00791131" w:rsidRPr="00AC7EA2">
        <w:rPr>
          <w:rFonts w:ascii="Times New Roman" w:hAnsi="Times New Roman"/>
        </w:rPr>
        <w:t xml:space="preserve">outcome </w:t>
      </w:r>
      <w:r w:rsidRPr="00AC7EA2">
        <w:rPr>
          <w:rFonts w:ascii="Times New Roman" w:hAnsi="Times New Roman"/>
        </w:rPr>
        <w:t xml:space="preserve">focus of the MAI programs was </w:t>
      </w:r>
      <w:r w:rsidR="005C0EAE" w:rsidRPr="00AC7EA2">
        <w:rPr>
          <w:rFonts w:ascii="Times New Roman" w:hAnsi="Times New Roman"/>
        </w:rPr>
        <w:t xml:space="preserve">broadened </w:t>
      </w:r>
      <w:r w:rsidR="00791131" w:rsidRPr="00AC7EA2">
        <w:rPr>
          <w:rFonts w:ascii="Times New Roman" w:hAnsi="Times New Roman"/>
        </w:rPr>
        <w:t xml:space="preserve">from individual-level change </w:t>
      </w:r>
      <w:r w:rsidRPr="00AC7EA2">
        <w:rPr>
          <w:rFonts w:ascii="Times New Roman" w:hAnsi="Times New Roman"/>
        </w:rPr>
        <w:t>to include community-</w:t>
      </w:r>
      <w:r w:rsidR="001213F2" w:rsidRPr="00AC7EA2">
        <w:rPr>
          <w:rFonts w:ascii="Times New Roman" w:hAnsi="Times New Roman"/>
        </w:rPr>
        <w:t>level</w:t>
      </w:r>
      <w:r w:rsidRPr="00AC7EA2">
        <w:rPr>
          <w:rFonts w:ascii="Times New Roman" w:hAnsi="Times New Roman"/>
        </w:rPr>
        <w:t xml:space="preserve"> change</w:t>
      </w:r>
      <w:r w:rsidR="007601B2" w:rsidRPr="00AC7EA2">
        <w:rPr>
          <w:rFonts w:ascii="Times New Roman" w:hAnsi="Times New Roman"/>
        </w:rPr>
        <w:t xml:space="preserve">. The cross-site evaluation plan has therefore been revised to include an assessment of the grantees’ success in effecting population-level normative changes through the implementation of indirect service interventions such as media campaigns, social marketing, and environmental strategies. The data collection for which </w:t>
      </w:r>
      <w:r w:rsidR="002A4ED2" w:rsidRPr="00AC7EA2">
        <w:rPr>
          <w:rFonts w:ascii="Times New Roman" w:hAnsi="Times New Roman"/>
        </w:rPr>
        <w:t xml:space="preserve">approval </w:t>
      </w:r>
      <w:r w:rsidR="007601B2" w:rsidRPr="00AC7EA2">
        <w:rPr>
          <w:rFonts w:ascii="Times New Roman" w:hAnsi="Times New Roman"/>
        </w:rPr>
        <w:t xml:space="preserve">is being requested in this statement, however, is restricted to the individual-level data collection efforts of the </w:t>
      </w:r>
      <w:r w:rsidR="002A4ED2" w:rsidRPr="00AC7EA2">
        <w:rPr>
          <w:rFonts w:ascii="Times New Roman" w:hAnsi="Times New Roman"/>
        </w:rPr>
        <w:t>evaluation</w:t>
      </w:r>
      <w:r w:rsidR="007601B2" w:rsidRPr="00AC7EA2">
        <w:rPr>
          <w:rFonts w:ascii="Times New Roman" w:hAnsi="Times New Roman"/>
        </w:rPr>
        <w:t>.</w:t>
      </w:r>
      <w:r w:rsidR="001213F2" w:rsidRPr="00AC7EA2">
        <w:rPr>
          <w:rFonts w:ascii="Times New Roman" w:hAnsi="Times New Roman"/>
        </w:rPr>
        <w:t xml:space="preserve"> </w:t>
      </w:r>
      <w:r w:rsidR="002A4ED2" w:rsidRPr="00AC7EA2">
        <w:rPr>
          <w:rFonts w:ascii="Times New Roman" w:hAnsi="Times New Roman"/>
        </w:rPr>
        <w:t xml:space="preserve">Approval </w:t>
      </w:r>
      <w:r w:rsidR="001213F2" w:rsidRPr="00AC7EA2">
        <w:rPr>
          <w:rFonts w:ascii="Times New Roman" w:hAnsi="Times New Roman"/>
        </w:rPr>
        <w:t xml:space="preserve">will be requested in a separate statement for the instrument designed to collect community-level outcome data. </w:t>
      </w:r>
    </w:p>
    <w:p w:rsidR="008B32E6" w:rsidRPr="00AC7EA2" w:rsidRDefault="008B32E6" w:rsidP="005F2016">
      <w:pPr>
        <w:rPr>
          <w:rFonts w:ascii="Times New Roman" w:hAnsi="Times New Roman"/>
        </w:rPr>
      </w:pPr>
    </w:p>
    <w:p w:rsidR="0091485E" w:rsidRPr="00AC7EA2" w:rsidRDefault="008B32E6"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There will be four cohorts of grantees implementing the data collection protocol for which </w:t>
      </w:r>
      <w:r w:rsidR="002A4ED2" w:rsidRPr="00AC7EA2">
        <w:rPr>
          <w:rStyle w:val="WP9BodyText"/>
          <w:rFonts w:ascii="Times New Roman" w:hAnsi="Times New Roman"/>
        </w:rPr>
        <w:t xml:space="preserve">approval </w:t>
      </w:r>
      <w:r w:rsidRPr="00AC7EA2">
        <w:rPr>
          <w:rStyle w:val="WP9BodyText"/>
          <w:rFonts w:ascii="Times New Roman" w:hAnsi="Times New Roman"/>
        </w:rPr>
        <w:t xml:space="preserve">is being requested. Of these, the 85 grantees in the three MSI CBO cohorts are required to target young adults only; they are, therefore, not expected to use the youth instrument designed for the 12 – 17 age group. The </w:t>
      </w:r>
      <w:r w:rsidR="00AC60DF">
        <w:rPr>
          <w:rStyle w:val="WP9BodyText"/>
          <w:rFonts w:ascii="Times New Roman" w:hAnsi="Times New Roman"/>
        </w:rPr>
        <w:t>54</w:t>
      </w:r>
      <w:r w:rsidR="00AC60DF" w:rsidRPr="00AC7EA2">
        <w:rPr>
          <w:rStyle w:val="WP9BodyText"/>
          <w:rFonts w:ascii="Times New Roman" w:hAnsi="Times New Roman"/>
        </w:rPr>
        <w:t xml:space="preserve"> </w:t>
      </w:r>
      <w:r w:rsidRPr="00AC7EA2">
        <w:rPr>
          <w:rStyle w:val="WP9BodyText"/>
          <w:rFonts w:ascii="Times New Roman" w:hAnsi="Times New Roman"/>
        </w:rPr>
        <w:t xml:space="preserve">grantees in the CBI cohort being funded in 2015 have adolescents as part of their target population. In calculating burden, SAMHSA took into consideration that most of the evidence-based integrated SA/HIV prevention programs typically target adults. Among the past cohorts </w:t>
      </w:r>
      <w:proofErr w:type="gramStart"/>
      <w:r w:rsidRPr="00AC7EA2">
        <w:rPr>
          <w:rStyle w:val="WP9BodyText"/>
          <w:rFonts w:ascii="Times New Roman" w:hAnsi="Times New Roman"/>
        </w:rPr>
        <w:t>whose</w:t>
      </w:r>
      <w:proofErr w:type="gramEnd"/>
      <w:r w:rsidRPr="00AC7EA2">
        <w:rPr>
          <w:rStyle w:val="WP9BodyText"/>
          <w:rFonts w:ascii="Times New Roman" w:hAnsi="Times New Roman"/>
        </w:rPr>
        <w:t xml:space="preserve"> RFAs included youth among their target populations, only approximately one-third of the grantees implemented youth programs, with the rest providing prevention services to adults only. Based on this history, one-third of the </w:t>
      </w:r>
      <w:r w:rsidR="00AC60DF">
        <w:rPr>
          <w:rStyle w:val="WP9BodyText"/>
          <w:rFonts w:ascii="Times New Roman" w:hAnsi="Times New Roman"/>
        </w:rPr>
        <w:t>54</w:t>
      </w:r>
      <w:r w:rsidR="00AC60DF" w:rsidRPr="00AC7EA2">
        <w:rPr>
          <w:rStyle w:val="WP9BodyText"/>
          <w:rFonts w:ascii="Times New Roman" w:hAnsi="Times New Roman"/>
        </w:rPr>
        <w:t xml:space="preserve"> </w:t>
      </w:r>
      <w:r w:rsidRPr="00AC7EA2">
        <w:rPr>
          <w:rStyle w:val="WP9BodyText"/>
          <w:rFonts w:ascii="Times New Roman" w:hAnsi="Times New Roman"/>
        </w:rPr>
        <w:t>CBI grantees, that is, 16 grantees are expected to use the youth instrument. All 13</w:t>
      </w:r>
      <w:r w:rsidR="00AC60DF">
        <w:rPr>
          <w:rStyle w:val="WP9BodyText"/>
          <w:rFonts w:ascii="Times New Roman" w:hAnsi="Times New Roman"/>
        </w:rPr>
        <w:t>8</w:t>
      </w:r>
      <w:r w:rsidRPr="00AC7EA2">
        <w:rPr>
          <w:rStyle w:val="WP9BodyText"/>
          <w:rFonts w:ascii="Times New Roman" w:hAnsi="Times New Roman"/>
        </w:rPr>
        <w:t xml:space="preserve"> grantees are expected to use the adult instrument. Based on analysis of the data submitted by grantees in cohorts 7 – 10, it is estimated that the instruments will be used on a total of 25,</w:t>
      </w:r>
      <w:r w:rsidR="008329B1">
        <w:rPr>
          <w:rStyle w:val="WP9BodyText"/>
          <w:rFonts w:ascii="Times New Roman" w:hAnsi="Times New Roman"/>
        </w:rPr>
        <w:t>944</w:t>
      </w:r>
      <w:r w:rsidRPr="00AC7EA2">
        <w:rPr>
          <w:rStyle w:val="WP9BodyText"/>
          <w:rFonts w:ascii="Times New Roman" w:hAnsi="Times New Roman"/>
        </w:rPr>
        <w:t xml:space="preserve"> participants per year. </w:t>
      </w:r>
      <w:r w:rsidR="0091485E" w:rsidRPr="00AC7EA2">
        <w:rPr>
          <w:rStyle w:val="WP9BodyText"/>
          <w:rFonts w:ascii="Times New Roman" w:hAnsi="Times New Roman"/>
        </w:rPr>
        <w:t>This estimate is for a typical year during which the grantee is implementing prevention interventions and will be zero during the start-up year when the grantee is going through the pre-implementation steps of the SPF.</w:t>
      </w:r>
    </w:p>
    <w:p w:rsidR="0091485E" w:rsidRPr="00AC7EA2" w:rsidRDefault="0091485E"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8B32E6" w:rsidRPr="00AC7EA2" w:rsidRDefault="008B32E6"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The worksheet estimating the annualized numbers of participants expected to be included in the data collection effort, by the duration of services, is displayed in Exhibit 1. It is worth noting here that the duration of services is a key factor in burden estimation. As will be discussed in more detail later in this statement, the sections of the questionnaires administered to the participants vary by the length of time they spend in the funded programs. The number of dosage forms to be completed also varies by service duration.</w:t>
      </w:r>
    </w:p>
    <w:p w:rsidR="008B32E6" w:rsidRPr="00AC7EA2" w:rsidRDefault="008B32E6"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8B32E6" w:rsidRPr="00AC7EA2" w:rsidRDefault="008B32E6" w:rsidP="005F2016">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450"/>
        </w:tabs>
        <w:rPr>
          <w:rStyle w:val="WP9BodyText"/>
          <w:rFonts w:ascii="Times New Roman" w:hAnsi="Times New Roman"/>
          <w:b/>
        </w:rPr>
      </w:pPr>
      <w:r w:rsidRPr="00AC7EA2">
        <w:rPr>
          <w:rStyle w:val="WP9BodyText"/>
          <w:rFonts w:ascii="Times New Roman" w:hAnsi="Times New Roman"/>
          <w:b/>
        </w:rPr>
        <w:t>Exhibit 1: Expected Numbers of Participants per Year, by Cohort and Service Duration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35"/>
        <w:gridCol w:w="1365"/>
        <w:gridCol w:w="1305"/>
        <w:gridCol w:w="1395"/>
        <w:gridCol w:w="1275"/>
        <w:gridCol w:w="1335"/>
      </w:tblGrid>
      <w:tr w:rsidR="008B32E6" w:rsidRPr="00AC7EA2" w:rsidTr="00587481">
        <w:trPr>
          <w:cantSplit/>
          <w:trHeight w:val="330"/>
          <w:tblHeader/>
        </w:trPr>
        <w:tc>
          <w:tcPr>
            <w:tcW w:w="1998" w:type="dxa"/>
            <w:vMerge w:val="restart"/>
            <w:tcBorders>
              <w:righ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w:t>
            </w:r>
          </w:p>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Duration</w:t>
            </w:r>
          </w:p>
        </w:tc>
        <w:tc>
          <w:tcPr>
            <w:tcW w:w="2700" w:type="dxa"/>
            <w:gridSpan w:val="2"/>
            <w:tcBorders>
              <w:left w:val="single" w:sz="12" w:space="0" w:color="auto"/>
              <w:righ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 xml:space="preserve">MSI CBO Grantees </w:t>
            </w:r>
          </w:p>
        </w:tc>
        <w:tc>
          <w:tcPr>
            <w:tcW w:w="2700" w:type="dxa"/>
            <w:gridSpan w:val="2"/>
            <w:tcBorders>
              <w:lef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 xml:space="preserve">CBI Grantees </w:t>
            </w:r>
          </w:p>
        </w:tc>
        <w:tc>
          <w:tcPr>
            <w:tcW w:w="2610" w:type="dxa"/>
            <w:gridSpan w:val="2"/>
            <w:tcBorders>
              <w:left w:val="single" w:sz="12" w:space="0" w:color="auto"/>
            </w:tcBorders>
            <w:shd w:val="clear" w:color="auto" w:fill="BFBFBF"/>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Total</w:t>
            </w:r>
          </w:p>
        </w:tc>
      </w:tr>
      <w:tr w:rsidR="008B32E6" w:rsidRPr="00AC7EA2" w:rsidTr="00587481">
        <w:trPr>
          <w:cantSplit/>
          <w:trHeight w:val="330"/>
          <w:tblHeader/>
        </w:trPr>
        <w:tc>
          <w:tcPr>
            <w:tcW w:w="1998" w:type="dxa"/>
            <w:vMerge/>
            <w:tcBorders>
              <w:righ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1335" w:type="dxa"/>
            <w:tcBorders>
              <w:lef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Youth</w:t>
            </w:r>
          </w:p>
        </w:tc>
        <w:tc>
          <w:tcPr>
            <w:tcW w:w="1365" w:type="dxa"/>
            <w:tcBorders>
              <w:righ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Adult</w:t>
            </w:r>
          </w:p>
        </w:tc>
        <w:tc>
          <w:tcPr>
            <w:tcW w:w="1305" w:type="dxa"/>
            <w:tcBorders>
              <w:lef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Youth</w:t>
            </w:r>
          </w:p>
        </w:tc>
        <w:tc>
          <w:tcPr>
            <w:tcW w:w="1395" w:type="dxa"/>
            <w:tcBorders>
              <w:righ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Adult</w:t>
            </w:r>
          </w:p>
        </w:tc>
        <w:tc>
          <w:tcPr>
            <w:tcW w:w="1275" w:type="dxa"/>
            <w:tcBorders>
              <w:left w:val="single" w:sz="12" w:space="0" w:color="auto"/>
            </w:tcBorders>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Youth</w:t>
            </w:r>
          </w:p>
        </w:tc>
        <w:tc>
          <w:tcPr>
            <w:tcW w:w="1335" w:type="dxa"/>
            <w:shd w:val="clear" w:color="auto" w:fill="BFBFBF"/>
            <w:vAlign w:val="center"/>
          </w:tcPr>
          <w:p w:rsidR="008B32E6" w:rsidRPr="00AC7EA2" w:rsidRDefault="008B32E6"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Adult</w:t>
            </w:r>
          </w:p>
        </w:tc>
      </w:tr>
      <w:tr w:rsidR="008B32E6" w:rsidRPr="00AC7EA2" w:rsidTr="00587481">
        <w:trPr>
          <w:cantSplit/>
        </w:trPr>
        <w:tc>
          <w:tcPr>
            <w:tcW w:w="1998" w:type="dxa"/>
            <w:tcBorders>
              <w:right w:val="single" w:sz="12" w:space="0" w:color="auto"/>
            </w:tcBorders>
            <w:vAlign w:val="center"/>
          </w:tcPr>
          <w:p w:rsidR="008B32E6" w:rsidRPr="00AC7EA2" w:rsidRDefault="008B32E6" w:rsidP="005F201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 day or less</w:t>
            </w:r>
          </w:p>
        </w:tc>
        <w:tc>
          <w:tcPr>
            <w:tcW w:w="1335" w:type="dxa"/>
            <w:tcBorders>
              <w:left w:val="single" w:sz="12" w:space="0" w:color="auto"/>
            </w:tcBorders>
            <w:shd w:val="clear" w:color="auto" w:fill="auto"/>
            <w:vAlign w:val="center"/>
          </w:tcPr>
          <w:p w:rsidR="008B32E6" w:rsidRPr="00AC7EA2" w:rsidRDefault="008B32E6" w:rsidP="005F2016">
            <w:pPr>
              <w:pStyle w:val="ListBullet"/>
              <w:rPr>
                <w:rFonts w:ascii="Times New Roman" w:hAnsi="Times New Roman"/>
              </w:rPr>
            </w:pPr>
            <w:r w:rsidRPr="00AC7EA2">
              <w:rPr>
                <w:rFonts w:ascii="Times New Roman" w:hAnsi="Times New Roman"/>
              </w:rPr>
              <w:t>0</w:t>
            </w:r>
          </w:p>
        </w:tc>
        <w:tc>
          <w:tcPr>
            <w:tcW w:w="1365" w:type="dxa"/>
            <w:tcBorders>
              <w:right w:val="single" w:sz="12" w:space="0" w:color="auto"/>
            </w:tcBorders>
            <w:shd w:val="clear" w:color="auto" w:fill="auto"/>
            <w:vAlign w:val="center"/>
          </w:tcPr>
          <w:p w:rsidR="008B32E6" w:rsidRPr="00AC7EA2" w:rsidRDefault="008B32E6" w:rsidP="00E56E60">
            <w:pPr>
              <w:rPr>
                <w:rFonts w:ascii="Times New Roman" w:hAnsi="Times New Roman"/>
                <w:color w:val="000000"/>
              </w:rPr>
            </w:pPr>
            <w:r w:rsidRPr="00AC7EA2">
              <w:rPr>
                <w:rFonts w:ascii="Times New Roman" w:hAnsi="Times New Roman"/>
                <w:color w:val="000000"/>
              </w:rPr>
              <w:t>6</w:t>
            </w:r>
            <w:r w:rsidR="00E56E60">
              <w:rPr>
                <w:rFonts w:ascii="Times New Roman" w:hAnsi="Times New Roman"/>
                <w:color w:val="000000"/>
              </w:rPr>
              <w:t>72</w:t>
            </w:r>
          </w:p>
        </w:tc>
        <w:tc>
          <w:tcPr>
            <w:tcW w:w="1305" w:type="dxa"/>
            <w:tcBorders>
              <w:left w:val="single" w:sz="12" w:space="0" w:color="auto"/>
            </w:tcBorders>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64</w:t>
            </w:r>
          </w:p>
        </w:tc>
        <w:tc>
          <w:tcPr>
            <w:tcW w:w="1395" w:type="dxa"/>
            <w:tcBorders>
              <w:right w:val="single" w:sz="12" w:space="0" w:color="auto"/>
            </w:tcBorders>
            <w:vAlign w:val="center"/>
          </w:tcPr>
          <w:p w:rsidR="008B32E6" w:rsidRPr="00AC7EA2" w:rsidRDefault="008B32E6" w:rsidP="00E56E60">
            <w:pPr>
              <w:rPr>
                <w:rFonts w:ascii="Times New Roman" w:hAnsi="Times New Roman"/>
                <w:color w:val="000000"/>
              </w:rPr>
            </w:pPr>
            <w:r w:rsidRPr="00AC7EA2">
              <w:rPr>
                <w:rFonts w:ascii="Times New Roman" w:hAnsi="Times New Roman"/>
                <w:color w:val="000000"/>
              </w:rPr>
              <w:t>3</w:t>
            </w:r>
            <w:r w:rsidR="00E56E60">
              <w:rPr>
                <w:rFonts w:ascii="Times New Roman" w:hAnsi="Times New Roman"/>
                <w:color w:val="000000"/>
              </w:rPr>
              <w:t>68</w:t>
            </w:r>
          </w:p>
        </w:tc>
        <w:tc>
          <w:tcPr>
            <w:tcW w:w="1275" w:type="dxa"/>
            <w:tcBorders>
              <w:left w:val="single" w:sz="12" w:space="0" w:color="auto"/>
            </w:tcBorders>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64</w:t>
            </w:r>
          </w:p>
        </w:tc>
        <w:tc>
          <w:tcPr>
            <w:tcW w:w="1335" w:type="dxa"/>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1,0</w:t>
            </w:r>
            <w:r w:rsidR="00FB1EF6">
              <w:rPr>
                <w:rFonts w:ascii="Times New Roman" w:hAnsi="Times New Roman"/>
                <w:color w:val="000000"/>
              </w:rPr>
              <w:t>4</w:t>
            </w:r>
            <w:r w:rsidRPr="00AC7EA2">
              <w:rPr>
                <w:rFonts w:ascii="Times New Roman" w:hAnsi="Times New Roman"/>
                <w:color w:val="000000"/>
              </w:rPr>
              <w:t>0</w:t>
            </w:r>
          </w:p>
        </w:tc>
      </w:tr>
      <w:tr w:rsidR="008B32E6" w:rsidRPr="00AC7EA2" w:rsidTr="00587481">
        <w:trPr>
          <w:cantSplit/>
        </w:trPr>
        <w:tc>
          <w:tcPr>
            <w:tcW w:w="1998" w:type="dxa"/>
            <w:tcBorders>
              <w:right w:val="single" w:sz="12" w:space="0" w:color="auto"/>
            </w:tcBorders>
            <w:vAlign w:val="center"/>
          </w:tcPr>
          <w:p w:rsidR="008B32E6" w:rsidRPr="00AC7EA2" w:rsidDel="000F7086" w:rsidRDefault="008B32E6" w:rsidP="005F201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1335" w:type="dxa"/>
            <w:tcBorders>
              <w:left w:val="single" w:sz="12" w:space="0" w:color="auto"/>
            </w:tcBorders>
            <w:shd w:val="clear" w:color="auto" w:fill="auto"/>
            <w:vAlign w:val="center"/>
          </w:tcPr>
          <w:p w:rsidR="008B32E6" w:rsidRPr="00AC7EA2" w:rsidRDefault="008B32E6" w:rsidP="005F2016">
            <w:pPr>
              <w:pStyle w:val="ListBullet"/>
              <w:rPr>
                <w:rFonts w:ascii="Times New Roman" w:hAnsi="Times New Roman"/>
              </w:rPr>
            </w:pPr>
            <w:r w:rsidRPr="00AC7EA2">
              <w:rPr>
                <w:rFonts w:ascii="Times New Roman" w:hAnsi="Times New Roman"/>
              </w:rPr>
              <w:t>0</w:t>
            </w:r>
          </w:p>
        </w:tc>
        <w:tc>
          <w:tcPr>
            <w:tcW w:w="1365" w:type="dxa"/>
            <w:tcBorders>
              <w:right w:val="single" w:sz="12" w:space="0" w:color="auto"/>
            </w:tcBorders>
            <w:shd w:val="clear" w:color="auto" w:fill="auto"/>
            <w:vAlign w:val="center"/>
          </w:tcPr>
          <w:p w:rsidR="008B32E6" w:rsidRPr="00AC7EA2" w:rsidRDefault="008B32E6" w:rsidP="00E56E60">
            <w:pPr>
              <w:rPr>
                <w:rFonts w:ascii="Times New Roman" w:hAnsi="Times New Roman"/>
                <w:color w:val="000000"/>
              </w:rPr>
            </w:pPr>
            <w:r w:rsidRPr="00AC7EA2">
              <w:rPr>
                <w:rFonts w:ascii="Times New Roman" w:hAnsi="Times New Roman"/>
                <w:color w:val="000000"/>
              </w:rPr>
              <w:t>2,</w:t>
            </w:r>
            <w:r w:rsidR="00E56E60">
              <w:rPr>
                <w:rFonts w:ascii="Times New Roman" w:hAnsi="Times New Roman"/>
                <w:color w:val="000000"/>
              </w:rPr>
              <w:t>772</w:t>
            </w:r>
          </w:p>
        </w:tc>
        <w:tc>
          <w:tcPr>
            <w:tcW w:w="1305" w:type="dxa"/>
            <w:tcBorders>
              <w:left w:val="single" w:sz="12" w:space="0" w:color="auto"/>
            </w:tcBorders>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240</w:t>
            </w:r>
          </w:p>
        </w:tc>
        <w:tc>
          <w:tcPr>
            <w:tcW w:w="1395" w:type="dxa"/>
            <w:tcBorders>
              <w:right w:val="single" w:sz="12" w:space="0" w:color="auto"/>
            </w:tcBorders>
            <w:vAlign w:val="center"/>
          </w:tcPr>
          <w:p w:rsidR="008B32E6" w:rsidRPr="00AC7EA2" w:rsidRDefault="008B32E6" w:rsidP="00E56E60">
            <w:pPr>
              <w:rPr>
                <w:rFonts w:ascii="Times New Roman" w:hAnsi="Times New Roman"/>
                <w:color w:val="000000"/>
              </w:rPr>
            </w:pPr>
            <w:r w:rsidRPr="00AC7EA2">
              <w:rPr>
                <w:rFonts w:ascii="Times New Roman" w:hAnsi="Times New Roman"/>
                <w:color w:val="000000"/>
              </w:rPr>
              <w:t>1,</w:t>
            </w:r>
            <w:r w:rsidR="00E56E60">
              <w:rPr>
                <w:rFonts w:ascii="Times New Roman" w:hAnsi="Times New Roman"/>
                <w:color w:val="000000"/>
              </w:rPr>
              <w:t>542</w:t>
            </w:r>
          </w:p>
        </w:tc>
        <w:tc>
          <w:tcPr>
            <w:tcW w:w="1275" w:type="dxa"/>
            <w:tcBorders>
              <w:left w:val="single" w:sz="12" w:space="0" w:color="auto"/>
            </w:tcBorders>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240</w:t>
            </w:r>
          </w:p>
        </w:tc>
        <w:tc>
          <w:tcPr>
            <w:tcW w:w="1335" w:type="dxa"/>
            <w:vAlign w:val="center"/>
          </w:tcPr>
          <w:p w:rsidR="008B32E6" w:rsidRPr="00AC7EA2" w:rsidRDefault="008B32E6" w:rsidP="00FB1EF6">
            <w:pPr>
              <w:rPr>
                <w:rFonts w:ascii="Times New Roman" w:hAnsi="Times New Roman"/>
                <w:color w:val="000000"/>
              </w:rPr>
            </w:pPr>
            <w:r w:rsidRPr="00AC7EA2">
              <w:rPr>
                <w:rFonts w:ascii="Times New Roman" w:hAnsi="Times New Roman"/>
                <w:color w:val="000000"/>
              </w:rPr>
              <w:t>4,</w:t>
            </w:r>
            <w:r w:rsidR="00FB1EF6">
              <w:rPr>
                <w:rFonts w:ascii="Times New Roman" w:hAnsi="Times New Roman"/>
                <w:color w:val="000000"/>
              </w:rPr>
              <w:t>314</w:t>
            </w:r>
          </w:p>
        </w:tc>
      </w:tr>
      <w:tr w:rsidR="008B32E6" w:rsidRPr="00AC7EA2" w:rsidTr="00587481">
        <w:trPr>
          <w:cantSplit/>
        </w:trPr>
        <w:tc>
          <w:tcPr>
            <w:tcW w:w="1998" w:type="dxa"/>
            <w:tcBorders>
              <w:bottom w:val="single" w:sz="12" w:space="0" w:color="auto"/>
              <w:right w:val="single" w:sz="12" w:space="0" w:color="auto"/>
            </w:tcBorders>
            <w:vAlign w:val="center"/>
          </w:tcPr>
          <w:p w:rsidR="008B32E6" w:rsidRPr="00AC7EA2" w:rsidRDefault="008B32E6" w:rsidP="005F201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1335" w:type="dxa"/>
            <w:tcBorders>
              <w:left w:val="single" w:sz="12" w:space="0" w:color="auto"/>
              <w:bottom w:val="single" w:sz="12" w:space="0" w:color="auto"/>
            </w:tcBorders>
            <w:shd w:val="clear" w:color="auto" w:fill="auto"/>
            <w:vAlign w:val="center"/>
          </w:tcPr>
          <w:p w:rsidR="008B32E6" w:rsidRPr="00AC7EA2" w:rsidRDefault="008B32E6" w:rsidP="005F2016">
            <w:pPr>
              <w:pStyle w:val="ListBullet"/>
              <w:rPr>
                <w:rFonts w:ascii="Times New Roman" w:hAnsi="Times New Roman"/>
              </w:rPr>
            </w:pPr>
            <w:r w:rsidRPr="00AC7EA2">
              <w:rPr>
                <w:rFonts w:ascii="Times New Roman" w:hAnsi="Times New Roman"/>
              </w:rPr>
              <w:t>0</w:t>
            </w:r>
          </w:p>
        </w:tc>
        <w:tc>
          <w:tcPr>
            <w:tcW w:w="1365" w:type="dxa"/>
            <w:tcBorders>
              <w:bottom w:val="single" w:sz="12" w:space="0" w:color="auto"/>
              <w:right w:val="single" w:sz="12" w:space="0" w:color="auto"/>
            </w:tcBorders>
            <w:shd w:val="clear" w:color="auto" w:fill="auto"/>
            <w:vAlign w:val="center"/>
          </w:tcPr>
          <w:p w:rsidR="008B32E6" w:rsidRPr="00AC7EA2" w:rsidRDefault="008B32E6" w:rsidP="00E56E60">
            <w:pPr>
              <w:rPr>
                <w:rFonts w:ascii="Times New Roman" w:hAnsi="Times New Roman"/>
                <w:color w:val="000000"/>
              </w:rPr>
            </w:pPr>
            <w:r w:rsidRPr="00AC7EA2">
              <w:rPr>
                <w:rFonts w:ascii="Times New Roman" w:hAnsi="Times New Roman"/>
                <w:color w:val="000000"/>
              </w:rPr>
              <w:t>12,</w:t>
            </w:r>
            <w:r w:rsidR="00E56E60">
              <w:rPr>
                <w:rFonts w:ascii="Times New Roman" w:hAnsi="Times New Roman"/>
                <w:color w:val="000000"/>
              </w:rPr>
              <w:t>348</w:t>
            </w:r>
          </w:p>
        </w:tc>
        <w:tc>
          <w:tcPr>
            <w:tcW w:w="1305" w:type="dxa"/>
            <w:tcBorders>
              <w:left w:val="single" w:sz="12" w:space="0" w:color="auto"/>
              <w:bottom w:val="single" w:sz="12" w:space="0" w:color="auto"/>
            </w:tcBorders>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1,136</w:t>
            </w:r>
          </w:p>
        </w:tc>
        <w:tc>
          <w:tcPr>
            <w:tcW w:w="1395" w:type="dxa"/>
            <w:tcBorders>
              <w:bottom w:val="single" w:sz="12" w:space="0" w:color="auto"/>
              <w:right w:val="single" w:sz="12" w:space="0" w:color="auto"/>
            </w:tcBorders>
            <w:vAlign w:val="center"/>
          </w:tcPr>
          <w:p w:rsidR="008B32E6" w:rsidRPr="00AC7EA2" w:rsidRDefault="00E56E60" w:rsidP="005F2016">
            <w:pPr>
              <w:rPr>
                <w:rFonts w:ascii="Times New Roman" w:hAnsi="Times New Roman"/>
                <w:color w:val="000000"/>
              </w:rPr>
            </w:pPr>
            <w:r>
              <w:rPr>
                <w:rFonts w:ascii="Times New Roman" w:hAnsi="Times New Roman"/>
                <w:color w:val="000000"/>
              </w:rPr>
              <w:t>6,802</w:t>
            </w:r>
          </w:p>
        </w:tc>
        <w:tc>
          <w:tcPr>
            <w:tcW w:w="1275" w:type="dxa"/>
            <w:tcBorders>
              <w:left w:val="single" w:sz="12" w:space="0" w:color="auto"/>
              <w:bottom w:val="single" w:sz="12" w:space="0" w:color="auto"/>
            </w:tcBorders>
            <w:vAlign w:val="center"/>
          </w:tcPr>
          <w:p w:rsidR="008B32E6" w:rsidRPr="00AC7EA2" w:rsidRDefault="008B32E6" w:rsidP="005F2016">
            <w:pPr>
              <w:rPr>
                <w:rFonts w:ascii="Times New Roman" w:hAnsi="Times New Roman"/>
                <w:color w:val="000000"/>
              </w:rPr>
            </w:pPr>
            <w:r w:rsidRPr="00AC7EA2">
              <w:rPr>
                <w:rFonts w:ascii="Times New Roman" w:hAnsi="Times New Roman"/>
                <w:color w:val="000000"/>
              </w:rPr>
              <w:t>1,136</w:t>
            </w:r>
          </w:p>
        </w:tc>
        <w:tc>
          <w:tcPr>
            <w:tcW w:w="1335" w:type="dxa"/>
            <w:tcBorders>
              <w:bottom w:val="single" w:sz="12" w:space="0" w:color="auto"/>
            </w:tcBorders>
            <w:vAlign w:val="center"/>
          </w:tcPr>
          <w:p w:rsidR="008B32E6" w:rsidRPr="00AC7EA2" w:rsidRDefault="008B32E6" w:rsidP="00FB1EF6">
            <w:pPr>
              <w:rPr>
                <w:rFonts w:ascii="Times New Roman" w:hAnsi="Times New Roman"/>
                <w:color w:val="000000"/>
              </w:rPr>
            </w:pPr>
            <w:r w:rsidRPr="00AC7EA2">
              <w:rPr>
                <w:rFonts w:ascii="Times New Roman" w:hAnsi="Times New Roman"/>
                <w:color w:val="000000"/>
              </w:rPr>
              <w:t>1</w:t>
            </w:r>
            <w:r w:rsidR="00FB1EF6">
              <w:rPr>
                <w:rFonts w:ascii="Times New Roman" w:hAnsi="Times New Roman"/>
                <w:color w:val="000000"/>
              </w:rPr>
              <w:t>9</w:t>
            </w:r>
            <w:r w:rsidRPr="00AC7EA2">
              <w:rPr>
                <w:rFonts w:ascii="Times New Roman" w:hAnsi="Times New Roman"/>
                <w:color w:val="000000"/>
              </w:rPr>
              <w:t>,</w:t>
            </w:r>
            <w:r w:rsidR="00FB1EF6">
              <w:rPr>
                <w:rFonts w:ascii="Times New Roman" w:hAnsi="Times New Roman"/>
                <w:color w:val="000000"/>
              </w:rPr>
              <w:t>150</w:t>
            </w:r>
          </w:p>
        </w:tc>
      </w:tr>
      <w:tr w:rsidR="008B32E6" w:rsidRPr="00AC7EA2" w:rsidTr="00587481">
        <w:trPr>
          <w:cantSplit/>
        </w:trPr>
        <w:tc>
          <w:tcPr>
            <w:tcW w:w="1998" w:type="dxa"/>
            <w:tcBorders>
              <w:top w:val="single" w:sz="12" w:space="0" w:color="auto"/>
              <w:right w:val="single" w:sz="12" w:space="0" w:color="auto"/>
            </w:tcBorders>
            <w:vAlign w:val="center"/>
          </w:tcPr>
          <w:p w:rsidR="008B32E6" w:rsidRPr="00AC7EA2" w:rsidRDefault="008B32E6" w:rsidP="005F201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rPr>
            </w:pPr>
            <w:r w:rsidRPr="00AC7EA2">
              <w:rPr>
                <w:rFonts w:ascii="Times New Roman" w:hAnsi="Times New Roman"/>
                <w:b/>
              </w:rPr>
              <w:t>TOTAL</w:t>
            </w:r>
          </w:p>
        </w:tc>
        <w:tc>
          <w:tcPr>
            <w:tcW w:w="1335" w:type="dxa"/>
            <w:tcBorders>
              <w:top w:val="single" w:sz="12" w:space="0" w:color="auto"/>
              <w:left w:val="single" w:sz="12" w:space="0" w:color="auto"/>
            </w:tcBorders>
            <w:shd w:val="clear" w:color="auto" w:fill="auto"/>
            <w:vAlign w:val="center"/>
          </w:tcPr>
          <w:p w:rsidR="008B32E6" w:rsidRPr="00AC7EA2" w:rsidRDefault="008B32E6" w:rsidP="005F2016">
            <w:pPr>
              <w:pStyle w:val="ListBullet"/>
              <w:rPr>
                <w:rFonts w:ascii="Times New Roman" w:hAnsi="Times New Roman"/>
              </w:rPr>
            </w:pPr>
            <w:r w:rsidRPr="00AC7EA2">
              <w:rPr>
                <w:rFonts w:ascii="Times New Roman" w:hAnsi="Times New Roman"/>
              </w:rPr>
              <w:t>0</w:t>
            </w:r>
          </w:p>
        </w:tc>
        <w:tc>
          <w:tcPr>
            <w:tcW w:w="1365" w:type="dxa"/>
            <w:tcBorders>
              <w:top w:val="single" w:sz="12" w:space="0" w:color="auto"/>
              <w:right w:val="single" w:sz="12" w:space="0" w:color="auto"/>
            </w:tcBorders>
            <w:shd w:val="clear" w:color="auto" w:fill="auto"/>
            <w:vAlign w:val="center"/>
          </w:tcPr>
          <w:p w:rsidR="008B32E6" w:rsidRPr="00AC7EA2" w:rsidRDefault="008B32E6" w:rsidP="00E56E60">
            <w:pPr>
              <w:rPr>
                <w:rFonts w:ascii="Times New Roman" w:hAnsi="Times New Roman"/>
                <w:b/>
                <w:color w:val="000000"/>
              </w:rPr>
            </w:pPr>
            <w:r w:rsidRPr="00AC7EA2">
              <w:rPr>
                <w:rFonts w:ascii="Times New Roman" w:hAnsi="Times New Roman"/>
                <w:b/>
                <w:color w:val="000000"/>
              </w:rPr>
              <w:t>15,</w:t>
            </w:r>
            <w:r w:rsidR="00E56E60">
              <w:rPr>
                <w:rFonts w:ascii="Times New Roman" w:hAnsi="Times New Roman"/>
                <w:b/>
                <w:color w:val="000000"/>
              </w:rPr>
              <w:t>792</w:t>
            </w:r>
          </w:p>
        </w:tc>
        <w:tc>
          <w:tcPr>
            <w:tcW w:w="1305" w:type="dxa"/>
            <w:tcBorders>
              <w:top w:val="single" w:sz="12" w:space="0" w:color="auto"/>
              <w:left w:val="single" w:sz="12" w:space="0" w:color="auto"/>
            </w:tcBorders>
            <w:vAlign w:val="center"/>
          </w:tcPr>
          <w:p w:rsidR="008B32E6" w:rsidRPr="00AC7EA2" w:rsidRDefault="008B32E6" w:rsidP="00AE7267">
            <w:pPr>
              <w:rPr>
                <w:rFonts w:ascii="Times New Roman" w:hAnsi="Times New Roman"/>
                <w:b/>
                <w:color w:val="000000"/>
              </w:rPr>
            </w:pPr>
            <w:r w:rsidRPr="00AC7EA2">
              <w:rPr>
                <w:rFonts w:ascii="Times New Roman" w:hAnsi="Times New Roman"/>
                <w:b/>
                <w:color w:val="000000"/>
              </w:rPr>
              <w:t>1,4</w:t>
            </w:r>
            <w:r w:rsidR="00AE7267">
              <w:rPr>
                <w:rFonts w:ascii="Times New Roman" w:hAnsi="Times New Roman"/>
                <w:b/>
                <w:color w:val="000000"/>
              </w:rPr>
              <w:t>40</w:t>
            </w:r>
          </w:p>
        </w:tc>
        <w:tc>
          <w:tcPr>
            <w:tcW w:w="1395" w:type="dxa"/>
            <w:tcBorders>
              <w:top w:val="single" w:sz="12" w:space="0" w:color="auto"/>
              <w:right w:val="single" w:sz="12" w:space="0" w:color="auto"/>
            </w:tcBorders>
            <w:vAlign w:val="center"/>
          </w:tcPr>
          <w:p w:rsidR="008B32E6" w:rsidRPr="00AC7EA2" w:rsidRDefault="00E56E60" w:rsidP="005F2016">
            <w:pPr>
              <w:rPr>
                <w:rFonts w:ascii="Times New Roman" w:hAnsi="Times New Roman"/>
                <w:b/>
                <w:color w:val="000000"/>
              </w:rPr>
            </w:pPr>
            <w:r>
              <w:rPr>
                <w:rFonts w:ascii="Times New Roman" w:hAnsi="Times New Roman"/>
                <w:b/>
                <w:color w:val="000000"/>
              </w:rPr>
              <w:t>8,712</w:t>
            </w:r>
          </w:p>
        </w:tc>
        <w:tc>
          <w:tcPr>
            <w:tcW w:w="1275" w:type="dxa"/>
            <w:tcBorders>
              <w:top w:val="single" w:sz="12" w:space="0" w:color="auto"/>
              <w:left w:val="single" w:sz="12" w:space="0" w:color="auto"/>
            </w:tcBorders>
            <w:vAlign w:val="center"/>
          </w:tcPr>
          <w:p w:rsidR="008B32E6" w:rsidRPr="00AC7EA2" w:rsidRDefault="008B32E6" w:rsidP="005F2016">
            <w:pPr>
              <w:rPr>
                <w:rFonts w:ascii="Times New Roman" w:hAnsi="Times New Roman"/>
                <w:b/>
                <w:bCs/>
                <w:color w:val="000000"/>
              </w:rPr>
            </w:pPr>
            <w:r w:rsidRPr="00AC7EA2">
              <w:rPr>
                <w:rFonts w:ascii="Times New Roman" w:hAnsi="Times New Roman"/>
                <w:b/>
                <w:bCs/>
                <w:color w:val="000000"/>
              </w:rPr>
              <w:t>1,440</w:t>
            </w:r>
          </w:p>
        </w:tc>
        <w:tc>
          <w:tcPr>
            <w:tcW w:w="1335" w:type="dxa"/>
            <w:tcBorders>
              <w:top w:val="single" w:sz="12" w:space="0" w:color="auto"/>
            </w:tcBorders>
            <w:vAlign w:val="center"/>
          </w:tcPr>
          <w:p w:rsidR="008B32E6" w:rsidRPr="00AC7EA2" w:rsidRDefault="008B32E6" w:rsidP="00FB1EF6">
            <w:pPr>
              <w:rPr>
                <w:rFonts w:ascii="Times New Roman" w:hAnsi="Times New Roman"/>
                <w:b/>
                <w:color w:val="000000"/>
              </w:rPr>
            </w:pPr>
            <w:r w:rsidRPr="00AC7EA2">
              <w:rPr>
                <w:rFonts w:ascii="Times New Roman" w:hAnsi="Times New Roman"/>
                <w:b/>
                <w:color w:val="000000"/>
              </w:rPr>
              <w:t>2</w:t>
            </w:r>
            <w:r w:rsidR="00FB1EF6">
              <w:rPr>
                <w:rFonts w:ascii="Times New Roman" w:hAnsi="Times New Roman"/>
                <w:b/>
                <w:color w:val="000000"/>
              </w:rPr>
              <w:t>4</w:t>
            </w:r>
            <w:r w:rsidRPr="00AC7EA2">
              <w:rPr>
                <w:rFonts w:ascii="Times New Roman" w:hAnsi="Times New Roman"/>
                <w:b/>
                <w:color w:val="000000"/>
              </w:rPr>
              <w:t>,5</w:t>
            </w:r>
            <w:r w:rsidR="00FB1EF6">
              <w:rPr>
                <w:rFonts w:ascii="Times New Roman" w:hAnsi="Times New Roman"/>
                <w:b/>
                <w:color w:val="000000"/>
              </w:rPr>
              <w:t>0</w:t>
            </w:r>
            <w:r w:rsidRPr="00AC7EA2">
              <w:rPr>
                <w:rFonts w:ascii="Times New Roman" w:hAnsi="Times New Roman"/>
                <w:b/>
                <w:color w:val="000000"/>
              </w:rPr>
              <w:t>4</w:t>
            </w:r>
          </w:p>
        </w:tc>
      </w:tr>
    </w:tbl>
    <w:p w:rsidR="008B32E6" w:rsidRPr="00AC7EA2" w:rsidRDefault="008B32E6"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8B32E6" w:rsidRPr="00AC7EA2" w:rsidRDefault="008B32E6" w:rsidP="005F2016">
      <w:pPr>
        <w:rPr>
          <w:rFonts w:ascii="Times New Roman" w:hAnsi="Times New Roman"/>
        </w:rPr>
      </w:pPr>
    </w:p>
    <w:p w:rsidR="00E55F6A" w:rsidRPr="00AC7EA2" w:rsidRDefault="00E55F6A" w:rsidP="005F2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00025" w:rsidRPr="00AC7EA2" w:rsidRDefault="00600025" w:rsidP="005F2016">
      <w:pPr>
        <w:rPr>
          <w:rFonts w:ascii="Times New Roman" w:hAnsi="Times New Roman"/>
          <w:b/>
          <w:u w:val="single"/>
        </w:rPr>
      </w:pPr>
      <w:r w:rsidRPr="00AC7EA2">
        <w:rPr>
          <w:rFonts w:ascii="Times New Roman" w:hAnsi="Times New Roman"/>
          <w:b/>
          <w:u w:val="single"/>
        </w:rPr>
        <w:t xml:space="preserve">Examples of How Data Collected through SAMHSA Minority AIDS Initiative </w:t>
      </w:r>
      <w:r w:rsidR="00BC6CFB" w:rsidRPr="00AC7EA2">
        <w:rPr>
          <w:rFonts w:ascii="Times New Roman" w:hAnsi="Times New Roman"/>
          <w:b/>
          <w:u w:val="single"/>
        </w:rPr>
        <w:t xml:space="preserve">have been </w:t>
      </w:r>
      <w:proofErr w:type="gramStart"/>
      <w:r w:rsidRPr="00AC7EA2">
        <w:rPr>
          <w:rFonts w:ascii="Times New Roman" w:hAnsi="Times New Roman"/>
          <w:b/>
          <w:u w:val="single"/>
        </w:rPr>
        <w:t>Used</w:t>
      </w:r>
      <w:proofErr w:type="gramEnd"/>
    </w:p>
    <w:p w:rsidR="00600025" w:rsidRPr="00AC7EA2" w:rsidRDefault="00600025" w:rsidP="005F2016">
      <w:pPr>
        <w:rPr>
          <w:rFonts w:ascii="Times New Roman" w:hAnsi="Times New Roman"/>
        </w:rPr>
      </w:pPr>
    </w:p>
    <w:p w:rsidR="00600025" w:rsidRPr="00AC7EA2" w:rsidRDefault="001213F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Cross-site evaluation</w:t>
      </w:r>
      <w:r w:rsidR="00600025" w:rsidRPr="00AC7EA2">
        <w:rPr>
          <w:rFonts w:ascii="Times New Roman" w:hAnsi="Times New Roman"/>
        </w:rPr>
        <w:t xml:space="preserve"> findings have and will continue to be used </w:t>
      </w:r>
      <w:r w:rsidR="00FA7D98" w:rsidRPr="00AC7EA2">
        <w:rPr>
          <w:rFonts w:ascii="Times New Roman" w:hAnsi="Times New Roman"/>
        </w:rPr>
        <w:t xml:space="preserve">for multiple purposes including: 1) </w:t>
      </w:r>
      <w:r w:rsidR="00600025" w:rsidRPr="00AC7EA2">
        <w:rPr>
          <w:rFonts w:ascii="Times New Roman" w:hAnsi="Times New Roman"/>
        </w:rPr>
        <w:t xml:space="preserve">to improve program performance, </w:t>
      </w:r>
      <w:r w:rsidR="00FA7D98" w:rsidRPr="00AC7EA2">
        <w:rPr>
          <w:rFonts w:ascii="Times New Roman" w:hAnsi="Times New Roman"/>
        </w:rPr>
        <w:t xml:space="preserve">2) </w:t>
      </w:r>
      <w:r w:rsidR="00600025" w:rsidRPr="00AC7EA2">
        <w:rPr>
          <w:rFonts w:ascii="Times New Roman" w:hAnsi="Times New Roman"/>
        </w:rPr>
        <w:t xml:space="preserve">meet statutory/regulatory requirements, and </w:t>
      </w:r>
      <w:r w:rsidR="00FA7D98" w:rsidRPr="00AC7EA2">
        <w:rPr>
          <w:rFonts w:ascii="Times New Roman" w:hAnsi="Times New Roman"/>
        </w:rPr>
        <w:t xml:space="preserve">3) </w:t>
      </w:r>
      <w:r w:rsidR="00587481" w:rsidRPr="00AC7EA2">
        <w:rPr>
          <w:rFonts w:ascii="Times New Roman" w:hAnsi="Times New Roman"/>
        </w:rPr>
        <w:t>contribute to extant knowledge</w:t>
      </w:r>
      <w:r w:rsidR="00600025" w:rsidRPr="00AC7EA2">
        <w:rPr>
          <w:rFonts w:ascii="Times New Roman" w:hAnsi="Times New Roman"/>
        </w:rPr>
        <w:t xml:space="preserve"> about factors associated with substance use and HIV risk behaviors among minority populations</w:t>
      </w:r>
      <w:r w:rsidR="00587481" w:rsidRPr="00AC7EA2">
        <w:rPr>
          <w:rFonts w:ascii="Times New Roman" w:hAnsi="Times New Roman"/>
        </w:rPr>
        <w:t>.</w:t>
      </w:r>
      <w:r w:rsidR="00600025" w:rsidRPr="00AC7EA2">
        <w:rPr>
          <w:rFonts w:ascii="Times New Roman" w:hAnsi="Times New Roman"/>
        </w:rPr>
        <w:t xml:space="preserve"> </w:t>
      </w:r>
    </w:p>
    <w:p w:rsidR="00600025" w:rsidRPr="00AC7EA2" w:rsidRDefault="0060002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00025" w:rsidRPr="00AC7EA2" w:rsidRDefault="0060002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In order to improve program performance, CSAP shares the most recent program performance data and related outcomes </w:t>
      </w:r>
      <w:r w:rsidR="00F8231D" w:rsidRPr="00AC7EA2">
        <w:rPr>
          <w:rFonts w:ascii="Times New Roman" w:hAnsi="Times New Roman"/>
        </w:rPr>
        <w:t xml:space="preserve">with </w:t>
      </w:r>
      <w:r w:rsidRPr="00AC7EA2">
        <w:rPr>
          <w:rFonts w:ascii="Times New Roman" w:hAnsi="Times New Roman"/>
        </w:rPr>
        <w:t>grantees, stakeholders, and other Federal officials at MAI grantee meetings</w:t>
      </w:r>
      <w:r w:rsidR="0091485E" w:rsidRPr="00AC7EA2">
        <w:rPr>
          <w:rFonts w:ascii="Times New Roman" w:hAnsi="Times New Roman"/>
        </w:rPr>
        <w:t xml:space="preserve"> and webinars</w:t>
      </w:r>
      <w:r w:rsidRPr="00AC7EA2">
        <w:rPr>
          <w:rFonts w:ascii="Times New Roman" w:hAnsi="Times New Roman"/>
        </w:rPr>
        <w:t xml:space="preserve">. These findings are then used to inform program direction and identify and address weaknesses. </w:t>
      </w:r>
    </w:p>
    <w:p w:rsidR="00600025" w:rsidRPr="00AC7EA2" w:rsidRDefault="0060002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00025" w:rsidRPr="00AC7EA2" w:rsidRDefault="0060002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SAMHSA</w:t>
      </w:r>
      <w:r w:rsidR="001213F2" w:rsidRPr="00AC7EA2">
        <w:rPr>
          <w:rFonts w:ascii="Times New Roman" w:hAnsi="Times New Roman"/>
        </w:rPr>
        <w:t>/CSAP</w:t>
      </w:r>
      <w:r w:rsidRPr="00AC7EA2">
        <w:rPr>
          <w:rFonts w:ascii="Times New Roman" w:hAnsi="Times New Roman"/>
        </w:rPr>
        <w:t xml:space="preserve"> must collect these data to meet its federal requirements specified in the ADAMHA Reorganization Act of 1992 (PL 102-321), as well as the </w:t>
      </w:r>
      <w:r w:rsidR="00D357BD" w:rsidRPr="00AC7EA2">
        <w:rPr>
          <w:rFonts w:ascii="Times New Roman" w:hAnsi="Times New Roman"/>
        </w:rPr>
        <w:t>Government Performance and Results Act (</w:t>
      </w:r>
      <w:r w:rsidRPr="00AC7EA2">
        <w:rPr>
          <w:rFonts w:ascii="Times New Roman" w:hAnsi="Times New Roman"/>
        </w:rPr>
        <w:t>GPRA</w:t>
      </w:r>
      <w:r w:rsidR="00D357BD" w:rsidRPr="00AC7EA2">
        <w:rPr>
          <w:rFonts w:ascii="Times New Roman" w:hAnsi="Times New Roman"/>
        </w:rPr>
        <w:t>) of 1993 and the GPRA</w:t>
      </w:r>
      <w:r w:rsidRPr="00AC7EA2">
        <w:rPr>
          <w:rFonts w:ascii="Times New Roman" w:hAnsi="Times New Roman"/>
        </w:rPr>
        <w:t xml:space="preserve"> Modernization Act of 2010 (PL 111-352). According to the ADAMHA Reorganization Act of 1992 (Section 516) “the Director of the Prevention Center, shall: (a) provide assistance to communities to develop comprehensive long-term strategies for the prevention of substance abuse; and (b) evaluate the success of different community approaches toward the prevention of such </w:t>
      </w:r>
      <w:r w:rsidR="001213F2" w:rsidRPr="00AC7EA2">
        <w:rPr>
          <w:rFonts w:ascii="Times New Roman" w:hAnsi="Times New Roman"/>
        </w:rPr>
        <w:t xml:space="preserve">abuse. </w:t>
      </w:r>
      <w:r w:rsidRPr="00AC7EA2">
        <w:rPr>
          <w:rFonts w:ascii="Times New Roman" w:hAnsi="Times New Roman"/>
        </w:rPr>
        <w:t xml:space="preserve">These requirements specify that SAMHSA evaluate this program, identify strengths and weakness, and assist the Director in making decisions necessary to strengthen the program and comply with this federal statute. In addition, data collected through the MAI </w:t>
      </w:r>
      <w:r w:rsidR="00F8231D" w:rsidRPr="00AC7EA2">
        <w:rPr>
          <w:rFonts w:ascii="Times New Roman" w:hAnsi="Times New Roman"/>
        </w:rPr>
        <w:t xml:space="preserve">cross-site evaluation </w:t>
      </w:r>
      <w:r w:rsidRPr="00AC7EA2">
        <w:rPr>
          <w:rFonts w:ascii="Times New Roman" w:hAnsi="Times New Roman"/>
        </w:rPr>
        <w:t>help SAMHSA comply with federal reporting requirements related to appropriations (i.e. GPRA</w:t>
      </w:r>
      <w:r w:rsidR="006E1140" w:rsidRPr="00AC7EA2">
        <w:rPr>
          <w:rFonts w:ascii="Times New Roman" w:hAnsi="Times New Roman"/>
        </w:rPr>
        <w:t>, NOMs,</w:t>
      </w:r>
      <w:r w:rsidR="003B7DA0" w:rsidRPr="00AC7EA2">
        <w:rPr>
          <w:rFonts w:ascii="Times New Roman" w:hAnsi="Times New Roman"/>
        </w:rPr>
        <w:t xml:space="preserve"> and the Departm</w:t>
      </w:r>
      <w:r w:rsidR="00CD2598" w:rsidRPr="00AC7EA2">
        <w:rPr>
          <w:rFonts w:ascii="Times New Roman" w:hAnsi="Times New Roman"/>
        </w:rPr>
        <w:t>ent of Health and Human Service</w:t>
      </w:r>
      <w:r w:rsidR="003B7DA0" w:rsidRPr="00AC7EA2">
        <w:rPr>
          <w:rFonts w:ascii="Times New Roman" w:hAnsi="Times New Roman"/>
        </w:rPr>
        <w:t>s Core HIV Indicators</w:t>
      </w:r>
      <w:r w:rsidRPr="00AC7EA2">
        <w:rPr>
          <w:rFonts w:ascii="Times New Roman" w:hAnsi="Times New Roman"/>
        </w:rPr>
        <w:t xml:space="preserve">). Currently, SAMHSA uses data collected through the MAI to report on </w:t>
      </w:r>
      <w:r w:rsidR="00F8231D" w:rsidRPr="00AC7EA2">
        <w:rPr>
          <w:rFonts w:ascii="Times New Roman" w:hAnsi="Times New Roman"/>
        </w:rPr>
        <w:t xml:space="preserve">five </w:t>
      </w:r>
      <w:r w:rsidRPr="00AC7EA2">
        <w:rPr>
          <w:rFonts w:ascii="Times New Roman" w:hAnsi="Times New Roman"/>
        </w:rPr>
        <w:t xml:space="preserve">performance measures. </w:t>
      </w:r>
    </w:p>
    <w:p w:rsidR="00600025" w:rsidRPr="00AC7EA2" w:rsidRDefault="0060002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00025" w:rsidRPr="00AC7EA2" w:rsidRDefault="0060002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MAI program findings on substance </w:t>
      </w:r>
      <w:r w:rsidR="001213F2" w:rsidRPr="00AC7EA2">
        <w:rPr>
          <w:rFonts w:ascii="Times New Roman" w:hAnsi="Times New Roman"/>
        </w:rPr>
        <w:t>ab</w:t>
      </w:r>
      <w:r w:rsidRPr="00AC7EA2">
        <w:rPr>
          <w:rFonts w:ascii="Times New Roman" w:hAnsi="Times New Roman"/>
        </w:rPr>
        <w:t xml:space="preserve">use and HIV risk behaviors have and continue to be widely disseminated through presentations and publications to </w:t>
      </w:r>
      <w:r w:rsidR="00FA078C" w:rsidRPr="00AC7EA2">
        <w:rPr>
          <w:rFonts w:ascii="Times New Roman" w:hAnsi="Times New Roman"/>
        </w:rPr>
        <w:t>inform the SA and HIV prevention research and practice communities</w:t>
      </w:r>
      <w:r w:rsidRPr="00AC7EA2">
        <w:rPr>
          <w:rFonts w:ascii="Times New Roman" w:hAnsi="Times New Roman"/>
        </w:rPr>
        <w:t xml:space="preserve">. For the past </w:t>
      </w:r>
      <w:r w:rsidR="000F105C" w:rsidRPr="00AC7EA2">
        <w:rPr>
          <w:rFonts w:ascii="Times New Roman" w:hAnsi="Times New Roman"/>
        </w:rPr>
        <w:t xml:space="preserve">nine </w:t>
      </w:r>
      <w:r w:rsidRPr="00AC7EA2">
        <w:rPr>
          <w:rFonts w:ascii="Times New Roman" w:hAnsi="Times New Roman"/>
        </w:rPr>
        <w:t xml:space="preserve">years, CSAP has presented findings obtained from data collected through the MAI </w:t>
      </w:r>
      <w:r w:rsidR="000F105C" w:rsidRPr="00AC7EA2">
        <w:rPr>
          <w:rFonts w:ascii="Times New Roman" w:hAnsi="Times New Roman"/>
        </w:rPr>
        <w:t xml:space="preserve">cross-site evaluation </w:t>
      </w:r>
      <w:r w:rsidRPr="00AC7EA2">
        <w:rPr>
          <w:rFonts w:ascii="Times New Roman" w:hAnsi="Times New Roman"/>
        </w:rPr>
        <w:t xml:space="preserve">at </w:t>
      </w:r>
      <w:r w:rsidR="000F105C" w:rsidRPr="00AC7EA2">
        <w:rPr>
          <w:rFonts w:ascii="Times New Roman" w:hAnsi="Times New Roman"/>
        </w:rPr>
        <w:t xml:space="preserve">national conferences held by organizations such as </w:t>
      </w:r>
      <w:r w:rsidRPr="00AC7EA2">
        <w:rPr>
          <w:rFonts w:ascii="Times New Roman" w:hAnsi="Times New Roman"/>
        </w:rPr>
        <w:t>the National Prevention Network</w:t>
      </w:r>
      <w:r w:rsidR="000F105C" w:rsidRPr="00AC7EA2">
        <w:rPr>
          <w:rFonts w:ascii="Times New Roman" w:hAnsi="Times New Roman"/>
        </w:rPr>
        <w:t>, the Society for Prevention Research, the American Evaluation Association, the American Public He</w:t>
      </w:r>
      <w:r w:rsidR="00D5539F" w:rsidRPr="00AC7EA2">
        <w:rPr>
          <w:rFonts w:ascii="Times New Roman" w:hAnsi="Times New Roman"/>
        </w:rPr>
        <w:t>alth Association, and the Americ</w:t>
      </w:r>
      <w:r w:rsidR="000F105C" w:rsidRPr="00AC7EA2">
        <w:rPr>
          <w:rFonts w:ascii="Times New Roman" w:hAnsi="Times New Roman"/>
        </w:rPr>
        <w:t>an Psychological Association</w:t>
      </w:r>
      <w:r w:rsidR="00D5539F" w:rsidRPr="00AC7EA2">
        <w:rPr>
          <w:rFonts w:ascii="Times New Roman" w:hAnsi="Times New Roman"/>
        </w:rPr>
        <w:t xml:space="preserve">. </w:t>
      </w:r>
      <w:r w:rsidR="000F105C" w:rsidRPr="00AC7EA2">
        <w:rPr>
          <w:rFonts w:ascii="Times New Roman" w:hAnsi="Times New Roman"/>
        </w:rPr>
        <w:t>These conferences are</w:t>
      </w:r>
      <w:r w:rsidRPr="00AC7EA2">
        <w:rPr>
          <w:rFonts w:ascii="Times New Roman" w:hAnsi="Times New Roman"/>
        </w:rPr>
        <w:t xml:space="preserve"> attended by leading researchers</w:t>
      </w:r>
      <w:r w:rsidR="000F105C" w:rsidRPr="00AC7EA2">
        <w:rPr>
          <w:rFonts w:ascii="Times New Roman" w:hAnsi="Times New Roman"/>
        </w:rPr>
        <w:t>, practitioners, and policy makers</w:t>
      </w:r>
      <w:r w:rsidRPr="00AC7EA2">
        <w:rPr>
          <w:rFonts w:ascii="Times New Roman" w:hAnsi="Times New Roman"/>
        </w:rPr>
        <w:t xml:space="preserve"> in the field of prevention</w:t>
      </w:r>
      <w:r w:rsidR="000F105C" w:rsidRPr="00AC7EA2">
        <w:rPr>
          <w:rFonts w:ascii="Times New Roman" w:hAnsi="Times New Roman"/>
        </w:rPr>
        <w:t xml:space="preserve"> and program evaluation.</w:t>
      </w:r>
      <w:r w:rsidRPr="00AC7EA2">
        <w:rPr>
          <w:rFonts w:ascii="Times New Roman" w:hAnsi="Times New Roman"/>
        </w:rPr>
        <w:t xml:space="preserve"> </w:t>
      </w:r>
      <w:r w:rsidR="00FC095B" w:rsidRPr="00AC7EA2">
        <w:rPr>
          <w:rFonts w:ascii="Times New Roman" w:hAnsi="Times New Roman"/>
        </w:rPr>
        <w:t>In addition</w:t>
      </w:r>
      <w:r w:rsidRPr="00AC7EA2">
        <w:rPr>
          <w:rFonts w:ascii="Times New Roman" w:hAnsi="Times New Roman"/>
        </w:rPr>
        <w:t>, using data from Cohort 3, CSAP and contract staff jointly published two peer-reviewed articles</w:t>
      </w:r>
      <w:r w:rsidR="00D5539F" w:rsidRPr="00AC7EA2">
        <w:rPr>
          <w:rFonts w:ascii="Times New Roman" w:hAnsi="Times New Roman"/>
        </w:rPr>
        <w:t>. O</w:t>
      </w:r>
      <w:r w:rsidRPr="00AC7EA2">
        <w:rPr>
          <w:rFonts w:ascii="Times New Roman" w:hAnsi="Times New Roman"/>
        </w:rPr>
        <w:t>ne</w:t>
      </w:r>
      <w:r w:rsidR="000F105C" w:rsidRPr="00AC7EA2">
        <w:rPr>
          <w:rFonts w:ascii="Times New Roman" w:hAnsi="Times New Roman"/>
        </w:rPr>
        <w:t xml:space="preserve"> </w:t>
      </w:r>
      <w:r w:rsidR="00D5539F" w:rsidRPr="00AC7EA2">
        <w:rPr>
          <w:rFonts w:ascii="Times New Roman" w:hAnsi="Times New Roman"/>
        </w:rPr>
        <w:t xml:space="preserve">was </w:t>
      </w:r>
      <w:r w:rsidR="000F105C" w:rsidRPr="00AC7EA2">
        <w:rPr>
          <w:rFonts w:ascii="Times New Roman" w:hAnsi="Times New Roman"/>
        </w:rPr>
        <w:t>a latent structure analysis of substance use and HIV risk behaviors among high-risk minority adults</w:t>
      </w:r>
      <w:r w:rsidR="002831DB" w:rsidRPr="00AC7EA2">
        <w:rPr>
          <w:rFonts w:ascii="Times New Roman" w:hAnsi="Times New Roman"/>
        </w:rPr>
        <w:t xml:space="preserve"> (</w:t>
      </w:r>
      <w:r w:rsidR="00F360AF" w:rsidRPr="00AC7EA2">
        <w:rPr>
          <w:rFonts w:ascii="Times New Roman" w:hAnsi="Times New Roman"/>
        </w:rPr>
        <w:t>Wang, et al., 2007)</w:t>
      </w:r>
      <w:r w:rsidRPr="00AC7EA2">
        <w:rPr>
          <w:rFonts w:ascii="Times New Roman" w:hAnsi="Times New Roman"/>
        </w:rPr>
        <w:t xml:space="preserve"> and the other </w:t>
      </w:r>
      <w:r w:rsidR="00D5539F" w:rsidRPr="00AC7EA2">
        <w:rPr>
          <w:rFonts w:ascii="Times New Roman" w:hAnsi="Times New Roman"/>
        </w:rPr>
        <w:t>was a structural equations analysis of HIV risk behaviors among sexually active minority adolescents</w:t>
      </w:r>
      <w:r w:rsidR="002831DB" w:rsidRPr="00AC7EA2">
        <w:rPr>
          <w:rFonts w:ascii="Times New Roman" w:hAnsi="Times New Roman"/>
        </w:rPr>
        <w:t xml:space="preserve"> </w:t>
      </w:r>
      <w:r w:rsidR="00F360AF" w:rsidRPr="00AC7EA2">
        <w:rPr>
          <w:rFonts w:ascii="Times New Roman" w:hAnsi="Times New Roman"/>
        </w:rPr>
        <w:t xml:space="preserve">(Bellamy et al., 2008). </w:t>
      </w:r>
      <w:r w:rsidR="00FC095B" w:rsidRPr="00AC7EA2">
        <w:rPr>
          <w:rFonts w:ascii="Times New Roman" w:hAnsi="Times New Roman"/>
        </w:rPr>
        <w:t xml:space="preserve"> </w:t>
      </w:r>
      <w:r w:rsidRPr="00AC7EA2">
        <w:rPr>
          <w:rFonts w:ascii="Times New Roman" w:hAnsi="Times New Roman"/>
        </w:rPr>
        <w:t xml:space="preserve">These </w:t>
      </w:r>
      <w:r w:rsidR="00D5539F" w:rsidRPr="00AC7EA2">
        <w:rPr>
          <w:rFonts w:ascii="Times New Roman" w:hAnsi="Times New Roman"/>
        </w:rPr>
        <w:t xml:space="preserve">presentations and </w:t>
      </w:r>
      <w:r w:rsidRPr="00AC7EA2">
        <w:rPr>
          <w:rFonts w:ascii="Times New Roman" w:hAnsi="Times New Roman"/>
        </w:rPr>
        <w:t xml:space="preserve">articles exemplify </w:t>
      </w:r>
      <w:r w:rsidR="00D5539F" w:rsidRPr="00AC7EA2">
        <w:rPr>
          <w:rFonts w:ascii="Times New Roman" w:hAnsi="Times New Roman"/>
        </w:rPr>
        <w:t xml:space="preserve">SAMHSA’s </w:t>
      </w:r>
      <w:r w:rsidRPr="00AC7EA2">
        <w:rPr>
          <w:rFonts w:ascii="Times New Roman" w:hAnsi="Times New Roman"/>
        </w:rPr>
        <w:t xml:space="preserve">continued contributions to the prevention field and to increased public awareness of factors associated with substance use and HIV risk behaviors among specific minority populations, through the use of data collected by </w:t>
      </w:r>
      <w:r w:rsidR="001213F2" w:rsidRPr="00AC7EA2">
        <w:rPr>
          <w:rFonts w:ascii="Times New Roman" w:hAnsi="Times New Roman"/>
        </w:rPr>
        <w:t>MAI</w:t>
      </w:r>
      <w:r w:rsidRPr="00AC7EA2">
        <w:rPr>
          <w:rFonts w:ascii="Times New Roman" w:hAnsi="Times New Roman"/>
        </w:rPr>
        <w:t xml:space="preserve"> grantees. </w:t>
      </w:r>
    </w:p>
    <w:p w:rsidR="00600025" w:rsidRPr="00AC7EA2" w:rsidRDefault="00600025" w:rsidP="005F2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3203FE"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A2. Purpose and Use of Information</w:t>
      </w:r>
    </w:p>
    <w:p w:rsidR="00DA2224" w:rsidRPr="00AC7EA2" w:rsidRDefault="0082479C"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color w:val="000000"/>
        </w:rPr>
      </w:pPr>
      <w:r w:rsidRPr="00AC7EA2">
        <w:rPr>
          <w:rStyle w:val="WP9BodyText"/>
          <w:rFonts w:ascii="Times New Roman" w:hAnsi="Times New Roman"/>
          <w:color w:val="000000"/>
        </w:rPr>
        <w:t>SAMHSA</w:t>
      </w:r>
      <w:r w:rsidR="0016207D" w:rsidRPr="00AC7EA2">
        <w:rPr>
          <w:rStyle w:val="WP9BodyText"/>
          <w:rFonts w:ascii="Times New Roman" w:hAnsi="Times New Roman"/>
          <w:color w:val="000000"/>
        </w:rPr>
        <w:t xml:space="preserve"> </w:t>
      </w:r>
      <w:r w:rsidR="000E59CD" w:rsidRPr="00AC7EA2">
        <w:rPr>
          <w:rStyle w:val="WP9BodyText"/>
          <w:rFonts w:ascii="Times New Roman" w:hAnsi="Times New Roman"/>
          <w:color w:val="000000"/>
        </w:rPr>
        <w:t>will</w:t>
      </w:r>
      <w:r w:rsidR="0016207D" w:rsidRPr="00AC7EA2">
        <w:rPr>
          <w:rStyle w:val="WP9BodyText"/>
          <w:rFonts w:ascii="Times New Roman" w:hAnsi="Times New Roman"/>
          <w:color w:val="000000"/>
        </w:rPr>
        <w:t xml:space="preserve"> continue to </w:t>
      </w:r>
      <w:r w:rsidRPr="00AC7EA2">
        <w:rPr>
          <w:rStyle w:val="WP9BodyText"/>
          <w:rFonts w:ascii="Times New Roman" w:hAnsi="Times New Roman"/>
          <w:color w:val="000000"/>
        </w:rPr>
        <w:t xml:space="preserve">contribute to </w:t>
      </w:r>
      <w:r w:rsidR="0016207D" w:rsidRPr="00AC7EA2">
        <w:rPr>
          <w:rStyle w:val="WP9BodyText"/>
          <w:rFonts w:ascii="Times New Roman" w:hAnsi="Times New Roman"/>
          <w:color w:val="000000"/>
        </w:rPr>
        <w:t xml:space="preserve">the nation’s </w:t>
      </w:r>
      <w:r w:rsidRPr="00AC7EA2">
        <w:rPr>
          <w:rStyle w:val="WP9BodyText"/>
          <w:rFonts w:ascii="Times New Roman" w:hAnsi="Times New Roman"/>
          <w:color w:val="000000"/>
        </w:rPr>
        <w:t xml:space="preserve">efforts to combat </w:t>
      </w:r>
      <w:r w:rsidR="0016207D" w:rsidRPr="00AC7EA2">
        <w:rPr>
          <w:rStyle w:val="WP9BodyText"/>
          <w:rFonts w:ascii="Times New Roman" w:hAnsi="Times New Roman"/>
          <w:color w:val="000000"/>
        </w:rPr>
        <w:t xml:space="preserve">the HIV/AIDS epidemic </w:t>
      </w:r>
      <w:r w:rsidR="00CA2958" w:rsidRPr="00AC7EA2">
        <w:rPr>
          <w:rStyle w:val="WP9BodyText"/>
          <w:rFonts w:ascii="Times New Roman" w:hAnsi="Times New Roman"/>
          <w:color w:val="000000"/>
        </w:rPr>
        <w:t xml:space="preserve">by continuing </w:t>
      </w:r>
      <w:r w:rsidR="0016207D" w:rsidRPr="00AC7EA2">
        <w:rPr>
          <w:rStyle w:val="WP9BodyText"/>
          <w:rFonts w:ascii="Times New Roman" w:hAnsi="Times New Roman"/>
          <w:color w:val="000000"/>
        </w:rPr>
        <w:t xml:space="preserve">the current </w:t>
      </w:r>
      <w:r w:rsidR="00886C51" w:rsidRPr="00AC7EA2">
        <w:rPr>
          <w:rStyle w:val="WP9BodyText"/>
          <w:rFonts w:ascii="Times New Roman" w:hAnsi="Times New Roman"/>
          <w:color w:val="000000"/>
        </w:rPr>
        <w:t>cross-site evaluation</w:t>
      </w:r>
      <w:r w:rsidR="00FA078C" w:rsidRPr="00AC7EA2">
        <w:rPr>
          <w:rStyle w:val="WP9BodyText"/>
          <w:rFonts w:ascii="Times New Roman" w:hAnsi="Times New Roman"/>
          <w:color w:val="000000"/>
        </w:rPr>
        <w:t xml:space="preserve"> of the MAI program</w:t>
      </w:r>
      <w:r w:rsidR="00CA2958" w:rsidRPr="00AC7EA2">
        <w:rPr>
          <w:rStyle w:val="WP9BodyText"/>
          <w:rFonts w:ascii="Times New Roman" w:hAnsi="Times New Roman"/>
          <w:color w:val="000000"/>
        </w:rPr>
        <w:t>. This includes</w:t>
      </w:r>
      <w:r w:rsidR="004F2A07" w:rsidRPr="00AC7EA2">
        <w:rPr>
          <w:rStyle w:val="WP9BodyText"/>
          <w:rFonts w:ascii="Times New Roman" w:hAnsi="Times New Roman"/>
        </w:rPr>
        <w:t xml:space="preserve"> </w:t>
      </w:r>
      <w:r w:rsidR="009714E2" w:rsidRPr="00AC7EA2">
        <w:rPr>
          <w:rStyle w:val="WP9BodyText"/>
          <w:rFonts w:ascii="Times New Roman" w:hAnsi="Times New Roman"/>
        </w:rPr>
        <w:t>data collection and analysis designed to advance the current state of knowledge about the effectiveness of prevention programs for minority populations at risk for SA</w:t>
      </w:r>
      <w:r w:rsidR="00422597" w:rsidRPr="00AC7EA2">
        <w:rPr>
          <w:rStyle w:val="WP9BodyText"/>
          <w:rFonts w:ascii="Times New Roman" w:hAnsi="Times New Roman"/>
        </w:rPr>
        <w:t xml:space="preserve"> and</w:t>
      </w:r>
      <w:r w:rsidR="009714E2" w:rsidRPr="00AC7EA2">
        <w:rPr>
          <w:rStyle w:val="WP9BodyText"/>
          <w:rFonts w:ascii="Times New Roman" w:hAnsi="Times New Roman"/>
        </w:rPr>
        <w:t xml:space="preserve"> HIV/AIDS</w:t>
      </w:r>
      <w:r w:rsidR="00CA2958" w:rsidRPr="00AC7EA2">
        <w:rPr>
          <w:rStyle w:val="WP9BodyText"/>
          <w:rFonts w:ascii="Times New Roman" w:hAnsi="Times New Roman"/>
        </w:rPr>
        <w:t xml:space="preserve"> along with providing</w:t>
      </w:r>
      <w:r w:rsidR="009714E2" w:rsidRPr="00AC7EA2">
        <w:rPr>
          <w:rStyle w:val="WP9BodyText"/>
          <w:rFonts w:ascii="Times New Roman" w:hAnsi="Times New Roman"/>
        </w:rPr>
        <w:t xml:space="preserve"> evidence and conclusions for disseminating optimally effective prevention </w:t>
      </w:r>
      <w:r w:rsidR="004F2A07" w:rsidRPr="00AC7EA2">
        <w:rPr>
          <w:rStyle w:val="WP9BodyText"/>
          <w:rFonts w:ascii="Times New Roman" w:hAnsi="Times New Roman"/>
        </w:rPr>
        <w:t xml:space="preserve">strategies </w:t>
      </w:r>
      <w:r w:rsidR="009714E2" w:rsidRPr="00AC7EA2">
        <w:rPr>
          <w:rStyle w:val="WP9BodyText"/>
          <w:rFonts w:ascii="Times New Roman" w:hAnsi="Times New Roman"/>
        </w:rPr>
        <w:t xml:space="preserve">and programs. </w:t>
      </w:r>
      <w:r w:rsidR="0095167B" w:rsidRPr="00AC7EA2">
        <w:rPr>
          <w:rStyle w:val="WP9BodyText"/>
          <w:rFonts w:ascii="Times New Roman" w:hAnsi="Times New Roman"/>
        </w:rPr>
        <w:t xml:space="preserve">Information collected will be used by </w:t>
      </w:r>
      <w:r w:rsidR="004F2A07" w:rsidRPr="00AC7EA2">
        <w:rPr>
          <w:rStyle w:val="WP9BodyText"/>
          <w:rFonts w:ascii="Times New Roman" w:hAnsi="Times New Roman"/>
        </w:rPr>
        <w:t>SAMHSA/</w:t>
      </w:r>
      <w:r w:rsidR="009714E2" w:rsidRPr="00AC7EA2">
        <w:rPr>
          <w:rStyle w:val="WP9BodyText"/>
          <w:rFonts w:ascii="Times New Roman" w:hAnsi="Times New Roman"/>
        </w:rPr>
        <w:t xml:space="preserve">CSAP and other </w:t>
      </w:r>
      <w:r w:rsidR="001213F2" w:rsidRPr="00AC7EA2">
        <w:rPr>
          <w:rStyle w:val="WP9BodyText"/>
          <w:rFonts w:ascii="Times New Roman" w:hAnsi="Times New Roman"/>
        </w:rPr>
        <w:t>f</w:t>
      </w:r>
      <w:r w:rsidR="009714E2" w:rsidRPr="00AC7EA2">
        <w:rPr>
          <w:rStyle w:val="WP9BodyText"/>
          <w:rFonts w:ascii="Times New Roman" w:hAnsi="Times New Roman"/>
        </w:rPr>
        <w:t xml:space="preserve">ederal agencies in </w:t>
      </w:r>
      <w:r w:rsidR="0095167B" w:rsidRPr="00AC7EA2">
        <w:rPr>
          <w:rStyle w:val="WP9BodyText"/>
          <w:rFonts w:ascii="Times New Roman" w:hAnsi="Times New Roman"/>
        </w:rPr>
        <w:t>their</w:t>
      </w:r>
      <w:r w:rsidR="009714E2" w:rsidRPr="00AC7EA2">
        <w:rPr>
          <w:rStyle w:val="WP9BodyText"/>
          <w:rFonts w:ascii="Times New Roman" w:hAnsi="Times New Roman"/>
        </w:rPr>
        <w:t xml:space="preserve"> efforts to assess specific intervention services in the prevention or reduction of substance use</w:t>
      </w:r>
      <w:r w:rsidR="00422597" w:rsidRPr="00AC7EA2">
        <w:rPr>
          <w:rStyle w:val="WP9BodyText"/>
          <w:rFonts w:ascii="Times New Roman" w:hAnsi="Times New Roman"/>
        </w:rPr>
        <w:t xml:space="preserve"> and</w:t>
      </w:r>
      <w:r w:rsidR="009714E2" w:rsidRPr="00AC7EA2">
        <w:rPr>
          <w:rStyle w:val="WP9BodyText"/>
          <w:rFonts w:ascii="Times New Roman" w:hAnsi="Times New Roman"/>
        </w:rPr>
        <w:t xml:space="preserve"> HIV/AIDS </w:t>
      </w:r>
      <w:r w:rsidR="001213F2" w:rsidRPr="00AC7EA2">
        <w:rPr>
          <w:rStyle w:val="WP9BodyText"/>
          <w:rFonts w:ascii="Times New Roman" w:hAnsi="Times New Roman"/>
        </w:rPr>
        <w:t xml:space="preserve">transmission </w:t>
      </w:r>
      <w:r w:rsidR="009714E2" w:rsidRPr="00AC7EA2">
        <w:rPr>
          <w:rStyle w:val="WP9BodyText"/>
          <w:rFonts w:ascii="Times New Roman" w:hAnsi="Times New Roman"/>
        </w:rPr>
        <w:t>among minority communit</w:t>
      </w:r>
      <w:r w:rsidR="004F2A07" w:rsidRPr="00AC7EA2">
        <w:rPr>
          <w:rStyle w:val="WP9BodyText"/>
          <w:rFonts w:ascii="Times New Roman" w:hAnsi="Times New Roman"/>
        </w:rPr>
        <w:t>ies</w:t>
      </w:r>
      <w:r w:rsidR="009714E2" w:rsidRPr="00AC7EA2">
        <w:rPr>
          <w:rStyle w:val="WP9BodyText"/>
          <w:rFonts w:ascii="Times New Roman" w:hAnsi="Times New Roman"/>
        </w:rPr>
        <w:t xml:space="preserve"> across the </w:t>
      </w:r>
      <w:r w:rsidR="0016207D" w:rsidRPr="00AC7EA2">
        <w:rPr>
          <w:rStyle w:val="WP9BodyText"/>
          <w:rFonts w:ascii="Times New Roman" w:hAnsi="Times New Roman"/>
        </w:rPr>
        <w:t>n</w:t>
      </w:r>
      <w:r w:rsidR="009714E2" w:rsidRPr="00AC7EA2">
        <w:rPr>
          <w:rStyle w:val="WP9BodyText"/>
          <w:rFonts w:ascii="Times New Roman" w:hAnsi="Times New Roman"/>
        </w:rPr>
        <w:t>ation.</w:t>
      </w:r>
      <w:r w:rsidR="004E0104" w:rsidRPr="00AC7EA2">
        <w:rPr>
          <w:rStyle w:val="WP9BodyText"/>
          <w:rFonts w:ascii="Times New Roman" w:hAnsi="Times New Roman"/>
        </w:rPr>
        <w:t xml:space="preserve"> </w:t>
      </w:r>
      <w:r w:rsidR="0016207D" w:rsidRPr="00AC7EA2">
        <w:rPr>
          <w:rStyle w:val="WP9BodyText"/>
          <w:rFonts w:ascii="Times New Roman" w:hAnsi="Times New Roman"/>
          <w:color w:val="000000"/>
        </w:rPr>
        <w:t>Information will also be useful to p</w:t>
      </w:r>
      <w:r w:rsidR="009714E2" w:rsidRPr="00AC7EA2">
        <w:rPr>
          <w:rStyle w:val="WP9BodyText"/>
          <w:rFonts w:ascii="Times New Roman" w:hAnsi="Times New Roman"/>
          <w:color w:val="000000"/>
        </w:rPr>
        <w:t>olicymakers</w:t>
      </w:r>
      <w:r w:rsidR="0016207D" w:rsidRPr="00AC7EA2">
        <w:rPr>
          <w:rStyle w:val="WP9BodyText"/>
          <w:rFonts w:ascii="Times New Roman" w:hAnsi="Times New Roman"/>
          <w:color w:val="000000"/>
        </w:rPr>
        <w:t xml:space="preserve"> </w:t>
      </w:r>
      <w:r w:rsidR="00984EDC" w:rsidRPr="00AC7EA2">
        <w:rPr>
          <w:rStyle w:val="WP9BodyText"/>
          <w:rFonts w:ascii="Times New Roman" w:hAnsi="Times New Roman"/>
          <w:color w:val="000000"/>
        </w:rPr>
        <w:t>in formulating programs and policies that impact substance use and HIV/AIDS transmission in communities of color</w:t>
      </w:r>
      <w:r w:rsidR="00956DCF" w:rsidRPr="00AC7EA2">
        <w:rPr>
          <w:rStyle w:val="WP9BodyText"/>
          <w:rFonts w:ascii="Times New Roman" w:hAnsi="Times New Roman"/>
          <w:color w:val="000000"/>
        </w:rPr>
        <w:t>.</w:t>
      </w:r>
    </w:p>
    <w:p w:rsidR="0016207D" w:rsidRPr="00AC7EA2" w:rsidRDefault="0016207D"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color w:val="000000"/>
        </w:rPr>
      </w:pPr>
    </w:p>
    <w:p w:rsidR="009714E2" w:rsidRPr="00AC7EA2" w:rsidRDefault="004F2A07"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color w:val="000000"/>
        </w:rPr>
        <w:t xml:space="preserve">SAMHSA </w:t>
      </w:r>
      <w:r w:rsidR="009714E2" w:rsidRPr="00AC7EA2">
        <w:rPr>
          <w:rStyle w:val="WP9BodyText"/>
          <w:rFonts w:ascii="Times New Roman" w:hAnsi="Times New Roman"/>
          <w:color w:val="000000"/>
        </w:rPr>
        <w:t>will share the outcome information</w:t>
      </w:r>
      <w:r w:rsidR="009714E2" w:rsidRPr="00AC7EA2">
        <w:rPr>
          <w:rStyle w:val="WP9BodyText"/>
          <w:rFonts w:ascii="Times New Roman" w:hAnsi="Times New Roman"/>
        </w:rPr>
        <w:t xml:space="preserve"> and lessons learned with</w:t>
      </w:r>
      <w:r w:rsidRPr="00AC7EA2">
        <w:rPr>
          <w:rStyle w:val="WP9BodyText"/>
          <w:rFonts w:ascii="Times New Roman" w:hAnsi="Times New Roman"/>
        </w:rPr>
        <w:t xml:space="preserve"> other </w:t>
      </w:r>
      <w:r w:rsidR="00D40CB5" w:rsidRPr="00AC7EA2">
        <w:rPr>
          <w:rStyle w:val="WP9BodyText"/>
          <w:rFonts w:ascii="Times New Roman" w:hAnsi="Times New Roman"/>
        </w:rPr>
        <w:t xml:space="preserve">organizations </w:t>
      </w:r>
      <w:r w:rsidRPr="00AC7EA2">
        <w:rPr>
          <w:rStyle w:val="WP9BodyText"/>
          <w:rFonts w:ascii="Times New Roman" w:hAnsi="Times New Roman"/>
        </w:rPr>
        <w:t>within the Department of Health and Human Services (HHS)</w:t>
      </w:r>
      <w:r w:rsidR="009714E2" w:rsidRPr="00AC7EA2">
        <w:rPr>
          <w:rStyle w:val="WP9BodyText"/>
          <w:rFonts w:ascii="Times New Roman" w:hAnsi="Times New Roman"/>
        </w:rPr>
        <w:t>, including but not limited to the National Institute on Drug Abuse (NIDA), the Center</w:t>
      </w:r>
      <w:r w:rsidR="00B42364" w:rsidRPr="00AC7EA2">
        <w:rPr>
          <w:rStyle w:val="WP9BodyText"/>
          <w:rFonts w:ascii="Times New Roman" w:hAnsi="Times New Roman"/>
        </w:rPr>
        <w:t>s</w:t>
      </w:r>
      <w:r w:rsidR="009714E2" w:rsidRPr="00AC7EA2">
        <w:rPr>
          <w:rStyle w:val="WP9BodyText"/>
          <w:rFonts w:ascii="Times New Roman" w:hAnsi="Times New Roman"/>
        </w:rPr>
        <w:t xml:space="preserve"> for Disease</w:t>
      </w:r>
      <w:r w:rsidR="003203FE" w:rsidRPr="00AC7EA2">
        <w:rPr>
          <w:rStyle w:val="WP9BodyText"/>
          <w:rFonts w:ascii="Times New Roman" w:hAnsi="Times New Roman"/>
        </w:rPr>
        <w:t xml:space="preserve"> Control</w:t>
      </w:r>
      <w:r w:rsidR="009714E2" w:rsidRPr="00AC7EA2">
        <w:rPr>
          <w:rStyle w:val="WP9BodyText"/>
          <w:rFonts w:ascii="Times New Roman" w:hAnsi="Times New Roman"/>
        </w:rPr>
        <w:t xml:space="preserve"> </w:t>
      </w:r>
      <w:r w:rsidR="00B42364" w:rsidRPr="00AC7EA2">
        <w:rPr>
          <w:rStyle w:val="WP9BodyText"/>
          <w:rFonts w:ascii="Times New Roman" w:hAnsi="Times New Roman"/>
        </w:rPr>
        <w:t xml:space="preserve">and Prevention </w:t>
      </w:r>
      <w:r w:rsidR="009714E2" w:rsidRPr="00AC7EA2">
        <w:rPr>
          <w:rStyle w:val="WP9BodyText"/>
          <w:rFonts w:ascii="Times New Roman" w:hAnsi="Times New Roman"/>
        </w:rPr>
        <w:t>(C</w:t>
      </w:r>
      <w:r w:rsidR="003203FE" w:rsidRPr="00AC7EA2">
        <w:rPr>
          <w:rStyle w:val="WP9BodyText"/>
          <w:rFonts w:ascii="Times New Roman" w:hAnsi="Times New Roman"/>
        </w:rPr>
        <w:t>DC</w:t>
      </w:r>
      <w:r w:rsidR="009714E2" w:rsidRPr="00AC7EA2">
        <w:rPr>
          <w:rStyle w:val="WP9BodyText"/>
          <w:rFonts w:ascii="Times New Roman" w:hAnsi="Times New Roman"/>
        </w:rPr>
        <w:t xml:space="preserve">), and the Administration </w:t>
      </w:r>
      <w:r w:rsidR="001A368B" w:rsidRPr="00AC7EA2">
        <w:rPr>
          <w:rStyle w:val="WP9BodyText"/>
          <w:rFonts w:ascii="Times New Roman" w:hAnsi="Times New Roman"/>
        </w:rPr>
        <w:t>for</w:t>
      </w:r>
      <w:r w:rsidR="009714E2" w:rsidRPr="00AC7EA2">
        <w:rPr>
          <w:rStyle w:val="WP9BodyText"/>
          <w:rFonts w:ascii="Times New Roman" w:hAnsi="Times New Roman"/>
        </w:rPr>
        <w:t xml:space="preserve"> Children and Families (ACF)</w:t>
      </w:r>
      <w:r w:rsidR="00D40CB5" w:rsidRPr="00AC7EA2">
        <w:rPr>
          <w:rStyle w:val="WP9BodyText"/>
          <w:rFonts w:ascii="Times New Roman" w:hAnsi="Times New Roman"/>
        </w:rPr>
        <w:t>.  These organizations</w:t>
      </w:r>
      <w:r w:rsidR="009714E2" w:rsidRPr="00AC7EA2">
        <w:rPr>
          <w:rStyle w:val="WP9BodyText"/>
          <w:rFonts w:ascii="Times New Roman" w:hAnsi="Times New Roman"/>
        </w:rPr>
        <w:t xml:space="preserve"> administer several drug-related programs targeted at hard-to-reach and at-risk populations.</w:t>
      </w:r>
    </w:p>
    <w:p w:rsidR="009714E2" w:rsidRPr="00AC7EA2" w:rsidRDefault="009714E2"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4F2A07" w:rsidRPr="00AC7EA2" w:rsidRDefault="009714E2"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Beyond HHS, CSAP plans to share outcomes and lessons learned with</w:t>
      </w:r>
      <w:r w:rsidR="001A368B" w:rsidRPr="00AC7EA2">
        <w:rPr>
          <w:rStyle w:val="WP9BodyText"/>
          <w:rFonts w:ascii="Times New Roman" w:hAnsi="Times New Roman"/>
        </w:rPr>
        <w:t>:</w:t>
      </w:r>
      <w:r w:rsidR="00252033" w:rsidRPr="00AC7EA2">
        <w:rPr>
          <w:rStyle w:val="WP9BodyText"/>
          <w:rFonts w:ascii="Times New Roman" w:hAnsi="Times New Roman"/>
        </w:rPr>
        <w:t xml:space="preserve"> </w:t>
      </w:r>
    </w:p>
    <w:p w:rsidR="001A368B" w:rsidRPr="00AC7EA2" w:rsidRDefault="001A368B" w:rsidP="005F2016">
      <w:pPr>
        <w:numPr>
          <w:ilvl w:val="0"/>
          <w:numId w:val="15"/>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7EA2">
        <w:rPr>
          <w:rFonts w:ascii="Times New Roman" w:hAnsi="Times New Roman"/>
        </w:rPr>
        <w:t>T</w:t>
      </w:r>
      <w:r w:rsidR="009714E2" w:rsidRPr="00AC7EA2">
        <w:rPr>
          <w:rFonts w:ascii="Times New Roman" w:hAnsi="Times New Roman"/>
        </w:rPr>
        <w:t>he Department of Justice (DOJ) and their Office of Juvenile Justice and Delinquency Prevention (OJJDP), which funds projects that target high</w:t>
      </w:r>
      <w:r w:rsidRPr="00AC7EA2">
        <w:rPr>
          <w:rFonts w:ascii="Times New Roman" w:hAnsi="Times New Roman"/>
        </w:rPr>
        <w:t>-</w:t>
      </w:r>
      <w:r w:rsidR="009714E2" w:rsidRPr="00AC7EA2">
        <w:rPr>
          <w:rFonts w:ascii="Times New Roman" w:hAnsi="Times New Roman"/>
        </w:rPr>
        <w:t>risk youth and often involve SA prevention interventions</w:t>
      </w:r>
      <w:r w:rsidR="0016207D" w:rsidRPr="00AC7EA2">
        <w:rPr>
          <w:rFonts w:ascii="Times New Roman" w:hAnsi="Times New Roman"/>
        </w:rPr>
        <w:t>.</w:t>
      </w:r>
    </w:p>
    <w:p w:rsidR="001A368B" w:rsidRPr="00AC7EA2" w:rsidRDefault="001A368B" w:rsidP="005F2016">
      <w:pPr>
        <w:numPr>
          <w:ilvl w:val="0"/>
          <w:numId w:val="11"/>
        </w:numPr>
        <w:rPr>
          <w:rFonts w:ascii="Times New Roman" w:hAnsi="Times New Roman"/>
        </w:rPr>
      </w:pPr>
      <w:r w:rsidRPr="00AC7EA2">
        <w:rPr>
          <w:rFonts w:ascii="Times New Roman" w:hAnsi="Times New Roman"/>
        </w:rPr>
        <w:t>T</w:t>
      </w:r>
      <w:r w:rsidR="009714E2" w:rsidRPr="00AC7EA2">
        <w:rPr>
          <w:rFonts w:ascii="Times New Roman" w:hAnsi="Times New Roman"/>
        </w:rPr>
        <w:t>he Department of Housing and Urban Development</w:t>
      </w:r>
      <w:r w:rsidR="00D007C2" w:rsidRPr="00AC7EA2">
        <w:rPr>
          <w:rFonts w:ascii="Times New Roman" w:hAnsi="Times New Roman"/>
        </w:rPr>
        <w:t xml:space="preserve"> (HUD)</w:t>
      </w:r>
      <w:r w:rsidR="009714E2" w:rsidRPr="00AC7EA2">
        <w:rPr>
          <w:rFonts w:ascii="Times New Roman" w:hAnsi="Times New Roman"/>
        </w:rPr>
        <w:t xml:space="preserve">, which supports </w:t>
      </w:r>
      <w:r w:rsidR="009475E0" w:rsidRPr="00AC7EA2">
        <w:rPr>
          <w:rFonts w:ascii="Times New Roman" w:hAnsi="Times New Roman"/>
        </w:rPr>
        <w:t>low-income persons and families living with HIV/AIDS through its “Housing Opportunities for Persons with AIDS Program</w:t>
      </w:r>
      <w:r w:rsidR="00E8376D" w:rsidRPr="00AC7EA2">
        <w:rPr>
          <w:rFonts w:ascii="Times New Roman" w:hAnsi="Times New Roman"/>
        </w:rPr>
        <w:t>.</w:t>
      </w:r>
    </w:p>
    <w:p w:rsidR="001A368B" w:rsidRPr="00AC7EA2" w:rsidRDefault="001A368B" w:rsidP="005F2016">
      <w:pPr>
        <w:numPr>
          <w:ilvl w:val="0"/>
          <w:numId w:val="11"/>
        </w:numPr>
        <w:rPr>
          <w:rFonts w:ascii="Times New Roman" w:hAnsi="Times New Roman"/>
        </w:rPr>
      </w:pPr>
      <w:r w:rsidRPr="00AC7EA2">
        <w:rPr>
          <w:rFonts w:ascii="Times New Roman" w:hAnsi="Times New Roman"/>
        </w:rPr>
        <w:t>T</w:t>
      </w:r>
      <w:r w:rsidR="009714E2" w:rsidRPr="00AC7EA2">
        <w:rPr>
          <w:rFonts w:ascii="Times New Roman" w:hAnsi="Times New Roman"/>
        </w:rPr>
        <w:t>he Department of Education</w:t>
      </w:r>
      <w:r w:rsidR="00D007C2" w:rsidRPr="00AC7EA2">
        <w:rPr>
          <w:rFonts w:ascii="Times New Roman" w:hAnsi="Times New Roman"/>
        </w:rPr>
        <w:t xml:space="preserve"> (DOE)</w:t>
      </w:r>
      <w:r w:rsidR="009714E2" w:rsidRPr="00AC7EA2">
        <w:rPr>
          <w:rFonts w:ascii="Times New Roman" w:hAnsi="Times New Roman"/>
        </w:rPr>
        <w:t xml:space="preserve">, </w:t>
      </w:r>
      <w:r w:rsidR="00E8376D" w:rsidRPr="00AC7EA2">
        <w:rPr>
          <w:rFonts w:ascii="Times New Roman" w:hAnsi="Times New Roman"/>
        </w:rPr>
        <w:t xml:space="preserve">one of the collaborators in </w:t>
      </w:r>
      <w:r w:rsidR="009714E2" w:rsidRPr="00AC7EA2">
        <w:rPr>
          <w:rFonts w:ascii="Times New Roman" w:hAnsi="Times New Roman"/>
        </w:rPr>
        <w:t xml:space="preserve">the </w:t>
      </w:r>
      <w:r w:rsidR="00E8376D" w:rsidRPr="00AC7EA2">
        <w:rPr>
          <w:rFonts w:ascii="Times New Roman" w:hAnsi="Times New Roman"/>
        </w:rPr>
        <w:t xml:space="preserve">multi-agency </w:t>
      </w:r>
      <w:r w:rsidR="00A16EC5" w:rsidRPr="00AC7EA2">
        <w:rPr>
          <w:rFonts w:ascii="Times New Roman" w:hAnsi="Times New Roman"/>
        </w:rPr>
        <w:t>“</w:t>
      </w:r>
      <w:r w:rsidR="009714E2" w:rsidRPr="00AC7EA2">
        <w:rPr>
          <w:rFonts w:ascii="Times New Roman" w:hAnsi="Times New Roman"/>
        </w:rPr>
        <w:t>Safe Schools/Healthy Students</w:t>
      </w:r>
      <w:r w:rsidR="00A16EC5" w:rsidRPr="00AC7EA2">
        <w:rPr>
          <w:rFonts w:ascii="Times New Roman" w:hAnsi="Times New Roman"/>
        </w:rPr>
        <w:t>"</w:t>
      </w:r>
      <w:r w:rsidR="009714E2" w:rsidRPr="00AC7EA2">
        <w:rPr>
          <w:rFonts w:ascii="Times New Roman" w:hAnsi="Times New Roman"/>
        </w:rPr>
        <w:t xml:space="preserve"> effort (focused on violence and substance abuse prevention) under the Drug Free Schools and Communities Act.</w:t>
      </w:r>
    </w:p>
    <w:p w:rsidR="009714E2" w:rsidRPr="00AC7EA2" w:rsidRDefault="009714E2" w:rsidP="005F2016">
      <w:pPr>
        <w:numPr>
          <w:ilvl w:val="0"/>
          <w:numId w:val="11"/>
        </w:numPr>
        <w:rPr>
          <w:rFonts w:ascii="Times New Roman" w:hAnsi="Times New Roman"/>
        </w:rPr>
      </w:pPr>
      <w:r w:rsidRPr="00AC7EA2">
        <w:rPr>
          <w:rFonts w:ascii="Times New Roman" w:hAnsi="Times New Roman"/>
        </w:rPr>
        <w:t>State and local program planners and the public through publications</w:t>
      </w:r>
      <w:r w:rsidR="00D357BD" w:rsidRPr="00AC7EA2">
        <w:rPr>
          <w:rFonts w:ascii="Times New Roman" w:hAnsi="Times New Roman"/>
        </w:rPr>
        <w:t>, presentations,</w:t>
      </w:r>
      <w:r w:rsidRPr="00AC7EA2">
        <w:rPr>
          <w:rFonts w:ascii="Times New Roman" w:hAnsi="Times New Roman"/>
        </w:rPr>
        <w:t xml:space="preserve"> and a public-use data set.</w:t>
      </w:r>
    </w:p>
    <w:p w:rsidR="009714E2" w:rsidRPr="00AC7EA2" w:rsidRDefault="009714E2"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714E2" w:rsidRPr="00AC7EA2" w:rsidRDefault="009714E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Implementing evidence-based programs in minority community settings presents challenges</w:t>
      </w:r>
      <w:r w:rsidR="0016207D" w:rsidRPr="00AC7EA2">
        <w:rPr>
          <w:rFonts w:ascii="Times New Roman" w:hAnsi="Times New Roman"/>
        </w:rPr>
        <w:t xml:space="preserve"> </w:t>
      </w:r>
      <w:r w:rsidR="00924A85" w:rsidRPr="00AC7EA2">
        <w:rPr>
          <w:rFonts w:ascii="Times New Roman" w:hAnsi="Times New Roman"/>
        </w:rPr>
        <w:t>such as</w:t>
      </w:r>
      <w:r w:rsidR="0016207D" w:rsidRPr="00AC7EA2">
        <w:rPr>
          <w:rFonts w:ascii="Times New Roman" w:hAnsi="Times New Roman"/>
        </w:rPr>
        <w:t xml:space="preserve"> </w:t>
      </w:r>
      <w:r w:rsidRPr="00AC7EA2">
        <w:rPr>
          <w:rFonts w:ascii="Times New Roman" w:hAnsi="Times New Roman"/>
        </w:rPr>
        <w:t>maintaining rigor in design and instrumentation, as well as maintaining the ability to measure impact</w:t>
      </w:r>
      <w:r w:rsidR="001A368B" w:rsidRPr="00AC7EA2">
        <w:rPr>
          <w:rFonts w:ascii="Times New Roman" w:hAnsi="Times New Roman"/>
        </w:rPr>
        <w:t>,</w:t>
      </w:r>
      <w:r w:rsidRPr="00AC7EA2">
        <w:rPr>
          <w:rFonts w:ascii="Times New Roman" w:hAnsi="Times New Roman"/>
        </w:rPr>
        <w:t xml:space="preserve"> given the need for local adaptations for specific target populations. </w:t>
      </w:r>
      <w:r w:rsidR="001A368B" w:rsidRPr="00AC7EA2">
        <w:rPr>
          <w:rFonts w:ascii="Times New Roman" w:hAnsi="Times New Roman"/>
        </w:rPr>
        <w:t>Using</w:t>
      </w:r>
      <w:r w:rsidRPr="00AC7EA2">
        <w:rPr>
          <w:rFonts w:ascii="Times New Roman" w:hAnsi="Times New Roman"/>
        </w:rPr>
        <w:t xml:space="preserve"> the lessons learned from the previous programs, the </w:t>
      </w:r>
      <w:r w:rsidR="000A57CE" w:rsidRPr="00AC7EA2">
        <w:rPr>
          <w:rFonts w:ascii="Times New Roman" w:hAnsi="Times New Roman"/>
        </w:rPr>
        <w:t xml:space="preserve">current </w:t>
      </w:r>
      <w:r w:rsidRPr="00AC7EA2">
        <w:rPr>
          <w:rFonts w:ascii="Times New Roman" w:hAnsi="Times New Roman"/>
        </w:rPr>
        <w:t>focus</w:t>
      </w:r>
      <w:r w:rsidR="00FA078C" w:rsidRPr="00AC7EA2">
        <w:rPr>
          <w:rFonts w:ascii="Times New Roman" w:hAnsi="Times New Roman"/>
        </w:rPr>
        <w:t xml:space="preserve"> of the MAI program</w:t>
      </w:r>
      <w:r w:rsidRPr="00AC7EA2">
        <w:rPr>
          <w:rFonts w:ascii="Times New Roman" w:hAnsi="Times New Roman"/>
        </w:rPr>
        <w:t xml:space="preserve"> is on enhancing the effectiveness of specific interventions for reducing risk factors and/or enhancing the factors that protect against ATOD abuse and HIV/AIDS among </w:t>
      </w:r>
      <w:r w:rsidR="00E26DA7" w:rsidRPr="00AC7EA2">
        <w:rPr>
          <w:rFonts w:ascii="Times New Roman" w:hAnsi="Times New Roman"/>
        </w:rPr>
        <w:t>the</w:t>
      </w:r>
      <w:r w:rsidRPr="00AC7EA2">
        <w:rPr>
          <w:rFonts w:ascii="Times New Roman" w:hAnsi="Times New Roman"/>
        </w:rPr>
        <w:t xml:space="preserve"> minority youth and </w:t>
      </w:r>
      <w:r w:rsidR="00924A85" w:rsidRPr="00AC7EA2">
        <w:rPr>
          <w:rFonts w:ascii="Times New Roman" w:hAnsi="Times New Roman"/>
        </w:rPr>
        <w:t xml:space="preserve">young </w:t>
      </w:r>
      <w:r w:rsidRPr="00AC7EA2">
        <w:rPr>
          <w:rFonts w:ascii="Times New Roman" w:hAnsi="Times New Roman"/>
        </w:rPr>
        <w:t>adult</w:t>
      </w:r>
      <w:r w:rsidR="00141734" w:rsidRPr="00AC7EA2">
        <w:rPr>
          <w:rFonts w:ascii="Times New Roman" w:hAnsi="Times New Roman"/>
        </w:rPr>
        <w:t xml:space="preserve"> population</w:t>
      </w:r>
      <w:r w:rsidRPr="00AC7EA2">
        <w:rPr>
          <w:rFonts w:ascii="Times New Roman" w:hAnsi="Times New Roman"/>
        </w:rPr>
        <w:t>.</w:t>
      </w:r>
    </w:p>
    <w:p w:rsidR="009714E2" w:rsidRPr="00AC7EA2" w:rsidRDefault="009714E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9714E2" w:rsidRPr="00AC7EA2" w:rsidRDefault="00C130E8"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SAMHSA/</w:t>
      </w:r>
      <w:r w:rsidR="009714E2" w:rsidRPr="00AC7EA2">
        <w:rPr>
          <w:rFonts w:ascii="Times New Roman" w:hAnsi="Times New Roman"/>
        </w:rPr>
        <w:t>CSAP has a</w:t>
      </w:r>
      <w:r w:rsidR="00141734" w:rsidRPr="00AC7EA2">
        <w:rPr>
          <w:rFonts w:ascii="Times New Roman" w:hAnsi="Times New Roman"/>
        </w:rPr>
        <w:t xml:space="preserve"> well-established</w:t>
      </w:r>
      <w:r w:rsidR="009714E2" w:rsidRPr="00AC7EA2">
        <w:rPr>
          <w:rFonts w:ascii="Times New Roman" w:hAnsi="Times New Roman"/>
        </w:rPr>
        <w:t xml:space="preserve"> history of incorporat</w:t>
      </w:r>
      <w:r w:rsidR="00141734" w:rsidRPr="00AC7EA2">
        <w:rPr>
          <w:rFonts w:ascii="Times New Roman" w:hAnsi="Times New Roman"/>
        </w:rPr>
        <w:t>ing</w:t>
      </w:r>
      <w:r w:rsidR="009714E2" w:rsidRPr="00AC7EA2">
        <w:rPr>
          <w:rFonts w:ascii="Times New Roman" w:hAnsi="Times New Roman"/>
        </w:rPr>
        <w:t xml:space="preserve"> evaluation findings and conclusions into</w:t>
      </w:r>
      <w:r w:rsidR="00BB42DD" w:rsidRPr="00AC7EA2">
        <w:rPr>
          <w:rFonts w:ascii="Times New Roman" w:hAnsi="Times New Roman"/>
        </w:rPr>
        <w:t xml:space="preserve"> its</w:t>
      </w:r>
      <w:r w:rsidR="009714E2" w:rsidRPr="00AC7EA2">
        <w:rPr>
          <w:rFonts w:ascii="Times New Roman" w:hAnsi="Times New Roman"/>
        </w:rPr>
        <w:t xml:space="preserve"> policy</w:t>
      </w:r>
      <w:r w:rsidR="00CB5A7C" w:rsidRPr="00AC7EA2">
        <w:rPr>
          <w:rFonts w:ascii="Times New Roman" w:hAnsi="Times New Roman"/>
        </w:rPr>
        <w:t>-making</w:t>
      </w:r>
      <w:r w:rsidR="009714E2" w:rsidRPr="00AC7EA2">
        <w:rPr>
          <w:rFonts w:ascii="Times New Roman" w:hAnsi="Times New Roman"/>
        </w:rPr>
        <w:t xml:space="preserve"> process</w:t>
      </w:r>
      <w:r w:rsidR="00CB5A7C" w:rsidRPr="00AC7EA2">
        <w:rPr>
          <w:rFonts w:ascii="Times New Roman" w:hAnsi="Times New Roman"/>
        </w:rPr>
        <w:t>es</w:t>
      </w:r>
      <w:r w:rsidR="00141734" w:rsidRPr="00AC7EA2">
        <w:rPr>
          <w:rFonts w:ascii="Times New Roman" w:hAnsi="Times New Roman"/>
        </w:rPr>
        <w:t xml:space="preserve">, and the results of this </w:t>
      </w:r>
      <w:r w:rsidR="002A4ED2" w:rsidRPr="00AC7EA2">
        <w:rPr>
          <w:rFonts w:ascii="Times New Roman" w:hAnsi="Times New Roman"/>
        </w:rPr>
        <w:t xml:space="preserve">evaluation </w:t>
      </w:r>
      <w:r w:rsidR="00141734" w:rsidRPr="00AC7EA2">
        <w:rPr>
          <w:rFonts w:ascii="Times New Roman" w:hAnsi="Times New Roman"/>
        </w:rPr>
        <w:t>will be used</w:t>
      </w:r>
      <w:r w:rsidR="002B2D04" w:rsidRPr="00AC7EA2">
        <w:rPr>
          <w:rFonts w:ascii="Times New Roman" w:hAnsi="Times New Roman"/>
        </w:rPr>
        <w:t xml:space="preserve"> similarly</w:t>
      </w:r>
      <w:r w:rsidR="003D35F1" w:rsidRPr="00AC7EA2">
        <w:rPr>
          <w:rFonts w:ascii="Times New Roman" w:hAnsi="Times New Roman"/>
        </w:rPr>
        <w:t xml:space="preserve">. </w:t>
      </w:r>
      <w:r w:rsidR="009714E2" w:rsidRPr="00AC7EA2">
        <w:rPr>
          <w:rFonts w:ascii="Times New Roman" w:hAnsi="Times New Roman"/>
        </w:rPr>
        <w:t xml:space="preserve">More specifically, the </w:t>
      </w:r>
      <w:r w:rsidR="009F5105" w:rsidRPr="00AC7EA2">
        <w:rPr>
          <w:rFonts w:ascii="Times New Roman" w:hAnsi="Times New Roman"/>
        </w:rPr>
        <w:t xml:space="preserve">data collection effort </w:t>
      </w:r>
      <w:r w:rsidR="009714E2" w:rsidRPr="00AC7EA2">
        <w:rPr>
          <w:rFonts w:ascii="Times New Roman" w:hAnsi="Times New Roman"/>
        </w:rPr>
        <w:t>will support the following uses by CSAP</w:t>
      </w:r>
      <w:r w:rsidR="001A368B" w:rsidRPr="00AC7EA2">
        <w:rPr>
          <w:rFonts w:ascii="Times New Roman" w:hAnsi="Times New Roman"/>
        </w:rPr>
        <w:t>:</w:t>
      </w:r>
    </w:p>
    <w:p w:rsidR="009714E2" w:rsidRPr="00AC7EA2" w:rsidRDefault="009714E2"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714E2" w:rsidRPr="00AC7EA2" w:rsidRDefault="009714E2" w:rsidP="005F2016">
      <w:pPr>
        <w:numPr>
          <w:ilvl w:val="0"/>
          <w:numId w:val="11"/>
        </w:numPr>
        <w:rPr>
          <w:rFonts w:ascii="Times New Roman" w:hAnsi="Times New Roman"/>
        </w:rPr>
      </w:pPr>
      <w:r w:rsidRPr="00AC7EA2">
        <w:rPr>
          <w:rFonts w:ascii="Times New Roman" w:hAnsi="Times New Roman"/>
        </w:rPr>
        <w:t xml:space="preserve">Findings will be used in required </w:t>
      </w:r>
      <w:r w:rsidR="00D357BD" w:rsidRPr="00AC7EA2">
        <w:rPr>
          <w:rFonts w:ascii="Times New Roman" w:hAnsi="Times New Roman"/>
        </w:rPr>
        <w:t>National Outcome Measures (</w:t>
      </w:r>
      <w:r w:rsidR="003203FE" w:rsidRPr="00AC7EA2">
        <w:rPr>
          <w:rFonts w:ascii="Times New Roman" w:hAnsi="Times New Roman"/>
        </w:rPr>
        <w:t>NOM</w:t>
      </w:r>
      <w:r w:rsidR="00D357BD" w:rsidRPr="00AC7EA2">
        <w:rPr>
          <w:rFonts w:ascii="Times New Roman" w:hAnsi="Times New Roman"/>
        </w:rPr>
        <w:t>s)</w:t>
      </w:r>
      <w:r w:rsidR="003203FE" w:rsidRPr="00AC7EA2">
        <w:rPr>
          <w:rFonts w:ascii="Times New Roman" w:hAnsi="Times New Roman"/>
        </w:rPr>
        <w:t xml:space="preserve"> </w:t>
      </w:r>
      <w:r w:rsidR="00090A67" w:rsidRPr="00AC7EA2">
        <w:rPr>
          <w:rFonts w:ascii="Times New Roman" w:hAnsi="Times New Roman"/>
        </w:rPr>
        <w:t xml:space="preserve">and </w:t>
      </w:r>
      <w:r w:rsidR="00D357BD" w:rsidRPr="00AC7EA2">
        <w:rPr>
          <w:rFonts w:ascii="Times New Roman" w:hAnsi="Times New Roman"/>
        </w:rPr>
        <w:t xml:space="preserve">GPRA </w:t>
      </w:r>
      <w:r w:rsidRPr="00AC7EA2">
        <w:rPr>
          <w:rFonts w:ascii="Times New Roman" w:hAnsi="Times New Roman"/>
        </w:rPr>
        <w:t xml:space="preserve">performance reporting and will be presented in annual </w:t>
      </w:r>
      <w:r w:rsidR="00D46187" w:rsidRPr="00AC7EA2">
        <w:rPr>
          <w:rFonts w:ascii="Times New Roman" w:hAnsi="Times New Roman"/>
        </w:rPr>
        <w:t>r</w:t>
      </w:r>
      <w:r w:rsidRPr="00AC7EA2">
        <w:rPr>
          <w:rFonts w:ascii="Times New Roman" w:hAnsi="Times New Roman"/>
        </w:rPr>
        <w:t>eports to Congress.</w:t>
      </w:r>
    </w:p>
    <w:p w:rsidR="009714E2" w:rsidRPr="00AC7EA2" w:rsidRDefault="009714E2" w:rsidP="005F2016">
      <w:pPr>
        <w:numPr>
          <w:ilvl w:val="0"/>
          <w:numId w:val="11"/>
        </w:numPr>
        <w:rPr>
          <w:rFonts w:ascii="Times New Roman" w:hAnsi="Times New Roman"/>
        </w:rPr>
      </w:pPr>
      <w:r w:rsidRPr="00AC7EA2">
        <w:rPr>
          <w:rFonts w:ascii="Times New Roman" w:hAnsi="Times New Roman"/>
        </w:rPr>
        <w:t xml:space="preserve">Findings </w:t>
      </w:r>
      <w:r w:rsidR="000A57CE" w:rsidRPr="00AC7EA2">
        <w:rPr>
          <w:rFonts w:ascii="Times New Roman" w:hAnsi="Times New Roman"/>
        </w:rPr>
        <w:t>regarding</w:t>
      </w:r>
      <w:r w:rsidRPr="00AC7EA2">
        <w:rPr>
          <w:rFonts w:ascii="Times New Roman" w:hAnsi="Times New Roman"/>
        </w:rPr>
        <w:t xml:space="preserve"> </w:t>
      </w:r>
      <w:r w:rsidR="003D0357" w:rsidRPr="00AC7EA2">
        <w:rPr>
          <w:rFonts w:ascii="Times New Roman" w:hAnsi="Times New Roman"/>
        </w:rPr>
        <w:t>SPF</w:t>
      </w:r>
      <w:r w:rsidRPr="00AC7EA2">
        <w:rPr>
          <w:rFonts w:ascii="Times New Roman" w:hAnsi="Times New Roman"/>
        </w:rPr>
        <w:t xml:space="preserve"> implementation will </w:t>
      </w:r>
      <w:r w:rsidR="000A57CE" w:rsidRPr="00AC7EA2">
        <w:rPr>
          <w:rFonts w:ascii="Times New Roman" w:hAnsi="Times New Roman"/>
        </w:rPr>
        <w:t xml:space="preserve">be used to </w:t>
      </w:r>
      <w:r w:rsidR="002B2D04" w:rsidRPr="00AC7EA2">
        <w:rPr>
          <w:rFonts w:ascii="Times New Roman" w:hAnsi="Times New Roman"/>
        </w:rPr>
        <w:t xml:space="preserve">assess </w:t>
      </w:r>
      <w:r w:rsidR="0003550A" w:rsidRPr="00AC7EA2">
        <w:rPr>
          <w:rFonts w:ascii="Times New Roman" w:hAnsi="Times New Roman"/>
        </w:rPr>
        <w:t xml:space="preserve">the impact of evidence based programs on </w:t>
      </w:r>
      <w:r w:rsidR="002B2D04" w:rsidRPr="00AC7EA2">
        <w:rPr>
          <w:rFonts w:ascii="Times New Roman" w:hAnsi="Times New Roman"/>
        </w:rPr>
        <w:t>preventin</w:t>
      </w:r>
      <w:r w:rsidR="0003550A" w:rsidRPr="00AC7EA2">
        <w:rPr>
          <w:rFonts w:ascii="Times New Roman" w:hAnsi="Times New Roman"/>
        </w:rPr>
        <w:t>g</w:t>
      </w:r>
      <w:r w:rsidR="002B2D04" w:rsidRPr="00AC7EA2">
        <w:rPr>
          <w:rFonts w:ascii="Times New Roman" w:hAnsi="Times New Roman"/>
        </w:rPr>
        <w:t xml:space="preserve">, </w:t>
      </w:r>
      <w:r w:rsidR="000A57CE" w:rsidRPr="00AC7EA2">
        <w:rPr>
          <w:rFonts w:ascii="Times New Roman" w:hAnsi="Times New Roman"/>
        </w:rPr>
        <w:t>delay</w:t>
      </w:r>
      <w:r w:rsidR="0003550A" w:rsidRPr="00AC7EA2">
        <w:rPr>
          <w:rFonts w:ascii="Times New Roman" w:hAnsi="Times New Roman"/>
        </w:rPr>
        <w:t>ing</w:t>
      </w:r>
      <w:r w:rsidRPr="00AC7EA2">
        <w:rPr>
          <w:rFonts w:ascii="Times New Roman" w:hAnsi="Times New Roman"/>
        </w:rPr>
        <w:t xml:space="preserve"> or redu</w:t>
      </w:r>
      <w:r w:rsidR="000A57CE" w:rsidRPr="00AC7EA2">
        <w:rPr>
          <w:rFonts w:ascii="Times New Roman" w:hAnsi="Times New Roman"/>
        </w:rPr>
        <w:t>c</w:t>
      </w:r>
      <w:r w:rsidR="0003550A" w:rsidRPr="00AC7EA2">
        <w:rPr>
          <w:rFonts w:ascii="Times New Roman" w:hAnsi="Times New Roman"/>
        </w:rPr>
        <w:t>ing</w:t>
      </w:r>
      <w:r w:rsidR="000A57CE" w:rsidRPr="00AC7EA2">
        <w:rPr>
          <w:rFonts w:ascii="Times New Roman" w:hAnsi="Times New Roman"/>
        </w:rPr>
        <w:t xml:space="preserve"> ATOD use, </w:t>
      </w:r>
      <w:r w:rsidRPr="00AC7EA2">
        <w:rPr>
          <w:rFonts w:ascii="Times New Roman" w:hAnsi="Times New Roman"/>
        </w:rPr>
        <w:t>chang</w:t>
      </w:r>
      <w:r w:rsidR="0003550A" w:rsidRPr="00AC7EA2">
        <w:rPr>
          <w:rFonts w:ascii="Times New Roman" w:hAnsi="Times New Roman"/>
        </w:rPr>
        <w:t>ing</w:t>
      </w:r>
      <w:r w:rsidR="000A57CE" w:rsidRPr="00AC7EA2">
        <w:rPr>
          <w:rFonts w:ascii="Times New Roman" w:hAnsi="Times New Roman"/>
        </w:rPr>
        <w:t xml:space="preserve"> attitudes</w:t>
      </w:r>
      <w:r w:rsidR="0003550A" w:rsidRPr="00AC7EA2">
        <w:rPr>
          <w:rFonts w:ascii="Times New Roman" w:hAnsi="Times New Roman"/>
        </w:rPr>
        <w:t xml:space="preserve"> toward SA</w:t>
      </w:r>
      <w:r w:rsidR="000A57CE" w:rsidRPr="00AC7EA2">
        <w:rPr>
          <w:rFonts w:ascii="Times New Roman" w:hAnsi="Times New Roman"/>
        </w:rPr>
        <w:t xml:space="preserve">, and </w:t>
      </w:r>
      <w:r w:rsidR="0003550A" w:rsidRPr="00AC7EA2">
        <w:rPr>
          <w:rFonts w:ascii="Times New Roman" w:hAnsi="Times New Roman"/>
        </w:rPr>
        <w:t xml:space="preserve">in </w:t>
      </w:r>
      <w:r w:rsidR="000A57CE" w:rsidRPr="00AC7EA2">
        <w:rPr>
          <w:rFonts w:ascii="Times New Roman" w:hAnsi="Times New Roman"/>
        </w:rPr>
        <w:t>reduc</w:t>
      </w:r>
      <w:r w:rsidR="0003550A" w:rsidRPr="00AC7EA2">
        <w:rPr>
          <w:rFonts w:ascii="Times New Roman" w:hAnsi="Times New Roman"/>
        </w:rPr>
        <w:t>ing</w:t>
      </w:r>
      <w:r w:rsidRPr="00AC7EA2">
        <w:rPr>
          <w:rFonts w:ascii="Times New Roman" w:hAnsi="Times New Roman"/>
        </w:rPr>
        <w:t xml:space="preserve"> problem sexual behaviors</w:t>
      </w:r>
      <w:r w:rsidR="002B2D04" w:rsidRPr="00AC7EA2">
        <w:rPr>
          <w:rFonts w:ascii="Times New Roman" w:hAnsi="Times New Roman"/>
        </w:rPr>
        <w:t xml:space="preserve">, </w:t>
      </w:r>
      <w:r w:rsidR="000A57CE" w:rsidRPr="00AC7EA2">
        <w:rPr>
          <w:rFonts w:ascii="Times New Roman" w:hAnsi="Times New Roman"/>
        </w:rPr>
        <w:t>as well as</w:t>
      </w:r>
      <w:r w:rsidRPr="00AC7EA2">
        <w:rPr>
          <w:rFonts w:ascii="Times New Roman" w:hAnsi="Times New Roman"/>
        </w:rPr>
        <w:t xml:space="preserve"> to assess the effectiveness of currently funded prevention programs. Furthermore, the use of </w:t>
      </w:r>
      <w:r w:rsidR="00CB5A7C" w:rsidRPr="00AC7EA2">
        <w:rPr>
          <w:rFonts w:ascii="Times New Roman" w:hAnsi="Times New Roman"/>
        </w:rPr>
        <w:t xml:space="preserve">common </w:t>
      </w:r>
      <w:r w:rsidRPr="00AC7EA2">
        <w:rPr>
          <w:rFonts w:ascii="Times New Roman" w:hAnsi="Times New Roman"/>
        </w:rPr>
        <w:t>ATOD outcome measures will allow CSAP to compare initiatives (including the previous HIV/AIDS programs)</w:t>
      </w:r>
      <w:r w:rsidR="002B2D04" w:rsidRPr="00AC7EA2">
        <w:rPr>
          <w:rFonts w:ascii="Times New Roman" w:hAnsi="Times New Roman"/>
        </w:rPr>
        <w:t xml:space="preserve"> as to their success in achieving their goals</w:t>
      </w:r>
      <w:r w:rsidRPr="00AC7EA2">
        <w:rPr>
          <w:rFonts w:ascii="Times New Roman" w:hAnsi="Times New Roman"/>
        </w:rPr>
        <w:t>. Such extensive cross-initiative information will be used to set broad prevention policy priorities.</w:t>
      </w:r>
    </w:p>
    <w:p w:rsidR="009714E2" w:rsidRPr="00AC7EA2" w:rsidRDefault="009714E2" w:rsidP="005F2016">
      <w:pPr>
        <w:numPr>
          <w:ilvl w:val="0"/>
          <w:numId w:val="11"/>
        </w:numPr>
        <w:rPr>
          <w:rFonts w:ascii="Times New Roman" w:hAnsi="Times New Roman"/>
        </w:rPr>
      </w:pPr>
      <w:r w:rsidRPr="00AC7EA2">
        <w:rPr>
          <w:rFonts w:ascii="Times New Roman" w:hAnsi="Times New Roman"/>
        </w:rPr>
        <w:t xml:space="preserve">Findings concerning </w:t>
      </w:r>
      <w:r w:rsidR="00F428EE" w:rsidRPr="00AC7EA2">
        <w:rPr>
          <w:rFonts w:ascii="Times New Roman" w:hAnsi="Times New Roman"/>
        </w:rPr>
        <w:t>SA</w:t>
      </w:r>
      <w:r w:rsidRPr="00AC7EA2">
        <w:rPr>
          <w:rFonts w:ascii="Times New Roman" w:hAnsi="Times New Roman"/>
        </w:rPr>
        <w:t xml:space="preserve"> and </w:t>
      </w:r>
      <w:r w:rsidR="00F428EE" w:rsidRPr="00AC7EA2">
        <w:rPr>
          <w:rFonts w:ascii="Times New Roman" w:hAnsi="Times New Roman"/>
        </w:rPr>
        <w:t>HIV transmission</w:t>
      </w:r>
      <w:r w:rsidRPr="00AC7EA2">
        <w:rPr>
          <w:rFonts w:ascii="Times New Roman" w:hAnsi="Times New Roman"/>
        </w:rPr>
        <w:t xml:space="preserve"> risk factors as both program outcomes and mediating</w:t>
      </w:r>
      <w:r w:rsidR="00F428EE" w:rsidRPr="00AC7EA2">
        <w:rPr>
          <w:rFonts w:ascii="Times New Roman" w:hAnsi="Times New Roman"/>
        </w:rPr>
        <w:t>/moderating</w:t>
      </w:r>
      <w:r w:rsidRPr="00AC7EA2">
        <w:rPr>
          <w:rFonts w:ascii="Times New Roman" w:hAnsi="Times New Roman"/>
        </w:rPr>
        <w:t xml:space="preserve"> factors will be used to refine policy and shape future program funding announcements. In addition, the findings </w:t>
      </w:r>
      <w:r w:rsidR="009C4859" w:rsidRPr="00AC7EA2">
        <w:rPr>
          <w:rFonts w:ascii="Times New Roman" w:hAnsi="Times New Roman"/>
        </w:rPr>
        <w:t>may be</w:t>
      </w:r>
      <w:r w:rsidR="00F45F31" w:rsidRPr="00AC7EA2">
        <w:rPr>
          <w:rFonts w:ascii="Times New Roman" w:hAnsi="Times New Roman"/>
        </w:rPr>
        <w:t xml:space="preserve"> used</w:t>
      </w:r>
      <w:r w:rsidR="009C4859" w:rsidRPr="00AC7EA2">
        <w:rPr>
          <w:rFonts w:ascii="Times New Roman" w:hAnsi="Times New Roman"/>
        </w:rPr>
        <w:t xml:space="preserve"> </w:t>
      </w:r>
      <w:r w:rsidRPr="00AC7EA2">
        <w:rPr>
          <w:rFonts w:ascii="Times New Roman" w:hAnsi="Times New Roman"/>
        </w:rPr>
        <w:t xml:space="preserve">to provide recommendations to </w:t>
      </w:r>
      <w:r w:rsidR="0003550A" w:rsidRPr="00AC7EA2">
        <w:rPr>
          <w:rFonts w:ascii="Times New Roman" w:hAnsi="Times New Roman"/>
        </w:rPr>
        <w:t>s</w:t>
      </w:r>
      <w:r w:rsidRPr="00AC7EA2">
        <w:rPr>
          <w:rFonts w:ascii="Times New Roman" w:hAnsi="Times New Roman"/>
        </w:rPr>
        <w:t>tates</w:t>
      </w:r>
      <w:r w:rsidR="0003550A" w:rsidRPr="00AC7EA2">
        <w:rPr>
          <w:rFonts w:ascii="Times New Roman" w:hAnsi="Times New Roman"/>
        </w:rPr>
        <w:t xml:space="preserve">, territories, and tribal organizations </w:t>
      </w:r>
      <w:r w:rsidRPr="00AC7EA2">
        <w:rPr>
          <w:rFonts w:ascii="Times New Roman" w:hAnsi="Times New Roman"/>
        </w:rPr>
        <w:t xml:space="preserve">regarding </w:t>
      </w:r>
      <w:r w:rsidR="0003550A" w:rsidRPr="00AC7EA2">
        <w:rPr>
          <w:rFonts w:ascii="Times New Roman" w:hAnsi="Times New Roman"/>
        </w:rPr>
        <w:t xml:space="preserve">the </w:t>
      </w:r>
      <w:r w:rsidRPr="00AC7EA2">
        <w:rPr>
          <w:rFonts w:ascii="Times New Roman" w:hAnsi="Times New Roman"/>
        </w:rPr>
        <w:t xml:space="preserve">selection of evidence-based </w:t>
      </w:r>
      <w:r w:rsidR="0003550A" w:rsidRPr="00AC7EA2">
        <w:rPr>
          <w:rFonts w:ascii="Times New Roman" w:hAnsi="Times New Roman"/>
        </w:rPr>
        <w:t xml:space="preserve">SA prevention </w:t>
      </w:r>
      <w:r w:rsidRPr="00AC7EA2">
        <w:rPr>
          <w:rFonts w:ascii="Times New Roman" w:hAnsi="Times New Roman"/>
        </w:rPr>
        <w:t>programs</w:t>
      </w:r>
      <w:r w:rsidR="0003550A" w:rsidRPr="00AC7EA2">
        <w:rPr>
          <w:rFonts w:ascii="Times New Roman" w:hAnsi="Times New Roman"/>
        </w:rPr>
        <w:t xml:space="preserve"> for specific vulnerable population groups targeted by grant programs such as the Strategic Prevention Framework </w:t>
      </w:r>
      <w:r w:rsidR="00A86A6D" w:rsidRPr="00AC7EA2">
        <w:rPr>
          <w:rFonts w:ascii="Times New Roman" w:hAnsi="Times New Roman"/>
        </w:rPr>
        <w:t>Partnerships for Success</w:t>
      </w:r>
      <w:r w:rsidR="00141734" w:rsidRPr="00AC7EA2">
        <w:rPr>
          <w:rFonts w:ascii="Times New Roman" w:hAnsi="Times New Roman"/>
        </w:rPr>
        <w:t>.</w:t>
      </w:r>
    </w:p>
    <w:p w:rsidR="009714E2" w:rsidRPr="00AC7EA2" w:rsidRDefault="009714E2" w:rsidP="005F2016">
      <w:pPr>
        <w:numPr>
          <w:ilvl w:val="0"/>
          <w:numId w:val="11"/>
        </w:numPr>
        <w:rPr>
          <w:rFonts w:ascii="Times New Roman" w:hAnsi="Times New Roman"/>
        </w:rPr>
      </w:pPr>
      <w:r w:rsidRPr="00AC7EA2">
        <w:rPr>
          <w:rFonts w:ascii="Times New Roman" w:hAnsi="Times New Roman"/>
        </w:rPr>
        <w:t>Findings concerning</w:t>
      </w:r>
      <w:r w:rsidR="00DC03C2" w:rsidRPr="00AC7EA2">
        <w:rPr>
          <w:rFonts w:ascii="Times New Roman" w:hAnsi="Times New Roman"/>
        </w:rPr>
        <w:t xml:space="preserve"> the impact of </w:t>
      </w:r>
      <w:r w:rsidRPr="00AC7EA2">
        <w:rPr>
          <w:rFonts w:ascii="Times New Roman" w:hAnsi="Times New Roman"/>
        </w:rPr>
        <w:t xml:space="preserve"> program inputs </w:t>
      </w:r>
      <w:r w:rsidR="00DC03C2" w:rsidRPr="00AC7EA2">
        <w:rPr>
          <w:rFonts w:ascii="Times New Roman" w:hAnsi="Times New Roman"/>
        </w:rPr>
        <w:t xml:space="preserve">utilized by the MAI grantees </w:t>
      </w:r>
      <w:r w:rsidRPr="00AC7EA2">
        <w:rPr>
          <w:rFonts w:ascii="Times New Roman" w:hAnsi="Times New Roman"/>
        </w:rPr>
        <w:t xml:space="preserve">(intervention strategies, frequency, and length) </w:t>
      </w:r>
      <w:r w:rsidR="00DC03C2" w:rsidRPr="00AC7EA2">
        <w:rPr>
          <w:rFonts w:ascii="Times New Roman" w:hAnsi="Times New Roman"/>
        </w:rPr>
        <w:t xml:space="preserve">on outcomes </w:t>
      </w:r>
      <w:r w:rsidRPr="00AC7EA2">
        <w:rPr>
          <w:rFonts w:ascii="Times New Roman" w:hAnsi="Times New Roman"/>
        </w:rPr>
        <w:t>will be used to provide progra</w:t>
      </w:r>
      <w:r w:rsidR="00055098" w:rsidRPr="00AC7EA2">
        <w:rPr>
          <w:rFonts w:ascii="Times New Roman" w:hAnsi="Times New Roman"/>
        </w:rPr>
        <w:t xml:space="preserve">m guidelines (e.g., through </w:t>
      </w:r>
      <w:r w:rsidR="009A626D" w:rsidRPr="00AC7EA2">
        <w:rPr>
          <w:rFonts w:ascii="Times New Roman" w:hAnsi="Times New Roman"/>
        </w:rPr>
        <w:t>Requests for Applications [</w:t>
      </w:r>
      <w:r w:rsidR="00055098" w:rsidRPr="00AC7EA2">
        <w:rPr>
          <w:rFonts w:ascii="Times New Roman" w:hAnsi="Times New Roman"/>
        </w:rPr>
        <w:t>RFA</w:t>
      </w:r>
      <w:r w:rsidR="009A626D" w:rsidRPr="00AC7EA2">
        <w:rPr>
          <w:rFonts w:ascii="Times New Roman" w:hAnsi="Times New Roman"/>
        </w:rPr>
        <w:t>])</w:t>
      </w:r>
      <w:r w:rsidRPr="00AC7EA2">
        <w:rPr>
          <w:rFonts w:ascii="Times New Roman" w:hAnsi="Times New Roman"/>
        </w:rPr>
        <w:t xml:space="preserve"> and to plan appropriate technical assistance services for </w:t>
      </w:r>
      <w:r w:rsidR="00634D48" w:rsidRPr="00AC7EA2">
        <w:rPr>
          <w:rFonts w:ascii="Times New Roman" w:hAnsi="Times New Roman"/>
        </w:rPr>
        <w:t>grantees</w:t>
      </w:r>
      <w:r w:rsidRPr="00AC7EA2">
        <w:rPr>
          <w:rFonts w:ascii="Times New Roman" w:hAnsi="Times New Roman"/>
        </w:rPr>
        <w:t>.</w:t>
      </w:r>
    </w:p>
    <w:p w:rsidR="009714E2" w:rsidRPr="00AC7EA2" w:rsidRDefault="009714E2" w:rsidP="005F2016">
      <w:pPr>
        <w:numPr>
          <w:ilvl w:val="0"/>
          <w:numId w:val="11"/>
        </w:numPr>
        <w:rPr>
          <w:rFonts w:ascii="Times New Roman" w:hAnsi="Times New Roman"/>
        </w:rPr>
      </w:pPr>
      <w:r w:rsidRPr="00AC7EA2">
        <w:rPr>
          <w:rFonts w:ascii="Times New Roman" w:hAnsi="Times New Roman"/>
        </w:rPr>
        <w:t xml:space="preserve">Findings will support </w:t>
      </w:r>
      <w:r w:rsidR="00634D48" w:rsidRPr="00AC7EA2">
        <w:rPr>
          <w:rFonts w:ascii="Times New Roman" w:hAnsi="Times New Roman"/>
        </w:rPr>
        <w:t xml:space="preserve">SAMHSA </w:t>
      </w:r>
      <w:r w:rsidRPr="00AC7EA2">
        <w:rPr>
          <w:rFonts w:ascii="Times New Roman" w:hAnsi="Times New Roman"/>
        </w:rPr>
        <w:t xml:space="preserve">publications and materials on prevention practices that are an important resource </w:t>
      </w:r>
      <w:r w:rsidR="003D0357" w:rsidRPr="00AC7EA2">
        <w:rPr>
          <w:rFonts w:ascii="Times New Roman" w:hAnsi="Times New Roman"/>
        </w:rPr>
        <w:t xml:space="preserve">for </w:t>
      </w:r>
      <w:r w:rsidRPr="00AC7EA2">
        <w:rPr>
          <w:rFonts w:ascii="Times New Roman" w:hAnsi="Times New Roman"/>
        </w:rPr>
        <w:t>public and private organizations involved in the design and implementation of prevention programming for youth and adults.</w:t>
      </w:r>
    </w:p>
    <w:p w:rsidR="009714E2" w:rsidRPr="00AC7EA2" w:rsidRDefault="009714E2"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714E2" w:rsidRPr="00AC7EA2" w:rsidRDefault="009714E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In sum, the findings from the </w:t>
      </w:r>
      <w:r w:rsidR="00DC03C2" w:rsidRPr="00AC7EA2">
        <w:rPr>
          <w:rFonts w:ascii="Times New Roman" w:hAnsi="Times New Roman"/>
        </w:rPr>
        <w:t xml:space="preserve">MAI cross-site evaluation </w:t>
      </w:r>
      <w:r w:rsidRPr="00AC7EA2">
        <w:rPr>
          <w:rFonts w:ascii="Times New Roman" w:hAnsi="Times New Roman"/>
        </w:rPr>
        <w:t xml:space="preserve">will be a crucial resource for </w:t>
      </w:r>
      <w:r w:rsidR="00634D48" w:rsidRPr="00AC7EA2">
        <w:rPr>
          <w:rFonts w:ascii="Times New Roman" w:hAnsi="Times New Roman"/>
        </w:rPr>
        <w:t xml:space="preserve">SAMHSA </w:t>
      </w:r>
      <w:r w:rsidRPr="00AC7EA2">
        <w:rPr>
          <w:rFonts w:ascii="Times New Roman" w:hAnsi="Times New Roman"/>
        </w:rPr>
        <w:t xml:space="preserve">in setting prevention policy priorities, </w:t>
      </w:r>
      <w:r w:rsidR="003D0357" w:rsidRPr="00AC7EA2">
        <w:rPr>
          <w:rFonts w:ascii="Times New Roman" w:hAnsi="Times New Roman"/>
        </w:rPr>
        <w:t>measuring perfor</w:t>
      </w:r>
      <w:r w:rsidRPr="00AC7EA2">
        <w:rPr>
          <w:rFonts w:ascii="Times New Roman" w:hAnsi="Times New Roman"/>
        </w:rPr>
        <w:t>mance</w:t>
      </w:r>
      <w:r w:rsidR="003D0357" w:rsidRPr="00AC7EA2">
        <w:rPr>
          <w:rFonts w:ascii="Times New Roman" w:hAnsi="Times New Roman"/>
        </w:rPr>
        <w:t>,</w:t>
      </w:r>
      <w:r w:rsidRPr="00AC7EA2">
        <w:rPr>
          <w:rFonts w:ascii="Times New Roman" w:hAnsi="Times New Roman"/>
        </w:rPr>
        <w:t xml:space="preserve"> and designing and promoting optimally effective prevention program initiatives. Although the </w:t>
      </w:r>
      <w:r w:rsidR="00886C51" w:rsidRPr="00AC7EA2">
        <w:rPr>
          <w:rFonts w:ascii="Times New Roman" w:hAnsi="Times New Roman"/>
        </w:rPr>
        <w:t>cross-site evaluation</w:t>
      </w:r>
      <w:r w:rsidRPr="00AC7EA2">
        <w:rPr>
          <w:rFonts w:ascii="Times New Roman" w:hAnsi="Times New Roman"/>
        </w:rPr>
        <w:t xml:space="preserve"> is designed </w:t>
      </w:r>
      <w:r w:rsidR="003D0357" w:rsidRPr="00AC7EA2">
        <w:rPr>
          <w:rFonts w:ascii="Times New Roman" w:hAnsi="Times New Roman"/>
        </w:rPr>
        <w:t xml:space="preserve">primarily </w:t>
      </w:r>
      <w:r w:rsidRPr="00AC7EA2">
        <w:rPr>
          <w:rFonts w:ascii="Times New Roman" w:hAnsi="Times New Roman"/>
        </w:rPr>
        <w:t xml:space="preserve">to address CSAP program requirements, </w:t>
      </w:r>
      <w:r w:rsidR="002A4ED2" w:rsidRPr="00AC7EA2">
        <w:rPr>
          <w:rFonts w:ascii="Times New Roman" w:hAnsi="Times New Roman"/>
        </w:rPr>
        <w:t xml:space="preserve">evaluation </w:t>
      </w:r>
      <w:r w:rsidRPr="00AC7EA2">
        <w:rPr>
          <w:rFonts w:ascii="Times New Roman" w:hAnsi="Times New Roman"/>
        </w:rPr>
        <w:t xml:space="preserve">results will be useful to other </w:t>
      </w:r>
      <w:r w:rsidR="00634D48" w:rsidRPr="00AC7EA2">
        <w:rPr>
          <w:rFonts w:ascii="Times New Roman" w:hAnsi="Times New Roman"/>
        </w:rPr>
        <w:t>f</w:t>
      </w:r>
      <w:r w:rsidRPr="00AC7EA2">
        <w:rPr>
          <w:rFonts w:ascii="Times New Roman" w:hAnsi="Times New Roman"/>
        </w:rPr>
        <w:t xml:space="preserve">ederal, </w:t>
      </w:r>
      <w:r w:rsidR="00634D48" w:rsidRPr="00AC7EA2">
        <w:rPr>
          <w:rFonts w:ascii="Times New Roman" w:hAnsi="Times New Roman"/>
        </w:rPr>
        <w:t>s</w:t>
      </w:r>
      <w:r w:rsidRPr="00AC7EA2">
        <w:rPr>
          <w:rFonts w:ascii="Times New Roman" w:hAnsi="Times New Roman"/>
        </w:rPr>
        <w:t>tate</w:t>
      </w:r>
      <w:r w:rsidR="00125D9D" w:rsidRPr="00AC7EA2">
        <w:rPr>
          <w:rFonts w:ascii="Times New Roman" w:hAnsi="Times New Roman"/>
        </w:rPr>
        <w:t>,</w:t>
      </w:r>
      <w:r w:rsidRPr="00AC7EA2">
        <w:rPr>
          <w:rFonts w:ascii="Times New Roman" w:hAnsi="Times New Roman"/>
        </w:rPr>
        <w:t xml:space="preserve"> and </w:t>
      </w:r>
      <w:r w:rsidR="006459FA" w:rsidRPr="00AC7EA2">
        <w:rPr>
          <w:rFonts w:ascii="Times New Roman" w:hAnsi="Times New Roman"/>
        </w:rPr>
        <w:t>local</w:t>
      </w:r>
      <w:r w:rsidRPr="00AC7EA2">
        <w:rPr>
          <w:rFonts w:ascii="Times New Roman" w:hAnsi="Times New Roman"/>
        </w:rPr>
        <w:t xml:space="preserve"> agencies involved in efforts to prevent or reduce </w:t>
      </w:r>
      <w:r w:rsidR="006459FA" w:rsidRPr="00AC7EA2">
        <w:rPr>
          <w:rFonts w:ascii="Times New Roman" w:hAnsi="Times New Roman"/>
        </w:rPr>
        <w:t>SA</w:t>
      </w:r>
      <w:r w:rsidRPr="00AC7EA2">
        <w:rPr>
          <w:rFonts w:ascii="Times New Roman" w:hAnsi="Times New Roman"/>
        </w:rPr>
        <w:t xml:space="preserve"> </w:t>
      </w:r>
      <w:r w:rsidR="006459FA" w:rsidRPr="00AC7EA2">
        <w:rPr>
          <w:rFonts w:ascii="Times New Roman" w:hAnsi="Times New Roman"/>
        </w:rPr>
        <w:t>and H</w:t>
      </w:r>
      <w:r w:rsidR="00634D48" w:rsidRPr="00AC7EA2">
        <w:rPr>
          <w:rFonts w:ascii="Times New Roman" w:hAnsi="Times New Roman"/>
        </w:rPr>
        <w:t>IV</w:t>
      </w:r>
      <w:r w:rsidR="006459FA" w:rsidRPr="00AC7EA2">
        <w:rPr>
          <w:rFonts w:ascii="Times New Roman" w:hAnsi="Times New Roman"/>
        </w:rPr>
        <w:t>/HCV</w:t>
      </w:r>
      <w:r w:rsidR="00634D48" w:rsidRPr="00AC7EA2">
        <w:rPr>
          <w:rFonts w:ascii="Times New Roman" w:hAnsi="Times New Roman"/>
        </w:rPr>
        <w:t xml:space="preserve"> transmission </w:t>
      </w:r>
      <w:r w:rsidRPr="00AC7EA2">
        <w:rPr>
          <w:rFonts w:ascii="Times New Roman" w:hAnsi="Times New Roman"/>
        </w:rPr>
        <w:t xml:space="preserve">among youth and adults. </w:t>
      </w:r>
      <w:r w:rsidR="003D0357" w:rsidRPr="00AC7EA2">
        <w:rPr>
          <w:rFonts w:ascii="Times New Roman" w:hAnsi="Times New Roman"/>
        </w:rPr>
        <w:t>While s</w:t>
      </w:r>
      <w:r w:rsidRPr="00AC7EA2">
        <w:rPr>
          <w:rFonts w:ascii="Times New Roman" w:hAnsi="Times New Roman"/>
        </w:rPr>
        <w:t>ome of these agencies are specifically interested in providing preventive health services</w:t>
      </w:r>
      <w:r w:rsidR="003D0357" w:rsidRPr="00AC7EA2">
        <w:rPr>
          <w:rFonts w:ascii="Times New Roman" w:hAnsi="Times New Roman"/>
        </w:rPr>
        <w:t>, o</w:t>
      </w:r>
      <w:r w:rsidRPr="00AC7EA2">
        <w:rPr>
          <w:rFonts w:ascii="Times New Roman" w:hAnsi="Times New Roman"/>
        </w:rPr>
        <w:t xml:space="preserve">thers have a more general interest in approaches or strategies that have been proven effective. </w:t>
      </w:r>
    </w:p>
    <w:p w:rsidR="009714E2" w:rsidRPr="00AC7EA2" w:rsidRDefault="009714E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9714E2" w:rsidRPr="00AC7EA2" w:rsidRDefault="009714E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State and local agencies also have significant responsibilities for </w:t>
      </w:r>
      <w:r w:rsidR="006459FA" w:rsidRPr="00AC7EA2">
        <w:rPr>
          <w:rFonts w:ascii="Times New Roman" w:hAnsi="Times New Roman"/>
        </w:rPr>
        <w:t xml:space="preserve">the </w:t>
      </w:r>
      <w:r w:rsidRPr="00AC7EA2">
        <w:rPr>
          <w:rFonts w:ascii="Times New Roman" w:hAnsi="Times New Roman"/>
        </w:rPr>
        <w:t xml:space="preserve">design and implementation of prevention programs for youth and adults. The results of the MAI cross-site findings may be useful in a variety of ways to </w:t>
      </w:r>
      <w:r w:rsidR="006459FA" w:rsidRPr="00AC7EA2">
        <w:rPr>
          <w:rFonts w:ascii="Times New Roman" w:hAnsi="Times New Roman"/>
        </w:rPr>
        <w:t xml:space="preserve">these </w:t>
      </w:r>
      <w:r w:rsidRPr="00AC7EA2">
        <w:rPr>
          <w:rFonts w:ascii="Times New Roman" w:hAnsi="Times New Roman"/>
        </w:rPr>
        <w:t>agencies</w:t>
      </w:r>
      <w:r w:rsidR="00D007C2" w:rsidRPr="00AC7EA2">
        <w:rPr>
          <w:rFonts w:ascii="Times New Roman" w:hAnsi="Times New Roman"/>
        </w:rPr>
        <w:t>, including</w:t>
      </w:r>
      <w:r w:rsidR="00E26DA7" w:rsidRPr="00AC7EA2">
        <w:rPr>
          <w:rFonts w:ascii="Times New Roman" w:hAnsi="Times New Roman"/>
        </w:rPr>
        <w:t>:</w:t>
      </w:r>
    </w:p>
    <w:p w:rsidR="009714E2" w:rsidRPr="00AC7EA2" w:rsidRDefault="009714E2"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color w:val="000000"/>
        </w:rPr>
      </w:pPr>
    </w:p>
    <w:p w:rsidR="009714E2" w:rsidRPr="00AC7EA2" w:rsidRDefault="009714E2" w:rsidP="005F2016">
      <w:pPr>
        <w:numPr>
          <w:ilvl w:val="0"/>
          <w:numId w:val="11"/>
        </w:numPr>
        <w:rPr>
          <w:rFonts w:ascii="Times New Roman" w:hAnsi="Times New Roman"/>
        </w:rPr>
      </w:pPr>
      <w:r w:rsidRPr="00AC7EA2">
        <w:rPr>
          <w:rFonts w:ascii="Times New Roman" w:hAnsi="Times New Roman"/>
        </w:rPr>
        <w:t xml:space="preserve">Policymakers in </w:t>
      </w:r>
      <w:r w:rsidR="00634D48" w:rsidRPr="00AC7EA2">
        <w:rPr>
          <w:rFonts w:ascii="Times New Roman" w:hAnsi="Times New Roman"/>
        </w:rPr>
        <w:t>s</w:t>
      </w:r>
      <w:r w:rsidRPr="00AC7EA2">
        <w:rPr>
          <w:rFonts w:ascii="Times New Roman" w:hAnsi="Times New Roman"/>
        </w:rPr>
        <w:t>tate and local governments will have evidence o</w:t>
      </w:r>
      <w:r w:rsidR="009A31A0" w:rsidRPr="00AC7EA2">
        <w:rPr>
          <w:rFonts w:ascii="Times New Roman" w:hAnsi="Times New Roman"/>
        </w:rPr>
        <w:t>f</w:t>
      </w:r>
      <w:r w:rsidRPr="00AC7EA2">
        <w:rPr>
          <w:rFonts w:ascii="Times New Roman" w:hAnsi="Times New Roman"/>
        </w:rPr>
        <w:t xml:space="preserve"> the impact of various programs and infrastructure development models on preventing or reducing </w:t>
      </w:r>
      <w:r w:rsidR="006459FA" w:rsidRPr="00AC7EA2">
        <w:rPr>
          <w:rFonts w:ascii="Times New Roman" w:hAnsi="Times New Roman"/>
        </w:rPr>
        <w:t>SA,</w:t>
      </w:r>
      <w:r w:rsidRPr="00AC7EA2">
        <w:rPr>
          <w:rFonts w:ascii="Times New Roman" w:hAnsi="Times New Roman"/>
        </w:rPr>
        <w:t xml:space="preserve"> HIV/AIDS</w:t>
      </w:r>
      <w:r w:rsidR="006459FA" w:rsidRPr="00AC7EA2">
        <w:rPr>
          <w:rFonts w:ascii="Times New Roman" w:hAnsi="Times New Roman"/>
        </w:rPr>
        <w:t>, and HCV</w:t>
      </w:r>
      <w:r w:rsidRPr="00AC7EA2">
        <w:rPr>
          <w:rFonts w:ascii="Times New Roman" w:hAnsi="Times New Roman"/>
        </w:rPr>
        <w:t xml:space="preserve"> among minority youth and </w:t>
      </w:r>
      <w:r w:rsidR="006459FA" w:rsidRPr="00AC7EA2">
        <w:rPr>
          <w:rFonts w:ascii="Times New Roman" w:hAnsi="Times New Roman"/>
        </w:rPr>
        <w:t xml:space="preserve">young </w:t>
      </w:r>
      <w:r w:rsidRPr="00AC7EA2">
        <w:rPr>
          <w:rFonts w:ascii="Times New Roman" w:hAnsi="Times New Roman"/>
        </w:rPr>
        <w:t xml:space="preserve">adults. The evidence will be useful in setting </w:t>
      </w:r>
      <w:r w:rsidR="00BB42DD" w:rsidRPr="00AC7EA2">
        <w:rPr>
          <w:rFonts w:ascii="Times New Roman" w:hAnsi="Times New Roman"/>
        </w:rPr>
        <w:t xml:space="preserve">state and local </w:t>
      </w:r>
      <w:r w:rsidRPr="00AC7EA2">
        <w:rPr>
          <w:rFonts w:ascii="Times New Roman" w:hAnsi="Times New Roman"/>
        </w:rPr>
        <w:t>prevention policy priorities.</w:t>
      </w:r>
    </w:p>
    <w:p w:rsidR="009714E2" w:rsidRPr="00AC7EA2" w:rsidRDefault="009714E2" w:rsidP="005F2016">
      <w:pPr>
        <w:numPr>
          <w:ilvl w:val="0"/>
          <w:numId w:val="11"/>
        </w:numPr>
        <w:rPr>
          <w:rFonts w:ascii="Times New Roman" w:hAnsi="Times New Roman"/>
        </w:rPr>
      </w:pPr>
      <w:r w:rsidRPr="00AC7EA2">
        <w:rPr>
          <w:rFonts w:ascii="Times New Roman" w:hAnsi="Times New Roman"/>
        </w:rPr>
        <w:t xml:space="preserve">Program planners in </w:t>
      </w:r>
      <w:r w:rsidR="006459FA" w:rsidRPr="00AC7EA2">
        <w:rPr>
          <w:rFonts w:ascii="Times New Roman" w:hAnsi="Times New Roman"/>
        </w:rPr>
        <w:t>s</w:t>
      </w:r>
      <w:r w:rsidRPr="00AC7EA2">
        <w:rPr>
          <w:rFonts w:ascii="Times New Roman" w:hAnsi="Times New Roman"/>
        </w:rPr>
        <w:t>tate and local governments and in community-based organizations will have comparative evidence on the effectiveness of different models for the provision of youth and adult services</w:t>
      </w:r>
      <w:r w:rsidR="00AD1EA6" w:rsidRPr="00AC7EA2">
        <w:rPr>
          <w:rFonts w:ascii="Times New Roman" w:hAnsi="Times New Roman"/>
        </w:rPr>
        <w:t xml:space="preserve"> and for reducing behavioral health disparities</w:t>
      </w:r>
      <w:r w:rsidRPr="00AC7EA2">
        <w:rPr>
          <w:rFonts w:ascii="Times New Roman" w:hAnsi="Times New Roman"/>
        </w:rPr>
        <w:t>. This information will be useful in developing funding guidelines and direct service programs.</w:t>
      </w:r>
    </w:p>
    <w:p w:rsidR="009714E2" w:rsidRPr="00AC7EA2" w:rsidRDefault="009714E2" w:rsidP="005F2016">
      <w:pPr>
        <w:numPr>
          <w:ilvl w:val="0"/>
          <w:numId w:val="11"/>
        </w:numPr>
        <w:rPr>
          <w:rFonts w:ascii="Times New Roman" w:hAnsi="Times New Roman"/>
        </w:rPr>
      </w:pPr>
      <w:r w:rsidRPr="00AC7EA2">
        <w:rPr>
          <w:rFonts w:ascii="Times New Roman" w:hAnsi="Times New Roman"/>
        </w:rPr>
        <w:t>National, nonprofit</w:t>
      </w:r>
      <w:r w:rsidR="00D007C2" w:rsidRPr="00AC7EA2">
        <w:rPr>
          <w:rFonts w:ascii="Times New Roman" w:hAnsi="Times New Roman"/>
        </w:rPr>
        <w:t>,</w:t>
      </w:r>
      <w:r w:rsidRPr="00AC7EA2">
        <w:rPr>
          <w:rFonts w:ascii="Times New Roman" w:hAnsi="Times New Roman"/>
        </w:rPr>
        <w:t xml:space="preserve"> voluntary, and professional organizations will have an accurate portrayal of the program inputs that are required </w:t>
      </w:r>
      <w:r w:rsidR="002B2D04" w:rsidRPr="00AC7EA2">
        <w:rPr>
          <w:rFonts w:ascii="Times New Roman" w:hAnsi="Times New Roman"/>
        </w:rPr>
        <w:t>to establish</w:t>
      </w:r>
      <w:r w:rsidRPr="00AC7EA2">
        <w:rPr>
          <w:rFonts w:ascii="Times New Roman" w:hAnsi="Times New Roman"/>
        </w:rPr>
        <w:t xml:space="preserve"> successful programs targeting minority youth and adults. This information will promote optimally effective prevention program design.</w:t>
      </w:r>
    </w:p>
    <w:p w:rsidR="00AD1EA6" w:rsidRPr="00AC7EA2" w:rsidRDefault="00AD1EA6" w:rsidP="005F2016">
      <w:pPr>
        <w:numPr>
          <w:ilvl w:val="0"/>
          <w:numId w:val="11"/>
        </w:numPr>
        <w:rPr>
          <w:rFonts w:ascii="Times New Roman" w:hAnsi="Times New Roman"/>
        </w:rPr>
      </w:pPr>
      <w:r w:rsidRPr="00AC7EA2">
        <w:rPr>
          <w:rFonts w:ascii="Times New Roman" w:hAnsi="Times New Roman"/>
        </w:rPr>
        <w:t xml:space="preserve">College administrators will gain an understanding of the strategies that best address the risk factors </w:t>
      </w:r>
      <w:r w:rsidR="006459FA" w:rsidRPr="00AC7EA2">
        <w:rPr>
          <w:rFonts w:ascii="Times New Roman" w:hAnsi="Times New Roman"/>
        </w:rPr>
        <w:t>associated with</w:t>
      </w:r>
      <w:r w:rsidRPr="00AC7EA2">
        <w:rPr>
          <w:rFonts w:ascii="Times New Roman" w:hAnsi="Times New Roman"/>
        </w:rPr>
        <w:t xml:space="preserve"> SA and HIV transmission on campuses and the surrounding communities. </w:t>
      </w:r>
      <w:r w:rsidR="00606195" w:rsidRPr="00AC7EA2">
        <w:rPr>
          <w:rFonts w:ascii="Times New Roman" w:hAnsi="Times New Roman"/>
        </w:rPr>
        <w:t xml:space="preserve">This knowledge will help formulate policies for reducing illegal substance consumption and risky sexual behaviors among young adults. </w:t>
      </w:r>
    </w:p>
    <w:p w:rsidR="00C1682F" w:rsidRPr="00AC7EA2" w:rsidRDefault="00C1682F"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p>
    <w:p w:rsidR="006D5AA8" w:rsidRPr="00AC7EA2" w:rsidRDefault="006D5AA8" w:rsidP="005F201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rPr>
      </w:pPr>
      <w:r w:rsidRPr="00AC7EA2">
        <w:rPr>
          <w:rFonts w:ascii="Times New Roman" w:hAnsi="Times New Roman"/>
          <w:b/>
        </w:rPr>
        <w:t>Changes</w:t>
      </w:r>
      <w:r w:rsidR="00DC03C2" w:rsidRPr="00AC7EA2">
        <w:rPr>
          <w:rFonts w:ascii="Times New Roman" w:hAnsi="Times New Roman"/>
          <w:b/>
        </w:rPr>
        <w:t xml:space="preserve"> in Instrumentation</w:t>
      </w:r>
    </w:p>
    <w:p w:rsidR="003949C7" w:rsidRPr="00AC7EA2" w:rsidRDefault="003949C7" w:rsidP="005F201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rPr>
      </w:pPr>
    </w:p>
    <w:p w:rsidR="002C6D4A" w:rsidRPr="00AC7EA2" w:rsidRDefault="0060619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youth and adult questionnaires </w:t>
      </w:r>
      <w:r w:rsidR="006459FA" w:rsidRPr="00AC7EA2">
        <w:rPr>
          <w:rFonts w:ascii="Times New Roman" w:hAnsi="Times New Roman"/>
        </w:rPr>
        <w:t xml:space="preserve">currently in use </w:t>
      </w:r>
      <w:r w:rsidRPr="00AC7EA2">
        <w:rPr>
          <w:rFonts w:ascii="Times New Roman" w:hAnsi="Times New Roman"/>
        </w:rPr>
        <w:t>(OMB # 0930-0298) have been substantially</w:t>
      </w:r>
      <w:r w:rsidR="00435446" w:rsidRPr="00AC7EA2">
        <w:rPr>
          <w:rFonts w:ascii="Times New Roman" w:hAnsi="Times New Roman"/>
        </w:rPr>
        <w:t xml:space="preserve"> revised</w:t>
      </w:r>
      <w:r w:rsidR="007D01D8" w:rsidRPr="00AC7EA2">
        <w:rPr>
          <w:rFonts w:ascii="Times New Roman" w:hAnsi="Times New Roman"/>
        </w:rPr>
        <w:t xml:space="preserve"> and shortened</w:t>
      </w:r>
      <w:r w:rsidR="00BB42DD" w:rsidRPr="00AC7EA2">
        <w:rPr>
          <w:rFonts w:ascii="Times New Roman" w:hAnsi="Times New Roman"/>
        </w:rPr>
        <w:t xml:space="preserve"> for the continuation of this cross site and this new OMB </w:t>
      </w:r>
      <w:r w:rsidR="00DC03C2" w:rsidRPr="00AC7EA2">
        <w:rPr>
          <w:rFonts w:ascii="Times New Roman" w:hAnsi="Times New Roman"/>
        </w:rPr>
        <w:t xml:space="preserve">approval </w:t>
      </w:r>
      <w:r w:rsidR="00BB42DD" w:rsidRPr="00AC7EA2">
        <w:rPr>
          <w:rFonts w:ascii="Times New Roman" w:hAnsi="Times New Roman"/>
        </w:rPr>
        <w:t>request</w:t>
      </w:r>
      <w:r w:rsidRPr="00AC7EA2">
        <w:rPr>
          <w:rFonts w:ascii="Times New Roman" w:hAnsi="Times New Roman"/>
        </w:rPr>
        <w:t xml:space="preserve">. </w:t>
      </w:r>
      <w:r w:rsidR="00435446" w:rsidRPr="00AC7EA2">
        <w:rPr>
          <w:rFonts w:ascii="Times New Roman" w:hAnsi="Times New Roman"/>
        </w:rPr>
        <w:t xml:space="preserve">The </w:t>
      </w:r>
      <w:r w:rsidR="00BB42DD" w:rsidRPr="00AC7EA2">
        <w:rPr>
          <w:rFonts w:ascii="Times New Roman" w:hAnsi="Times New Roman"/>
        </w:rPr>
        <w:t xml:space="preserve">current </w:t>
      </w:r>
      <w:r w:rsidR="00435446" w:rsidRPr="00AC7EA2">
        <w:rPr>
          <w:rFonts w:ascii="Times New Roman" w:hAnsi="Times New Roman"/>
        </w:rPr>
        <w:t>versions included all of SAMHSA’s prevention NOMs items</w:t>
      </w:r>
      <w:r w:rsidR="00BB42DD" w:rsidRPr="00AC7EA2">
        <w:rPr>
          <w:rFonts w:ascii="Times New Roman" w:hAnsi="Times New Roman"/>
        </w:rPr>
        <w:t>, a requirement</w:t>
      </w:r>
      <w:r w:rsidR="00435446" w:rsidRPr="00AC7EA2">
        <w:rPr>
          <w:rFonts w:ascii="Times New Roman" w:hAnsi="Times New Roman"/>
        </w:rPr>
        <w:t xml:space="preserve"> at the time the instruments were designed. Recently, this requirement </w:t>
      </w:r>
      <w:r w:rsidR="006459FA" w:rsidRPr="00AC7EA2">
        <w:rPr>
          <w:rFonts w:ascii="Times New Roman" w:hAnsi="Times New Roman"/>
        </w:rPr>
        <w:t>has been</w:t>
      </w:r>
      <w:r w:rsidR="00435446" w:rsidRPr="00AC7EA2">
        <w:rPr>
          <w:rFonts w:ascii="Times New Roman" w:hAnsi="Times New Roman"/>
        </w:rPr>
        <w:t xml:space="preserve"> relaxed and grant programs are now allowed to select only the NOMs </w:t>
      </w:r>
      <w:r w:rsidR="006459FA" w:rsidRPr="00AC7EA2">
        <w:rPr>
          <w:rFonts w:ascii="Times New Roman" w:hAnsi="Times New Roman"/>
        </w:rPr>
        <w:t xml:space="preserve">items </w:t>
      </w:r>
      <w:r w:rsidR="00435446" w:rsidRPr="00AC7EA2">
        <w:rPr>
          <w:rFonts w:ascii="Times New Roman" w:hAnsi="Times New Roman"/>
        </w:rPr>
        <w:t xml:space="preserve">that are </w:t>
      </w:r>
      <w:r w:rsidR="006459FA" w:rsidRPr="00AC7EA2">
        <w:rPr>
          <w:rFonts w:ascii="Times New Roman" w:hAnsi="Times New Roman"/>
        </w:rPr>
        <w:t>directly</w:t>
      </w:r>
      <w:r w:rsidR="00435446" w:rsidRPr="00AC7EA2">
        <w:rPr>
          <w:rFonts w:ascii="Times New Roman" w:hAnsi="Times New Roman"/>
        </w:rPr>
        <w:t xml:space="preserve"> related to their targeted outcomes. Therefore, </w:t>
      </w:r>
      <w:r w:rsidR="006459FA" w:rsidRPr="00AC7EA2">
        <w:rPr>
          <w:rFonts w:ascii="Times New Roman" w:hAnsi="Times New Roman"/>
        </w:rPr>
        <w:t xml:space="preserve">the </w:t>
      </w:r>
      <w:r w:rsidR="00435446" w:rsidRPr="00AC7EA2">
        <w:rPr>
          <w:rFonts w:ascii="Times New Roman" w:hAnsi="Times New Roman"/>
        </w:rPr>
        <w:t>first phase of the revision process was to eliminate the previously required NOMs items that are not closely associated with MAI</w:t>
      </w:r>
      <w:r w:rsidR="006459FA" w:rsidRPr="00AC7EA2">
        <w:rPr>
          <w:rFonts w:ascii="Times New Roman" w:hAnsi="Times New Roman"/>
        </w:rPr>
        <w:t>’s</w:t>
      </w:r>
      <w:r w:rsidR="00435446" w:rsidRPr="00AC7EA2">
        <w:rPr>
          <w:rFonts w:ascii="Times New Roman" w:hAnsi="Times New Roman"/>
        </w:rPr>
        <w:t xml:space="preserve"> goals. Additionally, multiple items measuring the same or very similar constructs were streamlined. The second phase of the revision process consisted of identifying a few new items that address SAMHSA’s newly emerging priorities, such as reducing behavioral health disparities</w:t>
      </w:r>
      <w:r w:rsidR="0089741E" w:rsidRPr="00AC7EA2">
        <w:rPr>
          <w:rFonts w:ascii="Times New Roman" w:hAnsi="Times New Roman"/>
        </w:rPr>
        <w:t>, providing culturally and linguistically appropriate services,</w:t>
      </w:r>
      <w:r w:rsidR="00435446" w:rsidRPr="00AC7EA2">
        <w:rPr>
          <w:rFonts w:ascii="Times New Roman" w:hAnsi="Times New Roman"/>
        </w:rPr>
        <w:t xml:space="preserve"> and assessing the impact of substances whose prevalence has increased in recent years (e.g. synthetic marijuana</w:t>
      </w:r>
      <w:r w:rsidR="0089741E" w:rsidRPr="00AC7EA2">
        <w:rPr>
          <w:rFonts w:ascii="Times New Roman" w:hAnsi="Times New Roman"/>
        </w:rPr>
        <w:t>,</w:t>
      </w:r>
      <w:r w:rsidR="00435446" w:rsidRPr="00AC7EA2">
        <w:rPr>
          <w:rFonts w:ascii="Times New Roman" w:hAnsi="Times New Roman"/>
        </w:rPr>
        <w:t xml:space="preserve"> e</w:t>
      </w:r>
      <w:r w:rsidR="0089741E" w:rsidRPr="00AC7EA2">
        <w:rPr>
          <w:rFonts w:ascii="Times New Roman" w:hAnsi="Times New Roman"/>
        </w:rPr>
        <w:t xml:space="preserve">lectronic vapor products, and </w:t>
      </w:r>
      <w:r w:rsidR="00435446" w:rsidRPr="00AC7EA2">
        <w:rPr>
          <w:rFonts w:ascii="Times New Roman" w:hAnsi="Times New Roman"/>
        </w:rPr>
        <w:t>non-medical use of prescription drugs)</w:t>
      </w:r>
      <w:r w:rsidR="0089741E" w:rsidRPr="00AC7EA2">
        <w:rPr>
          <w:rFonts w:ascii="Times New Roman" w:hAnsi="Times New Roman"/>
        </w:rPr>
        <w:t xml:space="preserve">. Care was taken to ensure that the psychometric properties of the newly-added items </w:t>
      </w:r>
      <w:r w:rsidR="007D01D8" w:rsidRPr="00AC7EA2">
        <w:rPr>
          <w:rFonts w:ascii="Times New Roman" w:hAnsi="Times New Roman"/>
        </w:rPr>
        <w:t xml:space="preserve">had </w:t>
      </w:r>
      <w:r w:rsidR="00435446" w:rsidRPr="00AC7EA2">
        <w:rPr>
          <w:rFonts w:ascii="Times New Roman" w:hAnsi="Times New Roman"/>
        </w:rPr>
        <w:t xml:space="preserve">been established by </w:t>
      </w:r>
      <w:r w:rsidR="0089741E" w:rsidRPr="00AC7EA2">
        <w:rPr>
          <w:rFonts w:ascii="Times New Roman" w:hAnsi="Times New Roman"/>
        </w:rPr>
        <w:t xml:space="preserve">federal agencies or other </w:t>
      </w:r>
      <w:r w:rsidR="00435446" w:rsidRPr="00AC7EA2">
        <w:rPr>
          <w:rFonts w:ascii="Times New Roman" w:hAnsi="Times New Roman"/>
        </w:rPr>
        <w:t xml:space="preserve">credible organizations </w:t>
      </w:r>
      <w:r w:rsidR="0089741E" w:rsidRPr="00AC7EA2">
        <w:rPr>
          <w:rFonts w:ascii="Times New Roman" w:hAnsi="Times New Roman"/>
        </w:rPr>
        <w:t>responsible for large-scale epidemiological data collection efforts</w:t>
      </w:r>
      <w:r w:rsidR="00435446" w:rsidRPr="00AC7EA2">
        <w:rPr>
          <w:rFonts w:ascii="Times New Roman" w:hAnsi="Times New Roman"/>
        </w:rPr>
        <w:t xml:space="preserve">. </w:t>
      </w:r>
      <w:r w:rsidRPr="00AC7EA2">
        <w:rPr>
          <w:rFonts w:ascii="Times New Roman" w:hAnsi="Times New Roman"/>
        </w:rPr>
        <w:t xml:space="preserve">The revised </w:t>
      </w:r>
      <w:r w:rsidR="0089741E" w:rsidRPr="00AC7EA2">
        <w:rPr>
          <w:rFonts w:ascii="Times New Roman" w:hAnsi="Times New Roman"/>
        </w:rPr>
        <w:t>questionnaires</w:t>
      </w:r>
      <w:r w:rsidRPr="00AC7EA2">
        <w:rPr>
          <w:rFonts w:ascii="Times New Roman" w:hAnsi="Times New Roman"/>
        </w:rPr>
        <w:t xml:space="preserve"> for which </w:t>
      </w:r>
      <w:r w:rsidR="002A4ED2" w:rsidRPr="00AC7EA2">
        <w:rPr>
          <w:rFonts w:ascii="Times New Roman" w:hAnsi="Times New Roman"/>
        </w:rPr>
        <w:t xml:space="preserve">approval </w:t>
      </w:r>
      <w:r w:rsidRPr="00AC7EA2">
        <w:rPr>
          <w:rFonts w:ascii="Times New Roman" w:hAnsi="Times New Roman"/>
        </w:rPr>
        <w:t xml:space="preserve">is being requested contain </w:t>
      </w:r>
      <w:r w:rsidR="00237930" w:rsidRPr="00AC7EA2">
        <w:rPr>
          <w:rFonts w:ascii="Times New Roman" w:hAnsi="Times New Roman"/>
        </w:rPr>
        <w:t xml:space="preserve">94 (youth) and 79 (adult) items </w:t>
      </w:r>
      <w:r w:rsidR="007D01D8" w:rsidRPr="00AC7EA2">
        <w:rPr>
          <w:rFonts w:ascii="Times New Roman" w:hAnsi="Times New Roman"/>
        </w:rPr>
        <w:t>in comparison</w:t>
      </w:r>
      <w:r w:rsidR="00237930" w:rsidRPr="00AC7EA2">
        <w:rPr>
          <w:rFonts w:ascii="Times New Roman" w:hAnsi="Times New Roman"/>
        </w:rPr>
        <w:t xml:space="preserve"> to the</w:t>
      </w:r>
      <w:r w:rsidR="007D01D8" w:rsidRPr="00AC7EA2">
        <w:rPr>
          <w:rFonts w:ascii="Times New Roman" w:hAnsi="Times New Roman"/>
        </w:rPr>
        <w:t xml:space="preserve"> lengths of the</w:t>
      </w:r>
      <w:r w:rsidR="00237930" w:rsidRPr="00AC7EA2">
        <w:rPr>
          <w:rFonts w:ascii="Times New Roman" w:hAnsi="Times New Roman"/>
        </w:rPr>
        <w:t xml:space="preserve"> current </w:t>
      </w:r>
      <w:r w:rsidR="007D01D8" w:rsidRPr="00AC7EA2">
        <w:rPr>
          <w:rFonts w:ascii="Times New Roman" w:hAnsi="Times New Roman"/>
        </w:rPr>
        <w:t>instruments at</w:t>
      </w:r>
      <w:r w:rsidR="00237930" w:rsidRPr="00AC7EA2">
        <w:rPr>
          <w:rFonts w:ascii="Times New Roman" w:hAnsi="Times New Roman"/>
        </w:rPr>
        <w:t xml:space="preserve"> 128 and 122 questions, respectively. </w:t>
      </w:r>
      <w:r w:rsidR="00033807" w:rsidRPr="00AC7EA2">
        <w:rPr>
          <w:rFonts w:ascii="Times New Roman" w:hAnsi="Times New Roman"/>
        </w:rPr>
        <w:t xml:space="preserve">The revisions to the current questionnaires </w:t>
      </w:r>
      <w:r w:rsidR="0059456C">
        <w:rPr>
          <w:rFonts w:ascii="Times New Roman" w:hAnsi="Times New Roman"/>
        </w:rPr>
        <w:t>are</w:t>
      </w:r>
      <w:r w:rsidR="0059456C" w:rsidRPr="00AC7EA2">
        <w:rPr>
          <w:rFonts w:ascii="Times New Roman" w:hAnsi="Times New Roman"/>
        </w:rPr>
        <w:t xml:space="preserve"> </w:t>
      </w:r>
      <w:r w:rsidR="00033807" w:rsidRPr="00AC7EA2">
        <w:rPr>
          <w:rFonts w:ascii="Times New Roman" w:hAnsi="Times New Roman"/>
        </w:rPr>
        <w:t>summarized in Exhibit 10, Section B2.</w:t>
      </w:r>
    </w:p>
    <w:p w:rsidR="00BE79D1" w:rsidRPr="00AC7EA2" w:rsidRDefault="00BE79D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33807" w:rsidRPr="00AC7EA2" w:rsidRDefault="00BE79D1" w:rsidP="005F2016">
      <w:pPr>
        <w:suppressLineNumbers/>
        <w:outlineLvl w:val="0"/>
        <w:rPr>
          <w:rStyle w:val="WP9BodyText"/>
          <w:rFonts w:ascii="Times New Roman" w:hAnsi="Times New Roman"/>
        </w:rPr>
      </w:pPr>
      <w:r w:rsidRPr="00AC7EA2">
        <w:rPr>
          <w:rFonts w:ascii="Times New Roman" w:hAnsi="Times New Roman"/>
        </w:rPr>
        <w:t>Participants whose services last 30 days or longer will be required to complete the entire questionnaire (three sections) at baseline</w:t>
      </w:r>
      <w:r w:rsidR="00FE182B" w:rsidRPr="00AC7EA2">
        <w:rPr>
          <w:rFonts w:ascii="Times New Roman" w:hAnsi="Times New Roman"/>
        </w:rPr>
        <w:t xml:space="preserve"> </w:t>
      </w:r>
      <w:r w:rsidR="00910871" w:rsidRPr="00AC7EA2">
        <w:rPr>
          <w:rFonts w:ascii="Times New Roman" w:hAnsi="Times New Roman"/>
        </w:rPr>
        <w:t>(within 30 days before the first service encounter)</w:t>
      </w:r>
      <w:r w:rsidRPr="00AC7EA2">
        <w:rPr>
          <w:rFonts w:ascii="Times New Roman" w:hAnsi="Times New Roman"/>
        </w:rPr>
        <w:t>, exit</w:t>
      </w:r>
      <w:r w:rsidR="00910871" w:rsidRPr="00AC7EA2">
        <w:rPr>
          <w:rFonts w:ascii="Times New Roman" w:hAnsi="Times New Roman"/>
        </w:rPr>
        <w:t xml:space="preserve"> (within 10 days after the last service encounter)</w:t>
      </w:r>
      <w:r w:rsidRPr="00AC7EA2">
        <w:rPr>
          <w:rFonts w:ascii="Times New Roman" w:hAnsi="Times New Roman"/>
        </w:rPr>
        <w:t xml:space="preserve">, and three-to-six-month post-exit follow-up. Participants whose services last between 2 and 29 days will complete sections one and two of the questionnaire at baseline and exit, and participants who are in the program for a single day will complete Section One and 3-5 relevant questions from Section Two at program exit only.  Participants are free to refuse to respond to the entire survey or to particular items in the survey. </w:t>
      </w:r>
      <w:r w:rsidR="00033807" w:rsidRPr="00AC7EA2">
        <w:rPr>
          <w:rStyle w:val="WP9BodyText"/>
          <w:rFonts w:ascii="Times New Roman" w:hAnsi="Times New Roman"/>
        </w:rPr>
        <w:t>A full description of the data collection protocol is provided in the Overarching Administration Guide (Attachment 5).</w:t>
      </w:r>
    </w:p>
    <w:p w:rsidR="00033807" w:rsidRPr="00AC7EA2" w:rsidRDefault="0003380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E79D1" w:rsidRPr="00AC7EA2" w:rsidRDefault="00BE79D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All questionnaires will be completed in self-reported paper-and-pencil format. Completed survey forms will be submitted to SAMHSA through the PEP-C data submission system, currently under development. The system is being designed to provide the grantees with data entry screens that mimic the paper questionnaires in order to facilitate data entry, reduce burden, and minimize data entry errors. An online data validation feature will check for inconsistencies and out-of-range values and will issue error messages during data entry.</w:t>
      </w:r>
      <w:r w:rsidR="008710E0" w:rsidRPr="00AC7EA2">
        <w:rPr>
          <w:rFonts w:ascii="Times New Roman" w:hAnsi="Times New Roman"/>
        </w:rPr>
        <w:t xml:space="preserve"> Grantees will have the option of preparing databases for batch upload, using standard coding manuals and templates developed by the PEP-C team. A data scrubber is under development for validating uploaded batch data files and issuing error messages to flag formatting errors, inconsistencies, and out-of-range values. </w:t>
      </w:r>
    </w:p>
    <w:p w:rsidR="00BE79D1" w:rsidRPr="00AC7EA2" w:rsidRDefault="00BE79D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E79D1" w:rsidRPr="00AC7EA2" w:rsidRDefault="00BE79D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Based on analysis of data from Cohorts 7 through 10, not all participants take all of the required numbers of surveys. The burden estimates in this statement are based on analysis of these data and are adjusted for the proportion of participants who respond to the required surveys and to the distribution of participants among the three service duration categories.</w:t>
      </w:r>
    </w:p>
    <w:p w:rsidR="002C6D4A" w:rsidRPr="00AC7EA2" w:rsidRDefault="002C6D4A"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06195" w:rsidRPr="00AC7EA2" w:rsidRDefault="0023793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In addition to the revised questionnaires, SAMHSA is seeking </w:t>
      </w:r>
      <w:r w:rsidR="002A4ED2" w:rsidRPr="00AC7EA2">
        <w:rPr>
          <w:rFonts w:ascii="Times New Roman" w:hAnsi="Times New Roman"/>
        </w:rPr>
        <w:t xml:space="preserve">approval </w:t>
      </w:r>
      <w:r w:rsidRPr="00AC7EA2">
        <w:rPr>
          <w:rFonts w:ascii="Times New Roman" w:hAnsi="Times New Roman"/>
        </w:rPr>
        <w:t>for two brief Dosage Forms for recording the service types and program dosage that each participant receives in direct service interventions.</w:t>
      </w:r>
      <w:r w:rsidR="00606195" w:rsidRPr="00AC7EA2">
        <w:rPr>
          <w:rFonts w:ascii="Times New Roman" w:hAnsi="Times New Roman"/>
        </w:rPr>
        <w:t xml:space="preserve"> </w:t>
      </w:r>
      <w:r w:rsidR="002C6D4A" w:rsidRPr="00AC7EA2">
        <w:rPr>
          <w:rFonts w:ascii="Times New Roman" w:hAnsi="Times New Roman"/>
        </w:rPr>
        <w:t xml:space="preserve">These will be completed by the grantee organization after each service encounter with each participant, except in cases where the only funded service that the participant receives is HIV or HCV testing and referral. In </w:t>
      </w:r>
      <w:r w:rsidR="0089741E" w:rsidRPr="00AC7EA2">
        <w:rPr>
          <w:rFonts w:ascii="Times New Roman" w:hAnsi="Times New Roman"/>
        </w:rPr>
        <w:t>those</w:t>
      </w:r>
      <w:r w:rsidR="002C6D4A" w:rsidRPr="00AC7EA2">
        <w:rPr>
          <w:rFonts w:ascii="Times New Roman" w:hAnsi="Times New Roman"/>
        </w:rPr>
        <w:t xml:space="preserve"> cases, no dosage records </w:t>
      </w:r>
      <w:r w:rsidR="0089741E" w:rsidRPr="00AC7EA2">
        <w:rPr>
          <w:rFonts w:ascii="Times New Roman" w:hAnsi="Times New Roman"/>
        </w:rPr>
        <w:t>will be</w:t>
      </w:r>
      <w:r w:rsidR="002C6D4A" w:rsidRPr="00AC7EA2">
        <w:rPr>
          <w:rFonts w:ascii="Times New Roman" w:hAnsi="Times New Roman"/>
        </w:rPr>
        <w:t xml:space="preserve"> required. Data on numbers tested </w:t>
      </w:r>
      <w:r w:rsidR="0089741E" w:rsidRPr="00AC7EA2">
        <w:rPr>
          <w:rFonts w:ascii="Times New Roman" w:hAnsi="Times New Roman"/>
        </w:rPr>
        <w:t xml:space="preserve">and referred </w:t>
      </w:r>
      <w:r w:rsidR="002C6D4A" w:rsidRPr="00AC7EA2">
        <w:rPr>
          <w:rFonts w:ascii="Times New Roman" w:hAnsi="Times New Roman"/>
        </w:rPr>
        <w:t xml:space="preserve">by the grantee will be collected </w:t>
      </w:r>
      <w:r w:rsidR="004D232E" w:rsidRPr="00AC7EA2">
        <w:rPr>
          <w:rFonts w:ascii="Times New Roman" w:hAnsi="Times New Roman"/>
        </w:rPr>
        <w:t xml:space="preserve">by an online quarterly progress reporting tool for which OMB </w:t>
      </w:r>
      <w:r w:rsidR="002A4ED2" w:rsidRPr="00AC7EA2">
        <w:rPr>
          <w:rFonts w:ascii="Times New Roman" w:hAnsi="Times New Roman"/>
        </w:rPr>
        <w:t xml:space="preserve">approval </w:t>
      </w:r>
      <w:r w:rsidR="00D10D92" w:rsidRPr="00AC7EA2">
        <w:rPr>
          <w:rFonts w:ascii="Times New Roman" w:hAnsi="Times New Roman"/>
        </w:rPr>
        <w:t>is</w:t>
      </w:r>
      <w:r w:rsidR="004D232E" w:rsidRPr="00AC7EA2">
        <w:rPr>
          <w:rFonts w:ascii="Times New Roman" w:hAnsi="Times New Roman"/>
        </w:rPr>
        <w:t xml:space="preserve"> be</w:t>
      </w:r>
      <w:r w:rsidR="00D10D92" w:rsidRPr="00AC7EA2">
        <w:rPr>
          <w:rFonts w:ascii="Times New Roman" w:hAnsi="Times New Roman"/>
        </w:rPr>
        <w:t>ing</w:t>
      </w:r>
      <w:r w:rsidR="004D232E" w:rsidRPr="00AC7EA2">
        <w:rPr>
          <w:rFonts w:ascii="Times New Roman" w:hAnsi="Times New Roman"/>
        </w:rPr>
        <w:t xml:space="preserve"> requested through a separate statement.</w:t>
      </w:r>
    </w:p>
    <w:p w:rsidR="00D10D92" w:rsidRPr="00AC7EA2" w:rsidRDefault="00D10D9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10D92" w:rsidRPr="00AC7EA2" w:rsidRDefault="00D10D9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Separate Dosage Forms are available for recording one-on-one and group-format encounters with program participants. The Individual Dosage Form will be used to record one-on-one service encounters such as </w:t>
      </w:r>
      <w:r w:rsidR="004949F6" w:rsidRPr="00AC7EA2">
        <w:rPr>
          <w:rFonts w:ascii="Times New Roman" w:hAnsi="Times New Roman"/>
        </w:rPr>
        <w:t xml:space="preserve">individual </w:t>
      </w:r>
      <w:r w:rsidRPr="00AC7EA2">
        <w:rPr>
          <w:rFonts w:ascii="Times New Roman" w:hAnsi="Times New Roman"/>
        </w:rPr>
        <w:t>counseling and motivational interviewing and contains fields for entering:</w:t>
      </w:r>
    </w:p>
    <w:p w:rsidR="00D10D92" w:rsidRPr="00AC7EA2" w:rsidRDefault="00D10D92" w:rsidP="005F2016">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Date of encounter</w:t>
      </w:r>
      <w:r w:rsidR="005A5DE7" w:rsidRPr="00AC7EA2">
        <w:rPr>
          <w:rFonts w:ascii="Times New Roman" w:hAnsi="Times New Roman"/>
        </w:rPr>
        <w:t>;</w:t>
      </w:r>
    </w:p>
    <w:p w:rsidR="00D10D92" w:rsidRPr="00AC7EA2" w:rsidRDefault="00D10D92" w:rsidP="005F2016">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Unique participant identification number</w:t>
      </w:r>
      <w:r w:rsidR="005A5DE7" w:rsidRPr="00AC7EA2">
        <w:rPr>
          <w:rFonts w:ascii="Times New Roman" w:hAnsi="Times New Roman"/>
        </w:rPr>
        <w:t>;</w:t>
      </w:r>
    </w:p>
    <w:p w:rsidR="00D10D92" w:rsidRPr="00AC7EA2" w:rsidRDefault="00D10D92" w:rsidP="005F2016">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Up to </w:t>
      </w:r>
      <w:r w:rsidR="001E7C96" w:rsidRPr="00AC7EA2">
        <w:rPr>
          <w:rFonts w:ascii="Times New Roman" w:hAnsi="Times New Roman"/>
        </w:rPr>
        <w:t>four</w:t>
      </w:r>
      <w:r w:rsidRPr="00AC7EA2">
        <w:rPr>
          <w:rFonts w:ascii="Times New Roman" w:hAnsi="Times New Roman"/>
        </w:rPr>
        <w:t xml:space="preserve"> service codes and number of minutes of exposure to each.</w:t>
      </w:r>
    </w:p>
    <w:p w:rsidR="00D10D92" w:rsidRPr="00AC7EA2" w:rsidRDefault="00D10D9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10D92" w:rsidRPr="00AC7EA2" w:rsidRDefault="00D10D9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Group Dosage Form will be used to record </w:t>
      </w:r>
      <w:r w:rsidR="004949F6" w:rsidRPr="00AC7EA2">
        <w:rPr>
          <w:rFonts w:ascii="Times New Roman" w:hAnsi="Times New Roman"/>
        </w:rPr>
        <w:t xml:space="preserve">group-format services such as group counseling or health education classes and </w:t>
      </w:r>
      <w:r w:rsidRPr="00AC7EA2">
        <w:rPr>
          <w:rFonts w:ascii="Times New Roman" w:hAnsi="Times New Roman"/>
        </w:rPr>
        <w:t xml:space="preserve">contains </w:t>
      </w:r>
      <w:r w:rsidR="004949F6" w:rsidRPr="00AC7EA2">
        <w:rPr>
          <w:rFonts w:ascii="Times New Roman" w:hAnsi="Times New Roman"/>
        </w:rPr>
        <w:t>fields for entering</w:t>
      </w:r>
      <w:r w:rsidRPr="00AC7EA2">
        <w:rPr>
          <w:rFonts w:ascii="Times New Roman" w:hAnsi="Times New Roman"/>
        </w:rPr>
        <w:t>:</w:t>
      </w:r>
    </w:p>
    <w:p w:rsidR="00D10D92" w:rsidRPr="00AC7EA2" w:rsidRDefault="00D10D9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10D92" w:rsidRPr="00AC7EA2" w:rsidRDefault="00D10D92" w:rsidP="005F2016">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Date of encounter</w:t>
      </w:r>
    </w:p>
    <w:p w:rsidR="00D10D92" w:rsidRPr="00AC7EA2" w:rsidRDefault="00D10D92" w:rsidP="005F2016">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Up to three service codes and number of minutes of exposure to each.</w:t>
      </w:r>
    </w:p>
    <w:p w:rsidR="00D10D92" w:rsidRPr="00AC7EA2" w:rsidRDefault="00D10D92" w:rsidP="005F2016">
      <w:pPr>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Unique participant identification numbers of up to 80 participants</w:t>
      </w:r>
    </w:p>
    <w:p w:rsidR="00D10D92" w:rsidRPr="00AC7EA2" w:rsidRDefault="00D10D9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35050" w:rsidRPr="00AC7EA2" w:rsidRDefault="0003505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list of service codes is included in the blank forms to reduce the grantees’ burden in entering </w:t>
      </w:r>
      <w:r w:rsidR="007D01D8" w:rsidRPr="00AC7EA2">
        <w:rPr>
          <w:rFonts w:ascii="Times New Roman" w:hAnsi="Times New Roman"/>
        </w:rPr>
        <w:t xml:space="preserve">this </w:t>
      </w:r>
      <w:r w:rsidRPr="00AC7EA2">
        <w:rPr>
          <w:rFonts w:ascii="Times New Roman" w:hAnsi="Times New Roman"/>
        </w:rPr>
        <w:t xml:space="preserve">information. </w:t>
      </w:r>
    </w:p>
    <w:p w:rsidR="0048105B" w:rsidRPr="00AC7EA2" w:rsidRDefault="0048105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E79D1" w:rsidRPr="00AC7EA2" w:rsidRDefault="00DC03C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Service providers will initially complete the paper dosage forms as part of their record-keeping process</w:t>
      </w:r>
      <w:r w:rsidR="00BE79D1" w:rsidRPr="00AC7EA2">
        <w:rPr>
          <w:rFonts w:ascii="Times New Roman" w:hAnsi="Times New Roman"/>
        </w:rPr>
        <w:t>. The data</w:t>
      </w:r>
      <w:r w:rsidRPr="00AC7EA2">
        <w:rPr>
          <w:rFonts w:ascii="Times New Roman" w:hAnsi="Times New Roman"/>
        </w:rPr>
        <w:t xml:space="preserve"> </w:t>
      </w:r>
      <w:r w:rsidR="006D5AA8" w:rsidRPr="00AC7EA2">
        <w:rPr>
          <w:rFonts w:ascii="Times New Roman" w:hAnsi="Times New Roman"/>
        </w:rPr>
        <w:t xml:space="preserve">will </w:t>
      </w:r>
      <w:r w:rsidR="00BE79D1" w:rsidRPr="00AC7EA2">
        <w:rPr>
          <w:rFonts w:ascii="Times New Roman" w:hAnsi="Times New Roman"/>
        </w:rPr>
        <w:t xml:space="preserve">be submitted to SAMHSA </w:t>
      </w:r>
      <w:r w:rsidR="006D5AA8" w:rsidRPr="00AC7EA2">
        <w:rPr>
          <w:rFonts w:ascii="Times New Roman" w:hAnsi="Times New Roman"/>
        </w:rPr>
        <w:t xml:space="preserve">through </w:t>
      </w:r>
      <w:r w:rsidR="00D658C7" w:rsidRPr="00AC7EA2">
        <w:rPr>
          <w:rFonts w:ascii="Times New Roman" w:hAnsi="Times New Roman"/>
        </w:rPr>
        <w:t>the PEP-C data submission system</w:t>
      </w:r>
      <w:r w:rsidR="00035050" w:rsidRPr="00AC7EA2">
        <w:rPr>
          <w:rFonts w:ascii="Times New Roman" w:hAnsi="Times New Roman"/>
        </w:rPr>
        <w:t>, currently under development</w:t>
      </w:r>
      <w:r w:rsidR="006D5AA8" w:rsidRPr="00AC7EA2">
        <w:rPr>
          <w:rFonts w:ascii="Times New Roman" w:hAnsi="Times New Roman"/>
        </w:rPr>
        <w:t xml:space="preserve">.  </w:t>
      </w:r>
      <w:r w:rsidR="00BE79D1" w:rsidRPr="00AC7EA2">
        <w:rPr>
          <w:rFonts w:ascii="Times New Roman" w:hAnsi="Times New Roman"/>
        </w:rPr>
        <w:t xml:space="preserve">As with survey data, the system is being designed to provide the grantees with data entry screens that mimic the paper dosage forms in order to minimize burden and maximize the quality of the submitted data. </w:t>
      </w:r>
      <w:r w:rsidR="008710E0" w:rsidRPr="00AC7EA2">
        <w:rPr>
          <w:rFonts w:ascii="Times New Roman" w:hAnsi="Times New Roman"/>
        </w:rPr>
        <w:t>As with survey data, grantees will have the option of preparing dosage databases for batch upload.</w:t>
      </w:r>
    </w:p>
    <w:p w:rsidR="00155EC2" w:rsidRPr="00AC7EA2" w:rsidRDefault="00155EC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A3. Use of Information Technology</w:t>
      </w:r>
    </w:p>
    <w:p w:rsidR="00D86CFE" w:rsidRPr="00AC7EA2" w:rsidRDefault="008F135A"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It is anticipated that technical infrastructure and data management skills will vary across grantee sites. To maximize data accuracy and reliability, online data entry tools </w:t>
      </w:r>
      <w:r w:rsidR="00D007C2" w:rsidRPr="00AC7EA2">
        <w:rPr>
          <w:rFonts w:ascii="Times New Roman" w:hAnsi="Times New Roman"/>
        </w:rPr>
        <w:t>will be</w:t>
      </w:r>
      <w:r w:rsidRPr="00AC7EA2">
        <w:rPr>
          <w:rFonts w:ascii="Times New Roman" w:hAnsi="Times New Roman"/>
        </w:rPr>
        <w:t xml:space="preserve"> designed for the instruments being submitted for </w:t>
      </w:r>
      <w:r w:rsidR="002A4ED2" w:rsidRPr="00AC7EA2">
        <w:rPr>
          <w:rFonts w:ascii="Times New Roman" w:hAnsi="Times New Roman"/>
        </w:rPr>
        <w:t>approval</w:t>
      </w:r>
      <w:r w:rsidRPr="00AC7EA2">
        <w:rPr>
          <w:rFonts w:ascii="Times New Roman" w:hAnsi="Times New Roman"/>
        </w:rPr>
        <w:t xml:space="preserve">. These tools will be made available to grantees through </w:t>
      </w:r>
      <w:r w:rsidR="001922E7" w:rsidRPr="00AC7EA2">
        <w:rPr>
          <w:rFonts w:ascii="Times New Roman" w:hAnsi="Times New Roman"/>
        </w:rPr>
        <w:t xml:space="preserve">CSAPS’s </w:t>
      </w:r>
      <w:r w:rsidR="00E47D6B" w:rsidRPr="00AC7EA2">
        <w:rPr>
          <w:rFonts w:ascii="Times New Roman" w:hAnsi="Times New Roman"/>
        </w:rPr>
        <w:t>Program Evaluation for Prevention Contract</w:t>
      </w:r>
      <w:r w:rsidR="005D1669">
        <w:rPr>
          <w:rFonts w:ascii="Times New Roman" w:hAnsi="Times New Roman"/>
        </w:rPr>
        <w:t xml:space="preserve"> (</w:t>
      </w:r>
      <w:r w:rsidR="005D1669" w:rsidRPr="00AC7EA2">
        <w:rPr>
          <w:rFonts w:ascii="Times New Roman" w:hAnsi="Times New Roman"/>
        </w:rPr>
        <w:t>PEP-C</w:t>
      </w:r>
      <w:r w:rsidR="005D1669">
        <w:rPr>
          <w:rFonts w:ascii="Times New Roman" w:hAnsi="Times New Roman"/>
        </w:rPr>
        <w:t>)</w:t>
      </w:r>
      <w:r w:rsidRPr="00AC7EA2">
        <w:rPr>
          <w:rFonts w:ascii="Times New Roman" w:hAnsi="Times New Roman"/>
        </w:rPr>
        <w:t xml:space="preserve">. The tools </w:t>
      </w:r>
      <w:r w:rsidR="00F74F25" w:rsidRPr="00AC7EA2">
        <w:rPr>
          <w:rFonts w:ascii="Times New Roman" w:hAnsi="Times New Roman"/>
        </w:rPr>
        <w:t>are being</w:t>
      </w:r>
      <w:r w:rsidRPr="00AC7EA2">
        <w:rPr>
          <w:rFonts w:ascii="Times New Roman" w:hAnsi="Times New Roman"/>
        </w:rPr>
        <w:t xml:space="preserve"> designed to reflect the structure of the instruments</w:t>
      </w:r>
      <w:r w:rsidR="009A31A0" w:rsidRPr="00AC7EA2">
        <w:rPr>
          <w:rFonts w:ascii="Times New Roman" w:hAnsi="Times New Roman"/>
        </w:rPr>
        <w:t>,</w:t>
      </w:r>
      <w:r w:rsidRPr="00AC7EA2">
        <w:rPr>
          <w:rFonts w:ascii="Times New Roman" w:hAnsi="Times New Roman"/>
        </w:rPr>
        <w:t xml:space="preserve"> and to allow the entry of data from completed survey </w:t>
      </w:r>
      <w:r w:rsidR="00F74F25" w:rsidRPr="00AC7EA2">
        <w:rPr>
          <w:rFonts w:ascii="Times New Roman" w:hAnsi="Times New Roman"/>
        </w:rPr>
        <w:t xml:space="preserve">and dosage </w:t>
      </w:r>
      <w:r w:rsidRPr="00AC7EA2">
        <w:rPr>
          <w:rFonts w:ascii="Times New Roman" w:hAnsi="Times New Roman"/>
        </w:rPr>
        <w:t xml:space="preserve">forms directly into the system through the use of </w:t>
      </w:r>
      <w:r w:rsidR="00F74F25" w:rsidRPr="00AC7EA2">
        <w:rPr>
          <w:rFonts w:ascii="Times New Roman" w:hAnsi="Times New Roman"/>
        </w:rPr>
        <w:t xml:space="preserve">numeric fields and </w:t>
      </w:r>
      <w:r w:rsidRPr="00AC7EA2">
        <w:rPr>
          <w:rFonts w:ascii="Times New Roman" w:hAnsi="Times New Roman"/>
        </w:rPr>
        <w:t xml:space="preserve">radio buttons corresponding to </w:t>
      </w:r>
      <w:r w:rsidR="00F74F25" w:rsidRPr="00AC7EA2">
        <w:rPr>
          <w:rFonts w:ascii="Times New Roman" w:hAnsi="Times New Roman"/>
        </w:rPr>
        <w:t xml:space="preserve">responses or </w:t>
      </w:r>
      <w:r w:rsidRPr="00AC7EA2">
        <w:rPr>
          <w:rFonts w:ascii="Times New Roman" w:hAnsi="Times New Roman"/>
        </w:rPr>
        <w:t xml:space="preserve">response options. </w:t>
      </w:r>
      <w:r w:rsidR="00E47D6B" w:rsidRPr="00AC7EA2">
        <w:rPr>
          <w:rFonts w:ascii="Times New Roman" w:hAnsi="Times New Roman"/>
        </w:rPr>
        <w:t xml:space="preserve">Grantees will also have the option to prepare their own databases for batch upload to the PEP-C system. For this option, grantees are required to use standard codebooks and database templates while preparing the data, thus ensuring that uploaded data files have the same numeric coding and variable naming conventions as the data entered using the online tools. </w:t>
      </w:r>
      <w:r w:rsidRPr="00AC7EA2">
        <w:rPr>
          <w:rFonts w:ascii="Times New Roman" w:hAnsi="Times New Roman"/>
        </w:rPr>
        <w:t xml:space="preserve">The system </w:t>
      </w:r>
      <w:r w:rsidR="00D007C2" w:rsidRPr="00AC7EA2">
        <w:rPr>
          <w:rFonts w:ascii="Times New Roman" w:hAnsi="Times New Roman"/>
        </w:rPr>
        <w:t xml:space="preserve">will </w:t>
      </w:r>
      <w:r w:rsidRPr="00AC7EA2">
        <w:rPr>
          <w:rFonts w:ascii="Times New Roman" w:hAnsi="Times New Roman"/>
        </w:rPr>
        <w:t>automatically quantif</w:t>
      </w:r>
      <w:r w:rsidR="00D007C2" w:rsidRPr="00AC7EA2">
        <w:rPr>
          <w:rFonts w:ascii="Times New Roman" w:hAnsi="Times New Roman"/>
        </w:rPr>
        <w:t>y</w:t>
      </w:r>
      <w:r w:rsidRPr="00AC7EA2">
        <w:rPr>
          <w:rFonts w:ascii="Times New Roman" w:hAnsi="Times New Roman"/>
        </w:rPr>
        <w:t xml:space="preserve"> the selected response options and store the numeric codes in a SQL server for subsequent extraction, cleaning, and analysis.</w:t>
      </w:r>
      <w:r w:rsidR="0050058D" w:rsidRPr="00AC7EA2">
        <w:rPr>
          <w:rFonts w:ascii="Times New Roman" w:hAnsi="Times New Roman"/>
        </w:rPr>
        <w:t xml:space="preserve"> Grantees will be able to save the data they enter into a temporary area of the database. Grantee staff will be able to review and edit the temporary entries. Temporarily saved data will not be extracted for processing. Once the grantee has finalized their data entries, they will move them from the temporary area into the SQL database by using a “Submit” button. Submitted data </w:t>
      </w:r>
      <w:r w:rsidR="0089565E" w:rsidRPr="00AC7EA2">
        <w:rPr>
          <w:rFonts w:ascii="Times New Roman" w:hAnsi="Times New Roman"/>
        </w:rPr>
        <w:t>are no longer available for editing by the grantees until the Cross-Site Team has extracted and reviewed them for quality. After the initial review, grantees will be sent a data validation report flagging records where issues were discovered. They will then be able to access their submitted data for editing in response to the validation report, for a period of</w:t>
      </w:r>
      <w:r w:rsidR="0050058D" w:rsidRPr="00AC7EA2">
        <w:rPr>
          <w:rFonts w:ascii="Times New Roman" w:hAnsi="Times New Roman"/>
        </w:rPr>
        <w:t xml:space="preserve"> </w:t>
      </w:r>
      <w:r w:rsidR="0089565E" w:rsidRPr="00AC7EA2">
        <w:rPr>
          <w:rFonts w:ascii="Times New Roman" w:hAnsi="Times New Roman"/>
        </w:rPr>
        <w:t xml:space="preserve">two weeks. At the end of the two-week editing period, the PEP-C’s Systems Team will extract the data edited by the grantees second time, </w:t>
      </w:r>
      <w:r w:rsidRPr="00AC7EA2">
        <w:rPr>
          <w:rFonts w:ascii="Times New Roman" w:hAnsi="Times New Roman"/>
        </w:rPr>
        <w:t>and transmit</w:t>
      </w:r>
      <w:r w:rsidR="0089565E" w:rsidRPr="00AC7EA2">
        <w:rPr>
          <w:rFonts w:ascii="Times New Roman" w:hAnsi="Times New Roman"/>
        </w:rPr>
        <w:t xml:space="preserve"> the extracted database to</w:t>
      </w:r>
      <w:r w:rsidRPr="00AC7EA2">
        <w:rPr>
          <w:rFonts w:ascii="Times New Roman" w:hAnsi="Times New Roman"/>
        </w:rPr>
        <w:t xml:space="preserve"> </w:t>
      </w:r>
      <w:r w:rsidR="00E47D6B" w:rsidRPr="00AC7EA2">
        <w:rPr>
          <w:rFonts w:ascii="Times New Roman" w:hAnsi="Times New Roman"/>
        </w:rPr>
        <w:t>the MAI Cross-Site Evaluation Team</w:t>
      </w:r>
      <w:r w:rsidRPr="00AC7EA2">
        <w:rPr>
          <w:rFonts w:ascii="Times New Roman" w:hAnsi="Times New Roman"/>
        </w:rPr>
        <w:t xml:space="preserve"> for record linkage, </w:t>
      </w:r>
      <w:r w:rsidR="00B66E28" w:rsidRPr="00AC7EA2">
        <w:rPr>
          <w:rFonts w:ascii="Times New Roman" w:hAnsi="Times New Roman"/>
        </w:rPr>
        <w:t xml:space="preserve">cleaning, </w:t>
      </w:r>
      <w:r w:rsidRPr="00AC7EA2">
        <w:rPr>
          <w:rFonts w:ascii="Times New Roman" w:hAnsi="Times New Roman"/>
        </w:rPr>
        <w:t xml:space="preserve">and analysis. </w:t>
      </w:r>
      <w:r w:rsidR="00D86CFE" w:rsidRPr="00AC7EA2">
        <w:rPr>
          <w:rFonts w:ascii="Times New Roman" w:hAnsi="Times New Roman"/>
        </w:rPr>
        <w:t xml:space="preserve">Record linkage will involve locating and linking together all survey and dosage records submitted for each grantee into a single participant data record, using the participant’s unique identification number as the linkage key. </w:t>
      </w:r>
    </w:p>
    <w:p w:rsidR="00D86CFE" w:rsidRPr="00AC7EA2" w:rsidRDefault="00D86CFE"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203FE" w:rsidRPr="00AC7EA2" w:rsidRDefault="008F135A"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Grantees </w:t>
      </w:r>
      <w:r w:rsidR="00E47D6B" w:rsidRPr="00AC7EA2">
        <w:rPr>
          <w:rFonts w:ascii="Times New Roman" w:hAnsi="Times New Roman"/>
        </w:rPr>
        <w:t xml:space="preserve">will </w:t>
      </w:r>
      <w:r w:rsidRPr="00AC7EA2">
        <w:rPr>
          <w:rFonts w:ascii="Times New Roman" w:hAnsi="Times New Roman"/>
        </w:rPr>
        <w:t xml:space="preserve">have two options for accessing the data </w:t>
      </w:r>
      <w:r w:rsidR="00F82401" w:rsidRPr="00AC7EA2">
        <w:rPr>
          <w:rFonts w:ascii="Times New Roman" w:hAnsi="Times New Roman"/>
        </w:rPr>
        <w:t>they entered online</w:t>
      </w:r>
      <w:r w:rsidRPr="00AC7EA2">
        <w:rPr>
          <w:rFonts w:ascii="Times New Roman" w:hAnsi="Times New Roman"/>
        </w:rPr>
        <w:t xml:space="preserve">. </w:t>
      </w:r>
      <w:r w:rsidR="009F6D57" w:rsidRPr="00AC7EA2">
        <w:rPr>
          <w:rFonts w:ascii="Times New Roman" w:hAnsi="Times New Roman"/>
        </w:rPr>
        <w:t xml:space="preserve">In the first option, grantees </w:t>
      </w:r>
      <w:r w:rsidR="00B66E28" w:rsidRPr="00AC7EA2">
        <w:rPr>
          <w:rFonts w:ascii="Times New Roman" w:hAnsi="Times New Roman"/>
        </w:rPr>
        <w:t>will be able to</w:t>
      </w:r>
      <w:r w:rsidR="009F6D57" w:rsidRPr="00AC7EA2">
        <w:rPr>
          <w:rFonts w:ascii="Times New Roman" w:hAnsi="Times New Roman"/>
        </w:rPr>
        <w:t xml:space="preserve"> download the raw data they have entered online (as soon as it is submitted) in </w:t>
      </w:r>
      <w:r w:rsidRPr="00AC7EA2">
        <w:rPr>
          <w:rFonts w:ascii="Times New Roman" w:hAnsi="Times New Roman"/>
        </w:rPr>
        <w:t>spreadsheet form</w:t>
      </w:r>
      <w:r w:rsidR="009F6D57" w:rsidRPr="00AC7EA2">
        <w:rPr>
          <w:rFonts w:ascii="Times New Roman" w:hAnsi="Times New Roman"/>
        </w:rPr>
        <w:t>.</w:t>
      </w:r>
      <w:r w:rsidRPr="00AC7EA2">
        <w:rPr>
          <w:rFonts w:ascii="Times New Roman" w:hAnsi="Times New Roman"/>
        </w:rPr>
        <w:t xml:space="preserve"> </w:t>
      </w:r>
      <w:r w:rsidR="009F6D57" w:rsidRPr="00AC7EA2">
        <w:rPr>
          <w:rFonts w:ascii="Times New Roman" w:hAnsi="Times New Roman"/>
        </w:rPr>
        <w:t xml:space="preserve">They </w:t>
      </w:r>
      <w:r w:rsidR="00B66E28" w:rsidRPr="00AC7EA2">
        <w:rPr>
          <w:rFonts w:ascii="Times New Roman" w:hAnsi="Times New Roman"/>
        </w:rPr>
        <w:t>will also be able to</w:t>
      </w:r>
      <w:r w:rsidRPr="00AC7EA2">
        <w:rPr>
          <w:rFonts w:ascii="Times New Roman" w:hAnsi="Times New Roman"/>
        </w:rPr>
        <w:t xml:space="preserve"> access their data from the cleaned analysis files prepared by </w:t>
      </w:r>
      <w:r w:rsidR="00E47D6B" w:rsidRPr="00AC7EA2">
        <w:rPr>
          <w:rFonts w:ascii="Times New Roman" w:hAnsi="Times New Roman"/>
        </w:rPr>
        <w:t>PEP-C’s MAI Cross-Site Team and</w:t>
      </w:r>
      <w:r w:rsidRPr="00AC7EA2">
        <w:rPr>
          <w:rFonts w:ascii="Times New Roman" w:hAnsi="Times New Roman"/>
        </w:rPr>
        <w:t xml:space="preserve"> posted on </w:t>
      </w:r>
      <w:r w:rsidR="00E47D6B" w:rsidRPr="00AC7EA2">
        <w:rPr>
          <w:rFonts w:ascii="Times New Roman" w:hAnsi="Times New Roman"/>
        </w:rPr>
        <w:t>the PEP-C website</w:t>
      </w:r>
      <w:r w:rsidR="00AA3A25" w:rsidRPr="00AC7EA2">
        <w:rPr>
          <w:rFonts w:ascii="Times New Roman" w:hAnsi="Times New Roman"/>
        </w:rPr>
        <w:t xml:space="preserve"> </w:t>
      </w:r>
      <w:r w:rsidRPr="00AC7EA2">
        <w:rPr>
          <w:rFonts w:ascii="Times New Roman" w:hAnsi="Times New Roman"/>
        </w:rPr>
        <w:t>under password protection</w:t>
      </w:r>
      <w:r w:rsidR="003D35F1" w:rsidRPr="00AC7EA2">
        <w:rPr>
          <w:rFonts w:ascii="Times New Roman" w:hAnsi="Times New Roman"/>
        </w:rPr>
        <w:t xml:space="preserve">. </w:t>
      </w:r>
      <w:r w:rsidR="00E47D6B" w:rsidRPr="00AC7EA2">
        <w:rPr>
          <w:rFonts w:ascii="Times New Roman" w:hAnsi="Times New Roman"/>
        </w:rPr>
        <w:t>Grantee staff authorized to access the system will be able to download these cleaned analysis files in SAS or SPSS format</w:t>
      </w:r>
      <w:r w:rsidR="003203FE" w:rsidRPr="00AC7EA2">
        <w:rPr>
          <w:rFonts w:ascii="Times New Roman" w:hAnsi="Times New Roman"/>
        </w:rPr>
        <w:t xml:space="preserve">. </w:t>
      </w:r>
    </w:p>
    <w:p w:rsidR="003203FE" w:rsidRPr="00AC7EA2" w:rsidRDefault="003203FE"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F135A" w:rsidRPr="00AC7EA2" w:rsidRDefault="008F135A"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online data entry tools </w:t>
      </w:r>
      <w:r w:rsidR="003F4D38" w:rsidRPr="00AC7EA2">
        <w:rPr>
          <w:rFonts w:ascii="Times New Roman" w:hAnsi="Times New Roman"/>
        </w:rPr>
        <w:t xml:space="preserve">will </w:t>
      </w:r>
      <w:r w:rsidRPr="00AC7EA2">
        <w:rPr>
          <w:rFonts w:ascii="Times New Roman" w:hAnsi="Times New Roman"/>
        </w:rPr>
        <w:t>reduce the grantees’ burden by facilitating the data entry process and minimizing coding and variable naming errors. The</w:t>
      </w:r>
      <w:r w:rsidR="008710E0" w:rsidRPr="00AC7EA2">
        <w:rPr>
          <w:rFonts w:ascii="Times New Roman" w:hAnsi="Times New Roman"/>
        </w:rPr>
        <w:t xml:space="preserve"> online data entry tools</w:t>
      </w:r>
      <w:r w:rsidR="00D007C2" w:rsidRPr="00AC7EA2">
        <w:rPr>
          <w:rFonts w:ascii="Times New Roman" w:hAnsi="Times New Roman"/>
        </w:rPr>
        <w:t xml:space="preserve"> </w:t>
      </w:r>
      <w:r w:rsidR="003F4D38" w:rsidRPr="00AC7EA2">
        <w:rPr>
          <w:rFonts w:ascii="Times New Roman" w:hAnsi="Times New Roman"/>
        </w:rPr>
        <w:t xml:space="preserve">will </w:t>
      </w:r>
      <w:r w:rsidR="00D007C2" w:rsidRPr="00AC7EA2">
        <w:rPr>
          <w:rFonts w:ascii="Times New Roman" w:hAnsi="Times New Roman"/>
        </w:rPr>
        <w:t>also</w:t>
      </w:r>
      <w:r w:rsidRPr="00AC7EA2">
        <w:rPr>
          <w:rFonts w:ascii="Times New Roman" w:hAnsi="Times New Roman"/>
        </w:rPr>
        <w:t xml:space="preserve"> allow grantees without access to data management/analysis software to accurately quantify the information in </w:t>
      </w:r>
      <w:r w:rsidR="00B66E28" w:rsidRPr="00AC7EA2">
        <w:rPr>
          <w:rFonts w:ascii="Times New Roman" w:hAnsi="Times New Roman"/>
        </w:rPr>
        <w:t xml:space="preserve">their </w:t>
      </w:r>
      <w:r w:rsidRPr="00AC7EA2">
        <w:rPr>
          <w:rFonts w:ascii="Times New Roman" w:hAnsi="Times New Roman"/>
        </w:rPr>
        <w:t xml:space="preserve">completed survey </w:t>
      </w:r>
      <w:r w:rsidR="00B66E28" w:rsidRPr="00AC7EA2">
        <w:rPr>
          <w:rFonts w:ascii="Times New Roman" w:hAnsi="Times New Roman"/>
        </w:rPr>
        <w:t xml:space="preserve">and dosage </w:t>
      </w:r>
      <w:r w:rsidRPr="00AC7EA2">
        <w:rPr>
          <w:rFonts w:ascii="Times New Roman" w:hAnsi="Times New Roman"/>
        </w:rPr>
        <w:t xml:space="preserve">forms. </w:t>
      </w:r>
      <w:r w:rsidR="008710E0" w:rsidRPr="00AC7EA2">
        <w:rPr>
          <w:rFonts w:ascii="Times New Roman" w:hAnsi="Times New Roman"/>
        </w:rPr>
        <w:t>They will be able to extract the data that they enter online in spreadsheet form</w:t>
      </w:r>
      <w:r w:rsidR="00984812" w:rsidRPr="00AC7EA2">
        <w:rPr>
          <w:rFonts w:ascii="Times New Roman" w:hAnsi="Times New Roman"/>
        </w:rPr>
        <w:t>, for</w:t>
      </w:r>
      <w:r w:rsidR="008710E0" w:rsidRPr="00AC7EA2">
        <w:rPr>
          <w:rFonts w:ascii="Times New Roman" w:hAnsi="Times New Roman"/>
        </w:rPr>
        <w:t xml:space="preserve"> </w:t>
      </w:r>
      <w:r w:rsidR="00984812" w:rsidRPr="00AC7EA2">
        <w:rPr>
          <w:rFonts w:ascii="Times New Roman" w:hAnsi="Times New Roman"/>
        </w:rPr>
        <w:t xml:space="preserve">their own local evaluation. This will reduce grantees’ evaluation burden by providing them with a means to code their completed questionnaires and dosage forms. </w:t>
      </w:r>
      <w:r w:rsidR="003F4D38" w:rsidRPr="00AC7EA2">
        <w:rPr>
          <w:rFonts w:ascii="Times New Roman" w:hAnsi="Times New Roman"/>
        </w:rPr>
        <w:t>PEP-C</w:t>
      </w:r>
      <w:r w:rsidR="005B580B" w:rsidRPr="00AC7EA2">
        <w:rPr>
          <w:rFonts w:ascii="Times New Roman" w:hAnsi="Times New Roman"/>
        </w:rPr>
        <w:t xml:space="preserve"> will conduct cross-site analyses to </w:t>
      </w:r>
      <w:r w:rsidR="003F4D38" w:rsidRPr="00AC7EA2">
        <w:rPr>
          <w:rFonts w:ascii="Times New Roman" w:hAnsi="Times New Roman"/>
        </w:rPr>
        <w:t xml:space="preserve">assess </w:t>
      </w:r>
      <w:r w:rsidR="005B580B" w:rsidRPr="00AC7EA2">
        <w:rPr>
          <w:rFonts w:ascii="Times New Roman" w:hAnsi="Times New Roman"/>
        </w:rPr>
        <w:t>outcomes for the program as a whole.</w:t>
      </w:r>
    </w:p>
    <w:p w:rsidR="00080CF5" w:rsidRPr="00AC7EA2" w:rsidRDefault="00080CF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104B4" w:rsidRPr="00AC7EA2" w:rsidRDefault="006104B4"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w:t>
      </w:r>
      <w:r w:rsidR="00080CF5" w:rsidRPr="00AC7EA2">
        <w:rPr>
          <w:rFonts w:ascii="Times New Roman" w:hAnsi="Times New Roman"/>
        </w:rPr>
        <w:t xml:space="preserve">electronic </w:t>
      </w:r>
      <w:r w:rsidRPr="00AC7EA2">
        <w:rPr>
          <w:rFonts w:ascii="Times New Roman" w:hAnsi="Times New Roman"/>
        </w:rPr>
        <w:t xml:space="preserve">multi-site data collection process will increase the efficiency and practical utility of the assessment of these programs. </w:t>
      </w:r>
      <w:r w:rsidR="00B66E28" w:rsidRPr="00AC7EA2">
        <w:rPr>
          <w:rFonts w:ascii="Times New Roman" w:hAnsi="Times New Roman"/>
        </w:rPr>
        <w:t>Similar</w:t>
      </w:r>
      <w:r w:rsidR="005D76A6" w:rsidRPr="00AC7EA2">
        <w:rPr>
          <w:rFonts w:ascii="Times New Roman" w:hAnsi="Times New Roman"/>
        </w:rPr>
        <w:t xml:space="preserve"> </w:t>
      </w:r>
      <w:r w:rsidR="00B66E28" w:rsidRPr="00AC7EA2">
        <w:rPr>
          <w:rFonts w:ascii="Times New Roman" w:hAnsi="Times New Roman"/>
        </w:rPr>
        <w:t>online data collection tools</w:t>
      </w:r>
      <w:r w:rsidR="005D76A6" w:rsidRPr="00AC7EA2">
        <w:rPr>
          <w:rFonts w:ascii="Times New Roman" w:hAnsi="Times New Roman"/>
        </w:rPr>
        <w:t xml:space="preserve"> have been developed and used by grantees in previous </w:t>
      </w:r>
      <w:r w:rsidR="00B66E28" w:rsidRPr="00AC7EA2">
        <w:rPr>
          <w:rFonts w:ascii="Times New Roman" w:hAnsi="Times New Roman"/>
        </w:rPr>
        <w:t>MAI</w:t>
      </w:r>
      <w:r w:rsidR="005D76A6" w:rsidRPr="00AC7EA2">
        <w:rPr>
          <w:rFonts w:ascii="Times New Roman" w:hAnsi="Times New Roman"/>
        </w:rPr>
        <w:t xml:space="preserve"> cohort</w:t>
      </w:r>
      <w:r w:rsidR="00B66E28" w:rsidRPr="00AC7EA2">
        <w:rPr>
          <w:rFonts w:ascii="Times New Roman" w:hAnsi="Times New Roman"/>
        </w:rPr>
        <w:t>s</w:t>
      </w:r>
      <w:r w:rsidR="005D76A6" w:rsidRPr="00AC7EA2">
        <w:rPr>
          <w:rFonts w:ascii="Times New Roman" w:hAnsi="Times New Roman"/>
        </w:rPr>
        <w:t xml:space="preserve"> and have been demonstrated to work efficiently and effectively. </w:t>
      </w:r>
      <w:r w:rsidR="009A31A0" w:rsidRPr="00AC7EA2">
        <w:rPr>
          <w:rFonts w:ascii="Times New Roman" w:hAnsi="Times New Roman"/>
        </w:rPr>
        <w:t xml:space="preserve">Based on feedback </w:t>
      </w:r>
      <w:r w:rsidR="000C4EC8" w:rsidRPr="00AC7EA2">
        <w:rPr>
          <w:rFonts w:ascii="Times New Roman" w:hAnsi="Times New Roman"/>
        </w:rPr>
        <w:t>from previous cohorts of grantees</w:t>
      </w:r>
      <w:r w:rsidR="009A31A0" w:rsidRPr="00AC7EA2">
        <w:rPr>
          <w:rFonts w:ascii="Times New Roman" w:hAnsi="Times New Roman"/>
        </w:rPr>
        <w:t>, t</w:t>
      </w:r>
      <w:r w:rsidRPr="00AC7EA2">
        <w:rPr>
          <w:rFonts w:ascii="Times New Roman" w:hAnsi="Times New Roman"/>
        </w:rPr>
        <w:t xml:space="preserve">he </w:t>
      </w:r>
      <w:r w:rsidR="00D15309" w:rsidRPr="00AC7EA2">
        <w:rPr>
          <w:rFonts w:ascii="Times New Roman" w:hAnsi="Times New Roman"/>
        </w:rPr>
        <w:t>questionnaires</w:t>
      </w:r>
      <w:r w:rsidRPr="00AC7EA2">
        <w:rPr>
          <w:rFonts w:ascii="Times New Roman" w:hAnsi="Times New Roman"/>
        </w:rPr>
        <w:t xml:space="preserve"> and procedures for electronic transmission of data</w:t>
      </w:r>
      <w:r w:rsidR="00405735" w:rsidRPr="00AC7EA2">
        <w:rPr>
          <w:rFonts w:ascii="Times New Roman" w:hAnsi="Times New Roman"/>
        </w:rPr>
        <w:t xml:space="preserve"> </w:t>
      </w:r>
      <w:r w:rsidRPr="00AC7EA2">
        <w:rPr>
          <w:rFonts w:ascii="Times New Roman" w:hAnsi="Times New Roman"/>
        </w:rPr>
        <w:t>files have been improved to increase efficiency and minimize burden</w:t>
      </w:r>
      <w:r w:rsidR="003F4D38" w:rsidRPr="00AC7EA2">
        <w:rPr>
          <w:rFonts w:ascii="Times New Roman" w:hAnsi="Times New Roman"/>
        </w:rPr>
        <w:t>. PEP-</w:t>
      </w:r>
      <w:r w:rsidR="00B66E28" w:rsidRPr="00AC7EA2">
        <w:rPr>
          <w:rFonts w:ascii="Times New Roman" w:hAnsi="Times New Roman"/>
        </w:rPr>
        <w:t>C’s Systems and MAI Cross-Site T</w:t>
      </w:r>
      <w:r w:rsidR="003F4D38" w:rsidRPr="00AC7EA2">
        <w:rPr>
          <w:rFonts w:ascii="Times New Roman" w:hAnsi="Times New Roman"/>
        </w:rPr>
        <w:t xml:space="preserve">eams will offer trainings to grantees and their project officers in collecting, storing, digitizing, and submitting their participant-level data. The PEP-C </w:t>
      </w:r>
      <w:r w:rsidR="009A3B81" w:rsidRPr="00AC7EA2">
        <w:rPr>
          <w:rFonts w:ascii="Times New Roman" w:hAnsi="Times New Roman"/>
        </w:rPr>
        <w:t xml:space="preserve">help-line will provide </w:t>
      </w:r>
      <w:r w:rsidR="00B66E28" w:rsidRPr="00AC7EA2">
        <w:rPr>
          <w:rFonts w:ascii="Times New Roman" w:hAnsi="Times New Roman"/>
        </w:rPr>
        <w:t xml:space="preserve">continuous </w:t>
      </w:r>
      <w:r w:rsidR="009A3B81" w:rsidRPr="00AC7EA2">
        <w:rPr>
          <w:rFonts w:ascii="Times New Roman" w:hAnsi="Times New Roman"/>
        </w:rPr>
        <w:t>technical assistance to grantees with specific questions about cross-site data processes.</w:t>
      </w:r>
    </w:p>
    <w:p w:rsidR="00B66E28" w:rsidRPr="00AC7EA2" w:rsidRDefault="00B66E28"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A4. Efforts to Identify Duplication</w:t>
      </w:r>
    </w:p>
    <w:p w:rsidR="003E3792" w:rsidRPr="00AC7EA2" w:rsidRDefault="00B66E28"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SAMHSA/</w:t>
      </w:r>
      <w:r w:rsidR="003E3792" w:rsidRPr="00AC7EA2">
        <w:rPr>
          <w:rFonts w:ascii="Times New Roman" w:hAnsi="Times New Roman"/>
        </w:rPr>
        <w:t>CSAP conduct</w:t>
      </w:r>
      <w:r w:rsidR="00A534FC" w:rsidRPr="00AC7EA2">
        <w:rPr>
          <w:rFonts w:ascii="Times New Roman" w:hAnsi="Times New Roman"/>
        </w:rPr>
        <w:t>ed</w:t>
      </w:r>
      <w:r w:rsidR="003E3792" w:rsidRPr="00AC7EA2">
        <w:rPr>
          <w:rFonts w:ascii="Times New Roman" w:hAnsi="Times New Roman"/>
        </w:rPr>
        <w:t xml:space="preserve"> an</w:t>
      </w:r>
      <w:r w:rsidR="004520ED" w:rsidRPr="00AC7EA2">
        <w:rPr>
          <w:rFonts w:ascii="Times New Roman" w:hAnsi="Times New Roman"/>
        </w:rPr>
        <w:t xml:space="preserve"> extensive literature s</w:t>
      </w:r>
      <w:r w:rsidR="003E3792" w:rsidRPr="00AC7EA2">
        <w:rPr>
          <w:rFonts w:ascii="Times New Roman" w:hAnsi="Times New Roman"/>
        </w:rPr>
        <w:t>earch, consult</w:t>
      </w:r>
      <w:r w:rsidR="009A31A0" w:rsidRPr="00AC7EA2">
        <w:rPr>
          <w:rFonts w:ascii="Times New Roman" w:hAnsi="Times New Roman"/>
        </w:rPr>
        <w:t>ed</w:t>
      </w:r>
      <w:r w:rsidR="003E3792" w:rsidRPr="00AC7EA2">
        <w:rPr>
          <w:rFonts w:ascii="Times New Roman" w:hAnsi="Times New Roman"/>
        </w:rPr>
        <w:t xml:space="preserve"> with </w:t>
      </w:r>
      <w:r w:rsidR="00E4351D" w:rsidRPr="00AC7EA2">
        <w:rPr>
          <w:rFonts w:ascii="Times New Roman" w:hAnsi="Times New Roman"/>
        </w:rPr>
        <w:t xml:space="preserve">staff in </w:t>
      </w:r>
      <w:r w:rsidR="009A3B81" w:rsidRPr="00AC7EA2">
        <w:rPr>
          <w:rFonts w:ascii="Times New Roman" w:hAnsi="Times New Roman"/>
        </w:rPr>
        <w:t>f</w:t>
      </w:r>
      <w:r w:rsidR="00E4351D" w:rsidRPr="00AC7EA2">
        <w:rPr>
          <w:rFonts w:ascii="Times New Roman" w:hAnsi="Times New Roman"/>
        </w:rPr>
        <w:t>ederal agencies and organizations that work</w:t>
      </w:r>
      <w:r w:rsidR="004520ED" w:rsidRPr="00AC7EA2">
        <w:rPr>
          <w:rFonts w:ascii="Times New Roman" w:hAnsi="Times New Roman"/>
        </w:rPr>
        <w:t xml:space="preserve"> with </w:t>
      </w:r>
      <w:r w:rsidR="009A3B81" w:rsidRPr="00AC7EA2">
        <w:rPr>
          <w:rFonts w:ascii="Times New Roman" w:hAnsi="Times New Roman"/>
        </w:rPr>
        <w:t xml:space="preserve">SA </w:t>
      </w:r>
      <w:r w:rsidR="004520ED" w:rsidRPr="00AC7EA2">
        <w:rPr>
          <w:rFonts w:ascii="Times New Roman" w:hAnsi="Times New Roman"/>
        </w:rPr>
        <w:t>and HIV/AIDS prevention programs, and discuss</w:t>
      </w:r>
      <w:r w:rsidR="009A31A0" w:rsidRPr="00AC7EA2">
        <w:rPr>
          <w:rFonts w:ascii="Times New Roman" w:hAnsi="Times New Roman"/>
        </w:rPr>
        <w:t>ed</w:t>
      </w:r>
      <w:r w:rsidR="003E3792" w:rsidRPr="00AC7EA2">
        <w:rPr>
          <w:rFonts w:ascii="Times New Roman" w:hAnsi="Times New Roman"/>
        </w:rPr>
        <w:t xml:space="preserve"> the proposed pr</w:t>
      </w:r>
      <w:r w:rsidR="00C60403" w:rsidRPr="00AC7EA2">
        <w:rPr>
          <w:rFonts w:ascii="Times New Roman" w:hAnsi="Times New Roman"/>
        </w:rPr>
        <w:t>o</w:t>
      </w:r>
      <w:r w:rsidR="003E3792" w:rsidRPr="00AC7EA2">
        <w:rPr>
          <w:rFonts w:ascii="Times New Roman" w:hAnsi="Times New Roman"/>
        </w:rPr>
        <w:t>gram</w:t>
      </w:r>
      <w:r w:rsidR="004520ED" w:rsidRPr="00AC7EA2">
        <w:rPr>
          <w:rFonts w:ascii="Times New Roman" w:hAnsi="Times New Roman"/>
        </w:rPr>
        <w:t xml:space="preserve"> with substance abuse prevention experts</w:t>
      </w:r>
      <w:r w:rsidR="009A31A0" w:rsidRPr="00AC7EA2">
        <w:rPr>
          <w:rFonts w:ascii="Times New Roman" w:hAnsi="Times New Roman"/>
        </w:rPr>
        <w:t>. S</w:t>
      </w:r>
      <w:r w:rsidR="003E3792" w:rsidRPr="00AC7EA2">
        <w:rPr>
          <w:rFonts w:ascii="Times New Roman" w:hAnsi="Times New Roman"/>
        </w:rPr>
        <w:t>pec</w:t>
      </w:r>
      <w:r w:rsidR="004B4148" w:rsidRPr="00AC7EA2">
        <w:rPr>
          <w:rFonts w:ascii="Times New Roman" w:hAnsi="Times New Roman"/>
        </w:rPr>
        <w:t>i</w:t>
      </w:r>
      <w:r w:rsidR="003E3792" w:rsidRPr="00AC7EA2">
        <w:rPr>
          <w:rFonts w:ascii="Times New Roman" w:hAnsi="Times New Roman"/>
        </w:rPr>
        <w:t>fically</w:t>
      </w:r>
      <w:r w:rsidR="009A31A0" w:rsidRPr="00AC7EA2">
        <w:rPr>
          <w:rFonts w:ascii="Times New Roman" w:hAnsi="Times New Roman"/>
        </w:rPr>
        <w:t xml:space="preserve">, </w:t>
      </w:r>
      <w:r w:rsidRPr="00AC7EA2">
        <w:rPr>
          <w:rFonts w:ascii="Times New Roman" w:hAnsi="Times New Roman"/>
        </w:rPr>
        <w:t>SAMHSA/</w:t>
      </w:r>
      <w:r w:rsidR="009A31A0" w:rsidRPr="00AC7EA2">
        <w:rPr>
          <w:rFonts w:ascii="Times New Roman" w:hAnsi="Times New Roman"/>
        </w:rPr>
        <w:t>CSAP</w:t>
      </w:r>
      <w:r w:rsidR="003E3792" w:rsidRPr="00AC7EA2">
        <w:rPr>
          <w:rFonts w:ascii="Times New Roman" w:hAnsi="Times New Roman"/>
        </w:rPr>
        <w:t>:</w:t>
      </w:r>
    </w:p>
    <w:p w:rsidR="003E3792" w:rsidRPr="00AC7EA2" w:rsidRDefault="003E3792" w:rsidP="005F20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520ED" w:rsidRPr="00AC7EA2" w:rsidRDefault="009A31A0" w:rsidP="005F2016">
      <w:pPr>
        <w:numPr>
          <w:ilvl w:val="0"/>
          <w:numId w:val="11"/>
        </w:numPr>
        <w:rPr>
          <w:rFonts w:ascii="Times New Roman" w:hAnsi="Times New Roman"/>
        </w:rPr>
      </w:pPr>
      <w:r w:rsidRPr="00AC7EA2">
        <w:rPr>
          <w:rFonts w:ascii="Times New Roman" w:hAnsi="Times New Roman"/>
        </w:rPr>
        <w:t>C</w:t>
      </w:r>
      <w:r w:rsidR="003E3792" w:rsidRPr="00AC7EA2">
        <w:rPr>
          <w:rFonts w:ascii="Times New Roman" w:hAnsi="Times New Roman"/>
        </w:rPr>
        <w:t>onducted a</w:t>
      </w:r>
      <w:r w:rsidR="004520ED" w:rsidRPr="00AC7EA2">
        <w:rPr>
          <w:rFonts w:ascii="Times New Roman" w:hAnsi="Times New Roman"/>
        </w:rPr>
        <w:t xml:space="preserve"> comprehensive literature search</w:t>
      </w:r>
      <w:r w:rsidR="003E3792" w:rsidRPr="00AC7EA2">
        <w:rPr>
          <w:rFonts w:ascii="Times New Roman" w:hAnsi="Times New Roman"/>
        </w:rPr>
        <w:t xml:space="preserve"> </w:t>
      </w:r>
      <w:r w:rsidR="00FD24B3" w:rsidRPr="00AC7EA2">
        <w:rPr>
          <w:rFonts w:ascii="Times New Roman" w:hAnsi="Times New Roman"/>
        </w:rPr>
        <w:t xml:space="preserve">of completed and ongoing studies of </w:t>
      </w:r>
      <w:r w:rsidR="009A3B81" w:rsidRPr="00AC7EA2">
        <w:rPr>
          <w:rFonts w:ascii="Times New Roman" w:hAnsi="Times New Roman"/>
        </w:rPr>
        <w:t xml:space="preserve">SA </w:t>
      </w:r>
      <w:r w:rsidR="00FD24B3" w:rsidRPr="00AC7EA2">
        <w:rPr>
          <w:rFonts w:ascii="Times New Roman" w:hAnsi="Times New Roman"/>
        </w:rPr>
        <w:t xml:space="preserve">and HIV/AIDS prevention programs targeting youth and adults </w:t>
      </w:r>
      <w:r w:rsidRPr="00AC7EA2">
        <w:rPr>
          <w:rFonts w:ascii="Times New Roman" w:hAnsi="Times New Roman"/>
        </w:rPr>
        <w:t>and</w:t>
      </w:r>
      <w:r w:rsidR="0019033B" w:rsidRPr="00AC7EA2">
        <w:rPr>
          <w:rFonts w:ascii="Times New Roman" w:hAnsi="Times New Roman"/>
        </w:rPr>
        <w:t xml:space="preserve"> found insignificant duplication</w:t>
      </w:r>
      <w:r w:rsidRPr="00AC7EA2">
        <w:rPr>
          <w:rFonts w:ascii="Times New Roman" w:hAnsi="Times New Roman"/>
        </w:rPr>
        <w:t xml:space="preserve"> with this </w:t>
      </w:r>
      <w:r w:rsidR="00886C51" w:rsidRPr="00AC7EA2">
        <w:rPr>
          <w:rFonts w:ascii="Times New Roman" w:hAnsi="Times New Roman"/>
        </w:rPr>
        <w:t>cross-site evaluation</w:t>
      </w:r>
      <w:r w:rsidR="00FF13F3" w:rsidRPr="00AC7EA2">
        <w:rPr>
          <w:rFonts w:ascii="Times New Roman" w:hAnsi="Times New Roman"/>
        </w:rPr>
        <w:t>.</w:t>
      </w:r>
      <w:r w:rsidR="00FD24B3" w:rsidRPr="00AC7EA2">
        <w:rPr>
          <w:rFonts w:ascii="Times New Roman" w:hAnsi="Times New Roman"/>
        </w:rPr>
        <w:t xml:space="preserve"> </w:t>
      </w:r>
      <w:r w:rsidR="004B5517" w:rsidRPr="00AC7EA2">
        <w:rPr>
          <w:rFonts w:ascii="Times New Roman" w:hAnsi="Times New Roman"/>
        </w:rPr>
        <w:t>However, a</w:t>
      </w:r>
      <w:r w:rsidR="00F13C3C" w:rsidRPr="00AC7EA2">
        <w:rPr>
          <w:rFonts w:ascii="Times New Roman" w:hAnsi="Times New Roman"/>
        </w:rPr>
        <w:t>ll</w:t>
      </w:r>
      <w:r w:rsidR="00FD24B3" w:rsidRPr="00AC7EA2">
        <w:rPr>
          <w:rFonts w:ascii="Times New Roman" w:hAnsi="Times New Roman"/>
        </w:rPr>
        <w:t xml:space="preserve"> </w:t>
      </w:r>
      <w:r w:rsidR="004B5517" w:rsidRPr="00AC7EA2">
        <w:rPr>
          <w:rFonts w:ascii="Times New Roman" w:hAnsi="Times New Roman"/>
        </w:rPr>
        <w:t xml:space="preserve">reviewed </w:t>
      </w:r>
      <w:r w:rsidR="00FD24B3" w:rsidRPr="00AC7EA2">
        <w:rPr>
          <w:rFonts w:ascii="Times New Roman" w:hAnsi="Times New Roman"/>
        </w:rPr>
        <w:t xml:space="preserve">studies were examined closely to take advantage of applicable methods and to identify any methodological problems that might detract from the validity, generalizability, or </w:t>
      </w:r>
      <w:r w:rsidR="009A3B81" w:rsidRPr="00AC7EA2">
        <w:rPr>
          <w:rFonts w:ascii="Times New Roman" w:hAnsi="Times New Roman"/>
        </w:rPr>
        <w:t xml:space="preserve">policy </w:t>
      </w:r>
      <w:r w:rsidR="00FD24B3" w:rsidRPr="00AC7EA2">
        <w:rPr>
          <w:rFonts w:ascii="Times New Roman" w:hAnsi="Times New Roman"/>
        </w:rPr>
        <w:t xml:space="preserve">application of </w:t>
      </w:r>
      <w:r w:rsidR="00B66E28" w:rsidRPr="00AC7EA2">
        <w:rPr>
          <w:rFonts w:ascii="Times New Roman" w:hAnsi="Times New Roman"/>
        </w:rPr>
        <w:t xml:space="preserve">the </w:t>
      </w:r>
      <w:r w:rsidR="00FD24B3" w:rsidRPr="00AC7EA2">
        <w:rPr>
          <w:rFonts w:ascii="Times New Roman" w:hAnsi="Times New Roman"/>
        </w:rPr>
        <w:t>results</w:t>
      </w:r>
      <w:r w:rsidR="0019033B" w:rsidRPr="00AC7EA2">
        <w:rPr>
          <w:rFonts w:ascii="Times New Roman" w:hAnsi="Times New Roman"/>
        </w:rPr>
        <w:t>.</w:t>
      </w:r>
    </w:p>
    <w:p w:rsidR="004520ED" w:rsidRPr="00AC7EA2" w:rsidRDefault="00F13C3C" w:rsidP="005F2016">
      <w:pPr>
        <w:numPr>
          <w:ilvl w:val="0"/>
          <w:numId w:val="11"/>
        </w:numPr>
        <w:rPr>
          <w:rFonts w:ascii="Times New Roman" w:hAnsi="Times New Roman"/>
        </w:rPr>
      </w:pPr>
      <w:r w:rsidRPr="00AC7EA2">
        <w:rPr>
          <w:rFonts w:ascii="Times New Roman" w:hAnsi="Times New Roman"/>
        </w:rPr>
        <w:t>C</w:t>
      </w:r>
      <w:r w:rsidR="003E3792" w:rsidRPr="00AC7EA2">
        <w:rPr>
          <w:rFonts w:ascii="Times New Roman" w:hAnsi="Times New Roman"/>
        </w:rPr>
        <w:t>onsulted with s</w:t>
      </w:r>
      <w:r w:rsidR="004520ED" w:rsidRPr="00AC7EA2">
        <w:rPr>
          <w:rFonts w:ascii="Times New Roman" w:hAnsi="Times New Roman"/>
        </w:rPr>
        <w:t>taff in CSAT, CDC</w:t>
      </w:r>
      <w:r w:rsidR="00803E7A" w:rsidRPr="00AC7EA2">
        <w:rPr>
          <w:rFonts w:ascii="Times New Roman" w:hAnsi="Times New Roman"/>
        </w:rPr>
        <w:t>, NIAID</w:t>
      </w:r>
      <w:r w:rsidR="00080CF5" w:rsidRPr="00AC7EA2">
        <w:rPr>
          <w:rFonts w:ascii="Times New Roman" w:hAnsi="Times New Roman"/>
        </w:rPr>
        <w:t xml:space="preserve">, </w:t>
      </w:r>
      <w:r w:rsidR="004520ED" w:rsidRPr="00AC7EA2">
        <w:rPr>
          <w:rFonts w:ascii="Times New Roman" w:hAnsi="Times New Roman"/>
        </w:rPr>
        <w:t xml:space="preserve">NIDA, ACF, OJJDP, HUD, </w:t>
      </w:r>
      <w:r w:rsidR="0019033B" w:rsidRPr="00AC7EA2">
        <w:rPr>
          <w:rFonts w:ascii="Times New Roman" w:hAnsi="Times New Roman"/>
        </w:rPr>
        <w:t>DOE and DOJ</w:t>
      </w:r>
      <w:r w:rsidR="003E3792" w:rsidRPr="00AC7EA2">
        <w:rPr>
          <w:rFonts w:ascii="Times New Roman" w:hAnsi="Times New Roman"/>
        </w:rPr>
        <w:t>.</w:t>
      </w:r>
      <w:r w:rsidR="004520ED" w:rsidRPr="00AC7EA2">
        <w:rPr>
          <w:rFonts w:ascii="Times New Roman" w:hAnsi="Times New Roman"/>
        </w:rPr>
        <w:t xml:space="preserve"> None of these Federal organizations has conducted a cross-site outcome evaluation of prevention and early intervention programs targeting minority youth and </w:t>
      </w:r>
      <w:r w:rsidR="009A3B81" w:rsidRPr="00AC7EA2">
        <w:rPr>
          <w:rFonts w:ascii="Times New Roman" w:hAnsi="Times New Roman"/>
        </w:rPr>
        <w:t>adults</w:t>
      </w:r>
      <w:r w:rsidR="004520ED" w:rsidRPr="00AC7EA2">
        <w:rPr>
          <w:rFonts w:ascii="Times New Roman" w:hAnsi="Times New Roman"/>
        </w:rPr>
        <w:t xml:space="preserve"> that is similar to the one being proposed for this </w:t>
      </w:r>
      <w:r w:rsidR="002A4ED2" w:rsidRPr="00AC7EA2">
        <w:rPr>
          <w:rFonts w:ascii="Times New Roman" w:hAnsi="Times New Roman"/>
        </w:rPr>
        <w:t>evaluation</w:t>
      </w:r>
      <w:r w:rsidR="004520ED" w:rsidRPr="00AC7EA2">
        <w:rPr>
          <w:rFonts w:ascii="Times New Roman" w:hAnsi="Times New Roman"/>
        </w:rPr>
        <w:t>.</w:t>
      </w:r>
    </w:p>
    <w:p w:rsidR="004520ED" w:rsidRPr="00AC7EA2" w:rsidRDefault="00F13C3C" w:rsidP="005F2016">
      <w:pPr>
        <w:numPr>
          <w:ilvl w:val="0"/>
          <w:numId w:val="11"/>
        </w:numPr>
        <w:rPr>
          <w:rFonts w:ascii="Times New Roman" w:hAnsi="Times New Roman"/>
        </w:rPr>
      </w:pPr>
      <w:r w:rsidRPr="00AC7EA2">
        <w:rPr>
          <w:rFonts w:ascii="Times New Roman" w:hAnsi="Times New Roman"/>
        </w:rPr>
        <w:t>S</w:t>
      </w:r>
      <w:r w:rsidR="003E3792" w:rsidRPr="00AC7EA2">
        <w:rPr>
          <w:rFonts w:ascii="Times New Roman" w:hAnsi="Times New Roman"/>
        </w:rPr>
        <w:t>taff attended n</w:t>
      </w:r>
      <w:r w:rsidR="004520ED" w:rsidRPr="00AC7EA2">
        <w:rPr>
          <w:rFonts w:ascii="Times New Roman" w:hAnsi="Times New Roman"/>
        </w:rPr>
        <w:t xml:space="preserve">ational meetings </w:t>
      </w:r>
      <w:r w:rsidR="003E3792" w:rsidRPr="00AC7EA2">
        <w:rPr>
          <w:rFonts w:ascii="Times New Roman" w:hAnsi="Times New Roman"/>
        </w:rPr>
        <w:t xml:space="preserve">at which </w:t>
      </w:r>
      <w:r w:rsidR="004520ED" w:rsidRPr="00AC7EA2">
        <w:rPr>
          <w:rFonts w:ascii="Times New Roman" w:hAnsi="Times New Roman"/>
        </w:rPr>
        <w:t xml:space="preserve">completed, ongoing, or </w:t>
      </w:r>
      <w:r w:rsidR="009A3B81" w:rsidRPr="00AC7EA2">
        <w:rPr>
          <w:rFonts w:ascii="Times New Roman" w:hAnsi="Times New Roman"/>
        </w:rPr>
        <w:t xml:space="preserve">planned </w:t>
      </w:r>
      <w:r w:rsidR="004520ED" w:rsidRPr="00AC7EA2">
        <w:rPr>
          <w:rFonts w:ascii="Times New Roman" w:hAnsi="Times New Roman"/>
        </w:rPr>
        <w:t xml:space="preserve">evaluations </w:t>
      </w:r>
      <w:r w:rsidR="003E3792" w:rsidRPr="00AC7EA2">
        <w:rPr>
          <w:rFonts w:ascii="Times New Roman" w:hAnsi="Times New Roman"/>
        </w:rPr>
        <w:t>were</w:t>
      </w:r>
      <w:r w:rsidR="004520ED" w:rsidRPr="00AC7EA2">
        <w:rPr>
          <w:rFonts w:ascii="Times New Roman" w:hAnsi="Times New Roman"/>
        </w:rPr>
        <w:t xml:space="preserve"> discussed </w:t>
      </w:r>
      <w:r w:rsidR="003E3792" w:rsidRPr="00AC7EA2">
        <w:rPr>
          <w:rFonts w:ascii="Times New Roman" w:hAnsi="Times New Roman"/>
        </w:rPr>
        <w:t>and found</w:t>
      </w:r>
      <w:r w:rsidR="004520ED" w:rsidRPr="00AC7EA2">
        <w:rPr>
          <w:rFonts w:ascii="Times New Roman" w:hAnsi="Times New Roman"/>
        </w:rPr>
        <w:t xml:space="preserve"> insignificant duplication with the proposed </w:t>
      </w:r>
      <w:r w:rsidR="002A4ED2" w:rsidRPr="00AC7EA2">
        <w:rPr>
          <w:rFonts w:ascii="Times New Roman" w:hAnsi="Times New Roman"/>
        </w:rPr>
        <w:t>evaluation</w:t>
      </w:r>
      <w:r w:rsidR="004520ED" w:rsidRPr="00AC7EA2">
        <w:rPr>
          <w:rFonts w:ascii="Times New Roman" w:hAnsi="Times New Roman"/>
        </w:rPr>
        <w:t>.</w:t>
      </w:r>
    </w:p>
    <w:p w:rsidR="004520ED" w:rsidRPr="00AC7EA2" w:rsidRDefault="004520ED"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55EC2" w:rsidRPr="00AC7EA2" w:rsidRDefault="00155EC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Literature searches within SAMHSA’s three centers and with five other federal agencies were conducted to identify studies with similar goals and expected outcomes. These searches have indicated that no similar study has been conducted which examines prevention initiatives regarding substance abuse (SA) in relation to HIV/AIDS. Even though the present cross-site evaluation differs from others that have been conducted in the field, information generated from these literature searches has sharpened the present cross-site evaluation design and enhanced the likely utility of the results.</w:t>
      </w:r>
    </w:p>
    <w:p w:rsidR="00155EC2" w:rsidRPr="00AC7EA2" w:rsidRDefault="00155EC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B120D" w:rsidRPr="00AC7EA2" w:rsidRDefault="008C1B6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In summary, </w:t>
      </w:r>
      <w:r w:rsidR="00B66E28" w:rsidRPr="00AC7EA2">
        <w:rPr>
          <w:rFonts w:ascii="Times New Roman" w:hAnsi="Times New Roman"/>
        </w:rPr>
        <w:t>SAMHSA</w:t>
      </w:r>
      <w:r w:rsidRPr="00AC7EA2">
        <w:rPr>
          <w:rFonts w:ascii="Times New Roman" w:hAnsi="Times New Roman"/>
        </w:rPr>
        <w:t xml:space="preserve"> did not</w:t>
      </w:r>
      <w:r w:rsidR="004520ED" w:rsidRPr="00AC7EA2">
        <w:rPr>
          <w:rFonts w:ascii="Times New Roman" w:hAnsi="Times New Roman"/>
        </w:rPr>
        <w:t xml:space="preserve"> identify </w:t>
      </w:r>
      <w:r w:rsidRPr="00AC7EA2">
        <w:rPr>
          <w:rFonts w:ascii="Times New Roman" w:hAnsi="Times New Roman"/>
        </w:rPr>
        <w:t xml:space="preserve">any </w:t>
      </w:r>
      <w:r w:rsidR="004520ED" w:rsidRPr="00AC7EA2">
        <w:rPr>
          <w:rFonts w:ascii="Times New Roman" w:hAnsi="Times New Roman"/>
        </w:rPr>
        <w:t xml:space="preserve">redundancy </w:t>
      </w:r>
      <w:r w:rsidR="00C60403" w:rsidRPr="00AC7EA2">
        <w:rPr>
          <w:rFonts w:ascii="Times New Roman" w:hAnsi="Times New Roman"/>
        </w:rPr>
        <w:t>in that there were</w:t>
      </w:r>
      <w:r w:rsidR="004520ED" w:rsidRPr="00AC7EA2">
        <w:rPr>
          <w:rFonts w:ascii="Times New Roman" w:hAnsi="Times New Roman"/>
        </w:rPr>
        <w:t xml:space="preserve"> no precedents for </w:t>
      </w:r>
      <w:r w:rsidR="00803E7A" w:rsidRPr="00AC7EA2">
        <w:rPr>
          <w:rFonts w:ascii="Times New Roman" w:hAnsi="Times New Roman"/>
        </w:rPr>
        <w:t xml:space="preserve">a </w:t>
      </w:r>
      <w:r w:rsidR="00886C51" w:rsidRPr="00AC7EA2">
        <w:rPr>
          <w:rFonts w:ascii="Times New Roman" w:hAnsi="Times New Roman"/>
        </w:rPr>
        <w:t>cross-site evaluation</w:t>
      </w:r>
      <w:r w:rsidR="004520ED" w:rsidRPr="00AC7EA2">
        <w:rPr>
          <w:rFonts w:ascii="Times New Roman" w:hAnsi="Times New Roman"/>
        </w:rPr>
        <w:t xml:space="preserve"> of projects </w:t>
      </w:r>
      <w:r w:rsidR="000E24E4" w:rsidRPr="00AC7EA2">
        <w:rPr>
          <w:rFonts w:ascii="Times New Roman" w:hAnsi="Times New Roman"/>
        </w:rPr>
        <w:t>similar to</w:t>
      </w:r>
      <w:r w:rsidR="004520ED" w:rsidRPr="00AC7EA2">
        <w:rPr>
          <w:rFonts w:ascii="Times New Roman" w:hAnsi="Times New Roman"/>
        </w:rPr>
        <w:t xml:space="preserve"> the one being proposed</w:t>
      </w:r>
      <w:r w:rsidR="00C53DEE" w:rsidRPr="00AC7EA2">
        <w:rPr>
          <w:rFonts w:ascii="Times New Roman" w:hAnsi="Times New Roman"/>
        </w:rPr>
        <w:t xml:space="preserve">. </w:t>
      </w:r>
      <w:r w:rsidR="00984812" w:rsidRPr="00AC7EA2">
        <w:rPr>
          <w:rFonts w:ascii="Times New Roman" w:hAnsi="Times New Roman"/>
        </w:rPr>
        <w:t xml:space="preserve">Related studies </w:t>
      </w:r>
      <w:r w:rsidR="0019033B" w:rsidRPr="00AC7EA2">
        <w:rPr>
          <w:rFonts w:ascii="Times New Roman" w:hAnsi="Times New Roman"/>
        </w:rPr>
        <w:t>suffered</w:t>
      </w:r>
      <w:r w:rsidR="004520ED" w:rsidRPr="00AC7EA2">
        <w:rPr>
          <w:rFonts w:ascii="Times New Roman" w:hAnsi="Times New Roman"/>
        </w:rPr>
        <w:t xml:space="preserve"> methodological </w:t>
      </w:r>
      <w:r w:rsidR="00984812" w:rsidRPr="00AC7EA2">
        <w:rPr>
          <w:rFonts w:ascii="Times New Roman" w:hAnsi="Times New Roman"/>
        </w:rPr>
        <w:t xml:space="preserve">shortfalls </w:t>
      </w:r>
      <w:r w:rsidR="004520ED" w:rsidRPr="00AC7EA2">
        <w:rPr>
          <w:rFonts w:ascii="Times New Roman" w:hAnsi="Times New Roman"/>
        </w:rPr>
        <w:t xml:space="preserve">such as low sample sizes, lack of dosage monitoring, and/or lack of published/reliable/valid measures and scales that make it unlikely </w:t>
      </w:r>
      <w:r w:rsidR="00F13C3C" w:rsidRPr="00AC7EA2">
        <w:rPr>
          <w:rFonts w:ascii="Times New Roman" w:hAnsi="Times New Roman"/>
        </w:rPr>
        <w:t>that</w:t>
      </w:r>
      <w:r w:rsidR="004520ED" w:rsidRPr="00AC7EA2">
        <w:rPr>
          <w:rFonts w:ascii="Times New Roman" w:hAnsi="Times New Roman"/>
        </w:rPr>
        <w:t xml:space="preserve"> current information </w:t>
      </w:r>
      <w:r w:rsidR="00F13C3C" w:rsidRPr="00AC7EA2">
        <w:rPr>
          <w:rFonts w:ascii="Times New Roman" w:hAnsi="Times New Roman"/>
        </w:rPr>
        <w:t>will</w:t>
      </w:r>
      <w:r w:rsidR="004520ED" w:rsidRPr="00AC7EA2">
        <w:rPr>
          <w:rFonts w:ascii="Times New Roman" w:hAnsi="Times New Roman"/>
        </w:rPr>
        <w:t xml:space="preserve"> be released among the scientific community or</w:t>
      </w:r>
      <w:r w:rsidR="00CD05D9" w:rsidRPr="00AC7EA2">
        <w:rPr>
          <w:rFonts w:ascii="Times New Roman" w:hAnsi="Times New Roman"/>
        </w:rPr>
        <w:t xml:space="preserve"> published</w:t>
      </w:r>
      <w:r w:rsidR="004520ED" w:rsidRPr="00AC7EA2">
        <w:rPr>
          <w:rFonts w:ascii="Times New Roman" w:hAnsi="Times New Roman"/>
        </w:rPr>
        <w:t xml:space="preserve"> in </w:t>
      </w:r>
      <w:r w:rsidR="009A3B81" w:rsidRPr="00AC7EA2">
        <w:rPr>
          <w:rFonts w:ascii="Times New Roman" w:hAnsi="Times New Roman"/>
        </w:rPr>
        <w:t xml:space="preserve">peer-reviewed </w:t>
      </w:r>
      <w:r w:rsidR="004520ED" w:rsidRPr="00AC7EA2">
        <w:rPr>
          <w:rFonts w:ascii="Times New Roman" w:hAnsi="Times New Roman"/>
        </w:rPr>
        <w:t xml:space="preserve">journals, government publications, </w:t>
      </w:r>
      <w:r w:rsidR="00CD05D9" w:rsidRPr="00AC7EA2">
        <w:rPr>
          <w:rFonts w:ascii="Times New Roman" w:hAnsi="Times New Roman"/>
        </w:rPr>
        <w:t>and other similar venues</w:t>
      </w:r>
      <w:r w:rsidR="004520ED" w:rsidRPr="00AC7EA2">
        <w:rPr>
          <w:rFonts w:ascii="Times New Roman" w:hAnsi="Times New Roman"/>
        </w:rPr>
        <w:t xml:space="preserve">. </w:t>
      </w:r>
      <w:r w:rsidRPr="00AC7EA2">
        <w:rPr>
          <w:rFonts w:ascii="Times New Roman" w:hAnsi="Times New Roman"/>
        </w:rPr>
        <w:t>Thus, it is clear that t</w:t>
      </w:r>
      <w:r w:rsidR="006B120D" w:rsidRPr="00AC7EA2">
        <w:rPr>
          <w:rFonts w:ascii="Times New Roman" w:hAnsi="Times New Roman"/>
        </w:rPr>
        <w:t xml:space="preserve">he data to be collected </w:t>
      </w:r>
      <w:r w:rsidR="00E9760E" w:rsidRPr="00AC7EA2">
        <w:rPr>
          <w:rFonts w:ascii="Times New Roman" w:hAnsi="Times New Roman"/>
        </w:rPr>
        <w:t>will be</w:t>
      </w:r>
      <w:r w:rsidR="006B120D" w:rsidRPr="00AC7EA2">
        <w:rPr>
          <w:rFonts w:ascii="Times New Roman" w:hAnsi="Times New Roman"/>
        </w:rPr>
        <w:t xml:space="preserve"> unique to the </w:t>
      </w:r>
      <w:r w:rsidR="00CD05D9" w:rsidRPr="00AC7EA2">
        <w:rPr>
          <w:rFonts w:ascii="Times New Roman" w:hAnsi="Times New Roman"/>
        </w:rPr>
        <w:t>SAMHSA/CSAP</w:t>
      </w:r>
      <w:r w:rsidR="006B120D" w:rsidRPr="00AC7EA2">
        <w:rPr>
          <w:rFonts w:ascii="Times New Roman" w:hAnsi="Times New Roman"/>
        </w:rPr>
        <w:t xml:space="preserve"> </w:t>
      </w:r>
      <w:r w:rsidRPr="00AC7EA2">
        <w:rPr>
          <w:rFonts w:ascii="Times New Roman" w:hAnsi="Times New Roman"/>
        </w:rPr>
        <w:t>MAI</w:t>
      </w:r>
      <w:r w:rsidR="006B120D" w:rsidRPr="00AC7EA2">
        <w:rPr>
          <w:rFonts w:ascii="Times New Roman" w:hAnsi="Times New Roman"/>
        </w:rPr>
        <w:t xml:space="preserve"> programs, collected only </w:t>
      </w:r>
      <w:r w:rsidR="00CD05D9" w:rsidRPr="00AC7EA2">
        <w:rPr>
          <w:rFonts w:ascii="Times New Roman" w:hAnsi="Times New Roman"/>
        </w:rPr>
        <w:t>from participants of</w:t>
      </w:r>
      <w:r w:rsidR="006B120D" w:rsidRPr="00AC7EA2">
        <w:rPr>
          <w:rFonts w:ascii="Times New Roman" w:hAnsi="Times New Roman"/>
        </w:rPr>
        <w:t xml:space="preserve"> the</w:t>
      </w:r>
      <w:r w:rsidR="00CD05D9" w:rsidRPr="00AC7EA2">
        <w:rPr>
          <w:rFonts w:ascii="Times New Roman" w:hAnsi="Times New Roman"/>
        </w:rPr>
        <w:t>se</w:t>
      </w:r>
      <w:r w:rsidR="006B120D" w:rsidRPr="00AC7EA2">
        <w:rPr>
          <w:rFonts w:ascii="Times New Roman" w:hAnsi="Times New Roman"/>
        </w:rPr>
        <w:t xml:space="preserve"> programs, and </w:t>
      </w:r>
      <w:r w:rsidR="00CD05D9" w:rsidRPr="00AC7EA2">
        <w:rPr>
          <w:rFonts w:ascii="Times New Roman" w:hAnsi="Times New Roman"/>
        </w:rPr>
        <w:t xml:space="preserve">are </w:t>
      </w:r>
      <w:r w:rsidR="006B120D" w:rsidRPr="00AC7EA2">
        <w:rPr>
          <w:rFonts w:ascii="Times New Roman" w:hAnsi="Times New Roman"/>
        </w:rPr>
        <w:t xml:space="preserve">not available elsewhere. The data collected through </w:t>
      </w:r>
      <w:r w:rsidR="009A3B81" w:rsidRPr="00AC7EA2">
        <w:rPr>
          <w:rFonts w:ascii="Times New Roman" w:hAnsi="Times New Roman"/>
        </w:rPr>
        <w:t xml:space="preserve">this </w:t>
      </w:r>
      <w:r w:rsidR="006B120D" w:rsidRPr="00AC7EA2">
        <w:rPr>
          <w:rFonts w:ascii="Times New Roman" w:hAnsi="Times New Roman"/>
        </w:rPr>
        <w:t xml:space="preserve">multi-site effort will be non-duplicative, minimize burden on respondents, and be of use to </w:t>
      </w:r>
      <w:r w:rsidR="009A3B81" w:rsidRPr="00AC7EA2">
        <w:rPr>
          <w:rFonts w:ascii="Times New Roman" w:hAnsi="Times New Roman"/>
        </w:rPr>
        <w:t>SAMHSA, minority serving institutions,</w:t>
      </w:r>
      <w:r w:rsidR="006B120D" w:rsidRPr="00AC7EA2">
        <w:rPr>
          <w:rFonts w:ascii="Times New Roman" w:hAnsi="Times New Roman"/>
        </w:rPr>
        <w:t xml:space="preserve"> and </w:t>
      </w:r>
      <w:r w:rsidR="009A3B81" w:rsidRPr="00AC7EA2">
        <w:rPr>
          <w:rFonts w:ascii="Times New Roman" w:hAnsi="Times New Roman"/>
        </w:rPr>
        <w:t xml:space="preserve">minority </w:t>
      </w:r>
      <w:r w:rsidR="006B120D" w:rsidRPr="00AC7EA2">
        <w:rPr>
          <w:rFonts w:ascii="Times New Roman" w:hAnsi="Times New Roman"/>
        </w:rPr>
        <w:t>communities.</w:t>
      </w:r>
    </w:p>
    <w:p w:rsidR="00CD05D9" w:rsidRPr="00AC7EA2" w:rsidRDefault="00CD05D9"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A5. Involvement of Small Entities</w:t>
      </w:r>
    </w:p>
    <w:p w:rsidR="00FF1705" w:rsidRPr="00AC7EA2" w:rsidRDefault="00FF170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This </w:t>
      </w:r>
      <w:r w:rsidR="00962E70" w:rsidRPr="00AC7EA2">
        <w:rPr>
          <w:rFonts w:ascii="Times New Roman" w:hAnsi="Times New Roman"/>
        </w:rPr>
        <w:t xml:space="preserve">data collection </w:t>
      </w:r>
      <w:r w:rsidRPr="00AC7EA2">
        <w:rPr>
          <w:rFonts w:ascii="Times New Roman" w:hAnsi="Times New Roman"/>
        </w:rPr>
        <w:t>will have no significant impact on small entities.</w:t>
      </w:r>
    </w:p>
    <w:p w:rsidR="00FF1705" w:rsidRPr="00AC7EA2" w:rsidRDefault="00FF1705" w:rsidP="005F2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 xml:space="preserve">A6. Consequences If Information </w:t>
      </w:r>
      <w:r w:rsidR="009A3B81" w:rsidRPr="00AC7EA2">
        <w:rPr>
          <w:rFonts w:ascii="Times New Roman" w:hAnsi="Times New Roman"/>
          <w:i w:val="0"/>
          <w:sz w:val="24"/>
          <w:szCs w:val="24"/>
        </w:rPr>
        <w:t xml:space="preserve">is </w:t>
      </w:r>
      <w:r w:rsidRPr="00AC7EA2">
        <w:rPr>
          <w:rFonts w:ascii="Times New Roman" w:hAnsi="Times New Roman"/>
          <w:i w:val="0"/>
          <w:sz w:val="24"/>
          <w:szCs w:val="24"/>
        </w:rPr>
        <w:t>Collected Less Frequently</w:t>
      </w:r>
    </w:p>
    <w:p w:rsidR="00A72767" w:rsidRPr="00AC7EA2" w:rsidRDefault="00984812"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Survey and dosage </w:t>
      </w:r>
      <w:r w:rsidR="00FF1705" w:rsidRPr="00AC7EA2">
        <w:rPr>
          <w:rFonts w:ascii="Times New Roman" w:hAnsi="Times New Roman"/>
        </w:rPr>
        <w:t xml:space="preserve">data will be collected </w:t>
      </w:r>
      <w:r w:rsidR="003F78F4" w:rsidRPr="00AC7EA2">
        <w:rPr>
          <w:rFonts w:ascii="Times New Roman" w:hAnsi="Times New Roman"/>
        </w:rPr>
        <w:t xml:space="preserve">from participants </w:t>
      </w:r>
      <w:r w:rsidR="009A3B81" w:rsidRPr="00AC7EA2">
        <w:rPr>
          <w:rFonts w:ascii="Times New Roman" w:hAnsi="Times New Roman"/>
        </w:rPr>
        <w:t>whose service duration</w:t>
      </w:r>
      <w:r w:rsidR="00626522" w:rsidRPr="00AC7EA2">
        <w:rPr>
          <w:rFonts w:ascii="Times New Roman" w:hAnsi="Times New Roman"/>
        </w:rPr>
        <w:t xml:space="preserve"> is</w:t>
      </w:r>
      <w:r w:rsidR="003A0F6C" w:rsidRPr="00AC7EA2">
        <w:rPr>
          <w:rFonts w:ascii="Times New Roman" w:hAnsi="Times New Roman"/>
        </w:rPr>
        <w:t xml:space="preserve"> 30 days or longer </w:t>
      </w:r>
      <w:r w:rsidR="00322B45" w:rsidRPr="00AC7EA2">
        <w:rPr>
          <w:rFonts w:ascii="Times New Roman" w:hAnsi="Times New Roman"/>
        </w:rPr>
        <w:t>at three points in time</w:t>
      </w:r>
      <w:r w:rsidR="00E9760E" w:rsidRPr="00AC7EA2">
        <w:rPr>
          <w:rFonts w:ascii="Times New Roman" w:hAnsi="Times New Roman"/>
        </w:rPr>
        <w:t xml:space="preserve">: baseline (program entry), program exit and </w:t>
      </w:r>
      <w:r w:rsidR="001B1801" w:rsidRPr="00AC7EA2">
        <w:rPr>
          <w:rFonts w:ascii="Times New Roman" w:hAnsi="Times New Roman"/>
        </w:rPr>
        <w:t>three</w:t>
      </w:r>
      <w:r w:rsidR="00CD05D9" w:rsidRPr="00AC7EA2">
        <w:rPr>
          <w:rFonts w:ascii="Times New Roman" w:hAnsi="Times New Roman"/>
        </w:rPr>
        <w:t>-</w:t>
      </w:r>
      <w:r w:rsidR="001B1801" w:rsidRPr="00AC7EA2">
        <w:rPr>
          <w:rFonts w:ascii="Times New Roman" w:hAnsi="Times New Roman"/>
        </w:rPr>
        <w:t>t</w:t>
      </w:r>
      <w:r w:rsidR="00CD05D9" w:rsidRPr="00AC7EA2">
        <w:rPr>
          <w:rFonts w:ascii="Times New Roman" w:hAnsi="Times New Roman"/>
        </w:rPr>
        <w:t>o-</w:t>
      </w:r>
      <w:r w:rsidR="00E9760E" w:rsidRPr="00AC7EA2">
        <w:rPr>
          <w:rFonts w:ascii="Times New Roman" w:hAnsi="Times New Roman"/>
        </w:rPr>
        <w:t>six months post-exit</w:t>
      </w:r>
      <w:r w:rsidR="00CD05D9" w:rsidRPr="00AC7EA2">
        <w:rPr>
          <w:rFonts w:ascii="Times New Roman" w:hAnsi="Times New Roman"/>
        </w:rPr>
        <w:t>;</w:t>
      </w:r>
      <w:r w:rsidR="00AB5FB2" w:rsidRPr="00AC7EA2">
        <w:rPr>
          <w:rFonts w:ascii="Times New Roman" w:hAnsi="Times New Roman"/>
        </w:rPr>
        <w:t xml:space="preserve"> </w:t>
      </w:r>
      <w:r w:rsidR="00CD05D9" w:rsidRPr="00AC7EA2">
        <w:rPr>
          <w:rFonts w:ascii="Times New Roman" w:hAnsi="Times New Roman"/>
        </w:rPr>
        <w:t xml:space="preserve">at </w:t>
      </w:r>
      <w:r w:rsidR="00AB5FB2" w:rsidRPr="00AC7EA2">
        <w:rPr>
          <w:rFonts w:ascii="Times New Roman" w:hAnsi="Times New Roman"/>
        </w:rPr>
        <w:t xml:space="preserve">two time points (baseline and exit) for </w:t>
      </w:r>
      <w:r w:rsidR="00626522" w:rsidRPr="00AC7EA2">
        <w:rPr>
          <w:rFonts w:ascii="Times New Roman" w:hAnsi="Times New Roman"/>
        </w:rPr>
        <w:t xml:space="preserve"> services </w:t>
      </w:r>
      <w:r w:rsidR="00AB5FB2" w:rsidRPr="00AC7EA2">
        <w:rPr>
          <w:rFonts w:ascii="Times New Roman" w:hAnsi="Times New Roman"/>
        </w:rPr>
        <w:t>lasting between 2 and 29 days</w:t>
      </w:r>
      <w:r w:rsidR="00CD05D9" w:rsidRPr="00AC7EA2">
        <w:rPr>
          <w:rFonts w:ascii="Times New Roman" w:hAnsi="Times New Roman"/>
        </w:rPr>
        <w:t>;</w:t>
      </w:r>
      <w:r w:rsidR="00AB5FB2" w:rsidRPr="00AC7EA2">
        <w:rPr>
          <w:rFonts w:ascii="Times New Roman" w:hAnsi="Times New Roman"/>
        </w:rPr>
        <w:t xml:space="preserve"> and one time point (exit only) for </w:t>
      </w:r>
      <w:r w:rsidR="00626522" w:rsidRPr="00AC7EA2">
        <w:rPr>
          <w:rFonts w:ascii="Times New Roman" w:hAnsi="Times New Roman"/>
        </w:rPr>
        <w:t xml:space="preserve">services lasting a </w:t>
      </w:r>
      <w:r w:rsidR="00AB5FB2" w:rsidRPr="00AC7EA2">
        <w:rPr>
          <w:rFonts w:ascii="Times New Roman" w:hAnsi="Times New Roman"/>
        </w:rPr>
        <w:t>single day.</w:t>
      </w:r>
      <w:r w:rsidR="00FF1705" w:rsidRPr="00AC7EA2">
        <w:rPr>
          <w:rFonts w:ascii="Times New Roman" w:hAnsi="Times New Roman"/>
        </w:rPr>
        <w:t xml:space="preserve"> </w:t>
      </w:r>
      <w:r w:rsidR="00CD05D9" w:rsidRPr="00AC7EA2">
        <w:rPr>
          <w:rFonts w:ascii="Times New Roman" w:hAnsi="Times New Roman"/>
        </w:rPr>
        <w:t xml:space="preserve">The exit-only survey data collected from single-day participants will </w:t>
      </w:r>
      <w:r w:rsidR="00A72767" w:rsidRPr="00AC7EA2">
        <w:rPr>
          <w:rFonts w:ascii="Times New Roman" w:hAnsi="Times New Roman"/>
        </w:rPr>
        <w:t xml:space="preserve">provide </w:t>
      </w:r>
      <w:r w:rsidR="00CD05D9" w:rsidRPr="00AC7EA2">
        <w:rPr>
          <w:rFonts w:ascii="Times New Roman" w:hAnsi="Times New Roman"/>
        </w:rPr>
        <w:t xml:space="preserve">SAMHSA </w:t>
      </w:r>
      <w:r w:rsidR="00A72767" w:rsidRPr="00AC7EA2">
        <w:rPr>
          <w:rFonts w:ascii="Times New Roman" w:hAnsi="Times New Roman"/>
        </w:rPr>
        <w:t xml:space="preserve">with </w:t>
      </w:r>
      <w:r w:rsidR="00CD05D9" w:rsidRPr="00AC7EA2">
        <w:rPr>
          <w:rFonts w:ascii="Times New Roman" w:hAnsi="Times New Roman"/>
        </w:rPr>
        <w:t xml:space="preserve">accurate </w:t>
      </w:r>
      <w:r w:rsidR="00A72767" w:rsidRPr="00AC7EA2">
        <w:rPr>
          <w:rFonts w:ascii="Times New Roman" w:hAnsi="Times New Roman"/>
        </w:rPr>
        <w:t>data on people served and their sociodemographic characteristics</w:t>
      </w:r>
      <w:r w:rsidR="00CD05D9" w:rsidRPr="00AC7EA2">
        <w:rPr>
          <w:rFonts w:ascii="Times New Roman" w:hAnsi="Times New Roman"/>
        </w:rPr>
        <w:t xml:space="preserve"> and will also be used to investigate whether the brief intervention </w:t>
      </w:r>
      <w:r w:rsidR="00A72767" w:rsidRPr="00AC7EA2">
        <w:rPr>
          <w:rFonts w:ascii="Times New Roman" w:hAnsi="Times New Roman"/>
        </w:rPr>
        <w:t>made a significant impact on</w:t>
      </w:r>
      <w:r w:rsidR="00CD05D9" w:rsidRPr="00AC7EA2">
        <w:rPr>
          <w:rFonts w:ascii="Times New Roman" w:hAnsi="Times New Roman"/>
        </w:rPr>
        <w:t xml:space="preserve"> knowledge and/or attitudes, using an innovative analytic technique </w:t>
      </w:r>
      <w:r w:rsidR="00A72767" w:rsidRPr="00AC7EA2">
        <w:rPr>
          <w:rFonts w:ascii="Times New Roman" w:hAnsi="Times New Roman"/>
        </w:rPr>
        <w:t>described</w:t>
      </w:r>
      <w:r w:rsidR="00CD05D9" w:rsidRPr="00AC7EA2">
        <w:rPr>
          <w:rFonts w:ascii="Times New Roman" w:hAnsi="Times New Roman"/>
        </w:rPr>
        <w:t xml:space="preserve"> in further detail in Section</w:t>
      </w:r>
      <w:r w:rsidR="00A72767" w:rsidRPr="00AC7EA2">
        <w:rPr>
          <w:rFonts w:ascii="Times New Roman" w:hAnsi="Times New Roman"/>
        </w:rPr>
        <w:t xml:space="preserve"> A.16 below.</w:t>
      </w:r>
      <w:r w:rsidR="00CD05D9" w:rsidRPr="00AC7EA2">
        <w:rPr>
          <w:rFonts w:ascii="Times New Roman" w:hAnsi="Times New Roman"/>
        </w:rPr>
        <w:t xml:space="preserve"> </w:t>
      </w:r>
    </w:p>
    <w:p w:rsidR="00A72767" w:rsidRPr="00AC7EA2" w:rsidRDefault="00A7276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D74F5" w:rsidRPr="00AC7EA2" w:rsidRDefault="00FF170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Fail</w:t>
      </w:r>
      <w:r w:rsidR="00F13C3C" w:rsidRPr="00AC7EA2">
        <w:rPr>
          <w:rFonts w:ascii="Times New Roman" w:hAnsi="Times New Roman"/>
        </w:rPr>
        <w:t>ure</w:t>
      </w:r>
      <w:r w:rsidRPr="00AC7EA2">
        <w:rPr>
          <w:rFonts w:ascii="Times New Roman" w:hAnsi="Times New Roman"/>
        </w:rPr>
        <w:t xml:space="preserve"> to collect the information from all participants </w:t>
      </w:r>
      <w:r w:rsidR="00EE2ACE" w:rsidRPr="00AC7EA2">
        <w:rPr>
          <w:rFonts w:ascii="Times New Roman" w:hAnsi="Times New Roman"/>
        </w:rPr>
        <w:t xml:space="preserve">at </w:t>
      </w:r>
      <w:r w:rsidR="00F13C3C" w:rsidRPr="00AC7EA2">
        <w:rPr>
          <w:rFonts w:ascii="Times New Roman" w:hAnsi="Times New Roman"/>
        </w:rPr>
        <w:t xml:space="preserve">all </w:t>
      </w:r>
      <w:r w:rsidR="00626522" w:rsidRPr="00AC7EA2">
        <w:rPr>
          <w:rFonts w:ascii="Times New Roman" w:hAnsi="Times New Roman"/>
        </w:rPr>
        <w:t xml:space="preserve">indicated time </w:t>
      </w:r>
      <w:r w:rsidR="00EE2ACE" w:rsidRPr="00AC7EA2">
        <w:rPr>
          <w:rFonts w:ascii="Times New Roman" w:hAnsi="Times New Roman"/>
        </w:rPr>
        <w:t xml:space="preserve">points in time </w:t>
      </w:r>
      <w:r w:rsidRPr="00AC7EA2">
        <w:rPr>
          <w:rFonts w:ascii="Times New Roman" w:hAnsi="Times New Roman"/>
        </w:rPr>
        <w:t>will result in missed</w:t>
      </w:r>
      <w:r w:rsidR="003F78F4" w:rsidRPr="00AC7EA2">
        <w:rPr>
          <w:rFonts w:ascii="Times New Roman" w:hAnsi="Times New Roman"/>
        </w:rPr>
        <w:t xml:space="preserve"> </w:t>
      </w:r>
      <w:r w:rsidR="00DE3C03" w:rsidRPr="00AC7EA2">
        <w:rPr>
          <w:rFonts w:ascii="Times New Roman" w:hAnsi="Times New Roman"/>
        </w:rPr>
        <w:t xml:space="preserve">opportunities </w:t>
      </w:r>
      <w:r w:rsidR="00626522" w:rsidRPr="00AC7EA2">
        <w:rPr>
          <w:rFonts w:ascii="Times New Roman" w:hAnsi="Times New Roman"/>
        </w:rPr>
        <w:t xml:space="preserve">to fully assess the impact of implemented programs in reducing risk, enhancing protection, and preventing problem behaviors associated with SA and HIV/HCV transmission. For example, baseline and exit data are minimal requirements for assessing program effects on participants. </w:t>
      </w:r>
      <w:r w:rsidR="00F13C3C" w:rsidRPr="00AC7EA2">
        <w:rPr>
          <w:rFonts w:ascii="Times New Roman" w:hAnsi="Times New Roman"/>
        </w:rPr>
        <w:t xml:space="preserve">Data collected at all three points in time </w:t>
      </w:r>
      <w:r w:rsidR="00B86D0D" w:rsidRPr="00AC7EA2">
        <w:rPr>
          <w:rFonts w:ascii="Times New Roman" w:hAnsi="Times New Roman"/>
        </w:rPr>
        <w:t xml:space="preserve">are </w:t>
      </w:r>
      <w:r w:rsidR="00F13C3C" w:rsidRPr="00AC7EA2">
        <w:rPr>
          <w:rFonts w:ascii="Times New Roman" w:hAnsi="Times New Roman"/>
        </w:rPr>
        <w:t xml:space="preserve">essential, as </w:t>
      </w:r>
      <w:r w:rsidR="00B86D0D" w:rsidRPr="00AC7EA2">
        <w:rPr>
          <w:rFonts w:ascii="Times New Roman" w:hAnsi="Times New Roman"/>
        </w:rPr>
        <w:t xml:space="preserve">they </w:t>
      </w:r>
      <w:r w:rsidR="001A1ECA" w:rsidRPr="00AC7EA2">
        <w:rPr>
          <w:rFonts w:ascii="Times New Roman" w:hAnsi="Times New Roman"/>
        </w:rPr>
        <w:t xml:space="preserve">will </w:t>
      </w:r>
      <w:r w:rsidR="00B86D0D" w:rsidRPr="00AC7EA2">
        <w:rPr>
          <w:rFonts w:ascii="Times New Roman" w:hAnsi="Times New Roman"/>
        </w:rPr>
        <w:t>enable an assessment of the</w:t>
      </w:r>
      <w:r w:rsidR="001A1ECA" w:rsidRPr="00AC7EA2">
        <w:rPr>
          <w:rFonts w:ascii="Times New Roman" w:hAnsi="Times New Roman"/>
        </w:rPr>
        <w:t xml:space="preserve"> sustainab</w:t>
      </w:r>
      <w:r w:rsidR="00B86D0D" w:rsidRPr="00AC7EA2">
        <w:rPr>
          <w:rFonts w:ascii="Times New Roman" w:hAnsi="Times New Roman"/>
        </w:rPr>
        <w:t>ility of</w:t>
      </w:r>
      <w:r w:rsidR="001A1ECA" w:rsidRPr="00AC7EA2">
        <w:rPr>
          <w:rFonts w:ascii="Times New Roman" w:hAnsi="Times New Roman"/>
        </w:rPr>
        <w:t xml:space="preserve"> results after the program has ended</w:t>
      </w:r>
      <w:r w:rsidR="00F13C3C" w:rsidRPr="00AC7EA2">
        <w:rPr>
          <w:rFonts w:ascii="Times New Roman" w:hAnsi="Times New Roman"/>
        </w:rPr>
        <w:t>,</w:t>
      </w:r>
      <w:r w:rsidR="001A1ECA" w:rsidRPr="00AC7EA2">
        <w:rPr>
          <w:rFonts w:ascii="Times New Roman" w:hAnsi="Times New Roman"/>
        </w:rPr>
        <w:t xml:space="preserve"> and if </w:t>
      </w:r>
      <w:r w:rsidR="00CD05D9" w:rsidRPr="00AC7EA2">
        <w:rPr>
          <w:rFonts w:ascii="Times New Roman" w:hAnsi="Times New Roman"/>
        </w:rPr>
        <w:t>sustainable</w:t>
      </w:r>
      <w:r w:rsidR="001A1ECA" w:rsidRPr="00AC7EA2">
        <w:rPr>
          <w:rFonts w:ascii="Times New Roman" w:hAnsi="Times New Roman"/>
        </w:rPr>
        <w:t>, for which types of interventions and populations.</w:t>
      </w:r>
      <w:r w:rsidR="00B86D0D" w:rsidRPr="00AC7EA2">
        <w:rPr>
          <w:rFonts w:ascii="Times New Roman" w:hAnsi="Times New Roman"/>
        </w:rPr>
        <w:t xml:space="preserve"> </w:t>
      </w:r>
      <w:r w:rsidR="00AD74F5" w:rsidRPr="00AC7EA2">
        <w:rPr>
          <w:rFonts w:ascii="Times New Roman" w:hAnsi="Times New Roman"/>
        </w:rPr>
        <w:t xml:space="preserve">SAMHSA has taken into consideration the challenges that grantees encounter in tracking participants after the termination of their services, especially given the higher than average proportions of homeless and reentry populations served by the </w:t>
      </w:r>
      <w:r w:rsidR="00511A37" w:rsidRPr="00AC7EA2">
        <w:rPr>
          <w:rFonts w:ascii="Times New Roman" w:hAnsi="Times New Roman"/>
        </w:rPr>
        <w:t xml:space="preserve">funded </w:t>
      </w:r>
      <w:r w:rsidR="00AD74F5" w:rsidRPr="00AC7EA2">
        <w:rPr>
          <w:rFonts w:ascii="Times New Roman" w:hAnsi="Times New Roman"/>
        </w:rPr>
        <w:t>programs. The follow-up data collection requirement has therefore been limited to a subgroup of the participants, in order to r</w:t>
      </w:r>
      <w:r w:rsidR="00511A37" w:rsidRPr="00AC7EA2">
        <w:rPr>
          <w:rFonts w:ascii="Times New Roman" w:hAnsi="Times New Roman"/>
        </w:rPr>
        <w:t xml:space="preserve">educe </w:t>
      </w:r>
      <w:r w:rsidR="00AD74F5" w:rsidRPr="00AC7EA2">
        <w:rPr>
          <w:rFonts w:ascii="Times New Roman" w:hAnsi="Times New Roman"/>
        </w:rPr>
        <w:t xml:space="preserve">grantees </w:t>
      </w:r>
      <w:r w:rsidR="00511A37" w:rsidRPr="00AC7EA2">
        <w:rPr>
          <w:rFonts w:ascii="Times New Roman" w:hAnsi="Times New Roman"/>
        </w:rPr>
        <w:t>burden.</w:t>
      </w:r>
    </w:p>
    <w:p w:rsidR="00511A37" w:rsidRPr="00AC7EA2" w:rsidRDefault="00511A3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511A37" w:rsidRPr="00AC7EA2" w:rsidRDefault="00511A3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requirement to collect census data rather than sampling the participants is a response to the methodological needs of the cross-site evaluation. Since all participants do not enter the programs at the same time, but rather, start and end services in staggered fashion, it is not possible to draw up a complete sampling frame that will allow a random sample to be drawn. A sampling strategy that takes into account all selectivity factors would have to be customized at the level of the grant site, since a generic sampling design may not account for all site-specific patterns of </w:t>
      </w:r>
      <w:r w:rsidR="008D2C2C" w:rsidRPr="00AC7EA2">
        <w:rPr>
          <w:rFonts w:ascii="Times New Roman" w:hAnsi="Times New Roman"/>
        </w:rPr>
        <w:t xml:space="preserve">outreach and intake. Having the grantees’ evaluators design a sampling strategy for their specific sites raises issues of comparability across sites. Additionally, the wide variability in the characteristics of grant sites, coupled with the nesting of participants within sites, </w:t>
      </w:r>
      <w:r w:rsidR="00CB4CA7" w:rsidRPr="00AC7EA2">
        <w:rPr>
          <w:rFonts w:ascii="Times New Roman" w:hAnsi="Times New Roman"/>
        </w:rPr>
        <w:t>calls for</w:t>
      </w:r>
      <w:r w:rsidR="008D2C2C" w:rsidRPr="00AC7EA2">
        <w:rPr>
          <w:rFonts w:ascii="Times New Roman" w:hAnsi="Times New Roman"/>
        </w:rPr>
        <w:t xml:space="preserve"> </w:t>
      </w:r>
      <w:r w:rsidR="00CB4CA7" w:rsidRPr="00AC7EA2">
        <w:rPr>
          <w:rFonts w:ascii="Times New Roman" w:hAnsi="Times New Roman"/>
        </w:rPr>
        <w:t xml:space="preserve">a </w:t>
      </w:r>
      <w:r w:rsidR="008D2C2C" w:rsidRPr="00AC7EA2">
        <w:rPr>
          <w:rFonts w:ascii="Times New Roman" w:hAnsi="Times New Roman"/>
        </w:rPr>
        <w:t>multilevel analytic approach that requires sufficient power with</w:t>
      </w:r>
      <w:r w:rsidR="00CB4CA7" w:rsidRPr="00AC7EA2">
        <w:rPr>
          <w:rFonts w:ascii="Times New Roman" w:hAnsi="Times New Roman"/>
        </w:rPr>
        <w:t>in</w:t>
      </w:r>
      <w:r w:rsidR="008D2C2C" w:rsidRPr="00AC7EA2">
        <w:rPr>
          <w:rFonts w:ascii="Times New Roman" w:hAnsi="Times New Roman"/>
        </w:rPr>
        <w:t xml:space="preserve"> as well as across grant sites. SAMHSA’s emphasis on reducing health disparities </w:t>
      </w:r>
      <w:r w:rsidR="00CB4CA7" w:rsidRPr="00AC7EA2">
        <w:rPr>
          <w:rFonts w:ascii="Times New Roman" w:hAnsi="Times New Roman"/>
        </w:rPr>
        <w:t>requires</w:t>
      </w:r>
      <w:r w:rsidR="008D2C2C" w:rsidRPr="00AC7EA2">
        <w:rPr>
          <w:rFonts w:ascii="Times New Roman" w:hAnsi="Times New Roman"/>
        </w:rPr>
        <w:t xml:space="preserve"> dependable </w:t>
      </w:r>
      <w:r w:rsidR="00CB4CA7" w:rsidRPr="00AC7EA2">
        <w:rPr>
          <w:rFonts w:ascii="Times New Roman" w:hAnsi="Times New Roman"/>
        </w:rPr>
        <w:t>evaluation results on</w:t>
      </w:r>
      <w:r w:rsidR="008D2C2C" w:rsidRPr="00AC7EA2">
        <w:rPr>
          <w:rFonts w:ascii="Times New Roman" w:hAnsi="Times New Roman"/>
        </w:rPr>
        <w:t xml:space="preserve"> the outcomes of </w:t>
      </w:r>
      <w:r w:rsidR="00CB4CA7" w:rsidRPr="00AC7EA2">
        <w:rPr>
          <w:rFonts w:ascii="Times New Roman" w:hAnsi="Times New Roman"/>
        </w:rPr>
        <w:t xml:space="preserve">vulnerable </w:t>
      </w:r>
      <w:r w:rsidR="008D2C2C" w:rsidRPr="00AC7EA2">
        <w:rPr>
          <w:rFonts w:ascii="Times New Roman" w:hAnsi="Times New Roman"/>
        </w:rPr>
        <w:t>demographic and socioeconomic subgroups, further increasing the need for analytic power. These considerations necessitate a census, rather than a sample strategy</w:t>
      </w:r>
      <w:r w:rsidR="00CB4CA7" w:rsidRPr="00AC7EA2">
        <w:rPr>
          <w:rFonts w:ascii="Times New Roman" w:hAnsi="Times New Roman"/>
        </w:rPr>
        <w:t xml:space="preserve"> for data collection</w:t>
      </w:r>
      <w:r w:rsidR="008D2C2C" w:rsidRPr="00AC7EA2">
        <w:rPr>
          <w:rFonts w:ascii="Times New Roman" w:hAnsi="Times New Roman"/>
        </w:rPr>
        <w:t xml:space="preserve">.   </w:t>
      </w:r>
    </w:p>
    <w:p w:rsidR="00AD74F5" w:rsidRPr="00AC7EA2" w:rsidRDefault="00AD74F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66350" w:rsidRPr="00AC7EA2" w:rsidRDefault="00B86D0D"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Effective grant management and monitoring, continuous quality improvement of implemented prevention strategies, and future planning for prevention programs that address the behavioral health needs of at-risk minority populations all depend on the availability of dependable evaluation results.</w:t>
      </w:r>
    </w:p>
    <w:p w:rsidR="00F66350" w:rsidRPr="00AC7EA2" w:rsidRDefault="00F6635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EE2ACE" w:rsidRPr="00AC7EA2" w:rsidRDefault="00F6635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Individual Dosage Form will be completed by the provider </w:t>
      </w:r>
      <w:r w:rsidR="00AD74F5" w:rsidRPr="00AC7EA2">
        <w:rPr>
          <w:rFonts w:ascii="Times New Roman" w:hAnsi="Times New Roman"/>
        </w:rPr>
        <w:t xml:space="preserve">for </w:t>
      </w:r>
      <w:r w:rsidRPr="00AC7EA2">
        <w:rPr>
          <w:rFonts w:ascii="Times New Roman" w:hAnsi="Times New Roman"/>
        </w:rPr>
        <w:t xml:space="preserve">every one-on-one service encounter with each participant. Group Dosage Forms will be completed </w:t>
      </w:r>
      <w:r w:rsidR="00AD74F5" w:rsidRPr="00AC7EA2">
        <w:rPr>
          <w:rFonts w:ascii="Times New Roman" w:hAnsi="Times New Roman"/>
        </w:rPr>
        <w:t xml:space="preserve">for </w:t>
      </w:r>
      <w:r w:rsidRPr="00AC7EA2">
        <w:rPr>
          <w:rFonts w:ascii="Times New Roman" w:hAnsi="Times New Roman"/>
        </w:rPr>
        <w:t xml:space="preserve">every group session, and will list the unique identification numbers of all participants attending the session. The forms provide information about the types of service provided during the encounter and numbers of minutes of service duration for each type. This information will be linked to the participants’ survey records and will allow the cross-site team to analyze participant-level outcomes given types and dosage of services received. The results will provide information to policy makers, practitioners, and prevention researches about </w:t>
      </w:r>
      <w:r w:rsidR="00530B39" w:rsidRPr="00AC7EA2">
        <w:rPr>
          <w:rFonts w:ascii="Times New Roman" w:hAnsi="Times New Roman"/>
        </w:rPr>
        <w:t>the types of services that provide the best results for specific population groups.</w:t>
      </w:r>
      <w:r w:rsidRPr="00AC7EA2">
        <w:rPr>
          <w:rFonts w:ascii="Times New Roman" w:hAnsi="Times New Roman"/>
        </w:rPr>
        <w:t xml:space="preserve">  </w:t>
      </w:r>
      <w:r w:rsidR="00B86D0D" w:rsidRPr="00AC7EA2">
        <w:rPr>
          <w:rFonts w:ascii="Times New Roman" w:hAnsi="Times New Roman"/>
        </w:rPr>
        <w:t xml:space="preserve">  </w:t>
      </w:r>
    </w:p>
    <w:p w:rsidR="00EE2ACE" w:rsidRPr="00AC7EA2" w:rsidRDefault="00EE2ACE"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F1705" w:rsidRPr="00AC7EA2" w:rsidRDefault="00FF1705"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Without this information</w:t>
      </w:r>
      <w:r w:rsidR="00A72767" w:rsidRPr="00AC7EA2">
        <w:rPr>
          <w:rFonts w:ascii="Times New Roman" w:hAnsi="Times New Roman"/>
        </w:rPr>
        <w:t>, SAMHSA will not be able to</w:t>
      </w:r>
      <w:r w:rsidRPr="00AC7EA2">
        <w:rPr>
          <w:rFonts w:ascii="Times New Roman" w:hAnsi="Times New Roman"/>
        </w:rPr>
        <w:t>:</w:t>
      </w:r>
    </w:p>
    <w:p w:rsidR="00FF1705" w:rsidRPr="00AC7EA2" w:rsidRDefault="00FF1705" w:rsidP="005F2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rFonts w:ascii="Times New Roman" w:hAnsi="Times New Roman"/>
          <w:color w:val="000000"/>
        </w:rPr>
      </w:pPr>
    </w:p>
    <w:p w:rsidR="00FF1705" w:rsidRPr="00AC7EA2" w:rsidRDefault="00A72767" w:rsidP="005F2016">
      <w:pPr>
        <w:numPr>
          <w:ilvl w:val="0"/>
          <w:numId w:val="11"/>
        </w:numPr>
        <w:rPr>
          <w:rFonts w:ascii="Times New Roman" w:hAnsi="Times New Roman"/>
        </w:rPr>
      </w:pPr>
      <w:r w:rsidRPr="00AC7EA2">
        <w:rPr>
          <w:rFonts w:ascii="Times New Roman" w:hAnsi="Times New Roman"/>
        </w:rPr>
        <w:t>D</w:t>
      </w:r>
      <w:r w:rsidR="00FF1705" w:rsidRPr="00AC7EA2">
        <w:rPr>
          <w:rFonts w:ascii="Times New Roman" w:hAnsi="Times New Roman"/>
        </w:rPr>
        <w:t xml:space="preserve">etermine the extent to which it </w:t>
      </w:r>
      <w:r w:rsidR="00322B45" w:rsidRPr="00AC7EA2">
        <w:rPr>
          <w:rFonts w:ascii="Times New Roman" w:hAnsi="Times New Roman"/>
        </w:rPr>
        <w:t>can prevent, reduce</w:t>
      </w:r>
      <w:r w:rsidR="00F13C3C" w:rsidRPr="00AC7EA2">
        <w:rPr>
          <w:rFonts w:ascii="Times New Roman" w:hAnsi="Times New Roman"/>
        </w:rPr>
        <w:t>,</w:t>
      </w:r>
      <w:r w:rsidR="00322B45" w:rsidRPr="00AC7EA2">
        <w:rPr>
          <w:rFonts w:ascii="Times New Roman" w:hAnsi="Times New Roman"/>
        </w:rPr>
        <w:t xml:space="preserve"> </w:t>
      </w:r>
      <w:r w:rsidR="008C1B61" w:rsidRPr="00AC7EA2">
        <w:rPr>
          <w:rFonts w:ascii="Times New Roman" w:hAnsi="Times New Roman"/>
        </w:rPr>
        <w:t>and/</w:t>
      </w:r>
      <w:r w:rsidR="00322B45" w:rsidRPr="00AC7EA2">
        <w:rPr>
          <w:rFonts w:ascii="Times New Roman" w:hAnsi="Times New Roman"/>
        </w:rPr>
        <w:t xml:space="preserve">or delay </w:t>
      </w:r>
      <w:r w:rsidR="00DE3C03" w:rsidRPr="00AC7EA2">
        <w:rPr>
          <w:rFonts w:ascii="Times New Roman" w:hAnsi="Times New Roman"/>
        </w:rPr>
        <w:t>s</w:t>
      </w:r>
      <w:r w:rsidR="00322B45" w:rsidRPr="00AC7EA2">
        <w:rPr>
          <w:rFonts w:ascii="Times New Roman" w:hAnsi="Times New Roman"/>
        </w:rPr>
        <w:t>ubstance abuse and</w:t>
      </w:r>
      <w:r w:rsidR="00BE35AD" w:rsidRPr="00AC7EA2">
        <w:rPr>
          <w:rFonts w:ascii="Times New Roman" w:hAnsi="Times New Roman"/>
        </w:rPr>
        <w:t>,</w:t>
      </w:r>
      <w:r w:rsidR="00322B45" w:rsidRPr="00AC7EA2">
        <w:rPr>
          <w:rFonts w:ascii="Times New Roman" w:hAnsi="Times New Roman"/>
        </w:rPr>
        <w:t xml:space="preserve"> in t</w:t>
      </w:r>
      <w:r w:rsidR="00DE3C03" w:rsidRPr="00AC7EA2">
        <w:rPr>
          <w:rFonts w:ascii="Times New Roman" w:hAnsi="Times New Roman"/>
        </w:rPr>
        <w:t>u</w:t>
      </w:r>
      <w:r w:rsidR="00322B45" w:rsidRPr="00AC7EA2">
        <w:rPr>
          <w:rFonts w:ascii="Times New Roman" w:hAnsi="Times New Roman"/>
        </w:rPr>
        <w:t>rn</w:t>
      </w:r>
      <w:r w:rsidR="00BE35AD" w:rsidRPr="00AC7EA2">
        <w:rPr>
          <w:rFonts w:ascii="Times New Roman" w:hAnsi="Times New Roman"/>
        </w:rPr>
        <w:t>,</w:t>
      </w:r>
      <w:r w:rsidR="00322B45" w:rsidRPr="00AC7EA2">
        <w:rPr>
          <w:rFonts w:ascii="Times New Roman" w:hAnsi="Times New Roman"/>
        </w:rPr>
        <w:t xml:space="preserve"> reduce other risky behaviors that can lead to HIV/AIDS </w:t>
      </w:r>
      <w:r w:rsidR="008C1B61" w:rsidRPr="00AC7EA2">
        <w:rPr>
          <w:rFonts w:ascii="Times New Roman" w:hAnsi="Times New Roman"/>
        </w:rPr>
        <w:t>infection</w:t>
      </w:r>
      <w:r w:rsidR="006B120D" w:rsidRPr="00AC7EA2">
        <w:rPr>
          <w:rFonts w:ascii="Times New Roman" w:hAnsi="Times New Roman"/>
        </w:rPr>
        <w:t xml:space="preserve"> among</w:t>
      </w:r>
      <w:r w:rsidR="00FF1705" w:rsidRPr="00AC7EA2">
        <w:rPr>
          <w:rFonts w:ascii="Times New Roman" w:hAnsi="Times New Roman"/>
        </w:rPr>
        <w:t xml:space="preserve"> minority </w:t>
      </w:r>
      <w:r w:rsidR="00322B45" w:rsidRPr="00AC7EA2">
        <w:rPr>
          <w:rFonts w:ascii="Times New Roman" w:hAnsi="Times New Roman"/>
        </w:rPr>
        <w:t>populatio</w:t>
      </w:r>
      <w:r w:rsidR="00DE3C03" w:rsidRPr="00AC7EA2">
        <w:rPr>
          <w:rFonts w:ascii="Times New Roman" w:hAnsi="Times New Roman"/>
        </w:rPr>
        <w:t>n</w:t>
      </w:r>
      <w:r w:rsidR="008C1B61" w:rsidRPr="00AC7EA2">
        <w:rPr>
          <w:rFonts w:ascii="Times New Roman" w:hAnsi="Times New Roman"/>
        </w:rPr>
        <w:t>s</w:t>
      </w:r>
      <w:r w:rsidRPr="00AC7EA2">
        <w:rPr>
          <w:rFonts w:ascii="Times New Roman" w:hAnsi="Times New Roman"/>
        </w:rPr>
        <w:t>;</w:t>
      </w:r>
    </w:p>
    <w:p w:rsidR="00FF1705" w:rsidRPr="00AC7EA2" w:rsidRDefault="00A72767" w:rsidP="005F2016">
      <w:pPr>
        <w:numPr>
          <w:ilvl w:val="0"/>
          <w:numId w:val="11"/>
        </w:numPr>
        <w:rPr>
          <w:rFonts w:ascii="Times New Roman" w:hAnsi="Times New Roman"/>
        </w:rPr>
      </w:pPr>
      <w:r w:rsidRPr="00AC7EA2">
        <w:rPr>
          <w:rFonts w:ascii="Times New Roman" w:hAnsi="Times New Roman"/>
        </w:rPr>
        <w:t>M</w:t>
      </w:r>
      <w:r w:rsidR="00FF1705" w:rsidRPr="00AC7EA2">
        <w:rPr>
          <w:rFonts w:ascii="Times New Roman" w:hAnsi="Times New Roman"/>
        </w:rPr>
        <w:t xml:space="preserve">onitor the quality of its </w:t>
      </w:r>
      <w:r w:rsidR="00322B45" w:rsidRPr="00AC7EA2">
        <w:rPr>
          <w:rFonts w:ascii="Times New Roman" w:hAnsi="Times New Roman"/>
        </w:rPr>
        <w:t>preve</w:t>
      </w:r>
      <w:r w:rsidR="00DE3C03" w:rsidRPr="00AC7EA2">
        <w:rPr>
          <w:rFonts w:ascii="Times New Roman" w:hAnsi="Times New Roman"/>
        </w:rPr>
        <w:t>ntion</w:t>
      </w:r>
      <w:r w:rsidR="00FF1705" w:rsidRPr="00AC7EA2">
        <w:rPr>
          <w:rFonts w:ascii="Times New Roman" w:hAnsi="Times New Roman"/>
        </w:rPr>
        <w:t xml:space="preserve"> program</w:t>
      </w:r>
      <w:r w:rsidR="00322B45" w:rsidRPr="00AC7EA2">
        <w:rPr>
          <w:rFonts w:ascii="Times New Roman" w:hAnsi="Times New Roman"/>
        </w:rPr>
        <w:t>s</w:t>
      </w:r>
      <w:r w:rsidR="00FF1705" w:rsidRPr="00AC7EA2">
        <w:rPr>
          <w:rFonts w:ascii="Times New Roman" w:hAnsi="Times New Roman"/>
        </w:rPr>
        <w:t xml:space="preserve"> and determine how </w:t>
      </w:r>
      <w:r w:rsidR="00322B45" w:rsidRPr="00AC7EA2">
        <w:rPr>
          <w:rFonts w:ascii="Times New Roman" w:hAnsi="Times New Roman"/>
        </w:rPr>
        <w:t>they</w:t>
      </w:r>
      <w:r w:rsidR="00FF1705" w:rsidRPr="00AC7EA2">
        <w:rPr>
          <w:rFonts w:ascii="Times New Roman" w:hAnsi="Times New Roman"/>
        </w:rPr>
        <w:t xml:space="preserve"> can be improved to ensure continued success at meeting the needs of </w:t>
      </w:r>
      <w:r w:rsidR="006B120D" w:rsidRPr="00AC7EA2">
        <w:rPr>
          <w:rFonts w:ascii="Times New Roman" w:hAnsi="Times New Roman"/>
        </w:rPr>
        <w:t>minority populations</w:t>
      </w:r>
      <w:r w:rsidR="00FF1705" w:rsidRPr="00AC7EA2">
        <w:rPr>
          <w:rFonts w:ascii="Times New Roman" w:hAnsi="Times New Roman"/>
        </w:rPr>
        <w:t xml:space="preserve"> </w:t>
      </w:r>
      <w:r w:rsidR="00322B45" w:rsidRPr="00AC7EA2">
        <w:rPr>
          <w:rFonts w:ascii="Times New Roman" w:hAnsi="Times New Roman"/>
        </w:rPr>
        <w:t>at risk for</w:t>
      </w:r>
      <w:r w:rsidR="00FF1705" w:rsidRPr="00AC7EA2">
        <w:rPr>
          <w:rFonts w:ascii="Times New Roman" w:hAnsi="Times New Roman"/>
        </w:rPr>
        <w:t xml:space="preserve"> HIV</w:t>
      </w:r>
      <w:r w:rsidR="008C1B61" w:rsidRPr="00AC7EA2">
        <w:rPr>
          <w:rFonts w:ascii="Times New Roman" w:hAnsi="Times New Roman"/>
        </w:rPr>
        <w:t>/</w:t>
      </w:r>
      <w:r w:rsidR="00FF1705" w:rsidRPr="00AC7EA2">
        <w:rPr>
          <w:rFonts w:ascii="Times New Roman" w:hAnsi="Times New Roman"/>
        </w:rPr>
        <w:t>AIDS</w:t>
      </w:r>
      <w:r w:rsidRPr="00AC7EA2">
        <w:rPr>
          <w:rFonts w:ascii="Times New Roman" w:hAnsi="Times New Roman"/>
        </w:rPr>
        <w:t>;</w:t>
      </w:r>
    </w:p>
    <w:p w:rsidR="00FF1705" w:rsidRPr="00AC7EA2" w:rsidRDefault="00A72767" w:rsidP="005F2016">
      <w:pPr>
        <w:numPr>
          <w:ilvl w:val="0"/>
          <w:numId w:val="11"/>
        </w:numPr>
        <w:rPr>
          <w:rFonts w:ascii="Times New Roman" w:hAnsi="Times New Roman"/>
        </w:rPr>
      </w:pPr>
      <w:r w:rsidRPr="00AC7EA2">
        <w:rPr>
          <w:rFonts w:ascii="Times New Roman" w:hAnsi="Times New Roman"/>
        </w:rPr>
        <w:t>D</w:t>
      </w:r>
      <w:r w:rsidR="006B120D" w:rsidRPr="00AC7EA2">
        <w:rPr>
          <w:rFonts w:ascii="Times New Roman" w:hAnsi="Times New Roman"/>
        </w:rPr>
        <w:t xml:space="preserve">escribe </w:t>
      </w:r>
      <w:r w:rsidR="00FF13F3" w:rsidRPr="00AC7EA2">
        <w:rPr>
          <w:rFonts w:ascii="Times New Roman" w:hAnsi="Times New Roman"/>
        </w:rPr>
        <w:t xml:space="preserve">fully </w:t>
      </w:r>
      <w:r w:rsidR="006B120D" w:rsidRPr="00AC7EA2">
        <w:rPr>
          <w:rFonts w:ascii="Times New Roman" w:hAnsi="Times New Roman"/>
        </w:rPr>
        <w:t>the range of prevention services used and the efficacy of evidence-based programs</w:t>
      </w:r>
      <w:r w:rsidRPr="00AC7EA2">
        <w:rPr>
          <w:rFonts w:ascii="Times New Roman" w:hAnsi="Times New Roman"/>
        </w:rPr>
        <w:t>;</w:t>
      </w:r>
    </w:p>
    <w:p w:rsidR="00FF1705" w:rsidRPr="00AC7EA2" w:rsidRDefault="00A72767" w:rsidP="005F2016">
      <w:pPr>
        <w:numPr>
          <w:ilvl w:val="0"/>
          <w:numId w:val="11"/>
        </w:numPr>
        <w:rPr>
          <w:rFonts w:ascii="Times New Roman" w:hAnsi="Times New Roman"/>
        </w:rPr>
      </w:pPr>
      <w:r w:rsidRPr="00AC7EA2">
        <w:rPr>
          <w:rFonts w:ascii="Times New Roman" w:hAnsi="Times New Roman"/>
        </w:rPr>
        <w:t>A</w:t>
      </w:r>
      <w:r w:rsidR="00FF1705" w:rsidRPr="00AC7EA2">
        <w:rPr>
          <w:rFonts w:ascii="Times New Roman" w:hAnsi="Times New Roman"/>
        </w:rPr>
        <w:t>scertain if participants are more knowledgeable about HIV/AIDS</w:t>
      </w:r>
      <w:r w:rsidR="006505B4" w:rsidRPr="00AC7EA2">
        <w:rPr>
          <w:rFonts w:ascii="Times New Roman" w:hAnsi="Times New Roman"/>
        </w:rPr>
        <w:t xml:space="preserve"> </w:t>
      </w:r>
      <w:r w:rsidR="004520ED" w:rsidRPr="00AC7EA2">
        <w:rPr>
          <w:rFonts w:ascii="Times New Roman" w:hAnsi="Times New Roman"/>
        </w:rPr>
        <w:t xml:space="preserve">and how they </w:t>
      </w:r>
      <w:r w:rsidR="006B120D" w:rsidRPr="00AC7EA2">
        <w:rPr>
          <w:rFonts w:ascii="Times New Roman" w:hAnsi="Times New Roman"/>
        </w:rPr>
        <w:t>relate</w:t>
      </w:r>
      <w:r w:rsidR="004520ED" w:rsidRPr="00AC7EA2">
        <w:rPr>
          <w:rFonts w:ascii="Times New Roman" w:hAnsi="Times New Roman"/>
        </w:rPr>
        <w:t xml:space="preserve"> to SA </w:t>
      </w:r>
      <w:r w:rsidR="00FF1705" w:rsidRPr="00AC7EA2">
        <w:rPr>
          <w:rFonts w:ascii="Times New Roman" w:hAnsi="Times New Roman"/>
        </w:rPr>
        <w:t xml:space="preserve">as a result of </w:t>
      </w:r>
      <w:r w:rsidR="006505B4" w:rsidRPr="00AC7EA2">
        <w:rPr>
          <w:rFonts w:ascii="Times New Roman" w:hAnsi="Times New Roman"/>
        </w:rPr>
        <w:t xml:space="preserve">program </w:t>
      </w:r>
      <w:r w:rsidR="006B120D" w:rsidRPr="00AC7EA2">
        <w:rPr>
          <w:rFonts w:ascii="Times New Roman" w:hAnsi="Times New Roman"/>
        </w:rPr>
        <w:t>participation</w:t>
      </w:r>
      <w:r w:rsidRPr="00AC7EA2">
        <w:rPr>
          <w:rFonts w:ascii="Times New Roman" w:hAnsi="Times New Roman"/>
        </w:rPr>
        <w:t>;</w:t>
      </w:r>
    </w:p>
    <w:p w:rsidR="00FF1705" w:rsidRPr="00AC7EA2" w:rsidRDefault="00A72767" w:rsidP="005F2016">
      <w:pPr>
        <w:numPr>
          <w:ilvl w:val="0"/>
          <w:numId w:val="11"/>
        </w:numPr>
        <w:rPr>
          <w:rFonts w:ascii="Times New Roman" w:hAnsi="Times New Roman"/>
        </w:rPr>
      </w:pPr>
      <w:r w:rsidRPr="00AC7EA2">
        <w:rPr>
          <w:rFonts w:ascii="Times New Roman" w:hAnsi="Times New Roman"/>
        </w:rPr>
        <w:t>I</w:t>
      </w:r>
      <w:r w:rsidR="00FF1705" w:rsidRPr="00AC7EA2">
        <w:rPr>
          <w:rFonts w:ascii="Times New Roman" w:hAnsi="Times New Roman"/>
        </w:rPr>
        <w:t xml:space="preserve">dentify </w:t>
      </w:r>
      <w:r w:rsidR="00D35973" w:rsidRPr="00AC7EA2">
        <w:rPr>
          <w:rFonts w:ascii="Times New Roman" w:hAnsi="Times New Roman"/>
        </w:rPr>
        <w:t>types and durations of</w:t>
      </w:r>
      <w:r w:rsidR="006505B4" w:rsidRPr="00AC7EA2">
        <w:rPr>
          <w:rFonts w:ascii="Times New Roman" w:hAnsi="Times New Roman"/>
        </w:rPr>
        <w:t xml:space="preserve"> prev</w:t>
      </w:r>
      <w:r w:rsidR="004520ED" w:rsidRPr="00AC7EA2">
        <w:rPr>
          <w:rFonts w:ascii="Times New Roman" w:hAnsi="Times New Roman"/>
        </w:rPr>
        <w:t>en</w:t>
      </w:r>
      <w:r w:rsidR="006505B4" w:rsidRPr="00AC7EA2">
        <w:rPr>
          <w:rFonts w:ascii="Times New Roman" w:hAnsi="Times New Roman"/>
        </w:rPr>
        <w:t>tion services that are most effective and ident</w:t>
      </w:r>
      <w:r w:rsidR="004520ED" w:rsidRPr="00AC7EA2">
        <w:rPr>
          <w:rFonts w:ascii="Times New Roman" w:hAnsi="Times New Roman"/>
        </w:rPr>
        <w:t>i</w:t>
      </w:r>
      <w:r w:rsidR="006505B4" w:rsidRPr="00AC7EA2">
        <w:rPr>
          <w:rFonts w:ascii="Times New Roman" w:hAnsi="Times New Roman"/>
        </w:rPr>
        <w:t>fy</w:t>
      </w:r>
      <w:r w:rsidR="00FF1705" w:rsidRPr="00AC7EA2">
        <w:rPr>
          <w:rFonts w:ascii="Times New Roman" w:hAnsi="Times New Roman"/>
        </w:rPr>
        <w:t xml:space="preserve"> the potentially unique </w:t>
      </w:r>
      <w:r w:rsidR="006F73CA" w:rsidRPr="00AC7EA2">
        <w:rPr>
          <w:rFonts w:ascii="Times New Roman" w:hAnsi="Times New Roman"/>
        </w:rPr>
        <w:t xml:space="preserve">behavioral health </w:t>
      </w:r>
      <w:r w:rsidR="00FF1705" w:rsidRPr="00AC7EA2">
        <w:rPr>
          <w:rFonts w:ascii="Times New Roman" w:hAnsi="Times New Roman"/>
        </w:rPr>
        <w:t xml:space="preserve">needs of minority </w:t>
      </w:r>
      <w:r w:rsidR="006505B4" w:rsidRPr="00AC7EA2">
        <w:rPr>
          <w:rFonts w:ascii="Times New Roman" w:hAnsi="Times New Roman"/>
        </w:rPr>
        <w:t>po</w:t>
      </w:r>
      <w:r w:rsidR="004520ED" w:rsidRPr="00AC7EA2">
        <w:rPr>
          <w:rFonts w:ascii="Times New Roman" w:hAnsi="Times New Roman"/>
        </w:rPr>
        <w:t>p</w:t>
      </w:r>
      <w:r w:rsidR="006505B4" w:rsidRPr="00AC7EA2">
        <w:rPr>
          <w:rFonts w:ascii="Times New Roman" w:hAnsi="Times New Roman"/>
        </w:rPr>
        <w:t>ulations</w:t>
      </w:r>
      <w:r w:rsidRPr="00AC7EA2">
        <w:rPr>
          <w:rFonts w:ascii="Times New Roman" w:hAnsi="Times New Roman"/>
        </w:rPr>
        <w:t>;</w:t>
      </w:r>
      <w:r w:rsidR="00FF1705" w:rsidRPr="00AC7EA2">
        <w:rPr>
          <w:rFonts w:ascii="Times New Roman" w:hAnsi="Times New Roman"/>
        </w:rPr>
        <w:t xml:space="preserve"> </w:t>
      </w:r>
    </w:p>
    <w:p w:rsidR="00DF5F65" w:rsidRPr="00AC7EA2" w:rsidRDefault="00A72767" w:rsidP="005F2016">
      <w:pPr>
        <w:numPr>
          <w:ilvl w:val="0"/>
          <w:numId w:val="11"/>
        </w:numPr>
        <w:rPr>
          <w:rFonts w:ascii="Times New Roman" w:hAnsi="Times New Roman"/>
        </w:rPr>
      </w:pPr>
      <w:r w:rsidRPr="00AC7EA2">
        <w:rPr>
          <w:rFonts w:ascii="Times New Roman" w:hAnsi="Times New Roman"/>
        </w:rPr>
        <w:t>M</w:t>
      </w:r>
      <w:r w:rsidR="00DF5F65" w:rsidRPr="00AC7EA2">
        <w:rPr>
          <w:rFonts w:ascii="Times New Roman" w:hAnsi="Times New Roman"/>
        </w:rPr>
        <w:t xml:space="preserve">eet its </w:t>
      </w:r>
      <w:r w:rsidR="006F73CA" w:rsidRPr="00AC7EA2">
        <w:rPr>
          <w:rFonts w:ascii="Times New Roman" w:hAnsi="Times New Roman"/>
        </w:rPr>
        <w:t>f</w:t>
      </w:r>
      <w:r w:rsidR="00DF5F65" w:rsidRPr="00AC7EA2">
        <w:rPr>
          <w:rFonts w:ascii="Times New Roman" w:hAnsi="Times New Roman"/>
        </w:rPr>
        <w:t>ederal reporting requirements to DHHS, OMB</w:t>
      </w:r>
      <w:r w:rsidR="00F13C3C" w:rsidRPr="00AC7EA2">
        <w:rPr>
          <w:rFonts w:ascii="Times New Roman" w:hAnsi="Times New Roman"/>
        </w:rPr>
        <w:t>,</w:t>
      </w:r>
      <w:r w:rsidR="00DF5F65" w:rsidRPr="00AC7EA2">
        <w:rPr>
          <w:rFonts w:ascii="Times New Roman" w:hAnsi="Times New Roman"/>
        </w:rPr>
        <w:t xml:space="preserve"> and Congress.</w:t>
      </w:r>
    </w:p>
    <w:p w:rsidR="006A6ADC" w:rsidRPr="00AC7EA2" w:rsidRDefault="006A6ADC" w:rsidP="005F2016">
      <w:pPr>
        <w:tabs>
          <w:tab w:val="left" w:pos="240"/>
        </w:tabs>
        <w:ind w:left="360"/>
        <w:rPr>
          <w:rStyle w:val="annotationt"/>
          <w:rFonts w:ascii="Times New Roman" w:hAnsi="Times New Roman"/>
          <w:color w:val="000000"/>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 xml:space="preserve">A7.  Consistency </w:t>
      </w:r>
      <w:proofErr w:type="gramStart"/>
      <w:r w:rsidRPr="00AC7EA2">
        <w:rPr>
          <w:rFonts w:ascii="Times New Roman" w:hAnsi="Times New Roman"/>
          <w:i w:val="0"/>
          <w:sz w:val="24"/>
          <w:szCs w:val="24"/>
        </w:rPr>
        <w:t>With</w:t>
      </w:r>
      <w:proofErr w:type="gramEnd"/>
      <w:r w:rsidRPr="00AC7EA2">
        <w:rPr>
          <w:rFonts w:ascii="Times New Roman" w:hAnsi="Times New Roman"/>
          <w:i w:val="0"/>
          <w:sz w:val="24"/>
          <w:szCs w:val="24"/>
        </w:rPr>
        <w:t xml:space="preserve"> Guidelines in 5 </w:t>
      </w:r>
      <w:smartTag w:uri="urn:schemas-microsoft-com:office:smarttags" w:element="stockticker">
        <w:r w:rsidRPr="00AC7EA2">
          <w:rPr>
            <w:rFonts w:ascii="Times New Roman" w:hAnsi="Times New Roman"/>
            <w:i w:val="0"/>
            <w:sz w:val="24"/>
            <w:szCs w:val="24"/>
          </w:rPr>
          <w:t>CFR</w:t>
        </w:r>
      </w:smartTag>
      <w:r w:rsidRPr="00AC7EA2">
        <w:rPr>
          <w:rFonts w:ascii="Times New Roman" w:hAnsi="Times New Roman"/>
          <w:i w:val="0"/>
          <w:sz w:val="24"/>
          <w:szCs w:val="24"/>
        </w:rPr>
        <w:t xml:space="preserve"> 1320.5(d) (2)</w:t>
      </w:r>
    </w:p>
    <w:p w:rsidR="00C60403" w:rsidRPr="00AC7EA2" w:rsidRDefault="00C60403"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This information collection fully complies with 5 CFR 1320.5(d</w:t>
      </w:r>
      <w:r w:rsidR="00C427F5" w:rsidRPr="00AC7EA2">
        <w:rPr>
          <w:rFonts w:ascii="Times New Roman" w:hAnsi="Times New Roman"/>
        </w:rPr>
        <w:t>) (</w:t>
      </w:r>
      <w:r w:rsidRPr="00AC7EA2">
        <w:rPr>
          <w:rFonts w:ascii="Times New Roman" w:hAnsi="Times New Roman"/>
        </w:rPr>
        <w:t>2).</w:t>
      </w:r>
    </w:p>
    <w:p w:rsidR="001401C6" w:rsidRPr="00AC7EA2" w:rsidRDefault="001401C6" w:rsidP="005F2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color w:val="FF0000"/>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A8.  Consultation Outside the Agency</w:t>
      </w:r>
    </w:p>
    <w:p w:rsidR="002E0F33" w:rsidRPr="00AC7EA2" w:rsidRDefault="002E0F33" w:rsidP="005F2016">
      <w:pPr>
        <w:pStyle w:val="Heading3"/>
        <w:spacing w:before="120" w:line="360" w:lineRule="auto"/>
        <w:rPr>
          <w:rFonts w:ascii="Times New Roman" w:hAnsi="Times New Roman"/>
          <w:sz w:val="24"/>
          <w:szCs w:val="24"/>
        </w:rPr>
      </w:pPr>
      <w:r w:rsidRPr="00AC7EA2">
        <w:rPr>
          <w:rFonts w:ascii="Times New Roman" w:hAnsi="Times New Roman"/>
          <w:sz w:val="24"/>
          <w:szCs w:val="24"/>
        </w:rPr>
        <w:t>A8a. Federal Registry Announcement</w:t>
      </w:r>
    </w:p>
    <w:p w:rsidR="00C60403" w:rsidRPr="00AC7EA2" w:rsidRDefault="00C60403"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The notice required in 5 CFR 1320.8(d) was published in the Federal Register on</w:t>
      </w:r>
      <w:r w:rsidR="00506E18" w:rsidRPr="00AC7EA2">
        <w:rPr>
          <w:rFonts w:ascii="Times New Roman" w:hAnsi="Times New Roman"/>
        </w:rPr>
        <w:t xml:space="preserve"> </w:t>
      </w:r>
      <w:r w:rsidR="00600374" w:rsidRPr="00AC7EA2">
        <w:rPr>
          <w:rFonts w:ascii="Times New Roman" w:hAnsi="Times New Roman"/>
        </w:rPr>
        <w:t xml:space="preserve">September </w:t>
      </w:r>
      <w:r w:rsidR="007A7E55">
        <w:rPr>
          <w:rFonts w:ascii="Times New Roman" w:hAnsi="Times New Roman"/>
        </w:rPr>
        <w:t xml:space="preserve">30, </w:t>
      </w:r>
      <w:r w:rsidR="000E59CD" w:rsidRPr="00AC7EA2">
        <w:rPr>
          <w:rFonts w:ascii="Times New Roman" w:hAnsi="Times New Roman"/>
        </w:rPr>
        <w:t xml:space="preserve">2015 (80 FR </w:t>
      </w:r>
      <w:r w:rsidR="007A7E55">
        <w:rPr>
          <w:rFonts w:ascii="Times New Roman" w:hAnsi="Times New Roman"/>
        </w:rPr>
        <w:t>58742</w:t>
      </w:r>
      <w:r w:rsidR="000E59CD" w:rsidRPr="00AC7EA2">
        <w:rPr>
          <w:rFonts w:ascii="Times New Roman" w:hAnsi="Times New Roman"/>
        </w:rPr>
        <w:t>)</w:t>
      </w:r>
      <w:r w:rsidR="003D35F1" w:rsidRPr="00AC7EA2">
        <w:rPr>
          <w:rFonts w:ascii="Times New Roman" w:hAnsi="Times New Roman"/>
        </w:rPr>
        <w:t xml:space="preserve">. </w:t>
      </w:r>
    </w:p>
    <w:p w:rsidR="00C60403" w:rsidRPr="00AC7EA2" w:rsidRDefault="00C60403"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E0F33" w:rsidRPr="00AC7EA2" w:rsidRDefault="002E0F33" w:rsidP="005F2016">
      <w:pPr>
        <w:pStyle w:val="Heading3"/>
        <w:spacing w:before="120" w:line="360" w:lineRule="auto"/>
        <w:rPr>
          <w:rFonts w:ascii="Times New Roman" w:hAnsi="Times New Roman"/>
          <w:sz w:val="24"/>
          <w:szCs w:val="24"/>
        </w:rPr>
      </w:pPr>
      <w:r w:rsidRPr="00AC7EA2">
        <w:rPr>
          <w:rFonts w:ascii="Times New Roman" w:hAnsi="Times New Roman"/>
          <w:sz w:val="24"/>
          <w:szCs w:val="24"/>
        </w:rPr>
        <w:t>A8b. Consultations Outside the Agency</w:t>
      </w:r>
    </w:p>
    <w:p w:rsidR="00F97BCB" w:rsidRPr="00AC7EA2" w:rsidRDefault="00F97BC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multi-site </w:t>
      </w:r>
      <w:r w:rsidR="002A4ED2" w:rsidRPr="00AC7EA2">
        <w:rPr>
          <w:rFonts w:ascii="Times New Roman" w:hAnsi="Times New Roman"/>
        </w:rPr>
        <w:t xml:space="preserve">evaluation </w:t>
      </w:r>
      <w:r w:rsidRPr="00AC7EA2">
        <w:rPr>
          <w:rFonts w:ascii="Times New Roman" w:hAnsi="Times New Roman"/>
        </w:rPr>
        <w:t xml:space="preserve">and questionnaire design were based on initial consultation with SAMHSA experts from CMHS and CSAT, </w:t>
      </w:r>
      <w:r w:rsidR="006362C8" w:rsidRPr="00AC7EA2">
        <w:rPr>
          <w:rFonts w:ascii="Times New Roman" w:hAnsi="Times New Roman"/>
        </w:rPr>
        <w:t xml:space="preserve">and on </w:t>
      </w:r>
      <w:r w:rsidR="000C4EC8" w:rsidRPr="00AC7EA2">
        <w:rPr>
          <w:rFonts w:ascii="Times New Roman" w:hAnsi="Times New Roman"/>
        </w:rPr>
        <w:t>feedback from</w:t>
      </w:r>
      <w:r w:rsidR="007605CE" w:rsidRPr="00AC7EA2">
        <w:rPr>
          <w:rFonts w:ascii="Times New Roman" w:hAnsi="Times New Roman"/>
        </w:rPr>
        <w:t xml:space="preserve"> </w:t>
      </w:r>
      <w:r w:rsidRPr="00AC7EA2">
        <w:rPr>
          <w:rFonts w:ascii="Times New Roman" w:hAnsi="Times New Roman"/>
        </w:rPr>
        <w:t xml:space="preserve">the previous HIV </w:t>
      </w:r>
      <w:r w:rsidR="009B07C4" w:rsidRPr="00AC7EA2">
        <w:rPr>
          <w:rFonts w:ascii="Times New Roman" w:hAnsi="Times New Roman"/>
        </w:rPr>
        <w:t>c</w:t>
      </w:r>
      <w:r w:rsidRPr="00AC7EA2">
        <w:rPr>
          <w:rFonts w:ascii="Times New Roman" w:hAnsi="Times New Roman"/>
        </w:rPr>
        <w:t>ohorts</w:t>
      </w:r>
      <w:r w:rsidR="007605CE" w:rsidRPr="00AC7EA2">
        <w:rPr>
          <w:rFonts w:ascii="Times New Roman" w:hAnsi="Times New Roman"/>
        </w:rPr>
        <w:t>.</w:t>
      </w:r>
      <w:r w:rsidR="002F7FE7" w:rsidRPr="00AC7EA2">
        <w:rPr>
          <w:rFonts w:ascii="Times New Roman" w:hAnsi="Times New Roman"/>
        </w:rPr>
        <w:t xml:space="preserve"> </w:t>
      </w:r>
      <w:r w:rsidR="0019033B" w:rsidRPr="00AC7EA2">
        <w:rPr>
          <w:rFonts w:ascii="Times New Roman" w:hAnsi="Times New Roman"/>
        </w:rPr>
        <w:t>O</w:t>
      </w:r>
      <w:r w:rsidRPr="00AC7EA2">
        <w:rPr>
          <w:rFonts w:ascii="Times New Roman" w:hAnsi="Times New Roman"/>
        </w:rPr>
        <w:t>ther SAMHSA HIV program experts</w:t>
      </w:r>
      <w:r w:rsidR="006362C8" w:rsidRPr="00AC7EA2">
        <w:rPr>
          <w:rFonts w:ascii="Times New Roman" w:hAnsi="Times New Roman"/>
        </w:rPr>
        <w:t>,</w:t>
      </w:r>
      <w:r w:rsidR="0019033B" w:rsidRPr="00AC7EA2">
        <w:rPr>
          <w:rFonts w:ascii="Times New Roman" w:hAnsi="Times New Roman"/>
        </w:rPr>
        <w:t xml:space="preserve"> such as David R</w:t>
      </w:r>
      <w:r w:rsidR="009B07C4" w:rsidRPr="00AC7EA2">
        <w:rPr>
          <w:rFonts w:ascii="Times New Roman" w:hAnsi="Times New Roman"/>
        </w:rPr>
        <w:t>.</w:t>
      </w:r>
      <w:r w:rsidR="0019033B" w:rsidRPr="00AC7EA2">
        <w:rPr>
          <w:rFonts w:ascii="Times New Roman" w:hAnsi="Times New Roman"/>
        </w:rPr>
        <w:t xml:space="preserve"> Robertson of CSAT</w:t>
      </w:r>
      <w:r w:rsidR="00BE35AD" w:rsidRPr="00AC7EA2">
        <w:rPr>
          <w:rFonts w:ascii="Times New Roman" w:hAnsi="Times New Roman"/>
        </w:rPr>
        <w:t xml:space="preserve"> (</w:t>
      </w:r>
      <w:r w:rsidR="0019033B" w:rsidRPr="00AC7EA2">
        <w:rPr>
          <w:rFonts w:ascii="Times New Roman" w:hAnsi="Times New Roman"/>
        </w:rPr>
        <w:t>among others</w:t>
      </w:r>
      <w:r w:rsidR="00BE35AD" w:rsidRPr="00AC7EA2">
        <w:rPr>
          <w:rFonts w:ascii="Times New Roman" w:hAnsi="Times New Roman"/>
        </w:rPr>
        <w:t>)</w:t>
      </w:r>
      <w:r w:rsidR="006362C8" w:rsidRPr="00AC7EA2">
        <w:rPr>
          <w:rFonts w:ascii="Times New Roman" w:hAnsi="Times New Roman"/>
        </w:rPr>
        <w:t>,</w:t>
      </w:r>
      <w:r w:rsidR="0019033B" w:rsidRPr="00AC7EA2">
        <w:rPr>
          <w:rFonts w:ascii="Times New Roman" w:hAnsi="Times New Roman"/>
        </w:rPr>
        <w:t xml:space="preserve"> were consulted </w:t>
      </w:r>
      <w:r w:rsidR="00FF13F3" w:rsidRPr="00AC7EA2">
        <w:rPr>
          <w:rFonts w:ascii="Times New Roman" w:hAnsi="Times New Roman"/>
        </w:rPr>
        <w:t>on the</w:t>
      </w:r>
      <w:r w:rsidR="0019033B" w:rsidRPr="00AC7EA2">
        <w:rPr>
          <w:rFonts w:ascii="Times New Roman" w:hAnsi="Times New Roman"/>
        </w:rPr>
        <w:t xml:space="preserve"> following issues</w:t>
      </w:r>
      <w:r w:rsidRPr="00AC7EA2">
        <w:rPr>
          <w:rFonts w:ascii="Times New Roman" w:hAnsi="Times New Roman"/>
        </w:rPr>
        <w:t>:</w:t>
      </w:r>
    </w:p>
    <w:p w:rsidR="00F97BCB" w:rsidRPr="00AC7EA2" w:rsidRDefault="00F97BCB"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p>
    <w:p w:rsidR="00F97BCB" w:rsidRPr="00AC7EA2" w:rsidRDefault="00F97BCB" w:rsidP="005F2016">
      <w:pPr>
        <w:numPr>
          <w:ilvl w:val="0"/>
          <w:numId w:val="11"/>
        </w:numPr>
        <w:rPr>
          <w:rFonts w:ascii="Times New Roman" w:hAnsi="Times New Roman"/>
        </w:rPr>
      </w:pPr>
      <w:r w:rsidRPr="00AC7EA2">
        <w:rPr>
          <w:rFonts w:ascii="Times New Roman" w:hAnsi="Times New Roman"/>
        </w:rPr>
        <w:t xml:space="preserve">Draft </w:t>
      </w:r>
      <w:r w:rsidR="002A4ED2" w:rsidRPr="00AC7EA2">
        <w:rPr>
          <w:rFonts w:ascii="Times New Roman" w:hAnsi="Times New Roman"/>
        </w:rPr>
        <w:t xml:space="preserve">evaluation </w:t>
      </w:r>
      <w:r w:rsidRPr="00AC7EA2">
        <w:rPr>
          <w:rFonts w:ascii="Times New Roman" w:hAnsi="Times New Roman"/>
        </w:rPr>
        <w:t xml:space="preserve">design and </w:t>
      </w:r>
      <w:r w:rsidR="00962E70" w:rsidRPr="00AC7EA2">
        <w:rPr>
          <w:rFonts w:ascii="Times New Roman" w:hAnsi="Times New Roman"/>
        </w:rPr>
        <w:t xml:space="preserve">privacy/data security </w:t>
      </w:r>
      <w:r w:rsidRPr="00AC7EA2">
        <w:rPr>
          <w:rFonts w:ascii="Times New Roman" w:hAnsi="Times New Roman"/>
        </w:rPr>
        <w:t>procedures; plan for coordinating and collecting data; measures to be used to assess outcomes</w:t>
      </w:r>
      <w:r w:rsidR="006362C8" w:rsidRPr="00AC7EA2">
        <w:rPr>
          <w:rFonts w:ascii="Times New Roman" w:hAnsi="Times New Roman"/>
        </w:rPr>
        <w:t xml:space="preserve">; </w:t>
      </w:r>
      <w:r w:rsidRPr="00AC7EA2">
        <w:rPr>
          <w:rFonts w:ascii="Times New Roman" w:hAnsi="Times New Roman"/>
        </w:rPr>
        <w:t>and mediating factors</w:t>
      </w:r>
    </w:p>
    <w:p w:rsidR="00F97BCB" w:rsidRPr="00AC7EA2" w:rsidRDefault="00F97BCB" w:rsidP="005F2016">
      <w:pPr>
        <w:numPr>
          <w:ilvl w:val="0"/>
          <w:numId w:val="11"/>
        </w:numPr>
        <w:rPr>
          <w:rFonts w:ascii="Times New Roman" w:hAnsi="Times New Roman"/>
        </w:rPr>
      </w:pPr>
      <w:r w:rsidRPr="00AC7EA2">
        <w:rPr>
          <w:rFonts w:ascii="Times New Roman" w:hAnsi="Times New Roman"/>
        </w:rPr>
        <w:t>Suitability of proposed assessment instruments</w:t>
      </w:r>
    </w:p>
    <w:p w:rsidR="00F97BCB" w:rsidRPr="00AC7EA2" w:rsidRDefault="00F97BCB" w:rsidP="005F2016">
      <w:pPr>
        <w:numPr>
          <w:ilvl w:val="0"/>
          <w:numId w:val="11"/>
        </w:numPr>
        <w:rPr>
          <w:rFonts w:ascii="Times New Roman" w:hAnsi="Times New Roman"/>
        </w:rPr>
      </w:pPr>
      <w:r w:rsidRPr="00AC7EA2">
        <w:rPr>
          <w:rFonts w:ascii="Times New Roman" w:hAnsi="Times New Roman"/>
        </w:rPr>
        <w:t xml:space="preserve">Materials and nuances of prevention programs that may be relevant to finalizing the methods to be used in conducting the cross-site </w:t>
      </w:r>
      <w:r w:rsidR="00886C51" w:rsidRPr="00AC7EA2">
        <w:rPr>
          <w:rFonts w:ascii="Times New Roman" w:hAnsi="Times New Roman"/>
        </w:rPr>
        <w:t>evaluation</w:t>
      </w:r>
      <w:r w:rsidRPr="00AC7EA2">
        <w:rPr>
          <w:rFonts w:ascii="Times New Roman" w:hAnsi="Times New Roman"/>
        </w:rPr>
        <w:t xml:space="preserve"> and reporting </w:t>
      </w:r>
      <w:r w:rsidR="00886C51" w:rsidRPr="00AC7EA2">
        <w:rPr>
          <w:rFonts w:ascii="Times New Roman" w:hAnsi="Times New Roman"/>
        </w:rPr>
        <w:t>the</w:t>
      </w:r>
      <w:r w:rsidRPr="00AC7EA2">
        <w:rPr>
          <w:rFonts w:ascii="Times New Roman" w:hAnsi="Times New Roman"/>
        </w:rPr>
        <w:t xml:space="preserve"> findings</w:t>
      </w:r>
    </w:p>
    <w:p w:rsidR="00F97BCB" w:rsidRPr="00AC7EA2" w:rsidRDefault="00F97BCB" w:rsidP="005F2016">
      <w:pPr>
        <w:numPr>
          <w:ilvl w:val="0"/>
          <w:numId w:val="11"/>
        </w:numPr>
        <w:rPr>
          <w:rFonts w:ascii="Times New Roman" w:hAnsi="Times New Roman"/>
        </w:rPr>
      </w:pPr>
      <w:r w:rsidRPr="00AC7EA2">
        <w:rPr>
          <w:rFonts w:ascii="Times New Roman" w:hAnsi="Times New Roman"/>
        </w:rPr>
        <w:t>Means of minimizing the burden on project staff and program participants</w:t>
      </w:r>
    </w:p>
    <w:p w:rsidR="00F97BCB" w:rsidRPr="00AC7EA2" w:rsidRDefault="00F97BCB" w:rsidP="005F2016">
      <w:pPr>
        <w:numPr>
          <w:ilvl w:val="0"/>
          <w:numId w:val="11"/>
        </w:numPr>
        <w:rPr>
          <w:rFonts w:ascii="Times New Roman" w:hAnsi="Times New Roman"/>
        </w:rPr>
      </w:pPr>
      <w:r w:rsidRPr="00AC7EA2">
        <w:rPr>
          <w:rFonts w:ascii="Times New Roman" w:hAnsi="Times New Roman"/>
        </w:rPr>
        <w:t>Identification of efforts to ensure user relevance of results.</w:t>
      </w:r>
    </w:p>
    <w:p w:rsidR="00F97BCB" w:rsidRPr="00AC7EA2" w:rsidRDefault="00F97BCB"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44105" w:rsidRPr="00AC7EA2" w:rsidRDefault="0019033B"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CSAP consulted with other experts on SA</w:t>
      </w:r>
      <w:r w:rsidR="00185053" w:rsidRPr="00AC7EA2">
        <w:rPr>
          <w:rFonts w:ascii="Times New Roman" w:hAnsi="Times New Roman"/>
        </w:rPr>
        <w:t xml:space="preserve"> and </w:t>
      </w:r>
      <w:r w:rsidRPr="00AC7EA2">
        <w:rPr>
          <w:rFonts w:ascii="Times New Roman" w:hAnsi="Times New Roman"/>
        </w:rPr>
        <w:t>HIV</w:t>
      </w:r>
      <w:r w:rsidR="006362C8" w:rsidRPr="00AC7EA2">
        <w:rPr>
          <w:rFonts w:ascii="Times New Roman" w:hAnsi="Times New Roman"/>
        </w:rPr>
        <w:t>/AIDS</w:t>
      </w:r>
      <w:r w:rsidR="00BE35AD" w:rsidRPr="00AC7EA2">
        <w:rPr>
          <w:rFonts w:ascii="Times New Roman" w:hAnsi="Times New Roman"/>
        </w:rPr>
        <w:t>,</w:t>
      </w:r>
      <w:r w:rsidRPr="00AC7EA2">
        <w:rPr>
          <w:rFonts w:ascii="Times New Roman" w:hAnsi="Times New Roman"/>
        </w:rPr>
        <w:t xml:space="preserve"> as well as</w:t>
      </w:r>
      <w:r w:rsidR="00D97432" w:rsidRPr="00AC7EA2">
        <w:rPr>
          <w:rFonts w:ascii="Times New Roman" w:hAnsi="Times New Roman"/>
        </w:rPr>
        <w:t xml:space="preserve"> </w:t>
      </w:r>
      <w:r w:rsidR="001401C6" w:rsidRPr="00AC7EA2">
        <w:rPr>
          <w:rFonts w:ascii="Times New Roman" w:hAnsi="Times New Roman"/>
        </w:rPr>
        <w:t xml:space="preserve">other </w:t>
      </w:r>
      <w:r w:rsidR="006362C8" w:rsidRPr="00AC7EA2">
        <w:rPr>
          <w:rFonts w:ascii="Times New Roman" w:hAnsi="Times New Roman"/>
        </w:rPr>
        <w:t>F</w:t>
      </w:r>
      <w:r w:rsidR="00D97432" w:rsidRPr="00AC7EA2">
        <w:rPr>
          <w:rFonts w:ascii="Times New Roman" w:hAnsi="Times New Roman"/>
        </w:rPr>
        <w:t>ederal agencies with related programs or mandates</w:t>
      </w:r>
      <w:r w:rsidR="00BE35AD" w:rsidRPr="00AC7EA2">
        <w:rPr>
          <w:rFonts w:ascii="Times New Roman" w:hAnsi="Times New Roman"/>
        </w:rPr>
        <w:t>, including NIDA, ACF, CDC, DOJ, OJJDP, HUD, and the DOE</w:t>
      </w:r>
      <w:r w:rsidR="003D35F1" w:rsidRPr="00AC7EA2">
        <w:rPr>
          <w:rFonts w:ascii="Times New Roman" w:hAnsi="Times New Roman"/>
        </w:rPr>
        <w:t xml:space="preserve">. </w:t>
      </w:r>
      <w:r w:rsidR="00BE35AD" w:rsidRPr="00AC7EA2">
        <w:rPr>
          <w:rFonts w:ascii="Times New Roman" w:hAnsi="Times New Roman"/>
        </w:rPr>
        <w:t>C</w:t>
      </w:r>
      <w:r w:rsidRPr="00AC7EA2">
        <w:rPr>
          <w:rFonts w:ascii="Times New Roman" w:hAnsi="Times New Roman"/>
        </w:rPr>
        <w:t>onsultations resulted in</w:t>
      </w:r>
      <w:r w:rsidR="00D97432" w:rsidRPr="00AC7EA2">
        <w:rPr>
          <w:rFonts w:ascii="Times New Roman" w:hAnsi="Times New Roman"/>
        </w:rPr>
        <w:t xml:space="preserve"> the refinement of measures and the coordination</w:t>
      </w:r>
      <w:r w:rsidR="00F97BCB" w:rsidRPr="00AC7EA2">
        <w:rPr>
          <w:rFonts w:ascii="Times New Roman" w:hAnsi="Times New Roman"/>
        </w:rPr>
        <w:t xml:space="preserve"> </w:t>
      </w:r>
      <w:r w:rsidR="00D97432" w:rsidRPr="00AC7EA2">
        <w:rPr>
          <w:rFonts w:ascii="Times New Roman" w:hAnsi="Times New Roman"/>
        </w:rPr>
        <w:t xml:space="preserve">of </w:t>
      </w:r>
      <w:r w:rsidR="009B07C4" w:rsidRPr="00AC7EA2">
        <w:rPr>
          <w:rFonts w:ascii="Times New Roman" w:hAnsi="Times New Roman"/>
        </w:rPr>
        <w:t>f</w:t>
      </w:r>
      <w:r w:rsidR="00D97432" w:rsidRPr="00AC7EA2">
        <w:rPr>
          <w:rFonts w:ascii="Times New Roman" w:hAnsi="Times New Roman"/>
        </w:rPr>
        <w:t xml:space="preserve">ederal data needs. </w:t>
      </w:r>
    </w:p>
    <w:p w:rsidR="003949C7" w:rsidRPr="00AC7EA2" w:rsidRDefault="003949C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A9.  Payment to Respondents</w:t>
      </w:r>
    </w:p>
    <w:p w:rsidR="000240B5" w:rsidRPr="00AC7EA2" w:rsidRDefault="00FC0600"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Incentives (cash or in-kind) are not part of </w:t>
      </w:r>
      <w:r w:rsidR="00155EC2" w:rsidRPr="00AC7EA2">
        <w:rPr>
          <w:rFonts w:ascii="Times New Roman" w:hAnsi="Times New Roman"/>
        </w:rPr>
        <w:t xml:space="preserve">this </w:t>
      </w:r>
      <w:r w:rsidRPr="00AC7EA2">
        <w:rPr>
          <w:rFonts w:ascii="Times New Roman" w:hAnsi="Times New Roman"/>
        </w:rPr>
        <w:t>cross-site data collection protocol</w:t>
      </w:r>
      <w:r w:rsidR="00FE4157" w:rsidRPr="00AC7EA2">
        <w:rPr>
          <w:rFonts w:ascii="Times New Roman" w:hAnsi="Times New Roman"/>
        </w:rPr>
        <w:t>.</w:t>
      </w:r>
      <w:r w:rsidRPr="00AC7EA2">
        <w:rPr>
          <w:rFonts w:ascii="Times New Roman" w:hAnsi="Times New Roman"/>
        </w:rPr>
        <w:t xml:space="preserve"> </w:t>
      </w:r>
    </w:p>
    <w:p w:rsidR="003949C7" w:rsidRPr="00AC7EA2" w:rsidRDefault="003949C7"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 xml:space="preserve">A10.  Assurance of Confidentiality </w:t>
      </w:r>
    </w:p>
    <w:p w:rsidR="00E90D30" w:rsidRPr="00AC7EA2" w:rsidRDefault="005B3871" w:rsidP="005F20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SAMHSA has statutory authority to collect data under the Government Performance and Results Act (Public Law 1103(a), Title 31) and is subject to the Privacy Act for the protection of </w:t>
      </w:r>
      <w:r w:rsidR="004E2FD5">
        <w:rPr>
          <w:rFonts w:ascii="Times New Roman" w:hAnsi="Times New Roman"/>
        </w:rPr>
        <w:t xml:space="preserve">these </w:t>
      </w:r>
      <w:r w:rsidRPr="00AC7EA2">
        <w:rPr>
          <w:rFonts w:ascii="Times New Roman" w:hAnsi="Times New Roman"/>
        </w:rPr>
        <w:t xml:space="preserve">data.  As part of its grant application process, SAMHSA/CSAP requires grantees to describe the procedures they will use to ensure the privacy and protection of participant data.  These include by whom and </w:t>
      </w:r>
      <w:r w:rsidR="007C40CE" w:rsidRPr="00AC7EA2">
        <w:rPr>
          <w:rFonts w:ascii="Times New Roman" w:hAnsi="Times New Roman"/>
        </w:rPr>
        <w:t>how the</w:t>
      </w:r>
      <w:r w:rsidRPr="00AC7EA2">
        <w:rPr>
          <w:rFonts w:ascii="Times New Roman" w:hAnsi="Times New Roman"/>
        </w:rPr>
        <w:t xml:space="preserve"> data will be collected; how data collection forms will be administered; where data will be stored; who will/will not have access to </w:t>
      </w:r>
      <w:r w:rsidR="00D33805" w:rsidRPr="00AC7EA2">
        <w:rPr>
          <w:rFonts w:ascii="Times New Roman" w:hAnsi="Times New Roman"/>
        </w:rPr>
        <w:t xml:space="preserve">the </w:t>
      </w:r>
      <w:r w:rsidRPr="00AC7EA2">
        <w:rPr>
          <w:rFonts w:ascii="Times New Roman" w:hAnsi="Times New Roman"/>
        </w:rPr>
        <w:t xml:space="preserve">information; and how the identity of participants will be safeguarded.  </w:t>
      </w:r>
      <w:r w:rsidR="001B6B67" w:rsidRPr="00AC7EA2">
        <w:rPr>
          <w:rFonts w:ascii="Times New Roman" w:hAnsi="Times New Roman"/>
        </w:rPr>
        <w:t>The c</w:t>
      </w:r>
      <w:r w:rsidRPr="00AC7EA2">
        <w:rPr>
          <w:rFonts w:ascii="Times New Roman" w:hAnsi="Times New Roman"/>
        </w:rPr>
        <w:t xml:space="preserve">onsent </w:t>
      </w:r>
      <w:r w:rsidR="001B6B67" w:rsidRPr="00AC7EA2">
        <w:rPr>
          <w:rFonts w:ascii="Times New Roman" w:hAnsi="Times New Roman"/>
        </w:rPr>
        <w:t xml:space="preserve">text at the beginning of the questionnaires </w:t>
      </w:r>
      <w:r w:rsidRPr="00AC7EA2">
        <w:rPr>
          <w:rFonts w:ascii="Times New Roman" w:hAnsi="Times New Roman"/>
        </w:rPr>
        <w:t>include</w:t>
      </w:r>
      <w:r w:rsidR="001B6B67" w:rsidRPr="00AC7EA2">
        <w:rPr>
          <w:rFonts w:ascii="Times New Roman" w:hAnsi="Times New Roman"/>
        </w:rPr>
        <w:t>s</w:t>
      </w:r>
      <w:r w:rsidRPr="00AC7EA2">
        <w:rPr>
          <w:rFonts w:ascii="Times New Roman" w:hAnsi="Times New Roman"/>
        </w:rPr>
        <w:t xml:space="preserve"> language about privacy </w:t>
      </w:r>
      <w:r w:rsidR="001B6B67" w:rsidRPr="00AC7EA2">
        <w:rPr>
          <w:rFonts w:ascii="Times New Roman" w:hAnsi="Times New Roman"/>
        </w:rPr>
        <w:t xml:space="preserve">&amp; anonymity </w:t>
      </w:r>
      <w:r w:rsidRPr="00AC7EA2">
        <w:rPr>
          <w:rFonts w:ascii="Times New Roman" w:hAnsi="Times New Roman"/>
        </w:rPr>
        <w:t xml:space="preserve">and </w:t>
      </w:r>
      <w:r w:rsidR="007C40CE" w:rsidRPr="00AC7EA2">
        <w:rPr>
          <w:rFonts w:ascii="Times New Roman" w:hAnsi="Times New Roman"/>
        </w:rPr>
        <w:t>indicate</w:t>
      </w:r>
      <w:r w:rsidR="001B6B67" w:rsidRPr="00AC7EA2">
        <w:rPr>
          <w:rFonts w:ascii="Times New Roman" w:hAnsi="Times New Roman"/>
        </w:rPr>
        <w:t>s</w:t>
      </w:r>
      <w:r w:rsidR="007C40CE" w:rsidRPr="00AC7EA2">
        <w:rPr>
          <w:rFonts w:ascii="Times New Roman" w:hAnsi="Times New Roman"/>
        </w:rPr>
        <w:t xml:space="preserve"> </w:t>
      </w:r>
      <w:r w:rsidRPr="00AC7EA2">
        <w:rPr>
          <w:rFonts w:ascii="Times New Roman" w:hAnsi="Times New Roman"/>
        </w:rPr>
        <w:t xml:space="preserve">that the data collection voluntary and will not affect participation in direct service programs. Data are collected through </w:t>
      </w:r>
      <w:r w:rsidR="00D33805" w:rsidRPr="00AC7EA2">
        <w:rPr>
          <w:rFonts w:ascii="Times New Roman" w:hAnsi="Times New Roman"/>
        </w:rPr>
        <w:t>self-report and no identifying information</w:t>
      </w:r>
      <w:r w:rsidR="00E90D30" w:rsidRPr="00AC7EA2">
        <w:rPr>
          <w:rFonts w:ascii="Times New Roman" w:hAnsi="Times New Roman"/>
        </w:rPr>
        <w:t xml:space="preserve"> such as name or Social S</w:t>
      </w:r>
      <w:r w:rsidR="001B6B67" w:rsidRPr="00AC7EA2">
        <w:rPr>
          <w:rFonts w:ascii="Times New Roman" w:hAnsi="Times New Roman"/>
        </w:rPr>
        <w:t>ecurity number</w:t>
      </w:r>
      <w:r w:rsidR="00D33805" w:rsidRPr="00AC7EA2">
        <w:rPr>
          <w:rFonts w:ascii="Times New Roman" w:hAnsi="Times New Roman"/>
        </w:rPr>
        <w:t xml:space="preserve"> is available on completed questionnaires, dosage forms, or databases.</w:t>
      </w:r>
      <w:r w:rsidR="001B6B67" w:rsidRPr="00AC7EA2">
        <w:rPr>
          <w:rFonts w:ascii="Times New Roman" w:hAnsi="Times New Roman"/>
        </w:rPr>
        <w:t xml:space="preserve"> </w:t>
      </w:r>
      <w:r w:rsidR="00E90D30" w:rsidRPr="00AC7EA2">
        <w:rPr>
          <w:rFonts w:ascii="Times New Roman" w:hAnsi="Times New Roman"/>
        </w:rPr>
        <w:t xml:space="preserve">Grantees are instructed to randomly assign a unique identification number to each participant, to identify data records with this number only, and to limit access to any master lists that link names with identification numbers. Grantees are also instructed to keep all completed questionnaires and dosage forms in a secure location separate from the location of the master lists and to limit access to authorized staff members. </w:t>
      </w:r>
    </w:p>
    <w:p w:rsidR="00E90D30" w:rsidRPr="00AC7EA2" w:rsidRDefault="00E90D30" w:rsidP="005F20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F5128" w:rsidRPr="00AC7EA2" w:rsidRDefault="001B6B67" w:rsidP="005F20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Although demographic information is crucial for the evaluation and is included in the questionnaires, age is calculated from </w:t>
      </w:r>
      <w:r w:rsidR="009B3433" w:rsidRPr="00AC7EA2">
        <w:rPr>
          <w:rFonts w:ascii="Times New Roman" w:hAnsi="Times New Roman"/>
        </w:rPr>
        <w:t>the</w:t>
      </w:r>
      <w:r w:rsidRPr="00AC7EA2">
        <w:rPr>
          <w:rFonts w:ascii="Times New Roman" w:hAnsi="Times New Roman"/>
        </w:rPr>
        <w:t xml:space="preserve"> year of birth only; </w:t>
      </w:r>
      <w:r w:rsidR="009B3433" w:rsidRPr="00AC7EA2">
        <w:rPr>
          <w:rFonts w:ascii="Times New Roman" w:hAnsi="Times New Roman"/>
        </w:rPr>
        <w:t xml:space="preserve">month and day of </w:t>
      </w:r>
      <w:r w:rsidRPr="00AC7EA2">
        <w:rPr>
          <w:rFonts w:ascii="Times New Roman" w:hAnsi="Times New Roman"/>
        </w:rPr>
        <w:t xml:space="preserve">birth </w:t>
      </w:r>
      <w:r w:rsidR="009B3433" w:rsidRPr="00AC7EA2">
        <w:rPr>
          <w:rFonts w:ascii="Times New Roman" w:hAnsi="Times New Roman"/>
        </w:rPr>
        <w:t xml:space="preserve">are </w:t>
      </w:r>
      <w:r w:rsidRPr="00AC7EA2">
        <w:rPr>
          <w:rFonts w:ascii="Times New Roman" w:hAnsi="Times New Roman"/>
        </w:rPr>
        <w:t>not included in the data to maximize privacy. In reporting outcomes by subgroup, no information is tabulated for subgroups with a sample size smaller than 20</w:t>
      </w:r>
      <w:r w:rsidR="00E90D30" w:rsidRPr="00AC7EA2">
        <w:rPr>
          <w:rFonts w:ascii="Times New Roman" w:hAnsi="Times New Roman"/>
        </w:rPr>
        <w:t xml:space="preserve"> individuals</w:t>
      </w:r>
      <w:r w:rsidRPr="00AC7EA2">
        <w:rPr>
          <w:rFonts w:ascii="Times New Roman" w:hAnsi="Times New Roman"/>
        </w:rPr>
        <w:t xml:space="preserve"> due to privacy considerations.  </w:t>
      </w:r>
    </w:p>
    <w:p w:rsidR="00AF5128" w:rsidRPr="00AC7EA2" w:rsidRDefault="00AF5128" w:rsidP="005F20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F5128" w:rsidRPr="00AC7EA2" w:rsidRDefault="005B3871"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 xml:space="preserve">The information </w:t>
      </w:r>
      <w:r w:rsidR="00E90D30" w:rsidRPr="00AC7EA2">
        <w:rPr>
          <w:rFonts w:ascii="Times New Roman" w:hAnsi="Times New Roman"/>
        </w:rPr>
        <w:t xml:space="preserve">received </w:t>
      </w:r>
      <w:r w:rsidRPr="00AC7EA2">
        <w:rPr>
          <w:rFonts w:ascii="Times New Roman" w:hAnsi="Times New Roman"/>
        </w:rPr>
        <w:t xml:space="preserve">from grantees and all other potential respondents will be kept private through all </w:t>
      </w:r>
      <w:r w:rsidR="00E90D30" w:rsidRPr="00AC7EA2">
        <w:rPr>
          <w:rFonts w:ascii="Times New Roman" w:hAnsi="Times New Roman"/>
        </w:rPr>
        <w:t xml:space="preserve">steps of </w:t>
      </w:r>
      <w:r w:rsidRPr="00AC7EA2">
        <w:rPr>
          <w:rFonts w:ascii="Times New Roman" w:hAnsi="Times New Roman"/>
        </w:rPr>
        <w:t xml:space="preserve">the data </w:t>
      </w:r>
      <w:r w:rsidR="00E90D30" w:rsidRPr="00AC7EA2">
        <w:rPr>
          <w:rFonts w:ascii="Times New Roman" w:hAnsi="Times New Roman"/>
        </w:rPr>
        <w:t xml:space="preserve">processing, cleaning, analysis, </w:t>
      </w:r>
      <w:r w:rsidRPr="00AC7EA2">
        <w:rPr>
          <w:rFonts w:ascii="Times New Roman" w:hAnsi="Times New Roman"/>
        </w:rPr>
        <w:t xml:space="preserve">and reporting process. </w:t>
      </w:r>
      <w:r w:rsidR="00E90D30" w:rsidRPr="00AC7EA2">
        <w:rPr>
          <w:rFonts w:ascii="Times New Roman" w:hAnsi="Times New Roman"/>
        </w:rPr>
        <w:t>PEP-C will password-protect and limit access to raw or cleaned MAI data</w:t>
      </w:r>
      <w:r w:rsidR="000A108A" w:rsidRPr="00AC7EA2">
        <w:rPr>
          <w:rFonts w:ascii="Times New Roman" w:hAnsi="Times New Roman"/>
        </w:rPr>
        <w:t>; only</w:t>
      </w:r>
      <w:r w:rsidR="00E90D30" w:rsidRPr="00AC7EA2">
        <w:rPr>
          <w:rFonts w:ascii="Times New Roman" w:hAnsi="Times New Roman"/>
        </w:rPr>
        <w:t xml:space="preserve"> team members directly responsible for the cross-site evaluation</w:t>
      </w:r>
      <w:r w:rsidR="000A108A" w:rsidRPr="00AC7EA2">
        <w:rPr>
          <w:rFonts w:ascii="Times New Roman" w:hAnsi="Times New Roman"/>
        </w:rPr>
        <w:t xml:space="preserve"> will be allowed access</w:t>
      </w:r>
      <w:r w:rsidR="00E90D30" w:rsidRPr="00AC7EA2">
        <w:rPr>
          <w:rFonts w:ascii="Times New Roman" w:hAnsi="Times New Roman"/>
        </w:rPr>
        <w:t xml:space="preserve">. All </w:t>
      </w:r>
      <w:r w:rsidR="000A108A" w:rsidRPr="00AC7EA2">
        <w:rPr>
          <w:rFonts w:ascii="Times New Roman" w:hAnsi="Times New Roman"/>
        </w:rPr>
        <w:t xml:space="preserve">data </w:t>
      </w:r>
      <w:r w:rsidR="00E90D30" w:rsidRPr="00AC7EA2">
        <w:rPr>
          <w:rFonts w:ascii="Times New Roman" w:hAnsi="Times New Roman"/>
        </w:rPr>
        <w:t xml:space="preserve">analysts </w:t>
      </w:r>
      <w:r w:rsidR="000A108A" w:rsidRPr="00AC7EA2">
        <w:rPr>
          <w:rFonts w:ascii="Times New Roman" w:hAnsi="Times New Roman"/>
        </w:rPr>
        <w:t>on the MAI cross-site team</w:t>
      </w:r>
      <w:r w:rsidR="00E90D30" w:rsidRPr="00AC7EA2">
        <w:rPr>
          <w:rFonts w:ascii="Times New Roman" w:hAnsi="Times New Roman"/>
        </w:rPr>
        <w:t xml:space="preserve"> have </w:t>
      </w:r>
      <w:r w:rsidR="000A108A" w:rsidRPr="00AC7EA2">
        <w:rPr>
          <w:rFonts w:ascii="Times New Roman" w:hAnsi="Times New Roman"/>
        </w:rPr>
        <w:t xml:space="preserve">received online training in federal data security standards and in conducting research on human subjects, provided by the National Institutes of Health. </w:t>
      </w:r>
      <w:r w:rsidRPr="00AC7EA2">
        <w:rPr>
          <w:rFonts w:ascii="Times New Roman" w:hAnsi="Times New Roman"/>
        </w:rPr>
        <w:t xml:space="preserve">All data will be closely safeguarded, and no institutional or individual identifiers will be used in reports.  Only aggregated data will be reported. SAMHSA and its contractors will not receive identifiable </w:t>
      </w:r>
      <w:r w:rsidR="00D33805" w:rsidRPr="00AC7EA2">
        <w:rPr>
          <w:rFonts w:ascii="Times New Roman" w:hAnsi="Times New Roman"/>
        </w:rPr>
        <w:t xml:space="preserve">participant </w:t>
      </w:r>
      <w:r w:rsidRPr="00AC7EA2">
        <w:rPr>
          <w:rFonts w:ascii="Times New Roman" w:hAnsi="Times New Roman"/>
        </w:rPr>
        <w:t xml:space="preserve">records.  Provider-level information will be aggregated to, at </w:t>
      </w:r>
      <w:r w:rsidR="004E2FD5">
        <w:rPr>
          <w:rFonts w:ascii="Times New Roman" w:hAnsi="Times New Roman"/>
        </w:rPr>
        <w:t>minimum</w:t>
      </w:r>
      <w:r w:rsidRPr="00AC7EA2">
        <w:rPr>
          <w:rFonts w:ascii="Times New Roman" w:hAnsi="Times New Roman"/>
        </w:rPr>
        <w:t>, the level of the grant/cooperative agreement-funding announcement</w:t>
      </w:r>
      <w:r w:rsidR="007C40CE" w:rsidRPr="00AC7EA2">
        <w:rPr>
          <w:rFonts w:ascii="Times New Roman" w:hAnsi="Times New Roman"/>
        </w:rPr>
        <w:t xml:space="preserve"> (i.e. the cohort)</w:t>
      </w:r>
      <w:r w:rsidRPr="00AC7EA2">
        <w:rPr>
          <w:rFonts w:ascii="Times New Roman" w:hAnsi="Times New Roman"/>
        </w:rPr>
        <w:t>.</w:t>
      </w:r>
    </w:p>
    <w:p w:rsidR="0043499D" w:rsidRPr="00AC7EA2" w:rsidRDefault="0043499D" w:rsidP="005F20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color w:val="000000"/>
        </w:rPr>
      </w:pPr>
    </w:p>
    <w:p w:rsidR="002E0F33" w:rsidRPr="00AC7EA2" w:rsidRDefault="002E0F33"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A11.  Questions of a Sensitive Nature</w:t>
      </w:r>
    </w:p>
    <w:p w:rsidR="0043499D" w:rsidRPr="00AC7EA2" w:rsidRDefault="005B3871" w:rsidP="005F2016">
      <w:pPr>
        <w:rPr>
          <w:rFonts w:ascii="Times New Roman" w:hAnsi="Times New Roman"/>
        </w:rPr>
      </w:pPr>
      <w:r w:rsidRPr="00AC7EA2">
        <w:rPr>
          <w:rFonts w:ascii="Times New Roman" w:hAnsi="Times New Roman"/>
        </w:rP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w:t>
      </w:r>
      <w:r w:rsidR="00D33805" w:rsidRPr="00AC7EA2">
        <w:rPr>
          <w:rFonts w:ascii="Times New Roman" w:hAnsi="Times New Roman"/>
        </w:rPr>
        <w:t>,</w:t>
      </w:r>
      <w:r w:rsidRPr="00AC7EA2">
        <w:rPr>
          <w:rFonts w:ascii="Times New Roman" w:hAnsi="Times New Roman"/>
        </w:rPr>
        <w:t xml:space="preserve"> it is necessary for service providers to collect sensitive </w:t>
      </w:r>
      <w:r w:rsidR="007C40CE" w:rsidRPr="00AC7EA2">
        <w:rPr>
          <w:rFonts w:ascii="Times New Roman" w:hAnsi="Times New Roman"/>
        </w:rPr>
        <w:t>information</w:t>
      </w:r>
      <w:r w:rsidRPr="00AC7EA2">
        <w:rPr>
          <w:rFonts w:ascii="Times New Roman" w:hAnsi="Times New Roman"/>
        </w:rPr>
        <w:t xml:space="preserve"> such as </w:t>
      </w:r>
      <w:r w:rsidR="00541FF2" w:rsidRPr="00AC7EA2">
        <w:rPr>
          <w:rFonts w:ascii="Times New Roman" w:hAnsi="Times New Roman"/>
        </w:rPr>
        <w:t xml:space="preserve">about the </w:t>
      </w:r>
      <w:r w:rsidRPr="00AC7EA2">
        <w:rPr>
          <w:rFonts w:ascii="Times New Roman" w:hAnsi="Times New Roman"/>
        </w:rPr>
        <w:t xml:space="preserve">use of alcohol or drugs. The data that will be submitted by each grantee will be based in large part on data that most </w:t>
      </w:r>
      <w:r w:rsidR="000A108A" w:rsidRPr="00AC7EA2">
        <w:rPr>
          <w:rFonts w:ascii="Times New Roman" w:hAnsi="Times New Roman"/>
        </w:rPr>
        <w:t xml:space="preserve">SA and HIV prevention </w:t>
      </w:r>
      <w:r w:rsidRPr="00AC7EA2">
        <w:rPr>
          <w:rFonts w:ascii="Times New Roman" w:hAnsi="Times New Roman"/>
        </w:rPr>
        <w:t>programs routinely collect</w:t>
      </w:r>
      <w:r w:rsidR="00541FF2" w:rsidRPr="00AC7EA2">
        <w:rPr>
          <w:rFonts w:ascii="Times New Roman" w:hAnsi="Times New Roman"/>
        </w:rPr>
        <w:t xml:space="preserve"> in order to understand the needs of </w:t>
      </w:r>
      <w:r w:rsidR="005B60F0">
        <w:rPr>
          <w:rFonts w:ascii="Times New Roman" w:hAnsi="Times New Roman"/>
        </w:rPr>
        <w:t xml:space="preserve">program </w:t>
      </w:r>
      <w:r w:rsidR="00541FF2" w:rsidRPr="00AC7EA2">
        <w:rPr>
          <w:rFonts w:ascii="Times New Roman" w:hAnsi="Times New Roman"/>
        </w:rPr>
        <w:t>participants and to measure the impact of services</w:t>
      </w:r>
      <w:r w:rsidRPr="00AC7EA2">
        <w:rPr>
          <w:rFonts w:ascii="Times New Roman" w:hAnsi="Times New Roman"/>
        </w:rPr>
        <w:t xml:space="preserve">.  This primarily includes data on client demographics, substance abuse history, </w:t>
      </w:r>
      <w:r w:rsidR="007C40CE" w:rsidRPr="00AC7EA2">
        <w:rPr>
          <w:rFonts w:ascii="Times New Roman" w:hAnsi="Times New Roman"/>
        </w:rPr>
        <w:t xml:space="preserve">sexual practices, knowledge, beliefs, and attitudes toward SA and risky sexual behaviors, and </w:t>
      </w:r>
      <w:r w:rsidRPr="00AC7EA2">
        <w:rPr>
          <w:rFonts w:ascii="Times New Roman" w:hAnsi="Times New Roman"/>
        </w:rPr>
        <w:t xml:space="preserve">services received.  Grantees are required to have adequate consent procedures in place, and these procedures include obtaining and documenting active parental/guardian consent when necessary.  SAMHSA review committees will not approve nor will SAMHSA fund a site without adequate provisions for meeting </w:t>
      </w:r>
      <w:r w:rsidR="00D33805" w:rsidRPr="00AC7EA2">
        <w:rPr>
          <w:rFonts w:ascii="Times New Roman" w:hAnsi="Times New Roman"/>
        </w:rPr>
        <w:t>f</w:t>
      </w:r>
      <w:r w:rsidRPr="00AC7EA2">
        <w:rPr>
          <w:rFonts w:ascii="Times New Roman" w:hAnsi="Times New Roman"/>
        </w:rPr>
        <w:t>ederal policies regarding consent</w:t>
      </w:r>
      <w:r w:rsidR="007C40CE" w:rsidRPr="00AC7EA2">
        <w:rPr>
          <w:rFonts w:ascii="Times New Roman" w:hAnsi="Times New Roman"/>
        </w:rPr>
        <w:t xml:space="preserve"> and data privacy</w:t>
      </w:r>
      <w:r w:rsidRPr="00AC7EA2">
        <w:rPr>
          <w:rFonts w:ascii="Times New Roman" w:hAnsi="Times New Roman"/>
        </w:rPr>
        <w:t xml:space="preserve">. </w:t>
      </w:r>
      <w:r w:rsidR="00E7174A" w:rsidRPr="00AC7EA2">
        <w:rPr>
          <w:rFonts w:ascii="Times New Roman" w:hAnsi="Times New Roman"/>
        </w:rPr>
        <w:t>SAMHSA grant r</w:t>
      </w:r>
      <w:r w:rsidRPr="00AC7EA2">
        <w:rPr>
          <w:rFonts w:ascii="Times New Roman" w:hAnsi="Times New Roman"/>
        </w:rPr>
        <w:t>eview committees consider the following participant protection (PP) criteria:</w:t>
      </w:r>
    </w:p>
    <w:p w:rsidR="0043499D" w:rsidRPr="00AC7EA2" w:rsidRDefault="005B3871" w:rsidP="005F2016">
      <w:pPr>
        <w:pStyle w:val="ListParagraph"/>
        <w:numPr>
          <w:ilvl w:val="0"/>
          <w:numId w:val="14"/>
        </w:numPr>
        <w:rPr>
          <w:rFonts w:ascii="Times New Roman" w:hAnsi="Times New Roman"/>
        </w:rPr>
      </w:pPr>
      <w:r w:rsidRPr="00AC7EA2">
        <w:rPr>
          <w:rFonts w:ascii="Times New Roman" w:hAnsi="Times New Roman"/>
        </w:rPr>
        <w:t xml:space="preserve">Protect participants from potential risks, </w:t>
      </w:r>
    </w:p>
    <w:p w:rsidR="0043499D" w:rsidRPr="00AC7EA2" w:rsidRDefault="005B3871" w:rsidP="005F2016">
      <w:pPr>
        <w:pStyle w:val="ListParagraph"/>
        <w:numPr>
          <w:ilvl w:val="0"/>
          <w:numId w:val="14"/>
        </w:numPr>
        <w:rPr>
          <w:rFonts w:ascii="Times New Roman" w:hAnsi="Times New Roman"/>
        </w:rPr>
      </w:pPr>
      <w:r w:rsidRPr="00AC7EA2">
        <w:rPr>
          <w:rFonts w:ascii="Times New Roman" w:hAnsi="Times New Roman"/>
        </w:rPr>
        <w:t xml:space="preserve">Fair selection of participants, </w:t>
      </w:r>
    </w:p>
    <w:p w:rsidR="0043499D" w:rsidRPr="00AC7EA2" w:rsidRDefault="005B3871" w:rsidP="005F2016">
      <w:pPr>
        <w:numPr>
          <w:ilvl w:val="0"/>
          <w:numId w:val="14"/>
        </w:numPr>
        <w:rPr>
          <w:rFonts w:ascii="Times New Roman" w:hAnsi="Times New Roman"/>
        </w:rPr>
      </w:pPr>
      <w:r w:rsidRPr="00AC7EA2">
        <w:rPr>
          <w:rFonts w:ascii="Times New Roman" w:hAnsi="Times New Roman"/>
        </w:rPr>
        <w:t xml:space="preserve">Absence of coercion, </w:t>
      </w:r>
    </w:p>
    <w:p w:rsidR="0043499D" w:rsidRPr="00AC7EA2" w:rsidRDefault="007C40CE" w:rsidP="005F2016">
      <w:pPr>
        <w:numPr>
          <w:ilvl w:val="0"/>
          <w:numId w:val="14"/>
        </w:numPr>
        <w:rPr>
          <w:rFonts w:ascii="Times New Roman" w:hAnsi="Times New Roman"/>
        </w:rPr>
      </w:pPr>
      <w:r w:rsidRPr="00AC7EA2">
        <w:rPr>
          <w:rFonts w:ascii="Times New Roman" w:hAnsi="Times New Roman"/>
        </w:rPr>
        <w:t>Valid and reliable d</w:t>
      </w:r>
      <w:r w:rsidR="005B3871" w:rsidRPr="00AC7EA2">
        <w:rPr>
          <w:rFonts w:ascii="Times New Roman" w:hAnsi="Times New Roman"/>
        </w:rPr>
        <w:t xml:space="preserve">ata collection, </w:t>
      </w:r>
    </w:p>
    <w:p w:rsidR="0043499D" w:rsidRPr="00AC7EA2" w:rsidRDefault="005B3871" w:rsidP="005F2016">
      <w:pPr>
        <w:numPr>
          <w:ilvl w:val="0"/>
          <w:numId w:val="14"/>
        </w:numPr>
        <w:rPr>
          <w:rFonts w:ascii="Times New Roman" w:hAnsi="Times New Roman"/>
        </w:rPr>
      </w:pPr>
      <w:r w:rsidRPr="00AC7EA2">
        <w:rPr>
          <w:rFonts w:ascii="Times New Roman" w:hAnsi="Times New Roman"/>
        </w:rPr>
        <w:t xml:space="preserve">Privacy and confidentiality, and </w:t>
      </w:r>
    </w:p>
    <w:p w:rsidR="0043499D" w:rsidRPr="00AC7EA2" w:rsidRDefault="005B3871" w:rsidP="005F2016">
      <w:pPr>
        <w:numPr>
          <w:ilvl w:val="0"/>
          <w:numId w:val="14"/>
        </w:numPr>
        <w:rPr>
          <w:rFonts w:ascii="Times New Roman" w:hAnsi="Times New Roman"/>
        </w:rPr>
      </w:pPr>
      <w:r w:rsidRPr="00AC7EA2">
        <w:rPr>
          <w:rFonts w:ascii="Times New Roman" w:hAnsi="Times New Roman"/>
        </w:rPr>
        <w:t xml:space="preserve">Adequate consent procedures.  </w:t>
      </w:r>
    </w:p>
    <w:p w:rsidR="0043499D" w:rsidRPr="00AC7EA2" w:rsidRDefault="00E7174A" w:rsidP="005F2016">
      <w:pPr>
        <w:rPr>
          <w:rFonts w:ascii="Times New Roman" w:hAnsi="Times New Roman"/>
        </w:rPr>
      </w:pPr>
      <w:r w:rsidRPr="00AC7EA2">
        <w:rPr>
          <w:rFonts w:ascii="Times New Roman" w:hAnsi="Times New Roman"/>
          <w:color w:val="000000"/>
        </w:rPr>
        <w:t>During the review process</w:t>
      </w:r>
      <w:r w:rsidR="000A108A" w:rsidRPr="00AC7EA2">
        <w:rPr>
          <w:rFonts w:ascii="Times New Roman" w:hAnsi="Times New Roman"/>
          <w:color w:val="000000"/>
        </w:rPr>
        <w:t>,</w:t>
      </w:r>
      <w:r w:rsidRPr="00AC7EA2">
        <w:rPr>
          <w:rFonts w:ascii="Times New Roman" w:hAnsi="Times New Roman"/>
          <w:color w:val="000000"/>
        </w:rPr>
        <w:t xml:space="preserve"> committee members code g</w:t>
      </w:r>
      <w:r w:rsidR="00D33805" w:rsidRPr="00AC7EA2">
        <w:rPr>
          <w:rFonts w:ascii="Times New Roman" w:hAnsi="Times New Roman"/>
          <w:color w:val="000000"/>
        </w:rPr>
        <w:t>rant a</w:t>
      </w:r>
      <w:r w:rsidR="005B3871" w:rsidRPr="00AC7EA2">
        <w:rPr>
          <w:rFonts w:ascii="Times New Roman" w:hAnsi="Times New Roman"/>
          <w:color w:val="000000"/>
        </w:rPr>
        <w:t>pplications</w:t>
      </w:r>
      <w:r w:rsidRPr="00AC7EA2">
        <w:rPr>
          <w:rFonts w:ascii="Times New Roman" w:hAnsi="Times New Roman"/>
          <w:color w:val="000000"/>
        </w:rPr>
        <w:t xml:space="preserve"> as</w:t>
      </w:r>
      <w:r w:rsidR="005B3871" w:rsidRPr="00AC7EA2">
        <w:rPr>
          <w:rFonts w:ascii="Times New Roman" w:hAnsi="Times New Roman"/>
          <w:color w:val="000000"/>
        </w:rPr>
        <w:t xml:space="preserve">: </w:t>
      </w:r>
      <w:r w:rsidR="008B6458" w:rsidRPr="00AC7EA2">
        <w:rPr>
          <w:rFonts w:ascii="Times New Roman" w:hAnsi="Times New Roman"/>
          <w:color w:val="000000"/>
        </w:rPr>
        <w:t>“</w:t>
      </w:r>
      <w:r w:rsidR="005B3871" w:rsidRPr="00AC7EA2">
        <w:rPr>
          <w:rFonts w:ascii="Times New Roman" w:hAnsi="Times New Roman"/>
          <w:color w:val="000000"/>
        </w:rPr>
        <w:t>no PP concerns or comments;</w:t>
      </w:r>
      <w:r w:rsidR="008B6458" w:rsidRPr="00AC7EA2">
        <w:rPr>
          <w:rFonts w:ascii="Times New Roman" w:hAnsi="Times New Roman"/>
          <w:color w:val="000000"/>
        </w:rPr>
        <w:t>”</w:t>
      </w:r>
      <w:r w:rsidRPr="00AC7EA2">
        <w:rPr>
          <w:rFonts w:ascii="Times New Roman" w:hAnsi="Times New Roman"/>
          <w:color w:val="000000"/>
        </w:rPr>
        <w:t xml:space="preserve"> or</w:t>
      </w:r>
      <w:r w:rsidR="005B3871" w:rsidRPr="00AC7EA2">
        <w:rPr>
          <w:rFonts w:ascii="Times New Roman" w:hAnsi="Times New Roman"/>
          <w:color w:val="000000"/>
        </w:rPr>
        <w:t xml:space="preserve"> </w:t>
      </w:r>
      <w:r w:rsidR="008B6458" w:rsidRPr="00AC7EA2">
        <w:rPr>
          <w:rFonts w:ascii="Times New Roman" w:hAnsi="Times New Roman"/>
          <w:color w:val="000000"/>
        </w:rPr>
        <w:t>“</w:t>
      </w:r>
      <w:r w:rsidR="005B3871" w:rsidRPr="00AC7EA2">
        <w:rPr>
          <w:rFonts w:ascii="Times New Roman" w:hAnsi="Times New Roman"/>
          <w:color w:val="000000"/>
        </w:rPr>
        <w:t>PP comments or PP concerns.</w:t>
      </w:r>
      <w:r w:rsidR="008B6458" w:rsidRPr="00AC7EA2">
        <w:rPr>
          <w:rFonts w:ascii="Times New Roman" w:hAnsi="Times New Roman"/>
          <w:color w:val="000000"/>
        </w:rPr>
        <w:t>”</w:t>
      </w:r>
      <w:r w:rsidR="005B3871" w:rsidRPr="00AC7EA2">
        <w:rPr>
          <w:rFonts w:ascii="Times New Roman" w:hAnsi="Times New Roman"/>
          <w:color w:val="000000"/>
        </w:rPr>
        <w:t xml:space="preserve">  Before an application can be funded, the applicant must address in writing any PP comments or concerns raised </w:t>
      </w:r>
      <w:r w:rsidRPr="00AC7EA2">
        <w:rPr>
          <w:rFonts w:ascii="Times New Roman" w:hAnsi="Times New Roman"/>
          <w:color w:val="000000"/>
        </w:rPr>
        <w:t xml:space="preserve">by the review committee. The SAMHSA participant protection officer then reviews these responses.  Grantees </w:t>
      </w:r>
      <w:r w:rsidR="005B3871" w:rsidRPr="00AC7EA2">
        <w:rPr>
          <w:rFonts w:ascii="Times New Roman" w:hAnsi="Times New Roman"/>
          <w:color w:val="000000"/>
        </w:rPr>
        <w:t xml:space="preserve">are barred from funding </w:t>
      </w:r>
      <w:r w:rsidRPr="00AC7EA2">
        <w:rPr>
          <w:rFonts w:ascii="Times New Roman" w:hAnsi="Times New Roman"/>
          <w:color w:val="000000"/>
        </w:rPr>
        <w:t xml:space="preserve">until the participant protection office provides approval, </w:t>
      </w:r>
      <w:r w:rsidR="005B3871" w:rsidRPr="00AC7EA2">
        <w:rPr>
          <w:rFonts w:ascii="Times New Roman" w:hAnsi="Times New Roman"/>
          <w:color w:val="000000"/>
        </w:rPr>
        <w:t xml:space="preserve">especially if the application </w:t>
      </w:r>
      <w:r w:rsidRPr="00AC7EA2">
        <w:rPr>
          <w:rFonts w:ascii="Times New Roman" w:hAnsi="Times New Roman"/>
          <w:color w:val="000000"/>
        </w:rPr>
        <w:t>was</w:t>
      </w:r>
      <w:r w:rsidR="005B3871" w:rsidRPr="00AC7EA2">
        <w:rPr>
          <w:rFonts w:ascii="Times New Roman" w:hAnsi="Times New Roman"/>
          <w:color w:val="000000"/>
        </w:rPr>
        <w:t xml:space="preserve"> coded with "concerns".  </w:t>
      </w:r>
      <w:r w:rsidRPr="00AC7EA2">
        <w:rPr>
          <w:rFonts w:ascii="Times New Roman" w:hAnsi="Times New Roman"/>
          <w:color w:val="000000"/>
        </w:rPr>
        <w:t>After grantees</w:t>
      </w:r>
      <w:r w:rsidR="005B3871" w:rsidRPr="00AC7EA2">
        <w:rPr>
          <w:rFonts w:ascii="Times New Roman" w:hAnsi="Times New Roman"/>
          <w:color w:val="000000"/>
        </w:rPr>
        <w:t xml:space="preserve"> respond to the protection officer’s satisfaction, the bar on funding is lifted.</w:t>
      </w:r>
    </w:p>
    <w:p w:rsidR="00D33805" w:rsidRPr="00AC7EA2" w:rsidRDefault="00D33805" w:rsidP="005F20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rPr>
      </w:pPr>
    </w:p>
    <w:p w:rsidR="0043499D" w:rsidRPr="00AC7EA2" w:rsidRDefault="005B3871" w:rsidP="005F20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rPr>
      </w:pPr>
      <w:r w:rsidRPr="00AC7EA2">
        <w:rPr>
          <w:rFonts w:ascii="Times New Roman" w:hAnsi="Times New Roman"/>
        </w:rPr>
        <w:t>SAMHSA follows procedures similar to those used by CDC and D</w:t>
      </w:r>
      <w:r w:rsidR="008B6458" w:rsidRPr="00AC7EA2">
        <w:rPr>
          <w:rFonts w:ascii="Times New Roman" w:hAnsi="Times New Roman"/>
        </w:rPr>
        <w:t>OE</w:t>
      </w:r>
      <w:r w:rsidRPr="00AC7EA2">
        <w:rPr>
          <w:rFonts w:ascii="Times New Roman" w:hAnsi="Times New Roman"/>
        </w:rPr>
        <w:t xml:space="preserve"> regarding parental consent for youth</w:t>
      </w:r>
      <w:r w:rsidR="00E7174A" w:rsidRPr="00AC7EA2">
        <w:rPr>
          <w:rFonts w:ascii="Times New Roman" w:hAnsi="Times New Roman"/>
        </w:rPr>
        <w:t xml:space="preserve">; in addition </w:t>
      </w:r>
      <w:r w:rsidR="0073530B" w:rsidRPr="00AC7EA2">
        <w:rPr>
          <w:rFonts w:ascii="Times New Roman" w:hAnsi="Times New Roman"/>
        </w:rPr>
        <w:t xml:space="preserve">grantees </w:t>
      </w:r>
      <w:r w:rsidR="00E7174A" w:rsidRPr="00AC7EA2">
        <w:rPr>
          <w:rFonts w:ascii="Times New Roman" w:hAnsi="Times New Roman"/>
        </w:rPr>
        <w:t>must</w:t>
      </w:r>
      <w:r w:rsidR="0073530B" w:rsidRPr="00AC7EA2">
        <w:rPr>
          <w:rFonts w:ascii="Times New Roman" w:hAnsi="Times New Roman"/>
        </w:rPr>
        <w:t xml:space="preserve"> </w:t>
      </w:r>
      <w:r w:rsidRPr="00AC7EA2">
        <w:rPr>
          <w:rFonts w:ascii="Times New Roman" w:hAnsi="Times New Roman"/>
        </w:rPr>
        <w:t>adhere to state and local regulations.</w:t>
      </w:r>
    </w:p>
    <w:p w:rsidR="009276A6" w:rsidRDefault="009276A6" w:rsidP="005F2016">
      <w:pPr>
        <w:suppressLineNumbers/>
        <w:rPr>
          <w:rStyle w:val="WP9BodyText"/>
          <w:rFonts w:ascii="Times New Roman" w:hAnsi="Times New Roman"/>
        </w:rPr>
      </w:pPr>
    </w:p>
    <w:p w:rsidR="006D3C4E" w:rsidRPr="00AC7EA2" w:rsidRDefault="006D3C4E" w:rsidP="006D3C4E">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A12.  Estimates of Annualized Hour Burden</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AC7EA2">
        <w:rPr>
          <w:rStyle w:val="WP9BodyText"/>
          <w:rFonts w:ascii="Times New Roman" w:hAnsi="Times New Roman"/>
          <w:b/>
        </w:rPr>
        <w:t>Estimated Burden of the Youth and Adult Questionnaires</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As mentioned earlier, the burden to participants of completing the questionnaires depends on the participant’s service duration, both in terms of the sections of the questionnaires to be completed and the number of time points at which data are collected. Exhibit 2 below displays the burden to participants per data collection time point, separately for the three service duration categories. The burden estimates for each service duration are based on the estimates of the instruments currently in the field (OMB # 0930-0298), adjusted for the reduction in the number of items as a result of the recent revision process.</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AC7EA2">
        <w:rPr>
          <w:rStyle w:val="WP9BodyText"/>
          <w:rFonts w:ascii="Times New Roman" w:hAnsi="Times New Roman"/>
          <w:b/>
        </w:rPr>
        <w:t>Exhibit 2: Sections of the Questionnaires to be Completed and Total Burden to the Respondent per Data Collection Point, by Service Duration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3510"/>
        <w:gridCol w:w="1800"/>
        <w:gridCol w:w="1980"/>
      </w:tblGrid>
      <w:tr w:rsidR="006D3C4E" w:rsidRPr="00AC7EA2" w:rsidTr="00E56E60">
        <w:trPr>
          <w:cantSplit/>
          <w:trHeight w:val="330"/>
          <w:tblHeader/>
        </w:trPr>
        <w:tc>
          <w:tcPr>
            <w:tcW w:w="1458" w:type="dxa"/>
            <w:vMerge w:val="restart"/>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Duration</w:t>
            </w:r>
          </w:p>
        </w:tc>
        <w:tc>
          <w:tcPr>
            <w:tcW w:w="3510" w:type="dxa"/>
            <w:vMerge w:val="restart"/>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Sections of the Questionnaire To be Administered</w:t>
            </w:r>
          </w:p>
        </w:tc>
        <w:tc>
          <w:tcPr>
            <w:tcW w:w="3780" w:type="dxa"/>
            <w:gridSpan w:val="2"/>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Number of Hours to Complete</w:t>
            </w:r>
          </w:p>
        </w:tc>
      </w:tr>
      <w:tr w:rsidR="006D3C4E" w:rsidRPr="00AC7EA2" w:rsidTr="00E56E60">
        <w:trPr>
          <w:cantSplit/>
          <w:trHeight w:val="330"/>
          <w:tblHeader/>
        </w:trPr>
        <w:tc>
          <w:tcPr>
            <w:tcW w:w="1458" w:type="dxa"/>
            <w:vMerge/>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3510" w:type="dxa"/>
            <w:vMerge/>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p>
        </w:tc>
        <w:tc>
          <w:tcPr>
            <w:tcW w:w="180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Youth</w:t>
            </w:r>
          </w:p>
        </w:tc>
        <w:tc>
          <w:tcPr>
            <w:tcW w:w="198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Adult</w:t>
            </w:r>
          </w:p>
        </w:tc>
      </w:tr>
      <w:tr w:rsidR="006D3C4E" w:rsidRPr="00AC7EA2" w:rsidTr="00E56E60">
        <w:trPr>
          <w:cantSplit/>
        </w:trPr>
        <w:tc>
          <w:tcPr>
            <w:tcW w:w="145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 day or less</w:t>
            </w:r>
          </w:p>
        </w:tc>
        <w:tc>
          <w:tcPr>
            <w:tcW w:w="3510" w:type="dxa"/>
          </w:tcPr>
          <w:p w:rsidR="006D3C4E" w:rsidRPr="00AC7EA2" w:rsidRDefault="006D3C4E" w:rsidP="00E56E60">
            <w:pPr>
              <w:pStyle w:val="ListBullet"/>
              <w:rPr>
                <w:rFonts w:ascii="Times New Roman" w:hAnsi="Times New Roman"/>
              </w:rPr>
            </w:pPr>
            <w:r w:rsidRPr="00AC7EA2">
              <w:rPr>
                <w:rFonts w:ascii="Times New Roman" w:hAnsi="Times New Roman"/>
              </w:rPr>
              <w:t>Section One: Facts about You</w:t>
            </w:r>
          </w:p>
          <w:p w:rsidR="006D3C4E" w:rsidRPr="00AC7EA2" w:rsidRDefault="006D3C4E" w:rsidP="00E56E60">
            <w:pPr>
              <w:pStyle w:val="ListBullet"/>
              <w:rPr>
                <w:rFonts w:ascii="Times New Roman" w:hAnsi="Times New Roman"/>
              </w:rPr>
            </w:pPr>
            <w:r w:rsidRPr="00AC7EA2">
              <w:rPr>
                <w:rFonts w:ascii="Times New Roman" w:hAnsi="Times New Roman"/>
              </w:rPr>
              <w:t>3 to 5 questions from Section Two: Attitudes &amp; Knowledge</w:t>
            </w:r>
          </w:p>
        </w:tc>
        <w:tc>
          <w:tcPr>
            <w:tcW w:w="180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0.2</w:t>
            </w:r>
            <w:r>
              <w:rPr>
                <w:rFonts w:ascii="Times New Roman" w:hAnsi="Times New Roman"/>
              </w:rPr>
              <w:t>167</w:t>
            </w:r>
          </w:p>
        </w:tc>
        <w:tc>
          <w:tcPr>
            <w:tcW w:w="198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0.2</w:t>
            </w:r>
            <w:r>
              <w:rPr>
                <w:rFonts w:ascii="Times New Roman" w:hAnsi="Times New Roman"/>
              </w:rPr>
              <w:t>167</w:t>
            </w:r>
          </w:p>
        </w:tc>
      </w:tr>
      <w:tr w:rsidR="006D3C4E" w:rsidRPr="00AC7EA2" w:rsidTr="00E56E60">
        <w:trPr>
          <w:cantSplit/>
        </w:trPr>
        <w:tc>
          <w:tcPr>
            <w:tcW w:w="1458"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3510" w:type="dxa"/>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AC7EA2">
              <w:rPr>
                <w:rFonts w:ascii="Times New Roman" w:hAnsi="Times New Roman"/>
              </w:rPr>
              <w:t>Section One: Facts about You</w:t>
            </w:r>
          </w:p>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AC7EA2">
              <w:rPr>
                <w:rFonts w:ascii="Times New Roman" w:hAnsi="Times New Roman"/>
              </w:rPr>
              <w:t>Section Two: Attitudes &amp; Knowledge</w:t>
            </w:r>
          </w:p>
        </w:tc>
        <w:tc>
          <w:tcPr>
            <w:tcW w:w="1800"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0.43</w:t>
            </w:r>
            <w:r>
              <w:rPr>
                <w:rFonts w:ascii="Times New Roman" w:hAnsi="Times New Roman"/>
              </w:rPr>
              <w:t>33</w:t>
            </w:r>
          </w:p>
        </w:tc>
        <w:tc>
          <w:tcPr>
            <w:tcW w:w="198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0.38</w:t>
            </w:r>
            <w:r>
              <w:rPr>
                <w:rFonts w:ascii="Times New Roman" w:hAnsi="Times New Roman"/>
              </w:rPr>
              <w:t>33</w:t>
            </w:r>
          </w:p>
        </w:tc>
      </w:tr>
      <w:tr w:rsidR="006D3C4E" w:rsidRPr="00AC7EA2" w:rsidTr="00E56E60">
        <w:trPr>
          <w:cantSplit/>
        </w:trPr>
        <w:tc>
          <w:tcPr>
            <w:tcW w:w="145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3510" w:type="dxa"/>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AC7EA2">
              <w:rPr>
                <w:rFonts w:ascii="Times New Roman" w:hAnsi="Times New Roman"/>
              </w:rPr>
              <w:t>Section One: Facts about You</w:t>
            </w:r>
          </w:p>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AC7EA2">
              <w:rPr>
                <w:rFonts w:ascii="Times New Roman" w:hAnsi="Times New Roman"/>
              </w:rPr>
              <w:t>Section Two: Attitudes &amp; Knowledge</w:t>
            </w:r>
          </w:p>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AC7EA2">
              <w:rPr>
                <w:rFonts w:ascii="Times New Roman" w:hAnsi="Times New Roman"/>
              </w:rPr>
              <w:t>Section Three: Behavior &amp; Relationships</w:t>
            </w:r>
          </w:p>
        </w:tc>
        <w:tc>
          <w:tcPr>
            <w:tcW w:w="180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0.6</w:t>
            </w:r>
            <w:r>
              <w:rPr>
                <w:rFonts w:ascii="Times New Roman" w:hAnsi="Times New Roman"/>
              </w:rPr>
              <w:t>167</w:t>
            </w:r>
            <w:r w:rsidRPr="00AC7EA2">
              <w:rPr>
                <w:rFonts w:ascii="Times New Roman" w:hAnsi="Times New Roman"/>
              </w:rPr>
              <w:t>)</w:t>
            </w:r>
          </w:p>
        </w:tc>
        <w:tc>
          <w:tcPr>
            <w:tcW w:w="198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0.53</w:t>
            </w:r>
            <w:r>
              <w:rPr>
                <w:rFonts w:ascii="Times New Roman" w:hAnsi="Times New Roman"/>
              </w:rPr>
              <w:t>33</w:t>
            </w:r>
          </w:p>
        </w:tc>
      </w:tr>
    </w:tbl>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Analysis of the data submitted by Cohorts 7 through 10 indicates that not all participants with service duration longer than a single day are present at all of the required data collection points. Exhibit 3 displays the proportions responding to the survey at each required time point.</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AC7EA2">
        <w:rPr>
          <w:rStyle w:val="WP9BodyText"/>
          <w:rFonts w:ascii="Times New Roman" w:hAnsi="Times New Roman"/>
          <w:b/>
        </w:rPr>
        <w:t>Exhibit 3: Response Rates of Participants with Service Duration Longer than a Single Day at Each Data Collection Point, by Service Duration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710"/>
        <w:gridCol w:w="1350"/>
        <w:gridCol w:w="1170"/>
        <w:gridCol w:w="1350"/>
        <w:gridCol w:w="1170"/>
        <w:gridCol w:w="1260"/>
        <w:gridCol w:w="1260"/>
      </w:tblGrid>
      <w:tr w:rsidR="006D3C4E" w:rsidRPr="00AC7EA2" w:rsidTr="00E56E60">
        <w:trPr>
          <w:cantSplit/>
          <w:trHeight w:val="330"/>
          <w:tblHeader/>
        </w:trPr>
        <w:tc>
          <w:tcPr>
            <w:tcW w:w="1458" w:type="dxa"/>
            <w:vMerge w:val="restart"/>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Duration</w:t>
            </w:r>
          </w:p>
        </w:tc>
        <w:tc>
          <w:tcPr>
            <w:tcW w:w="1710" w:type="dxa"/>
            <w:vMerge w:val="restart"/>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Required Data Collection Points</w:t>
            </w:r>
          </w:p>
        </w:tc>
        <w:tc>
          <w:tcPr>
            <w:tcW w:w="3870" w:type="dxa"/>
            <w:gridSpan w:val="3"/>
            <w:shd w:val="clear" w:color="auto" w:fill="BFBFBF"/>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Youth Response Rates</w:t>
            </w:r>
          </w:p>
        </w:tc>
        <w:tc>
          <w:tcPr>
            <w:tcW w:w="3690" w:type="dxa"/>
            <w:gridSpan w:val="3"/>
            <w:shd w:val="clear" w:color="auto" w:fill="BFBFBF"/>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Adult Response Rates</w:t>
            </w:r>
          </w:p>
        </w:tc>
      </w:tr>
      <w:tr w:rsidR="006D3C4E" w:rsidRPr="00AC7EA2" w:rsidTr="00E56E60">
        <w:trPr>
          <w:cantSplit/>
          <w:trHeight w:val="330"/>
          <w:tblHeader/>
        </w:trPr>
        <w:tc>
          <w:tcPr>
            <w:tcW w:w="1458" w:type="dxa"/>
            <w:vMerge/>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1710" w:type="dxa"/>
            <w:vMerge/>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Baseline</w:t>
            </w:r>
          </w:p>
        </w:tc>
        <w:tc>
          <w:tcPr>
            <w:tcW w:w="117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Exit</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Follow-Up</w:t>
            </w:r>
          </w:p>
        </w:tc>
        <w:tc>
          <w:tcPr>
            <w:tcW w:w="117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Baseline</w:t>
            </w:r>
          </w:p>
        </w:tc>
        <w:tc>
          <w:tcPr>
            <w:tcW w:w="126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Exit</w:t>
            </w:r>
          </w:p>
        </w:tc>
        <w:tc>
          <w:tcPr>
            <w:tcW w:w="126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Follow-Up</w:t>
            </w:r>
          </w:p>
        </w:tc>
      </w:tr>
      <w:tr w:rsidR="006D3C4E" w:rsidRPr="00AC7EA2" w:rsidTr="00E56E60">
        <w:trPr>
          <w:cantSplit/>
        </w:trPr>
        <w:tc>
          <w:tcPr>
            <w:tcW w:w="1458"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1710" w:type="dxa"/>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AC7EA2">
              <w:rPr>
                <w:rFonts w:ascii="Times New Roman" w:hAnsi="Times New Roman"/>
              </w:rPr>
              <w:t>Baseline and Exit</w:t>
            </w:r>
          </w:p>
        </w:tc>
        <w:tc>
          <w:tcPr>
            <w:tcW w:w="1350"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0.95</w:t>
            </w:r>
          </w:p>
        </w:tc>
        <w:tc>
          <w:tcPr>
            <w:tcW w:w="117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0.76</w:t>
            </w:r>
          </w:p>
        </w:tc>
        <w:tc>
          <w:tcPr>
            <w:tcW w:w="135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w:t>
            </w:r>
          </w:p>
        </w:tc>
        <w:tc>
          <w:tcPr>
            <w:tcW w:w="117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0.97</w:t>
            </w:r>
          </w:p>
        </w:tc>
        <w:tc>
          <w:tcPr>
            <w:tcW w:w="126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0.76</w:t>
            </w:r>
          </w:p>
        </w:tc>
        <w:tc>
          <w:tcPr>
            <w:tcW w:w="126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w:t>
            </w:r>
          </w:p>
        </w:tc>
      </w:tr>
      <w:tr w:rsidR="006D3C4E" w:rsidRPr="00AC7EA2" w:rsidTr="00E56E60">
        <w:trPr>
          <w:cantSplit/>
        </w:trPr>
        <w:tc>
          <w:tcPr>
            <w:tcW w:w="145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1710" w:type="dxa"/>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AC7EA2">
              <w:rPr>
                <w:rFonts w:ascii="Times New Roman" w:hAnsi="Times New Roman"/>
              </w:rPr>
              <w:t>Baseline, Exit, and 3 – 5 –Month Post-Exit Follow-up</w:t>
            </w:r>
          </w:p>
        </w:tc>
        <w:tc>
          <w:tcPr>
            <w:tcW w:w="135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0.91</w:t>
            </w:r>
          </w:p>
        </w:tc>
        <w:tc>
          <w:tcPr>
            <w:tcW w:w="117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0.67</w:t>
            </w:r>
          </w:p>
        </w:tc>
        <w:tc>
          <w:tcPr>
            <w:tcW w:w="135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0.32</w:t>
            </w:r>
          </w:p>
        </w:tc>
        <w:tc>
          <w:tcPr>
            <w:tcW w:w="117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0.95</w:t>
            </w:r>
          </w:p>
        </w:tc>
        <w:tc>
          <w:tcPr>
            <w:tcW w:w="126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0.65</w:t>
            </w:r>
          </w:p>
        </w:tc>
        <w:tc>
          <w:tcPr>
            <w:tcW w:w="1260"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0.45</w:t>
            </w:r>
          </w:p>
        </w:tc>
      </w:tr>
    </w:tbl>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The following exhibit shows the expected number of data collection points per participant, adjusted for response rates. Please note that the available data do not contain information on the number of single-day participants who did not take the required exit survey. Lacking data on past response rates for this category of participants, the below exhibit makes the conservative assumption that all of them will take the required survey. This will lead to a slight over-estimate of the expected number of exit surveys taken by this group.  </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ind w:right="720"/>
        <w:rPr>
          <w:rStyle w:val="WP9BodyText"/>
          <w:rFonts w:ascii="Times New Roman" w:hAnsi="Times New Roman"/>
          <w:b/>
        </w:rPr>
      </w:pPr>
      <w:r w:rsidRPr="00AC7EA2">
        <w:rPr>
          <w:rStyle w:val="WP9BodyText"/>
          <w:rFonts w:ascii="Times New Roman" w:hAnsi="Times New Roman"/>
          <w:b/>
        </w:rPr>
        <w:t>Exhibit 4: Required and Expected Numbers of Data Collection Points by Service Duration</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5"/>
        <w:gridCol w:w="2074"/>
        <w:gridCol w:w="2075"/>
      </w:tblGrid>
      <w:tr w:rsidR="006D3C4E" w:rsidRPr="00AC7EA2" w:rsidTr="00E56E60">
        <w:trPr>
          <w:cantSplit/>
          <w:trHeight w:val="330"/>
          <w:tblHeader/>
        </w:trPr>
        <w:tc>
          <w:tcPr>
            <w:tcW w:w="2074" w:type="dxa"/>
            <w:vMerge w:val="restart"/>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Duration</w:t>
            </w:r>
          </w:p>
        </w:tc>
        <w:tc>
          <w:tcPr>
            <w:tcW w:w="2075" w:type="dxa"/>
            <w:vMerge w:val="restart"/>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Required # of Data Collection Points</w:t>
            </w:r>
          </w:p>
        </w:tc>
        <w:tc>
          <w:tcPr>
            <w:tcW w:w="4149" w:type="dxa"/>
            <w:gridSpan w:val="2"/>
            <w:shd w:val="clear" w:color="auto" w:fill="BFBFBF"/>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Expected # of Data Collection Points</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(Exhibit 3)</w:t>
            </w:r>
          </w:p>
        </w:tc>
      </w:tr>
      <w:tr w:rsidR="006D3C4E" w:rsidRPr="00AC7EA2" w:rsidTr="00E56E60">
        <w:trPr>
          <w:cantSplit/>
          <w:trHeight w:val="330"/>
          <w:tblHeader/>
        </w:trPr>
        <w:tc>
          <w:tcPr>
            <w:tcW w:w="2074" w:type="dxa"/>
            <w:vMerge/>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2075" w:type="dxa"/>
            <w:vMerge/>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p>
        </w:tc>
        <w:tc>
          <w:tcPr>
            <w:tcW w:w="2074"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Youth</w:t>
            </w:r>
          </w:p>
        </w:tc>
        <w:tc>
          <w:tcPr>
            <w:tcW w:w="2075"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Adult</w:t>
            </w:r>
          </w:p>
        </w:tc>
      </w:tr>
      <w:tr w:rsidR="006D3C4E" w:rsidRPr="00AC7EA2" w:rsidTr="00E56E60">
        <w:trPr>
          <w:cantSplit/>
        </w:trPr>
        <w:tc>
          <w:tcPr>
            <w:tcW w:w="2074"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 day or less</w:t>
            </w:r>
          </w:p>
        </w:tc>
        <w:tc>
          <w:tcPr>
            <w:tcW w:w="2075" w:type="dxa"/>
            <w:vAlign w:val="center"/>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ind w:left="0"/>
              <w:contextualSpacing w:val="0"/>
              <w:rPr>
                <w:rFonts w:ascii="Times New Roman" w:hAnsi="Times New Roman"/>
              </w:rPr>
            </w:pPr>
            <w:r w:rsidRPr="00AC7EA2">
              <w:rPr>
                <w:rFonts w:ascii="Times New Roman" w:hAnsi="Times New Roman"/>
              </w:rPr>
              <w:t>1</w:t>
            </w:r>
          </w:p>
        </w:tc>
        <w:tc>
          <w:tcPr>
            <w:tcW w:w="2074"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1.00</w:t>
            </w:r>
          </w:p>
        </w:tc>
        <w:tc>
          <w:tcPr>
            <w:tcW w:w="2075"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1.00</w:t>
            </w:r>
          </w:p>
        </w:tc>
      </w:tr>
      <w:tr w:rsidR="006D3C4E" w:rsidRPr="00AC7EA2" w:rsidTr="00E56E60">
        <w:trPr>
          <w:cantSplit/>
        </w:trPr>
        <w:tc>
          <w:tcPr>
            <w:tcW w:w="2074"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2075" w:type="dxa"/>
            <w:vAlign w:val="center"/>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ind w:left="0"/>
              <w:contextualSpacing w:val="0"/>
              <w:rPr>
                <w:rFonts w:ascii="Times New Roman" w:hAnsi="Times New Roman"/>
              </w:rPr>
            </w:pPr>
            <w:r w:rsidRPr="00AC7EA2">
              <w:rPr>
                <w:rFonts w:ascii="Times New Roman" w:hAnsi="Times New Roman"/>
              </w:rPr>
              <w:t>2</w:t>
            </w:r>
          </w:p>
        </w:tc>
        <w:tc>
          <w:tcPr>
            <w:tcW w:w="2074"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1.71</w:t>
            </w:r>
          </w:p>
        </w:tc>
        <w:tc>
          <w:tcPr>
            <w:tcW w:w="2075"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1.74</w:t>
            </w:r>
          </w:p>
        </w:tc>
      </w:tr>
      <w:tr w:rsidR="006D3C4E" w:rsidRPr="00AC7EA2" w:rsidTr="00E56E60">
        <w:trPr>
          <w:cantSplit/>
        </w:trPr>
        <w:tc>
          <w:tcPr>
            <w:tcW w:w="2074"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2075" w:type="dxa"/>
            <w:vAlign w:val="center"/>
          </w:tcPr>
          <w:p w:rsidR="006D3C4E" w:rsidRPr="00AC7EA2" w:rsidRDefault="006D3C4E" w:rsidP="00E56E60">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4"/>
              <w:rPr>
                <w:rFonts w:ascii="Times New Roman" w:hAnsi="Times New Roman"/>
              </w:rPr>
            </w:pPr>
            <w:r w:rsidRPr="00AC7EA2">
              <w:rPr>
                <w:rFonts w:ascii="Times New Roman" w:hAnsi="Times New Roman"/>
              </w:rPr>
              <w:t>3</w:t>
            </w:r>
          </w:p>
        </w:tc>
        <w:tc>
          <w:tcPr>
            <w:tcW w:w="2074"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1.90</w:t>
            </w:r>
          </w:p>
        </w:tc>
        <w:tc>
          <w:tcPr>
            <w:tcW w:w="2075"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2.05</w:t>
            </w:r>
          </w:p>
        </w:tc>
      </w:tr>
    </w:tbl>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Exhibits 5a and 5b are worksheets for calculating total annualized burden for the youth and adult questionnaires, respectively.</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6D3C4E">
        <w:rPr>
          <w:rStyle w:val="WP9BodyText"/>
          <w:rFonts w:ascii="Times New Roman" w:hAnsi="Times New Roman"/>
          <w:b/>
        </w:rPr>
        <w:t>Exhibit 5a:</w:t>
      </w:r>
      <w:r w:rsidRPr="00AC7EA2">
        <w:rPr>
          <w:rStyle w:val="WP9BodyText"/>
          <w:rFonts w:ascii="Times New Roman" w:hAnsi="Times New Roman"/>
          <w:b/>
        </w:rPr>
        <w:t xml:space="preserve"> Estimated Annualized Burden of the Youth Instrument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530"/>
        <w:gridCol w:w="1350"/>
        <w:gridCol w:w="1440"/>
        <w:gridCol w:w="1260"/>
        <w:gridCol w:w="1260"/>
      </w:tblGrid>
      <w:tr w:rsidR="006D3C4E" w:rsidRPr="00AC7EA2" w:rsidTr="00E56E60">
        <w:trPr>
          <w:cantSplit/>
          <w:trHeight w:val="670"/>
          <w:tblHeader/>
        </w:trPr>
        <w:tc>
          <w:tcPr>
            <w:tcW w:w="1435"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 Duration</w:t>
            </w:r>
          </w:p>
        </w:tc>
        <w:tc>
          <w:tcPr>
            <w:tcW w:w="153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Expected # of Respondents</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1)</w:t>
            </w:r>
          </w:p>
        </w:tc>
        <w:tc>
          <w:tcPr>
            <w:tcW w:w="153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Expected # of Responses per respondent</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4)</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total # of responses</w:t>
            </w:r>
          </w:p>
        </w:tc>
        <w:tc>
          <w:tcPr>
            <w:tcW w:w="144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 of Hours Per Response</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2)</w:t>
            </w:r>
          </w:p>
        </w:tc>
        <w:tc>
          <w:tcPr>
            <w:tcW w:w="126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Total Hour Burden</w:t>
            </w:r>
          </w:p>
        </w:tc>
        <w:tc>
          <w:tcPr>
            <w:tcW w:w="126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086655">
              <w:rPr>
                <w:rFonts w:ascii="Times New Roman" w:hAnsi="Times New Roman"/>
                <w:b/>
                <w:smallCaps/>
              </w:rPr>
              <w:t>Total Cost</w:t>
            </w:r>
          </w:p>
        </w:tc>
      </w:tr>
      <w:tr w:rsidR="006D3C4E" w:rsidRPr="00AC7EA2" w:rsidTr="00E56E60">
        <w:trPr>
          <w:cantSplit/>
        </w:trPr>
        <w:tc>
          <w:tcPr>
            <w:tcW w:w="1435"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 day or less</w:t>
            </w:r>
          </w:p>
        </w:tc>
        <w:tc>
          <w:tcPr>
            <w:tcW w:w="153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64</w:t>
            </w:r>
          </w:p>
        </w:tc>
        <w:tc>
          <w:tcPr>
            <w:tcW w:w="153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1</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64</w:t>
            </w:r>
          </w:p>
        </w:tc>
        <w:tc>
          <w:tcPr>
            <w:tcW w:w="1440" w:type="dxa"/>
            <w:vAlign w:val="center"/>
          </w:tcPr>
          <w:p w:rsidR="006D3C4E" w:rsidRPr="00AC7EA2" w:rsidRDefault="006D3C4E" w:rsidP="00E56E60">
            <w:pPr>
              <w:rPr>
                <w:rFonts w:ascii="Times New Roman" w:hAnsi="Times New Roman"/>
                <w:color w:val="000000"/>
              </w:rPr>
            </w:pPr>
            <w:r w:rsidRPr="00AC7EA2">
              <w:rPr>
                <w:rFonts w:ascii="Times New Roman" w:hAnsi="Times New Roman"/>
              </w:rPr>
              <w:t>0.2</w:t>
            </w:r>
            <w:r>
              <w:rPr>
                <w:rFonts w:ascii="Times New Roman" w:hAnsi="Times New Roman"/>
              </w:rPr>
              <w:t>167</w:t>
            </w:r>
          </w:p>
        </w:tc>
        <w:tc>
          <w:tcPr>
            <w:tcW w:w="126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14</w:t>
            </w:r>
          </w:p>
        </w:tc>
        <w:tc>
          <w:tcPr>
            <w:tcW w:w="1260" w:type="dxa"/>
            <w:vAlign w:val="center"/>
          </w:tcPr>
          <w:p w:rsidR="006D3C4E" w:rsidRPr="00AC7EA2" w:rsidRDefault="006D3C4E" w:rsidP="00E56E60">
            <w:pPr>
              <w:rPr>
                <w:rFonts w:ascii="Times New Roman" w:hAnsi="Times New Roman"/>
                <w:color w:val="000000"/>
              </w:rPr>
            </w:pPr>
            <w:r>
              <w:rPr>
                <w:rFonts w:ascii="Arial" w:hAnsi="Arial" w:cs="Arial"/>
                <w:color w:val="000000"/>
                <w:sz w:val="22"/>
                <w:szCs w:val="22"/>
              </w:rPr>
              <w:t>$161</w:t>
            </w:r>
          </w:p>
        </w:tc>
      </w:tr>
      <w:tr w:rsidR="006D3C4E" w:rsidRPr="00AC7EA2" w:rsidTr="00E56E60">
        <w:trPr>
          <w:cantSplit/>
        </w:trPr>
        <w:tc>
          <w:tcPr>
            <w:tcW w:w="1435"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153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240</w:t>
            </w:r>
          </w:p>
        </w:tc>
        <w:tc>
          <w:tcPr>
            <w:tcW w:w="153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480</w:t>
            </w:r>
          </w:p>
        </w:tc>
        <w:tc>
          <w:tcPr>
            <w:tcW w:w="1440" w:type="dxa"/>
            <w:vAlign w:val="center"/>
          </w:tcPr>
          <w:p w:rsidR="006D3C4E" w:rsidRPr="00AC7EA2" w:rsidRDefault="006D3C4E" w:rsidP="00E56E60">
            <w:pPr>
              <w:rPr>
                <w:rFonts w:ascii="Times New Roman" w:hAnsi="Times New Roman"/>
                <w:color w:val="000000"/>
              </w:rPr>
            </w:pPr>
            <w:r w:rsidRPr="00AC7EA2">
              <w:rPr>
                <w:rFonts w:ascii="Times New Roman" w:hAnsi="Times New Roman"/>
              </w:rPr>
              <w:t>0.43</w:t>
            </w:r>
            <w:r>
              <w:rPr>
                <w:rFonts w:ascii="Times New Roman" w:hAnsi="Times New Roman"/>
              </w:rPr>
              <w:t>33</w:t>
            </w:r>
          </w:p>
        </w:tc>
        <w:tc>
          <w:tcPr>
            <w:tcW w:w="126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20</w:t>
            </w:r>
            <w:r>
              <w:rPr>
                <w:rFonts w:ascii="Times New Roman" w:hAnsi="Times New Roman"/>
                <w:color w:val="000000"/>
              </w:rPr>
              <w:t>8</w:t>
            </w:r>
          </w:p>
        </w:tc>
        <w:tc>
          <w:tcPr>
            <w:tcW w:w="1260" w:type="dxa"/>
            <w:vAlign w:val="center"/>
          </w:tcPr>
          <w:p w:rsidR="006D3C4E" w:rsidRPr="00AC7EA2" w:rsidRDefault="006D3C4E" w:rsidP="00E56E60">
            <w:pPr>
              <w:rPr>
                <w:rFonts w:ascii="Times New Roman" w:hAnsi="Times New Roman"/>
                <w:color w:val="000000"/>
              </w:rPr>
            </w:pPr>
            <w:r>
              <w:rPr>
                <w:rFonts w:ascii="Arial" w:hAnsi="Arial" w:cs="Arial"/>
                <w:color w:val="000000"/>
                <w:sz w:val="22"/>
                <w:szCs w:val="22"/>
              </w:rPr>
              <w:t>$2,392</w:t>
            </w:r>
          </w:p>
        </w:tc>
      </w:tr>
      <w:tr w:rsidR="006D3C4E" w:rsidRPr="00AC7EA2" w:rsidTr="00E56E60">
        <w:trPr>
          <w:cantSplit/>
        </w:trPr>
        <w:tc>
          <w:tcPr>
            <w:tcW w:w="1435"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153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1,136</w:t>
            </w:r>
          </w:p>
        </w:tc>
        <w:tc>
          <w:tcPr>
            <w:tcW w:w="153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2,272</w:t>
            </w:r>
          </w:p>
        </w:tc>
        <w:tc>
          <w:tcPr>
            <w:tcW w:w="1440" w:type="dxa"/>
            <w:vAlign w:val="center"/>
          </w:tcPr>
          <w:p w:rsidR="006D3C4E" w:rsidRPr="00AC7EA2" w:rsidRDefault="006D3C4E" w:rsidP="00E56E60">
            <w:pPr>
              <w:rPr>
                <w:rFonts w:ascii="Times New Roman" w:hAnsi="Times New Roman"/>
                <w:color w:val="000000"/>
              </w:rPr>
            </w:pPr>
            <w:r w:rsidRPr="00AC7EA2">
              <w:rPr>
                <w:rFonts w:ascii="Times New Roman" w:hAnsi="Times New Roman"/>
              </w:rPr>
              <w:t>0.6</w:t>
            </w:r>
            <w:r>
              <w:rPr>
                <w:rFonts w:ascii="Times New Roman" w:hAnsi="Times New Roman"/>
              </w:rPr>
              <w:t>167</w:t>
            </w:r>
          </w:p>
        </w:tc>
        <w:tc>
          <w:tcPr>
            <w:tcW w:w="126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1,40</w:t>
            </w:r>
            <w:r>
              <w:rPr>
                <w:rFonts w:ascii="Times New Roman" w:hAnsi="Times New Roman"/>
                <w:color w:val="000000"/>
              </w:rPr>
              <w:t>1</w:t>
            </w:r>
          </w:p>
        </w:tc>
        <w:tc>
          <w:tcPr>
            <w:tcW w:w="1260" w:type="dxa"/>
            <w:vAlign w:val="center"/>
          </w:tcPr>
          <w:p w:rsidR="006D3C4E" w:rsidRPr="00AC7EA2" w:rsidRDefault="006D3C4E" w:rsidP="00E56E60">
            <w:pPr>
              <w:rPr>
                <w:rFonts w:ascii="Times New Roman" w:hAnsi="Times New Roman"/>
                <w:color w:val="000000"/>
              </w:rPr>
            </w:pPr>
            <w:r>
              <w:rPr>
                <w:rFonts w:ascii="Arial" w:hAnsi="Arial" w:cs="Arial"/>
                <w:color w:val="000000"/>
                <w:sz w:val="22"/>
                <w:szCs w:val="22"/>
              </w:rPr>
              <w:t>$16,112</w:t>
            </w:r>
          </w:p>
        </w:tc>
      </w:tr>
      <w:tr w:rsidR="006D3C4E" w:rsidRPr="00AC7EA2" w:rsidTr="00E56E60">
        <w:trPr>
          <w:cantSplit/>
        </w:trPr>
        <w:tc>
          <w:tcPr>
            <w:tcW w:w="1435"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rPr>
            </w:pPr>
            <w:r w:rsidRPr="00AC7EA2">
              <w:rPr>
                <w:rFonts w:ascii="Times New Roman" w:hAnsi="Times New Roman"/>
                <w:b/>
              </w:rPr>
              <w:t>Annualized Total</w:t>
            </w:r>
          </w:p>
        </w:tc>
        <w:tc>
          <w:tcPr>
            <w:tcW w:w="1530" w:type="dxa"/>
            <w:tcBorders>
              <w:right w:val="single" w:sz="12" w:space="0" w:color="FFFFFF" w:themeColor="background1"/>
            </w:tcBorders>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 </w:t>
            </w:r>
          </w:p>
        </w:tc>
        <w:tc>
          <w:tcPr>
            <w:tcW w:w="1530" w:type="dxa"/>
            <w:tcBorders>
              <w:left w:val="single" w:sz="12" w:space="0" w:color="FFFFFF" w:themeColor="background1"/>
              <w:right w:val="single" w:sz="12" w:space="0" w:color="FFFFFF" w:themeColor="background1"/>
            </w:tcBorders>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 </w:t>
            </w:r>
          </w:p>
        </w:tc>
        <w:tc>
          <w:tcPr>
            <w:tcW w:w="1350" w:type="dxa"/>
            <w:tcBorders>
              <w:left w:val="single" w:sz="12" w:space="0" w:color="FFFFFF" w:themeColor="background1"/>
              <w:right w:val="single" w:sz="12" w:space="0" w:color="FFFFFF" w:themeColor="background1"/>
            </w:tcBorders>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 </w:t>
            </w:r>
          </w:p>
        </w:tc>
        <w:tc>
          <w:tcPr>
            <w:tcW w:w="1440" w:type="dxa"/>
            <w:tcBorders>
              <w:left w:val="single" w:sz="12" w:space="0" w:color="FFFFFF" w:themeColor="background1"/>
            </w:tcBorders>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 </w:t>
            </w:r>
          </w:p>
        </w:tc>
        <w:tc>
          <w:tcPr>
            <w:tcW w:w="1260" w:type="dxa"/>
            <w:vAlign w:val="center"/>
          </w:tcPr>
          <w:p w:rsidR="006D3C4E" w:rsidRPr="00AC7EA2" w:rsidRDefault="006D3C4E" w:rsidP="00E56E60">
            <w:pPr>
              <w:rPr>
                <w:rFonts w:ascii="Times New Roman" w:hAnsi="Times New Roman"/>
                <w:b/>
                <w:color w:val="000000"/>
              </w:rPr>
            </w:pPr>
            <w:r w:rsidRPr="00AC7EA2">
              <w:rPr>
                <w:rFonts w:ascii="Times New Roman" w:hAnsi="Times New Roman"/>
                <w:b/>
                <w:color w:val="000000"/>
              </w:rPr>
              <w:t>1,</w:t>
            </w:r>
            <w:r>
              <w:rPr>
                <w:rFonts w:ascii="Times New Roman" w:hAnsi="Times New Roman"/>
                <w:b/>
                <w:color w:val="000000"/>
              </w:rPr>
              <w:t>6</w:t>
            </w:r>
            <w:r w:rsidRPr="00AC7EA2">
              <w:rPr>
                <w:rFonts w:ascii="Times New Roman" w:hAnsi="Times New Roman"/>
                <w:b/>
                <w:color w:val="000000"/>
              </w:rPr>
              <w:t>23</w:t>
            </w:r>
          </w:p>
        </w:tc>
        <w:tc>
          <w:tcPr>
            <w:tcW w:w="1260" w:type="dxa"/>
            <w:vAlign w:val="center"/>
          </w:tcPr>
          <w:p w:rsidR="006D3C4E" w:rsidRPr="00AC7EA2" w:rsidRDefault="006D3C4E" w:rsidP="00E56E60">
            <w:pPr>
              <w:rPr>
                <w:rFonts w:ascii="Times New Roman" w:hAnsi="Times New Roman"/>
                <w:b/>
                <w:color w:val="000000"/>
              </w:rPr>
            </w:pPr>
            <w:r>
              <w:rPr>
                <w:rFonts w:ascii="Arial" w:hAnsi="Arial" w:cs="Arial"/>
                <w:color w:val="000000"/>
                <w:sz w:val="22"/>
                <w:szCs w:val="22"/>
              </w:rPr>
              <w:t>$18,665</w:t>
            </w:r>
          </w:p>
        </w:tc>
      </w:tr>
    </w:tbl>
    <w:p w:rsidR="006D3C4E"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The total estimated burden of responding to the youth questionnaire is </w:t>
      </w:r>
      <w:r w:rsidRPr="00AC7EA2">
        <w:rPr>
          <w:rStyle w:val="WP9BodyText"/>
          <w:rFonts w:ascii="Times New Roman" w:hAnsi="Times New Roman"/>
          <w:b/>
        </w:rPr>
        <w:t>1,</w:t>
      </w:r>
      <w:r>
        <w:rPr>
          <w:rStyle w:val="WP9BodyText"/>
          <w:rFonts w:ascii="Times New Roman" w:hAnsi="Times New Roman"/>
          <w:b/>
        </w:rPr>
        <w:t>6</w:t>
      </w:r>
      <w:r w:rsidRPr="00AC7EA2">
        <w:rPr>
          <w:rStyle w:val="WP9BodyText"/>
          <w:rFonts w:ascii="Times New Roman" w:hAnsi="Times New Roman"/>
          <w:b/>
        </w:rPr>
        <w:t xml:space="preserve">23 hours </w:t>
      </w:r>
      <w:r w:rsidRPr="00AC7EA2">
        <w:rPr>
          <w:rStyle w:val="WP9BodyText"/>
          <w:rFonts w:ascii="Times New Roman" w:hAnsi="Times New Roman"/>
        </w:rPr>
        <w:t>per year</w:t>
      </w:r>
      <w:r>
        <w:rPr>
          <w:rStyle w:val="WP9BodyText"/>
          <w:rFonts w:ascii="Times New Roman" w:hAnsi="Times New Roman"/>
        </w:rPr>
        <w:t xml:space="preserve">. </w:t>
      </w:r>
      <w:r w:rsidRPr="00AC7EA2">
        <w:rPr>
          <w:rStyle w:val="WP9BodyText"/>
          <w:rFonts w:ascii="Times New Roman" w:hAnsi="Times New Roman"/>
        </w:rPr>
        <w:t xml:space="preserve">Assuming that the monetary value of an hour of the participant’s time is $11.50, this burden corresponds to </w:t>
      </w:r>
      <w:r w:rsidRPr="00AC7EA2">
        <w:rPr>
          <w:rStyle w:val="WP9BodyText"/>
          <w:rFonts w:ascii="Times New Roman" w:hAnsi="Times New Roman"/>
          <w:b/>
        </w:rPr>
        <w:t>$</w:t>
      </w:r>
      <w:r>
        <w:rPr>
          <w:rStyle w:val="WP9BodyText"/>
          <w:rFonts w:ascii="Times New Roman" w:hAnsi="Times New Roman"/>
          <w:b/>
        </w:rPr>
        <w:t>18,665</w:t>
      </w:r>
      <w:r w:rsidRPr="00AC7EA2">
        <w:rPr>
          <w:rStyle w:val="WP9BodyText"/>
          <w:rFonts w:ascii="Times New Roman" w:hAnsi="Times New Roman"/>
          <w:b/>
        </w:rPr>
        <w:t xml:space="preserve"> </w:t>
      </w:r>
      <w:r w:rsidRPr="00AC7EA2">
        <w:rPr>
          <w:rStyle w:val="WP9BodyText"/>
          <w:rFonts w:ascii="Times New Roman" w:hAnsi="Times New Roman"/>
        </w:rPr>
        <w:t>per year.</w:t>
      </w:r>
      <w:r>
        <w:rPr>
          <w:rStyle w:val="WP9BodyText"/>
          <w:rFonts w:ascii="Times New Roman" w:hAnsi="Times New Roman"/>
        </w:rPr>
        <w:t xml:space="preserve"> </w:t>
      </w:r>
      <w:r w:rsidRPr="00AC7EA2">
        <w:rPr>
          <w:rStyle w:val="WP9BodyText"/>
          <w:rFonts w:ascii="Times New Roman" w:hAnsi="Times New Roman"/>
        </w:rPr>
        <w:t>The hourly cost estimate of $11.50 is based on the District of Columbia’s minimum wage planned to go into effect on 7/1/2016 (National Conference of State Legislatures, 2015). The minimum wage is an appropriate estimate of the monetary value of the respondents’ time, given th</w:t>
      </w:r>
      <w:r>
        <w:rPr>
          <w:rStyle w:val="WP9BodyText"/>
          <w:rFonts w:ascii="Times New Roman" w:hAnsi="Times New Roman"/>
        </w:rPr>
        <w:t>at the respondents are below age 18 and the majority are full-time students</w:t>
      </w:r>
      <w:r w:rsidRPr="00AC7EA2">
        <w:rPr>
          <w:rStyle w:val="WP9BodyText"/>
          <w:rFonts w:ascii="Times New Roman" w:hAnsi="Times New Roman"/>
        </w:rPr>
        <w:t xml:space="preserve">. </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b/>
        </w:rPr>
        <w:t>Exhibit 5b: Estimated Annualized Burden of the Adult Instrument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350"/>
        <w:gridCol w:w="1350"/>
        <w:gridCol w:w="1350"/>
        <w:gridCol w:w="1350"/>
        <w:gridCol w:w="1350"/>
        <w:gridCol w:w="1350"/>
      </w:tblGrid>
      <w:tr w:rsidR="006D3C4E" w:rsidRPr="00AC7EA2" w:rsidTr="00E56E60">
        <w:trPr>
          <w:cantSplit/>
          <w:trHeight w:val="670"/>
          <w:tblHeader/>
        </w:trPr>
        <w:tc>
          <w:tcPr>
            <w:tcW w:w="1728"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 Duration</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Expected # of Respondents</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1)</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Expected # of Responses per respondent</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4)</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total # of responses</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 of Hours Per Response</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2)</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Total Hour Burden</w:t>
            </w:r>
          </w:p>
        </w:tc>
        <w:tc>
          <w:tcPr>
            <w:tcW w:w="135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Estimated Cost*</w:t>
            </w:r>
          </w:p>
        </w:tc>
      </w:tr>
      <w:tr w:rsidR="006D3C4E" w:rsidRPr="00AC7EA2" w:rsidTr="00E56E60">
        <w:trPr>
          <w:cantSplit/>
        </w:trPr>
        <w:tc>
          <w:tcPr>
            <w:tcW w:w="172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 day or less</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1,0</w:t>
            </w:r>
            <w:r w:rsidR="004E3BC3">
              <w:rPr>
                <w:rFonts w:ascii="Times New Roman" w:hAnsi="Times New Roman"/>
                <w:color w:val="000000"/>
              </w:rPr>
              <w:t>4</w:t>
            </w:r>
            <w:r w:rsidRPr="00AC7EA2">
              <w:rPr>
                <w:rFonts w:ascii="Times New Roman" w:hAnsi="Times New Roman"/>
                <w:color w:val="000000"/>
              </w:rPr>
              <w:t>0</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1</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1,0</w:t>
            </w:r>
            <w:r w:rsidR="004E3BC3">
              <w:rPr>
                <w:rFonts w:ascii="Times New Roman" w:hAnsi="Times New Roman"/>
                <w:color w:val="000000"/>
              </w:rPr>
              <w:t>4</w:t>
            </w:r>
            <w:r w:rsidRPr="00AC7EA2">
              <w:rPr>
                <w:rFonts w:ascii="Times New Roman" w:hAnsi="Times New Roman"/>
                <w:color w:val="000000"/>
              </w:rPr>
              <w:t>0</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rPr>
              <w:t>0.2</w:t>
            </w:r>
            <w:r>
              <w:rPr>
                <w:rFonts w:ascii="Times New Roman" w:hAnsi="Times New Roman"/>
              </w:rPr>
              <w:t>167</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2</w:t>
            </w:r>
            <w:r w:rsidR="004E3BC3">
              <w:rPr>
                <w:rFonts w:ascii="Times New Roman" w:hAnsi="Times New Roman"/>
                <w:color w:val="000000"/>
              </w:rPr>
              <w:t>25</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$2,</w:t>
            </w:r>
            <w:r w:rsidR="004E3BC3">
              <w:rPr>
                <w:rFonts w:ascii="Times New Roman" w:hAnsi="Times New Roman"/>
                <w:color w:val="000000"/>
              </w:rPr>
              <w:t>588</w:t>
            </w:r>
          </w:p>
        </w:tc>
      </w:tr>
      <w:tr w:rsidR="006D3C4E" w:rsidRPr="00AC7EA2" w:rsidTr="00E56E60">
        <w:trPr>
          <w:cantSplit/>
        </w:trPr>
        <w:tc>
          <w:tcPr>
            <w:tcW w:w="1728"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4,</w:t>
            </w:r>
            <w:r w:rsidR="004E3BC3">
              <w:rPr>
                <w:rFonts w:ascii="Times New Roman" w:hAnsi="Times New Roman"/>
                <w:color w:val="000000"/>
              </w:rPr>
              <w:t>314</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8,</w:t>
            </w:r>
            <w:r w:rsidR="004E3BC3">
              <w:rPr>
                <w:rFonts w:ascii="Times New Roman" w:hAnsi="Times New Roman"/>
                <w:color w:val="000000"/>
              </w:rPr>
              <w:t>628</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rPr>
              <w:t>0.38</w:t>
            </w:r>
            <w:r>
              <w:rPr>
                <w:rFonts w:ascii="Times New Roman" w:hAnsi="Times New Roman"/>
              </w:rPr>
              <w:t>33</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3,</w:t>
            </w:r>
            <w:r w:rsidR="004E3BC3">
              <w:rPr>
                <w:rFonts w:ascii="Times New Roman" w:hAnsi="Times New Roman"/>
                <w:color w:val="000000"/>
              </w:rPr>
              <w:t>307</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$3</w:t>
            </w:r>
            <w:r w:rsidR="004E3BC3">
              <w:rPr>
                <w:rFonts w:ascii="Times New Roman" w:hAnsi="Times New Roman"/>
                <w:color w:val="000000"/>
              </w:rPr>
              <w:t>8</w:t>
            </w:r>
            <w:r w:rsidRPr="00AC7EA2">
              <w:rPr>
                <w:rFonts w:ascii="Times New Roman" w:hAnsi="Times New Roman"/>
                <w:color w:val="000000"/>
              </w:rPr>
              <w:t>,</w:t>
            </w:r>
            <w:r w:rsidR="004E3BC3">
              <w:rPr>
                <w:rFonts w:ascii="Times New Roman" w:hAnsi="Times New Roman"/>
                <w:color w:val="000000"/>
              </w:rPr>
              <w:t>031</w:t>
            </w:r>
          </w:p>
        </w:tc>
      </w:tr>
      <w:tr w:rsidR="006D3C4E" w:rsidRPr="00AC7EA2" w:rsidTr="00E56E60">
        <w:trPr>
          <w:cantSplit/>
        </w:trPr>
        <w:tc>
          <w:tcPr>
            <w:tcW w:w="172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1</w:t>
            </w:r>
            <w:r w:rsidR="004E3BC3">
              <w:rPr>
                <w:rFonts w:ascii="Times New Roman" w:hAnsi="Times New Roman"/>
                <w:color w:val="000000"/>
              </w:rPr>
              <w:t>9</w:t>
            </w:r>
            <w:r w:rsidRPr="00AC7EA2">
              <w:rPr>
                <w:rFonts w:ascii="Times New Roman" w:hAnsi="Times New Roman"/>
                <w:color w:val="000000"/>
              </w:rPr>
              <w:t>,</w:t>
            </w:r>
            <w:r w:rsidR="004E3BC3">
              <w:rPr>
                <w:rFonts w:ascii="Times New Roman" w:hAnsi="Times New Roman"/>
                <w:color w:val="000000"/>
              </w:rPr>
              <w:t>150</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2</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3</w:t>
            </w:r>
            <w:r w:rsidR="004E3BC3">
              <w:rPr>
                <w:rFonts w:ascii="Times New Roman" w:hAnsi="Times New Roman"/>
                <w:color w:val="000000"/>
              </w:rPr>
              <w:t>8</w:t>
            </w:r>
            <w:r w:rsidRPr="00AC7EA2">
              <w:rPr>
                <w:rFonts w:ascii="Times New Roman" w:hAnsi="Times New Roman"/>
                <w:color w:val="000000"/>
              </w:rPr>
              <w:t>,</w:t>
            </w:r>
            <w:r w:rsidR="004E3BC3">
              <w:rPr>
                <w:rFonts w:ascii="Times New Roman" w:hAnsi="Times New Roman"/>
                <w:color w:val="000000"/>
              </w:rPr>
              <w:t>300</w:t>
            </w:r>
          </w:p>
        </w:tc>
        <w:tc>
          <w:tcPr>
            <w:tcW w:w="1350" w:type="dxa"/>
            <w:vAlign w:val="center"/>
          </w:tcPr>
          <w:p w:rsidR="006D3C4E" w:rsidRPr="00AC7EA2" w:rsidRDefault="006D3C4E" w:rsidP="00E56E60">
            <w:pPr>
              <w:rPr>
                <w:rFonts w:ascii="Times New Roman" w:hAnsi="Times New Roman"/>
                <w:color w:val="000000"/>
              </w:rPr>
            </w:pPr>
            <w:r w:rsidRPr="00AC7EA2">
              <w:rPr>
                <w:rFonts w:ascii="Times New Roman" w:hAnsi="Times New Roman"/>
              </w:rPr>
              <w:t>0.53</w:t>
            </w:r>
            <w:r>
              <w:rPr>
                <w:rFonts w:ascii="Times New Roman" w:hAnsi="Times New Roman"/>
              </w:rPr>
              <w:t>33</w:t>
            </w:r>
          </w:p>
        </w:tc>
        <w:tc>
          <w:tcPr>
            <w:tcW w:w="1350" w:type="dxa"/>
            <w:vAlign w:val="center"/>
          </w:tcPr>
          <w:p w:rsidR="006D3C4E" w:rsidRPr="00AC7EA2" w:rsidRDefault="004E3BC3" w:rsidP="004E3BC3">
            <w:pPr>
              <w:rPr>
                <w:rFonts w:ascii="Times New Roman" w:hAnsi="Times New Roman"/>
                <w:color w:val="000000"/>
              </w:rPr>
            </w:pPr>
            <w:r>
              <w:rPr>
                <w:rFonts w:ascii="Times New Roman" w:hAnsi="Times New Roman"/>
                <w:color w:val="000000"/>
              </w:rPr>
              <w:t>20,425</w:t>
            </w:r>
          </w:p>
        </w:tc>
        <w:tc>
          <w:tcPr>
            <w:tcW w:w="1350" w:type="dxa"/>
            <w:vAlign w:val="center"/>
          </w:tcPr>
          <w:p w:rsidR="006D3C4E" w:rsidRPr="00AC7EA2" w:rsidRDefault="006D3C4E" w:rsidP="004E3BC3">
            <w:pPr>
              <w:rPr>
                <w:rFonts w:ascii="Times New Roman" w:hAnsi="Times New Roman"/>
                <w:color w:val="000000"/>
              </w:rPr>
            </w:pPr>
            <w:r w:rsidRPr="00AC7EA2">
              <w:rPr>
                <w:rFonts w:ascii="Times New Roman" w:hAnsi="Times New Roman"/>
                <w:color w:val="000000"/>
              </w:rPr>
              <w:t>$2</w:t>
            </w:r>
            <w:r w:rsidR="004E3BC3">
              <w:rPr>
                <w:rFonts w:ascii="Times New Roman" w:hAnsi="Times New Roman"/>
                <w:color w:val="000000"/>
              </w:rPr>
              <w:t>34</w:t>
            </w:r>
            <w:r w:rsidRPr="00AC7EA2">
              <w:rPr>
                <w:rFonts w:ascii="Times New Roman" w:hAnsi="Times New Roman"/>
                <w:color w:val="000000"/>
              </w:rPr>
              <w:t>,</w:t>
            </w:r>
            <w:r>
              <w:rPr>
                <w:rFonts w:ascii="Times New Roman" w:hAnsi="Times New Roman"/>
                <w:color w:val="000000"/>
              </w:rPr>
              <w:t>8</w:t>
            </w:r>
            <w:r w:rsidR="004E3BC3">
              <w:rPr>
                <w:rFonts w:ascii="Times New Roman" w:hAnsi="Times New Roman"/>
                <w:color w:val="000000"/>
              </w:rPr>
              <w:t>88</w:t>
            </w:r>
          </w:p>
        </w:tc>
      </w:tr>
      <w:tr w:rsidR="006D3C4E" w:rsidRPr="00AC7EA2" w:rsidTr="00E56E60">
        <w:trPr>
          <w:cantSplit/>
        </w:trPr>
        <w:tc>
          <w:tcPr>
            <w:tcW w:w="172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rPr>
            </w:pPr>
            <w:r w:rsidRPr="00AC7EA2">
              <w:rPr>
                <w:rFonts w:ascii="Times New Roman" w:hAnsi="Times New Roman"/>
                <w:b/>
              </w:rPr>
              <w:t>Annualized Total</w:t>
            </w:r>
          </w:p>
        </w:tc>
        <w:tc>
          <w:tcPr>
            <w:tcW w:w="1350" w:type="dxa"/>
            <w:tcBorders>
              <w:right w:val="single" w:sz="12" w:space="0" w:color="FFFFFF" w:themeColor="background1"/>
            </w:tcBorders>
            <w:vAlign w:val="center"/>
          </w:tcPr>
          <w:p w:rsidR="006D3C4E" w:rsidRPr="00AC7EA2" w:rsidRDefault="006D3C4E" w:rsidP="00E56E60">
            <w:pPr>
              <w:rPr>
                <w:rFonts w:ascii="Times New Roman" w:hAnsi="Times New Roman"/>
                <w:b/>
                <w:color w:val="000000"/>
              </w:rPr>
            </w:pPr>
            <w:r w:rsidRPr="00AC7EA2">
              <w:rPr>
                <w:rFonts w:ascii="Times New Roman" w:hAnsi="Times New Roman"/>
                <w:b/>
                <w:color w:val="000000"/>
              </w:rPr>
              <w:t> </w:t>
            </w:r>
          </w:p>
        </w:tc>
        <w:tc>
          <w:tcPr>
            <w:tcW w:w="1350" w:type="dxa"/>
            <w:tcBorders>
              <w:left w:val="single" w:sz="12" w:space="0" w:color="FFFFFF" w:themeColor="background1"/>
              <w:right w:val="single" w:sz="12" w:space="0" w:color="FFFFFF" w:themeColor="background1"/>
            </w:tcBorders>
            <w:vAlign w:val="center"/>
          </w:tcPr>
          <w:p w:rsidR="006D3C4E" w:rsidRPr="00AC7EA2" w:rsidRDefault="006D3C4E" w:rsidP="00E56E60">
            <w:pPr>
              <w:rPr>
                <w:rFonts w:ascii="Times New Roman" w:hAnsi="Times New Roman"/>
                <w:b/>
                <w:color w:val="000000"/>
              </w:rPr>
            </w:pPr>
            <w:r w:rsidRPr="00AC7EA2">
              <w:rPr>
                <w:rFonts w:ascii="Times New Roman" w:hAnsi="Times New Roman"/>
                <w:b/>
                <w:color w:val="000000"/>
              </w:rPr>
              <w:t> </w:t>
            </w:r>
          </w:p>
        </w:tc>
        <w:tc>
          <w:tcPr>
            <w:tcW w:w="1350" w:type="dxa"/>
            <w:tcBorders>
              <w:left w:val="single" w:sz="12" w:space="0" w:color="FFFFFF" w:themeColor="background1"/>
              <w:right w:val="single" w:sz="12" w:space="0" w:color="FFFFFF" w:themeColor="background1"/>
            </w:tcBorders>
            <w:vAlign w:val="center"/>
          </w:tcPr>
          <w:p w:rsidR="006D3C4E" w:rsidRPr="00AC7EA2" w:rsidRDefault="006D3C4E" w:rsidP="00E56E60">
            <w:pPr>
              <w:rPr>
                <w:rFonts w:ascii="Times New Roman" w:hAnsi="Times New Roman"/>
                <w:b/>
                <w:color w:val="000000"/>
              </w:rPr>
            </w:pPr>
            <w:r w:rsidRPr="00AC7EA2">
              <w:rPr>
                <w:rFonts w:ascii="Times New Roman" w:hAnsi="Times New Roman"/>
                <w:b/>
                <w:color w:val="000000"/>
              </w:rPr>
              <w:t> </w:t>
            </w:r>
          </w:p>
        </w:tc>
        <w:tc>
          <w:tcPr>
            <w:tcW w:w="1350" w:type="dxa"/>
            <w:tcBorders>
              <w:left w:val="single" w:sz="12" w:space="0" w:color="FFFFFF" w:themeColor="background1"/>
            </w:tcBorders>
            <w:vAlign w:val="center"/>
          </w:tcPr>
          <w:p w:rsidR="006D3C4E" w:rsidRPr="00AC7EA2" w:rsidRDefault="006D3C4E" w:rsidP="00E56E60">
            <w:pPr>
              <w:rPr>
                <w:rFonts w:ascii="Times New Roman" w:hAnsi="Times New Roman"/>
                <w:b/>
                <w:color w:val="000000"/>
              </w:rPr>
            </w:pPr>
            <w:r w:rsidRPr="00AC7EA2">
              <w:rPr>
                <w:rFonts w:ascii="Times New Roman" w:hAnsi="Times New Roman"/>
                <w:b/>
                <w:color w:val="000000"/>
              </w:rPr>
              <w:t> </w:t>
            </w:r>
          </w:p>
        </w:tc>
        <w:tc>
          <w:tcPr>
            <w:tcW w:w="1350" w:type="dxa"/>
            <w:vAlign w:val="center"/>
          </w:tcPr>
          <w:p w:rsidR="006D3C4E" w:rsidRPr="00AC7EA2" w:rsidRDefault="006D3C4E" w:rsidP="004E3BC3">
            <w:pPr>
              <w:rPr>
                <w:rFonts w:ascii="Times New Roman" w:hAnsi="Times New Roman"/>
                <w:b/>
                <w:color w:val="000000"/>
              </w:rPr>
            </w:pPr>
            <w:r w:rsidRPr="00AC7EA2">
              <w:rPr>
                <w:rFonts w:ascii="Times New Roman" w:hAnsi="Times New Roman"/>
                <w:b/>
                <w:color w:val="000000"/>
              </w:rPr>
              <w:t>2</w:t>
            </w:r>
            <w:r>
              <w:rPr>
                <w:rFonts w:ascii="Times New Roman" w:hAnsi="Times New Roman"/>
                <w:b/>
                <w:color w:val="000000"/>
              </w:rPr>
              <w:t>3</w:t>
            </w:r>
            <w:r w:rsidRPr="00AC7EA2">
              <w:rPr>
                <w:rFonts w:ascii="Times New Roman" w:hAnsi="Times New Roman"/>
                <w:b/>
                <w:color w:val="000000"/>
              </w:rPr>
              <w:t>,</w:t>
            </w:r>
            <w:r w:rsidR="004E3BC3">
              <w:rPr>
                <w:rFonts w:ascii="Times New Roman" w:hAnsi="Times New Roman"/>
                <w:b/>
                <w:color w:val="000000"/>
              </w:rPr>
              <w:t>957</w:t>
            </w:r>
          </w:p>
        </w:tc>
        <w:tc>
          <w:tcPr>
            <w:tcW w:w="1350" w:type="dxa"/>
            <w:vAlign w:val="center"/>
          </w:tcPr>
          <w:p w:rsidR="006D3C4E" w:rsidRPr="00AC7EA2" w:rsidRDefault="006D3C4E" w:rsidP="004E3BC3">
            <w:pPr>
              <w:rPr>
                <w:rFonts w:ascii="Times New Roman" w:hAnsi="Times New Roman"/>
                <w:b/>
                <w:color w:val="000000"/>
              </w:rPr>
            </w:pPr>
            <w:r w:rsidRPr="00AC7EA2">
              <w:rPr>
                <w:rFonts w:ascii="Times New Roman" w:hAnsi="Times New Roman"/>
                <w:b/>
                <w:color w:val="000000"/>
              </w:rPr>
              <w:t>$2</w:t>
            </w:r>
            <w:r w:rsidR="004E3BC3">
              <w:rPr>
                <w:rFonts w:ascii="Times New Roman" w:hAnsi="Times New Roman"/>
                <w:b/>
                <w:color w:val="000000"/>
              </w:rPr>
              <w:t>75</w:t>
            </w:r>
            <w:r w:rsidRPr="00AC7EA2">
              <w:rPr>
                <w:rFonts w:ascii="Times New Roman" w:hAnsi="Times New Roman"/>
                <w:b/>
                <w:color w:val="000000"/>
              </w:rPr>
              <w:t>,</w:t>
            </w:r>
            <w:r w:rsidR="004E3BC3">
              <w:rPr>
                <w:rFonts w:ascii="Times New Roman" w:hAnsi="Times New Roman"/>
                <w:b/>
                <w:color w:val="000000"/>
              </w:rPr>
              <w:t>507</w:t>
            </w:r>
          </w:p>
        </w:tc>
      </w:tr>
    </w:tbl>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Estimated at $11.50 per hour.</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The total estimated burden of responding to the adult questionnaire is </w:t>
      </w:r>
      <w:r w:rsidRPr="00AC7EA2">
        <w:rPr>
          <w:rStyle w:val="WP9BodyText"/>
          <w:rFonts w:ascii="Times New Roman" w:hAnsi="Times New Roman"/>
          <w:b/>
        </w:rPr>
        <w:t>23,</w:t>
      </w:r>
      <w:r w:rsidR="004E3BC3">
        <w:rPr>
          <w:rStyle w:val="WP9BodyText"/>
          <w:rFonts w:ascii="Times New Roman" w:hAnsi="Times New Roman"/>
          <w:b/>
        </w:rPr>
        <w:t>957</w:t>
      </w:r>
      <w:r w:rsidRPr="00AC7EA2">
        <w:rPr>
          <w:rStyle w:val="WP9BodyText"/>
          <w:rFonts w:ascii="Times New Roman" w:hAnsi="Times New Roman"/>
          <w:b/>
        </w:rPr>
        <w:t xml:space="preserve"> hours </w:t>
      </w:r>
      <w:r w:rsidRPr="00AC7EA2">
        <w:rPr>
          <w:rStyle w:val="WP9BodyText"/>
          <w:rFonts w:ascii="Times New Roman" w:hAnsi="Times New Roman"/>
        </w:rPr>
        <w:t xml:space="preserve">per year. Assuming that the monetary value of an hour of the adult participant’s time is $11.50, this burden corresponds to </w:t>
      </w:r>
      <w:r w:rsidRPr="00AC7EA2">
        <w:rPr>
          <w:rStyle w:val="WP9BodyText"/>
          <w:rFonts w:ascii="Times New Roman" w:hAnsi="Times New Roman"/>
          <w:b/>
        </w:rPr>
        <w:t>$2</w:t>
      </w:r>
      <w:r w:rsidR="004E3BC3">
        <w:rPr>
          <w:rStyle w:val="WP9BodyText"/>
          <w:rFonts w:ascii="Times New Roman" w:hAnsi="Times New Roman"/>
          <w:b/>
        </w:rPr>
        <w:t>75</w:t>
      </w:r>
      <w:r w:rsidRPr="00AC7EA2">
        <w:rPr>
          <w:rStyle w:val="WP9BodyText"/>
          <w:rFonts w:ascii="Times New Roman" w:hAnsi="Times New Roman"/>
          <w:b/>
        </w:rPr>
        <w:t>,</w:t>
      </w:r>
      <w:r w:rsidR="004E3BC3">
        <w:rPr>
          <w:rStyle w:val="WP9BodyText"/>
          <w:rFonts w:ascii="Times New Roman" w:hAnsi="Times New Roman"/>
          <w:b/>
        </w:rPr>
        <w:t>507</w:t>
      </w:r>
      <w:r w:rsidRPr="00AC7EA2">
        <w:rPr>
          <w:rStyle w:val="WP9BodyText"/>
          <w:rFonts w:ascii="Times New Roman" w:hAnsi="Times New Roman"/>
          <w:b/>
        </w:rPr>
        <w:t xml:space="preserve"> </w:t>
      </w:r>
      <w:r w:rsidRPr="00AC7EA2">
        <w:rPr>
          <w:rStyle w:val="WP9BodyText"/>
          <w:rFonts w:ascii="Times New Roman" w:hAnsi="Times New Roman"/>
        </w:rPr>
        <w:t xml:space="preserve">per year. The minimum wage is an appropriate estimate of the monetary value of the respondents’ time, given the target population of mostly college students and high-risk young adults. The justification for using this particular figure is that at the time of this writing, it was the highest state-mandated minimum wage in the nation for which the exact value was known. </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AC7EA2">
        <w:rPr>
          <w:rStyle w:val="WP9BodyText"/>
          <w:rFonts w:ascii="Times New Roman" w:hAnsi="Times New Roman"/>
          <w:b/>
        </w:rPr>
        <w:t>Estimated Burden of the Individual and Group Dosage Forms</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An Individual Dosage Form will be completed for each one-on-one service encounter with a participant, and takes, on average, three minutes</w:t>
      </w:r>
      <w:r>
        <w:rPr>
          <w:rStyle w:val="WP9BodyText"/>
          <w:rFonts w:ascii="Times New Roman" w:hAnsi="Times New Roman"/>
        </w:rPr>
        <w:t xml:space="preserve"> (0.0500 hours)</w:t>
      </w:r>
      <w:r w:rsidRPr="00AC7EA2">
        <w:rPr>
          <w:rStyle w:val="WP9BodyText"/>
          <w:rFonts w:ascii="Times New Roman" w:hAnsi="Times New Roman"/>
        </w:rPr>
        <w:t xml:space="preserve"> to complete. The number of service encounters that a participant has depends on the total duration of his/her services. Exhibit 6 displays the worksheet for estimating the total annualized burden of the Individual Dosage Form.</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b/>
        </w:rPr>
        <w:t>Exhibit 6: Estimated Annualized Burden of the Individual Dosage Form</w:t>
      </w:r>
    </w:p>
    <w:tbl>
      <w:tblPr>
        <w:tblW w:w="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440"/>
        <w:gridCol w:w="1296"/>
        <w:gridCol w:w="1422"/>
      </w:tblGrid>
      <w:tr w:rsidR="006D3C4E" w:rsidRPr="00AC7EA2" w:rsidTr="00E56E60">
        <w:trPr>
          <w:cantSplit/>
          <w:trHeight w:val="670"/>
          <w:tblHeader/>
        </w:trPr>
        <w:tc>
          <w:tcPr>
            <w:tcW w:w="1818"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rPr>
              <w:br w:type="page"/>
            </w:r>
            <w:r w:rsidRPr="00AC7EA2">
              <w:rPr>
                <w:rFonts w:ascii="Times New Roman" w:hAnsi="Times New Roman"/>
                <w:b/>
                <w:smallCaps/>
              </w:rPr>
              <w:t>Service Duration</w:t>
            </w:r>
          </w:p>
        </w:tc>
        <w:tc>
          <w:tcPr>
            <w:tcW w:w="153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Expected # of Participants</w:t>
            </w:r>
          </w:p>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(Exhibit 1)</w:t>
            </w:r>
          </w:p>
        </w:tc>
        <w:tc>
          <w:tcPr>
            <w:tcW w:w="1440"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Expected # of Service Encounters per Participant</w:t>
            </w:r>
          </w:p>
        </w:tc>
        <w:tc>
          <w:tcPr>
            <w:tcW w:w="1296"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total # of Forms Completed</w:t>
            </w:r>
          </w:p>
        </w:tc>
        <w:tc>
          <w:tcPr>
            <w:tcW w:w="1422" w:type="dxa"/>
            <w:shd w:val="clear" w:color="auto" w:fill="BFBFBF"/>
            <w:vAlign w:val="center"/>
          </w:tcPr>
          <w:p w:rsidR="006D3C4E" w:rsidRPr="00AC7EA2" w:rsidRDefault="006D3C4E" w:rsidP="00E56E60">
            <w:pPr>
              <w:keepNext/>
              <w:tabs>
                <w:tab w:val="left" w:pos="0"/>
                <w:tab w:val="left" w:pos="540"/>
                <w:tab w:val="left" w:pos="1080"/>
                <w:tab w:val="left" w:pos="1800"/>
                <w:tab w:val="left" w:pos="2520"/>
                <w:tab w:val="left" w:pos="3240"/>
                <w:tab w:val="left" w:pos="3960"/>
                <w:tab w:val="left" w:pos="4680"/>
                <w:tab w:val="left" w:pos="5400"/>
                <w:tab w:val="left" w:pos="9000"/>
              </w:tabs>
              <w:rPr>
                <w:rFonts w:ascii="Times New Roman" w:hAnsi="Times New Roman"/>
                <w:b/>
                <w:smallCaps/>
              </w:rPr>
            </w:pPr>
            <w:r w:rsidRPr="00AC7EA2">
              <w:rPr>
                <w:rFonts w:ascii="Times New Roman" w:hAnsi="Times New Roman"/>
                <w:b/>
                <w:smallCaps/>
              </w:rPr>
              <w:t>Total Hour Burden</w:t>
            </w:r>
          </w:p>
        </w:tc>
      </w:tr>
      <w:tr w:rsidR="006D3C4E" w:rsidRPr="00AC7EA2" w:rsidTr="008241E8">
        <w:trPr>
          <w:cantSplit/>
          <w:trHeight w:val="350"/>
        </w:trPr>
        <w:tc>
          <w:tcPr>
            <w:tcW w:w="181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1 day or less</w:t>
            </w:r>
          </w:p>
        </w:tc>
        <w:tc>
          <w:tcPr>
            <w:tcW w:w="1530" w:type="dxa"/>
            <w:vAlign w:val="center"/>
          </w:tcPr>
          <w:p w:rsidR="006D3C4E" w:rsidRPr="00AC7EA2" w:rsidRDefault="006D3C4E" w:rsidP="008241E8">
            <w:pPr>
              <w:rPr>
                <w:rFonts w:ascii="Times New Roman" w:hAnsi="Times New Roman"/>
                <w:color w:val="000000"/>
              </w:rPr>
            </w:pPr>
            <w:r w:rsidRPr="00AC7EA2">
              <w:rPr>
                <w:rFonts w:ascii="Times New Roman" w:hAnsi="Times New Roman"/>
                <w:color w:val="000000"/>
              </w:rPr>
              <w:t>1,</w:t>
            </w:r>
            <w:r w:rsidR="0098346B">
              <w:rPr>
                <w:rFonts w:ascii="Times New Roman" w:hAnsi="Times New Roman"/>
                <w:color w:val="000000"/>
              </w:rPr>
              <w:t>1</w:t>
            </w:r>
            <w:r w:rsidR="008241E8">
              <w:rPr>
                <w:rFonts w:ascii="Times New Roman" w:hAnsi="Times New Roman"/>
                <w:color w:val="000000"/>
              </w:rPr>
              <w:t>0</w:t>
            </w:r>
            <w:r w:rsidR="0098346B">
              <w:rPr>
                <w:rFonts w:ascii="Times New Roman" w:hAnsi="Times New Roman"/>
                <w:color w:val="000000"/>
              </w:rPr>
              <w:t>4</w:t>
            </w:r>
          </w:p>
        </w:tc>
        <w:tc>
          <w:tcPr>
            <w:tcW w:w="144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1</w:t>
            </w:r>
          </w:p>
        </w:tc>
        <w:tc>
          <w:tcPr>
            <w:tcW w:w="1296" w:type="dxa"/>
            <w:vAlign w:val="center"/>
          </w:tcPr>
          <w:p w:rsidR="006D3C4E" w:rsidRPr="00AC7EA2" w:rsidRDefault="006D3C4E" w:rsidP="008241E8">
            <w:pPr>
              <w:rPr>
                <w:rFonts w:ascii="Times New Roman" w:hAnsi="Times New Roman"/>
                <w:color w:val="000000"/>
              </w:rPr>
            </w:pPr>
            <w:r w:rsidRPr="00AC7EA2">
              <w:rPr>
                <w:rFonts w:ascii="Times New Roman" w:hAnsi="Times New Roman"/>
                <w:color w:val="000000"/>
              </w:rPr>
              <w:t>1,</w:t>
            </w:r>
            <w:r w:rsidR="008241E8">
              <w:rPr>
                <w:rFonts w:ascii="Times New Roman" w:hAnsi="Times New Roman"/>
                <w:color w:val="000000"/>
              </w:rPr>
              <w:t>104</w:t>
            </w:r>
          </w:p>
        </w:tc>
        <w:tc>
          <w:tcPr>
            <w:tcW w:w="1422"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5</w:t>
            </w:r>
            <w:r w:rsidR="008241E8">
              <w:rPr>
                <w:rFonts w:ascii="Times New Roman" w:hAnsi="Times New Roman"/>
                <w:color w:val="000000"/>
              </w:rPr>
              <w:t>5</w:t>
            </w:r>
          </w:p>
        </w:tc>
      </w:tr>
      <w:tr w:rsidR="006D3C4E" w:rsidRPr="00AC7EA2" w:rsidTr="00E56E60">
        <w:trPr>
          <w:cantSplit/>
        </w:trPr>
        <w:tc>
          <w:tcPr>
            <w:tcW w:w="1818" w:type="dxa"/>
            <w:vAlign w:val="center"/>
          </w:tcPr>
          <w:p w:rsidR="006D3C4E" w:rsidRPr="00AC7EA2" w:rsidDel="000F7086"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2 – 29 days</w:t>
            </w:r>
          </w:p>
        </w:tc>
        <w:tc>
          <w:tcPr>
            <w:tcW w:w="1530" w:type="dxa"/>
            <w:vAlign w:val="center"/>
          </w:tcPr>
          <w:p w:rsidR="006D3C4E" w:rsidRPr="00AC7EA2" w:rsidRDefault="006D3C4E" w:rsidP="0098346B">
            <w:pPr>
              <w:rPr>
                <w:rFonts w:ascii="Times New Roman" w:hAnsi="Times New Roman"/>
                <w:color w:val="000000"/>
              </w:rPr>
            </w:pPr>
            <w:r w:rsidRPr="00AC7EA2">
              <w:rPr>
                <w:rFonts w:ascii="Times New Roman" w:hAnsi="Times New Roman"/>
                <w:color w:val="000000"/>
              </w:rPr>
              <w:t>4,</w:t>
            </w:r>
            <w:r w:rsidR="0098346B">
              <w:rPr>
                <w:rFonts w:ascii="Times New Roman" w:hAnsi="Times New Roman"/>
                <w:color w:val="000000"/>
              </w:rPr>
              <w:t>554</w:t>
            </w:r>
          </w:p>
        </w:tc>
        <w:tc>
          <w:tcPr>
            <w:tcW w:w="144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4</w:t>
            </w:r>
          </w:p>
        </w:tc>
        <w:tc>
          <w:tcPr>
            <w:tcW w:w="1296" w:type="dxa"/>
            <w:vAlign w:val="center"/>
          </w:tcPr>
          <w:p w:rsidR="006D3C4E" w:rsidRPr="00AC7EA2" w:rsidRDefault="006D3C4E" w:rsidP="0098346B">
            <w:pPr>
              <w:rPr>
                <w:rFonts w:ascii="Times New Roman" w:hAnsi="Times New Roman"/>
                <w:color w:val="000000"/>
              </w:rPr>
            </w:pPr>
            <w:r w:rsidRPr="00AC7EA2">
              <w:rPr>
                <w:rFonts w:ascii="Times New Roman" w:hAnsi="Times New Roman"/>
                <w:color w:val="000000"/>
              </w:rPr>
              <w:t>1</w:t>
            </w:r>
            <w:r w:rsidR="0098346B">
              <w:rPr>
                <w:rFonts w:ascii="Times New Roman" w:hAnsi="Times New Roman"/>
                <w:color w:val="000000"/>
              </w:rPr>
              <w:t>8</w:t>
            </w:r>
            <w:r w:rsidRPr="00AC7EA2">
              <w:rPr>
                <w:rFonts w:ascii="Times New Roman" w:hAnsi="Times New Roman"/>
                <w:color w:val="000000"/>
              </w:rPr>
              <w:t>,</w:t>
            </w:r>
            <w:r w:rsidR="0098346B">
              <w:rPr>
                <w:rFonts w:ascii="Times New Roman" w:hAnsi="Times New Roman"/>
                <w:color w:val="000000"/>
              </w:rPr>
              <w:t>216</w:t>
            </w:r>
          </w:p>
        </w:tc>
        <w:tc>
          <w:tcPr>
            <w:tcW w:w="1422" w:type="dxa"/>
            <w:vAlign w:val="center"/>
          </w:tcPr>
          <w:p w:rsidR="006D3C4E" w:rsidRPr="00AC7EA2" w:rsidRDefault="008241E8" w:rsidP="00E56E60">
            <w:pPr>
              <w:rPr>
                <w:rFonts w:ascii="Times New Roman" w:hAnsi="Times New Roman"/>
                <w:color w:val="000000"/>
              </w:rPr>
            </w:pPr>
            <w:r>
              <w:rPr>
                <w:rFonts w:ascii="Times New Roman" w:hAnsi="Times New Roman"/>
                <w:color w:val="000000"/>
              </w:rPr>
              <w:t>911</w:t>
            </w:r>
          </w:p>
        </w:tc>
      </w:tr>
      <w:tr w:rsidR="006D3C4E" w:rsidRPr="00AC7EA2" w:rsidTr="00E56E60">
        <w:trPr>
          <w:cantSplit/>
        </w:trPr>
        <w:tc>
          <w:tcPr>
            <w:tcW w:w="181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AC7EA2">
              <w:rPr>
                <w:rFonts w:ascii="Times New Roman" w:hAnsi="Times New Roman"/>
              </w:rPr>
              <w:t>30 days or more</w:t>
            </w:r>
          </w:p>
        </w:tc>
        <w:tc>
          <w:tcPr>
            <w:tcW w:w="1530" w:type="dxa"/>
            <w:vAlign w:val="center"/>
          </w:tcPr>
          <w:p w:rsidR="006D3C4E" w:rsidRPr="00AC7EA2" w:rsidRDefault="0098346B" w:rsidP="0098346B">
            <w:pPr>
              <w:rPr>
                <w:rFonts w:ascii="Times New Roman" w:hAnsi="Times New Roman"/>
                <w:color w:val="000000"/>
              </w:rPr>
            </w:pPr>
            <w:r>
              <w:rPr>
                <w:rFonts w:ascii="Times New Roman" w:hAnsi="Times New Roman"/>
                <w:color w:val="000000"/>
              </w:rPr>
              <w:t>20</w:t>
            </w:r>
            <w:r w:rsidR="006D3C4E" w:rsidRPr="00AC7EA2">
              <w:rPr>
                <w:rFonts w:ascii="Times New Roman" w:hAnsi="Times New Roman"/>
                <w:color w:val="000000"/>
              </w:rPr>
              <w:t>,</w:t>
            </w:r>
            <w:r>
              <w:rPr>
                <w:rFonts w:ascii="Times New Roman" w:hAnsi="Times New Roman"/>
                <w:color w:val="000000"/>
              </w:rPr>
              <w:t>286</w:t>
            </w:r>
          </w:p>
        </w:tc>
        <w:tc>
          <w:tcPr>
            <w:tcW w:w="1440" w:type="dxa"/>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8</w:t>
            </w:r>
          </w:p>
        </w:tc>
        <w:tc>
          <w:tcPr>
            <w:tcW w:w="1296" w:type="dxa"/>
            <w:vAlign w:val="center"/>
          </w:tcPr>
          <w:p w:rsidR="006D3C4E" w:rsidRPr="00AC7EA2" w:rsidRDefault="006D3C4E" w:rsidP="0098346B">
            <w:pPr>
              <w:rPr>
                <w:rFonts w:ascii="Times New Roman" w:hAnsi="Times New Roman"/>
                <w:color w:val="000000"/>
              </w:rPr>
            </w:pPr>
            <w:r w:rsidRPr="00AC7EA2">
              <w:rPr>
                <w:rFonts w:ascii="Times New Roman" w:hAnsi="Times New Roman"/>
                <w:color w:val="000000"/>
              </w:rPr>
              <w:t>1</w:t>
            </w:r>
            <w:r w:rsidR="0098346B">
              <w:rPr>
                <w:rFonts w:ascii="Times New Roman" w:hAnsi="Times New Roman"/>
                <w:color w:val="000000"/>
              </w:rPr>
              <w:t>62</w:t>
            </w:r>
            <w:r w:rsidRPr="00AC7EA2">
              <w:rPr>
                <w:rFonts w:ascii="Times New Roman" w:hAnsi="Times New Roman"/>
                <w:color w:val="000000"/>
              </w:rPr>
              <w:t>,</w:t>
            </w:r>
            <w:r w:rsidR="0098346B">
              <w:rPr>
                <w:rFonts w:ascii="Times New Roman" w:hAnsi="Times New Roman"/>
                <w:color w:val="000000"/>
              </w:rPr>
              <w:t>288</w:t>
            </w:r>
          </w:p>
        </w:tc>
        <w:tc>
          <w:tcPr>
            <w:tcW w:w="1422" w:type="dxa"/>
            <w:vAlign w:val="center"/>
          </w:tcPr>
          <w:p w:rsidR="006D3C4E" w:rsidRPr="00AC7EA2" w:rsidRDefault="008241E8" w:rsidP="00E56E60">
            <w:pPr>
              <w:rPr>
                <w:rFonts w:ascii="Times New Roman" w:hAnsi="Times New Roman"/>
                <w:color w:val="000000"/>
              </w:rPr>
            </w:pPr>
            <w:r>
              <w:rPr>
                <w:rFonts w:ascii="Times New Roman" w:hAnsi="Times New Roman"/>
                <w:color w:val="000000"/>
              </w:rPr>
              <w:t>8,114</w:t>
            </w:r>
          </w:p>
        </w:tc>
      </w:tr>
      <w:tr w:rsidR="006D3C4E" w:rsidRPr="00AC7EA2" w:rsidTr="00E56E60">
        <w:trPr>
          <w:cantSplit/>
        </w:trPr>
        <w:tc>
          <w:tcPr>
            <w:tcW w:w="1818" w:type="dxa"/>
            <w:vAlign w:val="center"/>
          </w:tcPr>
          <w:p w:rsidR="006D3C4E" w:rsidRPr="00AC7EA2" w:rsidRDefault="006D3C4E" w:rsidP="00E56E6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rPr>
            </w:pPr>
            <w:r w:rsidRPr="00AC7EA2">
              <w:rPr>
                <w:rFonts w:ascii="Times New Roman" w:hAnsi="Times New Roman"/>
                <w:b/>
              </w:rPr>
              <w:t>Annualized Total</w:t>
            </w:r>
          </w:p>
        </w:tc>
        <w:tc>
          <w:tcPr>
            <w:tcW w:w="1530" w:type="dxa"/>
            <w:tcBorders>
              <w:right w:val="single" w:sz="4" w:space="0" w:color="auto"/>
            </w:tcBorders>
            <w:vAlign w:val="center"/>
          </w:tcPr>
          <w:p w:rsidR="006D3C4E" w:rsidRPr="00AC7EA2" w:rsidRDefault="006D3C4E" w:rsidP="0098346B">
            <w:pPr>
              <w:rPr>
                <w:rFonts w:ascii="Times New Roman" w:hAnsi="Times New Roman"/>
                <w:bCs/>
                <w:color w:val="000000"/>
              </w:rPr>
            </w:pPr>
            <w:r w:rsidRPr="00AC7EA2">
              <w:rPr>
                <w:rFonts w:ascii="Times New Roman" w:hAnsi="Times New Roman"/>
                <w:bCs/>
                <w:color w:val="000000"/>
              </w:rPr>
              <w:t>25,</w:t>
            </w:r>
            <w:r w:rsidR="0098346B">
              <w:rPr>
                <w:rFonts w:ascii="Times New Roman" w:hAnsi="Times New Roman"/>
                <w:bCs/>
                <w:color w:val="000000"/>
              </w:rPr>
              <w:t>944</w:t>
            </w:r>
          </w:p>
        </w:tc>
        <w:tc>
          <w:tcPr>
            <w:tcW w:w="1440" w:type="dxa"/>
            <w:tcBorders>
              <w:left w:val="single" w:sz="4" w:space="0" w:color="auto"/>
              <w:right w:val="single" w:sz="4" w:space="0" w:color="auto"/>
            </w:tcBorders>
            <w:vAlign w:val="center"/>
          </w:tcPr>
          <w:p w:rsidR="006D3C4E" w:rsidRPr="00AC7EA2" w:rsidRDefault="006D3C4E" w:rsidP="00E56E60">
            <w:pPr>
              <w:rPr>
                <w:rFonts w:ascii="Times New Roman" w:hAnsi="Times New Roman"/>
                <w:color w:val="000000"/>
              </w:rPr>
            </w:pPr>
            <w:r w:rsidRPr="00AC7EA2">
              <w:rPr>
                <w:rFonts w:ascii="Times New Roman" w:hAnsi="Times New Roman"/>
                <w:color w:val="000000"/>
              </w:rPr>
              <w:t> </w:t>
            </w:r>
          </w:p>
        </w:tc>
        <w:tc>
          <w:tcPr>
            <w:tcW w:w="1296" w:type="dxa"/>
            <w:tcBorders>
              <w:left w:val="single" w:sz="4" w:space="0" w:color="auto"/>
              <w:right w:val="single" w:sz="4" w:space="0" w:color="auto"/>
            </w:tcBorders>
            <w:vAlign w:val="center"/>
          </w:tcPr>
          <w:p w:rsidR="006D3C4E" w:rsidRPr="00AC7EA2" w:rsidRDefault="006D3C4E" w:rsidP="0098346B">
            <w:pPr>
              <w:rPr>
                <w:rFonts w:ascii="Times New Roman" w:hAnsi="Times New Roman"/>
                <w:bCs/>
                <w:color w:val="000000"/>
              </w:rPr>
            </w:pPr>
            <w:r w:rsidRPr="00AC7EA2">
              <w:rPr>
                <w:rFonts w:ascii="Times New Roman" w:hAnsi="Times New Roman"/>
                <w:bCs/>
                <w:color w:val="000000"/>
              </w:rPr>
              <w:t>1</w:t>
            </w:r>
            <w:r w:rsidR="0098346B">
              <w:rPr>
                <w:rFonts w:ascii="Times New Roman" w:hAnsi="Times New Roman"/>
                <w:bCs/>
                <w:color w:val="000000"/>
              </w:rPr>
              <w:t>81</w:t>
            </w:r>
            <w:r w:rsidRPr="00AC7EA2">
              <w:rPr>
                <w:rFonts w:ascii="Times New Roman" w:hAnsi="Times New Roman"/>
                <w:bCs/>
                <w:color w:val="000000"/>
              </w:rPr>
              <w:t>,</w:t>
            </w:r>
            <w:r w:rsidR="0098346B">
              <w:rPr>
                <w:rFonts w:ascii="Times New Roman" w:hAnsi="Times New Roman"/>
                <w:bCs/>
                <w:color w:val="000000"/>
              </w:rPr>
              <w:t>608</w:t>
            </w:r>
          </w:p>
        </w:tc>
        <w:tc>
          <w:tcPr>
            <w:tcW w:w="1422" w:type="dxa"/>
            <w:tcBorders>
              <w:left w:val="single" w:sz="4" w:space="0" w:color="auto"/>
            </w:tcBorders>
            <w:vAlign w:val="center"/>
          </w:tcPr>
          <w:p w:rsidR="006D3C4E" w:rsidRPr="00AC7EA2" w:rsidRDefault="0098346B" w:rsidP="00E56E60">
            <w:pPr>
              <w:rPr>
                <w:rFonts w:ascii="Times New Roman" w:hAnsi="Times New Roman"/>
                <w:b/>
                <w:bCs/>
                <w:color w:val="000000"/>
              </w:rPr>
            </w:pPr>
            <w:r>
              <w:rPr>
                <w:rFonts w:ascii="Times New Roman" w:hAnsi="Times New Roman"/>
                <w:b/>
                <w:bCs/>
                <w:color w:val="000000"/>
              </w:rPr>
              <w:t>9,080</w:t>
            </w:r>
          </w:p>
        </w:tc>
      </w:tr>
    </w:tbl>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The total annualized burden of the Individual Dosage Form is </w:t>
      </w:r>
      <w:r w:rsidR="0098346B">
        <w:rPr>
          <w:rStyle w:val="WP9BodyText"/>
          <w:rFonts w:ascii="Times New Roman" w:hAnsi="Times New Roman"/>
          <w:b/>
        </w:rPr>
        <w:t>9,080</w:t>
      </w:r>
      <w:r w:rsidRPr="00AC7EA2">
        <w:rPr>
          <w:rStyle w:val="WP9BodyText"/>
          <w:rFonts w:ascii="Times New Roman" w:hAnsi="Times New Roman"/>
          <w:b/>
        </w:rPr>
        <w:t xml:space="preserve"> hours </w:t>
      </w:r>
      <w:r w:rsidRPr="00AC7EA2">
        <w:rPr>
          <w:rStyle w:val="WP9BodyText"/>
          <w:rFonts w:ascii="Times New Roman" w:hAnsi="Times New Roman"/>
        </w:rPr>
        <w:t>per year.</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A Group Dosage Form will be completed for each group session held by the funded programs. The only difference between Individual and Group Dosage Forms is that participant identification numbers of the multiple attendees need to be entered for each group session. Further, the Group Dosage Form has space for entering up to three service codes and durations as compared to four in the Individual Dosage Form. Although the form has room for entering up to 80 attendee numbers, the typical group session has approximately 20 attendees. Entering this many participant numbers takes approximately five minutes, bringing the burden to eight minutes </w:t>
      </w:r>
      <w:r>
        <w:rPr>
          <w:rStyle w:val="WP9BodyText"/>
          <w:rFonts w:ascii="Times New Roman" w:hAnsi="Times New Roman"/>
        </w:rPr>
        <w:t xml:space="preserve">(0.1333 hours) </w:t>
      </w:r>
      <w:r w:rsidRPr="00AC7EA2">
        <w:rPr>
          <w:rStyle w:val="WP9BodyText"/>
          <w:rFonts w:ascii="Times New Roman" w:hAnsi="Times New Roman"/>
        </w:rPr>
        <w:t>per form.  Each grantee holds approximately 26 group sessions per year; spending a total of three hours completing Group Dosage Forms. The total annualized burden of the Group Dosage Form across all 13</w:t>
      </w:r>
      <w:r w:rsidR="00AC60DF">
        <w:rPr>
          <w:rStyle w:val="WP9BodyText"/>
          <w:rFonts w:ascii="Times New Roman" w:hAnsi="Times New Roman"/>
        </w:rPr>
        <w:t>8</w:t>
      </w:r>
      <w:r w:rsidRPr="00AC7EA2">
        <w:rPr>
          <w:rStyle w:val="WP9BodyText"/>
          <w:rFonts w:ascii="Times New Roman" w:hAnsi="Times New Roman"/>
        </w:rPr>
        <w:t xml:space="preserve"> grantees is, therefore, </w:t>
      </w:r>
      <w:r w:rsidRPr="00AC7EA2">
        <w:rPr>
          <w:rStyle w:val="WP9BodyText"/>
          <w:rFonts w:ascii="Times New Roman" w:hAnsi="Times New Roman"/>
          <w:b/>
        </w:rPr>
        <w:t>4</w:t>
      </w:r>
      <w:r w:rsidR="0098346B">
        <w:rPr>
          <w:rStyle w:val="WP9BodyText"/>
          <w:rFonts w:ascii="Times New Roman" w:hAnsi="Times New Roman"/>
          <w:b/>
        </w:rPr>
        <w:t>78</w:t>
      </w:r>
      <w:r w:rsidRPr="00AC7EA2">
        <w:rPr>
          <w:rStyle w:val="WP9BodyText"/>
          <w:rFonts w:ascii="Times New Roman" w:hAnsi="Times New Roman"/>
          <w:b/>
        </w:rPr>
        <w:t xml:space="preserve"> hours</w:t>
      </w:r>
      <w:r w:rsidRPr="00AC7EA2">
        <w:rPr>
          <w:rStyle w:val="WP9BodyText"/>
          <w:rFonts w:ascii="Times New Roman" w:hAnsi="Times New Roman"/>
        </w:rPr>
        <w:t xml:space="preserve">.  </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It is worth noting here that a typical program participant receives a combination of group and individual services and will have multiple service encounters of both types. Additionally, many group-format interventions take multiple sessions, each of which will require a separate Group Dosage Form. This implies that the above estimates of the annual numbers of completed forms cannot be used to deduce the number of participants served each year. </w:t>
      </w: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Given that the dosage forms are completed by grantee staff, most of whom are community and social service workers, it is appropriate to estimate the monetary value of their hour burden as the mean hourly wage for this occupational group. According to the Bureau of Labor Statistics (2015), this figure was $21.79 in May, 2014. Applying this wage rate to the estimated hour burden, the annualized costs of the Individual and Group Dosage Forms are estimated to be $19</w:t>
      </w:r>
      <w:r w:rsidR="00057C4A">
        <w:rPr>
          <w:rStyle w:val="WP9BodyText"/>
          <w:rFonts w:ascii="Times New Roman" w:hAnsi="Times New Roman"/>
        </w:rPr>
        <w:t>7</w:t>
      </w:r>
      <w:r w:rsidRPr="00AC7EA2">
        <w:rPr>
          <w:rStyle w:val="WP9BodyText"/>
          <w:rFonts w:ascii="Times New Roman" w:hAnsi="Times New Roman"/>
        </w:rPr>
        <w:t>,</w:t>
      </w:r>
      <w:r w:rsidR="00057C4A">
        <w:rPr>
          <w:rStyle w:val="WP9BodyText"/>
          <w:rFonts w:ascii="Times New Roman" w:hAnsi="Times New Roman"/>
        </w:rPr>
        <w:t>862</w:t>
      </w:r>
      <w:r w:rsidRPr="00AC7EA2">
        <w:rPr>
          <w:rStyle w:val="WP9BodyText"/>
          <w:rFonts w:ascii="Times New Roman" w:hAnsi="Times New Roman"/>
        </w:rPr>
        <w:t xml:space="preserve"> and $10,</w:t>
      </w:r>
      <w:r w:rsidR="00057C4A">
        <w:rPr>
          <w:rStyle w:val="WP9BodyText"/>
          <w:rFonts w:ascii="Times New Roman" w:hAnsi="Times New Roman"/>
        </w:rPr>
        <w:t>422</w:t>
      </w:r>
      <w:r w:rsidRPr="00AC7EA2">
        <w:rPr>
          <w:rStyle w:val="WP9BodyText"/>
          <w:rFonts w:ascii="Times New Roman" w:hAnsi="Times New Roman"/>
        </w:rPr>
        <w:t>, respectively.</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rPr>
      </w:pP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AC7EA2">
        <w:rPr>
          <w:rFonts w:ascii="Times New Roman" w:hAnsi="Times New Roman"/>
          <w:color w:val="000000"/>
        </w:rPr>
        <w:t xml:space="preserve">Exhibit 7 summarizes estimates of the total annualized </w:t>
      </w:r>
      <w:r>
        <w:rPr>
          <w:rFonts w:ascii="Times New Roman" w:hAnsi="Times New Roman"/>
          <w:color w:val="000000"/>
        </w:rPr>
        <w:t>burden for the four instruments</w:t>
      </w:r>
    </w:p>
    <w:p w:rsidR="006D3C4E" w:rsidRPr="00AC7EA2" w:rsidRDefault="006D3C4E" w:rsidP="006D3C4E">
      <w:pPr>
        <w:keepNext/>
        <w:pageBreakBefore/>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b/>
        </w:rPr>
        <w:t>Exhibit 7</w:t>
      </w:r>
      <w:r w:rsidR="00A52294">
        <w:rPr>
          <w:rStyle w:val="WP9BodyText"/>
          <w:rFonts w:ascii="Times New Roman" w:hAnsi="Times New Roman"/>
          <w:b/>
        </w:rPr>
        <w:t>a</w:t>
      </w:r>
      <w:r w:rsidRPr="00AC7EA2">
        <w:rPr>
          <w:rStyle w:val="WP9BodyText"/>
          <w:rFonts w:ascii="Times New Roman" w:hAnsi="Times New Roman"/>
          <w:b/>
        </w:rPr>
        <w:t>: Total Estimated Annualized Burden by Instrument</w:t>
      </w:r>
    </w:p>
    <w:tbl>
      <w:tblPr>
        <w:tblW w:w="10160" w:type="dxa"/>
        <w:tblLayout w:type="fixed"/>
        <w:tblCellMar>
          <w:left w:w="0" w:type="dxa"/>
          <w:right w:w="0" w:type="dxa"/>
        </w:tblCellMar>
        <w:tblLook w:val="04A0" w:firstRow="1" w:lastRow="0" w:firstColumn="1" w:lastColumn="0" w:noHBand="0" w:noVBand="1"/>
      </w:tblPr>
      <w:tblGrid>
        <w:gridCol w:w="1790"/>
        <w:gridCol w:w="1350"/>
        <w:gridCol w:w="1350"/>
        <w:gridCol w:w="1170"/>
        <w:gridCol w:w="1080"/>
        <w:gridCol w:w="990"/>
        <w:gridCol w:w="990"/>
        <w:gridCol w:w="1440"/>
      </w:tblGrid>
      <w:tr w:rsidR="006D3C4E" w:rsidRPr="00AC7EA2" w:rsidTr="004437A8">
        <w:trPr>
          <w:cantSplit/>
          <w:trHeight w:val="900"/>
          <w:tblHeader/>
        </w:trPr>
        <w:tc>
          <w:tcPr>
            <w:tcW w:w="1790"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Type of respondent activity</w:t>
            </w:r>
          </w:p>
        </w:tc>
        <w:tc>
          <w:tcPr>
            <w:tcW w:w="135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Number of Respondents</w:t>
            </w:r>
          </w:p>
        </w:tc>
        <w:tc>
          <w:tcPr>
            <w:tcW w:w="135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Responses per Respondent*</w:t>
            </w:r>
          </w:p>
        </w:tc>
        <w:tc>
          <w:tcPr>
            <w:tcW w:w="117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Total Responses</w:t>
            </w:r>
          </w:p>
        </w:tc>
        <w:tc>
          <w:tcPr>
            <w:tcW w:w="108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Hours per Response</w:t>
            </w:r>
          </w:p>
        </w:tc>
        <w:tc>
          <w:tcPr>
            <w:tcW w:w="99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Total Burden Hours</w:t>
            </w:r>
          </w:p>
        </w:tc>
        <w:tc>
          <w:tcPr>
            <w:tcW w:w="99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Wage Rate</w:t>
            </w:r>
          </w:p>
        </w:tc>
        <w:tc>
          <w:tcPr>
            <w:tcW w:w="144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3C4E" w:rsidRPr="00AC7EA2" w:rsidRDefault="006D3C4E" w:rsidP="00E56E60">
            <w:pPr>
              <w:autoSpaceDE w:val="0"/>
              <w:autoSpaceDN w:val="0"/>
              <w:spacing w:before="18"/>
              <w:ind w:right="80"/>
              <w:rPr>
                <w:rFonts w:ascii="Times New Roman" w:hAnsi="Times New Roman"/>
                <w:b/>
                <w:smallCaps/>
              </w:rPr>
            </w:pPr>
            <w:r w:rsidRPr="00AC7EA2">
              <w:rPr>
                <w:rFonts w:ascii="Times New Roman" w:hAnsi="Times New Roman"/>
                <w:b/>
                <w:smallCaps/>
              </w:rPr>
              <w:t>Total Hour Cost </w:t>
            </w:r>
          </w:p>
        </w:tc>
      </w:tr>
      <w:tr w:rsidR="006D3C4E" w:rsidRPr="00AC7EA2" w:rsidTr="004437A8">
        <w:trPr>
          <w:cantSplit/>
          <w:trHeight w:val="900"/>
        </w:trPr>
        <w:tc>
          <w:tcPr>
            <w:tcW w:w="1790"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b/>
              </w:rPr>
              <w:t>Youth Questionnaire/</w:t>
            </w:r>
            <w:r w:rsidRPr="00AC7EA2">
              <w:rPr>
                <w:rFonts w:ascii="Times New Roman" w:hAnsi="Times New Roman"/>
              </w:rPr>
              <w:t xml:space="preserve"> Single-day service duration </w:t>
            </w:r>
          </w:p>
        </w:tc>
        <w:tc>
          <w:tcPr>
            <w:tcW w:w="135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64</w:t>
            </w:r>
          </w:p>
        </w:tc>
        <w:tc>
          <w:tcPr>
            <w:tcW w:w="135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w:t>
            </w:r>
          </w:p>
        </w:tc>
        <w:tc>
          <w:tcPr>
            <w:tcW w:w="117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64</w:t>
            </w:r>
          </w:p>
        </w:tc>
        <w:tc>
          <w:tcPr>
            <w:tcW w:w="108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0.2167</w:t>
            </w:r>
          </w:p>
        </w:tc>
        <w:tc>
          <w:tcPr>
            <w:tcW w:w="99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14</w:t>
            </w:r>
          </w:p>
        </w:tc>
        <w:tc>
          <w:tcPr>
            <w:tcW w:w="99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rPr>
              <w:t>$11.50</w:t>
            </w:r>
          </w:p>
        </w:tc>
        <w:tc>
          <w:tcPr>
            <w:tcW w:w="144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rPr>
              <w:t>$161</w:t>
            </w:r>
          </w:p>
        </w:tc>
      </w:tr>
      <w:tr w:rsidR="006D3C4E" w:rsidRPr="00AC7EA2" w:rsidTr="004437A8">
        <w:trPr>
          <w:cantSplit/>
          <w:trHeight w:val="900"/>
        </w:trPr>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b/>
              </w:rPr>
              <w:t>Youth Questionnair</w:t>
            </w:r>
            <w:r w:rsidRPr="00AC7EA2">
              <w:rPr>
                <w:rFonts w:ascii="Times New Roman" w:hAnsi="Times New Roman"/>
              </w:rPr>
              <w:t xml:space="preserve">e/ 2-29-day service duration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240</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480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0.4333</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208</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$11.50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rPr>
              <w:t>$2</w:t>
            </w:r>
            <w:r>
              <w:rPr>
                <w:rFonts w:ascii="Times New Roman" w:hAnsi="Times New Roman"/>
              </w:rPr>
              <w:t>,</w:t>
            </w:r>
            <w:r w:rsidRPr="00AC7EA2">
              <w:rPr>
                <w:rFonts w:ascii="Times New Roman" w:hAnsi="Times New Roman"/>
              </w:rPr>
              <w:t>392</w:t>
            </w:r>
          </w:p>
        </w:tc>
      </w:tr>
      <w:tr w:rsidR="006D3C4E" w:rsidRPr="00AC7EA2" w:rsidTr="004437A8">
        <w:trPr>
          <w:cantSplit/>
          <w:trHeight w:val="900"/>
        </w:trPr>
        <w:tc>
          <w:tcPr>
            <w:tcW w:w="1790" w:type="dxa"/>
            <w:tcBorders>
              <w:top w:val="single" w:sz="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b/>
              </w:rPr>
              <w:t>Youth Questionnaire/</w:t>
            </w:r>
            <w:r w:rsidRPr="00AC7EA2">
              <w:rPr>
                <w:rFonts w:ascii="Times New Roman" w:hAnsi="Times New Roman"/>
              </w:rPr>
              <w:t xml:space="preserve"> 30-or-more-day service duration </w:t>
            </w:r>
          </w:p>
        </w:tc>
        <w:tc>
          <w:tcPr>
            <w:tcW w:w="135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1,136</w:t>
            </w:r>
          </w:p>
        </w:tc>
        <w:tc>
          <w:tcPr>
            <w:tcW w:w="135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w:t>
            </w:r>
          </w:p>
        </w:tc>
        <w:tc>
          <w:tcPr>
            <w:tcW w:w="117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2,158</w:t>
            </w:r>
          </w:p>
        </w:tc>
        <w:tc>
          <w:tcPr>
            <w:tcW w:w="108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0.6167</w:t>
            </w:r>
          </w:p>
        </w:tc>
        <w:tc>
          <w:tcPr>
            <w:tcW w:w="99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1,401</w:t>
            </w:r>
          </w:p>
        </w:tc>
        <w:tc>
          <w:tcPr>
            <w:tcW w:w="99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$11.50</w:t>
            </w:r>
          </w:p>
        </w:tc>
        <w:tc>
          <w:tcPr>
            <w:tcW w:w="144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rPr>
              <w:t>$16,11</w:t>
            </w:r>
            <w:r>
              <w:rPr>
                <w:rFonts w:ascii="Times New Roman" w:hAnsi="Times New Roman"/>
              </w:rPr>
              <w:t>2</w:t>
            </w:r>
          </w:p>
        </w:tc>
      </w:tr>
      <w:tr w:rsidR="006D3C4E" w:rsidRPr="00AC7EA2" w:rsidTr="004437A8">
        <w:trPr>
          <w:cantSplit/>
          <w:trHeight w:val="900"/>
        </w:trPr>
        <w:tc>
          <w:tcPr>
            <w:tcW w:w="1790"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b/>
              </w:rPr>
              <w:t>Adult Questionnaire/</w:t>
            </w:r>
            <w:r w:rsidRPr="00AC7EA2">
              <w:rPr>
                <w:rFonts w:ascii="Times New Roman" w:hAnsi="Times New Roman"/>
              </w:rPr>
              <w:t xml:space="preserve"> Single-day service duration</w:t>
            </w:r>
          </w:p>
        </w:tc>
        <w:tc>
          <w:tcPr>
            <w:tcW w:w="135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98346B">
            <w:pPr>
              <w:autoSpaceDE w:val="0"/>
              <w:autoSpaceDN w:val="0"/>
              <w:spacing w:before="18"/>
              <w:ind w:right="80"/>
              <w:rPr>
                <w:rFonts w:ascii="Times New Roman" w:hAnsi="Times New Roman"/>
              </w:rPr>
            </w:pPr>
            <w:r w:rsidRPr="00AC7EA2">
              <w:rPr>
                <w:rFonts w:ascii="Times New Roman" w:hAnsi="Times New Roman"/>
                <w:color w:val="000000"/>
              </w:rPr>
              <w:t>1,0</w:t>
            </w:r>
            <w:r w:rsidR="0098346B">
              <w:rPr>
                <w:rFonts w:ascii="Times New Roman" w:hAnsi="Times New Roman"/>
                <w:color w:val="000000"/>
              </w:rPr>
              <w:t>4</w:t>
            </w:r>
            <w:r w:rsidRPr="00AC7EA2">
              <w:rPr>
                <w:rFonts w:ascii="Times New Roman" w:hAnsi="Times New Roman"/>
                <w:color w:val="000000"/>
              </w:rPr>
              <w:t>0</w:t>
            </w:r>
          </w:p>
        </w:tc>
        <w:tc>
          <w:tcPr>
            <w:tcW w:w="135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w:t>
            </w:r>
          </w:p>
        </w:tc>
        <w:tc>
          <w:tcPr>
            <w:tcW w:w="117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4437A8">
            <w:pPr>
              <w:autoSpaceDE w:val="0"/>
              <w:autoSpaceDN w:val="0"/>
              <w:spacing w:before="18"/>
              <w:ind w:right="80"/>
              <w:rPr>
                <w:rFonts w:ascii="Times New Roman" w:hAnsi="Times New Roman"/>
              </w:rPr>
            </w:pPr>
            <w:r w:rsidRPr="00AC7EA2">
              <w:rPr>
                <w:rFonts w:ascii="Times New Roman" w:hAnsi="Times New Roman"/>
                <w:color w:val="000000"/>
              </w:rPr>
              <w:t>1,0</w:t>
            </w:r>
            <w:r w:rsidR="004437A8">
              <w:rPr>
                <w:rFonts w:ascii="Times New Roman" w:hAnsi="Times New Roman"/>
                <w:color w:val="000000"/>
              </w:rPr>
              <w:t>4</w:t>
            </w:r>
            <w:r w:rsidRPr="00AC7EA2">
              <w:rPr>
                <w:rFonts w:ascii="Times New Roman" w:hAnsi="Times New Roman"/>
                <w:color w:val="000000"/>
              </w:rPr>
              <w:t>0</w:t>
            </w:r>
          </w:p>
        </w:tc>
        <w:tc>
          <w:tcPr>
            <w:tcW w:w="108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0.2167</w:t>
            </w:r>
          </w:p>
        </w:tc>
        <w:tc>
          <w:tcPr>
            <w:tcW w:w="99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2</w:t>
            </w:r>
            <w:r w:rsidR="00FF7F91">
              <w:rPr>
                <w:rFonts w:ascii="Times New Roman" w:hAnsi="Times New Roman"/>
                <w:color w:val="000000"/>
              </w:rPr>
              <w:t>25</w:t>
            </w:r>
          </w:p>
        </w:tc>
        <w:tc>
          <w:tcPr>
            <w:tcW w:w="99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$11.50</w:t>
            </w:r>
          </w:p>
        </w:tc>
        <w:tc>
          <w:tcPr>
            <w:tcW w:w="1440"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$2,</w:t>
            </w:r>
            <w:r w:rsidR="00FF7F91">
              <w:rPr>
                <w:rFonts w:ascii="Times New Roman" w:hAnsi="Times New Roman"/>
                <w:color w:val="000000"/>
              </w:rPr>
              <w:t>588</w:t>
            </w:r>
          </w:p>
        </w:tc>
      </w:tr>
      <w:tr w:rsidR="006D3C4E" w:rsidRPr="00AC7EA2" w:rsidTr="004437A8">
        <w:trPr>
          <w:cantSplit/>
          <w:trHeight w:val="900"/>
        </w:trPr>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b/>
              </w:rPr>
              <w:t>Adult Questionnaire/</w:t>
            </w:r>
            <w:r w:rsidRPr="00AC7EA2">
              <w:rPr>
                <w:rFonts w:ascii="Times New Roman" w:hAnsi="Times New Roman"/>
              </w:rPr>
              <w:t xml:space="preserve"> 2-29-day service duration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98346B">
            <w:pPr>
              <w:autoSpaceDE w:val="0"/>
              <w:autoSpaceDN w:val="0"/>
              <w:spacing w:before="18"/>
              <w:ind w:right="80"/>
              <w:rPr>
                <w:rFonts w:ascii="Times New Roman" w:hAnsi="Times New Roman"/>
              </w:rPr>
            </w:pPr>
            <w:r w:rsidRPr="00AC7EA2">
              <w:rPr>
                <w:rFonts w:ascii="Times New Roman" w:hAnsi="Times New Roman"/>
                <w:color w:val="000000"/>
              </w:rPr>
              <w:t>4,</w:t>
            </w:r>
            <w:r w:rsidR="0098346B">
              <w:rPr>
                <w:rFonts w:ascii="Times New Roman" w:hAnsi="Times New Roman"/>
                <w:color w:val="000000"/>
              </w:rPr>
              <w:t>314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Pr>
                <w:rFonts w:ascii="Times New Roman" w:hAnsi="Times New Roman"/>
                <w:color w:val="000000"/>
              </w:rPr>
              <w:t>8,</w:t>
            </w:r>
            <w:r w:rsidR="00FF7F91">
              <w:rPr>
                <w:rFonts w:ascii="Times New Roman" w:hAnsi="Times New Roman"/>
                <w:color w:val="000000"/>
              </w:rPr>
              <w:t>628</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0.3833</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3,</w:t>
            </w:r>
            <w:r w:rsidR="00FF7F91">
              <w:rPr>
                <w:rFonts w:ascii="Times New Roman" w:hAnsi="Times New Roman"/>
                <w:color w:val="000000"/>
              </w:rPr>
              <w:t>307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$11.50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$3</w:t>
            </w:r>
            <w:r w:rsidR="00FF7F91">
              <w:rPr>
                <w:rFonts w:ascii="Times New Roman" w:hAnsi="Times New Roman"/>
                <w:color w:val="000000"/>
              </w:rPr>
              <w:t>8</w:t>
            </w:r>
            <w:r w:rsidRPr="00AC7EA2">
              <w:rPr>
                <w:rFonts w:ascii="Times New Roman" w:hAnsi="Times New Roman"/>
                <w:color w:val="000000"/>
              </w:rPr>
              <w:t>,</w:t>
            </w:r>
            <w:r w:rsidR="00FF7F91">
              <w:rPr>
                <w:rFonts w:ascii="Times New Roman" w:hAnsi="Times New Roman"/>
                <w:color w:val="000000"/>
              </w:rPr>
              <w:t>031</w:t>
            </w:r>
          </w:p>
        </w:tc>
      </w:tr>
      <w:tr w:rsidR="006D3C4E" w:rsidRPr="00AC7EA2" w:rsidTr="004437A8">
        <w:trPr>
          <w:cantSplit/>
          <w:trHeight w:val="900"/>
        </w:trPr>
        <w:tc>
          <w:tcPr>
            <w:tcW w:w="1790" w:type="dxa"/>
            <w:tcBorders>
              <w:top w:val="single" w:sz="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b/>
              </w:rPr>
              <w:t>Adult Questionnaire/</w:t>
            </w:r>
            <w:r w:rsidRPr="00AC7EA2">
              <w:rPr>
                <w:rFonts w:ascii="Times New Roman" w:hAnsi="Times New Roman"/>
              </w:rPr>
              <w:t xml:space="preserve"> 30-or-more-day service duration</w:t>
            </w:r>
          </w:p>
        </w:tc>
        <w:tc>
          <w:tcPr>
            <w:tcW w:w="135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98346B">
            <w:pPr>
              <w:autoSpaceDE w:val="0"/>
              <w:autoSpaceDN w:val="0"/>
              <w:spacing w:before="18"/>
              <w:ind w:right="80"/>
              <w:rPr>
                <w:rFonts w:ascii="Times New Roman" w:hAnsi="Times New Roman"/>
              </w:rPr>
            </w:pPr>
            <w:r w:rsidRPr="00AC7EA2">
              <w:rPr>
                <w:rFonts w:ascii="Times New Roman" w:hAnsi="Times New Roman"/>
                <w:color w:val="000000"/>
              </w:rPr>
              <w:t>1</w:t>
            </w:r>
            <w:r w:rsidR="0098346B">
              <w:rPr>
                <w:rFonts w:ascii="Times New Roman" w:hAnsi="Times New Roman"/>
                <w:color w:val="000000"/>
              </w:rPr>
              <w:t>9</w:t>
            </w:r>
            <w:r w:rsidRPr="00AC7EA2">
              <w:rPr>
                <w:rFonts w:ascii="Times New Roman" w:hAnsi="Times New Roman"/>
                <w:color w:val="000000"/>
              </w:rPr>
              <w:t>,</w:t>
            </w:r>
            <w:r w:rsidR="0098346B">
              <w:rPr>
                <w:rFonts w:ascii="Times New Roman" w:hAnsi="Times New Roman"/>
                <w:color w:val="000000"/>
              </w:rPr>
              <w:t>150</w:t>
            </w:r>
          </w:p>
        </w:tc>
        <w:tc>
          <w:tcPr>
            <w:tcW w:w="135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w:t>
            </w:r>
          </w:p>
        </w:tc>
        <w:tc>
          <w:tcPr>
            <w:tcW w:w="117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Pr>
                <w:rFonts w:ascii="Times New Roman" w:hAnsi="Times New Roman"/>
                <w:color w:val="000000"/>
              </w:rPr>
              <w:t>3</w:t>
            </w:r>
            <w:r w:rsidR="00FF7F91">
              <w:rPr>
                <w:rFonts w:ascii="Times New Roman" w:hAnsi="Times New Roman"/>
                <w:color w:val="000000"/>
              </w:rPr>
              <w:t>8</w:t>
            </w:r>
            <w:r>
              <w:rPr>
                <w:rFonts w:ascii="Times New Roman" w:hAnsi="Times New Roman"/>
                <w:color w:val="000000"/>
              </w:rPr>
              <w:t>,</w:t>
            </w:r>
            <w:r w:rsidR="00FF7F91">
              <w:rPr>
                <w:rFonts w:ascii="Times New Roman" w:hAnsi="Times New Roman"/>
                <w:color w:val="000000"/>
              </w:rPr>
              <w:t>300</w:t>
            </w:r>
          </w:p>
        </w:tc>
        <w:tc>
          <w:tcPr>
            <w:tcW w:w="108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0.5333</w:t>
            </w:r>
          </w:p>
        </w:tc>
        <w:tc>
          <w:tcPr>
            <w:tcW w:w="99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FF7F91" w:rsidP="00E56E60">
            <w:pPr>
              <w:autoSpaceDE w:val="0"/>
              <w:autoSpaceDN w:val="0"/>
              <w:spacing w:before="18"/>
              <w:ind w:right="80"/>
              <w:rPr>
                <w:rFonts w:ascii="Times New Roman" w:hAnsi="Times New Roman"/>
              </w:rPr>
            </w:pPr>
            <w:r>
              <w:rPr>
                <w:rFonts w:ascii="Times New Roman" w:hAnsi="Times New Roman"/>
                <w:color w:val="000000"/>
              </w:rPr>
              <w:t>20,425</w:t>
            </w:r>
          </w:p>
        </w:tc>
        <w:tc>
          <w:tcPr>
            <w:tcW w:w="99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$11.50</w:t>
            </w:r>
          </w:p>
        </w:tc>
        <w:tc>
          <w:tcPr>
            <w:tcW w:w="144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$2</w:t>
            </w:r>
            <w:r w:rsidR="00FF7F91">
              <w:rPr>
                <w:rFonts w:ascii="Times New Roman" w:hAnsi="Times New Roman"/>
                <w:color w:val="000000"/>
              </w:rPr>
              <w:t>34</w:t>
            </w:r>
            <w:r w:rsidRPr="00AC7EA2">
              <w:rPr>
                <w:rFonts w:ascii="Times New Roman" w:hAnsi="Times New Roman"/>
                <w:color w:val="000000"/>
              </w:rPr>
              <w:t>,8</w:t>
            </w:r>
            <w:r w:rsidR="00FF7F91">
              <w:rPr>
                <w:rFonts w:ascii="Times New Roman" w:hAnsi="Times New Roman"/>
                <w:color w:val="000000"/>
              </w:rPr>
              <w:t>88</w:t>
            </w:r>
          </w:p>
        </w:tc>
      </w:tr>
      <w:tr w:rsidR="006D3C4E" w:rsidRPr="00AC7EA2" w:rsidTr="004437A8">
        <w:trPr>
          <w:cantSplit/>
          <w:trHeight w:val="900"/>
        </w:trPr>
        <w:tc>
          <w:tcPr>
            <w:tcW w:w="1790" w:type="dxa"/>
            <w:tcBorders>
              <w:top w:val="single" w:sz="1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b/>
              </w:rPr>
            </w:pPr>
            <w:r w:rsidRPr="00AC7EA2">
              <w:rPr>
                <w:rFonts w:ascii="Times New Roman" w:hAnsi="Times New Roman"/>
                <w:b/>
              </w:rPr>
              <w:t>Individual Dosage Form</w:t>
            </w:r>
          </w:p>
        </w:tc>
        <w:tc>
          <w:tcPr>
            <w:tcW w:w="135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98346B">
            <w:pPr>
              <w:autoSpaceDE w:val="0"/>
              <w:autoSpaceDN w:val="0"/>
              <w:spacing w:before="18"/>
              <w:ind w:right="80"/>
              <w:rPr>
                <w:rFonts w:ascii="Times New Roman" w:hAnsi="Times New Roman"/>
              </w:rPr>
            </w:pPr>
            <w:r w:rsidRPr="00AC7EA2">
              <w:rPr>
                <w:rFonts w:ascii="Times New Roman" w:hAnsi="Times New Roman"/>
                <w:color w:val="000000"/>
              </w:rPr>
              <w:t>13</w:t>
            </w:r>
            <w:r w:rsidR="0098346B">
              <w:rPr>
                <w:rFonts w:ascii="Times New Roman" w:hAnsi="Times New Roman"/>
                <w:color w:val="000000"/>
              </w:rPr>
              <w:t>8</w:t>
            </w:r>
          </w:p>
        </w:tc>
        <w:tc>
          <w:tcPr>
            <w:tcW w:w="135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1,316</w:t>
            </w:r>
          </w:p>
        </w:tc>
        <w:tc>
          <w:tcPr>
            <w:tcW w:w="117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98346B">
            <w:pPr>
              <w:autoSpaceDE w:val="0"/>
              <w:autoSpaceDN w:val="0"/>
              <w:spacing w:before="18"/>
              <w:ind w:right="80"/>
              <w:rPr>
                <w:rFonts w:ascii="Times New Roman" w:hAnsi="Times New Roman"/>
              </w:rPr>
            </w:pPr>
            <w:r w:rsidRPr="00AC7EA2">
              <w:rPr>
                <w:rFonts w:ascii="Times New Roman" w:hAnsi="Times New Roman"/>
                <w:color w:val="000000"/>
              </w:rPr>
              <w:t>1</w:t>
            </w:r>
            <w:r w:rsidR="0098346B">
              <w:rPr>
                <w:rFonts w:ascii="Times New Roman" w:hAnsi="Times New Roman"/>
                <w:color w:val="000000"/>
              </w:rPr>
              <w:t>81</w:t>
            </w:r>
            <w:r w:rsidRPr="00AC7EA2">
              <w:rPr>
                <w:rFonts w:ascii="Times New Roman" w:hAnsi="Times New Roman"/>
                <w:color w:val="000000"/>
              </w:rPr>
              <w:t>,</w:t>
            </w:r>
            <w:r w:rsidR="0098346B">
              <w:rPr>
                <w:rFonts w:ascii="Times New Roman" w:hAnsi="Times New Roman"/>
                <w:color w:val="000000"/>
              </w:rPr>
              <w:t>608</w:t>
            </w:r>
          </w:p>
        </w:tc>
        <w:tc>
          <w:tcPr>
            <w:tcW w:w="108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0.0500</w:t>
            </w:r>
          </w:p>
        </w:tc>
        <w:tc>
          <w:tcPr>
            <w:tcW w:w="99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FF7F91" w:rsidP="00E56E60">
            <w:pPr>
              <w:autoSpaceDE w:val="0"/>
              <w:autoSpaceDN w:val="0"/>
              <w:spacing w:before="18"/>
              <w:ind w:right="80"/>
              <w:rPr>
                <w:rFonts w:ascii="Times New Roman" w:hAnsi="Times New Roman"/>
              </w:rPr>
            </w:pPr>
            <w:r>
              <w:rPr>
                <w:rFonts w:ascii="Times New Roman" w:hAnsi="Times New Roman"/>
                <w:color w:val="000000"/>
              </w:rPr>
              <w:t>9,080</w:t>
            </w:r>
          </w:p>
        </w:tc>
        <w:tc>
          <w:tcPr>
            <w:tcW w:w="99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$21.79</w:t>
            </w:r>
          </w:p>
        </w:tc>
        <w:tc>
          <w:tcPr>
            <w:tcW w:w="144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$19</w:t>
            </w:r>
            <w:r w:rsidR="00FF7F91">
              <w:rPr>
                <w:rFonts w:ascii="Times New Roman" w:hAnsi="Times New Roman"/>
                <w:color w:val="000000"/>
              </w:rPr>
              <w:t>7</w:t>
            </w:r>
            <w:r w:rsidRPr="00AC7EA2">
              <w:rPr>
                <w:rFonts w:ascii="Times New Roman" w:hAnsi="Times New Roman"/>
                <w:color w:val="000000"/>
              </w:rPr>
              <w:t>,</w:t>
            </w:r>
            <w:r w:rsidR="00FF7F91">
              <w:rPr>
                <w:rFonts w:ascii="Times New Roman" w:hAnsi="Times New Roman"/>
                <w:color w:val="000000"/>
              </w:rPr>
              <w:t>862</w:t>
            </w:r>
          </w:p>
        </w:tc>
      </w:tr>
      <w:tr w:rsidR="006D3C4E" w:rsidRPr="00AC7EA2" w:rsidTr="004437A8">
        <w:trPr>
          <w:cantSplit/>
          <w:trHeight w:val="900"/>
        </w:trPr>
        <w:tc>
          <w:tcPr>
            <w:tcW w:w="1790" w:type="dxa"/>
            <w:tcBorders>
              <w:top w:val="single" w:sz="1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b/>
              </w:rPr>
            </w:pPr>
            <w:r w:rsidRPr="00AC7EA2">
              <w:rPr>
                <w:rFonts w:ascii="Times New Roman" w:hAnsi="Times New Roman"/>
                <w:b/>
              </w:rPr>
              <w:t>Group Dosage Form</w:t>
            </w:r>
          </w:p>
        </w:tc>
        <w:tc>
          <w:tcPr>
            <w:tcW w:w="135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98346B">
            <w:pPr>
              <w:autoSpaceDE w:val="0"/>
              <w:autoSpaceDN w:val="0"/>
              <w:spacing w:before="18"/>
              <w:ind w:right="80"/>
              <w:rPr>
                <w:rFonts w:ascii="Times New Roman" w:hAnsi="Times New Roman"/>
              </w:rPr>
            </w:pPr>
            <w:r w:rsidRPr="00AC7EA2">
              <w:rPr>
                <w:rFonts w:ascii="Times New Roman" w:hAnsi="Times New Roman"/>
                <w:color w:val="000000"/>
              </w:rPr>
              <w:t>13</w:t>
            </w:r>
            <w:r w:rsidR="0098346B">
              <w:rPr>
                <w:rFonts w:ascii="Times New Roman" w:hAnsi="Times New Roman"/>
                <w:color w:val="000000"/>
              </w:rPr>
              <w:t>8</w:t>
            </w:r>
          </w:p>
        </w:tc>
        <w:tc>
          <w:tcPr>
            <w:tcW w:w="135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26</w:t>
            </w:r>
          </w:p>
        </w:tc>
        <w:tc>
          <w:tcPr>
            <w:tcW w:w="117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3,</w:t>
            </w:r>
            <w:r w:rsidR="00FF7F91">
              <w:rPr>
                <w:rFonts w:ascii="Times New Roman" w:hAnsi="Times New Roman"/>
                <w:color w:val="000000"/>
              </w:rPr>
              <w:t>588</w:t>
            </w:r>
          </w:p>
        </w:tc>
        <w:tc>
          <w:tcPr>
            <w:tcW w:w="108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0.1333</w:t>
            </w:r>
          </w:p>
        </w:tc>
        <w:tc>
          <w:tcPr>
            <w:tcW w:w="99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4</w:t>
            </w:r>
            <w:r w:rsidR="00FF7F91">
              <w:rPr>
                <w:rFonts w:ascii="Times New Roman" w:hAnsi="Times New Roman"/>
                <w:color w:val="000000"/>
              </w:rPr>
              <w:t>78</w:t>
            </w:r>
          </w:p>
        </w:tc>
        <w:tc>
          <w:tcPr>
            <w:tcW w:w="99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E56E60">
            <w:pPr>
              <w:autoSpaceDE w:val="0"/>
              <w:autoSpaceDN w:val="0"/>
              <w:spacing w:before="18"/>
              <w:ind w:right="80"/>
              <w:rPr>
                <w:rFonts w:ascii="Times New Roman" w:hAnsi="Times New Roman"/>
              </w:rPr>
            </w:pPr>
            <w:r w:rsidRPr="00AC7EA2">
              <w:rPr>
                <w:rFonts w:ascii="Times New Roman" w:hAnsi="Times New Roman"/>
                <w:color w:val="000000"/>
              </w:rPr>
              <w:t>$21.79</w:t>
            </w:r>
          </w:p>
        </w:tc>
        <w:tc>
          <w:tcPr>
            <w:tcW w:w="144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AC7EA2" w:rsidRDefault="006D3C4E" w:rsidP="00FF7F91">
            <w:pPr>
              <w:autoSpaceDE w:val="0"/>
              <w:autoSpaceDN w:val="0"/>
              <w:spacing w:before="18"/>
              <w:ind w:right="80"/>
              <w:rPr>
                <w:rFonts w:ascii="Times New Roman" w:hAnsi="Times New Roman"/>
              </w:rPr>
            </w:pPr>
            <w:r w:rsidRPr="00AC7EA2">
              <w:rPr>
                <w:rFonts w:ascii="Times New Roman" w:hAnsi="Times New Roman"/>
                <w:color w:val="000000"/>
              </w:rPr>
              <w:t>$10,</w:t>
            </w:r>
            <w:r w:rsidR="00FF7F91">
              <w:rPr>
                <w:rFonts w:ascii="Times New Roman" w:hAnsi="Times New Roman"/>
                <w:color w:val="000000"/>
              </w:rPr>
              <w:t>422</w:t>
            </w:r>
          </w:p>
        </w:tc>
      </w:tr>
      <w:tr w:rsidR="006D3C4E" w:rsidRPr="00AC7EA2" w:rsidTr="004437A8">
        <w:trPr>
          <w:cantSplit/>
          <w:trHeight w:val="900"/>
        </w:trPr>
        <w:tc>
          <w:tcPr>
            <w:tcW w:w="1790" w:type="dxa"/>
            <w:tcBorders>
              <w:top w:val="single" w:sz="1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E56E60">
            <w:pPr>
              <w:autoSpaceDE w:val="0"/>
              <w:autoSpaceDN w:val="0"/>
              <w:spacing w:before="18"/>
              <w:ind w:right="80"/>
              <w:rPr>
                <w:rFonts w:ascii="Times New Roman" w:hAnsi="Times New Roman"/>
              </w:rPr>
            </w:pPr>
            <w:r w:rsidRPr="00DF7AEC">
              <w:rPr>
                <w:rFonts w:ascii="Times New Roman" w:hAnsi="Times New Roman"/>
              </w:rPr>
              <w:t>Total</w:t>
            </w:r>
          </w:p>
        </w:tc>
        <w:tc>
          <w:tcPr>
            <w:tcW w:w="135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FF7F91">
            <w:pPr>
              <w:autoSpaceDE w:val="0"/>
              <w:autoSpaceDN w:val="0"/>
              <w:spacing w:before="18"/>
              <w:ind w:right="80"/>
              <w:rPr>
                <w:rFonts w:ascii="Times New Roman" w:hAnsi="Times New Roman"/>
                <w:color w:val="000000"/>
              </w:rPr>
            </w:pPr>
            <w:r w:rsidRPr="00DF7AEC">
              <w:rPr>
                <w:rFonts w:ascii="Times New Roman" w:hAnsi="Times New Roman"/>
                <w:color w:val="000000"/>
              </w:rPr>
              <w:t>2</w:t>
            </w:r>
            <w:r w:rsidR="00FF7F91" w:rsidRPr="00DF7AEC">
              <w:rPr>
                <w:rFonts w:ascii="Times New Roman" w:hAnsi="Times New Roman"/>
                <w:color w:val="000000"/>
              </w:rPr>
              <w:t>6</w:t>
            </w:r>
            <w:r w:rsidR="00DF7AEC" w:rsidRPr="00DF7AEC">
              <w:rPr>
                <w:rFonts w:ascii="Times New Roman" w:hAnsi="Times New Roman"/>
                <w:color w:val="000000"/>
              </w:rPr>
              <w:t>,</w:t>
            </w:r>
            <w:r w:rsidRPr="00DF7AEC">
              <w:rPr>
                <w:rFonts w:ascii="Times New Roman" w:hAnsi="Times New Roman"/>
                <w:color w:val="000000"/>
              </w:rPr>
              <w:t>2</w:t>
            </w:r>
            <w:r w:rsidR="00FF7F91" w:rsidRPr="00DF7AEC">
              <w:rPr>
                <w:rFonts w:ascii="Times New Roman" w:hAnsi="Times New Roman"/>
                <w:color w:val="000000"/>
              </w:rPr>
              <w:t>20</w:t>
            </w:r>
          </w:p>
        </w:tc>
        <w:tc>
          <w:tcPr>
            <w:tcW w:w="135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E56E60">
            <w:pPr>
              <w:autoSpaceDE w:val="0"/>
              <w:autoSpaceDN w:val="0"/>
              <w:spacing w:before="18"/>
              <w:ind w:right="80"/>
              <w:rPr>
                <w:rFonts w:ascii="Times New Roman" w:hAnsi="Times New Roman"/>
                <w:color w:val="000000"/>
              </w:rPr>
            </w:pPr>
          </w:p>
        </w:tc>
        <w:tc>
          <w:tcPr>
            <w:tcW w:w="117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FF7F91">
            <w:pPr>
              <w:autoSpaceDE w:val="0"/>
              <w:autoSpaceDN w:val="0"/>
              <w:spacing w:before="18"/>
              <w:ind w:right="80"/>
              <w:rPr>
                <w:rFonts w:ascii="Times New Roman" w:hAnsi="Times New Roman"/>
                <w:color w:val="000000"/>
              </w:rPr>
            </w:pPr>
            <w:r w:rsidRPr="00DF7AEC">
              <w:rPr>
                <w:rFonts w:ascii="Times New Roman" w:hAnsi="Times New Roman"/>
                <w:color w:val="000000"/>
              </w:rPr>
              <w:t>2</w:t>
            </w:r>
            <w:r w:rsidR="00FF7F91" w:rsidRPr="00DF7AEC">
              <w:rPr>
                <w:rFonts w:ascii="Times New Roman" w:hAnsi="Times New Roman"/>
                <w:color w:val="000000"/>
              </w:rPr>
              <w:t>35</w:t>
            </w:r>
            <w:r w:rsidRPr="00DF7AEC">
              <w:rPr>
                <w:rFonts w:ascii="Times New Roman" w:hAnsi="Times New Roman"/>
                <w:color w:val="000000"/>
              </w:rPr>
              <w:t>,</w:t>
            </w:r>
            <w:r w:rsidR="00FF7F91" w:rsidRPr="00DF7AEC">
              <w:rPr>
                <w:rFonts w:ascii="Times New Roman" w:hAnsi="Times New Roman"/>
                <w:color w:val="000000"/>
              </w:rPr>
              <w:t>980</w:t>
            </w:r>
          </w:p>
        </w:tc>
        <w:tc>
          <w:tcPr>
            <w:tcW w:w="108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E56E60">
            <w:pPr>
              <w:autoSpaceDE w:val="0"/>
              <w:autoSpaceDN w:val="0"/>
              <w:spacing w:before="18"/>
              <w:ind w:right="80"/>
              <w:rPr>
                <w:rFonts w:ascii="Times New Roman" w:hAnsi="Times New Roman"/>
                <w:color w:val="000000"/>
              </w:rPr>
            </w:pPr>
          </w:p>
        </w:tc>
        <w:tc>
          <w:tcPr>
            <w:tcW w:w="99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FF7F91">
            <w:pPr>
              <w:autoSpaceDE w:val="0"/>
              <w:autoSpaceDN w:val="0"/>
              <w:spacing w:before="18"/>
              <w:ind w:right="80"/>
              <w:rPr>
                <w:rFonts w:ascii="Times New Roman" w:hAnsi="Times New Roman"/>
                <w:color w:val="000000"/>
              </w:rPr>
            </w:pPr>
            <w:r w:rsidRPr="00DF7AEC">
              <w:rPr>
                <w:rFonts w:ascii="Times New Roman" w:hAnsi="Times New Roman"/>
                <w:color w:val="000000"/>
              </w:rPr>
              <w:t>3</w:t>
            </w:r>
            <w:r w:rsidR="00FF7F91" w:rsidRPr="00DF7AEC">
              <w:rPr>
                <w:rFonts w:ascii="Times New Roman" w:hAnsi="Times New Roman"/>
                <w:color w:val="000000"/>
              </w:rPr>
              <w:t>5</w:t>
            </w:r>
            <w:r w:rsidRPr="00DF7AEC">
              <w:rPr>
                <w:rFonts w:ascii="Times New Roman" w:hAnsi="Times New Roman"/>
                <w:color w:val="000000"/>
              </w:rPr>
              <w:t>,</w:t>
            </w:r>
            <w:r w:rsidR="00FF7F91" w:rsidRPr="00DF7AEC">
              <w:rPr>
                <w:rFonts w:ascii="Times New Roman" w:hAnsi="Times New Roman"/>
                <w:color w:val="000000"/>
              </w:rPr>
              <w:t>139</w:t>
            </w:r>
          </w:p>
        </w:tc>
        <w:tc>
          <w:tcPr>
            <w:tcW w:w="99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E56E60">
            <w:pPr>
              <w:autoSpaceDE w:val="0"/>
              <w:autoSpaceDN w:val="0"/>
              <w:spacing w:before="18"/>
              <w:ind w:right="80"/>
              <w:rPr>
                <w:rFonts w:ascii="Times New Roman" w:hAnsi="Times New Roman"/>
                <w:color w:val="000000"/>
              </w:rPr>
            </w:pPr>
          </w:p>
        </w:tc>
        <w:tc>
          <w:tcPr>
            <w:tcW w:w="144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D3C4E" w:rsidRPr="00DF7AEC" w:rsidRDefault="006D3C4E" w:rsidP="00FF7F91">
            <w:pPr>
              <w:autoSpaceDE w:val="0"/>
              <w:autoSpaceDN w:val="0"/>
              <w:spacing w:before="18"/>
              <w:ind w:right="80"/>
              <w:rPr>
                <w:rFonts w:ascii="Times New Roman" w:hAnsi="Times New Roman"/>
                <w:color w:val="000000"/>
              </w:rPr>
            </w:pPr>
            <w:r w:rsidRPr="00DF7AEC">
              <w:rPr>
                <w:rFonts w:ascii="Times New Roman" w:hAnsi="Times New Roman"/>
                <w:color w:val="000000"/>
              </w:rPr>
              <w:t>$</w:t>
            </w:r>
            <w:r w:rsidR="00FF7F91" w:rsidRPr="00DF7AEC">
              <w:rPr>
                <w:rFonts w:ascii="Times New Roman" w:hAnsi="Times New Roman"/>
                <w:color w:val="000000"/>
              </w:rPr>
              <w:t>502,456</w:t>
            </w:r>
          </w:p>
        </w:tc>
      </w:tr>
    </w:tbl>
    <w:p w:rsidR="006D3C4E" w:rsidRPr="00AC7EA2" w:rsidRDefault="006D3C4E" w:rsidP="006D3C4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*Adjusted for expected response rates</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p>
    <w:p w:rsidR="006D3C4E"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AC7EA2">
        <w:rPr>
          <w:rFonts w:ascii="Times New Roman" w:hAnsi="Times New Roman"/>
          <w:color w:val="000000"/>
        </w:rPr>
        <w:t>The estimated total annualized burden of the four instruments for which approval is being requested is 3</w:t>
      </w:r>
      <w:r w:rsidR="00FF7F91">
        <w:rPr>
          <w:rFonts w:ascii="Times New Roman" w:hAnsi="Times New Roman"/>
          <w:color w:val="000000"/>
        </w:rPr>
        <w:t>5,139</w:t>
      </w:r>
      <w:r w:rsidR="00FF7F91" w:rsidRPr="00AC7EA2">
        <w:rPr>
          <w:rFonts w:ascii="Times New Roman" w:hAnsi="Times New Roman"/>
          <w:color w:val="000000"/>
        </w:rPr>
        <w:t xml:space="preserve"> </w:t>
      </w:r>
      <w:r w:rsidRPr="00AC7EA2">
        <w:rPr>
          <w:rFonts w:ascii="Times New Roman" w:hAnsi="Times New Roman"/>
          <w:color w:val="000000"/>
        </w:rPr>
        <w:t>with a total cost burden to participants and program staff of $</w:t>
      </w:r>
      <w:r w:rsidR="00FF7F91">
        <w:rPr>
          <w:rFonts w:ascii="Times New Roman" w:hAnsi="Times New Roman"/>
          <w:color w:val="000000"/>
        </w:rPr>
        <w:t>502,456</w:t>
      </w:r>
      <w:r w:rsidRPr="00AC7EA2">
        <w:rPr>
          <w:rFonts w:ascii="Times New Roman" w:hAnsi="Times New Roman"/>
          <w:color w:val="000000"/>
        </w:rPr>
        <w:t>.</w:t>
      </w:r>
    </w:p>
    <w:p w:rsidR="00A52294" w:rsidRPr="00AC7EA2" w:rsidRDefault="00A52294" w:rsidP="00A52294">
      <w:pPr>
        <w:keepNext/>
        <w:pageBreakBefore/>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b/>
        </w:rPr>
        <w:t>Exhibit 7</w:t>
      </w:r>
      <w:r>
        <w:rPr>
          <w:rStyle w:val="WP9BodyText"/>
          <w:rFonts w:ascii="Times New Roman" w:hAnsi="Times New Roman"/>
          <w:b/>
        </w:rPr>
        <w:t>b</w:t>
      </w:r>
      <w:r w:rsidRPr="00AC7EA2">
        <w:rPr>
          <w:rStyle w:val="WP9BodyText"/>
          <w:rFonts w:ascii="Times New Roman" w:hAnsi="Times New Roman"/>
          <w:b/>
        </w:rPr>
        <w:t>: Summary Total Estimated Annualized Burden</w:t>
      </w:r>
    </w:p>
    <w:p w:rsidR="00A52294" w:rsidRDefault="00A52294"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p>
    <w:tbl>
      <w:tblPr>
        <w:tblW w:w="10160" w:type="dxa"/>
        <w:tblLayout w:type="fixed"/>
        <w:tblCellMar>
          <w:left w:w="0" w:type="dxa"/>
          <w:right w:w="0" w:type="dxa"/>
        </w:tblCellMar>
        <w:tblLook w:val="04A0" w:firstRow="1" w:lastRow="0" w:firstColumn="1" w:lastColumn="0" w:noHBand="0" w:noVBand="1"/>
      </w:tblPr>
      <w:tblGrid>
        <w:gridCol w:w="2353"/>
        <w:gridCol w:w="1774"/>
        <w:gridCol w:w="1774"/>
        <w:gridCol w:w="1538"/>
        <w:gridCol w:w="1420"/>
        <w:gridCol w:w="1301"/>
      </w:tblGrid>
      <w:tr w:rsidR="00A52294" w:rsidRPr="00AC7EA2" w:rsidTr="00A52294">
        <w:trPr>
          <w:cantSplit/>
          <w:trHeight w:val="900"/>
          <w:tblHeader/>
        </w:trPr>
        <w:tc>
          <w:tcPr>
            <w:tcW w:w="2353" w:type="dxa"/>
            <w:tcBorders>
              <w:top w:val="single" w:sz="8" w:space="0" w:color="auto"/>
              <w:left w:val="single" w:sz="8" w:space="0" w:color="auto"/>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52294" w:rsidRPr="00AC7EA2" w:rsidRDefault="00A52294" w:rsidP="00DF7AEC">
            <w:pPr>
              <w:autoSpaceDE w:val="0"/>
              <w:autoSpaceDN w:val="0"/>
              <w:spacing w:before="18"/>
              <w:ind w:right="80"/>
              <w:rPr>
                <w:rFonts w:ascii="Times New Roman" w:hAnsi="Times New Roman"/>
                <w:b/>
                <w:smallCaps/>
              </w:rPr>
            </w:pPr>
            <w:r w:rsidRPr="00AC7EA2">
              <w:rPr>
                <w:rFonts w:ascii="Times New Roman" w:hAnsi="Times New Roman"/>
                <w:b/>
                <w:smallCaps/>
              </w:rPr>
              <w:t>Type of respondent activity</w:t>
            </w:r>
          </w:p>
        </w:tc>
        <w:tc>
          <w:tcPr>
            <w:tcW w:w="1774"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52294" w:rsidRPr="00AC7EA2" w:rsidRDefault="00A52294" w:rsidP="00DF7AEC">
            <w:pPr>
              <w:autoSpaceDE w:val="0"/>
              <w:autoSpaceDN w:val="0"/>
              <w:spacing w:before="18"/>
              <w:ind w:right="80"/>
              <w:rPr>
                <w:rFonts w:ascii="Times New Roman" w:hAnsi="Times New Roman"/>
                <w:b/>
                <w:smallCaps/>
              </w:rPr>
            </w:pPr>
            <w:r w:rsidRPr="00AC7EA2">
              <w:rPr>
                <w:rFonts w:ascii="Times New Roman" w:hAnsi="Times New Roman"/>
                <w:b/>
                <w:smallCaps/>
              </w:rPr>
              <w:t>Number of Respondents</w:t>
            </w:r>
          </w:p>
        </w:tc>
        <w:tc>
          <w:tcPr>
            <w:tcW w:w="1774"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52294" w:rsidRPr="00AC7EA2" w:rsidRDefault="00A52294" w:rsidP="00DF7AEC">
            <w:pPr>
              <w:autoSpaceDE w:val="0"/>
              <w:autoSpaceDN w:val="0"/>
              <w:spacing w:before="18"/>
              <w:ind w:right="80"/>
              <w:rPr>
                <w:rFonts w:ascii="Times New Roman" w:hAnsi="Times New Roman"/>
                <w:b/>
                <w:smallCaps/>
              </w:rPr>
            </w:pPr>
            <w:r w:rsidRPr="00AC7EA2">
              <w:rPr>
                <w:rFonts w:ascii="Times New Roman" w:hAnsi="Times New Roman"/>
                <w:b/>
                <w:smallCaps/>
              </w:rPr>
              <w:t>Responses per Respondent*</w:t>
            </w:r>
          </w:p>
        </w:tc>
        <w:tc>
          <w:tcPr>
            <w:tcW w:w="1538"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52294" w:rsidRPr="00AC7EA2" w:rsidRDefault="00A52294" w:rsidP="00DF7AEC">
            <w:pPr>
              <w:autoSpaceDE w:val="0"/>
              <w:autoSpaceDN w:val="0"/>
              <w:spacing w:before="18"/>
              <w:ind w:right="80"/>
              <w:rPr>
                <w:rFonts w:ascii="Times New Roman" w:hAnsi="Times New Roman"/>
                <w:b/>
                <w:smallCaps/>
              </w:rPr>
            </w:pPr>
            <w:r w:rsidRPr="00AC7EA2">
              <w:rPr>
                <w:rFonts w:ascii="Times New Roman" w:hAnsi="Times New Roman"/>
                <w:b/>
                <w:smallCaps/>
              </w:rPr>
              <w:t>Total Responses</w:t>
            </w:r>
          </w:p>
        </w:tc>
        <w:tc>
          <w:tcPr>
            <w:tcW w:w="1420"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52294" w:rsidRPr="00AC7EA2" w:rsidRDefault="00A52294" w:rsidP="00DF7AEC">
            <w:pPr>
              <w:autoSpaceDE w:val="0"/>
              <w:autoSpaceDN w:val="0"/>
              <w:spacing w:before="18"/>
              <w:ind w:right="80"/>
              <w:rPr>
                <w:rFonts w:ascii="Times New Roman" w:hAnsi="Times New Roman"/>
                <w:b/>
                <w:smallCaps/>
              </w:rPr>
            </w:pPr>
            <w:r w:rsidRPr="00AC7EA2">
              <w:rPr>
                <w:rFonts w:ascii="Times New Roman" w:hAnsi="Times New Roman"/>
                <w:b/>
                <w:smallCaps/>
              </w:rPr>
              <w:t>Hours per Response</w:t>
            </w:r>
          </w:p>
        </w:tc>
        <w:tc>
          <w:tcPr>
            <w:tcW w:w="1301" w:type="dxa"/>
            <w:tcBorders>
              <w:top w:val="single" w:sz="8" w:space="0" w:color="auto"/>
              <w:left w:val="nil"/>
              <w:bottom w:val="single" w:sz="1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52294" w:rsidRPr="00AC7EA2" w:rsidRDefault="00A52294" w:rsidP="00DF7AEC">
            <w:pPr>
              <w:autoSpaceDE w:val="0"/>
              <w:autoSpaceDN w:val="0"/>
              <w:spacing w:before="18"/>
              <w:ind w:right="80"/>
              <w:rPr>
                <w:rFonts w:ascii="Times New Roman" w:hAnsi="Times New Roman"/>
                <w:b/>
                <w:smallCaps/>
              </w:rPr>
            </w:pPr>
            <w:r w:rsidRPr="00AC7EA2">
              <w:rPr>
                <w:rFonts w:ascii="Times New Roman" w:hAnsi="Times New Roman"/>
                <w:b/>
                <w:smallCaps/>
              </w:rPr>
              <w:t>Total Burden Hours</w:t>
            </w:r>
          </w:p>
        </w:tc>
      </w:tr>
      <w:tr w:rsidR="00A52294" w:rsidRPr="00AC7EA2" w:rsidTr="00A52294">
        <w:trPr>
          <w:cantSplit/>
          <w:trHeight w:val="900"/>
        </w:trPr>
        <w:tc>
          <w:tcPr>
            <w:tcW w:w="2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2294" w:rsidRPr="00AC7EA2" w:rsidRDefault="00A52294" w:rsidP="00A52294">
            <w:pPr>
              <w:autoSpaceDE w:val="0"/>
              <w:autoSpaceDN w:val="0"/>
              <w:spacing w:before="18"/>
              <w:ind w:right="80"/>
              <w:rPr>
                <w:rFonts w:ascii="Times New Roman" w:hAnsi="Times New Roman"/>
              </w:rPr>
            </w:pPr>
            <w:r>
              <w:rPr>
                <w:rFonts w:ascii="Times New Roman" w:hAnsi="Times New Roman"/>
                <w:b/>
              </w:rPr>
              <w:t xml:space="preserve">Youth </w:t>
            </w:r>
            <w:r w:rsidRPr="00AC7EA2">
              <w:rPr>
                <w:rFonts w:ascii="Times New Roman" w:hAnsi="Times New Roman"/>
                <w:b/>
              </w:rPr>
              <w:t>Questionnaire</w:t>
            </w:r>
          </w:p>
        </w:tc>
        <w:tc>
          <w:tcPr>
            <w:tcW w:w="17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2294" w:rsidRPr="00AC7EA2" w:rsidRDefault="00A52294" w:rsidP="00A52294">
            <w:pPr>
              <w:autoSpaceDE w:val="0"/>
              <w:autoSpaceDN w:val="0"/>
              <w:spacing w:before="18"/>
              <w:ind w:right="80"/>
              <w:rPr>
                <w:rFonts w:ascii="Times New Roman" w:hAnsi="Times New Roman"/>
              </w:rPr>
            </w:pPr>
            <w:r>
              <w:rPr>
                <w:rFonts w:ascii="Times New Roman" w:hAnsi="Times New Roman"/>
                <w:color w:val="000000"/>
              </w:rPr>
              <w:t>1,440</w:t>
            </w:r>
          </w:p>
        </w:tc>
        <w:tc>
          <w:tcPr>
            <w:tcW w:w="17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2294" w:rsidRPr="00AC7EA2" w:rsidRDefault="00FA26F2" w:rsidP="00DA434C">
            <w:pPr>
              <w:autoSpaceDE w:val="0"/>
              <w:autoSpaceDN w:val="0"/>
              <w:spacing w:before="18"/>
              <w:ind w:right="80"/>
              <w:rPr>
                <w:rFonts w:ascii="Times New Roman" w:hAnsi="Times New Roman"/>
              </w:rPr>
            </w:pPr>
            <w:r>
              <w:rPr>
                <w:rFonts w:ascii="Times New Roman" w:hAnsi="Times New Roman"/>
                <w:color w:val="000000"/>
              </w:rPr>
              <w:t>1.</w:t>
            </w:r>
            <w:r w:rsidR="00DA434C">
              <w:rPr>
                <w:rFonts w:ascii="Times New Roman" w:hAnsi="Times New Roman"/>
                <w:color w:val="000000"/>
              </w:rPr>
              <w:t>98</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2294" w:rsidRPr="00AC7EA2" w:rsidRDefault="00DA434C" w:rsidP="00DA434C">
            <w:pPr>
              <w:autoSpaceDE w:val="0"/>
              <w:autoSpaceDN w:val="0"/>
              <w:spacing w:before="18"/>
              <w:ind w:right="80"/>
              <w:rPr>
                <w:rFonts w:ascii="Times New Roman" w:hAnsi="Times New Roman"/>
              </w:rPr>
            </w:pPr>
            <w:r>
              <w:rPr>
                <w:rFonts w:ascii="Times New Roman" w:hAnsi="Times New Roman"/>
              </w:rPr>
              <w:t>2</w:t>
            </w:r>
            <w:r w:rsidR="00B913CD">
              <w:rPr>
                <w:rFonts w:ascii="Times New Roman" w:hAnsi="Times New Roman"/>
              </w:rPr>
              <w:t>,</w:t>
            </w:r>
            <w:r>
              <w:rPr>
                <w:rFonts w:ascii="Times New Roman" w:hAnsi="Times New Roman"/>
              </w:rPr>
              <w:t>851</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2294" w:rsidRPr="00AC7EA2" w:rsidRDefault="00DF7AEC" w:rsidP="00DF7AEC">
            <w:pPr>
              <w:autoSpaceDE w:val="0"/>
              <w:autoSpaceDN w:val="0"/>
              <w:spacing w:before="18"/>
              <w:ind w:right="80"/>
              <w:rPr>
                <w:rFonts w:ascii="Times New Roman" w:hAnsi="Times New Roman"/>
              </w:rPr>
            </w:pPr>
            <w:r>
              <w:rPr>
                <w:rFonts w:ascii="Times New Roman" w:hAnsi="Times New Roman"/>
              </w:rPr>
              <w:t>.4222</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2294" w:rsidRPr="00AC7EA2" w:rsidRDefault="00DA434C" w:rsidP="00DF7AEC">
            <w:pPr>
              <w:autoSpaceDE w:val="0"/>
              <w:autoSpaceDN w:val="0"/>
              <w:spacing w:before="18"/>
              <w:ind w:right="80"/>
              <w:rPr>
                <w:rFonts w:ascii="Times New Roman" w:hAnsi="Times New Roman"/>
              </w:rPr>
            </w:pPr>
            <w:r>
              <w:rPr>
                <w:rFonts w:ascii="Times New Roman" w:hAnsi="Times New Roman"/>
              </w:rPr>
              <w:t>1</w:t>
            </w:r>
            <w:r w:rsidR="00B913CD">
              <w:rPr>
                <w:rFonts w:ascii="Times New Roman" w:hAnsi="Times New Roman"/>
              </w:rPr>
              <w:t>,</w:t>
            </w:r>
            <w:bookmarkStart w:id="6" w:name="_GoBack"/>
            <w:bookmarkEnd w:id="6"/>
            <w:r>
              <w:rPr>
                <w:rFonts w:ascii="Times New Roman" w:hAnsi="Times New Roman"/>
              </w:rPr>
              <w:t>203</w:t>
            </w:r>
          </w:p>
        </w:tc>
      </w:tr>
      <w:tr w:rsidR="00A52294" w:rsidRPr="00AC7EA2" w:rsidTr="00A52294">
        <w:trPr>
          <w:cantSplit/>
          <w:trHeight w:val="900"/>
        </w:trPr>
        <w:tc>
          <w:tcPr>
            <w:tcW w:w="2353" w:type="dxa"/>
            <w:tcBorders>
              <w:top w:val="single" w:sz="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A52294">
            <w:pPr>
              <w:autoSpaceDE w:val="0"/>
              <w:autoSpaceDN w:val="0"/>
              <w:spacing w:before="18"/>
              <w:ind w:right="80"/>
              <w:rPr>
                <w:rFonts w:ascii="Times New Roman" w:hAnsi="Times New Roman"/>
              </w:rPr>
            </w:pPr>
            <w:r w:rsidRPr="00AC7EA2">
              <w:rPr>
                <w:rFonts w:ascii="Times New Roman" w:hAnsi="Times New Roman"/>
                <w:b/>
              </w:rPr>
              <w:t>Adult Questionnaire</w:t>
            </w:r>
          </w:p>
        </w:tc>
        <w:tc>
          <w:tcPr>
            <w:tcW w:w="1774"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A52294">
            <w:pPr>
              <w:autoSpaceDE w:val="0"/>
              <w:autoSpaceDN w:val="0"/>
              <w:spacing w:before="18"/>
              <w:ind w:right="80"/>
              <w:rPr>
                <w:rFonts w:ascii="Times New Roman" w:hAnsi="Times New Roman"/>
              </w:rPr>
            </w:pPr>
            <w:r>
              <w:rPr>
                <w:rFonts w:ascii="Times New Roman" w:hAnsi="Times New Roman"/>
                <w:color w:val="000000"/>
              </w:rPr>
              <w:t>24,504</w:t>
            </w:r>
          </w:p>
        </w:tc>
        <w:tc>
          <w:tcPr>
            <w:tcW w:w="1774"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DA434C" w:rsidP="00FA26F2">
            <w:pPr>
              <w:autoSpaceDE w:val="0"/>
              <w:autoSpaceDN w:val="0"/>
              <w:spacing w:before="18"/>
              <w:ind w:right="80"/>
              <w:rPr>
                <w:rFonts w:ascii="Times New Roman" w:hAnsi="Times New Roman"/>
              </w:rPr>
            </w:pPr>
            <w:r>
              <w:rPr>
                <w:rFonts w:ascii="Times New Roman" w:hAnsi="Times New Roman"/>
                <w:color w:val="000000"/>
              </w:rPr>
              <w:t>1.9</w:t>
            </w:r>
            <w:r w:rsidR="00720048">
              <w:rPr>
                <w:rFonts w:ascii="Times New Roman" w:hAnsi="Times New Roman"/>
                <w:color w:val="000000"/>
              </w:rPr>
              <w:t>56</w:t>
            </w:r>
          </w:p>
        </w:tc>
        <w:tc>
          <w:tcPr>
            <w:tcW w:w="1538"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DA434C" w:rsidP="00DA434C">
            <w:pPr>
              <w:autoSpaceDE w:val="0"/>
              <w:autoSpaceDN w:val="0"/>
              <w:spacing w:before="18"/>
              <w:ind w:right="80"/>
              <w:rPr>
                <w:rFonts w:ascii="Times New Roman" w:hAnsi="Times New Roman"/>
              </w:rPr>
            </w:pPr>
            <w:r>
              <w:rPr>
                <w:rFonts w:ascii="Times New Roman" w:hAnsi="Times New Roman"/>
              </w:rPr>
              <w:t>4</w:t>
            </w:r>
            <w:r w:rsidR="00720048">
              <w:rPr>
                <w:rFonts w:ascii="Times New Roman" w:hAnsi="Times New Roman"/>
              </w:rPr>
              <w:t>7</w:t>
            </w:r>
            <w:r>
              <w:rPr>
                <w:rFonts w:ascii="Times New Roman" w:hAnsi="Times New Roman"/>
              </w:rPr>
              <w:t>,</w:t>
            </w:r>
            <w:r w:rsidR="00720048">
              <w:rPr>
                <w:rFonts w:ascii="Times New Roman" w:hAnsi="Times New Roman"/>
              </w:rPr>
              <w:t>933</w:t>
            </w:r>
          </w:p>
        </w:tc>
        <w:tc>
          <w:tcPr>
            <w:tcW w:w="1420"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DF7AEC" w:rsidP="00720048">
            <w:pPr>
              <w:autoSpaceDE w:val="0"/>
              <w:autoSpaceDN w:val="0"/>
              <w:spacing w:before="18"/>
              <w:ind w:right="80"/>
              <w:rPr>
                <w:rFonts w:ascii="Times New Roman" w:hAnsi="Times New Roman"/>
              </w:rPr>
            </w:pPr>
            <w:r>
              <w:rPr>
                <w:rFonts w:ascii="Times New Roman" w:hAnsi="Times New Roman"/>
              </w:rPr>
              <w:t>.</w:t>
            </w:r>
            <w:r w:rsidR="00720048">
              <w:rPr>
                <w:rFonts w:ascii="Times New Roman" w:hAnsi="Times New Roman"/>
              </w:rPr>
              <w:t>508</w:t>
            </w:r>
          </w:p>
        </w:tc>
        <w:tc>
          <w:tcPr>
            <w:tcW w:w="1301" w:type="dxa"/>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720048" w:rsidP="00DF7AEC">
            <w:pPr>
              <w:autoSpaceDE w:val="0"/>
              <w:autoSpaceDN w:val="0"/>
              <w:spacing w:before="18"/>
              <w:ind w:right="80"/>
              <w:rPr>
                <w:rFonts w:ascii="Times New Roman" w:hAnsi="Times New Roman"/>
              </w:rPr>
            </w:pPr>
            <w:r>
              <w:rPr>
                <w:rFonts w:ascii="Times New Roman" w:hAnsi="Times New Roman"/>
              </w:rPr>
              <w:t>24,378</w:t>
            </w:r>
          </w:p>
        </w:tc>
      </w:tr>
      <w:tr w:rsidR="00A52294" w:rsidRPr="00AC7EA2" w:rsidTr="00A52294">
        <w:trPr>
          <w:cantSplit/>
          <w:trHeight w:val="900"/>
        </w:trPr>
        <w:tc>
          <w:tcPr>
            <w:tcW w:w="2353" w:type="dxa"/>
            <w:tcBorders>
              <w:top w:val="single" w:sz="1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b/>
              </w:rPr>
            </w:pPr>
            <w:r w:rsidRPr="00AC7EA2">
              <w:rPr>
                <w:rFonts w:ascii="Times New Roman" w:hAnsi="Times New Roman"/>
                <w:b/>
              </w:rPr>
              <w:t>Individual Dosage Form</w:t>
            </w:r>
          </w:p>
        </w:tc>
        <w:tc>
          <w:tcPr>
            <w:tcW w:w="1774"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13</w:t>
            </w:r>
            <w:r>
              <w:rPr>
                <w:rFonts w:ascii="Times New Roman" w:hAnsi="Times New Roman"/>
                <w:color w:val="000000"/>
              </w:rPr>
              <w:t>8</w:t>
            </w:r>
          </w:p>
        </w:tc>
        <w:tc>
          <w:tcPr>
            <w:tcW w:w="1774"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1,316</w:t>
            </w:r>
          </w:p>
        </w:tc>
        <w:tc>
          <w:tcPr>
            <w:tcW w:w="1538"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1</w:t>
            </w:r>
            <w:r>
              <w:rPr>
                <w:rFonts w:ascii="Times New Roman" w:hAnsi="Times New Roman"/>
                <w:color w:val="000000"/>
              </w:rPr>
              <w:t>81</w:t>
            </w:r>
            <w:r w:rsidRPr="00AC7EA2">
              <w:rPr>
                <w:rFonts w:ascii="Times New Roman" w:hAnsi="Times New Roman"/>
                <w:color w:val="000000"/>
              </w:rPr>
              <w:t>,</w:t>
            </w:r>
            <w:r>
              <w:rPr>
                <w:rFonts w:ascii="Times New Roman" w:hAnsi="Times New Roman"/>
                <w:color w:val="000000"/>
              </w:rPr>
              <w:t>608</w:t>
            </w:r>
          </w:p>
        </w:tc>
        <w:tc>
          <w:tcPr>
            <w:tcW w:w="142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0.0500</w:t>
            </w:r>
          </w:p>
        </w:tc>
        <w:tc>
          <w:tcPr>
            <w:tcW w:w="1301"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Pr>
                <w:rFonts w:ascii="Times New Roman" w:hAnsi="Times New Roman"/>
                <w:color w:val="000000"/>
              </w:rPr>
              <w:t>9,080</w:t>
            </w:r>
          </w:p>
        </w:tc>
      </w:tr>
      <w:tr w:rsidR="00A52294" w:rsidRPr="00AC7EA2" w:rsidTr="00A52294">
        <w:trPr>
          <w:cantSplit/>
          <w:trHeight w:val="900"/>
        </w:trPr>
        <w:tc>
          <w:tcPr>
            <w:tcW w:w="2353" w:type="dxa"/>
            <w:tcBorders>
              <w:top w:val="single" w:sz="1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b/>
              </w:rPr>
            </w:pPr>
            <w:r w:rsidRPr="00AC7EA2">
              <w:rPr>
                <w:rFonts w:ascii="Times New Roman" w:hAnsi="Times New Roman"/>
                <w:b/>
              </w:rPr>
              <w:t>Group Dosage Form</w:t>
            </w:r>
          </w:p>
        </w:tc>
        <w:tc>
          <w:tcPr>
            <w:tcW w:w="1774"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13</w:t>
            </w:r>
            <w:r>
              <w:rPr>
                <w:rFonts w:ascii="Times New Roman" w:hAnsi="Times New Roman"/>
                <w:color w:val="000000"/>
              </w:rPr>
              <w:t>8</w:t>
            </w:r>
          </w:p>
        </w:tc>
        <w:tc>
          <w:tcPr>
            <w:tcW w:w="1774"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26</w:t>
            </w:r>
          </w:p>
        </w:tc>
        <w:tc>
          <w:tcPr>
            <w:tcW w:w="1538"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3,</w:t>
            </w:r>
            <w:r>
              <w:rPr>
                <w:rFonts w:ascii="Times New Roman" w:hAnsi="Times New Roman"/>
                <w:color w:val="000000"/>
              </w:rPr>
              <w:t>588</w:t>
            </w:r>
          </w:p>
        </w:tc>
        <w:tc>
          <w:tcPr>
            <w:tcW w:w="142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0.1333</w:t>
            </w:r>
          </w:p>
        </w:tc>
        <w:tc>
          <w:tcPr>
            <w:tcW w:w="1301"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AC7EA2" w:rsidRDefault="00A52294" w:rsidP="00DF7AEC">
            <w:pPr>
              <w:autoSpaceDE w:val="0"/>
              <w:autoSpaceDN w:val="0"/>
              <w:spacing w:before="18"/>
              <w:ind w:right="80"/>
              <w:rPr>
                <w:rFonts w:ascii="Times New Roman" w:hAnsi="Times New Roman"/>
              </w:rPr>
            </w:pPr>
            <w:r w:rsidRPr="00AC7EA2">
              <w:rPr>
                <w:rFonts w:ascii="Times New Roman" w:hAnsi="Times New Roman"/>
                <w:color w:val="000000"/>
              </w:rPr>
              <w:t>4</w:t>
            </w:r>
            <w:r>
              <w:rPr>
                <w:rFonts w:ascii="Times New Roman" w:hAnsi="Times New Roman"/>
                <w:color w:val="000000"/>
              </w:rPr>
              <w:t>78</w:t>
            </w:r>
          </w:p>
        </w:tc>
      </w:tr>
      <w:tr w:rsidR="00A52294" w:rsidRPr="00AC7EA2" w:rsidTr="00A52294">
        <w:trPr>
          <w:cantSplit/>
          <w:trHeight w:val="900"/>
        </w:trPr>
        <w:tc>
          <w:tcPr>
            <w:tcW w:w="2353" w:type="dxa"/>
            <w:tcBorders>
              <w:top w:val="single" w:sz="18" w:space="0" w:color="auto"/>
              <w:left w:val="single" w:sz="8" w:space="0" w:color="auto"/>
              <w:bottom w:val="single" w:sz="18" w:space="0" w:color="auto"/>
              <w:right w:val="single" w:sz="8" w:space="0" w:color="auto"/>
            </w:tcBorders>
            <w:tcMar>
              <w:top w:w="0" w:type="dxa"/>
              <w:left w:w="108" w:type="dxa"/>
              <w:bottom w:w="0" w:type="dxa"/>
              <w:right w:w="108" w:type="dxa"/>
            </w:tcMar>
            <w:vAlign w:val="center"/>
          </w:tcPr>
          <w:p w:rsidR="00A52294" w:rsidRPr="00A52294" w:rsidRDefault="00A52294" w:rsidP="00DF7AEC">
            <w:pPr>
              <w:autoSpaceDE w:val="0"/>
              <w:autoSpaceDN w:val="0"/>
              <w:spacing w:before="18"/>
              <w:ind w:right="80"/>
              <w:rPr>
                <w:rFonts w:ascii="Times New Roman" w:hAnsi="Times New Roman"/>
                <w:b/>
              </w:rPr>
            </w:pPr>
            <w:r w:rsidRPr="00A52294">
              <w:rPr>
                <w:rFonts w:ascii="Times New Roman" w:hAnsi="Times New Roman"/>
                <w:b/>
              </w:rPr>
              <w:t>Total</w:t>
            </w:r>
          </w:p>
        </w:tc>
        <w:tc>
          <w:tcPr>
            <w:tcW w:w="1774"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DF7AEC" w:rsidRDefault="00DF7AEC" w:rsidP="00DF7AEC">
            <w:pPr>
              <w:autoSpaceDE w:val="0"/>
              <w:autoSpaceDN w:val="0"/>
              <w:spacing w:before="18"/>
              <w:ind w:right="80"/>
              <w:rPr>
                <w:rFonts w:ascii="Times New Roman" w:hAnsi="Times New Roman"/>
                <w:b/>
                <w:color w:val="000000"/>
              </w:rPr>
            </w:pPr>
            <w:r w:rsidRPr="00DF7AEC">
              <w:rPr>
                <w:rFonts w:ascii="Times New Roman" w:hAnsi="Times New Roman"/>
                <w:b/>
                <w:color w:val="000000"/>
              </w:rPr>
              <w:t>26,</w:t>
            </w:r>
            <w:r w:rsidR="00A52294" w:rsidRPr="00DF7AEC">
              <w:rPr>
                <w:rFonts w:ascii="Times New Roman" w:hAnsi="Times New Roman"/>
                <w:b/>
                <w:color w:val="000000"/>
              </w:rPr>
              <w:t>220</w:t>
            </w:r>
          </w:p>
        </w:tc>
        <w:tc>
          <w:tcPr>
            <w:tcW w:w="1774"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DF7AEC" w:rsidRDefault="00A52294" w:rsidP="00DF7AEC">
            <w:pPr>
              <w:autoSpaceDE w:val="0"/>
              <w:autoSpaceDN w:val="0"/>
              <w:spacing w:before="18"/>
              <w:ind w:right="80"/>
              <w:rPr>
                <w:rFonts w:ascii="Times New Roman" w:hAnsi="Times New Roman"/>
                <w:b/>
                <w:color w:val="000000"/>
              </w:rPr>
            </w:pPr>
          </w:p>
        </w:tc>
        <w:tc>
          <w:tcPr>
            <w:tcW w:w="1538"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DF7AEC" w:rsidRDefault="00A52294" w:rsidP="00DF7AEC">
            <w:pPr>
              <w:autoSpaceDE w:val="0"/>
              <w:autoSpaceDN w:val="0"/>
              <w:spacing w:before="18"/>
              <w:ind w:right="80"/>
              <w:rPr>
                <w:rFonts w:ascii="Times New Roman" w:hAnsi="Times New Roman"/>
                <w:b/>
                <w:color w:val="000000"/>
              </w:rPr>
            </w:pPr>
            <w:r w:rsidRPr="00DF7AEC">
              <w:rPr>
                <w:rFonts w:ascii="Times New Roman" w:hAnsi="Times New Roman"/>
                <w:b/>
                <w:color w:val="000000"/>
              </w:rPr>
              <w:t>235,980</w:t>
            </w:r>
          </w:p>
        </w:tc>
        <w:tc>
          <w:tcPr>
            <w:tcW w:w="1420"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DF7AEC" w:rsidRDefault="00A52294" w:rsidP="00DF7AEC">
            <w:pPr>
              <w:autoSpaceDE w:val="0"/>
              <w:autoSpaceDN w:val="0"/>
              <w:spacing w:before="18"/>
              <w:ind w:right="80"/>
              <w:rPr>
                <w:rFonts w:ascii="Times New Roman" w:hAnsi="Times New Roman"/>
                <w:b/>
                <w:color w:val="000000"/>
              </w:rPr>
            </w:pPr>
          </w:p>
        </w:tc>
        <w:tc>
          <w:tcPr>
            <w:tcW w:w="1301" w:type="dxa"/>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A52294" w:rsidRPr="00DF7AEC" w:rsidRDefault="00A52294" w:rsidP="00DF7AEC">
            <w:pPr>
              <w:autoSpaceDE w:val="0"/>
              <w:autoSpaceDN w:val="0"/>
              <w:spacing w:before="18"/>
              <w:ind w:right="80"/>
              <w:rPr>
                <w:rFonts w:ascii="Times New Roman" w:hAnsi="Times New Roman"/>
                <w:b/>
                <w:color w:val="000000"/>
              </w:rPr>
            </w:pPr>
            <w:r w:rsidRPr="00DF7AEC">
              <w:rPr>
                <w:rFonts w:ascii="Times New Roman" w:hAnsi="Times New Roman"/>
                <w:b/>
                <w:color w:val="000000"/>
              </w:rPr>
              <w:t>35,139</w:t>
            </w:r>
          </w:p>
        </w:tc>
      </w:tr>
    </w:tbl>
    <w:p w:rsidR="00A52294" w:rsidRPr="00AC7EA2" w:rsidRDefault="00A52294"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p>
    <w:p w:rsidR="006D3C4E" w:rsidRPr="00AC7EA2" w:rsidRDefault="006D3C4E" w:rsidP="006D3C4E">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A13.  Estimates of Annualized Cost Burden to Respondents</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AC7EA2">
        <w:rPr>
          <w:rStyle w:val="WP9BodyText"/>
          <w:rFonts w:ascii="Times New Roman" w:hAnsi="Times New Roman"/>
        </w:rPr>
        <w:t xml:space="preserve">There will be no capital, start up, or operation and maintenance costs. </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p>
    <w:p w:rsidR="006D3C4E" w:rsidRPr="00AC7EA2" w:rsidRDefault="006D3C4E" w:rsidP="006D3C4E">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A14.  Estimates of Annualized Cost to the Government</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AC7EA2">
        <w:rPr>
          <w:rStyle w:val="WP9BodyText"/>
          <w:rFonts w:ascii="Times New Roman" w:hAnsi="Times New Roman"/>
        </w:rPr>
        <w:t>The contract award to the PEP-C’s MAI Cross-Site Evaluation Task will cover all aspects of the evaluation design, planning, data collection, processing, and analysis, with the annualized cost of $530,000. These costs cover the following activities: assistance to grantee sites in cooperation with the national evaluation; cleaning and processing of outcome data from grantee sites; data analysis and reporting; and development of public use data and documentation.</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AC7EA2">
        <w:rPr>
          <w:rStyle w:val="WP9BodyText"/>
          <w:rFonts w:ascii="Times New Roman" w:hAnsi="Times New Roman"/>
        </w:rPr>
        <w:t xml:space="preserve">It is anticipated that the Government Project Officers (PO) who oversee the grants will expend time working with the PEP-C team and grantees in fulfilling the requirements of the program associated with the collection and submission of data.  The team </w:t>
      </w:r>
      <w:proofErr w:type="gramStart"/>
      <w:r w:rsidRPr="00AC7EA2">
        <w:rPr>
          <w:rStyle w:val="WP9BodyText"/>
          <w:rFonts w:ascii="Times New Roman" w:hAnsi="Times New Roman"/>
        </w:rPr>
        <w:t>lead</w:t>
      </w:r>
      <w:proofErr w:type="gramEnd"/>
      <w:r w:rsidRPr="00AC7EA2">
        <w:rPr>
          <w:rStyle w:val="WP9BodyText"/>
          <w:rFonts w:ascii="Times New Roman" w:hAnsi="Times New Roman"/>
        </w:rPr>
        <w:t xml:space="preserve"> of the MAI POs and the director of CSAP’s Division of Community Programs (CSAP-DCP) will attend weekly meetings with the PEP-C team and will review and approve all cross-site materials, including reports, conference presentations, and training materials. The Contract Officer’s Representative (COR) and the alternate COR (ACOR) overseeing the PEP-C contract will expend a portion of time overseeing all aspects of the MAI cross-site evaluation.  </w:t>
      </w: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006D3C4E" w:rsidRPr="00AC7EA2" w:rsidRDefault="006D3C4E" w:rsidP="006D3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AC7EA2">
        <w:rPr>
          <w:rStyle w:val="WP9BodyText"/>
          <w:rFonts w:ascii="Times New Roman" w:hAnsi="Times New Roman"/>
        </w:rPr>
        <w:t xml:space="preserve">Exhibit 8 displays the estimation worksheet for the annualized total cost to the government. Annual hours are based on a 40-hour work week for 48 weeks per year, that is, 1,920 hours per annum. It is estimated that 8 CSAP Project Officers will be involved in monitoring the grants. Total cost to the government is estimated at </w:t>
      </w:r>
      <w:r w:rsidRPr="006D3C4E">
        <w:rPr>
          <w:rStyle w:val="WP9BodyText"/>
          <w:rFonts w:ascii="Times New Roman" w:hAnsi="Times New Roman"/>
        </w:rPr>
        <w:t>$606,800.</w:t>
      </w:r>
    </w:p>
    <w:p w:rsidR="006D3C4E" w:rsidRPr="00AC7EA2" w:rsidRDefault="006D3C4E" w:rsidP="005F2016">
      <w:pPr>
        <w:suppressLineNumbers/>
        <w:rPr>
          <w:rStyle w:val="WP9BodyText"/>
          <w:rFonts w:ascii="Times New Roman" w:hAnsi="Times New Roman"/>
        </w:rPr>
      </w:pPr>
    </w:p>
    <w:p w:rsidR="00AF5128" w:rsidRPr="00AC7EA2" w:rsidRDefault="00AF5128" w:rsidP="005F2016">
      <w:pPr>
        <w:pStyle w:val="ListParagraph"/>
        <w:spacing w:line="287" w:lineRule="atLeast"/>
        <w:ind w:left="0"/>
        <w:rPr>
          <w:rFonts w:ascii="Times New Roman" w:hAnsi="Times New Roman"/>
          <w:color w:val="000000"/>
        </w:rPr>
      </w:pPr>
    </w:p>
    <w:p w:rsidR="00BF555F" w:rsidRPr="00AC7EA2" w:rsidRDefault="00BF555F"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b/>
        </w:rPr>
        <w:t xml:space="preserve">Exhibit </w:t>
      </w:r>
      <w:r w:rsidR="00DD60AA" w:rsidRPr="00AC7EA2">
        <w:rPr>
          <w:rStyle w:val="WP9BodyText"/>
          <w:rFonts w:ascii="Times New Roman" w:hAnsi="Times New Roman"/>
          <w:b/>
        </w:rPr>
        <w:t>8</w:t>
      </w:r>
      <w:r w:rsidRPr="00AC7EA2">
        <w:rPr>
          <w:rStyle w:val="WP9BodyText"/>
          <w:rFonts w:ascii="Times New Roman" w:hAnsi="Times New Roman"/>
          <w:b/>
        </w:rPr>
        <w:t>: Estimated Annualized Cost to the Government</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354"/>
        <w:gridCol w:w="1065"/>
        <w:gridCol w:w="941"/>
        <w:gridCol w:w="1311"/>
      </w:tblGrid>
      <w:tr w:rsidR="00992F2E" w:rsidRPr="00AC7EA2" w:rsidTr="00BF555F">
        <w:trPr>
          <w:trHeight w:val="773"/>
        </w:trPr>
        <w:tc>
          <w:tcPr>
            <w:tcW w:w="2555" w:type="dxa"/>
            <w:shd w:val="clear" w:color="auto" w:fill="BFBFBF" w:themeFill="background1" w:themeFillShade="BF"/>
            <w:vAlign w:val="center"/>
          </w:tcPr>
          <w:p w:rsidR="00992F2E" w:rsidRPr="00AC7EA2" w:rsidRDefault="00992F2E"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Position</w:t>
            </w:r>
          </w:p>
        </w:tc>
        <w:tc>
          <w:tcPr>
            <w:tcW w:w="1355" w:type="dxa"/>
            <w:shd w:val="clear" w:color="auto" w:fill="BFBFBF" w:themeFill="background1" w:themeFillShade="BF"/>
            <w:vAlign w:val="center"/>
          </w:tcPr>
          <w:p w:rsidR="00992F2E" w:rsidRPr="00AC7EA2" w:rsidRDefault="00992F2E"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Percent FTE</w:t>
            </w:r>
          </w:p>
        </w:tc>
        <w:tc>
          <w:tcPr>
            <w:tcW w:w="1054" w:type="dxa"/>
            <w:shd w:val="clear" w:color="auto" w:fill="BFBFBF" w:themeFill="background1" w:themeFillShade="BF"/>
            <w:vAlign w:val="center"/>
          </w:tcPr>
          <w:p w:rsidR="00992F2E" w:rsidRPr="00AC7EA2" w:rsidRDefault="00992F2E"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Annual Hours</w:t>
            </w:r>
          </w:p>
        </w:tc>
        <w:tc>
          <w:tcPr>
            <w:tcW w:w="942" w:type="dxa"/>
            <w:shd w:val="clear" w:color="auto" w:fill="BFBFBF" w:themeFill="background1" w:themeFillShade="BF"/>
            <w:vAlign w:val="center"/>
          </w:tcPr>
          <w:p w:rsidR="00992F2E" w:rsidRPr="00AC7EA2" w:rsidRDefault="00992F2E"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Rate</w:t>
            </w:r>
          </w:p>
        </w:tc>
        <w:tc>
          <w:tcPr>
            <w:tcW w:w="1312" w:type="dxa"/>
            <w:shd w:val="clear" w:color="auto" w:fill="BFBFBF" w:themeFill="background1" w:themeFillShade="BF"/>
            <w:vAlign w:val="center"/>
          </w:tcPr>
          <w:p w:rsidR="00992F2E" w:rsidRPr="00AC7EA2" w:rsidRDefault="00992F2E" w:rsidP="005F2016">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AC7EA2">
              <w:rPr>
                <w:rFonts w:ascii="Times New Roman" w:hAnsi="Times New Roman"/>
                <w:b/>
                <w:smallCaps/>
              </w:rPr>
              <w:t>Total Annual Cost</w:t>
            </w:r>
          </w:p>
        </w:tc>
      </w:tr>
      <w:tr w:rsidR="00C42D2D" w:rsidRPr="00AC7EA2" w:rsidTr="00C42D2D">
        <w:trPr>
          <w:trHeight w:val="345"/>
        </w:trPr>
        <w:tc>
          <w:tcPr>
            <w:tcW w:w="2555" w:type="dxa"/>
            <w:vAlign w:val="center"/>
          </w:tcPr>
          <w:p w:rsidR="00C42D2D" w:rsidRPr="00AC7EA2" w:rsidRDefault="00C42D2D" w:rsidP="005F2016">
            <w:pPr>
              <w:rPr>
                <w:rFonts w:ascii="Times New Roman" w:hAnsi="Times New Roman"/>
                <w:color w:val="000000"/>
              </w:rPr>
            </w:pPr>
            <w:r w:rsidRPr="00AC7EA2">
              <w:rPr>
                <w:rFonts w:ascii="Times New Roman" w:hAnsi="Times New Roman"/>
                <w:color w:val="000000"/>
              </w:rPr>
              <w:t>PEP-C Contract</w:t>
            </w:r>
          </w:p>
        </w:tc>
        <w:tc>
          <w:tcPr>
            <w:tcW w:w="1355"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NA</w:t>
            </w:r>
          </w:p>
        </w:tc>
        <w:tc>
          <w:tcPr>
            <w:tcW w:w="1054"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NA</w:t>
            </w:r>
          </w:p>
        </w:tc>
        <w:tc>
          <w:tcPr>
            <w:tcW w:w="94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NA</w:t>
            </w:r>
          </w:p>
        </w:tc>
        <w:tc>
          <w:tcPr>
            <w:tcW w:w="131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$530,000</w:t>
            </w:r>
          </w:p>
        </w:tc>
      </w:tr>
      <w:tr w:rsidR="00C42D2D" w:rsidRPr="00AC7EA2" w:rsidTr="00C42D2D">
        <w:trPr>
          <w:trHeight w:val="330"/>
        </w:trPr>
        <w:tc>
          <w:tcPr>
            <w:tcW w:w="2555" w:type="dxa"/>
            <w:vAlign w:val="center"/>
          </w:tcPr>
          <w:p w:rsidR="00C42D2D" w:rsidRPr="00AC7EA2" w:rsidRDefault="00C42D2D" w:rsidP="005F2016">
            <w:pPr>
              <w:rPr>
                <w:rFonts w:ascii="Times New Roman" w:hAnsi="Times New Roman"/>
                <w:color w:val="000000"/>
              </w:rPr>
            </w:pPr>
            <w:r w:rsidRPr="00AC7EA2">
              <w:rPr>
                <w:rFonts w:ascii="Times New Roman" w:hAnsi="Times New Roman"/>
                <w:color w:val="000000"/>
              </w:rPr>
              <w:t>PEP-C COR</w:t>
            </w:r>
          </w:p>
        </w:tc>
        <w:tc>
          <w:tcPr>
            <w:tcW w:w="1355"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15%</w:t>
            </w:r>
          </w:p>
        </w:tc>
        <w:tc>
          <w:tcPr>
            <w:tcW w:w="1054"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288</w:t>
            </w:r>
          </w:p>
        </w:tc>
        <w:tc>
          <w:tcPr>
            <w:tcW w:w="94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$60</w:t>
            </w:r>
          </w:p>
        </w:tc>
        <w:tc>
          <w:tcPr>
            <w:tcW w:w="131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$17,280</w:t>
            </w:r>
          </w:p>
        </w:tc>
      </w:tr>
      <w:tr w:rsidR="00C42D2D" w:rsidRPr="00AC7EA2" w:rsidTr="00C42D2D">
        <w:trPr>
          <w:trHeight w:val="330"/>
        </w:trPr>
        <w:tc>
          <w:tcPr>
            <w:tcW w:w="2555" w:type="dxa"/>
            <w:vAlign w:val="center"/>
          </w:tcPr>
          <w:p w:rsidR="00C42D2D" w:rsidRPr="00AC7EA2" w:rsidRDefault="00C42D2D" w:rsidP="005F2016">
            <w:pPr>
              <w:rPr>
                <w:rFonts w:ascii="Times New Roman" w:hAnsi="Times New Roman"/>
                <w:color w:val="000000"/>
              </w:rPr>
            </w:pPr>
            <w:r w:rsidRPr="00AC7EA2">
              <w:rPr>
                <w:rFonts w:ascii="Times New Roman" w:hAnsi="Times New Roman"/>
                <w:color w:val="000000"/>
              </w:rPr>
              <w:t>PEP-C ACOR</w:t>
            </w:r>
          </w:p>
        </w:tc>
        <w:tc>
          <w:tcPr>
            <w:tcW w:w="1355"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w:t>
            </w:r>
          </w:p>
        </w:tc>
        <w:tc>
          <w:tcPr>
            <w:tcW w:w="1054"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96</w:t>
            </w:r>
          </w:p>
        </w:tc>
        <w:tc>
          <w:tcPr>
            <w:tcW w:w="94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$60</w:t>
            </w:r>
          </w:p>
        </w:tc>
        <w:tc>
          <w:tcPr>
            <w:tcW w:w="131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$5,760</w:t>
            </w:r>
          </w:p>
        </w:tc>
      </w:tr>
      <w:tr w:rsidR="00C42D2D" w:rsidRPr="00AC7EA2" w:rsidTr="00C42D2D">
        <w:trPr>
          <w:trHeight w:val="350"/>
        </w:trPr>
        <w:tc>
          <w:tcPr>
            <w:tcW w:w="2555" w:type="dxa"/>
            <w:vAlign w:val="center"/>
          </w:tcPr>
          <w:p w:rsidR="00C42D2D" w:rsidRPr="00AC7EA2" w:rsidRDefault="00C42D2D" w:rsidP="005F2016">
            <w:pPr>
              <w:rPr>
                <w:rFonts w:ascii="Times New Roman" w:hAnsi="Times New Roman"/>
                <w:color w:val="000000"/>
              </w:rPr>
            </w:pPr>
            <w:r w:rsidRPr="00AC7EA2">
              <w:rPr>
                <w:rFonts w:ascii="Times New Roman" w:hAnsi="Times New Roman"/>
                <w:color w:val="000000"/>
              </w:rPr>
              <w:t>CSAP-DCP Director</w:t>
            </w:r>
          </w:p>
        </w:tc>
        <w:tc>
          <w:tcPr>
            <w:tcW w:w="1355"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w:t>
            </w:r>
          </w:p>
        </w:tc>
        <w:tc>
          <w:tcPr>
            <w:tcW w:w="1054"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96</w:t>
            </w:r>
          </w:p>
        </w:tc>
        <w:tc>
          <w:tcPr>
            <w:tcW w:w="94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$60</w:t>
            </w:r>
          </w:p>
        </w:tc>
        <w:tc>
          <w:tcPr>
            <w:tcW w:w="131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$5,760</w:t>
            </w:r>
          </w:p>
        </w:tc>
      </w:tr>
      <w:tr w:rsidR="00C42D2D" w:rsidRPr="00AC7EA2" w:rsidTr="00C42D2D">
        <w:trPr>
          <w:trHeight w:val="530"/>
        </w:trPr>
        <w:tc>
          <w:tcPr>
            <w:tcW w:w="2555" w:type="dxa"/>
            <w:vAlign w:val="center"/>
          </w:tcPr>
          <w:p w:rsidR="00C42D2D" w:rsidRPr="00AC7EA2" w:rsidDel="00AD38B4" w:rsidRDefault="00C42D2D" w:rsidP="005F2016">
            <w:pPr>
              <w:rPr>
                <w:rFonts w:ascii="Times New Roman" w:hAnsi="Times New Roman"/>
                <w:color w:val="000000"/>
              </w:rPr>
            </w:pPr>
            <w:r w:rsidRPr="00AC7EA2">
              <w:rPr>
                <w:rFonts w:ascii="Times New Roman" w:hAnsi="Times New Roman"/>
                <w:color w:val="000000"/>
              </w:rPr>
              <w:t>MAI Project Officer Team Lead</w:t>
            </w:r>
          </w:p>
        </w:tc>
        <w:tc>
          <w:tcPr>
            <w:tcW w:w="1355"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w:t>
            </w:r>
          </w:p>
        </w:tc>
        <w:tc>
          <w:tcPr>
            <w:tcW w:w="1054"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96</w:t>
            </w:r>
          </w:p>
        </w:tc>
        <w:tc>
          <w:tcPr>
            <w:tcW w:w="94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$60</w:t>
            </w:r>
          </w:p>
        </w:tc>
        <w:tc>
          <w:tcPr>
            <w:tcW w:w="1312" w:type="dxa"/>
            <w:shd w:val="clear" w:color="auto" w:fill="auto"/>
            <w:vAlign w:val="center"/>
          </w:tcPr>
          <w:p w:rsidR="00C42D2D" w:rsidRPr="00AC7EA2" w:rsidRDefault="00C42D2D" w:rsidP="005F2016">
            <w:pPr>
              <w:rPr>
                <w:rFonts w:ascii="Times New Roman" w:hAnsi="Times New Roman"/>
                <w:color w:val="000000"/>
              </w:rPr>
            </w:pPr>
            <w:r w:rsidRPr="00AC7EA2">
              <w:rPr>
                <w:rFonts w:ascii="Times New Roman" w:hAnsi="Times New Roman"/>
              </w:rPr>
              <w:t>$5,760</w:t>
            </w:r>
          </w:p>
        </w:tc>
      </w:tr>
      <w:tr w:rsidR="00C42D2D" w:rsidRPr="00AC7EA2" w:rsidTr="00C42D2D">
        <w:trPr>
          <w:trHeight w:val="645"/>
        </w:trPr>
        <w:tc>
          <w:tcPr>
            <w:tcW w:w="2555" w:type="dxa"/>
            <w:vAlign w:val="center"/>
          </w:tcPr>
          <w:p w:rsidR="00C42D2D" w:rsidRPr="00AC7EA2" w:rsidRDefault="00C42D2D" w:rsidP="005F2016">
            <w:pPr>
              <w:rPr>
                <w:rFonts w:ascii="Times New Roman" w:hAnsi="Times New Roman"/>
                <w:color w:val="000000"/>
              </w:rPr>
            </w:pPr>
            <w:r w:rsidRPr="00AC7EA2">
              <w:rPr>
                <w:rFonts w:ascii="Times New Roman" w:hAnsi="Times New Roman"/>
                <w:color w:val="000000"/>
              </w:rPr>
              <w:t>MAI Project Officers (Based on Estimated 8 POs)</w:t>
            </w:r>
          </w:p>
        </w:tc>
        <w:tc>
          <w:tcPr>
            <w:tcW w:w="1355"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5%</w:t>
            </w:r>
          </w:p>
        </w:tc>
        <w:tc>
          <w:tcPr>
            <w:tcW w:w="1054"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768</w:t>
            </w:r>
          </w:p>
        </w:tc>
        <w:tc>
          <w:tcPr>
            <w:tcW w:w="942" w:type="dxa"/>
            <w:shd w:val="clear" w:color="auto" w:fill="auto"/>
            <w:vAlign w:val="center"/>
          </w:tcPr>
          <w:p w:rsidR="00C42D2D" w:rsidRPr="00AC7EA2" w:rsidRDefault="00C42D2D" w:rsidP="005F2016">
            <w:pPr>
              <w:rPr>
                <w:rFonts w:ascii="Times New Roman" w:hAnsi="Times New Roman"/>
                <w:color w:val="000000"/>
              </w:rPr>
            </w:pPr>
            <w:r w:rsidRPr="00AC7EA2">
              <w:rPr>
                <w:rFonts w:ascii="Times New Roman" w:hAnsi="Times New Roman"/>
              </w:rPr>
              <w:t>$55</w:t>
            </w:r>
          </w:p>
        </w:tc>
        <w:tc>
          <w:tcPr>
            <w:tcW w:w="131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$42,240</w:t>
            </w:r>
          </w:p>
        </w:tc>
      </w:tr>
      <w:tr w:rsidR="00C42D2D" w:rsidRPr="00AC7EA2" w:rsidTr="00C42D2D">
        <w:trPr>
          <w:trHeight w:val="330"/>
        </w:trPr>
        <w:tc>
          <w:tcPr>
            <w:tcW w:w="2555" w:type="dxa"/>
            <w:vAlign w:val="center"/>
          </w:tcPr>
          <w:p w:rsidR="00C42D2D" w:rsidRPr="00AC7EA2" w:rsidRDefault="00C42D2D" w:rsidP="005F2016">
            <w:pPr>
              <w:rPr>
                <w:rFonts w:ascii="Times New Roman" w:hAnsi="Times New Roman"/>
                <w:b/>
                <w:bCs/>
                <w:color w:val="000000"/>
              </w:rPr>
            </w:pPr>
            <w:r w:rsidRPr="00AC7EA2">
              <w:rPr>
                <w:rFonts w:ascii="Times New Roman" w:hAnsi="Times New Roman"/>
                <w:b/>
                <w:bCs/>
                <w:color w:val="000000"/>
              </w:rPr>
              <w:t>Total</w:t>
            </w:r>
          </w:p>
        </w:tc>
        <w:tc>
          <w:tcPr>
            <w:tcW w:w="1355" w:type="dxa"/>
            <w:vAlign w:val="center"/>
          </w:tcPr>
          <w:p w:rsidR="00C42D2D" w:rsidRPr="00AC7EA2" w:rsidRDefault="00C42D2D" w:rsidP="005F2016">
            <w:pPr>
              <w:rPr>
                <w:rFonts w:ascii="Times New Roman" w:hAnsi="Times New Roman"/>
                <w:color w:val="000000"/>
              </w:rPr>
            </w:pPr>
          </w:p>
        </w:tc>
        <w:tc>
          <w:tcPr>
            <w:tcW w:w="1054" w:type="dxa"/>
            <w:vAlign w:val="center"/>
          </w:tcPr>
          <w:p w:rsidR="00C42D2D" w:rsidRPr="00AC7EA2" w:rsidRDefault="00C42D2D" w:rsidP="005F2016">
            <w:pPr>
              <w:rPr>
                <w:rFonts w:ascii="Times New Roman" w:hAnsi="Times New Roman"/>
                <w:color w:val="000000"/>
              </w:rPr>
            </w:pPr>
          </w:p>
        </w:tc>
        <w:tc>
          <w:tcPr>
            <w:tcW w:w="942" w:type="dxa"/>
            <w:vAlign w:val="center"/>
          </w:tcPr>
          <w:p w:rsidR="00C42D2D" w:rsidRPr="00AC7EA2" w:rsidRDefault="00C42D2D" w:rsidP="005F2016">
            <w:pPr>
              <w:rPr>
                <w:rFonts w:ascii="Times New Roman" w:hAnsi="Times New Roman"/>
                <w:color w:val="000000"/>
              </w:rPr>
            </w:pPr>
          </w:p>
        </w:tc>
        <w:tc>
          <w:tcPr>
            <w:tcW w:w="1312" w:type="dxa"/>
            <w:vAlign w:val="center"/>
          </w:tcPr>
          <w:p w:rsidR="00C42D2D" w:rsidRPr="00AC7EA2" w:rsidRDefault="00C42D2D" w:rsidP="005F2016">
            <w:pPr>
              <w:rPr>
                <w:rFonts w:ascii="Times New Roman" w:hAnsi="Times New Roman"/>
                <w:color w:val="000000"/>
              </w:rPr>
            </w:pPr>
            <w:r w:rsidRPr="00AC7EA2">
              <w:rPr>
                <w:rFonts w:ascii="Times New Roman" w:hAnsi="Times New Roman"/>
              </w:rPr>
              <w:t>$606,800</w:t>
            </w:r>
          </w:p>
        </w:tc>
      </w:tr>
    </w:tbl>
    <w:p w:rsidR="00992F2E" w:rsidRPr="00AC7EA2" w:rsidRDefault="00992F2E"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E34AD" w:rsidRPr="00AC7EA2" w:rsidRDefault="006E34AD"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A15.  Changes in Burden</w:t>
      </w:r>
    </w:p>
    <w:p w:rsidR="00950C8B" w:rsidRPr="00AC7EA2" w:rsidRDefault="00F35ED3"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AC7EA2">
        <w:rPr>
          <w:rStyle w:val="WP9BodyText"/>
          <w:rFonts w:ascii="Times New Roman" w:hAnsi="Times New Roman"/>
        </w:rPr>
        <w:t>Currently</w:t>
      </w:r>
      <w:r w:rsidR="00411D37" w:rsidRPr="00AC7EA2">
        <w:rPr>
          <w:rStyle w:val="WP9BodyText"/>
          <w:rFonts w:ascii="Times New Roman" w:hAnsi="Times New Roman"/>
        </w:rPr>
        <w:t xml:space="preserve"> there were </w:t>
      </w:r>
      <w:r w:rsidR="00950C8B" w:rsidRPr="00AC7EA2">
        <w:rPr>
          <w:rStyle w:val="WP9BodyText"/>
          <w:rFonts w:ascii="Times New Roman" w:hAnsi="Times New Roman"/>
        </w:rPr>
        <w:t>16,770 hours in the OMB inventory</w:t>
      </w:r>
      <w:r w:rsidRPr="00AC7EA2">
        <w:rPr>
          <w:rStyle w:val="WP9BodyText"/>
          <w:rFonts w:ascii="Times New Roman" w:hAnsi="Times New Roman"/>
        </w:rPr>
        <w:t xml:space="preserve">. </w:t>
      </w:r>
      <w:r w:rsidR="00411D37" w:rsidRPr="00AC7EA2">
        <w:rPr>
          <w:rStyle w:val="WP9BodyText"/>
          <w:rFonts w:ascii="Times New Roman" w:hAnsi="Times New Roman"/>
        </w:rPr>
        <w:t>SAMHSA</w:t>
      </w:r>
      <w:r w:rsidR="00950C8B" w:rsidRPr="00AC7EA2">
        <w:rPr>
          <w:rStyle w:val="WP9BodyText"/>
          <w:rFonts w:ascii="Times New Roman" w:hAnsi="Times New Roman"/>
        </w:rPr>
        <w:t xml:space="preserve"> is requesting </w:t>
      </w:r>
      <w:r w:rsidR="006A33DC">
        <w:rPr>
          <w:rFonts w:ascii="Times New Roman" w:hAnsi="Times New Roman"/>
          <w:bCs/>
          <w:color w:val="000000"/>
        </w:rPr>
        <w:t>35,139</w:t>
      </w:r>
      <w:r w:rsidR="00411D37" w:rsidRPr="00AC7EA2">
        <w:rPr>
          <w:rFonts w:ascii="Times New Roman" w:hAnsi="Times New Roman"/>
          <w:bCs/>
          <w:color w:val="000000"/>
        </w:rPr>
        <w:t xml:space="preserve"> to continue this </w:t>
      </w:r>
      <w:r w:rsidR="00886C51" w:rsidRPr="00AC7EA2">
        <w:rPr>
          <w:rFonts w:ascii="Times New Roman" w:hAnsi="Times New Roman"/>
          <w:bCs/>
          <w:color w:val="000000"/>
        </w:rPr>
        <w:t>cross-site evaluation</w:t>
      </w:r>
      <w:r w:rsidR="00950C8B" w:rsidRPr="00AC7EA2">
        <w:rPr>
          <w:rStyle w:val="WP9BodyText"/>
          <w:rFonts w:ascii="Times New Roman" w:hAnsi="Times New Roman"/>
        </w:rPr>
        <w:t xml:space="preserve">. </w:t>
      </w:r>
      <w:r w:rsidR="003F471E" w:rsidRPr="00AC7EA2">
        <w:rPr>
          <w:rStyle w:val="WP9BodyText"/>
          <w:rFonts w:ascii="Times New Roman" w:hAnsi="Times New Roman"/>
        </w:rPr>
        <w:t xml:space="preserve">The </w:t>
      </w:r>
      <w:r w:rsidR="00332194">
        <w:rPr>
          <w:rStyle w:val="WP9BodyText"/>
          <w:rFonts w:ascii="Times New Roman" w:hAnsi="Times New Roman"/>
        </w:rPr>
        <w:t xml:space="preserve">additional </w:t>
      </w:r>
      <w:r w:rsidR="006A33DC">
        <w:rPr>
          <w:rStyle w:val="WP9BodyText"/>
          <w:rFonts w:ascii="Times New Roman" w:hAnsi="Times New Roman"/>
        </w:rPr>
        <w:t>18,369</w:t>
      </w:r>
      <w:r w:rsidR="00B06D3B" w:rsidRPr="00AC7EA2">
        <w:rPr>
          <w:rStyle w:val="WP9BodyText"/>
          <w:rFonts w:ascii="Times New Roman" w:hAnsi="Times New Roman"/>
        </w:rPr>
        <w:t xml:space="preserve"> </w:t>
      </w:r>
      <w:r w:rsidR="00332194">
        <w:rPr>
          <w:rStyle w:val="WP9BodyText"/>
          <w:rFonts w:ascii="Times New Roman" w:hAnsi="Times New Roman"/>
        </w:rPr>
        <w:t>hours are</w:t>
      </w:r>
      <w:r w:rsidR="00332194" w:rsidRPr="00AC7EA2">
        <w:rPr>
          <w:rStyle w:val="WP9BodyText"/>
          <w:rFonts w:ascii="Times New Roman" w:hAnsi="Times New Roman"/>
        </w:rPr>
        <w:t xml:space="preserve"> </w:t>
      </w:r>
      <w:r w:rsidR="00B06D3B" w:rsidRPr="00AC7EA2">
        <w:rPr>
          <w:rStyle w:val="WP9BodyText"/>
          <w:rFonts w:ascii="Times New Roman" w:hAnsi="Times New Roman"/>
        </w:rPr>
        <w:t xml:space="preserve">due to </w:t>
      </w:r>
      <w:r w:rsidR="00FE4157" w:rsidRPr="00AC7EA2">
        <w:rPr>
          <w:rStyle w:val="WP9BodyText"/>
          <w:rFonts w:ascii="Times New Roman" w:hAnsi="Times New Roman"/>
        </w:rPr>
        <w:t>program changes</w:t>
      </w:r>
      <w:r w:rsidR="00B06D3B" w:rsidRPr="00AC7EA2">
        <w:rPr>
          <w:rStyle w:val="WP9BodyText"/>
          <w:rFonts w:ascii="Times New Roman" w:hAnsi="Times New Roman"/>
        </w:rPr>
        <w:t>,</w:t>
      </w:r>
      <w:r w:rsidR="00411D37" w:rsidRPr="00AC7EA2">
        <w:rPr>
          <w:rStyle w:val="WP9BodyText"/>
          <w:rFonts w:ascii="Times New Roman" w:hAnsi="Times New Roman"/>
        </w:rPr>
        <w:t xml:space="preserve"> including a</w:t>
      </w:r>
      <w:r w:rsidR="00B06D3B" w:rsidRPr="00AC7EA2">
        <w:rPr>
          <w:rStyle w:val="WP9BodyText"/>
          <w:rFonts w:ascii="Times New Roman" w:hAnsi="Times New Roman"/>
        </w:rPr>
        <w:t>n</w:t>
      </w:r>
      <w:r w:rsidR="00411D37" w:rsidRPr="00AC7EA2">
        <w:rPr>
          <w:rStyle w:val="WP9BodyText"/>
          <w:rFonts w:ascii="Times New Roman" w:hAnsi="Times New Roman"/>
        </w:rPr>
        <w:t xml:space="preserve"> </w:t>
      </w:r>
      <w:r w:rsidR="00B06D3B" w:rsidRPr="00AC7EA2">
        <w:rPr>
          <w:rStyle w:val="WP9BodyText"/>
          <w:rFonts w:ascii="Times New Roman" w:hAnsi="Times New Roman"/>
        </w:rPr>
        <w:t>increase in the</w:t>
      </w:r>
      <w:r w:rsidR="00411D37" w:rsidRPr="00AC7EA2">
        <w:rPr>
          <w:rStyle w:val="WP9BodyText"/>
          <w:rFonts w:ascii="Times New Roman" w:hAnsi="Times New Roman"/>
        </w:rPr>
        <w:t xml:space="preserve"> number of grantees</w:t>
      </w:r>
      <w:r w:rsidR="00B06D3B" w:rsidRPr="00AC7EA2">
        <w:rPr>
          <w:rStyle w:val="WP9BodyText"/>
          <w:rFonts w:ascii="Times New Roman" w:hAnsi="Times New Roman"/>
        </w:rPr>
        <w:t xml:space="preserve"> </w:t>
      </w:r>
      <w:r w:rsidR="00333349" w:rsidRPr="00AC7EA2">
        <w:rPr>
          <w:rStyle w:val="WP9BodyText"/>
          <w:rFonts w:ascii="Times New Roman" w:hAnsi="Times New Roman"/>
        </w:rPr>
        <w:t xml:space="preserve">funded by the MSI CBO and CBI programs </w:t>
      </w:r>
      <w:r w:rsidR="00B06D3B" w:rsidRPr="00AC7EA2">
        <w:rPr>
          <w:rStyle w:val="WP9BodyText"/>
          <w:rFonts w:ascii="Times New Roman" w:hAnsi="Times New Roman"/>
        </w:rPr>
        <w:t xml:space="preserve">and </w:t>
      </w:r>
      <w:r w:rsidR="000E6424" w:rsidRPr="00AC7EA2">
        <w:rPr>
          <w:rStyle w:val="WP9BodyText"/>
          <w:rFonts w:ascii="Times New Roman" w:hAnsi="Times New Roman"/>
        </w:rPr>
        <w:t xml:space="preserve">related increase in the </w:t>
      </w:r>
      <w:r w:rsidR="00B06D3B" w:rsidRPr="00AC7EA2">
        <w:rPr>
          <w:rStyle w:val="WP9BodyText"/>
          <w:rFonts w:ascii="Times New Roman" w:hAnsi="Times New Roman"/>
        </w:rPr>
        <w:t xml:space="preserve">expected numbers of participants to be served. Additionally, the estimates of the number of participants by service duration and of response rates to the surveys are based on data submitted by more recent cohorts and are more representative of the probable activities of the current cohorts of grantees. Finally, two brief dosage forms have been added to the </w:t>
      </w:r>
      <w:r w:rsidR="00F66350" w:rsidRPr="00AC7EA2">
        <w:rPr>
          <w:rStyle w:val="WP9BodyText"/>
          <w:rFonts w:ascii="Times New Roman" w:hAnsi="Times New Roman"/>
        </w:rPr>
        <w:t>data collection protocol</w:t>
      </w:r>
      <w:r w:rsidR="00B06D3B" w:rsidRPr="00AC7EA2">
        <w:rPr>
          <w:rStyle w:val="WP9BodyText"/>
          <w:rFonts w:ascii="Times New Roman" w:hAnsi="Times New Roman"/>
        </w:rPr>
        <w:t>.</w:t>
      </w:r>
    </w:p>
    <w:p w:rsidR="007803FC" w:rsidRPr="00AC7EA2" w:rsidRDefault="007803FC" w:rsidP="005F2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006E34AD" w:rsidRPr="00AC7EA2" w:rsidRDefault="006E34AD" w:rsidP="005F2016">
      <w:pPr>
        <w:pStyle w:val="Heading2"/>
        <w:spacing w:before="120" w:line="360" w:lineRule="auto"/>
        <w:rPr>
          <w:rFonts w:ascii="Times New Roman" w:hAnsi="Times New Roman"/>
          <w:i w:val="0"/>
          <w:sz w:val="24"/>
          <w:szCs w:val="24"/>
        </w:rPr>
      </w:pPr>
      <w:bookmarkStart w:id="7" w:name="_Toc189457721"/>
      <w:r w:rsidRPr="00AC7EA2">
        <w:rPr>
          <w:rFonts w:ascii="Times New Roman" w:hAnsi="Times New Roman"/>
          <w:i w:val="0"/>
          <w:sz w:val="24"/>
          <w:szCs w:val="24"/>
        </w:rPr>
        <w:t>A16.</w:t>
      </w:r>
      <w:r w:rsidRPr="00AC7EA2">
        <w:rPr>
          <w:rFonts w:ascii="Times New Roman" w:hAnsi="Times New Roman"/>
          <w:i w:val="0"/>
          <w:sz w:val="24"/>
          <w:szCs w:val="24"/>
        </w:rPr>
        <w:tab/>
      </w:r>
      <w:bookmarkStart w:id="8" w:name="_Toc515165886"/>
      <w:bookmarkStart w:id="9" w:name="_Toc79290372"/>
      <w:r w:rsidRPr="00AC7EA2">
        <w:rPr>
          <w:rFonts w:ascii="Times New Roman" w:hAnsi="Times New Roman"/>
          <w:i w:val="0"/>
          <w:sz w:val="24"/>
          <w:szCs w:val="24"/>
        </w:rPr>
        <w:t>Time Schedule, Analysis and Publication Plans</w:t>
      </w:r>
      <w:bookmarkEnd w:id="7"/>
      <w:bookmarkEnd w:id="8"/>
      <w:bookmarkEnd w:id="9"/>
    </w:p>
    <w:p w:rsidR="000719AA" w:rsidRPr="00AC7EA2" w:rsidRDefault="000719AA"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AC7EA2">
        <w:rPr>
          <w:rFonts w:ascii="Times New Roman" w:hAnsi="Times New Roman"/>
          <w:b/>
        </w:rPr>
        <w:t>Analysis Plans</w:t>
      </w:r>
    </w:p>
    <w:p w:rsidR="007803FC" w:rsidRPr="00AC7EA2" w:rsidRDefault="007803FC"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color w:val="000000"/>
        </w:rPr>
      </w:pPr>
    </w:p>
    <w:p w:rsidR="000719AA"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 xml:space="preserve">The defining characteristic of this </w:t>
      </w:r>
      <w:r w:rsidR="00886C51" w:rsidRPr="00AC7EA2">
        <w:rPr>
          <w:rStyle w:val="WP9BodyText"/>
          <w:rFonts w:ascii="Times New Roman" w:hAnsi="Times New Roman"/>
        </w:rPr>
        <w:t>cross-site evaluation</w:t>
      </w:r>
      <w:r w:rsidRPr="00AC7EA2">
        <w:rPr>
          <w:rStyle w:val="WP9BodyText"/>
          <w:rFonts w:ascii="Times New Roman" w:hAnsi="Times New Roman"/>
        </w:rPr>
        <w:t xml:space="preserve"> is </w:t>
      </w:r>
      <w:r w:rsidR="002174A5" w:rsidRPr="00AC7EA2">
        <w:rPr>
          <w:rStyle w:val="WP9BodyText"/>
          <w:rFonts w:ascii="Times New Roman" w:hAnsi="Times New Roman"/>
        </w:rPr>
        <w:t>the sharing of</w:t>
      </w:r>
      <w:r w:rsidRPr="00AC7EA2">
        <w:rPr>
          <w:rStyle w:val="WP9BodyText"/>
          <w:rFonts w:ascii="Times New Roman" w:hAnsi="Times New Roman"/>
        </w:rPr>
        <w:t xml:space="preserve"> a common </w:t>
      </w:r>
      <w:r w:rsidR="007B3C5C" w:rsidRPr="00AC7EA2">
        <w:rPr>
          <w:rStyle w:val="WP9BodyText"/>
          <w:rFonts w:ascii="Times New Roman" w:hAnsi="Times New Roman"/>
        </w:rPr>
        <w:t xml:space="preserve">data collection </w:t>
      </w:r>
      <w:r w:rsidRPr="00AC7EA2">
        <w:rPr>
          <w:rStyle w:val="WP9BodyText"/>
          <w:rFonts w:ascii="Times New Roman" w:hAnsi="Times New Roman"/>
        </w:rPr>
        <w:t>protocol, a common set of performance measures, outcome objectives, and evaluation questions</w:t>
      </w:r>
      <w:r w:rsidR="002174A5" w:rsidRPr="00AC7EA2">
        <w:rPr>
          <w:rStyle w:val="WP9BodyText"/>
          <w:rFonts w:ascii="Times New Roman" w:hAnsi="Times New Roman"/>
        </w:rPr>
        <w:t xml:space="preserve"> by all participating grantees</w:t>
      </w:r>
      <w:r w:rsidR="003D35F1" w:rsidRPr="00AC7EA2">
        <w:rPr>
          <w:rStyle w:val="WP9BodyText"/>
          <w:rFonts w:ascii="Times New Roman" w:hAnsi="Times New Roman"/>
        </w:rPr>
        <w:t xml:space="preserve">. </w:t>
      </w:r>
      <w:r w:rsidRPr="00AC7EA2">
        <w:rPr>
          <w:rStyle w:val="WP9BodyText"/>
          <w:rFonts w:ascii="Times New Roman" w:hAnsi="Times New Roman"/>
        </w:rPr>
        <w:t xml:space="preserve">This </w:t>
      </w:r>
      <w:r w:rsidR="002A4ED2" w:rsidRPr="00AC7EA2">
        <w:rPr>
          <w:rStyle w:val="WP9BodyText"/>
          <w:rFonts w:ascii="Times New Roman" w:hAnsi="Times New Roman"/>
        </w:rPr>
        <w:t>evaluation</w:t>
      </w:r>
      <w:r w:rsidRPr="00AC7EA2">
        <w:rPr>
          <w:rStyle w:val="WP9BodyText"/>
          <w:rFonts w:ascii="Times New Roman" w:hAnsi="Times New Roman"/>
        </w:rPr>
        <w:t xml:space="preserve"> differs from more traditional multi-site clinical trials because each individual grantee will select </w:t>
      </w:r>
      <w:r w:rsidR="00546BBF" w:rsidRPr="00AC7EA2">
        <w:rPr>
          <w:rStyle w:val="WP9BodyText"/>
          <w:rFonts w:ascii="Times New Roman" w:hAnsi="Times New Roman"/>
        </w:rPr>
        <w:t xml:space="preserve">Evidence Based Interventions (EBI) and </w:t>
      </w:r>
      <w:hyperlink r:id="rId18" w:tgtFrame="_blank" w:history="1">
        <w:r w:rsidR="00546BBF" w:rsidRPr="00AC7EA2">
          <w:rPr>
            <w:rStyle w:val="WP9BodyText"/>
            <w:rFonts w:ascii="Times New Roman" w:hAnsi="Times New Roman"/>
          </w:rPr>
          <w:t>Diffusion of Effective Behavioral Interventions</w:t>
        </w:r>
      </w:hyperlink>
      <w:r w:rsidR="00546BBF" w:rsidRPr="00AC7EA2">
        <w:rPr>
          <w:rStyle w:val="WP9BodyText"/>
          <w:rFonts w:ascii="Times New Roman" w:hAnsi="Times New Roman"/>
        </w:rPr>
        <w:t xml:space="preserve"> (DEBI) t</w:t>
      </w:r>
      <w:r w:rsidRPr="00AC7EA2">
        <w:rPr>
          <w:rStyle w:val="WP9BodyText"/>
          <w:rFonts w:ascii="Times New Roman" w:hAnsi="Times New Roman"/>
        </w:rPr>
        <w:t xml:space="preserve">hat </w:t>
      </w:r>
      <w:r w:rsidR="000E24E4" w:rsidRPr="00AC7EA2">
        <w:rPr>
          <w:rStyle w:val="WP9BodyText"/>
          <w:rFonts w:ascii="Times New Roman" w:hAnsi="Times New Roman"/>
        </w:rPr>
        <w:t>are</w:t>
      </w:r>
      <w:r w:rsidRPr="00AC7EA2">
        <w:rPr>
          <w:rStyle w:val="WP9BodyText"/>
          <w:rFonts w:ascii="Times New Roman" w:hAnsi="Times New Roman"/>
        </w:rPr>
        <w:t xml:space="preserve"> </w:t>
      </w:r>
      <w:r w:rsidR="00A54F33" w:rsidRPr="00AC7EA2">
        <w:rPr>
          <w:rStyle w:val="WP9BodyText"/>
          <w:rFonts w:ascii="Times New Roman" w:hAnsi="Times New Roman"/>
        </w:rPr>
        <w:t>adapted to</w:t>
      </w:r>
      <w:r w:rsidRPr="00AC7EA2">
        <w:rPr>
          <w:rStyle w:val="WP9BodyText"/>
          <w:rFonts w:ascii="Times New Roman" w:hAnsi="Times New Roman"/>
        </w:rPr>
        <w:t xml:space="preserve"> the needs of the particular target population, setting, and organizational </w:t>
      </w:r>
      <w:r w:rsidR="00D35973" w:rsidRPr="00AC7EA2">
        <w:rPr>
          <w:rStyle w:val="WP9BodyText"/>
          <w:rFonts w:ascii="Times New Roman" w:hAnsi="Times New Roman"/>
        </w:rPr>
        <w:t>structure</w:t>
      </w:r>
      <w:r w:rsidRPr="00AC7EA2">
        <w:rPr>
          <w:rStyle w:val="WP9BodyText"/>
          <w:rFonts w:ascii="Times New Roman" w:hAnsi="Times New Roman"/>
        </w:rPr>
        <w:t xml:space="preserve">. </w:t>
      </w:r>
      <w:r w:rsidR="004D32AE" w:rsidRPr="00AC7EA2">
        <w:rPr>
          <w:rStyle w:val="WP9BodyText"/>
          <w:rFonts w:ascii="Times New Roman" w:hAnsi="Times New Roman"/>
        </w:rPr>
        <w:t>This m</w:t>
      </w:r>
      <w:r w:rsidRPr="00AC7EA2">
        <w:rPr>
          <w:rStyle w:val="WP9BodyText"/>
          <w:rFonts w:ascii="Times New Roman" w:hAnsi="Times New Roman"/>
        </w:rPr>
        <w:t>ulti-site evaluation do</w:t>
      </w:r>
      <w:r w:rsidR="004D32AE" w:rsidRPr="00AC7EA2">
        <w:rPr>
          <w:rStyle w:val="WP9BodyText"/>
          <w:rFonts w:ascii="Times New Roman" w:hAnsi="Times New Roman"/>
        </w:rPr>
        <w:t>es</w:t>
      </w:r>
      <w:r w:rsidRPr="00AC7EA2">
        <w:rPr>
          <w:rStyle w:val="WP9BodyText"/>
          <w:rFonts w:ascii="Times New Roman" w:hAnsi="Times New Roman"/>
        </w:rPr>
        <w:t xml:space="preserve"> not test </w:t>
      </w:r>
      <w:r w:rsidR="00053B46" w:rsidRPr="00AC7EA2">
        <w:rPr>
          <w:rStyle w:val="WP9BodyText"/>
          <w:rFonts w:ascii="Times New Roman" w:hAnsi="Times New Roman"/>
        </w:rPr>
        <w:t>a single intervention that has</w:t>
      </w:r>
      <w:r w:rsidRPr="00AC7EA2">
        <w:rPr>
          <w:rStyle w:val="WP9BodyText"/>
          <w:rFonts w:ascii="Times New Roman" w:hAnsi="Times New Roman"/>
        </w:rPr>
        <w:t xml:space="preserve"> </w:t>
      </w:r>
      <w:r w:rsidR="00C427F5" w:rsidRPr="00AC7EA2">
        <w:rPr>
          <w:rStyle w:val="WP9BodyText"/>
          <w:rFonts w:ascii="Times New Roman" w:hAnsi="Times New Roman"/>
        </w:rPr>
        <w:t>di</w:t>
      </w:r>
      <w:r w:rsidRPr="00AC7EA2">
        <w:rPr>
          <w:rStyle w:val="WP9BodyText"/>
          <w:rFonts w:ascii="Times New Roman" w:hAnsi="Times New Roman"/>
        </w:rPr>
        <w:t>fferent settings</w:t>
      </w:r>
      <w:r w:rsidR="007B3C5C" w:rsidRPr="00AC7EA2">
        <w:rPr>
          <w:rStyle w:val="WP9BodyText"/>
          <w:rFonts w:ascii="Times New Roman" w:hAnsi="Times New Roman"/>
        </w:rPr>
        <w:t>;</w:t>
      </w:r>
      <w:r w:rsidRPr="00AC7EA2">
        <w:rPr>
          <w:rStyle w:val="WP9BodyText"/>
          <w:rFonts w:ascii="Times New Roman" w:hAnsi="Times New Roman"/>
        </w:rPr>
        <w:t xml:space="preserve"> rather</w:t>
      </w:r>
      <w:r w:rsidR="007B3C5C" w:rsidRPr="00AC7EA2">
        <w:rPr>
          <w:rStyle w:val="WP9BodyText"/>
          <w:rFonts w:ascii="Times New Roman" w:hAnsi="Times New Roman"/>
        </w:rPr>
        <w:t>,</w:t>
      </w:r>
      <w:r w:rsidRPr="00AC7EA2">
        <w:rPr>
          <w:rStyle w:val="WP9BodyText"/>
          <w:rFonts w:ascii="Times New Roman" w:hAnsi="Times New Roman"/>
        </w:rPr>
        <w:t xml:space="preserve"> </w:t>
      </w:r>
      <w:r w:rsidR="004D32AE" w:rsidRPr="00AC7EA2">
        <w:rPr>
          <w:rStyle w:val="WP9BodyText"/>
          <w:rFonts w:ascii="Times New Roman" w:hAnsi="Times New Roman"/>
        </w:rPr>
        <w:t xml:space="preserve">it </w:t>
      </w:r>
      <w:r w:rsidRPr="00AC7EA2">
        <w:rPr>
          <w:rStyle w:val="WP9BodyText"/>
          <w:rFonts w:ascii="Times New Roman" w:hAnsi="Times New Roman"/>
        </w:rPr>
        <w:t>test</w:t>
      </w:r>
      <w:r w:rsidR="00D35973" w:rsidRPr="00AC7EA2">
        <w:rPr>
          <w:rStyle w:val="WP9BodyText"/>
          <w:rFonts w:ascii="Times New Roman" w:hAnsi="Times New Roman"/>
        </w:rPr>
        <w:t>s</w:t>
      </w:r>
      <w:r w:rsidRPr="00AC7EA2">
        <w:rPr>
          <w:rStyle w:val="WP9BodyText"/>
          <w:rFonts w:ascii="Times New Roman" w:hAnsi="Times New Roman"/>
        </w:rPr>
        <w:t xml:space="preserve"> intervention</w:t>
      </w:r>
      <w:r w:rsidR="00D35973" w:rsidRPr="00AC7EA2">
        <w:rPr>
          <w:rStyle w:val="WP9BodyText"/>
          <w:rFonts w:ascii="Times New Roman" w:hAnsi="Times New Roman"/>
        </w:rPr>
        <w:t xml:space="preserve"> profiles</w:t>
      </w:r>
      <w:r w:rsidRPr="00AC7EA2">
        <w:rPr>
          <w:rStyle w:val="WP9BodyText"/>
          <w:rFonts w:ascii="Times New Roman" w:hAnsi="Times New Roman"/>
        </w:rPr>
        <w:t xml:space="preserve"> that have similar outcome objectives but that use different approaches to accomplish those objectives.</w:t>
      </w:r>
    </w:p>
    <w:p w:rsidR="000719AA" w:rsidRPr="00AC7EA2" w:rsidRDefault="000719AA" w:rsidP="005F2016">
      <w:pPr>
        <w:suppressLineNumbers/>
        <w:rPr>
          <w:rStyle w:val="WP9BodyText"/>
          <w:rFonts w:ascii="Times New Roman" w:hAnsi="Times New Roman"/>
        </w:rPr>
      </w:pPr>
    </w:p>
    <w:p w:rsidR="000719AA"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 xml:space="preserve">Analysis of a multi-site data set requires a complex set of interrelated tasks. Planning for these tasks must be flexible </w:t>
      </w:r>
      <w:r w:rsidR="005B7369" w:rsidRPr="00AC7EA2">
        <w:rPr>
          <w:rStyle w:val="WP9BodyText"/>
          <w:rFonts w:ascii="Times New Roman" w:hAnsi="Times New Roman"/>
        </w:rPr>
        <w:t>and allow</w:t>
      </w:r>
      <w:r w:rsidRPr="00AC7EA2">
        <w:rPr>
          <w:rStyle w:val="WP9BodyText"/>
          <w:rFonts w:ascii="Times New Roman" w:hAnsi="Times New Roman"/>
        </w:rPr>
        <w:t xml:space="preserve"> adjustments as the opportunities and challenges presented by the empirical realities of the data set are </w:t>
      </w:r>
      <w:r w:rsidR="00D35973" w:rsidRPr="00AC7EA2">
        <w:rPr>
          <w:rStyle w:val="WP9BodyText"/>
          <w:rFonts w:ascii="Times New Roman" w:hAnsi="Times New Roman"/>
        </w:rPr>
        <w:t>encountered and analysis plans adjusted accordingly</w:t>
      </w:r>
      <w:r w:rsidRPr="00AC7EA2">
        <w:rPr>
          <w:rStyle w:val="WP9BodyText"/>
          <w:rFonts w:ascii="Times New Roman" w:hAnsi="Times New Roman"/>
        </w:rPr>
        <w:t xml:space="preserve">. While multi-site studies provide strong opportunities for knowledge generation </w:t>
      </w:r>
      <w:r w:rsidR="005B7369" w:rsidRPr="00AC7EA2">
        <w:rPr>
          <w:rStyle w:val="WP9BodyText"/>
          <w:rFonts w:ascii="Times New Roman" w:hAnsi="Times New Roman"/>
        </w:rPr>
        <w:t>(</w:t>
      </w:r>
      <w:r w:rsidRPr="00AC7EA2">
        <w:rPr>
          <w:rStyle w:val="WP9BodyText"/>
          <w:rFonts w:ascii="Times New Roman" w:hAnsi="Times New Roman"/>
        </w:rPr>
        <w:t xml:space="preserve">because of the ability to </w:t>
      </w:r>
      <w:r w:rsidR="007B3C5C" w:rsidRPr="00AC7EA2">
        <w:rPr>
          <w:rStyle w:val="WP9BodyText"/>
          <w:rFonts w:ascii="Times New Roman" w:hAnsi="Times New Roman"/>
        </w:rPr>
        <w:t xml:space="preserve">compare and </w:t>
      </w:r>
      <w:r w:rsidRPr="00AC7EA2">
        <w:rPr>
          <w:rStyle w:val="WP9BodyText"/>
          <w:rFonts w:ascii="Times New Roman" w:hAnsi="Times New Roman"/>
        </w:rPr>
        <w:t xml:space="preserve">contrast intervention and implementation variation in a single </w:t>
      </w:r>
      <w:r w:rsidR="002A4ED2" w:rsidRPr="00AC7EA2">
        <w:rPr>
          <w:rStyle w:val="WP9BodyText"/>
          <w:rFonts w:ascii="Times New Roman" w:hAnsi="Times New Roman"/>
        </w:rPr>
        <w:t>evaluation</w:t>
      </w:r>
      <w:r w:rsidR="005B7369" w:rsidRPr="00AC7EA2">
        <w:rPr>
          <w:rStyle w:val="WP9BodyText"/>
          <w:rFonts w:ascii="Times New Roman" w:hAnsi="Times New Roman"/>
        </w:rPr>
        <w:t>)</w:t>
      </w:r>
      <w:r w:rsidRPr="00AC7EA2">
        <w:rPr>
          <w:rStyle w:val="WP9BodyText"/>
          <w:rFonts w:ascii="Times New Roman" w:hAnsi="Times New Roman"/>
        </w:rPr>
        <w:t xml:space="preserve">, they also present significant </w:t>
      </w:r>
      <w:r w:rsidR="000E24E4" w:rsidRPr="00AC7EA2">
        <w:rPr>
          <w:rStyle w:val="WP9BodyText"/>
          <w:rFonts w:ascii="Times New Roman" w:hAnsi="Times New Roman"/>
        </w:rPr>
        <w:t xml:space="preserve">evaluation </w:t>
      </w:r>
      <w:r w:rsidRPr="00AC7EA2">
        <w:rPr>
          <w:rStyle w:val="WP9BodyText"/>
          <w:rFonts w:ascii="Times New Roman" w:hAnsi="Times New Roman"/>
        </w:rPr>
        <w:t xml:space="preserve">challenges. This </w:t>
      </w:r>
      <w:r w:rsidR="002A4ED2" w:rsidRPr="00AC7EA2">
        <w:rPr>
          <w:rStyle w:val="WP9BodyText"/>
          <w:rFonts w:ascii="Times New Roman" w:hAnsi="Times New Roman"/>
        </w:rPr>
        <w:t xml:space="preserve">evaluation </w:t>
      </w:r>
      <w:r w:rsidRPr="00AC7EA2">
        <w:rPr>
          <w:rStyle w:val="WP9BodyText"/>
          <w:rFonts w:ascii="Times New Roman" w:hAnsi="Times New Roman"/>
        </w:rPr>
        <w:t>recognizes those challenges and anticipate</w:t>
      </w:r>
      <w:r w:rsidR="005B7369" w:rsidRPr="00AC7EA2">
        <w:rPr>
          <w:rStyle w:val="WP9BodyText"/>
          <w:rFonts w:ascii="Times New Roman" w:hAnsi="Times New Roman"/>
        </w:rPr>
        <w:t>s</w:t>
      </w:r>
      <w:r w:rsidRPr="00AC7EA2">
        <w:rPr>
          <w:rStyle w:val="WP9BodyText"/>
          <w:rFonts w:ascii="Times New Roman" w:hAnsi="Times New Roman"/>
        </w:rPr>
        <w:t xml:space="preserve"> solutions as they will apply to the </w:t>
      </w:r>
      <w:r w:rsidR="00D04A8E" w:rsidRPr="00AC7EA2">
        <w:rPr>
          <w:rStyle w:val="WP9BodyText"/>
          <w:rFonts w:ascii="Times New Roman" w:hAnsi="Times New Roman"/>
        </w:rPr>
        <w:t>1</w:t>
      </w:r>
      <w:r w:rsidR="007B3C5C" w:rsidRPr="00AC7EA2">
        <w:rPr>
          <w:rStyle w:val="WP9BodyText"/>
          <w:rFonts w:ascii="Times New Roman" w:hAnsi="Times New Roman"/>
        </w:rPr>
        <w:t>3</w:t>
      </w:r>
      <w:r w:rsidR="00AC60DF">
        <w:rPr>
          <w:rStyle w:val="WP9BodyText"/>
          <w:rFonts w:ascii="Times New Roman" w:hAnsi="Times New Roman"/>
        </w:rPr>
        <w:t>8</w:t>
      </w:r>
      <w:r w:rsidR="00D04A8E" w:rsidRPr="00AC7EA2">
        <w:rPr>
          <w:rStyle w:val="WP9BodyText"/>
          <w:rFonts w:ascii="Times New Roman" w:hAnsi="Times New Roman"/>
        </w:rPr>
        <w:t xml:space="preserve"> </w:t>
      </w:r>
      <w:r w:rsidRPr="00AC7EA2">
        <w:rPr>
          <w:rStyle w:val="WP9BodyText"/>
          <w:rFonts w:ascii="Times New Roman" w:hAnsi="Times New Roman"/>
        </w:rPr>
        <w:t>participating grantees.</w:t>
      </w:r>
    </w:p>
    <w:p w:rsidR="000719AA" w:rsidRPr="00AC7EA2" w:rsidRDefault="000719AA" w:rsidP="005F2016">
      <w:pPr>
        <w:suppressLineNumbers/>
        <w:rPr>
          <w:rStyle w:val="WP9BodyText"/>
          <w:rFonts w:ascii="Times New Roman" w:hAnsi="Times New Roman"/>
        </w:rPr>
      </w:pPr>
    </w:p>
    <w:p w:rsidR="000719AA" w:rsidRPr="00AC7EA2" w:rsidRDefault="000719AA" w:rsidP="005F2016">
      <w:pPr>
        <w:suppressLineNumbers/>
        <w:rPr>
          <w:rStyle w:val="Heading31"/>
          <w:rFonts w:ascii="Times New Roman" w:hAnsi="Times New Roman"/>
          <w:color w:val="000000"/>
        </w:rPr>
      </w:pPr>
      <w:r w:rsidRPr="00AC7EA2">
        <w:rPr>
          <w:rStyle w:val="WP9BodyText"/>
          <w:rFonts w:ascii="Times New Roman" w:hAnsi="Times New Roman"/>
        </w:rPr>
        <w:t>Sample Size Determination. Individual grantees have proposed their target population sizes</w:t>
      </w:r>
      <w:r w:rsidR="00D35973" w:rsidRPr="00AC7EA2">
        <w:rPr>
          <w:rStyle w:val="WP9BodyText"/>
          <w:rFonts w:ascii="Times New Roman" w:hAnsi="Times New Roman"/>
        </w:rPr>
        <w:t xml:space="preserve"> in their strategic prevention plans</w:t>
      </w:r>
      <w:r w:rsidRPr="00AC7EA2">
        <w:rPr>
          <w:rStyle w:val="WP9BodyText"/>
          <w:rFonts w:ascii="Times New Roman" w:hAnsi="Times New Roman"/>
        </w:rPr>
        <w:t>. The establishment of sample size at the grantee level depends to some extent on financial constraints for program intervention services, staff allocation</w:t>
      </w:r>
      <w:r w:rsidR="009B0485" w:rsidRPr="00AC7EA2">
        <w:rPr>
          <w:rStyle w:val="WP9BodyText"/>
          <w:rFonts w:ascii="Times New Roman" w:hAnsi="Times New Roman"/>
        </w:rPr>
        <w:t>,</w:t>
      </w:r>
      <w:r w:rsidRPr="00AC7EA2">
        <w:rPr>
          <w:rStyle w:val="WP9BodyText"/>
          <w:rFonts w:ascii="Times New Roman" w:hAnsi="Times New Roman"/>
        </w:rPr>
        <w:t xml:space="preserve"> </w:t>
      </w:r>
      <w:r w:rsidR="00D35973" w:rsidRPr="00AC7EA2">
        <w:rPr>
          <w:rStyle w:val="WP9BodyText"/>
          <w:rFonts w:ascii="Times New Roman" w:hAnsi="Times New Roman"/>
        </w:rPr>
        <w:t xml:space="preserve">outreach </w:t>
      </w:r>
      <w:r w:rsidR="0031783E">
        <w:rPr>
          <w:rStyle w:val="WP9BodyText"/>
          <w:rFonts w:ascii="Times New Roman" w:hAnsi="Times New Roman"/>
        </w:rPr>
        <w:t>and</w:t>
      </w:r>
      <w:r w:rsidR="0031783E" w:rsidRPr="00AC7EA2">
        <w:rPr>
          <w:rStyle w:val="WP9BodyText"/>
          <w:rFonts w:ascii="Times New Roman" w:hAnsi="Times New Roman"/>
        </w:rPr>
        <w:t xml:space="preserve"> </w:t>
      </w:r>
      <w:r w:rsidR="002174A5" w:rsidRPr="00AC7EA2">
        <w:rPr>
          <w:rStyle w:val="WP9BodyText"/>
          <w:rFonts w:ascii="Times New Roman" w:hAnsi="Times New Roman"/>
        </w:rPr>
        <w:t>participant</w:t>
      </w:r>
      <w:r w:rsidRPr="00AC7EA2">
        <w:rPr>
          <w:rStyle w:val="WP9BodyText"/>
          <w:rFonts w:ascii="Times New Roman" w:hAnsi="Times New Roman"/>
        </w:rPr>
        <w:t xml:space="preserve"> retention activities</w:t>
      </w:r>
      <w:r w:rsidR="00D35973" w:rsidRPr="00AC7EA2">
        <w:rPr>
          <w:rStyle w:val="WP9BodyText"/>
          <w:rFonts w:ascii="Times New Roman" w:hAnsi="Times New Roman"/>
        </w:rPr>
        <w:t>,</w:t>
      </w:r>
      <w:r w:rsidRPr="00AC7EA2">
        <w:rPr>
          <w:rStyle w:val="WP9BodyText"/>
          <w:rFonts w:ascii="Times New Roman" w:hAnsi="Times New Roman"/>
        </w:rPr>
        <w:t xml:space="preserve"> and evaluation activities</w:t>
      </w:r>
      <w:r w:rsidR="009B0485" w:rsidRPr="00AC7EA2">
        <w:rPr>
          <w:rStyle w:val="WP9BodyText"/>
          <w:rFonts w:ascii="Times New Roman" w:hAnsi="Times New Roman"/>
        </w:rPr>
        <w:t>,</w:t>
      </w:r>
      <w:r w:rsidRPr="00AC7EA2">
        <w:rPr>
          <w:rStyle w:val="WP9BodyText"/>
          <w:rFonts w:ascii="Times New Roman" w:hAnsi="Times New Roman"/>
        </w:rPr>
        <w:t xml:space="preserve"> includ</w:t>
      </w:r>
      <w:r w:rsidR="009B0485" w:rsidRPr="00AC7EA2">
        <w:rPr>
          <w:rStyle w:val="WP9BodyText"/>
          <w:rFonts w:ascii="Times New Roman" w:hAnsi="Times New Roman"/>
        </w:rPr>
        <w:t>ing</w:t>
      </w:r>
      <w:r w:rsidRPr="00AC7EA2">
        <w:rPr>
          <w:rStyle w:val="WP9BodyText"/>
          <w:rFonts w:ascii="Times New Roman" w:hAnsi="Times New Roman"/>
        </w:rPr>
        <w:t xml:space="preserve"> stipends. </w:t>
      </w:r>
      <w:r w:rsidR="00D35973" w:rsidRPr="00AC7EA2">
        <w:rPr>
          <w:rStyle w:val="WP9BodyText"/>
          <w:rFonts w:ascii="Times New Roman" w:hAnsi="Times New Roman"/>
        </w:rPr>
        <w:t>Analysis of data submitted by cohorts 7 through 10 indicate that on average, a single grant</w:t>
      </w:r>
      <w:r w:rsidR="00873D91" w:rsidRPr="00AC7EA2">
        <w:rPr>
          <w:rStyle w:val="WP9BodyText"/>
          <w:rFonts w:ascii="Times New Roman" w:hAnsi="Times New Roman"/>
        </w:rPr>
        <w:t xml:space="preserve"> site</w:t>
      </w:r>
      <w:r w:rsidR="00D35973" w:rsidRPr="00AC7EA2">
        <w:rPr>
          <w:rStyle w:val="WP9BodyText"/>
          <w:rFonts w:ascii="Times New Roman" w:hAnsi="Times New Roman"/>
        </w:rPr>
        <w:t xml:space="preserve"> collects data from </w:t>
      </w:r>
      <w:r w:rsidR="00873D91" w:rsidRPr="00AC7EA2">
        <w:rPr>
          <w:rStyle w:val="WP9BodyText"/>
          <w:rFonts w:ascii="Times New Roman" w:hAnsi="Times New Roman"/>
        </w:rPr>
        <w:t>approximately 185 participants per year. This means that the 8</w:t>
      </w:r>
      <w:r w:rsidR="00FF7F91">
        <w:rPr>
          <w:rStyle w:val="WP9BodyText"/>
          <w:rFonts w:ascii="Times New Roman" w:hAnsi="Times New Roman"/>
        </w:rPr>
        <w:t>4</w:t>
      </w:r>
      <w:r w:rsidR="00873D91" w:rsidRPr="00AC7EA2">
        <w:rPr>
          <w:rStyle w:val="WP9BodyText"/>
          <w:rFonts w:ascii="Times New Roman" w:hAnsi="Times New Roman"/>
        </w:rPr>
        <w:t xml:space="preserve"> MSI CBO grantees will submit data for 555 participants per grantee during their three-year grant period</w:t>
      </w:r>
      <w:r w:rsidR="000A1B0C" w:rsidRPr="00AC7EA2">
        <w:rPr>
          <w:rStyle w:val="WP9BodyText"/>
          <w:rFonts w:ascii="Times New Roman" w:hAnsi="Times New Roman"/>
        </w:rPr>
        <w:t>,</w:t>
      </w:r>
      <w:r w:rsidR="00873D91" w:rsidRPr="00AC7EA2">
        <w:rPr>
          <w:rStyle w:val="WP9BodyText"/>
          <w:rFonts w:ascii="Times New Roman" w:hAnsi="Times New Roman"/>
        </w:rPr>
        <w:t xml:space="preserve"> for a total sample size of </w:t>
      </w:r>
      <w:r w:rsidR="00FF7F91">
        <w:rPr>
          <w:rStyle w:val="WP9BodyText"/>
          <w:rFonts w:ascii="Times New Roman" w:hAnsi="Times New Roman"/>
        </w:rPr>
        <w:t>46,620</w:t>
      </w:r>
      <w:r w:rsidR="000A1B0C" w:rsidRPr="00AC7EA2">
        <w:rPr>
          <w:rStyle w:val="WP9BodyText"/>
          <w:rFonts w:ascii="Times New Roman" w:hAnsi="Times New Roman"/>
        </w:rPr>
        <w:t xml:space="preserve">. The </w:t>
      </w:r>
      <w:r w:rsidR="00AC60DF">
        <w:rPr>
          <w:rStyle w:val="WP9BodyText"/>
          <w:rFonts w:ascii="Times New Roman" w:hAnsi="Times New Roman"/>
        </w:rPr>
        <w:t>54</w:t>
      </w:r>
      <w:r w:rsidR="00FF7F91">
        <w:rPr>
          <w:rStyle w:val="WP9BodyText"/>
          <w:rFonts w:ascii="Times New Roman" w:hAnsi="Times New Roman"/>
        </w:rPr>
        <w:t xml:space="preserve"> </w:t>
      </w:r>
      <w:r w:rsidR="000A1B0C" w:rsidRPr="00AC7EA2">
        <w:rPr>
          <w:rStyle w:val="WP9BodyText"/>
          <w:rFonts w:ascii="Times New Roman" w:hAnsi="Times New Roman"/>
        </w:rPr>
        <w:t xml:space="preserve">CBI grantees will submit data for 925 participants per grantee during their five-year grant period, for a total sample size of </w:t>
      </w:r>
      <w:r w:rsidR="00FF7F91">
        <w:rPr>
          <w:rStyle w:val="WP9BodyText"/>
          <w:rFonts w:ascii="Times New Roman" w:hAnsi="Times New Roman"/>
        </w:rPr>
        <w:t>49,950</w:t>
      </w:r>
      <w:r w:rsidR="000A1B0C" w:rsidRPr="00AC7EA2">
        <w:rPr>
          <w:rStyle w:val="WP9BodyText"/>
          <w:rFonts w:ascii="Times New Roman" w:hAnsi="Times New Roman"/>
        </w:rPr>
        <w:t>. The entire sample size for the final cross-site report is, estimated to be 9</w:t>
      </w:r>
      <w:r w:rsidR="00057C4A">
        <w:rPr>
          <w:rStyle w:val="WP9BodyText"/>
          <w:rFonts w:ascii="Times New Roman" w:hAnsi="Times New Roman"/>
        </w:rPr>
        <w:t>6</w:t>
      </w:r>
      <w:r w:rsidR="000A1B0C" w:rsidRPr="00AC7EA2">
        <w:rPr>
          <w:rStyle w:val="WP9BodyText"/>
          <w:rFonts w:ascii="Times New Roman" w:hAnsi="Times New Roman"/>
        </w:rPr>
        <w:t>,57</w:t>
      </w:r>
      <w:r w:rsidR="00057C4A">
        <w:rPr>
          <w:rStyle w:val="WP9BodyText"/>
          <w:rFonts w:ascii="Times New Roman" w:hAnsi="Times New Roman"/>
        </w:rPr>
        <w:t>0</w:t>
      </w:r>
      <w:r w:rsidR="000A1B0C" w:rsidRPr="00AC7EA2">
        <w:rPr>
          <w:rStyle w:val="WP9BodyText"/>
          <w:rFonts w:ascii="Times New Roman" w:hAnsi="Times New Roman"/>
        </w:rPr>
        <w:t>. However, it should be noted that not all participants complete all sections of the survey. Therefore analyses of individual measures will be based on smaller numbers of data records. Analyses of attitudes and knowledge, included in the questionnaires of all participants with service duration longer than a single day, are expected to have larger sample sizes than those of behavioral outcomes, only included in the questionnaires of participants whose service duration is 30 days or longer.</w:t>
      </w:r>
    </w:p>
    <w:p w:rsidR="00C47FBF" w:rsidRPr="00AC7EA2" w:rsidRDefault="00C47FBF" w:rsidP="005F2016">
      <w:pPr>
        <w:suppressLineNumbers/>
        <w:rPr>
          <w:rFonts w:ascii="Times New Roman" w:hAnsi="Times New Roman"/>
        </w:rPr>
      </w:pPr>
    </w:p>
    <w:p w:rsidR="0067320B" w:rsidRPr="00AC7EA2" w:rsidRDefault="000719AA" w:rsidP="005F2016">
      <w:pPr>
        <w:keepNext/>
        <w:suppressLineNumbers/>
        <w:rPr>
          <w:rStyle w:val="WP9BodyText"/>
          <w:rFonts w:ascii="Times New Roman" w:hAnsi="Times New Roman"/>
          <w:b/>
        </w:rPr>
      </w:pPr>
      <w:r w:rsidRPr="00AC7EA2">
        <w:rPr>
          <w:rStyle w:val="WP9BodyText"/>
          <w:rFonts w:ascii="Times New Roman" w:hAnsi="Times New Roman"/>
          <w:b/>
        </w:rPr>
        <w:t>Statistical P</w:t>
      </w:r>
      <w:r w:rsidR="0067320B" w:rsidRPr="00AC7EA2">
        <w:rPr>
          <w:rStyle w:val="WP9BodyText"/>
          <w:rFonts w:ascii="Times New Roman" w:hAnsi="Times New Roman"/>
          <w:b/>
        </w:rPr>
        <w:t>rocedure Determination</w:t>
      </w:r>
    </w:p>
    <w:p w:rsidR="0067320B" w:rsidRPr="00AC7EA2" w:rsidRDefault="0067320B" w:rsidP="005F2016">
      <w:pPr>
        <w:suppressLineNumbers/>
        <w:rPr>
          <w:rStyle w:val="WP9BodyText"/>
          <w:rFonts w:ascii="Times New Roman" w:hAnsi="Times New Roman"/>
        </w:rPr>
      </w:pPr>
    </w:p>
    <w:p w:rsidR="009B0485"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As a multi-site design, th</w:t>
      </w:r>
      <w:r w:rsidR="007B3C5C" w:rsidRPr="00AC7EA2">
        <w:rPr>
          <w:rStyle w:val="WP9BodyText"/>
          <w:rFonts w:ascii="Times New Roman" w:hAnsi="Times New Roman"/>
        </w:rPr>
        <w:t>is</w:t>
      </w:r>
      <w:r w:rsidRPr="00AC7EA2">
        <w:rPr>
          <w:rStyle w:val="WP9BodyText"/>
          <w:rFonts w:ascii="Times New Roman" w:hAnsi="Times New Roman"/>
        </w:rPr>
        <w:t xml:space="preserve"> initiative collects information at two levels of observation: 1) </w:t>
      </w:r>
      <w:r w:rsidR="000A1B0C" w:rsidRPr="00AC7EA2">
        <w:rPr>
          <w:rStyle w:val="WP9BodyText"/>
          <w:rFonts w:ascii="Times New Roman" w:hAnsi="Times New Roman"/>
        </w:rPr>
        <w:t>participant-level</w:t>
      </w:r>
      <w:r w:rsidRPr="00AC7EA2">
        <w:rPr>
          <w:rStyle w:val="WP9BodyText"/>
          <w:rFonts w:ascii="Times New Roman" w:hAnsi="Times New Roman"/>
        </w:rPr>
        <w:t xml:space="preserve"> and 2) </w:t>
      </w:r>
      <w:r w:rsidR="000A1B0C" w:rsidRPr="00AC7EA2">
        <w:rPr>
          <w:rStyle w:val="WP9BodyText"/>
          <w:rFonts w:ascii="Times New Roman" w:hAnsi="Times New Roman"/>
        </w:rPr>
        <w:t xml:space="preserve">grantee level. </w:t>
      </w:r>
      <w:r w:rsidR="007C34C4" w:rsidRPr="00AC7EA2">
        <w:rPr>
          <w:rStyle w:val="WP9BodyText"/>
          <w:rFonts w:ascii="Times New Roman" w:hAnsi="Times New Roman"/>
        </w:rPr>
        <w:t xml:space="preserve">At the participant level, each individual’s survey records at multiple time points and dosage data from each service encounter will be linked to create a single data record containing all demographic, outcome, service type, and dosage information for each participant. </w:t>
      </w:r>
      <w:r w:rsidR="000A1B0C" w:rsidRPr="00AC7EA2">
        <w:rPr>
          <w:rStyle w:val="WP9BodyText"/>
          <w:rFonts w:ascii="Times New Roman" w:hAnsi="Times New Roman"/>
        </w:rPr>
        <w:t xml:space="preserve">At the level of the grant site, information such as the type of community, grantee organizational structure, types of interventions implemented, </w:t>
      </w:r>
      <w:r w:rsidR="007C34C4" w:rsidRPr="00AC7EA2">
        <w:rPr>
          <w:rStyle w:val="WP9BodyText"/>
          <w:rFonts w:ascii="Times New Roman" w:hAnsi="Times New Roman"/>
        </w:rPr>
        <w:t xml:space="preserve">infrastructure building efforts, </w:t>
      </w:r>
      <w:r w:rsidR="000A1B0C" w:rsidRPr="00AC7EA2">
        <w:rPr>
          <w:rStyle w:val="WP9BodyText"/>
          <w:rFonts w:ascii="Times New Roman" w:hAnsi="Times New Roman"/>
        </w:rPr>
        <w:t>and grant funding allocated to various types of activities</w:t>
      </w:r>
      <w:r w:rsidR="007C34C4" w:rsidRPr="00AC7EA2">
        <w:rPr>
          <w:rStyle w:val="WP9BodyText"/>
          <w:rFonts w:ascii="Times New Roman" w:hAnsi="Times New Roman"/>
        </w:rPr>
        <w:t xml:space="preserve"> are available from grantees’ quarterly progress reports for which OMB </w:t>
      </w:r>
      <w:r w:rsidR="002A4ED2" w:rsidRPr="00AC7EA2">
        <w:rPr>
          <w:rStyle w:val="WP9BodyText"/>
          <w:rFonts w:ascii="Times New Roman" w:hAnsi="Times New Roman"/>
        </w:rPr>
        <w:t xml:space="preserve">approval </w:t>
      </w:r>
      <w:r w:rsidR="007C34C4" w:rsidRPr="00AC7EA2">
        <w:rPr>
          <w:rStyle w:val="WP9BodyText"/>
          <w:rFonts w:ascii="Times New Roman" w:hAnsi="Times New Roman"/>
        </w:rPr>
        <w:t>is being requested through a separate statement. For analysis purposes, relevant grantee-level characteristics will be linked to the participant-level database to produce a hierarchical structure with participants nested within grant sites</w:t>
      </w:r>
      <w:r w:rsidR="00CA3A8C" w:rsidRPr="00AC7EA2">
        <w:rPr>
          <w:rStyle w:val="WP9BodyText"/>
          <w:rFonts w:ascii="Times New Roman" w:hAnsi="Times New Roman"/>
        </w:rPr>
        <w:t xml:space="preserve"> (</w:t>
      </w:r>
      <w:r w:rsidR="00CA3A8C" w:rsidRPr="00AC7EA2">
        <w:rPr>
          <w:rFonts w:ascii="Times New Roman" w:hAnsi="Times New Roman"/>
        </w:rPr>
        <w:t xml:space="preserve">Straw &amp; </w:t>
      </w:r>
      <w:proofErr w:type="spellStart"/>
      <w:r w:rsidR="00CA3A8C" w:rsidRPr="00AC7EA2">
        <w:rPr>
          <w:rFonts w:ascii="Times New Roman" w:hAnsi="Times New Roman"/>
        </w:rPr>
        <w:t>Herrell</w:t>
      </w:r>
      <w:proofErr w:type="spellEnd"/>
      <w:r w:rsidR="00CA3A8C" w:rsidRPr="00AC7EA2">
        <w:rPr>
          <w:rFonts w:ascii="Times New Roman" w:hAnsi="Times New Roman"/>
        </w:rPr>
        <w:t>, 2002)</w:t>
      </w:r>
      <w:r w:rsidR="007C34C4" w:rsidRPr="00AC7EA2">
        <w:rPr>
          <w:rStyle w:val="WP9BodyText"/>
          <w:rFonts w:ascii="Times New Roman" w:hAnsi="Times New Roman"/>
        </w:rPr>
        <w:t>.</w:t>
      </w:r>
    </w:p>
    <w:p w:rsidR="009B0485" w:rsidRPr="00AC7EA2" w:rsidRDefault="009B0485" w:rsidP="005F2016">
      <w:pPr>
        <w:suppressLineNumbers/>
        <w:rPr>
          <w:rStyle w:val="WP9BodyText"/>
          <w:rFonts w:ascii="Times New Roman" w:hAnsi="Times New Roman"/>
        </w:rPr>
      </w:pPr>
    </w:p>
    <w:p w:rsidR="009B0485"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The proposed analysis includes several distinct steps</w:t>
      </w:r>
      <w:r w:rsidR="009B0485" w:rsidRPr="00AC7EA2">
        <w:rPr>
          <w:rStyle w:val="WP9BodyText"/>
          <w:rFonts w:ascii="Times New Roman" w:hAnsi="Times New Roman"/>
        </w:rPr>
        <w:t>:</w:t>
      </w:r>
    </w:p>
    <w:p w:rsidR="007803FC" w:rsidRPr="00AC7EA2" w:rsidRDefault="007803FC" w:rsidP="005F2016">
      <w:pPr>
        <w:suppressLineNumbers/>
        <w:rPr>
          <w:rStyle w:val="WP9BodyText"/>
          <w:rFonts w:ascii="Times New Roman" w:hAnsi="Times New Roman"/>
        </w:rPr>
      </w:pPr>
    </w:p>
    <w:p w:rsidR="009B0485" w:rsidRPr="00AC7EA2" w:rsidRDefault="000719AA" w:rsidP="005F2016">
      <w:pPr>
        <w:numPr>
          <w:ilvl w:val="0"/>
          <w:numId w:val="11"/>
        </w:numPr>
        <w:rPr>
          <w:rFonts w:ascii="Times New Roman" w:hAnsi="Times New Roman"/>
        </w:rPr>
      </w:pPr>
      <w:r w:rsidRPr="00AC7EA2">
        <w:rPr>
          <w:rFonts w:ascii="Times New Roman" w:hAnsi="Times New Roman"/>
        </w:rPr>
        <w:t xml:space="preserve">First, pooled analyses of outcomes will be conducted to assess </w:t>
      </w:r>
      <w:r w:rsidR="00B50FA5" w:rsidRPr="00AC7EA2">
        <w:rPr>
          <w:rFonts w:ascii="Times New Roman" w:hAnsi="Times New Roman"/>
        </w:rPr>
        <w:t xml:space="preserve">overall program effects and their sustainability. Program effects will be evaluated through paired comparisons of baseline and exit values. Sustainability of effects will be evaluated through paired comparisons of baseline and follow-up values. Past analyses have suggested that some measures continue to improve after program exit (see Table 3). To assess </w:t>
      </w:r>
      <w:r w:rsidR="007C5C82" w:rsidRPr="00AC7EA2">
        <w:rPr>
          <w:rFonts w:ascii="Times New Roman" w:hAnsi="Times New Roman"/>
        </w:rPr>
        <w:t>this post-exit</w:t>
      </w:r>
      <w:r w:rsidR="00B50FA5" w:rsidRPr="00AC7EA2">
        <w:rPr>
          <w:rFonts w:ascii="Times New Roman" w:hAnsi="Times New Roman"/>
        </w:rPr>
        <w:t xml:space="preserve"> improvement, paired comparisons between exit and follow-up values will also be conducted. </w:t>
      </w:r>
    </w:p>
    <w:p w:rsidR="009B0485" w:rsidRPr="00AC7EA2" w:rsidRDefault="000719AA" w:rsidP="005F2016">
      <w:pPr>
        <w:numPr>
          <w:ilvl w:val="0"/>
          <w:numId w:val="11"/>
        </w:numPr>
        <w:rPr>
          <w:rFonts w:ascii="Times New Roman" w:hAnsi="Times New Roman"/>
        </w:rPr>
      </w:pPr>
      <w:r w:rsidRPr="00AC7EA2">
        <w:rPr>
          <w:rFonts w:ascii="Times New Roman" w:hAnsi="Times New Roman"/>
        </w:rPr>
        <w:t xml:space="preserve">Second, </w:t>
      </w:r>
      <w:r w:rsidR="00BD298F" w:rsidRPr="00AC7EA2">
        <w:rPr>
          <w:rFonts w:ascii="Times New Roman" w:hAnsi="Times New Roman"/>
        </w:rPr>
        <w:t>hierarchical linear modeling will be used to measure program effects while accounting for the interclass correlations among participants of the same grantee. These models will be expanded to identify and control for moderating factors at both the participant and grantee levels.  This multivariate analysis will yield information about variations in outcomes due to the sociodemographic characteristics and baseline risk levels of individual participants and due to differences in grantee characteristics.</w:t>
      </w:r>
    </w:p>
    <w:p w:rsidR="000719AA" w:rsidRPr="00AC7EA2" w:rsidRDefault="0067320B" w:rsidP="005F2016">
      <w:pPr>
        <w:numPr>
          <w:ilvl w:val="0"/>
          <w:numId w:val="11"/>
        </w:numPr>
        <w:rPr>
          <w:rFonts w:ascii="Times New Roman" w:hAnsi="Times New Roman"/>
        </w:rPr>
      </w:pPr>
      <w:r w:rsidRPr="00AC7EA2">
        <w:rPr>
          <w:rStyle w:val="WP9BodyText"/>
          <w:rFonts w:ascii="Times New Roman" w:hAnsi="Times New Roman"/>
        </w:rPr>
        <w:t xml:space="preserve">The data collection protocol for participants who stay in the program for a single-day requires administration of the questionnaire only at exit. Outcome analysis of these data will compare the exit responses of each participant with a norm constructed using the baseline responses to the item provided by a comparable group of participants from the same site who were in longer interventions (and hence, took both the baseline and exit surveys). </w:t>
      </w:r>
      <w:r w:rsidR="0091194D" w:rsidRPr="00AC7EA2">
        <w:rPr>
          <w:rFonts w:ascii="Times New Roman" w:hAnsi="Times New Roman"/>
        </w:rPr>
        <w:t xml:space="preserve">This </w:t>
      </w:r>
      <w:r w:rsidRPr="00AC7EA2">
        <w:rPr>
          <w:rFonts w:ascii="Times New Roman" w:hAnsi="Times New Roman"/>
        </w:rPr>
        <w:t xml:space="preserve">approach </w:t>
      </w:r>
      <w:r w:rsidR="0091194D" w:rsidRPr="00AC7EA2">
        <w:rPr>
          <w:rFonts w:ascii="Times New Roman" w:hAnsi="Times New Roman"/>
        </w:rPr>
        <w:t xml:space="preserve">will provide an approximate assessment of the effect of the single-day intervention on the participants’ relevant knowledge and attitudes. </w:t>
      </w:r>
      <w:r w:rsidR="000719AA" w:rsidRPr="00AC7EA2">
        <w:rPr>
          <w:rFonts w:ascii="Times New Roman" w:hAnsi="Times New Roman"/>
        </w:rPr>
        <w:t>.</w:t>
      </w:r>
      <w:r w:rsidR="0091194D" w:rsidRPr="00AC7EA2">
        <w:rPr>
          <w:rFonts w:ascii="Times New Roman" w:hAnsi="Times New Roman"/>
        </w:rPr>
        <w:t xml:space="preserve"> Given that grantees have a choice in the 3-to-5 attitude/knowledge items they include in the single-day exit survey, the sample size for each outcome measure will be relatively low. This third step will only be conducted after the number of available single-day survey records </w:t>
      </w:r>
      <w:r w:rsidRPr="00AC7EA2">
        <w:rPr>
          <w:rFonts w:ascii="Times New Roman" w:hAnsi="Times New Roman"/>
        </w:rPr>
        <w:t>becomes</w:t>
      </w:r>
      <w:r w:rsidR="0091194D" w:rsidRPr="00AC7EA2">
        <w:rPr>
          <w:rFonts w:ascii="Times New Roman" w:hAnsi="Times New Roman"/>
        </w:rPr>
        <w:t xml:space="preserve"> large enough to provide sufficient power for the analysis. </w:t>
      </w:r>
    </w:p>
    <w:p w:rsidR="000719AA" w:rsidRPr="00AC7EA2" w:rsidRDefault="000719AA" w:rsidP="005F2016">
      <w:pPr>
        <w:suppressLineNumbers/>
        <w:rPr>
          <w:rFonts w:ascii="Times New Roman" w:hAnsi="Times New Roman"/>
        </w:rPr>
      </w:pPr>
    </w:p>
    <w:p w:rsidR="0067320B" w:rsidRPr="00AC7EA2" w:rsidRDefault="0067320B" w:rsidP="005F2016">
      <w:pPr>
        <w:keepNext/>
        <w:suppressLineNumbers/>
        <w:rPr>
          <w:rStyle w:val="WP9BodyText"/>
          <w:rFonts w:ascii="Times New Roman" w:hAnsi="Times New Roman"/>
          <w:b/>
        </w:rPr>
      </w:pPr>
      <w:r w:rsidRPr="00AC7EA2">
        <w:rPr>
          <w:rStyle w:val="WP9BodyText"/>
          <w:rFonts w:ascii="Times New Roman" w:hAnsi="Times New Roman"/>
          <w:b/>
        </w:rPr>
        <w:t>Analysis Techniques and Statistical Test Determination</w:t>
      </w:r>
    </w:p>
    <w:p w:rsidR="0067320B" w:rsidRPr="00AC7EA2" w:rsidRDefault="0067320B" w:rsidP="005F2016">
      <w:pPr>
        <w:keepNext/>
        <w:suppressLineNumbers/>
        <w:rPr>
          <w:rStyle w:val="WP9BodyText"/>
          <w:rFonts w:ascii="Times New Roman" w:hAnsi="Times New Roman"/>
        </w:rPr>
      </w:pPr>
    </w:p>
    <w:p w:rsidR="007C5C82" w:rsidRPr="00AC7EA2" w:rsidRDefault="007C5C82" w:rsidP="005F2016">
      <w:pPr>
        <w:suppressLineNumbers/>
        <w:rPr>
          <w:rFonts w:ascii="Times New Roman" w:hAnsi="Times New Roman"/>
        </w:rPr>
      </w:pPr>
      <w:r w:rsidRPr="00AC7EA2">
        <w:rPr>
          <w:rStyle w:val="WP9BodyText"/>
          <w:rFonts w:ascii="Times New Roman" w:hAnsi="Times New Roman"/>
        </w:rPr>
        <w:t xml:space="preserve">In assessing overall improvement based on pooled data, paired comparison tests appropriate to the level of measurement will be employed. </w:t>
      </w:r>
      <w:r w:rsidRPr="00AC7EA2">
        <w:rPr>
          <w:rFonts w:ascii="Times New Roman" w:hAnsi="Times New Roman"/>
        </w:rPr>
        <w:t xml:space="preserve">For dichotomous outcome measures, significance will be tested using </w:t>
      </w:r>
      <w:proofErr w:type="spellStart"/>
      <w:r w:rsidRPr="00AC7EA2">
        <w:rPr>
          <w:rFonts w:ascii="Times New Roman" w:hAnsi="Times New Roman"/>
        </w:rPr>
        <w:t>McNemar’s</w:t>
      </w:r>
      <w:proofErr w:type="spellEnd"/>
      <w:r w:rsidRPr="00AC7EA2">
        <w:rPr>
          <w:rFonts w:ascii="Times New Roman" w:hAnsi="Times New Roman"/>
        </w:rPr>
        <w:t xml:space="preserve"> test</w:t>
      </w:r>
      <w:r w:rsidR="007B702A" w:rsidRPr="00AC7EA2">
        <w:rPr>
          <w:rFonts w:ascii="Times New Roman" w:hAnsi="Times New Roman"/>
        </w:rPr>
        <w:t xml:space="preserve"> (</w:t>
      </w:r>
      <w:proofErr w:type="spellStart"/>
      <w:r w:rsidR="007B702A" w:rsidRPr="00AC7EA2">
        <w:rPr>
          <w:rFonts w:ascii="Times New Roman" w:hAnsi="Times New Roman"/>
        </w:rPr>
        <w:t>Lidell</w:t>
      </w:r>
      <w:proofErr w:type="spellEnd"/>
      <w:r w:rsidR="007B702A" w:rsidRPr="00AC7EA2">
        <w:rPr>
          <w:rFonts w:ascii="Times New Roman" w:hAnsi="Times New Roman"/>
        </w:rPr>
        <w:t>, 1976; Yang, Sun, &amp; Hardin, 2010)</w:t>
      </w:r>
      <w:r w:rsidRPr="00AC7EA2">
        <w:rPr>
          <w:rFonts w:ascii="Times New Roman" w:hAnsi="Times New Roman"/>
        </w:rPr>
        <w:t xml:space="preserve">. For </w:t>
      </w:r>
      <w:r w:rsidR="00E6794C" w:rsidRPr="00AC7EA2">
        <w:rPr>
          <w:rFonts w:ascii="Times New Roman" w:hAnsi="Times New Roman"/>
        </w:rPr>
        <w:t xml:space="preserve">normally-distributed </w:t>
      </w:r>
      <w:r w:rsidRPr="00AC7EA2">
        <w:rPr>
          <w:rFonts w:ascii="Times New Roman" w:hAnsi="Times New Roman"/>
        </w:rPr>
        <w:t>continuous outcome measures, matched-pairs t-tests will be used to assess significance</w:t>
      </w:r>
      <w:r w:rsidR="00E6794C" w:rsidRPr="00AC7EA2">
        <w:rPr>
          <w:rFonts w:ascii="Times New Roman" w:hAnsi="Times New Roman"/>
        </w:rPr>
        <w:t>. The significance of change in ordinal or skewed continuous measures will be tested using the Wilcoxon signed-rank test (Wilcoxon, 1945</w:t>
      </w:r>
      <w:r w:rsidR="00256A4E" w:rsidRPr="00AC7EA2">
        <w:rPr>
          <w:rFonts w:ascii="Times New Roman" w:hAnsi="Times New Roman"/>
        </w:rPr>
        <w:t>; Blair &amp; Higgins, 1980</w:t>
      </w:r>
      <w:r w:rsidR="00E6794C" w:rsidRPr="00AC7EA2">
        <w:rPr>
          <w:rFonts w:ascii="Times New Roman" w:hAnsi="Times New Roman"/>
        </w:rPr>
        <w:t>)</w:t>
      </w:r>
      <w:r w:rsidR="00582BB6" w:rsidRPr="00AC7EA2">
        <w:rPr>
          <w:rFonts w:ascii="Times New Roman" w:hAnsi="Times New Roman"/>
        </w:rPr>
        <w:t xml:space="preserve">. </w:t>
      </w:r>
      <w:r w:rsidR="00256A4E" w:rsidRPr="00AC7EA2">
        <w:rPr>
          <w:rFonts w:ascii="Times New Roman" w:hAnsi="Times New Roman"/>
        </w:rPr>
        <w:t>Finally, single-sample t-tests will be conducted to test the significance of program effects based on the exit-only data from single-day</w:t>
      </w:r>
      <w:r w:rsidR="00A545C2" w:rsidRPr="00AC7EA2">
        <w:rPr>
          <w:rFonts w:ascii="Times New Roman" w:hAnsi="Times New Roman"/>
        </w:rPr>
        <w:t>-service participants</w:t>
      </w:r>
      <w:r w:rsidR="00256A4E" w:rsidRPr="00AC7EA2">
        <w:rPr>
          <w:rFonts w:ascii="Times New Roman" w:hAnsi="Times New Roman"/>
        </w:rPr>
        <w:t>.</w:t>
      </w:r>
    </w:p>
    <w:p w:rsidR="007439FC" w:rsidRPr="00AC7EA2" w:rsidRDefault="007439FC" w:rsidP="005F2016">
      <w:pPr>
        <w:suppressLineNumbers/>
        <w:rPr>
          <w:rFonts w:ascii="Times New Roman" w:hAnsi="Times New Roman"/>
        </w:rPr>
      </w:pPr>
    </w:p>
    <w:p w:rsidR="007439FC" w:rsidRPr="00AC7EA2" w:rsidRDefault="007439FC" w:rsidP="005F2016">
      <w:pPr>
        <w:suppressLineNumbers/>
        <w:rPr>
          <w:rStyle w:val="WP9BodyText"/>
          <w:rFonts w:ascii="Times New Roman" w:hAnsi="Times New Roman"/>
        </w:rPr>
      </w:pPr>
      <w:r w:rsidRPr="00AC7EA2">
        <w:rPr>
          <w:rStyle w:val="WP9BodyText"/>
          <w:rFonts w:ascii="Times New Roman" w:hAnsi="Times New Roman"/>
        </w:rPr>
        <w:t>A multi-level analysis approach [e.g., HLM] will be used to investigate the effects of participant- and grantee-level characteristics on participant outcomes. Characteristics hypothesized to have a bearing on program effects, such as choice of prevention strategy and type of grantee organization, will be included in the dataset together with participant-level baseline, exit, and follow-up survey records and dosage data. Nesting participant-level data within program-level data in this fashion will allow the construction of multi-level causal models that simultaneously test for the effects of participant and program characteristics on program outcomes and to identify significant interactions between these two levels</w:t>
      </w:r>
      <w:r w:rsidR="0067320B" w:rsidRPr="00AC7EA2">
        <w:rPr>
          <w:rStyle w:val="WP9BodyText"/>
          <w:rFonts w:ascii="Times New Roman" w:hAnsi="Times New Roman"/>
        </w:rPr>
        <w:t>, while accounting for the nested data structure</w:t>
      </w:r>
      <w:r w:rsidRPr="00AC7EA2">
        <w:rPr>
          <w:rStyle w:val="WP9BodyText"/>
          <w:rFonts w:ascii="Times New Roman" w:hAnsi="Times New Roman"/>
        </w:rPr>
        <w:t xml:space="preserve"> (Osborne, 2000; </w:t>
      </w:r>
      <w:proofErr w:type="spellStart"/>
      <w:r w:rsidRPr="00AC7EA2">
        <w:rPr>
          <w:rStyle w:val="WP9BodyText"/>
          <w:rFonts w:ascii="Times New Roman" w:hAnsi="Times New Roman"/>
        </w:rPr>
        <w:t>Raudenbush</w:t>
      </w:r>
      <w:proofErr w:type="spellEnd"/>
      <w:r w:rsidRPr="00AC7EA2">
        <w:rPr>
          <w:rStyle w:val="WP9BodyText"/>
          <w:rFonts w:ascii="Times New Roman" w:hAnsi="Times New Roman"/>
        </w:rPr>
        <w:t xml:space="preserve"> &amp; </w:t>
      </w:r>
      <w:proofErr w:type="spellStart"/>
      <w:r w:rsidRPr="00AC7EA2">
        <w:rPr>
          <w:rStyle w:val="WP9BodyText"/>
          <w:rFonts w:ascii="Times New Roman" w:hAnsi="Times New Roman"/>
        </w:rPr>
        <w:t>Bryk</w:t>
      </w:r>
      <w:proofErr w:type="spellEnd"/>
      <w:r w:rsidRPr="00AC7EA2">
        <w:rPr>
          <w:rStyle w:val="WP9BodyText"/>
          <w:rFonts w:ascii="Times New Roman" w:hAnsi="Times New Roman"/>
        </w:rPr>
        <w:t>, 2002).</w:t>
      </w:r>
    </w:p>
    <w:p w:rsidR="00F06C50" w:rsidRPr="00AC7EA2" w:rsidRDefault="00F06C50" w:rsidP="005F2016">
      <w:pPr>
        <w:suppressLineNumbers/>
        <w:rPr>
          <w:rStyle w:val="WP9BodyText"/>
          <w:rFonts w:ascii="Times New Roman" w:hAnsi="Times New Roman"/>
        </w:rPr>
      </w:pPr>
    </w:p>
    <w:p w:rsidR="00932FCA" w:rsidRPr="00AC7EA2" w:rsidRDefault="00932FCA" w:rsidP="005F2016">
      <w:pPr>
        <w:suppressLineNumbers/>
        <w:rPr>
          <w:rStyle w:val="WP9BodyText"/>
          <w:rFonts w:ascii="Times New Roman" w:hAnsi="Times New Roman"/>
        </w:rPr>
      </w:pPr>
      <w:r w:rsidRPr="00AC7EA2">
        <w:rPr>
          <w:rStyle w:val="WP9BodyText"/>
          <w:rFonts w:ascii="Times New Roman" w:hAnsi="Times New Roman"/>
        </w:rPr>
        <w:t xml:space="preserve">A two-step analysis strategy will be used to control for attrition bias. First, baseline characteristics of all participants will be compared with baseline characteristics of participants who completed the programs. These two </w:t>
      </w:r>
      <w:r w:rsidR="004D108B" w:rsidRPr="00AC7EA2">
        <w:rPr>
          <w:rStyle w:val="WP9BodyText"/>
          <w:rFonts w:ascii="Times New Roman" w:hAnsi="Times New Roman"/>
        </w:rPr>
        <w:t>sets of data records</w:t>
      </w:r>
      <w:r w:rsidRPr="00AC7EA2">
        <w:rPr>
          <w:rStyle w:val="WP9BodyText"/>
          <w:rFonts w:ascii="Times New Roman" w:hAnsi="Times New Roman"/>
        </w:rPr>
        <w:t xml:space="preserve"> will be compared with respect to</w:t>
      </w:r>
      <w:r w:rsidR="004D32AE" w:rsidRPr="00AC7EA2">
        <w:rPr>
          <w:rStyle w:val="WP9BodyText"/>
          <w:rFonts w:ascii="Times New Roman" w:hAnsi="Times New Roman"/>
        </w:rPr>
        <w:t xml:space="preserve"> baseline values of </w:t>
      </w:r>
      <w:r w:rsidRPr="00AC7EA2">
        <w:rPr>
          <w:rStyle w:val="WP9BodyText"/>
          <w:rFonts w:ascii="Times New Roman" w:hAnsi="Times New Roman"/>
        </w:rPr>
        <w:t>demographic characteristics, levels of risk and protection</w:t>
      </w:r>
      <w:r w:rsidR="004D108B" w:rsidRPr="00AC7EA2">
        <w:rPr>
          <w:rStyle w:val="WP9BodyText"/>
          <w:rFonts w:ascii="Times New Roman" w:hAnsi="Times New Roman"/>
        </w:rPr>
        <w:t>, and levels of substance use. Second, baseline factors found to differ significantly between the two sets of records will be included in all of the models and only model estimates net of these factors will be reported in the final evaluation results. This approach minimizes selectivity biases due to program attrition in reported program effects.</w:t>
      </w:r>
    </w:p>
    <w:p w:rsidR="000719AA" w:rsidRPr="00AC7EA2" w:rsidRDefault="000719AA" w:rsidP="005F2016">
      <w:pPr>
        <w:suppressLineNumbers/>
        <w:rPr>
          <w:rStyle w:val="WP9BodyText"/>
          <w:rFonts w:ascii="Times New Roman" w:hAnsi="Times New Roman"/>
        </w:rPr>
      </w:pPr>
    </w:p>
    <w:p w:rsidR="00BB7180" w:rsidRPr="00AC7EA2" w:rsidRDefault="003748C0"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AC7EA2">
        <w:rPr>
          <w:rStyle w:val="WP9BodyText"/>
          <w:rFonts w:ascii="Times New Roman" w:hAnsi="Times New Roman"/>
        </w:rPr>
        <w:t xml:space="preserve">Given that target populations and community contexts vary by grant site, the multi-site dataset will contain data from a wide range of program participants in terms of their demographic, socioeconomic, and cultural characteristics. </w:t>
      </w:r>
      <w:r w:rsidR="008D1FD1" w:rsidRPr="00AC7EA2">
        <w:rPr>
          <w:rStyle w:val="WP9BodyText"/>
          <w:rFonts w:ascii="Times New Roman" w:hAnsi="Times New Roman"/>
        </w:rPr>
        <w:t>A</w:t>
      </w:r>
      <w:r w:rsidRPr="00AC7EA2">
        <w:rPr>
          <w:rStyle w:val="WP9BodyText"/>
          <w:rFonts w:ascii="Times New Roman" w:hAnsi="Times New Roman"/>
        </w:rPr>
        <w:t xml:space="preserve">ll multivariate models will include all of the factors that account for the differences among groups. </w:t>
      </w:r>
      <w:r w:rsidR="008D1FD1" w:rsidRPr="00AC7EA2">
        <w:rPr>
          <w:rStyle w:val="WP9BodyText"/>
          <w:rFonts w:ascii="Times New Roman" w:hAnsi="Times New Roman"/>
        </w:rPr>
        <w:t xml:space="preserve">Those factors that are found to have a significant effect on outcomes will be identified and interaction terms will be constructed to represent differences in program effects due to recruitment strategy. </w:t>
      </w:r>
      <w:r w:rsidRPr="00AC7EA2">
        <w:rPr>
          <w:rStyle w:val="WP9BodyText"/>
          <w:rFonts w:ascii="Times New Roman" w:hAnsi="Times New Roman"/>
        </w:rPr>
        <w:t xml:space="preserve">This </w:t>
      </w:r>
      <w:r w:rsidR="00841642" w:rsidRPr="00AC7EA2">
        <w:rPr>
          <w:rStyle w:val="WP9BodyText"/>
          <w:rFonts w:ascii="Times New Roman" w:hAnsi="Times New Roman"/>
        </w:rPr>
        <w:t xml:space="preserve">analytic strategy </w:t>
      </w:r>
      <w:r w:rsidR="008D1FD1" w:rsidRPr="00AC7EA2">
        <w:rPr>
          <w:rStyle w:val="WP9BodyText"/>
          <w:rFonts w:ascii="Times New Roman" w:hAnsi="Times New Roman"/>
        </w:rPr>
        <w:t xml:space="preserve">will </w:t>
      </w:r>
      <w:r w:rsidRPr="00AC7EA2">
        <w:rPr>
          <w:rStyle w:val="WP9BodyText"/>
          <w:rFonts w:ascii="Times New Roman" w:hAnsi="Times New Roman"/>
        </w:rPr>
        <w:t xml:space="preserve">allow the evaluation to </w:t>
      </w:r>
      <w:r w:rsidR="008D1FD1" w:rsidRPr="00AC7EA2">
        <w:rPr>
          <w:rStyle w:val="WP9BodyText"/>
          <w:rFonts w:ascii="Times New Roman" w:hAnsi="Times New Roman"/>
        </w:rPr>
        <w:t xml:space="preserve">take into </w:t>
      </w:r>
      <w:r w:rsidRPr="00AC7EA2">
        <w:rPr>
          <w:rStyle w:val="WP9BodyText"/>
          <w:rFonts w:ascii="Times New Roman" w:hAnsi="Times New Roman"/>
        </w:rPr>
        <w:t>consider</w:t>
      </w:r>
      <w:r w:rsidR="008D1FD1" w:rsidRPr="00AC7EA2">
        <w:rPr>
          <w:rStyle w:val="WP9BodyText"/>
          <w:rFonts w:ascii="Times New Roman" w:hAnsi="Times New Roman"/>
        </w:rPr>
        <w:t>ation</w:t>
      </w:r>
      <w:r w:rsidRPr="00AC7EA2">
        <w:rPr>
          <w:rStyle w:val="WP9BodyText"/>
          <w:rFonts w:ascii="Times New Roman" w:hAnsi="Times New Roman"/>
        </w:rPr>
        <w:t xml:space="preserve"> the mediating effects of a broad range of factors on program outcomes. </w:t>
      </w:r>
      <w:r w:rsidR="008D1FD1" w:rsidRPr="00AC7EA2">
        <w:rPr>
          <w:rStyle w:val="WP9BodyText"/>
          <w:rFonts w:ascii="Times New Roman" w:hAnsi="Times New Roman"/>
        </w:rPr>
        <w:t>The inclusion of these demographic, socioeconomic, and cultural control variables</w:t>
      </w:r>
      <w:r w:rsidR="00841642" w:rsidRPr="00AC7EA2">
        <w:rPr>
          <w:rStyle w:val="WP9BodyText"/>
          <w:rFonts w:ascii="Times New Roman" w:hAnsi="Times New Roman"/>
        </w:rPr>
        <w:t xml:space="preserve"> and interaction terms</w:t>
      </w:r>
      <w:r w:rsidR="008D1FD1" w:rsidRPr="00AC7EA2">
        <w:rPr>
          <w:rStyle w:val="WP9BodyText"/>
          <w:rFonts w:ascii="Times New Roman" w:hAnsi="Times New Roman"/>
        </w:rPr>
        <w:t xml:space="preserve"> in the models will also ensure that final results are not biased toward the outcomes of groups with relatively large numbers of data records.</w:t>
      </w:r>
    </w:p>
    <w:p w:rsidR="000719AA" w:rsidRPr="00AC7EA2" w:rsidRDefault="000719AA" w:rsidP="005F201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0F7698" w:rsidRPr="00AC7EA2" w:rsidRDefault="000F7698" w:rsidP="005F2016">
      <w:pPr>
        <w:suppressLineNumbers/>
        <w:rPr>
          <w:rStyle w:val="WP9BodyText"/>
          <w:rFonts w:ascii="Times New Roman" w:hAnsi="Times New Roman"/>
        </w:rPr>
      </w:pPr>
      <w:r w:rsidRPr="00AC7EA2">
        <w:rPr>
          <w:rStyle w:val="WP9BodyText"/>
          <w:rFonts w:ascii="Times New Roman" w:hAnsi="Times New Roman"/>
        </w:rPr>
        <w:t xml:space="preserve">    </w:t>
      </w:r>
    </w:p>
    <w:p w:rsidR="00AE5B6D" w:rsidRPr="00AC7EA2" w:rsidRDefault="00AE5B6D" w:rsidP="005F2016">
      <w:pPr>
        <w:suppressLineNumbers/>
        <w:rPr>
          <w:rStyle w:val="WP9BodyText"/>
          <w:rFonts w:ascii="Times New Roman" w:hAnsi="Times New Roman"/>
        </w:rPr>
      </w:pPr>
    </w:p>
    <w:p w:rsidR="000719AA" w:rsidRPr="00AC7EA2" w:rsidRDefault="00594370" w:rsidP="005F2016">
      <w:pPr>
        <w:keepNext/>
        <w:suppressLineNumbers/>
        <w:rPr>
          <w:rStyle w:val="WP9BodyText"/>
          <w:rFonts w:ascii="Times New Roman" w:hAnsi="Times New Roman"/>
          <w:b/>
        </w:rPr>
      </w:pPr>
      <w:r w:rsidRPr="00AC7EA2">
        <w:rPr>
          <w:rStyle w:val="WP9BodyText"/>
          <w:rFonts w:ascii="Times New Roman" w:hAnsi="Times New Roman"/>
          <w:b/>
        </w:rPr>
        <w:t>Reporting</w:t>
      </w:r>
      <w:r w:rsidR="000719AA" w:rsidRPr="00AC7EA2">
        <w:rPr>
          <w:rStyle w:val="WP9BodyText"/>
          <w:rFonts w:ascii="Times New Roman" w:hAnsi="Times New Roman"/>
          <w:b/>
        </w:rPr>
        <w:t xml:space="preserve"> </w:t>
      </w:r>
      <w:r w:rsidRPr="00AC7EA2">
        <w:rPr>
          <w:rStyle w:val="WP9BodyText"/>
          <w:rFonts w:ascii="Times New Roman" w:hAnsi="Times New Roman"/>
          <w:b/>
        </w:rPr>
        <w:t>and Dissemination</w:t>
      </w:r>
      <w:r w:rsidR="00BB2AAE" w:rsidRPr="00AC7EA2">
        <w:rPr>
          <w:rStyle w:val="WP9BodyText"/>
          <w:rFonts w:ascii="Times New Roman" w:hAnsi="Times New Roman"/>
          <w:b/>
        </w:rPr>
        <w:t xml:space="preserve"> </w:t>
      </w:r>
      <w:r w:rsidR="000719AA" w:rsidRPr="00AC7EA2">
        <w:rPr>
          <w:rStyle w:val="WP9BodyText"/>
          <w:rFonts w:ascii="Times New Roman" w:hAnsi="Times New Roman"/>
          <w:b/>
        </w:rPr>
        <w:t>Plan</w:t>
      </w:r>
    </w:p>
    <w:p w:rsidR="007803FC" w:rsidRPr="00AC7EA2" w:rsidRDefault="007803FC" w:rsidP="005F2016">
      <w:pPr>
        <w:suppressLineNumbers/>
        <w:rPr>
          <w:rStyle w:val="WP9BodyText"/>
          <w:rFonts w:ascii="Times New Roman" w:hAnsi="Times New Roman"/>
          <w:b/>
        </w:rPr>
      </w:pPr>
    </w:p>
    <w:p w:rsidR="000719AA" w:rsidRPr="00AC7EA2" w:rsidRDefault="00594370" w:rsidP="005F2016">
      <w:pPr>
        <w:suppressLineNumbers/>
        <w:rPr>
          <w:rStyle w:val="WP9BodyText"/>
          <w:rFonts w:ascii="Times New Roman" w:hAnsi="Times New Roman"/>
        </w:rPr>
      </w:pPr>
      <w:r w:rsidRPr="00AC7EA2">
        <w:rPr>
          <w:rStyle w:val="WP9BodyText"/>
          <w:rFonts w:ascii="Times New Roman" w:hAnsi="Times New Roman"/>
        </w:rPr>
        <w:t>In addition to the annual cross-site reports and presentations of results to SAMHSA project officers and grantees, t</w:t>
      </w:r>
      <w:r w:rsidR="000719AA" w:rsidRPr="00AC7EA2">
        <w:rPr>
          <w:rStyle w:val="WP9BodyText"/>
          <w:rFonts w:ascii="Times New Roman" w:hAnsi="Times New Roman"/>
        </w:rPr>
        <w:t xml:space="preserve">he MAI </w:t>
      </w:r>
      <w:r w:rsidR="00886C51" w:rsidRPr="00AC7EA2">
        <w:rPr>
          <w:rStyle w:val="WP9BodyText"/>
          <w:rFonts w:ascii="Times New Roman" w:hAnsi="Times New Roman"/>
        </w:rPr>
        <w:t>cross-site evaluation</w:t>
      </w:r>
      <w:r w:rsidR="000719AA" w:rsidRPr="00AC7EA2">
        <w:rPr>
          <w:rStyle w:val="WP9BodyText"/>
          <w:rFonts w:ascii="Times New Roman" w:hAnsi="Times New Roman"/>
        </w:rPr>
        <w:t xml:space="preserve"> results will be made available to the public through publications and conference presentations. The following journals carry articles on SA prevention and HIV/AIDS and are expected to serve as potential vehicles for </w:t>
      </w:r>
      <w:r w:rsidR="001F1478" w:rsidRPr="00AC7EA2">
        <w:rPr>
          <w:rStyle w:val="WP9BodyText"/>
          <w:rFonts w:ascii="Times New Roman" w:hAnsi="Times New Roman"/>
        </w:rPr>
        <w:t>distribution of</w:t>
      </w:r>
      <w:r w:rsidR="000719AA" w:rsidRPr="00AC7EA2">
        <w:rPr>
          <w:rStyle w:val="WP9BodyText"/>
          <w:rFonts w:ascii="Times New Roman" w:hAnsi="Times New Roman"/>
        </w:rPr>
        <w:t xml:space="preserve"> </w:t>
      </w:r>
      <w:r w:rsidR="002A4ED2" w:rsidRPr="00AC7EA2">
        <w:rPr>
          <w:rStyle w:val="WP9BodyText"/>
          <w:rFonts w:ascii="Times New Roman" w:hAnsi="Times New Roman"/>
        </w:rPr>
        <w:t xml:space="preserve">evaluation </w:t>
      </w:r>
      <w:r w:rsidR="000719AA" w:rsidRPr="00AC7EA2">
        <w:rPr>
          <w:rStyle w:val="WP9BodyText"/>
          <w:rFonts w:ascii="Times New Roman" w:hAnsi="Times New Roman"/>
        </w:rPr>
        <w:t xml:space="preserve">results: Journal of Substance Abuse Treatment, International Journal of Addictions, Journal of Community Psychology, Journal of Adolescent Research, Journal of Adolescent Health, Preventive Medicine, Evaluation </w:t>
      </w:r>
      <w:r w:rsidR="00292F2E" w:rsidRPr="00AC7EA2">
        <w:rPr>
          <w:rStyle w:val="WP9BodyText"/>
          <w:rFonts w:ascii="Times New Roman" w:hAnsi="Times New Roman"/>
        </w:rPr>
        <w:t>R</w:t>
      </w:r>
      <w:r w:rsidR="000719AA" w:rsidRPr="00AC7EA2">
        <w:rPr>
          <w:rStyle w:val="WP9BodyText"/>
          <w:rFonts w:ascii="Times New Roman" w:hAnsi="Times New Roman"/>
        </w:rPr>
        <w:t>eview, Policy Studies Revie</w:t>
      </w:r>
      <w:r w:rsidR="00F3275C" w:rsidRPr="00AC7EA2">
        <w:rPr>
          <w:rStyle w:val="WP9BodyText"/>
          <w:rFonts w:ascii="Times New Roman" w:hAnsi="Times New Roman"/>
        </w:rPr>
        <w:t>w</w:t>
      </w:r>
      <w:r w:rsidR="00292F2E" w:rsidRPr="00AC7EA2">
        <w:rPr>
          <w:rStyle w:val="WP9BodyText"/>
          <w:rFonts w:ascii="Times New Roman" w:hAnsi="Times New Roman"/>
        </w:rPr>
        <w:t>,</w:t>
      </w:r>
      <w:r w:rsidR="00F3275C" w:rsidRPr="00AC7EA2">
        <w:rPr>
          <w:rStyle w:val="WP9BodyText"/>
          <w:rFonts w:ascii="Times New Roman" w:hAnsi="Times New Roman"/>
        </w:rPr>
        <w:t xml:space="preserve"> </w:t>
      </w:r>
      <w:r w:rsidR="00292F2E" w:rsidRPr="00AC7EA2">
        <w:rPr>
          <w:rStyle w:val="WP9BodyText"/>
          <w:rFonts w:ascii="Times New Roman" w:hAnsi="Times New Roman"/>
        </w:rPr>
        <w:t xml:space="preserve">and </w:t>
      </w:r>
      <w:r w:rsidR="00CA3A8C" w:rsidRPr="00AC7EA2">
        <w:rPr>
          <w:rStyle w:val="WP9BodyText"/>
          <w:rFonts w:ascii="Times New Roman" w:hAnsi="Times New Roman"/>
        </w:rPr>
        <w:t>T</w:t>
      </w:r>
      <w:r w:rsidR="000719AA" w:rsidRPr="00AC7EA2">
        <w:rPr>
          <w:rStyle w:val="WP9BodyText"/>
          <w:rFonts w:ascii="Times New Roman" w:hAnsi="Times New Roman"/>
        </w:rPr>
        <w:t xml:space="preserve">he American Journal of Public Health. </w:t>
      </w:r>
      <w:r w:rsidR="002A4ED2" w:rsidRPr="00AC7EA2">
        <w:rPr>
          <w:rStyle w:val="WP9BodyText"/>
          <w:rFonts w:ascii="Times New Roman" w:hAnsi="Times New Roman"/>
        </w:rPr>
        <w:t xml:space="preserve">Evaluation </w:t>
      </w:r>
      <w:r w:rsidR="000719AA" w:rsidRPr="00AC7EA2">
        <w:rPr>
          <w:rStyle w:val="WP9BodyText"/>
          <w:rFonts w:ascii="Times New Roman" w:hAnsi="Times New Roman"/>
        </w:rPr>
        <w:t>results could also be published in other journals that focus on HIV/AIDS. These include The Journal of the American Sexually Transmitted Disease Association, Health Education and Behavior, AIDS</w:t>
      </w:r>
      <w:r w:rsidR="008927A5" w:rsidRPr="00AC7EA2">
        <w:rPr>
          <w:rStyle w:val="WP9BodyText"/>
          <w:rFonts w:ascii="Times New Roman" w:hAnsi="Times New Roman"/>
        </w:rPr>
        <w:t>:</w:t>
      </w:r>
      <w:r w:rsidR="000719AA" w:rsidRPr="00AC7EA2">
        <w:rPr>
          <w:rStyle w:val="WP9BodyText"/>
          <w:rFonts w:ascii="Times New Roman" w:hAnsi="Times New Roman"/>
        </w:rPr>
        <w:t xml:space="preserve"> Official Journal of the International AIDS Association, AIDS Education and Prevention,</w:t>
      </w:r>
      <w:r w:rsidR="00D802B0" w:rsidRPr="00AC7EA2">
        <w:rPr>
          <w:rStyle w:val="WP9BodyText"/>
          <w:rFonts w:ascii="Times New Roman" w:hAnsi="Times New Roman"/>
        </w:rPr>
        <w:t xml:space="preserve"> T</w:t>
      </w:r>
      <w:r w:rsidR="000719AA" w:rsidRPr="00AC7EA2">
        <w:rPr>
          <w:rStyle w:val="WP9BodyText"/>
          <w:rFonts w:ascii="Times New Roman" w:hAnsi="Times New Roman"/>
        </w:rPr>
        <w:t>he Journal of Sex Research, AIDS Care, Psychological and Socio-</w:t>
      </w:r>
      <w:r w:rsidR="00292F2E" w:rsidRPr="00AC7EA2">
        <w:rPr>
          <w:rStyle w:val="WP9BodyText"/>
          <w:rFonts w:ascii="Times New Roman" w:hAnsi="Times New Roman"/>
        </w:rPr>
        <w:t>M</w:t>
      </w:r>
      <w:r w:rsidR="000719AA" w:rsidRPr="00AC7EA2">
        <w:rPr>
          <w:rStyle w:val="WP9BodyText"/>
          <w:rFonts w:ascii="Times New Roman" w:hAnsi="Times New Roman"/>
        </w:rPr>
        <w:t xml:space="preserve">edical Aspects of AIDS/HIV, and Current Opinion in HIV and AIDS. </w:t>
      </w:r>
      <w:r w:rsidR="002A4ED2" w:rsidRPr="00AC7EA2">
        <w:rPr>
          <w:rStyle w:val="WP9BodyText"/>
          <w:rFonts w:ascii="Times New Roman" w:hAnsi="Times New Roman"/>
        </w:rPr>
        <w:t xml:space="preserve">Evaluation </w:t>
      </w:r>
      <w:r w:rsidR="000719AA" w:rsidRPr="00AC7EA2">
        <w:rPr>
          <w:rStyle w:val="WP9BodyText"/>
          <w:rFonts w:ascii="Times New Roman" w:hAnsi="Times New Roman"/>
        </w:rPr>
        <w:t xml:space="preserve">results </w:t>
      </w:r>
      <w:r w:rsidR="002A4ED2" w:rsidRPr="00AC7EA2">
        <w:rPr>
          <w:rStyle w:val="WP9BodyText"/>
          <w:rFonts w:ascii="Times New Roman" w:hAnsi="Times New Roman"/>
        </w:rPr>
        <w:t xml:space="preserve">are </w:t>
      </w:r>
      <w:r w:rsidR="000719AA" w:rsidRPr="00AC7EA2">
        <w:rPr>
          <w:rStyle w:val="WP9BodyText"/>
          <w:rFonts w:ascii="Times New Roman" w:hAnsi="Times New Roman"/>
        </w:rPr>
        <w:t>also targeted for publication in journals focusing on infectious diseases</w:t>
      </w:r>
      <w:r w:rsidR="003D35F1" w:rsidRPr="00AC7EA2">
        <w:rPr>
          <w:rStyle w:val="WP9BodyText"/>
          <w:rFonts w:ascii="Times New Roman" w:hAnsi="Times New Roman"/>
        </w:rPr>
        <w:t xml:space="preserve">. </w:t>
      </w:r>
      <w:r w:rsidR="000719AA" w:rsidRPr="00AC7EA2">
        <w:rPr>
          <w:rStyle w:val="WP9BodyText"/>
          <w:rFonts w:ascii="Times New Roman" w:hAnsi="Times New Roman"/>
        </w:rPr>
        <w:t>These include, among others, The Journal of the American Microbiological Association and Journal of Infectious Diseases.</w:t>
      </w:r>
    </w:p>
    <w:p w:rsidR="000719AA" w:rsidRPr="00AC7EA2" w:rsidRDefault="000719AA" w:rsidP="005F2016">
      <w:pPr>
        <w:suppressLineNumbers/>
        <w:rPr>
          <w:rStyle w:val="WP9BodyText"/>
          <w:rFonts w:ascii="Times New Roman" w:hAnsi="Times New Roman"/>
        </w:rPr>
      </w:pPr>
    </w:p>
    <w:p w:rsidR="000719AA"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 xml:space="preserve">The </w:t>
      </w:r>
      <w:r w:rsidR="002A4ED2" w:rsidRPr="00AC7EA2">
        <w:rPr>
          <w:rStyle w:val="WP9BodyText"/>
          <w:rFonts w:ascii="Times New Roman" w:hAnsi="Times New Roman"/>
        </w:rPr>
        <w:t xml:space="preserve">evaluation </w:t>
      </w:r>
      <w:r w:rsidRPr="00AC7EA2">
        <w:rPr>
          <w:rStyle w:val="WP9BodyText"/>
          <w:rFonts w:ascii="Times New Roman" w:hAnsi="Times New Roman"/>
        </w:rPr>
        <w:t>results will be distributed through presentations at annual conferences of national and international public health</w:t>
      </w:r>
      <w:r w:rsidR="00CA3A8C" w:rsidRPr="00AC7EA2">
        <w:rPr>
          <w:rStyle w:val="WP9BodyText"/>
          <w:rFonts w:ascii="Times New Roman" w:hAnsi="Times New Roman"/>
        </w:rPr>
        <w:t>, prevention, and program evaluation</w:t>
      </w:r>
      <w:r w:rsidRPr="00AC7EA2">
        <w:rPr>
          <w:rStyle w:val="WP9BodyText"/>
          <w:rFonts w:ascii="Times New Roman" w:hAnsi="Times New Roman"/>
        </w:rPr>
        <w:t xml:space="preserve"> organizations</w:t>
      </w:r>
      <w:r w:rsidR="00D802B0" w:rsidRPr="00AC7EA2">
        <w:rPr>
          <w:rStyle w:val="WP9BodyText"/>
          <w:rFonts w:ascii="Times New Roman" w:hAnsi="Times New Roman"/>
        </w:rPr>
        <w:t>,</w:t>
      </w:r>
      <w:r w:rsidRPr="00AC7EA2">
        <w:rPr>
          <w:rStyle w:val="WP9BodyText"/>
          <w:rFonts w:ascii="Times New Roman" w:hAnsi="Times New Roman"/>
        </w:rPr>
        <w:t xml:space="preserve"> such as the Society for Prevention Research, the American Public Health Association, the National Association of Alcohol and Drug Abuse Counselors, The National Prevention Network, the American Evaluation Association, </w:t>
      </w:r>
      <w:r w:rsidR="00CA3A8C" w:rsidRPr="00AC7EA2">
        <w:rPr>
          <w:rStyle w:val="WP9BodyText"/>
          <w:rFonts w:ascii="Times New Roman" w:hAnsi="Times New Roman"/>
        </w:rPr>
        <w:t xml:space="preserve">The Society for Prevention Research, </w:t>
      </w:r>
      <w:r w:rsidRPr="00AC7EA2">
        <w:rPr>
          <w:rStyle w:val="WP9BodyText"/>
          <w:rFonts w:ascii="Times New Roman" w:hAnsi="Times New Roman"/>
        </w:rPr>
        <w:t>and HIV/AIDS national meetings as well as regional and State SA prevention and treatment associations. HIV/AIDS meeting</w:t>
      </w:r>
      <w:r w:rsidR="00E050B2" w:rsidRPr="00AC7EA2">
        <w:rPr>
          <w:rStyle w:val="WP9BodyText"/>
          <w:rFonts w:ascii="Times New Roman" w:hAnsi="Times New Roman"/>
        </w:rPr>
        <w:t>s</w:t>
      </w:r>
      <w:r w:rsidRPr="00AC7EA2">
        <w:rPr>
          <w:rStyle w:val="WP9BodyText"/>
          <w:rFonts w:ascii="Times New Roman" w:hAnsi="Times New Roman"/>
        </w:rPr>
        <w:t xml:space="preserve"> could include</w:t>
      </w:r>
      <w:r w:rsidR="00292F2E" w:rsidRPr="00AC7EA2">
        <w:rPr>
          <w:rStyle w:val="WP9BodyText"/>
          <w:rFonts w:ascii="Times New Roman" w:hAnsi="Times New Roman"/>
        </w:rPr>
        <w:t>,</w:t>
      </w:r>
      <w:r w:rsidRPr="00AC7EA2">
        <w:rPr>
          <w:rStyle w:val="WP9BodyText"/>
          <w:rFonts w:ascii="Times New Roman" w:hAnsi="Times New Roman"/>
        </w:rPr>
        <w:t xml:space="preserve"> among others, CDC Annual Conferences on AIDS and Conferences of the International AIDS Society. Results could also be presented at meetings focusing on infectious diseases such as annual meetings of the American Society of Microbiology.</w:t>
      </w:r>
    </w:p>
    <w:p w:rsidR="000719AA" w:rsidRPr="00AC7EA2" w:rsidRDefault="000719AA" w:rsidP="005F2016">
      <w:pPr>
        <w:suppressLineNumbers/>
        <w:rPr>
          <w:rStyle w:val="WP9BodyText"/>
          <w:rFonts w:ascii="Times New Roman" w:hAnsi="Times New Roman"/>
        </w:rPr>
      </w:pPr>
    </w:p>
    <w:p w:rsidR="000719AA"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 xml:space="preserve">Documents will also be prepared and published on behalf of the government (CSAP) through the Government Printing Office (GPO) for </w:t>
      </w:r>
      <w:r w:rsidR="00292F2E" w:rsidRPr="00AC7EA2">
        <w:rPr>
          <w:rStyle w:val="WP9BodyText"/>
          <w:rFonts w:ascii="Times New Roman" w:hAnsi="Times New Roman"/>
        </w:rPr>
        <w:t>F</w:t>
      </w:r>
      <w:r w:rsidRPr="00AC7EA2">
        <w:rPr>
          <w:rStyle w:val="WP9BodyText"/>
          <w:rFonts w:ascii="Times New Roman" w:hAnsi="Times New Roman"/>
        </w:rPr>
        <w:t xml:space="preserve">ederal agency and public use. Findings will also be available via OMB’s </w:t>
      </w:r>
      <w:r w:rsidR="00292F2E" w:rsidRPr="00AC7EA2">
        <w:rPr>
          <w:rStyle w:val="WP9BodyText"/>
          <w:rFonts w:ascii="Times New Roman" w:hAnsi="Times New Roman"/>
        </w:rPr>
        <w:t>W</w:t>
      </w:r>
      <w:r w:rsidRPr="00AC7EA2">
        <w:rPr>
          <w:rStyle w:val="WP9BodyText"/>
          <w:rFonts w:ascii="Times New Roman" w:hAnsi="Times New Roman"/>
        </w:rPr>
        <w:t>ebsite</w:t>
      </w:r>
      <w:r w:rsidR="00292F2E" w:rsidRPr="00AC7EA2">
        <w:rPr>
          <w:rStyle w:val="WP9BodyText"/>
          <w:rFonts w:ascii="Times New Roman" w:hAnsi="Times New Roman"/>
        </w:rPr>
        <w:t>:</w:t>
      </w:r>
      <w:r w:rsidRPr="00AC7EA2">
        <w:rPr>
          <w:rStyle w:val="WP9BodyText"/>
          <w:rFonts w:ascii="Times New Roman" w:hAnsi="Times New Roman"/>
        </w:rPr>
        <w:t xml:space="preserve"> www.expectmore.gov, as well as in annual </w:t>
      </w:r>
      <w:r w:rsidR="00D802B0" w:rsidRPr="00AC7EA2">
        <w:rPr>
          <w:rStyle w:val="WP9BodyText"/>
          <w:rFonts w:ascii="Times New Roman" w:hAnsi="Times New Roman"/>
        </w:rPr>
        <w:t>r</w:t>
      </w:r>
      <w:r w:rsidRPr="00AC7EA2">
        <w:rPr>
          <w:rStyle w:val="WP9BodyText"/>
          <w:rFonts w:ascii="Times New Roman" w:hAnsi="Times New Roman"/>
        </w:rPr>
        <w:t>eports to Congress and the performance detail sections of annual SAMHSA budgets as they become publicly available.</w:t>
      </w:r>
    </w:p>
    <w:p w:rsidR="00594067" w:rsidRPr="00AC7EA2" w:rsidRDefault="00594067" w:rsidP="005F2016">
      <w:pPr>
        <w:suppressLineNumbers/>
        <w:outlineLvl w:val="0"/>
        <w:rPr>
          <w:rStyle w:val="WP9BodyText"/>
          <w:rFonts w:ascii="Times New Roman" w:hAnsi="Times New Roman"/>
        </w:rPr>
      </w:pPr>
    </w:p>
    <w:p w:rsidR="000719AA" w:rsidRPr="00AC7EA2" w:rsidRDefault="000719AA" w:rsidP="005F2016">
      <w:pPr>
        <w:keepNext/>
        <w:suppressLineNumbers/>
        <w:outlineLvl w:val="0"/>
        <w:rPr>
          <w:rStyle w:val="WP9BodyText"/>
          <w:rFonts w:ascii="Times New Roman" w:hAnsi="Times New Roman"/>
          <w:b/>
        </w:rPr>
      </w:pPr>
      <w:r w:rsidRPr="00AC7EA2">
        <w:rPr>
          <w:rStyle w:val="WP9BodyText"/>
          <w:rFonts w:ascii="Times New Roman" w:hAnsi="Times New Roman"/>
          <w:b/>
        </w:rPr>
        <w:t>Timeline</w:t>
      </w:r>
    </w:p>
    <w:p w:rsidR="007803FC" w:rsidRPr="00AC7EA2" w:rsidRDefault="007803FC" w:rsidP="005F2016">
      <w:pPr>
        <w:keepNext/>
        <w:suppressLineNumbers/>
        <w:outlineLvl w:val="0"/>
        <w:rPr>
          <w:rStyle w:val="WP9BodyText"/>
          <w:rFonts w:ascii="Times New Roman" w:hAnsi="Times New Roman"/>
        </w:rPr>
      </w:pPr>
    </w:p>
    <w:p w:rsidR="000719AA" w:rsidRPr="00AC7EA2" w:rsidRDefault="000719AA" w:rsidP="005F2016">
      <w:pPr>
        <w:suppressLineNumbers/>
        <w:rPr>
          <w:rStyle w:val="WP9BodyText"/>
          <w:rFonts w:ascii="Times New Roman" w:hAnsi="Times New Roman"/>
        </w:rPr>
      </w:pPr>
      <w:r w:rsidRPr="00AC7EA2">
        <w:rPr>
          <w:rStyle w:val="WP9BodyText"/>
          <w:rFonts w:ascii="Times New Roman" w:hAnsi="Times New Roman"/>
        </w:rPr>
        <w:t>MAI</w:t>
      </w:r>
      <w:r w:rsidR="00594370" w:rsidRPr="00AC7EA2">
        <w:rPr>
          <w:rStyle w:val="WP9BodyText"/>
          <w:rFonts w:ascii="Times New Roman" w:hAnsi="Times New Roman"/>
        </w:rPr>
        <w:t>’s MSI CBO grants are three-year programs while the CBO grants are funded up to</w:t>
      </w:r>
      <w:r w:rsidRPr="00AC7EA2">
        <w:rPr>
          <w:rStyle w:val="WP9BodyText"/>
          <w:rFonts w:ascii="Times New Roman" w:hAnsi="Times New Roman"/>
        </w:rPr>
        <w:t xml:space="preserve"> five</w:t>
      </w:r>
      <w:r w:rsidR="00594370" w:rsidRPr="00AC7EA2">
        <w:rPr>
          <w:rStyle w:val="WP9BodyText"/>
          <w:rFonts w:ascii="Times New Roman" w:hAnsi="Times New Roman"/>
        </w:rPr>
        <w:t xml:space="preserve"> </w:t>
      </w:r>
      <w:r w:rsidRPr="00AC7EA2">
        <w:rPr>
          <w:rStyle w:val="WP9BodyText"/>
          <w:rFonts w:ascii="Times New Roman" w:hAnsi="Times New Roman"/>
        </w:rPr>
        <w:t>year</w:t>
      </w:r>
      <w:r w:rsidR="00594370" w:rsidRPr="00AC7EA2">
        <w:rPr>
          <w:rStyle w:val="WP9BodyText"/>
          <w:rFonts w:ascii="Times New Roman" w:hAnsi="Times New Roman"/>
        </w:rPr>
        <w:t>s. Typically, the</w:t>
      </w:r>
      <w:r w:rsidR="00F3080A" w:rsidRPr="00AC7EA2">
        <w:rPr>
          <w:rStyle w:val="WP9BodyText"/>
          <w:rFonts w:ascii="Times New Roman" w:hAnsi="Times New Roman"/>
        </w:rPr>
        <w:t>re is an initial period</w:t>
      </w:r>
      <w:r w:rsidRPr="00AC7EA2">
        <w:rPr>
          <w:rStyle w:val="WP9BodyText"/>
          <w:rFonts w:ascii="Times New Roman" w:hAnsi="Times New Roman"/>
        </w:rPr>
        <w:t xml:space="preserve"> devoted to Steps 1, 2 and 3 of the SPF, namely conducting needs assessment, </w:t>
      </w:r>
      <w:r w:rsidR="00F3080A" w:rsidRPr="00AC7EA2">
        <w:rPr>
          <w:rStyle w:val="WP9BodyText"/>
          <w:rFonts w:ascii="Times New Roman" w:hAnsi="Times New Roman"/>
        </w:rPr>
        <w:t>capacity building, and strategic planning</w:t>
      </w:r>
      <w:r w:rsidR="00196361" w:rsidRPr="00AC7EA2">
        <w:rPr>
          <w:rStyle w:val="WP9BodyText"/>
          <w:rFonts w:ascii="Times New Roman" w:hAnsi="Times New Roman"/>
        </w:rPr>
        <w:t xml:space="preserve">. </w:t>
      </w:r>
      <w:r w:rsidR="00F3080A" w:rsidRPr="00AC7EA2">
        <w:rPr>
          <w:rStyle w:val="WP9BodyText"/>
          <w:rFonts w:ascii="Times New Roman" w:hAnsi="Times New Roman"/>
        </w:rPr>
        <w:t xml:space="preserve">Grantees begin implementation and data collection only after their proposed strategic prevention plans are approved by their SAMHSA project officers. The approximate dates of the SPF milestones for the four cohorts in this </w:t>
      </w:r>
      <w:r w:rsidR="00886C51" w:rsidRPr="00AC7EA2">
        <w:rPr>
          <w:rStyle w:val="WP9BodyText"/>
          <w:rFonts w:ascii="Times New Roman" w:hAnsi="Times New Roman"/>
        </w:rPr>
        <w:t>cross-site evaluation</w:t>
      </w:r>
      <w:r w:rsidR="00F3080A" w:rsidRPr="00AC7EA2">
        <w:rPr>
          <w:rStyle w:val="WP9BodyText"/>
          <w:rFonts w:ascii="Times New Roman" w:hAnsi="Times New Roman"/>
        </w:rPr>
        <w:t xml:space="preserve"> are presented in Exhibit 9 below. </w:t>
      </w:r>
    </w:p>
    <w:p w:rsidR="00F353F0" w:rsidRPr="00AC7EA2" w:rsidRDefault="00F353F0" w:rsidP="005F2016">
      <w:pPr>
        <w:suppressLineNumbers/>
        <w:rPr>
          <w:rFonts w:ascii="Times New Roman" w:hAnsi="Times New Roman"/>
        </w:rPr>
      </w:pPr>
    </w:p>
    <w:p w:rsidR="00594370" w:rsidRPr="00AC7EA2" w:rsidRDefault="00594370" w:rsidP="005F2016">
      <w:pPr>
        <w:suppressLineNumbers/>
        <w:outlineLvl w:val="0"/>
        <w:rPr>
          <w:rFonts w:ascii="Times New Roman" w:hAnsi="Times New Roman"/>
          <w:b/>
        </w:rPr>
      </w:pPr>
    </w:p>
    <w:p w:rsidR="00AF5128" w:rsidRPr="00AC7EA2" w:rsidRDefault="000C34A8" w:rsidP="005F2016">
      <w:pPr>
        <w:suppressLineNumbers/>
        <w:outlineLvl w:val="0"/>
        <w:rPr>
          <w:rFonts w:ascii="Times New Roman" w:hAnsi="Times New Roman"/>
          <w:b/>
        </w:rPr>
      </w:pPr>
      <w:r w:rsidRPr="00AC7EA2">
        <w:rPr>
          <w:rStyle w:val="WP9BodyText"/>
          <w:rFonts w:ascii="Times New Roman" w:hAnsi="Times New Roman"/>
          <w:b/>
        </w:rPr>
        <w:t>Exhibit 9: Project Timelines</w:t>
      </w: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733"/>
        <w:gridCol w:w="1733"/>
        <w:gridCol w:w="1733"/>
        <w:gridCol w:w="1733"/>
      </w:tblGrid>
      <w:tr w:rsidR="00D11960" w:rsidRPr="00AC7EA2" w:rsidTr="007E7BD4">
        <w:trPr>
          <w:cantSplit/>
          <w:tblHeader/>
        </w:trPr>
        <w:tc>
          <w:tcPr>
            <w:tcW w:w="1164" w:type="pct"/>
            <w:shd w:val="clear" w:color="auto" w:fill="BFBFBF" w:themeFill="background1" w:themeFillShade="BF"/>
          </w:tcPr>
          <w:p w:rsidR="00D11960" w:rsidRPr="00AC7EA2" w:rsidRDefault="00D11960" w:rsidP="005F2016">
            <w:pPr>
              <w:suppressLineNumbers/>
              <w:rPr>
                <w:rFonts w:ascii="Times New Roman" w:hAnsi="Times New Roman"/>
                <w:b/>
              </w:rPr>
            </w:pPr>
          </w:p>
        </w:tc>
        <w:tc>
          <w:tcPr>
            <w:tcW w:w="959" w:type="pct"/>
            <w:shd w:val="clear" w:color="auto" w:fill="BFBFBF" w:themeFill="background1" w:themeFillShade="BF"/>
          </w:tcPr>
          <w:p w:rsidR="000C34A8" w:rsidRPr="00AC7EA2" w:rsidRDefault="00594370" w:rsidP="005F2016">
            <w:pPr>
              <w:suppressLineNumbers/>
              <w:rPr>
                <w:rFonts w:ascii="Times New Roman" w:hAnsi="Times New Roman"/>
                <w:b/>
              </w:rPr>
            </w:pPr>
            <w:r w:rsidRPr="00AC7EA2">
              <w:rPr>
                <w:rFonts w:ascii="Times New Roman" w:hAnsi="Times New Roman"/>
                <w:b/>
              </w:rPr>
              <w:t>MSI CBO 2013</w:t>
            </w:r>
          </w:p>
          <w:p w:rsidR="00D11960" w:rsidRPr="00AC7EA2" w:rsidRDefault="000C34A8" w:rsidP="005F2016">
            <w:pPr>
              <w:suppressLineNumbers/>
              <w:rPr>
                <w:rFonts w:ascii="Times New Roman" w:hAnsi="Times New Roman"/>
              </w:rPr>
            </w:pPr>
            <w:r w:rsidRPr="00AC7EA2">
              <w:rPr>
                <w:rFonts w:ascii="Times New Roman" w:hAnsi="Times New Roman"/>
              </w:rPr>
              <w:t>(2</w:t>
            </w:r>
            <w:r w:rsidR="007E7BD4" w:rsidRPr="00AC7EA2">
              <w:rPr>
                <w:rFonts w:ascii="Times New Roman" w:hAnsi="Times New Roman"/>
              </w:rPr>
              <w:t>9</w:t>
            </w:r>
            <w:r w:rsidRPr="00AC7EA2">
              <w:rPr>
                <w:rFonts w:ascii="Times New Roman" w:hAnsi="Times New Roman"/>
              </w:rPr>
              <w:t xml:space="preserve"> 3-year grants)</w:t>
            </w:r>
            <w:r w:rsidR="00D11960" w:rsidRPr="00AC7EA2">
              <w:rPr>
                <w:rFonts w:ascii="Times New Roman" w:hAnsi="Times New Roman"/>
              </w:rPr>
              <w:t xml:space="preserve"> </w:t>
            </w:r>
          </w:p>
        </w:tc>
        <w:tc>
          <w:tcPr>
            <w:tcW w:w="959" w:type="pct"/>
            <w:shd w:val="clear" w:color="auto" w:fill="BFBFBF" w:themeFill="background1" w:themeFillShade="BF"/>
          </w:tcPr>
          <w:p w:rsidR="00D11960" w:rsidRPr="00AC7EA2" w:rsidRDefault="00594370" w:rsidP="005F2016">
            <w:pPr>
              <w:suppressLineNumbers/>
              <w:rPr>
                <w:rFonts w:ascii="Times New Roman" w:hAnsi="Times New Roman"/>
                <w:b/>
              </w:rPr>
            </w:pPr>
            <w:r w:rsidRPr="00AC7EA2">
              <w:rPr>
                <w:rFonts w:ascii="Times New Roman" w:hAnsi="Times New Roman"/>
                <w:b/>
              </w:rPr>
              <w:t>MSI CBO 2014</w:t>
            </w:r>
          </w:p>
          <w:p w:rsidR="000C34A8" w:rsidRPr="00AC7EA2" w:rsidRDefault="000C34A8" w:rsidP="005F2016">
            <w:pPr>
              <w:suppressLineNumbers/>
              <w:rPr>
                <w:rFonts w:ascii="Times New Roman" w:hAnsi="Times New Roman"/>
                <w:b/>
              </w:rPr>
            </w:pPr>
            <w:r w:rsidRPr="00AC7EA2">
              <w:rPr>
                <w:rFonts w:ascii="Times New Roman" w:hAnsi="Times New Roman"/>
              </w:rPr>
              <w:t>(21 3-year grants)</w:t>
            </w:r>
          </w:p>
        </w:tc>
        <w:tc>
          <w:tcPr>
            <w:tcW w:w="959" w:type="pct"/>
            <w:shd w:val="clear" w:color="auto" w:fill="BFBFBF" w:themeFill="background1" w:themeFillShade="BF"/>
          </w:tcPr>
          <w:p w:rsidR="00D11960" w:rsidRPr="00AC7EA2" w:rsidRDefault="00594370" w:rsidP="005F2016">
            <w:pPr>
              <w:suppressLineNumbers/>
              <w:rPr>
                <w:rFonts w:ascii="Times New Roman" w:hAnsi="Times New Roman"/>
                <w:b/>
              </w:rPr>
            </w:pPr>
            <w:r w:rsidRPr="00AC7EA2">
              <w:rPr>
                <w:rFonts w:ascii="Times New Roman" w:hAnsi="Times New Roman"/>
                <w:b/>
              </w:rPr>
              <w:t>MSI CBO 2015</w:t>
            </w:r>
          </w:p>
          <w:p w:rsidR="000C34A8" w:rsidRPr="00AC7EA2" w:rsidRDefault="000C34A8" w:rsidP="00AC60DF">
            <w:pPr>
              <w:suppressLineNumbers/>
              <w:rPr>
                <w:rFonts w:ascii="Times New Roman" w:hAnsi="Times New Roman"/>
                <w:b/>
              </w:rPr>
            </w:pPr>
            <w:r w:rsidRPr="00AC7EA2">
              <w:rPr>
                <w:rFonts w:ascii="Times New Roman" w:hAnsi="Times New Roman"/>
              </w:rPr>
              <w:t>(3</w:t>
            </w:r>
            <w:r w:rsidR="00AC60DF">
              <w:rPr>
                <w:rFonts w:ascii="Times New Roman" w:hAnsi="Times New Roman"/>
              </w:rPr>
              <w:t>4</w:t>
            </w:r>
            <w:r w:rsidRPr="00AC7EA2">
              <w:rPr>
                <w:rFonts w:ascii="Times New Roman" w:hAnsi="Times New Roman"/>
              </w:rPr>
              <w:t xml:space="preserve"> 3-year grants)</w:t>
            </w:r>
          </w:p>
        </w:tc>
        <w:tc>
          <w:tcPr>
            <w:tcW w:w="959" w:type="pct"/>
            <w:shd w:val="clear" w:color="auto" w:fill="BFBFBF" w:themeFill="background1" w:themeFillShade="BF"/>
            <w:vAlign w:val="center"/>
          </w:tcPr>
          <w:p w:rsidR="00D11960" w:rsidRPr="00AC7EA2" w:rsidRDefault="00594370" w:rsidP="005F2016">
            <w:pPr>
              <w:keepNext/>
              <w:suppressLineNumbers/>
              <w:rPr>
                <w:rFonts w:ascii="Times New Roman" w:hAnsi="Times New Roman"/>
                <w:b/>
              </w:rPr>
            </w:pPr>
            <w:r w:rsidRPr="00AC7EA2">
              <w:rPr>
                <w:rFonts w:ascii="Times New Roman" w:hAnsi="Times New Roman"/>
                <w:b/>
              </w:rPr>
              <w:t>CBI 2015</w:t>
            </w:r>
          </w:p>
          <w:p w:rsidR="000C34A8" w:rsidRPr="00AC7EA2" w:rsidRDefault="000C34A8" w:rsidP="00AC60DF">
            <w:pPr>
              <w:keepNext/>
              <w:suppressLineNumbers/>
              <w:rPr>
                <w:rFonts w:ascii="Times New Roman" w:hAnsi="Times New Roman"/>
                <w:b/>
              </w:rPr>
            </w:pPr>
            <w:r w:rsidRPr="00AC7EA2">
              <w:rPr>
                <w:rFonts w:ascii="Times New Roman" w:hAnsi="Times New Roman"/>
              </w:rPr>
              <w:t>(</w:t>
            </w:r>
            <w:r w:rsidR="00AC60DF">
              <w:rPr>
                <w:rFonts w:ascii="Times New Roman" w:hAnsi="Times New Roman"/>
              </w:rPr>
              <w:t>54</w:t>
            </w:r>
            <w:r w:rsidR="002A574A">
              <w:rPr>
                <w:rFonts w:ascii="Times New Roman" w:hAnsi="Times New Roman"/>
              </w:rPr>
              <w:t xml:space="preserve"> </w:t>
            </w:r>
            <w:r w:rsidRPr="00AC7EA2">
              <w:rPr>
                <w:rFonts w:ascii="Times New Roman" w:hAnsi="Times New Roman"/>
              </w:rPr>
              <w:t>5-year grants)</w:t>
            </w:r>
          </w:p>
        </w:tc>
      </w:tr>
      <w:tr w:rsidR="00D11960" w:rsidRPr="00AC7EA2" w:rsidTr="000C34A8">
        <w:tc>
          <w:tcPr>
            <w:tcW w:w="1164" w:type="pct"/>
            <w:vAlign w:val="center"/>
          </w:tcPr>
          <w:p w:rsidR="00D11960" w:rsidRPr="00AC7EA2" w:rsidRDefault="00D11960" w:rsidP="005F2016">
            <w:pPr>
              <w:suppressLineNumbers/>
              <w:rPr>
                <w:rFonts w:ascii="Times New Roman" w:hAnsi="Times New Roman"/>
              </w:rPr>
            </w:pPr>
            <w:r w:rsidRPr="00AC7EA2">
              <w:rPr>
                <w:rFonts w:ascii="Times New Roman" w:hAnsi="Times New Roman"/>
              </w:rPr>
              <w:t xml:space="preserve">Needs Assessment, Capacity Building, </w:t>
            </w:r>
            <w:r w:rsidR="00F3080A" w:rsidRPr="00AC7EA2">
              <w:rPr>
                <w:rFonts w:ascii="Times New Roman" w:hAnsi="Times New Roman"/>
              </w:rPr>
              <w:t xml:space="preserve">Strategic </w:t>
            </w:r>
            <w:r w:rsidRPr="00AC7EA2">
              <w:rPr>
                <w:rFonts w:ascii="Times New Roman" w:hAnsi="Times New Roman"/>
              </w:rPr>
              <w:t>Planning</w:t>
            </w:r>
          </w:p>
        </w:tc>
        <w:tc>
          <w:tcPr>
            <w:tcW w:w="959" w:type="pct"/>
            <w:vAlign w:val="center"/>
          </w:tcPr>
          <w:p w:rsidR="00D11960" w:rsidRPr="00AC7EA2" w:rsidRDefault="000C34A8" w:rsidP="005F2016">
            <w:pPr>
              <w:suppressLineNumbers/>
              <w:rPr>
                <w:rFonts w:ascii="Times New Roman" w:hAnsi="Times New Roman"/>
              </w:rPr>
            </w:pPr>
            <w:r w:rsidRPr="00AC7EA2">
              <w:rPr>
                <w:rFonts w:ascii="Times New Roman" w:hAnsi="Times New Roman"/>
              </w:rPr>
              <w:t>10/2013 –</w:t>
            </w:r>
            <w:r w:rsidR="00F9233F" w:rsidRPr="00AC7EA2">
              <w:rPr>
                <w:rFonts w:ascii="Times New Roman" w:hAnsi="Times New Roman"/>
              </w:rPr>
              <w:t xml:space="preserve"> 6</w:t>
            </w:r>
            <w:r w:rsidRPr="00AC7EA2">
              <w:rPr>
                <w:rFonts w:ascii="Times New Roman" w:hAnsi="Times New Roman"/>
              </w:rPr>
              <w:t>/2014</w:t>
            </w:r>
          </w:p>
        </w:tc>
        <w:tc>
          <w:tcPr>
            <w:tcW w:w="959" w:type="pct"/>
            <w:vAlign w:val="center"/>
          </w:tcPr>
          <w:p w:rsidR="00D11960" w:rsidRPr="00AC7EA2" w:rsidRDefault="000C34A8" w:rsidP="005F2016">
            <w:pPr>
              <w:suppressLineNumbers/>
              <w:rPr>
                <w:rFonts w:ascii="Times New Roman" w:hAnsi="Times New Roman"/>
              </w:rPr>
            </w:pPr>
            <w:r w:rsidRPr="00AC7EA2">
              <w:rPr>
                <w:rFonts w:ascii="Times New Roman" w:hAnsi="Times New Roman"/>
              </w:rPr>
              <w:t>10/2014 –</w:t>
            </w:r>
            <w:r w:rsidR="00F9233F" w:rsidRPr="00AC7EA2">
              <w:rPr>
                <w:rFonts w:ascii="Times New Roman" w:hAnsi="Times New Roman"/>
              </w:rPr>
              <w:t xml:space="preserve"> 6</w:t>
            </w:r>
            <w:r w:rsidRPr="00AC7EA2">
              <w:rPr>
                <w:rFonts w:ascii="Times New Roman" w:hAnsi="Times New Roman"/>
              </w:rPr>
              <w:t>/2015</w:t>
            </w:r>
          </w:p>
        </w:tc>
        <w:tc>
          <w:tcPr>
            <w:tcW w:w="959" w:type="pct"/>
            <w:vAlign w:val="center"/>
          </w:tcPr>
          <w:p w:rsidR="00D11960" w:rsidRPr="00AC7EA2" w:rsidRDefault="000C34A8" w:rsidP="005F2016">
            <w:pPr>
              <w:suppressLineNumbers/>
              <w:rPr>
                <w:rFonts w:ascii="Times New Roman" w:hAnsi="Times New Roman"/>
              </w:rPr>
            </w:pPr>
            <w:r w:rsidRPr="00AC7EA2">
              <w:rPr>
                <w:rFonts w:ascii="Times New Roman" w:hAnsi="Times New Roman"/>
              </w:rPr>
              <w:t>10/2015 –</w:t>
            </w:r>
            <w:r w:rsidR="00F9233F" w:rsidRPr="00AC7EA2">
              <w:rPr>
                <w:rFonts w:ascii="Times New Roman" w:hAnsi="Times New Roman"/>
              </w:rPr>
              <w:t xml:space="preserve"> 6</w:t>
            </w:r>
            <w:r w:rsidRPr="00AC7EA2">
              <w:rPr>
                <w:rFonts w:ascii="Times New Roman" w:hAnsi="Times New Roman"/>
              </w:rPr>
              <w:t>/2016</w:t>
            </w:r>
          </w:p>
        </w:tc>
        <w:tc>
          <w:tcPr>
            <w:tcW w:w="959" w:type="pct"/>
            <w:vAlign w:val="center"/>
          </w:tcPr>
          <w:p w:rsidR="00D11960" w:rsidRPr="00AC7EA2" w:rsidRDefault="000C34A8" w:rsidP="005F2016">
            <w:pPr>
              <w:suppressLineNumbers/>
              <w:rPr>
                <w:rFonts w:ascii="Times New Roman" w:hAnsi="Times New Roman"/>
              </w:rPr>
            </w:pPr>
            <w:r w:rsidRPr="00AC7EA2">
              <w:rPr>
                <w:rFonts w:ascii="Times New Roman" w:hAnsi="Times New Roman"/>
              </w:rPr>
              <w:t xml:space="preserve">10/2015 </w:t>
            </w:r>
            <w:r w:rsidR="00F9233F" w:rsidRPr="00AC7EA2">
              <w:rPr>
                <w:rFonts w:ascii="Times New Roman" w:hAnsi="Times New Roman"/>
              </w:rPr>
              <w:t>–</w:t>
            </w:r>
            <w:r w:rsidRPr="00AC7EA2">
              <w:rPr>
                <w:rFonts w:ascii="Times New Roman" w:hAnsi="Times New Roman"/>
              </w:rPr>
              <w:t xml:space="preserve"> </w:t>
            </w:r>
            <w:r w:rsidR="00F9233F" w:rsidRPr="00AC7EA2">
              <w:rPr>
                <w:rFonts w:ascii="Times New Roman" w:hAnsi="Times New Roman"/>
              </w:rPr>
              <w:t>6/201</w:t>
            </w:r>
            <w:r w:rsidR="007E7BD4" w:rsidRPr="00AC7EA2">
              <w:rPr>
                <w:rFonts w:ascii="Times New Roman" w:hAnsi="Times New Roman"/>
              </w:rPr>
              <w:t>6</w:t>
            </w:r>
          </w:p>
        </w:tc>
      </w:tr>
      <w:tr w:rsidR="00D11960" w:rsidRPr="00AC7EA2" w:rsidTr="000C34A8">
        <w:tc>
          <w:tcPr>
            <w:tcW w:w="1164" w:type="pct"/>
            <w:vAlign w:val="center"/>
          </w:tcPr>
          <w:p w:rsidR="00D11960" w:rsidRPr="00AC7EA2" w:rsidRDefault="00D11960" w:rsidP="005F2016">
            <w:pPr>
              <w:suppressLineNumbers/>
              <w:rPr>
                <w:rFonts w:ascii="Times New Roman" w:hAnsi="Times New Roman"/>
              </w:rPr>
            </w:pPr>
            <w:r w:rsidRPr="00AC7EA2">
              <w:rPr>
                <w:rFonts w:ascii="Times New Roman" w:hAnsi="Times New Roman"/>
              </w:rPr>
              <w:t>Implementation</w:t>
            </w:r>
            <w:r w:rsidR="00F3080A" w:rsidRPr="00AC7EA2">
              <w:rPr>
                <w:rFonts w:ascii="Times New Roman" w:hAnsi="Times New Roman"/>
              </w:rPr>
              <w:t>, Data Collection</w:t>
            </w:r>
          </w:p>
        </w:tc>
        <w:tc>
          <w:tcPr>
            <w:tcW w:w="959" w:type="pct"/>
            <w:vAlign w:val="center"/>
          </w:tcPr>
          <w:p w:rsidR="00D11960" w:rsidRPr="00AC7EA2" w:rsidRDefault="00F9233F" w:rsidP="005F2016">
            <w:pPr>
              <w:suppressLineNumbers/>
              <w:rPr>
                <w:rFonts w:ascii="Times New Roman" w:hAnsi="Times New Roman"/>
              </w:rPr>
            </w:pPr>
            <w:r w:rsidRPr="00AC7EA2">
              <w:rPr>
                <w:rFonts w:ascii="Times New Roman" w:hAnsi="Times New Roman"/>
              </w:rPr>
              <w:t xml:space="preserve">6/2014 – 9/2016 </w:t>
            </w:r>
          </w:p>
        </w:tc>
        <w:tc>
          <w:tcPr>
            <w:tcW w:w="959" w:type="pct"/>
            <w:vAlign w:val="center"/>
          </w:tcPr>
          <w:p w:rsidR="00D11960" w:rsidRPr="00AC7EA2" w:rsidRDefault="00F9233F" w:rsidP="005F2016">
            <w:pPr>
              <w:suppressLineNumbers/>
              <w:rPr>
                <w:rFonts w:ascii="Times New Roman" w:hAnsi="Times New Roman"/>
              </w:rPr>
            </w:pPr>
            <w:r w:rsidRPr="00AC7EA2">
              <w:rPr>
                <w:rFonts w:ascii="Times New Roman" w:hAnsi="Times New Roman"/>
              </w:rPr>
              <w:t>6/2015 – 9/2017</w:t>
            </w:r>
          </w:p>
        </w:tc>
        <w:tc>
          <w:tcPr>
            <w:tcW w:w="959" w:type="pct"/>
            <w:vAlign w:val="center"/>
          </w:tcPr>
          <w:p w:rsidR="00D11960" w:rsidRPr="00AC7EA2" w:rsidRDefault="00F9233F" w:rsidP="005F2016">
            <w:pPr>
              <w:suppressLineNumbers/>
              <w:rPr>
                <w:rFonts w:ascii="Times New Roman" w:hAnsi="Times New Roman"/>
              </w:rPr>
            </w:pPr>
            <w:r w:rsidRPr="00AC7EA2">
              <w:rPr>
                <w:rFonts w:ascii="Times New Roman" w:hAnsi="Times New Roman"/>
              </w:rPr>
              <w:t>6/2016 – 9/2018</w:t>
            </w:r>
          </w:p>
        </w:tc>
        <w:tc>
          <w:tcPr>
            <w:tcW w:w="959" w:type="pct"/>
            <w:vAlign w:val="center"/>
          </w:tcPr>
          <w:p w:rsidR="00D11960" w:rsidRPr="00AC7EA2" w:rsidRDefault="00F9233F" w:rsidP="005F2016">
            <w:pPr>
              <w:suppressLineNumbers/>
              <w:rPr>
                <w:rFonts w:ascii="Times New Roman" w:hAnsi="Times New Roman"/>
              </w:rPr>
            </w:pPr>
            <w:r w:rsidRPr="00AC7EA2">
              <w:rPr>
                <w:rFonts w:ascii="Times New Roman" w:hAnsi="Times New Roman"/>
              </w:rPr>
              <w:t>6/201</w:t>
            </w:r>
            <w:r w:rsidR="007E7BD4" w:rsidRPr="00AC7EA2">
              <w:rPr>
                <w:rFonts w:ascii="Times New Roman" w:hAnsi="Times New Roman"/>
              </w:rPr>
              <w:t>6</w:t>
            </w:r>
            <w:r w:rsidRPr="00AC7EA2">
              <w:rPr>
                <w:rFonts w:ascii="Times New Roman" w:hAnsi="Times New Roman"/>
              </w:rPr>
              <w:t xml:space="preserve"> – 9/2020</w:t>
            </w:r>
          </w:p>
        </w:tc>
      </w:tr>
      <w:tr w:rsidR="00D11960" w:rsidRPr="00AC7EA2" w:rsidTr="000C34A8">
        <w:tc>
          <w:tcPr>
            <w:tcW w:w="1164" w:type="pct"/>
            <w:vAlign w:val="center"/>
          </w:tcPr>
          <w:p w:rsidR="00D11960" w:rsidRPr="00AC7EA2" w:rsidRDefault="000C34A8" w:rsidP="005F2016">
            <w:pPr>
              <w:suppressLineNumbers/>
              <w:rPr>
                <w:rFonts w:ascii="Times New Roman" w:hAnsi="Times New Roman"/>
              </w:rPr>
            </w:pPr>
            <w:r w:rsidRPr="00AC7EA2">
              <w:rPr>
                <w:rFonts w:ascii="Times New Roman" w:hAnsi="Times New Roman"/>
              </w:rPr>
              <w:t>Follow-up, Evaluation,</w:t>
            </w:r>
            <w:r w:rsidR="00D11960" w:rsidRPr="00AC7EA2">
              <w:rPr>
                <w:rFonts w:ascii="Times New Roman" w:hAnsi="Times New Roman"/>
              </w:rPr>
              <w:t xml:space="preserve"> and Reporting</w:t>
            </w:r>
          </w:p>
        </w:tc>
        <w:tc>
          <w:tcPr>
            <w:tcW w:w="959" w:type="pct"/>
            <w:vAlign w:val="center"/>
          </w:tcPr>
          <w:p w:rsidR="00D11960" w:rsidRPr="00AC7EA2" w:rsidRDefault="00130F01" w:rsidP="005F2016">
            <w:pPr>
              <w:suppressLineNumbers/>
              <w:rPr>
                <w:rFonts w:ascii="Times New Roman" w:hAnsi="Times New Roman"/>
              </w:rPr>
            </w:pPr>
            <w:r w:rsidRPr="00AC7EA2">
              <w:rPr>
                <w:rFonts w:ascii="Times New Roman" w:hAnsi="Times New Roman"/>
              </w:rPr>
              <w:t>Ends 12/31/2016</w:t>
            </w:r>
          </w:p>
        </w:tc>
        <w:tc>
          <w:tcPr>
            <w:tcW w:w="959" w:type="pct"/>
            <w:vAlign w:val="center"/>
          </w:tcPr>
          <w:p w:rsidR="00D11960" w:rsidRPr="00AC7EA2" w:rsidRDefault="00130F01" w:rsidP="005F2016">
            <w:pPr>
              <w:suppressLineNumbers/>
              <w:rPr>
                <w:rFonts w:ascii="Times New Roman" w:hAnsi="Times New Roman"/>
              </w:rPr>
            </w:pPr>
            <w:r w:rsidRPr="00AC7EA2">
              <w:rPr>
                <w:rFonts w:ascii="Times New Roman" w:hAnsi="Times New Roman"/>
              </w:rPr>
              <w:t>Ends 12/31/2017</w:t>
            </w:r>
          </w:p>
        </w:tc>
        <w:tc>
          <w:tcPr>
            <w:tcW w:w="959" w:type="pct"/>
            <w:vAlign w:val="center"/>
          </w:tcPr>
          <w:p w:rsidR="00D11960" w:rsidRPr="00AC7EA2" w:rsidRDefault="00130F01" w:rsidP="005F2016">
            <w:pPr>
              <w:suppressLineNumbers/>
              <w:rPr>
                <w:rFonts w:ascii="Times New Roman" w:hAnsi="Times New Roman"/>
              </w:rPr>
            </w:pPr>
            <w:r w:rsidRPr="00AC7EA2">
              <w:rPr>
                <w:rFonts w:ascii="Times New Roman" w:hAnsi="Times New Roman"/>
              </w:rPr>
              <w:t>Ends 12/31/2018</w:t>
            </w:r>
          </w:p>
        </w:tc>
        <w:tc>
          <w:tcPr>
            <w:tcW w:w="959" w:type="pct"/>
            <w:vAlign w:val="center"/>
          </w:tcPr>
          <w:p w:rsidR="00D11960" w:rsidRPr="00AC7EA2" w:rsidRDefault="00130F01" w:rsidP="005F2016">
            <w:pPr>
              <w:suppressLineNumbers/>
              <w:rPr>
                <w:rFonts w:ascii="Times New Roman" w:hAnsi="Times New Roman"/>
              </w:rPr>
            </w:pPr>
            <w:r w:rsidRPr="00AC7EA2">
              <w:rPr>
                <w:rFonts w:ascii="Times New Roman" w:hAnsi="Times New Roman"/>
              </w:rPr>
              <w:t>Ends 12/31/2020</w:t>
            </w:r>
          </w:p>
        </w:tc>
      </w:tr>
    </w:tbl>
    <w:p w:rsidR="000719AA" w:rsidRPr="00AC7EA2" w:rsidRDefault="000719AA" w:rsidP="005F2016">
      <w:pPr>
        <w:suppressLineNumbers/>
        <w:rPr>
          <w:rFonts w:ascii="Times New Roman" w:hAnsi="Times New Roman"/>
          <w:b/>
        </w:rPr>
      </w:pPr>
    </w:p>
    <w:p w:rsidR="000719AA" w:rsidRPr="00AC7EA2" w:rsidRDefault="008E2D0E" w:rsidP="005F2016">
      <w:pPr>
        <w:suppressLineNumbers/>
        <w:outlineLvl w:val="0"/>
        <w:rPr>
          <w:rStyle w:val="WP9BodyText"/>
          <w:rFonts w:ascii="Times New Roman" w:hAnsi="Times New Roman"/>
        </w:rPr>
      </w:pPr>
      <w:r w:rsidRPr="00AC7EA2">
        <w:rPr>
          <w:rStyle w:val="WP9BodyText"/>
          <w:rFonts w:ascii="Times New Roman" w:hAnsi="Times New Roman"/>
        </w:rPr>
        <w:t xml:space="preserve">Please note that the </w:t>
      </w:r>
      <w:r w:rsidR="00333349" w:rsidRPr="00AC7EA2">
        <w:rPr>
          <w:rStyle w:val="WP9BodyText"/>
          <w:rFonts w:ascii="Times New Roman" w:hAnsi="Times New Roman"/>
        </w:rPr>
        <w:t xml:space="preserve">annualized burden estimates presented in previous sections are for a typical year during which the grantee is implementing interventions. There is no burden factored in for the period spent on the </w:t>
      </w:r>
      <w:r w:rsidR="00AD6906" w:rsidRPr="00AC7EA2">
        <w:rPr>
          <w:rStyle w:val="WP9BodyText"/>
          <w:rFonts w:ascii="Times New Roman" w:hAnsi="Times New Roman"/>
        </w:rPr>
        <w:t xml:space="preserve">first three </w:t>
      </w:r>
      <w:r w:rsidR="00333349" w:rsidRPr="00AC7EA2">
        <w:rPr>
          <w:rStyle w:val="WP9BodyText"/>
          <w:rFonts w:ascii="Times New Roman" w:hAnsi="Times New Roman"/>
        </w:rPr>
        <w:t xml:space="preserve">stages of the SPF. It should also be kept in mind that the </w:t>
      </w:r>
      <w:r w:rsidRPr="00AC7EA2">
        <w:rPr>
          <w:rStyle w:val="WP9BodyText"/>
          <w:rFonts w:ascii="Times New Roman" w:hAnsi="Times New Roman"/>
        </w:rPr>
        <w:t xml:space="preserve">Capacity Building Initiative (CBI) grantees are expected to spend a longer time implementing the </w:t>
      </w:r>
      <w:r w:rsidR="00AD6906" w:rsidRPr="00AC7EA2">
        <w:rPr>
          <w:rStyle w:val="WP9BodyText"/>
          <w:rFonts w:ascii="Times New Roman" w:hAnsi="Times New Roman"/>
        </w:rPr>
        <w:t>pre-implementation</w:t>
      </w:r>
      <w:r w:rsidRPr="00AC7EA2">
        <w:rPr>
          <w:rStyle w:val="WP9BodyText"/>
          <w:rFonts w:ascii="Times New Roman" w:hAnsi="Times New Roman"/>
        </w:rPr>
        <w:t xml:space="preserve"> steps of the SPF, given that the initiative has higher emphasis on building a prevention infrastructure to meet the specific needs of the local community. </w:t>
      </w:r>
    </w:p>
    <w:p w:rsidR="006E34AD" w:rsidRPr="00AC7EA2" w:rsidRDefault="006E34AD"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A17.  Display of Expiration Date</w:t>
      </w:r>
    </w:p>
    <w:p w:rsidR="000719AA" w:rsidRPr="00AC7EA2" w:rsidRDefault="000719AA" w:rsidP="005F2016">
      <w:pPr>
        <w:suppressLineNumbers/>
        <w:outlineLvl w:val="0"/>
        <w:rPr>
          <w:rStyle w:val="WP9BodyText"/>
          <w:rFonts w:ascii="Times New Roman" w:hAnsi="Times New Roman"/>
        </w:rPr>
      </w:pPr>
      <w:r w:rsidRPr="00AC7EA2">
        <w:rPr>
          <w:rStyle w:val="WP9BodyText"/>
          <w:rFonts w:ascii="Times New Roman" w:hAnsi="Times New Roman"/>
        </w:rPr>
        <w:t>The expiration date will be displayed</w:t>
      </w:r>
      <w:r w:rsidR="00F353F0" w:rsidRPr="00AC7EA2">
        <w:rPr>
          <w:rStyle w:val="WP9BodyText"/>
          <w:rFonts w:ascii="Times New Roman" w:hAnsi="Times New Roman"/>
        </w:rPr>
        <w:t>.</w:t>
      </w:r>
    </w:p>
    <w:p w:rsidR="000719AA" w:rsidRPr="00AC7EA2" w:rsidRDefault="000719AA" w:rsidP="005F2016">
      <w:pPr>
        <w:suppressLineNumbers/>
        <w:rPr>
          <w:rStyle w:val="WP9BodyText"/>
          <w:rFonts w:ascii="Times New Roman" w:hAnsi="Times New Roman"/>
        </w:rPr>
      </w:pPr>
    </w:p>
    <w:p w:rsidR="006E34AD" w:rsidRPr="00AC7EA2" w:rsidRDefault="006E34AD" w:rsidP="005F2016">
      <w:pPr>
        <w:pStyle w:val="Heading2"/>
        <w:spacing w:before="120" w:line="360" w:lineRule="auto"/>
        <w:rPr>
          <w:rFonts w:ascii="Times New Roman" w:hAnsi="Times New Roman"/>
          <w:i w:val="0"/>
          <w:sz w:val="24"/>
          <w:szCs w:val="24"/>
        </w:rPr>
      </w:pPr>
      <w:r w:rsidRPr="00AC7EA2">
        <w:rPr>
          <w:rFonts w:ascii="Times New Roman" w:hAnsi="Times New Roman"/>
          <w:i w:val="0"/>
          <w:sz w:val="24"/>
          <w:szCs w:val="24"/>
        </w:rPr>
        <w:t>A18.  Exceptions to Certification Statement</w:t>
      </w:r>
    </w:p>
    <w:p w:rsidR="000719AA" w:rsidRPr="00AC7EA2" w:rsidRDefault="00FE4157" w:rsidP="005F2016">
      <w:pPr>
        <w:suppressLineNumbers/>
        <w:outlineLvl w:val="0"/>
        <w:rPr>
          <w:rStyle w:val="WP9BodyText"/>
          <w:rFonts w:ascii="Times New Roman" w:hAnsi="Times New Roman"/>
        </w:rPr>
      </w:pPr>
      <w:r w:rsidRPr="00AC7EA2">
        <w:rPr>
          <w:rStyle w:val="WP9BodyText"/>
          <w:rFonts w:ascii="Times New Roman" w:hAnsi="Times New Roman"/>
        </w:rPr>
        <w:t>The certifications are included in this submission</w:t>
      </w:r>
      <w:r w:rsidR="00F353F0" w:rsidRPr="00AC7EA2">
        <w:rPr>
          <w:rStyle w:val="WP9BodyText"/>
          <w:rFonts w:ascii="Times New Roman" w:hAnsi="Times New Roman"/>
        </w:rPr>
        <w:t>.</w:t>
      </w:r>
    </w:p>
    <w:p w:rsidR="00F21B89" w:rsidRPr="00AC7EA2" w:rsidRDefault="00F21B89" w:rsidP="005F2016">
      <w:pPr>
        <w:rPr>
          <w:rFonts w:ascii="Times New Roman" w:hAnsi="Times New Roman"/>
        </w:rPr>
      </w:pPr>
    </w:p>
    <w:p w:rsidR="00D3593D" w:rsidRPr="00AC7EA2" w:rsidRDefault="004D4656" w:rsidP="005F2016">
      <w:pPr>
        <w:outlineLvl w:val="0"/>
        <w:rPr>
          <w:rFonts w:ascii="Times New Roman" w:hAnsi="Times New Roman"/>
          <w:b/>
        </w:rPr>
      </w:pPr>
      <w:r w:rsidRPr="00AC7EA2">
        <w:rPr>
          <w:rFonts w:ascii="Times New Roman" w:hAnsi="Times New Roman"/>
          <w:b/>
        </w:rPr>
        <w:br w:type="page"/>
      </w:r>
      <w:r w:rsidR="00803E7A" w:rsidRPr="00AC7EA2">
        <w:rPr>
          <w:rFonts w:ascii="Times New Roman" w:hAnsi="Times New Roman"/>
          <w:b/>
        </w:rPr>
        <w:t>RE</w:t>
      </w:r>
      <w:r w:rsidR="00D3593D" w:rsidRPr="00AC7EA2">
        <w:rPr>
          <w:rFonts w:ascii="Times New Roman" w:hAnsi="Times New Roman"/>
          <w:b/>
        </w:rPr>
        <w:t>FERENCES</w:t>
      </w:r>
    </w:p>
    <w:p w:rsidR="000647CD" w:rsidRPr="00AC7EA2" w:rsidRDefault="000647CD" w:rsidP="005F2016">
      <w:pPr>
        <w:rPr>
          <w:rFonts w:ascii="Times New Roman" w:hAnsi="Times New Roman"/>
        </w:rPr>
      </w:pPr>
    </w:p>
    <w:p w:rsidR="00DB71C6" w:rsidRPr="00AC7EA2" w:rsidRDefault="00DB71C6" w:rsidP="005F2016">
      <w:pPr>
        <w:ind w:left="720" w:right="216" w:hanging="720"/>
        <w:rPr>
          <w:rFonts w:ascii="Times New Roman" w:hAnsi="Times New Roman"/>
        </w:rPr>
      </w:pPr>
      <w:r w:rsidRPr="00AC7EA2">
        <w:rPr>
          <w:rFonts w:ascii="Times New Roman" w:hAnsi="Times New Roman"/>
        </w:rPr>
        <w:t xml:space="preserve">Alter, M.J. (2002). Prevention of spread of hepatitis C. </w:t>
      </w:r>
      <w:proofErr w:type="spellStart"/>
      <w:r w:rsidRPr="00AC7EA2">
        <w:rPr>
          <w:rFonts w:ascii="Times New Roman" w:hAnsi="Times New Roman"/>
          <w:i/>
        </w:rPr>
        <w:t>Hepatology</w:t>
      </w:r>
      <w:proofErr w:type="spellEnd"/>
      <w:r w:rsidRPr="00AC7EA2">
        <w:rPr>
          <w:rFonts w:ascii="Times New Roman" w:hAnsi="Times New Roman"/>
          <w:i/>
        </w:rPr>
        <w:t>, Supplement 5B: Management of Hepatitis C, 36</w:t>
      </w:r>
      <w:r w:rsidRPr="00AC7EA2">
        <w:rPr>
          <w:rFonts w:ascii="Times New Roman" w:hAnsi="Times New Roman"/>
        </w:rPr>
        <w:t>, s93–s98.</w:t>
      </w:r>
    </w:p>
    <w:p w:rsidR="00DB71C6" w:rsidRPr="00AC7EA2" w:rsidRDefault="00DB71C6" w:rsidP="005F2016">
      <w:pPr>
        <w:ind w:left="720" w:right="216" w:hanging="720"/>
        <w:rPr>
          <w:rFonts w:ascii="Times New Roman" w:hAnsi="Times New Roman"/>
        </w:rPr>
      </w:pPr>
    </w:p>
    <w:p w:rsidR="00F360AF" w:rsidRPr="00AC7EA2" w:rsidRDefault="00F360AF" w:rsidP="005F2016">
      <w:pPr>
        <w:ind w:left="720" w:right="216" w:hanging="720"/>
        <w:rPr>
          <w:rFonts w:ascii="Times New Roman" w:hAnsi="Times New Roman"/>
        </w:rPr>
      </w:pPr>
      <w:r w:rsidRPr="00AC7EA2">
        <w:rPr>
          <w:rFonts w:ascii="Times New Roman" w:hAnsi="Times New Roman"/>
        </w:rPr>
        <w:t xml:space="preserve">Bellamy, N.D., Wang, M.Q., Matthew, R.F., </w:t>
      </w:r>
      <w:proofErr w:type="spellStart"/>
      <w:r w:rsidRPr="00AC7EA2">
        <w:rPr>
          <w:rFonts w:ascii="Times New Roman" w:hAnsi="Times New Roman"/>
        </w:rPr>
        <w:t>Leitao</w:t>
      </w:r>
      <w:proofErr w:type="spellEnd"/>
      <w:r w:rsidRPr="00AC7EA2">
        <w:rPr>
          <w:rFonts w:ascii="Times New Roman" w:hAnsi="Times New Roman"/>
        </w:rPr>
        <w:t xml:space="preserve">, M.P., Agee, R.A., &amp; Yan, A.F. (2008). Structural model analysis of HIV risk behaviors among sexually active minority adolescents. </w:t>
      </w:r>
      <w:r w:rsidRPr="00AC7EA2">
        <w:rPr>
          <w:rFonts w:ascii="Times New Roman" w:hAnsi="Times New Roman"/>
          <w:i/>
        </w:rPr>
        <w:t>Journal of the National Medical Association, 100</w:t>
      </w:r>
      <w:r w:rsidRPr="00AC7EA2">
        <w:rPr>
          <w:rFonts w:ascii="Times New Roman" w:hAnsi="Times New Roman"/>
        </w:rPr>
        <w:t>, 914 – 924.</w:t>
      </w:r>
    </w:p>
    <w:p w:rsidR="00F360AF" w:rsidRPr="00AC7EA2" w:rsidRDefault="00F360AF" w:rsidP="005F2016">
      <w:pPr>
        <w:ind w:left="720" w:right="216" w:hanging="720"/>
        <w:rPr>
          <w:rFonts w:ascii="Times New Roman" w:hAnsi="Times New Roman"/>
        </w:rPr>
      </w:pPr>
    </w:p>
    <w:p w:rsidR="00256A4E" w:rsidRPr="00AC7EA2" w:rsidRDefault="00256A4E" w:rsidP="005F2016">
      <w:pPr>
        <w:ind w:left="720" w:right="216" w:hanging="720"/>
        <w:rPr>
          <w:rFonts w:ascii="Times New Roman" w:hAnsi="Times New Roman"/>
        </w:rPr>
      </w:pPr>
      <w:r w:rsidRPr="00AC7EA2">
        <w:rPr>
          <w:rFonts w:ascii="Times New Roman" w:hAnsi="Times New Roman"/>
        </w:rPr>
        <w:t xml:space="preserve">Blair, R. C. &amp; Higgins, J.J. (1980). A Comparison of the power of Wilcoxon's rank-sum statistic to that of Student's t statistic under various </w:t>
      </w:r>
      <w:proofErr w:type="spellStart"/>
      <w:r w:rsidRPr="00AC7EA2">
        <w:rPr>
          <w:rFonts w:ascii="Times New Roman" w:hAnsi="Times New Roman"/>
        </w:rPr>
        <w:t>nonnormal</w:t>
      </w:r>
      <w:proofErr w:type="spellEnd"/>
      <w:r w:rsidRPr="00AC7EA2">
        <w:rPr>
          <w:rFonts w:ascii="Times New Roman" w:hAnsi="Times New Roman"/>
        </w:rPr>
        <w:t xml:space="preserve"> distributions. </w:t>
      </w:r>
      <w:r w:rsidRPr="00AC7EA2">
        <w:rPr>
          <w:rFonts w:ascii="Times New Roman" w:hAnsi="Times New Roman"/>
          <w:i/>
        </w:rPr>
        <w:t>Journal of Educational Statistics, 1</w:t>
      </w:r>
      <w:r w:rsidRPr="00AC7EA2">
        <w:rPr>
          <w:rFonts w:ascii="Times New Roman" w:hAnsi="Times New Roman"/>
        </w:rPr>
        <w:t>, 309–335.</w:t>
      </w:r>
    </w:p>
    <w:p w:rsidR="004B1607" w:rsidRPr="00AC7EA2" w:rsidRDefault="004B1607" w:rsidP="005F2016">
      <w:pPr>
        <w:ind w:left="720" w:right="216" w:hanging="720"/>
        <w:rPr>
          <w:rFonts w:ascii="Times New Roman" w:hAnsi="Times New Roman"/>
        </w:rPr>
      </w:pPr>
    </w:p>
    <w:p w:rsidR="004B1607" w:rsidRPr="00AC7EA2" w:rsidRDefault="004B1607" w:rsidP="005F2016">
      <w:pPr>
        <w:ind w:left="720" w:right="216" w:hanging="720"/>
        <w:rPr>
          <w:rFonts w:ascii="Times New Roman" w:hAnsi="Times New Roman"/>
        </w:rPr>
      </w:pPr>
      <w:proofErr w:type="spellStart"/>
      <w:r w:rsidRPr="00AC7EA2">
        <w:rPr>
          <w:rFonts w:ascii="Times New Roman" w:hAnsi="Times New Roman"/>
        </w:rPr>
        <w:t>Brodbeck</w:t>
      </w:r>
      <w:proofErr w:type="spellEnd"/>
      <w:r w:rsidRPr="00AC7EA2">
        <w:rPr>
          <w:rFonts w:ascii="Times New Roman" w:hAnsi="Times New Roman"/>
        </w:rPr>
        <w:t xml:space="preserve"> J., Matter M., &amp; </w:t>
      </w:r>
      <w:proofErr w:type="spellStart"/>
      <w:r w:rsidRPr="00AC7EA2">
        <w:rPr>
          <w:rFonts w:ascii="Times New Roman" w:hAnsi="Times New Roman"/>
        </w:rPr>
        <w:t>Moggi</w:t>
      </w:r>
      <w:proofErr w:type="spellEnd"/>
      <w:r w:rsidRPr="00AC7EA2">
        <w:rPr>
          <w:rFonts w:ascii="Times New Roman" w:hAnsi="Times New Roman"/>
        </w:rPr>
        <w:t xml:space="preserve"> F. (2006). Association between cannabis use and sexual risk behavior among young heterosexual adults. </w:t>
      </w:r>
      <w:r w:rsidR="00FE075A" w:rsidRPr="00AC7EA2">
        <w:rPr>
          <w:rFonts w:ascii="Times New Roman" w:hAnsi="Times New Roman"/>
          <w:i/>
        </w:rPr>
        <w:t>AIDS B</w:t>
      </w:r>
      <w:r w:rsidRPr="00AC7EA2">
        <w:rPr>
          <w:rFonts w:ascii="Times New Roman" w:hAnsi="Times New Roman"/>
          <w:i/>
        </w:rPr>
        <w:t>ehavior, 10</w:t>
      </w:r>
      <w:r w:rsidRPr="00AC7EA2">
        <w:rPr>
          <w:rFonts w:ascii="Times New Roman" w:hAnsi="Times New Roman"/>
        </w:rPr>
        <w:t>, 599 – 605.</w:t>
      </w:r>
    </w:p>
    <w:p w:rsidR="004B1607" w:rsidRPr="00AC7EA2" w:rsidRDefault="004B1607" w:rsidP="005F2016">
      <w:pPr>
        <w:ind w:left="720" w:right="216" w:hanging="720"/>
        <w:rPr>
          <w:rFonts w:ascii="Times New Roman" w:hAnsi="Times New Roman"/>
          <w:highlight w:val="yellow"/>
        </w:rPr>
      </w:pPr>
    </w:p>
    <w:p w:rsidR="007E6C5D" w:rsidRPr="00AC7EA2" w:rsidRDefault="007E6C5D" w:rsidP="005F2016">
      <w:pPr>
        <w:ind w:left="720" w:right="72" w:hanging="720"/>
        <w:rPr>
          <w:rFonts w:ascii="Times New Roman" w:hAnsi="Times New Roman"/>
        </w:rPr>
      </w:pPr>
      <w:r w:rsidRPr="00AC7EA2">
        <w:rPr>
          <w:rFonts w:ascii="Times New Roman" w:hAnsi="Times New Roman"/>
        </w:rPr>
        <w:t xml:space="preserve">Bureau of Labor Statistics. (2015). Occupational Employment and Wages, 2014. United States Department of Labor. Accessed on </w:t>
      </w:r>
      <w:r w:rsidR="00E03BF7" w:rsidRPr="00AC7EA2">
        <w:rPr>
          <w:rFonts w:ascii="Times New Roman" w:hAnsi="Times New Roman"/>
        </w:rPr>
        <w:t xml:space="preserve">July 20, </w:t>
      </w:r>
      <w:r w:rsidRPr="00AC7EA2">
        <w:rPr>
          <w:rFonts w:ascii="Times New Roman" w:hAnsi="Times New Roman"/>
        </w:rPr>
        <w:t xml:space="preserve">2015 from </w:t>
      </w:r>
      <w:hyperlink r:id="rId19" w:history="1">
        <w:r w:rsidRPr="00AC7EA2">
          <w:rPr>
            <w:rStyle w:val="Hyperlink"/>
            <w:rFonts w:ascii="Times New Roman" w:hAnsi="Times New Roman"/>
          </w:rPr>
          <w:t>http://www.bls.gov/oes/current/oes210000.htm</w:t>
        </w:r>
      </w:hyperlink>
      <w:r w:rsidRPr="00AC7EA2">
        <w:rPr>
          <w:rFonts w:ascii="Times New Roman" w:hAnsi="Times New Roman"/>
        </w:rPr>
        <w:t xml:space="preserve">. </w:t>
      </w:r>
    </w:p>
    <w:p w:rsidR="007E6C5D" w:rsidRPr="00AC7EA2" w:rsidRDefault="007E6C5D" w:rsidP="005F2016">
      <w:pPr>
        <w:ind w:left="720" w:right="216" w:hanging="720"/>
        <w:rPr>
          <w:rFonts w:ascii="Times New Roman" w:hAnsi="Times New Roman"/>
          <w:highlight w:val="yellow"/>
        </w:rPr>
      </w:pPr>
    </w:p>
    <w:p w:rsidR="00A220C0" w:rsidRPr="00AC7EA2" w:rsidRDefault="00A220C0" w:rsidP="005F2016">
      <w:pPr>
        <w:ind w:left="720" w:hanging="720"/>
        <w:rPr>
          <w:rFonts w:ascii="Times New Roman" w:hAnsi="Times New Roman"/>
          <w:color w:val="000000"/>
        </w:rPr>
      </w:pPr>
      <w:r w:rsidRPr="00AC7EA2">
        <w:rPr>
          <w:rFonts w:ascii="Times New Roman" w:hAnsi="Times New Roman"/>
          <w:color w:val="000000"/>
        </w:rPr>
        <w:t>Centers for Disease Control and Prevention. (2015</w:t>
      </w:r>
      <w:r w:rsidR="0047289C" w:rsidRPr="00AC7EA2">
        <w:rPr>
          <w:rFonts w:ascii="Times New Roman" w:hAnsi="Times New Roman"/>
          <w:color w:val="000000"/>
        </w:rPr>
        <w:t>a</w:t>
      </w:r>
      <w:r w:rsidRPr="00AC7EA2">
        <w:rPr>
          <w:rFonts w:ascii="Times New Roman" w:hAnsi="Times New Roman"/>
          <w:color w:val="000000"/>
        </w:rPr>
        <w:t xml:space="preserve">). </w:t>
      </w:r>
      <w:r w:rsidRPr="00AC7EA2">
        <w:rPr>
          <w:rFonts w:ascii="Times New Roman" w:hAnsi="Times New Roman"/>
          <w:i/>
          <w:color w:val="000000"/>
        </w:rPr>
        <w:t xml:space="preserve">HIV/AIDS </w:t>
      </w:r>
      <w:r w:rsidR="001B6E35" w:rsidRPr="00AC7EA2">
        <w:rPr>
          <w:rFonts w:ascii="Times New Roman" w:hAnsi="Times New Roman"/>
          <w:i/>
          <w:color w:val="000000"/>
        </w:rPr>
        <w:t>S</w:t>
      </w:r>
      <w:r w:rsidRPr="00AC7EA2">
        <w:rPr>
          <w:rFonts w:ascii="Times New Roman" w:hAnsi="Times New Roman"/>
          <w:i/>
          <w:color w:val="000000"/>
        </w:rPr>
        <w:t xml:space="preserve">urveillance </w:t>
      </w:r>
      <w:r w:rsidR="001B6E35" w:rsidRPr="00AC7EA2">
        <w:rPr>
          <w:rFonts w:ascii="Times New Roman" w:hAnsi="Times New Roman"/>
          <w:i/>
          <w:color w:val="000000"/>
        </w:rPr>
        <w:t>S</w:t>
      </w:r>
      <w:r w:rsidRPr="00AC7EA2">
        <w:rPr>
          <w:rFonts w:ascii="Times New Roman" w:hAnsi="Times New Roman"/>
          <w:i/>
          <w:color w:val="000000"/>
        </w:rPr>
        <w:t>lide Sets</w:t>
      </w:r>
      <w:r w:rsidR="00546BBF" w:rsidRPr="00AC7EA2">
        <w:rPr>
          <w:rFonts w:ascii="Times New Roman" w:hAnsi="Times New Roman"/>
          <w:color w:val="000000"/>
        </w:rPr>
        <w:t>.</w:t>
      </w:r>
      <w:r w:rsidRPr="00AC7EA2">
        <w:rPr>
          <w:rFonts w:ascii="Times New Roman" w:hAnsi="Times New Roman"/>
          <w:color w:val="000000"/>
        </w:rPr>
        <w:t xml:space="preserve"> National Center for HIV/AIDS, Viral Hepatitis, STD &amp; TB Prevention, Division of HIV/AIDS Prevention. Accessed on June 30, 2015 from </w:t>
      </w:r>
      <w:hyperlink r:id="rId20" w:history="1">
        <w:r w:rsidRPr="00AC7EA2">
          <w:rPr>
            <w:rStyle w:val="Hyperlink"/>
            <w:rFonts w:ascii="Times New Roman" w:hAnsi="Times New Roman"/>
          </w:rPr>
          <w:t>http://www.cdc.gov/hiv/library/slideSets/index.html</w:t>
        </w:r>
      </w:hyperlink>
      <w:r w:rsidRPr="00AC7EA2">
        <w:rPr>
          <w:rFonts w:ascii="Times New Roman" w:hAnsi="Times New Roman"/>
          <w:color w:val="000000"/>
        </w:rPr>
        <w:t xml:space="preserve">. </w:t>
      </w:r>
    </w:p>
    <w:p w:rsidR="00546BBF" w:rsidRPr="00AC7EA2" w:rsidRDefault="00546BBF" w:rsidP="005F2016">
      <w:pPr>
        <w:ind w:left="720" w:hanging="720"/>
        <w:rPr>
          <w:rFonts w:ascii="Times New Roman" w:hAnsi="Times New Roman"/>
        </w:rPr>
      </w:pPr>
    </w:p>
    <w:p w:rsidR="0047289C" w:rsidRPr="00AC7EA2" w:rsidRDefault="0047289C" w:rsidP="005F2016">
      <w:pPr>
        <w:ind w:left="720" w:hanging="720"/>
        <w:rPr>
          <w:rFonts w:ascii="Times New Roman" w:hAnsi="Times New Roman"/>
        </w:rPr>
      </w:pPr>
      <w:r w:rsidRPr="00AC7EA2">
        <w:rPr>
          <w:rFonts w:ascii="Times New Roman" w:hAnsi="Times New Roman"/>
          <w:color w:val="000000"/>
        </w:rPr>
        <w:t>Centers for Disease Control and Prevention.</w:t>
      </w:r>
      <w:r w:rsidRPr="00AC7EA2">
        <w:rPr>
          <w:rFonts w:ascii="Times New Roman" w:hAnsi="Times New Roman"/>
        </w:rPr>
        <w:t xml:space="preserve"> (2015b). Viral Hepatitis Surveillance United States, 2013. Accessed on July 2</w:t>
      </w:r>
      <w:r w:rsidR="00B06AD8" w:rsidRPr="00AC7EA2">
        <w:rPr>
          <w:rFonts w:ascii="Times New Roman" w:hAnsi="Times New Roman"/>
        </w:rPr>
        <w:t>, 2015</w:t>
      </w:r>
      <w:r w:rsidRPr="00AC7EA2">
        <w:rPr>
          <w:rFonts w:ascii="Times New Roman" w:hAnsi="Times New Roman"/>
        </w:rPr>
        <w:t xml:space="preserve"> from </w:t>
      </w:r>
      <w:hyperlink r:id="rId21" w:history="1">
        <w:r w:rsidR="00B06AD8" w:rsidRPr="00AC7EA2">
          <w:rPr>
            <w:rStyle w:val="Hyperlink"/>
            <w:rFonts w:ascii="Times New Roman" w:hAnsi="Times New Roman"/>
          </w:rPr>
          <w:t>http://www.cdc.gov/hepatitis/statistics/2013surveillance/pdfs/2013hepsurveillancerpt.pdf</w:t>
        </w:r>
      </w:hyperlink>
      <w:r w:rsidR="00B06AD8" w:rsidRPr="00AC7EA2">
        <w:rPr>
          <w:rFonts w:ascii="Times New Roman" w:hAnsi="Times New Roman"/>
        </w:rPr>
        <w:t xml:space="preserve">. </w:t>
      </w:r>
    </w:p>
    <w:p w:rsidR="0047289C" w:rsidRPr="00AC7EA2" w:rsidRDefault="0047289C" w:rsidP="005F2016">
      <w:pPr>
        <w:ind w:left="720" w:hanging="720"/>
        <w:rPr>
          <w:rFonts w:ascii="Times New Roman" w:hAnsi="Times New Roman"/>
        </w:rPr>
      </w:pPr>
    </w:p>
    <w:p w:rsidR="000A6D6F" w:rsidRPr="00AC7EA2" w:rsidRDefault="000A6D6F" w:rsidP="005F2016">
      <w:pPr>
        <w:ind w:left="720" w:hanging="720"/>
        <w:rPr>
          <w:rFonts w:ascii="Times New Roman" w:hAnsi="Times New Roman"/>
        </w:rPr>
      </w:pPr>
      <w:r w:rsidRPr="00AC7EA2">
        <w:rPr>
          <w:rFonts w:ascii="Times New Roman" w:hAnsi="Times New Roman"/>
        </w:rPr>
        <w:t xml:space="preserve">Fisher, J.C., Bang, H., &amp; </w:t>
      </w:r>
      <w:proofErr w:type="spellStart"/>
      <w:r w:rsidRPr="00AC7EA2">
        <w:rPr>
          <w:rFonts w:ascii="Times New Roman" w:hAnsi="Times New Roman"/>
        </w:rPr>
        <w:t>Kapiga</w:t>
      </w:r>
      <w:proofErr w:type="spellEnd"/>
      <w:r w:rsidRPr="00AC7EA2">
        <w:rPr>
          <w:rFonts w:ascii="Times New Roman" w:hAnsi="Times New Roman"/>
        </w:rPr>
        <w:t>, S.H. (2007). The association between HIV infection and alcohol use: A systematic review and meta-analysis of African studies. Sexually Transmitted Diseases, 34, 856 – 863.</w:t>
      </w:r>
    </w:p>
    <w:p w:rsidR="000A6D6F" w:rsidRPr="00AC7EA2" w:rsidRDefault="000A6D6F" w:rsidP="005F2016">
      <w:pPr>
        <w:ind w:left="720" w:hanging="720"/>
        <w:rPr>
          <w:rFonts w:ascii="Times New Roman" w:hAnsi="Times New Roman"/>
        </w:rPr>
      </w:pPr>
    </w:p>
    <w:p w:rsidR="00BB575B" w:rsidRPr="00AC7EA2" w:rsidRDefault="00912136" w:rsidP="005F2016">
      <w:pPr>
        <w:ind w:left="720" w:hanging="720"/>
        <w:rPr>
          <w:rFonts w:ascii="Times New Roman" w:hAnsi="Times New Roman"/>
        </w:rPr>
      </w:pPr>
      <w:proofErr w:type="spellStart"/>
      <w:r w:rsidRPr="00AC7EA2">
        <w:rPr>
          <w:rFonts w:ascii="Times New Roman" w:hAnsi="Times New Roman"/>
        </w:rPr>
        <w:t>Garfein</w:t>
      </w:r>
      <w:proofErr w:type="spellEnd"/>
      <w:r w:rsidRPr="00AC7EA2">
        <w:rPr>
          <w:rFonts w:ascii="Times New Roman" w:hAnsi="Times New Roman"/>
        </w:rPr>
        <w:t xml:space="preserve">, R.S., </w:t>
      </w:r>
      <w:proofErr w:type="spellStart"/>
      <w:r w:rsidRPr="00AC7EA2">
        <w:rPr>
          <w:rFonts w:ascii="Times New Roman" w:hAnsi="Times New Roman"/>
        </w:rPr>
        <w:t>Vlahov</w:t>
      </w:r>
      <w:proofErr w:type="spellEnd"/>
      <w:r w:rsidRPr="00AC7EA2">
        <w:rPr>
          <w:rFonts w:ascii="Times New Roman" w:hAnsi="Times New Roman"/>
        </w:rPr>
        <w:t xml:space="preserve">, D., </w:t>
      </w:r>
      <w:proofErr w:type="spellStart"/>
      <w:r w:rsidRPr="00AC7EA2">
        <w:rPr>
          <w:rFonts w:ascii="Times New Roman" w:hAnsi="Times New Roman"/>
        </w:rPr>
        <w:t>Galai</w:t>
      </w:r>
      <w:proofErr w:type="spellEnd"/>
      <w:r w:rsidRPr="00AC7EA2">
        <w:rPr>
          <w:rFonts w:ascii="Times New Roman" w:hAnsi="Times New Roman"/>
        </w:rPr>
        <w:t>, N., Doherty, M.C., &amp;  Nelson, K.E.  (1996). Viral infections in short-term injection drug users: the prevalence of the hepatitis C, hepatitis B, human immunodeficiency, and human T-</w:t>
      </w:r>
      <w:proofErr w:type="spellStart"/>
      <w:r w:rsidRPr="00AC7EA2">
        <w:rPr>
          <w:rFonts w:ascii="Times New Roman" w:hAnsi="Times New Roman"/>
        </w:rPr>
        <w:t>lymphotropic</w:t>
      </w:r>
      <w:proofErr w:type="spellEnd"/>
      <w:r w:rsidRPr="00AC7EA2">
        <w:rPr>
          <w:rFonts w:ascii="Times New Roman" w:hAnsi="Times New Roman"/>
        </w:rPr>
        <w:t xml:space="preserve"> viruses. </w:t>
      </w:r>
      <w:r w:rsidRPr="00AC7EA2">
        <w:rPr>
          <w:rFonts w:ascii="Times New Roman" w:hAnsi="Times New Roman"/>
          <w:i/>
        </w:rPr>
        <w:t>American Journal of Public Health, 86</w:t>
      </w:r>
      <w:r w:rsidRPr="00AC7EA2">
        <w:rPr>
          <w:rFonts w:ascii="Times New Roman" w:hAnsi="Times New Roman"/>
        </w:rPr>
        <w:t>, 655-661.</w:t>
      </w:r>
    </w:p>
    <w:p w:rsidR="00BB575B" w:rsidRPr="00AC7EA2" w:rsidRDefault="00BB575B" w:rsidP="005F2016">
      <w:pPr>
        <w:ind w:left="720" w:hanging="720"/>
        <w:rPr>
          <w:rFonts w:ascii="Times New Roman" w:hAnsi="Times New Roman"/>
        </w:rPr>
      </w:pPr>
    </w:p>
    <w:p w:rsidR="008A6A82" w:rsidRPr="00AC7EA2" w:rsidRDefault="008A6A82" w:rsidP="005F2016">
      <w:pPr>
        <w:ind w:left="720" w:hanging="720"/>
        <w:rPr>
          <w:rFonts w:ascii="Times New Roman" w:hAnsi="Times New Roman"/>
        </w:rPr>
      </w:pPr>
      <w:r w:rsidRPr="00AC7EA2">
        <w:rPr>
          <w:rFonts w:ascii="Times New Roman" w:hAnsi="Times New Roman"/>
        </w:rPr>
        <w:t xml:space="preserve">Institute of Medicine. (2010). </w:t>
      </w:r>
      <w:r w:rsidRPr="00AC7EA2">
        <w:rPr>
          <w:rFonts w:ascii="Times New Roman" w:hAnsi="Times New Roman"/>
          <w:i/>
        </w:rPr>
        <w:t>Hepatitis and liver cancer: a national strategy for prevention and control of hepatitis B and C</w:t>
      </w:r>
      <w:r w:rsidRPr="00AC7EA2">
        <w:rPr>
          <w:rFonts w:ascii="Times New Roman" w:hAnsi="Times New Roman"/>
        </w:rPr>
        <w:t>. Washington, DC: The National Academies Press.</w:t>
      </w:r>
    </w:p>
    <w:p w:rsidR="00D3593D" w:rsidRPr="00AC7EA2" w:rsidRDefault="00D3593D" w:rsidP="005F2016">
      <w:pPr>
        <w:rPr>
          <w:rFonts w:ascii="Times New Roman" w:hAnsi="Times New Roman"/>
        </w:rPr>
      </w:pPr>
    </w:p>
    <w:p w:rsidR="007B702A" w:rsidRPr="00AC7EA2" w:rsidRDefault="007B702A" w:rsidP="005F2016">
      <w:pPr>
        <w:ind w:left="720" w:right="216" w:hanging="720"/>
        <w:rPr>
          <w:rFonts w:ascii="Times New Roman" w:hAnsi="Times New Roman"/>
          <w:highlight w:val="yellow"/>
        </w:rPr>
      </w:pPr>
      <w:r w:rsidRPr="00AC7EA2">
        <w:rPr>
          <w:rFonts w:ascii="Times New Roman" w:hAnsi="Times New Roman"/>
        </w:rPr>
        <w:t xml:space="preserve">Liddell, D. (1976). Practical tests of 2 × 2 contingency tables. </w:t>
      </w:r>
      <w:r w:rsidRPr="00AC7EA2">
        <w:rPr>
          <w:rFonts w:ascii="Times New Roman" w:hAnsi="Times New Roman"/>
          <w:i/>
        </w:rPr>
        <w:t>Journal of the Royal Statistical Society</w:t>
      </w:r>
      <w:r w:rsidRPr="00AC7EA2">
        <w:rPr>
          <w:rFonts w:ascii="Times New Roman" w:hAnsi="Times New Roman"/>
        </w:rPr>
        <w:t xml:space="preserve">, </w:t>
      </w:r>
      <w:r w:rsidRPr="00AC7EA2">
        <w:rPr>
          <w:rFonts w:ascii="Times New Roman" w:hAnsi="Times New Roman"/>
          <w:i/>
        </w:rPr>
        <w:t>25</w:t>
      </w:r>
      <w:r w:rsidRPr="00AC7EA2">
        <w:rPr>
          <w:rFonts w:ascii="Times New Roman" w:hAnsi="Times New Roman"/>
        </w:rPr>
        <w:t>, 295–304.</w:t>
      </w:r>
    </w:p>
    <w:p w:rsidR="0094151D" w:rsidRPr="00AC7EA2" w:rsidRDefault="0094151D" w:rsidP="005F2016">
      <w:pPr>
        <w:ind w:left="720" w:right="432" w:hanging="720"/>
        <w:rPr>
          <w:rFonts w:ascii="Times New Roman" w:hAnsi="Times New Roman"/>
          <w:highlight w:val="yellow"/>
        </w:rPr>
      </w:pPr>
    </w:p>
    <w:p w:rsidR="008927A5" w:rsidRPr="00AC7EA2" w:rsidRDefault="0094151D" w:rsidP="005F2016">
      <w:pPr>
        <w:ind w:left="720" w:right="432" w:hanging="720"/>
        <w:rPr>
          <w:rFonts w:ascii="Times New Roman" w:hAnsi="Times New Roman"/>
        </w:rPr>
      </w:pPr>
      <w:r w:rsidRPr="00AC7EA2">
        <w:rPr>
          <w:rFonts w:ascii="Times New Roman" w:hAnsi="Times New Roman"/>
        </w:rPr>
        <w:t xml:space="preserve">National Conference of State Legislatures. (2015). </w:t>
      </w:r>
      <w:r w:rsidRPr="00AC7EA2">
        <w:rPr>
          <w:rFonts w:ascii="Times New Roman" w:hAnsi="Times New Roman"/>
          <w:i/>
        </w:rPr>
        <w:t>2015 Minimum wages by state</w:t>
      </w:r>
      <w:r w:rsidRPr="00AC7EA2">
        <w:rPr>
          <w:rFonts w:ascii="Times New Roman" w:hAnsi="Times New Roman"/>
        </w:rPr>
        <w:t xml:space="preserve">. Accessed on July 5, 2015 from </w:t>
      </w:r>
      <w:hyperlink r:id="rId22" w:history="1">
        <w:r w:rsidRPr="00AC7EA2">
          <w:rPr>
            <w:rStyle w:val="Hyperlink"/>
            <w:rFonts w:ascii="Times New Roman" w:hAnsi="Times New Roman"/>
          </w:rPr>
          <w:t>http://www.ncsl.org/research/labor-and-employment/state-minimum-wage-chart.aspx</w:t>
        </w:r>
      </w:hyperlink>
      <w:r w:rsidRPr="00AC7EA2">
        <w:rPr>
          <w:rFonts w:ascii="Times New Roman" w:hAnsi="Times New Roman"/>
        </w:rPr>
        <w:t xml:space="preserve">. </w:t>
      </w:r>
    </w:p>
    <w:p w:rsidR="007439FC" w:rsidRPr="00AC7EA2" w:rsidRDefault="007439FC" w:rsidP="005F2016">
      <w:pPr>
        <w:ind w:left="720" w:right="432" w:hanging="720"/>
        <w:rPr>
          <w:rFonts w:ascii="Times New Roman" w:hAnsi="Times New Roman"/>
        </w:rPr>
      </w:pPr>
    </w:p>
    <w:p w:rsidR="007439FC" w:rsidRPr="00AC7EA2" w:rsidRDefault="007439FC" w:rsidP="005F2016">
      <w:pPr>
        <w:ind w:left="720" w:right="432" w:hanging="720"/>
        <w:rPr>
          <w:rFonts w:ascii="Times New Roman" w:hAnsi="Times New Roman"/>
        </w:rPr>
      </w:pPr>
      <w:r w:rsidRPr="00AC7EA2">
        <w:rPr>
          <w:rFonts w:ascii="Times New Roman" w:hAnsi="Times New Roman"/>
        </w:rPr>
        <w:t xml:space="preserve">Osborne, J. W. (2000). Advantages of hierarchical linear modeling. </w:t>
      </w:r>
      <w:r w:rsidRPr="00AC7EA2">
        <w:rPr>
          <w:rFonts w:ascii="Times New Roman" w:hAnsi="Times New Roman"/>
          <w:i/>
        </w:rPr>
        <w:t>Practical Assessment, Research &amp; Evaluation, 7</w:t>
      </w:r>
      <w:r w:rsidRPr="00AC7EA2">
        <w:rPr>
          <w:rFonts w:ascii="Times New Roman" w:hAnsi="Times New Roman"/>
        </w:rPr>
        <w:t xml:space="preserve">. </w:t>
      </w:r>
      <w:proofErr w:type="spellStart"/>
      <w:r w:rsidRPr="00AC7EA2">
        <w:rPr>
          <w:rFonts w:ascii="Times New Roman" w:hAnsi="Times New Roman"/>
        </w:rPr>
        <w:t>Accesed</w:t>
      </w:r>
      <w:proofErr w:type="spellEnd"/>
      <w:r w:rsidRPr="00AC7EA2">
        <w:rPr>
          <w:rFonts w:ascii="Times New Roman" w:hAnsi="Times New Roman"/>
        </w:rPr>
        <w:t xml:space="preserve"> on July 12, 2015 from </w:t>
      </w:r>
      <w:hyperlink r:id="rId23" w:history="1">
        <w:r w:rsidRPr="00AC7EA2">
          <w:rPr>
            <w:rStyle w:val="Hyperlink"/>
            <w:rFonts w:ascii="Times New Roman" w:hAnsi="Times New Roman"/>
          </w:rPr>
          <w:t>http://PAREonline.net/getvn.asp?v=7&amp;n=1</w:t>
        </w:r>
      </w:hyperlink>
      <w:r w:rsidRPr="00AC7EA2">
        <w:rPr>
          <w:rFonts w:ascii="Times New Roman" w:hAnsi="Times New Roman"/>
        </w:rPr>
        <w:t xml:space="preserve">. </w:t>
      </w:r>
    </w:p>
    <w:p w:rsidR="007439FC" w:rsidRPr="00AC7EA2" w:rsidRDefault="007439FC" w:rsidP="005F2016">
      <w:pPr>
        <w:ind w:left="720" w:right="432" w:hanging="720"/>
        <w:rPr>
          <w:rFonts w:ascii="Times New Roman" w:hAnsi="Times New Roman"/>
        </w:rPr>
      </w:pPr>
    </w:p>
    <w:p w:rsidR="007439FC" w:rsidRPr="00AC7EA2" w:rsidRDefault="007439FC" w:rsidP="005F2016">
      <w:pPr>
        <w:ind w:left="720" w:right="432" w:hanging="720"/>
        <w:rPr>
          <w:rFonts w:ascii="Times New Roman" w:hAnsi="Times New Roman"/>
        </w:rPr>
      </w:pPr>
      <w:proofErr w:type="spellStart"/>
      <w:r w:rsidRPr="00AC7EA2">
        <w:rPr>
          <w:rFonts w:ascii="Times New Roman" w:hAnsi="Times New Roman"/>
        </w:rPr>
        <w:t>Raudenbush</w:t>
      </w:r>
      <w:proofErr w:type="spellEnd"/>
      <w:r w:rsidRPr="00AC7EA2">
        <w:rPr>
          <w:rFonts w:ascii="Times New Roman" w:hAnsi="Times New Roman"/>
        </w:rPr>
        <w:t xml:space="preserve">, S. W. &amp; </w:t>
      </w:r>
      <w:proofErr w:type="spellStart"/>
      <w:r w:rsidRPr="00AC7EA2">
        <w:rPr>
          <w:rFonts w:ascii="Times New Roman" w:hAnsi="Times New Roman"/>
        </w:rPr>
        <w:t>Bryk</w:t>
      </w:r>
      <w:proofErr w:type="spellEnd"/>
      <w:r w:rsidRPr="00AC7EA2">
        <w:rPr>
          <w:rFonts w:ascii="Times New Roman" w:hAnsi="Times New Roman"/>
        </w:rPr>
        <w:t xml:space="preserve">, A. S. (2002). </w:t>
      </w:r>
      <w:r w:rsidRPr="00AC7EA2">
        <w:rPr>
          <w:rFonts w:ascii="Times New Roman" w:hAnsi="Times New Roman"/>
          <w:i/>
        </w:rPr>
        <w:t>Hierarchical linear models: Applications and data analysis methods</w:t>
      </w:r>
      <w:r w:rsidRPr="00AC7EA2">
        <w:rPr>
          <w:rFonts w:ascii="Times New Roman" w:hAnsi="Times New Roman"/>
        </w:rPr>
        <w:t xml:space="preserve"> (2</w:t>
      </w:r>
      <w:r w:rsidRPr="00AC7EA2">
        <w:rPr>
          <w:rFonts w:ascii="Times New Roman" w:hAnsi="Times New Roman"/>
          <w:vertAlign w:val="superscript"/>
        </w:rPr>
        <w:t>nd</w:t>
      </w:r>
      <w:r w:rsidRPr="00AC7EA2">
        <w:rPr>
          <w:rFonts w:ascii="Times New Roman" w:hAnsi="Times New Roman"/>
        </w:rPr>
        <w:t xml:space="preserve"> Edition). Thousand Oaks, CA: Sage Publications.</w:t>
      </w:r>
    </w:p>
    <w:p w:rsidR="00912136" w:rsidRPr="00AC7EA2" w:rsidRDefault="00912136" w:rsidP="005F2016">
      <w:pPr>
        <w:ind w:left="720" w:right="432" w:hanging="720"/>
        <w:rPr>
          <w:rFonts w:ascii="Times New Roman" w:hAnsi="Times New Roman"/>
        </w:rPr>
      </w:pPr>
    </w:p>
    <w:p w:rsidR="00912136" w:rsidRPr="00AC7EA2" w:rsidRDefault="00DC2CEA" w:rsidP="005F2016">
      <w:pPr>
        <w:ind w:left="720" w:right="432" w:hanging="720"/>
        <w:rPr>
          <w:rFonts w:ascii="Times New Roman" w:hAnsi="Times New Roman"/>
        </w:rPr>
      </w:pPr>
      <w:proofErr w:type="spellStart"/>
      <w:r w:rsidRPr="00AC7EA2">
        <w:rPr>
          <w:rFonts w:ascii="Times New Roman" w:hAnsi="Times New Roman"/>
        </w:rPr>
        <w:t>Rondinelli</w:t>
      </w:r>
      <w:proofErr w:type="spellEnd"/>
      <w:r w:rsidRPr="00AC7EA2">
        <w:rPr>
          <w:rFonts w:ascii="Times New Roman" w:hAnsi="Times New Roman"/>
        </w:rPr>
        <w:t xml:space="preserve">, A.J., Ouellet, L.J., </w:t>
      </w:r>
      <w:proofErr w:type="spellStart"/>
      <w:r w:rsidRPr="00AC7EA2">
        <w:rPr>
          <w:rFonts w:ascii="Times New Roman" w:hAnsi="Times New Roman"/>
        </w:rPr>
        <w:t>Strathdee</w:t>
      </w:r>
      <w:proofErr w:type="spellEnd"/>
      <w:r w:rsidRPr="00AC7EA2">
        <w:rPr>
          <w:rFonts w:ascii="Times New Roman" w:hAnsi="Times New Roman"/>
        </w:rPr>
        <w:t xml:space="preserve">, S.A., </w:t>
      </w:r>
      <w:proofErr w:type="spellStart"/>
      <w:r w:rsidRPr="00AC7EA2">
        <w:rPr>
          <w:rFonts w:ascii="Times New Roman" w:hAnsi="Times New Roman"/>
        </w:rPr>
        <w:t>Latka</w:t>
      </w:r>
      <w:proofErr w:type="spellEnd"/>
      <w:r w:rsidRPr="00AC7EA2">
        <w:rPr>
          <w:rFonts w:ascii="Times New Roman" w:hAnsi="Times New Roman"/>
        </w:rPr>
        <w:t xml:space="preserve">, M.H., Hudson, S.M., Hagan, H., &amp; </w:t>
      </w:r>
      <w:proofErr w:type="spellStart"/>
      <w:r w:rsidRPr="00AC7EA2">
        <w:rPr>
          <w:rFonts w:ascii="Times New Roman" w:hAnsi="Times New Roman"/>
        </w:rPr>
        <w:t>Garfein</w:t>
      </w:r>
      <w:proofErr w:type="spellEnd"/>
      <w:r w:rsidRPr="00AC7EA2">
        <w:rPr>
          <w:rFonts w:ascii="Times New Roman" w:hAnsi="Times New Roman"/>
        </w:rPr>
        <w:t xml:space="preserve">, R.S. (2009). Young adult injection drug users in the United States continue to practice HIV risk behaviors. </w:t>
      </w:r>
      <w:r w:rsidRPr="00AC7EA2">
        <w:rPr>
          <w:rFonts w:ascii="Times New Roman" w:hAnsi="Times New Roman"/>
          <w:i/>
        </w:rPr>
        <w:t>Drug and Alcohol Dependence, 104</w:t>
      </w:r>
      <w:r w:rsidRPr="00AC7EA2">
        <w:rPr>
          <w:rFonts w:ascii="Times New Roman" w:hAnsi="Times New Roman"/>
        </w:rPr>
        <w:t>, 167-74.</w:t>
      </w:r>
    </w:p>
    <w:p w:rsidR="0094151D" w:rsidRPr="00AC7EA2" w:rsidRDefault="0094151D" w:rsidP="005F2016">
      <w:pPr>
        <w:ind w:left="720" w:right="432" w:hanging="720"/>
        <w:rPr>
          <w:rFonts w:ascii="Times New Roman" w:hAnsi="Times New Roman"/>
          <w:highlight w:val="yellow"/>
        </w:rPr>
      </w:pPr>
    </w:p>
    <w:p w:rsidR="00D3593D" w:rsidRPr="00AC7EA2" w:rsidRDefault="00D3593D" w:rsidP="005F2016">
      <w:pPr>
        <w:ind w:left="720" w:right="72" w:hanging="720"/>
        <w:rPr>
          <w:rFonts w:ascii="Times New Roman" w:hAnsi="Times New Roman"/>
        </w:rPr>
      </w:pPr>
      <w:r w:rsidRPr="00AC7EA2">
        <w:rPr>
          <w:rFonts w:ascii="Times New Roman" w:hAnsi="Times New Roman"/>
        </w:rPr>
        <w:t xml:space="preserve">Straw, R.B. &amp; </w:t>
      </w:r>
      <w:proofErr w:type="spellStart"/>
      <w:r w:rsidRPr="00AC7EA2">
        <w:rPr>
          <w:rFonts w:ascii="Times New Roman" w:hAnsi="Times New Roman"/>
        </w:rPr>
        <w:t>Herrell</w:t>
      </w:r>
      <w:proofErr w:type="spellEnd"/>
      <w:r w:rsidRPr="00AC7EA2">
        <w:rPr>
          <w:rFonts w:ascii="Times New Roman" w:hAnsi="Times New Roman"/>
        </w:rPr>
        <w:t>, J. M. (2002).</w:t>
      </w:r>
      <w:r w:rsidRPr="00AC7EA2">
        <w:rPr>
          <w:rFonts w:ascii="Times New Roman" w:hAnsi="Times New Roman"/>
          <w:i/>
        </w:rPr>
        <w:t xml:space="preserve"> Conducting multiple site evaluations in real-world settings. </w:t>
      </w:r>
      <w:r w:rsidRPr="00AC7EA2">
        <w:rPr>
          <w:rFonts w:ascii="Times New Roman" w:hAnsi="Times New Roman"/>
        </w:rPr>
        <w:t xml:space="preserve">San Francisco, CA: </w:t>
      </w:r>
      <w:proofErr w:type="spellStart"/>
      <w:r w:rsidRPr="00AC7EA2">
        <w:rPr>
          <w:rFonts w:ascii="Times New Roman" w:hAnsi="Times New Roman"/>
        </w:rPr>
        <w:t>Jossey</w:t>
      </w:r>
      <w:proofErr w:type="spellEnd"/>
      <w:r w:rsidRPr="00AC7EA2">
        <w:rPr>
          <w:rFonts w:ascii="Times New Roman" w:hAnsi="Times New Roman"/>
        </w:rPr>
        <w:t>-Bass.</w:t>
      </w:r>
    </w:p>
    <w:p w:rsidR="00F360AF" w:rsidRPr="00AC7EA2" w:rsidRDefault="00F360AF" w:rsidP="005F2016">
      <w:pPr>
        <w:ind w:left="720" w:right="72" w:hanging="720"/>
        <w:rPr>
          <w:rFonts w:ascii="Times New Roman" w:hAnsi="Times New Roman"/>
        </w:rPr>
      </w:pPr>
    </w:p>
    <w:p w:rsidR="00DC2CEA" w:rsidRPr="00AC7EA2" w:rsidRDefault="00DC2CEA" w:rsidP="005F2016">
      <w:pPr>
        <w:ind w:left="720" w:right="72" w:hanging="720"/>
        <w:rPr>
          <w:rFonts w:ascii="Times New Roman" w:hAnsi="Times New Roman"/>
        </w:rPr>
      </w:pPr>
      <w:proofErr w:type="spellStart"/>
      <w:r w:rsidRPr="00AC7EA2">
        <w:rPr>
          <w:rFonts w:ascii="Times New Roman" w:hAnsi="Times New Roman"/>
        </w:rPr>
        <w:t>Terrault</w:t>
      </w:r>
      <w:proofErr w:type="spellEnd"/>
      <w:r w:rsidRPr="00AC7EA2">
        <w:rPr>
          <w:rFonts w:ascii="Times New Roman" w:hAnsi="Times New Roman"/>
        </w:rPr>
        <w:t xml:space="preserve"> , N.A. Sexual activity as a risk factor for hepatitis C. (2002). </w:t>
      </w:r>
      <w:proofErr w:type="spellStart"/>
      <w:r w:rsidRPr="00AC7EA2">
        <w:rPr>
          <w:rFonts w:ascii="Times New Roman" w:hAnsi="Times New Roman"/>
          <w:i/>
        </w:rPr>
        <w:t>Hepatology</w:t>
      </w:r>
      <w:proofErr w:type="spellEnd"/>
      <w:r w:rsidRPr="00AC7EA2">
        <w:rPr>
          <w:rFonts w:ascii="Times New Roman" w:hAnsi="Times New Roman"/>
          <w:i/>
        </w:rPr>
        <w:t>, Supplement 5B: Management of Hepatitis C, 36</w:t>
      </w:r>
      <w:r w:rsidRPr="00AC7EA2">
        <w:rPr>
          <w:rFonts w:ascii="Times New Roman" w:hAnsi="Times New Roman"/>
        </w:rPr>
        <w:t>, s99–s105</w:t>
      </w:r>
      <w:r w:rsidR="00D15B3B" w:rsidRPr="00AC7EA2">
        <w:rPr>
          <w:rFonts w:ascii="Times New Roman" w:hAnsi="Times New Roman"/>
        </w:rPr>
        <w:t>.</w:t>
      </w:r>
    </w:p>
    <w:p w:rsidR="00D15B3B" w:rsidRPr="00AC7EA2" w:rsidRDefault="00D15B3B" w:rsidP="005F2016">
      <w:pPr>
        <w:ind w:left="720" w:right="72" w:hanging="720"/>
        <w:rPr>
          <w:rFonts w:ascii="Times New Roman" w:hAnsi="Times New Roman"/>
        </w:rPr>
      </w:pPr>
    </w:p>
    <w:p w:rsidR="00F360AF" w:rsidRPr="00AC7EA2" w:rsidRDefault="00F360AF" w:rsidP="005F2016">
      <w:pPr>
        <w:ind w:left="720" w:right="72" w:hanging="720"/>
        <w:rPr>
          <w:rFonts w:ascii="Times New Roman" w:hAnsi="Times New Roman"/>
        </w:rPr>
      </w:pPr>
      <w:r w:rsidRPr="00AC7EA2">
        <w:rPr>
          <w:rFonts w:ascii="Times New Roman" w:hAnsi="Times New Roman"/>
        </w:rPr>
        <w:t xml:space="preserve">Wang, M.Q., Matthew, R.F., Chiu, Y.-W., Yan, F., &amp; Bellamy, N.D. (2007). Latent model analysis of substance use and HIV risk behaviors among high-risk minority adults.  </w:t>
      </w:r>
      <w:r w:rsidRPr="00AC7EA2">
        <w:rPr>
          <w:rFonts w:ascii="Times New Roman" w:hAnsi="Times New Roman"/>
          <w:i/>
        </w:rPr>
        <w:t>Journal of Alcohol &amp; Drug Education, 51</w:t>
      </w:r>
      <w:r w:rsidRPr="00AC7EA2">
        <w:rPr>
          <w:rFonts w:ascii="Times New Roman" w:hAnsi="Times New Roman"/>
        </w:rPr>
        <w:t>, 35 – 64.</w:t>
      </w:r>
    </w:p>
    <w:p w:rsidR="00D3593D" w:rsidRPr="00AC7EA2" w:rsidRDefault="00D3593D" w:rsidP="005F2016">
      <w:pPr>
        <w:rPr>
          <w:rFonts w:ascii="Times New Roman" w:hAnsi="Times New Roman"/>
        </w:rPr>
      </w:pPr>
    </w:p>
    <w:p w:rsidR="00E6794C" w:rsidRPr="00AC7EA2" w:rsidRDefault="00E6794C" w:rsidP="005F2016">
      <w:pPr>
        <w:ind w:left="720" w:right="216" w:hanging="720"/>
        <w:rPr>
          <w:rFonts w:ascii="Times New Roman" w:hAnsi="Times New Roman"/>
          <w:highlight w:val="yellow"/>
        </w:rPr>
      </w:pPr>
      <w:r w:rsidRPr="00AC7EA2">
        <w:rPr>
          <w:rFonts w:ascii="Times New Roman" w:hAnsi="Times New Roman"/>
        </w:rPr>
        <w:t xml:space="preserve">Wilcoxon, F. (1945). Individual comparisons by ranking methods. </w:t>
      </w:r>
      <w:r w:rsidRPr="00AC7EA2">
        <w:rPr>
          <w:rFonts w:ascii="Times New Roman" w:hAnsi="Times New Roman"/>
          <w:i/>
        </w:rPr>
        <w:t>Biometrics Bulletin 1</w:t>
      </w:r>
      <w:r w:rsidRPr="00AC7EA2">
        <w:rPr>
          <w:rFonts w:ascii="Times New Roman" w:hAnsi="Times New Roman"/>
        </w:rPr>
        <w:t>, 80–83.</w:t>
      </w:r>
    </w:p>
    <w:p w:rsidR="001F1478" w:rsidRPr="00AC7EA2" w:rsidRDefault="001F1478" w:rsidP="005F2016">
      <w:pPr>
        <w:ind w:left="720" w:right="144" w:hanging="720"/>
        <w:rPr>
          <w:rFonts w:ascii="Times New Roman" w:hAnsi="Times New Roman"/>
          <w:highlight w:val="yellow"/>
        </w:rPr>
      </w:pPr>
    </w:p>
    <w:p w:rsidR="00F75880" w:rsidRPr="00AC7EA2" w:rsidRDefault="007B702A" w:rsidP="00AC7EA2">
      <w:pPr>
        <w:ind w:left="720" w:right="216" w:hanging="720"/>
        <w:rPr>
          <w:rFonts w:ascii="Times New Roman" w:hAnsi="Times New Roman"/>
        </w:rPr>
      </w:pPr>
      <w:r w:rsidRPr="00AC7EA2">
        <w:rPr>
          <w:rFonts w:ascii="Times New Roman" w:hAnsi="Times New Roman"/>
        </w:rPr>
        <w:t xml:space="preserve">Yang, Z., Sun, X., Hardin, J.W. (2010). A note on the tests for clustered matched-pair binary data". </w:t>
      </w:r>
      <w:r w:rsidRPr="00AC7EA2">
        <w:rPr>
          <w:rFonts w:ascii="Times New Roman" w:hAnsi="Times New Roman"/>
          <w:i/>
        </w:rPr>
        <w:t>Biometrical Journal</w:t>
      </w:r>
      <w:r w:rsidRPr="00AC7EA2">
        <w:rPr>
          <w:rFonts w:ascii="Times New Roman" w:hAnsi="Times New Roman"/>
        </w:rPr>
        <w:t xml:space="preserve">, </w:t>
      </w:r>
      <w:r w:rsidRPr="00AC7EA2">
        <w:rPr>
          <w:rFonts w:ascii="Times New Roman" w:hAnsi="Times New Roman"/>
          <w:i/>
        </w:rPr>
        <w:t>52</w:t>
      </w:r>
      <w:r w:rsidRPr="00AC7EA2">
        <w:rPr>
          <w:rFonts w:ascii="Times New Roman" w:hAnsi="Times New Roman"/>
        </w:rPr>
        <w:t>, 638–652</w:t>
      </w:r>
    </w:p>
    <w:sectPr w:rsidR="00F75880" w:rsidRPr="00AC7EA2" w:rsidSect="0088515F">
      <w:headerReference w:type="even" r:id="rId24"/>
      <w:headerReference w:type="default" r:id="rId25"/>
      <w:footerReference w:type="even" r:id="rId26"/>
      <w:footerReference w:type="default" r:id="rId27"/>
      <w:endnotePr>
        <w:numFmt w:val="lowerLetter"/>
      </w:endnotePr>
      <w:pgSz w:w="12240" w:h="15840" w:code="1"/>
      <w:pgMar w:top="1440" w:right="1440" w:bottom="1440" w:left="1440" w:header="864"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06" w:rsidRDefault="00B45B06">
      <w:r>
        <w:separator/>
      </w:r>
    </w:p>
  </w:endnote>
  <w:endnote w:type="continuationSeparator" w:id="0">
    <w:p w:rsidR="00B45B06" w:rsidRDefault="00B4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3075"/>
      <w:docPartObj>
        <w:docPartGallery w:val="Page Numbers (Bottom of Page)"/>
        <w:docPartUnique/>
      </w:docPartObj>
    </w:sdtPr>
    <w:sdtEndPr>
      <w:rPr>
        <w:noProof/>
      </w:rPr>
    </w:sdtEndPr>
    <w:sdtContent>
      <w:p w:rsidR="00DF7AEC" w:rsidRDefault="00DF7AEC">
        <w:pPr>
          <w:pStyle w:val="Footer"/>
          <w:jc w:val="center"/>
        </w:pPr>
        <w:r>
          <w:fldChar w:fldCharType="begin"/>
        </w:r>
        <w:r>
          <w:instrText xml:space="preserve"> PAGE   \* MERGEFORMAT </w:instrText>
        </w:r>
        <w:r>
          <w:fldChar w:fldCharType="separate"/>
        </w:r>
        <w:r w:rsidR="00B913CD">
          <w:rPr>
            <w:noProof/>
          </w:rPr>
          <w:t>2</w:t>
        </w:r>
        <w:r>
          <w:rPr>
            <w:noProof/>
          </w:rPr>
          <w:fldChar w:fldCharType="end"/>
        </w:r>
      </w:p>
    </w:sdtContent>
  </w:sdt>
  <w:p w:rsidR="00DF7AEC" w:rsidRDefault="00DF7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987990"/>
      <w:docPartObj>
        <w:docPartGallery w:val="Page Numbers (Bottom of Page)"/>
        <w:docPartUnique/>
      </w:docPartObj>
    </w:sdtPr>
    <w:sdtEndPr>
      <w:rPr>
        <w:noProof/>
      </w:rPr>
    </w:sdtEndPr>
    <w:sdtContent>
      <w:p w:rsidR="00DF7AEC" w:rsidRDefault="00DF7AEC">
        <w:pPr>
          <w:pStyle w:val="Footer"/>
          <w:jc w:val="center"/>
        </w:pPr>
        <w:r>
          <w:fldChar w:fldCharType="begin"/>
        </w:r>
        <w:r>
          <w:instrText xml:space="preserve"> PAGE   \* MERGEFORMAT </w:instrText>
        </w:r>
        <w:r>
          <w:fldChar w:fldCharType="separate"/>
        </w:r>
        <w:r w:rsidR="00B913C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Default="00DF7AEC" w:rsidP="008C299A">
    <w:pPr>
      <w:pStyle w:val="DocumentFooter-EvenPage"/>
    </w:pPr>
    <w:r>
      <w:fldChar w:fldCharType="begin"/>
    </w:r>
    <w:r>
      <w:instrText xml:space="preserve"> PAGE   \* MERGEFORMAT </w:instrText>
    </w:r>
    <w:r>
      <w:fldChar w:fldCharType="separate"/>
    </w:r>
    <w:r>
      <w:rPr>
        <w:noProof/>
      </w:rPr>
      <w:t>56</w:t>
    </w:r>
    <w:r>
      <w:rPr>
        <w:noProof/>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770056"/>
      <w:docPartObj>
        <w:docPartGallery w:val="Page Numbers (Bottom of Page)"/>
        <w:docPartUnique/>
      </w:docPartObj>
    </w:sdtPr>
    <w:sdtEndPr>
      <w:rPr>
        <w:noProof/>
      </w:rPr>
    </w:sdtEndPr>
    <w:sdtContent>
      <w:p w:rsidR="00DF7AEC" w:rsidRDefault="00DF7AEC">
        <w:pPr>
          <w:pStyle w:val="Footer"/>
          <w:jc w:val="center"/>
        </w:pPr>
        <w:r>
          <w:fldChar w:fldCharType="begin"/>
        </w:r>
        <w:r>
          <w:instrText xml:space="preserve"> PAGE   \* MERGEFORMAT </w:instrText>
        </w:r>
        <w:r>
          <w:fldChar w:fldCharType="separate"/>
        </w:r>
        <w:r w:rsidR="00B913CD">
          <w:rPr>
            <w:noProof/>
          </w:rPr>
          <w:t>6</w:t>
        </w:r>
        <w:r>
          <w:rPr>
            <w:noProof/>
          </w:rPr>
          <w:fldChar w:fldCharType="end"/>
        </w:r>
      </w:p>
    </w:sdtContent>
  </w:sdt>
  <w:p w:rsidR="00DF7AEC" w:rsidRPr="006D4487" w:rsidRDefault="00DF7AEC" w:rsidP="008C299A">
    <w:pPr>
      <w:pStyle w:val="DocumentFooter-Odd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Default="00DF7AEC" w:rsidP="008C299A">
    <w:pPr>
      <w:pStyle w:val="DocumentFooter-OddPage"/>
    </w:pPr>
    <w:r>
      <w:fldChar w:fldCharType="begin"/>
    </w:r>
    <w:r>
      <w:instrText xml:space="preserve"> PAGE   \* MERGEFORMAT </w:instrText>
    </w:r>
    <w:r>
      <w:fldChar w:fldCharType="separate"/>
    </w:r>
    <w:r>
      <w:rPr>
        <w:noProof/>
      </w:rPr>
      <w:t>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Default="00DF7AE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56523"/>
      <w:docPartObj>
        <w:docPartGallery w:val="Page Numbers (Bottom of Page)"/>
        <w:docPartUnique/>
      </w:docPartObj>
    </w:sdtPr>
    <w:sdtEndPr>
      <w:rPr>
        <w:noProof/>
      </w:rPr>
    </w:sdtEndPr>
    <w:sdtContent>
      <w:p w:rsidR="00DF7AEC" w:rsidRDefault="00DF7AEC">
        <w:pPr>
          <w:pStyle w:val="Footer"/>
          <w:jc w:val="center"/>
        </w:pPr>
        <w:r>
          <w:fldChar w:fldCharType="begin"/>
        </w:r>
        <w:r>
          <w:instrText xml:space="preserve"> PAGE   \* MERGEFORMAT </w:instrText>
        </w:r>
        <w:r>
          <w:fldChar w:fldCharType="separate"/>
        </w:r>
        <w:r w:rsidR="00B913CD">
          <w:rPr>
            <w:noProof/>
          </w:rPr>
          <w:t>8</w:t>
        </w:r>
        <w:r>
          <w:rPr>
            <w:noProof/>
          </w:rPr>
          <w:fldChar w:fldCharType="end"/>
        </w:r>
      </w:p>
    </w:sdtContent>
  </w:sdt>
  <w:p w:rsidR="00DF7AEC" w:rsidRDefault="00DF7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06" w:rsidRDefault="00B45B06">
      <w:r>
        <w:separator/>
      </w:r>
    </w:p>
  </w:footnote>
  <w:footnote w:type="continuationSeparator" w:id="0">
    <w:p w:rsidR="00B45B06" w:rsidRDefault="00B45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Pr="00DE258B" w:rsidRDefault="00DF7AEC" w:rsidP="008C299A">
    <w:pPr>
      <w:pStyle w:val="DocumentHeader-EvenPage"/>
    </w:pPr>
    <w:r w:rsidRPr="00F347D7">
      <w:t>H</w:t>
    </w:r>
    <w:r>
      <w:t>IV Cross-Site Evaluation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Pr="00A96F16" w:rsidRDefault="00DF7AEC" w:rsidP="00A96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Default="00DF7AEC" w:rsidP="008C299A">
    <w:pPr>
      <w:pStyle w:val="DocumentHeader-OddPage"/>
    </w:pPr>
    <w:r w:rsidRPr="00F347D7">
      <w:t>HIV Cross-Site Ev</w:t>
    </w:r>
    <w:r>
      <w:t>aluation Report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Default="00DF7A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EC" w:rsidRDefault="00DF7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634CC2DC"/>
    <w:lvl w:ilvl="0">
      <w:start w:val="1"/>
      <w:numFmt w:val="bullet"/>
      <w:lvlText w:val=""/>
      <w:lvlJc w:val="left"/>
      <w:pPr>
        <w:tabs>
          <w:tab w:val="num" w:pos="360"/>
        </w:tabs>
        <w:ind w:left="360" w:hanging="360"/>
      </w:pPr>
      <w:rPr>
        <w:rFonts w:ascii="Symbol" w:hAnsi="Symbol" w:hint="default"/>
      </w:rPr>
    </w:lvl>
  </w:abstractNum>
  <w:abstractNum w:abstractNumId="2">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D143A"/>
    <w:multiLevelType w:val="hybridMultilevel"/>
    <w:tmpl w:val="CCC08582"/>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5">
    <w:nsid w:val="290D1CB1"/>
    <w:multiLevelType w:val="hybridMultilevel"/>
    <w:tmpl w:val="F3D0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E148F"/>
    <w:multiLevelType w:val="hybridMultilevel"/>
    <w:tmpl w:val="853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1">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14">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10"/>
  </w:num>
  <w:num w:numId="5">
    <w:abstractNumId w:val="0"/>
  </w:num>
  <w:num w:numId="6">
    <w:abstractNumId w:val="12"/>
  </w:num>
  <w:num w:numId="7">
    <w:abstractNumId w:val="14"/>
  </w:num>
  <w:num w:numId="8">
    <w:abstractNumId w:val="9"/>
  </w:num>
  <w:num w:numId="9">
    <w:abstractNumId w:val="8"/>
  </w:num>
  <w:num w:numId="10">
    <w:abstractNumId w:val="2"/>
  </w:num>
  <w:num w:numId="11">
    <w:abstractNumId w:val="7"/>
  </w:num>
  <w:num w:numId="12">
    <w:abstractNumId w:val="15"/>
  </w:num>
  <w:num w:numId="13">
    <w:abstractNumId w:val="11"/>
  </w:num>
  <w:num w:numId="14">
    <w:abstractNumId w:val="3"/>
  </w:num>
  <w:num w:numId="15">
    <w:abstractNumId w:val="6"/>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08"/>
    <w:rsid w:val="0000344D"/>
    <w:rsid w:val="00004F09"/>
    <w:rsid w:val="00011448"/>
    <w:rsid w:val="00011E87"/>
    <w:rsid w:val="00013394"/>
    <w:rsid w:val="000146CC"/>
    <w:rsid w:val="00017223"/>
    <w:rsid w:val="00020B22"/>
    <w:rsid w:val="0002210B"/>
    <w:rsid w:val="00023CB4"/>
    <w:rsid w:val="0002401E"/>
    <w:rsid w:val="000240B5"/>
    <w:rsid w:val="0002437B"/>
    <w:rsid w:val="00030DFD"/>
    <w:rsid w:val="00031E3B"/>
    <w:rsid w:val="00032379"/>
    <w:rsid w:val="00033807"/>
    <w:rsid w:val="00035050"/>
    <w:rsid w:val="0003550A"/>
    <w:rsid w:val="00040BF2"/>
    <w:rsid w:val="00042D01"/>
    <w:rsid w:val="000434E2"/>
    <w:rsid w:val="000458BA"/>
    <w:rsid w:val="000509DF"/>
    <w:rsid w:val="00051A2D"/>
    <w:rsid w:val="00052DD1"/>
    <w:rsid w:val="0005361A"/>
    <w:rsid w:val="00053B46"/>
    <w:rsid w:val="00053BC2"/>
    <w:rsid w:val="00055098"/>
    <w:rsid w:val="00055F61"/>
    <w:rsid w:val="00056325"/>
    <w:rsid w:val="000569EB"/>
    <w:rsid w:val="00057C4A"/>
    <w:rsid w:val="00057D4F"/>
    <w:rsid w:val="00060A04"/>
    <w:rsid w:val="00060C53"/>
    <w:rsid w:val="000620CD"/>
    <w:rsid w:val="00062182"/>
    <w:rsid w:val="000647CD"/>
    <w:rsid w:val="000666DD"/>
    <w:rsid w:val="00070BF2"/>
    <w:rsid w:val="000719AA"/>
    <w:rsid w:val="00072516"/>
    <w:rsid w:val="00072859"/>
    <w:rsid w:val="00073E22"/>
    <w:rsid w:val="000744B8"/>
    <w:rsid w:val="000749C8"/>
    <w:rsid w:val="00077A02"/>
    <w:rsid w:val="00080CF5"/>
    <w:rsid w:val="000810C6"/>
    <w:rsid w:val="00086739"/>
    <w:rsid w:val="00086B40"/>
    <w:rsid w:val="00090A67"/>
    <w:rsid w:val="000910DF"/>
    <w:rsid w:val="00091B61"/>
    <w:rsid w:val="00092DF9"/>
    <w:rsid w:val="00093E80"/>
    <w:rsid w:val="00097591"/>
    <w:rsid w:val="00097732"/>
    <w:rsid w:val="000A0CAC"/>
    <w:rsid w:val="000A108A"/>
    <w:rsid w:val="000A1B0C"/>
    <w:rsid w:val="000A5302"/>
    <w:rsid w:val="000A57CE"/>
    <w:rsid w:val="000A6816"/>
    <w:rsid w:val="000A6D6F"/>
    <w:rsid w:val="000B74AC"/>
    <w:rsid w:val="000C1EBA"/>
    <w:rsid w:val="000C34A8"/>
    <w:rsid w:val="000C4365"/>
    <w:rsid w:val="000C4EC8"/>
    <w:rsid w:val="000D2FB6"/>
    <w:rsid w:val="000E0F43"/>
    <w:rsid w:val="000E24E4"/>
    <w:rsid w:val="000E59CD"/>
    <w:rsid w:val="000E6424"/>
    <w:rsid w:val="000E68EA"/>
    <w:rsid w:val="000E7E1B"/>
    <w:rsid w:val="000E7F52"/>
    <w:rsid w:val="000F0245"/>
    <w:rsid w:val="000F0301"/>
    <w:rsid w:val="000F105C"/>
    <w:rsid w:val="000F1914"/>
    <w:rsid w:val="000F1B01"/>
    <w:rsid w:val="000F4496"/>
    <w:rsid w:val="000F7698"/>
    <w:rsid w:val="00100A32"/>
    <w:rsid w:val="001075EF"/>
    <w:rsid w:val="00107897"/>
    <w:rsid w:val="00110B0F"/>
    <w:rsid w:val="00112CBF"/>
    <w:rsid w:val="00115576"/>
    <w:rsid w:val="00116837"/>
    <w:rsid w:val="00116CFA"/>
    <w:rsid w:val="001213F2"/>
    <w:rsid w:val="00125067"/>
    <w:rsid w:val="0012535E"/>
    <w:rsid w:val="00125D9D"/>
    <w:rsid w:val="001275A4"/>
    <w:rsid w:val="00130378"/>
    <w:rsid w:val="00130F01"/>
    <w:rsid w:val="00130FE1"/>
    <w:rsid w:val="00131A31"/>
    <w:rsid w:val="00136374"/>
    <w:rsid w:val="00137D46"/>
    <w:rsid w:val="001401C6"/>
    <w:rsid w:val="00141734"/>
    <w:rsid w:val="00143166"/>
    <w:rsid w:val="00144167"/>
    <w:rsid w:val="0014468A"/>
    <w:rsid w:val="00145B4C"/>
    <w:rsid w:val="00150E30"/>
    <w:rsid w:val="0015328D"/>
    <w:rsid w:val="00155EC2"/>
    <w:rsid w:val="00160476"/>
    <w:rsid w:val="0016207D"/>
    <w:rsid w:val="00162C23"/>
    <w:rsid w:val="00166B0B"/>
    <w:rsid w:val="00171160"/>
    <w:rsid w:val="00172736"/>
    <w:rsid w:val="00173F11"/>
    <w:rsid w:val="00182EF3"/>
    <w:rsid w:val="0018465B"/>
    <w:rsid w:val="00184FC1"/>
    <w:rsid w:val="00185053"/>
    <w:rsid w:val="0019033B"/>
    <w:rsid w:val="001922E7"/>
    <w:rsid w:val="0019303E"/>
    <w:rsid w:val="00193B0B"/>
    <w:rsid w:val="0019541B"/>
    <w:rsid w:val="00195C64"/>
    <w:rsid w:val="00196361"/>
    <w:rsid w:val="001A1ECA"/>
    <w:rsid w:val="001A2863"/>
    <w:rsid w:val="001A368B"/>
    <w:rsid w:val="001A3730"/>
    <w:rsid w:val="001A4016"/>
    <w:rsid w:val="001A41A2"/>
    <w:rsid w:val="001A4E71"/>
    <w:rsid w:val="001B0C3F"/>
    <w:rsid w:val="001B1801"/>
    <w:rsid w:val="001B6B67"/>
    <w:rsid w:val="001B6DAD"/>
    <w:rsid w:val="001B6E35"/>
    <w:rsid w:val="001C3247"/>
    <w:rsid w:val="001C473B"/>
    <w:rsid w:val="001D0C17"/>
    <w:rsid w:val="001D172F"/>
    <w:rsid w:val="001D17FA"/>
    <w:rsid w:val="001D2EFD"/>
    <w:rsid w:val="001D4006"/>
    <w:rsid w:val="001D42D8"/>
    <w:rsid w:val="001D5427"/>
    <w:rsid w:val="001D6E2E"/>
    <w:rsid w:val="001D75D0"/>
    <w:rsid w:val="001E7C96"/>
    <w:rsid w:val="001F1478"/>
    <w:rsid w:val="001F32EC"/>
    <w:rsid w:val="001F558B"/>
    <w:rsid w:val="001F7601"/>
    <w:rsid w:val="001F7DF4"/>
    <w:rsid w:val="002022F6"/>
    <w:rsid w:val="00205056"/>
    <w:rsid w:val="00206213"/>
    <w:rsid w:val="00206295"/>
    <w:rsid w:val="002064CF"/>
    <w:rsid w:val="0020668F"/>
    <w:rsid w:val="0021015A"/>
    <w:rsid w:val="00214E5C"/>
    <w:rsid w:val="00216ED6"/>
    <w:rsid w:val="00216F05"/>
    <w:rsid w:val="002174A5"/>
    <w:rsid w:val="00222A02"/>
    <w:rsid w:val="002248CD"/>
    <w:rsid w:val="002275A3"/>
    <w:rsid w:val="002346CF"/>
    <w:rsid w:val="00234BFF"/>
    <w:rsid w:val="00235B3C"/>
    <w:rsid w:val="00236725"/>
    <w:rsid w:val="00237930"/>
    <w:rsid w:val="0024000C"/>
    <w:rsid w:val="002410AF"/>
    <w:rsid w:val="002417E0"/>
    <w:rsid w:val="002502EC"/>
    <w:rsid w:val="00252033"/>
    <w:rsid w:val="00252C97"/>
    <w:rsid w:val="002535DD"/>
    <w:rsid w:val="0025392D"/>
    <w:rsid w:val="00256A4E"/>
    <w:rsid w:val="00263092"/>
    <w:rsid w:val="00266BD4"/>
    <w:rsid w:val="002671EE"/>
    <w:rsid w:val="00267ED6"/>
    <w:rsid w:val="00272EDD"/>
    <w:rsid w:val="00276ABB"/>
    <w:rsid w:val="00277829"/>
    <w:rsid w:val="002831DB"/>
    <w:rsid w:val="00285AAC"/>
    <w:rsid w:val="002865B4"/>
    <w:rsid w:val="00286FDA"/>
    <w:rsid w:val="00287FD2"/>
    <w:rsid w:val="00292A29"/>
    <w:rsid w:val="00292F2E"/>
    <w:rsid w:val="00293E3E"/>
    <w:rsid w:val="00293F61"/>
    <w:rsid w:val="00295B35"/>
    <w:rsid w:val="002963A9"/>
    <w:rsid w:val="00296CA8"/>
    <w:rsid w:val="002971D9"/>
    <w:rsid w:val="002972AF"/>
    <w:rsid w:val="00297343"/>
    <w:rsid w:val="00297ACB"/>
    <w:rsid w:val="00297C00"/>
    <w:rsid w:val="00297DB2"/>
    <w:rsid w:val="002A117A"/>
    <w:rsid w:val="002A27DE"/>
    <w:rsid w:val="002A4ED2"/>
    <w:rsid w:val="002A574A"/>
    <w:rsid w:val="002B2D04"/>
    <w:rsid w:val="002B52F2"/>
    <w:rsid w:val="002B7143"/>
    <w:rsid w:val="002B720D"/>
    <w:rsid w:val="002C06C2"/>
    <w:rsid w:val="002C1265"/>
    <w:rsid w:val="002C15D1"/>
    <w:rsid w:val="002C19F1"/>
    <w:rsid w:val="002C40BE"/>
    <w:rsid w:val="002C4848"/>
    <w:rsid w:val="002C601B"/>
    <w:rsid w:val="002C6D4A"/>
    <w:rsid w:val="002D0D5E"/>
    <w:rsid w:val="002D3E7D"/>
    <w:rsid w:val="002D3FAE"/>
    <w:rsid w:val="002D46A6"/>
    <w:rsid w:val="002D4AE4"/>
    <w:rsid w:val="002D5CA6"/>
    <w:rsid w:val="002D5E10"/>
    <w:rsid w:val="002E0220"/>
    <w:rsid w:val="002E0F33"/>
    <w:rsid w:val="002E15E8"/>
    <w:rsid w:val="002E74FC"/>
    <w:rsid w:val="002F01A9"/>
    <w:rsid w:val="002F0874"/>
    <w:rsid w:val="002F4A71"/>
    <w:rsid w:val="002F4F16"/>
    <w:rsid w:val="002F6644"/>
    <w:rsid w:val="002F6BE4"/>
    <w:rsid w:val="002F7D3B"/>
    <w:rsid w:val="002F7FE7"/>
    <w:rsid w:val="0030087C"/>
    <w:rsid w:val="00300908"/>
    <w:rsid w:val="00300949"/>
    <w:rsid w:val="003033F4"/>
    <w:rsid w:val="00311D28"/>
    <w:rsid w:val="00313315"/>
    <w:rsid w:val="003135BE"/>
    <w:rsid w:val="00313F8B"/>
    <w:rsid w:val="00314AFE"/>
    <w:rsid w:val="003152BE"/>
    <w:rsid w:val="00315832"/>
    <w:rsid w:val="00316328"/>
    <w:rsid w:val="0031783E"/>
    <w:rsid w:val="003203FE"/>
    <w:rsid w:val="00320484"/>
    <w:rsid w:val="00320CE6"/>
    <w:rsid w:val="0032118D"/>
    <w:rsid w:val="00321312"/>
    <w:rsid w:val="00322B45"/>
    <w:rsid w:val="00323A5B"/>
    <w:rsid w:val="00324350"/>
    <w:rsid w:val="003256E4"/>
    <w:rsid w:val="003258F1"/>
    <w:rsid w:val="003266A0"/>
    <w:rsid w:val="00327151"/>
    <w:rsid w:val="0033050B"/>
    <w:rsid w:val="00332194"/>
    <w:rsid w:val="00333349"/>
    <w:rsid w:val="00336DE4"/>
    <w:rsid w:val="00340635"/>
    <w:rsid w:val="00340D76"/>
    <w:rsid w:val="0034154A"/>
    <w:rsid w:val="003416AD"/>
    <w:rsid w:val="00343A9D"/>
    <w:rsid w:val="00345F54"/>
    <w:rsid w:val="00350AC3"/>
    <w:rsid w:val="00354E3E"/>
    <w:rsid w:val="00355901"/>
    <w:rsid w:val="00355D3E"/>
    <w:rsid w:val="0035700F"/>
    <w:rsid w:val="003578A3"/>
    <w:rsid w:val="00362CAE"/>
    <w:rsid w:val="003641AB"/>
    <w:rsid w:val="00364952"/>
    <w:rsid w:val="00365821"/>
    <w:rsid w:val="00366915"/>
    <w:rsid w:val="00367FA3"/>
    <w:rsid w:val="00371F0E"/>
    <w:rsid w:val="003720D1"/>
    <w:rsid w:val="003748C0"/>
    <w:rsid w:val="003750F2"/>
    <w:rsid w:val="003752DE"/>
    <w:rsid w:val="003774D3"/>
    <w:rsid w:val="00380AFE"/>
    <w:rsid w:val="003813D9"/>
    <w:rsid w:val="003824FE"/>
    <w:rsid w:val="00383918"/>
    <w:rsid w:val="00384760"/>
    <w:rsid w:val="00385496"/>
    <w:rsid w:val="00391C53"/>
    <w:rsid w:val="00394645"/>
    <w:rsid w:val="003949C7"/>
    <w:rsid w:val="00394F53"/>
    <w:rsid w:val="0039617D"/>
    <w:rsid w:val="0039630E"/>
    <w:rsid w:val="00397CE1"/>
    <w:rsid w:val="003A04F3"/>
    <w:rsid w:val="003A0F6C"/>
    <w:rsid w:val="003A2E19"/>
    <w:rsid w:val="003A5836"/>
    <w:rsid w:val="003A72F9"/>
    <w:rsid w:val="003B11A6"/>
    <w:rsid w:val="003B1872"/>
    <w:rsid w:val="003B1878"/>
    <w:rsid w:val="003B6D1E"/>
    <w:rsid w:val="003B7576"/>
    <w:rsid w:val="003B7DA0"/>
    <w:rsid w:val="003C11C8"/>
    <w:rsid w:val="003C1E07"/>
    <w:rsid w:val="003C4122"/>
    <w:rsid w:val="003C5CBC"/>
    <w:rsid w:val="003D0357"/>
    <w:rsid w:val="003D0F01"/>
    <w:rsid w:val="003D16B5"/>
    <w:rsid w:val="003D28DB"/>
    <w:rsid w:val="003D35F1"/>
    <w:rsid w:val="003D4EDA"/>
    <w:rsid w:val="003D614B"/>
    <w:rsid w:val="003D63BB"/>
    <w:rsid w:val="003D644D"/>
    <w:rsid w:val="003D766C"/>
    <w:rsid w:val="003E0B81"/>
    <w:rsid w:val="003E1457"/>
    <w:rsid w:val="003E1C80"/>
    <w:rsid w:val="003E3792"/>
    <w:rsid w:val="003E4464"/>
    <w:rsid w:val="003E4FEF"/>
    <w:rsid w:val="003E58C4"/>
    <w:rsid w:val="003E64FD"/>
    <w:rsid w:val="003E6C52"/>
    <w:rsid w:val="003E7F15"/>
    <w:rsid w:val="003F1E50"/>
    <w:rsid w:val="003F3137"/>
    <w:rsid w:val="003F3D87"/>
    <w:rsid w:val="003F471E"/>
    <w:rsid w:val="003F4D38"/>
    <w:rsid w:val="003F591B"/>
    <w:rsid w:val="003F78F4"/>
    <w:rsid w:val="00400715"/>
    <w:rsid w:val="00402840"/>
    <w:rsid w:val="00405735"/>
    <w:rsid w:val="00406D27"/>
    <w:rsid w:val="004101CD"/>
    <w:rsid w:val="00411D37"/>
    <w:rsid w:val="0041377E"/>
    <w:rsid w:val="00420710"/>
    <w:rsid w:val="00420959"/>
    <w:rsid w:val="004210C1"/>
    <w:rsid w:val="004212C8"/>
    <w:rsid w:val="00422597"/>
    <w:rsid w:val="004249FE"/>
    <w:rsid w:val="00424E9E"/>
    <w:rsid w:val="00425297"/>
    <w:rsid w:val="00427C60"/>
    <w:rsid w:val="00431966"/>
    <w:rsid w:val="0043499D"/>
    <w:rsid w:val="00435446"/>
    <w:rsid w:val="00435BD9"/>
    <w:rsid w:val="00437A61"/>
    <w:rsid w:val="004437A8"/>
    <w:rsid w:val="004453FD"/>
    <w:rsid w:val="0045066D"/>
    <w:rsid w:val="004520ED"/>
    <w:rsid w:val="00455687"/>
    <w:rsid w:val="004611B4"/>
    <w:rsid w:val="004618A4"/>
    <w:rsid w:val="00464ADF"/>
    <w:rsid w:val="004654C5"/>
    <w:rsid w:val="0046585D"/>
    <w:rsid w:val="00471C9E"/>
    <w:rsid w:val="0047289C"/>
    <w:rsid w:val="00476691"/>
    <w:rsid w:val="0048105B"/>
    <w:rsid w:val="0048455E"/>
    <w:rsid w:val="00486632"/>
    <w:rsid w:val="00490AD9"/>
    <w:rsid w:val="00491428"/>
    <w:rsid w:val="00492F78"/>
    <w:rsid w:val="004949F6"/>
    <w:rsid w:val="004951F7"/>
    <w:rsid w:val="0049571D"/>
    <w:rsid w:val="004A1679"/>
    <w:rsid w:val="004A31FB"/>
    <w:rsid w:val="004A37A1"/>
    <w:rsid w:val="004A3CA4"/>
    <w:rsid w:val="004A4B3C"/>
    <w:rsid w:val="004B1607"/>
    <w:rsid w:val="004B2A21"/>
    <w:rsid w:val="004B309E"/>
    <w:rsid w:val="004B3D63"/>
    <w:rsid w:val="004B4148"/>
    <w:rsid w:val="004B520D"/>
    <w:rsid w:val="004B5517"/>
    <w:rsid w:val="004B5866"/>
    <w:rsid w:val="004B795D"/>
    <w:rsid w:val="004B7F9A"/>
    <w:rsid w:val="004C2042"/>
    <w:rsid w:val="004C292B"/>
    <w:rsid w:val="004C2D33"/>
    <w:rsid w:val="004C4189"/>
    <w:rsid w:val="004C685B"/>
    <w:rsid w:val="004D0B15"/>
    <w:rsid w:val="004D108B"/>
    <w:rsid w:val="004D232E"/>
    <w:rsid w:val="004D2F02"/>
    <w:rsid w:val="004D32AE"/>
    <w:rsid w:val="004D38D4"/>
    <w:rsid w:val="004D4656"/>
    <w:rsid w:val="004E0104"/>
    <w:rsid w:val="004E2FD5"/>
    <w:rsid w:val="004E3BC3"/>
    <w:rsid w:val="004E584F"/>
    <w:rsid w:val="004E5E21"/>
    <w:rsid w:val="004E6730"/>
    <w:rsid w:val="004F00B5"/>
    <w:rsid w:val="004F0488"/>
    <w:rsid w:val="004F25F8"/>
    <w:rsid w:val="004F2A07"/>
    <w:rsid w:val="0050058D"/>
    <w:rsid w:val="00503064"/>
    <w:rsid w:val="005036D6"/>
    <w:rsid w:val="00504366"/>
    <w:rsid w:val="00504DFE"/>
    <w:rsid w:val="00505489"/>
    <w:rsid w:val="00505FC2"/>
    <w:rsid w:val="00506CFE"/>
    <w:rsid w:val="00506E18"/>
    <w:rsid w:val="00510960"/>
    <w:rsid w:val="00511A37"/>
    <w:rsid w:val="0051202D"/>
    <w:rsid w:val="00512598"/>
    <w:rsid w:val="00513D97"/>
    <w:rsid w:val="005159F1"/>
    <w:rsid w:val="00517936"/>
    <w:rsid w:val="00530B39"/>
    <w:rsid w:val="00530D47"/>
    <w:rsid w:val="00530F04"/>
    <w:rsid w:val="00532C61"/>
    <w:rsid w:val="005332D8"/>
    <w:rsid w:val="00541FF2"/>
    <w:rsid w:val="005449DE"/>
    <w:rsid w:val="00546BBF"/>
    <w:rsid w:val="00546E34"/>
    <w:rsid w:val="00555811"/>
    <w:rsid w:val="00555888"/>
    <w:rsid w:val="005560EB"/>
    <w:rsid w:val="00556D2F"/>
    <w:rsid w:val="00561FD2"/>
    <w:rsid w:val="00562FA2"/>
    <w:rsid w:val="00563135"/>
    <w:rsid w:val="00563C46"/>
    <w:rsid w:val="00567C6A"/>
    <w:rsid w:val="00567F4B"/>
    <w:rsid w:val="0057222B"/>
    <w:rsid w:val="005722CB"/>
    <w:rsid w:val="00572EE8"/>
    <w:rsid w:val="0057586D"/>
    <w:rsid w:val="00575BCD"/>
    <w:rsid w:val="005776EC"/>
    <w:rsid w:val="00582BB6"/>
    <w:rsid w:val="00584C1E"/>
    <w:rsid w:val="00584DE6"/>
    <w:rsid w:val="00587481"/>
    <w:rsid w:val="00593B3C"/>
    <w:rsid w:val="00594067"/>
    <w:rsid w:val="00594370"/>
    <w:rsid w:val="0059456C"/>
    <w:rsid w:val="0059569F"/>
    <w:rsid w:val="00596CA3"/>
    <w:rsid w:val="0059759F"/>
    <w:rsid w:val="005A4086"/>
    <w:rsid w:val="005A5DE7"/>
    <w:rsid w:val="005A7EA8"/>
    <w:rsid w:val="005B368A"/>
    <w:rsid w:val="005B3871"/>
    <w:rsid w:val="005B3A4C"/>
    <w:rsid w:val="005B580B"/>
    <w:rsid w:val="005B60F0"/>
    <w:rsid w:val="005B7369"/>
    <w:rsid w:val="005B7C03"/>
    <w:rsid w:val="005C042C"/>
    <w:rsid w:val="005C0EAE"/>
    <w:rsid w:val="005C4AC6"/>
    <w:rsid w:val="005C6428"/>
    <w:rsid w:val="005C6977"/>
    <w:rsid w:val="005C7627"/>
    <w:rsid w:val="005D09D3"/>
    <w:rsid w:val="005D1669"/>
    <w:rsid w:val="005D247A"/>
    <w:rsid w:val="005D2FA2"/>
    <w:rsid w:val="005D5660"/>
    <w:rsid w:val="005D6234"/>
    <w:rsid w:val="005D76A6"/>
    <w:rsid w:val="005E1452"/>
    <w:rsid w:val="005E3477"/>
    <w:rsid w:val="005E6B63"/>
    <w:rsid w:val="005F1BB0"/>
    <w:rsid w:val="005F2016"/>
    <w:rsid w:val="005F4108"/>
    <w:rsid w:val="005F50F5"/>
    <w:rsid w:val="005F515D"/>
    <w:rsid w:val="00600025"/>
    <w:rsid w:val="00600374"/>
    <w:rsid w:val="00601B18"/>
    <w:rsid w:val="00603AA5"/>
    <w:rsid w:val="00606195"/>
    <w:rsid w:val="006104B4"/>
    <w:rsid w:val="00610766"/>
    <w:rsid w:val="00610D40"/>
    <w:rsid w:val="00611834"/>
    <w:rsid w:val="00612A17"/>
    <w:rsid w:val="00613056"/>
    <w:rsid w:val="00614B8B"/>
    <w:rsid w:val="00616C6E"/>
    <w:rsid w:val="006207BE"/>
    <w:rsid w:val="00622DF9"/>
    <w:rsid w:val="00624FB7"/>
    <w:rsid w:val="00626522"/>
    <w:rsid w:val="00633114"/>
    <w:rsid w:val="00633573"/>
    <w:rsid w:val="006336F4"/>
    <w:rsid w:val="006344EB"/>
    <w:rsid w:val="00634D48"/>
    <w:rsid w:val="006362C8"/>
    <w:rsid w:val="006423C3"/>
    <w:rsid w:val="0064327C"/>
    <w:rsid w:val="0064349C"/>
    <w:rsid w:val="00644808"/>
    <w:rsid w:val="006459FA"/>
    <w:rsid w:val="00650176"/>
    <w:rsid w:val="006505B4"/>
    <w:rsid w:val="0065096C"/>
    <w:rsid w:val="006540C2"/>
    <w:rsid w:val="006554AB"/>
    <w:rsid w:val="006602EC"/>
    <w:rsid w:val="00663431"/>
    <w:rsid w:val="00663878"/>
    <w:rsid w:val="006659B1"/>
    <w:rsid w:val="00666CC9"/>
    <w:rsid w:val="00667427"/>
    <w:rsid w:val="006700AB"/>
    <w:rsid w:val="0067036A"/>
    <w:rsid w:val="006727C3"/>
    <w:rsid w:val="0067320B"/>
    <w:rsid w:val="0067420C"/>
    <w:rsid w:val="00675A78"/>
    <w:rsid w:val="006800CC"/>
    <w:rsid w:val="00680F9C"/>
    <w:rsid w:val="006810CE"/>
    <w:rsid w:val="00681F3F"/>
    <w:rsid w:val="006837A2"/>
    <w:rsid w:val="00684195"/>
    <w:rsid w:val="00686638"/>
    <w:rsid w:val="00686FF6"/>
    <w:rsid w:val="006900FD"/>
    <w:rsid w:val="006916C4"/>
    <w:rsid w:val="00692638"/>
    <w:rsid w:val="00694744"/>
    <w:rsid w:val="006956A9"/>
    <w:rsid w:val="00696B01"/>
    <w:rsid w:val="006A26B8"/>
    <w:rsid w:val="006A30EC"/>
    <w:rsid w:val="006A3180"/>
    <w:rsid w:val="006A33DC"/>
    <w:rsid w:val="006A6ADC"/>
    <w:rsid w:val="006A772E"/>
    <w:rsid w:val="006A793A"/>
    <w:rsid w:val="006B120D"/>
    <w:rsid w:val="006B2FF6"/>
    <w:rsid w:val="006C0A75"/>
    <w:rsid w:val="006C14CD"/>
    <w:rsid w:val="006C1D74"/>
    <w:rsid w:val="006C501D"/>
    <w:rsid w:val="006C69EB"/>
    <w:rsid w:val="006D315F"/>
    <w:rsid w:val="006D369D"/>
    <w:rsid w:val="006D3C07"/>
    <w:rsid w:val="006D3C4E"/>
    <w:rsid w:val="006D3E34"/>
    <w:rsid w:val="006D50EF"/>
    <w:rsid w:val="006D5AA8"/>
    <w:rsid w:val="006D76D8"/>
    <w:rsid w:val="006E049E"/>
    <w:rsid w:val="006E1140"/>
    <w:rsid w:val="006E16B0"/>
    <w:rsid w:val="006E34AD"/>
    <w:rsid w:val="006E43A5"/>
    <w:rsid w:val="006E4647"/>
    <w:rsid w:val="006E4B6B"/>
    <w:rsid w:val="006E5274"/>
    <w:rsid w:val="006F1C8D"/>
    <w:rsid w:val="006F43DE"/>
    <w:rsid w:val="006F598D"/>
    <w:rsid w:val="006F606C"/>
    <w:rsid w:val="006F73CA"/>
    <w:rsid w:val="00700B27"/>
    <w:rsid w:val="00705722"/>
    <w:rsid w:val="007058EF"/>
    <w:rsid w:val="00706CEC"/>
    <w:rsid w:val="0070744C"/>
    <w:rsid w:val="007104B6"/>
    <w:rsid w:val="007171E4"/>
    <w:rsid w:val="007177C2"/>
    <w:rsid w:val="00720048"/>
    <w:rsid w:val="00724559"/>
    <w:rsid w:val="00724FA4"/>
    <w:rsid w:val="00725A83"/>
    <w:rsid w:val="00727839"/>
    <w:rsid w:val="00731A57"/>
    <w:rsid w:val="00732687"/>
    <w:rsid w:val="007336CF"/>
    <w:rsid w:val="00733AD0"/>
    <w:rsid w:val="00734517"/>
    <w:rsid w:val="0073530B"/>
    <w:rsid w:val="00736D29"/>
    <w:rsid w:val="00736E4D"/>
    <w:rsid w:val="00741C9F"/>
    <w:rsid w:val="0074319E"/>
    <w:rsid w:val="007439FC"/>
    <w:rsid w:val="00744367"/>
    <w:rsid w:val="0074743C"/>
    <w:rsid w:val="00750BE2"/>
    <w:rsid w:val="00753DF7"/>
    <w:rsid w:val="00754DF6"/>
    <w:rsid w:val="007601B2"/>
    <w:rsid w:val="007605CE"/>
    <w:rsid w:val="00760CE6"/>
    <w:rsid w:val="0076411A"/>
    <w:rsid w:val="0076461E"/>
    <w:rsid w:val="00767D9A"/>
    <w:rsid w:val="007711AE"/>
    <w:rsid w:val="007748A5"/>
    <w:rsid w:val="00775283"/>
    <w:rsid w:val="00776E63"/>
    <w:rsid w:val="00777240"/>
    <w:rsid w:val="007803FC"/>
    <w:rsid w:val="00782FAB"/>
    <w:rsid w:val="00783237"/>
    <w:rsid w:val="007835F8"/>
    <w:rsid w:val="00783A95"/>
    <w:rsid w:val="0078688A"/>
    <w:rsid w:val="00790680"/>
    <w:rsid w:val="00791131"/>
    <w:rsid w:val="00791457"/>
    <w:rsid w:val="00791A5D"/>
    <w:rsid w:val="00792277"/>
    <w:rsid w:val="0079360F"/>
    <w:rsid w:val="00794E00"/>
    <w:rsid w:val="00794EC3"/>
    <w:rsid w:val="00796165"/>
    <w:rsid w:val="007A5933"/>
    <w:rsid w:val="007A6680"/>
    <w:rsid w:val="007A7E55"/>
    <w:rsid w:val="007B371D"/>
    <w:rsid w:val="007B3A24"/>
    <w:rsid w:val="007B3C5C"/>
    <w:rsid w:val="007B3F64"/>
    <w:rsid w:val="007B456E"/>
    <w:rsid w:val="007B4F79"/>
    <w:rsid w:val="007B702A"/>
    <w:rsid w:val="007C34C4"/>
    <w:rsid w:val="007C40CE"/>
    <w:rsid w:val="007C4775"/>
    <w:rsid w:val="007C5C82"/>
    <w:rsid w:val="007C6A65"/>
    <w:rsid w:val="007D01D8"/>
    <w:rsid w:val="007D0FBB"/>
    <w:rsid w:val="007D13A7"/>
    <w:rsid w:val="007D24E3"/>
    <w:rsid w:val="007D33B8"/>
    <w:rsid w:val="007D5114"/>
    <w:rsid w:val="007D7EDC"/>
    <w:rsid w:val="007D7F9E"/>
    <w:rsid w:val="007E2FDE"/>
    <w:rsid w:val="007E396C"/>
    <w:rsid w:val="007E6C5D"/>
    <w:rsid w:val="007E7BD4"/>
    <w:rsid w:val="007F2E40"/>
    <w:rsid w:val="007F3ED4"/>
    <w:rsid w:val="007F53D3"/>
    <w:rsid w:val="007F7E98"/>
    <w:rsid w:val="00803313"/>
    <w:rsid w:val="00803E7A"/>
    <w:rsid w:val="00807571"/>
    <w:rsid w:val="00810566"/>
    <w:rsid w:val="00811DCA"/>
    <w:rsid w:val="00811E4C"/>
    <w:rsid w:val="008120F4"/>
    <w:rsid w:val="00812F3A"/>
    <w:rsid w:val="0081481B"/>
    <w:rsid w:val="0081533E"/>
    <w:rsid w:val="00816886"/>
    <w:rsid w:val="00817A64"/>
    <w:rsid w:val="0082071C"/>
    <w:rsid w:val="0082110E"/>
    <w:rsid w:val="00821766"/>
    <w:rsid w:val="008229B0"/>
    <w:rsid w:val="008241E8"/>
    <w:rsid w:val="0082450F"/>
    <w:rsid w:val="0082479C"/>
    <w:rsid w:val="00824DF5"/>
    <w:rsid w:val="00831732"/>
    <w:rsid w:val="00831914"/>
    <w:rsid w:val="008329B1"/>
    <w:rsid w:val="008333BC"/>
    <w:rsid w:val="008352F0"/>
    <w:rsid w:val="0083614A"/>
    <w:rsid w:val="00837384"/>
    <w:rsid w:val="00840A44"/>
    <w:rsid w:val="00841642"/>
    <w:rsid w:val="00842E1F"/>
    <w:rsid w:val="00843605"/>
    <w:rsid w:val="00843BD4"/>
    <w:rsid w:val="00846D08"/>
    <w:rsid w:val="008548EF"/>
    <w:rsid w:val="008554D0"/>
    <w:rsid w:val="008648E7"/>
    <w:rsid w:val="008710E0"/>
    <w:rsid w:val="00873D91"/>
    <w:rsid w:val="00874BD4"/>
    <w:rsid w:val="008751AC"/>
    <w:rsid w:val="0087725F"/>
    <w:rsid w:val="00877400"/>
    <w:rsid w:val="008804C2"/>
    <w:rsid w:val="00880BF5"/>
    <w:rsid w:val="00881130"/>
    <w:rsid w:val="00883DE8"/>
    <w:rsid w:val="00884802"/>
    <w:rsid w:val="0088515F"/>
    <w:rsid w:val="00886C51"/>
    <w:rsid w:val="00887108"/>
    <w:rsid w:val="008927A5"/>
    <w:rsid w:val="00892E67"/>
    <w:rsid w:val="0089565E"/>
    <w:rsid w:val="00895E72"/>
    <w:rsid w:val="00896D54"/>
    <w:rsid w:val="0089741E"/>
    <w:rsid w:val="008A11EE"/>
    <w:rsid w:val="008A1CBD"/>
    <w:rsid w:val="008A3A61"/>
    <w:rsid w:val="008A4FA5"/>
    <w:rsid w:val="008A6A82"/>
    <w:rsid w:val="008B32E6"/>
    <w:rsid w:val="008B38C5"/>
    <w:rsid w:val="008B41C3"/>
    <w:rsid w:val="008B5520"/>
    <w:rsid w:val="008B6458"/>
    <w:rsid w:val="008C1052"/>
    <w:rsid w:val="008C1B61"/>
    <w:rsid w:val="008C299A"/>
    <w:rsid w:val="008C5A81"/>
    <w:rsid w:val="008C7B9C"/>
    <w:rsid w:val="008D1FD1"/>
    <w:rsid w:val="008D2C2C"/>
    <w:rsid w:val="008D2E12"/>
    <w:rsid w:val="008D42E1"/>
    <w:rsid w:val="008D6A02"/>
    <w:rsid w:val="008E12DA"/>
    <w:rsid w:val="008E2136"/>
    <w:rsid w:val="008E2D0E"/>
    <w:rsid w:val="008E2E78"/>
    <w:rsid w:val="008E3910"/>
    <w:rsid w:val="008E68C2"/>
    <w:rsid w:val="008F00BE"/>
    <w:rsid w:val="008F135A"/>
    <w:rsid w:val="008F41E7"/>
    <w:rsid w:val="008F6149"/>
    <w:rsid w:val="008F7041"/>
    <w:rsid w:val="008F7261"/>
    <w:rsid w:val="008F7CEE"/>
    <w:rsid w:val="0090411E"/>
    <w:rsid w:val="009041A8"/>
    <w:rsid w:val="00905455"/>
    <w:rsid w:val="00910871"/>
    <w:rsid w:val="0091194D"/>
    <w:rsid w:val="00912136"/>
    <w:rsid w:val="00912C4D"/>
    <w:rsid w:val="0091485E"/>
    <w:rsid w:val="00914C01"/>
    <w:rsid w:val="00920044"/>
    <w:rsid w:val="009215BF"/>
    <w:rsid w:val="00924A85"/>
    <w:rsid w:val="0092580B"/>
    <w:rsid w:val="0092597C"/>
    <w:rsid w:val="00925DC5"/>
    <w:rsid w:val="009276A6"/>
    <w:rsid w:val="00932FCA"/>
    <w:rsid w:val="009345D1"/>
    <w:rsid w:val="0094027A"/>
    <w:rsid w:val="009407F3"/>
    <w:rsid w:val="00940AAB"/>
    <w:rsid w:val="0094151D"/>
    <w:rsid w:val="00942B51"/>
    <w:rsid w:val="009435CD"/>
    <w:rsid w:val="009437E9"/>
    <w:rsid w:val="00944CC1"/>
    <w:rsid w:val="00945ACA"/>
    <w:rsid w:val="00946CF4"/>
    <w:rsid w:val="009475E0"/>
    <w:rsid w:val="00950C8B"/>
    <w:rsid w:val="0095167B"/>
    <w:rsid w:val="0095202E"/>
    <w:rsid w:val="00956DCF"/>
    <w:rsid w:val="00960E07"/>
    <w:rsid w:val="00962E70"/>
    <w:rsid w:val="009665BB"/>
    <w:rsid w:val="00967A34"/>
    <w:rsid w:val="009714E2"/>
    <w:rsid w:val="00972979"/>
    <w:rsid w:val="00973DBD"/>
    <w:rsid w:val="009811F0"/>
    <w:rsid w:val="0098299F"/>
    <w:rsid w:val="0098346B"/>
    <w:rsid w:val="009834F9"/>
    <w:rsid w:val="00984812"/>
    <w:rsid w:val="00984EDC"/>
    <w:rsid w:val="0098768D"/>
    <w:rsid w:val="00991044"/>
    <w:rsid w:val="00991BF3"/>
    <w:rsid w:val="00992F2E"/>
    <w:rsid w:val="00994274"/>
    <w:rsid w:val="0099478B"/>
    <w:rsid w:val="00997108"/>
    <w:rsid w:val="0099711F"/>
    <w:rsid w:val="009A1C38"/>
    <w:rsid w:val="009A2C93"/>
    <w:rsid w:val="009A31A0"/>
    <w:rsid w:val="009A3B81"/>
    <w:rsid w:val="009A49B3"/>
    <w:rsid w:val="009A626D"/>
    <w:rsid w:val="009A7176"/>
    <w:rsid w:val="009A79E9"/>
    <w:rsid w:val="009B0485"/>
    <w:rsid w:val="009B051D"/>
    <w:rsid w:val="009B07C4"/>
    <w:rsid w:val="009B19C6"/>
    <w:rsid w:val="009B1EE9"/>
    <w:rsid w:val="009B3433"/>
    <w:rsid w:val="009B3573"/>
    <w:rsid w:val="009B4190"/>
    <w:rsid w:val="009B6A9D"/>
    <w:rsid w:val="009B7C40"/>
    <w:rsid w:val="009C0003"/>
    <w:rsid w:val="009C4859"/>
    <w:rsid w:val="009C4FD0"/>
    <w:rsid w:val="009D5240"/>
    <w:rsid w:val="009D65C5"/>
    <w:rsid w:val="009D6FC1"/>
    <w:rsid w:val="009D7825"/>
    <w:rsid w:val="009E467F"/>
    <w:rsid w:val="009E4835"/>
    <w:rsid w:val="009E70BD"/>
    <w:rsid w:val="009E76B8"/>
    <w:rsid w:val="009F0BAF"/>
    <w:rsid w:val="009F195B"/>
    <w:rsid w:val="009F47CD"/>
    <w:rsid w:val="009F4AC4"/>
    <w:rsid w:val="009F5105"/>
    <w:rsid w:val="009F6D57"/>
    <w:rsid w:val="009F708A"/>
    <w:rsid w:val="009F70E9"/>
    <w:rsid w:val="00A10AC2"/>
    <w:rsid w:val="00A12879"/>
    <w:rsid w:val="00A13600"/>
    <w:rsid w:val="00A165E2"/>
    <w:rsid w:val="00A16EC5"/>
    <w:rsid w:val="00A20447"/>
    <w:rsid w:val="00A20BB0"/>
    <w:rsid w:val="00A220C0"/>
    <w:rsid w:val="00A231CB"/>
    <w:rsid w:val="00A27D5E"/>
    <w:rsid w:val="00A33FF9"/>
    <w:rsid w:val="00A369A3"/>
    <w:rsid w:val="00A4672D"/>
    <w:rsid w:val="00A478B7"/>
    <w:rsid w:val="00A50602"/>
    <w:rsid w:val="00A50CBF"/>
    <w:rsid w:val="00A51E3C"/>
    <w:rsid w:val="00A52294"/>
    <w:rsid w:val="00A52D8C"/>
    <w:rsid w:val="00A534FC"/>
    <w:rsid w:val="00A544EA"/>
    <w:rsid w:val="00A545C2"/>
    <w:rsid w:val="00A54F33"/>
    <w:rsid w:val="00A56C4C"/>
    <w:rsid w:val="00A62DE7"/>
    <w:rsid w:val="00A65AA0"/>
    <w:rsid w:val="00A65ABE"/>
    <w:rsid w:val="00A66DF3"/>
    <w:rsid w:val="00A7100D"/>
    <w:rsid w:val="00A713F1"/>
    <w:rsid w:val="00A723E8"/>
    <w:rsid w:val="00A72767"/>
    <w:rsid w:val="00A72B70"/>
    <w:rsid w:val="00A73CEB"/>
    <w:rsid w:val="00A76D36"/>
    <w:rsid w:val="00A77BDD"/>
    <w:rsid w:val="00A803E9"/>
    <w:rsid w:val="00A86A6D"/>
    <w:rsid w:val="00A87226"/>
    <w:rsid w:val="00A8797B"/>
    <w:rsid w:val="00A87B38"/>
    <w:rsid w:val="00A930E2"/>
    <w:rsid w:val="00A94886"/>
    <w:rsid w:val="00A953F9"/>
    <w:rsid w:val="00A960D1"/>
    <w:rsid w:val="00A9633F"/>
    <w:rsid w:val="00A96801"/>
    <w:rsid w:val="00A96F16"/>
    <w:rsid w:val="00AA0709"/>
    <w:rsid w:val="00AA3A25"/>
    <w:rsid w:val="00AA5295"/>
    <w:rsid w:val="00AA6405"/>
    <w:rsid w:val="00AB2091"/>
    <w:rsid w:val="00AB436B"/>
    <w:rsid w:val="00AB5FB2"/>
    <w:rsid w:val="00AC39F8"/>
    <w:rsid w:val="00AC563E"/>
    <w:rsid w:val="00AC60DF"/>
    <w:rsid w:val="00AC6962"/>
    <w:rsid w:val="00AC7EA2"/>
    <w:rsid w:val="00AD1EA6"/>
    <w:rsid w:val="00AD24DE"/>
    <w:rsid w:val="00AD361B"/>
    <w:rsid w:val="00AD38B4"/>
    <w:rsid w:val="00AD6906"/>
    <w:rsid w:val="00AD74F5"/>
    <w:rsid w:val="00AD7E31"/>
    <w:rsid w:val="00AE08BB"/>
    <w:rsid w:val="00AE1498"/>
    <w:rsid w:val="00AE4A40"/>
    <w:rsid w:val="00AE569B"/>
    <w:rsid w:val="00AE5B6D"/>
    <w:rsid w:val="00AE7267"/>
    <w:rsid w:val="00AE7CC5"/>
    <w:rsid w:val="00AE7D6E"/>
    <w:rsid w:val="00AF5128"/>
    <w:rsid w:val="00AF527D"/>
    <w:rsid w:val="00AF71BA"/>
    <w:rsid w:val="00AF7360"/>
    <w:rsid w:val="00AF7556"/>
    <w:rsid w:val="00B022B2"/>
    <w:rsid w:val="00B034CD"/>
    <w:rsid w:val="00B04604"/>
    <w:rsid w:val="00B04728"/>
    <w:rsid w:val="00B06AD8"/>
    <w:rsid w:val="00B06D3B"/>
    <w:rsid w:val="00B0745D"/>
    <w:rsid w:val="00B1726D"/>
    <w:rsid w:val="00B23CE8"/>
    <w:rsid w:val="00B25EE7"/>
    <w:rsid w:val="00B27272"/>
    <w:rsid w:val="00B32623"/>
    <w:rsid w:val="00B329B0"/>
    <w:rsid w:val="00B351EC"/>
    <w:rsid w:val="00B354CE"/>
    <w:rsid w:val="00B36D48"/>
    <w:rsid w:val="00B41876"/>
    <w:rsid w:val="00B41DC6"/>
    <w:rsid w:val="00B41E29"/>
    <w:rsid w:val="00B42364"/>
    <w:rsid w:val="00B45B06"/>
    <w:rsid w:val="00B50FA5"/>
    <w:rsid w:val="00B54449"/>
    <w:rsid w:val="00B55568"/>
    <w:rsid w:val="00B56B07"/>
    <w:rsid w:val="00B64342"/>
    <w:rsid w:val="00B65DBE"/>
    <w:rsid w:val="00B66E28"/>
    <w:rsid w:val="00B70324"/>
    <w:rsid w:val="00B70446"/>
    <w:rsid w:val="00B71B37"/>
    <w:rsid w:val="00B71FFB"/>
    <w:rsid w:val="00B74BDC"/>
    <w:rsid w:val="00B75C2D"/>
    <w:rsid w:val="00B76255"/>
    <w:rsid w:val="00B765DD"/>
    <w:rsid w:val="00B76C66"/>
    <w:rsid w:val="00B770F5"/>
    <w:rsid w:val="00B7797A"/>
    <w:rsid w:val="00B8377C"/>
    <w:rsid w:val="00B8487F"/>
    <w:rsid w:val="00B8548E"/>
    <w:rsid w:val="00B86D0D"/>
    <w:rsid w:val="00B913CD"/>
    <w:rsid w:val="00B94FC9"/>
    <w:rsid w:val="00B95724"/>
    <w:rsid w:val="00B96E28"/>
    <w:rsid w:val="00BA1359"/>
    <w:rsid w:val="00BA6385"/>
    <w:rsid w:val="00BA6699"/>
    <w:rsid w:val="00BB095F"/>
    <w:rsid w:val="00BB1A56"/>
    <w:rsid w:val="00BB2A8F"/>
    <w:rsid w:val="00BB2AAE"/>
    <w:rsid w:val="00BB42DD"/>
    <w:rsid w:val="00BB575B"/>
    <w:rsid w:val="00BB7180"/>
    <w:rsid w:val="00BC0D3E"/>
    <w:rsid w:val="00BC4BF8"/>
    <w:rsid w:val="00BC4F47"/>
    <w:rsid w:val="00BC6CFB"/>
    <w:rsid w:val="00BC79AF"/>
    <w:rsid w:val="00BD160A"/>
    <w:rsid w:val="00BD1FFE"/>
    <w:rsid w:val="00BD298F"/>
    <w:rsid w:val="00BD2ADE"/>
    <w:rsid w:val="00BD4272"/>
    <w:rsid w:val="00BD4602"/>
    <w:rsid w:val="00BD5F11"/>
    <w:rsid w:val="00BE3579"/>
    <w:rsid w:val="00BE35AD"/>
    <w:rsid w:val="00BE4C94"/>
    <w:rsid w:val="00BE79D1"/>
    <w:rsid w:val="00BF020C"/>
    <w:rsid w:val="00BF1005"/>
    <w:rsid w:val="00BF50E4"/>
    <w:rsid w:val="00BF555F"/>
    <w:rsid w:val="00C009C0"/>
    <w:rsid w:val="00C0193D"/>
    <w:rsid w:val="00C05DFF"/>
    <w:rsid w:val="00C07EB3"/>
    <w:rsid w:val="00C130E8"/>
    <w:rsid w:val="00C13FE5"/>
    <w:rsid w:val="00C14DDD"/>
    <w:rsid w:val="00C1682F"/>
    <w:rsid w:val="00C174FD"/>
    <w:rsid w:val="00C20EC1"/>
    <w:rsid w:val="00C21595"/>
    <w:rsid w:val="00C2549A"/>
    <w:rsid w:val="00C34ACE"/>
    <w:rsid w:val="00C35F84"/>
    <w:rsid w:val="00C37D87"/>
    <w:rsid w:val="00C40613"/>
    <w:rsid w:val="00C427F5"/>
    <w:rsid w:val="00C42D2D"/>
    <w:rsid w:val="00C44105"/>
    <w:rsid w:val="00C4450B"/>
    <w:rsid w:val="00C47FBF"/>
    <w:rsid w:val="00C53DEE"/>
    <w:rsid w:val="00C5697F"/>
    <w:rsid w:val="00C56BB1"/>
    <w:rsid w:val="00C578D3"/>
    <w:rsid w:val="00C603E4"/>
    <w:rsid w:val="00C60403"/>
    <w:rsid w:val="00C62113"/>
    <w:rsid w:val="00C67027"/>
    <w:rsid w:val="00C740EE"/>
    <w:rsid w:val="00C74B3B"/>
    <w:rsid w:val="00C7635A"/>
    <w:rsid w:val="00C859A8"/>
    <w:rsid w:val="00C91010"/>
    <w:rsid w:val="00C93E3F"/>
    <w:rsid w:val="00C97AD3"/>
    <w:rsid w:val="00CA1A87"/>
    <w:rsid w:val="00CA2958"/>
    <w:rsid w:val="00CA357C"/>
    <w:rsid w:val="00CA3A8C"/>
    <w:rsid w:val="00CA509D"/>
    <w:rsid w:val="00CA7E79"/>
    <w:rsid w:val="00CB0124"/>
    <w:rsid w:val="00CB322C"/>
    <w:rsid w:val="00CB4183"/>
    <w:rsid w:val="00CB4CA7"/>
    <w:rsid w:val="00CB5A7C"/>
    <w:rsid w:val="00CB5F9B"/>
    <w:rsid w:val="00CB6B2C"/>
    <w:rsid w:val="00CC0F17"/>
    <w:rsid w:val="00CC2397"/>
    <w:rsid w:val="00CC502F"/>
    <w:rsid w:val="00CC5DDA"/>
    <w:rsid w:val="00CD05D9"/>
    <w:rsid w:val="00CD12AF"/>
    <w:rsid w:val="00CD1760"/>
    <w:rsid w:val="00CD1CA5"/>
    <w:rsid w:val="00CD2598"/>
    <w:rsid w:val="00CD36E6"/>
    <w:rsid w:val="00CE2019"/>
    <w:rsid w:val="00CE52AD"/>
    <w:rsid w:val="00CE638A"/>
    <w:rsid w:val="00CE66C2"/>
    <w:rsid w:val="00CE6CFB"/>
    <w:rsid w:val="00CE71E8"/>
    <w:rsid w:val="00CE7B6A"/>
    <w:rsid w:val="00CF024A"/>
    <w:rsid w:val="00CF0598"/>
    <w:rsid w:val="00CF4FFF"/>
    <w:rsid w:val="00D007C2"/>
    <w:rsid w:val="00D03446"/>
    <w:rsid w:val="00D03494"/>
    <w:rsid w:val="00D03696"/>
    <w:rsid w:val="00D04A8E"/>
    <w:rsid w:val="00D061FE"/>
    <w:rsid w:val="00D10D92"/>
    <w:rsid w:val="00D116F0"/>
    <w:rsid w:val="00D11960"/>
    <w:rsid w:val="00D1265E"/>
    <w:rsid w:val="00D15309"/>
    <w:rsid w:val="00D15B3B"/>
    <w:rsid w:val="00D161A0"/>
    <w:rsid w:val="00D2581A"/>
    <w:rsid w:val="00D32457"/>
    <w:rsid w:val="00D33805"/>
    <w:rsid w:val="00D357BD"/>
    <w:rsid w:val="00D3593D"/>
    <w:rsid w:val="00D35973"/>
    <w:rsid w:val="00D40CB5"/>
    <w:rsid w:val="00D4100A"/>
    <w:rsid w:val="00D43766"/>
    <w:rsid w:val="00D45F30"/>
    <w:rsid w:val="00D46187"/>
    <w:rsid w:val="00D53730"/>
    <w:rsid w:val="00D5539F"/>
    <w:rsid w:val="00D560FB"/>
    <w:rsid w:val="00D56DA9"/>
    <w:rsid w:val="00D614ED"/>
    <w:rsid w:val="00D64279"/>
    <w:rsid w:val="00D64708"/>
    <w:rsid w:val="00D64CB2"/>
    <w:rsid w:val="00D658C7"/>
    <w:rsid w:val="00D65A8B"/>
    <w:rsid w:val="00D66AB3"/>
    <w:rsid w:val="00D6777C"/>
    <w:rsid w:val="00D70992"/>
    <w:rsid w:val="00D802B0"/>
    <w:rsid w:val="00D84ADB"/>
    <w:rsid w:val="00D865B3"/>
    <w:rsid w:val="00D86C3D"/>
    <w:rsid w:val="00D86CFE"/>
    <w:rsid w:val="00D86FE3"/>
    <w:rsid w:val="00D87175"/>
    <w:rsid w:val="00D871A2"/>
    <w:rsid w:val="00D87882"/>
    <w:rsid w:val="00D87DB3"/>
    <w:rsid w:val="00D90C83"/>
    <w:rsid w:val="00D92C40"/>
    <w:rsid w:val="00D93D87"/>
    <w:rsid w:val="00D97432"/>
    <w:rsid w:val="00DA0F48"/>
    <w:rsid w:val="00DA11A8"/>
    <w:rsid w:val="00DA120D"/>
    <w:rsid w:val="00DA2224"/>
    <w:rsid w:val="00DA434C"/>
    <w:rsid w:val="00DA45C1"/>
    <w:rsid w:val="00DB01F4"/>
    <w:rsid w:val="00DB2F79"/>
    <w:rsid w:val="00DB32F5"/>
    <w:rsid w:val="00DB4CAB"/>
    <w:rsid w:val="00DB71C6"/>
    <w:rsid w:val="00DB7D33"/>
    <w:rsid w:val="00DC03C2"/>
    <w:rsid w:val="00DC2CEA"/>
    <w:rsid w:val="00DC7424"/>
    <w:rsid w:val="00DC757C"/>
    <w:rsid w:val="00DC7BBD"/>
    <w:rsid w:val="00DD1B1D"/>
    <w:rsid w:val="00DD243E"/>
    <w:rsid w:val="00DD60AA"/>
    <w:rsid w:val="00DD69E8"/>
    <w:rsid w:val="00DE1193"/>
    <w:rsid w:val="00DE182F"/>
    <w:rsid w:val="00DE23A1"/>
    <w:rsid w:val="00DE3C03"/>
    <w:rsid w:val="00DE4F42"/>
    <w:rsid w:val="00DE5925"/>
    <w:rsid w:val="00DE6EB2"/>
    <w:rsid w:val="00DE7358"/>
    <w:rsid w:val="00DF0421"/>
    <w:rsid w:val="00DF0927"/>
    <w:rsid w:val="00DF54DB"/>
    <w:rsid w:val="00DF5F65"/>
    <w:rsid w:val="00DF6120"/>
    <w:rsid w:val="00DF7AEC"/>
    <w:rsid w:val="00E000D2"/>
    <w:rsid w:val="00E00826"/>
    <w:rsid w:val="00E030D5"/>
    <w:rsid w:val="00E03BF7"/>
    <w:rsid w:val="00E050B2"/>
    <w:rsid w:val="00E0646C"/>
    <w:rsid w:val="00E067E9"/>
    <w:rsid w:val="00E105DF"/>
    <w:rsid w:val="00E1155D"/>
    <w:rsid w:val="00E13038"/>
    <w:rsid w:val="00E132C1"/>
    <w:rsid w:val="00E134C4"/>
    <w:rsid w:val="00E13697"/>
    <w:rsid w:val="00E14288"/>
    <w:rsid w:val="00E14394"/>
    <w:rsid w:val="00E146A0"/>
    <w:rsid w:val="00E1557B"/>
    <w:rsid w:val="00E174F0"/>
    <w:rsid w:val="00E20DCE"/>
    <w:rsid w:val="00E20E94"/>
    <w:rsid w:val="00E24532"/>
    <w:rsid w:val="00E25E05"/>
    <w:rsid w:val="00E26DA7"/>
    <w:rsid w:val="00E27A80"/>
    <w:rsid w:val="00E31F1D"/>
    <w:rsid w:val="00E36C83"/>
    <w:rsid w:val="00E40DE5"/>
    <w:rsid w:val="00E43081"/>
    <w:rsid w:val="00E4351D"/>
    <w:rsid w:val="00E45D92"/>
    <w:rsid w:val="00E47216"/>
    <w:rsid w:val="00E47D6B"/>
    <w:rsid w:val="00E50A3E"/>
    <w:rsid w:val="00E518A8"/>
    <w:rsid w:val="00E55F6A"/>
    <w:rsid w:val="00E560FA"/>
    <w:rsid w:val="00E56E60"/>
    <w:rsid w:val="00E609BF"/>
    <w:rsid w:val="00E6107B"/>
    <w:rsid w:val="00E6247F"/>
    <w:rsid w:val="00E6490A"/>
    <w:rsid w:val="00E64BEB"/>
    <w:rsid w:val="00E6794C"/>
    <w:rsid w:val="00E710D5"/>
    <w:rsid w:val="00E7174A"/>
    <w:rsid w:val="00E725F3"/>
    <w:rsid w:val="00E7294E"/>
    <w:rsid w:val="00E76AD1"/>
    <w:rsid w:val="00E8376D"/>
    <w:rsid w:val="00E8417E"/>
    <w:rsid w:val="00E862E5"/>
    <w:rsid w:val="00E90D30"/>
    <w:rsid w:val="00E90FC2"/>
    <w:rsid w:val="00E91F93"/>
    <w:rsid w:val="00E9760E"/>
    <w:rsid w:val="00EA054E"/>
    <w:rsid w:val="00EA2FFB"/>
    <w:rsid w:val="00EA6B48"/>
    <w:rsid w:val="00EA72C2"/>
    <w:rsid w:val="00EA77EC"/>
    <w:rsid w:val="00EB43D3"/>
    <w:rsid w:val="00EB57AB"/>
    <w:rsid w:val="00EB6165"/>
    <w:rsid w:val="00EC0920"/>
    <w:rsid w:val="00EC0D31"/>
    <w:rsid w:val="00EC0D6F"/>
    <w:rsid w:val="00EC304D"/>
    <w:rsid w:val="00EC4AE7"/>
    <w:rsid w:val="00ED0572"/>
    <w:rsid w:val="00ED09BA"/>
    <w:rsid w:val="00ED4AC3"/>
    <w:rsid w:val="00ED4E6B"/>
    <w:rsid w:val="00ED6181"/>
    <w:rsid w:val="00EE1907"/>
    <w:rsid w:val="00EE2ACE"/>
    <w:rsid w:val="00EF0C5B"/>
    <w:rsid w:val="00EF5947"/>
    <w:rsid w:val="00EF5F09"/>
    <w:rsid w:val="00EF60FA"/>
    <w:rsid w:val="00EF69A7"/>
    <w:rsid w:val="00F00360"/>
    <w:rsid w:val="00F018C5"/>
    <w:rsid w:val="00F029FC"/>
    <w:rsid w:val="00F02A09"/>
    <w:rsid w:val="00F04099"/>
    <w:rsid w:val="00F04D7F"/>
    <w:rsid w:val="00F060B5"/>
    <w:rsid w:val="00F06A4D"/>
    <w:rsid w:val="00F06C50"/>
    <w:rsid w:val="00F07DAE"/>
    <w:rsid w:val="00F127F8"/>
    <w:rsid w:val="00F13C3C"/>
    <w:rsid w:val="00F17926"/>
    <w:rsid w:val="00F179BD"/>
    <w:rsid w:val="00F17F7F"/>
    <w:rsid w:val="00F20A50"/>
    <w:rsid w:val="00F20DD7"/>
    <w:rsid w:val="00F21B89"/>
    <w:rsid w:val="00F2380C"/>
    <w:rsid w:val="00F24A62"/>
    <w:rsid w:val="00F2576F"/>
    <w:rsid w:val="00F3080A"/>
    <w:rsid w:val="00F31142"/>
    <w:rsid w:val="00F31D40"/>
    <w:rsid w:val="00F323C8"/>
    <w:rsid w:val="00F3275C"/>
    <w:rsid w:val="00F3412E"/>
    <w:rsid w:val="00F34558"/>
    <w:rsid w:val="00F349A1"/>
    <w:rsid w:val="00F353F0"/>
    <w:rsid w:val="00F3570D"/>
    <w:rsid w:val="00F35ED3"/>
    <w:rsid w:val="00F360AF"/>
    <w:rsid w:val="00F3627A"/>
    <w:rsid w:val="00F36C5C"/>
    <w:rsid w:val="00F422AA"/>
    <w:rsid w:val="00F428EE"/>
    <w:rsid w:val="00F42DE9"/>
    <w:rsid w:val="00F4520A"/>
    <w:rsid w:val="00F45F31"/>
    <w:rsid w:val="00F47108"/>
    <w:rsid w:val="00F54969"/>
    <w:rsid w:val="00F557BB"/>
    <w:rsid w:val="00F5626F"/>
    <w:rsid w:val="00F56BF9"/>
    <w:rsid w:val="00F64C65"/>
    <w:rsid w:val="00F64FA0"/>
    <w:rsid w:val="00F66350"/>
    <w:rsid w:val="00F67BF9"/>
    <w:rsid w:val="00F67F42"/>
    <w:rsid w:val="00F74F25"/>
    <w:rsid w:val="00F75880"/>
    <w:rsid w:val="00F767BA"/>
    <w:rsid w:val="00F77C1B"/>
    <w:rsid w:val="00F77F55"/>
    <w:rsid w:val="00F8231D"/>
    <w:rsid w:val="00F82401"/>
    <w:rsid w:val="00F83870"/>
    <w:rsid w:val="00F83BD8"/>
    <w:rsid w:val="00F85C57"/>
    <w:rsid w:val="00F85F31"/>
    <w:rsid w:val="00F86223"/>
    <w:rsid w:val="00F87753"/>
    <w:rsid w:val="00F90101"/>
    <w:rsid w:val="00F91A17"/>
    <w:rsid w:val="00F9233F"/>
    <w:rsid w:val="00F92AB3"/>
    <w:rsid w:val="00F947AB"/>
    <w:rsid w:val="00F95A2C"/>
    <w:rsid w:val="00F97BCB"/>
    <w:rsid w:val="00FA078C"/>
    <w:rsid w:val="00FA1169"/>
    <w:rsid w:val="00FA1371"/>
    <w:rsid w:val="00FA1DA7"/>
    <w:rsid w:val="00FA2139"/>
    <w:rsid w:val="00FA26F2"/>
    <w:rsid w:val="00FA675F"/>
    <w:rsid w:val="00FA6A9F"/>
    <w:rsid w:val="00FA7D98"/>
    <w:rsid w:val="00FB1EF6"/>
    <w:rsid w:val="00FB1F00"/>
    <w:rsid w:val="00FB2578"/>
    <w:rsid w:val="00FB4645"/>
    <w:rsid w:val="00FC0600"/>
    <w:rsid w:val="00FC095B"/>
    <w:rsid w:val="00FC2082"/>
    <w:rsid w:val="00FC2A99"/>
    <w:rsid w:val="00FC3524"/>
    <w:rsid w:val="00FC3ED7"/>
    <w:rsid w:val="00FC3F2D"/>
    <w:rsid w:val="00FC4E34"/>
    <w:rsid w:val="00FC6EFC"/>
    <w:rsid w:val="00FD24B3"/>
    <w:rsid w:val="00FE075A"/>
    <w:rsid w:val="00FE0A68"/>
    <w:rsid w:val="00FE17F8"/>
    <w:rsid w:val="00FE182B"/>
    <w:rsid w:val="00FE2558"/>
    <w:rsid w:val="00FE2DB9"/>
    <w:rsid w:val="00FE4157"/>
    <w:rsid w:val="00FE6BEB"/>
    <w:rsid w:val="00FF0461"/>
    <w:rsid w:val="00FF13F3"/>
    <w:rsid w:val="00FF14BD"/>
    <w:rsid w:val="00FF1705"/>
    <w:rsid w:val="00FF25D8"/>
    <w:rsid w:val="00FF4958"/>
    <w:rsid w:val="00FF756D"/>
    <w:rsid w:val="00FF7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annotation text" w:uiPriority="99"/>
    <w:lsdException w:name="header" w:uiPriority="99"/>
    <w:lsdException w:name="footer" w:uiPriority="99"/>
    <w:lsdException w:name="footnote reference" w:uiPriority="34"/>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A76D36"/>
    <w:pPr>
      <w:tabs>
        <w:tab w:val="left" w:pos="612"/>
      </w:tabs>
    </w:pPr>
  </w:style>
  <w:style w:type="character" w:customStyle="1" w:styleId="ListBulletChar">
    <w:name w:val="List Bullet Char"/>
    <w:basedOn w:val="DefaultParagraphFont"/>
    <w:link w:val="ListBullet"/>
    <w:rsid w:val="00A76D36"/>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
    <w:name w:val="EmailStyle57"/>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uiPriority w:val="99"/>
    <w:semiHidden/>
    <w:rsid w:val="0041377E"/>
    <w:rPr>
      <w:sz w:val="16"/>
      <w:szCs w:val="16"/>
    </w:rPr>
  </w:style>
  <w:style w:type="paragraph" w:styleId="CommentText">
    <w:name w:val="annotation text"/>
    <w:basedOn w:val="Normal"/>
    <w:link w:val="CommentTextChar"/>
    <w:uiPriority w:val="99"/>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paragraph" w:customStyle="1" w:styleId="TH-TableHeading">
    <w:name w:val="TH-Table Heading"/>
    <w:basedOn w:val="Heading1"/>
    <w:rsid w:val="00287FD2"/>
    <w:pPr>
      <w:spacing w:before="0" w:after="0" w:line="240" w:lineRule="atLeast"/>
      <w:jc w:val="center"/>
    </w:pPr>
    <w:rPr>
      <w:rFonts w:ascii="Franklin Gothic Medium" w:hAnsi="Franklin Gothic Medium"/>
      <w:bCs w:val="0"/>
      <w:kern w:val="0"/>
      <w:sz w:val="20"/>
      <w:szCs w:val="20"/>
      <w:lang w:bidi="ar-SA"/>
    </w:rPr>
  </w:style>
  <w:style w:type="character" w:customStyle="1" w:styleId="CommentTextChar">
    <w:name w:val="Comment Text Char"/>
    <w:basedOn w:val="DefaultParagraphFont"/>
    <w:link w:val="CommentText"/>
    <w:uiPriority w:val="99"/>
    <w:semiHidden/>
    <w:rsid w:val="00AC563E"/>
    <w:rPr>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annotation text" w:uiPriority="99"/>
    <w:lsdException w:name="header" w:uiPriority="99"/>
    <w:lsdException w:name="footer" w:uiPriority="99"/>
    <w:lsdException w:name="footnote reference" w:uiPriority="34"/>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A76D36"/>
    <w:pPr>
      <w:tabs>
        <w:tab w:val="left" w:pos="612"/>
      </w:tabs>
    </w:pPr>
  </w:style>
  <w:style w:type="character" w:customStyle="1" w:styleId="ListBulletChar">
    <w:name w:val="List Bullet Char"/>
    <w:basedOn w:val="DefaultParagraphFont"/>
    <w:link w:val="ListBullet"/>
    <w:rsid w:val="00A76D36"/>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
    <w:name w:val="EmailStyle57"/>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uiPriority w:val="99"/>
    <w:semiHidden/>
    <w:rsid w:val="0041377E"/>
    <w:rPr>
      <w:sz w:val="16"/>
      <w:szCs w:val="16"/>
    </w:rPr>
  </w:style>
  <w:style w:type="paragraph" w:styleId="CommentText">
    <w:name w:val="annotation text"/>
    <w:basedOn w:val="Normal"/>
    <w:link w:val="CommentTextChar"/>
    <w:uiPriority w:val="99"/>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paragraph" w:customStyle="1" w:styleId="TH-TableHeading">
    <w:name w:val="TH-Table Heading"/>
    <w:basedOn w:val="Heading1"/>
    <w:rsid w:val="00287FD2"/>
    <w:pPr>
      <w:spacing w:before="0" w:after="0" w:line="240" w:lineRule="atLeast"/>
      <w:jc w:val="center"/>
    </w:pPr>
    <w:rPr>
      <w:rFonts w:ascii="Franklin Gothic Medium" w:hAnsi="Franklin Gothic Medium"/>
      <w:bCs w:val="0"/>
      <w:kern w:val="0"/>
      <w:sz w:val="20"/>
      <w:szCs w:val="20"/>
      <w:lang w:bidi="ar-SA"/>
    </w:rPr>
  </w:style>
  <w:style w:type="character" w:customStyle="1" w:styleId="CommentTextChar">
    <w:name w:val="Comment Text Char"/>
    <w:basedOn w:val="DefaultParagraphFont"/>
    <w:link w:val="CommentText"/>
    <w:uiPriority w:val="99"/>
    <w:semiHidden/>
    <w:rsid w:val="00AC563E"/>
    <w:rPr>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267398048">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46778128">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19828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effectiveinterventions.org/" TargetMode="Externa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ww.cdc.gov/hepatitis/statistics/2013surveillance/pdfs/2013hepsurveillancerpt.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dc.gov/hiv/library/slideSets/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yperlink" Target="http://PAREonline.net/getvn.asp?v=7&amp;n=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ls.gov/oes/current/oes210000.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ncsl.org/research/labor-and-employment/state-minimum-wage-chart.aspx"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2935-474E-4E33-A531-E1DFA1954935}">
  <ds:schemaRefs>
    <ds:schemaRef ds:uri="http://schemas.openxmlformats.org/officeDocument/2006/bibliography"/>
  </ds:schemaRefs>
</ds:datastoreItem>
</file>

<file path=customXml/itemProps2.xml><?xml version="1.0" encoding="utf-8"?>
<ds:datastoreItem xmlns:ds="http://schemas.openxmlformats.org/officeDocument/2006/customXml" ds:itemID="{FEFAFF8A-5D82-44F1-B10B-54A383AF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12999</Words>
  <Characters>74997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87821</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Windows User</cp:lastModifiedBy>
  <cp:revision>3</cp:revision>
  <cp:lastPrinted>2015-09-10T20:32:00Z</cp:lastPrinted>
  <dcterms:created xsi:type="dcterms:W3CDTF">2015-12-22T16:00:00Z</dcterms:created>
  <dcterms:modified xsi:type="dcterms:W3CDTF">2015-12-22T16:20:00Z</dcterms:modified>
</cp:coreProperties>
</file>